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2427AE">
      <w:pPr>
        <w:jc w:val="center"/>
        <w:rPr>
          <w:rFonts w:ascii="宋体" w:hAnsi="宋体"/>
          <w:b/>
          <w:color w:val="0000FF"/>
          <w:sz w:val="44"/>
          <w:szCs w:val="44"/>
        </w:rPr>
      </w:pPr>
      <w:bookmarkStart w:id="0" w:name="_Toc287620665"/>
    </w:p>
    <w:p w14:paraId="7DE1EC3F">
      <w:pPr>
        <w:spacing w:line="360" w:lineRule="auto"/>
        <w:jc w:val="center"/>
        <w:rPr>
          <w:rFonts w:hint="eastAsia" w:ascii="宋体" w:hAnsi="宋体" w:eastAsia="宋体"/>
          <w:kern w:val="0"/>
          <w:sz w:val="20"/>
          <w:szCs w:val="20"/>
          <w:u w:val="single"/>
          <w:lang w:val="en-US" w:eastAsia="zh-CN"/>
        </w:rPr>
      </w:pPr>
      <w:r>
        <w:rPr>
          <w:rFonts w:hint="eastAsia" w:ascii="宋体" w:hAnsi="宋体"/>
          <w:kern w:val="0"/>
          <w:sz w:val="32"/>
          <w:szCs w:val="32"/>
          <w:u w:val="single"/>
          <w:lang w:val="en-US" w:eastAsia="zh-CN"/>
        </w:rPr>
        <w:t>乌江涪陵榨菜绿色智能化生产基地（一期）6号车间</w:t>
      </w:r>
      <w:r>
        <w:rPr>
          <w:rFonts w:hint="eastAsia"/>
          <w:color w:val="auto"/>
          <w:sz w:val="32"/>
          <w:szCs w:val="32"/>
          <w:highlight w:val="none"/>
          <w:u w:val="single"/>
          <w:lang w:val="en-US" w:eastAsia="zh-CN"/>
        </w:rPr>
        <w:t>半固态</w:t>
      </w:r>
      <w:r>
        <w:rPr>
          <w:rFonts w:hint="eastAsia"/>
          <w:color w:val="auto"/>
          <w:sz w:val="32"/>
          <w:szCs w:val="32"/>
          <w:highlight w:val="none"/>
          <w:u w:val="single"/>
          <w:lang w:eastAsia="zh-CN"/>
        </w:rPr>
        <w:t>复合调味料生产线</w:t>
      </w:r>
      <w:r>
        <w:rPr>
          <w:rFonts w:hint="eastAsia"/>
          <w:color w:val="auto"/>
          <w:sz w:val="32"/>
          <w:szCs w:val="32"/>
          <w:highlight w:val="none"/>
          <w:u w:val="single"/>
          <w:lang w:val="en-US" w:eastAsia="zh-CN"/>
        </w:rPr>
        <w:t>定制设备</w:t>
      </w:r>
      <w:r>
        <w:rPr>
          <w:rFonts w:hint="eastAsia" w:ascii="宋体" w:hAnsi="宋体"/>
          <w:kern w:val="0"/>
          <w:sz w:val="32"/>
          <w:szCs w:val="32"/>
          <w:u w:val="single"/>
          <w:lang w:val="en-US" w:eastAsia="zh-CN"/>
        </w:rPr>
        <w:t>采购</w:t>
      </w:r>
    </w:p>
    <w:p w14:paraId="10299951">
      <w:pPr>
        <w:autoSpaceDE w:val="0"/>
        <w:autoSpaceDN w:val="0"/>
        <w:adjustRightInd w:val="0"/>
        <w:snapToGrid w:val="0"/>
        <w:spacing w:line="360" w:lineRule="auto"/>
        <w:jc w:val="left"/>
        <w:rPr>
          <w:rFonts w:ascii="宋体" w:hAnsi="宋体"/>
          <w:kern w:val="0"/>
          <w:sz w:val="20"/>
          <w:szCs w:val="20"/>
        </w:rPr>
      </w:pPr>
    </w:p>
    <w:p w14:paraId="18F0195F">
      <w:pPr>
        <w:autoSpaceDE w:val="0"/>
        <w:autoSpaceDN w:val="0"/>
        <w:adjustRightInd w:val="0"/>
        <w:snapToGrid w:val="0"/>
        <w:spacing w:line="360" w:lineRule="auto"/>
        <w:jc w:val="left"/>
        <w:rPr>
          <w:rFonts w:ascii="宋体" w:hAnsi="宋体"/>
          <w:kern w:val="0"/>
          <w:sz w:val="20"/>
          <w:szCs w:val="20"/>
        </w:rPr>
      </w:pPr>
    </w:p>
    <w:p w14:paraId="7314B52C">
      <w:pPr>
        <w:autoSpaceDE w:val="0"/>
        <w:autoSpaceDN w:val="0"/>
        <w:adjustRightInd w:val="0"/>
        <w:snapToGrid w:val="0"/>
        <w:spacing w:line="360" w:lineRule="auto"/>
        <w:jc w:val="left"/>
        <w:rPr>
          <w:rFonts w:ascii="宋体" w:hAnsi="宋体"/>
          <w:kern w:val="0"/>
          <w:sz w:val="20"/>
          <w:szCs w:val="20"/>
        </w:rPr>
      </w:pPr>
    </w:p>
    <w:p w14:paraId="55B57B23">
      <w:pPr>
        <w:autoSpaceDE w:val="0"/>
        <w:autoSpaceDN w:val="0"/>
        <w:adjustRightInd w:val="0"/>
        <w:snapToGrid w:val="0"/>
        <w:spacing w:line="360" w:lineRule="auto"/>
        <w:jc w:val="left"/>
        <w:rPr>
          <w:rFonts w:ascii="宋体" w:hAnsi="宋体"/>
          <w:kern w:val="0"/>
          <w:sz w:val="20"/>
          <w:szCs w:val="20"/>
        </w:rPr>
      </w:pPr>
    </w:p>
    <w:p w14:paraId="1239FAB5">
      <w:pPr>
        <w:autoSpaceDE w:val="0"/>
        <w:autoSpaceDN w:val="0"/>
        <w:adjustRightInd w:val="0"/>
        <w:snapToGrid w:val="0"/>
        <w:spacing w:line="360" w:lineRule="auto"/>
        <w:jc w:val="left"/>
        <w:rPr>
          <w:rFonts w:ascii="宋体" w:hAnsi="宋体"/>
          <w:kern w:val="0"/>
          <w:sz w:val="20"/>
          <w:szCs w:val="20"/>
        </w:rPr>
      </w:pPr>
    </w:p>
    <w:p w14:paraId="2001D27D">
      <w:pPr>
        <w:pageBreakBefore w:val="0"/>
        <w:kinsoku/>
        <w:topLinePunct w:val="0"/>
        <w:autoSpaceDE w:val="0"/>
        <w:autoSpaceDN w:val="0"/>
        <w:bidi w:val="0"/>
        <w:adjustRightInd w:val="0"/>
        <w:snapToGrid w:val="0"/>
        <w:spacing w:line="360" w:lineRule="auto"/>
        <w:jc w:val="center"/>
        <w:rPr>
          <w:rFonts w:ascii="宋体" w:hAnsi="宋体"/>
          <w:kern w:val="0"/>
          <w:sz w:val="72"/>
          <w:szCs w:val="72"/>
        </w:rPr>
      </w:pP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08F5E94A">
      <w:pPr>
        <w:autoSpaceDE w:val="0"/>
        <w:autoSpaceDN w:val="0"/>
        <w:adjustRightInd w:val="0"/>
        <w:snapToGrid w:val="0"/>
        <w:spacing w:line="360" w:lineRule="auto"/>
        <w:jc w:val="left"/>
        <w:rPr>
          <w:rFonts w:ascii="宋体" w:hAnsi="宋体"/>
          <w:kern w:val="0"/>
          <w:sz w:val="10"/>
          <w:szCs w:val="10"/>
        </w:rPr>
      </w:pPr>
    </w:p>
    <w:p w14:paraId="5183826C">
      <w:pPr>
        <w:autoSpaceDE w:val="0"/>
        <w:autoSpaceDN w:val="0"/>
        <w:adjustRightInd w:val="0"/>
        <w:snapToGrid w:val="0"/>
        <w:spacing w:line="360" w:lineRule="auto"/>
        <w:jc w:val="left"/>
        <w:rPr>
          <w:rFonts w:ascii="宋体" w:hAnsi="宋体"/>
          <w:kern w:val="0"/>
          <w:sz w:val="20"/>
          <w:szCs w:val="20"/>
        </w:rPr>
      </w:pPr>
    </w:p>
    <w:p w14:paraId="02B63E58">
      <w:pPr>
        <w:autoSpaceDE w:val="0"/>
        <w:autoSpaceDN w:val="0"/>
        <w:adjustRightInd w:val="0"/>
        <w:snapToGrid w:val="0"/>
        <w:spacing w:line="360" w:lineRule="auto"/>
        <w:jc w:val="left"/>
        <w:rPr>
          <w:rFonts w:ascii="宋体" w:hAnsi="宋体"/>
          <w:kern w:val="0"/>
          <w:sz w:val="20"/>
          <w:szCs w:val="20"/>
        </w:rPr>
      </w:pPr>
    </w:p>
    <w:p w14:paraId="11DA20E9">
      <w:pPr>
        <w:autoSpaceDE w:val="0"/>
        <w:autoSpaceDN w:val="0"/>
        <w:adjustRightInd w:val="0"/>
        <w:snapToGrid w:val="0"/>
        <w:spacing w:line="360" w:lineRule="auto"/>
        <w:jc w:val="left"/>
        <w:rPr>
          <w:rFonts w:ascii="宋体" w:hAnsi="宋体"/>
          <w:kern w:val="0"/>
          <w:sz w:val="20"/>
          <w:szCs w:val="20"/>
        </w:rPr>
      </w:pPr>
    </w:p>
    <w:p w14:paraId="78D6407C">
      <w:pPr>
        <w:autoSpaceDE w:val="0"/>
        <w:autoSpaceDN w:val="0"/>
        <w:adjustRightInd w:val="0"/>
        <w:snapToGrid w:val="0"/>
        <w:spacing w:line="360" w:lineRule="auto"/>
        <w:jc w:val="left"/>
        <w:rPr>
          <w:rFonts w:ascii="宋体" w:hAnsi="宋体"/>
          <w:kern w:val="0"/>
          <w:sz w:val="20"/>
          <w:szCs w:val="20"/>
        </w:rPr>
      </w:pPr>
    </w:p>
    <w:p w14:paraId="4A1AD48D">
      <w:pPr>
        <w:autoSpaceDE w:val="0"/>
        <w:autoSpaceDN w:val="0"/>
        <w:adjustRightInd w:val="0"/>
        <w:snapToGrid w:val="0"/>
        <w:spacing w:line="360" w:lineRule="auto"/>
        <w:jc w:val="left"/>
        <w:rPr>
          <w:rFonts w:ascii="宋体" w:hAnsi="宋体"/>
          <w:kern w:val="0"/>
          <w:sz w:val="20"/>
          <w:szCs w:val="20"/>
        </w:rPr>
      </w:pPr>
    </w:p>
    <w:p w14:paraId="2D842B20">
      <w:pPr>
        <w:autoSpaceDE w:val="0"/>
        <w:autoSpaceDN w:val="0"/>
        <w:adjustRightInd w:val="0"/>
        <w:snapToGrid w:val="0"/>
        <w:spacing w:line="360" w:lineRule="auto"/>
        <w:jc w:val="left"/>
        <w:rPr>
          <w:rFonts w:ascii="宋体" w:hAnsi="宋体"/>
          <w:kern w:val="0"/>
          <w:sz w:val="20"/>
          <w:szCs w:val="20"/>
        </w:rPr>
      </w:pPr>
    </w:p>
    <w:p w14:paraId="3367A538">
      <w:pPr>
        <w:autoSpaceDE w:val="0"/>
        <w:autoSpaceDN w:val="0"/>
        <w:adjustRightInd w:val="0"/>
        <w:snapToGrid w:val="0"/>
        <w:spacing w:line="360" w:lineRule="auto"/>
        <w:jc w:val="left"/>
        <w:rPr>
          <w:rFonts w:ascii="宋体" w:hAnsi="宋体"/>
          <w:kern w:val="0"/>
          <w:sz w:val="20"/>
          <w:szCs w:val="20"/>
        </w:rPr>
      </w:pPr>
    </w:p>
    <w:p w14:paraId="2EBB4D8D">
      <w:pPr>
        <w:autoSpaceDE w:val="0"/>
        <w:autoSpaceDN w:val="0"/>
        <w:adjustRightInd w:val="0"/>
        <w:snapToGrid w:val="0"/>
        <w:spacing w:line="360" w:lineRule="auto"/>
        <w:rPr>
          <w:rFonts w:ascii="宋体" w:hAnsi="宋体"/>
          <w:kern w:val="0"/>
          <w:sz w:val="20"/>
          <w:szCs w:val="20"/>
        </w:rPr>
      </w:pPr>
    </w:p>
    <w:p w14:paraId="678ECB6E">
      <w:pPr>
        <w:autoSpaceDE w:val="0"/>
        <w:autoSpaceDN w:val="0"/>
        <w:adjustRightInd w:val="0"/>
        <w:snapToGrid w:val="0"/>
        <w:spacing w:line="360" w:lineRule="auto"/>
        <w:jc w:val="left"/>
        <w:rPr>
          <w:rFonts w:ascii="宋体" w:hAnsi="宋体"/>
          <w:kern w:val="0"/>
          <w:sz w:val="20"/>
          <w:szCs w:val="20"/>
        </w:rPr>
      </w:pPr>
    </w:p>
    <w:p w14:paraId="38E757BC">
      <w:pPr>
        <w:autoSpaceDE w:val="0"/>
        <w:autoSpaceDN w:val="0"/>
        <w:adjustRightInd w:val="0"/>
        <w:snapToGrid w:val="0"/>
        <w:spacing w:line="360" w:lineRule="auto"/>
        <w:rPr>
          <w:rFonts w:ascii="宋体" w:hAnsi="宋体"/>
          <w:kern w:val="0"/>
          <w:sz w:val="20"/>
          <w:szCs w:val="20"/>
        </w:rPr>
      </w:pPr>
    </w:p>
    <w:p w14:paraId="30B50156">
      <w:pPr>
        <w:autoSpaceDE w:val="0"/>
        <w:autoSpaceDN w:val="0"/>
        <w:adjustRightInd w:val="0"/>
        <w:snapToGrid w:val="0"/>
        <w:spacing w:line="360" w:lineRule="auto"/>
        <w:rPr>
          <w:rFonts w:ascii="宋体" w:hAnsi="宋体"/>
          <w:kern w:val="0"/>
          <w:sz w:val="20"/>
          <w:szCs w:val="20"/>
        </w:rPr>
      </w:pPr>
    </w:p>
    <w:p w14:paraId="6FFB5E71">
      <w:pPr>
        <w:autoSpaceDE w:val="0"/>
        <w:autoSpaceDN w:val="0"/>
        <w:adjustRightInd w:val="0"/>
        <w:snapToGrid w:val="0"/>
        <w:spacing w:line="360" w:lineRule="auto"/>
        <w:rPr>
          <w:rFonts w:ascii="宋体" w:hAnsi="宋体"/>
          <w:kern w:val="0"/>
          <w:sz w:val="20"/>
          <w:szCs w:val="20"/>
        </w:rPr>
      </w:pPr>
    </w:p>
    <w:p w14:paraId="74F2B7AB">
      <w:pPr>
        <w:pageBreakBefore w:val="0"/>
        <w:tabs>
          <w:tab w:val="left" w:pos="6219"/>
        </w:tabs>
        <w:kinsoku/>
        <w:topLinePunct w:val="0"/>
        <w:autoSpaceDE w:val="0"/>
        <w:autoSpaceDN w:val="0"/>
        <w:bidi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招标人：</w:t>
      </w:r>
      <w:r>
        <w:rPr>
          <w:rFonts w:hint="eastAsia" w:ascii="宋体" w:hAnsi="宋体"/>
          <w:bCs/>
          <w:kern w:val="0"/>
          <w:sz w:val="28"/>
          <w:szCs w:val="28"/>
          <w:u w:val="single"/>
          <w:lang w:val="en-US" w:eastAsia="zh-CN"/>
        </w:rPr>
        <w:t>重庆市涪陵榨菜集团股份有限公司</w:t>
      </w:r>
      <w:r>
        <w:rPr>
          <w:rFonts w:ascii="宋体" w:hAnsi="宋体"/>
          <w:bCs/>
          <w:w w:val="99"/>
          <w:kern w:val="0"/>
          <w:sz w:val="28"/>
          <w:szCs w:val="28"/>
        </w:rPr>
        <w:t>（盖单位法人章）</w:t>
      </w:r>
    </w:p>
    <w:p w14:paraId="02D0B52B">
      <w:pPr>
        <w:pageBreakBefore w:val="0"/>
        <w:tabs>
          <w:tab w:val="left" w:pos="6252"/>
        </w:tabs>
        <w:kinsoku/>
        <w:topLinePunct w:val="0"/>
        <w:autoSpaceDE w:val="0"/>
        <w:autoSpaceDN w:val="0"/>
        <w:bidi w:val="0"/>
        <w:adjustRightInd w:val="0"/>
        <w:snapToGrid w:val="0"/>
        <w:spacing w:line="360" w:lineRule="auto"/>
        <w:jc w:val="both"/>
        <w:rPr>
          <w:rFonts w:ascii="宋体" w:hAnsi="宋体"/>
          <w:bCs/>
          <w:w w:val="99"/>
          <w:kern w:val="0"/>
          <w:sz w:val="28"/>
          <w:szCs w:val="28"/>
        </w:rPr>
      </w:pPr>
    </w:p>
    <w:p w14:paraId="4B915BCF">
      <w:pPr>
        <w:pageBreakBefore w:val="0"/>
        <w:kinsoku/>
        <w:topLinePunct w:val="0"/>
        <w:autoSpaceDE w:val="0"/>
        <w:autoSpaceDN w:val="0"/>
        <w:bidi w:val="0"/>
        <w:adjustRightInd w:val="0"/>
        <w:snapToGrid w:val="0"/>
        <w:spacing w:line="360" w:lineRule="auto"/>
        <w:jc w:val="center"/>
        <w:rPr>
          <w:rFonts w:ascii="宋体" w:hAnsi="宋体"/>
          <w:bCs/>
          <w:kern w:val="0"/>
          <w:sz w:val="20"/>
          <w:szCs w:val="20"/>
        </w:rPr>
      </w:pPr>
    </w:p>
    <w:p w14:paraId="43F2BF5F">
      <w:pPr>
        <w:pageBreakBefore w:val="0"/>
        <w:kinsoku/>
        <w:topLinePunct w:val="0"/>
        <w:autoSpaceDE w:val="0"/>
        <w:autoSpaceDN w:val="0"/>
        <w:bidi w:val="0"/>
        <w:adjustRightInd w:val="0"/>
        <w:snapToGrid w:val="0"/>
        <w:spacing w:line="360" w:lineRule="auto"/>
        <w:jc w:val="center"/>
        <w:rPr>
          <w:rFonts w:ascii="宋体" w:hAnsi="宋体"/>
          <w:bCs/>
          <w:kern w:val="0"/>
          <w:sz w:val="20"/>
          <w:szCs w:val="20"/>
        </w:rPr>
      </w:pPr>
      <w:r>
        <w:rPr>
          <w:rFonts w:hint="eastAsia" w:ascii="宋体" w:hAnsi="宋体"/>
          <w:bCs/>
          <w:kern w:val="0"/>
          <w:sz w:val="28"/>
          <w:szCs w:val="28"/>
          <w:u w:val="single"/>
          <w:lang w:val="en-US" w:eastAsia="zh-CN"/>
        </w:rPr>
        <w:t xml:space="preserve"> 2026 </w:t>
      </w:r>
      <w:r>
        <w:rPr>
          <w:rFonts w:hint="eastAsia" w:ascii="宋体" w:hAnsi="宋体"/>
          <w:bCs/>
          <w:kern w:val="0"/>
          <w:sz w:val="28"/>
          <w:szCs w:val="28"/>
          <w:lang w:val="en-US" w:eastAsia="zh-CN"/>
        </w:rPr>
        <w:t>年</w:t>
      </w:r>
      <w:r>
        <w:rPr>
          <w:rFonts w:hint="eastAsia" w:ascii="宋体" w:hAnsi="宋体"/>
          <w:bCs/>
          <w:kern w:val="0"/>
          <w:sz w:val="28"/>
          <w:szCs w:val="28"/>
          <w:u w:val="single"/>
          <w:lang w:val="en-US" w:eastAsia="zh-CN"/>
        </w:rPr>
        <w:t xml:space="preserve"> 6 </w:t>
      </w:r>
      <w:r>
        <w:rPr>
          <w:rFonts w:hint="eastAsia" w:ascii="宋体" w:hAnsi="宋体"/>
          <w:bCs/>
          <w:kern w:val="0"/>
          <w:sz w:val="28"/>
          <w:szCs w:val="28"/>
          <w:lang w:val="en-US" w:eastAsia="zh-CN"/>
        </w:rPr>
        <w:t>月</w:t>
      </w:r>
    </w:p>
    <w:p w14:paraId="6CB815C2">
      <w:pPr>
        <w:autoSpaceDE w:val="0"/>
        <w:autoSpaceDN w:val="0"/>
        <w:adjustRightInd w:val="0"/>
        <w:snapToGrid w:val="0"/>
        <w:spacing w:line="360" w:lineRule="auto"/>
        <w:jc w:val="center"/>
        <w:rPr>
          <w:rFonts w:ascii="宋体" w:hAnsi="宋体"/>
          <w:bCs/>
          <w:kern w:val="0"/>
          <w:sz w:val="28"/>
          <w:szCs w:val="28"/>
        </w:rPr>
      </w:pPr>
    </w:p>
    <w:p w14:paraId="51D3DF83">
      <w:pPr>
        <w:autoSpaceDE w:val="0"/>
        <w:autoSpaceDN w:val="0"/>
        <w:adjustRightInd w:val="0"/>
        <w:snapToGrid w:val="0"/>
        <w:spacing w:line="360" w:lineRule="auto"/>
        <w:jc w:val="center"/>
        <w:rPr>
          <w:rFonts w:ascii="宋体" w:hAnsi="宋体"/>
          <w:bCs/>
          <w:kern w:val="0"/>
          <w:sz w:val="28"/>
          <w:szCs w:val="28"/>
        </w:rPr>
      </w:pPr>
    </w:p>
    <w:p w14:paraId="2E5B2F3B">
      <w:pPr>
        <w:autoSpaceDE w:val="0"/>
        <w:autoSpaceDN w:val="0"/>
        <w:adjustRightInd w:val="0"/>
        <w:snapToGrid w:val="0"/>
        <w:spacing w:line="360" w:lineRule="auto"/>
        <w:rPr>
          <w:rFonts w:ascii="宋体" w:hAnsi="宋体"/>
          <w:bCs/>
          <w:kern w:val="0"/>
          <w:sz w:val="20"/>
          <w:szCs w:val="20"/>
        </w:rPr>
      </w:pPr>
    </w:p>
    <w:p w14:paraId="296B6AB6">
      <w:pPr>
        <w:pStyle w:val="3"/>
        <w:spacing w:line="360" w:lineRule="auto"/>
        <w:rPr>
          <w:rFonts w:ascii="宋体" w:hAnsi="宋体"/>
          <w:w w:val="99"/>
          <w:kern w:val="0"/>
          <w:sz w:val="24"/>
        </w:rPr>
        <w:sectPr>
          <w:headerReference r:id="rId3" w:type="default"/>
          <w:footerReference r:id="rId4" w:type="default"/>
          <w:pgSz w:w="11907" w:h="16840"/>
          <w:pgMar w:top="1304" w:right="1134" w:bottom="1304" w:left="1304" w:header="851" w:footer="992" w:gutter="0"/>
          <w:pgBorders>
            <w:top w:val="none" w:sz="0" w:space="0"/>
            <w:left w:val="none" w:sz="0" w:space="0"/>
            <w:bottom w:val="none" w:sz="0" w:space="0"/>
            <w:right w:val="none" w:sz="0" w:space="0"/>
          </w:pgBorders>
          <w:pgNumType w:fmt="numberInDash" w:start="1"/>
          <w:cols w:space="720" w:num="1"/>
          <w:docGrid w:linePitch="312" w:charSpace="0"/>
        </w:sectPr>
      </w:pPr>
    </w:p>
    <w:p w14:paraId="6C34F8FB">
      <w:pPr>
        <w:jc w:val="center"/>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617D4C61">
      <w:pPr>
        <w:pStyle w:val="32"/>
        <w:tabs>
          <w:tab w:val="right" w:leader="dot" w:pos="9469"/>
        </w:tabs>
        <w:spacing w:line="360" w:lineRule="auto"/>
        <w:rPr>
          <w:sz w:val="24"/>
          <w:szCs w:val="24"/>
        </w:rPr>
      </w:pPr>
      <w:r>
        <w:rPr>
          <w:rFonts w:ascii="宋体" w:hAnsi="宋体"/>
          <w:i w:val="0"/>
          <w:iCs w:val="0"/>
          <w:sz w:val="24"/>
          <w:szCs w:val="24"/>
        </w:rPr>
        <w:fldChar w:fldCharType="begin"/>
      </w:r>
      <w:r>
        <w:rPr>
          <w:rFonts w:ascii="宋体" w:hAnsi="宋体"/>
          <w:i w:val="0"/>
          <w:iCs w:val="0"/>
          <w:sz w:val="24"/>
          <w:szCs w:val="24"/>
        </w:rPr>
        <w:instrText xml:space="preserve">TOC \o "1-1" \h \u </w:instrText>
      </w:r>
      <w:r>
        <w:rPr>
          <w:rFonts w:ascii="宋体" w:hAnsi="宋体"/>
          <w:i w:val="0"/>
          <w:iCs w:val="0"/>
          <w:sz w:val="24"/>
          <w:szCs w:val="24"/>
        </w:rPr>
        <w:fldChar w:fldCharType="separate"/>
      </w:r>
      <w:r>
        <w:rPr>
          <w:rFonts w:ascii="宋体" w:hAnsi="宋体"/>
          <w:i w:val="0"/>
          <w:iCs w:val="0"/>
          <w:sz w:val="24"/>
          <w:szCs w:val="24"/>
        </w:rPr>
        <w:fldChar w:fldCharType="begin"/>
      </w:r>
      <w:r>
        <w:rPr>
          <w:rFonts w:ascii="宋体" w:hAnsi="宋体"/>
          <w:i w:val="0"/>
          <w:iCs w:val="0"/>
          <w:sz w:val="24"/>
          <w:szCs w:val="24"/>
        </w:rPr>
        <w:instrText xml:space="preserve"> HYPERLINK \l _Toc6856 </w:instrText>
      </w:r>
      <w:r>
        <w:rPr>
          <w:rFonts w:ascii="宋体" w:hAnsi="宋体"/>
          <w:i w:val="0"/>
          <w:iCs w:val="0"/>
          <w:sz w:val="24"/>
          <w:szCs w:val="24"/>
        </w:rPr>
        <w:fldChar w:fldCharType="separate"/>
      </w:r>
      <w:r>
        <w:rPr>
          <w:rFonts w:ascii="宋体" w:hAnsi="宋体"/>
          <w:snapToGrid w:val="0"/>
          <w:kern w:val="0"/>
          <w:sz w:val="24"/>
          <w:szCs w:val="24"/>
        </w:rPr>
        <w:t>第一章  招标公告</w:t>
      </w:r>
      <w:r>
        <w:rPr>
          <w:sz w:val="24"/>
          <w:szCs w:val="24"/>
        </w:rPr>
        <w:tab/>
      </w:r>
      <w:r>
        <w:rPr>
          <w:sz w:val="24"/>
          <w:szCs w:val="24"/>
        </w:rPr>
        <w:fldChar w:fldCharType="begin"/>
      </w:r>
      <w:r>
        <w:rPr>
          <w:sz w:val="24"/>
          <w:szCs w:val="24"/>
        </w:rPr>
        <w:instrText xml:space="preserve"> PAGEREF _Toc6856 \h </w:instrText>
      </w:r>
      <w:r>
        <w:rPr>
          <w:sz w:val="24"/>
          <w:szCs w:val="24"/>
        </w:rPr>
        <w:fldChar w:fldCharType="separate"/>
      </w:r>
      <w:r>
        <w:rPr>
          <w:sz w:val="24"/>
          <w:szCs w:val="24"/>
        </w:rPr>
        <w:t>2</w:t>
      </w:r>
      <w:r>
        <w:rPr>
          <w:sz w:val="24"/>
          <w:szCs w:val="24"/>
        </w:rPr>
        <w:fldChar w:fldCharType="end"/>
      </w:r>
      <w:r>
        <w:rPr>
          <w:rFonts w:ascii="宋体" w:hAnsi="宋体"/>
          <w:i w:val="0"/>
          <w:iCs w:val="0"/>
          <w:sz w:val="24"/>
          <w:szCs w:val="24"/>
        </w:rPr>
        <w:fldChar w:fldCharType="end"/>
      </w:r>
    </w:p>
    <w:p w14:paraId="650CAF4A">
      <w:pPr>
        <w:pStyle w:val="32"/>
        <w:tabs>
          <w:tab w:val="right" w:leader="dot" w:pos="9469"/>
        </w:tabs>
        <w:spacing w:line="360" w:lineRule="auto"/>
        <w:rPr>
          <w:sz w:val="24"/>
          <w:szCs w:val="24"/>
        </w:rPr>
      </w:pPr>
      <w:r>
        <w:rPr>
          <w:rFonts w:ascii="宋体" w:hAnsi="宋体"/>
          <w:i w:val="0"/>
          <w:iCs w:val="0"/>
          <w:sz w:val="24"/>
          <w:szCs w:val="24"/>
        </w:rPr>
        <w:fldChar w:fldCharType="begin"/>
      </w:r>
      <w:r>
        <w:rPr>
          <w:rFonts w:ascii="宋体" w:hAnsi="宋体"/>
          <w:i w:val="0"/>
          <w:iCs w:val="0"/>
          <w:sz w:val="24"/>
          <w:szCs w:val="24"/>
        </w:rPr>
        <w:instrText xml:space="preserve"> HYPERLINK \l _Toc31110 </w:instrText>
      </w:r>
      <w:r>
        <w:rPr>
          <w:rFonts w:ascii="宋体" w:hAnsi="宋体"/>
          <w:i w:val="0"/>
          <w:iCs w:val="0"/>
          <w:sz w:val="24"/>
          <w:szCs w:val="24"/>
        </w:rPr>
        <w:fldChar w:fldCharType="separate"/>
      </w:r>
      <w:r>
        <w:rPr>
          <w:rFonts w:ascii="宋体" w:hAnsi="宋体"/>
          <w:snapToGrid w:val="0"/>
          <w:kern w:val="0"/>
          <w:sz w:val="24"/>
          <w:szCs w:val="24"/>
        </w:rPr>
        <w:t>第二章  投标人须知</w:t>
      </w:r>
      <w:r>
        <w:rPr>
          <w:sz w:val="24"/>
          <w:szCs w:val="24"/>
        </w:rPr>
        <w:tab/>
      </w:r>
      <w:r>
        <w:rPr>
          <w:sz w:val="24"/>
          <w:szCs w:val="24"/>
        </w:rPr>
        <w:fldChar w:fldCharType="begin"/>
      </w:r>
      <w:r>
        <w:rPr>
          <w:sz w:val="24"/>
          <w:szCs w:val="24"/>
        </w:rPr>
        <w:instrText xml:space="preserve"> PAGEREF _Toc31110 \h </w:instrText>
      </w:r>
      <w:r>
        <w:rPr>
          <w:sz w:val="24"/>
          <w:szCs w:val="24"/>
        </w:rPr>
        <w:fldChar w:fldCharType="separate"/>
      </w:r>
      <w:r>
        <w:rPr>
          <w:sz w:val="24"/>
          <w:szCs w:val="24"/>
        </w:rPr>
        <w:t>5</w:t>
      </w:r>
      <w:r>
        <w:rPr>
          <w:sz w:val="24"/>
          <w:szCs w:val="24"/>
        </w:rPr>
        <w:fldChar w:fldCharType="end"/>
      </w:r>
      <w:r>
        <w:rPr>
          <w:rFonts w:ascii="宋体" w:hAnsi="宋体"/>
          <w:i w:val="0"/>
          <w:iCs w:val="0"/>
          <w:sz w:val="24"/>
          <w:szCs w:val="24"/>
        </w:rPr>
        <w:fldChar w:fldCharType="end"/>
      </w:r>
    </w:p>
    <w:p w14:paraId="205D0EFA">
      <w:pPr>
        <w:pStyle w:val="32"/>
        <w:tabs>
          <w:tab w:val="right" w:leader="dot" w:pos="9469"/>
        </w:tabs>
        <w:spacing w:line="360" w:lineRule="auto"/>
        <w:rPr>
          <w:sz w:val="24"/>
          <w:szCs w:val="24"/>
        </w:rPr>
      </w:pPr>
      <w:r>
        <w:rPr>
          <w:rFonts w:ascii="宋体" w:hAnsi="宋体"/>
          <w:i w:val="0"/>
          <w:iCs w:val="0"/>
          <w:sz w:val="24"/>
          <w:szCs w:val="24"/>
        </w:rPr>
        <w:fldChar w:fldCharType="begin"/>
      </w:r>
      <w:r>
        <w:rPr>
          <w:rFonts w:ascii="宋体" w:hAnsi="宋体"/>
          <w:i w:val="0"/>
          <w:iCs w:val="0"/>
          <w:sz w:val="24"/>
          <w:szCs w:val="24"/>
        </w:rPr>
        <w:instrText xml:space="preserve"> HYPERLINK \l _Toc3544 </w:instrText>
      </w:r>
      <w:r>
        <w:rPr>
          <w:rFonts w:ascii="宋体" w:hAnsi="宋体"/>
          <w:i w:val="0"/>
          <w:iCs w:val="0"/>
          <w:sz w:val="24"/>
          <w:szCs w:val="24"/>
        </w:rPr>
        <w:fldChar w:fldCharType="separate"/>
      </w:r>
      <w:r>
        <w:rPr>
          <w:rFonts w:ascii="宋体" w:hAnsi="宋体"/>
          <w:sz w:val="24"/>
          <w:szCs w:val="24"/>
        </w:rPr>
        <w:t xml:space="preserve">第三章 </w:t>
      </w:r>
      <w:r>
        <w:rPr>
          <w:rFonts w:hint="eastAsia" w:ascii="宋体" w:hAnsi="宋体"/>
          <w:sz w:val="24"/>
          <w:szCs w:val="24"/>
        </w:rPr>
        <w:t xml:space="preserve"> </w:t>
      </w:r>
      <w:r>
        <w:rPr>
          <w:rFonts w:ascii="宋体" w:hAnsi="宋体"/>
          <w:sz w:val="24"/>
          <w:szCs w:val="24"/>
        </w:rPr>
        <w:t>评标办法（综合评估法）</w:t>
      </w:r>
      <w:r>
        <w:rPr>
          <w:sz w:val="24"/>
          <w:szCs w:val="24"/>
        </w:rPr>
        <w:tab/>
      </w:r>
      <w:r>
        <w:rPr>
          <w:sz w:val="24"/>
          <w:szCs w:val="24"/>
        </w:rPr>
        <w:fldChar w:fldCharType="begin"/>
      </w:r>
      <w:r>
        <w:rPr>
          <w:sz w:val="24"/>
          <w:szCs w:val="24"/>
        </w:rPr>
        <w:instrText xml:space="preserve"> PAGEREF _Toc3544 \h </w:instrText>
      </w:r>
      <w:r>
        <w:rPr>
          <w:sz w:val="24"/>
          <w:szCs w:val="24"/>
        </w:rPr>
        <w:fldChar w:fldCharType="separate"/>
      </w:r>
      <w:r>
        <w:rPr>
          <w:sz w:val="24"/>
          <w:szCs w:val="24"/>
        </w:rPr>
        <w:t>3</w:t>
      </w:r>
      <w:r>
        <w:rPr>
          <w:rFonts w:hint="eastAsia"/>
          <w:sz w:val="24"/>
          <w:szCs w:val="24"/>
          <w:lang w:val="en-US" w:eastAsia="zh-CN"/>
        </w:rPr>
        <w:t>4</w:t>
      </w:r>
      <w:r>
        <w:rPr>
          <w:sz w:val="24"/>
          <w:szCs w:val="24"/>
        </w:rPr>
        <w:fldChar w:fldCharType="end"/>
      </w:r>
      <w:r>
        <w:rPr>
          <w:rFonts w:ascii="宋体" w:hAnsi="宋体"/>
          <w:i w:val="0"/>
          <w:iCs w:val="0"/>
          <w:sz w:val="24"/>
          <w:szCs w:val="24"/>
        </w:rPr>
        <w:fldChar w:fldCharType="end"/>
      </w:r>
    </w:p>
    <w:p w14:paraId="6DE97CEA">
      <w:pPr>
        <w:pStyle w:val="32"/>
        <w:tabs>
          <w:tab w:val="right" w:leader="dot" w:pos="9469"/>
        </w:tabs>
        <w:spacing w:line="360" w:lineRule="auto"/>
        <w:rPr>
          <w:sz w:val="24"/>
          <w:szCs w:val="24"/>
        </w:rPr>
      </w:pPr>
      <w:r>
        <w:rPr>
          <w:rFonts w:ascii="宋体" w:hAnsi="宋体"/>
          <w:i w:val="0"/>
          <w:iCs w:val="0"/>
          <w:sz w:val="24"/>
          <w:szCs w:val="24"/>
        </w:rPr>
        <w:fldChar w:fldCharType="begin"/>
      </w:r>
      <w:r>
        <w:rPr>
          <w:rFonts w:ascii="宋体" w:hAnsi="宋体"/>
          <w:i w:val="0"/>
          <w:iCs w:val="0"/>
          <w:sz w:val="24"/>
          <w:szCs w:val="24"/>
        </w:rPr>
        <w:instrText xml:space="preserve"> HYPERLINK \l _Toc17777 </w:instrText>
      </w:r>
      <w:r>
        <w:rPr>
          <w:rFonts w:ascii="宋体" w:hAnsi="宋体"/>
          <w:i w:val="0"/>
          <w:iCs w:val="0"/>
          <w:sz w:val="24"/>
          <w:szCs w:val="24"/>
        </w:rPr>
        <w:fldChar w:fldCharType="separate"/>
      </w:r>
      <w:r>
        <w:rPr>
          <w:rFonts w:hint="eastAsia" w:ascii="宋体" w:hAnsi="宋体"/>
          <w:kern w:val="0"/>
          <w:sz w:val="24"/>
          <w:szCs w:val="24"/>
        </w:rPr>
        <w:t>第四章  合同条款及格式</w:t>
      </w:r>
      <w:r>
        <w:rPr>
          <w:sz w:val="24"/>
          <w:szCs w:val="24"/>
        </w:rPr>
        <w:tab/>
      </w:r>
      <w:r>
        <w:rPr>
          <w:sz w:val="24"/>
          <w:szCs w:val="24"/>
        </w:rPr>
        <w:fldChar w:fldCharType="begin"/>
      </w:r>
      <w:r>
        <w:rPr>
          <w:sz w:val="24"/>
          <w:szCs w:val="24"/>
        </w:rPr>
        <w:instrText xml:space="preserve"> PAGEREF _Toc17777 \h </w:instrText>
      </w:r>
      <w:r>
        <w:rPr>
          <w:sz w:val="24"/>
          <w:szCs w:val="24"/>
        </w:rPr>
        <w:fldChar w:fldCharType="separate"/>
      </w:r>
      <w:r>
        <w:rPr>
          <w:sz w:val="24"/>
          <w:szCs w:val="24"/>
        </w:rPr>
        <w:t>4</w:t>
      </w:r>
      <w:r>
        <w:rPr>
          <w:rFonts w:hint="eastAsia"/>
          <w:sz w:val="24"/>
          <w:szCs w:val="24"/>
          <w:lang w:val="en-US" w:eastAsia="zh-CN"/>
        </w:rPr>
        <w:t>5</w:t>
      </w:r>
      <w:r>
        <w:rPr>
          <w:sz w:val="24"/>
          <w:szCs w:val="24"/>
        </w:rPr>
        <w:fldChar w:fldCharType="end"/>
      </w:r>
      <w:r>
        <w:rPr>
          <w:rFonts w:ascii="宋体" w:hAnsi="宋体"/>
          <w:i w:val="0"/>
          <w:iCs w:val="0"/>
          <w:sz w:val="24"/>
          <w:szCs w:val="24"/>
        </w:rPr>
        <w:fldChar w:fldCharType="end"/>
      </w:r>
    </w:p>
    <w:p w14:paraId="1A355C4D">
      <w:pPr>
        <w:pStyle w:val="32"/>
        <w:tabs>
          <w:tab w:val="right" w:leader="dot" w:pos="9469"/>
        </w:tabs>
        <w:spacing w:line="360" w:lineRule="auto"/>
        <w:rPr>
          <w:rFonts w:hint="eastAsia" w:eastAsia="宋体"/>
          <w:sz w:val="24"/>
          <w:szCs w:val="24"/>
          <w:lang w:val="en-US" w:eastAsia="zh-CN"/>
        </w:rPr>
      </w:pPr>
      <w:r>
        <w:rPr>
          <w:rFonts w:ascii="宋体" w:hAnsi="宋体"/>
          <w:i w:val="0"/>
          <w:iCs w:val="0"/>
          <w:sz w:val="24"/>
          <w:szCs w:val="24"/>
        </w:rPr>
        <w:fldChar w:fldCharType="begin"/>
      </w:r>
      <w:r>
        <w:rPr>
          <w:rFonts w:ascii="宋体" w:hAnsi="宋体"/>
          <w:i w:val="0"/>
          <w:iCs w:val="0"/>
          <w:sz w:val="24"/>
          <w:szCs w:val="24"/>
        </w:rPr>
        <w:instrText xml:space="preserve"> HYPERLINK \l _Toc28271 </w:instrText>
      </w:r>
      <w:r>
        <w:rPr>
          <w:rFonts w:ascii="宋体" w:hAnsi="宋体"/>
          <w:i w:val="0"/>
          <w:iCs w:val="0"/>
          <w:sz w:val="24"/>
          <w:szCs w:val="24"/>
        </w:rPr>
        <w:fldChar w:fldCharType="separate"/>
      </w:r>
      <w:r>
        <w:rPr>
          <w:rFonts w:hint="eastAsia" w:ascii="宋体" w:hAnsi="宋体"/>
          <w:sz w:val="24"/>
          <w:szCs w:val="44"/>
        </w:rPr>
        <w:t>第五章  供货要求</w:t>
      </w:r>
      <w:r>
        <w:rPr>
          <w:sz w:val="24"/>
          <w:szCs w:val="24"/>
        </w:rPr>
        <w:tab/>
      </w:r>
      <w:r>
        <w:rPr>
          <w:rFonts w:hint="eastAsia"/>
          <w:sz w:val="24"/>
          <w:szCs w:val="24"/>
          <w:lang w:val="en-US" w:eastAsia="zh-CN"/>
        </w:rPr>
        <w:t>8</w:t>
      </w:r>
      <w:r>
        <w:rPr>
          <w:rFonts w:ascii="宋体" w:hAnsi="宋体"/>
          <w:i w:val="0"/>
          <w:iCs w:val="0"/>
          <w:sz w:val="24"/>
          <w:szCs w:val="24"/>
        </w:rPr>
        <w:fldChar w:fldCharType="end"/>
      </w:r>
      <w:r>
        <w:rPr>
          <w:rFonts w:hint="eastAsia" w:ascii="宋体" w:hAnsi="宋体"/>
          <w:i w:val="0"/>
          <w:iCs w:val="0"/>
          <w:sz w:val="24"/>
          <w:szCs w:val="24"/>
          <w:lang w:val="en-US" w:eastAsia="zh-CN"/>
        </w:rPr>
        <w:t>8</w:t>
      </w:r>
    </w:p>
    <w:p w14:paraId="46E5D9A0">
      <w:pPr>
        <w:pStyle w:val="32"/>
        <w:tabs>
          <w:tab w:val="right" w:leader="dot" w:pos="9469"/>
        </w:tabs>
        <w:spacing w:line="360" w:lineRule="auto"/>
        <w:rPr>
          <w:sz w:val="24"/>
          <w:szCs w:val="24"/>
        </w:rPr>
      </w:pPr>
      <w:r>
        <w:rPr>
          <w:rFonts w:ascii="宋体" w:hAnsi="宋体"/>
          <w:i w:val="0"/>
          <w:iCs w:val="0"/>
          <w:sz w:val="24"/>
          <w:szCs w:val="24"/>
        </w:rPr>
        <w:fldChar w:fldCharType="begin"/>
      </w:r>
      <w:r>
        <w:rPr>
          <w:rFonts w:ascii="宋体" w:hAnsi="宋体"/>
          <w:i w:val="0"/>
          <w:iCs w:val="0"/>
          <w:sz w:val="24"/>
          <w:szCs w:val="24"/>
        </w:rPr>
        <w:instrText xml:space="preserve"> HYPERLINK \l _Toc15301 </w:instrText>
      </w:r>
      <w:r>
        <w:rPr>
          <w:rFonts w:ascii="宋体" w:hAnsi="宋体"/>
          <w:i w:val="0"/>
          <w:iCs w:val="0"/>
          <w:sz w:val="24"/>
          <w:szCs w:val="24"/>
        </w:rPr>
        <w:fldChar w:fldCharType="separate"/>
      </w:r>
      <w:r>
        <w:rPr>
          <w:rFonts w:hint="eastAsia" w:ascii="宋体" w:hAnsi="宋体"/>
          <w:sz w:val="24"/>
          <w:szCs w:val="24"/>
        </w:rPr>
        <w:t>第六章  投标文件格式</w:t>
      </w:r>
      <w:r>
        <w:rPr>
          <w:sz w:val="24"/>
          <w:szCs w:val="24"/>
        </w:rPr>
        <w:tab/>
      </w:r>
      <w:r>
        <w:rPr>
          <w:sz w:val="24"/>
          <w:szCs w:val="24"/>
        </w:rPr>
        <w:fldChar w:fldCharType="begin"/>
      </w:r>
      <w:r>
        <w:rPr>
          <w:sz w:val="24"/>
          <w:szCs w:val="24"/>
        </w:rPr>
        <w:instrText xml:space="preserve"> PAGEREF _Toc15301 \h </w:instrText>
      </w:r>
      <w:r>
        <w:rPr>
          <w:sz w:val="24"/>
          <w:szCs w:val="24"/>
        </w:rPr>
        <w:fldChar w:fldCharType="separate"/>
      </w:r>
      <w:r>
        <w:rPr>
          <w:sz w:val="24"/>
          <w:szCs w:val="24"/>
        </w:rPr>
        <w:t>10</w:t>
      </w:r>
      <w:r>
        <w:rPr>
          <w:rFonts w:hint="eastAsia"/>
          <w:sz w:val="24"/>
          <w:szCs w:val="24"/>
          <w:lang w:val="en-US" w:eastAsia="zh-CN"/>
        </w:rPr>
        <w:t>4</w:t>
      </w:r>
      <w:r>
        <w:rPr>
          <w:sz w:val="24"/>
          <w:szCs w:val="24"/>
        </w:rPr>
        <w:fldChar w:fldCharType="end"/>
      </w:r>
      <w:r>
        <w:rPr>
          <w:rFonts w:ascii="宋体" w:hAnsi="宋体"/>
          <w:i w:val="0"/>
          <w:iCs w:val="0"/>
          <w:sz w:val="24"/>
          <w:szCs w:val="24"/>
        </w:rPr>
        <w:fldChar w:fldCharType="end"/>
      </w:r>
    </w:p>
    <w:p w14:paraId="21B3FF58">
      <w:pPr>
        <w:spacing w:line="360" w:lineRule="auto"/>
        <w:rPr>
          <w:rFonts w:ascii="宋体" w:hAnsi="宋体"/>
          <w:i w:val="0"/>
          <w:iCs w:val="0"/>
        </w:rPr>
      </w:pPr>
      <w:r>
        <w:rPr>
          <w:rFonts w:ascii="宋体" w:hAnsi="宋体"/>
          <w:i w:val="0"/>
          <w:iCs w:val="0"/>
          <w:sz w:val="28"/>
          <w:szCs w:val="36"/>
        </w:rPr>
        <w:fldChar w:fldCharType="end"/>
      </w:r>
    </w:p>
    <w:bookmarkEnd w:id="0"/>
    <w:p w14:paraId="55D591E0">
      <w:pPr>
        <w:spacing w:line="20" w:lineRule="exact"/>
        <w:jc w:val="left"/>
        <w:rPr>
          <w:rFonts w:ascii="宋体" w:hAnsi="宋体"/>
        </w:rPr>
        <w:sectPr>
          <w:headerReference r:id="rId5" w:type="default"/>
          <w:footerReference r:id="rId6" w:type="default"/>
          <w:pgSz w:w="11907" w:h="16840"/>
          <w:pgMar w:top="1304" w:right="1134" w:bottom="1304" w:left="1304" w:header="851" w:footer="992" w:gutter="0"/>
          <w:pgBorders>
            <w:top w:val="none" w:sz="0" w:space="0"/>
            <w:left w:val="none" w:sz="0" w:space="0"/>
            <w:bottom w:val="none" w:sz="0" w:space="0"/>
            <w:right w:val="none" w:sz="0" w:space="0"/>
          </w:pgBorders>
          <w:pgNumType w:fmt="numberInDash" w:start="1"/>
          <w:cols w:space="720" w:num="1"/>
          <w:docGrid w:linePitch="312" w:charSpace="0"/>
        </w:sectPr>
      </w:pPr>
      <w:bookmarkStart w:id="2" w:name="_Toc430530414"/>
    </w:p>
    <w:bookmarkEnd w:id="2"/>
    <w:p w14:paraId="4D3510A1">
      <w:pPr>
        <w:spacing w:line="200" w:lineRule="exact"/>
        <w:rPr>
          <w:rFonts w:ascii="宋体" w:hAnsi="宋体"/>
        </w:rPr>
      </w:pPr>
    </w:p>
    <w:p w14:paraId="1EDE582B">
      <w:pPr>
        <w:pStyle w:val="3"/>
        <w:spacing w:line="360" w:lineRule="auto"/>
        <w:jc w:val="center"/>
        <w:rPr>
          <w:rFonts w:ascii="宋体" w:hAnsi="宋体"/>
          <w:snapToGrid w:val="0"/>
          <w:kern w:val="0"/>
        </w:rPr>
      </w:pPr>
      <w:bookmarkStart w:id="3" w:name="_Toc277082535"/>
      <w:bookmarkStart w:id="4" w:name="_Toc287620666"/>
      <w:bookmarkStart w:id="5" w:name="_Toc6856"/>
      <w:bookmarkStart w:id="6" w:name="_Toc20667"/>
      <w:bookmarkStart w:id="7" w:name="_Toc509218691"/>
      <w:bookmarkStart w:id="8" w:name="_Toc287607727"/>
      <w:bookmarkStart w:id="9" w:name="_Toc430530415"/>
      <w:bookmarkStart w:id="10" w:name="_Toc224103298"/>
      <w:r>
        <w:rPr>
          <w:rFonts w:ascii="宋体" w:hAnsi="宋体"/>
          <w:snapToGrid w:val="0"/>
          <w:kern w:val="0"/>
        </w:rPr>
        <w:t>第一章  招标公告</w:t>
      </w:r>
      <w:bookmarkEnd w:id="3"/>
      <w:bookmarkEnd w:id="4"/>
      <w:bookmarkEnd w:id="5"/>
      <w:bookmarkEnd w:id="6"/>
      <w:bookmarkEnd w:id="7"/>
      <w:bookmarkEnd w:id="8"/>
      <w:bookmarkEnd w:id="9"/>
      <w:bookmarkEnd w:id="10"/>
    </w:p>
    <w:p w14:paraId="201D054F">
      <w:pPr>
        <w:spacing w:line="360" w:lineRule="auto"/>
        <w:jc w:val="center"/>
        <w:rPr>
          <w:rFonts w:hint="eastAsia" w:ascii="宋体" w:hAnsi="宋体"/>
          <w:kern w:val="0"/>
          <w:sz w:val="28"/>
          <w:szCs w:val="28"/>
          <w:u w:val="single"/>
          <w:lang w:val="en-US" w:eastAsia="zh-CN"/>
        </w:rPr>
      </w:pPr>
      <w:r>
        <w:rPr>
          <w:rFonts w:hint="eastAsia" w:ascii="宋体" w:hAnsi="宋体"/>
          <w:kern w:val="0"/>
          <w:sz w:val="28"/>
          <w:szCs w:val="28"/>
          <w:u w:val="single"/>
          <w:lang w:val="en-US" w:eastAsia="zh-CN"/>
        </w:rPr>
        <w:t>乌江涪陵榨菜绿色智能化生产基地（一期）</w:t>
      </w:r>
    </w:p>
    <w:p w14:paraId="5C254616">
      <w:pPr>
        <w:spacing w:line="360" w:lineRule="auto"/>
        <w:jc w:val="center"/>
        <w:rPr>
          <w:rFonts w:ascii="宋体" w:hAnsi="宋体"/>
          <w:snapToGrid w:val="0"/>
          <w:kern w:val="0"/>
          <w:sz w:val="28"/>
          <w:szCs w:val="28"/>
          <w:u w:val="none"/>
        </w:rPr>
      </w:pPr>
      <w:r>
        <w:rPr>
          <w:rFonts w:hint="eastAsia" w:ascii="宋体" w:hAnsi="宋体"/>
          <w:kern w:val="0"/>
          <w:sz w:val="28"/>
          <w:szCs w:val="28"/>
          <w:u w:val="single"/>
          <w:lang w:val="en-US" w:eastAsia="zh-CN"/>
        </w:rPr>
        <w:t>6号车间</w:t>
      </w:r>
      <w:r>
        <w:rPr>
          <w:rFonts w:hint="eastAsia"/>
          <w:color w:val="auto"/>
          <w:sz w:val="28"/>
          <w:szCs w:val="28"/>
          <w:highlight w:val="none"/>
          <w:u w:val="single"/>
          <w:lang w:val="en-US" w:eastAsia="zh-CN"/>
        </w:rPr>
        <w:t>半固态</w:t>
      </w:r>
      <w:r>
        <w:rPr>
          <w:rFonts w:hint="eastAsia"/>
          <w:color w:val="auto"/>
          <w:sz w:val="28"/>
          <w:szCs w:val="28"/>
          <w:highlight w:val="none"/>
          <w:u w:val="single"/>
          <w:lang w:eastAsia="zh-CN"/>
        </w:rPr>
        <w:t>复合调味料生产线</w:t>
      </w:r>
      <w:r>
        <w:rPr>
          <w:rFonts w:hint="eastAsia"/>
          <w:color w:val="auto"/>
          <w:sz w:val="28"/>
          <w:szCs w:val="28"/>
          <w:highlight w:val="none"/>
          <w:u w:val="single"/>
          <w:lang w:val="en-US" w:eastAsia="zh-CN"/>
        </w:rPr>
        <w:t>定制设备</w:t>
      </w:r>
      <w:r>
        <w:rPr>
          <w:rFonts w:hint="eastAsia" w:ascii="宋体" w:hAnsi="宋体"/>
          <w:kern w:val="0"/>
          <w:sz w:val="28"/>
          <w:szCs w:val="28"/>
          <w:u w:val="single"/>
          <w:lang w:val="en-US" w:eastAsia="zh-CN"/>
        </w:rPr>
        <w:t>采购</w:t>
      </w:r>
      <w:r>
        <w:rPr>
          <w:rFonts w:ascii="宋体" w:hAnsi="宋体"/>
          <w:snapToGrid w:val="0"/>
          <w:kern w:val="0"/>
          <w:sz w:val="28"/>
          <w:szCs w:val="28"/>
          <w:u w:val="none"/>
        </w:rPr>
        <w:t>招标公告</w:t>
      </w:r>
    </w:p>
    <w:p w14:paraId="0C93C00E">
      <w:pPr>
        <w:bidi w:val="0"/>
      </w:pPr>
      <w:bookmarkStart w:id="11" w:name="_Toc287620667"/>
      <w:bookmarkStart w:id="12" w:name="_Toc430530416"/>
      <w:bookmarkStart w:id="13" w:name="_Toc224103299"/>
      <w:bookmarkStart w:id="14" w:name="_Toc200359238"/>
      <w:bookmarkStart w:id="15" w:name="_Toc287607728"/>
      <w:bookmarkStart w:id="16" w:name="_Toc200359427"/>
      <w:bookmarkStart w:id="17" w:name="_Toc509218692"/>
      <w:bookmarkStart w:id="18" w:name="_Toc277082536"/>
    </w:p>
    <w:p w14:paraId="324290DC">
      <w:pPr>
        <w:pStyle w:val="4"/>
        <w:spacing w:before="100" w:after="100" w:line="460" w:lineRule="exact"/>
        <w:rPr>
          <w:rFonts w:ascii="宋体" w:hAnsi="宋体"/>
          <w:snapToGrid w:val="0"/>
          <w:sz w:val="21"/>
          <w:szCs w:val="21"/>
        </w:rPr>
      </w:pPr>
      <w:bookmarkStart w:id="19" w:name="_Toc11876"/>
      <w:r>
        <w:rPr>
          <w:rFonts w:ascii="宋体" w:hAnsi="宋体"/>
          <w:snapToGrid w:val="0"/>
          <w:sz w:val="21"/>
          <w:szCs w:val="21"/>
        </w:rPr>
        <w:t xml:space="preserve">1. </w:t>
      </w:r>
      <w:r>
        <w:rPr>
          <w:rFonts w:hint="eastAsia" w:ascii="宋体" w:hAnsi="宋体"/>
          <w:snapToGrid w:val="0"/>
          <w:sz w:val="21"/>
          <w:szCs w:val="21"/>
        </w:rPr>
        <w:t xml:space="preserve"> </w:t>
      </w:r>
      <w:r>
        <w:rPr>
          <w:rFonts w:ascii="宋体" w:hAnsi="宋体"/>
          <w:snapToGrid w:val="0"/>
          <w:sz w:val="21"/>
          <w:szCs w:val="21"/>
        </w:rPr>
        <w:t>招标条件</w:t>
      </w:r>
      <w:bookmarkEnd w:id="11"/>
      <w:bookmarkEnd w:id="12"/>
      <w:bookmarkEnd w:id="13"/>
      <w:bookmarkEnd w:id="14"/>
      <w:bookmarkEnd w:id="15"/>
      <w:bookmarkEnd w:id="16"/>
      <w:bookmarkEnd w:id="17"/>
      <w:bookmarkEnd w:id="18"/>
      <w:bookmarkEnd w:id="19"/>
    </w:p>
    <w:p w14:paraId="18C98E3E">
      <w:pPr>
        <w:spacing w:line="360" w:lineRule="auto"/>
        <w:ind w:firstLine="420" w:firstLineChars="200"/>
        <w:jc w:val="left"/>
        <w:rPr>
          <w:rFonts w:hint="eastAsia" w:ascii="宋体" w:hAnsi="宋体" w:eastAsia="宋体"/>
          <w:snapToGrid w:val="0"/>
          <w:kern w:val="0"/>
          <w:sz w:val="21"/>
          <w:szCs w:val="21"/>
          <w:lang w:eastAsia="zh-CN"/>
        </w:rPr>
      </w:pPr>
      <w:r>
        <w:rPr>
          <w:rFonts w:hint="eastAsia" w:ascii="宋体" w:hAnsi="宋体" w:eastAsia="宋体" w:cs="宋体"/>
          <w:snapToGrid w:val="0"/>
          <w:color w:val="auto"/>
          <w:kern w:val="0"/>
          <w:sz w:val="21"/>
          <w:szCs w:val="21"/>
          <w:highlight w:val="none"/>
        </w:rPr>
        <w:t>本次招标项目是</w:t>
      </w:r>
      <w:r>
        <w:rPr>
          <w:rFonts w:hint="eastAsia" w:ascii="宋体" w:hAnsi="宋体"/>
          <w:kern w:val="0"/>
          <w:sz w:val="21"/>
          <w:szCs w:val="21"/>
          <w:u w:val="single"/>
          <w:lang w:val="en-US" w:eastAsia="zh-CN"/>
        </w:rPr>
        <w:t>乌江涪陵榨菜绿色智能化生产基地（一期）6号车间</w:t>
      </w:r>
      <w:r>
        <w:rPr>
          <w:rFonts w:hint="eastAsia"/>
          <w:color w:val="auto"/>
          <w:sz w:val="21"/>
          <w:szCs w:val="21"/>
          <w:highlight w:val="none"/>
          <w:u w:val="single"/>
          <w:lang w:val="en-US" w:eastAsia="zh-CN"/>
        </w:rPr>
        <w:t>半固态</w:t>
      </w:r>
      <w:r>
        <w:rPr>
          <w:rFonts w:hint="eastAsia"/>
          <w:color w:val="auto"/>
          <w:sz w:val="21"/>
          <w:szCs w:val="21"/>
          <w:highlight w:val="none"/>
          <w:u w:val="single"/>
          <w:lang w:eastAsia="zh-CN"/>
        </w:rPr>
        <w:t>复合调味料生产线</w:t>
      </w:r>
      <w:r>
        <w:rPr>
          <w:rFonts w:hint="eastAsia"/>
          <w:color w:val="auto"/>
          <w:sz w:val="21"/>
          <w:szCs w:val="21"/>
          <w:highlight w:val="none"/>
          <w:u w:val="single"/>
          <w:lang w:val="en-US" w:eastAsia="zh-CN"/>
        </w:rPr>
        <w:t>定制设备</w:t>
      </w:r>
      <w:r>
        <w:rPr>
          <w:rFonts w:hint="eastAsia" w:ascii="宋体" w:hAnsi="宋体"/>
          <w:kern w:val="0"/>
          <w:sz w:val="21"/>
          <w:szCs w:val="21"/>
          <w:u w:val="single"/>
          <w:lang w:val="en-US" w:eastAsia="zh-CN"/>
        </w:rPr>
        <w:t>采购</w:t>
      </w:r>
      <w:r>
        <w:rPr>
          <w:rFonts w:hint="eastAsia" w:ascii="宋体" w:hAnsi="宋体"/>
          <w:snapToGrid w:val="0"/>
          <w:color w:val="auto"/>
          <w:kern w:val="0"/>
          <w:position w:val="-2"/>
          <w:sz w:val="21"/>
          <w:szCs w:val="21"/>
          <w:lang w:eastAsia="zh-CN"/>
        </w:rPr>
        <w:t>，</w:t>
      </w:r>
      <w:r>
        <w:rPr>
          <w:rFonts w:hint="eastAsia" w:ascii="宋体" w:hAnsi="宋体"/>
          <w:snapToGrid w:val="0"/>
          <w:color w:val="auto"/>
          <w:kern w:val="0"/>
          <w:sz w:val="21"/>
          <w:szCs w:val="21"/>
        </w:rPr>
        <w:t>招标项目</w:t>
      </w:r>
      <w:r>
        <w:rPr>
          <w:rFonts w:ascii="宋体" w:hAnsi="宋体"/>
          <w:snapToGrid w:val="0"/>
          <w:color w:val="auto"/>
          <w:kern w:val="0"/>
          <w:sz w:val="21"/>
          <w:szCs w:val="21"/>
        </w:rPr>
        <w:t>资金来自</w:t>
      </w:r>
      <w:r>
        <w:rPr>
          <w:rFonts w:hint="eastAsia" w:ascii="宋体" w:hAnsi="宋体"/>
          <w:snapToGrid w:val="0"/>
          <w:color w:val="auto"/>
          <w:kern w:val="0"/>
          <w:sz w:val="21"/>
          <w:szCs w:val="21"/>
          <w:highlight w:val="none"/>
          <w:u w:val="single"/>
        </w:rPr>
        <w:t>企业自筹</w:t>
      </w:r>
      <w:r>
        <w:rPr>
          <w:rFonts w:ascii="宋体" w:hAnsi="宋体"/>
          <w:snapToGrid w:val="0"/>
          <w:color w:val="auto"/>
          <w:kern w:val="0"/>
          <w:sz w:val="21"/>
          <w:szCs w:val="21"/>
        </w:rPr>
        <w:t>，项目出资比例为</w:t>
      </w:r>
      <w:r>
        <w:rPr>
          <w:rFonts w:hint="eastAsia" w:ascii="宋体" w:hAnsi="宋体"/>
          <w:snapToGrid w:val="0"/>
          <w:color w:val="auto"/>
          <w:kern w:val="0"/>
          <w:sz w:val="21"/>
          <w:szCs w:val="21"/>
          <w:highlight w:val="none"/>
          <w:u w:val="single"/>
        </w:rPr>
        <w:t>100%</w:t>
      </w:r>
      <w:r>
        <w:rPr>
          <w:rFonts w:hint="eastAsia" w:ascii="宋体" w:hAnsi="宋体"/>
          <w:snapToGrid w:val="0"/>
          <w:color w:val="auto"/>
          <w:kern w:val="0"/>
          <w:sz w:val="21"/>
          <w:szCs w:val="21"/>
          <w:lang w:eastAsia="zh-CN"/>
        </w:rPr>
        <w:t>。</w:t>
      </w:r>
      <w:r>
        <w:rPr>
          <w:rFonts w:ascii="宋体" w:hAnsi="宋体"/>
          <w:snapToGrid w:val="0"/>
          <w:color w:val="auto"/>
          <w:kern w:val="0"/>
          <w:sz w:val="21"/>
          <w:szCs w:val="21"/>
        </w:rPr>
        <w:t>招标人</w:t>
      </w:r>
      <w:r>
        <w:rPr>
          <w:rFonts w:ascii="宋体" w:hAnsi="宋体"/>
          <w:snapToGrid w:val="0"/>
          <w:color w:val="auto"/>
          <w:kern w:val="0"/>
          <w:position w:val="-2"/>
          <w:sz w:val="21"/>
          <w:szCs w:val="21"/>
        </w:rPr>
        <w:t>为</w:t>
      </w:r>
      <w:r>
        <w:rPr>
          <w:rFonts w:hint="eastAsia" w:ascii="宋体" w:hAnsi="宋体"/>
          <w:snapToGrid w:val="0"/>
          <w:color w:val="auto"/>
          <w:kern w:val="0"/>
          <w:sz w:val="21"/>
          <w:szCs w:val="21"/>
          <w:u w:val="single"/>
        </w:rPr>
        <w:t>重庆市涪陵榨菜集团股份有限公司</w:t>
      </w:r>
      <w:r>
        <w:rPr>
          <w:rFonts w:ascii="宋体" w:hAnsi="宋体"/>
          <w:snapToGrid w:val="0"/>
          <w:color w:val="auto"/>
          <w:kern w:val="0"/>
          <w:position w:val="-2"/>
          <w:sz w:val="21"/>
          <w:szCs w:val="21"/>
        </w:rPr>
        <w:t>。项目已具备招标条件，现对</w:t>
      </w:r>
      <w:r>
        <w:rPr>
          <w:rFonts w:hint="eastAsia" w:ascii="宋体" w:hAnsi="宋体"/>
          <w:snapToGrid w:val="0"/>
          <w:color w:val="auto"/>
          <w:kern w:val="0"/>
          <w:position w:val="-2"/>
          <w:sz w:val="21"/>
          <w:szCs w:val="21"/>
          <w:u w:val="none"/>
        </w:rPr>
        <w:t>该项目</w:t>
      </w:r>
      <w:r>
        <w:rPr>
          <w:rFonts w:ascii="宋体" w:hAnsi="宋体"/>
          <w:snapToGrid w:val="0"/>
          <w:color w:val="auto"/>
          <w:kern w:val="0"/>
          <w:position w:val="-2"/>
          <w:sz w:val="21"/>
          <w:szCs w:val="21"/>
          <w:u w:val="none"/>
        </w:rPr>
        <w:t>进</w:t>
      </w:r>
      <w:r>
        <w:rPr>
          <w:rFonts w:ascii="宋体" w:hAnsi="宋体"/>
          <w:snapToGrid w:val="0"/>
          <w:kern w:val="0"/>
          <w:position w:val="-2"/>
          <w:sz w:val="21"/>
          <w:szCs w:val="21"/>
        </w:rPr>
        <w:t>行公开招标</w:t>
      </w:r>
      <w:r>
        <w:rPr>
          <w:rFonts w:hint="eastAsia" w:ascii="宋体" w:hAnsi="宋体"/>
          <w:snapToGrid w:val="0"/>
          <w:kern w:val="0"/>
          <w:position w:val="-2"/>
          <w:sz w:val="21"/>
          <w:szCs w:val="21"/>
          <w:lang w:eastAsia="zh-CN"/>
        </w:rPr>
        <w:t>，</w:t>
      </w:r>
      <w:r>
        <w:rPr>
          <w:rFonts w:hint="eastAsia" w:ascii="宋体" w:hAnsi="宋体"/>
          <w:snapToGrid w:val="0"/>
          <w:kern w:val="0"/>
          <w:position w:val="-2"/>
          <w:sz w:val="21"/>
          <w:szCs w:val="21"/>
          <w:lang w:val="en-US" w:eastAsia="zh-CN"/>
        </w:rPr>
        <w:t>评标办法采用</w:t>
      </w:r>
      <w:r>
        <w:rPr>
          <w:rFonts w:hint="eastAsia" w:ascii="宋体" w:hAnsi="宋体"/>
          <w:snapToGrid w:val="0"/>
          <w:kern w:val="0"/>
          <w:position w:val="-2"/>
          <w:sz w:val="21"/>
          <w:szCs w:val="21"/>
        </w:rPr>
        <w:t>综合评估法</w:t>
      </w:r>
      <w:r>
        <w:rPr>
          <w:rFonts w:hint="eastAsia" w:ascii="宋体" w:hAnsi="宋体"/>
          <w:snapToGrid w:val="0"/>
          <w:kern w:val="0"/>
          <w:position w:val="-2"/>
          <w:sz w:val="21"/>
          <w:szCs w:val="21"/>
          <w:lang w:eastAsia="zh-CN"/>
        </w:rPr>
        <w:t>。</w:t>
      </w:r>
    </w:p>
    <w:p w14:paraId="6980E99A">
      <w:pPr>
        <w:pStyle w:val="4"/>
        <w:spacing w:before="100" w:after="100" w:line="460" w:lineRule="exact"/>
        <w:rPr>
          <w:rFonts w:ascii="宋体" w:hAnsi="宋体"/>
          <w:snapToGrid w:val="0"/>
          <w:sz w:val="21"/>
          <w:szCs w:val="21"/>
        </w:rPr>
      </w:pPr>
      <w:bookmarkStart w:id="20" w:name="_Toc9149"/>
      <w:bookmarkStart w:id="21" w:name="_Toc200359428"/>
      <w:bookmarkStart w:id="22" w:name="_Toc287607729"/>
      <w:bookmarkStart w:id="23" w:name="_Toc224103300"/>
      <w:bookmarkStart w:id="24" w:name="_Toc430530417"/>
      <w:bookmarkStart w:id="25" w:name="_Toc277082537"/>
      <w:bookmarkStart w:id="26" w:name="_Toc509218693"/>
      <w:bookmarkStart w:id="27" w:name="_Toc287620668"/>
      <w:bookmarkStart w:id="28" w:name="_Toc200359239"/>
      <w:r>
        <w:rPr>
          <w:rFonts w:ascii="宋体" w:hAnsi="宋体"/>
          <w:snapToGrid w:val="0"/>
          <w:sz w:val="21"/>
          <w:szCs w:val="21"/>
        </w:rPr>
        <w:t>2.</w:t>
      </w:r>
      <w:r>
        <w:rPr>
          <w:rFonts w:hint="eastAsia" w:ascii="宋体" w:hAnsi="宋体"/>
          <w:snapToGrid w:val="0"/>
          <w:sz w:val="21"/>
          <w:szCs w:val="21"/>
        </w:rPr>
        <w:t xml:space="preserve"> </w:t>
      </w:r>
      <w:r>
        <w:rPr>
          <w:rFonts w:ascii="宋体" w:hAnsi="宋体"/>
          <w:snapToGrid w:val="0"/>
          <w:sz w:val="21"/>
          <w:szCs w:val="21"/>
        </w:rPr>
        <w:t xml:space="preserve"> 项目概况与招标范围</w:t>
      </w:r>
      <w:bookmarkEnd w:id="20"/>
      <w:bookmarkEnd w:id="21"/>
      <w:bookmarkEnd w:id="22"/>
      <w:bookmarkEnd w:id="23"/>
      <w:bookmarkEnd w:id="24"/>
      <w:bookmarkEnd w:id="25"/>
      <w:bookmarkEnd w:id="26"/>
      <w:bookmarkEnd w:id="27"/>
      <w:bookmarkEnd w:id="28"/>
    </w:p>
    <w:p w14:paraId="41A76070">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snapToGrid w:val="0"/>
          <w:color w:val="auto"/>
          <w:kern w:val="0"/>
          <w:sz w:val="21"/>
          <w:szCs w:val="21"/>
          <w:u w:val="single"/>
        </w:rPr>
      </w:pPr>
      <w:r>
        <w:rPr>
          <w:rFonts w:hint="eastAsia" w:ascii="宋体" w:hAnsi="宋体"/>
          <w:snapToGrid w:val="0"/>
          <w:kern w:val="0"/>
          <w:sz w:val="21"/>
          <w:szCs w:val="21"/>
        </w:rPr>
        <w:t>2.1 建设地点：</w:t>
      </w:r>
      <w:r>
        <w:rPr>
          <w:rFonts w:hint="eastAsia" w:ascii="宋体" w:hAnsi="宋体"/>
          <w:snapToGrid w:val="0"/>
          <w:kern w:val="0"/>
          <w:sz w:val="21"/>
          <w:szCs w:val="21"/>
          <w:u w:val="single"/>
        </w:rPr>
        <w:t>重庆</w:t>
      </w:r>
      <w:r>
        <w:rPr>
          <w:rFonts w:hint="eastAsia" w:ascii="宋体" w:hAnsi="宋体"/>
          <w:snapToGrid w:val="0"/>
          <w:color w:val="auto"/>
          <w:kern w:val="0"/>
          <w:sz w:val="21"/>
          <w:szCs w:val="21"/>
          <w:u w:val="single"/>
        </w:rPr>
        <w:t>市涪陵区马鞍街道人和社区</w:t>
      </w:r>
    </w:p>
    <w:p w14:paraId="23B46610">
      <w:pPr>
        <w:keepNext w:val="0"/>
        <w:keepLines w:val="0"/>
        <w:pageBreakBefore w:val="0"/>
        <w:widowControl w:val="0"/>
        <w:numPr>
          <w:ilvl w:val="0"/>
          <w:numId w:val="0"/>
        </w:numPr>
        <w:kinsoku/>
        <w:wordWrap/>
        <w:overflowPunct/>
        <w:topLinePunct w:val="0"/>
        <w:bidi w:val="0"/>
        <w:spacing w:line="360" w:lineRule="auto"/>
        <w:ind w:firstLine="420" w:firstLineChars="200"/>
        <w:textAlignment w:val="auto"/>
        <w:rPr>
          <w:rFonts w:hint="eastAsia" w:ascii="宋体" w:hAnsi="宋体" w:eastAsia="宋体" w:cs="宋体"/>
          <w:color w:val="auto"/>
          <w:kern w:val="0"/>
          <w:sz w:val="21"/>
          <w:szCs w:val="21"/>
          <w:highlight w:val="none"/>
          <w:u w:val="none"/>
          <w:lang w:val="en-US" w:eastAsia="zh-CN"/>
        </w:rPr>
      </w:pPr>
      <w:r>
        <w:rPr>
          <w:rFonts w:hint="eastAsia" w:ascii="宋体" w:hAnsi="宋体"/>
          <w:snapToGrid w:val="0"/>
          <w:color w:val="auto"/>
          <w:kern w:val="0"/>
          <w:sz w:val="21"/>
          <w:szCs w:val="21"/>
        </w:rPr>
        <w:t>2.2 项目概况与建设规模：</w:t>
      </w:r>
      <w:r>
        <w:rPr>
          <w:rFonts w:hint="eastAsia" w:ascii="宋体" w:hAnsi="宋体"/>
          <w:snapToGrid w:val="0"/>
          <w:color w:val="auto"/>
          <w:kern w:val="0"/>
          <w:sz w:val="21"/>
          <w:szCs w:val="21"/>
          <w:u w:val="single"/>
          <w:lang w:val="en-US" w:eastAsia="zh-CN"/>
        </w:rPr>
        <w:t>定制</w:t>
      </w:r>
      <w:r>
        <w:rPr>
          <w:rFonts w:hint="eastAsia"/>
          <w:snapToGrid w:val="0"/>
          <w:color w:val="auto"/>
          <w:kern w:val="0"/>
          <w:sz w:val="21"/>
          <w:szCs w:val="21"/>
          <w:highlight w:val="none"/>
          <w:u w:val="single"/>
          <w:lang w:val="en-US" w:eastAsia="zh-CN"/>
        </w:rPr>
        <w:t>1条</w:t>
      </w:r>
      <w:r>
        <w:rPr>
          <w:rFonts w:hint="eastAsia"/>
          <w:color w:val="auto"/>
          <w:sz w:val="21"/>
          <w:szCs w:val="21"/>
          <w:highlight w:val="none"/>
          <w:u w:val="single"/>
          <w:lang w:val="en-US" w:eastAsia="zh-CN"/>
        </w:rPr>
        <w:t>半固态</w:t>
      </w:r>
      <w:r>
        <w:rPr>
          <w:rFonts w:hint="eastAsia"/>
          <w:color w:val="auto"/>
          <w:sz w:val="21"/>
          <w:szCs w:val="21"/>
          <w:highlight w:val="none"/>
          <w:u w:val="single"/>
          <w:lang w:eastAsia="zh-CN"/>
        </w:rPr>
        <w:t>复合调味料生产线</w:t>
      </w:r>
      <w:r>
        <w:rPr>
          <w:rFonts w:hint="eastAsia"/>
          <w:snapToGrid w:val="0"/>
          <w:color w:val="auto"/>
          <w:kern w:val="0"/>
          <w:sz w:val="21"/>
          <w:szCs w:val="21"/>
          <w:highlight w:val="none"/>
          <w:u w:val="single"/>
          <w:lang w:val="en-US" w:eastAsia="zh-CN"/>
        </w:rPr>
        <w:t>设备及配套设施，</w:t>
      </w:r>
      <w:r>
        <w:rPr>
          <w:rFonts w:hint="eastAsia" w:ascii="宋体" w:hAnsi="宋体" w:eastAsia="宋体" w:cs="宋体"/>
          <w:color w:val="auto"/>
          <w:kern w:val="0"/>
          <w:sz w:val="21"/>
          <w:szCs w:val="21"/>
          <w:highlight w:val="none"/>
          <w:u w:val="none"/>
          <w:lang w:val="en-US" w:eastAsia="zh-CN"/>
        </w:rPr>
        <w:t>按单班工作（八小时）计算</w:t>
      </w:r>
      <w:r>
        <w:rPr>
          <w:rFonts w:hint="eastAsia" w:ascii="宋体" w:hAnsi="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lang w:val="en-US" w:eastAsia="zh-CN"/>
        </w:rPr>
        <w:t>日产5</w:t>
      </w:r>
      <w:r>
        <w:rPr>
          <w:rFonts w:hint="eastAsia" w:ascii="宋体" w:hAnsi="宋体" w:cs="宋体"/>
          <w:color w:val="auto"/>
          <w:kern w:val="0"/>
          <w:sz w:val="21"/>
          <w:szCs w:val="21"/>
          <w:highlight w:val="none"/>
          <w:u w:val="none"/>
          <w:lang w:val="en-US" w:eastAsia="zh-CN"/>
        </w:rPr>
        <w:t>0</w:t>
      </w:r>
      <w:r>
        <w:rPr>
          <w:rFonts w:hint="eastAsia" w:ascii="宋体" w:hAnsi="宋体" w:eastAsia="宋体" w:cs="宋体"/>
          <w:color w:val="auto"/>
          <w:kern w:val="0"/>
          <w:sz w:val="21"/>
          <w:szCs w:val="21"/>
          <w:highlight w:val="none"/>
          <w:u w:val="none"/>
          <w:lang w:val="en-US" w:eastAsia="zh-CN"/>
        </w:rPr>
        <w:t>吨设计</w:t>
      </w:r>
      <w:r>
        <w:rPr>
          <w:rFonts w:hint="eastAsia" w:ascii="宋体" w:hAnsi="宋体" w:cs="宋体"/>
          <w:color w:val="auto"/>
          <w:kern w:val="0"/>
          <w:sz w:val="21"/>
          <w:szCs w:val="21"/>
          <w:highlight w:val="none"/>
          <w:u w:val="none"/>
          <w:lang w:val="en-US" w:eastAsia="zh-CN"/>
        </w:rPr>
        <w:t>。</w:t>
      </w:r>
    </w:p>
    <w:p w14:paraId="1F8A1A20">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snapToGrid w:val="0"/>
          <w:color w:val="auto"/>
          <w:kern w:val="0"/>
          <w:sz w:val="21"/>
          <w:szCs w:val="21"/>
        </w:rPr>
      </w:pPr>
      <w:r>
        <w:rPr>
          <w:rFonts w:hint="eastAsia" w:ascii="宋体" w:hAnsi="宋体"/>
          <w:snapToGrid w:val="0"/>
          <w:color w:val="auto"/>
          <w:kern w:val="0"/>
          <w:sz w:val="21"/>
          <w:szCs w:val="21"/>
        </w:rPr>
        <w:t>2.3 本次招标项目货物采购估算金额：</w:t>
      </w:r>
      <w:r>
        <w:rPr>
          <w:rFonts w:hint="eastAsia" w:ascii="宋体" w:hAnsi="宋体"/>
          <w:snapToGrid w:val="0"/>
          <w:color w:val="auto"/>
          <w:kern w:val="0"/>
          <w:sz w:val="21"/>
          <w:szCs w:val="21"/>
          <w:u w:val="single"/>
        </w:rPr>
        <w:t xml:space="preserve"> </w:t>
      </w:r>
      <w:r>
        <w:rPr>
          <w:rFonts w:hint="eastAsia" w:ascii="宋体" w:hAnsi="宋体"/>
          <w:snapToGrid w:val="0"/>
          <w:color w:val="auto"/>
          <w:kern w:val="0"/>
          <w:sz w:val="21"/>
          <w:szCs w:val="21"/>
          <w:u w:val="single"/>
          <w:lang w:val="en-US" w:eastAsia="zh-CN"/>
        </w:rPr>
        <w:t>1500万元人民币</w:t>
      </w:r>
      <w:r>
        <w:rPr>
          <w:rFonts w:hint="eastAsia" w:ascii="宋体" w:hAnsi="宋体"/>
          <w:snapToGrid w:val="0"/>
          <w:color w:val="auto"/>
          <w:kern w:val="0"/>
          <w:sz w:val="21"/>
          <w:szCs w:val="21"/>
          <w:u w:val="single"/>
        </w:rPr>
        <w:t xml:space="preserve"> </w:t>
      </w:r>
    </w:p>
    <w:p w14:paraId="50E881B6">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highlight w:val="none"/>
          <w:u w:val="none"/>
          <w:lang w:val="en-US" w:eastAsia="zh-CN"/>
        </w:rPr>
      </w:pPr>
      <w:r>
        <w:rPr>
          <w:rFonts w:hint="eastAsia" w:ascii="宋体" w:hAnsi="宋体"/>
          <w:snapToGrid w:val="0"/>
          <w:color w:val="auto"/>
          <w:kern w:val="0"/>
          <w:sz w:val="21"/>
          <w:szCs w:val="21"/>
          <w:highlight w:val="none"/>
        </w:rPr>
        <w:t>2.4 招标范围：</w:t>
      </w:r>
      <w:r>
        <w:rPr>
          <w:rFonts w:hint="eastAsia" w:ascii="宋体" w:hAnsi="宋体"/>
          <w:snapToGrid w:val="0"/>
          <w:color w:val="auto"/>
          <w:kern w:val="0"/>
          <w:sz w:val="21"/>
          <w:szCs w:val="21"/>
          <w:highlight w:val="none"/>
          <w:u w:val="none"/>
          <w:lang w:val="en-US" w:eastAsia="zh-CN"/>
        </w:rPr>
        <w:t>定制1条</w:t>
      </w:r>
      <w:r>
        <w:rPr>
          <w:rFonts w:hint="eastAsia"/>
          <w:snapToGrid w:val="0"/>
          <w:color w:val="auto"/>
          <w:kern w:val="0"/>
          <w:sz w:val="21"/>
          <w:szCs w:val="21"/>
          <w:highlight w:val="none"/>
          <w:lang w:val="en-US" w:eastAsia="zh-CN"/>
        </w:rPr>
        <w:t>半固态复合调味料生产线设备及配套设施</w:t>
      </w:r>
      <w:r>
        <w:rPr>
          <w:rFonts w:hint="eastAsia"/>
          <w:b w:val="0"/>
          <w:bCs w:val="0"/>
          <w:color w:val="auto"/>
          <w:sz w:val="21"/>
          <w:szCs w:val="21"/>
          <w:lang w:val="en-US" w:eastAsia="zh-CN"/>
        </w:rPr>
        <w:t>（含</w:t>
      </w:r>
      <w:r>
        <w:rPr>
          <w:rFonts w:hint="eastAsia"/>
          <w:snapToGrid w:val="0"/>
          <w:color w:val="auto"/>
          <w:kern w:val="0"/>
          <w:sz w:val="21"/>
          <w:szCs w:val="21"/>
          <w:highlight w:val="none"/>
          <w:lang w:val="en-US" w:eastAsia="zh-CN"/>
        </w:rPr>
        <w:t>半固态</w:t>
      </w:r>
      <w:r>
        <w:rPr>
          <w:rFonts w:hint="eastAsia"/>
          <w:b w:val="0"/>
          <w:bCs w:val="0"/>
          <w:color w:val="auto"/>
          <w:sz w:val="21"/>
          <w:szCs w:val="21"/>
          <w:lang w:val="en-US" w:eastAsia="zh-CN"/>
        </w:rPr>
        <w:t>复合调味料设备、洗桶设备、熬油生产设备、油炒辣椒生产设备、辣椒酱生产设备等），</w:t>
      </w:r>
      <w:r>
        <w:rPr>
          <w:rFonts w:hint="eastAsia"/>
          <w:snapToGrid w:val="0"/>
          <w:color w:val="auto"/>
          <w:kern w:val="0"/>
          <w:sz w:val="21"/>
          <w:szCs w:val="21"/>
          <w:highlight w:val="none"/>
          <w:lang w:val="en-US" w:eastAsia="zh-CN"/>
        </w:rPr>
        <w:t>以及从招标人指定点搭取的电缆、水管、气管、</w:t>
      </w:r>
      <w:r>
        <w:rPr>
          <w:rFonts w:hint="eastAsia" w:ascii="宋体" w:hAnsi="宋体" w:eastAsia="宋体" w:cs="宋体"/>
          <w:b w:val="0"/>
          <w:bCs w:val="0"/>
          <w:color w:val="auto"/>
          <w:kern w:val="2"/>
          <w:sz w:val="21"/>
          <w:szCs w:val="21"/>
          <w:u w:val="none"/>
          <w:lang w:val="en-US" w:eastAsia="zh-CN" w:bidi="ar-SA"/>
        </w:rPr>
        <w:t>天然气、</w:t>
      </w:r>
      <w:r>
        <w:rPr>
          <w:rFonts w:hint="eastAsia"/>
          <w:snapToGrid w:val="0"/>
          <w:color w:val="auto"/>
          <w:kern w:val="0"/>
          <w:sz w:val="21"/>
          <w:szCs w:val="21"/>
          <w:highlight w:val="none"/>
          <w:lang w:val="en-US" w:eastAsia="zh-CN"/>
        </w:rPr>
        <w:t>蒸汽管道及其线槽、支架、阀门和仪表等</w:t>
      </w:r>
      <w:r>
        <w:rPr>
          <w:rFonts w:hint="eastAsia" w:ascii="宋体" w:hAnsi="宋体" w:cs="宋体"/>
          <w:color w:val="auto"/>
          <w:kern w:val="0"/>
          <w:sz w:val="21"/>
          <w:szCs w:val="21"/>
          <w:highlight w:val="none"/>
          <w:u w:val="none"/>
          <w:lang w:eastAsia="zh-CN"/>
        </w:rPr>
        <w:t>。</w:t>
      </w:r>
      <w:r>
        <w:rPr>
          <w:rFonts w:hint="eastAsia"/>
          <w:snapToGrid w:val="0"/>
          <w:color w:val="auto"/>
          <w:kern w:val="0"/>
          <w:sz w:val="21"/>
          <w:szCs w:val="21"/>
          <w:highlight w:val="none"/>
          <w:lang w:val="en-US" w:eastAsia="zh-CN"/>
        </w:rPr>
        <w:t>投标人完成半固态复合调味料生产线设备及配套设施的设计、供货</w:t>
      </w:r>
      <w:r>
        <w:rPr>
          <w:rFonts w:hint="eastAsia" w:ascii="宋体" w:hAnsi="宋体" w:eastAsia="宋体" w:cs="宋体"/>
          <w:color w:val="auto"/>
          <w:kern w:val="0"/>
          <w:sz w:val="21"/>
          <w:szCs w:val="21"/>
          <w:highlight w:val="none"/>
          <w:u w:val="none"/>
        </w:rPr>
        <w:t>（含备品备件、专用工器具等）、装配</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w:t>
      </w:r>
      <w:r>
        <w:rPr>
          <w:rFonts w:hint="eastAsia" w:ascii="宋体" w:hAnsi="宋体" w:eastAsia="宋体" w:cs="宋体"/>
          <w:color w:val="auto"/>
          <w:kern w:val="0"/>
          <w:sz w:val="21"/>
          <w:szCs w:val="21"/>
          <w:highlight w:val="none"/>
          <w:u w:val="none"/>
        </w:rPr>
        <w:t>出厂前组装、测试和检验、现场整体组装</w:t>
      </w:r>
      <w:r>
        <w:rPr>
          <w:rFonts w:hint="eastAsia" w:ascii="宋体" w:hAnsi="宋体" w:eastAsia="宋体" w:cs="宋体"/>
          <w:color w:val="auto"/>
          <w:kern w:val="0"/>
          <w:sz w:val="21"/>
          <w:szCs w:val="21"/>
          <w:highlight w:val="none"/>
          <w:u w:val="none"/>
          <w:lang w:val="en-US" w:eastAsia="zh-CN"/>
        </w:rPr>
        <w:t>等</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、装卸、运输</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w:t>
      </w:r>
      <w:r>
        <w:rPr>
          <w:rFonts w:hint="eastAsia" w:ascii="宋体" w:hAnsi="宋体" w:cs="宋体"/>
          <w:color w:val="auto"/>
          <w:kern w:val="0"/>
          <w:sz w:val="21"/>
          <w:szCs w:val="21"/>
          <w:highlight w:val="none"/>
          <w:u w:val="none"/>
          <w:lang w:val="en-US" w:eastAsia="zh-CN"/>
        </w:rPr>
        <w:t>包装、</w:t>
      </w:r>
      <w:r>
        <w:rPr>
          <w:rFonts w:hint="eastAsia" w:ascii="宋体" w:hAnsi="宋体" w:eastAsia="宋体" w:cs="宋体"/>
          <w:color w:val="auto"/>
          <w:kern w:val="0"/>
          <w:sz w:val="21"/>
          <w:szCs w:val="21"/>
          <w:highlight w:val="none"/>
          <w:u w:val="none"/>
        </w:rPr>
        <w:t>保险</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w:t>
      </w:r>
      <w:r>
        <w:rPr>
          <w:rFonts w:hint="eastAsia" w:ascii="宋体" w:hAnsi="宋体" w:eastAsia="宋体" w:cs="宋体"/>
          <w:color w:val="auto"/>
          <w:kern w:val="0"/>
          <w:sz w:val="21"/>
          <w:szCs w:val="21"/>
          <w:highlight w:val="none"/>
          <w:u w:val="none"/>
          <w:lang w:val="en-US" w:eastAsia="zh-CN"/>
        </w:rPr>
        <w:t>安装（</w:t>
      </w:r>
      <w:r>
        <w:rPr>
          <w:rFonts w:hint="eastAsia" w:ascii="宋体" w:hAnsi="宋体" w:eastAsia="宋体" w:cs="宋体"/>
          <w:i w:val="0"/>
          <w:iCs w:val="0"/>
          <w:caps w:val="0"/>
          <w:color w:val="auto"/>
          <w:spacing w:val="0"/>
          <w:sz w:val="21"/>
          <w:szCs w:val="21"/>
          <w:shd w:val="clear" w:color="auto" w:fill="FFFFFF"/>
          <w:lang w:val="en-US" w:eastAsia="zh-CN"/>
        </w:rPr>
        <w:t>含</w:t>
      </w:r>
      <w:r>
        <w:rPr>
          <w:rFonts w:hint="eastAsia" w:ascii="宋体" w:hAnsi="宋体" w:eastAsia="宋体" w:cs="宋体"/>
          <w:i w:val="0"/>
          <w:iCs w:val="0"/>
          <w:caps w:val="0"/>
          <w:color w:val="auto"/>
          <w:spacing w:val="0"/>
          <w:sz w:val="21"/>
          <w:szCs w:val="21"/>
          <w:shd w:val="clear" w:color="auto" w:fill="FFFFFF"/>
        </w:rPr>
        <w:t>设备基础、开洞、开沟、封堵</w:t>
      </w:r>
      <w:r>
        <w:rPr>
          <w:rFonts w:hint="eastAsia" w:ascii="宋体" w:hAnsi="宋体" w:eastAsia="宋体" w:cs="宋体"/>
          <w:i w:val="0"/>
          <w:iCs w:val="0"/>
          <w:caps w:val="0"/>
          <w:color w:val="auto"/>
          <w:spacing w:val="0"/>
          <w:sz w:val="21"/>
          <w:szCs w:val="21"/>
          <w:shd w:val="clear" w:color="auto" w:fill="FFFFFF"/>
          <w:lang w:eastAsia="zh-CN"/>
        </w:rPr>
        <w:t>、</w:t>
      </w:r>
      <w:r>
        <w:rPr>
          <w:rFonts w:hint="eastAsia" w:ascii="宋体" w:hAnsi="宋体" w:eastAsia="宋体" w:cs="宋体"/>
          <w:i w:val="0"/>
          <w:iCs w:val="0"/>
          <w:caps w:val="0"/>
          <w:color w:val="auto"/>
          <w:spacing w:val="0"/>
          <w:sz w:val="21"/>
          <w:szCs w:val="21"/>
          <w:shd w:val="clear" w:color="auto" w:fill="FFFFFF"/>
          <w:lang w:val="en-US" w:eastAsia="zh-CN"/>
        </w:rPr>
        <w:t>室外防护</w:t>
      </w:r>
      <w:r>
        <w:rPr>
          <w:rFonts w:hint="eastAsia" w:ascii="宋体" w:hAnsi="宋体" w:eastAsia="宋体" w:cs="宋体"/>
          <w:i w:val="0"/>
          <w:iCs w:val="0"/>
          <w:caps w:val="0"/>
          <w:color w:val="auto"/>
          <w:spacing w:val="0"/>
          <w:sz w:val="21"/>
          <w:szCs w:val="21"/>
          <w:shd w:val="clear" w:color="auto" w:fill="FFFFFF"/>
        </w:rPr>
        <w:t>等</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rPr>
        <w:t>、调试</w:t>
      </w:r>
      <w:r>
        <w:rPr>
          <w:rFonts w:hint="eastAsia" w:ascii="宋体" w:hAnsi="宋体" w:cs="宋体"/>
          <w:color w:val="auto"/>
          <w:kern w:val="0"/>
          <w:sz w:val="21"/>
          <w:szCs w:val="21"/>
          <w:highlight w:val="none"/>
          <w:u w:val="none"/>
          <w:lang w:eastAsia="zh-CN"/>
        </w:rPr>
        <w:t>、</w:t>
      </w:r>
      <w:r>
        <w:rPr>
          <w:rFonts w:hint="eastAsia" w:ascii="Arial" w:hAnsi="Arial" w:cs="Arial"/>
          <w:snapToGrid w:val="0"/>
          <w:color w:val="auto"/>
          <w:kern w:val="0"/>
          <w:sz w:val="21"/>
          <w:szCs w:val="21"/>
          <w:highlight w:val="none"/>
          <w:u w:val="none"/>
          <w:lang w:val="en-US" w:eastAsia="zh-CN"/>
        </w:rPr>
        <w:t>考核</w:t>
      </w:r>
      <w:r>
        <w:rPr>
          <w:rFonts w:ascii="Arial" w:hAnsi="Arial" w:cs="Arial"/>
          <w:snapToGrid w:val="0"/>
          <w:color w:val="auto"/>
          <w:kern w:val="0"/>
          <w:sz w:val="21"/>
          <w:szCs w:val="21"/>
          <w:highlight w:val="none"/>
          <w:u w:val="none"/>
        </w:rPr>
        <w:t>、</w:t>
      </w:r>
      <w:r>
        <w:rPr>
          <w:rFonts w:hint="eastAsia" w:ascii="Arial" w:hAnsi="Arial" w:cs="Arial"/>
          <w:snapToGrid w:val="0"/>
          <w:color w:val="auto"/>
          <w:kern w:val="0"/>
          <w:sz w:val="21"/>
          <w:szCs w:val="21"/>
          <w:highlight w:val="none"/>
          <w:u w:val="none"/>
          <w:lang w:val="en-US" w:eastAsia="zh-CN"/>
        </w:rPr>
        <w:t>验收</w:t>
      </w:r>
      <w:r>
        <w:rPr>
          <w:rFonts w:hint="eastAsia" w:ascii="宋体" w:hAnsi="宋体" w:eastAsia="宋体" w:cs="宋体"/>
          <w:color w:val="auto"/>
          <w:kern w:val="0"/>
          <w:sz w:val="21"/>
          <w:szCs w:val="21"/>
          <w:highlight w:val="none"/>
          <w:u w:val="none"/>
        </w:rPr>
        <w:t>，</w:t>
      </w:r>
      <w:r>
        <w:rPr>
          <w:rFonts w:hint="eastAsia" w:ascii="宋体" w:hAnsi="宋体" w:eastAsia="宋体" w:cs="宋体"/>
          <w:color w:val="auto"/>
          <w:kern w:val="0"/>
          <w:sz w:val="21"/>
          <w:szCs w:val="21"/>
          <w:highlight w:val="none"/>
          <w:u w:val="none"/>
          <w:lang w:val="en-US" w:eastAsia="zh-CN"/>
        </w:rPr>
        <w:t>以及</w:t>
      </w:r>
      <w:r>
        <w:rPr>
          <w:rFonts w:hint="eastAsia" w:ascii="宋体" w:hAnsi="宋体" w:eastAsia="宋体" w:cs="宋体"/>
          <w:color w:val="auto"/>
          <w:kern w:val="0"/>
          <w:sz w:val="21"/>
          <w:szCs w:val="21"/>
          <w:highlight w:val="none"/>
          <w:u w:val="none"/>
        </w:rPr>
        <w:t>质量保证期内的维修、维护、保养、人员培训</w:t>
      </w:r>
      <w:r>
        <w:rPr>
          <w:rFonts w:hint="eastAsia" w:ascii="宋体" w:hAnsi="宋体" w:eastAsia="宋体" w:cs="宋体"/>
          <w:color w:val="auto"/>
          <w:kern w:val="0"/>
          <w:sz w:val="21"/>
          <w:szCs w:val="21"/>
          <w:highlight w:val="none"/>
          <w:u w:val="none"/>
          <w:lang w:val="en-US" w:eastAsia="zh-CN"/>
        </w:rPr>
        <w:t>和</w:t>
      </w:r>
      <w:r>
        <w:rPr>
          <w:rFonts w:hint="eastAsia" w:ascii="宋体" w:hAnsi="宋体" w:eastAsia="宋体" w:cs="宋体"/>
          <w:color w:val="auto"/>
          <w:kern w:val="0"/>
          <w:sz w:val="21"/>
          <w:szCs w:val="21"/>
          <w:highlight w:val="none"/>
          <w:u w:val="none"/>
        </w:rPr>
        <w:t>其它相关伴随服务等工作内容</w:t>
      </w:r>
      <w:r>
        <w:rPr>
          <w:rFonts w:hint="eastAsia" w:ascii="宋体" w:hAnsi="宋体" w:cs="宋体"/>
          <w:color w:val="auto"/>
          <w:kern w:val="0"/>
          <w:sz w:val="21"/>
          <w:szCs w:val="21"/>
          <w:highlight w:val="none"/>
          <w:u w:val="none"/>
          <w:lang w:val="en-US" w:eastAsia="zh-CN"/>
        </w:rPr>
        <w:t>；</w:t>
      </w:r>
      <w:r>
        <w:rPr>
          <w:rFonts w:hint="eastAsia" w:ascii="宋体" w:hAnsi="宋体" w:eastAsia="宋体" w:cs="宋体"/>
          <w:caps w:val="0"/>
          <w:smallCaps w:val="0"/>
          <w:color w:val="000000"/>
          <w:sz w:val="21"/>
          <w:szCs w:val="21"/>
          <w:highlight w:val="none"/>
          <w:u w:val="none"/>
        </w:rPr>
        <w:t>具体要求详见第五章“</w:t>
      </w:r>
      <w:r>
        <w:rPr>
          <w:rFonts w:hint="eastAsia" w:ascii="宋体" w:hAnsi="宋体" w:cs="宋体"/>
          <w:caps w:val="0"/>
          <w:smallCaps w:val="0"/>
          <w:color w:val="000000"/>
          <w:sz w:val="21"/>
          <w:szCs w:val="21"/>
          <w:highlight w:val="none"/>
          <w:u w:val="none"/>
          <w:lang w:val="en-US" w:eastAsia="zh-CN"/>
        </w:rPr>
        <w:t>供货</w:t>
      </w:r>
      <w:r>
        <w:rPr>
          <w:rFonts w:hint="eastAsia" w:ascii="宋体" w:hAnsi="宋体" w:eastAsia="宋体" w:cs="宋体"/>
          <w:caps w:val="0"/>
          <w:smallCaps w:val="0"/>
          <w:color w:val="000000"/>
          <w:sz w:val="21"/>
          <w:szCs w:val="21"/>
          <w:highlight w:val="none"/>
          <w:u w:val="none"/>
        </w:rPr>
        <w:t>要求”。</w:t>
      </w:r>
    </w:p>
    <w:p w14:paraId="64654448">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snapToGrid w:val="0"/>
          <w:kern w:val="0"/>
          <w:szCs w:val="21"/>
        </w:rPr>
      </w:pPr>
      <w:r>
        <w:rPr>
          <w:rFonts w:hint="eastAsia" w:ascii="宋体" w:hAnsi="宋体"/>
          <w:snapToGrid w:val="0"/>
          <w:kern w:val="0"/>
          <w:szCs w:val="21"/>
        </w:rPr>
        <w:t>2.5 交货地点：</w:t>
      </w:r>
      <w:r>
        <w:rPr>
          <w:rFonts w:hint="eastAsia" w:ascii="宋体" w:hAnsi="宋体"/>
          <w:snapToGrid w:val="0"/>
          <w:kern w:val="0"/>
          <w:szCs w:val="21"/>
          <w:u w:val="single"/>
        </w:rPr>
        <w:t>重庆市涪陵区马鞍街道人和社区</w:t>
      </w:r>
    </w:p>
    <w:p w14:paraId="49808075">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kern w:val="0"/>
          <w:szCs w:val="21"/>
        </w:rPr>
      </w:pPr>
      <w:r>
        <w:rPr>
          <w:rFonts w:hint="eastAsia" w:ascii="宋体" w:hAnsi="宋体"/>
          <w:snapToGrid w:val="0"/>
          <w:kern w:val="0"/>
          <w:szCs w:val="21"/>
        </w:rPr>
        <w:t xml:space="preserve">2.6 </w:t>
      </w:r>
      <w:bookmarkStart w:id="29" w:name="_Hlk64626254"/>
      <w:r>
        <w:rPr>
          <w:rFonts w:hint="eastAsia" w:ascii="宋体" w:hAnsi="宋体"/>
          <w:snapToGrid w:val="0"/>
          <w:kern w:val="0"/>
          <w:szCs w:val="21"/>
        </w:rPr>
        <w:t>交货期：</w:t>
      </w:r>
      <w:bookmarkEnd w:id="29"/>
    </w:p>
    <w:p w14:paraId="43D45500">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color w:val="auto"/>
          <w:kern w:val="0"/>
          <w:szCs w:val="21"/>
          <w:lang w:val="en-US" w:eastAsia="zh-CN"/>
        </w:rPr>
      </w:pPr>
      <w:r>
        <w:rPr>
          <w:rFonts w:hint="eastAsia" w:ascii="宋体" w:hAnsi="宋体" w:eastAsia="宋体"/>
          <w:snapToGrid w:val="0"/>
          <w:kern w:val="0"/>
          <w:szCs w:val="21"/>
          <w:lang w:val="en-US" w:eastAsia="zh-CN"/>
        </w:rPr>
        <w:t>（1）</w:t>
      </w:r>
      <w:r>
        <w:rPr>
          <w:rFonts w:hint="eastAsia" w:ascii="宋体" w:hAnsi="宋体"/>
          <w:i w:val="0"/>
          <w:iCs w:val="0"/>
          <w:snapToGrid w:val="0"/>
          <w:kern w:val="0"/>
          <w:szCs w:val="21"/>
          <w:u w:val="single"/>
          <w:lang w:val="en-US" w:eastAsia="zh-CN"/>
        </w:rPr>
        <w:t>12</w:t>
      </w:r>
      <w:r>
        <w:rPr>
          <w:rFonts w:hint="eastAsia" w:ascii="宋体" w:hAnsi="宋体" w:eastAsia="宋体"/>
          <w:i w:val="0"/>
          <w:iCs w:val="0"/>
          <w:snapToGrid w:val="0"/>
          <w:kern w:val="0"/>
          <w:szCs w:val="21"/>
          <w:u w:val="single"/>
        </w:rPr>
        <w:t>0</w:t>
      </w:r>
      <w:r>
        <w:rPr>
          <w:rFonts w:hint="eastAsia" w:ascii="宋体" w:hAnsi="宋体" w:eastAsia="宋体"/>
          <w:snapToGrid w:val="0"/>
          <w:kern w:val="0"/>
          <w:szCs w:val="21"/>
          <w:u w:val="single"/>
        </w:rPr>
        <w:t>日历天</w:t>
      </w:r>
      <w:r>
        <w:rPr>
          <w:rFonts w:hint="eastAsia" w:ascii="宋体" w:hAnsi="宋体" w:eastAsia="宋体"/>
          <w:snapToGrid w:val="0"/>
          <w:color w:val="auto"/>
          <w:kern w:val="0"/>
          <w:szCs w:val="21"/>
          <w:u w:val="none"/>
        </w:rPr>
        <w:t>，含设备安装调试工期</w:t>
      </w:r>
      <w:r>
        <w:rPr>
          <w:rFonts w:hint="eastAsia" w:ascii="宋体" w:hAnsi="宋体" w:eastAsia="宋体"/>
          <w:snapToGrid w:val="0"/>
          <w:color w:val="auto"/>
          <w:kern w:val="0"/>
          <w:szCs w:val="21"/>
          <w:u w:val="single"/>
          <w:lang w:val="en-US" w:eastAsia="zh-CN"/>
        </w:rPr>
        <w:t>3</w:t>
      </w:r>
      <w:r>
        <w:rPr>
          <w:rFonts w:hint="eastAsia" w:ascii="宋体" w:hAnsi="宋体" w:eastAsia="宋体"/>
          <w:snapToGrid w:val="0"/>
          <w:color w:val="auto"/>
          <w:kern w:val="0"/>
          <w:szCs w:val="21"/>
          <w:u w:val="single"/>
        </w:rPr>
        <w:t>0日历天</w:t>
      </w:r>
      <w:r>
        <w:rPr>
          <w:rFonts w:hint="eastAsia" w:ascii="宋体" w:hAnsi="宋体" w:eastAsia="宋体"/>
          <w:snapToGrid w:val="0"/>
          <w:color w:val="auto"/>
          <w:kern w:val="0"/>
          <w:szCs w:val="21"/>
          <w:u w:val="none"/>
          <w:lang w:eastAsia="zh-CN"/>
        </w:rPr>
        <w:t>，</w:t>
      </w:r>
      <w:r>
        <w:rPr>
          <w:rFonts w:hint="eastAsia" w:ascii="宋体" w:hAnsi="宋体"/>
          <w:snapToGrid w:val="0"/>
          <w:color w:val="auto"/>
          <w:kern w:val="0"/>
          <w:szCs w:val="21"/>
          <w:u w:val="none"/>
          <w:lang w:val="en-US" w:eastAsia="zh-CN"/>
        </w:rPr>
        <w:t>合同签订之日起</w:t>
      </w:r>
      <w:r>
        <w:rPr>
          <w:rFonts w:hint="eastAsia" w:ascii="宋体" w:hAnsi="宋体" w:eastAsia="宋体" w:cs="宋体"/>
          <w:caps w:val="0"/>
          <w:smallCaps w:val="0"/>
          <w:color w:val="auto"/>
          <w:sz w:val="21"/>
          <w:szCs w:val="21"/>
          <w:highlight w:val="none"/>
          <w:u w:val="none"/>
          <w:lang w:val="en-US" w:eastAsia="zh-CN"/>
        </w:rPr>
        <w:t>计算（如因特殊情况以招标人下发指令为准）。</w:t>
      </w:r>
      <w:r>
        <w:rPr>
          <w:rFonts w:hint="eastAsia" w:ascii="宋体" w:hAnsi="宋体" w:eastAsia="宋体"/>
          <w:b/>
          <w:bCs/>
          <w:snapToGrid w:val="0"/>
          <w:color w:val="auto"/>
          <w:kern w:val="0"/>
          <w:szCs w:val="21"/>
          <w:u w:val="none"/>
        </w:rPr>
        <w:t>投标人</w:t>
      </w:r>
      <w:r>
        <w:rPr>
          <w:rFonts w:hint="eastAsia" w:ascii="宋体" w:hAnsi="宋体" w:eastAsia="宋体"/>
          <w:b/>
          <w:bCs/>
          <w:snapToGrid w:val="0"/>
          <w:color w:val="auto"/>
          <w:kern w:val="0"/>
          <w:szCs w:val="21"/>
          <w:u w:val="none"/>
          <w:lang w:val="en-US" w:eastAsia="zh-CN"/>
        </w:rPr>
        <w:t>可根据实际情况缩短合同工期。</w:t>
      </w:r>
    </w:p>
    <w:p w14:paraId="2DD6947E">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color w:val="auto"/>
          <w:kern w:val="0"/>
          <w:szCs w:val="21"/>
          <w:u w:val="none"/>
          <w:lang w:val="en-US" w:eastAsia="zh-CN"/>
        </w:rPr>
      </w:pPr>
      <w:r>
        <w:rPr>
          <w:rFonts w:hint="eastAsia" w:ascii="宋体" w:hAnsi="宋体" w:eastAsia="宋体"/>
          <w:snapToGrid w:val="0"/>
          <w:color w:val="auto"/>
          <w:kern w:val="0"/>
          <w:szCs w:val="21"/>
          <w:u w:val="none"/>
          <w:lang w:val="en-US" w:eastAsia="zh-CN"/>
        </w:rPr>
        <w:t>投标人在中标通知书签发30日内完成全部设备安装施工图设计并交招标人审批，如未达到招标人要求的，需要重新修改，直到招标人审批为止，</w:t>
      </w:r>
      <w:r>
        <w:rPr>
          <w:rFonts w:hint="eastAsia" w:ascii="宋体" w:hAnsi="宋体"/>
          <w:snapToGrid w:val="0"/>
          <w:color w:val="auto"/>
          <w:kern w:val="0"/>
          <w:szCs w:val="21"/>
          <w:u w:val="none"/>
          <w:lang w:val="en-US" w:eastAsia="zh-CN"/>
        </w:rPr>
        <w:t>且</w:t>
      </w:r>
      <w:r>
        <w:rPr>
          <w:rFonts w:hint="eastAsia" w:ascii="宋体" w:hAnsi="宋体" w:eastAsia="宋体"/>
          <w:snapToGrid w:val="0"/>
          <w:color w:val="auto"/>
          <w:kern w:val="0"/>
          <w:szCs w:val="21"/>
          <w:u w:val="none"/>
          <w:lang w:val="en-US" w:eastAsia="zh-CN"/>
        </w:rPr>
        <w:t>修改</w:t>
      </w:r>
      <w:r>
        <w:rPr>
          <w:rFonts w:hint="eastAsia" w:ascii="宋体" w:hAnsi="宋体"/>
          <w:snapToGrid w:val="0"/>
          <w:color w:val="auto"/>
          <w:kern w:val="0"/>
          <w:szCs w:val="21"/>
          <w:u w:val="none"/>
          <w:lang w:val="en-US" w:eastAsia="zh-CN"/>
        </w:rPr>
        <w:t>的</w:t>
      </w:r>
      <w:r>
        <w:rPr>
          <w:rFonts w:hint="eastAsia" w:ascii="宋体" w:hAnsi="宋体" w:eastAsia="宋体"/>
          <w:snapToGrid w:val="0"/>
          <w:color w:val="auto"/>
          <w:kern w:val="0"/>
          <w:szCs w:val="21"/>
          <w:u w:val="none"/>
          <w:lang w:val="en-US" w:eastAsia="zh-CN"/>
        </w:rPr>
        <w:t>最终完成时间为在中标通知书签发30日内。</w:t>
      </w:r>
    </w:p>
    <w:p w14:paraId="11ED3943">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color w:val="auto"/>
          <w:kern w:val="0"/>
          <w:szCs w:val="21"/>
          <w:lang w:val="en-US" w:eastAsia="zh-CN"/>
        </w:rPr>
      </w:pPr>
      <w:r>
        <w:rPr>
          <w:rFonts w:hint="eastAsia" w:ascii="宋体" w:hAnsi="宋体" w:eastAsia="宋体"/>
          <w:snapToGrid w:val="0"/>
          <w:color w:val="auto"/>
          <w:kern w:val="0"/>
          <w:szCs w:val="21"/>
          <w:lang w:val="en-US" w:eastAsia="zh-CN"/>
        </w:rPr>
        <w:t xml:space="preserve">2.7 质量保证期：  </w:t>
      </w:r>
    </w:p>
    <w:p w14:paraId="293868BA">
      <w:pPr>
        <w:pStyle w:val="2"/>
        <w:keepNext w:val="0"/>
        <w:keepLines w:val="0"/>
        <w:pageBreakBefore w:val="0"/>
        <w:widowControl w:val="0"/>
        <w:kinsoku/>
        <w:wordWrap/>
        <w:overflowPunct/>
        <w:topLinePunct w:val="0"/>
        <w:bidi w:val="0"/>
        <w:spacing w:after="0" w:line="460" w:lineRule="exact"/>
        <w:ind w:firstLine="420" w:firstLineChars="200"/>
        <w:textAlignment w:val="auto"/>
        <w:rPr>
          <w:rFonts w:ascii="宋体" w:hAnsi="宋体"/>
          <w:snapToGrid w:val="0"/>
          <w:color w:val="auto"/>
          <w:kern w:val="0"/>
          <w:szCs w:val="21"/>
        </w:rPr>
      </w:pPr>
      <w:r>
        <w:rPr>
          <w:rFonts w:hint="eastAsia" w:ascii="宋体" w:hAnsi="宋体" w:eastAsia="宋体" w:cs="宋体"/>
          <w:caps w:val="0"/>
          <w:smallCaps w:val="0"/>
          <w:color w:val="auto"/>
          <w:sz w:val="21"/>
          <w:szCs w:val="21"/>
          <w:lang w:val="en-US" w:eastAsia="zh-CN"/>
        </w:rPr>
        <w:t>所有设备自验收合格</w:t>
      </w:r>
      <w:r>
        <w:rPr>
          <w:rFonts w:hint="eastAsia" w:ascii="宋体" w:hAnsi="宋体" w:eastAsia="宋体" w:cs="宋体"/>
          <w:caps w:val="0"/>
          <w:smallCaps w:val="0"/>
          <w:color w:val="auto"/>
          <w:kern w:val="2"/>
          <w:sz w:val="21"/>
          <w:szCs w:val="21"/>
          <w:highlight w:val="none"/>
          <w:lang w:val="en-US" w:eastAsia="zh-CN" w:bidi="ar-SA"/>
        </w:rPr>
        <w:t>并交付业主使用</w:t>
      </w:r>
      <w:r>
        <w:rPr>
          <w:rFonts w:hint="eastAsia" w:ascii="宋体" w:hAnsi="宋体" w:eastAsia="宋体" w:cs="宋体"/>
          <w:caps w:val="0"/>
          <w:smallCaps w:val="0"/>
          <w:color w:val="auto"/>
          <w:sz w:val="21"/>
          <w:szCs w:val="21"/>
          <w:lang w:val="en-US" w:eastAsia="zh-CN"/>
        </w:rPr>
        <w:t>之日起</w:t>
      </w:r>
      <w:r>
        <w:rPr>
          <w:rFonts w:hint="eastAsia" w:ascii="宋体" w:hAnsi="宋体" w:eastAsia="宋体" w:cs="宋体"/>
          <w:caps w:val="0"/>
          <w:smallCaps w:val="0"/>
          <w:color w:val="auto"/>
          <w:sz w:val="21"/>
          <w:szCs w:val="21"/>
          <w:u w:val="single"/>
          <w:lang w:val="en-US" w:eastAsia="zh-CN"/>
        </w:rPr>
        <w:t>24</w:t>
      </w:r>
      <w:r>
        <w:rPr>
          <w:rFonts w:hint="eastAsia" w:ascii="宋体" w:hAnsi="宋体" w:eastAsia="宋体" w:cs="宋体"/>
          <w:caps w:val="0"/>
          <w:smallCaps w:val="0"/>
          <w:color w:val="auto"/>
          <w:sz w:val="21"/>
          <w:szCs w:val="21"/>
          <w:lang w:val="en-US" w:eastAsia="zh-CN"/>
        </w:rPr>
        <w:t>个月</w:t>
      </w:r>
      <w:r>
        <w:rPr>
          <w:rFonts w:hint="eastAsia" w:ascii="宋体" w:hAnsi="宋体" w:eastAsia="宋体"/>
          <w:snapToGrid w:val="0"/>
          <w:color w:val="auto"/>
          <w:kern w:val="0"/>
          <w:sz w:val="21"/>
          <w:szCs w:val="21"/>
          <w:highlight w:val="none"/>
          <w:lang w:val="en-US" w:eastAsia="zh-CN"/>
        </w:rPr>
        <w:t>，</w:t>
      </w:r>
      <w:r>
        <w:rPr>
          <w:rFonts w:hint="eastAsia" w:ascii="宋体" w:hAnsi="宋体" w:eastAsia="宋体"/>
          <w:b/>
          <w:bCs/>
          <w:snapToGrid w:val="0"/>
          <w:color w:val="auto"/>
          <w:kern w:val="0"/>
          <w:sz w:val="21"/>
          <w:szCs w:val="21"/>
          <w:highlight w:val="none"/>
          <w:lang w:val="en-US" w:eastAsia="zh-CN"/>
        </w:rPr>
        <w:t>投标人可选择延长质保期</w:t>
      </w:r>
      <w:r>
        <w:rPr>
          <w:rFonts w:hint="eastAsia" w:ascii="宋体" w:hAnsi="宋体" w:eastAsia="宋体" w:cs="宋体"/>
          <w:b/>
          <w:bCs/>
          <w:caps w:val="0"/>
          <w:smallCaps w:val="0"/>
          <w:color w:val="auto"/>
          <w:kern w:val="2"/>
          <w:sz w:val="21"/>
          <w:szCs w:val="21"/>
          <w:highlight w:val="none"/>
          <w:lang w:val="en-US" w:eastAsia="zh-CN" w:bidi="ar-SA"/>
        </w:rPr>
        <w:t>。</w:t>
      </w:r>
    </w:p>
    <w:p w14:paraId="102E8328">
      <w:pPr>
        <w:pStyle w:val="4"/>
        <w:spacing w:before="100" w:after="100" w:line="460" w:lineRule="exact"/>
        <w:rPr>
          <w:rFonts w:ascii="宋体" w:hAnsi="宋体"/>
          <w:snapToGrid w:val="0"/>
          <w:sz w:val="28"/>
          <w:szCs w:val="28"/>
        </w:rPr>
      </w:pPr>
      <w:bookmarkStart w:id="30" w:name="_Toc287607730"/>
      <w:bookmarkStart w:id="31" w:name="_Toc200359240"/>
      <w:bookmarkStart w:id="32" w:name="_Toc277082538"/>
      <w:bookmarkStart w:id="33" w:name="_Toc509218694"/>
      <w:bookmarkStart w:id="34" w:name="_Toc200359429"/>
      <w:bookmarkStart w:id="35" w:name="_Toc430530418"/>
      <w:bookmarkStart w:id="36" w:name="_Toc15458"/>
      <w:bookmarkStart w:id="37" w:name="_Toc224103301"/>
      <w:bookmarkStart w:id="38" w:name="_Toc287620669"/>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0"/>
      <w:bookmarkEnd w:id="31"/>
      <w:bookmarkEnd w:id="32"/>
      <w:bookmarkEnd w:id="33"/>
      <w:bookmarkEnd w:id="34"/>
      <w:bookmarkEnd w:id="35"/>
      <w:bookmarkEnd w:id="36"/>
      <w:bookmarkEnd w:id="37"/>
      <w:bookmarkEnd w:id="38"/>
    </w:p>
    <w:p w14:paraId="327B3F07">
      <w:pPr>
        <w:keepNext w:val="0"/>
        <w:keepLines w:val="0"/>
        <w:pageBreakBefore w:val="0"/>
        <w:widowControl w:val="0"/>
        <w:kinsoku/>
        <w:wordWrap/>
        <w:overflowPunct/>
        <w:topLinePunct w:val="0"/>
        <w:autoSpaceDE/>
        <w:autoSpaceDN/>
        <w:bidi w:val="0"/>
        <w:adjustRightInd w:val="0"/>
        <w:snapToGrid w:val="0"/>
        <w:spacing w:line="460" w:lineRule="exact"/>
        <w:ind w:firstLine="420" w:firstLineChars="200"/>
        <w:textAlignment w:val="auto"/>
        <w:rPr>
          <w:rFonts w:hint="eastAsia" w:ascii="宋体" w:hAnsi="宋体" w:eastAsia="宋体" w:cs="宋体"/>
          <w:caps w:val="0"/>
          <w:smallCaps w:val="0"/>
          <w:color w:val="auto"/>
          <w:sz w:val="21"/>
          <w:szCs w:val="21"/>
        </w:rPr>
      </w:pPr>
      <w:bookmarkStart w:id="39" w:name="_Toc277082539"/>
      <w:bookmarkStart w:id="40" w:name="_Toc287620670"/>
      <w:bookmarkStart w:id="41" w:name="_Toc200359430"/>
      <w:bookmarkStart w:id="42" w:name="_Toc200359241"/>
      <w:bookmarkStart w:id="43" w:name="_Toc509218695"/>
      <w:bookmarkStart w:id="44" w:name="_Toc430530419"/>
      <w:bookmarkStart w:id="45" w:name="_Toc224103302"/>
      <w:bookmarkStart w:id="46" w:name="_Toc287607731"/>
      <w:r>
        <w:rPr>
          <w:rFonts w:ascii="宋体" w:hAnsi="宋体"/>
          <w:snapToGrid w:val="0"/>
          <w:kern w:val="0"/>
          <w:szCs w:val="21"/>
        </w:rPr>
        <w:t>3.1  本次招标投标人</w:t>
      </w:r>
      <w:r>
        <w:rPr>
          <w:rFonts w:hint="eastAsia" w:ascii="宋体" w:hAnsi="宋体"/>
          <w:snapToGrid w:val="0"/>
          <w:kern w:val="0"/>
          <w:szCs w:val="21"/>
          <w:lang w:val="en-US" w:eastAsia="zh-CN"/>
        </w:rPr>
        <w:t>应</w:t>
      </w:r>
      <w:r>
        <w:rPr>
          <w:rFonts w:hint="eastAsia" w:ascii="宋体" w:hAnsi="宋体"/>
          <w:snapToGrid w:val="0"/>
          <w:kern w:val="0"/>
          <w:szCs w:val="21"/>
        </w:rPr>
        <w:t>以</w:t>
      </w:r>
      <w:r>
        <w:rPr>
          <w:rFonts w:hint="eastAsia" w:ascii="宋体" w:hAnsi="宋体"/>
          <w:b/>
          <w:bCs/>
          <w:snapToGrid w:val="0"/>
          <w:kern w:val="0"/>
          <w:szCs w:val="21"/>
          <w:lang w:val="en-US" w:eastAsia="zh-CN"/>
        </w:rPr>
        <w:t>制造商</w:t>
      </w:r>
      <w:r>
        <w:rPr>
          <w:rFonts w:hint="eastAsia" w:ascii="宋体" w:hAnsi="宋体"/>
          <w:snapToGrid w:val="0"/>
          <w:kern w:val="0"/>
          <w:szCs w:val="21"/>
        </w:rPr>
        <w:t>身份参加投标</w:t>
      </w:r>
      <w:r>
        <w:rPr>
          <w:rFonts w:hint="eastAsia" w:ascii="宋体" w:hAnsi="宋体" w:eastAsia="宋体" w:cs="宋体"/>
          <w:caps w:val="0"/>
          <w:smallCaps w:val="0"/>
          <w:color w:val="auto"/>
          <w:sz w:val="21"/>
          <w:szCs w:val="21"/>
          <w:highlight w:val="none"/>
          <w:shd w:val="clear" w:color="auto" w:fill="FFFFFF"/>
          <w:lang w:val="en-US" w:eastAsia="zh-CN"/>
        </w:rPr>
        <w:t>且</w:t>
      </w:r>
      <w:r>
        <w:rPr>
          <w:rFonts w:hint="eastAsia" w:ascii="宋体" w:hAnsi="宋体" w:eastAsia="宋体" w:cs="宋体"/>
          <w:caps w:val="0"/>
          <w:smallCaps w:val="0"/>
          <w:color w:val="auto"/>
          <w:sz w:val="21"/>
          <w:szCs w:val="21"/>
        </w:rPr>
        <w:t>具备</w:t>
      </w:r>
      <w:r>
        <w:rPr>
          <w:rFonts w:hint="eastAsia" w:ascii="宋体" w:hAnsi="宋体" w:eastAsia="宋体" w:cs="宋体"/>
          <w:caps w:val="0"/>
          <w:smallCaps w:val="0"/>
          <w:color w:val="auto"/>
          <w:sz w:val="21"/>
          <w:szCs w:val="21"/>
          <w:lang w:val="en-US" w:eastAsia="zh-CN"/>
        </w:rPr>
        <w:t>相应的</w:t>
      </w:r>
      <w:r>
        <w:rPr>
          <w:rFonts w:hint="eastAsia" w:ascii="宋体" w:hAnsi="宋体" w:eastAsia="宋体" w:cs="宋体"/>
          <w:caps w:val="0"/>
          <w:smallCaps w:val="0"/>
          <w:color w:val="auto"/>
          <w:sz w:val="21"/>
          <w:szCs w:val="21"/>
        </w:rPr>
        <w:t>资格条件</w:t>
      </w:r>
      <w:r>
        <w:rPr>
          <w:rFonts w:hint="eastAsia" w:ascii="宋体" w:hAnsi="宋体" w:eastAsia="宋体" w:cs="宋体"/>
          <w:caps w:val="0"/>
          <w:smallCaps w:val="0"/>
          <w:color w:val="auto"/>
          <w:sz w:val="21"/>
          <w:szCs w:val="21"/>
          <w:lang w:eastAsia="zh-CN"/>
        </w:rPr>
        <w:t>，</w:t>
      </w:r>
      <w:r>
        <w:rPr>
          <w:rFonts w:hint="eastAsia" w:ascii="宋体" w:hAnsi="宋体" w:eastAsia="宋体" w:cs="宋体"/>
          <w:snapToGrid w:val="0"/>
          <w:kern w:val="0"/>
          <w:szCs w:val="21"/>
        </w:rPr>
        <w:t>详见招标文件第二章投标人须知前附表第1.4.1项内容。</w:t>
      </w:r>
    </w:p>
    <w:p w14:paraId="2ABB5FA2">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3.2  投标人还应在业绩、资金、人员等方面具有相应的供货能力，详见招标文件第二章投标人须知前附表第1.4.1项内容。</w:t>
      </w:r>
    </w:p>
    <w:p w14:paraId="2A05C700">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3.3  本</w:t>
      </w:r>
      <w:r>
        <w:rPr>
          <w:rFonts w:ascii="宋体" w:hAnsi="宋体"/>
          <w:snapToGrid w:val="0"/>
          <w:kern w:val="0"/>
          <w:szCs w:val="21"/>
        </w:rPr>
        <w:t>次招标</w:t>
      </w:r>
      <w:r>
        <w:rPr>
          <w:rFonts w:hint="eastAsia" w:ascii="宋体" w:hAnsi="宋体"/>
          <w:snapToGrid w:val="0"/>
          <w:kern w:val="0"/>
          <w:szCs w:val="21"/>
        </w:rPr>
        <w:t>不接受</w:t>
      </w:r>
      <w:r>
        <w:rPr>
          <w:rFonts w:ascii="宋体" w:hAnsi="宋体"/>
          <w:snapToGrid w:val="0"/>
          <w:kern w:val="0"/>
          <w:szCs w:val="21"/>
        </w:rPr>
        <w:t>联合体投标。</w:t>
      </w:r>
    </w:p>
    <w:p w14:paraId="3A8217CA">
      <w:pPr>
        <w:pStyle w:val="4"/>
        <w:spacing w:before="100" w:after="100" w:line="460" w:lineRule="exact"/>
        <w:rPr>
          <w:rFonts w:ascii="宋体" w:hAnsi="宋体"/>
          <w:snapToGrid w:val="0"/>
          <w:sz w:val="28"/>
          <w:szCs w:val="28"/>
        </w:rPr>
      </w:pPr>
      <w:bookmarkStart w:id="47" w:name="_Toc23889"/>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39"/>
      <w:bookmarkEnd w:id="40"/>
      <w:bookmarkEnd w:id="41"/>
      <w:bookmarkEnd w:id="42"/>
      <w:bookmarkEnd w:id="43"/>
      <w:bookmarkEnd w:id="44"/>
      <w:bookmarkEnd w:id="45"/>
      <w:bookmarkEnd w:id="46"/>
      <w:bookmarkEnd w:id="47"/>
    </w:p>
    <w:p w14:paraId="06CC1ABC">
      <w:pPr>
        <w:pageBreakBefore w:val="0"/>
        <w:tabs>
          <w:tab w:val="left" w:pos="2420"/>
          <w:tab w:val="left" w:pos="5445"/>
        </w:tabs>
        <w:kinsoku/>
        <w:topLinePunct w:val="0"/>
        <w:autoSpaceDE w:val="0"/>
        <w:autoSpaceDN w:val="0"/>
        <w:bidi w:val="0"/>
        <w:adjustRightInd w:val="0"/>
        <w:snapToGrid w:val="0"/>
        <w:spacing w:line="360" w:lineRule="auto"/>
        <w:ind w:firstLine="420"/>
        <w:rPr>
          <w:rFonts w:hint="eastAsia" w:ascii="宋体" w:hAnsi="宋体"/>
          <w:snapToGrid w:val="0"/>
          <w:color w:val="000000" w:themeColor="text1"/>
          <w:kern w:val="0"/>
          <w:szCs w:val="21"/>
          <w14:textFill>
            <w14:solidFill>
              <w14:schemeClr w14:val="tx1"/>
            </w14:solidFill>
          </w14:textFill>
        </w:rPr>
      </w:pPr>
      <w:bookmarkStart w:id="48" w:name="_Toc430530420"/>
      <w:bookmarkStart w:id="49" w:name="_Toc287607732"/>
      <w:bookmarkStart w:id="50" w:name="_Toc277082540"/>
      <w:bookmarkStart w:id="51" w:name="_Toc200359431"/>
      <w:bookmarkStart w:id="52" w:name="_Toc287620671"/>
      <w:bookmarkStart w:id="53" w:name="_Toc509218696"/>
      <w:bookmarkStart w:id="54" w:name="_Toc200359242"/>
      <w:bookmarkStart w:id="55" w:name="_Toc31513"/>
      <w:bookmarkStart w:id="56" w:name="_Toc224103303"/>
      <w:r>
        <w:rPr>
          <w:rFonts w:hint="eastAsia" w:ascii="宋体" w:hAnsi="宋体"/>
          <w:snapToGrid w:val="0"/>
          <w:color w:val="000000" w:themeColor="text1"/>
          <w:kern w:val="0"/>
          <w:szCs w:val="21"/>
          <w14:textFill>
            <w14:solidFill>
              <w14:schemeClr w14:val="tx1"/>
            </w14:solidFill>
          </w14:textFill>
        </w:rPr>
        <w:t>4.1 本项目招标不需报名，开标前直接投标，凡有意参加投标者，投标人在投标前可在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snapToGrid w:val="0"/>
          <w:color w:val="000000" w:themeColor="text1"/>
          <w:kern w:val="0"/>
          <w:szCs w:val="21"/>
          <w14:textFill>
            <w14:solidFill>
              <w14:schemeClr w14:val="tx1"/>
            </w14:solidFill>
          </w14:textFill>
        </w:rPr>
        <w:t>下载本招标项目的招标文件</w:t>
      </w:r>
      <w:r>
        <w:rPr>
          <w:rFonts w:hint="eastAsia" w:ascii="宋体" w:hAnsi="宋体"/>
          <w:snapToGrid w:val="0"/>
          <w:color w:val="000000" w:themeColor="text1"/>
          <w:kern w:val="0"/>
          <w:szCs w:val="21"/>
          <w:lang w:val="en-US" w:eastAsia="zh-CN"/>
          <w14:textFill>
            <w14:solidFill>
              <w14:schemeClr w14:val="tx1"/>
            </w14:solidFill>
          </w14:textFill>
        </w:rPr>
        <w:t>及</w:t>
      </w:r>
      <w:r>
        <w:rPr>
          <w:rFonts w:hint="eastAsia" w:ascii="宋体" w:hAnsi="宋体"/>
          <w:snapToGrid w:val="0"/>
          <w:color w:val="000000" w:themeColor="text1"/>
          <w:kern w:val="0"/>
          <w:szCs w:val="21"/>
          <w14:textFill>
            <w14:solidFill>
              <w14:schemeClr w14:val="tx1"/>
            </w14:solidFill>
          </w14:textFill>
        </w:rPr>
        <w:t>所有相关资料，投标人应随时关注本招标项目所有相关信息，不论投标人下载与否，都视为投标人收到以上资料并全部知晓有关招标过程和事宜，由此产生的一切后果由投标人自负。</w:t>
      </w:r>
    </w:p>
    <w:p w14:paraId="3525EA62">
      <w:pPr>
        <w:pageBreakBefore w:val="0"/>
        <w:tabs>
          <w:tab w:val="left" w:pos="2420"/>
          <w:tab w:val="left" w:pos="5445"/>
        </w:tabs>
        <w:kinsoku/>
        <w:topLinePunct w:val="0"/>
        <w:autoSpaceDE w:val="0"/>
        <w:autoSpaceDN w:val="0"/>
        <w:bidi w:val="0"/>
        <w:adjustRightInd w:val="0"/>
        <w:snapToGrid w:val="0"/>
        <w:spacing w:line="360" w:lineRule="auto"/>
        <w:ind w:firstLine="420"/>
        <w:rPr>
          <w:rFonts w:ascii="宋体" w:hAnsi="宋体"/>
          <w:b/>
          <w:bCs/>
          <w:snapToGrid w:val="0"/>
          <w:color w:val="0000FF"/>
          <w:kern w:val="0"/>
          <w:sz w:val="24"/>
          <w:szCs w:val="24"/>
        </w:rPr>
      </w:pPr>
      <w:r>
        <w:rPr>
          <w:rFonts w:hint="eastAsia" w:ascii="宋体" w:hAnsi="宋体"/>
          <w:snapToGrid w:val="0"/>
          <w:color w:val="000000" w:themeColor="text1"/>
          <w:kern w:val="0"/>
          <w:szCs w:val="21"/>
          <w14:textFill>
            <w14:solidFill>
              <w14:schemeClr w14:val="tx1"/>
            </w14:solidFill>
          </w14:textFill>
        </w:rPr>
        <w:t xml:space="preserve">4.2 </w:t>
      </w:r>
      <w:r>
        <w:rPr>
          <w:rFonts w:hint="eastAsia" w:ascii="宋体" w:hAnsi="宋体"/>
          <w:snapToGrid w:val="0"/>
          <w:color w:val="auto"/>
          <w:kern w:val="0"/>
          <w:szCs w:val="21"/>
        </w:rPr>
        <w:t>投标人在收到招标文件后，应仔细检查招标文件的所有内容，如有残缺或文字表述不清，图纸尺寸标注不明以及存在错、碰、漏、缺、概念模糊和有可能出现歧义或理解上的偏差的内容等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6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21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b/>
          <w:bCs/>
          <w:snapToGrid w:val="0"/>
          <w:color w:val="auto"/>
          <w:kern w:val="0"/>
          <w:szCs w:val="21"/>
          <w:lang w:val="en-US" w:eastAsia="zh-CN"/>
        </w:rPr>
        <w:t>通过本章节联系方式</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或者完善书面提问文件发送到邮箱</w:t>
      </w:r>
      <w:r>
        <w:rPr>
          <w:rFonts w:hint="eastAsia" w:ascii="宋体" w:hAnsi="宋体"/>
          <w:b/>
          <w:bCs/>
          <w:snapToGrid w:val="0"/>
          <w:color w:val="0000FF"/>
          <w:kern w:val="0"/>
          <w:sz w:val="24"/>
          <w:szCs w:val="24"/>
          <w:lang w:val="en-US" w:eastAsia="zh-CN"/>
        </w:rPr>
        <w:t>yuanyuan@flzc.com</w:t>
      </w:r>
      <w:r>
        <w:rPr>
          <w:rFonts w:hint="eastAsia" w:ascii="宋体" w:hAnsi="宋体"/>
          <w:b/>
          <w:bCs/>
          <w:snapToGrid w:val="0"/>
          <w:color w:val="0000FF"/>
          <w:kern w:val="0"/>
          <w:sz w:val="24"/>
          <w:szCs w:val="24"/>
        </w:rPr>
        <w:t>。</w:t>
      </w:r>
    </w:p>
    <w:p w14:paraId="4646D261">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 xml:space="preserve">4.3 </w:t>
      </w:r>
      <w:r>
        <w:rPr>
          <w:rFonts w:hint="eastAsia" w:ascii="宋体" w:hAnsi="宋体"/>
          <w:snapToGrid w:val="0"/>
          <w:color w:val="auto"/>
          <w:kern w:val="0"/>
          <w:szCs w:val="21"/>
        </w:rPr>
        <w:t>招标人应在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6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25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color w:val="auto"/>
          <w:kern w:val="0"/>
          <w:szCs w:val="21"/>
        </w:rPr>
        <w:t>发布澄清或修改。</w:t>
      </w:r>
    </w:p>
    <w:p w14:paraId="671B08C5">
      <w:pPr>
        <w:pStyle w:val="4"/>
        <w:spacing w:before="100" w:after="100" w:line="460" w:lineRule="exact"/>
        <w:rPr>
          <w:rFonts w:ascii="宋体" w:hAnsi="宋体"/>
          <w:snapToGrid w:val="0"/>
          <w:color w:val="auto"/>
          <w:sz w:val="28"/>
          <w:szCs w:val="28"/>
        </w:rPr>
      </w:pPr>
      <w:r>
        <w:rPr>
          <w:rFonts w:hint="eastAsia" w:ascii="宋体" w:hAnsi="宋体"/>
          <w:snapToGrid w:val="0"/>
          <w:color w:val="auto"/>
          <w:sz w:val="28"/>
          <w:szCs w:val="28"/>
        </w:rPr>
        <w:t>5</w:t>
      </w:r>
      <w:r>
        <w:rPr>
          <w:rFonts w:ascii="宋体" w:hAnsi="宋体"/>
          <w:snapToGrid w:val="0"/>
          <w:color w:val="auto"/>
          <w:sz w:val="28"/>
          <w:szCs w:val="28"/>
        </w:rPr>
        <w:t xml:space="preserve">. </w:t>
      </w:r>
      <w:r>
        <w:rPr>
          <w:rFonts w:hint="eastAsia" w:ascii="宋体" w:hAnsi="宋体"/>
          <w:snapToGrid w:val="0"/>
          <w:color w:val="auto"/>
          <w:sz w:val="28"/>
          <w:szCs w:val="28"/>
        </w:rPr>
        <w:t xml:space="preserve"> </w:t>
      </w:r>
      <w:r>
        <w:rPr>
          <w:rFonts w:ascii="宋体" w:hAnsi="宋体"/>
          <w:snapToGrid w:val="0"/>
          <w:color w:val="auto"/>
          <w:sz w:val="28"/>
          <w:szCs w:val="28"/>
        </w:rPr>
        <w:t>投标文件的递交</w:t>
      </w:r>
      <w:bookmarkEnd w:id="48"/>
      <w:bookmarkEnd w:id="49"/>
      <w:bookmarkEnd w:id="50"/>
      <w:bookmarkEnd w:id="51"/>
      <w:bookmarkEnd w:id="52"/>
      <w:bookmarkEnd w:id="53"/>
      <w:bookmarkEnd w:id="54"/>
      <w:bookmarkEnd w:id="55"/>
      <w:bookmarkEnd w:id="56"/>
    </w:p>
    <w:p w14:paraId="63DB1C02">
      <w:pPr>
        <w:keepNext w:val="0"/>
        <w:keepLines w:val="0"/>
        <w:pageBreakBefore w:val="0"/>
        <w:widowControl w:val="0"/>
        <w:tabs>
          <w:tab w:val="left" w:pos="2000"/>
          <w:tab w:val="left" w:pos="5580"/>
          <w:tab w:val="left" w:pos="6220"/>
          <w:tab w:val="left" w:pos="6840"/>
          <w:tab w:val="left" w:pos="7460"/>
          <w:tab w:val="left" w:pos="8100"/>
        </w:tabs>
        <w:kinsoku/>
        <w:wordWrap/>
        <w:overflowPunct/>
        <w:topLinePunct w:val="0"/>
        <w:autoSpaceDE w:val="0"/>
        <w:autoSpaceDN w:val="0"/>
        <w:bidi w:val="0"/>
        <w:adjustRightInd w:val="0"/>
        <w:snapToGrid w:val="0"/>
        <w:spacing w:line="360" w:lineRule="auto"/>
        <w:ind w:firstLine="420" w:firstLineChars="200"/>
        <w:textAlignment w:val="auto"/>
        <w:rPr>
          <w:rFonts w:ascii="宋体" w:hAnsi="宋体"/>
          <w:i w:val="0"/>
          <w:iCs w:val="0"/>
          <w:snapToGrid w:val="0"/>
          <w:color w:val="000000" w:themeColor="text1"/>
          <w:kern w:val="0"/>
          <w:szCs w:val="21"/>
          <w14:textFill>
            <w14:solidFill>
              <w14:schemeClr w14:val="tx1"/>
            </w14:solidFill>
          </w14:textFill>
        </w:rPr>
      </w:pPr>
      <w:bookmarkStart w:id="57" w:name="_Toc200359432"/>
      <w:bookmarkStart w:id="58" w:name="_Toc224103304"/>
      <w:bookmarkStart w:id="59" w:name="_Toc7286"/>
      <w:bookmarkStart w:id="60" w:name="_Toc287607733"/>
      <w:bookmarkStart w:id="61" w:name="_Toc287620672"/>
      <w:bookmarkStart w:id="62" w:name="_Toc277082541"/>
      <w:bookmarkStart w:id="63" w:name="_Toc200359243"/>
      <w:bookmarkStart w:id="64" w:name="_Toc509218697"/>
      <w:bookmarkStart w:id="65" w:name="_Toc430530421"/>
      <w:r>
        <w:rPr>
          <w:rFonts w:hint="eastAsia" w:ascii="宋体" w:hAnsi="宋体"/>
          <w:snapToGrid w:val="0"/>
          <w:color w:val="000000" w:themeColor="text1"/>
          <w:kern w:val="0"/>
          <w:szCs w:val="21"/>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 xml:space="preserve">.1 </w:t>
      </w:r>
      <w:r>
        <w:rPr>
          <w:rFonts w:hint="eastAsia" w:ascii="宋体" w:hAnsi="宋体"/>
          <w:snapToGrid w:val="0"/>
          <w:color w:val="000000" w:themeColor="text1"/>
          <w:kern w:val="0"/>
          <w:szCs w:val="21"/>
          <w:lang w:val="en-US" w:eastAsia="zh-CN"/>
          <w14:textFill>
            <w14:solidFill>
              <w14:schemeClr w14:val="tx1"/>
            </w14:solidFill>
          </w14:textFill>
        </w:rPr>
        <w:t>本项目</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为</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2026</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年</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7 </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月</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9</w:t>
      </w:r>
      <w:bookmarkStart w:id="1095" w:name="_GoBack"/>
      <w:bookmarkEnd w:id="1095"/>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日</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09 </w:t>
      </w:r>
      <w:r>
        <w:rPr>
          <w:rFonts w:hint="eastAsia" w:ascii="宋体" w:hAnsi="宋体" w:cs="宋体"/>
          <w:snapToGrid w:val="0"/>
          <w:color w:val="000000" w:themeColor="text1"/>
          <w:kern w:val="0"/>
          <w:szCs w:val="21"/>
          <w:lang w:val="en-US" w:eastAsia="zh-CN"/>
          <w14:textFill>
            <w14:solidFill>
              <w14:schemeClr w14:val="tx1"/>
            </w14:solidFill>
          </w14:textFill>
        </w:rPr>
        <w:t>时</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30 </w:t>
      </w:r>
      <w:r>
        <w:rPr>
          <w:rFonts w:hint="eastAsia" w:ascii="宋体" w:hAnsi="宋体" w:cs="宋体"/>
          <w:snapToGrid w:val="0"/>
          <w:color w:val="000000" w:themeColor="text1"/>
          <w:kern w:val="0"/>
          <w:szCs w:val="21"/>
          <w:lang w:val="en-US" w:eastAsia="zh-CN"/>
          <w14:textFill>
            <w14:solidFill>
              <w14:schemeClr w14:val="tx1"/>
            </w14:solidFill>
          </w14:textFill>
        </w:rPr>
        <w:t>分（北京时间）。</w:t>
      </w:r>
      <w:r>
        <w:rPr>
          <w:rFonts w:hint="eastAsia" w:ascii="宋体" w:hAnsi="宋体" w:eastAsia="宋体" w:cs="宋体"/>
          <w:snapToGrid w:val="0"/>
          <w:color w:val="000000" w:themeColor="text1"/>
          <w:kern w:val="0"/>
          <w:szCs w:val="21"/>
          <w:highlight w:val="none"/>
          <w14:textFill>
            <w14:solidFill>
              <w14:schemeClr w14:val="tx1"/>
            </w14:solidFill>
          </w14:textFill>
        </w:rPr>
        <w:t>投标人应当在投标截止时间前，</w:t>
      </w:r>
      <w:r>
        <w:rPr>
          <w:rFonts w:hint="eastAsia" w:ascii="宋体" w:hAnsi="宋体" w:eastAsia="宋体" w:cs="宋体"/>
          <w:color w:val="000000" w:themeColor="text1"/>
          <w:szCs w:val="21"/>
          <w:highlight w:val="none"/>
          <w14:textFill>
            <w14:solidFill>
              <w14:schemeClr w14:val="tx1"/>
            </w14:solidFill>
          </w14:textFill>
        </w:rPr>
        <w:t>由投标人将纸质投标文件【投标文件须装订成册，原则应编制目录，逐页标注页码（原则上装订成一册）；</w:t>
      </w:r>
      <w:r>
        <w:rPr>
          <w:rFonts w:hint="eastAsia" w:ascii="宋体" w:hAnsi="宋体" w:eastAsia="宋体" w:cs="宋体"/>
          <w:b/>
          <w:bCs/>
          <w:color w:val="000000" w:themeColor="text1"/>
          <w:szCs w:val="21"/>
          <w:highlight w:val="none"/>
          <w14:textFill>
            <w14:solidFill>
              <w14:schemeClr w14:val="tx1"/>
            </w14:solidFill>
          </w14:textFill>
        </w:rPr>
        <w:t>正本一份，副本</w:t>
      </w:r>
      <w:r>
        <w:rPr>
          <w:rFonts w:hint="eastAsia" w:ascii="宋体" w:hAnsi="宋体" w:cs="宋体"/>
          <w:b/>
          <w:bCs/>
          <w:color w:val="000000" w:themeColor="text1"/>
          <w:szCs w:val="21"/>
          <w:highlight w:val="none"/>
          <w:lang w:val="en-US" w:eastAsia="zh-CN"/>
          <w14:textFill>
            <w14:solidFill>
              <w14:schemeClr w14:val="tx1"/>
            </w14:solidFill>
          </w14:textFill>
        </w:rPr>
        <w:t>二</w:t>
      </w:r>
      <w:r>
        <w:rPr>
          <w:rFonts w:hint="eastAsia" w:ascii="宋体" w:hAnsi="宋体" w:eastAsia="宋体" w:cs="宋体"/>
          <w:b/>
          <w:bCs/>
          <w:color w:val="000000" w:themeColor="text1"/>
          <w:szCs w:val="21"/>
          <w:highlight w:val="none"/>
          <w14:textFill>
            <w14:solidFill>
              <w14:schemeClr w14:val="tx1"/>
            </w14:solidFill>
          </w14:textFill>
        </w:rPr>
        <w:t>份</w:t>
      </w:r>
      <w:r>
        <w:rPr>
          <w:rFonts w:hint="eastAsia" w:ascii="宋体" w:hAnsi="宋体" w:eastAsia="宋体" w:cs="宋体"/>
          <w:color w:val="000000" w:themeColor="text1"/>
          <w:szCs w:val="21"/>
          <w:highlight w:val="none"/>
          <w14:textFill>
            <w14:solidFill>
              <w14:schemeClr w14:val="tx1"/>
            </w14:solidFill>
          </w14:textFill>
        </w:rPr>
        <w:t>，正本文件内签字和盖章须为原件，副本可为正本的复印件】书面递交到</w:t>
      </w:r>
      <w:r>
        <w:rPr>
          <w:rFonts w:hint="eastAsia" w:ascii="宋体" w:hAnsi="宋体" w:eastAsia="宋体" w:cs="宋体"/>
          <w:b/>
          <w:bCs/>
          <w:i w:val="0"/>
          <w:iCs w:val="0"/>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eastAsia="宋体" w:cs="宋体"/>
          <w:color w:val="000000" w:themeColor="text1"/>
          <w:szCs w:val="21"/>
          <w:highlight w:val="none"/>
          <w14:textFill>
            <w14:solidFill>
              <w14:schemeClr w14:val="tx1"/>
            </w14:solidFill>
          </w14:textFill>
        </w:rPr>
        <w:t>联系人</w:t>
      </w:r>
      <w:r>
        <w:rPr>
          <w:rFonts w:hint="eastAsia" w:ascii="宋体" w:hAnsi="宋体" w:eastAsia="宋体" w:cs="宋体"/>
          <w:color w:val="000000" w:themeColor="text1"/>
          <w:szCs w:val="21"/>
          <w:highlight w:val="none"/>
          <w:u w:val="single"/>
          <w14:textFill>
            <w14:solidFill>
              <w14:schemeClr w14:val="tx1"/>
            </w14:solidFill>
          </w14:textFill>
        </w:rPr>
        <w:t xml:space="preserve"> 徐老师</w:t>
      </w:r>
      <w:r>
        <w:rPr>
          <w:rFonts w:hint="eastAsia" w:ascii="宋体" w:hAnsi="宋体" w:eastAsia="宋体" w:cs="宋体"/>
          <w:color w:val="000000" w:themeColor="text1"/>
          <w:szCs w:val="21"/>
          <w:highlight w:val="none"/>
          <w14:textFill>
            <w14:solidFill>
              <w14:schemeClr w14:val="tx1"/>
            </w14:solidFill>
          </w14:textFill>
        </w:rPr>
        <w:t xml:space="preserve"> 联系电话： </w:t>
      </w:r>
      <w:r>
        <w:rPr>
          <w:rFonts w:hint="eastAsia" w:ascii="宋体" w:hAnsi="宋体" w:cs="宋体"/>
          <w:color w:val="000000" w:themeColor="text1"/>
          <w:szCs w:val="21"/>
          <w:highlight w:val="none"/>
          <w:u w:val="single"/>
          <w:lang w:val="en-US" w:eastAsia="zh-CN"/>
          <w14:textFill>
            <w14:solidFill>
              <w14:schemeClr w14:val="tx1"/>
            </w14:solidFill>
          </w14:textFill>
        </w:rPr>
        <w:t>13101153571/</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color w:val="000000" w:themeColor="text1"/>
          <w:szCs w:val="21"/>
          <w:highlight w:val="none"/>
          <w14:textFill>
            <w14:solidFill>
              <w14:schemeClr w14:val="tx1"/>
            </w14:solidFill>
          </w14:textFill>
        </w:rPr>
        <w:t xml:space="preserve"> ,本项目不接受电子的投标文件和邮件，中标人中标后需提交与</w:t>
      </w:r>
      <w:r>
        <w:rPr>
          <w:rFonts w:hint="eastAsia" w:ascii="宋体" w:hAnsi="宋体" w:eastAsia="宋体" w:cs="宋体"/>
          <w:i w:val="0"/>
          <w:iCs w:val="0"/>
          <w:color w:val="000000" w:themeColor="text1"/>
          <w:szCs w:val="21"/>
          <w:highlight w:val="none"/>
          <w14:textFill>
            <w14:solidFill>
              <w14:schemeClr w14:val="tx1"/>
            </w14:solidFill>
          </w14:textFill>
        </w:rPr>
        <w:t>纸质投标文件一致的电子版投标文件。</w:t>
      </w:r>
    </w:p>
    <w:p w14:paraId="526D852B">
      <w:pPr>
        <w:pageBreakBefore w:val="0"/>
        <w:kinsoku/>
        <w:topLinePunct w:val="0"/>
        <w:autoSpaceDE w:val="0"/>
        <w:autoSpaceDN w:val="0"/>
        <w:bidi w:val="0"/>
        <w:adjustRightInd w:val="0"/>
        <w:snapToGrid w:val="0"/>
        <w:spacing w:line="360" w:lineRule="auto"/>
        <w:ind w:firstLine="420" w:firstLineChars="200"/>
        <w:rPr>
          <w:rFonts w:hint="eastAsia" w:ascii="宋体" w:hAnsi="宋体"/>
          <w:i w:val="0"/>
          <w:iCs w:val="0"/>
          <w:snapToGrid w:val="0"/>
          <w:kern w:val="0"/>
          <w:szCs w:val="21"/>
        </w:rPr>
      </w:pPr>
      <w:r>
        <w:rPr>
          <w:rFonts w:hint="eastAsia" w:ascii="宋体" w:hAnsi="宋体"/>
          <w:i w:val="0"/>
          <w:iCs w:val="0"/>
          <w:snapToGrid w:val="0"/>
          <w:kern w:val="0"/>
          <w:szCs w:val="21"/>
        </w:rPr>
        <w:t>5</w:t>
      </w:r>
      <w:r>
        <w:rPr>
          <w:rFonts w:ascii="宋体" w:hAnsi="宋体"/>
          <w:i w:val="0"/>
          <w:iCs w:val="0"/>
          <w:snapToGrid w:val="0"/>
          <w:kern w:val="0"/>
          <w:szCs w:val="21"/>
        </w:rPr>
        <w:t xml:space="preserve">.2 </w:t>
      </w:r>
      <w:r>
        <w:rPr>
          <w:rFonts w:hint="eastAsia" w:ascii="宋体" w:hAnsi="宋体"/>
          <w:i w:val="0"/>
          <w:iCs w:val="0"/>
          <w:snapToGrid w:val="0"/>
          <w:kern w:val="0"/>
          <w:szCs w:val="21"/>
          <w:lang w:val="en-US" w:eastAsia="zh-CN"/>
        </w:rPr>
        <w:t>投标文件递交地点：投标截止时间前将纸质投标文件递交到</w:t>
      </w:r>
      <w:r>
        <w:rPr>
          <w:rFonts w:hint="eastAsia" w:ascii="宋体" w:hAnsi="宋体" w:eastAsia="宋体" w:cs="宋体"/>
          <w:b/>
          <w:bCs/>
          <w:i w:val="0"/>
          <w:iCs w:val="0"/>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i w:val="0"/>
          <w:iCs w:val="0"/>
          <w:snapToGrid w:val="0"/>
          <w:kern w:val="0"/>
          <w:szCs w:val="21"/>
        </w:rPr>
        <w:t>。</w:t>
      </w:r>
    </w:p>
    <w:p w14:paraId="3A7D6679">
      <w:pPr>
        <w:autoSpaceDE w:val="0"/>
        <w:autoSpaceDN w:val="0"/>
        <w:adjustRightInd w:val="0"/>
        <w:snapToGrid w:val="0"/>
        <w:spacing w:line="450" w:lineRule="exact"/>
        <w:ind w:firstLine="420" w:firstLineChars="200"/>
        <w:rPr>
          <w:rFonts w:hint="eastAsia" w:ascii="宋体" w:hAnsi="宋体"/>
          <w:snapToGrid w:val="0"/>
          <w:kern w:val="0"/>
          <w:szCs w:val="21"/>
          <w:lang w:val="en-US" w:eastAsia="zh-CN"/>
        </w:rPr>
      </w:pPr>
      <w:r>
        <w:rPr>
          <w:rFonts w:hint="eastAsia" w:ascii="宋体" w:hAnsi="宋体"/>
          <w:snapToGrid w:val="0"/>
          <w:kern w:val="0"/>
          <w:szCs w:val="21"/>
        </w:rPr>
        <w:t>5</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rFonts w:hint="eastAsia" w:ascii="宋体" w:hAnsi="宋体"/>
          <w:snapToGrid w:val="0"/>
          <w:kern w:val="0"/>
          <w:szCs w:val="21"/>
          <w:lang w:val="en-US" w:eastAsia="zh-CN"/>
        </w:rPr>
        <w:t>逾期送达的或者未送达指定地点的投标文件，招标人不予受理。</w:t>
      </w:r>
    </w:p>
    <w:p w14:paraId="563AD546">
      <w:pPr>
        <w:autoSpaceDE w:val="0"/>
        <w:autoSpaceDN w:val="0"/>
        <w:adjustRightInd w:val="0"/>
        <w:snapToGrid w:val="0"/>
        <w:spacing w:line="450" w:lineRule="exact"/>
        <w:ind w:firstLine="422" w:firstLineChars="200"/>
        <w:rPr>
          <w:rFonts w:hint="eastAsia" w:ascii="宋体" w:hAnsi="宋体"/>
          <w:b/>
          <w:bCs/>
          <w:snapToGrid w:val="0"/>
          <w:color w:val="0000FF"/>
          <w:kern w:val="0"/>
          <w:szCs w:val="21"/>
          <w:lang w:val="en-US" w:eastAsia="zh-CN"/>
        </w:rPr>
      </w:pPr>
      <w:r>
        <w:rPr>
          <w:rFonts w:hint="eastAsia" w:ascii="宋体" w:hAnsi="宋体"/>
          <w:b/>
          <w:bCs/>
          <w:snapToGrid w:val="0"/>
          <w:color w:val="0000FF"/>
          <w:kern w:val="0"/>
          <w:szCs w:val="21"/>
          <w:lang w:val="en-US" w:eastAsia="zh-CN"/>
        </w:rPr>
        <w:t>5.4 各投标人需派技术人员在开标当天就该项目作技术讲解，每一投标人讲解时间控制在30分钟内。</w:t>
      </w:r>
    </w:p>
    <w:p w14:paraId="770B34D0">
      <w:pPr>
        <w:pStyle w:val="4"/>
        <w:spacing w:before="100" w:after="100" w:line="460" w:lineRule="exact"/>
        <w:rPr>
          <w:rFonts w:ascii="宋体" w:hAnsi="宋体"/>
          <w:snapToGrid w:val="0"/>
          <w:color w:val="auto"/>
          <w:sz w:val="28"/>
          <w:szCs w:val="28"/>
        </w:rPr>
      </w:pPr>
      <w:r>
        <w:rPr>
          <w:rFonts w:hint="eastAsia" w:ascii="宋体" w:hAnsi="宋体"/>
          <w:snapToGrid w:val="0"/>
          <w:color w:val="auto"/>
          <w:sz w:val="28"/>
          <w:szCs w:val="28"/>
        </w:rPr>
        <w:t>6</w:t>
      </w:r>
      <w:r>
        <w:rPr>
          <w:rFonts w:ascii="宋体" w:hAnsi="宋体"/>
          <w:snapToGrid w:val="0"/>
          <w:color w:val="auto"/>
          <w:sz w:val="28"/>
          <w:szCs w:val="28"/>
        </w:rPr>
        <w:t xml:space="preserve">. </w:t>
      </w:r>
      <w:r>
        <w:rPr>
          <w:rFonts w:hint="eastAsia" w:ascii="宋体" w:hAnsi="宋体"/>
          <w:snapToGrid w:val="0"/>
          <w:color w:val="auto"/>
          <w:sz w:val="28"/>
          <w:szCs w:val="28"/>
        </w:rPr>
        <w:t xml:space="preserve"> </w:t>
      </w:r>
      <w:r>
        <w:rPr>
          <w:rFonts w:ascii="宋体" w:hAnsi="宋体"/>
          <w:snapToGrid w:val="0"/>
          <w:color w:val="auto"/>
          <w:sz w:val="28"/>
          <w:szCs w:val="28"/>
        </w:rPr>
        <w:t>发布公告的媒介</w:t>
      </w:r>
      <w:bookmarkEnd w:id="57"/>
      <w:bookmarkEnd w:id="58"/>
      <w:bookmarkEnd w:id="59"/>
      <w:bookmarkEnd w:id="60"/>
      <w:bookmarkEnd w:id="61"/>
      <w:bookmarkEnd w:id="62"/>
      <w:bookmarkEnd w:id="63"/>
      <w:bookmarkEnd w:id="64"/>
      <w:bookmarkEnd w:id="65"/>
    </w:p>
    <w:p w14:paraId="11177BEB">
      <w:pPr>
        <w:tabs>
          <w:tab w:val="left" w:pos="4950"/>
        </w:tabs>
        <w:autoSpaceDE w:val="0"/>
        <w:autoSpaceDN w:val="0"/>
        <w:adjustRightInd w:val="0"/>
        <w:snapToGrid w:val="0"/>
        <w:spacing w:line="450" w:lineRule="exact"/>
        <w:ind w:firstLine="420" w:firstLineChars="200"/>
        <w:rPr>
          <w:rFonts w:ascii="宋体" w:hAnsi="宋体"/>
          <w:snapToGrid w:val="0"/>
          <w:color w:val="auto"/>
          <w:kern w:val="0"/>
          <w:szCs w:val="21"/>
        </w:rPr>
      </w:pPr>
      <w:bookmarkStart w:id="66" w:name="_Toc277082542"/>
      <w:bookmarkStart w:id="67" w:name="_Toc430530422"/>
      <w:bookmarkStart w:id="68" w:name="_Toc509218698"/>
      <w:bookmarkStart w:id="69" w:name="_Toc287620673"/>
      <w:bookmarkStart w:id="70" w:name="_Toc224103305"/>
      <w:bookmarkStart w:id="71" w:name="_Toc287607734"/>
      <w:r>
        <w:rPr>
          <w:rFonts w:ascii="宋体" w:hAnsi="宋体"/>
          <w:snapToGrid w:val="0"/>
          <w:color w:val="auto"/>
          <w:kern w:val="0"/>
          <w:szCs w:val="21"/>
        </w:rPr>
        <w:t>本次招标公告同时在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snapToGrid w:val="0"/>
          <w:color w:val="auto"/>
          <w:kern w:val="0"/>
          <w:szCs w:val="21"/>
        </w:rPr>
        <w:t>上发布。</w:t>
      </w:r>
    </w:p>
    <w:p w14:paraId="5F5570BA">
      <w:pPr>
        <w:pStyle w:val="4"/>
        <w:spacing w:before="100" w:after="100" w:line="460" w:lineRule="exact"/>
        <w:rPr>
          <w:rFonts w:ascii="宋体" w:hAnsi="宋体"/>
          <w:snapToGrid w:val="0"/>
          <w:color w:val="auto"/>
          <w:sz w:val="28"/>
          <w:szCs w:val="28"/>
        </w:rPr>
      </w:pPr>
      <w:bookmarkStart w:id="72" w:name="_Toc4854"/>
      <w:r>
        <w:rPr>
          <w:rFonts w:hint="eastAsia" w:ascii="宋体" w:hAnsi="宋体"/>
          <w:snapToGrid w:val="0"/>
          <w:color w:val="auto"/>
          <w:sz w:val="28"/>
          <w:szCs w:val="28"/>
        </w:rPr>
        <w:t>7</w:t>
      </w:r>
      <w:r>
        <w:rPr>
          <w:rFonts w:ascii="宋体" w:hAnsi="宋体"/>
          <w:snapToGrid w:val="0"/>
          <w:color w:val="auto"/>
          <w:sz w:val="28"/>
          <w:szCs w:val="28"/>
        </w:rPr>
        <w:t xml:space="preserve">. </w:t>
      </w:r>
      <w:r>
        <w:rPr>
          <w:rFonts w:hint="eastAsia" w:ascii="宋体" w:hAnsi="宋体"/>
          <w:snapToGrid w:val="0"/>
          <w:color w:val="auto"/>
          <w:sz w:val="28"/>
          <w:szCs w:val="28"/>
        </w:rPr>
        <w:t xml:space="preserve"> </w:t>
      </w:r>
      <w:r>
        <w:rPr>
          <w:rFonts w:ascii="宋体" w:hAnsi="宋体"/>
          <w:snapToGrid w:val="0"/>
          <w:color w:val="auto"/>
          <w:sz w:val="28"/>
          <w:szCs w:val="28"/>
        </w:rPr>
        <w:t>联系方式</w:t>
      </w:r>
      <w:bookmarkEnd w:id="66"/>
      <w:bookmarkEnd w:id="67"/>
      <w:bookmarkEnd w:id="68"/>
      <w:bookmarkEnd w:id="69"/>
      <w:bookmarkEnd w:id="70"/>
      <w:bookmarkEnd w:id="71"/>
      <w:bookmarkEnd w:id="72"/>
    </w:p>
    <w:p w14:paraId="6A233624">
      <w:pPr>
        <w:pageBreakBefore w:val="0"/>
        <w:tabs>
          <w:tab w:val="left" w:pos="5140"/>
          <w:tab w:val="left" w:pos="85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auto"/>
          <w:kern w:val="0"/>
          <w:szCs w:val="21"/>
          <w:highlight w:val="none"/>
        </w:rPr>
      </w:pPr>
      <w:r>
        <w:rPr>
          <w:rFonts w:hint="eastAsia" w:ascii="宋体" w:hAnsi="宋体" w:eastAsia="宋体" w:cs="宋体"/>
          <w:snapToGrid w:val="0"/>
          <w:color w:val="auto"/>
          <w:kern w:val="0"/>
          <w:szCs w:val="21"/>
          <w:highlight w:val="none"/>
        </w:rPr>
        <w:t>招 标 人：</w:t>
      </w:r>
      <w:r>
        <w:rPr>
          <w:rFonts w:hint="eastAsia" w:ascii="宋体" w:hAnsi="宋体" w:eastAsia="宋体" w:cs="宋体"/>
          <w:snapToGrid w:val="0"/>
          <w:color w:val="auto"/>
          <w:kern w:val="0"/>
          <w:szCs w:val="21"/>
          <w:highlight w:val="none"/>
          <w:u w:val="single"/>
        </w:rPr>
        <w:t>重庆市涪陵榨菜集团股份有限公司</w:t>
      </w:r>
      <w:r>
        <w:rPr>
          <w:rFonts w:hint="eastAsia" w:ascii="宋体" w:hAnsi="宋体" w:eastAsia="宋体" w:cs="宋体"/>
          <w:snapToGrid w:val="0"/>
          <w:color w:val="auto"/>
          <w:kern w:val="0"/>
          <w:szCs w:val="21"/>
          <w:highlight w:val="none"/>
        </w:rPr>
        <w:t xml:space="preserve">  </w:t>
      </w:r>
    </w:p>
    <w:p w14:paraId="46B708BD">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auto"/>
          <w:kern w:val="0"/>
          <w:szCs w:val="21"/>
          <w:highlight w:val="none"/>
        </w:rPr>
      </w:pPr>
      <w:r>
        <w:rPr>
          <w:rFonts w:hint="eastAsia" w:ascii="宋体" w:hAnsi="宋体" w:eastAsia="宋体" w:cs="宋体"/>
          <w:snapToGrid w:val="0"/>
          <w:color w:val="auto"/>
          <w:kern w:val="0"/>
          <w:szCs w:val="21"/>
          <w:highlight w:val="none"/>
        </w:rPr>
        <w:t>地    址：</w:t>
      </w:r>
      <w:r>
        <w:rPr>
          <w:rFonts w:hint="eastAsia" w:ascii="宋体" w:hAnsi="宋体" w:eastAsia="宋体" w:cs="宋体"/>
          <w:snapToGrid w:val="0"/>
          <w:color w:val="auto"/>
          <w:kern w:val="0"/>
          <w:szCs w:val="21"/>
          <w:highlight w:val="none"/>
          <w:u w:val="single"/>
        </w:rPr>
        <w:t>重庆市涪陵区江北街道二渡村一组</w:t>
      </w:r>
      <w:r>
        <w:rPr>
          <w:rFonts w:hint="eastAsia" w:ascii="宋体" w:hAnsi="宋体" w:eastAsia="宋体" w:cs="宋体"/>
          <w:snapToGrid w:val="0"/>
          <w:color w:val="auto"/>
          <w:kern w:val="0"/>
          <w:szCs w:val="21"/>
          <w:highlight w:val="none"/>
        </w:rPr>
        <w:t xml:space="preserve">   </w:t>
      </w:r>
    </w:p>
    <w:p w14:paraId="67094841">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6312F4EE">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7A93AF77">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cs="宋体"/>
          <w:snapToGrid w:val="0"/>
          <w:color w:val="000000" w:themeColor="text1"/>
          <w:kern w:val="0"/>
          <w:szCs w:val="21"/>
          <w:highlight w:val="none"/>
          <w:lang w:val="en-US" w:eastAsia="zh-CN"/>
          <w14:textFill>
            <w14:solidFill>
              <w14:schemeClr w14:val="tx1"/>
            </w14:solidFill>
          </w14:textFill>
        </w:rPr>
        <w:t>杨</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76973B7A">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13101153502</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4D18DB2D">
      <w:pPr>
        <w:pStyle w:val="2"/>
        <w:pageBreakBefore w:val="0"/>
        <w:kinsoku/>
        <w:topLinePunct w:val="0"/>
        <w:bidi w:val="0"/>
        <w:spacing w:line="360" w:lineRule="auto"/>
        <w:ind w:firstLine="210" w:firstLineChars="100"/>
        <w:jc w:val="right"/>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pP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2026年6月10日</w:t>
      </w:r>
    </w:p>
    <w:p w14:paraId="061E3593">
      <w:pPr>
        <w:pStyle w:val="2"/>
        <w:rPr>
          <w:rFonts w:ascii="宋体" w:hAnsi="宋体"/>
          <w:snapToGrid w:val="0"/>
          <w:kern w:val="0"/>
          <w:sz w:val="20"/>
          <w:szCs w:val="20"/>
        </w:rPr>
      </w:pPr>
      <w:r>
        <w:rPr>
          <w:snapToGrid w:val="0"/>
        </w:rPr>
        <w:br w:type="page"/>
      </w:r>
    </w:p>
    <w:p w14:paraId="79881EF1">
      <w:pPr>
        <w:pStyle w:val="3"/>
        <w:spacing w:line="360" w:lineRule="auto"/>
        <w:jc w:val="center"/>
        <w:rPr>
          <w:rFonts w:ascii="宋体" w:hAnsi="宋体"/>
          <w:bCs w:val="0"/>
          <w:snapToGrid w:val="0"/>
          <w:kern w:val="0"/>
        </w:rPr>
      </w:pPr>
      <w:bookmarkStart w:id="73" w:name="_Toc287607744"/>
      <w:bookmarkStart w:id="74" w:name="_Toc287620683"/>
      <w:bookmarkStart w:id="75" w:name="_Toc31110"/>
      <w:bookmarkStart w:id="76" w:name="_Toc32671"/>
      <w:bookmarkStart w:id="77" w:name="_Toc224103315"/>
      <w:bookmarkStart w:id="78" w:name="_Toc430530432"/>
      <w:r>
        <w:rPr>
          <w:rFonts w:ascii="宋体" w:hAnsi="宋体"/>
          <w:snapToGrid w:val="0"/>
          <w:kern w:val="0"/>
        </w:rPr>
        <w:t>第二章  投标人须知</w:t>
      </w:r>
      <w:bookmarkEnd w:id="73"/>
      <w:bookmarkEnd w:id="74"/>
      <w:bookmarkEnd w:id="75"/>
      <w:bookmarkEnd w:id="76"/>
      <w:bookmarkEnd w:id="77"/>
      <w:bookmarkEnd w:id="78"/>
      <w:bookmarkStart w:id="79" w:name="_Toc277082551"/>
      <w:bookmarkStart w:id="80" w:name="_Toc224103316"/>
      <w:bookmarkStart w:id="81" w:name="_Toc287620684"/>
      <w:bookmarkStart w:id="82" w:name="_Toc430530433"/>
      <w:bookmarkStart w:id="83" w:name="_Toc287607745"/>
    </w:p>
    <w:p w14:paraId="7B7DCB16">
      <w:pPr>
        <w:pStyle w:val="4"/>
        <w:spacing w:before="100" w:after="100" w:line="360" w:lineRule="auto"/>
        <w:rPr>
          <w:rFonts w:ascii="宋体" w:hAnsi="宋体"/>
        </w:rPr>
      </w:pPr>
      <w:bookmarkStart w:id="84" w:name="_Toc26966"/>
      <w:bookmarkStart w:id="85" w:name="_Toc509218708"/>
      <w:r>
        <w:rPr>
          <w:rFonts w:hint="eastAsia" w:ascii="宋体" w:hAnsi="宋体"/>
        </w:rPr>
        <w:t>投标人须知前附表</w:t>
      </w:r>
      <w:bookmarkEnd w:id="79"/>
      <w:bookmarkEnd w:id="80"/>
      <w:bookmarkEnd w:id="81"/>
      <w:bookmarkEnd w:id="82"/>
      <w:bookmarkEnd w:id="83"/>
      <w:bookmarkEnd w:id="84"/>
      <w:bookmarkEnd w:id="85"/>
    </w:p>
    <w:p w14:paraId="4F1A37A8">
      <w:pPr>
        <w:spacing w:line="360" w:lineRule="auto"/>
        <w:ind w:firstLine="420" w:firstLineChars="200"/>
        <w:rPr>
          <w:rFonts w:ascii="宋体" w:hAnsi="宋体"/>
          <w:szCs w:val="21"/>
        </w:rPr>
      </w:pPr>
      <w:r>
        <w:rPr>
          <w:rFonts w:ascii="宋体" w:hAnsi="宋体"/>
          <w:szCs w:val="21"/>
        </w:rPr>
        <w:t>正文内容不允许修改。若投标人须知前附表与正文不一致的地方，以投标人须知前附表为准。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65B0B4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31997FF9">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14:paraId="5C3B1F4D">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14:paraId="5B5EA470">
            <w:pPr>
              <w:snapToGrid w:val="0"/>
              <w:spacing w:line="400" w:lineRule="exact"/>
              <w:jc w:val="center"/>
              <w:rPr>
                <w:rFonts w:ascii="宋体" w:hAnsi="宋体"/>
                <w:b/>
                <w:kern w:val="0"/>
                <w:szCs w:val="21"/>
              </w:rPr>
            </w:pPr>
            <w:r>
              <w:rPr>
                <w:rFonts w:ascii="宋体" w:hAnsi="宋体"/>
                <w:b/>
                <w:kern w:val="0"/>
                <w:szCs w:val="21"/>
              </w:rPr>
              <w:t>编  列  内  容</w:t>
            </w:r>
          </w:p>
        </w:tc>
      </w:tr>
      <w:tr w14:paraId="2210B0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6AE916B">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14:paraId="4C863E15">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14:paraId="5D5B82E0">
            <w:pPr>
              <w:snapToGrid w:val="0"/>
              <w:spacing w:line="400" w:lineRule="exact"/>
              <w:rPr>
                <w:rFonts w:ascii="宋体" w:hAnsi="宋体"/>
                <w:kern w:val="0"/>
                <w:szCs w:val="21"/>
              </w:rPr>
            </w:pPr>
            <w:r>
              <w:rPr>
                <w:rFonts w:ascii="宋体" w:hAnsi="宋体"/>
                <w:kern w:val="0"/>
                <w:szCs w:val="21"/>
              </w:rPr>
              <w:t>名称：</w:t>
            </w:r>
            <w:r>
              <w:rPr>
                <w:rFonts w:hint="eastAsia" w:ascii="宋体" w:hAnsi="宋体" w:eastAsia="宋体" w:cs="宋体"/>
                <w:snapToGrid w:val="0"/>
                <w:color w:val="auto"/>
                <w:kern w:val="0"/>
                <w:szCs w:val="21"/>
                <w:highlight w:val="none"/>
                <w:u w:val="single"/>
              </w:rPr>
              <w:t>重庆市涪陵榨菜集团股份有限公司</w:t>
            </w:r>
          </w:p>
          <w:p w14:paraId="1CD3EA83">
            <w:pPr>
              <w:snapToGrid w:val="0"/>
              <w:spacing w:line="400" w:lineRule="exact"/>
              <w:rPr>
                <w:rFonts w:ascii="宋体" w:hAnsi="宋体"/>
                <w:kern w:val="0"/>
                <w:szCs w:val="21"/>
              </w:rPr>
            </w:pPr>
            <w:r>
              <w:rPr>
                <w:rFonts w:ascii="宋体" w:hAnsi="宋体"/>
                <w:kern w:val="0"/>
                <w:szCs w:val="21"/>
              </w:rPr>
              <w:t>地址：</w:t>
            </w:r>
            <w:r>
              <w:rPr>
                <w:rFonts w:hint="eastAsia" w:ascii="宋体" w:hAnsi="宋体" w:eastAsia="宋体" w:cs="宋体"/>
                <w:snapToGrid w:val="0"/>
                <w:color w:val="auto"/>
                <w:kern w:val="0"/>
                <w:szCs w:val="21"/>
                <w:highlight w:val="none"/>
                <w:u w:val="single"/>
              </w:rPr>
              <w:t>重庆市涪陵区江北街道二渡村一组</w:t>
            </w:r>
          </w:p>
          <w:p w14:paraId="342FE9F7">
            <w:pPr>
              <w:pageBreakBefore w:val="0"/>
              <w:tabs>
                <w:tab w:val="left" w:pos="5140"/>
                <w:tab w:val="left" w:pos="8420"/>
              </w:tabs>
              <w:kinsoku/>
              <w:topLinePunct w:val="0"/>
              <w:autoSpaceDE w:val="0"/>
              <w:autoSpaceDN w:val="0"/>
              <w:bidi w:val="0"/>
              <w:adjustRightInd w:val="0"/>
              <w:snapToGrid w:val="0"/>
              <w:spacing w:line="360" w:lineRule="auto"/>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7F0FAFD3">
            <w:pPr>
              <w:pageBreakBefore w:val="0"/>
              <w:tabs>
                <w:tab w:val="left" w:pos="5140"/>
                <w:tab w:val="left" w:pos="8420"/>
              </w:tabs>
              <w:kinsoku/>
              <w:topLinePunct w:val="0"/>
              <w:autoSpaceDE w:val="0"/>
              <w:autoSpaceDN w:val="0"/>
              <w:bidi w:val="0"/>
              <w:adjustRightInd w:val="0"/>
              <w:snapToGrid w:val="0"/>
              <w:spacing w:line="360" w:lineRule="auto"/>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25BAD822">
            <w:pPr>
              <w:pageBreakBefore w:val="0"/>
              <w:tabs>
                <w:tab w:val="left" w:pos="5140"/>
                <w:tab w:val="left" w:pos="8420"/>
              </w:tabs>
              <w:kinsoku/>
              <w:topLinePunct w:val="0"/>
              <w:autoSpaceDE w:val="0"/>
              <w:autoSpaceDN w:val="0"/>
              <w:bidi w:val="0"/>
              <w:adjustRightInd w:val="0"/>
              <w:snapToGrid w:val="0"/>
              <w:spacing w:line="360" w:lineRule="auto"/>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cs="宋体"/>
                <w:snapToGrid w:val="0"/>
                <w:color w:val="000000" w:themeColor="text1"/>
                <w:kern w:val="0"/>
                <w:szCs w:val="21"/>
                <w:highlight w:val="none"/>
                <w:lang w:val="en-US" w:eastAsia="zh-CN"/>
                <w14:textFill>
                  <w14:solidFill>
                    <w14:schemeClr w14:val="tx1"/>
                  </w14:solidFill>
                </w14:textFill>
              </w:rPr>
              <w:t>杨</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0DD95B14">
            <w:pPr>
              <w:snapToGrid w:val="0"/>
              <w:spacing w:line="400" w:lineRule="exact"/>
              <w:rPr>
                <w:rFonts w:ascii="宋体" w:hAnsi="宋体"/>
                <w:kern w:val="0"/>
                <w:szCs w:val="21"/>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13101153502</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tc>
      </w:tr>
      <w:tr w14:paraId="5B4DE1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4BF6338">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14:paraId="27378A47">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14:paraId="4137BAFC">
            <w:pPr>
              <w:snapToGrid w:val="0"/>
              <w:spacing w:line="400" w:lineRule="exact"/>
              <w:rPr>
                <w:rFonts w:ascii="宋体" w:hAnsi="宋体"/>
                <w:kern w:val="0"/>
                <w:szCs w:val="21"/>
              </w:rPr>
            </w:pPr>
            <w:r>
              <w:rPr>
                <w:rFonts w:hint="eastAsia" w:ascii="宋体" w:hAnsi="宋体"/>
                <w:kern w:val="0"/>
                <w:szCs w:val="21"/>
                <w:u w:val="single"/>
                <w:lang w:val="en-US" w:eastAsia="zh-CN"/>
              </w:rPr>
              <w:t xml:space="preserve"> /       </w:t>
            </w:r>
          </w:p>
        </w:tc>
      </w:tr>
      <w:tr w14:paraId="23E988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C6CD0A2">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14:paraId="73EE75AD">
            <w:pPr>
              <w:snapToGrid w:val="0"/>
              <w:spacing w:line="400" w:lineRule="exact"/>
              <w:jc w:val="center"/>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7C98AFF4">
            <w:pPr>
              <w:snapToGrid w:val="0"/>
              <w:spacing w:line="400" w:lineRule="exact"/>
              <w:ind w:firstLine="420" w:firstLineChars="200"/>
              <w:jc w:val="left"/>
              <w:rPr>
                <w:rFonts w:hint="default" w:ascii="宋体" w:hAnsi="宋体"/>
                <w:szCs w:val="21"/>
                <w:lang w:val="en-US"/>
              </w:rPr>
            </w:pPr>
            <w:r>
              <w:rPr>
                <w:rFonts w:hint="eastAsia" w:ascii="宋体" w:hAnsi="宋体" w:eastAsia="宋体" w:cs="宋体"/>
                <w:snapToGrid w:val="0"/>
                <w:color w:val="auto"/>
                <w:kern w:val="0"/>
                <w:szCs w:val="21"/>
                <w:highlight w:val="none"/>
                <w:u w:val="single"/>
                <w:lang w:val="en-US" w:eastAsia="zh-CN"/>
              </w:rPr>
              <w:t>乌江涪陵榨菜绿色智能化生产基地(一</w:t>
            </w:r>
            <w:r>
              <w:rPr>
                <w:rFonts w:hint="eastAsia" w:ascii="宋体" w:hAnsi="宋体" w:eastAsia="宋体" w:cs="宋体"/>
                <w:snapToGrid w:val="0"/>
                <w:color w:val="auto"/>
                <w:kern w:val="0"/>
                <w:sz w:val="21"/>
                <w:szCs w:val="21"/>
                <w:highlight w:val="none"/>
                <w:u w:val="single"/>
                <w:lang w:val="en-US" w:eastAsia="zh-CN"/>
              </w:rPr>
              <w:t>期)</w:t>
            </w:r>
            <w:r>
              <w:rPr>
                <w:rFonts w:hint="eastAsia" w:ascii="宋体" w:hAnsi="宋体"/>
                <w:color w:val="auto"/>
                <w:kern w:val="0"/>
                <w:sz w:val="21"/>
                <w:szCs w:val="21"/>
                <w:u w:val="single"/>
                <w:lang w:val="en-US" w:eastAsia="zh-CN"/>
              </w:rPr>
              <w:t>6号车间</w:t>
            </w:r>
            <w:r>
              <w:rPr>
                <w:rFonts w:hint="eastAsia"/>
                <w:color w:val="auto"/>
                <w:sz w:val="21"/>
                <w:szCs w:val="21"/>
                <w:highlight w:val="none"/>
                <w:u w:val="single"/>
                <w:lang w:val="en-US" w:eastAsia="zh-CN"/>
              </w:rPr>
              <w:t>半固态</w:t>
            </w:r>
            <w:r>
              <w:rPr>
                <w:rFonts w:hint="eastAsia"/>
                <w:color w:val="auto"/>
                <w:sz w:val="21"/>
                <w:szCs w:val="21"/>
                <w:highlight w:val="none"/>
                <w:u w:val="single"/>
                <w:lang w:eastAsia="zh-CN"/>
              </w:rPr>
              <w:t>复合调味料生产线</w:t>
            </w:r>
            <w:r>
              <w:rPr>
                <w:rFonts w:hint="eastAsia"/>
                <w:color w:val="auto"/>
                <w:sz w:val="21"/>
                <w:szCs w:val="21"/>
                <w:highlight w:val="none"/>
                <w:u w:val="single"/>
                <w:lang w:val="en-US" w:eastAsia="zh-CN"/>
              </w:rPr>
              <w:t>定制设备采购</w:t>
            </w:r>
          </w:p>
        </w:tc>
      </w:tr>
      <w:tr w14:paraId="07FBE0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F9B453A">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14:paraId="534A249C">
            <w:pPr>
              <w:snapToGrid w:val="0"/>
              <w:spacing w:line="400" w:lineRule="exact"/>
              <w:jc w:val="center"/>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5595F392">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rPr>
            </w:pPr>
            <w:r>
              <w:rPr>
                <w:rFonts w:hint="eastAsia" w:ascii="宋体" w:hAnsi="宋体"/>
                <w:kern w:val="2"/>
                <w:szCs w:val="21"/>
                <w:u w:val="single"/>
                <w:lang w:val="en-US" w:eastAsia="zh-CN"/>
              </w:rPr>
              <w:t>业主自筹，100%</w:t>
            </w:r>
          </w:p>
        </w:tc>
      </w:tr>
      <w:tr w14:paraId="7EAF99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3F01205">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14:paraId="2C3C1A62">
            <w:pPr>
              <w:snapToGrid w:val="0"/>
              <w:spacing w:line="400" w:lineRule="exact"/>
              <w:jc w:val="center"/>
              <w:rPr>
                <w:rFonts w:ascii="宋体" w:hAnsi="宋体"/>
                <w:kern w:val="0"/>
                <w:szCs w:val="21"/>
              </w:rPr>
            </w:pPr>
            <w:r>
              <w:rPr>
                <w:rFonts w:ascii="宋体" w:hAnsi="宋体"/>
                <w:kern w:val="0"/>
                <w:szCs w:val="21"/>
              </w:rPr>
              <w:t>资金落实情况</w:t>
            </w:r>
          </w:p>
        </w:tc>
        <w:tc>
          <w:tcPr>
            <w:tcW w:w="6490" w:type="dxa"/>
            <w:vAlign w:val="center"/>
          </w:tcPr>
          <w:p w14:paraId="389F012B">
            <w:pPr>
              <w:snapToGrid w:val="0"/>
              <w:spacing w:line="400" w:lineRule="exact"/>
              <w:ind w:firstLine="420" w:firstLineChars="200"/>
              <w:jc w:val="left"/>
              <w:rPr>
                <w:rFonts w:ascii="宋体" w:hAnsi="宋体"/>
                <w:szCs w:val="21"/>
                <w:u w:val="single"/>
              </w:rPr>
            </w:pPr>
            <w:r>
              <w:rPr>
                <w:rFonts w:hint="eastAsia" w:ascii="宋体" w:hAnsi="宋体"/>
                <w:szCs w:val="21"/>
                <w:u w:val="single"/>
              </w:rPr>
              <w:t>已落实</w:t>
            </w:r>
          </w:p>
        </w:tc>
      </w:tr>
      <w:tr w14:paraId="7E9B02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77E96F">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14:paraId="5862EA98">
            <w:pPr>
              <w:snapToGrid w:val="0"/>
              <w:spacing w:line="400" w:lineRule="exact"/>
              <w:jc w:val="center"/>
              <w:rPr>
                <w:rFonts w:ascii="宋体" w:hAnsi="宋体"/>
                <w:kern w:val="0"/>
                <w:szCs w:val="21"/>
              </w:rPr>
            </w:pPr>
            <w:r>
              <w:rPr>
                <w:rFonts w:ascii="宋体" w:hAnsi="宋体"/>
                <w:kern w:val="0"/>
                <w:szCs w:val="21"/>
              </w:rPr>
              <w:t>招标范围</w:t>
            </w:r>
          </w:p>
        </w:tc>
        <w:tc>
          <w:tcPr>
            <w:tcW w:w="6490" w:type="dxa"/>
            <w:vAlign w:val="center"/>
          </w:tcPr>
          <w:p w14:paraId="6C34F930">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Times New Roman" w:hAnsi="Times New Roman" w:eastAsia="宋体" w:cs="Times New Roman"/>
                <w:b w:val="0"/>
                <w:bCs w:val="0"/>
                <w:color w:val="auto"/>
                <w:kern w:val="2"/>
                <w:sz w:val="21"/>
                <w:szCs w:val="21"/>
                <w:u w:val="single"/>
                <w:lang w:val="en-US" w:eastAsia="zh-CN" w:bidi="ar-SA"/>
              </w:rPr>
              <w:t>定制1条半固态复合调味料生产线设备及配套设施（含半固态复合调味料设备、洗桶设备、熬油生产设备、油炒辣椒生产设备、辣椒酱生产设备等），以及从招标人指定点搭取的电缆、水管、气管、</w:t>
            </w:r>
            <w:r>
              <w:rPr>
                <w:rFonts w:hint="eastAsia" w:ascii="宋体" w:hAnsi="宋体" w:eastAsia="宋体" w:cs="宋体"/>
                <w:b w:val="0"/>
                <w:bCs w:val="0"/>
                <w:color w:val="auto"/>
                <w:kern w:val="2"/>
                <w:sz w:val="21"/>
                <w:szCs w:val="21"/>
                <w:u w:val="single"/>
                <w:lang w:val="en-US" w:eastAsia="zh-CN" w:bidi="ar-SA"/>
              </w:rPr>
              <w:t>天然气、</w:t>
            </w:r>
            <w:r>
              <w:rPr>
                <w:rFonts w:hint="eastAsia" w:ascii="Times New Roman" w:hAnsi="Times New Roman" w:eastAsia="宋体" w:cs="Times New Roman"/>
                <w:b w:val="0"/>
                <w:bCs w:val="0"/>
                <w:color w:val="auto"/>
                <w:kern w:val="2"/>
                <w:sz w:val="21"/>
                <w:szCs w:val="21"/>
                <w:u w:val="single"/>
                <w:lang w:val="en-US" w:eastAsia="zh-CN" w:bidi="ar-SA"/>
              </w:rPr>
              <w:t>蒸汽管道及其线槽、支架、阀门和仪表等。投标人完成半固态复合调味料生产线设备及配套设施的设计、供货（含备品备件、专用工器具等）、装配（含出厂前组装、测试和检验、现场整体组装等）、装卸、运输（含包装、保险）、安装（含设备基础、开洞、开沟、封堵、室外防护等）、调试、考核、验收，以及质量保证期内的维修、维护、保养、人员培训和其它相关伴随服务等工作内容；具体要求详见第五章“供货要求”。</w:t>
            </w:r>
          </w:p>
        </w:tc>
      </w:tr>
      <w:tr w14:paraId="055AD1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4652EF">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14:paraId="46524548">
            <w:pPr>
              <w:snapToGrid w:val="0"/>
              <w:spacing w:line="400" w:lineRule="exact"/>
              <w:jc w:val="center"/>
              <w:rPr>
                <w:rFonts w:ascii="宋体" w:hAnsi="宋体"/>
                <w:kern w:val="0"/>
                <w:szCs w:val="21"/>
              </w:rPr>
            </w:pPr>
            <w:r>
              <w:rPr>
                <w:rFonts w:hint="eastAsia" w:ascii="宋体" w:hAnsi="宋体"/>
                <w:kern w:val="0"/>
                <w:szCs w:val="21"/>
              </w:rPr>
              <w:t>交货期</w:t>
            </w:r>
          </w:p>
        </w:tc>
        <w:tc>
          <w:tcPr>
            <w:tcW w:w="6490" w:type="dxa"/>
            <w:vAlign w:val="center"/>
          </w:tcPr>
          <w:p w14:paraId="15CD79E5">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auto"/>
                <w:kern w:val="0"/>
                <w:szCs w:val="21"/>
                <w:lang w:val="en-US" w:eastAsia="zh-CN"/>
              </w:rPr>
            </w:pPr>
            <w:r>
              <w:rPr>
                <w:rFonts w:hint="eastAsia" w:ascii="宋体" w:hAnsi="宋体" w:eastAsia="宋体"/>
                <w:snapToGrid w:val="0"/>
                <w:color w:val="auto"/>
                <w:kern w:val="0"/>
                <w:szCs w:val="21"/>
                <w:u w:val="none"/>
                <w:lang w:val="en-US" w:eastAsia="zh-CN"/>
              </w:rPr>
              <w:t>交货期：</w:t>
            </w:r>
            <w:r>
              <w:rPr>
                <w:rFonts w:hint="eastAsia" w:ascii="宋体" w:hAnsi="宋体"/>
                <w:snapToGrid w:val="0"/>
                <w:color w:val="auto"/>
                <w:kern w:val="0"/>
                <w:szCs w:val="21"/>
                <w:u w:val="single"/>
                <w:lang w:val="en-US" w:eastAsia="zh-CN"/>
              </w:rPr>
              <w:t>12</w:t>
            </w:r>
            <w:r>
              <w:rPr>
                <w:rFonts w:hint="eastAsia" w:ascii="宋体" w:hAnsi="宋体" w:eastAsia="宋体"/>
                <w:snapToGrid w:val="0"/>
                <w:color w:val="auto"/>
                <w:kern w:val="0"/>
                <w:szCs w:val="21"/>
                <w:u w:val="single"/>
              </w:rPr>
              <w:t>0日历天</w:t>
            </w:r>
            <w:r>
              <w:rPr>
                <w:rFonts w:hint="eastAsia" w:ascii="宋体" w:hAnsi="宋体" w:eastAsia="宋体"/>
                <w:snapToGrid w:val="0"/>
                <w:color w:val="auto"/>
                <w:kern w:val="0"/>
                <w:szCs w:val="21"/>
                <w:u w:val="none"/>
              </w:rPr>
              <w:t>，含设备安装调试工期</w:t>
            </w:r>
            <w:r>
              <w:rPr>
                <w:rFonts w:hint="eastAsia" w:ascii="宋体" w:hAnsi="宋体" w:eastAsia="宋体"/>
                <w:snapToGrid w:val="0"/>
                <w:color w:val="auto"/>
                <w:kern w:val="0"/>
                <w:szCs w:val="21"/>
                <w:u w:val="single"/>
                <w:lang w:val="en-US" w:eastAsia="zh-CN"/>
              </w:rPr>
              <w:t>3</w:t>
            </w:r>
            <w:r>
              <w:rPr>
                <w:rFonts w:hint="eastAsia" w:ascii="宋体" w:hAnsi="宋体" w:eastAsia="宋体"/>
                <w:snapToGrid w:val="0"/>
                <w:color w:val="auto"/>
                <w:kern w:val="0"/>
                <w:szCs w:val="21"/>
                <w:u w:val="single"/>
              </w:rPr>
              <w:t>0日历天</w:t>
            </w:r>
            <w:r>
              <w:rPr>
                <w:rFonts w:hint="eastAsia" w:ascii="宋体" w:hAnsi="宋体" w:eastAsia="宋体"/>
                <w:snapToGrid w:val="0"/>
                <w:color w:val="auto"/>
                <w:kern w:val="0"/>
                <w:szCs w:val="21"/>
                <w:u w:val="none"/>
                <w:lang w:eastAsia="zh-CN"/>
              </w:rPr>
              <w:t>，</w:t>
            </w:r>
            <w:r>
              <w:rPr>
                <w:rFonts w:hint="eastAsia" w:ascii="宋体" w:hAnsi="宋体"/>
                <w:snapToGrid w:val="0"/>
                <w:color w:val="auto"/>
                <w:kern w:val="0"/>
                <w:szCs w:val="21"/>
                <w:u w:val="none"/>
                <w:lang w:val="en-US" w:eastAsia="zh-CN"/>
              </w:rPr>
              <w:t>合同签订</w:t>
            </w:r>
            <w:r>
              <w:rPr>
                <w:rFonts w:hint="eastAsia" w:ascii="宋体" w:hAnsi="宋体" w:eastAsia="宋体" w:cs="宋体"/>
                <w:caps w:val="0"/>
                <w:smallCaps w:val="0"/>
                <w:color w:val="auto"/>
                <w:sz w:val="21"/>
                <w:szCs w:val="21"/>
                <w:highlight w:val="none"/>
                <w:u w:val="none"/>
                <w:lang w:val="en-US" w:eastAsia="zh-CN"/>
              </w:rPr>
              <w:t>之日起计算（如因特殊情况以招标人下发指令为准）。</w:t>
            </w:r>
            <w:r>
              <w:rPr>
                <w:rFonts w:hint="eastAsia" w:ascii="宋体" w:hAnsi="宋体" w:eastAsia="宋体"/>
                <w:b/>
                <w:bCs/>
                <w:snapToGrid w:val="0"/>
                <w:color w:val="auto"/>
                <w:kern w:val="0"/>
                <w:szCs w:val="21"/>
                <w:u w:val="none"/>
              </w:rPr>
              <w:t>投标人</w:t>
            </w:r>
            <w:r>
              <w:rPr>
                <w:rFonts w:hint="eastAsia" w:ascii="宋体" w:hAnsi="宋体" w:eastAsia="宋体"/>
                <w:b/>
                <w:bCs/>
                <w:snapToGrid w:val="0"/>
                <w:color w:val="auto"/>
                <w:kern w:val="0"/>
                <w:szCs w:val="21"/>
                <w:u w:val="none"/>
                <w:lang w:val="en-US" w:eastAsia="zh-CN"/>
              </w:rPr>
              <w:t>可根据实际情况缩短合同工期。</w:t>
            </w:r>
          </w:p>
          <w:p w14:paraId="6EA30F09">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auto"/>
                <w:kern w:val="0"/>
                <w:szCs w:val="21"/>
                <w:u w:val="single"/>
                <w:lang w:val="en-US" w:eastAsia="zh-CN"/>
              </w:rPr>
            </w:pPr>
            <w:r>
              <w:rPr>
                <w:rFonts w:hint="eastAsia" w:ascii="宋体" w:hAnsi="宋体" w:eastAsia="宋体"/>
                <w:snapToGrid w:val="0"/>
                <w:color w:val="auto"/>
                <w:kern w:val="0"/>
                <w:szCs w:val="21"/>
                <w:u w:val="none"/>
                <w:lang w:val="en-US" w:eastAsia="zh-CN"/>
              </w:rPr>
              <w:t>投标人在中标通知书签发30日内完成全部设备安装施工图设计并交招标人审批，如未达到招标人要求的，需要重新修改，直到招标人审批为止，</w:t>
            </w:r>
            <w:r>
              <w:rPr>
                <w:rFonts w:hint="eastAsia" w:ascii="宋体" w:hAnsi="宋体"/>
                <w:snapToGrid w:val="0"/>
                <w:color w:val="auto"/>
                <w:kern w:val="0"/>
                <w:szCs w:val="21"/>
                <w:u w:val="none"/>
                <w:lang w:val="en-US" w:eastAsia="zh-CN"/>
              </w:rPr>
              <w:t>且</w:t>
            </w:r>
            <w:r>
              <w:rPr>
                <w:rFonts w:hint="eastAsia" w:ascii="宋体" w:hAnsi="宋体" w:eastAsia="宋体"/>
                <w:snapToGrid w:val="0"/>
                <w:color w:val="auto"/>
                <w:kern w:val="0"/>
                <w:szCs w:val="21"/>
                <w:u w:val="none"/>
                <w:lang w:val="en-US" w:eastAsia="zh-CN"/>
              </w:rPr>
              <w:t>修改</w:t>
            </w:r>
            <w:r>
              <w:rPr>
                <w:rFonts w:hint="eastAsia" w:ascii="宋体" w:hAnsi="宋体"/>
                <w:snapToGrid w:val="0"/>
                <w:color w:val="auto"/>
                <w:kern w:val="0"/>
                <w:szCs w:val="21"/>
                <w:u w:val="none"/>
                <w:lang w:val="en-US" w:eastAsia="zh-CN"/>
              </w:rPr>
              <w:t>的</w:t>
            </w:r>
            <w:r>
              <w:rPr>
                <w:rFonts w:hint="eastAsia" w:ascii="宋体" w:hAnsi="宋体" w:eastAsia="宋体"/>
                <w:snapToGrid w:val="0"/>
                <w:color w:val="auto"/>
                <w:kern w:val="0"/>
                <w:szCs w:val="21"/>
                <w:u w:val="none"/>
                <w:lang w:val="en-US" w:eastAsia="zh-CN"/>
              </w:rPr>
              <w:t>最终完成时间为在中标通知书签发30日内。</w:t>
            </w:r>
          </w:p>
          <w:p w14:paraId="7C3CBF24">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eastAsia="宋体"/>
                <w:snapToGrid w:val="0"/>
                <w:color w:val="auto"/>
                <w:kern w:val="0"/>
                <w:szCs w:val="21"/>
                <w:lang w:val="en-US" w:eastAsia="zh-CN"/>
              </w:rPr>
              <w:t>质量保证期：</w:t>
            </w:r>
            <w:r>
              <w:rPr>
                <w:rFonts w:hint="eastAsia" w:ascii="宋体" w:hAnsi="宋体" w:eastAsia="宋体" w:cs="宋体"/>
                <w:caps w:val="0"/>
                <w:smallCaps w:val="0"/>
                <w:color w:val="auto"/>
                <w:sz w:val="21"/>
                <w:szCs w:val="21"/>
                <w:lang w:val="en-US" w:eastAsia="zh-CN"/>
              </w:rPr>
              <w:t>所有设备自验收合格</w:t>
            </w:r>
            <w:r>
              <w:rPr>
                <w:rFonts w:hint="eastAsia" w:ascii="宋体" w:hAnsi="宋体" w:eastAsia="宋体" w:cs="宋体"/>
                <w:caps w:val="0"/>
                <w:smallCaps w:val="0"/>
                <w:color w:val="auto"/>
                <w:kern w:val="2"/>
                <w:sz w:val="21"/>
                <w:szCs w:val="21"/>
                <w:highlight w:val="none"/>
                <w:lang w:val="en-US" w:eastAsia="zh-CN" w:bidi="ar-SA"/>
              </w:rPr>
              <w:t>并交付业主使用</w:t>
            </w:r>
            <w:r>
              <w:rPr>
                <w:rFonts w:hint="eastAsia" w:ascii="宋体" w:hAnsi="宋体" w:eastAsia="宋体" w:cs="宋体"/>
                <w:caps w:val="0"/>
                <w:smallCaps w:val="0"/>
                <w:color w:val="auto"/>
                <w:sz w:val="21"/>
                <w:szCs w:val="21"/>
                <w:lang w:val="en-US" w:eastAsia="zh-CN"/>
              </w:rPr>
              <w:t>之日起</w:t>
            </w:r>
            <w:r>
              <w:rPr>
                <w:rFonts w:hint="eastAsia" w:ascii="宋体" w:hAnsi="宋体" w:eastAsia="宋体" w:cs="宋体"/>
                <w:caps w:val="0"/>
                <w:smallCaps w:val="0"/>
                <w:color w:val="auto"/>
                <w:sz w:val="21"/>
                <w:szCs w:val="21"/>
                <w:u w:val="single"/>
                <w:lang w:val="en-US" w:eastAsia="zh-CN"/>
              </w:rPr>
              <w:t>24</w:t>
            </w:r>
            <w:r>
              <w:rPr>
                <w:rFonts w:hint="eastAsia" w:ascii="宋体" w:hAnsi="宋体" w:eastAsia="宋体" w:cs="宋体"/>
                <w:caps w:val="0"/>
                <w:smallCaps w:val="0"/>
                <w:color w:val="auto"/>
                <w:sz w:val="21"/>
                <w:szCs w:val="21"/>
                <w:lang w:val="en-US" w:eastAsia="zh-CN"/>
              </w:rPr>
              <w:t>个月</w:t>
            </w:r>
            <w:r>
              <w:rPr>
                <w:rFonts w:hint="eastAsia" w:ascii="宋体" w:hAnsi="宋体" w:eastAsia="宋体"/>
                <w:snapToGrid w:val="0"/>
                <w:color w:val="auto"/>
                <w:kern w:val="0"/>
                <w:sz w:val="21"/>
                <w:szCs w:val="21"/>
                <w:highlight w:val="none"/>
                <w:lang w:val="en-US" w:eastAsia="zh-CN"/>
              </w:rPr>
              <w:t>，</w:t>
            </w:r>
            <w:r>
              <w:rPr>
                <w:rFonts w:hint="eastAsia" w:ascii="宋体" w:hAnsi="宋体" w:eastAsia="宋体"/>
                <w:b/>
                <w:bCs/>
                <w:snapToGrid w:val="0"/>
                <w:color w:val="auto"/>
                <w:kern w:val="0"/>
                <w:sz w:val="21"/>
                <w:szCs w:val="21"/>
                <w:highlight w:val="none"/>
                <w:lang w:val="en-US" w:eastAsia="zh-CN"/>
              </w:rPr>
              <w:t>投标人可选择延长质保期。</w:t>
            </w:r>
          </w:p>
        </w:tc>
      </w:tr>
      <w:tr w14:paraId="42B85B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A445218">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14:paraId="79B6DF08">
            <w:pPr>
              <w:snapToGrid w:val="0"/>
              <w:spacing w:line="400" w:lineRule="exact"/>
              <w:jc w:val="center"/>
              <w:rPr>
                <w:rFonts w:ascii="宋体" w:hAnsi="宋体"/>
                <w:kern w:val="0"/>
                <w:szCs w:val="21"/>
              </w:rPr>
            </w:pPr>
            <w:r>
              <w:rPr>
                <w:rFonts w:hint="eastAsia" w:ascii="宋体" w:hAnsi="宋体"/>
                <w:kern w:val="0"/>
                <w:szCs w:val="21"/>
              </w:rPr>
              <w:t>交货地点</w:t>
            </w:r>
          </w:p>
        </w:tc>
        <w:tc>
          <w:tcPr>
            <w:tcW w:w="6490" w:type="dxa"/>
            <w:vAlign w:val="center"/>
          </w:tcPr>
          <w:p w14:paraId="63F1151D">
            <w:pPr>
              <w:snapToGrid w:val="0"/>
              <w:spacing w:line="400" w:lineRule="exact"/>
              <w:ind w:firstLine="420" w:firstLineChars="200"/>
              <w:rPr>
                <w:rFonts w:ascii="宋体" w:hAnsi="宋体"/>
                <w:szCs w:val="21"/>
              </w:rPr>
            </w:pPr>
            <w:r>
              <w:rPr>
                <w:rFonts w:hint="eastAsia" w:ascii="宋体" w:hAnsi="宋体"/>
                <w:snapToGrid w:val="0"/>
                <w:kern w:val="0"/>
                <w:szCs w:val="21"/>
                <w:u w:val="single"/>
              </w:rPr>
              <w:t>重庆市涪陵区马鞍街道人和社区</w:t>
            </w:r>
          </w:p>
        </w:tc>
      </w:tr>
      <w:tr w14:paraId="6A1330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08DD924">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46F0E8A8">
            <w:pPr>
              <w:snapToGrid w:val="0"/>
              <w:spacing w:line="400" w:lineRule="exact"/>
              <w:jc w:val="center"/>
              <w:rPr>
                <w:rFonts w:hint="eastAsia" w:ascii="宋体" w:hAnsi="宋体"/>
                <w:kern w:val="0"/>
                <w:szCs w:val="21"/>
              </w:rPr>
            </w:pPr>
            <w:r>
              <w:rPr>
                <w:rFonts w:hint="eastAsia" w:ascii="宋体" w:hAnsi="宋体"/>
                <w:kern w:val="0"/>
                <w:szCs w:val="21"/>
              </w:rPr>
              <w:t>质量标准</w:t>
            </w:r>
          </w:p>
          <w:p w14:paraId="631CA101">
            <w:pPr>
              <w:snapToGrid w:val="0"/>
              <w:spacing w:line="400" w:lineRule="exact"/>
              <w:jc w:val="center"/>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651DDE35">
            <w:pPr>
              <w:pageBreakBefore w:val="0"/>
              <w:kinsoku/>
              <w:wordWrap/>
              <w:overflowPunct/>
              <w:topLinePunct w:val="0"/>
              <w:bidi w:val="0"/>
              <w:snapToGrid w:val="0"/>
              <w:spacing w:line="360" w:lineRule="auto"/>
              <w:ind w:firstLine="420" w:firstLineChars="200"/>
              <w:jc w:val="left"/>
              <w:rPr>
                <w:rFonts w:hint="eastAsia" w:ascii="宋体" w:hAnsi="宋体" w:eastAsia="宋体" w:cs="宋体"/>
                <w:caps w:val="0"/>
                <w:smallCaps w:val="0"/>
                <w:color w:val="000000" w:themeColor="text1"/>
                <w:sz w:val="21"/>
                <w:highlight w:val="none"/>
                <w:u w:val="none"/>
                <w:lang w:val="en-US" w:eastAsia="zh-CN"/>
                <w14:textFill>
                  <w14:solidFill>
                    <w14:schemeClr w14:val="tx1"/>
                  </w14:solidFill>
                </w14:textFill>
              </w:rPr>
            </w:pPr>
            <w:r>
              <w:rPr>
                <w:rFonts w:hint="eastAsia" w:ascii="宋体" w:hAnsi="宋体"/>
                <w:color w:val="000000" w:themeColor="text1"/>
                <w:szCs w:val="21"/>
                <w:highlight w:val="none"/>
                <w:u w:val="none"/>
                <w14:textFill>
                  <w14:solidFill>
                    <w14:schemeClr w14:val="tx1"/>
                  </w14:solidFill>
                </w14:textFill>
              </w:rPr>
              <w:t>符合强制性质量标准，符合</w:t>
            </w:r>
            <w:r>
              <w:rPr>
                <w:rFonts w:ascii="宋体" w:hAnsi="宋体"/>
                <w:color w:val="000000" w:themeColor="text1"/>
                <w:szCs w:val="21"/>
                <w:highlight w:val="none"/>
                <w:u w:val="none"/>
                <w14:textFill>
                  <w14:solidFill>
                    <w14:schemeClr w14:val="tx1"/>
                  </w14:solidFill>
                </w14:textFill>
              </w:rPr>
              <w:t>国家和重庆市现行有关施工质量验收规范要求，</w:t>
            </w:r>
            <w:r>
              <w:rPr>
                <w:rFonts w:hint="eastAsia" w:ascii="宋体" w:hAnsi="宋体" w:eastAsia="宋体" w:cs="Times New Roman"/>
                <w:color w:val="000000" w:themeColor="text1"/>
                <w:szCs w:val="21"/>
                <w:highlight w:val="none"/>
                <w:u w:val="none"/>
                <w14:textFill>
                  <w14:solidFill>
                    <w14:schemeClr w14:val="tx1"/>
                  </w14:solidFill>
                </w14:textFill>
              </w:rPr>
              <w:t>并达到</w:t>
            </w:r>
            <w:r>
              <w:rPr>
                <w:rFonts w:ascii="宋体" w:hAnsi="宋体"/>
                <w:color w:val="000000" w:themeColor="text1"/>
                <w:szCs w:val="21"/>
                <w:highlight w:val="none"/>
                <w:u w:val="none"/>
                <w14:textFill>
                  <w14:solidFill>
                    <w14:schemeClr w14:val="tx1"/>
                  </w14:solidFill>
                </w14:textFill>
              </w:rPr>
              <w:t>合格标准</w:t>
            </w:r>
            <w:r>
              <w:rPr>
                <w:rFonts w:hint="default" w:ascii="宋体" w:hAnsi="宋体"/>
                <w:color w:val="000000" w:themeColor="text1"/>
                <w:szCs w:val="21"/>
                <w:highlight w:val="none"/>
                <w:u w:val="none"/>
                <w:lang w:eastAsia="zh-CN"/>
                <w14:textFill>
                  <w14:solidFill>
                    <w14:schemeClr w14:val="tx1"/>
                  </w14:solidFill>
                </w14:textFill>
              </w:rPr>
              <w:t>；</w:t>
            </w:r>
            <w:r>
              <w:rPr>
                <w:rFonts w:hint="eastAsia" w:ascii="宋体" w:hAnsi="宋体" w:eastAsia="宋体" w:cs="Times New Roman"/>
                <w:b w:val="0"/>
                <w:bCs w:val="0"/>
                <w:color w:val="000000" w:themeColor="text1"/>
                <w:sz w:val="21"/>
                <w:szCs w:val="21"/>
                <w:highlight w:val="none"/>
                <w:u w:val="none"/>
                <w:lang w:val="en-US" w:eastAsia="zh-CN"/>
                <w14:textFill>
                  <w14:solidFill>
                    <w14:schemeClr w14:val="tx1"/>
                  </w14:solidFill>
                </w14:textFill>
              </w:rPr>
              <w:t>同时还必须满足以下要求</w:t>
            </w:r>
            <w:r>
              <w:rPr>
                <w:rFonts w:hint="eastAsia" w:ascii="宋体" w:hAnsi="宋体" w:cs="Times New Roman"/>
                <w:b w:val="0"/>
                <w:bCs w:val="0"/>
                <w:color w:val="000000" w:themeColor="text1"/>
                <w:sz w:val="21"/>
                <w:szCs w:val="21"/>
                <w:highlight w:val="none"/>
                <w:u w:val="none"/>
                <w:lang w:val="en-US" w:eastAsia="zh-CN"/>
                <w14:textFill>
                  <w14:solidFill>
                    <w14:schemeClr w14:val="tx1"/>
                  </w14:solidFill>
                </w14:textFill>
              </w:rPr>
              <w:t>：</w:t>
            </w:r>
          </w:p>
          <w:p w14:paraId="1F10FD59">
            <w:pPr>
              <w:pageBreakBefore w:val="0"/>
              <w:numPr>
                <w:ilvl w:val="0"/>
                <w:numId w:val="0"/>
              </w:numPr>
              <w:kinsoku/>
              <w:wordWrap/>
              <w:overflowPunct/>
              <w:topLinePunct w:val="0"/>
              <w:bidi w:val="0"/>
              <w:snapToGrid w:val="0"/>
              <w:spacing w:line="360" w:lineRule="auto"/>
              <w:ind w:firstLine="420" w:firstLineChars="200"/>
              <w:jc w:val="left"/>
              <w:rPr>
                <w:rFonts w:hint="eastAsia" w:ascii="宋体" w:hAnsi="宋体" w:eastAsia="宋体" w:cs="宋体"/>
                <w:caps w:val="0"/>
                <w:smallCaps w:val="0"/>
                <w:color w:val="000000" w:themeColor="text1"/>
                <w:sz w:val="21"/>
                <w:szCs w:val="21"/>
                <w:highlight w:val="none"/>
                <w:u w:val="none"/>
                <w:lang w:eastAsia="zh-CN"/>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（1）</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所有设备必须是</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全新，未</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使</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用过</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w:t>
            </w:r>
          </w:p>
          <w:p w14:paraId="179E94D6">
            <w:pPr>
              <w:pageBreakBefore w:val="0"/>
              <w:kinsoku/>
              <w:wordWrap/>
              <w:overflowPunct/>
              <w:topLinePunct w:val="0"/>
              <w:bidi w:val="0"/>
              <w:snapToGrid w:val="0"/>
              <w:spacing w:line="360" w:lineRule="auto"/>
              <w:ind w:firstLine="420" w:firstLineChars="200"/>
              <w:jc w:val="left"/>
              <w:rPr>
                <w:rFonts w:hint="default" w:ascii="宋体" w:hAnsi="宋体"/>
                <w:color w:val="000000" w:themeColor="text1"/>
                <w:szCs w:val="21"/>
                <w:highlight w:val="none"/>
                <w:u w:val="none"/>
                <w:lang w:val="en-US" w:eastAsia="zh-CN"/>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（2）系统</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不得设置密码（基于管理需要需设置密码的，则向招</w:t>
            </w:r>
            <w:r>
              <w:rPr>
                <w:rFonts w:hint="eastAsia" w:ascii="宋体" w:hAnsi="宋体"/>
                <w:color w:val="000000" w:themeColor="text1"/>
                <w:szCs w:val="21"/>
                <w:highlight w:val="none"/>
                <w:u w:val="none"/>
                <w:lang w:val="en-US" w:eastAsia="zh-CN"/>
                <w14:textFill>
                  <w14:solidFill>
                    <w14:schemeClr w14:val="tx1"/>
                  </w14:solidFill>
                </w14:textFill>
              </w:rPr>
              <w:t>标人提供密码）或其它方式阻碍招标人自行使用维护系统；</w:t>
            </w:r>
          </w:p>
          <w:p w14:paraId="0C70E7A1">
            <w:pPr>
              <w:pageBreakBefore w:val="0"/>
              <w:kinsoku/>
              <w:wordWrap/>
              <w:overflowPunct/>
              <w:topLinePunct w:val="0"/>
              <w:bidi w:val="0"/>
              <w:snapToGrid w:val="0"/>
              <w:spacing w:line="360" w:lineRule="auto"/>
              <w:ind w:firstLine="420" w:firstLineChars="200"/>
              <w:jc w:val="left"/>
              <w:rPr>
                <w:rFonts w:ascii="宋体" w:hAnsi="宋体"/>
                <w:i/>
                <w:szCs w:val="21"/>
              </w:rPr>
            </w:pPr>
            <w:r>
              <w:rPr>
                <w:rFonts w:hint="eastAsia" w:ascii="宋体" w:hAnsi="宋体"/>
                <w:color w:val="000000" w:themeColor="text1"/>
                <w:szCs w:val="21"/>
                <w:highlight w:val="none"/>
                <w:u w:val="none"/>
                <w:lang w:val="en-US" w:eastAsia="zh-CN"/>
                <w14:textFill>
                  <w14:solidFill>
                    <w14:schemeClr w14:val="tx1"/>
                  </w14:solidFill>
                </w14:textFill>
              </w:rPr>
              <w:t>（3）其余详见</w:t>
            </w:r>
            <w:r>
              <w:rPr>
                <w:rFonts w:hint="eastAsia" w:ascii="宋体" w:hAnsi="宋体"/>
                <w:color w:val="000000" w:themeColor="text1"/>
                <w:szCs w:val="21"/>
                <w:highlight w:val="none"/>
                <w:u w:val="none"/>
                <w14:textFill>
                  <w14:solidFill>
                    <w14:schemeClr w14:val="tx1"/>
                  </w14:solidFill>
                </w14:textFill>
              </w:rPr>
              <w:t>详见第五章供货要求。</w:t>
            </w:r>
          </w:p>
        </w:tc>
      </w:tr>
      <w:tr w14:paraId="526D36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52BF9129">
            <w:pPr>
              <w:snapToGrid w:val="0"/>
              <w:spacing w:line="400" w:lineRule="exact"/>
              <w:jc w:val="center"/>
              <w:rPr>
                <w:rFonts w:ascii="宋体" w:hAnsi="宋体"/>
                <w:kern w:val="0"/>
                <w:szCs w:val="21"/>
              </w:rPr>
            </w:pPr>
          </w:p>
          <w:p w14:paraId="3055A76D">
            <w:pPr>
              <w:snapToGrid w:val="0"/>
              <w:spacing w:line="400" w:lineRule="exact"/>
              <w:jc w:val="center"/>
              <w:rPr>
                <w:rFonts w:ascii="宋体" w:hAnsi="宋体"/>
                <w:kern w:val="0"/>
                <w:szCs w:val="21"/>
              </w:rPr>
            </w:pPr>
          </w:p>
          <w:p w14:paraId="53992430">
            <w:pPr>
              <w:snapToGrid w:val="0"/>
              <w:spacing w:line="400" w:lineRule="exact"/>
              <w:jc w:val="center"/>
              <w:rPr>
                <w:rFonts w:ascii="宋体" w:hAnsi="宋体"/>
                <w:kern w:val="0"/>
                <w:szCs w:val="21"/>
              </w:rPr>
            </w:pPr>
          </w:p>
          <w:p w14:paraId="67374F05">
            <w:pPr>
              <w:snapToGrid w:val="0"/>
              <w:spacing w:line="400" w:lineRule="exact"/>
              <w:jc w:val="center"/>
              <w:rPr>
                <w:rFonts w:ascii="宋体" w:hAnsi="宋体"/>
                <w:kern w:val="0"/>
                <w:szCs w:val="21"/>
              </w:rPr>
            </w:pPr>
          </w:p>
          <w:p w14:paraId="39FC34D7">
            <w:pPr>
              <w:snapToGrid w:val="0"/>
              <w:spacing w:line="400" w:lineRule="exact"/>
              <w:jc w:val="center"/>
              <w:rPr>
                <w:rFonts w:ascii="宋体" w:hAnsi="宋体"/>
                <w:kern w:val="0"/>
                <w:szCs w:val="21"/>
              </w:rPr>
            </w:pPr>
          </w:p>
          <w:p w14:paraId="7AC11CC7">
            <w:pPr>
              <w:snapToGrid w:val="0"/>
              <w:spacing w:line="400" w:lineRule="exact"/>
              <w:jc w:val="center"/>
              <w:rPr>
                <w:rFonts w:ascii="宋体" w:hAnsi="宋体"/>
                <w:kern w:val="0"/>
                <w:szCs w:val="21"/>
              </w:rPr>
            </w:pPr>
          </w:p>
          <w:p w14:paraId="573FC5D2">
            <w:pPr>
              <w:snapToGrid w:val="0"/>
              <w:spacing w:line="400" w:lineRule="exact"/>
              <w:jc w:val="center"/>
              <w:rPr>
                <w:rFonts w:ascii="宋体" w:hAnsi="宋体"/>
                <w:kern w:val="0"/>
                <w:szCs w:val="21"/>
              </w:rPr>
            </w:pPr>
          </w:p>
          <w:p w14:paraId="3B3A9A1F">
            <w:pPr>
              <w:snapToGrid w:val="0"/>
              <w:spacing w:line="400" w:lineRule="exact"/>
              <w:jc w:val="center"/>
              <w:rPr>
                <w:rFonts w:ascii="宋体" w:hAnsi="宋体"/>
                <w:kern w:val="0"/>
                <w:szCs w:val="21"/>
              </w:rPr>
            </w:pPr>
          </w:p>
          <w:p w14:paraId="51AC8C30">
            <w:pPr>
              <w:snapToGrid w:val="0"/>
              <w:spacing w:line="400" w:lineRule="exact"/>
              <w:jc w:val="center"/>
              <w:rPr>
                <w:rFonts w:ascii="宋体" w:hAnsi="宋体"/>
                <w:kern w:val="0"/>
                <w:szCs w:val="21"/>
              </w:rPr>
            </w:pPr>
          </w:p>
          <w:p w14:paraId="5082893A">
            <w:pPr>
              <w:snapToGrid w:val="0"/>
              <w:spacing w:line="400" w:lineRule="exact"/>
              <w:jc w:val="center"/>
              <w:rPr>
                <w:rFonts w:ascii="宋体" w:hAnsi="宋体"/>
                <w:kern w:val="0"/>
                <w:szCs w:val="21"/>
              </w:rPr>
            </w:pPr>
          </w:p>
          <w:p w14:paraId="009B6564">
            <w:pPr>
              <w:snapToGrid w:val="0"/>
              <w:spacing w:line="400" w:lineRule="exact"/>
              <w:jc w:val="center"/>
              <w:rPr>
                <w:rFonts w:ascii="宋体" w:hAnsi="宋体"/>
                <w:kern w:val="0"/>
                <w:szCs w:val="21"/>
              </w:rPr>
            </w:pPr>
          </w:p>
          <w:p w14:paraId="6D83E8BF">
            <w:pPr>
              <w:snapToGrid w:val="0"/>
              <w:spacing w:line="400" w:lineRule="exact"/>
              <w:jc w:val="center"/>
              <w:rPr>
                <w:rFonts w:ascii="宋体" w:hAnsi="宋体"/>
                <w:kern w:val="0"/>
                <w:szCs w:val="21"/>
              </w:rPr>
            </w:pPr>
          </w:p>
          <w:p w14:paraId="631C80F1">
            <w:pPr>
              <w:snapToGrid w:val="0"/>
              <w:spacing w:line="400" w:lineRule="exact"/>
              <w:jc w:val="center"/>
              <w:rPr>
                <w:rFonts w:ascii="宋体" w:hAnsi="宋体"/>
                <w:kern w:val="0"/>
                <w:szCs w:val="21"/>
              </w:rPr>
            </w:pPr>
          </w:p>
          <w:p w14:paraId="3DB35366">
            <w:pPr>
              <w:snapToGrid w:val="0"/>
              <w:spacing w:line="400" w:lineRule="exact"/>
              <w:jc w:val="center"/>
              <w:rPr>
                <w:rFonts w:ascii="宋体" w:hAnsi="宋体"/>
                <w:kern w:val="0"/>
                <w:szCs w:val="21"/>
              </w:rPr>
            </w:pPr>
          </w:p>
          <w:p w14:paraId="66937FFE">
            <w:pPr>
              <w:snapToGrid w:val="0"/>
              <w:spacing w:line="400" w:lineRule="exact"/>
              <w:jc w:val="center"/>
              <w:rPr>
                <w:rFonts w:ascii="宋体" w:hAnsi="宋体"/>
                <w:kern w:val="0"/>
                <w:szCs w:val="21"/>
              </w:rPr>
            </w:pPr>
          </w:p>
          <w:p w14:paraId="6DC8F5D9">
            <w:pPr>
              <w:snapToGrid w:val="0"/>
              <w:spacing w:line="400" w:lineRule="exact"/>
              <w:jc w:val="center"/>
              <w:rPr>
                <w:rFonts w:ascii="宋体" w:hAnsi="宋体"/>
                <w:kern w:val="0"/>
                <w:szCs w:val="21"/>
              </w:rPr>
            </w:pPr>
          </w:p>
          <w:p w14:paraId="44BBECD0">
            <w:pPr>
              <w:snapToGrid w:val="0"/>
              <w:spacing w:line="400" w:lineRule="exact"/>
              <w:jc w:val="center"/>
              <w:rPr>
                <w:rFonts w:ascii="宋体" w:hAnsi="宋体"/>
                <w:kern w:val="0"/>
                <w:szCs w:val="21"/>
              </w:rPr>
            </w:pPr>
          </w:p>
          <w:p w14:paraId="43E90278">
            <w:pPr>
              <w:snapToGrid w:val="0"/>
              <w:spacing w:line="400" w:lineRule="exact"/>
              <w:jc w:val="center"/>
              <w:rPr>
                <w:rFonts w:ascii="宋体" w:hAnsi="宋体"/>
                <w:kern w:val="0"/>
                <w:szCs w:val="21"/>
              </w:rPr>
            </w:pPr>
          </w:p>
          <w:p w14:paraId="3790CD56">
            <w:pPr>
              <w:snapToGrid w:val="0"/>
              <w:spacing w:line="400" w:lineRule="exact"/>
              <w:jc w:val="center"/>
              <w:rPr>
                <w:rFonts w:ascii="宋体" w:hAnsi="宋体"/>
                <w:kern w:val="0"/>
                <w:szCs w:val="21"/>
              </w:rPr>
            </w:pPr>
          </w:p>
          <w:p w14:paraId="432CBD62">
            <w:pPr>
              <w:snapToGrid w:val="0"/>
              <w:spacing w:line="400" w:lineRule="exact"/>
              <w:jc w:val="both"/>
              <w:rPr>
                <w:rFonts w:ascii="宋体" w:hAnsi="宋体"/>
                <w:kern w:val="0"/>
                <w:szCs w:val="21"/>
              </w:rPr>
            </w:pPr>
            <w:r>
              <w:rPr>
                <w:rFonts w:hint="eastAsia" w:ascii="宋体" w:hAnsi="宋体"/>
                <w:kern w:val="0"/>
                <w:szCs w:val="21"/>
              </w:rPr>
              <w:t>1</w:t>
            </w:r>
            <w:r>
              <w:rPr>
                <w:rFonts w:ascii="宋体" w:hAnsi="宋体"/>
                <w:kern w:val="0"/>
                <w:szCs w:val="21"/>
              </w:rPr>
              <w:t>.4.1</w:t>
            </w:r>
          </w:p>
          <w:p w14:paraId="2A32334F">
            <w:pPr>
              <w:snapToGrid w:val="0"/>
              <w:spacing w:line="400" w:lineRule="exact"/>
              <w:jc w:val="center"/>
              <w:rPr>
                <w:rFonts w:ascii="宋体" w:hAnsi="宋体"/>
                <w:kern w:val="0"/>
                <w:szCs w:val="21"/>
              </w:rPr>
            </w:pPr>
          </w:p>
          <w:p w14:paraId="0067BB7A">
            <w:pPr>
              <w:snapToGrid w:val="0"/>
              <w:spacing w:line="400" w:lineRule="exact"/>
              <w:jc w:val="center"/>
              <w:rPr>
                <w:rFonts w:ascii="宋体" w:hAnsi="宋体"/>
                <w:kern w:val="0"/>
                <w:szCs w:val="21"/>
              </w:rPr>
            </w:pPr>
          </w:p>
          <w:p w14:paraId="35D5D6B8">
            <w:pPr>
              <w:snapToGrid w:val="0"/>
              <w:spacing w:line="400" w:lineRule="exact"/>
              <w:jc w:val="center"/>
              <w:rPr>
                <w:rFonts w:ascii="宋体" w:hAnsi="宋体"/>
                <w:kern w:val="0"/>
                <w:szCs w:val="21"/>
              </w:rPr>
            </w:pPr>
          </w:p>
          <w:p w14:paraId="26577F33">
            <w:pPr>
              <w:snapToGrid w:val="0"/>
              <w:spacing w:line="400" w:lineRule="exact"/>
              <w:jc w:val="center"/>
              <w:rPr>
                <w:rFonts w:ascii="宋体" w:hAnsi="宋体"/>
                <w:kern w:val="0"/>
                <w:szCs w:val="21"/>
              </w:rPr>
            </w:pPr>
          </w:p>
          <w:p w14:paraId="1FF0AF27">
            <w:pPr>
              <w:snapToGrid w:val="0"/>
              <w:spacing w:line="400" w:lineRule="exact"/>
              <w:jc w:val="center"/>
              <w:rPr>
                <w:rFonts w:ascii="宋体" w:hAnsi="宋体"/>
                <w:kern w:val="0"/>
                <w:szCs w:val="21"/>
              </w:rPr>
            </w:pPr>
          </w:p>
          <w:p w14:paraId="13D461E0">
            <w:pPr>
              <w:snapToGrid w:val="0"/>
              <w:spacing w:line="400" w:lineRule="exact"/>
              <w:jc w:val="center"/>
              <w:rPr>
                <w:rFonts w:ascii="宋体" w:hAnsi="宋体"/>
                <w:kern w:val="0"/>
                <w:szCs w:val="21"/>
              </w:rPr>
            </w:pPr>
          </w:p>
          <w:p w14:paraId="345B3463">
            <w:pPr>
              <w:snapToGrid w:val="0"/>
              <w:spacing w:line="400" w:lineRule="exact"/>
              <w:jc w:val="center"/>
              <w:rPr>
                <w:rFonts w:ascii="宋体" w:hAnsi="宋体"/>
                <w:kern w:val="0"/>
                <w:szCs w:val="21"/>
              </w:rPr>
            </w:pPr>
          </w:p>
          <w:p w14:paraId="33751A8E">
            <w:pPr>
              <w:snapToGrid w:val="0"/>
              <w:spacing w:line="400" w:lineRule="exact"/>
              <w:jc w:val="center"/>
              <w:rPr>
                <w:rFonts w:ascii="宋体" w:hAnsi="宋体"/>
                <w:kern w:val="0"/>
                <w:szCs w:val="21"/>
              </w:rPr>
            </w:pPr>
          </w:p>
          <w:p w14:paraId="53E691D6">
            <w:pPr>
              <w:snapToGrid w:val="0"/>
              <w:spacing w:line="400" w:lineRule="exact"/>
              <w:jc w:val="center"/>
              <w:rPr>
                <w:rFonts w:ascii="宋体" w:hAnsi="宋体"/>
                <w:kern w:val="0"/>
                <w:szCs w:val="21"/>
              </w:rPr>
            </w:pPr>
          </w:p>
          <w:p w14:paraId="7A5E3FD8">
            <w:pPr>
              <w:snapToGrid w:val="0"/>
              <w:spacing w:line="400" w:lineRule="exact"/>
              <w:jc w:val="center"/>
              <w:rPr>
                <w:rFonts w:ascii="宋体" w:hAnsi="宋体"/>
                <w:kern w:val="0"/>
                <w:szCs w:val="21"/>
              </w:rPr>
            </w:pPr>
          </w:p>
          <w:p w14:paraId="4831D616">
            <w:pPr>
              <w:snapToGrid w:val="0"/>
              <w:spacing w:line="400" w:lineRule="exact"/>
              <w:jc w:val="center"/>
              <w:rPr>
                <w:rFonts w:ascii="宋体" w:hAnsi="宋体"/>
                <w:kern w:val="0"/>
                <w:szCs w:val="21"/>
              </w:rPr>
            </w:pPr>
          </w:p>
          <w:p w14:paraId="59EC7789">
            <w:pPr>
              <w:snapToGrid w:val="0"/>
              <w:spacing w:line="400" w:lineRule="exact"/>
              <w:jc w:val="center"/>
              <w:rPr>
                <w:rFonts w:ascii="宋体" w:hAnsi="宋体"/>
                <w:kern w:val="0"/>
                <w:szCs w:val="21"/>
              </w:rPr>
            </w:pPr>
          </w:p>
          <w:p w14:paraId="7D14BE4A">
            <w:pPr>
              <w:snapToGrid w:val="0"/>
              <w:spacing w:line="400" w:lineRule="exact"/>
              <w:jc w:val="center"/>
              <w:rPr>
                <w:rFonts w:ascii="宋体" w:hAnsi="宋体"/>
                <w:kern w:val="0"/>
                <w:szCs w:val="21"/>
              </w:rPr>
            </w:pPr>
          </w:p>
          <w:p w14:paraId="6BA32576">
            <w:pPr>
              <w:snapToGrid w:val="0"/>
              <w:spacing w:line="400" w:lineRule="exact"/>
              <w:jc w:val="center"/>
              <w:rPr>
                <w:rFonts w:ascii="宋体" w:hAnsi="宋体"/>
                <w:kern w:val="0"/>
                <w:szCs w:val="21"/>
              </w:rPr>
            </w:pPr>
          </w:p>
          <w:p w14:paraId="018E86B7">
            <w:pPr>
              <w:snapToGrid w:val="0"/>
              <w:spacing w:line="400" w:lineRule="exact"/>
              <w:jc w:val="center"/>
              <w:rPr>
                <w:rFonts w:ascii="宋体" w:hAnsi="宋体"/>
                <w:kern w:val="0"/>
                <w:szCs w:val="21"/>
              </w:rPr>
            </w:pPr>
          </w:p>
          <w:p w14:paraId="16D1398D">
            <w:pPr>
              <w:snapToGrid w:val="0"/>
              <w:spacing w:line="400" w:lineRule="exact"/>
              <w:jc w:val="center"/>
              <w:rPr>
                <w:rFonts w:ascii="宋体" w:hAnsi="宋体"/>
                <w:kern w:val="0"/>
                <w:szCs w:val="21"/>
              </w:rPr>
            </w:pPr>
          </w:p>
          <w:p w14:paraId="231A8A6F">
            <w:pPr>
              <w:snapToGrid w:val="0"/>
              <w:spacing w:line="400" w:lineRule="exact"/>
              <w:jc w:val="center"/>
              <w:rPr>
                <w:rFonts w:ascii="宋体" w:hAnsi="宋体"/>
                <w:kern w:val="0"/>
                <w:szCs w:val="21"/>
              </w:rPr>
            </w:pPr>
          </w:p>
          <w:p w14:paraId="227043D3">
            <w:pPr>
              <w:snapToGrid w:val="0"/>
              <w:spacing w:line="400" w:lineRule="exact"/>
              <w:jc w:val="center"/>
              <w:rPr>
                <w:rFonts w:ascii="宋体" w:hAnsi="宋体"/>
                <w:kern w:val="0"/>
                <w:szCs w:val="21"/>
              </w:rPr>
            </w:pPr>
          </w:p>
          <w:p w14:paraId="4E33D2AA">
            <w:pPr>
              <w:snapToGrid w:val="0"/>
              <w:spacing w:line="400" w:lineRule="exact"/>
              <w:jc w:val="center"/>
              <w:rPr>
                <w:rFonts w:ascii="宋体" w:hAnsi="宋体"/>
                <w:kern w:val="0"/>
                <w:szCs w:val="21"/>
              </w:rPr>
            </w:pPr>
          </w:p>
          <w:p w14:paraId="7B294037">
            <w:pPr>
              <w:snapToGrid w:val="0"/>
              <w:spacing w:line="400" w:lineRule="exact"/>
              <w:jc w:val="center"/>
              <w:rPr>
                <w:rFonts w:ascii="宋体" w:hAnsi="宋体"/>
                <w:kern w:val="0"/>
                <w:szCs w:val="21"/>
              </w:rPr>
            </w:pPr>
          </w:p>
          <w:p w14:paraId="7F81AA58">
            <w:pPr>
              <w:snapToGrid w:val="0"/>
              <w:spacing w:line="400" w:lineRule="exact"/>
              <w:jc w:val="center"/>
              <w:rPr>
                <w:rFonts w:ascii="宋体" w:hAnsi="宋体"/>
                <w:kern w:val="0"/>
                <w:szCs w:val="21"/>
              </w:rPr>
            </w:pPr>
          </w:p>
          <w:p w14:paraId="3FE6BE98">
            <w:pPr>
              <w:snapToGrid w:val="0"/>
              <w:spacing w:line="400" w:lineRule="exact"/>
              <w:jc w:val="center"/>
              <w:rPr>
                <w:rFonts w:ascii="宋体" w:hAnsi="宋体"/>
                <w:kern w:val="0"/>
                <w:szCs w:val="21"/>
              </w:rPr>
            </w:pPr>
          </w:p>
          <w:p w14:paraId="4D7BBD63">
            <w:pPr>
              <w:snapToGrid w:val="0"/>
              <w:spacing w:line="400" w:lineRule="exact"/>
              <w:jc w:val="center"/>
              <w:rPr>
                <w:rFonts w:ascii="宋体" w:hAnsi="宋体"/>
                <w:kern w:val="0"/>
                <w:szCs w:val="21"/>
              </w:rPr>
            </w:pPr>
          </w:p>
          <w:p w14:paraId="7045B005">
            <w:pPr>
              <w:snapToGrid w:val="0"/>
              <w:spacing w:line="400" w:lineRule="exact"/>
              <w:jc w:val="center"/>
              <w:rPr>
                <w:rFonts w:ascii="宋体" w:hAnsi="宋体"/>
                <w:kern w:val="0"/>
                <w:szCs w:val="21"/>
              </w:rPr>
            </w:pPr>
          </w:p>
          <w:p w14:paraId="026C4578">
            <w:pPr>
              <w:snapToGrid w:val="0"/>
              <w:spacing w:line="400" w:lineRule="exact"/>
              <w:jc w:val="center"/>
              <w:rPr>
                <w:rFonts w:ascii="宋体" w:hAnsi="宋体"/>
                <w:kern w:val="0"/>
                <w:szCs w:val="21"/>
              </w:rPr>
            </w:pPr>
          </w:p>
          <w:p w14:paraId="07C3D584">
            <w:pPr>
              <w:snapToGrid w:val="0"/>
              <w:spacing w:line="400" w:lineRule="exact"/>
              <w:jc w:val="center"/>
              <w:rPr>
                <w:rFonts w:ascii="宋体" w:hAnsi="宋体"/>
                <w:kern w:val="0"/>
                <w:szCs w:val="21"/>
              </w:rPr>
            </w:pPr>
          </w:p>
          <w:p w14:paraId="2ED56C2F">
            <w:pPr>
              <w:snapToGrid w:val="0"/>
              <w:spacing w:line="400" w:lineRule="exact"/>
              <w:jc w:val="center"/>
              <w:rPr>
                <w:rFonts w:ascii="宋体" w:hAnsi="宋体"/>
                <w:kern w:val="0"/>
                <w:szCs w:val="21"/>
              </w:rPr>
            </w:pPr>
          </w:p>
          <w:p w14:paraId="5F7ADDCE">
            <w:pPr>
              <w:snapToGrid w:val="0"/>
              <w:spacing w:line="400" w:lineRule="exact"/>
              <w:jc w:val="center"/>
              <w:rPr>
                <w:rFonts w:ascii="宋体" w:hAnsi="宋体"/>
                <w:kern w:val="0"/>
                <w:szCs w:val="21"/>
              </w:rPr>
            </w:pPr>
          </w:p>
          <w:p w14:paraId="1D5581DD">
            <w:pPr>
              <w:snapToGrid w:val="0"/>
              <w:spacing w:line="400" w:lineRule="exact"/>
              <w:jc w:val="center"/>
              <w:rPr>
                <w:rFonts w:ascii="宋体" w:hAnsi="宋体"/>
                <w:kern w:val="0"/>
                <w:szCs w:val="21"/>
              </w:rPr>
            </w:pPr>
          </w:p>
          <w:p w14:paraId="6E7E9422">
            <w:pPr>
              <w:snapToGrid w:val="0"/>
              <w:spacing w:line="400" w:lineRule="exact"/>
              <w:jc w:val="center"/>
              <w:rPr>
                <w:rFonts w:ascii="宋体" w:hAnsi="宋体"/>
                <w:kern w:val="0"/>
                <w:szCs w:val="21"/>
              </w:rPr>
            </w:pPr>
          </w:p>
          <w:p w14:paraId="0CC862BE">
            <w:pPr>
              <w:snapToGrid w:val="0"/>
              <w:spacing w:line="400" w:lineRule="exact"/>
              <w:jc w:val="center"/>
              <w:rPr>
                <w:rFonts w:ascii="宋体" w:hAnsi="宋体"/>
                <w:kern w:val="0"/>
                <w:szCs w:val="21"/>
              </w:rPr>
            </w:pPr>
          </w:p>
          <w:p w14:paraId="69667D32">
            <w:pPr>
              <w:snapToGrid w:val="0"/>
              <w:spacing w:line="400" w:lineRule="exact"/>
              <w:jc w:val="center"/>
              <w:rPr>
                <w:rFonts w:ascii="宋体" w:hAnsi="宋体"/>
                <w:kern w:val="0"/>
                <w:szCs w:val="21"/>
              </w:rPr>
            </w:pPr>
          </w:p>
          <w:p w14:paraId="6DDCEB9A">
            <w:pPr>
              <w:snapToGrid w:val="0"/>
              <w:spacing w:line="400" w:lineRule="exact"/>
              <w:jc w:val="center"/>
              <w:rPr>
                <w:rFonts w:ascii="宋体" w:hAnsi="宋体"/>
                <w:kern w:val="0"/>
                <w:szCs w:val="21"/>
              </w:rPr>
            </w:pPr>
          </w:p>
          <w:p w14:paraId="4AF4B0D6">
            <w:pPr>
              <w:snapToGrid w:val="0"/>
              <w:spacing w:line="400" w:lineRule="exact"/>
              <w:jc w:val="center"/>
              <w:rPr>
                <w:rFonts w:ascii="宋体" w:hAnsi="宋体"/>
                <w:kern w:val="0"/>
                <w:szCs w:val="21"/>
              </w:rPr>
            </w:pPr>
          </w:p>
          <w:p w14:paraId="7F27C8C9">
            <w:pPr>
              <w:snapToGrid w:val="0"/>
              <w:spacing w:line="400" w:lineRule="exact"/>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42B77705">
            <w:pPr>
              <w:snapToGrid w:val="0"/>
              <w:spacing w:line="400" w:lineRule="exact"/>
              <w:jc w:val="center"/>
              <w:rPr>
                <w:rFonts w:ascii="宋体" w:hAnsi="宋体"/>
                <w:kern w:val="0"/>
                <w:szCs w:val="21"/>
              </w:rPr>
            </w:pPr>
          </w:p>
          <w:p w14:paraId="6B1E1198">
            <w:pPr>
              <w:snapToGrid w:val="0"/>
              <w:spacing w:line="400" w:lineRule="exact"/>
              <w:jc w:val="center"/>
              <w:rPr>
                <w:rFonts w:ascii="宋体" w:hAnsi="宋体"/>
                <w:kern w:val="0"/>
                <w:szCs w:val="21"/>
              </w:rPr>
            </w:pPr>
          </w:p>
          <w:p w14:paraId="2B2833B5">
            <w:pPr>
              <w:snapToGrid w:val="0"/>
              <w:spacing w:line="400" w:lineRule="exact"/>
              <w:jc w:val="center"/>
              <w:rPr>
                <w:rFonts w:ascii="宋体" w:hAnsi="宋体"/>
                <w:kern w:val="0"/>
                <w:szCs w:val="21"/>
              </w:rPr>
            </w:pPr>
          </w:p>
          <w:p w14:paraId="6BF56CD8">
            <w:pPr>
              <w:snapToGrid w:val="0"/>
              <w:spacing w:line="400" w:lineRule="exact"/>
              <w:jc w:val="center"/>
              <w:rPr>
                <w:rFonts w:ascii="宋体" w:hAnsi="宋体"/>
                <w:kern w:val="0"/>
                <w:szCs w:val="21"/>
              </w:rPr>
            </w:pPr>
          </w:p>
          <w:p w14:paraId="7C8D580D">
            <w:pPr>
              <w:snapToGrid w:val="0"/>
              <w:spacing w:line="400" w:lineRule="exact"/>
              <w:jc w:val="center"/>
              <w:rPr>
                <w:rFonts w:ascii="宋体" w:hAnsi="宋体"/>
                <w:kern w:val="0"/>
                <w:szCs w:val="21"/>
              </w:rPr>
            </w:pPr>
          </w:p>
          <w:p w14:paraId="560676BD">
            <w:pPr>
              <w:snapToGrid w:val="0"/>
              <w:spacing w:line="400" w:lineRule="exact"/>
              <w:jc w:val="center"/>
              <w:rPr>
                <w:rFonts w:ascii="宋体" w:hAnsi="宋体"/>
                <w:kern w:val="0"/>
                <w:szCs w:val="21"/>
              </w:rPr>
            </w:pPr>
          </w:p>
          <w:p w14:paraId="7B6A8FFA">
            <w:pPr>
              <w:snapToGrid w:val="0"/>
              <w:spacing w:line="400" w:lineRule="exact"/>
              <w:jc w:val="center"/>
              <w:rPr>
                <w:rFonts w:ascii="宋体" w:hAnsi="宋体"/>
                <w:kern w:val="0"/>
                <w:szCs w:val="21"/>
              </w:rPr>
            </w:pPr>
          </w:p>
          <w:p w14:paraId="37944888">
            <w:pPr>
              <w:snapToGrid w:val="0"/>
              <w:spacing w:line="400" w:lineRule="exact"/>
              <w:jc w:val="center"/>
              <w:rPr>
                <w:rFonts w:ascii="宋体" w:hAnsi="宋体"/>
                <w:kern w:val="0"/>
                <w:szCs w:val="21"/>
              </w:rPr>
            </w:pPr>
          </w:p>
          <w:p w14:paraId="4AB9ECA3">
            <w:pPr>
              <w:snapToGrid w:val="0"/>
              <w:spacing w:line="400" w:lineRule="exact"/>
              <w:jc w:val="center"/>
              <w:rPr>
                <w:rFonts w:ascii="宋体" w:hAnsi="宋体"/>
                <w:kern w:val="0"/>
                <w:szCs w:val="21"/>
              </w:rPr>
            </w:pPr>
          </w:p>
          <w:p w14:paraId="0E101CF8">
            <w:pPr>
              <w:snapToGrid w:val="0"/>
              <w:spacing w:line="400" w:lineRule="exact"/>
              <w:jc w:val="center"/>
              <w:rPr>
                <w:rFonts w:ascii="宋体" w:hAnsi="宋体"/>
                <w:kern w:val="0"/>
                <w:szCs w:val="21"/>
              </w:rPr>
            </w:pPr>
          </w:p>
          <w:p w14:paraId="129283E1">
            <w:pPr>
              <w:snapToGrid w:val="0"/>
              <w:spacing w:line="400" w:lineRule="exact"/>
              <w:jc w:val="center"/>
              <w:rPr>
                <w:rFonts w:ascii="宋体" w:hAnsi="宋体"/>
                <w:kern w:val="0"/>
                <w:szCs w:val="21"/>
              </w:rPr>
            </w:pPr>
          </w:p>
          <w:p w14:paraId="5619C9A6">
            <w:pPr>
              <w:snapToGrid w:val="0"/>
              <w:spacing w:line="400" w:lineRule="exact"/>
              <w:jc w:val="center"/>
              <w:rPr>
                <w:rFonts w:ascii="宋体" w:hAnsi="宋体"/>
                <w:kern w:val="0"/>
                <w:szCs w:val="21"/>
              </w:rPr>
            </w:pPr>
          </w:p>
          <w:p w14:paraId="425B06D4">
            <w:pPr>
              <w:snapToGrid w:val="0"/>
              <w:spacing w:line="400" w:lineRule="exact"/>
              <w:jc w:val="center"/>
              <w:rPr>
                <w:rFonts w:ascii="宋体" w:hAnsi="宋体"/>
                <w:kern w:val="0"/>
                <w:szCs w:val="21"/>
              </w:rPr>
            </w:pPr>
          </w:p>
          <w:p w14:paraId="6808288D">
            <w:pPr>
              <w:snapToGrid w:val="0"/>
              <w:spacing w:line="400" w:lineRule="exact"/>
              <w:jc w:val="center"/>
              <w:rPr>
                <w:rFonts w:ascii="宋体" w:hAnsi="宋体"/>
                <w:kern w:val="0"/>
                <w:szCs w:val="21"/>
              </w:rPr>
            </w:pPr>
          </w:p>
          <w:p w14:paraId="6494330B">
            <w:pPr>
              <w:snapToGrid w:val="0"/>
              <w:spacing w:line="400" w:lineRule="exact"/>
              <w:jc w:val="center"/>
              <w:rPr>
                <w:rFonts w:ascii="宋体" w:hAnsi="宋体"/>
                <w:kern w:val="0"/>
                <w:szCs w:val="21"/>
              </w:rPr>
            </w:pPr>
          </w:p>
          <w:p w14:paraId="1A4FDDBD">
            <w:pPr>
              <w:snapToGrid w:val="0"/>
              <w:spacing w:line="400" w:lineRule="exact"/>
              <w:jc w:val="both"/>
              <w:rPr>
                <w:rFonts w:ascii="宋体" w:hAnsi="宋体"/>
                <w:kern w:val="0"/>
                <w:szCs w:val="21"/>
              </w:rPr>
            </w:pPr>
            <w:r>
              <w:rPr>
                <w:rFonts w:hint="eastAsia" w:ascii="宋体" w:hAnsi="宋体"/>
                <w:kern w:val="0"/>
                <w:szCs w:val="21"/>
              </w:rPr>
              <w:t>1</w:t>
            </w:r>
            <w:r>
              <w:rPr>
                <w:rFonts w:ascii="宋体" w:hAnsi="宋体"/>
                <w:kern w:val="0"/>
                <w:szCs w:val="21"/>
              </w:rPr>
              <w:t>.4.1</w:t>
            </w:r>
          </w:p>
          <w:p w14:paraId="0B7F876B">
            <w:pPr>
              <w:snapToGrid w:val="0"/>
              <w:spacing w:line="400" w:lineRule="exact"/>
              <w:jc w:val="center"/>
              <w:rPr>
                <w:rFonts w:ascii="宋体" w:hAnsi="宋体"/>
                <w:kern w:val="0"/>
                <w:szCs w:val="21"/>
              </w:rPr>
            </w:pPr>
          </w:p>
          <w:p w14:paraId="54BE760E">
            <w:pPr>
              <w:snapToGrid w:val="0"/>
              <w:spacing w:line="400" w:lineRule="exact"/>
              <w:jc w:val="both"/>
              <w:rPr>
                <w:rFonts w:ascii="宋体" w:hAnsi="宋体"/>
                <w:kern w:val="0"/>
                <w:szCs w:val="21"/>
              </w:rPr>
            </w:pPr>
          </w:p>
        </w:tc>
        <w:tc>
          <w:tcPr>
            <w:tcW w:w="1754" w:type="dxa"/>
            <w:vAlign w:val="center"/>
          </w:tcPr>
          <w:p w14:paraId="615F17E2">
            <w:pPr>
              <w:snapToGrid w:val="0"/>
              <w:spacing w:line="400" w:lineRule="exact"/>
              <w:jc w:val="center"/>
              <w:rPr>
                <w:rFonts w:hint="eastAsia" w:ascii="宋体" w:hAnsi="宋体" w:eastAsia="宋体" w:cs="宋体"/>
                <w:kern w:val="0"/>
                <w:sz w:val="21"/>
                <w:szCs w:val="21"/>
              </w:rPr>
            </w:pPr>
          </w:p>
          <w:p w14:paraId="6139C8CB">
            <w:pPr>
              <w:snapToGrid w:val="0"/>
              <w:spacing w:line="400" w:lineRule="exact"/>
              <w:jc w:val="center"/>
              <w:rPr>
                <w:rFonts w:hint="eastAsia" w:ascii="宋体" w:hAnsi="宋体" w:eastAsia="宋体" w:cs="宋体"/>
                <w:kern w:val="0"/>
                <w:sz w:val="21"/>
                <w:szCs w:val="21"/>
              </w:rPr>
            </w:pPr>
          </w:p>
          <w:p w14:paraId="08AAE80E">
            <w:pPr>
              <w:snapToGrid w:val="0"/>
              <w:spacing w:line="400" w:lineRule="exact"/>
              <w:jc w:val="center"/>
              <w:rPr>
                <w:rFonts w:hint="eastAsia" w:ascii="宋体" w:hAnsi="宋体" w:eastAsia="宋体" w:cs="宋体"/>
                <w:kern w:val="0"/>
                <w:sz w:val="21"/>
                <w:szCs w:val="21"/>
              </w:rPr>
            </w:pPr>
          </w:p>
          <w:p w14:paraId="75D72F4D">
            <w:pPr>
              <w:snapToGrid w:val="0"/>
              <w:spacing w:line="400" w:lineRule="exact"/>
              <w:jc w:val="center"/>
              <w:rPr>
                <w:rFonts w:hint="eastAsia" w:ascii="宋体" w:hAnsi="宋体" w:eastAsia="宋体" w:cs="宋体"/>
                <w:kern w:val="0"/>
                <w:sz w:val="21"/>
                <w:szCs w:val="21"/>
              </w:rPr>
            </w:pPr>
          </w:p>
          <w:p w14:paraId="2CDC7ED3">
            <w:pPr>
              <w:snapToGrid w:val="0"/>
              <w:spacing w:line="400" w:lineRule="exact"/>
              <w:jc w:val="center"/>
              <w:rPr>
                <w:rFonts w:hint="eastAsia" w:ascii="宋体" w:hAnsi="宋体" w:eastAsia="宋体" w:cs="宋体"/>
                <w:kern w:val="0"/>
                <w:sz w:val="21"/>
                <w:szCs w:val="21"/>
              </w:rPr>
            </w:pPr>
          </w:p>
          <w:p w14:paraId="0FD06EB7">
            <w:pPr>
              <w:snapToGrid w:val="0"/>
              <w:spacing w:line="400" w:lineRule="exact"/>
              <w:jc w:val="center"/>
              <w:rPr>
                <w:rFonts w:hint="eastAsia" w:ascii="宋体" w:hAnsi="宋体" w:eastAsia="宋体" w:cs="宋体"/>
                <w:kern w:val="0"/>
                <w:sz w:val="21"/>
                <w:szCs w:val="21"/>
              </w:rPr>
            </w:pPr>
          </w:p>
          <w:p w14:paraId="2CB80C42">
            <w:pPr>
              <w:snapToGrid w:val="0"/>
              <w:spacing w:line="400" w:lineRule="exact"/>
              <w:jc w:val="center"/>
              <w:rPr>
                <w:rFonts w:hint="eastAsia" w:ascii="宋体" w:hAnsi="宋体" w:eastAsia="宋体" w:cs="宋体"/>
                <w:kern w:val="0"/>
                <w:sz w:val="21"/>
                <w:szCs w:val="21"/>
              </w:rPr>
            </w:pPr>
          </w:p>
          <w:p w14:paraId="7A3400AE">
            <w:pPr>
              <w:snapToGrid w:val="0"/>
              <w:spacing w:line="400" w:lineRule="exact"/>
              <w:jc w:val="center"/>
              <w:rPr>
                <w:rFonts w:hint="eastAsia" w:ascii="宋体" w:hAnsi="宋体" w:eastAsia="宋体" w:cs="宋体"/>
                <w:kern w:val="0"/>
                <w:sz w:val="21"/>
                <w:szCs w:val="21"/>
              </w:rPr>
            </w:pPr>
          </w:p>
          <w:p w14:paraId="1CA3E573">
            <w:pPr>
              <w:snapToGrid w:val="0"/>
              <w:spacing w:line="400" w:lineRule="exact"/>
              <w:jc w:val="center"/>
              <w:rPr>
                <w:rFonts w:hint="eastAsia" w:ascii="宋体" w:hAnsi="宋体" w:eastAsia="宋体" w:cs="宋体"/>
                <w:kern w:val="0"/>
                <w:sz w:val="21"/>
                <w:szCs w:val="21"/>
              </w:rPr>
            </w:pPr>
          </w:p>
          <w:p w14:paraId="60F2DDEC">
            <w:pPr>
              <w:snapToGrid w:val="0"/>
              <w:spacing w:line="400" w:lineRule="exact"/>
              <w:jc w:val="center"/>
              <w:rPr>
                <w:rFonts w:hint="eastAsia" w:ascii="宋体" w:hAnsi="宋体" w:eastAsia="宋体" w:cs="宋体"/>
                <w:kern w:val="0"/>
                <w:sz w:val="21"/>
                <w:szCs w:val="21"/>
              </w:rPr>
            </w:pPr>
          </w:p>
          <w:p w14:paraId="00A0E3F2">
            <w:pPr>
              <w:snapToGrid w:val="0"/>
              <w:spacing w:line="400" w:lineRule="exact"/>
              <w:jc w:val="center"/>
              <w:rPr>
                <w:rFonts w:hint="eastAsia" w:ascii="宋体" w:hAnsi="宋体" w:eastAsia="宋体" w:cs="宋体"/>
                <w:kern w:val="0"/>
                <w:sz w:val="21"/>
                <w:szCs w:val="21"/>
              </w:rPr>
            </w:pPr>
          </w:p>
          <w:p w14:paraId="0650E8CE">
            <w:pPr>
              <w:snapToGrid w:val="0"/>
              <w:spacing w:line="400" w:lineRule="exact"/>
              <w:jc w:val="center"/>
              <w:rPr>
                <w:rFonts w:hint="eastAsia" w:ascii="宋体" w:hAnsi="宋体" w:eastAsia="宋体" w:cs="宋体"/>
                <w:kern w:val="0"/>
                <w:sz w:val="21"/>
                <w:szCs w:val="21"/>
              </w:rPr>
            </w:pPr>
          </w:p>
          <w:p w14:paraId="1415D2AD">
            <w:pPr>
              <w:snapToGrid w:val="0"/>
              <w:spacing w:line="400" w:lineRule="exact"/>
              <w:jc w:val="center"/>
              <w:rPr>
                <w:rFonts w:hint="eastAsia" w:ascii="宋体" w:hAnsi="宋体" w:eastAsia="宋体" w:cs="宋体"/>
                <w:kern w:val="0"/>
                <w:sz w:val="21"/>
                <w:szCs w:val="21"/>
              </w:rPr>
            </w:pPr>
          </w:p>
          <w:p w14:paraId="7F7344DA">
            <w:pPr>
              <w:snapToGrid w:val="0"/>
              <w:spacing w:line="400" w:lineRule="exact"/>
              <w:jc w:val="center"/>
              <w:rPr>
                <w:rFonts w:hint="eastAsia" w:ascii="宋体" w:hAnsi="宋体" w:eastAsia="宋体" w:cs="宋体"/>
                <w:kern w:val="0"/>
                <w:sz w:val="21"/>
                <w:szCs w:val="21"/>
              </w:rPr>
            </w:pPr>
          </w:p>
          <w:p w14:paraId="6829F264">
            <w:pPr>
              <w:snapToGrid w:val="0"/>
              <w:spacing w:line="400" w:lineRule="exact"/>
              <w:jc w:val="center"/>
              <w:rPr>
                <w:rFonts w:hint="eastAsia" w:ascii="宋体" w:hAnsi="宋体" w:eastAsia="宋体" w:cs="宋体"/>
                <w:kern w:val="0"/>
                <w:sz w:val="21"/>
                <w:szCs w:val="21"/>
              </w:rPr>
            </w:pPr>
          </w:p>
          <w:p w14:paraId="3ED3E8FD">
            <w:pPr>
              <w:snapToGrid w:val="0"/>
              <w:spacing w:line="400" w:lineRule="exact"/>
              <w:jc w:val="center"/>
              <w:rPr>
                <w:rFonts w:hint="eastAsia" w:ascii="宋体" w:hAnsi="宋体" w:eastAsia="宋体" w:cs="宋体"/>
                <w:kern w:val="0"/>
                <w:sz w:val="21"/>
                <w:szCs w:val="21"/>
              </w:rPr>
            </w:pPr>
          </w:p>
          <w:p w14:paraId="3BD56904">
            <w:pPr>
              <w:snapToGrid w:val="0"/>
              <w:spacing w:line="400" w:lineRule="exact"/>
              <w:jc w:val="center"/>
              <w:rPr>
                <w:rFonts w:hint="eastAsia" w:ascii="宋体" w:hAnsi="宋体" w:eastAsia="宋体" w:cs="宋体"/>
                <w:kern w:val="0"/>
                <w:sz w:val="21"/>
                <w:szCs w:val="21"/>
              </w:rPr>
            </w:pPr>
          </w:p>
          <w:p w14:paraId="28224FDB">
            <w:pPr>
              <w:snapToGrid w:val="0"/>
              <w:spacing w:line="400" w:lineRule="exact"/>
              <w:jc w:val="center"/>
              <w:rPr>
                <w:rFonts w:hint="eastAsia" w:ascii="宋体" w:hAnsi="宋体" w:eastAsia="宋体" w:cs="宋体"/>
                <w:kern w:val="0"/>
                <w:sz w:val="21"/>
                <w:szCs w:val="21"/>
              </w:rPr>
            </w:pPr>
          </w:p>
          <w:p w14:paraId="270DA8B2">
            <w:pPr>
              <w:snapToGrid w:val="0"/>
              <w:spacing w:line="400" w:lineRule="exact"/>
              <w:jc w:val="center"/>
              <w:rPr>
                <w:rFonts w:hint="eastAsia" w:ascii="宋体" w:hAnsi="宋体" w:eastAsia="宋体" w:cs="宋体"/>
                <w:kern w:val="0"/>
                <w:sz w:val="21"/>
                <w:szCs w:val="21"/>
              </w:rPr>
            </w:pPr>
          </w:p>
          <w:p w14:paraId="29645C17">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73B2D6AF">
            <w:pPr>
              <w:snapToGrid w:val="0"/>
              <w:spacing w:line="400" w:lineRule="exact"/>
              <w:jc w:val="center"/>
              <w:rPr>
                <w:rFonts w:hint="eastAsia" w:ascii="宋体" w:hAnsi="宋体" w:eastAsia="宋体" w:cs="宋体"/>
                <w:kern w:val="0"/>
                <w:sz w:val="21"/>
                <w:szCs w:val="21"/>
              </w:rPr>
            </w:pPr>
          </w:p>
          <w:p w14:paraId="1126B296">
            <w:pPr>
              <w:snapToGrid w:val="0"/>
              <w:spacing w:line="400" w:lineRule="exact"/>
              <w:jc w:val="center"/>
              <w:rPr>
                <w:rFonts w:hint="eastAsia" w:ascii="宋体" w:hAnsi="宋体" w:eastAsia="宋体" w:cs="宋体"/>
                <w:kern w:val="0"/>
                <w:sz w:val="21"/>
                <w:szCs w:val="21"/>
              </w:rPr>
            </w:pPr>
          </w:p>
          <w:p w14:paraId="687166E9">
            <w:pPr>
              <w:snapToGrid w:val="0"/>
              <w:spacing w:line="400" w:lineRule="exact"/>
              <w:jc w:val="center"/>
              <w:rPr>
                <w:rFonts w:hint="eastAsia" w:ascii="宋体" w:hAnsi="宋体" w:eastAsia="宋体" w:cs="宋体"/>
                <w:kern w:val="0"/>
                <w:sz w:val="21"/>
                <w:szCs w:val="21"/>
              </w:rPr>
            </w:pPr>
          </w:p>
          <w:p w14:paraId="197A469E">
            <w:pPr>
              <w:snapToGrid w:val="0"/>
              <w:spacing w:line="400" w:lineRule="exact"/>
              <w:jc w:val="center"/>
              <w:rPr>
                <w:rFonts w:hint="eastAsia" w:ascii="宋体" w:hAnsi="宋体" w:eastAsia="宋体" w:cs="宋体"/>
                <w:kern w:val="0"/>
                <w:sz w:val="21"/>
                <w:szCs w:val="21"/>
              </w:rPr>
            </w:pPr>
          </w:p>
          <w:p w14:paraId="629ED7F7">
            <w:pPr>
              <w:snapToGrid w:val="0"/>
              <w:spacing w:line="400" w:lineRule="exact"/>
              <w:jc w:val="center"/>
              <w:rPr>
                <w:rFonts w:hint="eastAsia" w:ascii="宋体" w:hAnsi="宋体" w:eastAsia="宋体" w:cs="宋体"/>
                <w:kern w:val="0"/>
                <w:sz w:val="21"/>
                <w:szCs w:val="21"/>
              </w:rPr>
            </w:pPr>
          </w:p>
          <w:p w14:paraId="4EFF2150">
            <w:pPr>
              <w:snapToGrid w:val="0"/>
              <w:spacing w:line="400" w:lineRule="exact"/>
              <w:jc w:val="center"/>
              <w:rPr>
                <w:rFonts w:hint="eastAsia" w:ascii="宋体" w:hAnsi="宋体" w:eastAsia="宋体" w:cs="宋体"/>
                <w:kern w:val="0"/>
                <w:sz w:val="21"/>
                <w:szCs w:val="21"/>
              </w:rPr>
            </w:pPr>
          </w:p>
          <w:p w14:paraId="25071C55">
            <w:pPr>
              <w:snapToGrid w:val="0"/>
              <w:spacing w:line="400" w:lineRule="exact"/>
              <w:jc w:val="center"/>
              <w:rPr>
                <w:rFonts w:hint="eastAsia" w:ascii="宋体" w:hAnsi="宋体" w:eastAsia="宋体" w:cs="宋体"/>
                <w:kern w:val="0"/>
                <w:sz w:val="21"/>
                <w:szCs w:val="21"/>
              </w:rPr>
            </w:pPr>
          </w:p>
          <w:p w14:paraId="6DAE81DD">
            <w:pPr>
              <w:snapToGrid w:val="0"/>
              <w:spacing w:line="400" w:lineRule="exact"/>
              <w:jc w:val="center"/>
              <w:rPr>
                <w:rFonts w:hint="eastAsia" w:ascii="宋体" w:hAnsi="宋体" w:eastAsia="宋体" w:cs="宋体"/>
                <w:kern w:val="0"/>
                <w:sz w:val="21"/>
                <w:szCs w:val="21"/>
              </w:rPr>
            </w:pPr>
          </w:p>
          <w:p w14:paraId="01428727">
            <w:pPr>
              <w:snapToGrid w:val="0"/>
              <w:spacing w:line="400" w:lineRule="exact"/>
              <w:jc w:val="center"/>
              <w:rPr>
                <w:rFonts w:hint="eastAsia" w:ascii="宋体" w:hAnsi="宋体" w:eastAsia="宋体" w:cs="宋体"/>
                <w:kern w:val="0"/>
                <w:sz w:val="21"/>
                <w:szCs w:val="21"/>
              </w:rPr>
            </w:pPr>
          </w:p>
          <w:p w14:paraId="290CEAFA">
            <w:pPr>
              <w:snapToGrid w:val="0"/>
              <w:spacing w:line="400" w:lineRule="exact"/>
              <w:jc w:val="center"/>
              <w:rPr>
                <w:rFonts w:hint="eastAsia" w:ascii="宋体" w:hAnsi="宋体" w:eastAsia="宋体" w:cs="宋体"/>
                <w:kern w:val="0"/>
                <w:sz w:val="21"/>
                <w:szCs w:val="21"/>
              </w:rPr>
            </w:pPr>
          </w:p>
          <w:p w14:paraId="1CB0686A">
            <w:pPr>
              <w:snapToGrid w:val="0"/>
              <w:spacing w:line="400" w:lineRule="exact"/>
              <w:jc w:val="center"/>
              <w:rPr>
                <w:rFonts w:hint="eastAsia" w:ascii="宋体" w:hAnsi="宋体" w:eastAsia="宋体" w:cs="宋体"/>
                <w:kern w:val="0"/>
                <w:sz w:val="21"/>
                <w:szCs w:val="21"/>
              </w:rPr>
            </w:pPr>
          </w:p>
          <w:p w14:paraId="7BE08FA0">
            <w:pPr>
              <w:snapToGrid w:val="0"/>
              <w:spacing w:line="400" w:lineRule="exact"/>
              <w:jc w:val="center"/>
              <w:rPr>
                <w:rFonts w:hint="eastAsia" w:ascii="宋体" w:hAnsi="宋体" w:eastAsia="宋体" w:cs="宋体"/>
                <w:kern w:val="0"/>
                <w:sz w:val="21"/>
                <w:szCs w:val="21"/>
              </w:rPr>
            </w:pPr>
          </w:p>
          <w:p w14:paraId="65A0510A">
            <w:pPr>
              <w:snapToGrid w:val="0"/>
              <w:spacing w:line="400" w:lineRule="exact"/>
              <w:jc w:val="center"/>
              <w:rPr>
                <w:rFonts w:hint="eastAsia" w:ascii="宋体" w:hAnsi="宋体" w:eastAsia="宋体" w:cs="宋体"/>
                <w:kern w:val="0"/>
                <w:sz w:val="21"/>
                <w:szCs w:val="21"/>
              </w:rPr>
            </w:pPr>
          </w:p>
          <w:p w14:paraId="531F512B">
            <w:pPr>
              <w:snapToGrid w:val="0"/>
              <w:spacing w:line="400" w:lineRule="exact"/>
              <w:jc w:val="center"/>
              <w:rPr>
                <w:rFonts w:hint="eastAsia" w:ascii="宋体" w:hAnsi="宋体" w:eastAsia="宋体" w:cs="宋体"/>
                <w:kern w:val="0"/>
                <w:sz w:val="21"/>
                <w:szCs w:val="21"/>
              </w:rPr>
            </w:pPr>
          </w:p>
          <w:p w14:paraId="6FBF5A30">
            <w:pPr>
              <w:snapToGrid w:val="0"/>
              <w:spacing w:line="400" w:lineRule="exact"/>
              <w:jc w:val="center"/>
              <w:rPr>
                <w:rFonts w:hint="eastAsia" w:ascii="宋体" w:hAnsi="宋体" w:eastAsia="宋体" w:cs="宋体"/>
                <w:kern w:val="0"/>
                <w:sz w:val="21"/>
                <w:szCs w:val="21"/>
              </w:rPr>
            </w:pPr>
          </w:p>
          <w:p w14:paraId="7A6A6281">
            <w:pPr>
              <w:snapToGrid w:val="0"/>
              <w:spacing w:line="400" w:lineRule="exact"/>
              <w:jc w:val="center"/>
              <w:rPr>
                <w:rFonts w:hint="eastAsia" w:ascii="宋体" w:hAnsi="宋体" w:eastAsia="宋体" w:cs="宋体"/>
                <w:kern w:val="0"/>
                <w:sz w:val="21"/>
                <w:szCs w:val="21"/>
              </w:rPr>
            </w:pPr>
          </w:p>
          <w:p w14:paraId="25AA6A42">
            <w:pPr>
              <w:snapToGrid w:val="0"/>
              <w:spacing w:line="400" w:lineRule="exact"/>
              <w:jc w:val="center"/>
              <w:rPr>
                <w:rFonts w:hint="eastAsia" w:ascii="宋体" w:hAnsi="宋体" w:eastAsia="宋体" w:cs="宋体"/>
                <w:kern w:val="0"/>
                <w:sz w:val="21"/>
                <w:szCs w:val="21"/>
              </w:rPr>
            </w:pPr>
          </w:p>
          <w:p w14:paraId="71D92F35">
            <w:pPr>
              <w:snapToGrid w:val="0"/>
              <w:spacing w:line="400" w:lineRule="exact"/>
              <w:jc w:val="center"/>
              <w:rPr>
                <w:rFonts w:hint="eastAsia" w:ascii="宋体" w:hAnsi="宋体" w:eastAsia="宋体" w:cs="宋体"/>
                <w:kern w:val="0"/>
                <w:sz w:val="21"/>
                <w:szCs w:val="21"/>
              </w:rPr>
            </w:pPr>
          </w:p>
          <w:p w14:paraId="74DA0BC4">
            <w:pPr>
              <w:snapToGrid w:val="0"/>
              <w:spacing w:line="400" w:lineRule="exact"/>
              <w:jc w:val="center"/>
              <w:rPr>
                <w:rFonts w:hint="eastAsia" w:ascii="宋体" w:hAnsi="宋体" w:eastAsia="宋体" w:cs="宋体"/>
                <w:kern w:val="0"/>
                <w:sz w:val="21"/>
                <w:szCs w:val="21"/>
              </w:rPr>
            </w:pPr>
          </w:p>
          <w:p w14:paraId="4870F92C">
            <w:pPr>
              <w:snapToGrid w:val="0"/>
              <w:spacing w:line="400" w:lineRule="exact"/>
              <w:jc w:val="center"/>
              <w:rPr>
                <w:rFonts w:hint="eastAsia" w:ascii="宋体" w:hAnsi="宋体" w:eastAsia="宋体" w:cs="宋体"/>
                <w:kern w:val="0"/>
                <w:sz w:val="21"/>
                <w:szCs w:val="21"/>
              </w:rPr>
            </w:pPr>
          </w:p>
          <w:p w14:paraId="138D464A">
            <w:pPr>
              <w:snapToGrid w:val="0"/>
              <w:spacing w:line="400" w:lineRule="exact"/>
              <w:jc w:val="center"/>
              <w:rPr>
                <w:rFonts w:hint="eastAsia" w:ascii="宋体" w:hAnsi="宋体" w:eastAsia="宋体" w:cs="宋体"/>
                <w:kern w:val="0"/>
                <w:sz w:val="21"/>
                <w:szCs w:val="21"/>
              </w:rPr>
            </w:pPr>
          </w:p>
          <w:p w14:paraId="1BC72D03">
            <w:pPr>
              <w:snapToGrid w:val="0"/>
              <w:spacing w:line="400" w:lineRule="exact"/>
              <w:jc w:val="center"/>
              <w:rPr>
                <w:rFonts w:hint="eastAsia" w:ascii="宋体" w:hAnsi="宋体" w:eastAsia="宋体" w:cs="宋体"/>
                <w:kern w:val="0"/>
                <w:sz w:val="21"/>
                <w:szCs w:val="21"/>
              </w:rPr>
            </w:pPr>
          </w:p>
          <w:p w14:paraId="65FC941B">
            <w:pPr>
              <w:snapToGrid w:val="0"/>
              <w:spacing w:line="400" w:lineRule="exact"/>
              <w:jc w:val="center"/>
              <w:rPr>
                <w:rFonts w:hint="eastAsia" w:ascii="宋体" w:hAnsi="宋体" w:eastAsia="宋体" w:cs="宋体"/>
                <w:kern w:val="0"/>
                <w:sz w:val="21"/>
                <w:szCs w:val="21"/>
              </w:rPr>
            </w:pPr>
          </w:p>
          <w:p w14:paraId="626F676B">
            <w:pPr>
              <w:snapToGrid w:val="0"/>
              <w:spacing w:line="400" w:lineRule="exact"/>
              <w:jc w:val="center"/>
              <w:rPr>
                <w:rFonts w:hint="eastAsia" w:ascii="宋体" w:hAnsi="宋体" w:eastAsia="宋体" w:cs="宋体"/>
                <w:kern w:val="0"/>
                <w:sz w:val="21"/>
                <w:szCs w:val="21"/>
              </w:rPr>
            </w:pPr>
          </w:p>
          <w:p w14:paraId="791EDF03">
            <w:pPr>
              <w:snapToGrid w:val="0"/>
              <w:spacing w:line="400" w:lineRule="exact"/>
              <w:jc w:val="center"/>
              <w:rPr>
                <w:rFonts w:hint="eastAsia" w:ascii="宋体" w:hAnsi="宋体" w:eastAsia="宋体" w:cs="宋体"/>
                <w:kern w:val="0"/>
                <w:sz w:val="21"/>
                <w:szCs w:val="21"/>
              </w:rPr>
            </w:pPr>
          </w:p>
          <w:p w14:paraId="786B6E30">
            <w:pPr>
              <w:snapToGrid w:val="0"/>
              <w:spacing w:line="400" w:lineRule="exact"/>
              <w:jc w:val="center"/>
              <w:rPr>
                <w:rFonts w:hint="eastAsia" w:ascii="宋体" w:hAnsi="宋体" w:eastAsia="宋体" w:cs="宋体"/>
                <w:kern w:val="0"/>
                <w:sz w:val="21"/>
                <w:szCs w:val="21"/>
              </w:rPr>
            </w:pPr>
          </w:p>
          <w:p w14:paraId="54D3FEF3">
            <w:pPr>
              <w:snapToGrid w:val="0"/>
              <w:spacing w:line="400" w:lineRule="exact"/>
              <w:jc w:val="center"/>
              <w:rPr>
                <w:rFonts w:hint="eastAsia" w:ascii="宋体" w:hAnsi="宋体" w:eastAsia="宋体" w:cs="宋体"/>
                <w:kern w:val="0"/>
                <w:sz w:val="21"/>
                <w:szCs w:val="21"/>
              </w:rPr>
            </w:pPr>
          </w:p>
          <w:p w14:paraId="44EC52E0">
            <w:pPr>
              <w:snapToGrid w:val="0"/>
              <w:spacing w:line="400" w:lineRule="exact"/>
              <w:jc w:val="center"/>
              <w:rPr>
                <w:rFonts w:hint="eastAsia" w:ascii="宋体" w:hAnsi="宋体" w:eastAsia="宋体" w:cs="宋体"/>
                <w:kern w:val="0"/>
                <w:sz w:val="21"/>
                <w:szCs w:val="21"/>
              </w:rPr>
            </w:pPr>
          </w:p>
          <w:p w14:paraId="49774370">
            <w:pPr>
              <w:snapToGrid w:val="0"/>
              <w:spacing w:line="400" w:lineRule="exact"/>
              <w:jc w:val="center"/>
              <w:rPr>
                <w:rFonts w:hint="eastAsia" w:ascii="宋体" w:hAnsi="宋体" w:eastAsia="宋体" w:cs="宋体"/>
                <w:kern w:val="0"/>
                <w:sz w:val="21"/>
                <w:szCs w:val="21"/>
              </w:rPr>
            </w:pPr>
          </w:p>
          <w:p w14:paraId="110FE7C2">
            <w:pPr>
              <w:snapToGrid w:val="0"/>
              <w:spacing w:line="400" w:lineRule="exact"/>
              <w:jc w:val="center"/>
              <w:rPr>
                <w:rFonts w:hint="eastAsia" w:ascii="宋体" w:hAnsi="宋体" w:eastAsia="宋体" w:cs="宋体"/>
                <w:kern w:val="0"/>
                <w:sz w:val="21"/>
                <w:szCs w:val="21"/>
              </w:rPr>
            </w:pPr>
          </w:p>
          <w:p w14:paraId="0F8B0DFB">
            <w:pPr>
              <w:snapToGrid w:val="0"/>
              <w:spacing w:line="400" w:lineRule="exact"/>
              <w:jc w:val="center"/>
              <w:rPr>
                <w:rFonts w:hint="eastAsia" w:ascii="宋体" w:hAnsi="宋体" w:eastAsia="宋体" w:cs="宋体"/>
                <w:kern w:val="0"/>
                <w:sz w:val="21"/>
                <w:szCs w:val="21"/>
              </w:rPr>
            </w:pPr>
          </w:p>
          <w:p w14:paraId="7BAC2E08">
            <w:pPr>
              <w:snapToGrid w:val="0"/>
              <w:spacing w:line="400" w:lineRule="exact"/>
              <w:jc w:val="center"/>
              <w:rPr>
                <w:rFonts w:hint="eastAsia" w:ascii="宋体" w:hAnsi="宋体" w:eastAsia="宋体" w:cs="宋体"/>
                <w:kern w:val="0"/>
                <w:sz w:val="21"/>
                <w:szCs w:val="21"/>
              </w:rPr>
            </w:pPr>
          </w:p>
          <w:p w14:paraId="46C80F46">
            <w:pPr>
              <w:snapToGrid w:val="0"/>
              <w:spacing w:line="400" w:lineRule="exact"/>
              <w:jc w:val="center"/>
              <w:rPr>
                <w:rFonts w:hint="eastAsia" w:ascii="宋体" w:hAnsi="宋体" w:eastAsia="宋体" w:cs="宋体"/>
                <w:kern w:val="0"/>
                <w:sz w:val="21"/>
                <w:szCs w:val="21"/>
              </w:rPr>
            </w:pPr>
          </w:p>
          <w:p w14:paraId="1B5B4D43">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6E5AA82A">
            <w:pPr>
              <w:snapToGrid w:val="0"/>
              <w:spacing w:line="400" w:lineRule="exact"/>
              <w:jc w:val="center"/>
              <w:rPr>
                <w:rFonts w:hint="eastAsia" w:ascii="宋体" w:hAnsi="宋体" w:eastAsia="宋体" w:cs="宋体"/>
                <w:kern w:val="0"/>
                <w:sz w:val="21"/>
                <w:szCs w:val="21"/>
              </w:rPr>
            </w:pPr>
          </w:p>
          <w:p w14:paraId="7128DE06">
            <w:pPr>
              <w:snapToGrid w:val="0"/>
              <w:spacing w:line="400" w:lineRule="exact"/>
              <w:jc w:val="center"/>
              <w:rPr>
                <w:rFonts w:hint="eastAsia" w:ascii="宋体" w:hAnsi="宋体" w:eastAsia="宋体" w:cs="宋体"/>
                <w:kern w:val="0"/>
                <w:sz w:val="21"/>
                <w:szCs w:val="21"/>
              </w:rPr>
            </w:pPr>
          </w:p>
          <w:p w14:paraId="1CAE5829">
            <w:pPr>
              <w:snapToGrid w:val="0"/>
              <w:spacing w:line="400" w:lineRule="exact"/>
              <w:jc w:val="center"/>
              <w:rPr>
                <w:rFonts w:hint="eastAsia" w:ascii="宋体" w:hAnsi="宋体" w:eastAsia="宋体" w:cs="宋体"/>
                <w:kern w:val="0"/>
                <w:sz w:val="21"/>
                <w:szCs w:val="21"/>
              </w:rPr>
            </w:pPr>
          </w:p>
          <w:p w14:paraId="5512CE11">
            <w:pPr>
              <w:snapToGrid w:val="0"/>
              <w:spacing w:line="400" w:lineRule="exact"/>
              <w:jc w:val="center"/>
              <w:rPr>
                <w:rFonts w:hint="eastAsia" w:ascii="宋体" w:hAnsi="宋体" w:eastAsia="宋体" w:cs="宋体"/>
                <w:kern w:val="0"/>
                <w:sz w:val="21"/>
                <w:szCs w:val="21"/>
              </w:rPr>
            </w:pPr>
          </w:p>
          <w:p w14:paraId="67096BB5">
            <w:pPr>
              <w:snapToGrid w:val="0"/>
              <w:spacing w:line="400" w:lineRule="exact"/>
              <w:jc w:val="center"/>
              <w:rPr>
                <w:rFonts w:hint="eastAsia" w:ascii="宋体" w:hAnsi="宋体" w:eastAsia="宋体" w:cs="宋体"/>
                <w:kern w:val="0"/>
                <w:sz w:val="21"/>
                <w:szCs w:val="21"/>
              </w:rPr>
            </w:pPr>
          </w:p>
          <w:p w14:paraId="433CA8B0">
            <w:pPr>
              <w:snapToGrid w:val="0"/>
              <w:spacing w:line="400" w:lineRule="exact"/>
              <w:jc w:val="center"/>
              <w:rPr>
                <w:rFonts w:hint="eastAsia" w:ascii="宋体" w:hAnsi="宋体" w:eastAsia="宋体" w:cs="宋体"/>
                <w:kern w:val="0"/>
                <w:sz w:val="21"/>
                <w:szCs w:val="21"/>
              </w:rPr>
            </w:pPr>
          </w:p>
          <w:p w14:paraId="430DDA1B">
            <w:pPr>
              <w:snapToGrid w:val="0"/>
              <w:spacing w:line="400" w:lineRule="exact"/>
              <w:jc w:val="center"/>
              <w:rPr>
                <w:rFonts w:hint="eastAsia" w:ascii="宋体" w:hAnsi="宋体" w:eastAsia="宋体" w:cs="宋体"/>
                <w:kern w:val="0"/>
                <w:sz w:val="21"/>
                <w:szCs w:val="21"/>
              </w:rPr>
            </w:pPr>
          </w:p>
          <w:p w14:paraId="26EC5267">
            <w:pPr>
              <w:snapToGrid w:val="0"/>
              <w:spacing w:line="400" w:lineRule="exact"/>
              <w:jc w:val="center"/>
              <w:rPr>
                <w:rFonts w:hint="eastAsia" w:ascii="宋体" w:hAnsi="宋体" w:eastAsia="宋体" w:cs="宋体"/>
                <w:kern w:val="0"/>
                <w:sz w:val="21"/>
                <w:szCs w:val="21"/>
              </w:rPr>
            </w:pPr>
          </w:p>
          <w:p w14:paraId="2103A216">
            <w:pPr>
              <w:snapToGrid w:val="0"/>
              <w:spacing w:line="400" w:lineRule="exact"/>
              <w:jc w:val="center"/>
              <w:rPr>
                <w:rFonts w:hint="eastAsia" w:ascii="宋体" w:hAnsi="宋体" w:eastAsia="宋体" w:cs="宋体"/>
                <w:kern w:val="0"/>
                <w:sz w:val="21"/>
                <w:szCs w:val="21"/>
              </w:rPr>
            </w:pPr>
          </w:p>
          <w:p w14:paraId="7FF13FAC">
            <w:pPr>
              <w:snapToGrid w:val="0"/>
              <w:spacing w:line="400" w:lineRule="exact"/>
              <w:jc w:val="center"/>
              <w:rPr>
                <w:rFonts w:hint="eastAsia" w:ascii="宋体" w:hAnsi="宋体" w:eastAsia="宋体" w:cs="宋体"/>
                <w:kern w:val="0"/>
                <w:sz w:val="21"/>
                <w:szCs w:val="21"/>
              </w:rPr>
            </w:pPr>
          </w:p>
          <w:p w14:paraId="3CB7B0DD">
            <w:pPr>
              <w:snapToGrid w:val="0"/>
              <w:spacing w:line="400" w:lineRule="exact"/>
              <w:jc w:val="both"/>
              <w:rPr>
                <w:rFonts w:hint="eastAsia" w:ascii="宋体" w:hAnsi="宋体" w:eastAsia="宋体" w:cs="宋体"/>
                <w:kern w:val="0"/>
                <w:sz w:val="21"/>
                <w:szCs w:val="21"/>
              </w:rPr>
            </w:pPr>
          </w:p>
          <w:p w14:paraId="5A4345E2">
            <w:pPr>
              <w:snapToGrid w:val="0"/>
              <w:spacing w:line="400" w:lineRule="exact"/>
              <w:jc w:val="both"/>
              <w:rPr>
                <w:rFonts w:hint="eastAsia" w:ascii="宋体" w:hAnsi="宋体" w:eastAsia="宋体" w:cs="宋体"/>
                <w:kern w:val="0"/>
                <w:sz w:val="21"/>
                <w:szCs w:val="21"/>
              </w:rPr>
            </w:pPr>
          </w:p>
          <w:p w14:paraId="179D8E58">
            <w:pPr>
              <w:snapToGrid w:val="0"/>
              <w:spacing w:line="400" w:lineRule="exact"/>
              <w:jc w:val="both"/>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25772B31">
            <w:pPr>
              <w:snapToGrid w:val="0"/>
              <w:spacing w:line="400" w:lineRule="exact"/>
              <w:jc w:val="center"/>
              <w:rPr>
                <w:rFonts w:hint="eastAsia" w:ascii="宋体" w:hAnsi="宋体" w:eastAsia="宋体" w:cs="宋体"/>
                <w:kern w:val="0"/>
                <w:sz w:val="21"/>
                <w:szCs w:val="21"/>
              </w:rPr>
            </w:pPr>
          </w:p>
          <w:p w14:paraId="2D40C282">
            <w:pPr>
              <w:snapToGrid w:val="0"/>
              <w:spacing w:line="400" w:lineRule="exact"/>
              <w:jc w:val="both"/>
              <w:rPr>
                <w:rFonts w:hint="eastAsia" w:ascii="宋体" w:hAnsi="宋体" w:eastAsia="宋体" w:cs="宋体"/>
                <w:kern w:val="0"/>
                <w:sz w:val="21"/>
                <w:szCs w:val="21"/>
              </w:rPr>
            </w:pPr>
          </w:p>
        </w:tc>
        <w:tc>
          <w:tcPr>
            <w:tcW w:w="6490" w:type="dxa"/>
            <w:vAlign w:val="center"/>
          </w:tcPr>
          <w:p w14:paraId="56CBAD73">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eastAsia="宋体" w:cs="宋体"/>
                <w:color w:val="auto"/>
                <w:sz w:val="21"/>
                <w:szCs w:val="21"/>
                <w:shd w:val="clear" w:color="auto" w:fill="FFFFFF"/>
              </w:rPr>
            </w:pPr>
            <w:bookmarkStart w:id="86" w:name="OLE_LINK1"/>
            <w:r>
              <w:rPr>
                <w:rFonts w:hint="eastAsia" w:ascii="宋体" w:hAnsi="宋体" w:eastAsia="宋体" w:cs="宋体"/>
                <w:color w:val="auto"/>
                <w:sz w:val="21"/>
                <w:szCs w:val="21"/>
              </w:rPr>
              <w:t>本次货物采购招标实行资格后审，</w:t>
            </w:r>
            <w:r>
              <w:rPr>
                <w:rFonts w:hint="eastAsia" w:ascii="宋体" w:hAnsi="宋体" w:eastAsia="宋体" w:cs="宋体"/>
                <w:snapToGrid w:val="0"/>
                <w:color w:val="auto"/>
                <w:kern w:val="0"/>
                <w:sz w:val="21"/>
                <w:szCs w:val="21"/>
              </w:rPr>
              <w:t>投标人</w:t>
            </w:r>
            <w:r>
              <w:rPr>
                <w:rFonts w:hint="eastAsia" w:ascii="宋体" w:hAnsi="宋体" w:cs="宋体"/>
                <w:snapToGrid w:val="0"/>
                <w:color w:val="auto"/>
                <w:kern w:val="0"/>
                <w:sz w:val="21"/>
                <w:szCs w:val="21"/>
                <w:lang w:val="en-US" w:eastAsia="zh-CN"/>
              </w:rPr>
              <w:t>应以</w:t>
            </w:r>
            <w:r>
              <w:rPr>
                <w:rFonts w:hint="eastAsia" w:ascii="宋体" w:hAnsi="宋体" w:cs="宋体"/>
                <w:b/>
                <w:bCs/>
                <w:snapToGrid w:val="0"/>
                <w:color w:val="auto"/>
                <w:kern w:val="0"/>
                <w:sz w:val="21"/>
                <w:szCs w:val="21"/>
                <w:lang w:val="en-US" w:eastAsia="zh-CN"/>
              </w:rPr>
              <w:t>制造商</w:t>
            </w:r>
            <w:r>
              <w:rPr>
                <w:rFonts w:hint="eastAsia" w:ascii="宋体" w:hAnsi="宋体" w:eastAsia="宋体" w:cs="宋体"/>
                <w:snapToGrid w:val="0"/>
                <w:color w:val="auto"/>
                <w:kern w:val="0"/>
                <w:sz w:val="21"/>
                <w:szCs w:val="21"/>
              </w:rPr>
              <w:t>身份参加投标：</w:t>
            </w:r>
          </w:p>
          <w:bookmarkEnd w:id="86"/>
          <w:p w14:paraId="65F525AC">
            <w:pPr>
              <w:autoSpaceDE w:val="0"/>
              <w:autoSpaceDN w:val="0"/>
              <w:adjustRightInd w:val="0"/>
              <w:snapToGrid w:val="0"/>
              <w:spacing w:line="400" w:lineRule="exact"/>
              <w:ind w:firstLine="422" w:firstLineChars="200"/>
              <w:rPr>
                <w:rFonts w:hint="eastAsia" w:ascii="宋体" w:hAnsi="宋体" w:eastAsia="宋体" w:cs="宋体"/>
                <w:b/>
                <w:color w:val="auto"/>
                <w:sz w:val="21"/>
                <w:szCs w:val="21"/>
              </w:rPr>
            </w:pPr>
            <w:r>
              <w:rPr>
                <w:rFonts w:hint="eastAsia" w:ascii="宋体" w:hAnsi="宋体" w:eastAsia="宋体" w:cs="宋体"/>
                <w:b/>
                <w:color w:val="auto"/>
                <w:sz w:val="21"/>
                <w:szCs w:val="21"/>
              </w:rPr>
              <w:t>1.</w:t>
            </w:r>
            <w:r>
              <w:rPr>
                <w:rFonts w:hint="eastAsia" w:ascii="宋体" w:hAnsi="宋体" w:eastAsia="宋体" w:cs="宋体"/>
                <w:b/>
                <w:color w:val="auto"/>
                <w:sz w:val="21"/>
                <w:szCs w:val="21"/>
                <w:lang w:eastAsia="zh-CN"/>
              </w:rPr>
              <w:t>独立法人资格</w:t>
            </w:r>
            <w:r>
              <w:rPr>
                <w:rFonts w:hint="eastAsia" w:ascii="宋体" w:hAnsi="宋体" w:eastAsia="宋体" w:cs="宋体"/>
                <w:b/>
                <w:color w:val="auto"/>
                <w:sz w:val="21"/>
                <w:szCs w:val="21"/>
              </w:rPr>
              <w:t>和资质要求</w:t>
            </w:r>
          </w:p>
          <w:p w14:paraId="1BD210D6">
            <w:pPr>
              <w:autoSpaceDE w:val="0"/>
              <w:autoSpaceDN w:val="0"/>
              <w:adjustRightInd w:val="0"/>
              <w:snapToGrid w:val="0"/>
              <w:spacing w:line="400" w:lineRule="exact"/>
              <w:ind w:firstLine="422" w:firstLineChars="200"/>
              <w:rPr>
                <w:rFonts w:hint="eastAsia" w:ascii="宋体" w:hAnsi="宋体" w:eastAsia="宋体" w:cs="宋体"/>
                <w:b/>
                <w:bCs/>
                <w:iCs/>
                <w:color w:val="auto"/>
                <w:sz w:val="21"/>
                <w:szCs w:val="21"/>
              </w:rPr>
            </w:pPr>
            <w:r>
              <w:rPr>
                <w:rFonts w:hint="eastAsia" w:ascii="宋体" w:hAnsi="宋体" w:eastAsia="宋体" w:cs="宋体"/>
                <w:b/>
                <w:bCs/>
                <w:snapToGrid w:val="0"/>
                <w:color w:val="auto"/>
                <w:kern w:val="0"/>
                <w:sz w:val="21"/>
                <w:szCs w:val="21"/>
              </w:rPr>
              <w:t xml:space="preserve">1.1 </w:t>
            </w:r>
            <w:r>
              <w:rPr>
                <w:rFonts w:hint="eastAsia" w:ascii="宋体" w:hAnsi="宋体" w:eastAsia="宋体" w:cs="宋体"/>
                <w:b/>
                <w:bCs/>
                <w:iCs/>
                <w:color w:val="auto"/>
                <w:sz w:val="21"/>
                <w:szCs w:val="21"/>
              </w:rPr>
              <w:t>投标人为制造商应符合以下要求：</w:t>
            </w:r>
          </w:p>
          <w:p w14:paraId="3187089F">
            <w:pPr>
              <w:keepNext w:val="0"/>
              <w:keepLines w:val="0"/>
              <w:pageBreakBefore w:val="0"/>
              <w:widowControl w:val="0"/>
              <w:shd w:val="clear"/>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eastAsia="宋体" w:cs="宋体"/>
                <w:snapToGrid w:val="0"/>
                <w:color w:val="auto"/>
                <w:kern w:val="0"/>
                <w:sz w:val="21"/>
                <w:szCs w:val="21"/>
              </w:rPr>
            </w:pPr>
            <w:r>
              <w:rPr>
                <w:rFonts w:hint="eastAsia" w:ascii="宋体" w:hAnsi="宋体" w:eastAsia="宋体" w:cs="宋体"/>
                <w:color w:val="auto"/>
                <w:sz w:val="21"/>
                <w:szCs w:val="21"/>
              </w:rPr>
              <w:t>（1）具备</w:t>
            </w:r>
            <w:r>
              <w:rPr>
                <w:rFonts w:hint="eastAsia" w:ascii="宋体" w:hAnsi="宋体" w:eastAsia="宋体" w:cs="宋体"/>
                <w:color w:val="auto"/>
                <w:sz w:val="21"/>
                <w:szCs w:val="21"/>
                <w:lang w:val="en-US" w:eastAsia="zh-CN"/>
              </w:rPr>
              <w:t>独立法人资格</w:t>
            </w:r>
            <w:r>
              <w:rPr>
                <w:rFonts w:hint="eastAsia" w:ascii="宋体" w:hAnsi="宋体" w:eastAsia="宋体" w:cs="宋体"/>
                <w:color w:val="auto"/>
                <w:sz w:val="21"/>
                <w:szCs w:val="21"/>
              </w:rPr>
              <w:t>；</w:t>
            </w:r>
          </w:p>
          <w:p w14:paraId="0F6C6BE4">
            <w:pPr>
              <w:keepNext w:val="0"/>
              <w:keepLines w:val="0"/>
              <w:pageBreakBefore w:val="0"/>
              <w:widowControl w:val="0"/>
              <w:numPr>
                <w:ilvl w:val="0"/>
                <w:numId w:val="0"/>
              </w:numPr>
              <w:shd w:val="clear"/>
              <w:tabs>
                <w:tab w:val="left" w:pos="1620"/>
              </w:tabs>
              <w:kinsoku/>
              <w:wordWrap/>
              <w:overflowPunct/>
              <w:topLinePunct w:val="0"/>
              <w:bidi w:val="0"/>
              <w:adjustRightInd w:val="0"/>
              <w:snapToGrid w:val="0"/>
              <w:spacing w:line="400" w:lineRule="exact"/>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（2）具备</w:t>
            </w:r>
            <w:r>
              <w:rPr>
                <w:rFonts w:hint="eastAsia" w:ascii="宋体" w:hAnsi="宋体" w:eastAsia="宋体" w:cs="宋体"/>
                <w:color w:val="auto"/>
                <w:sz w:val="21"/>
                <w:szCs w:val="21"/>
                <w:u w:val="single"/>
              </w:rPr>
              <w:t>有效的ISO9001质量管理体系认证证书</w:t>
            </w:r>
            <w:r>
              <w:rPr>
                <w:rFonts w:hint="eastAsia" w:ascii="宋体" w:hAnsi="宋体" w:eastAsia="宋体" w:cs="宋体"/>
                <w:caps w:val="0"/>
                <w:smallCaps w:val="0"/>
                <w:color w:val="auto"/>
                <w:sz w:val="21"/>
                <w:szCs w:val="21"/>
                <w:u w:val="single"/>
              </w:rPr>
              <w:t>，提供证书复印件加盖投标单位公章</w:t>
            </w:r>
            <w:r>
              <w:rPr>
                <w:rFonts w:hint="eastAsia" w:ascii="宋体" w:hAnsi="宋体" w:eastAsia="宋体" w:cs="宋体"/>
                <w:caps w:val="0"/>
                <w:smallCaps w:val="0"/>
                <w:color w:val="auto"/>
                <w:sz w:val="21"/>
                <w:szCs w:val="21"/>
                <w:lang w:val="en-US" w:eastAsia="zh-CN"/>
              </w:rPr>
              <w:t>；</w:t>
            </w:r>
          </w:p>
          <w:p w14:paraId="2F925E58">
            <w:pPr>
              <w:shd w:val="clear"/>
              <w:autoSpaceDE w:val="0"/>
              <w:autoSpaceDN w:val="0"/>
              <w:adjustRightInd w:val="0"/>
              <w:snapToGrid w:val="0"/>
              <w:spacing w:line="400" w:lineRule="exact"/>
              <w:ind w:firstLine="422" w:firstLineChars="200"/>
              <w:rPr>
                <w:rFonts w:hint="eastAsia" w:ascii="宋体" w:hAnsi="宋体" w:eastAsia="宋体" w:cs="宋体"/>
                <w:b/>
                <w:bCs/>
                <w:color w:val="0000C7"/>
                <w:sz w:val="21"/>
                <w:szCs w:val="21"/>
              </w:rPr>
            </w:pPr>
            <w:r>
              <w:rPr>
                <w:rFonts w:hint="eastAsia" w:ascii="宋体" w:hAnsi="宋体" w:eastAsia="宋体" w:cs="宋体"/>
                <w:b/>
                <w:bCs/>
                <w:color w:val="0000C7"/>
                <w:sz w:val="21"/>
                <w:szCs w:val="21"/>
              </w:rPr>
              <w:t>提供</w:t>
            </w:r>
            <w:r>
              <w:rPr>
                <w:rFonts w:hint="eastAsia" w:ascii="宋体" w:hAnsi="宋体" w:eastAsia="宋体" w:cs="宋体"/>
                <w:b/>
                <w:bCs/>
                <w:color w:val="0000C7"/>
                <w:sz w:val="21"/>
                <w:szCs w:val="21"/>
                <w:lang w:eastAsia="zh-CN"/>
              </w:rPr>
              <w:t>：</w:t>
            </w:r>
            <w:r>
              <w:rPr>
                <w:rFonts w:hint="eastAsia" w:ascii="宋体" w:hAnsi="宋体" w:eastAsia="宋体" w:cs="宋体"/>
                <w:b/>
                <w:bCs/>
                <w:color w:val="0000C7"/>
                <w:sz w:val="21"/>
                <w:szCs w:val="21"/>
                <w:lang w:val="en-US" w:eastAsia="zh-CN"/>
              </w:rPr>
              <w:t>有效的</w:t>
            </w:r>
            <w:r>
              <w:rPr>
                <w:rFonts w:hint="eastAsia" w:ascii="宋体" w:hAnsi="宋体" w:eastAsia="宋体" w:cs="宋体"/>
                <w:b/>
                <w:bCs/>
                <w:color w:val="0000C7"/>
                <w:sz w:val="21"/>
                <w:szCs w:val="21"/>
              </w:rPr>
              <w:t>营业执照、</w:t>
            </w:r>
            <w:r>
              <w:rPr>
                <w:rFonts w:hint="eastAsia" w:ascii="宋体" w:hAnsi="宋体" w:cs="宋体"/>
                <w:b/>
                <w:bCs/>
                <w:color w:val="0000FF"/>
                <w:szCs w:val="21"/>
                <w:lang w:val="en-US" w:eastAsia="zh-CN"/>
              </w:rPr>
              <w:t>ISO9001证书复印件</w:t>
            </w:r>
            <w:r>
              <w:rPr>
                <w:rFonts w:hint="eastAsia" w:ascii="宋体" w:hAnsi="宋体" w:eastAsia="宋体" w:cs="宋体"/>
                <w:b/>
                <w:bCs/>
                <w:color w:val="0000C7"/>
                <w:sz w:val="21"/>
                <w:szCs w:val="21"/>
              </w:rPr>
              <w:t>以及制造商资格声明</w:t>
            </w:r>
            <w:r>
              <w:rPr>
                <w:rFonts w:hint="eastAsia" w:ascii="宋体" w:hAnsi="宋体" w:eastAsia="宋体" w:cs="宋体"/>
                <w:b/>
                <w:bCs/>
                <w:color w:val="0000C7"/>
                <w:sz w:val="21"/>
                <w:szCs w:val="21"/>
                <w:highlight w:val="none"/>
                <w:lang w:eastAsia="zh-CN"/>
              </w:rPr>
              <w:t>（格式见</w:t>
            </w:r>
            <w:r>
              <w:rPr>
                <w:rFonts w:hint="eastAsia" w:ascii="宋体" w:hAnsi="宋体" w:eastAsia="宋体" w:cs="宋体"/>
                <w:b/>
                <w:bCs/>
                <w:color w:val="0000C7"/>
                <w:sz w:val="21"/>
                <w:szCs w:val="21"/>
                <w:highlight w:val="none"/>
              </w:rPr>
              <w:t>第六章投标文件格式</w:t>
            </w:r>
            <w:r>
              <w:rPr>
                <w:rFonts w:hint="eastAsia" w:ascii="宋体" w:hAnsi="宋体" w:eastAsia="宋体" w:cs="宋体"/>
                <w:b/>
                <w:bCs/>
                <w:color w:val="0000C7"/>
                <w:sz w:val="21"/>
                <w:szCs w:val="21"/>
                <w:highlight w:val="none"/>
                <w:lang w:eastAsia="zh-CN"/>
              </w:rPr>
              <w:t>）</w:t>
            </w:r>
            <w:r>
              <w:rPr>
                <w:rFonts w:hint="eastAsia" w:ascii="宋体" w:hAnsi="宋体" w:eastAsia="宋体" w:cs="宋体"/>
                <w:b/>
                <w:bCs/>
                <w:color w:val="0000C7"/>
                <w:sz w:val="21"/>
                <w:szCs w:val="21"/>
              </w:rPr>
              <w:t>。</w:t>
            </w:r>
          </w:p>
          <w:p w14:paraId="232A7402">
            <w:pPr>
              <w:shd w:val="clear"/>
              <w:autoSpaceDE w:val="0"/>
              <w:autoSpaceDN w:val="0"/>
              <w:adjustRightInd w:val="0"/>
              <w:snapToGrid w:val="0"/>
              <w:spacing w:line="400" w:lineRule="exact"/>
              <w:ind w:firstLine="420" w:firstLineChars="200"/>
              <w:rPr>
                <w:rFonts w:hint="eastAsia" w:ascii="宋体" w:hAnsi="宋体" w:eastAsia="宋体" w:cs="宋体"/>
                <w:snapToGrid w:val="0"/>
                <w:color w:val="auto"/>
                <w:kern w:val="0"/>
                <w:sz w:val="21"/>
                <w:szCs w:val="21"/>
              </w:rPr>
            </w:pPr>
            <w:r>
              <w:rPr>
                <w:rFonts w:hint="eastAsia" w:ascii="宋体" w:hAnsi="宋体" w:eastAsia="宋体" w:cs="宋体"/>
                <w:color w:val="auto"/>
                <w:sz w:val="21"/>
                <w:szCs w:val="21"/>
              </w:rPr>
              <w:t>注：不得将营业执照记载的经营范围作为评审因素。</w:t>
            </w:r>
          </w:p>
          <w:p w14:paraId="56A83457">
            <w:pPr>
              <w:shd w:val="clear"/>
              <w:autoSpaceDE w:val="0"/>
              <w:autoSpaceDN w:val="0"/>
              <w:adjustRightInd w:val="0"/>
              <w:snapToGrid w:val="0"/>
              <w:spacing w:line="400" w:lineRule="exact"/>
              <w:ind w:firstLine="422" w:firstLineChars="200"/>
              <w:rPr>
                <w:rFonts w:hint="eastAsia" w:ascii="宋体" w:hAnsi="宋体" w:eastAsia="宋体" w:cs="宋体"/>
                <w:b/>
                <w:color w:val="auto"/>
                <w:sz w:val="21"/>
                <w:szCs w:val="21"/>
              </w:rPr>
            </w:pPr>
            <w:r>
              <w:rPr>
                <w:rFonts w:hint="eastAsia" w:ascii="宋体" w:hAnsi="宋体" w:eastAsia="宋体" w:cs="宋体"/>
                <w:b/>
                <w:color w:val="auto"/>
                <w:sz w:val="21"/>
                <w:szCs w:val="21"/>
              </w:rPr>
              <w:t>2.财务要求</w:t>
            </w:r>
          </w:p>
          <w:p w14:paraId="4793835D">
            <w:pPr>
              <w:shd w:val="clear"/>
              <w:autoSpaceDE w:val="0"/>
              <w:autoSpaceDN w:val="0"/>
              <w:adjustRightInd w:val="0"/>
              <w:snapToGrid w:val="0"/>
              <w:spacing w:line="400" w:lineRule="exact"/>
              <w:ind w:firstLine="420" w:firstLineChars="200"/>
              <w:rPr>
                <w:rFonts w:hint="default" w:ascii="宋体" w:hAnsi="宋体" w:cs="宋体"/>
                <w:color w:val="auto"/>
                <w:kern w:val="0"/>
                <w:sz w:val="21"/>
                <w:szCs w:val="21"/>
                <w:u w:val="none"/>
                <w:lang w:val="en-US" w:eastAsia="zh-CN"/>
              </w:rPr>
            </w:pPr>
            <w:r>
              <w:rPr>
                <w:rFonts w:hint="eastAsia" w:ascii="宋体" w:hAnsi="宋体" w:cs="宋体"/>
                <w:color w:val="auto"/>
                <w:kern w:val="0"/>
                <w:sz w:val="21"/>
                <w:szCs w:val="21"/>
                <w:u w:val="none"/>
                <w:lang w:val="en-US" w:eastAsia="zh-CN"/>
              </w:rPr>
              <w:t>无</w:t>
            </w:r>
          </w:p>
          <w:p w14:paraId="7B276688">
            <w:pPr>
              <w:shd w:val="clear"/>
              <w:autoSpaceDE w:val="0"/>
              <w:autoSpaceDN w:val="0"/>
              <w:adjustRightInd w:val="0"/>
              <w:snapToGrid w:val="0"/>
              <w:spacing w:line="400" w:lineRule="exact"/>
              <w:ind w:firstLine="422" w:firstLineChars="200"/>
              <w:rPr>
                <w:rFonts w:hint="eastAsia" w:ascii="宋体" w:hAnsi="宋体" w:eastAsia="宋体" w:cs="宋体"/>
                <w:b/>
                <w:color w:val="auto"/>
                <w:sz w:val="21"/>
                <w:szCs w:val="21"/>
              </w:rPr>
            </w:pPr>
            <w:r>
              <w:rPr>
                <w:rFonts w:hint="eastAsia" w:ascii="宋体" w:hAnsi="宋体" w:eastAsia="宋体" w:cs="宋体"/>
                <w:b/>
                <w:color w:val="auto"/>
                <w:sz w:val="21"/>
                <w:szCs w:val="21"/>
              </w:rPr>
              <w:t>3.业绩要求</w:t>
            </w:r>
          </w:p>
          <w:p w14:paraId="6431D86C">
            <w:pPr>
              <w:shd w:val="clear"/>
              <w:autoSpaceDE w:val="0"/>
              <w:autoSpaceDN w:val="0"/>
              <w:adjustRightInd w:val="0"/>
              <w:snapToGrid w:val="0"/>
              <w:spacing w:line="400" w:lineRule="exact"/>
              <w:ind w:firstLine="415" w:firstLineChars="198"/>
              <w:rPr>
                <w:rFonts w:hint="eastAsia" w:ascii="宋体" w:hAnsi="宋体" w:eastAsia="宋体" w:cs="宋体"/>
                <w:b w:val="0"/>
                <w:bC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auto"/>
                <w:sz w:val="21"/>
                <w:szCs w:val="21"/>
                <w:highlight w:val="none"/>
                <w:lang w:val="en-US" w:eastAsia="zh-CN"/>
              </w:rPr>
              <w:t>投标人具有</w:t>
            </w:r>
            <w:r>
              <w:rPr>
                <w:rFonts w:hint="eastAsia" w:ascii="宋体" w:hAnsi="宋体" w:eastAsia="宋体" w:cs="宋体"/>
                <w:i w:val="0"/>
                <w:iCs w:val="0"/>
                <w:color w:val="auto"/>
                <w:kern w:val="0"/>
                <w:sz w:val="21"/>
                <w:szCs w:val="21"/>
                <w:highlight w:val="none"/>
                <w:u w:val="single"/>
                <w:lang w:val="en-US" w:eastAsia="zh-CN" w:bidi="ar"/>
              </w:rPr>
              <w:t xml:space="preserve"> 1 个</w:t>
            </w:r>
            <w:r>
              <w:rPr>
                <w:rFonts w:hint="eastAsia" w:ascii="宋体" w:hAnsi="宋体" w:eastAsia="宋体" w:cs="宋体"/>
                <w:color w:val="auto"/>
                <w:sz w:val="21"/>
                <w:szCs w:val="21"/>
                <w:highlight w:val="none"/>
                <w:lang w:val="en-US" w:eastAsia="zh-CN"/>
              </w:rPr>
              <w:t>已完成的</w:t>
            </w:r>
            <w:r>
              <w:rPr>
                <w:rFonts w:hint="eastAsia" w:ascii="宋体" w:hAnsi="宋体" w:eastAsia="宋体" w:cs="宋体"/>
                <w:b/>
                <w:bCs/>
                <w:color w:val="auto"/>
                <w:kern w:val="2"/>
                <w:sz w:val="21"/>
                <w:szCs w:val="21"/>
                <w:highlight w:val="none"/>
                <w:u w:val="single"/>
                <w:lang w:val="en-US" w:eastAsia="zh-CN" w:bidi="ar-SA"/>
              </w:rPr>
              <w:t xml:space="preserve"> </w:t>
            </w:r>
            <w:r>
              <w:rPr>
                <w:rFonts w:hint="eastAsia" w:ascii="宋体" w:hAnsi="宋体" w:eastAsia="宋体" w:cs="宋体"/>
                <w:i w:val="0"/>
                <w:iCs w:val="0"/>
                <w:color w:val="auto"/>
                <w:kern w:val="0"/>
                <w:sz w:val="21"/>
                <w:szCs w:val="21"/>
                <w:highlight w:val="none"/>
                <w:u w:val="single"/>
                <w:lang w:val="en-US" w:eastAsia="zh-CN" w:bidi="ar"/>
              </w:rPr>
              <w:t>复合调味料设备或调味品（酱油/醋等）</w:t>
            </w:r>
            <w:r>
              <w:rPr>
                <w:rFonts w:hint="eastAsia" w:ascii="宋体" w:hAnsi="宋体" w:eastAsia="宋体" w:cs="宋体"/>
                <w:color w:val="auto"/>
                <w:sz w:val="21"/>
                <w:szCs w:val="21"/>
                <w:highlight w:val="none"/>
                <w:lang w:val="en-US" w:eastAsia="zh-CN"/>
              </w:rPr>
              <w:t>供货业绩，合同金</w:t>
            </w:r>
            <w:r>
              <w:rPr>
                <w:rFonts w:hint="eastAsia" w:ascii="宋体" w:hAnsi="宋体" w:eastAsia="宋体" w:cs="宋体"/>
                <w:b w:val="0"/>
                <w:bCs w:val="0"/>
                <w:color w:val="auto"/>
                <w:sz w:val="21"/>
                <w:szCs w:val="21"/>
                <w:highlight w:val="none"/>
                <w:lang w:val="en-US" w:eastAsia="zh-CN"/>
              </w:rPr>
              <w:t>额不低于</w:t>
            </w:r>
            <w:r>
              <w:rPr>
                <w:rFonts w:hint="eastAsia" w:ascii="宋体" w:hAnsi="宋体" w:eastAsia="宋体" w:cs="宋体"/>
                <w:i w:val="0"/>
                <w:iCs w:val="0"/>
                <w:color w:val="auto"/>
                <w:kern w:val="0"/>
                <w:sz w:val="21"/>
                <w:szCs w:val="21"/>
                <w:highlight w:val="none"/>
                <w:u w:val="single"/>
                <w:lang w:val="en-US" w:eastAsia="zh-CN" w:bidi="ar"/>
              </w:rPr>
              <w:t xml:space="preserve"> 1000 万</w:t>
            </w:r>
            <w:r>
              <w:rPr>
                <w:rFonts w:hint="eastAsia" w:ascii="宋体" w:hAnsi="宋体" w:eastAsia="宋体" w:cs="宋体"/>
                <w:b w:val="0"/>
                <w:bCs w:val="0"/>
                <w:color w:val="auto"/>
                <w:sz w:val="21"/>
                <w:szCs w:val="21"/>
                <w:highlight w:val="none"/>
                <w:u w:val="single"/>
                <w:lang w:val="en-US" w:eastAsia="zh-CN"/>
              </w:rPr>
              <w:t>元</w:t>
            </w:r>
            <w:r>
              <w:rPr>
                <w:rFonts w:hint="eastAsia" w:ascii="宋体" w:hAnsi="宋体" w:eastAsia="宋体" w:cs="宋体"/>
                <w:b w:val="0"/>
                <w:bCs w:val="0"/>
                <w:color w:val="000000" w:themeColor="text1"/>
                <w:sz w:val="21"/>
                <w:szCs w:val="21"/>
                <w:highlight w:val="none"/>
                <w:lang w:val="en-US" w:eastAsia="zh-CN"/>
                <w14:textFill>
                  <w14:solidFill>
                    <w14:schemeClr w14:val="tx1"/>
                  </w14:solidFill>
                </w14:textFill>
              </w:rPr>
              <w:t>人民币。</w:t>
            </w:r>
          </w:p>
          <w:p w14:paraId="72C20282">
            <w:pPr>
              <w:shd w:val="clear"/>
              <w:autoSpaceDE w:val="0"/>
              <w:autoSpaceDN w:val="0"/>
              <w:adjustRightInd w:val="0"/>
              <w:snapToGrid w:val="0"/>
              <w:spacing w:line="400" w:lineRule="exact"/>
              <w:ind w:firstLine="422" w:firstLineChars="200"/>
              <w:rPr>
                <w:rFonts w:hint="eastAsia" w:ascii="宋体" w:hAnsi="宋体" w:eastAsia="宋体" w:cs="宋体"/>
                <w:b/>
                <w:bCs/>
                <w:color w:val="0000C7"/>
                <w:sz w:val="21"/>
                <w:szCs w:val="21"/>
                <w:lang w:val="en-US" w:eastAsia="zh-CN"/>
              </w:rPr>
            </w:pPr>
            <w:r>
              <w:rPr>
                <w:rFonts w:hint="eastAsia" w:ascii="宋体" w:hAnsi="宋体" w:eastAsia="宋体" w:cs="宋体"/>
                <w:b/>
                <w:bCs/>
                <w:color w:val="0000C7"/>
                <w:sz w:val="21"/>
                <w:szCs w:val="21"/>
                <w:lang w:val="en-US" w:eastAsia="zh-CN"/>
              </w:rPr>
              <w:t>提供：该业绩的合同文件和完成供货证明（合同文件须提供首页、签章页以及体现上述业绩指标的关键页；完成供货证明须提供下列材料之一：使用单位验收报告、使用单位入库单、使用单位验收单、发货款或验收款项发票等）；若提供的业绩证明材料不能体现上述业绩指标的，应补充提供采购单位证明。</w:t>
            </w:r>
          </w:p>
          <w:p w14:paraId="2497F3A9">
            <w:pPr>
              <w:keepNext w:val="0"/>
              <w:keepLines w:val="0"/>
              <w:pageBreakBefore w:val="0"/>
              <w:widowControl w:val="0"/>
              <w:shd w:val="clear"/>
              <w:kinsoku/>
              <w:wordWrap/>
              <w:overflowPunct/>
              <w:topLinePunct w:val="0"/>
              <w:autoSpaceDE w:val="0"/>
              <w:autoSpaceDN w:val="0"/>
              <w:bidi w:val="0"/>
              <w:adjustRightInd w:val="0"/>
              <w:snapToGrid w:val="0"/>
              <w:spacing w:line="440" w:lineRule="exact"/>
              <w:ind w:firstLine="420" w:firstLineChars="200"/>
              <w:textAlignment w:val="auto"/>
              <w:rPr>
                <w:rFonts w:hint="eastAsia"/>
                <w:color w:val="auto"/>
              </w:rPr>
            </w:pPr>
            <w:r>
              <w:rPr>
                <w:rFonts w:hint="eastAsia" w:ascii="宋体" w:hAnsi="宋体" w:eastAsia="宋体" w:cs="宋体"/>
                <w:color w:val="auto"/>
                <w:sz w:val="21"/>
                <w:szCs w:val="21"/>
                <w:lang w:val="en-US" w:eastAsia="zh-CN"/>
              </w:rPr>
              <w:t>注：</w:t>
            </w:r>
            <w:r>
              <w:rPr>
                <w:rFonts w:hint="eastAsia" w:ascii="宋体" w:hAnsi="宋体" w:cs="宋体"/>
                <w:color w:val="auto"/>
                <w:sz w:val="21"/>
                <w:szCs w:val="21"/>
                <w:lang w:eastAsia="zh-CN"/>
              </w:rPr>
              <w:t>（</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投标人提供业绩为联合体业绩的，其在该业绩中的工作分工应与本项目承担的工作一致。</w:t>
            </w:r>
          </w:p>
          <w:p w14:paraId="0248BA4C">
            <w:pPr>
              <w:adjustRightInd w:val="0"/>
              <w:snapToGrid w:val="0"/>
              <w:spacing w:line="400" w:lineRule="exact"/>
              <w:ind w:firstLine="422" w:firstLineChars="200"/>
              <w:rPr>
                <w:rFonts w:hint="eastAsia" w:ascii="宋体" w:hAnsi="宋体" w:eastAsia="宋体" w:cs="宋体"/>
                <w:b/>
                <w:color w:val="auto"/>
                <w:sz w:val="21"/>
                <w:szCs w:val="21"/>
              </w:rPr>
            </w:pPr>
            <w:r>
              <w:rPr>
                <w:rFonts w:hint="eastAsia" w:ascii="宋体" w:hAnsi="宋体" w:eastAsia="宋体" w:cs="宋体"/>
                <w:b/>
                <w:color w:val="auto"/>
                <w:sz w:val="21"/>
                <w:szCs w:val="21"/>
              </w:rPr>
              <w:t>4.投标截止日投标资格情况</w:t>
            </w:r>
          </w:p>
          <w:p w14:paraId="1E7599A1">
            <w:pPr>
              <w:snapToGrid w:val="0"/>
              <w:spacing w:line="400" w:lineRule="exact"/>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投标人不得存在下列情形之一：</w:t>
            </w:r>
          </w:p>
          <w:p w14:paraId="26760A21">
            <w:pPr>
              <w:snapToGrid w:val="0"/>
              <w:spacing w:line="400" w:lineRule="exact"/>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（1）被人民法院列入失信被执行人名单且在被执行期内；</w:t>
            </w:r>
          </w:p>
          <w:p w14:paraId="1EAF08C8">
            <w:pPr>
              <w:snapToGrid w:val="0"/>
              <w:spacing w:line="400" w:lineRule="exact"/>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rPr>
              <w:t>（</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）被国家、重庆市（含市或任意区县）有关行政部门处以暂停投标资格行政处罚或暂停在渝承揽新业务，且在暂停期限内</w:t>
            </w:r>
            <w:r>
              <w:rPr>
                <w:rFonts w:hint="eastAsia" w:ascii="宋体" w:hAnsi="宋体" w:cs="宋体"/>
                <w:color w:val="auto"/>
                <w:sz w:val="21"/>
                <w:szCs w:val="21"/>
                <w:lang w:eastAsia="zh-CN"/>
              </w:rPr>
              <w:t>；</w:t>
            </w:r>
          </w:p>
          <w:p w14:paraId="219A34C5">
            <w:pPr>
              <w:snapToGrid w:val="0"/>
              <w:spacing w:line="400" w:lineRule="exact"/>
              <w:ind w:firstLine="420" w:firstLineChars="200"/>
              <w:rPr>
                <w:rFonts w:hint="eastAsia" w:ascii="宋体" w:hAnsi="宋体" w:eastAsia="宋体" w:cs="宋体"/>
                <w:color w:val="auto"/>
                <w:sz w:val="21"/>
                <w:szCs w:val="21"/>
              </w:rPr>
            </w:pPr>
            <w:r>
              <w:rPr>
                <w:rFonts w:hint="eastAsia" w:ascii="宋体" w:hAnsi="宋体" w:eastAsia="宋体" w:cs="宋体"/>
                <w:color w:val="auto"/>
                <w:lang w:eastAsia="zh-CN"/>
              </w:rPr>
              <w:t>（</w:t>
            </w:r>
            <w:r>
              <w:rPr>
                <w:rFonts w:hint="eastAsia" w:ascii="宋体" w:hAnsi="宋体" w:eastAsia="宋体" w:cs="宋体"/>
                <w:color w:val="auto"/>
                <w:lang w:val="en-US" w:eastAsia="zh-CN"/>
              </w:rPr>
              <w:t>3</w:t>
            </w:r>
            <w:r>
              <w:rPr>
                <w:rFonts w:hint="eastAsia" w:ascii="宋体" w:hAnsi="宋体" w:eastAsia="宋体" w:cs="宋体"/>
                <w:color w:val="auto"/>
                <w:lang w:eastAsia="zh-CN"/>
              </w:rPr>
              <w:t>）</w:t>
            </w:r>
            <w:r>
              <w:rPr>
                <w:rFonts w:hint="eastAsia" w:ascii="宋体" w:hAnsi="宋体" w:eastAsia="宋体" w:cs="宋体"/>
                <w:color w:val="auto"/>
                <w:kern w:val="0"/>
              </w:rPr>
              <w:t>第二章“投标人须知”第1.4.3项规定</w:t>
            </w:r>
            <w:r>
              <w:rPr>
                <w:rFonts w:hint="eastAsia" w:ascii="宋体" w:hAnsi="宋体" w:eastAsia="宋体" w:cs="宋体"/>
                <w:color w:val="auto"/>
                <w:kern w:val="0"/>
                <w:lang w:val="en-US" w:eastAsia="zh-CN"/>
              </w:rPr>
              <w:t>的情形之一</w:t>
            </w:r>
            <w:r>
              <w:rPr>
                <w:rFonts w:hint="eastAsia" w:ascii="宋体" w:hAnsi="宋体" w:eastAsia="宋体" w:cs="宋体"/>
                <w:color w:val="auto"/>
                <w:kern w:val="0"/>
                <w:lang w:eastAsia="zh-CN"/>
              </w:rPr>
              <w:t>；</w:t>
            </w:r>
            <w:r>
              <w:rPr>
                <w:rFonts w:hint="eastAsia" w:ascii="宋体" w:hAnsi="宋体" w:eastAsia="宋体" w:cs="宋体"/>
                <w:color w:val="auto"/>
                <w:kern w:val="0"/>
                <w:lang w:val="en-US" w:eastAsia="zh-CN"/>
              </w:rPr>
              <w:t>第二章“投标人须知”第9.2款规定的情形之一</w:t>
            </w:r>
            <w:r>
              <w:rPr>
                <w:rFonts w:hint="eastAsia" w:ascii="宋体" w:hAnsi="宋体" w:cs="宋体"/>
                <w:color w:val="auto"/>
                <w:kern w:val="0"/>
                <w:lang w:val="en-US" w:eastAsia="zh-CN"/>
              </w:rPr>
              <w:t>。</w:t>
            </w:r>
          </w:p>
          <w:p w14:paraId="166C98A9">
            <w:pPr>
              <w:snapToGrid w:val="0"/>
              <w:spacing w:line="400" w:lineRule="exact"/>
              <w:ind w:firstLine="422" w:firstLineChars="200"/>
              <w:rPr>
                <w:rFonts w:hint="eastAsia" w:ascii="宋体" w:hAnsi="宋体" w:eastAsia="宋体" w:cs="宋体"/>
                <w:b/>
                <w:bCs/>
                <w:color w:val="0000C7"/>
                <w:sz w:val="21"/>
                <w:szCs w:val="21"/>
              </w:rPr>
            </w:pPr>
            <w:r>
              <w:rPr>
                <w:rFonts w:hint="eastAsia" w:ascii="宋体" w:hAnsi="宋体" w:eastAsia="宋体" w:cs="宋体"/>
                <w:b/>
                <w:bCs/>
                <w:color w:val="0000C7"/>
                <w:sz w:val="21"/>
                <w:szCs w:val="21"/>
              </w:rPr>
              <w:t>提供</w:t>
            </w:r>
            <w:r>
              <w:rPr>
                <w:rFonts w:hint="eastAsia" w:ascii="宋体" w:hAnsi="宋体" w:eastAsia="宋体" w:cs="宋体"/>
                <w:b/>
                <w:bCs/>
                <w:color w:val="0000C7"/>
                <w:sz w:val="21"/>
                <w:szCs w:val="21"/>
                <w:lang w:eastAsia="zh-CN"/>
              </w:rPr>
              <w:t>：</w:t>
            </w:r>
            <w:r>
              <w:rPr>
                <w:rFonts w:hint="eastAsia" w:ascii="宋体" w:hAnsi="宋体" w:eastAsia="宋体" w:cs="宋体"/>
                <w:b/>
                <w:bCs/>
                <w:color w:val="0000C7"/>
                <w:sz w:val="21"/>
                <w:szCs w:val="21"/>
              </w:rPr>
              <w:t>承诺（格式见第六章投标文件格式）。</w:t>
            </w:r>
          </w:p>
          <w:p w14:paraId="0AC875AB">
            <w:pPr>
              <w:autoSpaceDE w:val="0"/>
              <w:autoSpaceDN w:val="0"/>
              <w:adjustRightInd w:val="0"/>
              <w:snapToGrid w:val="0"/>
              <w:spacing w:line="400" w:lineRule="exact"/>
              <w:ind w:firstLine="422" w:firstLineChars="200"/>
              <w:rPr>
                <w:rFonts w:hint="eastAsia" w:ascii="宋体" w:hAnsi="宋体" w:eastAsia="宋体" w:cs="宋体"/>
                <w:color w:val="auto"/>
                <w:sz w:val="21"/>
                <w:szCs w:val="21"/>
              </w:rPr>
            </w:pPr>
            <w:r>
              <w:rPr>
                <w:rFonts w:hint="eastAsia" w:ascii="宋体" w:hAnsi="宋体" w:eastAsia="宋体" w:cs="宋体"/>
                <w:b/>
                <w:color w:val="auto"/>
                <w:sz w:val="21"/>
                <w:szCs w:val="21"/>
              </w:rPr>
              <w:t>5.其他要求</w:t>
            </w:r>
          </w:p>
          <w:p w14:paraId="63F97FC9">
            <w:pPr>
              <w:keepNext w:val="0"/>
              <w:keepLines w:val="0"/>
              <w:pageBreakBefore w:val="0"/>
              <w:widowControl w:val="0"/>
              <w:kinsoku/>
              <w:wordWrap/>
              <w:overflowPunct/>
              <w:topLinePunct w:val="0"/>
              <w:autoSpaceDE w:val="0"/>
              <w:autoSpaceDN w:val="0"/>
              <w:bidi w:val="0"/>
              <w:adjustRightInd w:val="0"/>
              <w:snapToGrid w:val="0"/>
              <w:spacing w:line="460" w:lineRule="exact"/>
              <w:ind w:firstLine="420" w:firstLineChars="200"/>
              <w:textAlignment w:val="auto"/>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eastAsia="zh-CN"/>
              </w:rPr>
              <w:t>（</w:t>
            </w:r>
            <w:r>
              <w:rPr>
                <w:rFonts w:hint="eastAsia" w:ascii="宋体" w:hAnsi="宋体" w:eastAsia="宋体" w:cs="宋体"/>
                <w:bCs/>
                <w:color w:val="auto"/>
                <w:sz w:val="21"/>
                <w:szCs w:val="21"/>
                <w:lang w:val="en-US" w:eastAsia="zh-CN"/>
              </w:rPr>
              <w:t>1</w:t>
            </w:r>
            <w:r>
              <w:rPr>
                <w:rFonts w:hint="eastAsia" w:ascii="宋体" w:hAnsi="宋体" w:eastAsia="宋体" w:cs="宋体"/>
                <w:bCs/>
                <w:color w:val="auto"/>
                <w:sz w:val="21"/>
                <w:szCs w:val="21"/>
                <w:lang w:eastAsia="zh-CN"/>
              </w:rPr>
              <w:t>）</w:t>
            </w:r>
            <w:r>
              <w:rPr>
                <w:rFonts w:hint="eastAsia" w:ascii="宋体" w:hAnsi="宋体" w:eastAsia="宋体" w:cs="宋体"/>
                <w:bCs/>
                <w:color w:val="auto"/>
                <w:sz w:val="21"/>
                <w:szCs w:val="21"/>
                <w:lang w:val="en-US" w:eastAsia="zh-CN"/>
              </w:rPr>
              <w:t>质量保证期</w:t>
            </w:r>
          </w:p>
          <w:p w14:paraId="7BBD32FB">
            <w:pPr>
              <w:keepNext w:val="0"/>
              <w:keepLines w:val="0"/>
              <w:pageBreakBefore w:val="0"/>
              <w:widowControl w:val="0"/>
              <w:kinsoku/>
              <w:wordWrap/>
              <w:overflowPunct/>
              <w:topLinePunct w:val="0"/>
              <w:autoSpaceDE w:val="0"/>
              <w:autoSpaceDN w:val="0"/>
              <w:bidi w:val="0"/>
              <w:adjustRightInd w:val="0"/>
              <w:snapToGrid w:val="0"/>
              <w:spacing w:line="460" w:lineRule="exact"/>
              <w:ind w:firstLine="420" w:firstLineChars="200"/>
              <w:textAlignment w:val="auto"/>
              <w:rPr>
                <w:rFonts w:hint="eastAsia" w:ascii="宋体" w:hAnsi="宋体" w:eastAsia="宋体" w:cs="宋体"/>
                <w:b/>
                <w:bCs w:val="0"/>
                <w:color w:val="auto"/>
                <w:sz w:val="21"/>
                <w:szCs w:val="21"/>
                <w:u w:val="none"/>
                <w:lang w:val="en-US" w:eastAsia="zh-CN"/>
              </w:rPr>
            </w:pPr>
            <w:r>
              <w:rPr>
                <w:rFonts w:hint="eastAsia" w:ascii="宋体" w:hAnsi="宋体" w:eastAsia="宋体" w:cs="宋体"/>
                <w:b w:val="0"/>
                <w:bCs/>
                <w:color w:val="auto"/>
                <w:sz w:val="21"/>
                <w:szCs w:val="21"/>
                <w:lang w:val="en-US" w:eastAsia="zh-CN"/>
              </w:rPr>
              <w:t>本项目投标货物的质量保证期为：</w:t>
            </w:r>
            <w:r>
              <w:rPr>
                <w:rFonts w:hint="eastAsia" w:ascii="宋体" w:hAnsi="宋体" w:cs="宋体"/>
                <w:b w:val="0"/>
                <w:bCs/>
                <w:color w:val="auto"/>
                <w:sz w:val="21"/>
                <w:szCs w:val="21"/>
                <w:u w:val="single"/>
                <w:lang w:val="en-US" w:eastAsia="zh-CN"/>
              </w:rPr>
              <w:t>24</w:t>
            </w:r>
            <w:r>
              <w:rPr>
                <w:rFonts w:hint="eastAsia" w:ascii="宋体" w:hAnsi="宋体" w:eastAsia="宋体" w:cs="宋体"/>
                <w:b w:val="0"/>
                <w:bCs/>
                <w:color w:val="auto"/>
                <w:sz w:val="21"/>
                <w:szCs w:val="21"/>
                <w:u w:val="single"/>
                <w:lang w:val="en-US" w:eastAsia="zh-CN"/>
              </w:rPr>
              <w:t xml:space="preserve"> </w:t>
            </w:r>
            <w:r>
              <w:rPr>
                <w:rFonts w:hint="eastAsia" w:ascii="宋体" w:hAnsi="宋体" w:eastAsia="宋体" w:cs="宋体"/>
                <w:b w:val="0"/>
                <w:bCs/>
                <w:color w:val="auto"/>
                <w:sz w:val="21"/>
                <w:szCs w:val="21"/>
                <w:u w:val="none"/>
                <w:lang w:val="en-US" w:eastAsia="zh-CN"/>
              </w:rPr>
              <w:t>个月</w:t>
            </w:r>
            <w:r>
              <w:rPr>
                <w:rFonts w:hint="eastAsia" w:ascii="宋体" w:hAnsi="宋体" w:cs="宋体"/>
                <w:b w:val="0"/>
                <w:bCs/>
                <w:color w:val="auto"/>
                <w:sz w:val="21"/>
                <w:szCs w:val="21"/>
                <w:u w:val="none"/>
                <w:lang w:val="en-US" w:eastAsia="zh-CN"/>
              </w:rPr>
              <w:t>，</w:t>
            </w:r>
            <w:r>
              <w:rPr>
                <w:rFonts w:hint="eastAsia" w:ascii="宋体" w:hAnsi="宋体" w:cs="宋体"/>
                <w:b/>
                <w:bCs w:val="0"/>
                <w:color w:val="auto"/>
                <w:sz w:val="21"/>
                <w:szCs w:val="21"/>
                <w:u w:val="none"/>
                <w:lang w:val="en-US" w:eastAsia="zh-CN"/>
              </w:rPr>
              <w:t>投标人可延长质量保证期</w:t>
            </w:r>
            <w:r>
              <w:rPr>
                <w:rFonts w:hint="eastAsia" w:ascii="宋体" w:hAnsi="宋体" w:eastAsia="宋体" w:cs="宋体"/>
                <w:b/>
                <w:bCs w:val="0"/>
                <w:color w:val="auto"/>
                <w:sz w:val="21"/>
                <w:szCs w:val="21"/>
                <w:u w:val="none"/>
                <w:lang w:val="en-US" w:eastAsia="zh-CN"/>
              </w:rPr>
              <w:t>。质量保证期内服务包括：</w:t>
            </w:r>
            <w:r>
              <w:rPr>
                <w:rFonts w:hint="eastAsia" w:ascii="宋体" w:hAnsi="宋体" w:eastAsia="宋体" w:cs="宋体"/>
                <w:b/>
                <w:bCs w:val="0"/>
                <w:color w:val="auto"/>
                <w:sz w:val="21"/>
                <w:szCs w:val="21"/>
                <w:u w:val="single"/>
                <w:lang w:val="en-US" w:eastAsia="zh-CN"/>
              </w:rPr>
              <w:t xml:space="preserve"> </w:t>
            </w:r>
            <w:r>
              <w:rPr>
                <w:rFonts w:hint="eastAsia" w:ascii="宋体" w:hAnsi="宋体" w:cs="宋体"/>
                <w:b/>
                <w:bCs w:val="0"/>
                <w:color w:val="auto"/>
                <w:sz w:val="21"/>
                <w:szCs w:val="21"/>
                <w:u w:val="single"/>
                <w:lang w:val="en-US" w:eastAsia="zh-CN"/>
              </w:rPr>
              <w:t>详见第四章《合同条款及格式》</w:t>
            </w:r>
            <w:r>
              <w:rPr>
                <w:rFonts w:hint="eastAsia" w:ascii="宋体" w:hAnsi="宋体" w:eastAsia="宋体" w:cs="宋体"/>
                <w:b/>
                <w:bCs w:val="0"/>
                <w:color w:val="auto"/>
                <w:sz w:val="21"/>
                <w:szCs w:val="21"/>
                <w:u w:val="single"/>
                <w:lang w:val="en-US" w:eastAsia="zh-CN"/>
              </w:rPr>
              <w:t xml:space="preserve"> </w:t>
            </w:r>
            <w:r>
              <w:rPr>
                <w:rFonts w:hint="eastAsia" w:ascii="宋体" w:hAnsi="宋体" w:eastAsia="宋体" w:cs="宋体"/>
                <w:b/>
                <w:bCs w:val="0"/>
                <w:color w:val="auto"/>
                <w:sz w:val="21"/>
                <w:szCs w:val="21"/>
                <w:u w:val="none"/>
                <w:lang w:val="en-US" w:eastAsia="zh-CN"/>
              </w:rPr>
              <w:t>。</w:t>
            </w:r>
          </w:p>
          <w:p w14:paraId="56823495">
            <w:pPr>
              <w:autoSpaceDE w:val="0"/>
              <w:autoSpaceDN w:val="0"/>
              <w:adjustRightInd w:val="0"/>
              <w:snapToGrid w:val="0"/>
              <w:spacing w:line="400" w:lineRule="exact"/>
              <w:ind w:firstLine="422" w:firstLineChars="200"/>
              <w:rPr>
                <w:rFonts w:hint="eastAsia" w:ascii="宋体" w:hAnsi="宋体" w:eastAsia="宋体" w:cs="宋体"/>
                <w:b/>
                <w:bCs w:val="0"/>
                <w:color w:val="0000C7"/>
                <w:sz w:val="21"/>
                <w:szCs w:val="21"/>
                <w:lang w:eastAsia="zh-CN"/>
              </w:rPr>
            </w:pPr>
            <w:r>
              <w:rPr>
                <w:rFonts w:hint="eastAsia" w:ascii="宋体" w:hAnsi="宋体" w:eastAsia="宋体" w:cs="宋体"/>
                <w:b/>
                <w:bCs w:val="0"/>
                <w:color w:val="0000C7"/>
                <w:sz w:val="21"/>
                <w:szCs w:val="21"/>
                <w:u w:val="none"/>
                <w:lang w:val="en-US" w:eastAsia="zh-CN"/>
              </w:rPr>
              <w:t>提供：</w:t>
            </w:r>
            <w:r>
              <w:rPr>
                <w:rFonts w:hint="eastAsia" w:ascii="宋体" w:hAnsi="宋体" w:eastAsia="宋体" w:cs="宋体"/>
                <w:b/>
                <w:bCs w:val="0"/>
                <w:color w:val="0000C7"/>
                <w:sz w:val="21"/>
                <w:szCs w:val="21"/>
              </w:rPr>
              <w:t>承诺（格式见第六章投标文件格式）</w:t>
            </w:r>
            <w:r>
              <w:rPr>
                <w:rFonts w:hint="eastAsia" w:ascii="宋体" w:hAnsi="宋体" w:eastAsia="宋体" w:cs="宋体"/>
                <w:b/>
                <w:bCs w:val="0"/>
                <w:color w:val="0000C7"/>
                <w:sz w:val="21"/>
                <w:szCs w:val="21"/>
                <w:lang w:eastAsia="zh-CN"/>
              </w:rPr>
              <w:t>。</w:t>
            </w:r>
          </w:p>
          <w:p w14:paraId="2A304AA4">
            <w:pPr>
              <w:autoSpaceDE w:val="0"/>
              <w:autoSpaceDN w:val="0"/>
              <w:adjustRightInd w:val="0"/>
              <w:snapToGrid w:val="0"/>
              <w:spacing w:line="400" w:lineRule="exact"/>
              <w:ind w:firstLine="420" w:firstLineChars="200"/>
              <w:rPr>
                <w:rFonts w:hint="eastAsia" w:ascii="宋体" w:hAnsi="宋体" w:eastAsia="宋体" w:cs="宋体"/>
                <w:color w:val="auto"/>
                <w:sz w:val="21"/>
                <w:szCs w:val="21"/>
                <w:u w:val="single"/>
                <w:lang w:val="en-US"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供货要求</w:t>
            </w:r>
          </w:p>
          <w:p w14:paraId="3AFE34FC">
            <w:pPr>
              <w:autoSpaceDE w:val="0"/>
              <w:autoSpaceDN w:val="0"/>
              <w:adjustRightInd w:val="0"/>
              <w:snapToGrid w:val="0"/>
              <w:spacing w:line="400" w:lineRule="exact"/>
              <w:ind w:firstLine="420" w:firstLineChars="200"/>
              <w:rPr>
                <w:rFonts w:hint="eastAsia" w:ascii="宋体" w:hAnsi="宋体" w:eastAsia="宋体" w:cs="宋体"/>
                <w:color w:val="auto"/>
                <w:sz w:val="21"/>
                <w:szCs w:val="21"/>
                <w:u w:val="single"/>
                <w:lang w:eastAsia="zh-CN"/>
              </w:rPr>
            </w:pPr>
            <w:r>
              <w:rPr>
                <w:rFonts w:hint="eastAsia" w:ascii="宋体" w:hAnsi="宋体" w:eastAsia="宋体" w:cs="宋体"/>
                <w:color w:val="auto"/>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ascii="宋体" w:hAnsi="宋体" w:eastAsia="宋体" w:cs="宋体"/>
                <w:color w:val="auto"/>
                <w:sz w:val="21"/>
                <w:szCs w:val="21"/>
                <w:u w:val="none"/>
                <w:lang w:eastAsia="zh-CN"/>
              </w:rPr>
              <w:t>。</w:t>
            </w:r>
          </w:p>
          <w:p w14:paraId="43444CBC">
            <w:pPr>
              <w:autoSpaceDE w:val="0"/>
              <w:autoSpaceDN w:val="0"/>
              <w:adjustRightInd w:val="0"/>
              <w:snapToGrid w:val="0"/>
              <w:spacing w:line="400" w:lineRule="exact"/>
              <w:ind w:firstLine="422" w:firstLineChars="200"/>
              <w:rPr>
                <w:rFonts w:hint="eastAsia" w:ascii="宋体" w:hAnsi="宋体" w:eastAsia="宋体" w:cs="宋体"/>
                <w:b/>
                <w:bCs/>
                <w:color w:val="0000C7"/>
                <w:sz w:val="21"/>
                <w:szCs w:val="21"/>
              </w:rPr>
            </w:pPr>
            <w:r>
              <w:rPr>
                <w:rFonts w:hint="eastAsia" w:ascii="宋体" w:hAnsi="宋体" w:eastAsia="宋体" w:cs="宋体"/>
                <w:b/>
                <w:bCs/>
                <w:color w:val="0000C7"/>
                <w:sz w:val="21"/>
                <w:szCs w:val="21"/>
                <w:u w:val="none"/>
                <w:lang w:val="en-US" w:eastAsia="zh-CN"/>
              </w:rPr>
              <w:t>提供：</w:t>
            </w:r>
            <w:r>
              <w:rPr>
                <w:rFonts w:hint="eastAsia" w:ascii="宋体" w:hAnsi="宋体" w:eastAsia="宋体" w:cs="宋体"/>
                <w:b/>
                <w:bCs/>
                <w:color w:val="0000C7"/>
                <w:sz w:val="21"/>
                <w:szCs w:val="21"/>
              </w:rPr>
              <w:t>承诺（格式见第六章投标文件格式）</w:t>
            </w:r>
          </w:p>
          <w:p w14:paraId="7FADC8BD">
            <w:pPr>
              <w:autoSpaceDE w:val="0"/>
              <w:autoSpaceDN w:val="0"/>
              <w:adjustRightInd w:val="0"/>
              <w:snapToGrid w:val="0"/>
              <w:spacing w:line="400" w:lineRule="exact"/>
              <w:ind w:firstLine="420" w:firstLineChars="200"/>
              <w:rPr>
                <w:rFonts w:hint="eastAsia" w:ascii="宋体" w:hAnsi="宋体" w:eastAsia="宋体" w:cs="宋体"/>
                <w:bCs/>
                <w:color w:val="auto"/>
                <w:sz w:val="21"/>
                <w:szCs w:val="21"/>
              </w:rPr>
            </w:pPr>
            <w:r>
              <w:rPr>
                <w:rFonts w:hint="eastAsia" w:ascii="宋体" w:hAnsi="宋体" w:eastAsia="宋体" w:cs="宋体"/>
                <w:bCs/>
                <w:color w:val="auto"/>
                <w:sz w:val="21"/>
                <w:szCs w:val="21"/>
              </w:rPr>
              <w:t>（</w:t>
            </w:r>
            <w:r>
              <w:rPr>
                <w:rFonts w:hint="eastAsia" w:ascii="宋体" w:hAnsi="宋体" w:eastAsia="宋体" w:cs="宋体"/>
                <w:bCs/>
                <w:color w:val="auto"/>
                <w:sz w:val="21"/>
                <w:szCs w:val="21"/>
                <w:lang w:val="en-US" w:eastAsia="zh-CN"/>
              </w:rPr>
              <w:t>3</w:t>
            </w:r>
            <w:r>
              <w:rPr>
                <w:rFonts w:hint="eastAsia" w:ascii="宋体" w:hAnsi="宋体" w:eastAsia="宋体" w:cs="宋体"/>
                <w:bCs/>
                <w:color w:val="auto"/>
                <w:sz w:val="21"/>
                <w:szCs w:val="21"/>
              </w:rPr>
              <w:t>）人员要求</w:t>
            </w:r>
          </w:p>
          <w:p w14:paraId="0462DC21">
            <w:pPr>
              <w:autoSpaceDE w:val="0"/>
              <w:autoSpaceDN w:val="0"/>
              <w:adjustRightInd w:val="0"/>
              <w:spacing w:line="400" w:lineRule="exact"/>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w:t>
            </w:r>
            <w:r>
              <w:rPr>
                <w:rFonts w:hint="eastAsia" w:ascii="宋体" w:hAnsi="宋体" w:eastAsia="宋体" w:cs="宋体"/>
                <w:color w:val="auto"/>
                <w:sz w:val="21"/>
                <w:szCs w:val="21"/>
                <w:lang w:val="en-US" w:eastAsia="zh-CN"/>
              </w:rPr>
              <w:t>在</w:t>
            </w:r>
            <w:r>
              <w:rPr>
                <w:rFonts w:hint="eastAsia" w:ascii="宋体" w:hAnsi="宋体" w:eastAsia="宋体" w:cs="宋体"/>
                <w:color w:val="auto"/>
                <w:sz w:val="21"/>
                <w:szCs w:val="21"/>
              </w:rPr>
              <w:t>中标后按照招标人要求配置相关技术人员，并在签订合同时提供技术人员相关资格证书（如有）、投标人或投标人委托的第三方人力外包服务公司为其缴纳的养老保险证明材料。</w:t>
            </w:r>
          </w:p>
          <w:p w14:paraId="65F514AD">
            <w:pPr>
              <w:autoSpaceDE w:val="0"/>
              <w:autoSpaceDN w:val="0"/>
              <w:adjustRightInd w:val="0"/>
              <w:snapToGrid w:val="0"/>
              <w:spacing w:line="400" w:lineRule="exact"/>
              <w:ind w:firstLine="422" w:firstLineChars="200"/>
              <w:rPr>
                <w:rFonts w:hint="eastAsia" w:ascii="宋体" w:hAnsi="宋体" w:eastAsia="宋体" w:cs="宋体"/>
                <w:b/>
                <w:bCs/>
                <w:color w:val="0000C7"/>
                <w:sz w:val="21"/>
                <w:szCs w:val="21"/>
              </w:rPr>
            </w:pPr>
            <w:r>
              <w:rPr>
                <w:rFonts w:hint="eastAsia" w:ascii="宋体" w:hAnsi="宋体" w:eastAsia="宋体" w:cs="宋体"/>
                <w:b/>
                <w:bCs/>
                <w:color w:val="0000C7"/>
                <w:sz w:val="21"/>
                <w:szCs w:val="21"/>
              </w:rPr>
              <w:t>提供</w:t>
            </w:r>
            <w:r>
              <w:rPr>
                <w:rFonts w:hint="eastAsia" w:ascii="宋体" w:hAnsi="宋体" w:eastAsia="宋体" w:cs="宋体"/>
                <w:b/>
                <w:bCs/>
                <w:color w:val="0000C7"/>
                <w:sz w:val="21"/>
                <w:szCs w:val="21"/>
                <w:lang w:eastAsia="zh-CN"/>
              </w:rPr>
              <w:t>：</w:t>
            </w:r>
            <w:r>
              <w:rPr>
                <w:rFonts w:hint="eastAsia" w:ascii="宋体" w:hAnsi="宋体" w:eastAsia="宋体" w:cs="宋体"/>
                <w:b/>
                <w:bCs/>
                <w:color w:val="0000C7"/>
                <w:sz w:val="21"/>
                <w:szCs w:val="21"/>
              </w:rPr>
              <w:t>承诺（格式见第六章投标文件格式）。</w:t>
            </w:r>
          </w:p>
          <w:p w14:paraId="61ED4D35">
            <w:pPr>
              <w:autoSpaceDE w:val="0"/>
              <w:autoSpaceDN w:val="0"/>
              <w:adjustRightInd w:val="0"/>
              <w:snapToGrid w:val="0"/>
              <w:spacing w:line="400" w:lineRule="exact"/>
              <w:ind w:firstLine="420" w:firstLineChars="200"/>
              <w:rPr>
                <w:rFonts w:hint="eastAsia" w:ascii="宋体" w:hAnsi="宋体" w:eastAsia="宋体" w:cs="宋体"/>
                <w:color w:val="auto"/>
                <w:kern w:val="0"/>
                <w:sz w:val="21"/>
                <w:szCs w:val="21"/>
              </w:rPr>
            </w:pPr>
            <w:r>
              <w:rPr>
                <w:rFonts w:hint="eastAsia" w:ascii="宋体" w:hAnsi="宋体" w:eastAsia="宋体" w:cs="宋体"/>
                <w:bCs/>
                <w:color w:val="auto"/>
                <w:sz w:val="21"/>
                <w:szCs w:val="21"/>
              </w:rPr>
              <w:t>（</w:t>
            </w:r>
            <w:r>
              <w:rPr>
                <w:rFonts w:hint="eastAsia" w:ascii="宋体" w:hAnsi="宋体" w:eastAsia="宋体" w:cs="宋体"/>
                <w:bCs/>
                <w:color w:val="auto"/>
                <w:sz w:val="21"/>
                <w:szCs w:val="21"/>
                <w:lang w:val="en-US" w:eastAsia="zh-CN"/>
              </w:rPr>
              <w:t>4</w:t>
            </w:r>
            <w:r>
              <w:rPr>
                <w:rFonts w:hint="eastAsia" w:ascii="宋体" w:hAnsi="宋体" w:eastAsia="宋体" w:cs="宋体"/>
                <w:bCs/>
                <w:color w:val="auto"/>
                <w:sz w:val="21"/>
                <w:szCs w:val="21"/>
              </w:rPr>
              <w:t>）</w:t>
            </w:r>
            <w:r>
              <w:rPr>
                <w:rFonts w:hint="eastAsia" w:ascii="宋体" w:hAnsi="宋体" w:eastAsia="宋体" w:cs="宋体"/>
                <w:color w:val="auto"/>
                <w:kern w:val="0"/>
                <w:sz w:val="21"/>
                <w:szCs w:val="21"/>
                <w:lang w:val="en-US" w:eastAsia="zh-CN"/>
              </w:rPr>
              <w:t>法定代表人或</w:t>
            </w:r>
            <w:r>
              <w:rPr>
                <w:rFonts w:hint="eastAsia" w:ascii="宋体" w:hAnsi="宋体" w:eastAsia="宋体" w:cs="宋体"/>
                <w:color w:val="auto"/>
                <w:kern w:val="0"/>
                <w:sz w:val="21"/>
                <w:szCs w:val="21"/>
              </w:rPr>
              <w:t>委托代理人</w:t>
            </w:r>
          </w:p>
          <w:p w14:paraId="1575F8CC">
            <w:pPr>
              <w:autoSpaceDE w:val="0"/>
              <w:autoSpaceDN w:val="0"/>
              <w:adjustRightInd w:val="0"/>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r>
              <w:rPr>
                <w:rFonts w:hint="eastAsia" w:ascii="宋体" w:hAnsi="宋体" w:eastAsia="宋体" w:cs="宋体"/>
                <w:color w:val="auto"/>
                <w:kern w:val="0"/>
                <w:sz w:val="21"/>
                <w:szCs w:val="21"/>
              </w:rPr>
              <w:t>委托代理人</w:t>
            </w:r>
            <w:r>
              <w:rPr>
                <w:rFonts w:hint="eastAsia" w:ascii="宋体" w:hAnsi="宋体" w:eastAsia="宋体" w:cs="宋体"/>
                <w:color w:val="auto"/>
                <w:kern w:val="0"/>
                <w:sz w:val="21"/>
                <w:szCs w:val="21"/>
                <w:lang w:val="en-US" w:eastAsia="zh-CN"/>
              </w:rPr>
              <w:t>须是</w:t>
            </w:r>
            <w:r>
              <w:rPr>
                <w:rFonts w:hint="eastAsia" w:ascii="宋体" w:hAnsi="宋体" w:eastAsia="宋体" w:cs="宋体"/>
                <w:color w:val="auto"/>
                <w:kern w:val="0"/>
                <w:sz w:val="21"/>
                <w:szCs w:val="21"/>
              </w:rPr>
              <w:t>投标单位人员</w:t>
            </w:r>
            <w:r>
              <w:rPr>
                <w:rFonts w:hint="eastAsia" w:ascii="宋体" w:hAnsi="宋体" w:eastAsia="宋体" w:cs="宋体"/>
                <w:color w:val="auto"/>
                <w:kern w:val="0"/>
                <w:sz w:val="21"/>
                <w:szCs w:val="21"/>
                <w:lang w:eastAsia="zh-CN"/>
              </w:rPr>
              <w:t>。</w:t>
            </w:r>
          </w:p>
          <w:p w14:paraId="4458F65D">
            <w:pPr>
              <w:autoSpaceDE w:val="0"/>
              <w:autoSpaceDN w:val="0"/>
              <w:adjustRightInd w:val="0"/>
              <w:snapToGrid w:val="0"/>
              <w:spacing w:line="400" w:lineRule="exact"/>
              <w:ind w:firstLine="422" w:firstLineChars="200"/>
              <w:rPr>
                <w:rFonts w:hint="eastAsia" w:ascii="宋体" w:hAnsi="宋体" w:eastAsia="宋体" w:cs="宋体"/>
                <w:b/>
                <w:bCs/>
                <w:color w:val="0000C7"/>
                <w:kern w:val="0"/>
                <w:sz w:val="21"/>
                <w:szCs w:val="21"/>
              </w:rPr>
            </w:pPr>
            <w:r>
              <w:rPr>
                <w:rFonts w:hint="eastAsia" w:ascii="宋体" w:hAnsi="宋体" w:eastAsia="宋体" w:cs="宋体"/>
                <w:b/>
                <w:bCs/>
                <w:color w:val="0000C7"/>
                <w:kern w:val="0"/>
                <w:sz w:val="21"/>
                <w:szCs w:val="21"/>
                <w:highlight w:val="none"/>
                <w:lang w:val="en-US" w:eastAsia="zh-CN"/>
              </w:rPr>
              <w:t>提供：</w:t>
            </w:r>
            <w:r>
              <w:rPr>
                <w:rFonts w:hint="eastAsia" w:ascii="宋体" w:hAnsi="宋体" w:eastAsia="宋体" w:cs="宋体"/>
                <w:b/>
                <w:bCs/>
                <w:color w:val="0000C7"/>
                <w:kern w:val="0"/>
                <w:sz w:val="21"/>
                <w:szCs w:val="21"/>
                <w:highlight w:val="none"/>
              </w:rPr>
              <w:t>法定代表人身份证明</w:t>
            </w:r>
            <w:r>
              <w:rPr>
                <w:rFonts w:hint="eastAsia" w:ascii="宋体" w:hAnsi="宋体" w:eastAsia="宋体" w:cs="宋体"/>
                <w:b/>
                <w:bCs/>
                <w:color w:val="0000C7"/>
                <w:sz w:val="21"/>
                <w:szCs w:val="21"/>
                <w:highlight w:val="none"/>
              </w:rPr>
              <w:t>（格式见第</w:t>
            </w:r>
            <w:r>
              <w:rPr>
                <w:rFonts w:hint="eastAsia" w:ascii="宋体" w:hAnsi="宋体" w:eastAsia="宋体" w:cs="宋体"/>
                <w:b/>
                <w:bCs/>
                <w:color w:val="0000C7"/>
                <w:sz w:val="21"/>
                <w:szCs w:val="21"/>
                <w:highlight w:val="none"/>
                <w:lang w:val="en-US" w:eastAsia="zh-CN"/>
              </w:rPr>
              <w:t>六</w:t>
            </w:r>
            <w:r>
              <w:rPr>
                <w:rFonts w:hint="eastAsia" w:ascii="宋体" w:hAnsi="宋体" w:eastAsia="宋体" w:cs="宋体"/>
                <w:b/>
                <w:bCs/>
                <w:color w:val="0000C7"/>
                <w:sz w:val="21"/>
                <w:szCs w:val="21"/>
                <w:highlight w:val="none"/>
              </w:rPr>
              <w:t>章投标文件格式）</w:t>
            </w:r>
            <w:r>
              <w:rPr>
                <w:rFonts w:hint="eastAsia" w:ascii="宋体" w:hAnsi="宋体" w:eastAsia="宋体" w:cs="宋体"/>
                <w:b/>
                <w:bCs/>
                <w:color w:val="0000C7"/>
                <w:kern w:val="0"/>
                <w:sz w:val="21"/>
                <w:szCs w:val="21"/>
                <w:highlight w:val="none"/>
                <w:lang w:eastAsia="zh-CN"/>
              </w:rPr>
              <w:t>。</w:t>
            </w:r>
            <w:r>
              <w:rPr>
                <w:rFonts w:hint="eastAsia" w:ascii="宋体" w:hAnsi="宋体" w:eastAsia="宋体" w:cs="宋体"/>
                <w:b/>
                <w:bCs/>
                <w:color w:val="0000C7"/>
                <w:kern w:val="0"/>
                <w:sz w:val="21"/>
                <w:szCs w:val="21"/>
                <w:highlight w:val="none"/>
                <w:lang w:val="en-US" w:eastAsia="zh-CN"/>
              </w:rPr>
              <w:t>法定代表人委托代理人投标的，还须提供</w:t>
            </w:r>
            <w:r>
              <w:rPr>
                <w:rFonts w:hint="eastAsia" w:ascii="宋体" w:hAnsi="宋体" w:eastAsia="宋体" w:cs="宋体"/>
                <w:b/>
                <w:bCs/>
                <w:color w:val="0000C7"/>
                <w:kern w:val="0"/>
                <w:sz w:val="21"/>
                <w:szCs w:val="21"/>
                <w:highlight w:val="none"/>
              </w:rPr>
              <w:t>授权委托书</w:t>
            </w:r>
            <w:r>
              <w:rPr>
                <w:rFonts w:hint="eastAsia" w:ascii="宋体" w:hAnsi="宋体" w:eastAsia="宋体" w:cs="宋体"/>
                <w:b/>
                <w:bCs/>
                <w:color w:val="0000C7"/>
                <w:sz w:val="21"/>
                <w:szCs w:val="21"/>
                <w:highlight w:val="none"/>
              </w:rPr>
              <w:t>（格式见第</w:t>
            </w:r>
            <w:r>
              <w:rPr>
                <w:rFonts w:hint="eastAsia" w:ascii="宋体" w:hAnsi="宋体" w:eastAsia="宋体" w:cs="宋体"/>
                <w:b/>
                <w:bCs/>
                <w:color w:val="0000C7"/>
                <w:sz w:val="21"/>
                <w:szCs w:val="21"/>
                <w:highlight w:val="none"/>
                <w:lang w:val="en-US" w:eastAsia="zh-CN"/>
              </w:rPr>
              <w:t>六</w:t>
            </w:r>
            <w:r>
              <w:rPr>
                <w:rFonts w:hint="eastAsia" w:ascii="宋体" w:hAnsi="宋体" w:eastAsia="宋体" w:cs="宋体"/>
                <w:b/>
                <w:bCs/>
                <w:color w:val="0000C7"/>
                <w:sz w:val="21"/>
                <w:szCs w:val="21"/>
                <w:highlight w:val="none"/>
              </w:rPr>
              <w:t>章投标文件格式）</w:t>
            </w:r>
            <w:r>
              <w:rPr>
                <w:rFonts w:hint="eastAsia" w:ascii="宋体" w:hAnsi="宋体" w:eastAsia="宋体" w:cs="宋体"/>
                <w:b/>
                <w:bCs/>
                <w:color w:val="0000C7"/>
                <w:kern w:val="0"/>
                <w:sz w:val="21"/>
                <w:szCs w:val="21"/>
                <w:highlight w:val="none"/>
                <w:lang w:eastAsia="zh-CN"/>
              </w:rPr>
              <w:t>、</w:t>
            </w:r>
            <w:r>
              <w:rPr>
                <w:rFonts w:hint="eastAsia" w:ascii="宋体" w:hAnsi="宋体" w:eastAsia="宋体" w:cs="宋体"/>
                <w:b/>
                <w:bCs/>
                <w:color w:val="0000C7"/>
                <w:kern w:val="0"/>
                <w:sz w:val="21"/>
                <w:szCs w:val="21"/>
                <w:highlight w:val="none"/>
              </w:rPr>
              <w:t>投标人为该委托代理人缴纳的养老保险证明</w:t>
            </w:r>
            <w:r>
              <w:rPr>
                <w:rFonts w:hint="eastAsia" w:ascii="宋体" w:hAnsi="宋体" w:eastAsia="宋体" w:cs="宋体"/>
                <w:b/>
                <w:bCs/>
                <w:color w:val="0000C7"/>
                <w:kern w:val="0"/>
                <w:sz w:val="21"/>
                <w:szCs w:val="21"/>
                <w:highlight w:val="none"/>
                <w:lang w:val="en-US" w:eastAsia="zh-CN"/>
              </w:rPr>
              <w:t>材料</w:t>
            </w:r>
            <w:r>
              <w:rPr>
                <w:rFonts w:hint="eastAsia" w:ascii="宋体" w:hAnsi="宋体" w:eastAsia="宋体" w:cs="宋体"/>
                <w:b/>
                <w:bCs/>
                <w:color w:val="0000C7"/>
                <w:kern w:val="0"/>
                <w:sz w:val="21"/>
                <w:szCs w:val="21"/>
              </w:rPr>
              <w:t>。</w:t>
            </w:r>
          </w:p>
          <w:p w14:paraId="1179F12D">
            <w:pPr>
              <w:autoSpaceDE w:val="0"/>
              <w:autoSpaceDN w:val="0"/>
              <w:adjustRightInd w:val="0"/>
              <w:snapToGrid w:val="0"/>
              <w:spacing w:line="400" w:lineRule="exact"/>
              <w:ind w:firstLine="415" w:firstLineChars="198"/>
              <w:rPr>
                <w:rFonts w:hint="eastAsia" w:ascii="宋体" w:hAnsi="宋体" w:eastAsia="宋体" w:cs="宋体"/>
                <w:bCs/>
                <w:color w:val="auto"/>
                <w:sz w:val="21"/>
                <w:szCs w:val="21"/>
              </w:rPr>
            </w:pPr>
            <w:r>
              <w:rPr>
                <w:rFonts w:hint="eastAsia" w:ascii="宋体" w:hAnsi="宋体" w:eastAsia="宋体" w:cs="宋体"/>
                <w:bCs/>
                <w:color w:val="auto"/>
                <w:sz w:val="21"/>
                <w:szCs w:val="21"/>
              </w:rPr>
              <w:t>（</w:t>
            </w:r>
            <w:r>
              <w:rPr>
                <w:rFonts w:hint="eastAsia" w:ascii="宋体" w:hAnsi="宋体" w:eastAsia="宋体" w:cs="宋体"/>
                <w:bCs/>
                <w:color w:val="auto"/>
                <w:sz w:val="21"/>
                <w:szCs w:val="21"/>
                <w:lang w:val="en-US" w:eastAsia="zh-CN"/>
              </w:rPr>
              <w:t>5</w:t>
            </w:r>
            <w:r>
              <w:rPr>
                <w:rFonts w:hint="eastAsia" w:ascii="宋体" w:hAnsi="宋体" w:eastAsia="宋体" w:cs="宋体"/>
                <w:bCs/>
                <w:color w:val="auto"/>
                <w:sz w:val="21"/>
                <w:szCs w:val="21"/>
              </w:rPr>
              <w:t>）</w:t>
            </w:r>
            <w:r>
              <w:rPr>
                <w:rFonts w:hint="eastAsia" w:ascii="宋体" w:hAnsi="宋体" w:eastAsia="宋体" w:cs="宋体"/>
                <w:snapToGrid w:val="0"/>
                <w:color w:val="auto"/>
                <w:kern w:val="0"/>
                <w:sz w:val="21"/>
                <w:szCs w:val="21"/>
                <w:highlight w:val="none"/>
                <w:lang w:val="en-US" w:eastAsia="zh-CN"/>
              </w:rPr>
              <w:t>投标文件真实性</w:t>
            </w:r>
          </w:p>
          <w:p w14:paraId="09F1FA13">
            <w:pPr>
              <w:autoSpaceDE w:val="0"/>
              <w:autoSpaceDN w:val="0"/>
              <w:adjustRightInd w:val="0"/>
              <w:snapToGrid w:val="0"/>
              <w:spacing w:line="400" w:lineRule="exact"/>
              <w:ind w:firstLine="415" w:firstLineChars="198"/>
              <w:rPr>
                <w:rFonts w:hint="eastAsia" w:ascii="宋体" w:hAnsi="宋体" w:eastAsia="宋体" w:cs="宋体"/>
                <w:bCs/>
                <w:color w:val="auto"/>
                <w:sz w:val="21"/>
                <w:szCs w:val="21"/>
              </w:rPr>
            </w:pPr>
            <w:r>
              <w:rPr>
                <w:rFonts w:hint="eastAsia" w:ascii="宋体" w:hAnsi="宋体" w:eastAsia="宋体" w:cs="宋体"/>
                <w:bCs/>
                <w:color w:val="auto"/>
                <w:sz w:val="21"/>
                <w:szCs w:val="21"/>
              </w:rPr>
              <w:t>投标文件中的所有内容真实有效，不存在弄虚作假情形。</w:t>
            </w:r>
          </w:p>
          <w:p w14:paraId="762CE497">
            <w:pPr>
              <w:autoSpaceDE w:val="0"/>
              <w:autoSpaceDN w:val="0"/>
              <w:adjustRightInd w:val="0"/>
              <w:snapToGrid w:val="0"/>
              <w:spacing w:line="400" w:lineRule="exact"/>
              <w:ind w:firstLine="417" w:firstLineChars="198"/>
              <w:rPr>
                <w:rFonts w:hint="eastAsia" w:ascii="宋体" w:hAnsi="宋体" w:eastAsia="宋体" w:cs="宋体"/>
                <w:b/>
                <w:bCs w:val="0"/>
                <w:color w:val="0000C7"/>
                <w:sz w:val="21"/>
                <w:szCs w:val="21"/>
              </w:rPr>
            </w:pPr>
            <w:r>
              <w:rPr>
                <w:rFonts w:hint="eastAsia" w:ascii="宋体" w:hAnsi="宋体" w:eastAsia="宋体" w:cs="宋体"/>
                <w:b/>
                <w:bCs w:val="0"/>
                <w:color w:val="0000C7"/>
                <w:sz w:val="21"/>
                <w:szCs w:val="21"/>
              </w:rPr>
              <w:t>提供</w:t>
            </w:r>
            <w:r>
              <w:rPr>
                <w:rFonts w:hint="eastAsia" w:ascii="宋体" w:hAnsi="宋体" w:eastAsia="宋体" w:cs="宋体"/>
                <w:b/>
                <w:bCs w:val="0"/>
                <w:color w:val="0000C7"/>
                <w:sz w:val="21"/>
                <w:szCs w:val="21"/>
                <w:lang w:eastAsia="zh-CN"/>
              </w:rPr>
              <w:t>：</w:t>
            </w:r>
            <w:r>
              <w:rPr>
                <w:rFonts w:hint="eastAsia" w:ascii="宋体" w:hAnsi="宋体" w:eastAsia="宋体" w:cs="宋体"/>
                <w:b/>
                <w:bCs w:val="0"/>
                <w:color w:val="0000C7"/>
                <w:sz w:val="21"/>
                <w:szCs w:val="21"/>
              </w:rPr>
              <w:t>承诺（格式见第六章投标文件格式）。</w:t>
            </w:r>
          </w:p>
          <w:p w14:paraId="7A38F37F">
            <w:pPr>
              <w:autoSpaceDE w:val="0"/>
              <w:autoSpaceDN w:val="0"/>
              <w:adjustRightInd w:val="0"/>
              <w:snapToGrid w:val="0"/>
              <w:spacing w:line="400" w:lineRule="exact"/>
              <w:ind w:firstLine="417" w:firstLineChars="198"/>
              <w:rPr>
                <w:rFonts w:hint="eastAsia" w:ascii="宋体" w:hAnsi="宋体" w:eastAsia="宋体" w:cs="宋体"/>
                <w:b/>
                <w:color w:val="auto"/>
                <w:sz w:val="21"/>
                <w:szCs w:val="21"/>
              </w:rPr>
            </w:pPr>
            <w:r>
              <w:rPr>
                <w:rFonts w:hint="eastAsia" w:ascii="宋体" w:hAnsi="宋体" w:eastAsia="宋体" w:cs="宋体"/>
                <w:b/>
                <w:color w:val="auto"/>
                <w:sz w:val="21"/>
                <w:szCs w:val="21"/>
              </w:rPr>
              <w:t>特别说明：</w:t>
            </w:r>
          </w:p>
          <w:p w14:paraId="4D909EBA">
            <w:pPr>
              <w:autoSpaceDE w:val="0"/>
              <w:autoSpaceDN w:val="0"/>
              <w:adjustRightInd w:val="0"/>
              <w:snapToGrid w:val="0"/>
              <w:spacing w:line="400" w:lineRule="exact"/>
              <w:ind w:firstLine="415" w:firstLineChars="198"/>
              <w:rPr>
                <w:rFonts w:hint="eastAsia" w:ascii="宋体" w:hAnsi="宋体" w:eastAsia="宋体" w:cs="宋体"/>
                <w:color w:val="auto"/>
                <w:kern w:val="0"/>
                <w:sz w:val="21"/>
                <w:szCs w:val="21"/>
              </w:rPr>
            </w:pPr>
            <w:r>
              <w:rPr>
                <w:rFonts w:hint="eastAsia" w:ascii="宋体" w:hAnsi="宋体" w:eastAsia="宋体" w:cs="宋体"/>
                <w:color w:val="auto"/>
                <w:sz w:val="21"/>
                <w:szCs w:val="21"/>
              </w:rPr>
              <w:t>（1）上述要求须</w:t>
            </w:r>
            <w:r>
              <w:rPr>
                <w:rFonts w:hint="eastAsia" w:ascii="宋体" w:hAnsi="宋体" w:eastAsia="宋体" w:cs="宋体"/>
                <w:color w:val="auto"/>
                <w:sz w:val="21"/>
                <w:szCs w:val="21"/>
                <w:lang w:val="en-US" w:eastAsia="zh-CN"/>
              </w:rPr>
              <w:t>提供</w:t>
            </w:r>
            <w:r>
              <w:rPr>
                <w:rFonts w:hint="eastAsia" w:ascii="宋体" w:hAnsi="宋体" w:eastAsia="宋体" w:cs="宋体"/>
                <w:color w:val="auto"/>
                <w:sz w:val="21"/>
                <w:szCs w:val="21"/>
              </w:rPr>
              <w:t>的相关证明材料均为扫描件（原件或复印件的扫描件均可），扫描件须清晰可辨，</w:t>
            </w:r>
            <w:r>
              <w:rPr>
                <w:rFonts w:hint="eastAsia" w:ascii="宋体" w:hAnsi="宋体" w:eastAsia="宋体" w:cs="宋体"/>
                <w:b/>
                <w:bCs/>
                <w:color w:val="auto"/>
                <w:kern w:val="0"/>
                <w:sz w:val="21"/>
                <w:szCs w:val="21"/>
              </w:rPr>
              <w:t>有一条不满足，则投标文件由评标委员会</w:t>
            </w:r>
            <w:r>
              <w:rPr>
                <w:rFonts w:hint="eastAsia" w:ascii="宋体" w:hAnsi="宋体" w:eastAsia="宋体" w:cs="宋体"/>
                <w:b/>
                <w:bCs/>
                <w:color w:val="auto"/>
                <w:sz w:val="21"/>
                <w:szCs w:val="21"/>
              </w:rPr>
              <w:t>作否决投标处理</w:t>
            </w:r>
            <w:r>
              <w:rPr>
                <w:rFonts w:hint="eastAsia" w:ascii="宋体" w:hAnsi="宋体" w:eastAsia="宋体" w:cs="宋体"/>
                <w:b/>
                <w:bCs/>
                <w:color w:val="auto"/>
                <w:kern w:val="0"/>
                <w:sz w:val="21"/>
                <w:szCs w:val="21"/>
              </w:rPr>
              <w:t>。</w:t>
            </w:r>
          </w:p>
          <w:p w14:paraId="3EE2A7E4">
            <w:pPr>
              <w:autoSpaceDE w:val="0"/>
              <w:autoSpaceDN w:val="0"/>
              <w:adjustRightInd w:val="0"/>
              <w:snapToGrid w:val="0"/>
              <w:spacing w:line="400" w:lineRule="exact"/>
              <w:ind w:firstLine="415" w:firstLineChars="198"/>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cs="宋体"/>
                <w:color w:val="auto"/>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6AD7D4AF">
            <w:pPr>
              <w:spacing w:line="400" w:lineRule="exact"/>
              <w:ind w:firstLine="420" w:firstLineChars="200"/>
              <w:rPr>
                <w:rFonts w:hint="eastAsia" w:ascii="宋体" w:hAnsi="宋体" w:eastAsia="宋体" w:cs="宋体"/>
                <w:bCs/>
                <w:color w:val="auto"/>
                <w:kern w:val="0"/>
                <w:sz w:val="21"/>
                <w:szCs w:val="21"/>
              </w:rPr>
            </w:pPr>
            <w:r>
              <w:rPr>
                <w:rFonts w:hint="eastAsia" w:ascii="宋体" w:hAnsi="宋体" w:eastAsia="宋体" w:cs="宋体"/>
                <w:bCs/>
                <w:color w:val="auto"/>
                <w:kern w:val="0"/>
                <w:sz w:val="21"/>
                <w:szCs w:val="21"/>
              </w:rPr>
              <w:t>（3）本招标文件中所要求的人员养老保险证明要求如下：</w:t>
            </w:r>
          </w:p>
          <w:p w14:paraId="1D3C3330">
            <w:pPr>
              <w:spacing w:line="400" w:lineRule="exact"/>
              <w:ind w:firstLine="420" w:firstLineChars="200"/>
              <w:rPr>
                <w:rFonts w:hint="eastAsia" w:ascii="宋体" w:hAnsi="宋体" w:eastAsia="宋体" w:cs="宋体"/>
                <w:bCs/>
                <w:color w:val="auto"/>
                <w:kern w:val="0"/>
                <w:sz w:val="21"/>
                <w:szCs w:val="21"/>
              </w:rPr>
            </w:pPr>
            <w:r>
              <w:rPr>
                <w:rFonts w:hint="eastAsia" w:ascii="宋体" w:hAnsi="宋体" w:eastAsia="宋体" w:cs="宋体"/>
                <w:bCs/>
                <w:color w:val="auto"/>
                <w:kern w:val="0"/>
                <w:sz w:val="21"/>
                <w:szCs w:val="21"/>
              </w:rPr>
              <w:t>①企业提供养老保险证明，事业单位提供养老保险证明或行政主管部门在编证明。</w:t>
            </w:r>
          </w:p>
          <w:p w14:paraId="02CBA194">
            <w:pPr>
              <w:spacing w:line="400" w:lineRule="exact"/>
              <w:ind w:firstLine="420" w:firstLineChars="200"/>
              <w:rPr>
                <w:rFonts w:hint="eastAsia" w:ascii="宋体" w:hAnsi="宋体" w:eastAsia="宋体" w:cs="宋体"/>
                <w:bCs/>
                <w:snapToGrid w:val="0"/>
                <w:color w:val="auto"/>
                <w:kern w:val="0"/>
                <w:sz w:val="21"/>
                <w:szCs w:val="21"/>
              </w:rPr>
            </w:pPr>
            <w:r>
              <w:rPr>
                <w:rFonts w:hint="eastAsia" w:ascii="宋体" w:hAnsi="宋体" w:eastAsia="宋体" w:cs="宋体"/>
                <w:bCs/>
                <w:color w:val="auto"/>
                <w:kern w:val="0"/>
                <w:sz w:val="21"/>
                <w:szCs w:val="21"/>
              </w:rPr>
              <w:t>②</w:t>
            </w:r>
            <w:r>
              <w:rPr>
                <w:rFonts w:hint="eastAsia" w:ascii="宋体" w:hAnsi="宋体" w:eastAsia="宋体" w:cs="宋体"/>
                <w:bCs/>
                <w:snapToGrid w:val="0"/>
                <w:color w:val="auto"/>
                <w:kern w:val="0"/>
                <w:sz w:val="21"/>
                <w:szCs w:val="21"/>
                <w:lang w:val="en-US" w:eastAsia="zh-CN"/>
              </w:rPr>
              <w:t>拟派人员</w:t>
            </w:r>
            <w:r>
              <w:rPr>
                <w:rFonts w:hint="eastAsia" w:ascii="宋体" w:hAnsi="宋体"/>
                <w:bCs/>
                <w:snapToGrid w:val="0"/>
                <w:color w:val="auto"/>
                <w:kern w:val="0"/>
                <w:szCs w:val="21"/>
                <w:highlight w:val="none"/>
                <w:lang w:val="en-US" w:eastAsia="zh-CN"/>
              </w:rPr>
              <w:t>在投标单位</w:t>
            </w:r>
            <w:r>
              <w:rPr>
                <w:rFonts w:hint="eastAsia" w:ascii="宋体" w:hAnsi="宋体" w:eastAsia="宋体" w:cs="宋体"/>
                <w:bCs/>
                <w:snapToGrid w:val="0"/>
                <w:color w:val="auto"/>
                <w:kern w:val="0"/>
                <w:sz w:val="21"/>
                <w:szCs w:val="21"/>
              </w:rPr>
              <w:t>的连续养老保险证明期限须</w:t>
            </w:r>
            <w:r>
              <w:rPr>
                <w:rFonts w:hint="eastAsia" w:ascii="宋体" w:hAnsi="宋体" w:eastAsia="宋体" w:cs="宋体"/>
                <w:b/>
                <w:bCs w:val="0"/>
                <w:snapToGrid w:val="0"/>
                <w:color w:val="auto"/>
                <w:kern w:val="0"/>
                <w:sz w:val="21"/>
                <w:szCs w:val="21"/>
              </w:rPr>
              <w:t>包含</w:t>
            </w:r>
            <w:r>
              <w:rPr>
                <w:rFonts w:hint="eastAsia" w:ascii="宋体" w:hAnsi="宋体" w:cs="宋体"/>
                <w:b/>
                <w:bCs w:val="0"/>
                <w:snapToGrid w:val="0"/>
                <w:color w:val="auto"/>
                <w:kern w:val="0"/>
                <w:sz w:val="21"/>
                <w:szCs w:val="21"/>
                <w:u w:val="single"/>
                <w:lang w:val="en-US" w:eastAsia="zh-CN"/>
              </w:rPr>
              <w:t>2025</w:t>
            </w:r>
            <w:r>
              <w:rPr>
                <w:rFonts w:hint="eastAsia" w:ascii="宋体" w:hAnsi="宋体" w:eastAsia="宋体" w:cs="宋体"/>
                <w:b/>
                <w:bCs w:val="0"/>
                <w:snapToGrid w:val="0"/>
                <w:color w:val="auto"/>
                <w:kern w:val="0"/>
                <w:sz w:val="21"/>
                <w:szCs w:val="21"/>
              </w:rPr>
              <w:t>年</w:t>
            </w:r>
            <w:r>
              <w:rPr>
                <w:rFonts w:hint="eastAsia" w:ascii="宋体" w:hAnsi="宋体" w:cs="宋体"/>
                <w:b/>
                <w:bCs w:val="0"/>
                <w:snapToGrid w:val="0"/>
                <w:color w:val="auto"/>
                <w:kern w:val="0"/>
                <w:sz w:val="21"/>
                <w:szCs w:val="21"/>
                <w:u w:val="single"/>
                <w:lang w:val="en-US" w:eastAsia="zh-CN"/>
              </w:rPr>
              <w:t>11</w:t>
            </w:r>
            <w:r>
              <w:rPr>
                <w:rFonts w:hint="eastAsia" w:ascii="宋体" w:hAnsi="宋体" w:eastAsia="宋体" w:cs="宋体"/>
                <w:b/>
                <w:bCs w:val="0"/>
                <w:snapToGrid w:val="0"/>
                <w:color w:val="auto"/>
                <w:kern w:val="0"/>
                <w:sz w:val="21"/>
                <w:szCs w:val="21"/>
              </w:rPr>
              <w:t>月至</w:t>
            </w:r>
            <w:r>
              <w:rPr>
                <w:rFonts w:hint="eastAsia" w:ascii="宋体" w:hAnsi="宋体" w:eastAsia="宋体" w:cs="宋体"/>
                <w:b/>
                <w:bCs w:val="0"/>
                <w:snapToGrid w:val="0"/>
                <w:color w:val="auto"/>
                <w:kern w:val="0"/>
                <w:sz w:val="21"/>
                <w:szCs w:val="21"/>
                <w:u w:val="single"/>
              </w:rPr>
              <w:t xml:space="preserve"> </w:t>
            </w:r>
            <w:r>
              <w:rPr>
                <w:rFonts w:hint="eastAsia" w:ascii="宋体" w:hAnsi="宋体" w:cs="宋体"/>
                <w:b/>
                <w:bCs w:val="0"/>
                <w:snapToGrid w:val="0"/>
                <w:color w:val="auto"/>
                <w:kern w:val="0"/>
                <w:sz w:val="21"/>
                <w:szCs w:val="21"/>
                <w:u w:val="single"/>
                <w:lang w:val="en-US" w:eastAsia="zh-CN"/>
              </w:rPr>
              <w:t>2026</w:t>
            </w:r>
            <w:r>
              <w:rPr>
                <w:rFonts w:hint="eastAsia" w:ascii="宋体" w:hAnsi="宋体" w:eastAsia="宋体" w:cs="宋体"/>
                <w:b/>
                <w:bCs w:val="0"/>
                <w:snapToGrid w:val="0"/>
                <w:color w:val="auto"/>
                <w:kern w:val="0"/>
                <w:sz w:val="21"/>
                <w:szCs w:val="21"/>
                <w:u w:val="single"/>
              </w:rPr>
              <w:t xml:space="preserve"> </w:t>
            </w:r>
            <w:r>
              <w:rPr>
                <w:rFonts w:hint="eastAsia" w:ascii="宋体" w:hAnsi="宋体" w:eastAsia="宋体" w:cs="宋体"/>
                <w:b/>
                <w:bCs w:val="0"/>
                <w:snapToGrid w:val="0"/>
                <w:color w:val="auto"/>
                <w:kern w:val="0"/>
                <w:sz w:val="21"/>
                <w:szCs w:val="21"/>
              </w:rPr>
              <w:t>年</w:t>
            </w:r>
            <w:r>
              <w:rPr>
                <w:rFonts w:hint="eastAsia" w:ascii="宋体" w:hAnsi="宋体" w:cs="宋体"/>
                <w:b/>
                <w:bCs w:val="0"/>
                <w:snapToGrid w:val="0"/>
                <w:color w:val="auto"/>
                <w:kern w:val="0"/>
                <w:sz w:val="21"/>
                <w:szCs w:val="21"/>
                <w:u w:val="single"/>
                <w:lang w:val="en-US" w:eastAsia="zh-CN"/>
              </w:rPr>
              <w:t xml:space="preserve"> 4</w:t>
            </w:r>
            <w:r>
              <w:rPr>
                <w:rFonts w:hint="eastAsia" w:ascii="宋体" w:hAnsi="宋体" w:eastAsia="宋体" w:cs="宋体"/>
                <w:b/>
                <w:bCs w:val="0"/>
                <w:snapToGrid w:val="0"/>
                <w:color w:val="auto"/>
                <w:kern w:val="0"/>
                <w:sz w:val="21"/>
                <w:szCs w:val="21"/>
                <w:u w:val="single"/>
              </w:rPr>
              <w:t xml:space="preserve"> </w:t>
            </w:r>
            <w:r>
              <w:rPr>
                <w:rFonts w:hint="eastAsia" w:ascii="宋体" w:hAnsi="宋体" w:eastAsia="宋体" w:cs="宋体"/>
                <w:b/>
                <w:bCs w:val="0"/>
                <w:snapToGrid w:val="0"/>
                <w:color w:val="auto"/>
                <w:kern w:val="0"/>
                <w:sz w:val="21"/>
                <w:szCs w:val="21"/>
              </w:rPr>
              <w:t>月</w:t>
            </w:r>
            <w:r>
              <w:rPr>
                <w:rFonts w:hint="eastAsia" w:ascii="宋体" w:hAnsi="宋体" w:eastAsia="宋体" w:cs="宋体"/>
                <w:b/>
                <w:bCs w:val="0"/>
                <w:color w:val="auto"/>
                <w:sz w:val="21"/>
                <w:szCs w:val="21"/>
              </w:rPr>
              <w:t>。</w:t>
            </w:r>
            <w:r>
              <w:rPr>
                <w:rFonts w:hint="eastAsia" w:ascii="宋体" w:hAnsi="宋体" w:eastAsia="宋体" w:cs="宋体"/>
                <w:bCs/>
                <w:color w:val="auto"/>
                <w:sz w:val="21"/>
                <w:szCs w:val="21"/>
              </w:rPr>
              <w:t>提供的养老保险参保证明须体现</w:t>
            </w:r>
            <w:r>
              <w:rPr>
                <w:rFonts w:hint="eastAsia" w:ascii="宋体" w:hAnsi="宋体" w:eastAsia="宋体" w:cs="宋体"/>
                <w:bCs/>
                <w:color w:val="auto"/>
                <w:sz w:val="21"/>
                <w:szCs w:val="21"/>
                <w:lang w:val="en-US" w:eastAsia="zh-CN"/>
              </w:rPr>
              <w:t>拟派</w:t>
            </w:r>
            <w:r>
              <w:rPr>
                <w:rFonts w:hint="eastAsia" w:ascii="宋体" w:hAnsi="宋体" w:eastAsia="宋体" w:cs="宋体"/>
                <w:bCs/>
                <w:color w:val="auto"/>
                <w:sz w:val="21"/>
                <w:szCs w:val="21"/>
              </w:rPr>
              <w:t>人员的姓名、身份证号（或社保号）、单位名称、</w:t>
            </w:r>
            <w:r>
              <w:rPr>
                <w:rFonts w:hint="eastAsia" w:ascii="宋体" w:hAnsi="宋体" w:eastAsia="宋体" w:cs="宋体"/>
                <w:bCs/>
                <w:color w:val="auto"/>
                <w:sz w:val="21"/>
                <w:szCs w:val="21"/>
                <w:lang w:val="en-US" w:eastAsia="zh-CN"/>
              </w:rPr>
              <w:t>在</w:t>
            </w:r>
            <w:r>
              <w:rPr>
                <w:rFonts w:hint="eastAsia" w:ascii="宋体" w:hAnsi="宋体"/>
                <w:bCs/>
                <w:snapToGrid w:val="0"/>
                <w:color w:val="auto"/>
                <w:kern w:val="0"/>
                <w:szCs w:val="21"/>
                <w:highlight w:val="none"/>
                <w:lang w:val="en-US" w:eastAsia="zh-CN"/>
              </w:rPr>
              <w:t>投标单位</w:t>
            </w:r>
            <w:r>
              <w:rPr>
                <w:rFonts w:hint="eastAsia" w:ascii="宋体" w:hAnsi="宋体" w:eastAsia="宋体" w:cs="宋体"/>
                <w:bCs/>
                <w:color w:val="auto"/>
                <w:sz w:val="21"/>
                <w:szCs w:val="21"/>
              </w:rPr>
              <w:t>参保时间（或起始参保时间），并带有社保部门公章或社保部门的有效电子印章</w:t>
            </w:r>
            <w:r>
              <w:rPr>
                <w:rFonts w:hint="eastAsia" w:ascii="宋体" w:hAnsi="宋体" w:cs="宋体"/>
                <w:bCs/>
                <w:i/>
                <w:color w:val="auto"/>
                <w:sz w:val="21"/>
                <w:szCs w:val="21"/>
                <w:lang w:eastAsia="zh-CN"/>
              </w:rPr>
              <w:t>。</w:t>
            </w:r>
            <w:r>
              <w:rPr>
                <w:rFonts w:hint="eastAsia" w:ascii="宋体" w:hAnsi="宋体" w:eastAsia="宋体" w:cs="宋体"/>
                <w:bCs/>
                <w:i/>
                <w:color w:val="auto"/>
                <w:sz w:val="21"/>
                <w:szCs w:val="21"/>
              </w:rPr>
              <w:t xml:space="preserve"> </w:t>
            </w:r>
          </w:p>
        </w:tc>
      </w:tr>
      <w:tr w14:paraId="018004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FBE55C5">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14:paraId="4F0A68BB">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14:paraId="100FDF47">
            <w:pPr>
              <w:snapToGrid w:val="0"/>
              <w:spacing w:after="12" w:afterLines="5" w:line="400" w:lineRule="exact"/>
              <w:ind w:firstLine="420" w:firstLineChars="200"/>
              <w:rPr>
                <w:rFonts w:ascii="宋体" w:hAnsi="宋体"/>
                <w:color w:val="auto"/>
                <w:kern w:val="0"/>
                <w:szCs w:val="21"/>
              </w:rPr>
            </w:pPr>
            <w:r>
              <w:rPr>
                <w:rFonts w:ascii="宋体" w:hAnsi="宋体"/>
                <w:color w:val="auto"/>
                <w:kern w:val="0"/>
                <w:szCs w:val="21"/>
              </w:rPr>
              <w:t>不接受</w:t>
            </w:r>
          </w:p>
        </w:tc>
      </w:tr>
      <w:tr w14:paraId="3E9411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879197C">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14:paraId="27C46CB1">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14:paraId="292304E3">
            <w:pPr>
              <w:snapToGrid w:val="0"/>
              <w:spacing w:line="400" w:lineRule="exact"/>
              <w:ind w:firstLine="420" w:firstLineChars="200"/>
              <w:rPr>
                <w:rFonts w:ascii="宋体" w:hAnsi="宋体"/>
                <w:color w:val="auto"/>
                <w:kern w:val="0"/>
                <w:szCs w:val="21"/>
              </w:rPr>
            </w:pPr>
            <w:r>
              <w:rPr>
                <w:rFonts w:hint="eastAsia" w:ascii="宋体" w:hAnsi="宋体"/>
                <w:color w:val="auto"/>
                <w:kern w:val="2"/>
                <w:szCs w:val="21"/>
                <w:u w:val="single"/>
                <w:lang w:val="en-US" w:eastAsia="zh-CN"/>
              </w:rPr>
              <w:t xml:space="preserve"> 详见正文。 </w:t>
            </w:r>
          </w:p>
        </w:tc>
      </w:tr>
      <w:tr w14:paraId="2B7098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B1D1C64">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7939F5E9">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14:paraId="1BCB3A76">
            <w:pPr>
              <w:snapToGrid w:val="0"/>
              <w:spacing w:after="12" w:afterLines="5" w:line="400" w:lineRule="exact"/>
              <w:ind w:firstLine="420" w:firstLineChars="200"/>
              <w:rPr>
                <w:rFonts w:ascii="宋体" w:hAnsi="宋体"/>
                <w:color w:val="auto"/>
                <w:kern w:val="0"/>
                <w:szCs w:val="21"/>
              </w:rPr>
            </w:pPr>
            <w:r>
              <w:rPr>
                <w:rFonts w:ascii="宋体" w:hAnsi="宋体"/>
                <w:color w:val="auto"/>
                <w:kern w:val="0"/>
                <w:szCs w:val="21"/>
              </w:rPr>
              <w:t>不召开</w:t>
            </w:r>
          </w:p>
        </w:tc>
      </w:tr>
      <w:tr w14:paraId="05EA18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E2CC7A3">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42BFABBD">
            <w:pPr>
              <w:snapToGrid w:val="0"/>
              <w:spacing w:line="400" w:lineRule="exact"/>
              <w:jc w:val="center"/>
              <w:rPr>
                <w:rFonts w:ascii="宋体" w:hAnsi="宋体"/>
                <w:kern w:val="0"/>
                <w:szCs w:val="21"/>
              </w:rPr>
            </w:pPr>
            <w:r>
              <w:rPr>
                <w:rFonts w:ascii="宋体" w:hAnsi="宋体"/>
                <w:kern w:val="0"/>
                <w:szCs w:val="21"/>
              </w:rPr>
              <w:t>分包</w:t>
            </w:r>
          </w:p>
        </w:tc>
        <w:tc>
          <w:tcPr>
            <w:tcW w:w="6490" w:type="dxa"/>
            <w:vAlign w:val="center"/>
          </w:tcPr>
          <w:p w14:paraId="7689E437">
            <w:pPr>
              <w:snapToGrid w:val="0"/>
              <w:spacing w:line="400" w:lineRule="exact"/>
              <w:ind w:firstLine="420" w:firstLineChars="200"/>
              <w:rPr>
                <w:color w:val="auto"/>
              </w:rPr>
            </w:pPr>
            <w:r>
              <w:rPr>
                <w:color w:val="auto"/>
              </w:rPr>
              <w:t>不允许</w:t>
            </w:r>
          </w:p>
        </w:tc>
      </w:tr>
      <w:tr w14:paraId="11188B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E8569DD">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58DF89F1">
            <w:pPr>
              <w:snapToGrid w:val="0"/>
              <w:spacing w:line="400" w:lineRule="exact"/>
              <w:jc w:val="center"/>
              <w:rPr>
                <w:rFonts w:ascii="宋体" w:hAnsi="宋体"/>
                <w:kern w:val="0"/>
                <w:szCs w:val="21"/>
              </w:rPr>
            </w:pPr>
            <w:r>
              <w:t>其他可以被接受的技术支持资料</w:t>
            </w:r>
          </w:p>
        </w:tc>
        <w:tc>
          <w:tcPr>
            <w:tcW w:w="6490" w:type="dxa"/>
            <w:vAlign w:val="center"/>
          </w:tcPr>
          <w:p w14:paraId="0618FA41">
            <w:pPr>
              <w:snapToGrid w:val="0"/>
              <w:spacing w:line="400" w:lineRule="exact"/>
              <w:ind w:firstLine="420" w:firstLineChars="200"/>
              <w:rPr>
                <w:color w:val="auto"/>
              </w:rPr>
            </w:pPr>
            <w:r>
              <w:rPr>
                <w:rFonts w:hint="eastAsia" w:ascii="宋体" w:hAnsi="宋体"/>
                <w:color w:val="auto"/>
                <w:kern w:val="0"/>
                <w:szCs w:val="21"/>
              </w:rPr>
              <w:t>有，具体要求如下：</w:t>
            </w:r>
            <w:r>
              <w:rPr>
                <w:rFonts w:hint="eastAsia" w:ascii="宋体" w:hAnsi="宋体"/>
                <w:color w:val="auto"/>
                <w:kern w:val="0"/>
                <w:szCs w:val="21"/>
                <w:u w:val="single"/>
              </w:rPr>
              <w:t xml:space="preserve">  </w:t>
            </w:r>
            <w:r>
              <w:rPr>
                <w:rFonts w:hint="eastAsia" w:ascii="宋体" w:hAnsi="宋体"/>
                <w:color w:val="auto"/>
                <w:kern w:val="2"/>
                <w:szCs w:val="21"/>
                <w:u w:val="single"/>
                <w:lang w:val="en-US" w:eastAsia="zh-CN"/>
              </w:rPr>
              <w:t>详见正文。</w:t>
            </w:r>
            <w:r>
              <w:rPr>
                <w:rFonts w:hint="eastAsia" w:ascii="宋体" w:hAnsi="宋体"/>
                <w:color w:val="auto"/>
                <w:kern w:val="0"/>
                <w:szCs w:val="21"/>
                <w:u w:val="single"/>
              </w:rPr>
              <w:t xml:space="preserve">    </w:t>
            </w:r>
          </w:p>
        </w:tc>
      </w:tr>
      <w:tr w14:paraId="638EFD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B4B40F3">
            <w:pPr>
              <w:snapToGrid w:val="0"/>
              <w:spacing w:line="400" w:lineRule="exact"/>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5319AE7D">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14:paraId="0111DCBD">
            <w:pPr>
              <w:snapToGrid w:val="0"/>
              <w:spacing w:line="400" w:lineRule="exact"/>
              <w:ind w:firstLine="420" w:firstLineChars="200"/>
              <w:rPr>
                <w:color w:val="auto"/>
              </w:rPr>
            </w:pPr>
            <w:r>
              <w:rPr>
                <w:rFonts w:hint="eastAsia"/>
                <w:color w:val="FF0000"/>
                <w:lang w:val="en-US" w:eastAsia="zh-CN"/>
              </w:rPr>
              <w:t>不</w:t>
            </w:r>
            <w:r>
              <w:rPr>
                <w:rFonts w:hint="eastAsia"/>
                <w:color w:val="FF0000"/>
              </w:rPr>
              <w:t>允许</w:t>
            </w:r>
            <w:r>
              <w:rPr>
                <w:rFonts w:hint="eastAsia"/>
                <w:color w:val="FF0000"/>
                <w:lang w:val="en-US" w:eastAsia="zh-CN"/>
              </w:rPr>
              <w:t>任何负偏差</w:t>
            </w:r>
            <w:r>
              <w:rPr>
                <w:rFonts w:hint="eastAsia"/>
                <w:color w:val="FF0000"/>
                <w:lang w:eastAsia="zh-CN"/>
              </w:rPr>
              <w:t>，</w:t>
            </w:r>
            <w:r>
              <w:rPr>
                <w:rFonts w:hint="eastAsia"/>
                <w:color w:val="FF0000"/>
                <w:highlight w:val="none"/>
                <w:u w:val="none"/>
                <w:lang w:val="en-US" w:eastAsia="zh-CN"/>
              </w:rPr>
              <w:t>投标人需完全满足第五章供货要求中的条款</w:t>
            </w:r>
            <w:r>
              <w:rPr>
                <w:rFonts w:hint="eastAsia"/>
                <w:color w:val="FF0000"/>
                <w:spacing w:val="-3"/>
                <w:sz w:val="21"/>
                <w:highlight w:val="none"/>
                <w:u w:val="none"/>
                <w:lang w:val="en-US" w:eastAsia="zh-CN"/>
              </w:rPr>
              <w:t>。</w:t>
            </w:r>
          </w:p>
        </w:tc>
      </w:tr>
      <w:tr w14:paraId="488524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D2BEACD">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14:paraId="06EF80CE">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360F9034">
            <w:pPr>
              <w:snapToGrid w:val="0"/>
              <w:spacing w:line="400" w:lineRule="exact"/>
              <w:ind w:firstLine="420" w:firstLineChars="200"/>
              <w:rPr>
                <w:rFonts w:ascii="宋体" w:hAnsi="宋体"/>
                <w:color w:val="auto"/>
                <w:szCs w:val="21"/>
              </w:rPr>
            </w:pPr>
            <w:r>
              <w:rPr>
                <w:rFonts w:ascii="宋体" w:hAnsi="宋体"/>
                <w:color w:val="auto"/>
                <w:szCs w:val="21"/>
              </w:rPr>
              <w:t>招标人发出的</w:t>
            </w:r>
            <w:r>
              <w:rPr>
                <w:rFonts w:hint="eastAsia" w:ascii="宋体" w:hAnsi="宋体"/>
                <w:color w:val="auto"/>
                <w:szCs w:val="21"/>
              </w:rPr>
              <w:t>澄清</w:t>
            </w:r>
            <w:r>
              <w:rPr>
                <w:rFonts w:ascii="宋体" w:hAnsi="宋体"/>
                <w:color w:val="auto"/>
                <w:szCs w:val="21"/>
              </w:rPr>
              <w:t>及</w:t>
            </w:r>
            <w:r>
              <w:rPr>
                <w:rFonts w:hint="eastAsia" w:ascii="宋体" w:hAnsi="宋体"/>
                <w:color w:val="auto"/>
                <w:szCs w:val="21"/>
              </w:rPr>
              <w:t>修改。</w:t>
            </w:r>
          </w:p>
        </w:tc>
      </w:tr>
      <w:tr w14:paraId="6DB1CD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73120BE">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674D53D6">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6D0CBCC3">
            <w:pPr>
              <w:snapToGrid w:val="0"/>
              <w:spacing w:line="400" w:lineRule="exact"/>
              <w:ind w:firstLine="420" w:firstLineChars="200"/>
              <w:rPr>
                <w:rFonts w:ascii="宋体" w:hAnsi="宋体"/>
                <w:color w:val="auto"/>
                <w:kern w:val="0"/>
                <w:szCs w:val="21"/>
              </w:rPr>
            </w:pPr>
            <w:r>
              <w:rPr>
                <w:rFonts w:ascii="宋体" w:hAnsi="宋体"/>
                <w:color w:val="auto"/>
                <w:kern w:val="0"/>
                <w:szCs w:val="21"/>
              </w:rPr>
              <w:t>投标人应仔细</w:t>
            </w:r>
            <w:r>
              <w:rPr>
                <w:rFonts w:hint="eastAsia" w:ascii="宋体" w:hAnsi="宋体"/>
                <w:color w:val="auto"/>
                <w:kern w:val="0"/>
                <w:szCs w:val="21"/>
              </w:rPr>
              <w:t>阅读</w:t>
            </w:r>
            <w:r>
              <w:rPr>
                <w:rFonts w:ascii="宋体" w:hAnsi="宋体"/>
                <w:color w:val="auto"/>
                <w:kern w:val="0"/>
                <w:szCs w:val="21"/>
              </w:rPr>
              <w:t>招标文件</w:t>
            </w:r>
            <w:r>
              <w:rPr>
                <w:rFonts w:hint="eastAsia" w:ascii="宋体" w:hAnsi="宋体"/>
                <w:color w:val="auto"/>
                <w:kern w:val="0"/>
                <w:szCs w:val="21"/>
              </w:rPr>
              <w:t>及附件</w:t>
            </w:r>
            <w:r>
              <w:rPr>
                <w:rFonts w:ascii="宋体" w:hAnsi="宋体"/>
                <w:color w:val="auto"/>
                <w:kern w:val="0"/>
                <w:szCs w:val="21"/>
              </w:rPr>
              <w:t>的所有内容，如有文字表述不清，图纸尺寸标注不明以及存在错、漏、缺、概念模糊和有可能出现歧义或理解上的偏差的内容等应</w:t>
            </w:r>
            <w:r>
              <w:rPr>
                <w:rFonts w:hint="eastAsia" w:ascii="宋体" w:hAnsi="宋体" w:cs="宋体"/>
                <w:color w:val="auto"/>
                <w:kern w:val="0"/>
                <w:szCs w:val="21"/>
              </w:rPr>
              <w:t>在招标公告规定的时间</w:t>
            </w:r>
            <w:r>
              <w:rPr>
                <w:rFonts w:ascii="宋体" w:hAnsi="宋体"/>
                <w:color w:val="auto"/>
                <w:kern w:val="0"/>
                <w:szCs w:val="21"/>
              </w:rPr>
              <w:t>前</w:t>
            </w:r>
            <w:r>
              <w:rPr>
                <w:rFonts w:hint="eastAsia" w:ascii="宋体" w:hAnsi="宋体"/>
                <w:color w:val="auto"/>
                <w:kern w:val="0"/>
                <w:szCs w:val="21"/>
              </w:rPr>
              <w:t>在本项目招标公告网页下方“我要提问”栏</w:t>
            </w:r>
            <w:r>
              <w:rPr>
                <w:rFonts w:ascii="宋体" w:hAnsi="宋体"/>
                <w:color w:val="auto"/>
                <w:kern w:val="0"/>
                <w:szCs w:val="21"/>
              </w:rPr>
              <w:t>提交。</w:t>
            </w:r>
          </w:p>
        </w:tc>
      </w:tr>
      <w:tr w14:paraId="151FDE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423639B4">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391AC738">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4BAC272E">
            <w:pPr>
              <w:snapToGrid w:val="0"/>
              <w:spacing w:line="400" w:lineRule="exact"/>
              <w:ind w:firstLine="420" w:firstLineChars="200"/>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7BED25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D3A18D6">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14:paraId="6653C85D">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52C77ADA">
            <w:pPr>
              <w:snapToGrid w:val="0"/>
              <w:spacing w:line="400" w:lineRule="exact"/>
              <w:ind w:firstLine="420" w:firstLineChars="200"/>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w:t>
            </w:r>
            <w:r>
              <w:rPr>
                <w:rFonts w:ascii="宋体" w:hAnsi="宋体"/>
                <w:snapToGrid w:val="0"/>
                <w:color w:val="auto"/>
                <w:kern w:val="0"/>
                <w:szCs w:val="21"/>
              </w:rPr>
              <w:t>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snapToGrid w:val="0"/>
                <w:color w:val="auto"/>
                <w:kern w:val="0"/>
                <w:szCs w:val="21"/>
              </w:rPr>
              <w:t>发布</w:t>
            </w:r>
            <w:r>
              <w:rPr>
                <w:rFonts w:hint="eastAsia" w:ascii="宋体" w:hAnsi="宋体"/>
                <w:snapToGrid w:val="0"/>
                <w:color w:val="auto"/>
                <w:kern w:val="0"/>
                <w:szCs w:val="21"/>
              </w:rPr>
              <w:t>修改</w:t>
            </w:r>
            <w:r>
              <w:rPr>
                <w:rFonts w:ascii="宋体" w:hAnsi="宋体"/>
                <w:snapToGrid w:val="0"/>
                <w:color w:val="auto"/>
                <w:kern w:val="0"/>
                <w:szCs w:val="21"/>
              </w:rPr>
              <w:t>。</w:t>
            </w:r>
          </w:p>
        </w:tc>
      </w:tr>
      <w:tr w14:paraId="07A8BC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2FC0A7F">
            <w:pPr>
              <w:snapToGrid w:val="0"/>
              <w:spacing w:line="400" w:lineRule="exact"/>
              <w:jc w:val="center"/>
              <w:rPr>
                <w:rFonts w:ascii="宋体" w:hAnsi="宋体"/>
                <w:kern w:val="0"/>
                <w:szCs w:val="21"/>
              </w:rPr>
            </w:pPr>
            <w:r>
              <w:rPr>
                <w:rFonts w:ascii="宋体" w:hAnsi="宋体"/>
                <w:kern w:val="0"/>
                <w:szCs w:val="21"/>
              </w:rPr>
              <w:t>2.4</w:t>
            </w:r>
          </w:p>
        </w:tc>
        <w:tc>
          <w:tcPr>
            <w:tcW w:w="1754" w:type="dxa"/>
            <w:vAlign w:val="center"/>
          </w:tcPr>
          <w:p w14:paraId="3BFB0CF9">
            <w:pPr>
              <w:snapToGrid w:val="0"/>
              <w:spacing w:line="400" w:lineRule="exact"/>
              <w:jc w:val="center"/>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1F1FAFC3">
            <w:pPr>
              <w:snapToGrid w:val="0"/>
              <w:spacing w:line="400" w:lineRule="exact"/>
              <w:ind w:firstLine="420" w:firstLineChars="200"/>
              <w:rPr>
                <w:rFonts w:ascii="宋体" w:hAnsi="宋体"/>
                <w:snapToGrid w:val="0"/>
                <w:color w:val="auto"/>
                <w:kern w:val="0"/>
                <w:szCs w:val="21"/>
              </w:rPr>
            </w:pPr>
            <w:r>
              <w:rPr>
                <w:rFonts w:ascii="宋体" w:hAnsi="宋体"/>
                <w:snapToGrid w:val="0"/>
                <w:color w:val="auto"/>
                <w:kern w:val="0"/>
                <w:szCs w:val="21"/>
              </w:rPr>
              <w:t>投标人对招标文件和</w:t>
            </w:r>
            <w:r>
              <w:rPr>
                <w:rFonts w:hint="eastAsia" w:ascii="宋体" w:hAnsi="宋体"/>
                <w:snapToGrid w:val="0"/>
                <w:color w:val="auto"/>
                <w:kern w:val="0"/>
                <w:szCs w:val="21"/>
              </w:rPr>
              <w:t>澄清修改</w:t>
            </w:r>
            <w:r>
              <w:rPr>
                <w:rFonts w:ascii="宋体" w:hAnsi="宋体"/>
                <w:snapToGrid w:val="0"/>
                <w:color w:val="auto"/>
                <w:kern w:val="0"/>
                <w:szCs w:val="21"/>
              </w:rPr>
              <w:t>有异议的，应当在投标截止时间</w:t>
            </w:r>
            <w:r>
              <w:rPr>
                <w:rFonts w:hint="eastAsia" w:ascii="宋体" w:hAnsi="宋体"/>
                <w:b/>
                <w:bCs/>
                <w:snapToGrid w:val="0"/>
                <w:color w:val="auto"/>
                <w:kern w:val="0"/>
                <w:szCs w:val="21"/>
                <w:lang w:val="en-US" w:eastAsia="zh-CN"/>
              </w:rPr>
              <w:t>7</w:t>
            </w:r>
            <w:r>
              <w:rPr>
                <w:rFonts w:ascii="宋体" w:hAnsi="宋体"/>
                <w:b/>
                <w:bCs/>
                <w:snapToGrid w:val="0"/>
                <w:color w:val="auto"/>
                <w:kern w:val="0"/>
                <w:szCs w:val="21"/>
              </w:rPr>
              <w:t>日前</w:t>
            </w:r>
            <w:r>
              <w:rPr>
                <w:rFonts w:ascii="宋体" w:hAnsi="宋体"/>
                <w:snapToGrid w:val="0"/>
                <w:color w:val="auto"/>
                <w:kern w:val="0"/>
                <w:szCs w:val="21"/>
              </w:rPr>
              <w:t>，</w:t>
            </w:r>
            <w:r>
              <w:rPr>
                <w:rFonts w:hint="eastAsia" w:ascii="宋体" w:hAnsi="宋体"/>
                <w:snapToGrid w:val="0"/>
                <w:color w:val="auto"/>
                <w:kern w:val="0"/>
                <w:szCs w:val="21"/>
              </w:rPr>
              <w:t>以书面形式</w:t>
            </w:r>
            <w:r>
              <w:rPr>
                <w:rFonts w:hint="eastAsia" w:ascii="宋体" w:hAnsi="宋体"/>
                <w:snapToGrid w:val="0"/>
                <w:color w:val="auto"/>
                <w:kern w:val="0"/>
                <w:szCs w:val="21"/>
                <w:lang w:val="en-US" w:eastAsia="zh-CN"/>
              </w:rPr>
              <w:t>向</w:t>
            </w:r>
            <w:r>
              <w:rPr>
                <w:rFonts w:hint="eastAsia" w:ascii="宋体" w:hAnsi="宋体"/>
                <w:snapToGrid w:val="0"/>
                <w:color w:val="auto"/>
                <w:kern w:val="0"/>
                <w:szCs w:val="21"/>
              </w:rPr>
              <w:t>招标人或招标代理机构提出，</w:t>
            </w:r>
            <w:r>
              <w:rPr>
                <w:rFonts w:ascii="宋体" w:hAnsi="宋体"/>
                <w:snapToGrid w:val="0"/>
                <w:color w:val="auto"/>
                <w:kern w:val="0"/>
                <w:szCs w:val="21"/>
              </w:rPr>
              <w:t>招标人应当自收到异议之日起</w:t>
            </w:r>
            <w:r>
              <w:rPr>
                <w:rFonts w:hint="eastAsia" w:ascii="宋体" w:hAnsi="宋体"/>
                <w:snapToGrid w:val="0"/>
                <w:color w:val="auto"/>
                <w:kern w:val="0"/>
                <w:szCs w:val="21"/>
                <w:lang w:val="en-US" w:eastAsia="zh-CN"/>
              </w:rPr>
              <w:t>2</w:t>
            </w:r>
            <w:r>
              <w:rPr>
                <w:rFonts w:ascii="宋体" w:hAnsi="宋体"/>
                <w:snapToGrid w:val="0"/>
                <w:color w:val="auto"/>
                <w:kern w:val="0"/>
                <w:szCs w:val="21"/>
              </w:rPr>
              <w:t>日内做出答复</w:t>
            </w:r>
            <w:r>
              <w:rPr>
                <w:rFonts w:hint="eastAsia" w:ascii="宋体" w:hAnsi="宋体"/>
                <w:snapToGrid w:val="0"/>
                <w:color w:val="auto"/>
                <w:kern w:val="0"/>
                <w:szCs w:val="21"/>
              </w:rPr>
              <w:t>。答复内容</w:t>
            </w:r>
            <w:r>
              <w:rPr>
                <w:rFonts w:ascii="宋体" w:hAnsi="宋体"/>
                <w:snapToGrid w:val="0"/>
                <w:color w:val="auto"/>
                <w:kern w:val="0"/>
                <w:szCs w:val="21"/>
              </w:rPr>
              <w:t>可能影响投标文件编制的</w:t>
            </w:r>
            <w:r>
              <w:rPr>
                <w:rFonts w:hint="eastAsia" w:ascii="宋体" w:hAnsi="宋体"/>
                <w:snapToGrid w:val="0"/>
                <w:color w:val="auto"/>
                <w:kern w:val="0"/>
                <w:szCs w:val="21"/>
              </w:rPr>
              <w:t>，</w:t>
            </w:r>
            <w:r>
              <w:rPr>
                <w:rFonts w:ascii="宋体" w:hAnsi="宋体"/>
                <w:snapToGrid w:val="0"/>
                <w:color w:val="auto"/>
                <w:kern w:val="0"/>
                <w:szCs w:val="21"/>
              </w:rPr>
              <w:t>将以</w:t>
            </w:r>
            <w:r>
              <w:rPr>
                <w:rFonts w:hint="eastAsia" w:ascii="宋体" w:hAnsi="宋体"/>
                <w:snapToGrid w:val="0"/>
                <w:color w:val="auto"/>
                <w:kern w:val="0"/>
                <w:szCs w:val="21"/>
              </w:rPr>
              <w:t>修改</w:t>
            </w:r>
            <w:r>
              <w:rPr>
                <w:rFonts w:ascii="宋体" w:hAnsi="宋体"/>
                <w:snapToGrid w:val="0"/>
                <w:color w:val="auto"/>
                <w:kern w:val="0"/>
                <w:szCs w:val="21"/>
              </w:rPr>
              <w:t>的形式</w:t>
            </w:r>
            <w:r>
              <w:rPr>
                <w:rFonts w:hint="eastAsia" w:ascii="宋体" w:hAnsi="宋体"/>
                <w:snapToGrid w:val="0"/>
                <w:color w:val="auto"/>
                <w:kern w:val="0"/>
                <w:szCs w:val="21"/>
              </w:rPr>
              <w:t>于</w:t>
            </w:r>
            <w:r>
              <w:rPr>
                <w:rFonts w:ascii="宋体" w:hAnsi="宋体"/>
                <w:snapToGrid w:val="0"/>
                <w:color w:val="auto"/>
                <w:kern w:val="0"/>
                <w:szCs w:val="21"/>
              </w:rPr>
              <w:t>投标截止时间</w:t>
            </w:r>
            <w:r>
              <w:rPr>
                <w:rFonts w:hint="eastAsia" w:ascii="宋体" w:hAnsi="宋体"/>
                <w:snapToGrid w:val="0"/>
                <w:color w:val="auto"/>
                <w:kern w:val="0"/>
                <w:szCs w:val="21"/>
                <w:lang w:val="en-US" w:eastAsia="zh-CN"/>
              </w:rPr>
              <w:t>5</w:t>
            </w:r>
            <w:r>
              <w:rPr>
                <w:rFonts w:ascii="宋体" w:hAnsi="宋体"/>
                <w:snapToGrid w:val="0"/>
                <w:color w:val="auto"/>
                <w:kern w:val="0"/>
                <w:szCs w:val="21"/>
              </w:rPr>
              <w:t>日前在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snapToGrid w:val="0"/>
                <w:color w:val="auto"/>
                <w:kern w:val="0"/>
                <w:szCs w:val="21"/>
              </w:rPr>
              <w:t>发布。发布时间至投标截止时间不足</w:t>
            </w:r>
            <w:r>
              <w:rPr>
                <w:rFonts w:hint="eastAsia" w:ascii="宋体" w:hAnsi="宋体"/>
                <w:snapToGrid w:val="0"/>
                <w:color w:val="auto"/>
                <w:kern w:val="0"/>
                <w:szCs w:val="21"/>
                <w:lang w:val="en-US" w:eastAsia="zh-CN"/>
              </w:rPr>
              <w:t>5</w:t>
            </w:r>
            <w:r>
              <w:rPr>
                <w:rFonts w:ascii="宋体" w:hAnsi="宋体"/>
                <w:snapToGrid w:val="0"/>
                <w:color w:val="auto"/>
                <w:kern w:val="0"/>
                <w:szCs w:val="21"/>
              </w:rPr>
              <w:t>日的，须相应延后投标截止时间。</w:t>
            </w:r>
          </w:p>
        </w:tc>
      </w:tr>
      <w:tr w14:paraId="58297E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00C5A8A">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14:paraId="1143BAEA">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37197B96">
            <w:pPr>
              <w:snapToGrid w:val="0"/>
              <w:spacing w:line="400" w:lineRule="exact"/>
              <w:ind w:firstLine="420" w:firstLineChars="200"/>
              <w:rPr>
                <w:rFonts w:ascii="宋体" w:hAnsi="宋体"/>
                <w:color w:val="auto"/>
                <w:szCs w:val="21"/>
              </w:rPr>
            </w:pPr>
            <w:r>
              <w:rPr>
                <w:rFonts w:ascii="宋体" w:hAnsi="宋体"/>
                <w:color w:val="auto"/>
                <w:szCs w:val="21"/>
              </w:rPr>
              <w:t>投标人的书面澄清、说明和补正（但不得改变投标文件的实质性内容）</w:t>
            </w:r>
          </w:p>
        </w:tc>
      </w:tr>
      <w:tr w14:paraId="64365D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8B62563">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72AEC8F1">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14:paraId="1940EE30">
            <w:pPr>
              <w:snapToGrid w:val="0"/>
              <w:spacing w:line="400" w:lineRule="exact"/>
              <w:ind w:firstLine="420" w:firstLineChars="200"/>
              <w:rPr>
                <w:rFonts w:ascii="宋体" w:hAnsi="宋体"/>
                <w:color w:val="auto"/>
                <w:szCs w:val="21"/>
              </w:rPr>
            </w:pPr>
            <w:r>
              <w:rPr>
                <w:rFonts w:hint="eastAsia" w:ascii="宋体" w:hAnsi="宋体"/>
                <w:color w:val="auto"/>
                <w:szCs w:val="21"/>
              </w:rPr>
              <w:t>一般计税法</w:t>
            </w:r>
            <w:r>
              <w:rPr>
                <w:rFonts w:hint="eastAsia" w:ascii="宋体" w:hAnsi="宋体"/>
                <w:color w:val="auto"/>
                <w:szCs w:val="21"/>
                <w:lang w:eastAsia="zh-CN"/>
              </w:rPr>
              <w:t>，</w:t>
            </w:r>
            <w:r>
              <w:rPr>
                <w:rFonts w:hint="eastAsia" w:ascii="宋体" w:hAnsi="宋体" w:eastAsia="宋体" w:cs="宋体"/>
                <w:b/>
                <w:bCs/>
                <w:caps w:val="0"/>
                <w:smallCaps w:val="0"/>
                <w:color w:val="auto"/>
                <w:kern w:val="2"/>
                <w:sz w:val="21"/>
                <w:szCs w:val="21"/>
                <w:u w:val="none"/>
                <w:lang w:val="en-US" w:eastAsia="zh-CN" w:bidi="ar-SA"/>
              </w:rPr>
              <w:t>税率为13%</w:t>
            </w:r>
            <w:r>
              <w:rPr>
                <w:rFonts w:hint="eastAsia" w:ascii="宋体" w:hAnsi="宋体" w:eastAsia="宋体" w:cs="宋体"/>
                <w:caps w:val="0"/>
                <w:smallCaps w:val="0"/>
                <w:color w:val="auto"/>
                <w:kern w:val="2"/>
                <w:sz w:val="21"/>
                <w:szCs w:val="21"/>
                <w:u w:val="none"/>
                <w:lang w:val="en-US" w:eastAsia="zh-CN" w:bidi="ar-SA"/>
              </w:rPr>
              <w:t>。</w:t>
            </w:r>
          </w:p>
        </w:tc>
      </w:tr>
      <w:tr w14:paraId="44E558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1A9DC15">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1EE3A20C">
            <w:pPr>
              <w:snapToGrid w:val="0"/>
              <w:spacing w:line="400" w:lineRule="exact"/>
              <w:jc w:val="center"/>
              <w:rPr>
                <w:rFonts w:ascii="宋体" w:hAnsi="宋体"/>
                <w:kern w:val="0"/>
                <w:szCs w:val="21"/>
              </w:rPr>
            </w:pPr>
            <w:r>
              <w:rPr>
                <w:rFonts w:hint="eastAsia" w:ascii="宋体" w:hAnsi="宋体"/>
                <w:kern w:val="0"/>
                <w:szCs w:val="21"/>
              </w:rPr>
              <w:t>报价方式</w:t>
            </w:r>
          </w:p>
        </w:tc>
        <w:tc>
          <w:tcPr>
            <w:tcW w:w="6490" w:type="dxa"/>
            <w:vAlign w:val="center"/>
          </w:tcPr>
          <w:p w14:paraId="3C4191C7">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auto"/>
                <w:sz w:val="21"/>
                <w:szCs w:val="21"/>
                <w:lang w:val="en-US" w:eastAsia="zh-CN"/>
              </w:rPr>
            </w:pPr>
            <w:r>
              <w:rPr>
                <w:rFonts w:hint="eastAsia" w:ascii="宋体" w:hAnsi="宋体" w:eastAsia="宋体" w:cs="宋体"/>
                <w:caps w:val="0"/>
                <w:smallCaps w:val="0"/>
                <w:color w:val="auto"/>
                <w:sz w:val="21"/>
                <w:szCs w:val="21"/>
                <w:lang w:val="en-US" w:eastAsia="zh-CN"/>
              </w:rPr>
              <w:t>本项目招标采用固定总价</w:t>
            </w:r>
          </w:p>
          <w:p w14:paraId="2DF26794">
            <w:pPr>
              <w:pStyle w:val="2"/>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auto"/>
                <w:lang w:val="en-US" w:eastAsia="zh-CN"/>
              </w:rPr>
            </w:pPr>
            <w:r>
              <w:rPr>
                <w:rFonts w:hint="eastAsia" w:ascii="宋体" w:hAnsi="宋体" w:eastAsia="宋体" w:cs="宋体"/>
                <w:color w:val="auto"/>
                <w:kern w:val="2"/>
                <w:sz w:val="21"/>
                <w:szCs w:val="24"/>
                <w:highlight w:val="none"/>
                <w:lang w:val="en-US" w:eastAsia="zh-CN" w:bidi="ar-SA"/>
              </w:rPr>
              <w:t>1.投标报价为固定总价，</w:t>
            </w:r>
            <w:r>
              <w:rPr>
                <w:rFonts w:hint="eastAsia" w:ascii="宋体" w:hAnsi="宋体" w:eastAsia="宋体" w:cs="宋体"/>
                <w:color w:val="auto"/>
                <w:highlight w:val="none"/>
                <w:lang w:val="en-US" w:eastAsia="zh-CN"/>
              </w:rPr>
              <w:t>除</w:t>
            </w:r>
            <w:r>
              <w:rPr>
                <w:rFonts w:hint="eastAsia" w:ascii="宋体" w:hAnsi="宋体" w:eastAsia="宋体" w:cs="宋体"/>
                <w:color w:val="auto"/>
                <w:highlight w:val="none"/>
                <w:u w:val="none"/>
                <w:lang w:val="en-US" w:eastAsia="zh-CN"/>
              </w:rPr>
              <w:t>当招标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highlight w:val="none"/>
                <w:u w:val="none"/>
                <w:lang w:val="en-US" w:eastAsia="zh-CN"/>
              </w:rPr>
              <w:t>调整以及</w:t>
            </w:r>
            <w:r>
              <w:rPr>
                <w:rFonts w:hint="eastAsia" w:ascii="宋体" w:hAnsi="宋体" w:eastAsia="宋体" w:cs="宋体"/>
                <w:color w:val="auto"/>
                <w:highlight w:val="none"/>
              </w:rPr>
              <w:t>合同约定扣除违约金外，合同价格不调整</w:t>
            </w:r>
            <w:r>
              <w:rPr>
                <w:rFonts w:hint="eastAsia" w:ascii="宋体" w:hAnsi="宋体" w:eastAsia="宋体" w:cs="宋体"/>
                <w:color w:val="auto"/>
                <w:highlight w:val="none"/>
                <w:u w:val="none"/>
                <w:lang w:val="en-US" w:eastAsia="zh-CN"/>
              </w:rPr>
              <w:t>。</w:t>
            </w:r>
          </w:p>
          <w:p w14:paraId="2599E55F">
            <w:pPr>
              <w:pStyle w:val="2"/>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auto"/>
                <w:lang w:val="en-US" w:eastAsia="zh-CN"/>
              </w:rPr>
            </w:pPr>
            <w:r>
              <w:rPr>
                <w:rFonts w:hint="eastAsia" w:ascii="宋体" w:hAnsi="宋体" w:eastAsia="宋体" w:cs="宋体"/>
                <w:color w:val="auto"/>
                <w:highlight w:val="none"/>
                <w:u w:val="none"/>
                <w:lang w:val="en-US" w:eastAsia="zh-CN"/>
              </w:rPr>
              <w:t>2.招标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szCs w:val="21"/>
                <w:highlight w:val="none"/>
                <w:u w:val="none"/>
              </w:rPr>
              <w:t>增（减）工程</w:t>
            </w:r>
            <w:r>
              <w:rPr>
                <w:rFonts w:hint="eastAsia" w:ascii="宋体" w:hAnsi="宋体" w:eastAsia="宋体" w:cs="宋体"/>
                <w:color w:val="auto"/>
                <w:szCs w:val="21"/>
                <w:highlight w:val="none"/>
                <w:u w:val="none"/>
                <w:lang w:eastAsia="zh-CN"/>
              </w:rPr>
              <w:t>的</w:t>
            </w:r>
            <w:r>
              <w:rPr>
                <w:rFonts w:hint="eastAsia" w:ascii="宋体" w:hAnsi="宋体" w:eastAsia="宋体" w:cs="宋体"/>
                <w:color w:val="auto"/>
                <w:szCs w:val="21"/>
                <w:highlight w:val="none"/>
                <w:u w:val="none"/>
                <w:lang w:val="en-US" w:eastAsia="zh-CN"/>
              </w:rPr>
              <w:t>按以下方式调整：量价</w:t>
            </w:r>
            <w:r>
              <w:rPr>
                <w:rFonts w:hint="eastAsia" w:ascii="宋体" w:hAnsi="宋体" w:eastAsia="宋体" w:cs="宋体"/>
                <w:color w:val="auto"/>
                <w:szCs w:val="21"/>
                <w:highlight w:val="none"/>
                <w:u w:val="none"/>
              </w:rPr>
              <w:t>按</w:t>
            </w:r>
            <w:r>
              <w:rPr>
                <w:rFonts w:hint="eastAsia" w:ascii="宋体" w:hAnsi="宋体" w:eastAsia="宋体" w:cs="宋体"/>
                <w:color w:val="auto"/>
                <w:szCs w:val="21"/>
                <w:highlight w:val="none"/>
                <w:u w:val="none"/>
                <w:lang w:val="en-US" w:eastAsia="zh-CN"/>
              </w:rPr>
              <w:t>承包人</w:t>
            </w:r>
            <w:r>
              <w:rPr>
                <w:rFonts w:hint="eastAsia" w:ascii="宋体" w:hAnsi="宋体" w:eastAsia="宋体" w:cs="宋体"/>
                <w:color w:val="auto"/>
                <w:szCs w:val="21"/>
                <w:highlight w:val="none"/>
                <w:u w:val="none"/>
              </w:rPr>
              <w:t>投标文件相同或相似原则进行</w:t>
            </w:r>
            <w:r>
              <w:rPr>
                <w:rFonts w:hint="eastAsia" w:ascii="宋体" w:hAnsi="宋体" w:eastAsia="宋体" w:cs="宋体"/>
                <w:color w:val="auto"/>
                <w:szCs w:val="21"/>
                <w:highlight w:val="none"/>
                <w:u w:val="none"/>
                <w:lang w:val="en-US" w:eastAsia="zh-CN"/>
              </w:rPr>
              <w:t>计量计价</w:t>
            </w:r>
            <w:r>
              <w:rPr>
                <w:rFonts w:hint="eastAsia" w:ascii="宋体" w:hAnsi="宋体" w:eastAsia="宋体" w:cs="宋体"/>
                <w:color w:val="auto"/>
                <w:highlight w:val="none"/>
                <w:u w:val="none"/>
              </w:rPr>
              <w:t>，</w:t>
            </w:r>
            <w:r>
              <w:rPr>
                <w:rFonts w:hint="eastAsia" w:ascii="宋体" w:hAnsi="宋体" w:eastAsia="宋体" w:cs="宋体"/>
                <w:color w:val="auto"/>
                <w:highlight w:val="none"/>
                <w:u w:val="none"/>
                <w:lang w:val="en-US" w:eastAsia="zh-CN"/>
              </w:rPr>
              <w:t>如无，按市场核价计价。</w:t>
            </w:r>
            <w:r>
              <w:rPr>
                <w:rFonts w:hint="eastAsia" w:ascii="宋体" w:hAnsi="宋体" w:eastAsia="宋体" w:cs="宋体"/>
                <w:color w:val="auto"/>
                <w:highlight w:val="none"/>
                <w:u w:val="none"/>
              </w:rPr>
              <w:t>因</w:t>
            </w:r>
            <w:r>
              <w:rPr>
                <w:rFonts w:hint="eastAsia" w:ascii="宋体" w:hAnsi="宋体" w:eastAsia="宋体" w:cs="宋体"/>
                <w:color w:val="auto"/>
                <w:highlight w:val="none"/>
                <w:u w:val="none"/>
                <w:lang w:val="en-US" w:eastAsia="zh-CN"/>
              </w:rPr>
              <w:t>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szCs w:val="21"/>
                <w:highlight w:val="none"/>
                <w:u w:val="none"/>
              </w:rPr>
              <w:t>增（减）工程</w:t>
            </w:r>
            <w:r>
              <w:rPr>
                <w:rFonts w:hint="eastAsia" w:ascii="宋体" w:hAnsi="宋体" w:eastAsia="宋体" w:cs="宋体"/>
                <w:color w:val="auto"/>
                <w:szCs w:val="21"/>
                <w:highlight w:val="none"/>
                <w:u w:val="none"/>
                <w:lang w:eastAsia="zh-CN"/>
              </w:rPr>
              <w:t>的</w:t>
            </w:r>
            <w:r>
              <w:rPr>
                <w:rFonts w:hint="eastAsia" w:ascii="宋体" w:hAnsi="宋体" w:eastAsia="宋体" w:cs="宋体"/>
                <w:color w:val="auto"/>
                <w:szCs w:val="21"/>
                <w:highlight w:val="none"/>
                <w:u w:val="none"/>
              </w:rPr>
              <w:t>工程</w:t>
            </w:r>
            <w:r>
              <w:rPr>
                <w:rFonts w:hint="eastAsia" w:ascii="宋体" w:hAnsi="宋体" w:eastAsia="宋体" w:cs="宋体"/>
                <w:color w:val="auto"/>
                <w:szCs w:val="21"/>
                <w:highlight w:val="none"/>
                <w:u w:val="none"/>
                <w:lang w:val="en-US" w:eastAsia="zh-CN"/>
              </w:rPr>
              <w:t>总</w:t>
            </w:r>
            <w:r>
              <w:rPr>
                <w:rFonts w:hint="eastAsia" w:ascii="宋体" w:hAnsi="宋体" w:eastAsia="宋体" w:cs="宋体"/>
                <w:color w:val="auto"/>
                <w:szCs w:val="21"/>
                <w:highlight w:val="none"/>
                <w:u w:val="none"/>
              </w:rPr>
              <w:t>价在</w:t>
            </w:r>
            <w:r>
              <w:rPr>
                <w:rFonts w:hint="eastAsia" w:ascii="宋体" w:hAnsi="宋体" w:eastAsia="宋体" w:cs="宋体"/>
                <w:color w:val="auto"/>
                <w:szCs w:val="21"/>
                <w:highlight w:val="none"/>
                <w:u w:val="none"/>
                <w:lang w:val="en-US" w:eastAsia="zh-CN"/>
              </w:rPr>
              <w:t>签约合同价2</w:t>
            </w:r>
            <w:r>
              <w:rPr>
                <w:rFonts w:hint="eastAsia" w:ascii="宋体" w:hAnsi="宋体" w:eastAsia="宋体" w:cs="宋体"/>
                <w:color w:val="auto"/>
                <w:szCs w:val="21"/>
                <w:highlight w:val="none"/>
                <w:u w:val="none"/>
              </w:rPr>
              <w:t>%范围以内的不予调整，增（减）</w:t>
            </w:r>
            <w:r>
              <w:rPr>
                <w:rFonts w:hint="eastAsia" w:ascii="宋体" w:hAnsi="宋体" w:eastAsia="宋体" w:cs="宋体"/>
                <w:color w:val="auto"/>
                <w:szCs w:val="21"/>
                <w:highlight w:val="none"/>
                <w:u w:val="none"/>
                <w:lang w:val="en-US" w:eastAsia="zh-CN"/>
              </w:rPr>
              <w:t>2</w:t>
            </w:r>
            <w:r>
              <w:rPr>
                <w:rFonts w:hint="eastAsia" w:ascii="宋体" w:hAnsi="宋体" w:eastAsia="宋体" w:cs="宋体"/>
                <w:color w:val="auto"/>
                <w:szCs w:val="21"/>
                <w:highlight w:val="none"/>
                <w:u w:val="none"/>
              </w:rPr>
              <w:t>%范围以外部分据实进行调整。</w:t>
            </w:r>
          </w:p>
          <w:p w14:paraId="76FE4B98">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auto"/>
                <w:sz w:val="21"/>
                <w:szCs w:val="21"/>
              </w:rPr>
            </w:pPr>
            <w:r>
              <w:rPr>
                <w:rFonts w:hint="eastAsia" w:ascii="宋体" w:hAnsi="宋体" w:cs="宋体"/>
                <w:caps w:val="0"/>
                <w:smallCaps w:val="0"/>
                <w:color w:val="auto"/>
                <w:sz w:val="21"/>
                <w:szCs w:val="21"/>
                <w:lang w:val="en-US" w:eastAsia="zh-CN"/>
              </w:rPr>
              <w:t>3.</w:t>
            </w:r>
            <w:r>
              <w:rPr>
                <w:rFonts w:hint="eastAsia" w:ascii="宋体" w:hAnsi="宋体" w:eastAsia="宋体" w:cs="宋体"/>
                <w:caps w:val="0"/>
                <w:smallCaps w:val="0"/>
                <w:color w:val="auto"/>
                <w:sz w:val="21"/>
                <w:szCs w:val="21"/>
              </w:rPr>
              <w:t>投标人的投标报价应是本章投标人须知前附表1.3.1项中所述的全部内容的投标报价，</w:t>
            </w:r>
            <w:r>
              <w:rPr>
                <w:rFonts w:hint="eastAsia" w:ascii="宋体" w:hAnsi="宋体" w:cs="宋体"/>
                <w:caps w:val="0"/>
                <w:smallCaps w:val="0"/>
                <w:snapToGrid w:val="0"/>
                <w:color w:val="auto"/>
                <w:sz w:val="21"/>
                <w:szCs w:val="21"/>
                <w:highlight w:val="none"/>
                <w:u w:val="none"/>
                <w:lang w:val="en-US" w:eastAsia="zh-CN"/>
              </w:rPr>
              <w:t>且包含</w:t>
            </w:r>
            <w:r>
              <w:rPr>
                <w:rFonts w:hint="eastAsia" w:ascii="宋体" w:hAnsi="宋体" w:eastAsia="宋体" w:cs="宋体"/>
                <w:caps w:val="0"/>
                <w:smallCaps w:val="0"/>
                <w:color w:val="auto"/>
                <w:sz w:val="21"/>
                <w:szCs w:val="21"/>
                <w:highlight w:val="none"/>
                <w:u w:val="none"/>
              </w:rPr>
              <w:t>第五章“</w:t>
            </w:r>
            <w:r>
              <w:rPr>
                <w:rFonts w:hint="eastAsia" w:ascii="宋体" w:hAnsi="宋体" w:cs="宋体"/>
                <w:caps w:val="0"/>
                <w:smallCaps w:val="0"/>
                <w:color w:val="auto"/>
                <w:sz w:val="21"/>
                <w:szCs w:val="21"/>
                <w:highlight w:val="none"/>
                <w:u w:val="none"/>
                <w:lang w:val="en-US" w:eastAsia="zh-CN"/>
              </w:rPr>
              <w:t>供货</w:t>
            </w:r>
            <w:r>
              <w:rPr>
                <w:rFonts w:hint="eastAsia" w:ascii="宋体" w:hAnsi="宋体" w:eastAsia="宋体" w:cs="宋体"/>
                <w:caps w:val="0"/>
                <w:smallCaps w:val="0"/>
                <w:color w:val="auto"/>
                <w:sz w:val="21"/>
                <w:szCs w:val="21"/>
                <w:highlight w:val="none"/>
                <w:u w:val="none"/>
              </w:rPr>
              <w:t>要求”未注明由招标</w:t>
            </w:r>
            <w:r>
              <w:rPr>
                <w:rFonts w:hint="eastAsia" w:ascii="宋体" w:hAnsi="宋体" w:cs="宋体"/>
                <w:caps w:val="0"/>
                <w:smallCaps w:val="0"/>
                <w:color w:val="auto"/>
                <w:sz w:val="21"/>
                <w:szCs w:val="21"/>
                <w:highlight w:val="none"/>
                <w:u w:val="none"/>
                <w:lang w:val="en-US" w:eastAsia="zh-CN"/>
              </w:rPr>
              <w:t>人</w:t>
            </w:r>
            <w:r>
              <w:rPr>
                <w:rFonts w:hint="eastAsia" w:ascii="宋体" w:hAnsi="宋体" w:eastAsia="宋体" w:cs="宋体"/>
                <w:caps w:val="0"/>
                <w:smallCaps w:val="0"/>
                <w:color w:val="auto"/>
                <w:sz w:val="21"/>
                <w:szCs w:val="21"/>
                <w:highlight w:val="none"/>
                <w:u w:val="none"/>
              </w:rPr>
              <w:t>负责的</w:t>
            </w:r>
            <w:r>
              <w:rPr>
                <w:rFonts w:hint="eastAsia" w:ascii="宋体" w:hAnsi="宋体" w:eastAsia="宋体" w:cs="宋体"/>
                <w:caps w:val="0"/>
                <w:smallCaps w:val="0"/>
                <w:color w:val="auto"/>
                <w:sz w:val="21"/>
                <w:szCs w:val="21"/>
                <w:highlight w:val="none"/>
                <w:u w:val="none"/>
                <w:lang w:val="en-US" w:eastAsia="zh-CN"/>
              </w:rPr>
              <w:t>但</w:t>
            </w:r>
            <w:r>
              <w:rPr>
                <w:rFonts w:hint="eastAsia" w:ascii="宋体" w:hAnsi="宋体" w:eastAsia="宋体"/>
                <w:snapToGrid w:val="0"/>
                <w:color w:val="auto"/>
                <w:kern w:val="0"/>
                <w:sz w:val="21"/>
                <w:szCs w:val="21"/>
                <w:highlight w:val="none"/>
                <w:u w:val="none"/>
                <w:lang w:val="en-US" w:eastAsia="zh-CN"/>
              </w:rPr>
              <w:t>为</w:t>
            </w:r>
            <w:r>
              <w:rPr>
                <w:rFonts w:hint="eastAsia" w:ascii="宋体" w:hAnsi="宋体"/>
                <w:snapToGrid w:val="0"/>
                <w:color w:val="auto"/>
                <w:kern w:val="0"/>
                <w:sz w:val="21"/>
                <w:szCs w:val="21"/>
                <w:highlight w:val="none"/>
                <w:u w:val="none"/>
                <w:lang w:val="en-US" w:eastAsia="zh-CN"/>
              </w:rPr>
              <w:t>整线</w:t>
            </w:r>
            <w:r>
              <w:rPr>
                <w:rFonts w:hint="eastAsia" w:ascii="宋体" w:hAnsi="宋体" w:eastAsia="宋体" w:cs="宋体"/>
                <w:caps w:val="0"/>
                <w:smallCaps w:val="0"/>
                <w:color w:val="auto"/>
                <w:sz w:val="21"/>
                <w:szCs w:val="21"/>
                <w:highlight w:val="none"/>
                <w:u w:val="none"/>
                <w:lang w:val="en-US" w:eastAsia="zh-CN"/>
              </w:rPr>
              <w:t>运行不可缺的设备和功能</w:t>
            </w:r>
            <w:r>
              <w:rPr>
                <w:rFonts w:hint="eastAsia" w:ascii="宋体" w:hAnsi="宋体" w:eastAsia="宋体" w:cs="宋体"/>
                <w:caps w:val="0"/>
                <w:smallCaps w:val="0"/>
                <w:color w:val="auto"/>
                <w:sz w:val="21"/>
                <w:szCs w:val="21"/>
                <w:highlight w:val="none"/>
                <w:u w:val="none"/>
              </w:rPr>
              <w:t>均属于投标</w:t>
            </w:r>
            <w:r>
              <w:rPr>
                <w:rFonts w:hint="eastAsia" w:ascii="宋体" w:hAnsi="宋体" w:cs="宋体"/>
                <w:caps w:val="0"/>
                <w:smallCaps w:val="0"/>
                <w:color w:val="auto"/>
                <w:sz w:val="21"/>
                <w:szCs w:val="21"/>
                <w:highlight w:val="none"/>
                <w:u w:val="none"/>
                <w:lang w:val="en-US" w:eastAsia="zh-CN"/>
              </w:rPr>
              <w:t>人</w:t>
            </w:r>
            <w:r>
              <w:rPr>
                <w:rFonts w:hint="eastAsia" w:ascii="宋体" w:hAnsi="宋体" w:eastAsia="宋体" w:cs="宋体"/>
                <w:caps w:val="0"/>
                <w:smallCaps w:val="0"/>
                <w:color w:val="auto"/>
                <w:sz w:val="21"/>
                <w:szCs w:val="21"/>
                <w:highlight w:val="none"/>
                <w:u w:val="none"/>
              </w:rPr>
              <w:t>供货施工范围</w:t>
            </w:r>
            <w:r>
              <w:rPr>
                <w:rFonts w:hint="eastAsia" w:ascii="宋体" w:hAnsi="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rPr>
              <w:t>如果有任何遗漏，均被视为投标人已经在其投标总价中考虑。</w:t>
            </w:r>
          </w:p>
          <w:p w14:paraId="78B6CB10">
            <w:pPr>
              <w:snapToGrid w:val="0"/>
              <w:spacing w:line="400" w:lineRule="exact"/>
              <w:ind w:firstLine="420" w:firstLineChars="200"/>
              <w:rPr>
                <w:color w:val="auto"/>
              </w:rPr>
            </w:pPr>
            <w:r>
              <w:rPr>
                <w:rFonts w:hint="eastAsia" w:ascii="宋体" w:hAnsi="宋体" w:eastAsia="宋体" w:cs="宋体"/>
                <w:caps w:val="0"/>
                <w:smallCaps w:val="0"/>
                <w:color w:val="auto"/>
                <w:sz w:val="21"/>
                <w:highlight w:val="none"/>
                <w:lang w:val="en-US" w:eastAsia="zh-CN"/>
              </w:rPr>
              <w:t>4.</w:t>
            </w:r>
            <w:r>
              <w:rPr>
                <w:rFonts w:hint="eastAsia" w:ascii="宋体" w:hAnsi="宋体" w:eastAsia="宋体" w:cs="宋体"/>
                <w:caps w:val="0"/>
                <w:smallCaps w:val="0"/>
                <w:color w:val="auto"/>
                <w:sz w:val="21"/>
                <w:highlight w:val="none"/>
              </w:rPr>
              <w:t>固定总价报价以</w:t>
            </w:r>
            <w:r>
              <w:rPr>
                <w:rFonts w:hint="eastAsia" w:ascii="宋体" w:hAnsi="宋体" w:eastAsia="宋体" w:cs="宋体"/>
                <w:caps w:val="0"/>
                <w:smallCaps w:val="0"/>
                <w:color w:val="auto"/>
                <w:sz w:val="21"/>
                <w:highlight w:val="none"/>
                <w:lang w:val="en-US" w:eastAsia="zh-CN"/>
              </w:rPr>
              <w:t>人民币</w:t>
            </w:r>
            <w:r>
              <w:rPr>
                <w:rFonts w:hint="eastAsia" w:ascii="宋体" w:hAnsi="宋体" w:eastAsia="宋体" w:cs="宋体"/>
                <w:caps w:val="0"/>
                <w:smallCaps w:val="0"/>
                <w:color w:val="auto"/>
                <w:sz w:val="21"/>
                <w:highlight w:val="none"/>
              </w:rPr>
              <w:t>元为单位，保留</w:t>
            </w:r>
            <w:r>
              <w:rPr>
                <w:rFonts w:hint="eastAsia" w:ascii="宋体" w:hAnsi="宋体" w:eastAsia="宋体" w:cs="宋体"/>
                <w:caps w:val="0"/>
                <w:smallCaps w:val="0"/>
                <w:color w:val="auto"/>
                <w:sz w:val="21"/>
                <w:highlight w:val="none"/>
                <w:lang w:val="en-US" w:eastAsia="zh-CN"/>
              </w:rPr>
              <w:t>两位小数</w:t>
            </w:r>
            <w:r>
              <w:rPr>
                <w:rFonts w:hint="eastAsia" w:ascii="宋体" w:hAnsi="宋体" w:eastAsia="宋体" w:cs="宋体"/>
                <w:caps w:val="0"/>
                <w:smallCaps w:val="0"/>
                <w:color w:val="auto"/>
                <w:sz w:val="21"/>
                <w:highlight w:val="none"/>
              </w:rPr>
              <w:t>，</w:t>
            </w:r>
            <w:r>
              <w:rPr>
                <w:rFonts w:hint="eastAsia" w:ascii="宋体" w:hAnsi="宋体" w:eastAsia="宋体" w:cs="宋体"/>
                <w:caps w:val="0"/>
                <w:smallCaps w:val="0"/>
                <w:color w:val="auto"/>
                <w:sz w:val="21"/>
                <w:highlight w:val="none"/>
                <w:lang w:val="en-US" w:eastAsia="zh-CN"/>
              </w:rPr>
              <w:t>小数点后</w:t>
            </w:r>
            <w:r>
              <w:rPr>
                <w:rFonts w:hint="eastAsia" w:ascii="宋体" w:hAnsi="宋体" w:eastAsia="宋体" w:cs="宋体"/>
                <w:caps w:val="0"/>
                <w:smallCaps w:val="0"/>
                <w:color w:val="auto"/>
                <w:sz w:val="21"/>
                <w:highlight w:val="none"/>
              </w:rPr>
              <w:t>第三位四舍五入，</w:t>
            </w:r>
            <w:r>
              <w:rPr>
                <w:rFonts w:hint="eastAsia" w:ascii="宋体" w:hAnsi="宋体" w:eastAsia="宋体" w:cs="宋体"/>
                <w:caps w:val="0"/>
                <w:smallCaps w:val="0"/>
                <w:color w:val="auto"/>
                <w:sz w:val="21"/>
                <w:highlight w:val="none"/>
                <w:lang w:val="en-US" w:eastAsia="zh-CN"/>
              </w:rPr>
              <w:t>小数点后</w:t>
            </w:r>
            <w:r>
              <w:rPr>
                <w:rFonts w:hint="eastAsia" w:ascii="宋体" w:hAnsi="宋体" w:eastAsia="宋体" w:cs="宋体"/>
                <w:caps w:val="0"/>
                <w:smallCaps w:val="0"/>
                <w:color w:val="auto"/>
                <w:sz w:val="21"/>
                <w:highlight w:val="none"/>
              </w:rPr>
              <w:t>不足两位的按实际位数保留。报价保留小数点位数的要求仅为方便评标使用，不作为否决投标条件。</w:t>
            </w:r>
          </w:p>
        </w:tc>
      </w:tr>
      <w:tr w14:paraId="629ECE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123E131">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797BACFC">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14:paraId="547DFB79">
            <w:pPr>
              <w:snapToGrid w:val="0"/>
              <w:spacing w:line="400" w:lineRule="exact"/>
              <w:ind w:firstLine="420" w:firstLineChars="200"/>
            </w:pPr>
            <w:r>
              <w:rPr>
                <w:rFonts w:hint="eastAsia" w:ascii="宋体" w:hAnsi="宋体" w:eastAsia="宋体" w:cs="宋体"/>
                <w:color w:val="auto"/>
                <w:kern w:val="2"/>
                <w:sz w:val="21"/>
                <w:szCs w:val="21"/>
                <w:highlight w:val="none"/>
                <w:lang w:val="en-US" w:eastAsia="zh-CN" w:bidi="ar-SA"/>
              </w:rPr>
              <w:t>投标总报价最高限价为</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人民币</w:t>
            </w:r>
            <w:r>
              <w:rPr>
                <w:rFonts w:hint="eastAsia" w:ascii="宋体" w:hAnsi="宋体" w:eastAsia="宋体" w:cs="宋体"/>
                <w:color w:val="auto"/>
                <w:highlight w:val="none"/>
                <w:lang w:eastAsia="zh-CN"/>
              </w:rPr>
              <w:t>）</w:t>
            </w:r>
            <w:r>
              <w:rPr>
                <w:rFonts w:hint="eastAsia" w:ascii="宋体" w:hAnsi="宋体" w:eastAsia="宋体" w:cs="宋体"/>
                <w:b/>
                <w:bCs/>
                <w:color w:val="auto"/>
                <w:sz w:val="28"/>
                <w:szCs w:val="36"/>
                <w:highlight w:val="none"/>
                <w:u w:val="single"/>
                <w:shd w:val="clear"/>
              </w:rPr>
              <w:t xml:space="preserve"> </w:t>
            </w:r>
            <w:r>
              <w:rPr>
                <w:rFonts w:hint="eastAsia" w:ascii="宋体" w:hAnsi="宋体" w:cs="宋体"/>
                <w:b/>
                <w:bCs/>
                <w:color w:val="auto"/>
                <w:sz w:val="28"/>
                <w:szCs w:val="36"/>
                <w:highlight w:val="none"/>
                <w:u w:val="single"/>
                <w:shd w:val="clear"/>
                <w:lang w:val="en-US" w:eastAsia="zh-CN"/>
              </w:rPr>
              <w:t>1500</w:t>
            </w:r>
            <w:r>
              <w:rPr>
                <w:rFonts w:hint="eastAsia" w:ascii="宋体" w:hAnsi="宋体" w:eastAsia="宋体" w:cs="宋体"/>
                <w:b/>
                <w:bCs/>
                <w:color w:val="auto"/>
                <w:sz w:val="28"/>
                <w:szCs w:val="36"/>
                <w:highlight w:val="none"/>
                <w:u w:val="single"/>
                <w:shd w:val="clear"/>
                <w:lang w:val="en-US" w:eastAsia="zh-CN"/>
              </w:rPr>
              <w:t>万</w:t>
            </w:r>
            <w:r>
              <w:rPr>
                <w:rFonts w:hint="eastAsia" w:ascii="宋体" w:hAnsi="宋体" w:eastAsia="宋体" w:cs="宋体"/>
                <w:b/>
                <w:bCs/>
                <w:color w:val="auto"/>
                <w:kern w:val="2"/>
                <w:sz w:val="28"/>
                <w:szCs w:val="28"/>
                <w:highlight w:val="none"/>
                <w:shd w:val="clear"/>
                <w:lang w:val="en-US" w:eastAsia="zh-CN" w:bidi="ar-SA"/>
              </w:rPr>
              <w:t>元</w:t>
            </w:r>
            <w:r>
              <w:rPr>
                <w:rFonts w:hint="eastAsia" w:ascii="宋体" w:hAnsi="宋体" w:cs="宋体"/>
                <w:color w:val="auto"/>
                <w:kern w:val="2"/>
                <w:sz w:val="21"/>
                <w:szCs w:val="21"/>
                <w:highlight w:val="none"/>
                <w:shd w:val="clear"/>
                <w:lang w:val="en-US" w:eastAsia="zh-CN" w:bidi="ar-SA"/>
              </w:rPr>
              <w:t>（</w:t>
            </w:r>
            <w:r>
              <w:rPr>
                <w:rFonts w:hint="eastAsia" w:ascii="宋体" w:hAnsi="宋体" w:cs="宋体"/>
                <w:b/>
                <w:bCs/>
                <w:color w:val="auto"/>
                <w:kern w:val="2"/>
                <w:sz w:val="21"/>
                <w:szCs w:val="21"/>
                <w:highlight w:val="none"/>
                <w:shd w:val="clear"/>
                <w:lang w:val="en-US" w:eastAsia="zh-CN" w:bidi="ar-SA"/>
              </w:rPr>
              <w:t>壹仟伍佰万元</w:t>
            </w:r>
            <w:r>
              <w:rPr>
                <w:rFonts w:hint="eastAsia" w:ascii="宋体" w:hAnsi="宋体" w:eastAsia="宋体" w:cs="宋体"/>
                <w:b/>
                <w:bCs/>
                <w:color w:val="auto"/>
                <w:highlight w:val="none"/>
                <w:lang w:val="en-US" w:eastAsia="zh-CN"/>
              </w:rPr>
              <w:t>整</w:t>
            </w:r>
            <w:r>
              <w:rPr>
                <w:rFonts w:hint="eastAsia" w:ascii="宋体" w:hAnsi="宋体" w:cs="宋体"/>
                <w:color w:val="auto"/>
                <w:kern w:val="2"/>
                <w:sz w:val="21"/>
                <w:szCs w:val="21"/>
                <w:highlight w:val="none"/>
                <w:shd w:val="clear"/>
                <w:lang w:val="en-US" w:eastAsia="zh-CN" w:bidi="ar-SA"/>
              </w:rPr>
              <w:t>）</w:t>
            </w:r>
            <w:r>
              <w:rPr>
                <w:rFonts w:hint="eastAsia" w:ascii="宋体" w:hAnsi="宋体" w:eastAsia="宋体" w:cs="宋体"/>
                <w:color w:val="auto"/>
                <w:kern w:val="2"/>
                <w:sz w:val="21"/>
                <w:szCs w:val="21"/>
                <w:highlight w:val="none"/>
                <w:lang w:val="en-US" w:eastAsia="zh-CN" w:bidi="ar-SA"/>
              </w:rPr>
              <w:t>。投标人的投标报价不得超过其最高限价，否则由评标委员会作否决投标处理。</w:t>
            </w:r>
          </w:p>
        </w:tc>
      </w:tr>
      <w:tr w14:paraId="68DD31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237CDCC">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7CFB03F5">
            <w:pPr>
              <w:snapToGrid w:val="0"/>
              <w:spacing w:line="400" w:lineRule="exact"/>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1889BE5A">
            <w:pPr>
              <w:pStyle w:val="2"/>
              <w:tabs>
                <w:tab w:val="left" w:pos="546"/>
                <w:tab w:val="left" w:pos="711"/>
              </w:tabs>
              <w:snapToGrid w:val="0"/>
              <w:spacing w:after="0" w:line="400" w:lineRule="exact"/>
              <w:ind w:firstLine="420" w:firstLineChars="200"/>
              <w:rPr>
                <w:rFonts w:hint="default" w:ascii="宋体" w:hAnsi="宋体" w:cs="宋体"/>
                <w:color w:val="auto"/>
                <w:szCs w:val="21"/>
                <w:lang w:val="en-US" w:eastAsia="zh-CN"/>
              </w:rPr>
            </w:pPr>
            <w:r>
              <w:rPr>
                <w:rFonts w:hint="eastAsia" w:ascii="宋体" w:hAnsi="宋体" w:cs="宋体"/>
                <w:color w:val="auto"/>
                <w:szCs w:val="21"/>
                <w:lang w:val="en-US" w:eastAsia="zh-CN"/>
              </w:rPr>
              <w:t>1.</w:t>
            </w:r>
            <w:r>
              <w:rPr>
                <w:rFonts w:hint="eastAsia"/>
                <w:color w:val="auto"/>
              </w:rPr>
              <w:t>分项报价表中各分项</w:t>
            </w:r>
            <w:r>
              <w:rPr>
                <w:rFonts w:hint="eastAsia"/>
                <w:color w:val="auto"/>
                <w:lang w:val="en-US" w:eastAsia="zh-CN"/>
              </w:rPr>
              <w:t>合价</w:t>
            </w:r>
            <w:r>
              <w:rPr>
                <w:rFonts w:hint="eastAsia"/>
                <w:color w:val="auto"/>
              </w:rPr>
              <w:t>必须与依据</w:t>
            </w:r>
            <w:r>
              <w:rPr>
                <w:color w:val="auto"/>
              </w:rPr>
              <w:t>单价</w:t>
            </w:r>
            <w:r>
              <w:rPr>
                <w:rFonts w:hint="eastAsia"/>
                <w:color w:val="auto"/>
                <w:lang w:val="en-US" w:eastAsia="zh-CN"/>
              </w:rPr>
              <w:t>和数量</w:t>
            </w:r>
            <w:r>
              <w:rPr>
                <w:rFonts w:hint="eastAsia"/>
                <w:color w:val="auto"/>
              </w:rPr>
              <w:t>计算出的结果</w:t>
            </w:r>
            <w:r>
              <w:rPr>
                <w:color w:val="auto"/>
              </w:rPr>
              <w:t>一致</w:t>
            </w:r>
            <w:r>
              <w:rPr>
                <w:rFonts w:hint="eastAsia"/>
                <w:color w:val="auto"/>
              </w:rPr>
              <w:t>，</w:t>
            </w:r>
            <w:r>
              <w:rPr>
                <w:color w:val="auto"/>
              </w:rPr>
              <w:t>投标</w:t>
            </w:r>
            <w:r>
              <w:rPr>
                <w:rFonts w:hint="eastAsia"/>
                <w:color w:val="auto"/>
                <w:lang w:val="en-US" w:eastAsia="zh-CN"/>
              </w:rPr>
              <w:t>总</w:t>
            </w:r>
            <w:r>
              <w:rPr>
                <w:color w:val="auto"/>
              </w:rPr>
              <w:t>报价</w:t>
            </w:r>
            <w:r>
              <w:rPr>
                <w:rFonts w:hint="eastAsia"/>
                <w:color w:val="auto"/>
              </w:rPr>
              <w:t>必须</w:t>
            </w:r>
            <w:r>
              <w:rPr>
                <w:color w:val="auto"/>
              </w:rPr>
              <w:t>与</w:t>
            </w:r>
            <w:r>
              <w:rPr>
                <w:rFonts w:hint="eastAsia"/>
                <w:color w:val="auto"/>
              </w:rPr>
              <w:t>各</w:t>
            </w:r>
            <w:r>
              <w:rPr>
                <w:color w:val="auto"/>
              </w:rPr>
              <w:t>分项合价</w:t>
            </w:r>
            <w:r>
              <w:rPr>
                <w:rFonts w:hint="eastAsia"/>
                <w:color w:val="auto"/>
                <w:lang w:val="en-US" w:eastAsia="zh-CN"/>
              </w:rPr>
              <w:t>汇总计算出的结果</w:t>
            </w:r>
            <w:r>
              <w:rPr>
                <w:color w:val="auto"/>
              </w:rPr>
              <w:t>一致</w:t>
            </w:r>
            <w:r>
              <w:rPr>
                <w:rFonts w:hint="eastAsia"/>
                <w:color w:val="auto"/>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color w:val="auto"/>
                <w:szCs w:val="21"/>
                <w:highlight w:val="none"/>
              </w:rPr>
              <w:t>否则由评标委员会作否决投标处理</w:t>
            </w:r>
            <w:r>
              <w:rPr>
                <w:rFonts w:hint="eastAsia" w:ascii="宋体" w:hAnsi="宋体" w:cs="宋体"/>
                <w:color w:val="auto"/>
                <w:szCs w:val="21"/>
                <w:highlight w:val="none"/>
                <w:lang w:eastAsia="zh-CN"/>
              </w:rPr>
              <w:t>。</w:t>
            </w:r>
          </w:p>
          <w:p w14:paraId="07FBA76F">
            <w:pPr>
              <w:pStyle w:val="2"/>
              <w:keepNext w:val="0"/>
              <w:keepLines w:val="0"/>
              <w:pageBreakBefore w:val="0"/>
              <w:kinsoku/>
              <w:wordWrap/>
              <w:overflowPunct/>
              <w:topLinePunct w:val="0"/>
              <w:bidi w:val="0"/>
              <w:snapToGrid/>
              <w:spacing w:after="0" w:line="400" w:lineRule="exact"/>
              <w:ind w:firstLine="422" w:firstLineChars="200"/>
              <w:textAlignment w:val="auto"/>
              <w:rPr>
                <w:rFonts w:hint="eastAsia"/>
                <w:b/>
                <w:bCs/>
                <w:color w:val="auto"/>
                <w:lang w:eastAsia="zh-CN"/>
              </w:rPr>
            </w:pPr>
            <w:bookmarkStart w:id="87" w:name="OLE_LINK6"/>
            <w:r>
              <w:rPr>
                <w:rFonts w:hint="eastAsia" w:ascii="宋体" w:hAnsi="宋体" w:cs="宋体"/>
                <w:b/>
                <w:bCs/>
                <w:color w:val="auto"/>
                <w:szCs w:val="21"/>
                <w:lang w:val="en-US" w:eastAsia="zh-CN"/>
              </w:rPr>
              <w:t>3.</w:t>
            </w:r>
            <w:r>
              <w:rPr>
                <w:rFonts w:hint="default" w:ascii="宋体" w:hAnsi="宋体"/>
                <w:b/>
                <w:bCs/>
                <w:color w:val="auto"/>
                <w:kern w:val="0"/>
                <w:szCs w:val="21"/>
                <w:u w:val="none"/>
              </w:rPr>
              <w:t>投标人的</w:t>
            </w:r>
            <w:r>
              <w:rPr>
                <w:rFonts w:hint="eastAsia" w:ascii="宋体" w:hAnsi="宋体"/>
                <w:b/>
                <w:bCs/>
                <w:color w:val="auto"/>
                <w:kern w:val="0"/>
                <w:szCs w:val="21"/>
                <w:u w:val="none"/>
                <w:lang w:val="en-US" w:eastAsia="zh-CN"/>
              </w:rPr>
              <w:t>单项报价</w:t>
            </w:r>
            <w:r>
              <w:rPr>
                <w:rFonts w:hint="default" w:ascii="宋体" w:hAnsi="宋体"/>
                <w:b/>
                <w:bCs/>
                <w:color w:val="auto"/>
                <w:kern w:val="0"/>
                <w:szCs w:val="21"/>
                <w:u w:val="none"/>
              </w:rPr>
              <w:t>不得</w:t>
            </w:r>
            <w:r>
              <w:rPr>
                <w:rFonts w:hint="eastAsia" w:ascii="宋体" w:hAnsi="宋体"/>
                <w:b/>
                <w:bCs/>
                <w:color w:val="auto"/>
                <w:kern w:val="0"/>
                <w:szCs w:val="21"/>
                <w:u w:val="none"/>
                <w:lang w:val="en-US" w:eastAsia="zh-CN"/>
              </w:rPr>
              <w:t>为零报价</w:t>
            </w:r>
            <w:r>
              <w:rPr>
                <w:rFonts w:hint="eastAsia" w:ascii="宋体" w:hAnsi="宋体" w:eastAsia="宋体" w:cs="Times New Roman"/>
                <w:b/>
                <w:bCs/>
                <w:i w:val="0"/>
                <w:iCs w:val="0"/>
                <w:caps w:val="0"/>
                <w:color w:val="auto"/>
                <w:spacing w:val="0"/>
                <w:kern w:val="0"/>
                <w:sz w:val="21"/>
                <w:szCs w:val="21"/>
                <w:u w:val="none"/>
                <w:shd w:val="clear"/>
              </w:rPr>
              <w:t>（招标人提供的单项报价最高限价中金额为零的除外）</w:t>
            </w:r>
            <w:r>
              <w:rPr>
                <w:rFonts w:hint="eastAsia" w:ascii="宋体" w:hAnsi="宋体"/>
                <w:b/>
                <w:bCs/>
                <w:color w:val="auto"/>
                <w:kern w:val="0"/>
                <w:szCs w:val="21"/>
                <w:u w:val="none"/>
                <w:lang w:val="en-US" w:eastAsia="zh-CN"/>
              </w:rPr>
              <w:t>或者负数报价，否则</w:t>
            </w:r>
            <w:r>
              <w:rPr>
                <w:rFonts w:hint="eastAsia"/>
                <w:b/>
                <w:bCs/>
                <w:color w:val="auto"/>
              </w:rPr>
              <w:t>由评标委员会作否决投标处理</w:t>
            </w:r>
            <w:r>
              <w:rPr>
                <w:rFonts w:hint="eastAsia"/>
                <w:b/>
                <w:bCs/>
                <w:color w:val="auto"/>
                <w:lang w:eastAsia="zh-CN"/>
              </w:rPr>
              <w:t>。</w:t>
            </w:r>
            <w:bookmarkEnd w:id="87"/>
          </w:p>
          <w:p w14:paraId="20951704">
            <w:pPr>
              <w:tabs>
                <w:tab w:val="left" w:pos="546"/>
                <w:tab w:val="left" w:pos="711"/>
              </w:tabs>
              <w:snapToGrid w:val="0"/>
              <w:spacing w:line="400" w:lineRule="exact"/>
              <w:ind w:firstLine="420" w:firstLineChars="200"/>
              <w:rPr>
                <w:rFonts w:hint="eastAsia"/>
                <w:color w:val="auto"/>
              </w:rPr>
            </w:pPr>
            <w:r>
              <w:rPr>
                <w:rFonts w:hint="eastAsia"/>
                <w:color w:val="auto"/>
              </w:rPr>
              <w:t>招标人在发出中标通知书前将对中标人的各项报价进行复核，若发现中标人各项报价中存在</w:t>
            </w:r>
            <w:r>
              <w:rPr>
                <w:rFonts w:hint="eastAsia"/>
                <w:color w:val="auto"/>
                <w:lang w:val="en-US" w:eastAsia="zh-CN"/>
              </w:rPr>
              <w:t>零报价或者</w:t>
            </w:r>
            <w:r>
              <w:rPr>
                <w:rFonts w:hint="eastAsia"/>
                <w:color w:val="auto"/>
              </w:rPr>
              <w:t>负数报价的情形，招标人按相关规定取消其中标资格，其投标保证金不予退还，中标人承担因此造成的相关责任并赔偿相应损失。</w:t>
            </w:r>
          </w:p>
          <w:p w14:paraId="230661BA">
            <w:pPr>
              <w:pStyle w:val="18"/>
              <w:pageBreakBefore w:val="0"/>
              <w:numPr>
                <w:ilvl w:val="0"/>
                <w:numId w:val="0"/>
              </w:numPr>
              <w:kinsoku/>
              <w:topLinePunct w:val="0"/>
              <w:bidi w:val="0"/>
              <w:spacing w:line="360" w:lineRule="auto"/>
              <w:ind w:firstLine="420" w:firstLineChars="200"/>
              <w:rPr>
                <w:rFonts w:hint="eastAsia" w:ascii="宋体" w:hAnsi="宋体" w:eastAsia="宋体" w:cs="宋体"/>
                <w:color w:val="auto"/>
                <w:highlight w:val="none"/>
              </w:rPr>
            </w:pPr>
            <w:r>
              <w:rPr>
                <w:rFonts w:hint="eastAsia" w:ascii="宋体" w:hAnsi="宋体" w:eastAsia="宋体" w:cs="宋体"/>
                <w:b w:val="0"/>
                <w:bCs w:val="0"/>
                <w:color w:val="auto"/>
                <w:sz w:val="21"/>
                <w:szCs w:val="21"/>
                <w:highlight w:val="none"/>
                <w:lang w:val="en-US" w:eastAsia="zh-CN"/>
              </w:rPr>
              <w:t>4.1</w:t>
            </w:r>
            <w:r>
              <w:rPr>
                <w:rFonts w:hint="eastAsia" w:ascii="宋体" w:hAnsi="宋体" w:eastAsia="宋体" w:cs="宋体"/>
                <w:color w:val="auto"/>
                <w:szCs w:val="21"/>
                <w:highlight w:val="none"/>
              </w:rPr>
              <w:t>投标人应按</w:t>
            </w:r>
            <w:r>
              <w:rPr>
                <w:rFonts w:hint="eastAsia" w:ascii="宋体" w:hAnsi="宋体" w:eastAsia="宋体" w:cs="宋体"/>
                <w:color w:val="auto"/>
                <w:szCs w:val="21"/>
                <w:highlight w:val="none"/>
                <w:lang w:val="en-US" w:eastAsia="zh-CN"/>
              </w:rPr>
              <w:t>照第五章供货要求</w:t>
            </w:r>
            <w:r>
              <w:rPr>
                <w:rFonts w:hint="eastAsia" w:ascii="宋体" w:hAnsi="宋体" w:eastAsia="宋体" w:cs="宋体"/>
                <w:color w:val="auto"/>
                <w:kern w:val="0"/>
                <w:szCs w:val="21"/>
                <w:highlight w:val="none"/>
                <w:u w:val="none"/>
                <w:lang w:eastAsia="zh-CN"/>
              </w:rPr>
              <w:t>、</w:t>
            </w:r>
            <w:r>
              <w:rPr>
                <w:rFonts w:hint="eastAsia" w:ascii="宋体" w:hAnsi="宋体" w:eastAsia="宋体" w:cs="宋体"/>
                <w:color w:val="auto"/>
                <w:kern w:val="0"/>
                <w:szCs w:val="21"/>
                <w:highlight w:val="none"/>
                <w:u w:val="none"/>
              </w:rPr>
              <w:t>招标文件</w:t>
            </w:r>
            <w:r>
              <w:rPr>
                <w:rFonts w:hint="eastAsia" w:ascii="宋体" w:hAnsi="宋体" w:eastAsia="宋体" w:cs="宋体"/>
                <w:color w:val="auto"/>
                <w:kern w:val="0"/>
                <w:szCs w:val="21"/>
                <w:highlight w:val="none"/>
                <w:u w:val="none"/>
                <w:lang w:eastAsia="zh-CN"/>
              </w:rPr>
              <w:t>、</w:t>
            </w:r>
            <w:r>
              <w:rPr>
                <w:rFonts w:hint="eastAsia" w:ascii="宋体" w:hAnsi="宋体" w:eastAsia="宋体" w:cs="宋体"/>
                <w:color w:val="auto"/>
                <w:kern w:val="0"/>
                <w:szCs w:val="21"/>
                <w:highlight w:val="none"/>
                <w:u w:val="none"/>
                <w:lang w:val="en-US" w:eastAsia="zh-CN"/>
              </w:rPr>
              <w:t>补遗</w:t>
            </w:r>
            <w:r>
              <w:rPr>
                <w:rFonts w:hint="eastAsia" w:ascii="宋体" w:hAnsi="宋体" w:eastAsia="宋体" w:cs="宋体"/>
                <w:color w:val="auto"/>
                <w:kern w:val="0"/>
                <w:szCs w:val="21"/>
                <w:highlight w:val="none"/>
                <w:u w:val="none"/>
              </w:rPr>
              <w:t>、答疑、施工现场情况、工程特点、国家及地方的技术标准、规范及规程等，结合本企业的经营情况、自身实力和企业发展策略以及市场行情和招标文件对工程质量、工期的</w:t>
            </w:r>
            <w:r>
              <w:rPr>
                <w:rFonts w:hint="eastAsia" w:ascii="宋体" w:hAnsi="宋体" w:eastAsia="宋体" w:cs="宋体"/>
                <w:color w:val="auto"/>
                <w:szCs w:val="21"/>
                <w:highlight w:val="none"/>
              </w:rPr>
              <w:t>要求填写相应清单表格。投标人的投标报价应是本章投标人须知前附表第1.3.1项中所述的本工程合同段招标范围内的全部工程的投标报价，</w:t>
            </w:r>
            <w:r>
              <w:rPr>
                <w:rFonts w:hint="eastAsia" w:ascii="宋体" w:hAnsi="宋体" w:eastAsia="宋体" w:cs="宋体"/>
                <w:color w:val="auto"/>
                <w:highlight w:val="none"/>
              </w:rPr>
              <w:t>以及投标人企业定额、市场行情进行自主合理报价。</w:t>
            </w:r>
          </w:p>
          <w:p w14:paraId="1628CDCF">
            <w:pPr>
              <w:pStyle w:val="18"/>
              <w:pageBreakBefore w:val="0"/>
              <w:kinsoku/>
              <w:topLinePunct w:val="0"/>
              <w:bidi w:val="0"/>
              <w:spacing w:line="360" w:lineRule="auto"/>
              <w:ind w:firstLine="420" w:firstLineChars="200"/>
              <w:rPr>
                <w:rFonts w:hint="eastAsia" w:ascii="宋体" w:hAnsi="宋体" w:eastAsia="宋体" w:cs="宋体"/>
                <w:caps w:val="0"/>
                <w:smallCaps w:val="0"/>
                <w:color w:val="auto"/>
                <w:sz w:val="21"/>
                <w:szCs w:val="21"/>
                <w:lang w:val="en-US" w:eastAsia="zh-CN"/>
              </w:rPr>
            </w:pPr>
            <w:r>
              <w:rPr>
                <w:rFonts w:hint="eastAsia" w:ascii="宋体" w:hAnsi="宋体" w:eastAsia="宋体" w:cs="宋体"/>
                <w:color w:val="auto"/>
                <w:highlight w:val="none"/>
                <w:lang w:val="en-US" w:eastAsia="zh-CN"/>
              </w:rPr>
              <w:t>4.2</w:t>
            </w:r>
            <w:r>
              <w:rPr>
                <w:rFonts w:hint="eastAsia" w:ascii="宋体" w:hAnsi="宋体" w:eastAsia="宋体" w:cs="宋体"/>
                <w:color w:val="auto"/>
                <w:kern w:val="0"/>
                <w:sz w:val="21"/>
                <w:szCs w:val="21"/>
                <w:highlight w:val="none"/>
                <w:u w:val="none"/>
                <w:vertAlign w:val="baseline"/>
                <w:lang w:val="en-US" w:eastAsia="zh-CN"/>
              </w:rPr>
              <w:t>除非专用合同条款中另有规定，投标人所报的综合单价和合价，以及投标总报价均包括了投标人为实施和完成该项目招标范围所确定的全部工程内容所需的人工费、设备设计费、制造费、专利费、设备包装及运输费、国际国内发生的通关所有费用（若有） 、关税（若有）、到项目施工现场落地初验、转运、仓储、安装（含配套土建和建筑变更）、调试（含与MES系统联调）、验收及质保期的各项费用等相关费用、企业管理费、利润、风险费、措施费（含安全文明施工费、疫情常态化防疫措施费等）、规费、税金（含增值税、城建税、教育费附加、地方教育附加）、配合费、二次或多次转运费、建设工程竣工档案编制费、垃圾清运费、成品保护费、养护费、工程建设招标投标交易服务费、政策性文件规定费用、项目所在地建设主管部门要求的智慧工地管理、施工和竣工交付等所有与该项目采购、施工相关的费用，中标后按招标人要求</w:t>
            </w:r>
            <w:r>
              <w:rPr>
                <w:rFonts w:hint="eastAsia" w:ascii="宋体" w:hAnsi="宋体"/>
                <w:color w:val="auto"/>
                <w:szCs w:val="21"/>
                <w:highlight w:val="none"/>
              </w:rPr>
              <w:t>到</w:t>
            </w:r>
            <w:r>
              <w:rPr>
                <w:rFonts w:hint="eastAsia" w:ascii="宋体" w:hAnsi="宋体"/>
                <w:color w:val="auto"/>
                <w:szCs w:val="21"/>
                <w:highlight w:val="none"/>
                <w:lang w:val="en-US" w:eastAsia="zh-CN"/>
              </w:rPr>
              <w:t>项目所在地</w:t>
            </w:r>
            <w:r>
              <w:rPr>
                <w:rFonts w:hint="eastAsia" w:ascii="宋体" w:hAnsi="宋体"/>
                <w:color w:val="auto"/>
                <w:szCs w:val="21"/>
                <w:highlight w:val="none"/>
              </w:rPr>
              <w:t>进行培训</w:t>
            </w:r>
            <w:r>
              <w:rPr>
                <w:rFonts w:hint="eastAsia" w:ascii="宋体" w:hAnsi="宋体"/>
                <w:color w:val="auto"/>
                <w:szCs w:val="21"/>
                <w:highlight w:val="none"/>
                <w:lang w:eastAsia="zh-CN"/>
              </w:rPr>
              <w:t>的</w:t>
            </w:r>
            <w:r>
              <w:rPr>
                <w:rFonts w:hint="eastAsia" w:ascii="宋体" w:hAnsi="宋体"/>
                <w:color w:val="auto"/>
                <w:szCs w:val="21"/>
                <w:highlight w:val="none"/>
                <w:lang w:val="en-US" w:eastAsia="zh-CN"/>
              </w:rPr>
              <w:t>相关费用、</w:t>
            </w:r>
            <w:r>
              <w:rPr>
                <w:rFonts w:hint="eastAsia" w:ascii="宋体" w:hAnsi="宋体" w:eastAsia="宋体" w:cs="宋体"/>
                <w:color w:val="auto"/>
                <w:kern w:val="0"/>
                <w:sz w:val="21"/>
                <w:szCs w:val="21"/>
                <w:highlight w:val="none"/>
                <w:u w:val="none"/>
                <w:vertAlign w:val="baseline"/>
                <w:lang w:val="en-US" w:eastAsia="zh-CN"/>
              </w:rPr>
              <w:t>以及专用合同条款明示或暗示的所有责任、义务和风险。投标人的投标报价视为是一个有经验的投标人，在对工程充分了解及对风险充分估计后所作的完备报价。</w:t>
            </w:r>
          </w:p>
          <w:p w14:paraId="48684DBD">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color w:val="auto"/>
                <w:szCs w:val="21"/>
                <w:highlight w:val="none"/>
              </w:rPr>
            </w:pPr>
            <w:r>
              <w:rPr>
                <w:rFonts w:hint="eastAsia" w:ascii="宋体" w:hAnsi="宋体" w:eastAsia="宋体" w:cs="宋体"/>
                <w:caps w:val="0"/>
                <w:smallCaps w:val="0"/>
                <w:color w:val="auto"/>
                <w:sz w:val="21"/>
                <w:szCs w:val="21"/>
                <w:lang w:val="en-US" w:eastAsia="zh-CN"/>
              </w:rPr>
              <w:t>5.招标人如果有暂列金额、暂估价等，投标人不得修改，否则，将被认定为废标。</w:t>
            </w:r>
            <w:r>
              <w:rPr>
                <w:rFonts w:hint="eastAsia" w:ascii="宋体" w:hAnsi="宋体"/>
                <w:color w:val="auto"/>
                <w:szCs w:val="21"/>
                <w:highlight w:val="none"/>
              </w:rPr>
              <w:t xml:space="preserve"> </w:t>
            </w:r>
          </w:p>
          <w:p w14:paraId="01924D32">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cs="宋体"/>
                <w:color w:val="auto"/>
                <w:sz w:val="21"/>
                <w:szCs w:val="21"/>
                <w:highlight w:val="none"/>
                <w:lang w:val="en-US" w:eastAsia="zh-CN"/>
              </w:rPr>
              <w:t>投标人投标</w:t>
            </w:r>
            <w:r>
              <w:rPr>
                <w:rFonts w:hint="eastAsia" w:ascii="宋体" w:hAnsi="宋体" w:eastAsia="宋体" w:cs="宋体"/>
                <w:color w:val="auto"/>
                <w:sz w:val="21"/>
                <w:szCs w:val="21"/>
                <w:highlight w:val="none"/>
              </w:rPr>
              <w:t>报价</w:t>
            </w:r>
            <w:r>
              <w:rPr>
                <w:rFonts w:hint="eastAsia" w:ascii="宋体" w:hAnsi="宋体" w:cs="宋体"/>
                <w:color w:val="auto"/>
                <w:sz w:val="21"/>
                <w:szCs w:val="21"/>
                <w:highlight w:val="none"/>
                <w:lang w:eastAsia="zh-CN"/>
              </w:rPr>
              <w:t>的</w:t>
            </w:r>
            <w:r>
              <w:rPr>
                <w:rFonts w:hint="eastAsia" w:ascii="宋体" w:hAnsi="宋体" w:cs="宋体"/>
                <w:color w:val="auto"/>
                <w:sz w:val="21"/>
                <w:szCs w:val="21"/>
                <w:highlight w:val="none"/>
                <w:lang w:val="en-US" w:eastAsia="zh-CN"/>
              </w:rPr>
              <w:t>特别说明:</w:t>
            </w:r>
          </w:p>
          <w:p w14:paraId="0DE3EDC4">
            <w:pPr>
              <w:keepNext w:val="0"/>
              <w:keepLines w:val="0"/>
              <w:pageBreakBefore w:val="0"/>
              <w:kinsoku/>
              <w:wordWrap/>
              <w:overflowPunct/>
              <w:topLinePunct w:val="0"/>
              <w:bidi w:val="0"/>
              <w:snapToGrid w:val="0"/>
              <w:spacing w:line="360" w:lineRule="auto"/>
              <w:ind w:firstLine="422" w:firstLineChars="200"/>
              <w:textAlignment w:val="auto"/>
              <w:rPr>
                <w:rFonts w:hint="eastAsia" w:ascii="宋体"/>
                <w:b/>
                <w:bCs/>
                <w:color w:val="auto"/>
                <w:szCs w:val="21"/>
                <w:highlight w:val="none"/>
                <w:u w:val="none"/>
                <w:lang w:val="en-US" w:eastAsia="zh-CN"/>
              </w:rPr>
            </w:pPr>
            <w:r>
              <w:rPr>
                <w:rFonts w:hint="eastAsia" w:ascii="宋体"/>
                <w:b/>
                <w:bCs/>
                <w:color w:val="auto"/>
                <w:szCs w:val="21"/>
                <w:highlight w:val="none"/>
                <w:u w:val="none"/>
                <w:lang w:val="en-US" w:eastAsia="zh-CN"/>
              </w:rPr>
              <w:t>以下义务、责任和风险可能产生的</w:t>
            </w:r>
            <w:r>
              <w:rPr>
                <w:rFonts w:hint="eastAsia" w:ascii="宋体"/>
                <w:b/>
                <w:bCs/>
                <w:color w:val="auto"/>
                <w:szCs w:val="21"/>
                <w:highlight w:val="none"/>
                <w:u w:val="none"/>
              </w:rPr>
              <w:t>相关费用</w:t>
            </w:r>
            <w:r>
              <w:rPr>
                <w:rFonts w:hint="eastAsia" w:ascii="宋体"/>
                <w:b/>
                <w:bCs/>
                <w:color w:val="auto"/>
                <w:szCs w:val="21"/>
                <w:highlight w:val="none"/>
                <w:u w:val="none"/>
                <w:lang w:val="en-US" w:eastAsia="zh-CN"/>
              </w:rPr>
              <w:t>投标人应综合考虑将其纳入到综合报价中。</w:t>
            </w:r>
          </w:p>
          <w:p w14:paraId="1D8B559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6.1</w:t>
            </w:r>
            <w:r>
              <w:rPr>
                <w:rFonts w:hint="eastAsia" w:ascii="宋体" w:hAnsi="宋体" w:eastAsia="宋体" w:cs="宋体"/>
                <w:color w:val="000000" w:themeColor="text1"/>
                <w:sz w:val="21"/>
                <w:szCs w:val="21"/>
                <w:highlight w:val="none"/>
                <w14:textFill>
                  <w14:solidFill>
                    <w14:schemeClr w14:val="tx1"/>
                  </w14:solidFill>
                </w14:textFill>
              </w:rPr>
              <w:t>投标人应自行踏勘以充分了解位置、地质情况、进出场道路、水电气现状、储存空间、装卸限制、行车干扰及任何其它足以影响承包价格的情况，任何因忽视上述情况而导致的索赔或工期延长申请将不获批准，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投标人</w:t>
            </w:r>
            <w:r>
              <w:rPr>
                <w:rFonts w:hint="eastAsia" w:ascii="宋体" w:hAnsi="宋体" w:eastAsia="宋体" w:cs="宋体"/>
                <w:color w:val="000000" w:themeColor="text1"/>
                <w:sz w:val="21"/>
                <w:szCs w:val="21"/>
                <w:highlight w:val="none"/>
                <w14:textFill>
                  <w14:solidFill>
                    <w14:schemeClr w14:val="tx1"/>
                  </w14:solidFill>
                </w14:textFill>
              </w:rPr>
              <w:t>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中标后</w:t>
            </w:r>
            <w:r>
              <w:rPr>
                <w:rFonts w:hint="eastAsia" w:ascii="宋体" w:hAnsi="宋体" w:eastAsia="宋体" w:cs="宋体"/>
                <w:color w:val="000000" w:themeColor="text1"/>
                <w:szCs w:val="21"/>
                <w:highlight w:val="none"/>
                <w14:textFill>
                  <w14:solidFill>
                    <w14:schemeClr w14:val="tx1"/>
                  </w14:solidFill>
                </w14:textFill>
              </w:rPr>
              <w:t>不得以不完全了解现场情况、</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人提供的</w:t>
            </w:r>
            <w:r>
              <w:rPr>
                <w:rFonts w:hint="eastAsia" w:ascii="宋体" w:hAnsi="宋体" w:eastAsia="宋体" w:cs="宋体"/>
                <w:color w:val="000000" w:themeColor="text1"/>
                <w:szCs w:val="21"/>
                <w:highlight w:val="none"/>
                <w:lang w:val="en-US" w:eastAsia="zh-CN"/>
                <w14:textFill>
                  <w14:solidFill>
                    <w14:schemeClr w14:val="tx1"/>
                  </w14:solidFill>
                </w14:textFill>
              </w:rPr>
              <w:t>要求及其他相关资料</w:t>
            </w:r>
            <w:r>
              <w:rPr>
                <w:rFonts w:hint="eastAsia" w:ascii="宋体" w:hAnsi="宋体" w:eastAsia="宋体" w:cs="宋体"/>
                <w:color w:val="000000" w:themeColor="text1"/>
                <w:szCs w:val="21"/>
                <w:highlight w:val="none"/>
                <w14:textFill>
                  <w14:solidFill>
                    <w14:schemeClr w14:val="tx1"/>
                  </w14:solidFill>
                </w14:textFill>
              </w:rPr>
              <w:t>与实际有差异为由，提出额外款项或延长</w:t>
            </w:r>
            <w:r>
              <w:rPr>
                <w:rFonts w:hint="eastAsia" w:ascii="宋体" w:hAnsi="宋体" w:eastAsia="宋体" w:cs="宋体"/>
                <w:color w:val="000000" w:themeColor="text1"/>
                <w:szCs w:val="21"/>
                <w:highlight w:val="none"/>
                <w:lang w:val="en-US" w:eastAsia="zh-CN"/>
                <w14:textFill>
                  <w14:solidFill>
                    <w14:schemeClr w14:val="tx1"/>
                  </w14:solidFill>
                </w14:textFill>
              </w:rPr>
              <w:t>工期的要求</w:t>
            </w:r>
            <w:r>
              <w:rPr>
                <w:rFonts w:hint="eastAsia" w:ascii="宋体" w:hAnsi="宋体" w:eastAsia="宋体" w:cs="宋体"/>
                <w:color w:val="000000" w:themeColor="text1"/>
                <w:szCs w:val="21"/>
                <w:highlight w:val="none"/>
                <w:lang w:eastAsia="zh-CN"/>
                <w14:textFill>
                  <w14:solidFill>
                    <w14:schemeClr w14:val="tx1"/>
                  </w14:solidFill>
                </w14:textFill>
              </w:rPr>
              <w:t>。</w:t>
            </w:r>
          </w:p>
          <w:p w14:paraId="29706BED">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14:textFill>
                  <w14:solidFill>
                    <w14:schemeClr w14:val="tx1"/>
                  </w14:solidFill>
                </w14:textFill>
              </w:rPr>
              <w:t>由中标人采购供应</w:t>
            </w:r>
            <w:r>
              <w:rPr>
                <w:rFonts w:hint="eastAsia" w:ascii="宋体" w:hAnsi="宋体" w:eastAsia="宋体" w:cs="宋体"/>
                <w:color w:val="000000" w:themeColor="text1"/>
                <w:sz w:val="21"/>
                <w:szCs w:val="21"/>
                <w:highlight w:val="none"/>
                <w:lang w:eastAsia="zh-CN"/>
                <w14:textFill>
                  <w14:solidFill>
                    <w14:schemeClr w14:val="tx1"/>
                  </w14:solidFill>
                </w14:textFill>
              </w:rPr>
              <w:t>的</w:t>
            </w:r>
            <w:r>
              <w:rPr>
                <w:rFonts w:hint="eastAsia" w:ascii="宋体" w:hAnsi="宋体" w:eastAsia="宋体" w:cs="宋体"/>
                <w:color w:val="000000" w:themeColor="text1"/>
                <w:sz w:val="21"/>
                <w:szCs w:val="21"/>
                <w:highlight w:val="none"/>
                <w14:textFill>
                  <w14:solidFill>
                    <w14:schemeClr w14:val="tx1"/>
                  </w14:solidFill>
                </w14:textFill>
              </w:rPr>
              <w:t>材料、设备必须符合国家规范标准及设计文件、技术参数及招标文件要求，并提供相应合格证明资料、质保书、检测报告等品质证明材料，不得使用不达标或国家明令淘汰的产品。</w:t>
            </w:r>
          </w:p>
          <w:p w14:paraId="17D585CE">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 xml:space="preserve"> </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过程中的材料损耗、消耗，包括</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中试验用材料损耗和费用等相关费用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均由</w:t>
            </w:r>
            <w:r>
              <w:rPr>
                <w:rFonts w:hint="eastAsia" w:ascii="宋体" w:hAnsi="宋体" w:eastAsia="宋体" w:cs="宋体"/>
                <w:color w:val="000000" w:themeColor="text1"/>
                <w:sz w:val="21"/>
                <w:szCs w:val="21"/>
                <w:highlight w:val="none"/>
                <w14:textFill>
                  <w14:solidFill>
                    <w14:schemeClr w14:val="tx1"/>
                  </w14:solidFill>
                </w14:textFill>
              </w:rPr>
              <w:t>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BFA87D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材料</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设备</w:t>
            </w:r>
            <w:r>
              <w:rPr>
                <w:rFonts w:hint="eastAsia" w:ascii="宋体" w:hAnsi="宋体" w:eastAsia="宋体" w:cs="宋体"/>
                <w:color w:val="000000" w:themeColor="text1"/>
                <w:sz w:val="21"/>
                <w:szCs w:val="21"/>
                <w:highlight w:val="none"/>
                <w14:textFill>
                  <w14:solidFill>
                    <w14:schemeClr w14:val="tx1"/>
                  </w14:solidFill>
                </w14:textFill>
              </w:rPr>
              <w:t>进出场可能出现二次或多次转运，由此产生的相关费用由投标人自行考虑在投标报价中，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79A73C10">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lang w:val="en-US" w:eastAsia="zh-CN"/>
                <w14:textFill>
                  <w14:solidFill>
                    <w14:schemeClr w14:val="tx1"/>
                  </w14:solidFill>
                </w14:textFill>
              </w:rPr>
              <w:t>与</w:t>
            </w:r>
            <w:r>
              <w:rPr>
                <w:rFonts w:hint="eastAsia" w:ascii="宋体" w:hAnsi="宋体" w:eastAsia="宋体" w:cs="宋体"/>
                <w:color w:val="000000" w:themeColor="text1"/>
                <w:szCs w:val="21"/>
                <w:highlight w:val="none"/>
                <w:lang w:val="en-US" w:eastAsia="zh-CN"/>
                <w14:textFill>
                  <w14:solidFill>
                    <w14:schemeClr w14:val="tx1"/>
                  </w14:solidFill>
                </w14:textFill>
              </w:rPr>
              <w:t>该工程平行发包的其他</w:t>
            </w:r>
            <w:r>
              <w:rPr>
                <w:rFonts w:hint="eastAsia" w:ascii="宋体" w:hAnsi="宋体" w:cs="宋体"/>
                <w:color w:val="000000" w:themeColor="text1"/>
                <w:szCs w:val="21"/>
                <w:highlight w:val="none"/>
                <w:lang w:val="en-US" w:eastAsia="zh-CN"/>
                <w14:textFill>
                  <w14:solidFill>
                    <w14:schemeClr w14:val="tx1"/>
                  </w14:solidFill>
                </w14:textFill>
              </w:rPr>
              <w:t>项目</w:t>
            </w:r>
            <w:r>
              <w:rPr>
                <w:rFonts w:hint="eastAsia" w:ascii="宋体" w:hAnsi="宋体" w:eastAsia="宋体" w:cs="宋体"/>
                <w:color w:val="000000" w:themeColor="text1"/>
                <w:szCs w:val="21"/>
                <w:highlight w:val="none"/>
                <w:lang w:val="en-US" w:eastAsia="zh-CN"/>
                <w14:textFill>
                  <w14:solidFill>
                    <w14:schemeClr w14:val="tx1"/>
                  </w14:solidFill>
                </w14:textFill>
              </w:rPr>
              <w:t>承包人</w:t>
            </w:r>
            <w:r>
              <w:rPr>
                <w:rFonts w:hint="eastAsia" w:ascii="宋体" w:hAnsi="宋体" w:eastAsia="宋体" w:cs="宋体"/>
                <w:color w:val="000000" w:themeColor="text1"/>
                <w:sz w:val="21"/>
                <w:szCs w:val="21"/>
                <w:highlight w:val="none"/>
                <w14:textFill>
                  <w14:solidFill>
                    <w14:schemeClr w14:val="tx1"/>
                  </w14:solidFill>
                </w14:textFill>
              </w:rPr>
              <w:t>存在同时实施情况，同时实施时的施工难度、相互干扰、工期延误及施工降效等产生的相关费用投标人自行考虑在投标报价中，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A598B6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因投标人能力不足，招标人选择重新委托发包的工作内容所产生的所有费用均由投标人承担，且因此导致的工期、费用索赔均不会获批，相关费用投标人自行考虑在投标报价中，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4F4ECB3C">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因</w:t>
            </w:r>
            <w:r>
              <w:rPr>
                <w:rFonts w:hint="eastAsia" w:ascii="宋体" w:hAnsi="宋体" w:eastAsia="宋体" w:cs="宋体"/>
                <w:color w:val="000000" w:themeColor="text1"/>
                <w:kern w:val="0"/>
                <w:szCs w:val="21"/>
                <w:highlight w:val="none"/>
                <w14:textFill>
                  <w14:solidFill>
                    <w14:schemeClr w14:val="tx1"/>
                  </w14:solidFill>
                </w14:textFill>
              </w:rPr>
              <w:t>建设期</w:t>
            </w:r>
            <w:r>
              <w:rPr>
                <w:rFonts w:hint="eastAsia" w:ascii="宋体" w:hAnsi="宋体" w:eastAsia="宋体" w:cs="宋体"/>
                <w:color w:val="000000" w:themeColor="text1"/>
                <w:sz w:val="21"/>
                <w:szCs w:val="21"/>
                <w:highlight w:val="none"/>
                <w14:textFill>
                  <w14:solidFill>
                    <w14:schemeClr w14:val="tx1"/>
                  </w14:solidFill>
                </w14:textFill>
              </w:rPr>
              <w:t>内停水停电导致的工期索赔将不会获批，投标人自行考虑在投标报价中，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277736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因满足</w:t>
            </w:r>
            <w:r>
              <w:rPr>
                <w:rFonts w:hint="eastAsia" w:ascii="宋体" w:hAnsi="宋体" w:eastAsia="宋体" w:cs="宋体"/>
                <w:color w:val="000000" w:themeColor="text1"/>
                <w:sz w:val="21"/>
                <w:szCs w:val="21"/>
                <w:highlight w:val="none"/>
                <w:lang w:val="en-US" w:eastAsia="zh-CN"/>
                <w14:textFill>
                  <w14:solidFill>
                    <w14:schemeClr w14:val="tx1"/>
                  </w14:solidFill>
                </w14:textFill>
              </w:rPr>
              <w:t>本项目</w:t>
            </w:r>
            <w:r>
              <w:rPr>
                <w:rFonts w:hint="eastAsia" w:ascii="宋体" w:hAnsi="宋体" w:eastAsia="宋体" w:cs="宋体"/>
                <w:color w:val="000000" w:themeColor="text1"/>
                <w:sz w:val="21"/>
                <w:szCs w:val="21"/>
                <w:highlight w:val="none"/>
                <w14:textFill>
                  <w14:solidFill>
                    <w14:schemeClr w14:val="tx1"/>
                  </w14:solidFill>
                </w14:textFill>
              </w:rPr>
              <w:t>工期需求所产生的抢工</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赶工</w:t>
            </w:r>
            <w:r>
              <w:rPr>
                <w:rFonts w:hint="eastAsia" w:ascii="宋体" w:hAnsi="宋体" w:eastAsia="宋体" w:cs="宋体"/>
                <w:color w:val="000000" w:themeColor="text1"/>
                <w:sz w:val="21"/>
                <w:szCs w:val="21"/>
                <w:highlight w:val="none"/>
                <w14:textFill>
                  <w14:solidFill>
                    <w14:schemeClr w14:val="tx1"/>
                  </w14:solidFill>
                </w14:textFill>
              </w:rPr>
              <w:t>措施费用由投标人自行考虑在投标报价中，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w:t>
            </w:r>
          </w:p>
          <w:p w14:paraId="39CC529C">
            <w:pPr>
              <w:keepNext w:val="0"/>
              <w:keepLines w:val="0"/>
              <w:pageBreakBefore w:val="0"/>
              <w:kinsoku/>
              <w:wordWrap/>
              <w:overflowPunct/>
              <w:topLinePunct w:val="0"/>
              <w:bidi w:val="0"/>
              <w:snapToGrid w:val="0"/>
              <w:spacing w:line="360" w:lineRule="auto"/>
              <w:ind w:firstLine="420" w:firstLineChars="200"/>
              <w:textAlignment w:val="auto"/>
              <w:rPr>
                <w:color w:val="auto"/>
              </w:rPr>
            </w:pPr>
            <w:r>
              <w:rPr>
                <w:rFonts w:hint="eastAsia" w:ascii="宋体" w:hAnsi="宋体" w:eastAsia="宋体" w:cs="宋体"/>
                <w:color w:val="000000" w:themeColor="text1"/>
                <w:szCs w:val="21"/>
                <w:highlight w:val="none"/>
                <w:lang w:val="en-US" w:eastAsia="zh-CN"/>
                <w14:textFill>
                  <w14:solidFill>
                    <w14:schemeClr w14:val="tx1"/>
                  </w14:solidFill>
                </w14:textFill>
              </w:rPr>
              <w:t>6.</w:t>
            </w:r>
            <w:r>
              <w:rPr>
                <w:rFonts w:hint="eastAsia" w:ascii="宋体" w:hAnsi="宋体" w:cs="宋体"/>
                <w:color w:val="000000" w:themeColor="text1"/>
                <w:szCs w:val="21"/>
                <w:highlight w:val="none"/>
                <w:lang w:val="en-US" w:eastAsia="zh-CN"/>
                <w14:textFill>
                  <w14:solidFill>
                    <w14:schemeClr w14:val="tx1"/>
                  </w14:solidFill>
                </w14:textFill>
              </w:rPr>
              <w:t>9</w:t>
            </w:r>
            <w:r>
              <w:rPr>
                <w:rFonts w:hint="eastAsia" w:ascii="宋体" w:hAnsi="宋体" w:eastAsia="宋体" w:cs="宋体"/>
                <w:color w:val="000000" w:themeColor="text1"/>
                <w:kern w:val="0"/>
                <w:szCs w:val="21"/>
                <w:highlight w:val="none"/>
                <w:lang w:val="en-US" w:eastAsia="zh-CN"/>
                <w14:textFill>
                  <w14:solidFill>
                    <w14:schemeClr w14:val="tx1"/>
                  </w14:solidFill>
                </w14:textFill>
              </w:rPr>
              <w:t>投标人</w:t>
            </w:r>
            <w:r>
              <w:rPr>
                <w:rFonts w:hint="eastAsia" w:ascii="宋体" w:hAnsi="宋体" w:eastAsia="宋体" w:cs="宋体"/>
                <w:color w:val="000000" w:themeColor="text1"/>
                <w:szCs w:val="21"/>
                <w:highlight w:val="none"/>
                <w14:textFill>
                  <w14:solidFill>
                    <w14:schemeClr w14:val="tx1"/>
                  </w14:solidFill>
                </w14:textFill>
              </w:rPr>
              <w:t>未</w:t>
            </w:r>
            <w:r>
              <w:rPr>
                <w:rFonts w:hint="eastAsia" w:ascii="宋体" w:hAnsi="宋体" w:eastAsia="宋体" w:cs="宋体"/>
                <w:color w:val="000000" w:themeColor="text1"/>
                <w:szCs w:val="21"/>
                <w:highlight w:val="none"/>
                <w:lang w:val="en-US" w:eastAsia="zh-CN"/>
                <w14:textFill>
                  <w14:solidFill>
                    <w14:schemeClr w14:val="tx1"/>
                  </w14:solidFill>
                </w14:textFill>
              </w:rPr>
              <w:t>完全</w:t>
            </w:r>
            <w:r>
              <w:rPr>
                <w:rFonts w:hint="eastAsia" w:ascii="宋体" w:hAnsi="宋体" w:eastAsia="宋体" w:cs="宋体"/>
                <w:color w:val="000000" w:themeColor="text1"/>
                <w:szCs w:val="21"/>
                <w:highlight w:val="none"/>
                <w14:textFill>
                  <w14:solidFill>
                    <w14:schemeClr w14:val="tx1"/>
                  </w14:solidFill>
                </w14:textFill>
              </w:rPr>
              <w:t>履行</w:t>
            </w:r>
            <w:r>
              <w:rPr>
                <w:rFonts w:hint="eastAsia" w:ascii="宋体" w:hAnsi="宋体" w:eastAsia="宋体" w:cs="宋体"/>
                <w:color w:val="000000" w:themeColor="text1"/>
                <w:szCs w:val="21"/>
                <w:highlight w:val="none"/>
                <w:lang w:val="en-US" w:eastAsia="zh-CN"/>
                <w14:textFill>
                  <w14:solidFill>
                    <w14:schemeClr w14:val="tx1"/>
                  </w14:solidFill>
                </w14:textFill>
              </w:rPr>
              <w:t>该</w:t>
            </w:r>
            <w:r>
              <w:rPr>
                <w:rFonts w:hint="eastAsia" w:ascii="宋体" w:hAnsi="宋体" w:eastAsia="宋体" w:cs="宋体"/>
                <w:color w:val="000000" w:themeColor="text1"/>
                <w:szCs w:val="21"/>
                <w:highlight w:val="none"/>
                <w14:textFill>
                  <w14:solidFill>
                    <w14:schemeClr w14:val="tx1"/>
                  </w14:solidFill>
                </w14:textFill>
              </w:rPr>
              <w:t>合同质量、工期义务以及其他合同义务或法律义务</w:t>
            </w:r>
            <w:r>
              <w:rPr>
                <w:rFonts w:hint="eastAsia" w:ascii="宋体" w:hAnsi="宋体" w:eastAsia="宋体" w:cs="宋体"/>
                <w:color w:val="000000" w:themeColor="text1"/>
                <w:szCs w:val="21"/>
                <w:highlight w:val="none"/>
                <w:lang w:val="en-US" w:eastAsia="zh-CN"/>
                <w14:textFill>
                  <w14:solidFill>
                    <w14:schemeClr w14:val="tx1"/>
                  </w14:solidFill>
                </w14:textFill>
              </w:rPr>
              <w:t>等</w:t>
            </w:r>
            <w:r>
              <w:rPr>
                <w:rFonts w:hint="eastAsia" w:ascii="宋体" w:hAnsi="宋体" w:eastAsia="宋体" w:cs="宋体"/>
                <w:color w:val="000000" w:themeColor="text1"/>
                <w:szCs w:val="21"/>
                <w:highlight w:val="none"/>
                <w14:textFill>
                  <w14:solidFill>
                    <w14:schemeClr w14:val="tx1"/>
                  </w14:solidFill>
                </w14:textFill>
              </w:rPr>
              <w:t>，导致</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人主动发起或被动参与到与</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人或任何第三方的诉讼或非诉讼争议解决程序中的，</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人除承担相应的违约金、赔偿金外，还应当承担</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人为维护其自身权益而支付的律师费、诉讼费及保全费等费用（其中律师的收费标准以重庆市司法局和重庆市物价局规定的现行收费标准为准）。</w:t>
            </w:r>
          </w:p>
        </w:tc>
      </w:tr>
      <w:tr w14:paraId="69A314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430BEA1">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14:paraId="610DF5DE">
            <w:pPr>
              <w:snapToGrid w:val="0"/>
              <w:spacing w:line="400" w:lineRule="exact"/>
              <w:jc w:val="center"/>
              <w:rPr>
                <w:rFonts w:ascii="宋体" w:hAnsi="宋体"/>
                <w:kern w:val="0"/>
                <w:szCs w:val="21"/>
              </w:rPr>
            </w:pPr>
            <w:r>
              <w:rPr>
                <w:rFonts w:ascii="宋体" w:hAnsi="宋体"/>
                <w:kern w:val="0"/>
                <w:szCs w:val="21"/>
              </w:rPr>
              <w:t>投标有效期</w:t>
            </w:r>
          </w:p>
        </w:tc>
        <w:tc>
          <w:tcPr>
            <w:tcW w:w="6490" w:type="dxa"/>
            <w:vAlign w:val="center"/>
          </w:tcPr>
          <w:p w14:paraId="0415116A">
            <w:pPr>
              <w:snapToGrid w:val="0"/>
              <w:spacing w:line="400" w:lineRule="exact"/>
              <w:ind w:firstLine="420" w:firstLineChars="200"/>
              <w:rPr>
                <w:rFonts w:ascii="宋体" w:hAnsi="宋体"/>
                <w:color w:val="auto"/>
                <w:szCs w:val="21"/>
              </w:rPr>
            </w:pPr>
            <w:r>
              <w:rPr>
                <w:rFonts w:hint="eastAsia" w:ascii="宋体" w:hAnsi="宋体"/>
                <w:color w:val="auto"/>
                <w:szCs w:val="21"/>
                <w:u w:val="single"/>
                <w:lang w:val="en-US" w:eastAsia="zh-CN"/>
              </w:rPr>
              <w:t>100</w:t>
            </w:r>
            <w:r>
              <w:rPr>
                <w:rFonts w:ascii="宋体" w:hAnsi="宋体"/>
                <w:color w:val="auto"/>
                <w:szCs w:val="21"/>
                <w:u w:val="single"/>
              </w:rPr>
              <w:t xml:space="preserve"> </w:t>
            </w:r>
            <w:r>
              <w:rPr>
                <w:rFonts w:ascii="宋体" w:hAnsi="宋体"/>
                <w:color w:val="auto"/>
                <w:szCs w:val="21"/>
              </w:rPr>
              <w:t>日历天（从提交投标文件截止日起计算）</w:t>
            </w:r>
          </w:p>
        </w:tc>
      </w:tr>
      <w:tr w14:paraId="614E61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1491259">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14:paraId="71860BB4">
            <w:pPr>
              <w:snapToGrid w:val="0"/>
              <w:spacing w:line="400" w:lineRule="exact"/>
              <w:jc w:val="center"/>
              <w:rPr>
                <w:rFonts w:ascii="宋体" w:hAnsi="宋体"/>
                <w:kern w:val="0"/>
                <w:szCs w:val="21"/>
              </w:rPr>
            </w:pPr>
            <w:r>
              <w:rPr>
                <w:rFonts w:ascii="宋体" w:hAnsi="宋体"/>
                <w:kern w:val="0"/>
                <w:szCs w:val="21"/>
              </w:rPr>
              <w:t>投标保证金</w:t>
            </w:r>
          </w:p>
        </w:tc>
        <w:tc>
          <w:tcPr>
            <w:tcW w:w="6490" w:type="dxa"/>
            <w:vAlign w:val="center"/>
          </w:tcPr>
          <w:p w14:paraId="7F33CEAE">
            <w:pPr>
              <w:snapToGrid w:val="0"/>
              <w:spacing w:line="400" w:lineRule="exact"/>
              <w:ind w:firstLine="420" w:firstLineChars="200"/>
              <w:rPr>
                <w:color w:val="auto"/>
              </w:rPr>
            </w:pPr>
            <w:r>
              <w:rPr>
                <w:color w:val="auto"/>
              </w:rPr>
              <w:t>是否要求投标人递交投标保证金：要求</w:t>
            </w:r>
          </w:p>
          <w:p w14:paraId="41619C49">
            <w:pPr>
              <w:snapToGrid w:val="0"/>
              <w:spacing w:line="400" w:lineRule="exact"/>
              <w:ind w:firstLine="420" w:firstLineChars="200"/>
              <w:rPr>
                <w:color w:val="auto"/>
              </w:rPr>
            </w:pPr>
            <w:r>
              <w:rPr>
                <w:color w:val="auto"/>
              </w:rPr>
              <w:t>一、</w:t>
            </w:r>
            <w:r>
              <w:rPr>
                <w:rFonts w:hint="eastAsia"/>
                <w:color w:val="auto"/>
              </w:rPr>
              <w:t>以</w:t>
            </w:r>
            <w:r>
              <w:rPr>
                <w:rFonts w:hint="eastAsia"/>
                <w:color w:val="auto"/>
                <w:lang w:val="en-US" w:eastAsia="zh-CN"/>
              </w:rPr>
              <w:t>转账支票或电汇</w:t>
            </w:r>
            <w:r>
              <w:rPr>
                <w:rFonts w:hint="eastAsia"/>
                <w:color w:val="auto"/>
              </w:rPr>
              <w:t>形式交纳投标保证金</w:t>
            </w:r>
          </w:p>
          <w:p w14:paraId="7FDF96EB">
            <w:pPr>
              <w:snapToGrid w:val="0"/>
              <w:spacing w:line="400" w:lineRule="exact"/>
              <w:ind w:firstLine="420" w:firstLineChars="200"/>
              <w:rPr>
                <w:color w:val="auto"/>
              </w:rPr>
            </w:pPr>
            <w:r>
              <w:rPr>
                <w:rFonts w:hint="eastAsia"/>
                <w:color w:val="auto"/>
              </w:rPr>
              <w:t>1. 投标保证金交款形式及要求：投标人从企业的基本账户（开户行）在投标截止时间前通过转账支票直接划付或以电汇方式直接划付至指定的投标保证金账户。若投标截止时间延期，则投标保证金提交的截止时间和投标截止时间应当保持一致。不满足上述要求的投标保证金视为无效。</w:t>
            </w:r>
          </w:p>
          <w:p w14:paraId="55A64BD8">
            <w:pPr>
              <w:snapToGrid w:val="0"/>
              <w:spacing w:line="400" w:lineRule="exact"/>
              <w:ind w:firstLine="420" w:firstLineChars="200"/>
              <w:rPr>
                <w:rFonts w:hint="eastAsia"/>
                <w:color w:val="auto"/>
              </w:rPr>
            </w:pPr>
            <w:r>
              <w:rPr>
                <w:rFonts w:hint="eastAsia"/>
                <w:color w:val="auto"/>
              </w:rPr>
              <w:t>投标人自行考虑汇入时间风险，如同城汇入、异地汇入、跨行汇入的时间要求。</w:t>
            </w:r>
          </w:p>
          <w:p w14:paraId="33CBA59B">
            <w:pPr>
              <w:numPr>
                <w:ilvl w:val="0"/>
                <w:numId w:val="1"/>
              </w:numPr>
              <w:snapToGrid w:val="0"/>
              <w:spacing w:line="400" w:lineRule="exact"/>
              <w:ind w:firstLine="420" w:firstLineChars="200"/>
              <w:rPr>
                <w:rFonts w:hint="eastAsia"/>
                <w:color w:val="auto"/>
              </w:rPr>
            </w:pPr>
            <w:r>
              <w:rPr>
                <w:rFonts w:hint="eastAsia"/>
                <w:color w:val="auto"/>
              </w:rPr>
              <w:t xml:space="preserve">以转账支票或电汇形式提交投标保证金的金额： </w:t>
            </w:r>
            <w:r>
              <w:rPr>
                <w:rFonts w:hint="eastAsia" w:ascii="宋体" w:hAnsi="宋体" w:eastAsia="宋体" w:cs="宋体"/>
                <w:color w:val="FF0000"/>
              </w:rPr>
              <w:t>10万元整（人民币）</w:t>
            </w:r>
            <w:r>
              <w:rPr>
                <w:rFonts w:hint="eastAsia"/>
                <w:color w:val="auto"/>
              </w:rPr>
              <w:t>。</w:t>
            </w:r>
          </w:p>
          <w:p w14:paraId="49A5C686">
            <w:pPr>
              <w:numPr>
                <w:ilvl w:val="0"/>
                <w:numId w:val="1"/>
              </w:numPr>
              <w:snapToGrid w:val="0"/>
              <w:spacing w:line="400" w:lineRule="exact"/>
              <w:ind w:left="0" w:leftChars="0" w:firstLine="420" w:firstLineChars="200"/>
              <w:rPr>
                <w:rFonts w:hint="eastAsia"/>
                <w:color w:val="auto"/>
              </w:rPr>
            </w:pPr>
            <w:r>
              <w:rPr>
                <w:rFonts w:hint="eastAsia"/>
                <w:color w:val="auto"/>
              </w:rPr>
              <w:t>投标保证金账户及账号：</w:t>
            </w:r>
          </w:p>
          <w:p w14:paraId="5C81B75C">
            <w:pPr>
              <w:numPr>
                <w:ilvl w:val="0"/>
                <w:numId w:val="0"/>
              </w:numPr>
              <w:snapToGrid w:val="0"/>
              <w:spacing w:line="400" w:lineRule="exact"/>
              <w:ind w:leftChars="200"/>
              <w:rPr>
                <w:rFonts w:hint="eastAsia"/>
                <w:color w:val="auto"/>
              </w:rPr>
            </w:pPr>
            <w:r>
              <w:rPr>
                <w:rFonts w:hint="eastAsia"/>
                <w:color w:val="auto"/>
              </w:rPr>
              <w:t>户名：重庆市涪陵榨菜集团股份有限公司</w:t>
            </w:r>
          </w:p>
          <w:p w14:paraId="2E965644">
            <w:pPr>
              <w:numPr>
                <w:ilvl w:val="0"/>
                <w:numId w:val="0"/>
              </w:numPr>
              <w:snapToGrid w:val="0"/>
              <w:spacing w:line="400" w:lineRule="exact"/>
              <w:ind w:leftChars="200"/>
              <w:rPr>
                <w:rFonts w:hint="eastAsia"/>
                <w:color w:val="auto"/>
              </w:rPr>
            </w:pPr>
            <w:r>
              <w:rPr>
                <w:rFonts w:hint="eastAsia"/>
                <w:color w:val="auto"/>
              </w:rPr>
              <w:t>开户行：中信银行重庆涪陵支行</w:t>
            </w:r>
          </w:p>
          <w:p w14:paraId="589CF9CA">
            <w:pPr>
              <w:numPr>
                <w:ilvl w:val="0"/>
                <w:numId w:val="0"/>
              </w:numPr>
              <w:snapToGrid w:val="0"/>
              <w:spacing w:line="400" w:lineRule="exact"/>
              <w:ind w:leftChars="200"/>
              <w:rPr>
                <w:rFonts w:hint="eastAsia"/>
                <w:color w:val="auto"/>
              </w:rPr>
            </w:pPr>
            <w:r>
              <w:rPr>
                <w:rFonts w:hint="eastAsia"/>
                <w:color w:val="auto"/>
              </w:rPr>
              <w:t>账 号：7422010182100003830</w:t>
            </w:r>
          </w:p>
          <w:p w14:paraId="00C09586">
            <w:pPr>
              <w:numPr>
                <w:ilvl w:val="0"/>
                <w:numId w:val="0"/>
              </w:numPr>
              <w:snapToGrid w:val="0"/>
              <w:spacing w:line="400" w:lineRule="exact"/>
              <w:ind w:leftChars="200"/>
              <w:rPr>
                <w:rFonts w:hint="eastAsia"/>
                <w:color w:val="auto"/>
              </w:rPr>
            </w:pPr>
          </w:p>
          <w:p w14:paraId="50306FFD">
            <w:pPr>
              <w:snapToGrid w:val="0"/>
              <w:spacing w:line="400" w:lineRule="exact"/>
              <w:ind w:firstLine="420" w:firstLineChars="200"/>
              <w:rPr>
                <w:color w:val="auto"/>
              </w:rPr>
            </w:pPr>
            <w:r>
              <w:rPr>
                <w:rFonts w:hint="eastAsia"/>
                <w:color w:val="auto"/>
              </w:rPr>
              <w:t>投标保证金以开标现场展示的保证金交纳情况为准。</w:t>
            </w:r>
            <w:r>
              <w:rPr>
                <w:rFonts w:hint="eastAsia"/>
                <w:b/>
                <w:bCs/>
                <w:color w:val="auto"/>
              </w:rPr>
              <w:t>投标人须在投标文件资格审查部分“其他资料”中提供企业基本账户开户证明文件</w:t>
            </w:r>
            <w:r>
              <w:rPr>
                <w:rFonts w:hint="eastAsia"/>
                <w:color w:val="auto"/>
              </w:rPr>
              <w:t>。</w:t>
            </w:r>
          </w:p>
          <w:p w14:paraId="192A190C">
            <w:pPr>
              <w:snapToGrid w:val="0"/>
              <w:spacing w:line="400" w:lineRule="exact"/>
              <w:ind w:firstLine="420" w:firstLineChars="200"/>
              <w:rPr>
                <w:rFonts w:hint="eastAsia" w:eastAsia="宋体"/>
                <w:color w:val="auto"/>
                <w:lang w:eastAsia="zh-CN"/>
              </w:rPr>
            </w:pPr>
            <w:r>
              <w:rPr>
                <w:rFonts w:hint="eastAsia"/>
                <w:color w:val="auto"/>
              </w:rPr>
              <w:t>4</w:t>
            </w:r>
            <w:r>
              <w:rPr>
                <w:rFonts w:hint="eastAsia"/>
                <w:color w:val="auto"/>
                <w:lang w:val="en-US" w:eastAsia="zh-CN"/>
              </w:rPr>
              <w:t xml:space="preserve">. </w:t>
            </w:r>
            <w:r>
              <w:rPr>
                <w:rFonts w:hint="eastAsia"/>
                <w:color w:val="auto"/>
              </w:rPr>
              <w:t>投标人必须在付款凭证备注栏中注明是</w:t>
            </w:r>
            <w:r>
              <w:rPr>
                <w:rFonts w:hint="eastAsia" w:ascii="宋体" w:hAnsi="宋体" w:eastAsia="宋体" w:cs="宋体"/>
                <w:color w:val="auto"/>
              </w:rPr>
              <w:t>“：</w:t>
            </w:r>
            <w:r>
              <w:rPr>
                <w:rFonts w:hint="eastAsia" w:ascii="宋体" w:hAnsi="宋体" w:eastAsia="宋体" w:cs="宋体"/>
                <w:color w:val="auto"/>
                <w:u w:val="single"/>
              </w:rPr>
              <w:t>乌江榨菜</w:t>
            </w:r>
            <w:r>
              <w:rPr>
                <w:rFonts w:hint="eastAsia" w:ascii="宋体" w:hAnsi="宋体" w:cs="宋体"/>
                <w:color w:val="auto"/>
                <w:u w:val="single"/>
                <w:lang w:val="en-US" w:eastAsia="zh-CN"/>
              </w:rPr>
              <w:t>绿色智能化生产基地</w:t>
            </w:r>
            <w:r>
              <w:rPr>
                <w:rFonts w:hint="eastAsia" w:ascii="宋体" w:hAnsi="宋体" w:eastAsia="宋体" w:cs="宋体"/>
                <w:color w:val="auto"/>
                <w:u w:val="single"/>
              </w:rPr>
              <w:t>（一期）</w:t>
            </w:r>
            <w:r>
              <w:rPr>
                <w:rFonts w:hint="eastAsia" w:ascii="宋体" w:hAnsi="宋体" w:cs="宋体"/>
                <w:color w:val="auto"/>
                <w:u w:val="single"/>
                <w:lang w:val="en-US" w:eastAsia="zh-CN"/>
              </w:rPr>
              <w:t>6号</w:t>
            </w:r>
            <w:r>
              <w:rPr>
                <w:rFonts w:hint="eastAsia" w:ascii="宋体" w:hAnsi="宋体" w:eastAsia="宋体" w:cs="宋体"/>
                <w:color w:val="auto"/>
                <w:u w:val="single"/>
              </w:rPr>
              <w:t>车间</w:t>
            </w:r>
            <w:r>
              <w:rPr>
                <w:rFonts w:hint="eastAsia" w:ascii="宋体" w:hAnsi="宋体" w:cs="宋体"/>
                <w:color w:val="auto"/>
                <w:u w:val="single"/>
                <w:lang w:val="en-US" w:eastAsia="zh-CN"/>
              </w:rPr>
              <w:t>半固态复合调味料</w:t>
            </w:r>
            <w:r>
              <w:rPr>
                <w:rFonts w:hint="eastAsia" w:ascii="宋体" w:hAnsi="宋体" w:cs="宋体"/>
                <w:color w:val="auto"/>
                <w:u w:val="single"/>
                <w:lang w:eastAsia="zh-CN"/>
              </w:rPr>
              <w:t>生产线</w:t>
            </w:r>
            <w:r>
              <w:rPr>
                <w:rFonts w:hint="eastAsia" w:ascii="宋体" w:hAnsi="宋体" w:cs="宋体"/>
                <w:color w:val="auto"/>
                <w:u w:val="single"/>
                <w:lang w:val="en-US" w:eastAsia="zh-CN"/>
              </w:rPr>
              <w:t>定制设备</w:t>
            </w:r>
            <w:r>
              <w:rPr>
                <w:rFonts w:hint="eastAsia" w:ascii="宋体" w:hAnsi="宋体" w:eastAsia="宋体" w:cs="宋体"/>
                <w:color w:val="auto"/>
                <w:u w:val="single"/>
              </w:rPr>
              <w:t>采购</w:t>
            </w:r>
            <w:r>
              <w:rPr>
                <w:rFonts w:hint="eastAsia" w:ascii="宋体" w:hAnsi="宋体" w:cs="宋体"/>
                <w:color w:val="auto"/>
                <w:u w:val="single"/>
                <w:lang w:eastAsia="zh-CN"/>
              </w:rPr>
              <w:t>项目</w:t>
            </w:r>
            <w:r>
              <w:rPr>
                <w:rFonts w:hint="eastAsia" w:ascii="宋体" w:hAnsi="宋体" w:cs="宋体"/>
                <w:color w:val="auto"/>
                <w:u w:val="single"/>
                <w:lang w:val="en-US" w:eastAsia="zh-CN"/>
              </w:rPr>
              <w:t>投标保证金</w:t>
            </w:r>
            <w:r>
              <w:rPr>
                <w:rFonts w:hint="eastAsia" w:ascii="宋体" w:hAnsi="宋体" w:cs="宋体"/>
                <w:color w:val="auto"/>
                <w:u w:val="single"/>
                <w:lang w:eastAsia="zh-CN"/>
              </w:rPr>
              <w:t>”</w:t>
            </w:r>
            <w:r>
              <w:rPr>
                <w:rFonts w:hint="eastAsia" w:ascii="宋体" w:hAnsi="宋体" w:eastAsia="宋体" w:cs="宋体"/>
                <w:color w:val="auto"/>
                <w:u w:val="single"/>
              </w:rPr>
              <w:t xml:space="preserve"> </w:t>
            </w:r>
            <w:r>
              <w:rPr>
                <w:rFonts w:hint="eastAsia" w:ascii="宋体" w:hAnsi="宋体" w:eastAsia="宋体" w:cs="宋体"/>
                <w:color w:val="auto"/>
              </w:rPr>
              <w:t>。</w:t>
            </w:r>
            <w:r>
              <w:rPr>
                <w:rFonts w:hint="eastAsia" w:ascii="宋体" w:hAnsi="宋体" w:eastAsia="宋体" w:cs="宋体"/>
                <w:color w:val="000000" w:themeColor="text1"/>
                <w14:textFill>
                  <w14:solidFill>
                    <w14:schemeClr w14:val="tx1"/>
                  </w14:solidFill>
                </w14:textFill>
              </w:rPr>
              <w:t>项目名称可简写成：</w:t>
            </w:r>
            <w:r>
              <w:rPr>
                <w:rFonts w:hint="eastAsia" w:ascii="宋体" w:hAnsi="宋体" w:eastAsia="宋体" w:cs="宋体"/>
                <w:color w:val="000000" w:themeColor="text1"/>
                <w:u w:val="single"/>
                <w14:textFill>
                  <w14:solidFill>
                    <w14:schemeClr w14:val="tx1"/>
                  </w14:solidFill>
                </w14:textFill>
              </w:rPr>
              <w:t xml:space="preserve"> 乌江榨菜（一期）</w:t>
            </w:r>
            <w:r>
              <w:rPr>
                <w:rFonts w:hint="eastAsia" w:ascii="宋体" w:hAnsi="宋体" w:cs="宋体"/>
                <w:color w:val="000000" w:themeColor="text1"/>
                <w:u w:val="single"/>
                <w:lang w:val="en-US" w:eastAsia="zh-CN"/>
                <w14:textFill>
                  <w14:solidFill>
                    <w14:schemeClr w14:val="tx1"/>
                  </w14:solidFill>
                </w14:textFill>
              </w:rPr>
              <w:t>6号</w:t>
            </w:r>
            <w:r>
              <w:rPr>
                <w:rFonts w:hint="eastAsia" w:ascii="宋体" w:hAnsi="宋体" w:eastAsia="宋体" w:cs="宋体"/>
                <w:color w:val="000000" w:themeColor="text1"/>
                <w:u w:val="single"/>
                <w14:textFill>
                  <w14:solidFill>
                    <w14:schemeClr w14:val="tx1"/>
                  </w14:solidFill>
                </w14:textFill>
              </w:rPr>
              <w:t>车间</w:t>
            </w:r>
            <w:r>
              <w:rPr>
                <w:rFonts w:hint="eastAsia" w:ascii="宋体" w:hAnsi="宋体" w:cs="宋体"/>
                <w:color w:val="auto"/>
                <w:u w:val="single"/>
                <w:lang w:val="en-US" w:eastAsia="zh-CN"/>
              </w:rPr>
              <w:t>复合调味料</w:t>
            </w:r>
            <w:r>
              <w:rPr>
                <w:rFonts w:hint="eastAsia" w:ascii="宋体" w:hAnsi="宋体" w:cs="宋体"/>
                <w:color w:val="000000" w:themeColor="text1"/>
                <w:u w:val="single"/>
                <w:lang w:val="en-US" w:eastAsia="zh-CN"/>
                <w14:textFill>
                  <w14:solidFill>
                    <w14:schemeClr w14:val="tx1"/>
                  </w14:solidFill>
                </w14:textFill>
              </w:rPr>
              <w:t>定制</w:t>
            </w:r>
            <w:r>
              <w:rPr>
                <w:rFonts w:hint="eastAsia" w:ascii="宋体" w:hAnsi="宋体" w:eastAsia="宋体" w:cs="宋体"/>
                <w:color w:val="000000" w:themeColor="text1"/>
                <w:u w:val="single"/>
                <w:lang w:val="en-US" w:eastAsia="zh-CN"/>
                <w14:textFill>
                  <w14:solidFill>
                    <w14:schemeClr w14:val="tx1"/>
                  </w14:solidFill>
                </w14:textFill>
              </w:rPr>
              <w:t>设备</w:t>
            </w:r>
            <w:r>
              <w:rPr>
                <w:rFonts w:hint="eastAsia" w:ascii="宋体" w:hAnsi="宋体" w:eastAsia="宋体" w:cs="宋体"/>
                <w:color w:val="000000" w:themeColor="text1"/>
                <w:u w:val="single"/>
                <w14:textFill>
                  <w14:solidFill>
                    <w14:schemeClr w14:val="tx1"/>
                  </w14:solidFill>
                </w14:textFill>
              </w:rPr>
              <w:t xml:space="preserve">采购 </w:t>
            </w:r>
            <w:r>
              <w:rPr>
                <w:rFonts w:hint="eastAsia" w:ascii="宋体" w:hAnsi="宋体" w:eastAsia="宋体" w:cs="宋体"/>
                <w:color w:val="000000" w:themeColor="text1"/>
                <w14:textFill>
                  <w14:solidFill>
                    <w14:schemeClr w14:val="tx1"/>
                  </w14:solidFill>
                </w14:textFill>
              </w:rPr>
              <w:t>。</w:t>
            </w:r>
            <w:r>
              <w:rPr>
                <w:rFonts w:hint="eastAsia" w:ascii="宋体" w:hAnsi="宋体" w:eastAsia="宋体" w:cs="宋体"/>
                <w:color w:val="auto"/>
              </w:rPr>
              <w:t>未备注或者备注错误不作为否决投标依据</w:t>
            </w:r>
            <w:r>
              <w:rPr>
                <w:rFonts w:hint="eastAsia" w:ascii="宋体" w:hAnsi="宋体" w:cs="宋体"/>
                <w:color w:val="auto"/>
                <w:lang w:eastAsia="zh-CN"/>
              </w:rPr>
              <w:t>。</w:t>
            </w:r>
          </w:p>
          <w:p w14:paraId="6C75B786">
            <w:pPr>
              <w:snapToGrid w:val="0"/>
              <w:spacing w:line="400" w:lineRule="exact"/>
              <w:ind w:firstLine="420" w:firstLineChars="200"/>
              <w:rPr>
                <w:color w:val="auto"/>
              </w:rPr>
            </w:pPr>
            <w:r>
              <w:rPr>
                <w:rFonts w:hint="eastAsia"/>
                <w:color w:val="auto"/>
              </w:rPr>
              <w:t>5</w:t>
            </w:r>
            <w:r>
              <w:rPr>
                <w:rFonts w:hint="eastAsia"/>
                <w:color w:val="auto"/>
                <w:lang w:val="en-US" w:eastAsia="zh-CN"/>
              </w:rPr>
              <w:t xml:space="preserve">. </w:t>
            </w:r>
            <w:r>
              <w:rPr>
                <w:rFonts w:hint="eastAsia"/>
                <w:color w:val="auto"/>
              </w:rPr>
              <w:t>投标保证金有效期与投标有效期一致。</w:t>
            </w:r>
          </w:p>
          <w:p w14:paraId="340D0231">
            <w:pPr>
              <w:snapToGrid w:val="0"/>
              <w:spacing w:line="400" w:lineRule="exact"/>
              <w:ind w:firstLine="422" w:firstLineChars="200"/>
              <w:rPr>
                <w:b/>
                <w:bCs/>
                <w:color w:val="auto"/>
              </w:rPr>
            </w:pPr>
            <w:r>
              <w:rPr>
                <w:rFonts w:hint="eastAsia"/>
                <w:b/>
                <w:bCs/>
                <w:color w:val="auto"/>
              </w:rPr>
              <w:t>6</w:t>
            </w:r>
            <w:r>
              <w:rPr>
                <w:rFonts w:hint="eastAsia"/>
                <w:b/>
                <w:bCs/>
                <w:color w:val="auto"/>
                <w:lang w:val="en-US" w:eastAsia="zh-CN"/>
              </w:rPr>
              <w:t xml:space="preserve">. </w:t>
            </w:r>
            <w:r>
              <w:rPr>
                <w:rFonts w:hint="eastAsia"/>
                <w:b/>
                <w:bCs/>
                <w:color w:val="auto"/>
              </w:rPr>
              <w:t>评标过程中由评标委员会根据投标人在投标文件中提供的企业基本账户开户证明文件核实其投标保证金是否由基本账户转入，未从基本账户转入的，由评标委员会作否决投标处理。</w:t>
            </w:r>
          </w:p>
          <w:p w14:paraId="29E4DBDD">
            <w:pPr>
              <w:snapToGrid w:val="0"/>
              <w:spacing w:line="400" w:lineRule="exact"/>
              <w:ind w:firstLine="420" w:firstLineChars="200"/>
              <w:rPr>
                <w:color w:val="auto"/>
              </w:rPr>
            </w:pPr>
            <w:r>
              <w:rPr>
                <w:rFonts w:hint="eastAsia"/>
                <w:color w:val="auto"/>
              </w:rPr>
              <w:t>二、投标保证金的退还</w:t>
            </w:r>
          </w:p>
          <w:p w14:paraId="2AC41E39">
            <w:pPr>
              <w:snapToGrid w:val="0"/>
              <w:spacing w:line="400" w:lineRule="exact"/>
              <w:ind w:firstLine="420" w:firstLineChars="200"/>
              <w:rPr>
                <w:rFonts w:hint="eastAsia" w:ascii="宋体" w:hAnsi="宋体" w:cs="宋体"/>
                <w:color w:val="auto"/>
                <w:highlight w:val="none"/>
                <w:lang w:eastAsia="zh-CN"/>
              </w:rPr>
            </w:pPr>
            <w:r>
              <w:rPr>
                <w:rFonts w:hint="eastAsia" w:ascii="宋体" w:hAnsi="宋体" w:eastAsia="宋体" w:cs="宋体"/>
                <w:color w:val="auto"/>
                <w:highlight w:val="none"/>
              </w:rPr>
              <w:t>招标人应当在法定时间内确定中标人。招标人应当在中标通知书发出后</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日内</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向除中标人以外的投标人，</w:t>
            </w:r>
            <w:r>
              <w:rPr>
                <w:rFonts w:hint="eastAsia" w:ascii="宋体" w:hAnsi="宋体" w:cs="宋体"/>
                <w:color w:val="auto"/>
                <w:highlight w:val="none"/>
                <w:lang w:val="en-US" w:eastAsia="zh-CN"/>
              </w:rPr>
              <w:t>无息</w:t>
            </w:r>
            <w:r>
              <w:rPr>
                <w:rFonts w:hint="eastAsia" w:ascii="宋体" w:hAnsi="宋体" w:eastAsia="宋体" w:cs="宋体"/>
                <w:color w:val="auto"/>
                <w:highlight w:val="none"/>
              </w:rPr>
              <w:t>退还投标保证金</w:t>
            </w:r>
            <w:r>
              <w:rPr>
                <w:rFonts w:hint="eastAsia" w:ascii="宋体" w:hAnsi="宋体" w:cs="宋体"/>
                <w:color w:val="auto"/>
                <w:highlight w:val="none"/>
                <w:lang w:eastAsia="zh-CN"/>
              </w:rPr>
              <w:t>。</w:t>
            </w:r>
          </w:p>
          <w:p w14:paraId="28782F79">
            <w:pPr>
              <w:snapToGrid w:val="0"/>
              <w:spacing w:line="400" w:lineRule="exact"/>
              <w:ind w:firstLine="420" w:firstLineChars="200"/>
              <w:rPr>
                <w:color w:val="auto"/>
              </w:rPr>
            </w:pPr>
            <w:r>
              <w:rPr>
                <w:rFonts w:hint="eastAsia" w:ascii="宋体" w:hAnsi="宋体" w:eastAsia="宋体" w:cs="宋体"/>
                <w:color w:val="auto"/>
                <w:highlight w:val="none"/>
              </w:rPr>
              <w:t>招标人应当在法定时间内和中标人签订合同。招标人应当在</w:t>
            </w:r>
            <w:r>
              <w:rPr>
                <w:rFonts w:hint="eastAsia" w:ascii="宋体" w:hAnsi="宋体" w:eastAsia="宋体" w:cs="宋体"/>
                <w:color w:val="auto"/>
                <w:highlight w:val="none"/>
                <w:lang w:eastAsia="zh-CN"/>
              </w:rPr>
              <w:t>招标人与中标人签订</w:t>
            </w:r>
            <w:r>
              <w:rPr>
                <w:rFonts w:hint="eastAsia" w:ascii="宋体" w:hAnsi="宋体" w:eastAsia="宋体" w:cs="宋体"/>
                <w:color w:val="auto"/>
                <w:highlight w:val="none"/>
              </w:rPr>
              <w:t>合同后</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日内，向中标人</w:t>
            </w:r>
            <w:r>
              <w:rPr>
                <w:rFonts w:hint="eastAsia" w:ascii="宋体" w:hAnsi="宋体" w:cs="宋体"/>
                <w:color w:val="auto"/>
                <w:highlight w:val="none"/>
                <w:lang w:val="en-US" w:eastAsia="zh-CN"/>
              </w:rPr>
              <w:t>无息</w:t>
            </w:r>
            <w:r>
              <w:rPr>
                <w:rFonts w:hint="eastAsia" w:ascii="宋体" w:hAnsi="宋体" w:eastAsia="宋体" w:cs="宋体"/>
                <w:color w:val="auto"/>
                <w:highlight w:val="none"/>
              </w:rPr>
              <w:t>退还投标保证金</w:t>
            </w:r>
            <w:r>
              <w:rPr>
                <w:rFonts w:hint="eastAsia"/>
                <w:color w:val="auto"/>
              </w:rPr>
              <w:t>。</w:t>
            </w:r>
          </w:p>
        </w:tc>
      </w:tr>
      <w:tr w14:paraId="2987C5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9C9E31F">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03C62DC7">
            <w:pPr>
              <w:snapToGrid w:val="0"/>
              <w:spacing w:line="400" w:lineRule="exact"/>
              <w:jc w:val="center"/>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0FCEA100">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（1）投标人在规定的投标有效期内撤销</w:t>
            </w:r>
            <w:r>
              <w:rPr>
                <w:rFonts w:hint="eastAsia" w:ascii="宋体" w:hAnsi="宋体"/>
                <w:snapToGrid w:val="0"/>
                <w:color w:val="000000" w:themeColor="text1"/>
                <w:kern w:val="0"/>
                <w:szCs w:val="21"/>
                <w14:textFill>
                  <w14:solidFill>
                    <w14:schemeClr w14:val="tx1"/>
                  </w14:solidFill>
                </w14:textFill>
              </w:rPr>
              <w:t>或修改</w:t>
            </w:r>
            <w:r>
              <w:rPr>
                <w:rFonts w:ascii="宋体" w:hAnsi="宋体"/>
                <w:snapToGrid w:val="0"/>
                <w:color w:val="000000" w:themeColor="text1"/>
                <w:kern w:val="0"/>
                <w:szCs w:val="21"/>
                <w14:textFill>
                  <w14:solidFill>
                    <w14:schemeClr w14:val="tx1"/>
                  </w14:solidFill>
                </w14:textFill>
              </w:rPr>
              <w:t>投标文件；</w:t>
            </w:r>
          </w:p>
          <w:p w14:paraId="3674853A">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（2）中标人在收到中标通知书后，无正当理由</w:t>
            </w:r>
            <w:r>
              <w:rPr>
                <w:rFonts w:hint="eastAsia" w:ascii="宋体" w:hAnsi="宋体"/>
                <w:snapToGrid w:val="0"/>
                <w:color w:val="000000" w:themeColor="text1"/>
                <w:kern w:val="0"/>
                <w:szCs w:val="21"/>
                <w14:textFill>
                  <w14:solidFill>
                    <w14:schemeClr w14:val="tx1"/>
                  </w14:solidFill>
                </w14:textFill>
              </w:rPr>
              <w:t>不与招标人订立合同，</w:t>
            </w:r>
            <w:r>
              <w:rPr>
                <w:rFonts w:ascii="宋体" w:hAnsi="宋体"/>
                <w:snapToGrid w:val="0"/>
                <w:color w:val="000000" w:themeColor="text1"/>
                <w:kern w:val="0"/>
                <w:szCs w:val="21"/>
                <w14:textFill>
                  <w14:solidFill>
                    <w14:schemeClr w14:val="tx1"/>
                  </w14:solidFill>
                </w14:textFill>
              </w:rPr>
              <w:t>在签订合同时向招标人提出附加条件，或者不按照招标文件要求提交履约保证金；</w:t>
            </w:r>
          </w:p>
          <w:p w14:paraId="5F818F93">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snapToGrid w:val="0"/>
                <w:color w:val="000000" w:themeColor="text1"/>
                <w:kern w:val="0"/>
                <w:szCs w:val="21"/>
                <w14:textFill>
                  <w14:solidFill>
                    <w14:schemeClr w14:val="tx1"/>
                  </w14:solidFill>
                </w14:textFill>
              </w:rPr>
            </w:pP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lang w:val="en-US" w:eastAsia="zh-CN"/>
                <w14:textFill>
                  <w14:solidFill>
                    <w14:schemeClr w14:val="tx1"/>
                  </w14:solidFill>
                </w14:textFill>
              </w:rPr>
              <w:t>3</w:t>
            </w:r>
            <w:r>
              <w:rPr>
                <w:rFonts w:ascii="宋体" w:hAnsi="宋体"/>
                <w:color w:val="000000" w:themeColor="text1"/>
                <w:kern w:val="0"/>
                <w:szCs w:val="21"/>
                <w14:textFill>
                  <w14:solidFill>
                    <w14:schemeClr w14:val="tx1"/>
                  </w14:solidFill>
                </w14:textFill>
              </w:rPr>
              <w:t>）违反</w:t>
            </w:r>
            <w:r>
              <w:rPr>
                <w:rFonts w:hint="eastAsia" w:ascii="宋体" w:hAnsi="宋体"/>
                <w:color w:val="000000" w:themeColor="text1"/>
                <w:kern w:val="0"/>
                <w:szCs w:val="21"/>
                <w:lang w:val="en-US" w:eastAsia="zh-CN"/>
                <w14:textFill>
                  <w14:solidFill>
                    <w14:schemeClr w14:val="tx1"/>
                  </w14:solidFill>
                </w14:textFill>
              </w:rPr>
              <w:t>本章</w:t>
            </w:r>
            <w:r>
              <w:rPr>
                <w:rFonts w:ascii="宋体" w:hAnsi="宋体"/>
                <w:color w:val="000000" w:themeColor="text1"/>
                <w:kern w:val="0"/>
                <w:szCs w:val="21"/>
                <w14:textFill>
                  <w14:solidFill>
                    <w14:schemeClr w14:val="tx1"/>
                  </w14:solidFill>
                </w14:textFill>
              </w:rPr>
              <w:t>第9.2</w:t>
            </w:r>
            <w:r>
              <w:rPr>
                <w:rFonts w:hint="eastAsia" w:ascii="宋体" w:hAnsi="宋体"/>
                <w:color w:val="000000" w:themeColor="text1"/>
                <w:kern w:val="0"/>
                <w:szCs w:val="21"/>
                <w14:textFill>
                  <w14:solidFill>
                    <w14:schemeClr w14:val="tx1"/>
                  </w14:solidFill>
                </w14:textFill>
              </w:rPr>
              <w:t>款</w:t>
            </w:r>
            <w:r>
              <w:rPr>
                <w:rFonts w:ascii="宋体" w:hAnsi="宋体"/>
                <w:color w:val="000000" w:themeColor="text1"/>
                <w:kern w:val="0"/>
                <w:szCs w:val="21"/>
                <w14:textFill>
                  <w14:solidFill>
                    <w14:schemeClr w14:val="tx1"/>
                  </w14:solidFill>
                </w14:textFill>
              </w:rPr>
              <w:t>对投标人的纪律要求的；</w:t>
            </w:r>
          </w:p>
          <w:p w14:paraId="69AB85BA">
            <w:pPr>
              <w:snapToGrid w:val="0"/>
              <w:spacing w:line="400" w:lineRule="exact"/>
              <w:ind w:firstLine="420" w:firstLineChars="200"/>
              <w:jc w:val="left"/>
            </w:pPr>
            <w:r>
              <w:rPr>
                <w:rFonts w:hint="eastAsia" w:ascii="宋体" w:hAnsi="宋体"/>
                <w:snapToGrid w:val="0"/>
                <w:color w:val="000000" w:themeColor="text1"/>
                <w:kern w:val="0"/>
                <w:szCs w:val="21"/>
                <w14:textFill>
                  <w14:solidFill>
                    <w14:schemeClr w14:val="tx1"/>
                  </w14:solidFill>
                </w14:textFill>
              </w:rPr>
              <w:t>（</w:t>
            </w:r>
            <w:r>
              <w:rPr>
                <w:rFonts w:hint="eastAsia" w:ascii="宋体" w:hAnsi="宋体"/>
                <w:snapToGrid w:val="0"/>
                <w:color w:val="000000" w:themeColor="text1"/>
                <w:kern w:val="0"/>
                <w:szCs w:val="21"/>
                <w:lang w:val="en-US" w:eastAsia="zh-CN"/>
                <w14:textFill>
                  <w14:solidFill>
                    <w14:schemeClr w14:val="tx1"/>
                  </w14:solidFill>
                </w14:textFill>
              </w:rPr>
              <w:t>4</w:t>
            </w:r>
            <w:r>
              <w:rPr>
                <w:rFonts w:hint="eastAsia" w:ascii="宋体" w:hAnsi="宋体"/>
                <w:snapToGrid w:val="0"/>
                <w:color w:val="000000" w:themeColor="text1"/>
                <w:kern w:val="0"/>
                <w:szCs w:val="21"/>
                <w14:textFill>
                  <w14:solidFill>
                    <w14:schemeClr w14:val="tx1"/>
                  </w14:solidFill>
                </w14:textFill>
              </w:rPr>
              <w:t>）</w:t>
            </w:r>
            <w:r>
              <w:rPr>
                <w:rFonts w:ascii="宋体" w:hAnsi="宋体"/>
                <w:color w:val="000000" w:themeColor="text1"/>
                <w:kern w:val="0"/>
                <w:szCs w:val="21"/>
                <w14:textFill>
                  <w14:solidFill>
                    <w14:schemeClr w14:val="tx1"/>
                  </w14:solidFill>
                </w14:textFill>
              </w:rPr>
              <w:t>法律法规规定的其他情形。</w:t>
            </w:r>
          </w:p>
        </w:tc>
      </w:tr>
      <w:tr w14:paraId="61E3D6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498039">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14:paraId="150771BE">
            <w:pPr>
              <w:snapToGrid w:val="0"/>
              <w:spacing w:line="400" w:lineRule="exact"/>
              <w:jc w:val="center"/>
              <w:rPr>
                <w:rFonts w:ascii="宋体" w:hAnsi="宋体"/>
                <w:kern w:val="0"/>
                <w:szCs w:val="21"/>
              </w:rPr>
            </w:pPr>
            <w:r>
              <w:rPr>
                <w:rFonts w:ascii="宋体" w:hAnsi="宋体"/>
                <w:kern w:val="0"/>
                <w:szCs w:val="21"/>
              </w:rPr>
              <w:t>是否允许递交</w:t>
            </w:r>
          </w:p>
          <w:p w14:paraId="1F831363">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14:paraId="76B0C64A">
            <w:pPr>
              <w:snapToGrid w:val="0"/>
              <w:spacing w:line="400" w:lineRule="exact"/>
              <w:ind w:firstLine="420" w:firstLineChars="200"/>
              <w:rPr>
                <w:rFonts w:ascii="宋体" w:hAnsi="宋体"/>
                <w:kern w:val="0"/>
                <w:szCs w:val="21"/>
              </w:rPr>
            </w:pPr>
            <w:r>
              <w:rPr>
                <w:rFonts w:ascii="宋体" w:hAnsi="宋体"/>
                <w:kern w:val="0"/>
                <w:szCs w:val="21"/>
              </w:rPr>
              <w:t>不允许</w:t>
            </w:r>
          </w:p>
        </w:tc>
      </w:tr>
      <w:tr w14:paraId="75286B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69A67D">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14:paraId="1193A6D1">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14:paraId="573FE947">
            <w:pPr>
              <w:snapToGrid w:val="0"/>
              <w:spacing w:line="400" w:lineRule="exact"/>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3DE477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7667299">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14:paraId="21F31531">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172A0777">
            <w:pPr>
              <w:snapToGrid w:val="0"/>
              <w:spacing w:line="400" w:lineRule="exact"/>
              <w:ind w:firstLine="420" w:firstLineChars="200"/>
              <w:rPr>
                <w:rFonts w:hint="eastAsia" w:ascii="宋体" w:hAnsi="宋体" w:eastAsia="宋体" w:cs="宋体"/>
                <w:caps w:val="0"/>
                <w:smallCaps w:val="0"/>
                <w:color w:val="auto"/>
                <w:sz w:val="21"/>
                <w:szCs w:val="21"/>
              </w:rPr>
            </w:pPr>
            <w:r>
              <w:rPr>
                <w:rFonts w:hint="eastAsia" w:ascii="宋体" w:hAnsi="宋体" w:eastAsia="宋体" w:cs="宋体"/>
                <w:color w:val="auto"/>
                <w:szCs w:val="21"/>
                <w:highlight w:val="none"/>
              </w:rPr>
              <w:t>投标文件</w:t>
            </w:r>
            <w:r>
              <w:rPr>
                <w:rFonts w:hint="eastAsia" w:ascii="宋体" w:hAnsi="宋体" w:eastAsia="宋体" w:cs="宋体"/>
                <w:caps w:val="0"/>
                <w:smallCaps w:val="0"/>
                <w:color w:val="auto"/>
                <w:sz w:val="21"/>
                <w:szCs w:val="21"/>
              </w:rPr>
              <w:t>格式上</w:t>
            </w:r>
            <w:r>
              <w:rPr>
                <w:rFonts w:hint="eastAsia" w:ascii="宋体" w:hAnsi="宋体" w:eastAsia="宋体" w:cs="宋体"/>
                <w:color w:val="auto"/>
                <w:szCs w:val="21"/>
                <w:highlight w:val="none"/>
              </w:rPr>
              <w:t>要求法定代表人或其委托代理人签名（或盖章）的须齐全</w:t>
            </w:r>
            <w:r>
              <w:rPr>
                <w:rFonts w:hint="eastAsia" w:ascii="宋体" w:hAnsi="宋体" w:eastAsia="宋体" w:cs="宋体"/>
                <w:color w:val="auto"/>
                <w:szCs w:val="21"/>
                <w:highlight w:val="none"/>
                <w:lang w:eastAsia="zh-CN"/>
              </w:rPr>
              <w:t>。要求签名的，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olor w:val="auto"/>
                <w:szCs w:val="21"/>
                <w:highlight w:val="none"/>
              </w:rPr>
              <w:t>。要求加盖单位法人章的，</w:t>
            </w:r>
            <w:r>
              <w:rPr>
                <w:rFonts w:hint="eastAsia" w:ascii="宋体" w:hAnsi="宋体" w:eastAsia="宋体" w:cs="宋体"/>
                <w:caps w:val="0"/>
                <w:smallCaps w:val="0"/>
                <w:color w:val="auto"/>
                <w:sz w:val="21"/>
                <w:szCs w:val="21"/>
                <w:lang w:val="en-US" w:eastAsia="zh-CN"/>
              </w:rPr>
              <w:t>加盖投标人单位法人章(公章）或</w:t>
            </w:r>
            <w:r>
              <w:rPr>
                <w:rFonts w:hint="eastAsia" w:ascii="宋体" w:hAnsi="宋体" w:eastAsia="宋体" w:cs="宋体"/>
                <w:color w:val="auto"/>
                <w:szCs w:val="21"/>
                <w:highlight w:val="none"/>
              </w:rPr>
              <w:t>投标人的单位电子印章</w:t>
            </w:r>
            <w:r>
              <w:rPr>
                <w:rFonts w:hint="eastAsia" w:ascii="宋体" w:hAnsi="宋体" w:eastAsia="宋体" w:cs="宋体"/>
                <w:color w:val="auto"/>
                <w:szCs w:val="21"/>
                <w:highlight w:val="none"/>
                <w:lang w:val="en-US" w:eastAsia="zh-CN"/>
              </w:rPr>
              <w:t>均可</w:t>
            </w:r>
            <w:r>
              <w:rPr>
                <w:rFonts w:hint="eastAsia" w:ascii="宋体" w:hAnsi="宋体" w:eastAsia="宋体" w:cs="宋体"/>
                <w:color w:val="auto"/>
                <w:szCs w:val="21"/>
                <w:highlight w:val="none"/>
              </w:rPr>
              <w:t>。</w:t>
            </w:r>
          </w:p>
          <w:p w14:paraId="1882180D">
            <w:pPr>
              <w:snapToGrid w:val="0"/>
              <w:spacing w:line="400" w:lineRule="exact"/>
              <w:ind w:firstLine="422" w:firstLineChars="200"/>
              <w:rPr>
                <w:rFonts w:ascii="宋体" w:hAnsi="宋体"/>
                <w:szCs w:val="21"/>
              </w:rPr>
            </w:pPr>
            <w:r>
              <w:rPr>
                <w:rFonts w:hint="eastAsia" w:ascii="宋体" w:hAnsi="宋体"/>
                <w:b/>
                <w:bCs/>
                <w:szCs w:val="21"/>
              </w:rPr>
              <w:t>未按上述规定执行的，交由评标委员会作否决投标处理。</w:t>
            </w:r>
          </w:p>
        </w:tc>
      </w:tr>
      <w:tr w14:paraId="0F1FBC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BEBA68">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14:paraId="5C8F1B59">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3522FE29">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本项目采用全流程纸质招标投标，投标人提供的投标文件为：</w:t>
            </w:r>
          </w:p>
          <w:p w14:paraId="2D4514C7">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投标文件正本份数：【 1 】份；</w:t>
            </w:r>
          </w:p>
          <w:p w14:paraId="12936B5B">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投标文件副本份数：【 </w:t>
            </w:r>
            <w:r>
              <w:rPr>
                <w:rFonts w:hint="eastAsia" w:ascii="宋体" w:hAnsi="宋体" w:cs="宋体"/>
                <w:color w:val="auto"/>
                <w:highlight w:val="none"/>
                <w:lang w:val="en-US" w:eastAsia="zh-CN"/>
              </w:rPr>
              <w:t>2</w:t>
            </w:r>
            <w:r>
              <w:rPr>
                <w:rFonts w:hint="eastAsia" w:ascii="宋体" w:hAnsi="宋体" w:eastAsia="宋体" w:cs="宋体"/>
                <w:color w:val="auto"/>
                <w:highlight w:val="none"/>
              </w:rPr>
              <w:t xml:space="preserve"> 】份；</w:t>
            </w:r>
          </w:p>
          <w:p w14:paraId="78E332BA">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投标文件须装订成册，原则应编制目录，逐页标注页码（原则上装订成一册，正本文件内签字和盖章须为原件，副本可为正本的复印件，投标人中标后需提交整套与纸质投标文件内容相同的电子版：【 1 】份。</w:t>
            </w:r>
          </w:p>
          <w:p w14:paraId="7D6D50EC">
            <w:pPr>
              <w:autoSpaceDE w:val="0"/>
              <w:autoSpaceDN w:val="0"/>
              <w:adjustRightInd w:val="0"/>
              <w:snapToGrid w:val="0"/>
              <w:spacing w:after="72" w:afterLines="30" w:line="400" w:lineRule="exact"/>
              <w:ind w:firstLine="420" w:firstLineChars="200"/>
              <w:rPr>
                <w:color w:val="auto"/>
                <w:u w:val="single"/>
              </w:rPr>
            </w:pPr>
            <w:r>
              <w:rPr>
                <w:rFonts w:hint="eastAsia" w:ascii="宋体" w:hAnsi="宋体" w:eastAsia="宋体" w:cs="宋体"/>
                <w:color w:val="auto"/>
                <w:highlight w:val="none"/>
              </w:rPr>
              <w:t>当副本、正本文档不一致时，以正本为准。本条不作为否决投标的依据。</w:t>
            </w:r>
          </w:p>
        </w:tc>
      </w:tr>
      <w:tr w14:paraId="79B7BF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6E16A78">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14:paraId="63D0B14C">
            <w:pPr>
              <w:snapToGrid w:val="0"/>
              <w:spacing w:line="400" w:lineRule="exact"/>
              <w:jc w:val="center"/>
              <w:rPr>
                <w:rFonts w:ascii="宋体" w:hAnsi="宋体"/>
                <w:spacing w:val="-6"/>
                <w:kern w:val="0"/>
                <w:szCs w:val="21"/>
              </w:rPr>
            </w:pPr>
            <w:r>
              <w:rPr>
                <w:rFonts w:hint="eastAsia" w:ascii="宋体" w:hAnsi="宋体"/>
                <w:kern w:val="0"/>
                <w:szCs w:val="21"/>
              </w:rPr>
              <w:t>编制要求</w:t>
            </w:r>
          </w:p>
        </w:tc>
        <w:tc>
          <w:tcPr>
            <w:tcW w:w="6490" w:type="dxa"/>
            <w:vAlign w:val="center"/>
          </w:tcPr>
          <w:p w14:paraId="22DF6BF0">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具体要求：</w:t>
            </w:r>
          </w:p>
          <w:p w14:paraId="0872EEF4">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（1）投标函部分</w:t>
            </w:r>
          </w:p>
          <w:p w14:paraId="4BC26012">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应按照第六章规定格式排版，原则上应编制目录，但不得将目录编制作为评审因素。</w:t>
            </w:r>
          </w:p>
          <w:p w14:paraId="2AF95D50">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w:t>
            </w:r>
            <w:r>
              <w:rPr>
                <w:color w:val="auto"/>
              </w:rPr>
              <w:t>2</w:t>
            </w:r>
            <w:r>
              <w:rPr>
                <w:rFonts w:hint="eastAsia"/>
                <w:color w:val="auto"/>
              </w:rPr>
              <w:t>）商务部分</w:t>
            </w:r>
          </w:p>
          <w:p w14:paraId="194F2DB1">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应按照第六章规定格式排版，原则上应编制目录，但不得将目录编制作为评审因素。</w:t>
            </w:r>
          </w:p>
          <w:p w14:paraId="70A4EEEF">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w:t>
            </w:r>
            <w:r>
              <w:rPr>
                <w:color w:val="auto"/>
              </w:rPr>
              <w:t>3</w:t>
            </w:r>
            <w:r>
              <w:rPr>
                <w:rFonts w:hint="eastAsia"/>
                <w:color w:val="auto"/>
              </w:rPr>
              <w:t>）技术部分</w:t>
            </w:r>
          </w:p>
          <w:p w14:paraId="2DEFAF9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投标文件技术部分采用明标，应按照第</w:t>
            </w:r>
            <w:r>
              <w:rPr>
                <w:rFonts w:hint="eastAsia" w:ascii="宋体" w:hAnsi="宋体" w:eastAsia="宋体" w:cs="宋体"/>
                <w:color w:val="auto"/>
                <w:szCs w:val="21"/>
                <w:highlight w:val="none"/>
                <w:lang w:val="en-US" w:eastAsia="zh-CN"/>
              </w:rPr>
              <w:t>六</w:t>
            </w:r>
            <w:r>
              <w:rPr>
                <w:rFonts w:hint="eastAsia" w:ascii="宋体" w:hAnsi="宋体" w:eastAsia="宋体" w:cs="宋体"/>
                <w:color w:val="auto"/>
                <w:szCs w:val="21"/>
                <w:highlight w:val="none"/>
              </w:rPr>
              <w:t>章规定格式排版，原则上应编制目录，但不得将封面设置、目录编制作为评审因素。注：技术部分采用明标评审时，不因形式评审的问题（包括但不限于封面、页码、目录、字体、格式等）而被否决投标。</w:t>
            </w:r>
          </w:p>
          <w:p w14:paraId="07F55505">
            <w:pPr>
              <w:pStyle w:val="2"/>
              <w:rPr>
                <w:rFonts w:hint="default" w:eastAsia="宋体"/>
                <w:lang w:val="en-US" w:eastAsia="zh-CN"/>
              </w:rPr>
            </w:pPr>
            <w:r>
              <w:rPr>
                <w:rFonts w:hint="eastAsia" w:ascii="宋体" w:hAnsi="宋体" w:cs="宋体"/>
                <w:color w:val="auto"/>
                <w:szCs w:val="21"/>
                <w:highlight w:val="none"/>
                <w:lang w:val="en-US" w:eastAsia="zh-CN"/>
              </w:rPr>
              <w:t xml:space="preserve">    （《供货方案》原则上不超过</w:t>
            </w:r>
            <w:r>
              <w:rPr>
                <w:rFonts w:hint="eastAsia" w:ascii="宋体" w:hAnsi="宋体" w:cs="宋体"/>
                <w:color w:val="auto"/>
                <w:szCs w:val="21"/>
                <w:highlight w:val="none"/>
                <w:u w:val="single"/>
                <w:lang w:val="en-US" w:eastAsia="zh-CN"/>
              </w:rPr>
              <w:t xml:space="preserve"> 200 </w:t>
            </w:r>
            <w:r>
              <w:rPr>
                <w:rFonts w:hint="eastAsia" w:ascii="宋体" w:hAnsi="宋体" w:cs="宋体"/>
                <w:color w:val="auto"/>
                <w:szCs w:val="21"/>
                <w:highlight w:val="none"/>
                <w:lang w:val="en-US" w:eastAsia="zh-CN"/>
              </w:rPr>
              <w:t>页，但不得将页数作为评审因素。）</w:t>
            </w:r>
          </w:p>
          <w:p w14:paraId="16FCF8B1">
            <w:pPr>
              <w:adjustRightInd w:val="0"/>
              <w:snapToGrid w:val="0"/>
              <w:spacing w:line="400" w:lineRule="exact"/>
              <w:ind w:firstLine="420" w:firstLineChars="200"/>
              <w:rPr>
                <w:color w:val="auto"/>
              </w:rPr>
            </w:pPr>
            <w:r>
              <w:rPr>
                <w:rFonts w:hint="eastAsia"/>
                <w:color w:val="auto"/>
              </w:rPr>
              <w:t>（</w:t>
            </w:r>
            <w:r>
              <w:rPr>
                <w:color w:val="auto"/>
              </w:rPr>
              <w:t>4</w:t>
            </w:r>
            <w:r>
              <w:rPr>
                <w:rFonts w:hint="eastAsia"/>
                <w:color w:val="auto"/>
              </w:rPr>
              <w:t>）资格审查部分</w:t>
            </w:r>
          </w:p>
          <w:p w14:paraId="74EB20B3">
            <w:pPr>
              <w:autoSpaceDE/>
              <w:autoSpaceDN/>
              <w:adjustRightInd w:val="0"/>
              <w:snapToGrid w:val="0"/>
              <w:spacing w:after="0" w:afterLines="-2147483648" w:line="400" w:lineRule="exact"/>
              <w:ind w:firstLine="420" w:firstLineChars="200"/>
              <w:rPr>
                <w:rFonts w:hint="eastAsia"/>
                <w:color w:val="auto"/>
              </w:rPr>
            </w:pPr>
            <w:r>
              <w:rPr>
                <w:rFonts w:hint="eastAsia"/>
                <w:color w:val="auto"/>
              </w:rPr>
              <w:t>应按照第六章规定格式排版，原则上应编制目录，但不得将目录编制作为评审因素。</w:t>
            </w:r>
          </w:p>
          <w:p w14:paraId="77B66000">
            <w:pPr>
              <w:autoSpaceDE w:val="0"/>
              <w:autoSpaceDN w:val="0"/>
              <w:adjustRightInd w:val="0"/>
              <w:snapToGrid w:val="0"/>
              <w:spacing w:after="72" w:afterLines="30" w:line="400" w:lineRule="exact"/>
              <w:ind w:firstLine="420" w:firstLineChars="200"/>
              <w:rPr>
                <w:rFonts w:hint="eastAsia"/>
                <w:color w:val="auto"/>
              </w:rPr>
            </w:pPr>
            <w:r>
              <w:rPr>
                <w:rFonts w:hint="eastAsia" w:ascii="宋体" w:hAnsi="宋体"/>
                <w:color w:val="auto"/>
                <w:szCs w:val="21"/>
                <w:lang w:val="en-US" w:eastAsia="zh-CN"/>
              </w:rPr>
              <w:t>注：投标人应按照招标文件要求，在投标文件的对应部分提供相关资料（如在资格审查部分提供招标文件</w:t>
            </w:r>
            <w:r>
              <w:rPr>
                <w:rFonts w:hint="eastAsia" w:ascii="宋体" w:hAnsi="宋体"/>
                <w:color w:val="auto"/>
                <w:szCs w:val="21"/>
              </w:rPr>
              <w:t>第二章投标人须知前附表第1.4.1项</w:t>
            </w:r>
            <w:r>
              <w:rPr>
                <w:rFonts w:hint="eastAsia" w:ascii="宋体" w:hAnsi="宋体"/>
                <w:color w:val="auto"/>
                <w:szCs w:val="21"/>
                <w:lang w:val="en-US" w:eastAsia="zh-CN"/>
              </w:rPr>
              <w:t>和</w:t>
            </w:r>
            <w:r>
              <w:rPr>
                <w:rFonts w:hint="eastAsia" w:ascii="宋体" w:hAnsi="宋体"/>
                <w:color w:val="auto"/>
                <w:szCs w:val="21"/>
              </w:rPr>
              <w:t>第3.4款要求提供的资料</w:t>
            </w:r>
            <w:r>
              <w:rPr>
                <w:rFonts w:hint="eastAsia" w:ascii="宋体" w:hAnsi="宋体"/>
                <w:color w:val="auto"/>
                <w:szCs w:val="21"/>
                <w:lang w:val="en-US" w:eastAsia="zh-CN"/>
              </w:rPr>
              <w:t>，在商务部分提供招标文件第三章评标办法前附表中商务评审标准要求提供的资料</w:t>
            </w:r>
            <w:r>
              <w:rPr>
                <w:rFonts w:hint="eastAsia" w:ascii="宋体" w:hAnsi="宋体"/>
                <w:color w:val="auto"/>
                <w:szCs w:val="21"/>
              </w:rPr>
              <w:t>，在技术部分提供招标文件第三章评标办法前附表中技术评审标准要求提供的资料</w:t>
            </w:r>
            <w:r>
              <w:rPr>
                <w:rFonts w:hint="eastAsia" w:ascii="宋体" w:hAnsi="宋体"/>
                <w:color w:val="auto"/>
                <w:szCs w:val="21"/>
                <w:lang w:val="en-US" w:eastAsia="zh-CN"/>
              </w:rPr>
              <w:t>）。</w:t>
            </w:r>
          </w:p>
        </w:tc>
      </w:tr>
      <w:tr w14:paraId="04576D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7A7660">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14:paraId="7B2E09C4">
            <w:pPr>
              <w:snapToGrid w:val="0"/>
              <w:spacing w:line="400" w:lineRule="exact"/>
              <w:jc w:val="center"/>
              <w:rPr>
                <w:rFonts w:ascii="宋体" w:hAnsi="宋体"/>
                <w:spacing w:val="-6"/>
                <w:kern w:val="0"/>
                <w:szCs w:val="21"/>
              </w:rPr>
            </w:pPr>
            <w:r>
              <w:rPr>
                <w:rFonts w:ascii="宋体" w:hAnsi="宋体"/>
                <w:spacing w:val="-6"/>
                <w:kern w:val="0"/>
                <w:szCs w:val="21"/>
              </w:rPr>
              <w:t>投标文件</w:t>
            </w:r>
          </w:p>
          <w:p w14:paraId="60E2D5C1">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5109046F">
            <w:pPr>
              <w:keepNext w:val="0"/>
              <w:keepLines w:val="0"/>
              <w:pageBreakBefore w:val="0"/>
              <w:widowControl w:val="0"/>
              <w:kinsoku/>
              <w:wordWrap/>
              <w:overflowPunct/>
              <w:topLinePunct w:val="0"/>
              <w:autoSpaceDE/>
              <w:autoSpaceDN/>
              <w:bidi w:val="0"/>
              <w:snapToGrid w:val="0"/>
              <w:spacing w:line="400" w:lineRule="exact"/>
              <w:ind w:firstLine="420" w:firstLineChars="200"/>
              <w:jc w:val="left"/>
              <w:textAlignment w:val="auto"/>
              <w:rPr>
                <w:rFonts w:hint="eastAsia" w:ascii="宋体" w:hAnsi="宋体" w:eastAsia="宋体" w:cs="宋体"/>
                <w:caps w:val="0"/>
                <w:smallCaps w:val="0"/>
                <w:sz w:val="21"/>
                <w:szCs w:val="21"/>
              </w:rPr>
            </w:pPr>
            <w:r>
              <w:rPr>
                <w:rFonts w:hint="eastAsia" w:ascii="宋体" w:hAnsi="宋体" w:eastAsia="宋体" w:cs="宋体"/>
                <w:caps w:val="0"/>
                <w:smallCaps w:val="0"/>
                <w:kern w:val="0"/>
                <w:sz w:val="21"/>
                <w:szCs w:val="21"/>
              </w:rPr>
              <w:t>1、</w:t>
            </w:r>
            <w:r>
              <w:rPr>
                <w:rFonts w:hint="eastAsia" w:ascii="宋体" w:hAnsi="宋体" w:eastAsia="宋体" w:cs="宋体"/>
                <w:caps w:val="0"/>
                <w:smallCaps w:val="0"/>
                <w:sz w:val="21"/>
                <w:szCs w:val="21"/>
              </w:rPr>
              <w:t>投标文件正本和副本统一装入</w:t>
            </w:r>
            <w:r>
              <w:rPr>
                <w:rFonts w:hint="eastAsia" w:ascii="宋体" w:hAnsi="宋体" w:eastAsia="宋体" w:cs="宋体"/>
                <w:caps w:val="0"/>
                <w:smallCaps w:val="0"/>
                <w:kern w:val="0"/>
                <w:sz w:val="21"/>
                <w:szCs w:val="21"/>
              </w:rPr>
              <w:t>“投标文件”大袋</w:t>
            </w:r>
            <w:r>
              <w:rPr>
                <w:rFonts w:hint="eastAsia" w:ascii="宋体" w:hAnsi="宋体" w:eastAsia="宋体" w:cs="宋体"/>
                <w:caps w:val="0"/>
                <w:smallCaps w:val="0"/>
                <w:sz w:val="21"/>
                <w:szCs w:val="21"/>
              </w:rPr>
              <w:t>中，再密封并在大袋上按本表第4.1.2项的规定写明相应内容。加盖投标人单位公章。</w:t>
            </w:r>
          </w:p>
          <w:p w14:paraId="2290FA06">
            <w:pPr>
              <w:adjustRightInd w:val="0"/>
              <w:snapToGrid w:val="0"/>
              <w:spacing w:line="400" w:lineRule="exact"/>
              <w:ind w:firstLine="420" w:firstLineChars="200"/>
            </w:pPr>
            <w:r>
              <w:rPr>
                <w:rFonts w:hint="eastAsia" w:ascii="宋体" w:hAnsi="宋体" w:cs="宋体"/>
                <w:caps w:val="0"/>
                <w:smallCaps w:val="0"/>
                <w:sz w:val="21"/>
                <w:szCs w:val="21"/>
                <w:lang w:val="en-US" w:eastAsia="zh-CN"/>
              </w:rPr>
              <w:t>2</w:t>
            </w:r>
            <w:r>
              <w:rPr>
                <w:rFonts w:hint="eastAsia" w:ascii="宋体" w:hAnsi="宋体" w:eastAsia="宋体" w:cs="宋体"/>
                <w:caps w:val="0"/>
                <w:smallCaps w:val="0"/>
                <w:sz w:val="21"/>
                <w:szCs w:val="21"/>
              </w:rPr>
              <w:t>、如果投标文件没有按上述规定密封，后果由投标人自己承担。</w:t>
            </w:r>
          </w:p>
        </w:tc>
      </w:tr>
      <w:tr w14:paraId="58487A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70AE36F">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14:paraId="4313B283">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14:paraId="74E1E030">
            <w:pPr>
              <w:snapToGrid w:val="0"/>
              <w:spacing w:line="400" w:lineRule="exact"/>
              <w:ind w:firstLine="420" w:firstLineChars="200"/>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0AB612CA">
            <w:pPr>
              <w:snapToGrid w:val="0"/>
              <w:spacing w:line="400" w:lineRule="exact"/>
              <w:ind w:firstLine="420" w:firstLineChars="200"/>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696ACFE7">
            <w:pPr>
              <w:snapToGrid w:val="0"/>
              <w:spacing w:line="400" w:lineRule="exact"/>
              <w:ind w:firstLine="420" w:firstLineChars="200"/>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796914E6">
            <w:pPr>
              <w:snapToGrid w:val="0"/>
              <w:spacing w:line="400" w:lineRule="exact"/>
              <w:ind w:firstLine="420" w:firstLineChars="200"/>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213B5D0E">
            <w:pPr>
              <w:snapToGrid w:val="0"/>
              <w:spacing w:line="400" w:lineRule="exact"/>
              <w:ind w:firstLine="420" w:firstLineChars="200"/>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629DF4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A0FABCC">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54958DF5">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14:paraId="16426EC6">
            <w:pPr>
              <w:snapToGrid w:val="0"/>
              <w:spacing w:line="400" w:lineRule="exact"/>
              <w:ind w:firstLine="420" w:firstLineChars="200"/>
              <w:rPr>
                <w:rFonts w:ascii="宋体" w:hAnsi="宋体"/>
                <w:kern w:val="0"/>
                <w:szCs w:val="21"/>
              </w:rPr>
            </w:pPr>
            <w:r>
              <w:rPr>
                <w:rFonts w:hint="eastAsia" w:ascii="宋体" w:hAnsi="宋体"/>
                <w:kern w:val="0"/>
                <w:szCs w:val="21"/>
              </w:rPr>
              <w:t>详见招标公告</w:t>
            </w:r>
            <w:r>
              <w:rPr>
                <w:rFonts w:hint="eastAsia" w:ascii="宋体" w:hAnsi="宋体"/>
                <w:kern w:val="0"/>
                <w:szCs w:val="21"/>
                <w:lang w:val="en-US" w:eastAsia="zh-CN"/>
              </w:rPr>
              <w:t>或投标邀请书</w:t>
            </w:r>
            <w:r>
              <w:rPr>
                <w:rFonts w:hint="eastAsia" w:ascii="宋体" w:hAnsi="宋体"/>
                <w:kern w:val="0"/>
                <w:szCs w:val="21"/>
              </w:rPr>
              <w:t>中规定的投标截止时间。</w:t>
            </w:r>
          </w:p>
        </w:tc>
      </w:tr>
      <w:tr w14:paraId="25A768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D6498D">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14:paraId="12A66003">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14:paraId="15D484B0">
            <w:pPr>
              <w:snapToGrid w:val="0"/>
              <w:spacing w:line="400" w:lineRule="exact"/>
              <w:ind w:firstLine="420" w:firstLineChars="200"/>
              <w:rPr>
                <w:rFonts w:ascii="宋体" w:hAnsi="宋体"/>
                <w:bCs/>
                <w:szCs w:val="21"/>
              </w:rPr>
            </w:pPr>
            <w:r>
              <w:rPr>
                <w:rFonts w:hint="eastAsia" w:ascii="宋体" w:hAnsi="宋体"/>
                <w:bCs/>
                <w:szCs w:val="21"/>
                <w:lang w:val="en-US" w:eastAsia="zh-CN"/>
              </w:rPr>
              <w:t>详见第一章招标公告。</w:t>
            </w:r>
          </w:p>
        </w:tc>
      </w:tr>
      <w:tr w14:paraId="399CA9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486E01F">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14:paraId="7EB9B4DC">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14:paraId="71A59031">
            <w:pPr>
              <w:snapToGrid w:val="0"/>
              <w:spacing w:line="400" w:lineRule="exact"/>
              <w:ind w:firstLine="420" w:firstLineChars="200"/>
              <w:rPr>
                <w:rFonts w:ascii="宋体" w:hAnsi="宋体"/>
                <w:kern w:val="0"/>
                <w:szCs w:val="21"/>
              </w:rPr>
            </w:pPr>
            <w:r>
              <w:rPr>
                <w:rFonts w:hint="eastAsia" w:ascii="宋体" w:hAnsi="宋体"/>
                <w:kern w:val="0"/>
                <w:szCs w:val="21"/>
                <w:lang w:val="en-US" w:eastAsia="zh-CN"/>
              </w:rPr>
              <w:t>所有递交的投标文件一律不退还。</w:t>
            </w:r>
          </w:p>
        </w:tc>
      </w:tr>
      <w:tr w14:paraId="7172C2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23DB353">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4EA2C7F0">
            <w:pPr>
              <w:snapToGrid w:val="0"/>
              <w:spacing w:line="400" w:lineRule="exact"/>
              <w:jc w:val="center"/>
              <w:rPr>
                <w:rFonts w:ascii="宋体" w:hAnsi="宋体"/>
                <w:kern w:val="0"/>
                <w:szCs w:val="21"/>
              </w:rPr>
            </w:pPr>
            <w:r>
              <w:rPr>
                <w:rFonts w:ascii="宋体" w:hAnsi="宋体"/>
                <w:kern w:val="0"/>
                <w:szCs w:val="21"/>
              </w:rPr>
              <w:t>开标时间和</w:t>
            </w:r>
          </w:p>
          <w:p w14:paraId="5FAAEAC8">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14:paraId="6301F052">
            <w:pPr>
              <w:snapToGrid w:val="0"/>
              <w:spacing w:line="400" w:lineRule="exact"/>
              <w:ind w:firstLine="420" w:firstLineChars="200"/>
            </w:pPr>
            <w:r>
              <w:t>开标时间：同投标截止时间</w:t>
            </w:r>
          </w:p>
          <w:p w14:paraId="3AFD9BD5">
            <w:pPr>
              <w:snapToGrid w:val="0"/>
              <w:spacing w:line="400" w:lineRule="exact"/>
              <w:ind w:firstLine="420" w:firstLineChars="200"/>
            </w:pPr>
            <w:r>
              <w:t>开标地点：</w:t>
            </w:r>
            <w:r>
              <w:rPr>
                <w:rFonts w:hint="eastAsia" w:ascii="宋体" w:hAnsi="宋体"/>
                <w:bCs/>
                <w:szCs w:val="21"/>
                <w:lang w:val="en-US" w:eastAsia="zh-CN"/>
              </w:rPr>
              <w:t>详见第一章招标公告。</w:t>
            </w:r>
          </w:p>
        </w:tc>
      </w:tr>
      <w:tr w14:paraId="27D38A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36F23FB">
            <w:pPr>
              <w:snapToGrid w:val="0"/>
              <w:spacing w:line="400" w:lineRule="exact"/>
              <w:jc w:val="center"/>
              <w:rPr>
                <w:rFonts w:ascii="宋体" w:hAnsi="宋体"/>
                <w:color w:val="auto"/>
                <w:kern w:val="0"/>
                <w:szCs w:val="21"/>
              </w:rPr>
            </w:pPr>
            <w:r>
              <w:rPr>
                <w:rFonts w:hint="eastAsia" w:ascii="宋体" w:hAnsi="宋体"/>
                <w:color w:val="auto"/>
                <w:kern w:val="0"/>
                <w:szCs w:val="21"/>
              </w:rPr>
              <w:t>5.2</w:t>
            </w:r>
          </w:p>
        </w:tc>
        <w:tc>
          <w:tcPr>
            <w:tcW w:w="1754" w:type="dxa"/>
            <w:vAlign w:val="center"/>
          </w:tcPr>
          <w:p w14:paraId="46ED01D9">
            <w:pPr>
              <w:snapToGrid w:val="0"/>
              <w:spacing w:line="400" w:lineRule="exact"/>
              <w:jc w:val="center"/>
              <w:rPr>
                <w:rFonts w:ascii="宋体" w:hAnsi="宋体"/>
                <w:color w:val="auto"/>
                <w:kern w:val="0"/>
                <w:szCs w:val="21"/>
              </w:rPr>
            </w:pPr>
            <w:r>
              <w:rPr>
                <w:rFonts w:hint="eastAsia" w:ascii="宋体" w:hAnsi="宋体"/>
                <w:color w:val="auto"/>
                <w:szCs w:val="21"/>
              </w:rPr>
              <w:t>开标程序</w:t>
            </w:r>
          </w:p>
        </w:tc>
        <w:tc>
          <w:tcPr>
            <w:tcW w:w="6490" w:type="dxa"/>
            <w:vAlign w:val="center"/>
          </w:tcPr>
          <w:p w14:paraId="7DBD32BC">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主持人按下列程序进行开标：</w:t>
            </w:r>
          </w:p>
          <w:p w14:paraId="502DF55A">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查询投标人数量</w:t>
            </w:r>
          </w:p>
          <w:p w14:paraId="0E517D1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开标时间（应与投标截止时间一致），展示投标人数量是否大于（等于）3家，经招标人确认达到法定开标条件的，系统进入下一步开标环节。</w:t>
            </w:r>
          </w:p>
          <w:p w14:paraId="30DA42AC">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rPr>
              <w:t>2.</w:t>
            </w:r>
            <w:r>
              <w:rPr>
                <w:rFonts w:hint="eastAsia" w:ascii="宋体" w:hAnsi="宋体" w:cs="宋体"/>
                <w:color w:val="auto"/>
                <w:szCs w:val="21"/>
                <w:highlight w:val="none"/>
                <w:lang w:val="en-US" w:eastAsia="zh-CN"/>
              </w:rPr>
              <w:t>身份核验</w:t>
            </w:r>
          </w:p>
          <w:p w14:paraId="2862B0E9">
            <w:pPr>
              <w:pageBreakBefore w:val="0"/>
              <w:kinsoku/>
              <w:topLinePunct w:val="0"/>
              <w:autoSpaceDE w:val="0"/>
              <w:autoSpaceDN w:val="0"/>
              <w:bidi w:val="0"/>
              <w:adjustRightInd w:val="0"/>
              <w:snapToGrid w:val="0"/>
              <w:spacing w:after="0" w:line="360" w:lineRule="auto"/>
              <w:ind w:firstLine="422" w:firstLineChars="200"/>
              <w:rPr>
                <w:rFonts w:hint="eastAsia" w:ascii="宋体" w:hAnsi="宋体" w:cs="宋体"/>
                <w:b/>
                <w:bCs/>
                <w:color w:val="FF0000"/>
                <w:szCs w:val="21"/>
                <w:highlight w:val="none"/>
                <w:lang w:val="en-US" w:eastAsia="zh-CN"/>
              </w:rPr>
            </w:pPr>
            <w:r>
              <w:rPr>
                <w:rFonts w:hint="eastAsia" w:ascii="宋体" w:hAnsi="宋体" w:cs="宋体"/>
                <w:b/>
                <w:bCs/>
                <w:color w:val="FF0000"/>
                <w:szCs w:val="21"/>
                <w:highlight w:val="none"/>
                <w:lang w:val="en-US" w:eastAsia="zh-CN"/>
              </w:rPr>
              <w:t>注：参加开标会的投标人代表应携带以下资料供查验：</w:t>
            </w:r>
          </w:p>
          <w:p w14:paraId="4859AA54">
            <w:pPr>
              <w:pageBreakBefore w:val="0"/>
              <w:kinsoku/>
              <w:topLinePunct w:val="0"/>
              <w:autoSpaceDE w:val="0"/>
              <w:autoSpaceDN w:val="0"/>
              <w:bidi w:val="0"/>
              <w:adjustRightInd w:val="0"/>
              <w:snapToGrid w:val="0"/>
              <w:spacing w:after="0" w:line="360" w:lineRule="auto"/>
              <w:ind w:firstLine="422" w:firstLineChars="200"/>
              <w:rPr>
                <w:rFonts w:hint="eastAsia" w:ascii="宋体" w:hAnsi="宋体" w:cs="宋体"/>
                <w:b/>
                <w:bCs/>
                <w:color w:val="FF0000"/>
                <w:szCs w:val="21"/>
                <w:highlight w:val="none"/>
                <w:lang w:val="en-US" w:eastAsia="zh-CN"/>
              </w:rPr>
            </w:pPr>
            <w:r>
              <w:rPr>
                <w:rFonts w:hint="eastAsia" w:ascii="宋体" w:hAnsi="宋体" w:cs="宋体"/>
                <w:b/>
                <w:bCs/>
                <w:color w:val="FF0000"/>
                <w:szCs w:val="21"/>
                <w:highlight w:val="none"/>
                <w:lang w:val="en-US" w:eastAsia="zh-CN"/>
              </w:rPr>
              <w:t>法定代表人参加开标的：法定代表人身份证原件及法定代表人证明（格式见第六章投标文件格式）</w:t>
            </w:r>
          </w:p>
          <w:p w14:paraId="5F1B9F52">
            <w:pPr>
              <w:pageBreakBefore w:val="0"/>
              <w:kinsoku/>
              <w:topLinePunct w:val="0"/>
              <w:autoSpaceDE w:val="0"/>
              <w:autoSpaceDN w:val="0"/>
              <w:bidi w:val="0"/>
              <w:adjustRightInd w:val="0"/>
              <w:snapToGrid w:val="0"/>
              <w:spacing w:after="0" w:line="360" w:lineRule="auto"/>
              <w:ind w:firstLine="422" w:firstLineChars="200"/>
              <w:rPr>
                <w:rFonts w:hint="eastAsia"/>
                <w:b/>
                <w:bCs/>
                <w:color w:val="FF0000"/>
                <w:highlight w:val="none"/>
              </w:rPr>
            </w:pPr>
            <w:r>
              <w:rPr>
                <w:rFonts w:hint="eastAsia" w:ascii="宋体" w:hAnsi="宋体" w:cs="宋体"/>
                <w:b/>
                <w:bCs/>
                <w:color w:val="FF0000"/>
                <w:szCs w:val="21"/>
                <w:highlight w:val="none"/>
                <w:lang w:val="en-US" w:eastAsia="zh-CN"/>
              </w:rPr>
              <w:t>授权代表参加开标的：被授权人的身份证原件及授权委托书和法定代表人证明（格式见第六章投标文件格式）。</w:t>
            </w:r>
          </w:p>
          <w:p w14:paraId="53CEDB36">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.汇总投标保证金交纳情况</w:t>
            </w:r>
          </w:p>
          <w:p w14:paraId="28E9D3A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1</w:t>
            </w:r>
            <w:r>
              <w:rPr>
                <w:rFonts w:hint="eastAsia" w:ascii="宋体" w:hAnsi="宋体" w:eastAsia="宋体" w:cs="宋体"/>
                <w:color w:val="000000" w:themeColor="text1"/>
                <w:szCs w:val="21"/>
                <w:highlight w:val="none"/>
                <w14:textFill>
                  <w14:solidFill>
                    <w14:schemeClr w14:val="tx1"/>
                  </w14:solidFill>
                </w14:textFill>
              </w:rPr>
              <w:t>展示以电子转账方式递交投标保证金的情况，应至少包含投标人名称、金额、投标保证金打入指定账户的时间等，异常情况在开标记录表“异常情况”栏中记录并交由评标委员会评审。保证金来款账户非基本账户的，交由评标委员会作否决投标处理。</w:t>
            </w:r>
          </w:p>
          <w:p w14:paraId="0F8F7C9A">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default" w:ascii="宋体" w:hAnsi="宋体" w:eastAsia="宋体"/>
                <w:szCs w:val="21"/>
                <w:lang w:val="en-US" w:eastAsia="zh-CN"/>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r>
              <w:rPr>
                <w:rFonts w:hint="eastAsia" w:ascii="宋体" w:hAnsi="宋体"/>
                <w:szCs w:val="21"/>
                <w:lang w:val="en-US" w:eastAsia="zh-CN"/>
              </w:rPr>
              <w:t>。</w:t>
            </w:r>
          </w:p>
          <w:p w14:paraId="21EC37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w:t>
            </w:r>
            <w:r>
              <w:rPr>
                <w:rFonts w:hint="eastAsia" w:ascii="宋体" w:hAnsi="宋体"/>
                <w:szCs w:val="21"/>
                <w:lang w:val="en-US" w:eastAsia="zh-CN"/>
              </w:rPr>
              <w:t>最高限价、</w:t>
            </w:r>
            <w:r>
              <w:rPr>
                <w:rFonts w:hint="eastAsia" w:ascii="宋体" w:hAnsi="宋体"/>
                <w:szCs w:val="21"/>
              </w:rPr>
              <w:t>投标报价、供货期及其他内容。</w:t>
            </w:r>
          </w:p>
          <w:p w14:paraId="66867B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.投标人对开标有异议的，应当场提出，由招标人当场答复，并记录到开标记录表中。异议处理完毕后，汇总开标情况，打印开标记录表。</w:t>
            </w:r>
          </w:p>
          <w:p w14:paraId="5F94EC4E">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w:t>
            </w:r>
            <w:r>
              <w:rPr>
                <w:rFonts w:hint="eastAsia" w:ascii="宋体" w:hAnsi="宋体"/>
                <w:szCs w:val="21"/>
                <w:lang w:val="en-US" w:eastAsia="zh-CN"/>
              </w:rPr>
              <w:t>现场</w:t>
            </w:r>
            <w:r>
              <w:rPr>
                <w:rFonts w:hint="eastAsia" w:ascii="宋体" w:hAnsi="宋体"/>
                <w:szCs w:val="21"/>
              </w:rPr>
              <w:t>签名的，视为默认开标结果。</w:t>
            </w:r>
          </w:p>
          <w:p w14:paraId="3EE57A97">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color w:val="auto"/>
                <w:kern w:val="0"/>
                <w:szCs w:val="21"/>
              </w:rPr>
            </w:pPr>
            <w:r>
              <w:rPr>
                <w:rFonts w:hint="eastAsia" w:ascii="宋体" w:hAnsi="宋体"/>
                <w:szCs w:val="21"/>
                <w:lang w:val="en-US" w:eastAsia="zh-CN"/>
              </w:rPr>
              <w:t>8</w:t>
            </w:r>
            <w:r>
              <w:rPr>
                <w:rFonts w:hint="eastAsia" w:ascii="宋体" w:hAnsi="宋体"/>
                <w:szCs w:val="21"/>
              </w:rPr>
              <w:t>.主持人宣布开标结束。</w:t>
            </w:r>
          </w:p>
        </w:tc>
      </w:tr>
      <w:tr w14:paraId="69DFC6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D89B885">
            <w:pPr>
              <w:snapToGrid w:val="0"/>
              <w:spacing w:line="400" w:lineRule="exact"/>
              <w:jc w:val="center"/>
              <w:rPr>
                <w:rFonts w:ascii="宋体" w:hAnsi="宋体"/>
                <w:color w:val="auto"/>
                <w:szCs w:val="21"/>
              </w:rPr>
            </w:pPr>
            <w:r>
              <w:rPr>
                <w:rFonts w:ascii="宋体" w:hAnsi="宋体"/>
                <w:color w:val="auto"/>
                <w:kern w:val="0"/>
                <w:szCs w:val="21"/>
              </w:rPr>
              <w:t>6.1.1</w:t>
            </w:r>
          </w:p>
        </w:tc>
        <w:tc>
          <w:tcPr>
            <w:tcW w:w="1754" w:type="dxa"/>
            <w:vAlign w:val="center"/>
          </w:tcPr>
          <w:p w14:paraId="7B76D8E2">
            <w:pPr>
              <w:snapToGrid w:val="0"/>
              <w:spacing w:line="400" w:lineRule="exact"/>
              <w:jc w:val="center"/>
              <w:rPr>
                <w:rFonts w:ascii="宋体" w:hAnsi="宋体"/>
                <w:color w:val="auto"/>
                <w:szCs w:val="21"/>
              </w:rPr>
            </w:pPr>
            <w:r>
              <w:rPr>
                <w:rFonts w:ascii="宋体" w:hAnsi="宋体"/>
                <w:color w:val="auto"/>
                <w:kern w:val="0"/>
                <w:szCs w:val="21"/>
              </w:rPr>
              <w:t>评标委员会的组建</w:t>
            </w:r>
          </w:p>
        </w:tc>
        <w:tc>
          <w:tcPr>
            <w:tcW w:w="6490" w:type="dxa"/>
            <w:vAlign w:val="center"/>
          </w:tcPr>
          <w:p w14:paraId="401218B7">
            <w:pPr>
              <w:autoSpaceDE w:val="0"/>
              <w:autoSpaceDN w:val="0"/>
              <w:adjustRightInd w:val="0"/>
              <w:snapToGrid w:val="0"/>
              <w:spacing w:after="0" w:line="400" w:lineRule="exact"/>
              <w:ind w:firstLine="436" w:firstLineChars="200"/>
              <w:rPr>
                <w:rFonts w:ascii="宋体" w:hAnsi="宋体"/>
                <w:color w:val="auto"/>
                <w:szCs w:val="21"/>
              </w:rPr>
            </w:pPr>
            <w:r>
              <w:rPr>
                <w:rFonts w:hint="eastAsia" w:ascii="宋体" w:hAnsi="宋体" w:cs="宋体"/>
                <w:color w:val="auto"/>
                <w:spacing w:val="4"/>
                <w:kern w:val="0"/>
                <w:szCs w:val="21"/>
              </w:rPr>
              <w:t>由招标人按法律法规及相关规定依法组建评标委员会</w:t>
            </w:r>
            <w:r>
              <w:rPr>
                <w:rFonts w:hint="eastAsia" w:ascii="宋体" w:hAnsi="宋体" w:cs="宋体"/>
                <w:color w:val="auto"/>
                <w:kern w:val="0"/>
                <w:szCs w:val="21"/>
              </w:rPr>
              <w:t>。</w:t>
            </w:r>
          </w:p>
        </w:tc>
      </w:tr>
      <w:tr w14:paraId="625F8B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5440ADF">
            <w:pPr>
              <w:snapToGrid w:val="0"/>
              <w:spacing w:line="400" w:lineRule="exact"/>
              <w:jc w:val="center"/>
              <w:rPr>
                <w:rFonts w:ascii="宋体" w:hAnsi="宋体"/>
                <w:color w:val="auto"/>
                <w:kern w:val="0"/>
                <w:szCs w:val="21"/>
              </w:rPr>
            </w:pPr>
            <w:r>
              <w:rPr>
                <w:rFonts w:hint="eastAsia" w:ascii="宋体" w:hAnsi="宋体"/>
                <w:color w:val="auto"/>
                <w:kern w:val="0"/>
                <w:szCs w:val="21"/>
              </w:rPr>
              <w:t>6</w:t>
            </w:r>
            <w:r>
              <w:rPr>
                <w:rFonts w:ascii="宋体" w:hAnsi="宋体"/>
                <w:color w:val="auto"/>
                <w:kern w:val="0"/>
                <w:szCs w:val="21"/>
              </w:rPr>
              <w:t>.3.2</w:t>
            </w:r>
          </w:p>
        </w:tc>
        <w:tc>
          <w:tcPr>
            <w:tcW w:w="1754" w:type="dxa"/>
            <w:vAlign w:val="center"/>
          </w:tcPr>
          <w:p w14:paraId="1519915A">
            <w:pPr>
              <w:snapToGrid w:val="0"/>
              <w:spacing w:line="400" w:lineRule="exact"/>
              <w:jc w:val="center"/>
              <w:rPr>
                <w:rFonts w:ascii="宋体" w:hAnsi="宋体"/>
                <w:color w:val="auto"/>
                <w:kern w:val="0"/>
                <w:szCs w:val="21"/>
              </w:rPr>
            </w:pPr>
            <w:r>
              <w:rPr>
                <w:rFonts w:ascii="宋体" w:hAnsi="宋体"/>
                <w:color w:val="auto"/>
                <w:kern w:val="0"/>
                <w:szCs w:val="21"/>
              </w:rPr>
              <w:t>评标委员会推荐中标候选人的人数</w:t>
            </w:r>
          </w:p>
        </w:tc>
        <w:tc>
          <w:tcPr>
            <w:tcW w:w="6490" w:type="dxa"/>
            <w:vAlign w:val="center"/>
          </w:tcPr>
          <w:p w14:paraId="3FE9546D">
            <w:pPr>
              <w:autoSpaceDE w:val="0"/>
              <w:autoSpaceDN w:val="0"/>
              <w:adjustRightInd w:val="0"/>
              <w:snapToGrid w:val="0"/>
              <w:spacing w:line="400" w:lineRule="exact"/>
              <w:ind w:firstLine="420" w:firstLineChars="200"/>
              <w:rPr>
                <w:rFonts w:ascii="宋体" w:hAnsi="宋体"/>
                <w:color w:val="auto"/>
                <w:kern w:val="0"/>
                <w:szCs w:val="21"/>
              </w:rPr>
            </w:pPr>
            <w:r>
              <w:rPr>
                <w:color w:val="auto"/>
              </w:rPr>
              <w:t>推荐经评审综合得分由高到低排名</w:t>
            </w:r>
            <w:r>
              <w:rPr>
                <w:rFonts w:hint="eastAsia"/>
                <w:color w:val="auto"/>
              </w:rPr>
              <w:t>前</w:t>
            </w:r>
            <w:r>
              <w:rPr>
                <w:color w:val="auto"/>
                <w:u w:val="single"/>
              </w:rPr>
              <w:t xml:space="preserve"> 3</w:t>
            </w:r>
            <w:r>
              <w:rPr>
                <w:rFonts w:hint="eastAsia"/>
                <w:color w:val="auto"/>
                <w:u w:val="single"/>
              </w:rPr>
              <w:t xml:space="preserve"> </w:t>
            </w:r>
            <w:r>
              <w:rPr>
                <w:color w:val="auto"/>
              </w:rPr>
              <w:t>名为中标候选人</w:t>
            </w:r>
            <w:r>
              <w:rPr>
                <w:rFonts w:hint="eastAsia"/>
                <w:color w:val="auto"/>
              </w:rPr>
              <w:t>，若有效投标人少于</w:t>
            </w:r>
            <w:r>
              <w:rPr>
                <w:color w:val="auto"/>
                <w:u w:val="single"/>
              </w:rPr>
              <w:t xml:space="preserve"> 3 </w:t>
            </w:r>
            <w:r>
              <w:rPr>
                <w:rFonts w:hint="eastAsia"/>
                <w:color w:val="auto"/>
              </w:rPr>
              <w:t>个的则按实际数量推荐</w:t>
            </w:r>
            <w:r>
              <w:rPr>
                <w:color w:val="auto"/>
              </w:rPr>
              <w:t>。</w:t>
            </w:r>
          </w:p>
        </w:tc>
      </w:tr>
      <w:tr w14:paraId="708AB3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7C3A5E7C">
            <w:pPr>
              <w:snapToGrid w:val="0"/>
              <w:spacing w:line="400" w:lineRule="exact"/>
              <w:jc w:val="center"/>
              <w:rPr>
                <w:rFonts w:ascii="宋体" w:hAnsi="宋体"/>
                <w:color w:val="auto"/>
                <w:kern w:val="0"/>
                <w:szCs w:val="21"/>
              </w:rPr>
            </w:pPr>
            <w:r>
              <w:rPr>
                <w:rFonts w:hint="eastAsia" w:ascii="宋体" w:hAnsi="宋体"/>
                <w:color w:val="auto"/>
                <w:kern w:val="0"/>
                <w:szCs w:val="21"/>
              </w:rPr>
              <w:t>7</w:t>
            </w:r>
            <w:r>
              <w:rPr>
                <w:rFonts w:ascii="宋体" w:hAnsi="宋体"/>
                <w:color w:val="auto"/>
                <w:kern w:val="0"/>
                <w:szCs w:val="21"/>
              </w:rPr>
              <w:t>.1</w:t>
            </w:r>
          </w:p>
        </w:tc>
        <w:tc>
          <w:tcPr>
            <w:tcW w:w="1754" w:type="dxa"/>
            <w:vAlign w:val="center"/>
          </w:tcPr>
          <w:p w14:paraId="6B783E24">
            <w:pPr>
              <w:snapToGrid w:val="0"/>
              <w:spacing w:line="400" w:lineRule="exact"/>
              <w:jc w:val="center"/>
              <w:rPr>
                <w:rFonts w:ascii="宋体" w:hAnsi="宋体"/>
                <w:color w:val="auto"/>
                <w:kern w:val="0"/>
                <w:szCs w:val="21"/>
              </w:rPr>
            </w:pPr>
            <w:r>
              <w:rPr>
                <w:rFonts w:hint="eastAsia" w:ascii="宋体" w:hAnsi="宋体"/>
                <w:color w:val="auto"/>
                <w:kern w:val="0"/>
                <w:szCs w:val="21"/>
              </w:rPr>
              <w:t>中标候选人公示</w:t>
            </w:r>
          </w:p>
        </w:tc>
        <w:tc>
          <w:tcPr>
            <w:tcW w:w="6490" w:type="dxa"/>
            <w:vAlign w:val="center"/>
          </w:tcPr>
          <w:p w14:paraId="38A1CCA8">
            <w:pPr>
              <w:autoSpaceDE w:val="0"/>
              <w:autoSpaceDN w:val="0"/>
              <w:adjustRightInd w:val="0"/>
              <w:snapToGrid w:val="0"/>
              <w:spacing w:line="400" w:lineRule="exact"/>
              <w:ind w:firstLine="436" w:firstLineChars="200"/>
              <w:rPr>
                <w:rFonts w:ascii="宋体" w:hAnsi="宋体"/>
                <w:color w:val="auto"/>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eastAsia="宋体" w:cs="宋体"/>
                <w:color w:val="auto"/>
                <w:spacing w:val="4"/>
                <w:kern w:val="0"/>
                <w:szCs w:val="21"/>
                <w:highlight w:val="none"/>
                <w:u w:val="single"/>
              </w:rPr>
              <w:t xml:space="preserve"> </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上进行公示，公示期不少于</w:t>
            </w:r>
            <w:r>
              <w:rPr>
                <w:rFonts w:hint="eastAsia" w:ascii="宋体" w:hAnsi="宋体"/>
                <w:color w:val="auto"/>
                <w:spacing w:val="4"/>
                <w:kern w:val="0"/>
                <w:szCs w:val="21"/>
                <w:highlight w:val="none"/>
                <w:lang w:val="en-US" w:eastAsia="zh-CN"/>
              </w:rPr>
              <w:t>3</w:t>
            </w:r>
            <w:r>
              <w:rPr>
                <w:rFonts w:hint="eastAsia" w:ascii="宋体" w:hAnsi="宋体"/>
                <w:color w:val="auto"/>
                <w:spacing w:val="4"/>
                <w:kern w:val="0"/>
                <w:szCs w:val="21"/>
                <w:highlight w:val="none"/>
              </w:rPr>
              <w:t>日，请各投标人自行查询。</w:t>
            </w:r>
          </w:p>
        </w:tc>
      </w:tr>
      <w:tr w14:paraId="56937B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71E8B215">
            <w:pPr>
              <w:snapToGrid w:val="0"/>
              <w:spacing w:line="400" w:lineRule="exact"/>
              <w:jc w:val="center"/>
              <w:rPr>
                <w:rFonts w:hint="eastAsia" w:ascii="宋体" w:hAnsi="宋体"/>
                <w:color w:val="auto"/>
                <w:kern w:val="0"/>
                <w:szCs w:val="21"/>
              </w:rPr>
            </w:pPr>
          </w:p>
        </w:tc>
        <w:tc>
          <w:tcPr>
            <w:tcW w:w="1754" w:type="dxa"/>
            <w:vAlign w:val="center"/>
          </w:tcPr>
          <w:p w14:paraId="0E150882">
            <w:pPr>
              <w:snapToGrid w:val="0"/>
              <w:spacing w:line="400" w:lineRule="exact"/>
              <w:jc w:val="center"/>
              <w:rPr>
                <w:rFonts w:hint="eastAsia" w:ascii="宋体" w:hAnsi="宋体"/>
                <w:color w:val="auto"/>
                <w:kern w:val="0"/>
                <w:szCs w:val="21"/>
              </w:rPr>
            </w:pPr>
            <w:r>
              <w:rPr>
                <w:rFonts w:hint="eastAsia" w:ascii="宋体" w:hAnsi="宋体"/>
                <w:color w:val="auto"/>
                <w:kern w:val="0"/>
                <w:szCs w:val="21"/>
                <w:lang w:val="en-US" w:eastAsia="zh-CN"/>
              </w:rPr>
              <w:t>中标结果公告</w:t>
            </w:r>
          </w:p>
        </w:tc>
        <w:tc>
          <w:tcPr>
            <w:tcW w:w="6490" w:type="dxa"/>
            <w:vAlign w:val="center"/>
          </w:tcPr>
          <w:p w14:paraId="09180517">
            <w:pPr>
              <w:autoSpaceDE w:val="0"/>
              <w:autoSpaceDN w:val="0"/>
              <w:adjustRightInd w:val="0"/>
              <w:snapToGrid w:val="0"/>
              <w:spacing w:line="400" w:lineRule="exact"/>
              <w:ind w:firstLine="420" w:firstLineChars="200"/>
              <w:rPr>
                <w:rFonts w:hint="eastAsia" w:ascii="宋体" w:hAnsi="宋体"/>
                <w:color w:val="auto"/>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b/>
                <w:bCs/>
                <w:snapToGrid w:val="0"/>
                <w:kern w:val="0"/>
                <w:szCs w:val="21"/>
                <w:u w:val="single"/>
                <w:lang w:val="en-US" w:eastAsia="zh-CN"/>
              </w:rPr>
              <w:t>乌江涪陵榨菜集团官网（https://www.flzc.com/）</w:t>
            </w:r>
            <w:r>
              <w:rPr>
                <w:rFonts w:hint="eastAsia" w:ascii="宋体" w:hAnsi="宋体" w:cs="宋体"/>
                <w:color w:val="auto"/>
                <w:szCs w:val="21"/>
                <w:highlight w:val="none"/>
              </w:rPr>
              <w:t>上进行中标结果公告，并由招标人依法依规发出中标通知书</w:t>
            </w:r>
            <w:r>
              <w:rPr>
                <w:rFonts w:hint="eastAsia" w:ascii="宋体" w:hAnsi="宋体" w:cs="宋体"/>
                <w:color w:val="auto"/>
                <w:szCs w:val="21"/>
                <w:highlight w:val="none"/>
                <w:lang w:eastAsia="zh-CN"/>
              </w:rPr>
              <w:t>。</w:t>
            </w:r>
          </w:p>
        </w:tc>
      </w:tr>
      <w:tr w14:paraId="62FE03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06DEB8B">
            <w:pPr>
              <w:snapToGrid w:val="0"/>
              <w:spacing w:line="400" w:lineRule="exact"/>
              <w:jc w:val="center"/>
              <w:rPr>
                <w:rFonts w:ascii="宋体" w:hAnsi="宋体"/>
                <w:color w:val="auto"/>
                <w:kern w:val="0"/>
                <w:szCs w:val="21"/>
              </w:rPr>
            </w:pPr>
            <w:r>
              <w:rPr>
                <w:rFonts w:ascii="宋体" w:hAnsi="宋体"/>
                <w:color w:val="auto"/>
                <w:kern w:val="0"/>
                <w:szCs w:val="21"/>
              </w:rPr>
              <w:t>7.4</w:t>
            </w:r>
          </w:p>
        </w:tc>
        <w:tc>
          <w:tcPr>
            <w:tcW w:w="1754" w:type="dxa"/>
            <w:vAlign w:val="center"/>
          </w:tcPr>
          <w:p w14:paraId="186F48F0">
            <w:pPr>
              <w:snapToGrid w:val="0"/>
              <w:spacing w:after="48" w:afterLines="20" w:line="400" w:lineRule="exact"/>
              <w:jc w:val="center"/>
              <w:rPr>
                <w:rFonts w:ascii="宋体" w:hAnsi="宋体"/>
                <w:color w:val="auto"/>
                <w:kern w:val="0"/>
                <w:szCs w:val="21"/>
              </w:rPr>
            </w:pPr>
            <w:r>
              <w:rPr>
                <w:rFonts w:ascii="宋体" w:hAnsi="宋体"/>
                <w:color w:val="auto"/>
                <w:kern w:val="0"/>
                <w:szCs w:val="21"/>
              </w:rPr>
              <w:t>是否授权评标委员会确定中标人</w:t>
            </w:r>
          </w:p>
        </w:tc>
        <w:tc>
          <w:tcPr>
            <w:tcW w:w="6490" w:type="dxa"/>
            <w:vAlign w:val="center"/>
          </w:tcPr>
          <w:p w14:paraId="78EA9C60">
            <w:pPr>
              <w:snapToGrid w:val="0"/>
              <w:spacing w:line="400" w:lineRule="exact"/>
              <w:ind w:firstLine="420" w:firstLineChars="200"/>
              <w:rPr>
                <w:rFonts w:ascii="宋体" w:hAnsi="宋体"/>
                <w:i/>
                <w:color w:val="auto"/>
                <w:kern w:val="0"/>
                <w:szCs w:val="21"/>
              </w:rPr>
            </w:pPr>
            <w:r>
              <w:rPr>
                <w:rFonts w:ascii="宋体" w:hAnsi="宋体"/>
                <w:color w:val="auto"/>
                <w:kern w:val="0"/>
                <w:szCs w:val="21"/>
              </w:rPr>
              <w:t>否</w:t>
            </w:r>
          </w:p>
        </w:tc>
      </w:tr>
      <w:tr w14:paraId="348794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6FEB803">
            <w:pPr>
              <w:snapToGrid w:val="0"/>
              <w:spacing w:line="400" w:lineRule="exact"/>
              <w:jc w:val="center"/>
              <w:rPr>
                <w:rFonts w:ascii="宋体" w:hAnsi="宋体"/>
                <w:color w:val="auto"/>
                <w:kern w:val="0"/>
                <w:szCs w:val="21"/>
              </w:rPr>
            </w:pPr>
            <w:r>
              <w:rPr>
                <w:rFonts w:ascii="宋体" w:hAnsi="宋体"/>
                <w:color w:val="auto"/>
                <w:kern w:val="0"/>
                <w:szCs w:val="21"/>
              </w:rPr>
              <w:t>7.</w:t>
            </w:r>
            <w:r>
              <w:rPr>
                <w:rFonts w:hint="eastAsia" w:ascii="宋体" w:hAnsi="宋体"/>
                <w:color w:val="auto"/>
                <w:kern w:val="0"/>
                <w:szCs w:val="21"/>
              </w:rPr>
              <w:t>6</w:t>
            </w:r>
            <w:r>
              <w:rPr>
                <w:rFonts w:ascii="宋体" w:hAnsi="宋体"/>
                <w:color w:val="auto"/>
                <w:kern w:val="0"/>
                <w:szCs w:val="21"/>
              </w:rPr>
              <w:t>.1</w:t>
            </w:r>
          </w:p>
        </w:tc>
        <w:tc>
          <w:tcPr>
            <w:tcW w:w="1754" w:type="dxa"/>
            <w:vAlign w:val="center"/>
          </w:tcPr>
          <w:p w14:paraId="333AFF11">
            <w:pPr>
              <w:snapToGrid w:val="0"/>
              <w:spacing w:line="400" w:lineRule="exact"/>
              <w:jc w:val="center"/>
              <w:rPr>
                <w:rFonts w:ascii="宋体" w:hAnsi="宋体"/>
                <w:color w:val="auto"/>
                <w:kern w:val="0"/>
                <w:szCs w:val="21"/>
              </w:rPr>
            </w:pPr>
            <w:r>
              <w:rPr>
                <w:rFonts w:hint="eastAsia" w:ascii="宋体" w:hAnsi="宋体"/>
                <w:color w:val="auto"/>
                <w:kern w:val="0"/>
                <w:szCs w:val="21"/>
              </w:rPr>
              <w:t>履约保证金</w:t>
            </w:r>
          </w:p>
        </w:tc>
        <w:tc>
          <w:tcPr>
            <w:tcW w:w="6490" w:type="dxa"/>
            <w:vAlign w:val="center"/>
          </w:tcPr>
          <w:p w14:paraId="4D1CCAF9">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1</w:t>
            </w:r>
            <w:r>
              <w:rPr>
                <w:rFonts w:hint="eastAsia" w:ascii="宋体" w:hAnsi="宋体"/>
                <w:color w:val="auto"/>
                <w:kern w:val="0"/>
                <w:szCs w:val="21"/>
                <w:lang w:eastAsia="zh-CN"/>
              </w:rPr>
              <w:t>.</w:t>
            </w:r>
            <w:r>
              <w:rPr>
                <w:rFonts w:hint="eastAsia" w:ascii="宋体" w:hAnsi="宋体"/>
                <w:color w:val="auto"/>
                <w:kern w:val="0"/>
                <w:szCs w:val="21"/>
              </w:rPr>
              <w:t>中标人是否提供履约保证金：</w:t>
            </w:r>
            <w:r>
              <w:rPr>
                <w:rFonts w:hint="eastAsia" w:ascii="宋体" w:hAnsi="宋体"/>
                <w:b/>
                <w:bCs/>
                <w:color w:val="auto"/>
                <w:kern w:val="0"/>
                <w:szCs w:val="21"/>
                <w:u w:val="single"/>
              </w:rPr>
              <w:t>提供</w:t>
            </w:r>
            <w:r>
              <w:rPr>
                <w:rFonts w:hint="eastAsia" w:ascii="宋体" w:hAnsi="宋体"/>
                <w:color w:val="auto"/>
                <w:kern w:val="0"/>
                <w:szCs w:val="21"/>
              </w:rPr>
              <w:t>。</w:t>
            </w:r>
          </w:p>
          <w:p w14:paraId="4A518375">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2</w:t>
            </w:r>
            <w:r>
              <w:rPr>
                <w:rFonts w:hint="eastAsia" w:ascii="宋体" w:hAnsi="宋体"/>
                <w:color w:val="auto"/>
                <w:kern w:val="0"/>
                <w:szCs w:val="21"/>
                <w:lang w:eastAsia="zh-CN"/>
              </w:rPr>
              <w:t>.</w:t>
            </w:r>
            <w:r>
              <w:rPr>
                <w:rFonts w:hint="eastAsia" w:ascii="宋体" w:hAnsi="宋体"/>
                <w:color w:val="auto"/>
                <w:kern w:val="0"/>
                <w:szCs w:val="21"/>
              </w:rPr>
              <w:t>中标人提供履约保证金的形式、金额及期限：</w:t>
            </w:r>
          </w:p>
          <w:p w14:paraId="50CDA27E">
            <w:pPr>
              <w:snapToGrid w:val="0"/>
              <w:spacing w:line="400" w:lineRule="exact"/>
              <w:ind w:firstLine="420" w:firstLineChars="200"/>
              <w:rPr>
                <w:rFonts w:hint="eastAsia" w:ascii="宋体" w:hAnsi="宋体" w:eastAsia="宋体" w:cs="宋体"/>
                <w:caps w:val="0"/>
                <w:smallCaps w:val="0"/>
                <w:color w:val="auto"/>
                <w:kern w:val="0"/>
                <w:sz w:val="21"/>
                <w:szCs w:val="21"/>
                <w:u w:val="single"/>
                <w:lang w:eastAsia="zh-CN"/>
              </w:rPr>
            </w:pPr>
            <w:r>
              <w:rPr>
                <w:rFonts w:hint="eastAsia" w:ascii="宋体" w:hAnsi="宋体"/>
                <w:color w:val="auto"/>
                <w:kern w:val="0"/>
                <w:szCs w:val="21"/>
              </w:rPr>
              <w:t>（1）履约保证金的形式：</w:t>
            </w:r>
            <w:r>
              <w:rPr>
                <w:rFonts w:hint="eastAsia" w:ascii="宋体" w:hAnsi="宋体" w:eastAsia="宋体" w:cs="宋体"/>
                <w:caps w:val="0"/>
                <w:smallCaps w:val="0"/>
                <w:color w:val="auto"/>
                <w:kern w:val="0"/>
                <w:sz w:val="21"/>
                <w:szCs w:val="21"/>
                <w:u w:val="single"/>
              </w:rPr>
              <w:t>转帐或</w:t>
            </w:r>
            <w:r>
              <w:rPr>
                <w:rFonts w:hint="eastAsia" w:ascii="宋体" w:hAnsi="宋体" w:eastAsia="宋体" w:cs="宋体"/>
                <w:caps w:val="0"/>
                <w:smallCaps w:val="0"/>
                <w:color w:val="auto"/>
                <w:kern w:val="0"/>
                <w:sz w:val="21"/>
                <w:szCs w:val="21"/>
                <w:u w:val="single"/>
                <w:lang w:val="en-US" w:eastAsia="zh-CN"/>
              </w:rPr>
              <w:t>银行履约</w:t>
            </w:r>
            <w:r>
              <w:rPr>
                <w:rFonts w:hint="eastAsia" w:ascii="宋体" w:hAnsi="宋体" w:eastAsia="宋体" w:cs="宋体"/>
                <w:caps w:val="0"/>
                <w:smallCaps w:val="0"/>
                <w:color w:val="auto"/>
                <w:kern w:val="0"/>
                <w:sz w:val="21"/>
                <w:szCs w:val="21"/>
                <w:u w:val="single"/>
              </w:rPr>
              <w:t>保函</w:t>
            </w:r>
            <w:r>
              <w:rPr>
                <w:rFonts w:hint="eastAsia" w:ascii="宋体" w:hAnsi="宋体" w:eastAsia="宋体" w:cs="宋体"/>
                <w:caps w:val="0"/>
                <w:smallCaps w:val="0"/>
                <w:color w:val="auto"/>
                <w:kern w:val="0"/>
                <w:sz w:val="21"/>
                <w:szCs w:val="21"/>
                <w:u w:val="single"/>
                <w:lang w:eastAsia="zh-CN"/>
              </w:rPr>
              <w:t>。</w:t>
            </w:r>
          </w:p>
          <w:p w14:paraId="5F786DFA">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lang w:val="en-US" w:eastAsia="zh-CN"/>
              </w:rPr>
              <w:t>银行履约保函示</w:t>
            </w:r>
            <w:r>
              <w:rPr>
                <w:rFonts w:hint="eastAsia" w:ascii="宋体" w:hAnsi="宋体"/>
                <w:color w:val="auto"/>
                <w:kern w:val="0"/>
                <w:szCs w:val="21"/>
              </w:rPr>
              <w:t>范文本详见第四章合同条款及格式附件。中标人提交的履约保函应严格执行其示范文本，不得对示范文本中的实质性内容进行修改。</w:t>
            </w:r>
          </w:p>
          <w:p w14:paraId="75C8AFAC">
            <w:pPr>
              <w:snapToGrid w:val="0"/>
              <w:spacing w:line="400" w:lineRule="exact"/>
              <w:ind w:firstLine="420" w:firstLineChars="200"/>
              <w:rPr>
                <w:rFonts w:hint="eastAsia" w:ascii="宋体" w:hAnsi="宋体" w:eastAsia="宋体" w:cs="宋体"/>
                <w:caps w:val="0"/>
                <w:smallCaps w:val="0"/>
                <w:color w:val="auto"/>
                <w:sz w:val="21"/>
                <w:szCs w:val="21"/>
                <w:lang w:val="en-US" w:eastAsia="zh-CN"/>
              </w:rPr>
            </w:pPr>
            <w:r>
              <w:rPr>
                <w:rFonts w:hint="eastAsia" w:ascii="宋体" w:hAnsi="宋体"/>
                <w:color w:val="auto"/>
                <w:kern w:val="0"/>
                <w:szCs w:val="21"/>
              </w:rPr>
              <w:t>（2）具体要求：</w:t>
            </w:r>
            <w:r>
              <w:rPr>
                <w:rFonts w:hint="eastAsia" w:ascii="宋体" w:hAnsi="宋体" w:eastAsia="宋体" w:cs="宋体"/>
                <w:caps w:val="0"/>
                <w:smallCaps w:val="0"/>
                <w:color w:val="auto"/>
                <w:kern w:val="0"/>
                <w:sz w:val="21"/>
                <w:szCs w:val="21"/>
                <w:lang w:eastAsia="zh-CN"/>
              </w:rPr>
              <w:t>履约</w:t>
            </w:r>
            <w:r>
              <w:rPr>
                <w:rFonts w:hint="eastAsia" w:ascii="宋体" w:hAnsi="宋体" w:eastAsia="宋体" w:cs="宋体"/>
                <w:caps w:val="0"/>
                <w:smallCaps w:val="0"/>
                <w:color w:val="auto"/>
                <w:kern w:val="0"/>
                <w:sz w:val="21"/>
                <w:szCs w:val="21"/>
              </w:rPr>
              <w:t>保函</w:t>
            </w:r>
            <w:r>
              <w:rPr>
                <w:rFonts w:hint="eastAsia" w:ascii="宋体" w:hAnsi="宋体" w:eastAsia="宋体" w:cs="宋体"/>
                <w:caps w:val="0"/>
                <w:smallCaps w:val="0"/>
                <w:color w:val="auto"/>
                <w:kern w:val="0"/>
                <w:sz w:val="21"/>
                <w:szCs w:val="21"/>
                <w:lang w:val="en-US" w:eastAsia="zh-CN"/>
              </w:rPr>
              <w:t>必须是</w:t>
            </w:r>
            <w:r>
              <w:rPr>
                <w:rFonts w:hint="eastAsia" w:ascii="宋体" w:hAnsi="宋体" w:eastAsia="宋体" w:cs="宋体"/>
                <w:caps w:val="0"/>
                <w:smallCaps w:val="0"/>
                <w:color w:val="auto"/>
                <w:sz w:val="21"/>
                <w:szCs w:val="21"/>
                <w:lang w:val="en-US" w:eastAsia="zh-CN"/>
              </w:rPr>
              <w:t>在国有商业银行或全国性股份制商业银行开具，且纸质保函能在开立人在渝的总部或者分支机构进行核验，纸质保函为不可撤销、见索即付的独立保函。</w:t>
            </w:r>
          </w:p>
          <w:p w14:paraId="4DE967E5">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中标人对所提交的履约保函的真实性、合法性、有效性负责。</w:t>
            </w:r>
          </w:p>
          <w:p w14:paraId="79B0EF0D">
            <w:pPr>
              <w:snapToGrid w:val="0"/>
              <w:spacing w:line="400" w:lineRule="exact"/>
              <w:ind w:firstLine="420" w:firstLineChars="200"/>
              <w:rPr>
                <w:rFonts w:hint="eastAsia" w:ascii="宋体" w:hAnsi="宋体"/>
                <w:color w:val="auto"/>
                <w:kern w:val="0"/>
                <w:szCs w:val="21"/>
              </w:rPr>
            </w:pPr>
            <w:r>
              <w:rPr>
                <w:rFonts w:hint="eastAsia" w:ascii="宋体" w:hAnsi="宋体"/>
                <w:color w:val="auto"/>
                <w:kern w:val="0"/>
                <w:szCs w:val="21"/>
              </w:rPr>
              <w:t>（3）履约保证金的金额：</w:t>
            </w:r>
            <w:r>
              <w:rPr>
                <w:rFonts w:hint="eastAsia" w:ascii="宋体" w:hAnsi="宋体" w:eastAsia="宋体" w:cs="宋体"/>
                <w:i w:val="0"/>
                <w:iCs/>
                <w:color w:val="auto"/>
                <w:kern w:val="0"/>
                <w:szCs w:val="21"/>
                <w:highlight w:val="yellow"/>
                <w:u w:val="single"/>
              </w:rPr>
              <w:t>中标合同金额的</w:t>
            </w:r>
            <w:r>
              <w:rPr>
                <w:rFonts w:hint="eastAsia" w:ascii="宋体" w:hAnsi="宋体" w:cs="宋体"/>
                <w:i w:val="0"/>
                <w:iCs/>
                <w:color w:val="auto"/>
                <w:kern w:val="0"/>
                <w:szCs w:val="21"/>
                <w:highlight w:val="yellow"/>
                <w:u w:val="single"/>
                <w:lang w:val="en-US" w:eastAsia="zh-CN"/>
              </w:rPr>
              <w:t>5</w:t>
            </w:r>
            <w:r>
              <w:rPr>
                <w:rFonts w:hint="eastAsia" w:ascii="宋体" w:hAnsi="宋体" w:eastAsia="宋体" w:cs="宋体"/>
                <w:i w:val="0"/>
                <w:iCs/>
                <w:color w:val="auto"/>
                <w:kern w:val="0"/>
                <w:szCs w:val="21"/>
                <w:highlight w:val="yellow"/>
                <w:u w:val="single"/>
              </w:rPr>
              <w:t xml:space="preserve">% </w:t>
            </w:r>
            <w:r>
              <w:rPr>
                <w:rFonts w:hint="eastAsia" w:ascii="宋体" w:hAnsi="宋体" w:eastAsia="宋体" w:cs="宋体"/>
                <w:i w:val="0"/>
                <w:iCs/>
                <w:color w:val="auto"/>
                <w:kern w:val="0"/>
                <w:szCs w:val="21"/>
              </w:rPr>
              <w:t>。</w:t>
            </w:r>
          </w:p>
          <w:p w14:paraId="0617FC38">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（4）履约保证金的提交时间：见专用合同条款。</w:t>
            </w:r>
          </w:p>
          <w:p w14:paraId="4902B6E8">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（5）履约保证金的期限：见专用合同条款。</w:t>
            </w:r>
          </w:p>
          <w:p w14:paraId="6B09B7FA">
            <w:pPr>
              <w:snapToGrid w:val="0"/>
              <w:spacing w:after="48" w:afterLines="20" w:line="400" w:lineRule="exact"/>
              <w:ind w:firstLine="420" w:firstLineChars="200"/>
              <w:rPr>
                <w:rFonts w:ascii="宋体" w:hAnsi="宋体"/>
                <w:color w:val="auto"/>
                <w:kern w:val="0"/>
                <w:szCs w:val="21"/>
              </w:rPr>
            </w:pPr>
            <w:r>
              <w:rPr>
                <w:rFonts w:hint="eastAsia" w:ascii="宋体" w:hAnsi="宋体"/>
                <w:color w:val="auto"/>
                <w:kern w:val="0"/>
                <w:szCs w:val="21"/>
              </w:rPr>
              <w:t>（6）履约保证金的退还时间：见专用合同条款。</w:t>
            </w:r>
          </w:p>
        </w:tc>
      </w:tr>
      <w:tr w14:paraId="754D06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35BDB5B">
            <w:pPr>
              <w:snapToGrid w:val="0"/>
              <w:spacing w:line="400" w:lineRule="exact"/>
              <w:jc w:val="center"/>
              <w:rPr>
                <w:rFonts w:ascii="宋体" w:hAnsi="宋体"/>
                <w:color w:val="auto"/>
                <w:kern w:val="0"/>
                <w:szCs w:val="21"/>
              </w:rPr>
            </w:pPr>
            <w:r>
              <w:rPr>
                <w:rFonts w:ascii="宋体" w:hAnsi="宋体"/>
                <w:color w:val="auto"/>
                <w:kern w:val="0"/>
                <w:szCs w:val="21"/>
              </w:rPr>
              <w:t>8.1</w:t>
            </w:r>
          </w:p>
        </w:tc>
        <w:tc>
          <w:tcPr>
            <w:tcW w:w="1754" w:type="dxa"/>
            <w:vAlign w:val="center"/>
          </w:tcPr>
          <w:p w14:paraId="2F8FEA99">
            <w:pPr>
              <w:snapToGrid w:val="0"/>
              <w:spacing w:line="400" w:lineRule="exact"/>
              <w:jc w:val="center"/>
              <w:rPr>
                <w:rFonts w:ascii="宋体" w:hAnsi="宋体"/>
                <w:color w:val="auto"/>
                <w:kern w:val="0"/>
                <w:szCs w:val="21"/>
              </w:rPr>
            </w:pPr>
            <w:r>
              <w:rPr>
                <w:rFonts w:ascii="宋体" w:hAnsi="宋体"/>
                <w:color w:val="auto"/>
                <w:kern w:val="0"/>
                <w:szCs w:val="21"/>
              </w:rPr>
              <w:t>重新招标</w:t>
            </w:r>
            <w:r>
              <w:rPr>
                <w:rFonts w:hint="eastAsia" w:ascii="宋体" w:hAnsi="宋体"/>
                <w:color w:val="auto"/>
                <w:kern w:val="0"/>
                <w:szCs w:val="21"/>
              </w:rPr>
              <w:t>的情形</w:t>
            </w:r>
          </w:p>
        </w:tc>
        <w:tc>
          <w:tcPr>
            <w:tcW w:w="6490" w:type="dxa"/>
            <w:vAlign w:val="center"/>
          </w:tcPr>
          <w:p w14:paraId="51AEE1A2">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color w:val="auto"/>
                <w:kern w:val="0"/>
                <w:szCs w:val="21"/>
              </w:rPr>
            </w:pPr>
            <w:r>
              <w:rPr>
                <w:rFonts w:hint="eastAsia" w:ascii="宋体" w:hAnsi="宋体"/>
                <w:color w:val="auto"/>
                <w:kern w:val="0"/>
                <w:szCs w:val="21"/>
                <w:lang w:eastAsia="zh-CN"/>
              </w:rPr>
              <w:t>（</w:t>
            </w:r>
            <w:r>
              <w:rPr>
                <w:rFonts w:hint="eastAsia" w:ascii="宋体" w:hAnsi="宋体"/>
                <w:color w:val="auto"/>
                <w:kern w:val="0"/>
                <w:szCs w:val="21"/>
                <w:lang w:val="en-US" w:eastAsia="zh-CN"/>
              </w:rPr>
              <w:t>1</w:t>
            </w:r>
            <w:r>
              <w:rPr>
                <w:rFonts w:hint="eastAsia" w:ascii="宋体" w:hAnsi="宋体"/>
                <w:color w:val="auto"/>
                <w:kern w:val="0"/>
                <w:szCs w:val="21"/>
                <w:lang w:eastAsia="zh-CN"/>
              </w:rPr>
              <w:t>）</w:t>
            </w:r>
            <w:r>
              <w:rPr>
                <w:rFonts w:hint="eastAsia" w:ascii="宋体" w:hAnsi="宋体"/>
                <w:color w:val="auto"/>
                <w:kern w:val="0"/>
                <w:szCs w:val="21"/>
              </w:rPr>
              <w:t>投标截止时间止，投标人少于 3 个的</w:t>
            </w:r>
            <w:r>
              <w:rPr>
                <w:rFonts w:hint="eastAsia" w:ascii="宋体" w:hAnsi="宋体"/>
                <w:color w:val="auto"/>
                <w:kern w:val="0"/>
                <w:szCs w:val="21"/>
                <w:lang w:eastAsia="zh-CN"/>
              </w:rPr>
              <w:t>（</w:t>
            </w:r>
            <w:r>
              <w:rPr>
                <w:rFonts w:hint="eastAsia" w:ascii="宋体" w:hAnsi="宋体"/>
                <w:b/>
                <w:bCs/>
                <w:color w:val="auto"/>
                <w:kern w:val="0"/>
                <w:szCs w:val="21"/>
              </w:rPr>
              <w:t>本款只适用于首次招标</w:t>
            </w:r>
            <w:r>
              <w:rPr>
                <w:rFonts w:hint="eastAsia" w:ascii="宋体" w:hAnsi="宋体"/>
                <w:color w:val="auto"/>
                <w:kern w:val="0"/>
                <w:szCs w:val="21"/>
                <w:lang w:eastAsia="zh-CN"/>
              </w:rPr>
              <w:t>）</w:t>
            </w:r>
            <w:r>
              <w:rPr>
                <w:rFonts w:hint="eastAsia" w:ascii="宋体" w:hAnsi="宋体"/>
                <w:color w:val="auto"/>
                <w:kern w:val="0"/>
                <w:szCs w:val="21"/>
              </w:rPr>
              <w:t>；</w:t>
            </w:r>
          </w:p>
          <w:p w14:paraId="100F217C">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color w:val="auto"/>
                <w:kern w:val="0"/>
                <w:szCs w:val="21"/>
              </w:rPr>
            </w:pPr>
            <w:r>
              <w:rPr>
                <w:rFonts w:hint="eastAsia" w:ascii="宋体" w:hAnsi="宋体"/>
                <w:color w:val="auto"/>
                <w:kern w:val="0"/>
                <w:szCs w:val="21"/>
                <w:lang w:eastAsia="zh-CN"/>
              </w:rPr>
              <w:t>（</w:t>
            </w:r>
            <w:r>
              <w:rPr>
                <w:rFonts w:hint="eastAsia" w:ascii="宋体" w:hAnsi="宋体"/>
                <w:color w:val="auto"/>
                <w:kern w:val="0"/>
                <w:szCs w:val="21"/>
                <w:lang w:val="en-US" w:eastAsia="zh-CN"/>
              </w:rPr>
              <w:t>2</w:t>
            </w:r>
            <w:r>
              <w:rPr>
                <w:rFonts w:hint="eastAsia" w:ascii="宋体" w:hAnsi="宋体"/>
                <w:color w:val="auto"/>
                <w:kern w:val="0"/>
                <w:szCs w:val="21"/>
                <w:lang w:eastAsia="zh-CN"/>
              </w:rPr>
              <w:t>）</w:t>
            </w:r>
            <w:r>
              <w:rPr>
                <w:rFonts w:hint="eastAsia" w:ascii="宋体" w:hAnsi="宋体"/>
                <w:color w:val="auto"/>
                <w:kern w:val="0"/>
                <w:szCs w:val="21"/>
              </w:rPr>
              <w:t>经评标委员会评审后否决所有投标的；</w:t>
            </w:r>
          </w:p>
          <w:p w14:paraId="46D8D026">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color w:val="auto"/>
                <w:kern w:val="0"/>
                <w:szCs w:val="21"/>
              </w:rPr>
            </w:pPr>
            <w:r>
              <w:rPr>
                <w:rFonts w:hint="eastAsia" w:ascii="宋体" w:hAnsi="宋体"/>
                <w:color w:val="auto"/>
                <w:kern w:val="0"/>
                <w:szCs w:val="21"/>
                <w:lang w:eastAsia="zh-CN"/>
              </w:rPr>
              <w:t>（</w:t>
            </w:r>
            <w:r>
              <w:rPr>
                <w:rFonts w:hint="eastAsia" w:ascii="宋体" w:hAnsi="宋体"/>
                <w:color w:val="auto"/>
                <w:kern w:val="0"/>
                <w:szCs w:val="21"/>
                <w:lang w:val="en-US" w:eastAsia="zh-CN"/>
              </w:rPr>
              <w:t>3</w:t>
            </w:r>
            <w:r>
              <w:rPr>
                <w:rFonts w:hint="eastAsia" w:ascii="宋体" w:hAnsi="宋体"/>
                <w:color w:val="auto"/>
                <w:kern w:val="0"/>
                <w:szCs w:val="21"/>
                <w:lang w:eastAsia="zh-CN"/>
              </w:rPr>
              <w:t>）</w:t>
            </w:r>
            <w:r>
              <w:rPr>
                <w:rFonts w:hint="eastAsia" w:ascii="宋体" w:hAnsi="宋体"/>
                <w:color w:val="auto"/>
                <w:kern w:val="0"/>
                <w:szCs w:val="21"/>
              </w:rPr>
              <w:t>经评标委员会评审后部分投标被否决，因有效投标人不足三个使得投标明显缺乏竞争的</w:t>
            </w:r>
            <w:r>
              <w:rPr>
                <w:rFonts w:hint="eastAsia" w:ascii="宋体" w:hAnsi="宋体"/>
                <w:color w:val="auto"/>
                <w:kern w:val="0"/>
                <w:szCs w:val="21"/>
                <w:lang w:eastAsia="zh-CN"/>
              </w:rPr>
              <w:t>（</w:t>
            </w:r>
            <w:r>
              <w:rPr>
                <w:rFonts w:hint="eastAsia" w:ascii="宋体" w:hAnsi="宋体"/>
                <w:b/>
                <w:bCs/>
                <w:color w:val="auto"/>
                <w:kern w:val="0"/>
                <w:szCs w:val="21"/>
              </w:rPr>
              <w:t>本款只适用于首次招标</w:t>
            </w:r>
            <w:r>
              <w:rPr>
                <w:rFonts w:hint="eastAsia" w:ascii="宋体" w:hAnsi="宋体"/>
                <w:color w:val="auto"/>
                <w:kern w:val="0"/>
                <w:szCs w:val="21"/>
                <w:lang w:eastAsia="zh-CN"/>
              </w:rPr>
              <w:t>）</w:t>
            </w:r>
            <w:r>
              <w:rPr>
                <w:rFonts w:hint="eastAsia" w:ascii="宋体" w:hAnsi="宋体"/>
                <w:color w:val="auto"/>
                <w:kern w:val="0"/>
                <w:szCs w:val="21"/>
              </w:rPr>
              <w:t>；</w:t>
            </w:r>
          </w:p>
          <w:p w14:paraId="07039F98">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lang w:eastAsia="zh-CN"/>
              </w:rPr>
              <w:t>（</w:t>
            </w:r>
            <w:r>
              <w:rPr>
                <w:rFonts w:hint="eastAsia" w:ascii="宋体" w:hAnsi="宋体"/>
                <w:color w:val="auto"/>
                <w:kern w:val="0"/>
                <w:szCs w:val="21"/>
                <w:lang w:val="en-US" w:eastAsia="zh-CN"/>
              </w:rPr>
              <w:t>4</w:t>
            </w:r>
            <w:r>
              <w:rPr>
                <w:rFonts w:hint="eastAsia" w:ascii="宋体" w:hAnsi="宋体"/>
                <w:color w:val="auto"/>
                <w:kern w:val="0"/>
                <w:szCs w:val="21"/>
                <w:lang w:eastAsia="zh-CN"/>
              </w:rPr>
              <w:t>）</w:t>
            </w:r>
            <w:r>
              <w:rPr>
                <w:rFonts w:hint="eastAsia" w:ascii="宋体" w:hAnsi="宋体"/>
                <w:color w:val="auto"/>
                <w:kern w:val="0"/>
                <w:szCs w:val="21"/>
              </w:rPr>
              <w:t>法律法规规定的其他情形。</w:t>
            </w:r>
          </w:p>
        </w:tc>
      </w:tr>
      <w:tr w14:paraId="18F8F0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87145FE">
            <w:pPr>
              <w:snapToGrid w:val="0"/>
              <w:spacing w:line="400" w:lineRule="exact"/>
              <w:jc w:val="center"/>
              <w:rPr>
                <w:rFonts w:ascii="宋体" w:hAnsi="宋体"/>
                <w:color w:val="auto"/>
                <w:kern w:val="0"/>
                <w:szCs w:val="21"/>
              </w:rPr>
            </w:pPr>
            <w:r>
              <w:rPr>
                <w:rFonts w:ascii="宋体" w:hAnsi="宋体"/>
                <w:color w:val="auto"/>
                <w:kern w:val="0"/>
                <w:szCs w:val="21"/>
              </w:rPr>
              <w:t>8.2</w:t>
            </w:r>
          </w:p>
        </w:tc>
        <w:tc>
          <w:tcPr>
            <w:tcW w:w="1754" w:type="dxa"/>
            <w:vAlign w:val="center"/>
          </w:tcPr>
          <w:p w14:paraId="3DD7D6D9">
            <w:pPr>
              <w:snapToGrid w:val="0"/>
              <w:spacing w:line="400" w:lineRule="exact"/>
              <w:jc w:val="center"/>
              <w:rPr>
                <w:color w:val="auto"/>
              </w:rPr>
            </w:pPr>
            <w:bookmarkStart w:id="88" w:name="_Toc536628250"/>
            <w:bookmarkStart w:id="89" w:name="_Toc509218709"/>
            <w:bookmarkStart w:id="90" w:name="_Toc16930431"/>
            <w:bookmarkStart w:id="91" w:name="_Toc430530434"/>
            <w:bookmarkStart w:id="92" w:name="_Toc13210670"/>
            <w:r>
              <w:rPr>
                <w:rFonts w:hint="eastAsia" w:ascii="宋体" w:hAnsi="宋体"/>
                <w:color w:val="auto"/>
                <w:kern w:val="0"/>
                <w:szCs w:val="21"/>
              </w:rPr>
              <w:t>重新</w:t>
            </w:r>
            <w:r>
              <w:rPr>
                <w:rFonts w:ascii="宋体" w:hAnsi="宋体"/>
                <w:color w:val="auto"/>
                <w:kern w:val="0"/>
                <w:szCs w:val="21"/>
              </w:rPr>
              <w:t>招标和不再招标</w:t>
            </w:r>
            <w:bookmarkEnd w:id="88"/>
            <w:bookmarkEnd w:id="89"/>
            <w:bookmarkEnd w:id="90"/>
            <w:bookmarkEnd w:id="91"/>
            <w:bookmarkEnd w:id="92"/>
          </w:p>
        </w:tc>
        <w:tc>
          <w:tcPr>
            <w:tcW w:w="6490" w:type="dxa"/>
            <w:vAlign w:val="center"/>
          </w:tcPr>
          <w:p w14:paraId="03670639">
            <w:pPr>
              <w:autoSpaceDE w:val="0"/>
              <w:autoSpaceDN w:val="0"/>
              <w:adjustRightInd w:val="0"/>
              <w:snapToGrid w:val="0"/>
              <w:spacing w:after="48" w:afterLines="20" w:line="400" w:lineRule="exact"/>
              <w:ind w:firstLine="420" w:firstLineChars="200"/>
              <w:rPr>
                <w:rFonts w:ascii="宋体" w:hAnsi="宋体"/>
                <w:snapToGrid w:val="0"/>
                <w:color w:val="auto"/>
                <w:kern w:val="0"/>
                <w:szCs w:val="21"/>
              </w:rPr>
            </w:pPr>
            <w:r>
              <w:rPr>
                <w:rFonts w:hint="eastAsia" w:ascii="宋体" w:hAnsi="宋体"/>
                <w:snapToGrid w:val="0"/>
                <w:color w:val="auto"/>
                <w:kern w:val="0"/>
                <w:szCs w:val="21"/>
              </w:rPr>
              <w:t>重新招标的投标人仍然少于三个的，按照招标</w:t>
            </w:r>
            <w:r>
              <w:rPr>
                <w:rFonts w:hint="eastAsia" w:ascii="宋体" w:hAnsi="宋体"/>
                <w:snapToGrid w:val="0"/>
                <w:color w:val="auto"/>
                <w:kern w:val="0"/>
                <w:szCs w:val="21"/>
                <w:lang w:val="en-US" w:eastAsia="zh-CN"/>
              </w:rPr>
              <w:t>文件</w:t>
            </w:r>
            <w:r>
              <w:rPr>
                <w:rFonts w:hint="eastAsia" w:ascii="宋体" w:hAnsi="宋体"/>
                <w:snapToGrid w:val="0"/>
                <w:color w:val="auto"/>
                <w:kern w:val="0"/>
                <w:szCs w:val="21"/>
              </w:rPr>
              <w:t>规定的程序开标和评标。重新招标经评审有有效投标人的，应当依法确定中标候选人；无有效投标人的，可以不再进行招标</w:t>
            </w:r>
            <w:r>
              <w:rPr>
                <w:rFonts w:ascii="宋体" w:hAnsi="宋体"/>
                <w:snapToGrid w:val="0"/>
                <w:color w:val="auto"/>
                <w:kern w:val="0"/>
                <w:szCs w:val="21"/>
              </w:rPr>
              <w:t>。</w:t>
            </w:r>
          </w:p>
        </w:tc>
      </w:tr>
      <w:tr w14:paraId="2C95F3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538F34D">
            <w:pPr>
              <w:snapToGrid w:val="0"/>
              <w:spacing w:line="400" w:lineRule="exact"/>
              <w:jc w:val="center"/>
              <w:rPr>
                <w:rFonts w:ascii="宋体" w:hAnsi="宋体"/>
                <w:color w:val="auto"/>
                <w:kern w:val="0"/>
                <w:szCs w:val="21"/>
              </w:rPr>
            </w:pPr>
            <w:r>
              <w:rPr>
                <w:rFonts w:ascii="宋体" w:hAnsi="宋体"/>
                <w:color w:val="auto"/>
                <w:kern w:val="0"/>
                <w:szCs w:val="21"/>
              </w:rPr>
              <w:t>10</w:t>
            </w:r>
          </w:p>
        </w:tc>
        <w:tc>
          <w:tcPr>
            <w:tcW w:w="8244" w:type="dxa"/>
            <w:gridSpan w:val="2"/>
            <w:vAlign w:val="center"/>
          </w:tcPr>
          <w:p w14:paraId="39F2B24F">
            <w:pPr>
              <w:snapToGrid w:val="0"/>
              <w:spacing w:line="400" w:lineRule="exact"/>
              <w:jc w:val="center"/>
              <w:rPr>
                <w:rFonts w:ascii="宋体" w:hAnsi="宋体"/>
                <w:color w:val="auto"/>
                <w:kern w:val="0"/>
                <w:szCs w:val="21"/>
              </w:rPr>
            </w:pPr>
            <w:r>
              <w:rPr>
                <w:rFonts w:ascii="宋体" w:hAnsi="宋体"/>
                <w:color w:val="auto"/>
                <w:kern w:val="0"/>
                <w:szCs w:val="21"/>
              </w:rPr>
              <w:t>需要补充的其他内容</w:t>
            </w:r>
          </w:p>
        </w:tc>
      </w:tr>
      <w:tr w14:paraId="73D9EB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CC8A95">
            <w:pPr>
              <w:snapToGrid w:val="0"/>
              <w:spacing w:line="400" w:lineRule="exact"/>
              <w:jc w:val="center"/>
              <w:rPr>
                <w:rFonts w:ascii="宋体" w:hAnsi="宋体"/>
                <w:color w:val="auto"/>
                <w:kern w:val="0"/>
                <w:szCs w:val="21"/>
              </w:rPr>
            </w:pPr>
            <w:r>
              <w:rPr>
                <w:rFonts w:ascii="宋体" w:hAnsi="宋体"/>
                <w:color w:val="auto"/>
                <w:kern w:val="0"/>
                <w:szCs w:val="21"/>
              </w:rPr>
              <w:t>10.</w:t>
            </w:r>
            <w:r>
              <w:rPr>
                <w:rFonts w:hint="eastAsia" w:ascii="宋体" w:hAnsi="宋体"/>
                <w:color w:val="auto"/>
                <w:kern w:val="0"/>
                <w:szCs w:val="21"/>
              </w:rPr>
              <w:t>1</w:t>
            </w:r>
          </w:p>
        </w:tc>
        <w:tc>
          <w:tcPr>
            <w:tcW w:w="1754" w:type="dxa"/>
            <w:vAlign w:val="center"/>
          </w:tcPr>
          <w:p w14:paraId="50284B33">
            <w:pPr>
              <w:pageBreakBefore w:val="0"/>
              <w:kinsoku/>
              <w:topLinePunct w:val="0"/>
              <w:bidi w:val="0"/>
              <w:snapToGrid w:val="0"/>
              <w:spacing w:line="360" w:lineRule="auto"/>
              <w:jc w:val="center"/>
              <w:rPr>
                <w:rFonts w:ascii="宋体" w:hAnsi="宋体"/>
                <w:color w:val="auto"/>
                <w:kern w:val="0"/>
                <w:szCs w:val="21"/>
              </w:rPr>
            </w:pPr>
            <w:r>
              <w:rPr>
                <w:rFonts w:hint="eastAsia" w:ascii="宋体" w:hAnsi="宋体" w:eastAsia="宋体" w:cs="宋体"/>
                <w:color w:val="auto"/>
                <w:kern w:val="0"/>
                <w:szCs w:val="21"/>
                <w:highlight w:val="none"/>
              </w:rPr>
              <w:t>异议</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质疑</w:t>
            </w:r>
            <w:r>
              <w:rPr>
                <w:rFonts w:hint="eastAsia" w:ascii="宋体" w:hAnsi="宋体" w:cs="宋体"/>
                <w:color w:val="auto"/>
                <w:kern w:val="0"/>
                <w:szCs w:val="21"/>
                <w:highlight w:val="none"/>
                <w:lang w:eastAsia="zh-CN"/>
              </w:rPr>
              <w:t>）</w:t>
            </w:r>
            <w:r>
              <w:rPr>
                <w:rFonts w:hint="eastAsia" w:ascii="宋体" w:hAnsi="宋体" w:eastAsia="宋体" w:cs="宋体"/>
                <w:color w:val="auto"/>
                <w:kern w:val="0"/>
                <w:szCs w:val="21"/>
                <w:highlight w:val="none"/>
              </w:rPr>
              <w:t>、投诉处理</w:t>
            </w:r>
          </w:p>
        </w:tc>
        <w:tc>
          <w:tcPr>
            <w:tcW w:w="6490" w:type="dxa"/>
            <w:vAlign w:val="center"/>
          </w:tcPr>
          <w:p w14:paraId="3C6957CD">
            <w:pPr>
              <w:pageBreakBefore w:val="0"/>
              <w:kinsoku/>
              <w:topLinePunct w:val="0"/>
              <w:bidi w:val="0"/>
              <w:snapToGrid w:val="0"/>
              <w:spacing w:line="360" w:lineRule="auto"/>
              <w:ind w:firstLine="420" w:firstLineChars="200"/>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一</w:t>
            </w:r>
            <w:r>
              <w:rPr>
                <w:rFonts w:hint="eastAsia" w:ascii="宋体" w:hAnsi="宋体" w:cs="宋体"/>
                <w:color w:val="auto"/>
                <w:kern w:val="0"/>
                <w:szCs w:val="21"/>
                <w:highlight w:val="none"/>
                <w:lang w:eastAsia="zh-CN"/>
              </w:rPr>
              <w:t>）</w:t>
            </w:r>
            <w:r>
              <w:rPr>
                <w:rFonts w:hint="eastAsia" w:ascii="宋体" w:hAnsi="宋体" w:eastAsia="宋体" w:cs="宋体"/>
                <w:color w:val="auto"/>
                <w:kern w:val="0"/>
                <w:szCs w:val="21"/>
                <w:highlight w:val="none"/>
              </w:rPr>
              <w:t>异议</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质疑</w:t>
            </w:r>
            <w:r>
              <w:rPr>
                <w:rFonts w:hint="eastAsia" w:ascii="宋体" w:hAnsi="宋体" w:cs="宋体"/>
                <w:color w:val="auto"/>
                <w:kern w:val="0"/>
                <w:szCs w:val="21"/>
                <w:highlight w:val="none"/>
                <w:lang w:eastAsia="zh-CN"/>
              </w:rPr>
              <w:t>）</w:t>
            </w:r>
          </w:p>
          <w:p w14:paraId="30150452">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1. 供应商认为采购文件、采购过程、中标或者成交结果使自己的权益受到损害的，可以在知道或者应知其权益受到损害之日起7个工作日内，以书面形式向采购人、采购代理机构提出质疑</w:t>
            </w:r>
            <w:r>
              <w:rPr>
                <w:rFonts w:hint="eastAsia" w:ascii="宋体" w:hAnsi="宋体" w:cs="宋体"/>
                <w:color w:val="auto"/>
                <w:kern w:val="0"/>
                <w:szCs w:val="21"/>
                <w:highlight w:val="none"/>
                <w:lang w:eastAsia="zh-CN"/>
              </w:rPr>
              <w:t>，</w:t>
            </w:r>
            <w:r>
              <w:rPr>
                <w:rFonts w:hint="eastAsia" w:ascii="宋体" w:hAnsi="宋体" w:eastAsia="宋体" w:cs="宋体"/>
                <w:color w:val="auto"/>
                <w:kern w:val="0"/>
                <w:szCs w:val="21"/>
                <w:highlight w:val="none"/>
              </w:rPr>
              <w:t>提出质疑的供应商应当是参与所质疑项目采购活动的供应商。</w:t>
            </w:r>
          </w:p>
          <w:p w14:paraId="7EB68D18">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供应商提出质疑应当提交质疑函和必要的证明材料。质疑函应当包括下列内容：</w:t>
            </w:r>
          </w:p>
          <w:p w14:paraId="5D7946A1">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（一）供应商的姓名或者名称、地址、邮编、联系人及联系电话；</w:t>
            </w:r>
          </w:p>
          <w:p w14:paraId="4F7FA6BE">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（二）质疑项目的名称、编号；</w:t>
            </w:r>
          </w:p>
          <w:p w14:paraId="5ACE63CA">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（三）具体、明确的质疑事项和与质疑事项相关的请求；</w:t>
            </w:r>
          </w:p>
          <w:p w14:paraId="7BAD3D00">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（四）事实依据；</w:t>
            </w:r>
          </w:p>
          <w:p w14:paraId="2D2AAD10">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（五）必要的法律依据；</w:t>
            </w:r>
          </w:p>
          <w:p w14:paraId="212D44FA">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（六）提出质疑的日期。</w:t>
            </w:r>
          </w:p>
          <w:p w14:paraId="33242DD6">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供应商为自然人的，应当由本人签字；供应商为法人或者其他组织的，应当由法定代表人、主要负责人，或者其授权代表签字或者盖章，并加盖</w:t>
            </w:r>
            <w:r>
              <w:rPr>
                <w:rFonts w:hint="eastAsia" w:ascii="宋体" w:hAnsi="宋体" w:cs="宋体"/>
                <w:color w:val="auto"/>
                <w:kern w:val="0"/>
                <w:szCs w:val="21"/>
                <w:highlight w:val="none"/>
                <w:lang w:val="en-US" w:eastAsia="zh-CN"/>
              </w:rPr>
              <w:t>单位法人章</w:t>
            </w:r>
            <w:r>
              <w:rPr>
                <w:rFonts w:hint="eastAsia" w:ascii="宋体" w:hAnsi="宋体" w:eastAsia="宋体" w:cs="宋体"/>
                <w:color w:val="auto"/>
                <w:kern w:val="0"/>
                <w:szCs w:val="21"/>
                <w:highlight w:val="none"/>
              </w:rPr>
              <w:t>。</w:t>
            </w:r>
          </w:p>
          <w:p w14:paraId="397F23C0">
            <w:pPr>
              <w:pageBreakBefore w:val="0"/>
              <w:kinsoku/>
              <w:topLinePunct w:val="0"/>
              <w:bidi w:val="0"/>
              <w:snapToGrid w:val="0"/>
              <w:spacing w:line="360" w:lineRule="auto"/>
              <w:ind w:firstLine="420" w:firstLineChars="200"/>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二</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质疑答复</w:t>
            </w:r>
          </w:p>
          <w:p w14:paraId="2B7DB53C">
            <w:pPr>
              <w:pageBreakBefore w:val="0"/>
              <w:kinsoku/>
              <w:topLinePunct w:val="0"/>
              <w:bidi w:val="0"/>
              <w:snapToGrid w:val="0"/>
              <w:spacing w:line="360" w:lineRule="auto"/>
              <w:ind w:firstLine="420" w:firstLineChars="200"/>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采购人、采购代理机构应当在收到质疑函后 7个工作日内作出答复，并以书面形式通知质疑供应商和其他有关供应商。</w:t>
            </w:r>
          </w:p>
          <w:p w14:paraId="0B6E3566">
            <w:pPr>
              <w:pageBreakBefore w:val="0"/>
              <w:kinsoku/>
              <w:topLinePunct w:val="0"/>
              <w:bidi w:val="0"/>
              <w:snapToGrid w:val="0"/>
              <w:spacing w:line="360" w:lineRule="auto"/>
              <w:ind w:firstLine="420" w:firstLineChars="200"/>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（三）其他</w:t>
            </w:r>
          </w:p>
          <w:p w14:paraId="07C84556">
            <w:pPr>
              <w:pageBreakBefore w:val="0"/>
              <w:kinsoku/>
              <w:topLinePunct w:val="0"/>
              <w:bidi w:val="0"/>
              <w:snapToGrid w:val="0"/>
              <w:spacing w:line="360" w:lineRule="auto"/>
              <w:ind w:firstLine="420" w:firstLineChars="200"/>
              <w:jc w:val="left"/>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1.供应商应按照《涪陵区区属国企采购质疑、投诉处理办法》要求，在法定质疑期内一次性提出针对同一采购程序环节的质疑。</w:t>
            </w:r>
          </w:p>
          <w:p w14:paraId="335C64DE">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2.质疑函范本可在重庆市政府采购网（www.ccgp-chongqing.gov.cn）下载。</w:t>
            </w:r>
          </w:p>
          <w:p w14:paraId="7613F4C4">
            <w:pPr>
              <w:pageBreakBefore w:val="0"/>
              <w:kinsoku/>
              <w:topLinePunct w:val="0"/>
              <w:bidi w:val="0"/>
              <w:snapToGrid w:val="0"/>
              <w:spacing w:line="360" w:lineRule="auto"/>
              <w:ind w:firstLine="420" w:firstLineChars="200"/>
              <w:jc w:val="both"/>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（四）投诉</w:t>
            </w:r>
          </w:p>
          <w:p w14:paraId="37282783">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1.</w:t>
            </w:r>
            <w:r>
              <w:rPr>
                <w:rFonts w:hint="default" w:ascii="宋体" w:hAnsi="宋体" w:cs="宋体"/>
                <w:color w:val="auto"/>
                <w:kern w:val="0"/>
                <w:szCs w:val="21"/>
                <w:highlight w:val="none"/>
                <w:lang w:val="en-US" w:eastAsia="zh-CN"/>
              </w:rPr>
              <w:t>质疑供应商对采购人、采购代理机构的答复不满意，或者未在规定时间内作出答复的，可以在答复期满后 15个工作日内向区国资委提起投诉。</w:t>
            </w:r>
          </w:p>
          <w:p w14:paraId="65922230">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2.供应商应按照《涪陵区区属国企采购质疑、投诉处理办法》要求递交投诉书和必要的证明材料。投诉书范本可在财政部门户网站和中国政府采购网下载。</w:t>
            </w:r>
          </w:p>
          <w:p w14:paraId="2DFEFBBC">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投诉书应当包括下列内容：</w:t>
            </w:r>
          </w:p>
          <w:p w14:paraId="75562888">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（一）投诉人和被投诉人的姓名或者名称、通讯地址、邮编、联系人及联系电话；</w:t>
            </w:r>
          </w:p>
          <w:p w14:paraId="6EE45F53">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（二）质疑和质疑答复情况说明及相关证明材料；</w:t>
            </w:r>
          </w:p>
          <w:p w14:paraId="3D7DDA3E">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（三）具体、明确的投诉事项和与投诉事项相关的投诉请求；</w:t>
            </w:r>
          </w:p>
          <w:p w14:paraId="51FBF5E5">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（四）事实依据；</w:t>
            </w:r>
          </w:p>
          <w:p w14:paraId="367A7E37">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（五）法律依据；</w:t>
            </w:r>
          </w:p>
          <w:p w14:paraId="649A5CF1">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（六）提起投诉的日期。</w:t>
            </w:r>
          </w:p>
          <w:p w14:paraId="32974A9C">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投诉人为自然人的，应当由本人签字；投诉人为法人或者其他组织的，应当由法定代表人、主要负责人，或者其授权代表签字或者盖章，并加盖</w:t>
            </w:r>
            <w:r>
              <w:rPr>
                <w:rFonts w:hint="eastAsia" w:ascii="宋体" w:hAnsi="宋体" w:cs="宋体"/>
                <w:color w:val="auto"/>
                <w:kern w:val="0"/>
                <w:szCs w:val="21"/>
                <w:highlight w:val="none"/>
                <w:lang w:val="en-US" w:eastAsia="zh-CN"/>
              </w:rPr>
              <w:t>单位法人章</w:t>
            </w:r>
            <w:r>
              <w:rPr>
                <w:rFonts w:hint="default" w:ascii="宋体" w:hAnsi="宋体" w:cs="宋体"/>
                <w:color w:val="auto"/>
                <w:kern w:val="0"/>
                <w:szCs w:val="21"/>
                <w:highlight w:val="none"/>
                <w:lang w:val="en-US" w:eastAsia="zh-CN"/>
              </w:rPr>
              <w:t>。</w:t>
            </w:r>
          </w:p>
          <w:p w14:paraId="7C83C870">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3.在确定受理投诉后，区国资委自受理投诉之日起30个工作日内（需要检验、检测、鉴定、专家评审以及需要投诉人补正材料的，所需时间不计算在投诉处理期限内）对投诉事项做出处理决定。</w:t>
            </w:r>
          </w:p>
          <w:p w14:paraId="42583D53">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五</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异议受理单位：</w:t>
            </w:r>
            <w:r>
              <w:rPr>
                <w:rFonts w:hint="eastAsia" w:ascii="宋体" w:hAnsi="宋体" w:eastAsia="宋体" w:cs="宋体"/>
                <w:color w:val="000000" w:themeColor="text1"/>
                <w:kern w:val="0"/>
                <w:szCs w:val="21"/>
                <w:highlight w:val="none"/>
                <w:lang w:bidi="ar"/>
                <w14:textFill>
                  <w14:solidFill>
                    <w14:schemeClr w14:val="tx1"/>
                  </w14:solidFill>
                </w14:textFill>
              </w:rPr>
              <w:t>重庆市涪</w:t>
            </w:r>
            <w:r>
              <w:rPr>
                <w:rFonts w:hint="eastAsia" w:ascii="宋体" w:hAnsi="宋体" w:eastAsia="宋体" w:cs="宋体"/>
                <w:color w:val="000000" w:themeColor="text1"/>
                <w:kern w:val="0"/>
                <w:szCs w:val="21"/>
                <w:highlight w:val="none"/>
                <w14:textFill>
                  <w14:solidFill>
                    <w14:schemeClr w14:val="tx1"/>
                  </w14:solidFill>
                </w14:textFill>
              </w:rPr>
              <w:t>陵榨菜集团股份有限公司</w:t>
            </w:r>
          </w:p>
          <w:p w14:paraId="62C2D154">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纪律检查部</w:t>
            </w:r>
            <w:r>
              <w:rPr>
                <w:rFonts w:hint="eastAsia" w:ascii="宋体" w:hAnsi="宋体" w:eastAsia="宋体" w:cs="宋体"/>
                <w:color w:val="000000" w:themeColor="text1"/>
                <w:kern w:val="0"/>
                <w:szCs w:val="21"/>
                <w:highlight w:val="none"/>
                <w14:textFill>
                  <w14:solidFill>
                    <w14:schemeClr w14:val="tx1"/>
                  </w14:solidFill>
                </w14:textFill>
              </w:rPr>
              <w:t>联系电话：023-72205722</w:t>
            </w:r>
          </w:p>
          <w:p w14:paraId="1B1B99DD">
            <w:pPr>
              <w:snapToGrid w:val="0"/>
              <w:spacing w:line="360" w:lineRule="auto"/>
              <w:ind w:firstLine="420" w:firstLineChars="200"/>
              <w:rPr>
                <w:rFonts w:hint="default"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cs="宋体"/>
                <w:color w:val="000000" w:themeColor="text1"/>
                <w:kern w:val="0"/>
                <w:szCs w:val="21"/>
                <w:highlight w:val="none"/>
                <w:lang w:val="en-US" w:eastAsia="zh-CN"/>
                <w14:textFill>
                  <w14:solidFill>
                    <w14:schemeClr w14:val="tx1"/>
                  </w14:solidFill>
                </w14:textFill>
              </w:rPr>
              <w:t>招标人代表联系电话：13212467016/13101153571</w:t>
            </w:r>
          </w:p>
          <w:p w14:paraId="025AA7C0">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六</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投诉受理部门:重庆市涪陵区国有资产监督管理委员会</w:t>
            </w:r>
          </w:p>
          <w:p w14:paraId="636ECD2A">
            <w:pPr>
              <w:pStyle w:val="2"/>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地址:重庆市涪陵李渡新区鹤凤大道38号新区大厦7楼</w:t>
            </w:r>
          </w:p>
          <w:p w14:paraId="7378CED4">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ascii="宋体" w:hAnsi="宋体"/>
                <w:color w:val="auto"/>
                <w:kern w:val="0"/>
                <w:szCs w:val="21"/>
              </w:rPr>
            </w:pPr>
            <w:r>
              <w:rPr>
                <w:rFonts w:hint="eastAsia" w:ascii="宋体" w:hAnsi="宋体" w:eastAsia="宋体" w:cs="宋体"/>
                <w:color w:val="000000" w:themeColor="text1"/>
                <w:kern w:val="0"/>
                <w:szCs w:val="21"/>
                <w:highlight w:val="none"/>
                <w14:textFill>
                  <w14:solidFill>
                    <w14:schemeClr w14:val="tx1"/>
                  </w14:solidFill>
                </w14:textFill>
              </w:rPr>
              <w:t>联系电话：</w:t>
            </w:r>
            <w:r>
              <w:rPr>
                <w:rFonts w:hint="eastAsia" w:ascii="宋体" w:hAnsi="宋体" w:eastAsia="宋体" w:cs="宋体"/>
                <w:color w:val="000000" w:themeColor="text1"/>
                <w:highlight w:val="none"/>
                <w14:textFill>
                  <w14:solidFill>
                    <w14:schemeClr w14:val="tx1"/>
                  </w14:solidFill>
                </w14:textFill>
              </w:rPr>
              <w:t>023-72217666</w:t>
            </w:r>
          </w:p>
        </w:tc>
      </w:tr>
      <w:tr w14:paraId="7F02B2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EBF53AB">
            <w:pPr>
              <w:snapToGrid w:val="0"/>
              <w:spacing w:line="400" w:lineRule="exact"/>
              <w:jc w:val="center"/>
              <w:rPr>
                <w:rFonts w:hint="eastAsia" w:ascii="宋体" w:hAnsi="宋体" w:eastAsia="宋体"/>
                <w:color w:val="auto"/>
                <w:kern w:val="0"/>
                <w:szCs w:val="21"/>
                <w:lang w:eastAsia="zh-CN"/>
              </w:rPr>
            </w:pPr>
            <w:r>
              <w:rPr>
                <w:rFonts w:hint="eastAsia" w:ascii="宋体" w:hAnsi="宋体"/>
                <w:color w:val="auto"/>
                <w:kern w:val="0"/>
                <w:szCs w:val="21"/>
              </w:rPr>
              <w:t>10.</w:t>
            </w:r>
            <w:r>
              <w:rPr>
                <w:rFonts w:hint="eastAsia" w:ascii="宋体" w:hAnsi="宋体"/>
                <w:color w:val="auto"/>
                <w:kern w:val="0"/>
                <w:szCs w:val="21"/>
                <w:lang w:val="en-US" w:eastAsia="zh-CN"/>
              </w:rPr>
              <w:t>2</w:t>
            </w:r>
          </w:p>
        </w:tc>
        <w:tc>
          <w:tcPr>
            <w:tcW w:w="1754" w:type="dxa"/>
            <w:vAlign w:val="center"/>
          </w:tcPr>
          <w:p w14:paraId="4248A6BD">
            <w:pPr>
              <w:snapToGrid w:val="0"/>
              <w:spacing w:line="400" w:lineRule="exact"/>
              <w:jc w:val="center"/>
              <w:rPr>
                <w:rFonts w:ascii="宋体" w:hAnsi="宋体"/>
                <w:color w:val="auto"/>
                <w:kern w:val="0"/>
                <w:szCs w:val="21"/>
              </w:rPr>
            </w:pPr>
            <w:r>
              <w:rPr>
                <w:rFonts w:hint="eastAsia" w:ascii="宋体" w:hAnsi="宋体"/>
                <w:color w:val="auto"/>
                <w:kern w:val="0"/>
                <w:szCs w:val="21"/>
              </w:rPr>
              <w:t>投标人注意事项</w:t>
            </w:r>
          </w:p>
        </w:tc>
        <w:tc>
          <w:tcPr>
            <w:tcW w:w="6490" w:type="dxa"/>
            <w:vAlign w:val="center"/>
          </w:tcPr>
          <w:p w14:paraId="116CEB8E">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1. 本次投标采用全流程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开评标模式。</w:t>
            </w:r>
          </w:p>
          <w:p w14:paraId="15772411">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2</w:t>
            </w:r>
            <w:r>
              <w:rPr>
                <w:rFonts w:hint="eastAsia" w:ascii="宋体" w:hAnsi="宋体" w:eastAsia="宋体" w:cs="宋体"/>
                <w:color w:val="000000" w:themeColor="text1"/>
                <w:highlight w:val="none"/>
                <w14:textFill>
                  <w14:solidFill>
                    <w14:schemeClr w14:val="tx1"/>
                  </w14:solidFill>
                </w14:textFill>
              </w:rPr>
              <w:t>. 开标活动由招标人主持，邀请所有投标人参加。投标人未在开标现场提出异议，或者未收到投标人异议的，视为投标人默认开标结果。</w:t>
            </w:r>
          </w:p>
          <w:p w14:paraId="044D01A0">
            <w:pPr>
              <w:autoSpaceDE w:val="0"/>
              <w:autoSpaceDN w:val="0"/>
              <w:adjustRightInd w:val="0"/>
              <w:snapToGrid w:val="0"/>
              <w:spacing w:line="400" w:lineRule="exact"/>
              <w:ind w:firstLine="420" w:firstLineChars="200"/>
              <w:rPr>
                <w:rFonts w:ascii="宋体" w:hAnsi="宋体"/>
                <w:color w:val="auto"/>
                <w:kern w:val="0"/>
                <w:szCs w:val="21"/>
              </w:rPr>
            </w:pPr>
            <w:r>
              <w:rPr>
                <w:rFonts w:hint="eastAsia" w:ascii="宋体" w:hAnsi="宋体" w:eastAsia="宋体" w:cs="宋体"/>
                <w:color w:val="000000" w:themeColor="text1"/>
                <w:highlight w:val="none"/>
                <w:lang w:val="en-US" w:eastAsia="zh-CN"/>
                <w14:textFill>
                  <w14:solidFill>
                    <w14:schemeClr w14:val="tx1"/>
                  </w14:solidFill>
                </w14:textFill>
              </w:rPr>
              <w:t>3</w:t>
            </w:r>
            <w:r>
              <w:rPr>
                <w:rFonts w:hint="eastAsia" w:ascii="宋体" w:hAnsi="宋体" w:eastAsia="宋体" w:cs="宋体"/>
                <w:color w:val="000000" w:themeColor="text1"/>
                <w:highlight w:val="none"/>
                <w14:textFill>
                  <w14:solidFill>
                    <w14:schemeClr w14:val="tx1"/>
                  </w14:solidFill>
                </w14:textFill>
              </w:rPr>
              <w:t>. 在评标结束前应关注项目进展情况，确保通讯联系正常。如评标委员会要求投标人澄清的，投标人应确保及时回复，否则视为拒绝按评标委员会要求澄清、说明或补正</w:t>
            </w:r>
            <w:r>
              <w:rPr>
                <w:rFonts w:hint="eastAsia" w:ascii="宋体" w:hAnsi="宋体"/>
                <w:color w:val="auto"/>
                <w:kern w:val="0"/>
                <w:szCs w:val="21"/>
              </w:rPr>
              <w:t>。</w:t>
            </w:r>
          </w:p>
        </w:tc>
      </w:tr>
      <w:tr w14:paraId="40CA06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D0650C9">
            <w:pPr>
              <w:snapToGrid w:val="0"/>
              <w:spacing w:line="400" w:lineRule="exact"/>
              <w:jc w:val="center"/>
              <w:rPr>
                <w:rFonts w:hint="eastAsia" w:ascii="宋体" w:hAnsi="宋体" w:eastAsia="宋体"/>
                <w:color w:val="auto"/>
                <w:kern w:val="0"/>
                <w:szCs w:val="21"/>
                <w:lang w:eastAsia="zh-CN"/>
              </w:rPr>
            </w:pPr>
            <w:r>
              <w:rPr>
                <w:rFonts w:hint="eastAsia" w:ascii="宋体" w:hAnsi="宋体"/>
                <w:kern w:val="0"/>
                <w:szCs w:val="21"/>
                <w:lang w:val="en-US" w:eastAsia="zh-CN"/>
              </w:rPr>
              <w:t>10.3</w:t>
            </w:r>
          </w:p>
        </w:tc>
        <w:tc>
          <w:tcPr>
            <w:tcW w:w="1754" w:type="dxa"/>
            <w:vAlign w:val="center"/>
          </w:tcPr>
          <w:p w14:paraId="5AC63FEE">
            <w:pPr>
              <w:snapToGrid w:val="0"/>
              <w:spacing w:line="400" w:lineRule="exact"/>
              <w:jc w:val="center"/>
              <w:rPr>
                <w:rFonts w:hint="default" w:ascii="宋体" w:hAnsi="宋体" w:eastAsia="宋体"/>
                <w:color w:val="auto"/>
                <w:kern w:val="0"/>
                <w:szCs w:val="21"/>
                <w:lang w:val="en-US" w:eastAsia="zh-CN"/>
              </w:rPr>
            </w:pPr>
            <w:r>
              <w:rPr>
                <w:rFonts w:hint="eastAsia" w:ascii="宋体" w:hAnsi="宋体" w:cs="宋体"/>
                <w:iCs/>
                <w:color w:val="000000" w:themeColor="text1"/>
                <w:kern w:val="0"/>
                <w:szCs w:val="21"/>
                <w:lang w:val="en-US" w:eastAsia="zh-CN"/>
                <w14:textFill>
                  <w14:solidFill>
                    <w14:schemeClr w14:val="tx1"/>
                  </w14:solidFill>
                </w14:textFill>
              </w:rPr>
              <w:t>其他</w:t>
            </w:r>
          </w:p>
        </w:tc>
        <w:tc>
          <w:tcPr>
            <w:tcW w:w="6490" w:type="dxa"/>
            <w:vAlign w:val="center"/>
          </w:tcPr>
          <w:p w14:paraId="6E2AABC0">
            <w:pPr>
              <w:snapToGrid w:val="0"/>
              <w:spacing w:line="400" w:lineRule="exact"/>
              <w:ind w:firstLine="422" w:firstLineChars="200"/>
              <w:rPr>
                <w:color w:val="auto"/>
              </w:rPr>
            </w:pPr>
            <w:r>
              <w:rPr>
                <w:rFonts w:hint="eastAsia" w:ascii="宋体" w:hAnsi="宋体"/>
                <w:b/>
                <w:bCs/>
                <w:i w:val="0"/>
                <w:iCs/>
                <w:color w:val="0000FF"/>
                <w:kern w:val="0"/>
                <w:szCs w:val="21"/>
                <w:lang w:val="en-US" w:eastAsia="zh-CN"/>
              </w:rPr>
              <w:t>本文件中所称“单位法人章”指口语表述中的“单位公章”，请投标人注意，正确加盖公章，否则，评标委员会可能作出不利于投标人的评审。</w:t>
            </w:r>
          </w:p>
        </w:tc>
      </w:tr>
      <w:tr w14:paraId="61A49D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FF20FF">
            <w:pPr>
              <w:snapToGrid w:val="0"/>
              <w:spacing w:line="400" w:lineRule="exact"/>
              <w:jc w:val="center"/>
              <w:rPr>
                <w:rFonts w:hint="default" w:ascii="宋体" w:hAnsi="宋体" w:eastAsia="宋体"/>
                <w:b/>
                <w:bCs/>
                <w:color w:val="auto"/>
                <w:kern w:val="0"/>
                <w:szCs w:val="21"/>
                <w:lang w:val="en-US" w:eastAsia="zh-CN"/>
              </w:rPr>
            </w:pPr>
            <w:bookmarkStart w:id="93" w:name="_Toc200513126"/>
            <w:bookmarkStart w:id="94" w:name="_Toc277082552"/>
            <w:bookmarkStart w:id="95" w:name="_Toc224103317"/>
            <w:bookmarkStart w:id="96" w:name="_Toc287620685"/>
            <w:bookmarkStart w:id="97" w:name="_Toc287607746"/>
            <w:bookmarkStart w:id="98" w:name="_Toc430530435"/>
            <w:r>
              <w:rPr>
                <w:rFonts w:hint="eastAsia" w:ascii="宋体" w:hAnsi="宋体"/>
                <w:kern w:val="0"/>
                <w:szCs w:val="21"/>
                <w:lang w:val="en-US" w:eastAsia="zh-CN"/>
              </w:rPr>
              <w:t>10.4</w:t>
            </w:r>
          </w:p>
        </w:tc>
        <w:tc>
          <w:tcPr>
            <w:tcW w:w="1754" w:type="dxa"/>
            <w:vAlign w:val="center"/>
          </w:tcPr>
          <w:p w14:paraId="6DCBDCB5">
            <w:pPr>
              <w:snapToGrid w:val="0"/>
              <w:spacing w:line="400" w:lineRule="exact"/>
              <w:jc w:val="center"/>
              <w:rPr>
                <w:rFonts w:hint="default" w:ascii="宋体" w:hAnsi="宋体" w:eastAsia="宋体"/>
                <w:b/>
                <w:bCs/>
                <w:iCs/>
                <w:color w:val="auto"/>
                <w:kern w:val="0"/>
                <w:szCs w:val="21"/>
                <w:highlight w:val="none"/>
                <w:lang w:val="en-US" w:eastAsia="zh-CN"/>
              </w:rPr>
            </w:pPr>
            <w:r>
              <w:rPr>
                <w:rFonts w:hint="eastAsia" w:ascii="宋体" w:hAnsi="宋体" w:cs="宋体"/>
                <w:iCs/>
                <w:color w:val="000000" w:themeColor="text1"/>
                <w:kern w:val="0"/>
                <w:szCs w:val="21"/>
                <w:lang w:val="en-US" w:eastAsia="zh-CN"/>
                <w14:textFill>
                  <w14:solidFill>
                    <w14:schemeClr w14:val="tx1"/>
                  </w14:solidFill>
                </w14:textFill>
              </w:rPr>
              <w:t>技术讲解</w:t>
            </w:r>
          </w:p>
        </w:tc>
        <w:tc>
          <w:tcPr>
            <w:tcW w:w="6490" w:type="dxa"/>
            <w:vAlign w:val="center"/>
          </w:tcPr>
          <w:p w14:paraId="63F91E61">
            <w:pPr>
              <w:snapToGrid w:val="0"/>
              <w:spacing w:line="400" w:lineRule="exact"/>
              <w:ind w:firstLine="422" w:firstLineChars="200"/>
              <w:rPr>
                <w:rFonts w:hint="default" w:ascii="宋体" w:hAnsi="宋体" w:eastAsia="宋体" w:cs="宋体"/>
                <w:b/>
                <w:bCs/>
                <w:color w:val="auto"/>
                <w:kern w:val="0"/>
                <w:szCs w:val="21"/>
                <w:highlight w:val="none"/>
                <w:u w:val="none"/>
                <w:lang w:val="en-US" w:eastAsia="zh-CN"/>
              </w:rPr>
            </w:pPr>
            <w:r>
              <w:rPr>
                <w:rFonts w:hint="eastAsia" w:ascii="宋体" w:hAnsi="宋体"/>
                <w:b/>
                <w:bCs/>
                <w:i w:val="0"/>
                <w:iCs/>
                <w:color w:val="0000FF"/>
                <w:kern w:val="0"/>
                <w:szCs w:val="21"/>
                <w:lang w:val="en-US" w:eastAsia="zh-CN"/>
              </w:rPr>
              <w:t>各投标人需派技术人员在开标当天就该项目作技术讲解，每一投标人讲解时间控制在30分钟内。</w:t>
            </w:r>
          </w:p>
        </w:tc>
      </w:tr>
    </w:tbl>
    <w:p w14:paraId="61669B66">
      <w:pPr>
        <w:bidi w:val="0"/>
        <w:rPr>
          <w:color w:val="auto"/>
        </w:rPr>
      </w:pPr>
    </w:p>
    <w:p w14:paraId="63824257">
      <w:pPr>
        <w:bidi w:val="0"/>
        <w:rPr>
          <w:color w:val="auto"/>
        </w:rPr>
      </w:pPr>
      <w:r>
        <w:rPr>
          <w:color w:val="auto"/>
        </w:rPr>
        <w:br w:type="page"/>
      </w:r>
    </w:p>
    <w:p w14:paraId="3B705A1D">
      <w:pPr>
        <w:pStyle w:val="4"/>
        <w:spacing w:before="0" w:after="0" w:line="360" w:lineRule="auto"/>
        <w:rPr>
          <w:rFonts w:ascii="宋体" w:hAnsi="宋体"/>
          <w:b w:val="0"/>
          <w:snapToGrid w:val="0"/>
          <w:color w:val="auto"/>
        </w:rPr>
      </w:pPr>
      <w:bookmarkStart w:id="99" w:name="_Toc509218710"/>
      <w:bookmarkStart w:id="100" w:name="_Toc31885"/>
      <w:r>
        <w:rPr>
          <w:rFonts w:ascii="宋体" w:hAnsi="宋体"/>
          <w:b w:val="0"/>
          <w:snapToGrid w:val="0"/>
          <w:color w:val="auto"/>
        </w:rPr>
        <w:t>1.  总则</w:t>
      </w:r>
      <w:bookmarkEnd w:id="93"/>
      <w:bookmarkEnd w:id="94"/>
      <w:bookmarkEnd w:id="95"/>
      <w:bookmarkEnd w:id="96"/>
      <w:bookmarkEnd w:id="97"/>
      <w:bookmarkEnd w:id="98"/>
      <w:bookmarkEnd w:id="99"/>
      <w:bookmarkEnd w:id="100"/>
    </w:p>
    <w:p w14:paraId="4838E888">
      <w:pPr>
        <w:pStyle w:val="6"/>
        <w:snapToGrid w:val="0"/>
        <w:spacing w:before="0" w:after="0" w:line="360" w:lineRule="auto"/>
        <w:rPr>
          <w:rFonts w:ascii="宋体" w:hAnsi="宋体"/>
          <w:b w:val="0"/>
          <w:snapToGrid w:val="0"/>
          <w:color w:val="auto"/>
          <w:sz w:val="24"/>
          <w:szCs w:val="24"/>
        </w:rPr>
      </w:pPr>
      <w:bookmarkStart w:id="101" w:name="_Toc29570"/>
      <w:bookmarkStart w:id="102" w:name="_Toc287607747"/>
      <w:bookmarkStart w:id="103" w:name="_Toc200513127"/>
      <w:bookmarkStart w:id="104" w:name="_Toc430530436"/>
      <w:bookmarkStart w:id="105" w:name="_Toc509218711"/>
      <w:bookmarkStart w:id="106" w:name="_Toc224103318"/>
      <w:bookmarkStart w:id="107" w:name="_Toc287620686"/>
      <w:bookmarkStart w:id="108" w:name="_Toc277082553"/>
      <w:r>
        <w:rPr>
          <w:rFonts w:ascii="宋体" w:hAnsi="宋体"/>
          <w:b w:val="0"/>
          <w:snapToGrid w:val="0"/>
          <w:color w:val="auto"/>
          <w:sz w:val="24"/>
          <w:szCs w:val="24"/>
        </w:rPr>
        <w:t xml:space="preserve">1.1  </w:t>
      </w:r>
      <w:r>
        <w:rPr>
          <w:rFonts w:hint="eastAsia" w:ascii="宋体" w:hAnsi="宋体"/>
          <w:b w:val="0"/>
          <w:snapToGrid w:val="0"/>
          <w:color w:val="auto"/>
          <w:sz w:val="24"/>
          <w:szCs w:val="24"/>
        </w:rPr>
        <w:t>招标</w:t>
      </w:r>
      <w:r>
        <w:rPr>
          <w:rFonts w:ascii="宋体" w:hAnsi="宋体"/>
          <w:b w:val="0"/>
          <w:snapToGrid w:val="0"/>
          <w:color w:val="auto"/>
          <w:sz w:val="24"/>
          <w:szCs w:val="24"/>
        </w:rPr>
        <w:t>项目概况</w:t>
      </w:r>
      <w:bookmarkEnd w:id="101"/>
      <w:bookmarkEnd w:id="102"/>
      <w:bookmarkEnd w:id="103"/>
      <w:bookmarkEnd w:id="104"/>
      <w:bookmarkEnd w:id="105"/>
      <w:bookmarkEnd w:id="106"/>
      <w:bookmarkEnd w:id="107"/>
      <w:bookmarkEnd w:id="108"/>
    </w:p>
    <w:p w14:paraId="0B805D1F">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1.1.1  本招标项目已具备招标条件，现对</w:t>
      </w:r>
      <w:r>
        <w:rPr>
          <w:rFonts w:hint="eastAsia" w:ascii="宋体" w:hAnsi="宋体"/>
          <w:snapToGrid w:val="0"/>
          <w:color w:val="auto"/>
          <w:kern w:val="0"/>
          <w:szCs w:val="21"/>
        </w:rPr>
        <w:t>货物采购</w:t>
      </w:r>
      <w:r>
        <w:rPr>
          <w:rFonts w:ascii="宋体" w:hAnsi="宋体"/>
          <w:snapToGrid w:val="0"/>
          <w:color w:val="auto"/>
          <w:kern w:val="0"/>
          <w:szCs w:val="21"/>
        </w:rPr>
        <w:t>进行招标。</w:t>
      </w:r>
    </w:p>
    <w:p w14:paraId="689D892F">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1.1.2  招标人：见投标人须知前附表。</w:t>
      </w:r>
    </w:p>
    <w:p w14:paraId="3419F7EB">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1.1.3  招标代理机构：见投标人须知前附表。</w:t>
      </w:r>
    </w:p>
    <w:p w14:paraId="7CFAEA90">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1.1.</w:t>
      </w:r>
      <w:r>
        <w:rPr>
          <w:rFonts w:hint="eastAsia" w:ascii="宋体" w:hAnsi="宋体"/>
          <w:snapToGrid w:val="0"/>
          <w:color w:val="auto"/>
          <w:kern w:val="0"/>
          <w:szCs w:val="21"/>
        </w:rPr>
        <w:t>4</w:t>
      </w:r>
      <w:r>
        <w:rPr>
          <w:rFonts w:ascii="宋体" w:hAnsi="宋体"/>
          <w:snapToGrid w:val="0"/>
          <w:color w:val="auto"/>
          <w:kern w:val="0"/>
          <w:szCs w:val="21"/>
        </w:rPr>
        <w:t xml:space="preserve">  招标项目名称：见投标人须知前附表。</w:t>
      </w:r>
    </w:p>
    <w:p w14:paraId="70D81626">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 xml:space="preserve">1.1.5  </w:t>
      </w:r>
      <w:r>
        <w:rPr>
          <w:rFonts w:hint="eastAsia" w:ascii="宋体" w:hAnsi="宋体"/>
          <w:snapToGrid w:val="0"/>
          <w:color w:val="auto"/>
          <w:kern w:val="0"/>
          <w:szCs w:val="21"/>
        </w:rPr>
        <w:t>工程项目名称</w:t>
      </w:r>
      <w:r>
        <w:rPr>
          <w:rFonts w:ascii="宋体" w:hAnsi="宋体"/>
          <w:snapToGrid w:val="0"/>
          <w:color w:val="auto"/>
          <w:kern w:val="0"/>
          <w:szCs w:val="21"/>
        </w:rPr>
        <w:t>：即招标项目所属的工程建设项目，见投标人须知前附表。</w:t>
      </w:r>
    </w:p>
    <w:p w14:paraId="564117B4">
      <w:pPr>
        <w:pStyle w:val="6"/>
        <w:snapToGrid w:val="0"/>
        <w:spacing w:before="0" w:after="0" w:line="360" w:lineRule="auto"/>
        <w:rPr>
          <w:rFonts w:ascii="宋体" w:hAnsi="宋体"/>
          <w:b w:val="0"/>
          <w:snapToGrid w:val="0"/>
          <w:color w:val="auto"/>
          <w:sz w:val="24"/>
          <w:szCs w:val="24"/>
        </w:rPr>
      </w:pPr>
      <w:bookmarkStart w:id="109" w:name="_Toc224103319"/>
      <w:bookmarkStart w:id="110" w:name="_Toc287607748"/>
      <w:bookmarkStart w:id="111" w:name="_Toc287620687"/>
      <w:bookmarkStart w:id="112" w:name="_Toc277082554"/>
      <w:bookmarkStart w:id="113" w:name="_Toc200513128"/>
      <w:bookmarkStart w:id="114" w:name="_Toc509218712"/>
      <w:bookmarkStart w:id="115" w:name="_Toc430530437"/>
      <w:bookmarkStart w:id="116" w:name="_Toc22469"/>
      <w:r>
        <w:rPr>
          <w:rFonts w:ascii="宋体" w:hAnsi="宋体"/>
          <w:b w:val="0"/>
          <w:snapToGrid w:val="0"/>
          <w:color w:val="auto"/>
          <w:sz w:val="24"/>
          <w:szCs w:val="24"/>
        </w:rPr>
        <w:t xml:space="preserve">1.2  </w:t>
      </w:r>
      <w:r>
        <w:rPr>
          <w:rFonts w:hint="eastAsia" w:ascii="宋体" w:hAnsi="宋体"/>
          <w:b w:val="0"/>
          <w:snapToGrid w:val="0"/>
          <w:color w:val="auto"/>
          <w:sz w:val="24"/>
          <w:szCs w:val="24"/>
        </w:rPr>
        <w:t>招标项目的</w:t>
      </w:r>
      <w:r>
        <w:rPr>
          <w:rFonts w:ascii="宋体" w:hAnsi="宋体"/>
          <w:b w:val="0"/>
          <w:snapToGrid w:val="0"/>
          <w:color w:val="auto"/>
          <w:sz w:val="24"/>
          <w:szCs w:val="24"/>
        </w:rPr>
        <w:t>资金来源和落实情况</w:t>
      </w:r>
      <w:bookmarkEnd w:id="109"/>
      <w:bookmarkEnd w:id="110"/>
      <w:bookmarkEnd w:id="111"/>
      <w:bookmarkEnd w:id="112"/>
      <w:bookmarkEnd w:id="113"/>
      <w:bookmarkEnd w:id="114"/>
      <w:bookmarkEnd w:id="115"/>
      <w:bookmarkEnd w:id="116"/>
    </w:p>
    <w:p w14:paraId="767FCCF4">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1.2.1  资金来源</w:t>
      </w:r>
      <w:r>
        <w:rPr>
          <w:rFonts w:hint="eastAsia" w:ascii="宋体" w:hAnsi="宋体"/>
          <w:snapToGrid w:val="0"/>
          <w:color w:val="auto"/>
          <w:kern w:val="0"/>
          <w:szCs w:val="21"/>
        </w:rPr>
        <w:t>及比例</w:t>
      </w:r>
      <w:r>
        <w:rPr>
          <w:rFonts w:ascii="宋体" w:hAnsi="宋体"/>
          <w:snapToGrid w:val="0"/>
          <w:color w:val="auto"/>
          <w:kern w:val="0"/>
          <w:szCs w:val="21"/>
        </w:rPr>
        <w:t>：见投标人须知前附表。</w:t>
      </w:r>
    </w:p>
    <w:p w14:paraId="1BFB58C9">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1.2.2  资金落实情况：见投标人须知前附表。</w:t>
      </w:r>
    </w:p>
    <w:p w14:paraId="6AD9E4D4">
      <w:pPr>
        <w:pStyle w:val="6"/>
        <w:snapToGrid w:val="0"/>
        <w:spacing w:before="0" w:after="0" w:line="360" w:lineRule="auto"/>
        <w:rPr>
          <w:rFonts w:ascii="宋体" w:hAnsi="宋体"/>
          <w:b w:val="0"/>
          <w:snapToGrid w:val="0"/>
          <w:color w:val="auto"/>
          <w:sz w:val="24"/>
          <w:szCs w:val="24"/>
        </w:rPr>
      </w:pPr>
      <w:bookmarkStart w:id="117" w:name="_Toc509218713"/>
      <w:bookmarkStart w:id="118" w:name="_Toc224103320"/>
      <w:bookmarkStart w:id="119" w:name="_Toc287620688"/>
      <w:bookmarkStart w:id="120" w:name="_Toc277082555"/>
      <w:bookmarkStart w:id="121" w:name="_Toc287607749"/>
      <w:bookmarkStart w:id="122" w:name="_Toc200513129"/>
      <w:bookmarkStart w:id="123" w:name="_Toc430530438"/>
      <w:bookmarkStart w:id="124" w:name="_Toc32453"/>
      <w:r>
        <w:rPr>
          <w:rFonts w:ascii="宋体" w:hAnsi="宋体"/>
          <w:b w:val="0"/>
          <w:snapToGrid w:val="0"/>
          <w:color w:val="auto"/>
          <w:sz w:val="24"/>
          <w:szCs w:val="24"/>
        </w:rPr>
        <w:t>1.3  招标范围、</w:t>
      </w:r>
      <w:bookmarkEnd w:id="117"/>
      <w:bookmarkEnd w:id="118"/>
      <w:bookmarkEnd w:id="119"/>
      <w:bookmarkEnd w:id="120"/>
      <w:bookmarkEnd w:id="121"/>
      <w:bookmarkEnd w:id="122"/>
      <w:bookmarkEnd w:id="123"/>
      <w:r>
        <w:rPr>
          <w:rFonts w:hint="eastAsia" w:ascii="宋体" w:hAnsi="宋体"/>
          <w:b w:val="0"/>
          <w:snapToGrid w:val="0"/>
          <w:color w:val="auto"/>
          <w:sz w:val="24"/>
          <w:szCs w:val="24"/>
        </w:rPr>
        <w:t>交货期、交货地点和技术性能指标</w:t>
      </w:r>
      <w:bookmarkEnd w:id="124"/>
    </w:p>
    <w:p w14:paraId="63EC2AA2">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1.3.1  招标范围：见投标人须知前附表。</w:t>
      </w:r>
    </w:p>
    <w:p w14:paraId="2146FEF1">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 xml:space="preserve">1.3.2  </w:t>
      </w:r>
      <w:r>
        <w:rPr>
          <w:rFonts w:hint="eastAsia" w:ascii="宋体" w:hAnsi="宋体"/>
          <w:snapToGrid w:val="0"/>
          <w:color w:val="auto"/>
          <w:kern w:val="0"/>
          <w:szCs w:val="21"/>
        </w:rPr>
        <w:t>交货期</w:t>
      </w:r>
      <w:r>
        <w:rPr>
          <w:rFonts w:ascii="宋体" w:hAnsi="宋体"/>
          <w:snapToGrid w:val="0"/>
          <w:color w:val="auto"/>
          <w:kern w:val="0"/>
          <w:szCs w:val="21"/>
        </w:rPr>
        <w:t>：见投标人须知前附表。</w:t>
      </w:r>
    </w:p>
    <w:p w14:paraId="25341DA1">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 xml:space="preserve">1.3.3  </w:t>
      </w:r>
      <w:r>
        <w:rPr>
          <w:rFonts w:hint="eastAsia" w:ascii="宋体" w:hAnsi="宋体"/>
          <w:snapToGrid w:val="0"/>
          <w:color w:val="auto"/>
          <w:kern w:val="0"/>
          <w:szCs w:val="21"/>
        </w:rPr>
        <w:t>交货地点</w:t>
      </w:r>
      <w:r>
        <w:rPr>
          <w:rFonts w:ascii="宋体" w:hAnsi="宋体"/>
          <w:snapToGrid w:val="0"/>
          <w:color w:val="auto"/>
          <w:kern w:val="0"/>
          <w:szCs w:val="21"/>
        </w:rPr>
        <w:t>：见投标人须知前附表。</w:t>
      </w:r>
    </w:p>
    <w:p w14:paraId="5EE44D7A">
      <w:pPr>
        <w:autoSpaceDE w:val="0"/>
        <w:autoSpaceDN w:val="0"/>
        <w:adjustRightInd w:val="0"/>
        <w:snapToGrid w:val="0"/>
        <w:spacing w:line="360" w:lineRule="auto"/>
        <w:ind w:firstLine="420" w:firstLineChars="200"/>
      </w:pPr>
      <w:r>
        <w:rPr>
          <w:rFonts w:ascii="宋体" w:hAnsi="宋体"/>
          <w:snapToGrid w:val="0"/>
          <w:color w:val="auto"/>
          <w:kern w:val="0"/>
          <w:szCs w:val="21"/>
        </w:rPr>
        <w:t>1.3.</w:t>
      </w:r>
      <w:r>
        <w:rPr>
          <w:rFonts w:hint="eastAsia" w:ascii="宋体" w:hAnsi="宋体"/>
          <w:snapToGrid w:val="0"/>
          <w:color w:val="auto"/>
          <w:kern w:val="0"/>
          <w:szCs w:val="21"/>
        </w:rPr>
        <w:t>4</w:t>
      </w:r>
      <w:r>
        <w:rPr>
          <w:rFonts w:ascii="宋体" w:hAnsi="宋体"/>
          <w:snapToGrid w:val="0"/>
          <w:color w:val="auto"/>
          <w:kern w:val="0"/>
          <w:szCs w:val="21"/>
        </w:rPr>
        <w:t xml:space="preserve">  </w:t>
      </w:r>
      <w:r>
        <w:rPr>
          <w:rFonts w:hint="eastAsia" w:ascii="宋体" w:hAnsi="宋体"/>
          <w:snapToGrid w:val="0"/>
          <w:color w:val="auto"/>
          <w:kern w:val="0"/>
          <w:szCs w:val="21"/>
        </w:rPr>
        <w:t>质量标准、技术性能指标</w:t>
      </w:r>
      <w:r>
        <w:rPr>
          <w:rFonts w:ascii="宋体" w:hAnsi="宋体"/>
          <w:snapToGrid w:val="0"/>
          <w:color w:val="auto"/>
          <w:kern w:val="0"/>
          <w:szCs w:val="21"/>
        </w:rPr>
        <w:t>：见投标人须知前附表。</w:t>
      </w:r>
    </w:p>
    <w:p w14:paraId="5975520C">
      <w:pPr>
        <w:pStyle w:val="6"/>
        <w:snapToGrid w:val="0"/>
        <w:spacing w:before="0" w:after="0" w:line="360" w:lineRule="auto"/>
        <w:rPr>
          <w:rFonts w:ascii="宋体" w:hAnsi="宋体"/>
          <w:b w:val="0"/>
          <w:snapToGrid w:val="0"/>
          <w:sz w:val="24"/>
          <w:szCs w:val="24"/>
        </w:rPr>
      </w:pPr>
      <w:bookmarkStart w:id="125" w:name="_Toc509218714"/>
      <w:bookmarkStart w:id="126" w:name="_Toc277082556"/>
      <w:bookmarkStart w:id="127" w:name="_Toc287620689"/>
      <w:bookmarkStart w:id="128" w:name="_Toc224103321"/>
      <w:bookmarkStart w:id="129" w:name="_Toc287607750"/>
      <w:bookmarkStart w:id="130" w:name="_Toc200513130"/>
      <w:bookmarkStart w:id="131" w:name="_Toc16600"/>
      <w:bookmarkStart w:id="132" w:name="_Toc430530439"/>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5"/>
      <w:bookmarkEnd w:id="126"/>
      <w:bookmarkEnd w:id="127"/>
      <w:bookmarkEnd w:id="128"/>
      <w:bookmarkEnd w:id="129"/>
      <w:bookmarkEnd w:id="130"/>
      <w:bookmarkEnd w:id="131"/>
      <w:bookmarkEnd w:id="132"/>
    </w:p>
    <w:p w14:paraId="24F2F6F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14:paraId="349C5F9C">
      <w:pPr>
        <w:pStyle w:val="6"/>
        <w:snapToGrid w:val="0"/>
        <w:spacing w:before="0" w:after="0" w:line="360" w:lineRule="auto"/>
        <w:rPr>
          <w:rFonts w:ascii="宋体" w:hAnsi="宋体"/>
          <w:b w:val="0"/>
          <w:snapToGrid w:val="0"/>
          <w:sz w:val="24"/>
          <w:szCs w:val="24"/>
        </w:rPr>
      </w:pPr>
      <w:bookmarkStart w:id="133" w:name="_Toc430530440"/>
      <w:bookmarkStart w:id="134" w:name="_Toc200513131"/>
      <w:bookmarkStart w:id="135" w:name="_Toc287620690"/>
      <w:bookmarkStart w:id="136" w:name="_Toc287607751"/>
      <w:bookmarkStart w:id="137" w:name="_Toc509218715"/>
      <w:bookmarkStart w:id="138" w:name="_Toc277082557"/>
      <w:bookmarkStart w:id="139" w:name="_Toc32281"/>
      <w:bookmarkStart w:id="140" w:name="_Toc224103322"/>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33"/>
      <w:bookmarkEnd w:id="134"/>
      <w:bookmarkEnd w:id="135"/>
      <w:bookmarkEnd w:id="136"/>
      <w:bookmarkEnd w:id="137"/>
      <w:bookmarkEnd w:id="138"/>
      <w:bookmarkEnd w:id="139"/>
      <w:bookmarkEnd w:id="140"/>
    </w:p>
    <w:p w14:paraId="2B6CBD3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66B097A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lang w:val="en-US" w:eastAsia="zh-CN"/>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01CAB30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561F804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66D2DB6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241BE89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2FC5C83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2732443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52DC0FA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2F57629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7844004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14:paraId="73B89AC8">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04BFC3BC">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39193E72">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14:paraId="0A7D8F3F">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6A6A5911">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6CE5F9F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64BF397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400088D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1DEE68D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253668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w:t>
      </w:r>
      <w:r>
        <w:rPr>
          <w:rFonts w:ascii="宋体" w:hAnsi="宋体"/>
          <w:snapToGrid w:val="0"/>
          <w:kern w:val="0"/>
          <w:szCs w:val="21"/>
        </w:rPr>
        <w:t>）</w:t>
      </w:r>
      <w:bookmarkStart w:id="141" w:name="_Hlk66280425"/>
      <w:r>
        <w:rPr>
          <w:rFonts w:ascii="宋体" w:hAnsi="宋体"/>
          <w:snapToGrid w:val="0"/>
          <w:kern w:val="0"/>
          <w:szCs w:val="21"/>
        </w:rPr>
        <w:t>被责令停产停业、暂扣或者吊销许可证、暂扣或者吊销执照；</w:t>
      </w:r>
      <w:bookmarkEnd w:id="141"/>
    </w:p>
    <w:p w14:paraId="7F43533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2</w:t>
      </w:r>
      <w:r>
        <w:rPr>
          <w:rFonts w:ascii="宋体" w:hAnsi="宋体"/>
          <w:snapToGrid w:val="0"/>
          <w:kern w:val="0"/>
          <w:szCs w:val="21"/>
        </w:rPr>
        <w:t>）</w:t>
      </w:r>
      <w:bookmarkStart w:id="142" w:name="_Hlk66280433"/>
      <w:r>
        <w:rPr>
          <w:rFonts w:ascii="宋体" w:hAnsi="宋体"/>
          <w:snapToGrid w:val="0"/>
          <w:kern w:val="0"/>
          <w:szCs w:val="21"/>
        </w:rPr>
        <w:t>进入清算程序，或被宣告破产，或其他丧失履约能力的情形；</w:t>
      </w:r>
      <w:bookmarkEnd w:id="142"/>
    </w:p>
    <w:p w14:paraId="1379C7C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hint="eastAsia" w:ascii="宋体" w:hAnsi="宋体"/>
          <w:snapToGrid w:val="0"/>
          <w:kern w:val="0"/>
          <w:szCs w:val="21"/>
          <w:lang w:val="en-US" w:eastAsia="zh-CN"/>
        </w:rPr>
        <w:t>3</w:t>
      </w:r>
      <w:r>
        <w:rPr>
          <w:rFonts w:hint="eastAsia" w:ascii="宋体" w:hAnsi="宋体"/>
          <w:snapToGrid w:val="0"/>
          <w:kern w:val="0"/>
          <w:szCs w:val="21"/>
        </w:rPr>
        <w:t>）被市场监督管理机关在全国企业信用信息公示系统中列入严重违法失信企业名单；</w:t>
      </w:r>
    </w:p>
    <w:p w14:paraId="5B31FDF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4</w:t>
      </w:r>
      <w:r>
        <w:rPr>
          <w:rFonts w:ascii="宋体" w:hAnsi="宋体"/>
          <w:snapToGrid w:val="0"/>
          <w:kern w:val="0"/>
          <w:szCs w:val="21"/>
        </w:rPr>
        <w:t>）法律法规或投标人须知前附表规定的其他情形。</w:t>
      </w:r>
    </w:p>
    <w:p w14:paraId="6F8C7B04">
      <w:pPr>
        <w:pStyle w:val="6"/>
        <w:snapToGrid w:val="0"/>
        <w:spacing w:before="0" w:after="0" w:line="360" w:lineRule="auto"/>
        <w:rPr>
          <w:rFonts w:ascii="宋体" w:hAnsi="宋体"/>
          <w:b w:val="0"/>
          <w:snapToGrid w:val="0"/>
          <w:sz w:val="24"/>
          <w:szCs w:val="24"/>
        </w:rPr>
      </w:pPr>
      <w:bookmarkStart w:id="143" w:name="_Toc287607752"/>
      <w:bookmarkStart w:id="144" w:name="_Toc200513132"/>
      <w:bookmarkStart w:id="145" w:name="_Toc224103323"/>
      <w:bookmarkStart w:id="146" w:name="_Toc430530441"/>
      <w:bookmarkStart w:id="147" w:name="_Toc277082558"/>
      <w:bookmarkStart w:id="148" w:name="_Toc476"/>
      <w:bookmarkStart w:id="149" w:name="_Toc509218716"/>
      <w:bookmarkStart w:id="150" w:name="_Toc287620691"/>
      <w:r>
        <w:rPr>
          <w:rFonts w:ascii="宋体" w:hAnsi="宋体"/>
          <w:b w:val="0"/>
          <w:snapToGrid w:val="0"/>
          <w:sz w:val="24"/>
          <w:szCs w:val="24"/>
        </w:rPr>
        <w:t>1.5  费用承担</w:t>
      </w:r>
      <w:bookmarkEnd w:id="143"/>
      <w:bookmarkEnd w:id="144"/>
      <w:bookmarkEnd w:id="145"/>
      <w:bookmarkEnd w:id="146"/>
      <w:bookmarkEnd w:id="147"/>
      <w:bookmarkEnd w:id="148"/>
      <w:bookmarkEnd w:id="149"/>
      <w:bookmarkEnd w:id="150"/>
    </w:p>
    <w:p w14:paraId="432021D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59D8BD24">
      <w:pPr>
        <w:pStyle w:val="6"/>
        <w:snapToGrid w:val="0"/>
        <w:spacing w:before="0" w:after="0" w:line="360" w:lineRule="auto"/>
        <w:rPr>
          <w:rFonts w:ascii="宋体" w:hAnsi="宋体"/>
          <w:b w:val="0"/>
          <w:snapToGrid w:val="0"/>
          <w:sz w:val="24"/>
          <w:szCs w:val="24"/>
        </w:rPr>
      </w:pPr>
      <w:bookmarkStart w:id="151" w:name="_Toc12848"/>
      <w:bookmarkStart w:id="152" w:name="_Toc287620692"/>
      <w:bookmarkStart w:id="153" w:name="_Toc224103324"/>
      <w:bookmarkStart w:id="154" w:name="_Toc509218717"/>
      <w:bookmarkStart w:id="155" w:name="_Toc200513133"/>
      <w:bookmarkStart w:id="156" w:name="_Toc287607753"/>
      <w:bookmarkStart w:id="157" w:name="_Toc277082559"/>
      <w:bookmarkStart w:id="158" w:name="_Toc430530442"/>
      <w:r>
        <w:rPr>
          <w:rFonts w:ascii="宋体" w:hAnsi="宋体"/>
          <w:b w:val="0"/>
          <w:snapToGrid w:val="0"/>
          <w:sz w:val="24"/>
          <w:szCs w:val="24"/>
        </w:rPr>
        <w:t>1.6  保密</w:t>
      </w:r>
      <w:bookmarkEnd w:id="151"/>
      <w:bookmarkEnd w:id="152"/>
      <w:bookmarkEnd w:id="153"/>
      <w:bookmarkEnd w:id="154"/>
      <w:bookmarkEnd w:id="155"/>
      <w:bookmarkEnd w:id="156"/>
      <w:bookmarkEnd w:id="157"/>
      <w:bookmarkEnd w:id="158"/>
    </w:p>
    <w:p w14:paraId="156BC2C8">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7EA1AFCF">
      <w:pPr>
        <w:pStyle w:val="6"/>
        <w:snapToGrid w:val="0"/>
        <w:spacing w:before="0" w:after="0" w:line="360" w:lineRule="auto"/>
        <w:rPr>
          <w:rFonts w:ascii="宋体" w:hAnsi="宋体"/>
          <w:b w:val="0"/>
          <w:snapToGrid w:val="0"/>
          <w:sz w:val="24"/>
          <w:szCs w:val="24"/>
        </w:rPr>
      </w:pPr>
      <w:bookmarkStart w:id="159" w:name="_Toc277082560"/>
      <w:bookmarkStart w:id="160" w:name="_Toc430530443"/>
      <w:bookmarkStart w:id="161" w:name="_Toc200513134"/>
      <w:bookmarkStart w:id="162" w:name="_Toc509218718"/>
      <w:bookmarkStart w:id="163" w:name="_Toc25546"/>
      <w:bookmarkStart w:id="164" w:name="_Toc287620693"/>
      <w:bookmarkStart w:id="165" w:name="_Toc224103325"/>
      <w:bookmarkStart w:id="166" w:name="_Toc287607754"/>
      <w:r>
        <w:rPr>
          <w:rFonts w:ascii="宋体" w:hAnsi="宋体"/>
          <w:b w:val="0"/>
          <w:snapToGrid w:val="0"/>
          <w:sz w:val="24"/>
          <w:szCs w:val="24"/>
        </w:rPr>
        <w:t>1.7  语言文字</w:t>
      </w:r>
      <w:bookmarkEnd w:id="159"/>
      <w:bookmarkEnd w:id="160"/>
      <w:bookmarkEnd w:id="161"/>
      <w:bookmarkEnd w:id="162"/>
      <w:bookmarkEnd w:id="163"/>
      <w:bookmarkEnd w:id="164"/>
      <w:bookmarkEnd w:id="165"/>
      <w:bookmarkEnd w:id="166"/>
    </w:p>
    <w:p w14:paraId="6B2AD67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6D2CC21A">
      <w:pPr>
        <w:pStyle w:val="6"/>
        <w:snapToGrid w:val="0"/>
        <w:spacing w:before="0" w:after="0" w:line="360" w:lineRule="auto"/>
        <w:rPr>
          <w:rFonts w:ascii="宋体" w:hAnsi="宋体"/>
          <w:b w:val="0"/>
          <w:snapToGrid w:val="0"/>
          <w:sz w:val="24"/>
          <w:szCs w:val="24"/>
        </w:rPr>
      </w:pPr>
      <w:bookmarkStart w:id="167" w:name="_Toc287620694"/>
      <w:bookmarkStart w:id="168" w:name="_Toc287607755"/>
      <w:bookmarkStart w:id="169" w:name="_Toc277082561"/>
      <w:bookmarkStart w:id="170" w:name="_Toc430530444"/>
      <w:bookmarkStart w:id="171" w:name="_Toc224103326"/>
      <w:bookmarkStart w:id="172" w:name="_Toc26351"/>
      <w:bookmarkStart w:id="173" w:name="_Toc200513135"/>
      <w:bookmarkStart w:id="174" w:name="_Toc509218719"/>
      <w:r>
        <w:rPr>
          <w:rFonts w:ascii="宋体" w:hAnsi="宋体"/>
          <w:b w:val="0"/>
          <w:snapToGrid w:val="0"/>
          <w:sz w:val="24"/>
          <w:szCs w:val="24"/>
        </w:rPr>
        <w:t>1.8  计量单位</w:t>
      </w:r>
      <w:bookmarkEnd w:id="167"/>
      <w:bookmarkEnd w:id="168"/>
      <w:bookmarkEnd w:id="169"/>
      <w:bookmarkEnd w:id="170"/>
      <w:bookmarkEnd w:id="171"/>
      <w:bookmarkEnd w:id="172"/>
      <w:bookmarkEnd w:id="173"/>
      <w:bookmarkEnd w:id="174"/>
    </w:p>
    <w:p w14:paraId="793BDAF0">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76A92D6D">
      <w:pPr>
        <w:pStyle w:val="6"/>
        <w:snapToGrid w:val="0"/>
        <w:spacing w:before="0" w:after="0" w:line="360" w:lineRule="auto"/>
        <w:rPr>
          <w:rFonts w:ascii="宋体" w:hAnsi="宋体"/>
          <w:b w:val="0"/>
          <w:snapToGrid w:val="0"/>
          <w:sz w:val="24"/>
          <w:szCs w:val="24"/>
        </w:rPr>
      </w:pPr>
      <w:bookmarkStart w:id="175" w:name="_Toc509218721"/>
      <w:bookmarkStart w:id="176" w:name="_Toc430530446"/>
      <w:bookmarkStart w:id="177" w:name="_Toc277082563"/>
      <w:bookmarkStart w:id="178" w:name="_Toc287620696"/>
      <w:bookmarkStart w:id="179" w:name="_Toc13973"/>
      <w:bookmarkStart w:id="180" w:name="_Toc224103328"/>
      <w:bookmarkStart w:id="181" w:name="_Toc200513137"/>
      <w:bookmarkStart w:id="182" w:name="_Toc287607757"/>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5"/>
      <w:bookmarkEnd w:id="176"/>
      <w:bookmarkEnd w:id="177"/>
      <w:bookmarkEnd w:id="178"/>
      <w:bookmarkEnd w:id="179"/>
      <w:bookmarkEnd w:id="180"/>
      <w:bookmarkEnd w:id="181"/>
      <w:bookmarkEnd w:id="182"/>
    </w:p>
    <w:p w14:paraId="4BD37176">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44BA1450">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62817EB6">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1362FB17">
      <w:pPr>
        <w:pStyle w:val="6"/>
        <w:snapToGrid w:val="0"/>
        <w:spacing w:before="0" w:after="0" w:line="360" w:lineRule="auto"/>
        <w:rPr>
          <w:rFonts w:ascii="宋体" w:hAnsi="宋体"/>
          <w:b w:val="0"/>
          <w:snapToGrid w:val="0"/>
          <w:sz w:val="24"/>
          <w:szCs w:val="24"/>
        </w:rPr>
      </w:pPr>
      <w:bookmarkStart w:id="183" w:name="_Toc200513138"/>
      <w:bookmarkStart w:id="184" w:name="_Toc224103329"/>
      <w:bookmarkStart w:id="185" w:name="_Toc430530447"/>
      <w:bookmarkStart w:id="186" w:name="_Toc6547"/>
      <w:bookmarkStart w:id="187" w:name="_Toc287620697"/>
      <w:bookmarkStart w:id="188" w:name="_Toc287607758"/>
      <w:bookmarkStart w:id="189" w:name="_Toc509218722"/>
      <w:bookmarkStart w:id="190" w:name="_Toc277082564"/>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83"/>
      <w:bookmarkEnd w:id="184"/>
      <w:bookmarkEnd w:id="185"/>
      <w:bookmarkEnd w:id="186"/>
      <w:bookmarkEnd w:id="187"/>
      <w:bookmarkEnd w:id="188"/>
      <w:bookmarkEnd w:id="189"/>
      <w:bookmarkEnd w:id="190"/>
    </w:p>
    <w:p w14:paraId="0FFCD0A3">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2F6544C">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72BC0E0F">
      <w:pPr>
        <w:pStyle w:val="6"/>
        <w:snapToGrid w:val="0"/>
        <w:spacing w:before="0" w:after="0" w:line="360" w:lineRule="auto"/>
        <w:rPr>
          <w:rFonts w:ascii="宋体" w:hAnsi="宋体"/>
          <w:b w:val="0"/>
          <w:snapToGrid w:val="0"/>
          <w:sz w:val="24"/>
          <w:szCs w:val="24"/>
        </w:rPr>
      </w:pPr>
      <w:bookmarkStart w:id="191" w:name="_Toc277082565"/>
      <w:bookmarkStart w:id="192" w:name="_Toc509218723"/>
      <w:bookmarkStart w:id="193" w:name="_Toc224103330"/>
      <w:bookmarkStart w:id="194" w:name="_Toc200513139"/>
      <w:bookmarkStart w:id="195" w:name="_Toc287620698"/>
      <w:bookmarkStart w:id="196" w:name="_Toc430530448"/>
      <w:bookmarkStart w:id="197" w:name="_Toc287607759"/>
      <w:bookmarkStart w:id="198" w:name="_Toc9018"/>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91"/>
      <w:bookmarkEnd w:id="192"/>
      <w:bookmarkEnd w:id="193"/>
      <w:bookmarkEnd w:id="194"/>
      <w:bookmarkEnd w:id="195"/>
      <w:bookmarkEnd w:id="196"/>
      <w:bookmarkEnd w:id="197"/>
      <w:r>
        <w:rPr>
          <w:rFonts w:hint="eastAsia" w:ascii="宋体" w:hAnsi="宋体"/>
          <w:b w:val="0"/>
          <w:snapToGrid w:val="0"/>
          <w:sz w:val="24"/>
          <w:szCs w:val="24"/>
        </w:rPr>
        <w:t>响应和偏差</w:t>
      </w:r>
      <w:bookmarkEnd w:id="198"/>
    </w:p>
    <w:p w14:paraId="4A6608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50AF3A6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0B6BF93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4FCDF36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488AE0FC">
      <w:pPr>
        <w:pStyle w:val="4"/>
        <w:spacing w:before="0" w:after="0" w:line="360" w:lineRule="auto"/>
        <w:rPr>
          <w:rFonts w:ascii="宋体" w:hAnsi="宋体"/>
          <w:b w:val="0"/>
          <w:snapToGrid w:val="0"/>
        </w:rPr>
      </w:pPr>
      <w:bookmarkStart w:id="199" w:name="_Toc287620699"/>
      <w:bookmarkStart w:id="200" w:name="_Toc224103331"/>
      <w:bookmarkStart w:id="201" w:name="_Toc509218724"/>
      <w:bookmarkStart w:id="202" w:name="_Toc287607760"/>
      <w:bookmarkStart w:id="203" w:name="_Toc430530449"/>
      <w:bookmarkStart w:id="204" w:name="_Toc200513140"/>
      <w:bookmarkStart w:id="205" w:name="_Toc13585"/>
      <w:bookmarkStart w:id="206" w:name="_Toc277082566"/>
      <w:r>
        <w:rPr>
          <w:rFonts w:ascii="宋体" w:hAnsi="宋体"/>
          <w:b w:val="0"/>
          <w:snapToGrid w:val="0"/>
        </w:rPr>
        <w:t>2.  招标文件</w:t>
      </w:r>
      <w:bookmarkEnd w:id="199"/>
      <w:bookmarkEnd w:id="200"/>
      <w:bookmarkEnd w:id="201"/>
      <w:bookmarkEnd w:id="202"/>
      <w:bookmarkEnd w:id="203"/>
      <w:bookmarkEnd w:id="204"/>
      <w:bookmarkEnd w:id="205"/>
      <w:bookmarkEnd w:id="206"/>
    </w:p>
    <w:p w14:paraId="003BBDFE">
      <w:pPr>
        <w:pStyle w:val="6"/>
        <w:snapToGrid w:val="0"/>
        <w:spacing w:before="0" w:after="0" w:line="360" w:lineRule="auto"/>
        <w:rPr>
          <w:rFonts w:ascii="宋体" w:hAnsi="宋体"/>
          <w:b w:val="0"/>
          <w:snapToGrid w:val="0"/>
          <w:sz w:val="24"/>
          <w:szCs w:val="24"/>
        </w:rPr>
      </w:pPr>
      <w:bookmarkStart w:id="207" w:name="_Toc287620700"/>
      <w:bookmarkStart w:id="208" w:name="_Toc430530450"/>
      <w:bookmarkStart w:id="209" w:name="_Toc277082567"/>
      <w:bookmarkStart w:id="210" w:name="_Toc224103332"/>
      <w:bookmarkStart w:id="211" w:name="_Toc24348"/>
      <w:bookmarkStart w:id="212" w:name="_Toc287607761"/>
      <w:bookmarkStart w:id="213" w:name="_Toc509218725"/>
      <w:bookmarkStart w:id="214" w:name="_Toc200513141"/>
      <w:r>
        <w:rPr>
          <w:rFonts w:ascii="宋体" w:hAnsi="宋体"/>
          <w:b w:val="0"/>
          <w:snapToGrid w:val="0"/>
          <w:sz w:val="24"/>
          <w:szCs w:val="24"/>
        </w:rPr>
        <w:t>2.1  招标文件的组成</w:t>
      </w:r>
      <w:bookmarkEnd w:id="207"/>
      <w:bookmarkEnd w:id="208"/>
      <w:bookmarkEnd w:id="209"/>
      <w:bookmarkEnd w:id="210"/>
      <w:bookmarkEnd w:id="211"/>
      <w:bookmarkEnd w:id="212"/>
      <w:bookmarkEnd w:id="213"/>
      <w:bookmarkEnd w:id="214"/>
    </w:p>
    <w:p w14:paraId="5AD5C714">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59BA6818">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1CE17C5C">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0FB2F270">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45152758">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22291BF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5316AB0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14:paraId="610F6AD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14:paraId="3077D4FF">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4D666EB3">
      <w:pPr>
        <w:pStyle w:val="6"/>
        <w:snapToGrid w:val="0"/>
        <w:spacing w:before="0" w:after="0" w:line="360" w:lineRule="auto"/>
        <w:rPr>
          <w:rFonts w:ascii="宋体" w:hAnsi="宋体"/>
          <w:b w:val="0"/>
          <w:snapToGrid w:val="0"/>
          <w:sz w:val="24"/>
          <w:szCs w:val="24"/>
        </w:rPr>
      </w:pPr>
      <w:bookmarkStart w:id="215" w:name="_Toc15990"/>
      <w:bookmarkStart w:id="216" w:name="_Toc430530451"/>
      <w:bookmarkStart w:id="217" w:name="_Toc509218726"/>
      <w:r>
        <w:rPr>
          <w:rFonts w:ascii="宋体" w:hAnsi="宋体"/>
          <w:b w:val="0"/>
          <w:snapToGrid w:val="0"/>
          <w:sz w:val="24"/>
          <w:szCs w:val="24"/>
        </w:rPr>
        <w:t>2.2  招标文件的澄清</w:t>
      </w:r>
      <w:bookmarkEnd w:id="215"/>
      <w:bookmarkEnd w:id="216"/>
      <w:bookmarkEnd w:id="217"/>
    </w:p>
    <w:p w14:paraId="5170F14D">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33ACEA3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投标人，但不指明澄清问题的来源。澄清发出的时间距本章第4.2.1项规定的投标截止时间不足15日的，并且澄清内容可能影响投标文件编制的，将相应延长投标截止时间。</w:t>
      </w:r>
    </w:p>
    <w:p w14:paraId="3E3C2848">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2029BBCE">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0E5E882E">
      <w:pPr>
        <w:pStyle w:val="6"/>
        <w:snapToGrid w:val="0"/>
        <w:spacing w:before="0" w:after="0" w:line="360" w:lineRule="auto"/>
        <w:rPr>
          <w:rFonts w:ascii="宋体" w:hAnsi="宋体"/>
          <w:b w:val="0"/>
          <w:snapToGrid w:val="0"/>
          <w:sz w:val="24"/>
          <w:szCs w:val="24"/>
        </w:rPr>
      </w:pPr>
      <w:bookmarkStart w:id="218" w:name="_Toc200513143"/>
      <w:bookmarkStart w:id="219" w:name="_Toc277082569"/>
      <w:bookmarkStart w:id="220" w:name="_Toc509218727"/>
      <w:bookmarkStart w:id="221" w:name="_Toc224103334"/>
      <w:bookmarkStart w:id="222" w:name="_Toc430530452"/>
      <w:bookmarkStart w:id="223" w:name="_Toc287620702"/>
      <w:bookmarkStart w:id="224" w:name="_Toc287607763"/>
      <w:bookmarkStart w:id="225" w:name="_Toc21349"/>
      <w:r>
        <w:rPr>
          <w:rFonts w:ascii="宋体" w:hAnsi="宋体"/>
          <w:b w:val="0"/>
          <w:snapToGrid w:val="0"/>
          <w:sz w:val="24"/>
          <w:szCs w:val="24"/>
        </w:rPr>
        <w:t>2.3  招标文件的修改</w:t>
      </w:r>
      <w:bookmarkEnd w:id="218"/>
      <w:bookmarkEnd w:id="219"/>
      <w:bookmarkEnd w:id="220"/>
      <w:bookmarkEnd w:id="221"/>
      <w:bookmarkEnd w:id="222"/>
      <w:bookmarkEnd w:id="223"/>
      <w:bookmarkEnd w:id="224"/>
      <w:bookmarkEnd w:id="225"/>
    </w:p>
    <w:p w14:paraId="4A536824">
      <w:pPr>
        <w:autoSpaceDE w:val="0"/>
        <w:autoSpaceDN w:val="0"/>
        <w:adjustRightInd w:val="0"/>
        <w:snapToGrid w:val="0"/>
        <w:spacing w:line="360" w:lineRule="auto"/>
        <w:ind w:firstLine="420"/>
        <w:rPr>
          <w:rFonts w:ascii="宋体" w:hAnsi="宋体"/>
          <w:snapToGrid w:val="0"/>
        </w:rPr>
      </w:pPr>
      <w:bookmarkStart w:id="226" w:name="_Toc277082570"/>
      <w:bookmarkStart w:id="227" w:name="_Toc224103335"/>
      <w:bookmarkStart w:id="228" w:name="_Toc287620703"/>
      <w:bookmarkStart w:id="229" w:name="_Toc200513144"/>
      <w:bookmarkStart w:id="230" w:name="_Toc287607764"/>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r>
        <w:rPr>
          <w:rFonts w:ascii="宋体" w:hAnsi="宋体"/>
          <w:snapToGrid w:val="0"/>
        </w:rPr>
        <w:t>修改招标文件的时间距本章第4.2.1项规定的投标截止时间不足15日的，并且修改内容可能影响投标文件编制的，将相应延长投标截止时间。</w:t>
      </w:r>
    </w:p>
    <w:p w14:paraId="07B4A453">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01C879DA">
      <w:pPr>
        <w:pStyle w:val="6"/>
        <w:snapToGrid w:val="0"/>
        <w:spacing w:before="0" w:after="0" w:line="360" w:lineRule="auto"/>
        <w:rPr>
          <w:rFonts w:ascii="宋体" w:hAnsi="宋体"/>
          <w:b w:val="0"/>
          <w:snapToGrid w:val="0"/>
          <w:sz w:val="24"/>
          <w:szCs w:val="24"/>
        </w:rPr>
      </w:pPr>
      <w:bookmarkStart w:id="231" w:name="_Toc22867"/>
      <w:r>
        <w:rPr>
          <w:rFonts w:ascii="宋体" w:hAnsi="宋体"/>
          <w:b w:val="0"/>
          <w:snapToGrid w:val="0"/>
          <w:sz w:val="24"/>
          <w:szCs w:val="24"/>
        </w:rPr>
        <w:t>2.4  招标文件的</w:t>
      </w:r>
      <w:r>
        <w:rPr>
          <w:rFonts w:hint="eastAsia" w:ascii="宋体" w:hAnsi="宋体"/>
          <w:b w:val="0"/>
          <w:snapToGrid w:val="0"/>
          <w:sz w:val="24"/>
          <w:szCs w:val="24"/>
        </w:rPr>
        <w:t>异议</w:t>
      </w:r>
      <w:bookmarkEnd w:id="231"/>
    </w:p>
    <w:p w14:paraId="279BC682">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有异议的，应当在投标截止时间10日前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14:paraId="464F7AF2">
      <w:pPr>
        <w:pStyle w:val="4"/>
        <w:spacing w:before="0" w:after="0" w:line="360" w:lineRule="auto"/>
        <w:rPr>
          <w:rFonts w:ascii="宋体" w:hAnsi="宋体"/>
          <w:b w:val="0"/>
          <w:snapToGrid w:val="0"/>
        </w:rPr>
      </w:pPr>
      <w:bookmarkStart w:id="232" w:name="_Toc8259"/>
      <w:bookmarkStart w:id="233" w:name="_Toc430530453"/>
      <w:bookmarkStart w:id="234" w:name="_Toc509218728"/>
      <w:r>
        <w:rPr>
          <w:rFonts w:ascii="宋体" w:hAnsi="宋体"/>
          <w:b w:val="0"/>
          <w:snapToGrid w:val="0"/>
        </w:rPr>
        <w:t>3.  投标文件</w:t>
      </w:r>
      <w:bookmarkEnd w:id="226"/>
      <w:bookmarkEnd w:id="227"/>
      <w:bookmarkEnd w:id="228"/>
      <w:bookmarkEnd w:id="229"/>
      <w:bookmarkEnd w:id="230"/>
      <w:bookmarkEnd w:id="232"/>
      <w:bookmarkEnd w:id="233"/>
      <w:bookmarkEnd w:id="234"/>
    </w:p>
    <w:p w14:paraId="60E3C5D2">
      <w:pPr>
        <w:pStyle w:val="6"/>
        <w:snapToGrid w:val="0"/>
        <w:spacing w:before="0" w:after="0" w:line="360" w:lineRule="auto"/>
        <w:rPr>
          <w:rFonts w:ascii="宋体" w:hAnsi="宋体"/>
          <w:b w:val="0"/>
          <w:snapToGrid w:val="0"/>
          <w:sz w:val="24"/>
          <w:szCs w:val="24"/>
        </w:rPr>
      </w:pPr>
      <w:bookmarkStart w:id="235" w:name="_Toc287620704"/>
      <w:bookmarkStart w:id="236" w:name="_Toc509218729"/>
      <w:bookmarkStart w:id="237" w:name="_Toc224103336"/>
      <w:bookmarkStart w:id="238" w:name="_Toc430530454"/>
      <w:bookmarkStart w:id="239" w:name="_Toc200513145"/>
      <w:bookmarkStart w:id="240" w:name="_Toc3193"/>
      <w:bookmarkStart w:id="241" w:name="_Toc277082571"/>
      <w:bookmarkStart w:id="242" w:name="_Toc287607765"/>
      <w:r>
        <w:rPr>
          <w:rFonts w:ascii="宋体" w:hAnsi="宋体"/>
          <w:b w:val="0"/>
          <w:snapToGrid w:val="0"/>
          <w:sz w:val="24"/>
          <w:szCs w:val="24"/>
        </w:rPr>
        <w:t>3.1  投标文件的组成</w:t>
      </w:r>
      <w:bookmarkEnd w:id="235"/>
      <w:bookmarkEnd w:id="236"/>
      <w:bookmarkEnd w:id="237"/>
      <w:bookmarkEnd w:id="238"/>
      <w:bookmarkEnd w:id="239"/>
      <w:bookmarkEnd w:id="240"/>
      <w:bookmarkEnd w:id="241"/>
      <w:bookmarkEnd w:id="242"/>
    </w:p>
    <w:p w14:paraId="79622E83">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14:paraId="203C41C4">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14:paraId="28688CDB">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14:paraId="6F68E0C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14:paraId="1CFED081">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25845736">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5FB0FD60">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74BA9231">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5C60E969">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73ECAAE9">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73285B0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74C01CA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14:paraId="37F86551">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14:paraId="3726F555">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14:paraId="48061BB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14:paraId="1039BAC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14:paraId="35F97BBC">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14:paraId="3E41CD6D">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7CD218E0">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255FA6C6">
      <w:pPr>
        <w:pStyle w:val="6"/>
        <w:snapToGrid w:val="0"/>
        <w:spacing w:before="0" w:after="0" w:line="360" w:lineRule="auto"/>
        <w:rPr>
          <w:rFonts w:ascii="宋体" w:hAnsi="宋体"/>
          <w:b w:val="0"/>
          <w:snapToGrid w:val="0"/>
          <w:sz w:val="24"/>
          <w:szCs w:val="24"/>
        </w:rPr>
      </w:pPr>
      <w:bookmarkStart w:id="243" w:name="_Toc287607766"/>
      <w:bookmarkStart w:id="244" w:name="_Toc224103337"/>
      <w:bookmarkStart w:id="245" w:name="_Toc25399"/>
      <w:bookmarkStart w:id="246" w:name="_Toc200513146"/>
      <w:bookmarkStart w:id="247" w:name="_Toc277082572"/>
      <w:bookmarkStart w:id="248" w:name="_Toc287620705"/>
      <w:bookmarkStart w:id="249" w:name="_Toc430530455"/>
      <w:bookmarkStart w:id="250" w:name="_Toc509218730"/>
      <w:r>
        <w:rPr>
          <w:rFonts w:ascii="宋体" w:hAnsi="宋体"/>
          <w:b w:val="0"/>
          <w:snapToGrid w:val="0"/>
          <w:sz w:val="24"/>
          <w:szCs w:val="24"/>
        </w:rPr>
        <w:t>3.2  投标报价</w:t>
      </w:r>
      <w:bookmarkEnd w:id="243"/>
      <w:bookmarkEnd w:id="244"/>
      <w:bookmarkEnd w:id="245"/>
      <w:bookmarkEnd w:id="246"/>
      <w:bookmarkEnd w:id="247"/>
      <w:bookmarkEnd w:id="248"/>
      <w:bookmarkEnd w:id="249"/>
      <w:bookmarkEnd w:id="250"/>
    </w:p>
    <w:p w14:paraId="32EEABE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39F1D3B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6EF460C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7711A11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350CE86C">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14:paraId="23FDD904">
      <w:pPr>
        <w:pStyle w:val="6"/>
        <w:snapToGrid w:val="0"/>
        <w:spacing w:before="0" w:after="0" w:line="360" w:lineRule="auto"/>
        <w:rPr>
          <w:rFonts w:ascii="宋体" w:hAnsi="宋体"/>
          <w:b w:val="0"/>
          <w:snapToGrid w:val="0"/>
          <w:sz w:val="24"/>
          <w:szCs w:val="24"/>
        </w:rPr>
      </w:pPr>
      <w:bookmarkStart w:id="251" w:name="_Toc430530456"/>
      <w:bookmarkStart w:id="252" w:name="_Toc287607767"/>
      <w:bookmarkStart w:id="253" w:name="_Toc287620706"/>
      <w:bookmarkStart w:id="254" w:name="_Toc277082573"/>
      <w:bookmarkStart w:id="255" w:name="_Toc224103338"/>
      <w:bookmarkStart w:id="256" w:name="_Toc509218731"/>
      <w:bookmarkStart w:id="257" w:name="_Toc12682"/>
      <w:bookmarkStart w:id="258" w:name="_Toc200513147"/>
      <w:r>
        <w:rPr>
          <w:rFonts w:ascii="宋体" w:hAnsi="宋体"/>
          <w:b w:val="0"/>
          <w:snapToGrid w:val="0"/>
          <w:sz w:val="24"/>
          <w:szCs w:val="24"/>
        </w:rPr>
        <w:t>3.3  投标有效期</w:t>
      </w:r>
      <w:bookmarkEnd w:id="251"/>
      <w:bookmarkEnd w:id="252"/>
      <w:bookmarkEnd w:id="253"/>
      <w:bookmarkEnd w:id="254"/>
      <w:bookmarkEnd w:id="255"/>
      <w:bookmarkEnd w:id="256"/>
      <w:bookmarkEnd w:id="257"/>
      <w:bookmarkEnd w:id="258"/>
    </w:p>
    <w:p w14:paraId="0138ED4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3.3.1  除投标人须知前附表另有规定外，投标有效期为 </w:t>
      </w:r>
      <w:r>
        <w:rPr>
          <w:rFonts w:hint="eastAsia" w:ascii="宋体" w:hAnsi="宋体"/>
          <w:snapToGrid w:val="0"/>
          <w:kern w:val="0"/>
          <w:szCs w:val="21"/>
          <w:lang w:val="en-US" w:eastAsia="zh-CN"/>
        </w:rPr>
        <w:t>9</w:t>
      </w:r>
      <w:r>
        <w:rPr>
          <w:rFonts w:ascii="宋体" w:hAnsi="宋体"/>
          <w:snapToGrid w:val="0"/>
          <w:kern w:val="0"/>
          <w:szCs w:val="21"/>
        </w:rPr>
        <w:t>0 天。</w:t>
      </w:r>
    </w:p>
    <w:p w14:paraId="6A86842E">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14:paraId="22960E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1EEC8033">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1E872AD8">
      <w:pPr>
        <w:pStyle w:val="6"/>
        <w:keepNext w:val="0"/>
        <w:keepLines w:val="0"/>
        <w:snapToGrid w:val="0"/>
        <w:spacing w:before="0" w:after="0" w:line="360" w:lineRule="auto"/>
        <w:rPr>
          <w:rFonts w:ascii="宋体" w:hAnsi="宋体"/>
          <w:b w:val="0"/>
          <w:snapToGrid w:val="0"/>
          <w:sz w:val="24"/>
          <w:szCs w:val="24"/>
        </w:rPr>
      </w:pPr>
      <w:bookmarkStart w:id="259" w:name="_Toc509218732"/>
      <w:bookmarkStart w:id="260" w:name="_Toc430530457"/>
      <w:bookmarkStart w:id="261" w:name="_Toc277082574"/>
      <w:bookmarkStart w:id="262" w:name="_Toc200513148"/>
      <w:bookmarkStart w:id="263" w:name="_Toc287620707"/>
      <w:bookmarkStart w:id="264" w:name="_Toc287607768"/>
      <w:bookmarkStart w:id="265" w:name="_Toc224103339"/>
      <w:bookmarkStart w:id="266" w:name="_Toc8412"/>
      <w:r>
        <w:rPr>
          <w:rFonts w:ascii="宋体" w:hAnsi="宋体"/>
          <w:b w:val="0"/>
          <w:snapToGrid w:val="0"/>
          <w:sz w:val="24"/>
          <w:szCs w:val="24"/>
        </w:rPr>
        <w:t>3.4  投标</w:t>
      </w:r>
      <w:bookmarkEnd w:id="259"/>
      <w:bookmarkEnd w:id="260"/>
      <w:bookmarkEnd w:id="261"/>
      <w:bookmarkEnd w:id="262"/>
      <w:bookmarkEnd w:id="263"/>
      <w:bookmarkEnd w:id="264"/>
      <w:bookmarkEnd w:id="265"/>
      <w:r>
        <w:rPr>
          <w:rFonts w:hint="eastAsia" w:ascii="宋体" w:hAnsi="宋体"/>
          <w:b w:val="0"/>
          <w:snapToGrid w:val="0"/>
          <w:sz w:val="24"/>
          <w:szCs w:val="24"/>
        </w:rPr>
        <w:t>保证金</w:t>
      </w:r>
      <w:bookmarkEnd w:id="266"/>
    </w:p>
    <w:p w14:paraId="4DC65DC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1EBEEC6">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39566AC2">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14:paraId="7BA32F2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5D2B2D9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6586C89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063C12C2">
      <w:pPr>
        <w:autoSpaceDE w:val="0"/>
        <w:autoSpaceDN w:val="0"/>
        <w:adjustRightInd w:val="0"/>
        <w:snapToGrid w:val="0"/>
        <w:spacing w:line="360" w:lineRule="auto"/>
        <w:ind w:firstLine="420" w:firstLineChars="200"/>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18668D5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793D5206">
      <w:pPr>
        <w:pStyle w:val="6"/>
        <w:keepNext w:val="0"/>
        <w:keepLines w:val="0"/>
        <w:snapToGrid w:val="0"/>
        <w:spacing w:before="0" w:after="0" w:line="360" w:lineRule="auto"/>
        <w:rPr>
          <w:rFonts w:ascii="宋体" w:hAnsi="宋体"/>
          <w:b w:val="0"/>
          <w:snapToGrid w:val="0"/>
          <w:sz w:val="24"/>
          <w:szCs w:val="24"/>
        </w:rPr>
      </w:pPr>
      <w:bookmarkStart w:id="267" w:name="_Toc3633"/>
      <w:bookmarkStart w:id="268" w:name="_Toc224103340"/>
      <w:bookmarkStart w:id="269" w:name="_Toc509218733"/>
      <w:bookmarkStart w:id="270" w:name="_Toc430530458"/>
      <w:bookmarkStart w:id="271" w:name="_Toc277082575"/>
      <w:bookmarkStart w:id="272" w:name="_Toc287607769"/>
      <w:bookmarkStart w:id="273" w:name="_Toc287620708"/>
      <w:bookmarkStart w:id="274" w:name="_Toc200513149"/>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7"/>
      <w:bookmarkEnd w:id="268"/>
      <w:bookmarkEnd w:id="269"/>
      <w:bookmarkEnd w:id="270"/>
      <w:bookmarkEnd w:id="271"/>
      <w:bookmarkEnd w:id="272"/>
      <w:bookmarkEnd w:id="273"/>
      <w:bookmarkEnd w:id="274"/>
    </w:p>
    <w:p w14:paraId="2AB358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338CAEA8">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41EABF94">
      <w:pPr>
        <w:pStyle w:val="6"/>
        <w:keepNext w:val="0"/>
        <w:keepLines w:val="0"/>
        <w:snapToGrid w:val="0"/>
        <w:spacing w:before="0" w:after="0" w:line="360" w:lineRule="auto"/>
        <w:rPr>
          <w:rFonts w:ascii="宋体" w:hAnsi="宋体"/>
          <w:b w:val="0"/>
          <w:snapToGrid w:val="0"/>
          <w:sz w:val="24"/>
          <w:szCs w:val="24"/>
        </w:rPr>
      </w:pPr>
      <w:bookmarkStart w:id="275" w:name="_Toc430530459"/>
      <w:bookmarkStart w:id="276" w:name="_Toc509218734"/>
      <w:bookmarkStart w:id="277" w:name="_Toc200513150"/>
      <w:bookmarkStart w:id="278" w:name="_Toc287607770"/>
      <w:bookmarkStart w:id="279" w:name="_Toc277082576"/>
      <w:bookmarkStart w:id="280" w:name="_Toc287620709"/>
      <w:bookmarkStart w:id="281" w:name="_Toc30150"/>
      <w:bookmarkStart w:id="282" w:name="_Toc224103341"/>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5"/>
      <w:bookmarkEnd w:id="276"/>
      <w:bookmarkEnd w:id="277"/>
      <w:bookmarkEnd w:id="278"/>
      <w:bookmarkEnd w:id="279"/>
      <w:bookmarkEnd w:id="280"/>
      <w:bookmarkEnd w:id="281"/>
      <w:bookmarkEnd w:id="282"/>
    </w:p>
    <w:p w14:paraId="1AD224BD">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1EC235C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397DAAB9">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4AD69B37">
      <w:pPr>
        <w:pStyle w:val="6"/>
        <w:snapToGrid w:val="0"/>
        <w:spacing w:before="0" w:after="0" w:line="360" w:lineRule="auto"/>
        <w:rPr>
          <w:rFonts w:ascii="宋体" w:hAnsi="宋体"/>
          <w:b w:val="0"/>
          <w:snapToGrid w:val="0"/>
          <w:sz w:val="24"/>
          <w:szCs w:val="24"/>
        </w:rPr>
      </w:pPr>
      <w:bookmarkStart w:id="283" w:name="_Toc224103342"/>
      <w:bookmarkStart w:id="284" w:name="_Toc430530460"/>
      <w:bookmarkStart w:id="285" w:name="_Toc287620710"/>
      <w:bookmarkStart w:id="286" w:name="_Toc287607771"/>
      <w:bookmarkStart w:id="287" w:name="_Toc19452"/>
      <w:bookmarkStart w:id="288" w:name="_Toc509218735"/>
      <w:bookmarkStart w:id="289" w:name="_Toc200513151"/>
      <w:bookmarkStart w:id="290" w:name="_Toc277082577"/>
      <w:r>
        <w:rPr>
          <w:rFonts w:ascii="宋体" w:hAnsi="宋体"/>
          <w:b w:val="0"/>
          <w:snapToGrid w:val="0"/>
          <w:sz w:val="24"/>
          <w:szCs w:val="24"/>
        </w:rPr>
        <w:t>3.6  备选投标方案</w:t>
      </w:r>
      <w:bookmarkEnd w:id="283"/>
      <w:bookmarkEnd w:id="284"/>
      <w:bookmarkEnd w:id="285"/>
      <w:bookmarkEnd w:id="286"/>
      <w:bookmarkEnd w:id="287"/>
      <w:bookmarkEnd w:id="288"/>
      <w:bookmarkEnd w:id="289"/>
      <w:bookmarkEnd w:id="290"/>
    </w:p>
    <w:p w14:paraId="3787ED53">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63FA1287">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7527E4AA">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7D13B473">
      <w:pPr>
        <w:pStyle w:val="6"/>
        <w:snapToGrid w:val="0"/>
        <w:spacing w:before="0" w:after="0" w:line="360" w:lineRule="auto"/>
        <w:rPr>
          <w:rFonts w:ascii="宋体" w:hAnsi="宋体"/>
          <w:b w:val="0"/>
          <w:snapToGrid w:val="0"/>
          <w:sz w:val="24"/>
          <w:szCs w:val="24"/>
        </w:rPr>
      </w:pPr>
      <w:bookmarkStart w:id="291" w:name="_Toc3942"/>
      <w:bookmarkStart w:id="292" w:name="_Toc509218736"/>
      <w:bookmarkStart w:id="293" w:name="_Toc287620711"/>
      <w:bookmarkStart w:id="294" w:name="_Toc430530461"/>
      <w:bookmarkStart w:id="295" w:name="_Toc200513152"/>
      <w:bookmarkStart w:id="296" w:name="_Toc224103343"/>
      <w:bookmarkStart w:id="297" w:name="_Toc287607772"/>
      <w:bookmarkStart w:id="298" w:name="_Toc277082578"/>
      <w:r>
        <w:rPr>
          <w:rFonts w:ascii="宋体" w:hAnsi="宋体"/>
          <w:b w:val="0"/>
          <w:snapToGrid w:val="0"/>
          <w:sz w:val="24"/>
          <w:szCs w:val="24"/>
        </w:rPr>
        <w:t>3.7  投标文件的编制</w:t>
      </w:r>
      <w:bookmarkEnd w:id="291"/>
      <w:bookmarkEnd w:id="292"/>
      <w:bookmarkEnd w:id="293"/>
      <w:bookmarkEnd w:id="294"/>
      <w:bookmarkEnd w:id="295"/>
      <w:bookmarkEnd w:id="296"/>
      <w:bookmarkEnd w:id="297"/>
      <w:bookmarkEnd w:id="298"/>
    </w:p>
    <w:p w14:paraId="2397B04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09E6945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59D1E87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358E4924">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投标文件的份数：按</w:t>
      </w:r>
      <w:r>
        <w:rPr>
          <w:rFonts w:ascii="宋体" w:hAnsi="宋体"/>
          <w:snapToGrid w:val="0"/>
          <w:kern w:val="0"/>
          <w:szCs w:val="21"/>
        </w:rPr>
        <w:t>投标</w:t>
      </w:r>
      <w:r>
        <w:rPr>
          <w:rFonts w:hint="eastAsia" w:ascii="宋体" w:hAnsi="宋体"/>
          <w:kern w:val="0"/>
          <w:szCs w:val="21"/>
        </w:rPr>
        <w:t>人须知前附表执行。</w:t>
      </w:r>
    </w:p>
    <w:p w14:paraId="32F2B4F2">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5DDB6246">
      <w:pPr>
        <w:pStyle w:val="4"/>
        <w:keepNext w:val="0"/>
        <w:keepLines w:val="0"/>
        <w:spacing w:before="0" w:after="0" w:line="360" w:lineRule="auto"/>
        <w:rPr>
          <w:rFonts w:ascii="宋体" w:hAnsi="宋体"/>
          <w:b w:val="0"/>
          <w:snapToGrid w:val="0"/>
        </w:rPr>
      </w:pPr>
      <w:bookmarkStart w:id="299" w:name="_Toc509218737"/>
      <w:bookmarkStart w:id="300" w:name="_Toc287607773"/>
      <w:bookmarkStart w:id="301" w:name="_Toc27698"/>
      <w:bookmarkStart w:id="302" w:name="_Toc430530462"/>
      <w:bookmarkStart w:id="303" w:name="_Toc200513153"/>
      <w:bookmarkStart w:id="304" w:name="_Toc277082579"/>
      <w:bookmarkStart w:id="305" w:name="_Toc287620712"/>
      <w:bookmarkStart w:id="306" w:name="_Toc224103344"/>
      <w:r>
        <w:rPr>
          <w:rFonts w:ascii="宋体" w:hAnsi="宋体"/>
          <w:b w:val="0"/>
          <w:snapToGrid w:val="0"/>
        </w:rPr>
        <w:t>4.  投标</w:t>
      </w:r>
      <w:bookmarkEnd w:id="299"/>
      <w:bookmarkEnd w:id="300"/>
      <w:bookmarkEnd w:id="301"/>
      <w:bookmarkEnd w:id="302"/>
      <w:bookmarkEnd w:id="303"/>
      <w:bookmarkEnd w:id="304"/>
      <w:bookmarkEnd w:id="305"/>
      <w:bookmarkEnd w:id="306"/>
    </w:p>
    <w:p w14:paraId="387BB035">
      <w:pPr>
        <w:pStyle w:val="6"/>
        <w:keepNext w:val="0"/>
        <w:keepLines w:val="0"/>
        <w:snapToGrid w:val="0"/>
        <w:spacing w:before="0" w:after="0" w:line="360" w:lineRule="auto"/>
        <w:rPr>
          <w:rFonts w:ascii="宋体" w:hAnsi="宋体"/>
          <w:b w:val="0"/>
          <w:snapToGrid w:val="0"/>
          <w:sz w:val="24"/>
          <w:szCs w:val="24"/>
        </w:rPr>
      </w:pPr>
      <w:bookmarkStart w:id="307" w:name="_Toc509218738"/>
      <w:bookmarkStart w:id="308" w:name="_Toc13600"/>
      <w:bookmarkStart w:id="309" w:name="_Toc224103345"/>
      <w:bookmarkStart w:id="310" w:name="_Toc200513154"/>
      <w:bookmarkStart w:id="311" w:name="_Toc277082580"/>
      <w:bookmarkStart w:id="312" w:name="_Toc430530463"/>
      <w:bookmarkStart w:id="313" w:name="_Toc287620713"/>
      <w:bookmarkStart w:id="314" w:name="_Toc287607774"/>
      <w:r>
        <w:rPr>
          <w:rFonts w:ascii="宋体" w:hAnsi="宋体"/>
          <w:b w:val="0"/>
          <w:snapToGrid w:val="0"/>
          <w:sz w:val="24"/>
          <w:szCs w:val="24"/>
        </w:rPr>
        <w:t>4.1  投标文件的密封和标记</w:t>
      </w:r>
      <w:bookmarkEnd w:id="307"/>
      <w:bookmarkEnd w:id="308"/>
      <w:bookmarkEnd w:id="309"/>
      <w:bookmarkEnd w:id="310"/>
      <w:bookmarkEnd w:id="311"/>
      <w:bookmarkEnd w:id="312"/>
      <w:bookmarkEnd w:id="313"/>
      <w:bookmarkEnd w:id="314"/>
    </w:p>
    <w:p w14:paraId="77A015DA">
      <w:pPr>
        <w:autoSpaceDE w:val="0"/>
        <w:autoSpaceDN w:val="0"/>
        <w:adjustRightInd w:val="0"/>
        <w:snapToGrid w:val="0"/>
        <w:spacing w:line="360" w:lineRule="auto"/>
        <w:ind w:firstLine="420" w:firstLineChars="200"/>
        <w:rPr>
          <w:rFonts w:ascii="宋体" w:hAnsi="宋体"/>
          <w:snapToGrid w:val="0"/>
          <w:kern w:val="0"/>
          <w:szCs w:val="21"/>
        </w:rPr>
      </w:pPr>
      <w:bookmarkStart w:id="315"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25131AB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343D513B">
      <w:pPr>
        <w:pStyle w:val="6"/>
        <w:keepNext w:val="0"/>
        <w:keepLines w:val="0"/>
        <w:snapToGrid w:val="0"/>
        <w:spacing w:before="0" w:after="0" w:line="360" w:lineRule="auto"/>
        <w:rPr>
          <w:rFonts w:ascii="宋体" w:hAnsi="宋体"/>
          <w:b w:val="0"/>
          <w:snapToGrid w:val="0"/>
          <w:sz w:val="24"/>
          <w:szCs w:val="24"/>
        </w:rPr>
      </w:pPr>
      <w:bookmarkStart w:id="316" w:name="_Toc509218739"/>
      <w:bookmarkStart w:id="317" w:name="_Toc287607775"/>
      <w:bookmarkStart w:id="318" w:name="_Toc32533"/>
      <w:bookmarkStart w:id="319" w:name="_Toc430530464"/>
      <w:bookmarkStart w:id="320" w:name="_Toc287620714"/>
      <w:bookmarkStart w:id="321" w:name="_Toc277082581"/>
      <w:bookmarkStart w:id="322" w:name="_Toc224103346"/>
      <w:r>
        <w:rPr>
          <w:rFonts w:ascii="宋体" w:hAnsi="宋体"/>
          <w:b w:val="0"/>
          <w:snapToGrid w:val="0"/>
          <w:sz w:val="24"/>
          <w:szCs w:val="24"/>
        </w:rPr>
        <w:t>4.2  投标文件的递交</w:t>
      </w:r>
      <w:bookmarkEnd w:id="315"/>
      <w:bookmarkEnd w:id="316"/>
      <w:bookmarkEnd w:id="317"/>
      <w:bookmarkEnd w:id="318"/>
      <w:bookmarkEnd w:id="319"/>
      <w:bookmarkEnd w:id="320"/>
      <w:bookmarkEnd w:id="321"/>
      <w:bookmarkEnd w:id="322"/>
    </w:p>
    <w:p w14:paraId="7150456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1AF014E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0EBB8F6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100FDB5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4.2.4  招标人收到投标文件后，由</w:t>
      </w:r>
      <w:r>
        <w:rPr>
          <w:rFonts w:hint="eastAsia" w:ascii="宋体" w:hAnsi="宋体" w:cs="宋体"/>
          <w:szCs w:val="21"/>
        </w:rPr>
        <w:t>重庆市电子招投标系统</w:t>
      </w:r>
      <w:r>
        <w:rPr>
          <w:rFonts w:ascii="宋体" w:hAnsi="宋体"/>
          <w:snapToGrid w:val="0"/>
          <w:kern w:val="0"/>
          <w:szCs w:val="21"/>
        </w:rPr>
        <w:t>向投标人出具签收凭证。</w:t>
      </w:r>
    </w:p>
    <w:p w14:paraId="7ED8078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2C15C7DA">
      <w:pPr>
        <w:pStyle w:val="6"/>
        <w:keepNext w:val="0"/>
        <w:keepLines w:val="0"/>
        <w:snapToGrid w:val="0"/>
        <w:spacing w:before="0" w:after="0" w:line="360" w:lineRule="auto"/>
        <w:rPr>
          <w:rFonts w:ascii="宋体" w:hAnsi="宋体"/>
          <w:b w:val="0"/>
          <w:snapToGrid w:val="0"/>
          <w:sz w:val="24"/>
          <w:szCs w:val="24"/>
        </w:rPr>
      </w:pPr>
      <w:bookmarkStart w:id="323" w:name="_Toc509218740"/>
      <w:bookmarkStart w:id="324" w:name="_Toc287607776"/>
      <w:bookmarkStart w:id="325" w:name="_Toc200513156"/>
      <w:bookmarkStart w:id="326" w:name="_Toc430530465"/>
      <w:bookmarkStart w:id="327" w:name="_Toc224103347"/>
      <w:bookmarkStart w:id="328" w:name="_Toc277082582"/>
      <w:bookmarkStart w:id="329" w:name="_Toc287620715"/>
      <w:bookmarkStart w:id="330" w:name="_Toc10989"/>
      <w:r>
        <w:rPr>
          <w:rFonts w:ascii="宋体" w:hAnsi="宋体"/>
          <w:b w:val="0"/>
          <w:snapToGrid w:val="0"/>
          <w:sz w:val="24"/>
          <w:szCs w:val="24"/>
        </w:rPr>
        <w:t>4.3  投标文件的修改与撤回</w:t>
      </w:r>
      <w:bookmarkEnd w:id="323"/>
      <w:bookmarkEnd w:id="324"/>
      <w:bookmarkEnd w:id="325"/>
      <w:bookmarkEnd w:id="326"/>
      <w:bookmarkEnd w:id="327"/>
      <w:bookmarkEnd w:id="328"/>
      <w:bookmarkEnd w:id="329"/>
      <w:bookmarkEnd w:id="330"/>
    </w:p>
    <w:p w14:paraId="0EA7E4F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005399AC">
      <w:pPr>
        <w:pStyle w:val="4"/>
        <w:keepNext w:val="0"/>
        <w:keepLines w:val="0"/>
        <w:spacing w:before="0" w:after="0" w:line="360" w:lineRule="auto"/>
        <w:rPr>
          <w:rFonts w:ascii="宋体" w:hAnsi="宋体"/>
          <w:b w:val="0"/>
          <w:snapToGrid w:val="0"/>
        </w:rPr>
      </w:pPr>
      <w:bookmarkStart w:id="331" w:name="_Toc430530466"/>
      <w:bookmarkStart w:id="332" w:name="_Toc287620716"/>
      <w:bookmarkStart w:id="333" w:name="_Toc200513157"/>
      <w:bookmarkStart w:id="334" w:name="_Toc224103348"/>
      <w:bookmarkStart w:id="335" w:name="_Toc287607777"/>
      <w:bookmarkStart w:id="336" w:name="_Toc509218741"/>
      <w:bookmarkStart w:id="337" w:name="_Toc277082583"/>
      <w:bookmarkStart w:id="338" w:name="_Toc25197"/>
      <w:r>
        <w:rPr>
          <w:rFonts w:ascii="宋体" w:hAnsi="宋体"/>
          <w:b w:val="0"/>
          <w:snapToGrid w:val="0"/>
        </w:rPr>
        <w:t>5.  开标</w:t>
      </w:r>
      <w:bookmarkEnd w:id="331"/>
      <w:bookmarkEnd w:id="332"/>
      <w:bookmarkEnd w:id="333"/>
      <w:bookmarkEnd w:id="334"/>
      <w:bookmarkEnd w:id="335"/>
      <w:bookmarkEnd w:id="336"/>
      <w:bookmarkEnd w:id="337"/>
      <w:bookmarkEnd w:id="338"/>
    </w:p>
    <w:p w14:paraId="7992EA72">
      <w:pPr>
        <w:pStyle w:val="6"/>
        <w:keepNext w:val="0"/>
        <w:keepLines w:val="0"/>
        <w:snapToGrid w:val="0"/>
        <w:spacing w:before="0" w:after="0" w:line="360" w:lineRule="auto"/>
        <w:rPr>
          <w:rFonts w:ascii="宋体" w:hAnsi="宋体"/>
          <w:b w:val="0"/>
          <w:snapToGrid w:val="0"/>
          <w:sz w:val="24"/>
          <w:szCs w:val="24"/>
        </w:rPr>
      </w:pPr>
      <w:bookmarkStart w:id="339" w:name="_Toc287620717"/>
      <w:bookmarkStart w:id="340" w:name="_Toc287607778"/>
      <w:bookmarkStart w:id="341" w:name="_Toc430530467"/>
      <w:bookmarkStart w:id="342" w:name="_Toc509218742"/>
      <w:bookmarkStart w:id="343" w:name="_Toc224103349"/>
      <w:bookmarkStart w:id="344" w:name="_Toc200513158"/>
      <w:bookmarkStart w:id="345" w:name="_Toc16966"/>
      <w:bookmarkStart w:id="346" w:name="_Toc277082584"/>
      <w:r>
        <w:rPr>
          <w:rFonts w:ascii="宋体" w:hAnsi="宋体"/>
          <w:b w:val="0"/>
          <w:snapToGrid w:val="0"/>
          <w:sz w:val="24"/>
          <w:szCs w:val="24"/>
        </w:rPr>
        <w:t>5.1  开标时间和地点</w:t>
      </w:r>
      <w:bookmarkEnd w:id="339"/>
      <w:bookmarkEnd w:id="340"/>
      <w:bookmarkEnd w:id="341"/>
      <w:bookmarkEnd w:id="342"/>
      <w:bookmarkEnd w:id="343"/>
      <w:bookmarkEnd w:id="344"/>
      <w:bookmarkEnd w:id="345"/>
      <w:bookmarkEnd w:id="346"/>
    </w:p>
    <w:p w14:paraId="3C21C36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71CE3DEA">
      <w:pPr>
        <w:pStyle w:val="6"/>
        <w:keepNext w:val="0"/>
        <w:keepLines w:val="0"/>
        <w:snapToGrid w:val="0"/>
        <w:spacing w:before="0" w:after="0" w:line="360" w:lineRule="auto"/>
        <w:rPr>
          <w:rFonts w:ascii="宋体" w:hAnsi="宋体"/>
          <w:b w:val="0"/>
          <w:snapToGrid w:val="0"/>
          <w:sz w:val="24"/>
          <w:szCs w:val="24"/>
        </w:rPr>
      </w:pPr>
      <w:bookmarkStart w:id="347" w:name="_Toc277082585"/>
      <w:bookmarkStart w:id="348" w:name="_Toc509218743"/>
      <w:bookmarkStart w:id="349" w:name="_Toc287607779"/>
      <w:bookmarkStart w:id="350" w:name="_Toc10588"/>
      <w:bookmarkStart w:id="351" w:name="_Toc287620718"/>
      <w:bookmarkStart w:id="352" w:name="_Toc224103350"/>
      <w:bookmarkStart w:id="353" w:name="_Toc200513159"/>
      <w:bookmarkStart w:id="354" w:name="_Toc430530468"/>
      <w:r>
        <w:rPr>
          <w:rFonts w:ascii="宋体" w:hAnsi="宋体"/>
          <w:b w:val="0"/>
          <w:snapToGrid w:val="0"/>
          <w:sz w:val="24"/>
          <w:szCs w:val="24"/>
        </w:rPr>
        <w:t>5.2  开标程序</w:t>
      </w:r>
      <w:bookmarkEnd w:id="347"/>
      <w:bookmarkEnd w:id="348"/>
      <w:bookmarkEnd w:id="349"/>
      <w:bookmarkEnd w:id="350"/>
      <w:bookmarkEnd w:id="351"/>
      <w:bookmarkEnd w:id="352"/>
      <w:bookmarkEnd w:id="353"/>
      <w:bookmarkEnd w:id="354"/>
    </w:p>
    <w:p w14:paraId="08E9AA07">
      <w:pPr>
        <w:autoSpaceDE w:val="0"/>
        <w:autoSpaceDN w:val="0"/>
        <w:adjustRightInd w:val="0"/>
        <w:snapToGrid w:val="0"/>
        <w:spacing w:line="360" w:lineRule="auto"/>
        <w:ind w:firstLine="420" w:firstLineChars="200"/>
        <w:rPr>
          <w:rFonts w:ascii="宋体" w:hAnsi="宋体"/>
          <w:szCs w:val="21"/>
        </w:rPr>
      </w:pPr>
      <w:bookmarkStart w:id="355" w:name="_Toc224103351"/>
      <w:bookmarkStart w:id="356" w:name="_Toc200513160"/>
      <w:bookmarkStart w:id="357" w:name="_Toc287620719"/>
      <w:bookmarkStart w:id="358" w:name="_Toc287607780"/>
      <w:bookmarkStart w:id="359" w:name="_Toc277082586"/>
      <w:r>
        <w:rPr>
          <w:rFonts w:ascii="宋体" w:hAnsi="宋体"/>
          <w:szCs w:val="21"/>
        </w:rPr>
        <w:t>详见投标人须知前附表第5.2款开标程序。</w:t>
      </w:r>
    </w:p>
    <w:p w14:paraId="5A7B93C2">
      <w:pPr>
        <w:pStyle w:val="6"/>
        <w:keepNext w:val="0"/>
        <w:keepLines w:val="0"/>
        <w:snapToGrid w:val="0"/>
        <w:spacing w:before="0" w:after="0" w:line="360" w:lineRule="auto"/>
        <w:rPr>
          <w:rFonts w:ascii="宋体" w:hAnsi="宋体"/>
          <w:b w:val="0"/>
          <w:snapToGrid w:val="0"/>
          <w:sz w:val="24"/>
          <w:szCs w:val="24"/>
        </w:rPr>
      </w:pPr>
      <w:bookmarkStart w:id="360" w:name="_Toc21291"/>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60"/>
    </w:p>
    <w:p w14:paraId="496C05E1">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7E21A61B">
      <w:pPr>
        <w:pStyle w:val="4"/>
        <w:keepNext w:val="0"/>
        <w:keepLines w:val="0"/>
        <w:spacing w:before="0" w:after="0" w:line="360" w:lineRule="auto"/>
        <w:rPr>
          <w:rFonts w:ascii="宋体" w:hAnsi="宋体"/>
          <w:b w:val="0"/>
          <w:snapToGrid w:val="0"/>
        </w:rPr>
      </w:pPr>
      <w:bookmarkStart w:id="361" w:name="_Toc509218744"/>
      <w:bookmarkStart w:id="362" w:name="_Toc8125"/>
      <w:bookmarkStart w:id="363" w:name="_Toc430530469"/>
      <w:r>
        <w:rPr>
          <w:rFonts w:ascii="宋体" w:hAnsi="宋体"/>
          <w:b w:val="0"/>
          <w:snapToGrid w:val="0"/>
        </w:rPr>
        <w:t>6.  评标</w:t>
      </w:r>
      <w:bookmarkEnd w:id="355"/>
      <w:bookmarkEnd w:id="356"/>
      <w:bookmarkEnd w:id="357"/>
      <w:bookmarkEnd w:id="358"/>
      <w:bookmarkEnd w:id="359"/>
      <w:bookmarkEnd w:id="361"/>
      <w:bookmarkEnd w:id="362"/>
      <w:bookmarkEnd w:id="363"/>
    </w:p>
    <w:p w14:paraId="158E7EA4">
      <w:pPr>
        <w:pStyle w:val="6"/>
        <w:keepNext w:val="0"/>
        <w:keepLines w:val="0"/>
        <w:snapToGrid w:val="0"/>
        <w:spacing w:before="0" w:after="0" w:line="360" w:lineRule="auto"/>
        <w:rPr>
          <w:rFonts w:ascii="宋体" w:hAnsi="宋体"/>
          <w:b w:val="0"/>
          <w:snapToGrid w:val="0"/>
          <w:sz w:val="24"/>
          <w:szCs w:val="24"/>
        </w:rPr>
      </w:pPr>
      <w:bookmarkStart w:id="364" w:name="_Toc277082587"/>
      <w:bookmarkStart w:id="365" w:name="_Toc287607781"/>
      <w:bookmarkStart w:id="366" w:name="_Toc26232"/>
      <w:bookmarkStart w:id="367" w:name="_Toc509218745"/>
      <w:bookmarkStart w:id="368" w:name="_Toc287620720"/>
      <w:bookmarkStart w:id="369" w:name="_Toc200513161"/>
      <w:bookmarkStart w:id="370" w:name="_Toc430530470"/>
      <w:bookmarkStart w:id="371" w:name="_Toc224103352"/>
      <w:r>
        <w:rPr>
          <w:rFonts w:ascii="宋体" w:hAnsi="宋体"/>
          <w:b w:val="0"/>
          <w:snapToGrid w:val="0"/>
          <w:sz w:val="24"/>
          <w:szCs w:val="24"/>
        </w:rPr>
        <w:t>6.1  评标委员会</w:t>
      </w:r>
      <w:bookmarkEnd w:id="364"/>
      <w:bookmarkEnd w:id="365"/>
      <w:bookmarkEnd w:id="366"/>
      <w:bookmarkEnd w:id="367"/>
      <w:bookmarkEnd w:id="368"/>
      <w:bookmarkEnd w:id="369"/>
      <w:bookmarkEnd w:id="370"/>
      <w:bookmarkEnd w:id="371"/>
    </w:p>
    <w:p w14:paraId="4C5E1438">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0C60FA1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3260AA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14:paraId="39319FD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19A0401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592F54F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79B4ADF3">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0061955D">
      <w:pPr>
        <w:pStyle w:val="130"/>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1118B598">
      <w:pPr>
        <w:pStyle w:val="6"/>
        <w:snapToGrid w:val="0"/>
        <w:spacing w:before="0" w:after="0" w:line="360" w:lineRule="auto"/>
        <w:rPr>
          <w:rFonts w:ascii="宋体" w:hAnsi="宋体"/>
          <w:b w:val="0"/>
          <w:snapToGrid w:val="0"/>
          <w:sz w:val="24"/>
          <w:szCs w:val="24"/>
        </w:rPr>
      </w:pPr>
      <w:bookmarkStart w:id="372" w:name="_Toc509218746"/>
      <w:bookmarkStart w:id="373" w:name="_Toc287620721"/>
      <w:bookmarkStart w:id="374" w:name="_Toc430530471"/>
      <w:bookmarkStart w:id="375" w:name="_Toc200513162"/>
      <w:bookmarkStart w:id="376" w:name="_Toc287607782"/>
      <w:bookmarkStart w:id="377" w:name="_Toc277082588"/>
      <w:bookmarkStart w:id="378" w:name="_Toc224103353"/>
      <w:bookmarkStart w:id="379" w:name="_Toc11685"/>
      <w:r>
        <w:rPr>
          <w:rFonts w:ascii="宋体" w:hAnsi="宋体"/>
          <w:b w:val="0"/>
          <w:snapToGrid w:val="0"/>
          <w:sz w:val="24"/>
          <w:szCs w:val="24"/>
        </w:rPr>
        <w:t>6.2  评标原则</w:t>
      </w:r>
      <w:bookmarkEnd w:id="372"/>
      <w:bookmarkEnd w:id="373"/>
      <w:bookmarkEnd w:id="374"/>
      <w:bookmarkEnd w:id="375"/>
      <w:bookmarkEnd w:id="376"/>
      <w:bookmarkEnd w:id="377"/>
      <w:bookmarkEnd w:id="378"/>
      <w:bookmarkEnd w:id="379"/>
    </w:p>
    <w:p w14:paraId="11B2AA0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6F146EDA">
      <w:pPr>
        <w:pStyle w:val="6"/>
        <w:snapToGrid w:val="0"/>
        <w:spacing w:before="0" w:after="0" w:line="360" w:lineRule="auto"/>
        <w:rPr>
          <w:rFonts w:ascii="宋体" w:hAnsi="宋体"/>
          <w:b w:val="0"/>
          <w:snapToGrid w:val="0"/>
          <w:sz w:val="24"/>
          <w:szCs w:val="24"/>
        </w:rPr>
      </w:pPr>
      <w:bookmarkStart w:id="380" w:name="_Toc509218747"/>
      <w:bookmarkStart w:id="381" w:name="_Toc277082589"/>
      <w:bookmarkStart w:id="382" w:name="_Toc287620722"/>
      <w:bookmarkStart w:id="383" w:name="_Toc287607783"/>
      <w:bookmarkStart w:id="384" w:name="_Toc25587"/>
      <w:bookmarkStart w:id="385" w:name="_Toc430530472"/>
      <w:bookmarkStart w:id="386" w:name="_Toc200513163"/>
      <w:bookmarkStart w:id="387" w:name="_Toc224103354"/>
      <w:r>
        <w:rPr>
          <w:rFonts w:ascii="宋体" w:hAnsi="宋体"/>
          <w:b w:val="0"/>
          <w:snapToGrid w:val="0"/>
          <w:sz w:val="24"/>
          <w:szCs w:val="24"/>
        </w:rPr>
        <w:t>6.3  评标</w:t>
      </w:r>
      <w:bookmarkEnd w:id="380"/>
      <w:bookmarkEnd w:id="381"/>
      <w:bookmarkEnd w:id="382"/>
      <w:bookmarkEnd w:id="383"/>
      <w:bookmarkEnd w:id="384"/>
      <w:bookmarkEnd w:id="385"/>
      <w:bookmarkEnd w:id="386"/>
      <w:bookmarkEnd w:id="387"/>
    </w:p>
    <w:p w14:paraId="597CF9F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44509A26">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7A8A7F9D">
      <w:pPr>
        <w:pStyle w:val="4"/>
        <w:spacing w:before="0" w:after="0" w:line="360" w:lineRule="auto"/>
        <w:rPr>
          <w:rFonts w:ascii="宋体" w:hAnsi="宋体"/>
          <w:b w:val="0"/>
          <w:snapToGrid w:val="0"/>
          <w:sz w:val="21"/>
          <w:szCs w:val="21"/>
        </w:rPr>
      </w:pPr>
      <w:bookmarkStart w:id="388" w:name="_Toc277082590"/>
      <w:bookmarkStart w:id="389" w:name="_Toc287620723"/>
      <w:bookmarkStart w:id="390" w:name="_Toc430530473"/>
      <w:bookmarkStart w:id="391" w:name="_Toc17340"/>
      <w:bookmarkStart w:id="392" w:name="_Toc200513164"/>
      <w:bookmarkStart w:id="393" w:name="_Toc224103355"/>
      <w:bookmarkStart w:id="394" w:name="_Toc287607784"/>
      <w:bookmarkStart w:id="395" w:name="_Toc509218748"/>
      <w:r>
        <w:rPr>
          <w:rFonts w:ascii="宋体" w:hAnsi="宋体"/>
          <w:b w:val="0"/>
          <w:snapToGrid w:val="0"/>
          <w:sz w:val="21"/>
          <w:szCs w:val="21"/>
        </w:rPr>
        <w:t>7.  合同授予</w:t>
      </w:r>
      <w:bookmarkEnd w:id="388"/>
      <w:bookmarkEnd w:id="389"/>
      <w:bookmarkEnd w:id="390"/>
      <w:bookmarkEnd w:id="391"/>
      <w:bookmarkEnd w:id="392"/>
      <w:bookmarkEnd w:id="393"/>
      <w:bookmarkEnd w:id="394"/>
      <w:bookmarkEnd w:id="395"/>
    </w:p>
    <w:p w14:paraId="12CA988C">
      <w:pPr>
        <w:pStyle w:val="6"/>
        <w:snapToGrid w:val="0"/>
        <w:spacing w:before="0" w:after="0" w:line="360" w:lineRule="auto"/>
        <w:rPr>
          <w:rFonts w:ascii="宋体" w:hAnsi="宋体"/>
          <w:b w:val="0"/>
          <w:snapToGrid w:val="0"/>
          <w:sz w:val="24"/>
          <w:szCs w:val="24"/>
        </w:rPr>
      </w:pPr>
      <w:bookmarkStart w:id="396" w:name="_Toc287620724"/>
      <w:bookmarkStart w:id="397" w:name="_Toc509218749"/>
      <w:bookmarkStart w:id="398" w:name="_Toc224103356"/>
      <w:bookmarkStart w:id="399" w:name="_Toc200513165"/>
      <w:bookmarkStart w:id="400" w:name="_Toc430530474"/>
      <w:bookmarkStart w:id="401" w:name="_Toc287607785"/>
      <w:bookmarkStart w:id="402" w:name="_Toc277082591"/>
      <w:bookmarkStart w:id="403" w:name="_Toc27059"/>
      <w:r>
        <w:rPr>
          <w:rFonts w:ascii="宋体" w:hAnsi="宋体"/>
          <w:b w:val="0"/>
          <w:snapToGrid w:val="0"/>
          <w:sz w:val="24"/>
          <w:szCs w:val="24"/>
        </w:rPr>
        <w:t xml:space="preserve">7.1  </w:t>
      </w:r>
      <w:bookmarkEnd w:id="396"/>
      <w:bookmarkEnd w:id="397"/>
      <w:bookmarkEnd w:id="398"/>
      <w:bookmarkEnd w:id="399"/>
      <w:bookmarkEnd w:id="400"/>
      <w:bookmarkEnd w:id="401"/>
      <w:bookmarkEnd w:id="402"/>
      <w:r>
        <w:rPr>
          <w:rFonts w:hint="eastAsia" w:ascii="宋体" w:hAnsi="宋体"/>
          <w:b w:val="0"/>
          <w:snapToGrid w:val="0"/>
          <w:sz w:val="24"/>
          <w:szCs w:val="24"/>
        </w:rPr>
        <w:t>中标候选人公示</w:t>
      </w:r>
      <w:bookmarkEnd w:id="403"/>
    </w:p>
    <w:p w14:paraId="2A95537D">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1E230812">
      <w:pPr>
        <w:pStyle w:val="6"/>
        <w:snapToGrid w:val="0"/>
        <w:spacing w:before="0" w:after="0" w:line="360" w:lineRule="auto"/>
        <w:rPr>
          <w:rFonts w:ascii="宋体" w:hAnsi="宋体"/>
          <w:b w:val="0"/>
          <w:snapToGrid w:val="0"/>
          <w:sz w:val="24"/>
          <w:szCs w:val="24"/>
        </w:rPr>
      </w:pPr>
      <w:bookmarkStart w:id="404" w:name="_Toc3264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4"/>
    </w:p>
    <w:p w14:paraId="2936619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7BAD5324">
      <w:pPr>
        <w:pStyle w:val="6"/>
        <w:snapToGrid w:val="0"/>
        <w:spacing w:before="0" w:after="0" w:line="360" w:lineRule="auto"/>
        <w:rPr>
          <w:rFonts w:ascii="宋体" w:hAnsi="宋体"/>
          <w:b w:val="0"/>
          <w:snapToGrid w:val="0"/>
          <w:sz w:val="24"/>
          <w:szCs w:val="24"/>
        </w:rPr>
      </w:pPr>
      <w:bookmarkStart w:id="405" w:name="_Toc24528"/>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5"/>
    </w:p>
    <w:p w14:paraId="3666B48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5E48B99">
      <w:pPr>
        <w:pStyle w:val="6"/>
        <w:snapToGrid w:val="0"/>
        <w:spacing w:before="0" w:after="0" w:line="360" w:lineRule="auto"/>
        <w:rPr>
          <w:rFonts w:ascii="宋体" w:hAnsi="宋体"/>
          <w:b w:val="0"/>
          <w:snapToGrid w:val="0"/>
          <w:sz w:val="24"/>
          <w:szCs w:val="24"/>
        </w:rPr>
      </w:pPr>
      <w:bookmarkStart w:id="406" w:name="_Toc28379"/>
      <w:r>
        <w:rPr>
          <w:rFonts w:ascii="宋体" w:hAnsi="宋体"/>
          <w:b w:val="0"/>
          <w:snapToGrid w:val="0"/>
          <w:sz w:val="24"/>
          <w:szCs w:val="24"/>
        </w:rPr>
        <w:t xml:space="preserve">7.4  </w:t>
      </w:r>
      <w:r>
        <w:rPr>
          <w:rFonts w:hint="eastAsia" w:ascii="宋体" w:hAnsi="宋体"/>
          <w:b w:val="0"/>
          <w:snapToGrid w:val="0"/>
          <w:sz w:val="24"/>
          <w:szCs w:val="24"/>
        </w:rPr>
        <w:t>定标</w:t>
      </w:r>
      <w:bookmarkEnd w:id="406"/>
    </w:p>
    <w:p w14:paraId="7513A02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06067957">
      <w:pPr>
        <w:autoSpaceDE w:val="0"/>
        <w:autoSpaceDN w:val="0"/>
        <w:adjustRightInd w:val="0"/>
        <w:snapToGrid w:val="0"/>
        <w:spacing w:line="360" w:lineRule="auto"/>
        <w:ind w:firstLine="420" w:firstLineChars="200"/>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6C779155">
      <w:pPr>
        <w:pStyle w:val="6"/>
        <w:snapToGrid w:val="0"/>
        <w:spacing w:before="0" w:after="0" w:line="360" w:lineRule="auto"/>
        <w:rPr>
          <w:rFonts w:ascii="宋体" w:hAnsi="宋体"/>
          <w:b w:val="0"/>
          <w:snapToGrid w:val="0"/>
          <w:sz w:val="24"/>
          <w:szCs w:val="24"/>
        </w:rPr>
      </w:pPr>
      <w:bookmarkStart w:id="407" w:name="_Toc430530475"/>
      <w:bookmarkStart w:id="408" w:name="_Toc12921"/>
      <w:bookmarkStart w:id="409" w:name="_Toc509218750"/>
      <w:r>
        <w:rPr>
          <w:rFonts w:ascii="宋体" w:hAnsi="宋体"/>
          <w:b w:val="0"/>
          <w:snapToGrid w:val="0"/>
          <w:sz w:val="24"/>
          <w:szCs w:val="24"/>
        </w:rPr>
        <w:t>7.5  中标通知</w:t>
      </w:r>
      <w:bookmarkEnd w:id="407"/>
      <w:bookmarkEnd w:id="408"/>
      <w:bookmarkEnd w:id="409"/>
    </w:p>
    <w:p w14:paraId="731A46B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10DCC71F">
      <w:pPr>
        <w:pStyle w:val="6"/>
        <w:snapToGrid w:val="0"/>
        <w:spacing w:before="0" w:after="0" w:line="360" w:lineRule="auto"/>
        <w:rPr>
          <w:rFonts w:ascii="宋体" w:hAnsi="宋体"/>
          <w:b w:val="0"/>
          <w:snapToGrid w:val="0"/>
          <w:sz w:val="24"/>
          <w:szCs w:val="24"/>
        </w:rPr>
      </w:pPr>
      <w:bookmarkStart w:id="410" w:name="_Toc287607787"/>
      <w:bookmarkStart w:id="411" w:name="_Toc200513167"/>
      <w:bookmarkStart w:id="412" w:name="_Toc287620726"/>
      <w:bookmarkStart w:id="413" w:name="_Toc224103358"/>
      <w:bookmarkStart w:id="414" w:name="_Toc277082593"/>
      <w:bookmarkStart w:id="415" w:name="_Toc509218751"/>
      <w:bookmarkStart w:id="416" w:name="_Toc430530476"/>
      <w:bookmarkStart w:id="417" w:name="_Toc2152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10"/>
      <w:bookmarkEnd w:id="411"/>
      <w:bookmarkEnd w:id="412"/>
      <w:bookmarkEnd w:id="413"/>
      <w:bookmarkEnd w:id="414"/>
      <w:bookmarkEnd w:id="415"/>
      <w:bookmarkEnd w:id="416"/>
      <w:r>
        <w:rPr>
          <w:rFonts w:hint="eastAsia" w:ascii="宋体" w:hAnsi="宋体"/>
          <w:b w:val="0"/>
          <w:snapToGrid w:val="0"/>
          <w:sz w:val="24"/>
          <w:szCs w:val="24"/>
        </w:rPr>
        <w:t>保证金</w:t>
      </w:r>
      <w:bookmarkEnd w:id="417"/>
    </w:p>
    <w:p w14:paraId="0EE5D5D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w:t>
      </w:r>
      <w:r>
        <w:rPr>
          <w:rFonts w:hint="eastAsia" w:ascii="宋体" w:hAnsi="宋体"/>
          <w:snapToGrid w:val="0"/>
          <w:color w:val="C00000"/>
          <w:kern w:val="0"/>
          <w:szCs w:val="21"/>
          <w:lang w:val="en-US" w:eastAsia="zh-CN"/>
        </w:rPr>
        <w:t>5</w:t>
      </w:r>
      <w:r>
        <w:rPr>
          <w:rFonts w:ascii="宋体" w:hAnsi="宋体"/>
          <w:snapToGrid w:val="0"/>
          <w:color w:val="C00000"/>
          <w:kern w:val="0"/>
          <w:szCs w:val="21"/>
        </w:rPr>
        <w:t>%</w:t>
      </w:r>
      <w:r>
        <w:rPr>
          <w:rFonts w:ascii="宋体" w:hAnsi="宋体"/>
          <w:snapToGrid w:val="0"/>
          <w:kern w:val="0"/>
          <w:szCs w:val="21"/>
        </w:rPr>
        <w:t>。联合体中标的，</w:t>
      </w:r>
      <w:r>
        <w:rPr>
          <w:spacing w:val="-3"/>
        </w:rPr>
        <w:t>其履约保证金以联合体各方或者联合体中牵头人的名义提交。</w:t>
      </w:r>
    </w:p>
    <w:p w14:paraId="1F217D7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29F150AC">
      <w:pPr>
        <w:pStyle w:val="6"/>
        <w:snapToGrid w:val="0"/>
        <w:spacing w:before="0" w:after="0" w:line="360" w:lineRule="auto"/>
        <w:rPr>
          <w:rFonts w:ascii="宋体" w:hAnsi="宋体"/>
          <w:b w:val="0"/>
          <w:snapToGrid w:val="0"/>
          <w:sz w:val="24"/>
          <w:szCs w:val="24"/>
        </w:rPr>
      </w:pPr>
      <w:bookmarkStart w:id="418" w:name="_Toc200513168"/>
      <w:bookmarkStart w:id="419" w:name="_Toc509218752"/>
      <w:bookmarkStart w:id="420" w:name="_Toc11753"/>
      <w:bookmarkStart w:id="421" w:name="_Toc287607788"/>
      <w:bookmarkStart w:id="422" w:name="_Toc430530477"/>
      <w:bookmarkStart w:id="423" w:name="_Toc287620727"/>
      <w:bookmarkStart w:id="424" w:name="_Toc224103359"/>
      <w:bookmarkStart w:id="425" w:name="_Toc277082594"/>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8"/>
      <w:bookmarkEnd w:id="419"/>
      <w:bookmarkEnd w:id="420"/>
      <w:bookmarkEnd w:id="421"/>
      <w:bookmarkEnd w:id="422"/>
      <w:bookmarkEnd w:id="423"/>
      <w:bookmarkEnd w:id="424"/>
      <w:bookmarkEnd w:id="425"/>
    </w:p>
    <w:p w14:paraId="3CE2D7CD">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3EA520EF">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68CB2D5A">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14:paraId="746342EC">
      <w:pPr>
        <w:pStyle w:val="4"/>
        <w:spacing w:before="0" w:after="0" w:line="360" w:lineRule="auto"/>
        <w:rPr>
          <w:rFonts w:ascii="宋体" w:hAnsi="宋体"/>
          <w:b w:val="0"/>
          <w:snapToGrid w:val="0"/>
        </w:rPr>
      </w:pPr>
      <w:bookmarkStart w:id="426" w:name="_Toc224103360"/>
      <w:bookmarkStart w:id="427" w:name="_Toc277082595"/>
      <w:bookmarkStart w:id="428" w:name="_Toc430530478"/>
      <w:bookmarkStart w:id="429" w:name="_Toc200513169"/>
      <w:bookmarkStart w:id="430" w:name="_Toc287607789"/>
      <w:bookmarkStart w:id="431" w:name="_Toc509218753"/>
      <w:bookmarkStart w:id="432" w:name="_Toc287620728"/>
      <w:bookmarkStart w:id="433" w:name="_Toc6322"/>
      <w:r>
        <w:rPr>
          <w:rFonts w:ascii="宋体" w:hAnsi="宋体"/>
          <w:b w:val="0"/>
          <w:snapToGrid w:val="0"/>
        </w:rPr>
        <w:t>8.  重新招标和不再招标</w:t>
      </w:r>
      <w:bookmarkEnd w:id="426"/>
      <w:bookmarkEnd w:id="427"/>
      <w:bookmarkEnd w:id="428"/>
      <w:bookmarkEnd w:id="429"/>
      <w:bookmarkEnd w:id="430"/>
      <w:bookmarkEnd w:id="431"/>
      <w:bookmarkEnd w:id="432"/>
      <w:r>
        <w:rPr>
          <w:rFonts w:hint="eastAsia" w:ascii="宋体" w:hAnsi="宋体"/>
          <w:b w:val="0"/>
          <w:snapToGrid w:val="0"/>
        </w:rPr>
        <w:t>（增加条款）</w:t>
      </w:r>
      <w:bookmarkEnd w:id="433"/>
    </w:p>
    <w:p w14:paraId="386A0CEB">
      <w:pPr>
        <w:pStyle w:val="6"/>
        <w:snapToGrid w:val="0"/>
        <w:spacing w:before="0" w:after="0" w:line="360" w:lineRule="auto"/>
        <w:rPr>
          <w:rFonts w:ascii="宋体" w:hAnsi="宋体"/>
          <w:b w:val="0"/>
          <w:snapToGrid w:val="0"/>
          <w:sz w:val="24"/>
          <w:szCs w:val="24"/>
        </w:rPr>
      </w:pPr>
      <w:bookmarkStart w:id="434" w:name="_Toc224103361"/>
      <w:bookmarkStart w:id="435" w:name="_Toc287620729"/>
      <w:bookmarkStart w:id="436" w:name="_Toc277082596"/>
      <w:bookmarkStart w:id="437" w:name="_Toc430530479"/>
      <w:bookmarkStart w:id="438" w:name="_Toc200513170"/>
      <w:bookmarkStart w:id="439" w:name="_Toc287607790"/>
      <w:bookmarkStart w:id="440" w:name="_Toc509218754"/>
      <w:bookmarkStart w:id="441" w:name="_Toc4816"/>
      <w:r>
        <w:rPr>
          <w:rFonts w:ascii="宋体" w:hAnsi="宋体"/>
          <w:b w:val="0"/>
          <w:snapToGrid w:val="0"/>
          <w:sz w:val="24"/>
          <w:szCs w:val="24"/>
        </w:rPr>
        <w:t>8.1  重新招标</w:t>
      </w:r>
      <w:bookmarkEnd w:id="434"/>
      <w:bookmarkEnd w:id="435"/>
      <w:bookmarkEnd w:id="436"/>
      <w:bookmarkEnd w:id="437"/>
      <w:bookmarkEnd w:id="438"/>
      <w:bookmarkEnd w:id="439"/>
      <w:bookmarkEnd w:id="440"/>
      <w:r>
        <w:rPr>
          <w:rFonts w:hint="eastAsia" w:ascii="宋体" w:hAnsi="宋体"/>
          <w:b w:val="0"/>
          <w:snapToGrid w:val="0"/>
          <w:sz w:val="24"/>
          <w:szCs w:val="24"/>
        </w:rPr>
        <w:t>的情形</w:t>
      </w:r>
      <w:bookmarkEnd w:id="441"/>
    </w:p>
    <w:p w14:paraId="6EA9DC5A">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63CF7838">
      <w:pPr>
        <w:pStyle w:val="6"/>
        <w:snapToGrid w:val="0"/>
        <w:spacing w:before="0" w:after="0" w:line="360" w:lineRule="auto"/>
        <w:rPr>
          <w:rFonts w:ascii="宋体" w:hAnsi="宋体"/>
          <w:b w:val="0"/>
          <w:snapToGrid w:val="0"/>
          <w:sz w:val="24"/>
          <w:szCs w:val="24"/>
        </w:rPr>
      </w:pPr>
      <w:bookmarkStart w:id="442" w:name="_Toc430530480"/>
      <w:bookmarkStart w:id="443" w:name="_Toc509218755"/>
      <w:bookmarkStart w:id="444" w:name="_Toc287620730"/>
      <w:bookmarkStart w:id="445" w:name="_Toc277082597"/>
      <w:bookmarkStart w:id="446" w:name="_Toc200513171"/>
      <w:bookmarkStart w:id="447" w:name="_Toc287607791"/>
      <w:bookmarkStart w:id="448" w:name="_Toc19128"/>
      <w:bookmarkStart w:id="449" w:name="_Toc224103362"/>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42"/>
      <w:bookmarkEnd w:id="443"/>
      <w:bookmarkEnd w:id="444"/>
      <w:bookmarkEnd w:id="445"/>
      <w:bookmarkEnd w:id="446"/>
      <w:bookmarkEnd w:id="447"/>
      <w:bookmarkEnd w:id="448"/>
      <w:bookmarkEnd w:id="449"/>
    </w:p>
    <w:p w14:paraId="46362D07">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w:t>
      </w:r>
      <w:r>
        <w:rPr>
          <w:rFonts w:ascii="宋体" w:hAnsi="宋体"/>
          <w:snapToGrid w:val="0"/>
          <w:kern w:val="0"/>
          <w:szCs w:val="21"/>
        </w:rPr>
        <w:t>。</w:t>
      </w:r>
    </w:p>
    <w:p w14:paraId="73BBA883">
      <w:pPr>
        <w:pStyle w:val="4"/>
        <w:spacing w:before="0" w:after="0" w:line="360" w:lineRule="auto"/>
        <w:rPr>
          <w:rFonts w:ascii="宋体" w:hAnsi="宋体"/>
          <w:b w:val="0"/>
          <w:snapToGrid w:val="0"/>
        </w:rPr>
      </w:pPr>
      <w:bookmarkStart w:id="450" w:name="_Toc509218756"/>
      <w:bookmarkStart w:id="451" w:name="_Toc277082598"/>
      <w:bookmarkStart w:id="452" w:name="_Toc28455"/>
      <w:bookmarkStart w:id="453" w:name="_Toc287607792"/>
      <w:bookmarkStart w:id="454" w:name="_Toc224103363"/>
      <w:bookmarkStart w:id="455" w:name="_Toc200513172"/>
      <w:bookmarkStart w:id="456" w:name="_Toc430530481"/>
      <w:bookmarkStart w:id="457" w:name="_Toc287620731"/>
      <w:r>
        <w:rPr>
          <w:rFonts w:ascii="宋体" w:hAnsi="宋体"/>
          <w:b w:val="0"/>
          <w:snapToGrid w:val="0"/>
        </w:rPr>
        <w:t>9.  纪律和监督</w:t>
      </w:r>
      <w:bookmarkEnd w:id="450"/>
      <w:bookmarkEnd w:id="451"/>
      <w:bookmarkEnd w:id="452"/>
      <w:bookmarkEnd w:id="453"/>
      <w:bookmarkEnd w:id="454"/>
      <w:bookmarkEnd w:id="455"/>
      <w:bookmarkEnd w:id="456"/>
      <w:bookmarkEnd w:id="457"/>
    </w:p>
    <w:p w14:paraId="5C31A964">
      <w:pPr>
        <w:pStyle w:val="6"/>
        <w:snapToGrid w:val="0"/>
        <w:spacing w:before="0" w:after="0" w:line="360" w:lineRule="auto"/>
        <w:rPr>
          <w:rFonts w:ascii="宋体" w:hAnsi="宋体"/>
          <w:b w:val="0"/>
          <w:snapToGrid w:val="0"/>
          <w:sz w:val="24"/>
          <w:szCs w:val="24"/>
        </w:rPr>
      </w:pPr>
      <w:bookmarkStart w:id="458" w:name="_Toc287620732"/>
      <w:bookmarkStart w:id="459" w:name="_Toc277082599"/>
      <w:bookmarkStart w:id="460" w:name="_Toc200513173"/>
      <w:bookmarkStart w:id="461" w:name="_Toc287607793"/>
      <w:bookmarkStart w:id="462" w:name="_Toc509218757"/>
      <w:bookmarkStart w:id="463" w:name="_Toc430530482"/>
      <w:bookmarkStart w:id="464" w:name="_Toc224103364"/>
      <w:bookmarkStart w:id="465" w:name="_Toc8340"/>
      <w:r>
        <w:rPr>
          <w:rFonts w:ascii="宋体" w:hAnsi="宋体"/>
          <w:b w:val="0"/>
          <w:snapToGrid w:val="0"/>
          <w:sz w:val="24"/>
          <w:szCs w:val="24"/>
        </w:rPr>
        <w:t>9.1  对招标人的纪律要求</w:t>
      </w:r>
      <w:bookmarkEnd w:id="458"/>
      <w:bookmarkEnd w:id="459"/>
      <w:bookmarkEnd w:id="460"/>
      <w:bookmarkEnd w:id="461"/>
      <w:bookmarkEnd w:id="462"/>
      <w:bookmarkEnd w:id="463"/>
      <w:bookmarkEnd w:id="464"/>
      <w:bookmarkEnd w:id="465"/>
    </w:p>
    <w:p w14:paraId="46CB722B">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0219FB63">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3AFC525C">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54D120F2">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5BB25DD7">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390C5A45">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22F4DD98">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4617FE27">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11DC107E">
      <w:pPr>
        <w:pStyle w:val="6"/>
        <w:snapToGrid w:val="0"/>
        <w:spacing w:before="0" w:after="0" w:line="360" w:lineRule="auto"/>
        <w:ind w:firstLine="480" w:firstLineChars="200"/>
        <w:rPr>
          <w:rFonts w:ascii="宋体" w:hAnsi="宋体"/>
          <w:b w:val="0"/>
          <w:snapToGrid w:val="0"/>
          <w:sz w:val="24"/>
          <w:szCs w:val="24"/>
        </w:rPr>
      </w:pPr>
      <w:bookmarkStart w:id="466" w:name="_Toc430530483"/>
      <w:bookmarkStart w:id="467" w:name="_Toc26253"/>
      <w:bookmarkStart w:id="468" w:name="_Toc287607794"/>
      <w:bookmarkStart w:id="469" w:name="_Toc200513174"/>
      <w:bookmarkStart w:id="470" w:name="_Toc224103365"/>
      <w:bookmarkStart w:id="471" w:name="_Toc277082600"/>
      <w:bookmarkStart w:id="472" w:name="_Toc287620733"/>
      <w:bookmarkStart w:id="473" w:name="_Toc509218758"/>
      <w:r>
        <w:rPr>
          <w:rFonts w:ascii="宋体" w:hAnsi="宋体"/>
          <w:b w:val="0"/>
          <w:snapToGrid w:val="0"/>
          <w:sz w:val="24"/>
          <w:szCs w:val="24"/>
        </w:rPr>
        <w:t>9.2  对投标人的纪律要求</w:t>
      </w:r>
      <w:bookmarkEnd w:id="466"/>
      <w:bookmarkEnd w:id="467"/>
      <w:bookmarkEnd w:id="468"/>
      <w:bookmarkEnd w:id="469"/>
      <w:bookmarkEnd w:id="470"/>
      <w:bookmarkEnd w:id="471"/>
      <w:bookmarkEnd w:id="472"/>
      <w:bookmarkEnd w:id="473"/>
    </w:p>
    <w:p w14:paraId="2792C43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46DE62A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461E2EEA">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14:paraId="6E290DFD">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1923B681">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06C2B560">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15D88846">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1DC1FEFF">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14:paraId="3A0925AE">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62EC9480">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16EC1D2D">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2FED22B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5E33DF97">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2422306A">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010A923E">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2A96F9B7">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70839B42">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0A451A34">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452661E5">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2AC072CA">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54737DEB">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34D853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6C1EBC42">
      <w:pPr>
        <w:pStyle w:val="6"/>
        <w:snapToGrid w:val="0"/>
        <w:spacing w:before="0" w:after="0" w:line="360" w:lineRule="auto"/>
        <w:rPr>
          <w:rFonts w:ascii="宋体" w:hAnsi="宋体"/>
          <w:b w:val="0"/>
          <w:snapToGrid w:val="0"/>
          <w:sz w:val="24"/>
          <w:szCs w:val="24"/>
        </w:rPr>
      </w:pPr>
      <w:bookmarkStart w:id="474" w:name="_Toc430530484"/>
      <w:bookmarkStart w:id="475" w:name="_Toc287607795"/>
      <w:bookmarkStart w:id="476" w:name="_Toc200513175"/>
      <w:bookmarkStart w:id="477" w:name="_Toc8852"/>
      <w:bookmarkStart w:id="478" w:name="_Toc277082601"/>
      <w:bookmarkStart w:id="479" w:name="_Toc509218759"/>
      <w:bookmarkStart w:id="480" w:name="_Toc224103366"/>
      <w:bookmarkStart w:id="481" w:name="_Toc287620734"/>
      <w:r>
        <w:rPr>
          <w:rFonts w:ascii="宋体" w:hAnsi="宋体"/>
          <w:b w:val="0"/>
          <w:snapToGrid w:val="0"/>
          <w:sz w:val="24"/>
          <w:szCs w:val="24"/>
        </w:rPr>
        <w:t>9.3  对评标委员会成员的纪律要求</w:t>
      </w:r>
      <w:bookmarkEnd w:id="474"/>
      <w:bookmarkEnd w:id="475"/>
      <w:bookmarkEnd w:id="476"/>
      <w:bookmarkEnd w:id="477"/>
      <w:bookmarkEnd w:id="478"/>
      <w:bookmarkEnd w:id="479"/>
      <w:bookmarkEnd w:id="480"/>
      <w:bookmarkEnd w:id="481"/>
    </w:p>
    <w:p w14:paraId="170DF7D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14:paraId="5B0D8B57">
      <w:pPr>
        <w:pStyle w:val="6"/>
        <w:snapToGrid w:val="0"/>
        <w:spacing w:before="0" w:after="0" w:line="360" w:lineRule="auto"/>
        <w:rPr>
          <w:rFonts w:ascii="宋体" w:hAnsi="宋体"/>
          <w:b w:val="0"/>
          <w:snapToGrid w:val="0"/>
          <w:sz w:val="24"/>
          <w:szCs w:val="24"/>
        </w:rPr>
      </w:pPr>
      <w:bookmarkStart w:id="482" w:name="_Toc430530485"/>
      <w:bookmarkStart w:id="483" w:name="_Toc287607796"/>
      <w:bookmarkStart w:id="484" w:name="_Toc509218760"/>
      <w:bookmarkStart w:id="485" w:name="_Toc11930"/>
      <w:bookmarkStart w:id="486" w:name="_Toc287620735"/>
      <w:bookmarkStart w:id="487" w:name="_Toc200513176"/>
      <w:bookmarkStart w:id="488" w:name="_Toc224103367"/>
      <w:bookmarkStart w:id="489" w:name="_Toc277082602"/>
      <w:r>
        <w:rPr>
          <w:rFonts w:ascii="宋体" w:hAnsi="宋体"/>
          <w:b w:val="0"/>
          <w:snapToGrid w:val="0"/>
          <w:sz w:val="24"/>
          <w:szCs w:val="24"/>
        </w:rPr>
        <w:t>9.4  对与评标活动有关的工作人员的纪律要求</w:t>
      </w:r>
      <w:bookmarkEnd w:id="482"/>
      <w:bookmarkEnd w:id="483"/>
      <w:bookmarkEnd w:id="484"/>
      <w:bookmarkEnd w:id="485"/>
      <w:bookmarkEnd w:id="486"/>
      <w:bookmarkEnd w:id="487"/>
      <w:bookmarkEnd w:id="488"/>
      <w:bookmarkEnd w:id="489"/>
    </w:p>
    <w:p w14:paraId="3B29585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630261AB">
      <w:pPr>
        <w:pStyle w:val="6"/>
        <w:snapToGrid w:val="0"/>
        <w:spacing w:before="0" w:after="0" w:line="360" w:lineRule="auto"/>
        <w:rPr>
          <w:rFonts w:ascii="宋体" w:hAnsi="宋体"/>
          <w:b w:val="0"/>
          <w:snapToGrid w:val="0"/>
          <w:sz w:val="24"/>
          <w:szCs w:val="24"/>
        </w:rPr>
      </w:pPr>
      <w:bookmarkStart w:id="490" w:name="_Toc430530486"/>
      <w:bookmarkStart w:id="491" w:name="_Toc200513177"/>
      <w:bookmarkStart w:id="492" w:name="_Toc287620736"/>
      <w:bookmarkStart w:id="493" w:name="_Toc287607797"/>
      <w:bookmarkStart w:id="494" w:name="_Toc509218761"/>
      <w:bookmarkStart w:id="495" w:name="_Toc277082603"/>
      <w:bookmarkStart w:id="496" w:name="_Toc224103368"/>
      <w:bookmarkStart w:id="497" w:name="_Toc19559"/>
      <w:r>
        <w:rPr>
          <w:rFonts w:ascii="宋体" w:hAnsi="宋体"/>
          <w:b w:val="0"/>
          <w:snapToGrid w:val="0"/>
          <w:sz w:val="24"/>
          <w:szCs w:val="24"/>
        </w:rPr>
        <w:t>9.5  投诉</w:t>
      </w:r>
      <w:bookmarkEnd w:id="490"/>
      <w:bookmarkEnd w:id="491"/>
      <w:bookmarkEnd w:id="492"/>
      <w:bookmarkEnd w:id="493"/>
      <w:bookmarkEnd w:id="494"/>
      <w:bookmarkEnd w:id="495"/>
      <w:bookmarkEnd w:id="496"/>
      <w:bookmarkEnd w:id="497"/>
    </w:p>
    <w:p w14:paraId="1AC2B86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4C63E183">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26A83F48">
      <w:pPr>
        <w:pStyle w:val="4"/>
        <w:spacing w:before="0" w:after="0" w:line="360" w:lineRule="auto"/>
        <w:rPr>
          <w:rFonts w:ascii="宋体" w:hAnsi="宋体"/>
          <w:b w:val="0"/>
          <w:snapToGrid w:val="0"/>
        </w:rPr>
      </w:pPr>
      <w:bookmarkStart w:id="498" w:name="_Toc287607798"/>
      <w:bookmarkStart w:id="499" w:name="_Toc26322"/>
      <w:bookmarkStart w:id="500" w:name="_Toc277082604"/>
      <w:bookmarkStart w:id="501" w:name="_Toc200513178"/>
      <w:bookmarkStart w:id="502" w:name="_Toc509218762"/>
      <w:bookmarkStart w:id="503" w:name="_Toc430530487"/>
      <w:bookmarkStart w:id="504" w:name="_Toc287620737"/>
      <w:bookmarkStart w:id="505" w:name="_Toc224103369"/>
      <w:r>
        <w:rPr>
          <w:rFonts w:ascii="宋体" w:hAnsi="宋体"/>
          <w:b w:val="0"/>
          <w:snapToGrid w:val="0"/>
        </w:rPr>
        <w:t>10. 需要补充的其他内容</w:t>
      </w:r>
      <w:bookmarkEnd w:id="498"/>
      <w:bookmarkEnd w:id="499"/>
      <w:bookmarkEnd w:id="500"/>
      <w:bookmarkEnd w:id="501"/>
      <w:bookmarkEnd w:id="502"/>
      <w:bookmarkEnd w:id="503"/>
      <w:bookmarkEnd w:id="504"/>
      <w:bookmarkEnd w:id="505"/>
    </w:p>
    <w:p w14:paraId="4203F800">
      <w:pPr>
        <w:autoSpaceDE w:val="0"/>
        <w:autoSpaceDN w:val="0"/>
        <w:adjustRightInd w:val="0"/>
        <w:snapToGrid w:val="0"/>
        <w:spacing w:line="360" w:lineRule="auto"/>
        <w:ind w:firstLine="420" w:firstLineChars="200"/>
        <w:rPr>
          <w:rFonts w:ascii="宋体" w:hAnsi="宋体"/>
          <w:snapToGrid w:val="0"/>
          <w:kern w:val="0"/>
          <w:szCs w:val="21"/>
        </w:rPr>
        <w:sectPr>
          <w:footerReference r:id="rId7" w:type="default"/>
          <w:footerReference r:id="rId8" w:type="even"/>
          <w:pgSz w:w="11906" w:h="16838"/>
          <w:pgMar w:top="1304" w:right="1134" w:bottom="1304" w:left="1304" w:header="851" w:footer="992" w:gutter="0"/>
          <w:pgBorders>
            <w:top w:val="none" w:sz="0" w:space="0"/>
            <w:left w:val="none" w:sz="0" w:space="0"/>
            <w:bottom w:val="none" w:sz="0" w:space="0"/>
            <w:right w:val="none" w:sz="0" w:space="0"/>
          </w:pgBorders>
          <w:cols w:space="720" w:num="1"/>
          <w:docGrid w:linePitch="312" w:charSpace="0"/>
        </w:sectPr>
      </w:pPr>
      <w:r>
        <w:rPr>
          <w:rFonts w:ascii="宋体" w:hAnsi="宋体"/>
          <w:snapToGrid w:val="0"/>
          <w:kern w:val="0"/>
          <w:szCs w:val="21"/>
        </w:rPr>
        <w:t>需要补充的其他内容：见投标人须知前附表。</w:t>
      </w:r>
    </w:p>
    <w:p w14:paraId="31BCA3C9">
      <w:pPr>
        <w:autoSpaceDE w:val="0"/>
        <w:autoSpaceDN w:val="0"/>
        <w:adjustRightInd w:val="0"/>
        <w:snapToGrid w:val="0"/>
        <w:spacing w:line="360" w:lineRule="auto"/>
        <w:ind w:firstLine="420" w:firstLineChars="200"/>
        <w:rPr>
          <w:rFonts w:ascii="宋体" w:hAnsi="宋体"/>
          <w:snapToGrid w:val="0"/>
          <w:kern w:val="0"/>
          <w:szCs w:val="21"/>
        </w:rPr>
      </w:pPr>
    </w:p>
    <w:p w14:paraId="67F8F088">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5B2BF6D2">
      <w:pPr>
        <w:autoSpaceDE w:val="0"/>
        <w:autoSpaceDN w:val="0"/>
        <w:adjustRightInd w:val="0"/>
        <w:snapToGrid w:val="0"/>
        <w:spacing w:line="360" w:lineRule="auto"/>
        <w:jc w:val="left"/>
        <w:rPr>
          <w:rFonts w:ascii="宋体" w:hAnsi="宋体"/>
          <w:b/>
          <w:snapToGrid w:val="0"/>
          <w:kern w:val="0"/>
        </w:rPr>
      </w:pPr>
    </w:p>
    <w:p w14:paraId="057C8A61">
      <w:pPr>
        <w:tabs>
          <w:tab w:val="left" w:pos="3529"/>
          <w:tab w:val="left" w:pos="5060"/>
        </w:tabs>
        <w:autoSpaceDE w:val="0"/>
        <w:autoSpaceDN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267C3EBE">
      <w:pPr>
        <w:tabs>
          <w:tab w:val="left" w:pos="2260"/>
          <w:tab w:val="left" w:pos="5060"/>
        </w:tabs>
        <w:autoSpaceDE w:val="0"/>
        <w:autoSpaceDN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04C42E4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70952037">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序号</w:t>
            </w:r>
          </w:p>
        </w:tc>
        <w:tc>
          <w:tcPr>
            <w:tcW w:w="3260" w:type="dxa"/>
            <w:vAlign w:val="center"/>
          </w:tcPr>
          <w:p w14:paraId="583336C2">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投标人</w:t>
            </w:r>
          </w:p>
        </w:tc>
        <w:tc>
          <w:tcPr>
            <w:tcW w:w="1134" w:type="dxa"/>
            <w:vAlign w:val="center"/>
          </w:tcPr>
          <w:p w14:paraId="2E392DF1">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2E7DC590">
            <w:pPr>
              <w:autoSpaceDE w:val="0"/>
              <w:autoSpaceDN w:val="0"/>
              <w:adjustRightInd w:val="0"/>
              <w:snapToGrid w:val="0"/>
              <w:jc w:val="center"/>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12FC882B">
            <w:pPr>
              <w:autoSpaceDE w:val="0"/>
              <w:autoSpaceDN w:val="0"/>
              <w:adjustRightInd w:val="0"/>
              <w:snapToGrid w:val="0"/>
              <w:jc w:val="center"/>
              <w:rPr>
                <w:rFonts w:ascii="宋体" w:hAnsi="宋体"/>
                <w:snapToGrid w:val="0"/>
                <w:kern w:val="0"/>
                <w:szCs w:val="21"/>
              </w:rPr>
            </w:pPr>
            <w:r>
              <w:t>增值税</w:t>
            </w:r>
            <w:r>
              <w:rPr>
                <w:spacing w:val="-3"/>
              </w:rPr>
              <w:t>税</w:t>
            </w:r>
            <w:r>
              <w:t>率</w:t>
            </w:r>
          </w:p>
        </w:tc>
        <w:tc>
          <w:tcPr>
            <w:tcW w:w="1834" w:type="dxa"/>
            <w:vAlign w:val="center"/>
          </w:tcPr>
          <w:p w14:paraId="2DA28DE3">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58B6AC9E">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备注</w:t>
            </w:r>
          </w:p>
        </w:tc>
        <w:tc>
          <w:tcPr>
            <w:tcW w:w="1679" w:type="dxa"/>
            <w:vAlign w:val="center"/>
          </w:tcPr>
          <w:p w14:paraId="7287FEB4">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投标人代表签名</w:t>
            </w:r>
          </w:p>
        </w:tc>
      </w:tr>
      <w:tr w14:paraId="493747A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E6F6A63">
            <w:pPr>
              <w:autoSpaceDE w:val="0"/>
              <w:autoSpaceDN w:val="0"/>
              <w:adjustRightInd w:val="0"/>
              <w:snapToGrid w:val="0"/>
              <w:jc w:val="left"/>
              <w:rPr>
                <w:rFonts w:ascii="宋体" w:hAnsi="宋体"/>
                <w:snapToGrid w:val="0"/>
                <w:kern w:val="0"/>
                <w:sz w:val="28"/>
                <w:szCs w:val="28"/>
              </w:rPr>
            </w:pPr>
          </w:p>
        </w:tc>
        <w:tc>
          <w:tcPr>
            <w:tcW w:w="3260" w:type="dxa"/>
            <w:vAlign w:val="center"/>
          </w:tcPr>
          <w:p w14:paraId="5EA17433">
            <w:pPr>
              <w:autoSpaceDE w:val="0"/>
              <w:autoSpaceDN w:val="0"/>
              <w:adjustRightInd w:val="0"/>
              <w:snapToGrid w:val="0"/>
              <w:jc w:val="left"/>
              <w:rPr>
                <w:rFonts w:ascii="宋体" w:hAnsi="宋体"/>
                <w:snapToGrid w:val="0"/>
                <w:kern w:val="0"/>
                <w:sz w:val="28"/>
                <w:szCs w:val="28"/>
              </w:rPr>
            </w:pPr>
          </w:p>
        </w:tc>
        <w:tc>
          <w:tcPr>
            <w:tcW w:w="1134" w:type="dxa"/>
            <w:vAlign w:val="center"/>
          </w:tcPr>
          <w:p w14:paraId="47F32464">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7F87FE99">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0D06B98E">
            <w:pPr>
              <w:autoSpaceDE w:val="0"/>
              <w:autoSpaceDN w:val="0"/>
              <w:adjustRightInd w:val="0"/>
              <w:snapToGrid w:val="0"/>
              <w:jc w:val="left"/>
              <w:rPr>
                <w:rFonts w:ascii="宋体" w:hAnsi="宋体"/>
                <w:snapToGrid w:val="0"/>
                <w:kern w:val="0"/>
                <w:sz w:val="28"/>
                <w:szCs w:val="28"/>
              </w:rPr>
            </w:pPr>
          </w:p>
        </w:tc>
        <w:tc>
          <w:tcPr>
            <w:tcW w:w="1834" w:type="dxa"/>
            <w:vAlign w:val="center"/>
          </w:tcPr>
          <w:p w14:paraId="043B7E14">
            <w:pPr>
              <w:autoSpaceDE w:val="0"/>
              <w:autoSpaceDN w:val="0"/>
              <w:adjustRightInd w:val="0"/>
              <w:snapToGrid w:val="0"/>
              <w:jc w:val="left"/>
              <w:rPr>
                <w:rFonts w:ascii="宋体" w:hAnsi="宋体"/>
                <w:snapToGrid w:val="0"/>
                <w:kern w:val="0"/>
                <w:sz w:val="28"/>
                <w:szCs w:val="28"/>
              </w:rPr>
            </w:pPr>
          </w:p>
        </w:tc>
        <w:tc>
          <w:tcPr>
            <w:tcW w:w="1450" w:type="dxa"/>
            <w:vAlign w:val="center"/>
          </w:tcPr>
          <w:p w14:paraId="0621D6A7">
            <w:pPr>
              <w:autoSpaceDE w:val="0"/>
              <w:autoSpaceDN w:val="0"/>
              <w:adjustRightInd w:val="0"/>
              <w:snapToGrid w:val="0"/>
              <w:jc w:val="left"/>
              <w:rPr>
                <w:rFonts w:ascii="宋体" w:hAnsi="宋体"/>
                <w:snapToGrid w:val="0"/>
                <w:kern w:val="0"/>
                <w:sz w:val="28"/>
                <w:szCs w:val="28"/>
              </w:rPr>
            </w:pPr>
          </w:p>
        </w:tc>
        <w:tc>
          <w:tcPr>
            <w:tcW w:w="1679" w:type="dxa"/>
            <w:vAlign w:val="center"/>
          </w:tcPr>
          <w:p w14:paraId="35E6597B">
            <w:pPr>
              <w:autoSpaceDE w:val="0"/>
              <w:autoSpaceDN w:val="0"/>
              <w:adjustRightInd w:val="0"/>
              <w:snapToGrid w:val="0"/>
              <w:jc w:val="left"/>
              <w:rPr>
                <w:rFonts w:ascii="宋体" w:hAnsi="宋体"/>
                <w:snapToGrid w:val="0"/>
                <w:kern w:val="0"/>
                <w:sz w:val="28"/>
                <w:szCs w:val="28"/>
              </w:rPr>
            </w:pPr>
          </w:p>
        </w:tc>
      </w:tr>
      <w:tr w14:paraId="24DB5D0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715F1439">
            <w:pPr>
              <w:autoSpaceDE w:val="0"/>
              <w:autoSpaceDN w:val="0"/>
              <w:adjustRightInd w:val="0"/>
              <w:snapToGrid w:val="0"/>
              <w:jc w:val="left"/>
              <w:rPr>
                <w:rFonts w:ascii="宋体" w:hAnsi="宋体"/>
                <w:snapToGrid w:val="0"/>
                <w:kern w:val="0"/>
                <w:sz w:val="28"/>
                <w:szCs w:val="28"/>
              </w:rPr>
            </w:pPr>
          </w:p>
        </w:tc>
        <w:tc>
          <w:tcPr>
            <w:tcW w:w="3260" w:type="dxa"/>
            <w:vAlign w:val="center"/>
          </w:tcPr>
          <w:p w14:paraId="575068CC">
            <w:pPr>
              <w:autoSpaceDE w:val="0"/>
              <w:autoSpaceDN w:val="0"/>
              <w:adjustRightInd w:val="0"/>
              <w:snapToGrid w:val="0"/>
              <w:jc w:val="left"/>
              <w:rPr>
                <w:rFonts w:ascii="宋体" w:hAnsi="宋体"/>
                <w:snapToGrid w:val="0"/>
                <w:kern w:val="0"/>
                <w:sz w:val="28"/>
                <w:szCs w:val="28"/>
              </w:rPr>
            </w:pPr>
          </w:p>
        </w:tc>
        <w:tc>
          <w:tcPr>
            <w:tcW w:w="1134" w:type="dxa"/>
            <w:vAlign w:val="center"/>
          </w:tcPr>
          <w:p w14:paraId="04004553">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2776FC77">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402D22D3">
            <w:pPr>
              <w:autoSpaceDE w:val="0"/>
              <w:autoSpaceDN w:val="0"/>
              <w:adjustRightInd w:val="0"/>
              <w:snapToGrid w:val="0"/>
              <w:jc w:val="left"/>
              <w:rPr>
                <w:rFonts w:ascii="宋体" w:hAnsi="宋体"/>
                <w:snapToGrid w:val="0"/>
                <w:kern w:val="0"/>
                <w:sz w:val="28"/>
                <w:szCs w:val="28"/>
              </w:rPr>
            </w:pPr>
          </w:p>
        </w:tc>
        <w:tc>
          <w:tcPr>
            <w:tcW w:w="1834" w:type="dxa"/>
            <w:vAlign w:val="center"/>
          </w:tcPr>
          <w:p w14:paraId="77EB448F">
            <w:pPr>
              <w:autoSpaceDE w:val="0"/>
              <w:autoSpaceDN w:val="0"/>
              <w:adjustRightInd w:val="0"/>
              <w:snapToGrid w:val="0"/>
              <w:jc w:val="left"/>
              <w:rPr>
                <w:rFonts w:ascii="宋体" w:hAnsi="宋体"/>
                <w:snapToGrid w:val="0"/>
                <w:kern w:val="0"/>
                <w:sz w:val="28"/>
                <w:szCs w:val="28"/>
              </w:rPr>
            </w:pPr>
          </w:p>
        </w:tc>
        <w:tc>
          <w:tcPr>
            <w:tcW w:w="1450" w:type="dxa"/>
            <w:vAlign w:val="center"/>
          </w:tcPr>
          <w:p w14:paraId="1F1D7AA4">
            <w:pPr>
              <w:autoSpaceDE w:val="0"/>
              <w:autoSpaceDN w:val="0"/>
              <w:adjustRightInd w:val="0"/>
              <w:snapToGrid w:val="0"/>
              <w:jc w:val="left"/>
              <w:rPr>
                <w:rFonts w:ascii="宋体" w:hAnsi="宋体"/>
                <w:snapToGrid w:val="0"/>
                <w:kern w:val="0"/>
                <w:sz w:val="28"/>
                <w:szCs w:val="28"/>
              </w:rPr>
            </w:pPr>
          </w:p>
        </w:tc>
        <w:tc>
          <w:tcPr>
            <w:tcW w:w="1679" w:type="dxa"/>
            <w:vAlign w:val="center"/>
          </w:tcPr>
          <w:p w14:paraId="69D615C0">
            <w:pPr>
              <w:autoSpaceDE w:val="0"/>
              <w:autoSpaceDN w:val="0"/>
              <w:adjustRightInd w:val="0"/>
              <w:snapToGrid w:val="0"/>
              <w:jc w:val="left"/>
              <w:rPr>
                <w:rFonts w:ascii="宋体" w:hAnsi="宋体"/>
                <w:snapToGrid w:val="0"/>
                <w:kern w:val="0"/>
                <w:sz w:val="28"/>
                <w:szCs w:val="28"/>
              </w:rPr>
            </w:pPr>
          </w:p>
        </w:tc>
      </w:tr>
      <w:tr w14:paraId="3DEADA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A2A3028">
            <w:pPr>
              <w:autoSpaceDE w:val="0"/>
              <w:autoSpaceDN w:val="0"/>
              <w:adjustRightInd w:val="0"/>
              <w:snapToGrid w:val="0"/>
              <w:jc w:val="left"/>
              <w:rPr>
                <w:rFonts w:ascii="宋体" w:hAnsi="宋体"/>
                <w:snapToGrid w:val="0"/>
                <w:kern w:val="0"/>
                <w:sz w:val="28"/>
                <w:szCs w:val="28"/>
              </w:rPr>
            </w:pPr>
          </w:p>
        </w:tc>
        <w:tc>
          <w:tcPr>
            <w:tcW w:w="3260" w:type="dxa"/>
            <w:vAlign w:val="center"/>
          </w:tcPr>
          <w:p w14:paraId="62F03CEE">
            <w:pPr>
              <w:autoSpaceDE w:val="0"/>
              <w:autoSpaceDN w:val="0"/>
              <w:adjustRightInd w:val="0"/>
              <w:snapToGrid w:val="0"/>
              <w:jc w:val="left"/>
              <w:rPr>
                <w:rFonts w:ascii="宋体" w:hAnsi="宋体"/>
                <w:snapToGrid w:val="0"/>
                <w:kern w:val="0"/>
                <w:sz w:val="28"/>
                <w:szCs w:val="28"/>
              </w:rPr>
            </w:pPr>
          </w:p>
        </w:tc>
        <w:tc>
          <w:tcPr>
            <w:tcW w:w="1134" w:type="dxa"/>
            <w:vAlign w:val="center"/>
          </w:tcPr>
          <w:p w14:paraId="216A63F1">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6504A051">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41E47301">
            <w:pPr>
              <w:autoSpaceDE w:val="0"/>
              <w:autoSpaceDN w:val="0"/>
              <w:adjustRightInd w:val="0"/>
              <w:snapToGrid w:val="0"/>
              <w:jc w:val="left"/>
              <w:rPr>
                <w:rFonts w:ascii="宋体" w:hAnsi="宋体"/>
                <w:snapToGrid w:val="0"/>
                <w:kern w:val="0"/>
                <w:sz w:val="28"/>
                <w:szCs w:val="28"/>
              </w:rPr>
            </w:pPr>
          </w:p>
        </w:tc>
        <w:tc>
          <w:tcPr>
            <w:tcW w:w="1834" w:type="dxa"/>
            <w:vAlign w:val="center"/>
          </w:tcPr>
          <w:p w14:paraId="067467C4">
            <w:pPr>
              <w:autoSpaceDE w:val="0"/>
              <w:autoSpaceDN w:val="0"/>
              <w:adjustRightInd w:val="0"/>
              <w:snapToGrid w:val="0"/>
              <w:jc w:val="left"/>
              <w:rPr>
                <w:rFonts w:ascii="宋体" w:hAnsi="宋体"/>
                <w:snapToGrid w:val="0"/>
                <w:kern w:val="0"/>
                <w:sz w:val="28"/>
                <w:szCs w:val="28"/>
              </w:rPr>
            </w:pPr>
          </w:p>
        </w:tc>
        <w:tc>
          <w:tcPr>
            <w:tcW w:w="1450" w:type="dxa"/>
            <w:vAlign w:val="center"/>
          </w:tcPr>
          <w:p w14:paraId="66E38E9E">
            <w:pPr>
              <w:autoSpaceDE w:val="0"/>
              <w:autoSpaceDN w:val="0"/>
              <w:adjustRightInd w:val="0"/>
              <w:snapToGrid w:val="0"/>
              <w:jc w:val="left"/>
              <w:rPr>
                <w:rFonts w:ascii="宋体" w:hAnsi="宋体"/>
                <w:snapToGrid w:val="0"/>
                <w:kern w:val="0"/>
                <w:sz w:val="28"/>
                <w:szCs w:val="28"/>
              </w:rPr>
            </w:pPr>
          </w:p>
        </w:tc>
        <w:tc>
          <w:tcPr>
            <w:tcW w:w="1679" w:type="dxa"/>
            <w:vAlign w:val="center"/>
          </w:tcPr>
          <w:p w14:paraId="2C8C541C">
            <w:pPr>
              <w:autoSpaceDE w:val="0"/>
              <w:autoSpaceDN w:val="0"/>
              <w:adjustRightInd w:val="0"/>
              <w:snapToGrid w:val="0"/>
              <w:jc w:val="left"/>
              <w:rPr>
                <w:rFonts w:ascii="宋体" w:hAnsi="宋体"/>
                <w:snapToGrid w:val="0"/>
                <w:kern w:val="0"/>
                <w:sz w:val="28"/>
                <w:szCs w:val="28"/>
              </w:rPr>
            </w:pPr>
          </w:p>
        </w:tc>
      </w:tr>
      <w:tr w14:paraId="3FD5F90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2874721C">
            <w:pPr>
              <w:autoSpaceDE w:val="0"/>
              <w:autoSpaceDN w:val="0"/>
              <w:adjustRightInd w:val="0"/>
              <w:snapToGrid w:val="0"/>
              <w:jc w:val="left"/>
              <w:rPr>
                <w:rFonts w:ascii="宋体" w:hAnsi="宋体"/>
                <w:snapToGrid w:val="0"/>
                <w:kern w:val="0"/>
                <w:sz w:val="28"/>
                <w:szCs w:val="28"/>
              </w:rPr>
            </w:pPr>
          </w:p>
        </w:tc>
        <w:tc>
          <w:tcPr>
            <w:tcW w:w="3260" w:type="dxa"/>
            <w:vAlign w:val="center"/>
          </w:tcPr>
          <w:p w14:paraId="16792813">
            <w:pPr>
              <w:autoSpaceDE w:val="0"/>
              <w:autoSpaceDN w:val="0"/>
              <w:adjustRightInd w:val="0"/>
              <w:snapToGrid w:val="0"/>
              <w:jc w:val="left"/>
              <w:rPr>
                <w:rFonts w:ascii="宋体" w:hAnsi="宋体"/>
                <w:snapToGrid w:val="0"/>
                <w:kern w:val="0"/>
                <w:sz w:val="28"/>
                <w:szCs w:val="28"/>
              </w:rPr>
            </w:pPr>
          </w:p>
        </w:tc>
        <w:tc>
          <w:tcPr>
            <w:tcW w:w="1134" w:type="dxa"/>
            <w:vAlign w:val="center"/>
          </w:tcPr>
          <w:p w14:paraId="63643891">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0F47929B">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67EB214C">
            <w:pPr>
              <w:autoSpaceDE w:val="0"/>
              <w:autoSpaceDN w:val="0"/>
              <w:adjustRightInd w:val="0"/>
              <w:snapToGrid w:val="0"/>
              <w:jc w:val="left"/>
              <w:rPr>
                <w:rFonts w:ascii="宋体" w:hAnsi="宋体"/>
                <w:snapToGrid w:val="0"/>
                <w:kern w:val="0"/>
                <w:sz w:val="28"/>
                <w:szCs w:val="28"/>
              </w:rPr>
            </w:pPr>
          </w:p>
        </w:tc>
        <w:tc>
          <w:tcPr>
            <w:tcW w:w="1834" w:type="dxa"/>
            <w:vAlign w:val="center"/>
          </w:tcPr>
          <w:p w14:paraId="50652017">
            <w:pPr>
              <w:autoSpaceDE w:val="0"/>
              <w:autoSpaceDN w:val="0"/>
              <w:adjustRightInd w:val="0"/>
              <w:snapToGrid w:val="0"/>
              <w:jc w:val="left"/>
              <w:rPr>
                <w:rFonts w:ascii="宋体" w:hAnsi="宋体"/>
                <w:snapToGrid w:val="0"/>
                <w:kern w:val="0"/>
                <w:sz w:val="28"/>
                <w:szCs w:val="28"/>
              </w:rPr>
            </w:pPr>
          </w:p>
        </w:tc>
        <w:tc>
          <w:tcPr>
            <w:tcW w:w="1450" w:type="dxa"/>
            <w:vAlign w:val="center"/>
          </w:tcPr>
          <w:p w14:paraId="7B6B35B7">
            <w:pPr>
              <w:autoSpaceDE w:val="0"/>
              <w:autoSpaceDN w:val="0"/>
              <w:adjustRightInd w:val="0"/>
              <w:snapToGrid w:val="0"/>
              <w:jc w:val="left"/>
              <w:rPr>
                <w:rFonts w:ascii="宋体" w:hAnsi="宋体"/>
                <w:snapToGrid w:val="0"/>
                <w:kern w:val="0"/>
                <w:sz w:val="28"/>
                <w:szCs w:val="28"/>
              </w:rPr>
            </w:pPr>
          </w:p>
        </w:tc>
        <w:tc>
          <w:tcPr>
            <w:tcW w:w="1679" w:type="dxa"/>
            <w:vAlign w:val="center"/>
          </w:tcPr>
          <w:p w14:paraId="3219E9D7">
            <w:pPr>
              <w:autoSpaceDE w:val="0"/>
              <w:autoSpaceDN w:val="0"/>
              <w:adjustRightInd w:val="0"/>
              <w:snapToGrid w:val="0"/>
              <w:jc w:val="left"/>
              <w:rPr>
                <w:rFonts w:ascii="宋体" w:hAnsi="宋体"/>
                <w:snapToGrid w:val="0"/>
                <w:kern w:val="0"/>
                <w:sz w:val="28"/>
                <w:szCs w:val="28"/>
              </w:rPr>
            </w:pPr>
          </w:p>
        </w:tc>
      </w:tr>
      <w:tr w14:paraId="67C76D5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8E37E13">
            <w:pPr>
              <w:autoSpaceDE w:val="0"/>
              <w:autoSpaceDN w:val="0"/>
              <w:adjustRightInd w:val="0"/>
              <w:snapToGrid w:val="0"/>
              <w:jc w:val="left"/>
              <w:rPr>
                <w:rFonts w:ascii="宋体" w:hAnsi="宋体"/>
                <w:snapToGrid w:val="0"/>
                <w:kern w:val="0"/>
                <w:sz w:val="28"/>
                <w:szCs w:val="28"/>
              </w:rPr>
            </w:pPr>
          </w:p>
        </w:tc>
        <w:tc>
          <w:tcPr>
            <w:tcW w:w="3260" w:type="dxa"/>
            <w:vAlign w:val="center"/>
          </w:tcPr>
          <w:p w14:paraId="77C07281">
            <w:pPr>
              <w:autoSpaceDE w:val="0"/>
              <w:autoSpaceDN w:val="0"/>
              <w:adjustRightInd w:val="0"/>
              <w:snapToGrid w:val="0"/>
              <w:jc w:val="left"/>
              <w:rPr>
                <w:rFonts w:ascii="宋体" w:hAnsi="宋体"/>
                <w:snapToGrid w:val="0"/>
                <w:kern w:val="0"/>
                <w:sz w:val="28"/>
                <w:szCs w:val="28"/>
              </w:rPr>
            </w:pPr>
          </w:p>
        </w:tc>
        <w:tc>
          <w:tcPr>
            <w:tcW w:w="1134" w:type="dxa"/>
            <w:vAlign w:val="center"/>
          </w:tcPr>
          <w:p w14:paraId="0D8EE342">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2D0387FB">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34276FD3">
            <w:pPr>
              <w:autoSpaceDE w:val="0"/>
              <w:autoSpaceDN w:val="0"/>
              <w:adjustRightInd w:val="0"/>
              <w:snapToGrid w:val="0"/>
              <w:jc w:val="left"/>
              <w:rPr>
                <w:rFonts w:ascii="宋体" w:hAnsi="宋体"/>
                <w:snapToGrid w:val="0"/>
                <w:kern w:val="0"/>
                <w:sz w:val="28"/>
                <w:szCs w:val="28"/>
              </w:rPr>
            </w:pPr>
          </w:p>
        </w:tc>
        <w:tc>
          <w:tcPr>
            <w:tcW w:w="1834" w:type="dxa"/>
            <w:vAlign w:val="center"/>
          </w:tcPr>
          <w:p w14:paraId="321BFE63">
            <w:pPr>
              <w:autoSpaceDE w:val="0"/>
              <w:autoSpaceDN w:val="0"/>
              <w:adjustRightInd w:val="0"/>
              <w:snapToGrid w:val="0"/>
              <w:jc w:val="left"/>
              <w:rPr>
                <w:rFonts w:ascii="宋体" w:hAnsi="宋体"/>
                <w:snapToGrid w:val="0"/>
                <w:kern w:val="0"/>
                <w:sz w:val="28"/>
                <w:szCs w:val="28"/>
              </w:rPr>
            </w:pPr>
          </w:p>
        </w:tc>
        <w:tc>
          <w:tcPr>
            <w:tcW w:w="1450" w:type="dxa"/>
            <w:vAlign w:val="center"/>
          </w:tcPr>
          <w:p w14:paraId="1EF4583E">
            <w:pPr>
              <w:autoSpaceDE w:val="0"/>
              <w:autoSpaceDN w:val="0"/>
              <w:adjustRightInd w:val="0"/>
              <w:snapToGrid w:val="0"/>
              <w:jc w:val="left"/>
              <w:rPr>
                <w:rFonts w:ascii="宋体" w:hAnsi="宋体"/>
                <w:snapToGrid w:val="0"/>
                <w:kern w:val="0"/>
                <w:sz w:val="28"/>
                <w:szCs w:val="28"/>
              </w:rPr>
            </w:pPr>
          </w:p>
        </w:tc>
        <w:tc>
          <w:tcPr>
            <w:tcW w:w="1679" w:type="dxa"/>
            <w:vAlign w:val="center"/>
          </w:tcPr>
          <w:p w14:paraId="70EF8C84">
            <w:pPr>
              <w:autoSpaceDE w:val="0"/>
              <w:autoSpaceDN w:val="0"/>
              <w:adjustRightInd w:val="0"/>
              <w:snapToGrid w:val="0"/>
              <w:jc w:val="left"/>
              <w:rPr>
                <w:rFonts w:ascii="宋体" w:hAnsi="宋体"/>
                <w:snapToGrid w:val="0"/>
                <w:kern w:val="0"/>
                <w:sz w:val="28"/>
                <w:szCs w:val="28"/>
              </w:rPr>
            </w:pPr>
          </w:p>
        </w:tc>
      </w:tr>
      <w:tr w14:paraId="7FFD38B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4A2131F1">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1A0A716A">
            <w:pPr>
              <w:autoSpaceDE w:val="0"/>
              <w:autoSpaceDN w:val="0"/>
              <w:adjustRightInd w:val="0"/>
              <w:snapToGrid w:val="0"/>
              <w:jc w:val="left"/>
              <w:rPr>
                <w:rFonts w:ascii="宋体" w:hAnsi="宋体"/>
                <w:snapToGrid w:val="0"/>
                <w:kern w:val="0"/>
                <w:szCs w:val="21"/>
              </w:rPr>
            </w:pPr>
          </w:p>
        </w:tc>
      </w:tr>
      <w:tr w14:paraId="3CEFAF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5AD73123">
            <w:pPr>
              <w:autoSpaceDE w:val="0"/>
              <w:autoSpaceDN w:val="0"/>
              <w:adjustRightInd w:val="0"/>
              <w:snapToGrid w:val="0"/>
              <w:jc w:val="center"/>
              <w:rPr>
                <w:szCs w:val="21"/>
              </w:rPr>
            </w:pPr>
            <w:r>
              <w:rPr>
                <w:rFonts w:hint="eastAsia"/>
                <w:szCs w:val="21"/>
              </w:rPr>
              <w:t>异常情况</w:t>
            </w:r>
          </w:p>
        </w:tc>
        <w:tc>
          <w:tcPr>
            <w:tcW w:w="10860" w:type="dxa"/>
            <w:gridSpan w:val="6"/>
            <w:tcBorders>
              <w:top w:val="single" w:color="auto" w:sz="4" w:space="0"/>
            </w:tcBorders>
            <w:vAlign w:val="center"/>
          </w:tcPr>
          <w:p w14:paraId="03ED7FBE">
            <w:pPr>
              <w:autoSpaceDE w:val="0"/>
              <w:autoSpaceDN w:val="0"/>
              <w:adjustRightInd w:val="0"/>
              <w:snapToGrid w:val="0"/>
              <w:jc w:val="left"/>
              <w:rPr>
                <w:rFonts w:ascii="宋体" w:hAnsi="宋体"/>
                <w:i/>
                <w:kern w:val="0"/>
                <w:szCs w:val="21"/>
              </w:rPr>
            </w:pPr>
          </w:p>
        </w:tc>
      </w:tr>
    </w:tbl>
    <w:p w14:paraId="2B58A1FD">
      <w:pPr>
        <w:tabs>
          <w:tab w:val="left" w:pos="2740"/>
          <w:tab w:val="left" w:pos="4940"/>
          <w:tab w:val="left" w:pos="7140"/>
        </w:tabs>
        <w:autoSpaceDE w:val="0"/>
        <w:autoSpaceDN w:val="0"/>
        <w:adjustRightInd w:val="0"/>
        <w:snapToGrid w:val="0"/>
        <w:spacing w:line="360" w:lineRule="auto"/>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4D993014">
      <w:pPr>
        <w:tabs>
          <w:tab w:val="left" w:pos="2740"/>
          <w:tab w:val="left" w:pos="4940"/>
          <w:tab w:val="left" w:pos="6930"/>
        </w:tabs>
        <w:autoSpaceDE w:val="0"/>
        <w:autoSpaceDN w:val="0"/>
        <w:adjustRightInd w:val="0"/>
        <w:snapToGrid w:val="0"/>
        <w:spacing w:line="360" w:lineRule="auto"/>
        <w:ind w:firstLine="0" w:firstLineChars="0"/>
        <w:jc w:val="left"/>
        <w:rPr>
          <w:rFonts w:hint="eastAsia"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lang w:val="en-US" w:eastAsia="zh-CN"/>
        </w:rPr>
        <w:t>招标代理机构</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5150FF3D">
      <w:pPr>
        <w:tabs>
          <w:tab w:val="left" w:pos="2740"/>
          <w:tab w:val="left" w:pos="4940"/>
          <w:tab w:val="left" w:pos="6930"/>
        </w:tabs>
        <w:autoSpaceDE w:val="0"/>
        <w:autoSpaceDN w:val="0"/>
        <w:adjustRightInd w:val="0"/>
        <w:snapToGrid w:val="0"/>
        <w:spacing w:line="360" w:lineRule="auto"/>
        <w:ind w:firstLine="0" w:firstLineChars="0"/>
        <w:jc w:val="left"/>
        <w:rPr>
          <w:rFonts w:ascii="宋体" w:hAnsi="宋体"/>
          <w:snapToGrid w:val="0"/>
          <w:kern w:val="0"/>
          <w:szCs w:val="21"/>
        </w:rPr>
      </w:pP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27BFF731">
      <w:pPr>
        <w:autoSpaceDE w:val="0"/>
        <w:autoSpaceDN w:val="0"/>
        <w:adjustRightInd w:val="0"/>
        <w:snapToGrid w:val="0"/>
        <w:spacing w:before="48"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37E0F69">
      <w:pPr>
        <w:autoSpaceDE w:val="0"/>
        <w:autoSpaceDN w:val="0"/>
        <w:adjustRightInd w:val="0"/>
        <w:snapToGrid w:val="0"/>
        <w:spacing w:before="48" w:beforeLines="20" w:line="360" w:lineRule="auto"/>
        <w:rPr>
          <w:rFonts w:ascii="宋体" w:hAnsi="宋体"/>
          <w:snapToGrid w:val="0"/>
          <w:kern w:val="0"/>
          <w:sz w:val="24"/>
        </w:rPr>
      </w:pP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3BBDC4DD">
      <w:pPr>
        <w:autoSpaceDE w:val="0"/>
        <w:autoSpaceDN w:val="0"/>
        <w:adjustRightInd w:val="0"/>
        <w:snapToGrid w:val="0"/>
        <w:spacing w:before="48" w:beforeLines="20" w:line="360" w:lineRule="auto"/>
        <w:jc w:val="center"/>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16E11CED">
      <w:pPr>
        <w:autoSpaceDE w:val="0"/>
        <w:autoSpaceDN w:val="0"/>
        <w:adjustRightInd w:val="0"/>
        <w:snapToGrid w:val="0"/>
        <w:spacing w:before="48" w:beforeLines="20" w:line="360" w:lineRule="auto"/>
        <w:ind w:firstLine="8610" w:firstLineChars="4100"/>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1F291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73BDE433">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序号</w:t>
            </w:r>
          </w:p>
        </w:tc>
        <w:tc>
          <w:tcPr>
            <w:tcW w:w="3476" w:type="dxa"/>
            <w:vAlign w:val="center"/>
          </w:tcPr>
          <w:p w14:paraId="7FAE8106">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投标人</w:t>
            </w:r>
          </w:p>
        </w:tc>
        <w:tc>
          <w:tcPr>
            <w:tcW w:w="2581" w:type="dxa"/>
            <w:vAlign w:val="center"/>
          </w:tcPr>
          <w:p w14:paraId="28DF94E6">
            <w:pPr>
              <w:autoSpaceDE w:val="0"/>
              <w:autoSpaceDN w:val="0"/>
              <w:adjustRightInd w:val="0"/>
              <w:snapToGrid w:val="0"/>
              <w:spacing w:before="48" w:beforeLines="20" w:line="240" w:lineRule="auto"/>
              <w:jc w:val="center"/>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4B6F055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金额（元）</w:t>
            </w:r>
          </w:p>
        </w:tc>
        <w:tc>
          <w:tcPr>
            <w:tcW w:w="2496" w:type="dxa"/>
            <w:vAlign w:val="center"/>
          </w:tcPr>
          <w:p w14:paraId="13D65712">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递交时间</w:t>
            </w:r>
          </w:p>
        </w:tc>
        <w:tc>
          <w:tcPr>
            <w:tcW w:w="2653" w:type="dxa"/>
            <w:vAlign w:val="center"/>
          </w:tcPr>
          <w:p w14:paraId="5891127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备注</w:t>
            </w:r>
          </w:p>
        </w:tc>
      </w:tr>
      <w:tr w14:paraId="16B8A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A68096D">
            <w:pPr>
              <w:autoSpaceDE w:val="0"/>
              <w:autoSpaceDN w:val="0"/>
              <w:adjustRightInd w:val="0"/>
              <w:snapToGrid w:val="0"/>
              <w:spacing w:before="48" w:beforeLines="20" w:line="360" w:lineRule="auto"/>
              <w:rPr>
                <w:rFonts w:ascii="宋体" w:hAnsi="宋体"/>
                <w:szCs w:val="21"/>
              </w:rPr>
            </w:pPr>
          </w:p>
        </w:tc>
        <w:tc>
          <w:tcPr>
            <w:tcW w:w="3476" w:type="dxa"/>
          </w:tcPr>
          <w:p w14:paraId="6CD318F2">
            <w:pPr>
              <w:autoSpaceDE w:val="0"/>
              <w:autoSpaceDN w:val="0"/>
              <w:adjustRightInd w:val="0"/>
              <w:snapToGrid w:val="0"/>
              <w:spacing w:before="48" w:beforeLines="20" w:line="360" w:lineRule="auto"/>
              <w:rPr>
                <w:rFonts w:ascii="宋体" w:hAnsi="宋体"/>
                <w:szCs w:val="21"/>
              </w:rPr>
            </w:pPr>
          </w:p>
        </w:tc>
        <w:tc>
          <w:tcPr>
            <w:tcW w:w="2581" w:type="dxa"/>
          </w:tcPr>
          <w:p w14:paraId="08ECC4D9">
            <w:pPr>
              <w:autoSpaceDE w:val="0"/>
              <w:autoSpaceDN w:val="0"/>
              <w:adjustRightInd w:val="0"/>
              <w:snapToGrid w:val="0"/>
              <w:spacing w:before="48" w:beforeLines="20" w:line="360" w:lineRule="auto"/>
              <w:rPr>
                <w:rFonts w:ascii="宋体" w:hAnsi="宋体"/>
                <w:szCs w:val="21"/>
              </w:rPr>
            </w:pPr>
          </w:p>
        </w:tc>
        <w:tc>
          <w:tcPr>
            <w:tcW w:w="2581" w:type="dxa"/>
          </w:tcPr>
          <w:p w14:paraId="67581665">
            <w:pPr>
              <w:autoSpaceDE w:val="0"/>
              <w:autoSpaceDN w:val="0"/>
              <w:adjustRightInd w:val="0"/>
              <w:snapToGrid w:val="0"/>
              <w:spacing w:before="48" w:beforeLines="20" w:line="360" w:lineRule="auto"/>
              <w:rPr>
                <w:rFonts w:ascii="宋体" w:hAnsi="宋体"/>
                <w:szCs w:val="21"/>
              </w:rPr>
            </w:pPr>
          </w:p>
        </w:tc>
        <w:tc>
          <w:tcPr>
            <w:tcW w:w="2496" w:type="dxa"/>
            <w:vAlign w:val="center"/>
          </w:tcPr>
          <w:p w14:paraId="615C3F97">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lang w:val="en-US" w:eastAsia="zh-CN"/>
              </w:rPr>
              <w:t>投标截止时间前</w:t>
            </w:r>
          </w:p>
        </w:tc>
        <w:tc>
          <w:tcPr>
            <w:tcW w:w="2653" w:type="dxa"/>
          </w:tcPr>
          <w:p w14:paraId="4F42D9DA">
            <w:pPr>
              <w:autoSpaceDE w:val="0"/>
              <w:autoSpaceDN w:val="0"/>
              <w:adjustRightInd w:val="0"/>
              <w:snapToGrid w:val="0"/>
              <w:spacing w:before="48" w:beforeLines="20" w:line="360" w:lineRule="auto"/>
              <w:rPr>
                <w:rFonts w:ascii="宋体" w:hAnsi="宋体"/>
                <w:szCs w:val="21"/>
              </w:rPr>
            </w:pPr>
          </w:p>
        </w:tc>
      </w:tr>
      <w:tr w14:paraId="1763D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42A748B1">
            <w:pPr>
              <w:autoSpaceDE w:val="0"/>
              <w:autoSpaceDN w:val="0"/>
              <w:adjustRightInd w:val="0"/>
              <w:snapToGrid w:val="0"/>
              <w:spacing w:before="48" w:beforeLines="20" w:line="360" w:lineRule="auto"/>
              <w:rPr>
                <w:rFonts w:ascii="宋体" w:hAnsi="宋体"/>
                <w:szCs w:val="21"/>
              </w:rPr>
            </w:pPr>
          </w:p>
        </w:tc>
        <w:tc>
          <w:tcPr>
            <w:tcW w:w="3476" w:type="dxa"/>
          </w:tcPr>
          <w:p w14:paraId="63FC7A7C">
            <w:pPr>
              <w:autoSpaceDE w:val="0"/>
              <w:autoSpaceDN w:val="0"/>
              <w:adjustRightInd w:val="0"/>
              <w:snapToGrid w:val="0"/>
              <w:spacing w:before="48" w:beforeLines="20" w:line="360" w:lineRule="auto"/>
              <w:rPr>
                <w:rFonts w:ascii="宋体" w:hAnsi="宋体"/>
                <w:szCs w:val="21"/>
              </w:rPr>
            </w:pPr>
          </w:p>
        </w:tc>
        <w:tc>
          <w:tcPr>
            <w:tcW w:w="2581" w:type="dxa"/>
          </w:tcPr>
          <w:p w14:paraId="7F18B41F">
            <w:pPr>
              <w:autoSpaceDE w:val="0"/>
              <w:autoSpaceDN w:val="0"/>
              <w:adjustRightInd w:val="0"/>
              <w:snapToGrid w:val="0"/>
              <w:spacing w:before="48" w:beforeLines="20" w:line="360" w:lineRule="auto"/>
              <w:rPr>
                <w:rFonts w:ascii="宋体" w:hAnsi="宋体"/>
                <w:szCs w:val="21"/>
              </w:rPr>
            </w:pPr>
          </w:p>
        </w:tc>
        <w:tc>
          <w:tcPr>
            <w:tcW w:w="2581" w:type="dxa"/>
          </w:tcPr>
          <w:p w14:paraId="0D83C449">
            <w:pPr>
              <w:autoSpaceDE w:val="0"/>
              <w:autoSpaceDN w:val="0"/>
              <w:adjustRightInd w:val="0"/>
              <w:snapToGrid w:val="0"/>
              <w:spacing w:before="48" w:beforeLines="20" w:line="360" w:lineRule="auto"/>
              <w:rPr>
                <w:rFonts w:ascii="宋体" w:hAnsi="宋体"/>
                <w:szCs w:val="21"/>
              </w:rPr>
            </w:pPr>
          </w:p>
        </w:tc>
        <w:tc>
          <w:tcPr>
            <w:tcW w:w="2496" w:type="dxa"/>
            <w:vAlign w:val="center"/>
          </w:tcPr>
          <w:p w14:paraId="4D734E55">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16C835C6">
            <w:pPr>
              <w:autoSpaceDE w:val="0"/>
              <w:autoSpaceDN w:val="0"/>
              <w:adjustRightInd w:val="0"/>
              <w:snapToGrid w:val="0"/>
              <w:spacing w:before="48" w:beforeLines="20" w:line="360" w:lineRule="auto"/>
              <w:rPr>
                <w:rFonts w:ascii="宋体" w:hAnsi="宋体"/>
                <w:szCs w:val="21"/>
              </w:rPr>
            </w:pPr>
          </w:p>
        </w:tc>
      </w:tr>
      <w:tr w14:paraId="243A8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93DB967">
            <w:pPr>
              <w:autoSpaceDE w:val="0"/>
              <w:autoSpaceDN w:val="0"/>
              <w:adjustRightInd w:val="0"/>
              <w:snapToGrid w:val="0"/>
              <w:spacing w:before="48" w:beforeLines="20" w:line="360" w:lineRule="auto"/>
              <w:rPr>
                <w:rFonts w:ascii="宋体" w:hAnsi="宋体"/>
                <w:szCs w:val="21"/>
              </w:rPr>
            </w:pPr>
          </w:p>
        </w:tc>
        <w:tc>
          <w:tcPr>
            <w:tcW w:w="3476" w:type="dxa"/>
          </w:tcPr>
          <w:p w14:paraId="251FA0E8">
            <w:pPr>
              <w:autoSpaceDE w:val="0"/>
              <w:autoSpaceDN w:val="0"/>
              <w:adjustRightInd w:val="0"/>
              <w:snapToGrid w:val="0"/>
              <w:spacing w:before="48" w:beforeLines="20" w:line="360" w:lineRule="auto"/>
              <w:rPr>
                <w:rFonts w:ascii="宋体" w:hAnsi="宋体"/>
                <w:szCs w:val="21"/>
              </w:rPr>
            </w:pPr>
          </w:p>
        </w:tc>
        <w:tc>
          <w:tcPr>
            <w:tcW w:w="2581" w:type="dxa"/>
          </w:tcPr>
          <w:p w14:paraId="263858DF">
            <w:pPr>
              <w:autoSpaceDE w:val="0"/>
              <w:autoSpaceDN w:val="0"/>
              <w:adjustRightInd w:val="0"/>
              <w:snapToGrid w:val="0"/>
              <w:spacing w:before="48" w:beforeLines="20" w:line="360" w:lineRule="auto"/>
              <w:rPr>
                <w:rFonts w:ascii="宋体" w:hAnsi="宋体"/>
                <w:szCs w:val="21"/>
              </w:rPr>
            </w:pPr>
          </w:p>
        </w:tc>
        <w:tc>
          <w:tcPr>
            <w:tcW w:w="2581" w:type="dxa"/>
          </w:tcPr>
          <w:p w14:paraId="177577F8">
            <w:pPr>
              <w:autoSpaceDE w:val="0"/>
              <w:autoSpaceDN w:val="0"/>
              <w:adjustRightInd w:val="0"/>
              <w:snapToGrid w:val="0"/>
              <w:spacing w:before="48" w:beforeLines="20" w:line="360" w:lineRule="auto"/>
              <w:rPr>
                <w:rFonts w:ascii="宋体" w:hAnsi="宋体"/>
                <w:szCs w:val="21"/>
              </w:rPr>
            </w:pPr>
          </w:p>
        </w:tc>
        <w:tc>
          <w:tcPr>
            <w:tcW w:w="2496" w:type="dxa"/>
            <w:vAlign w:val="center"/>
          </w:tcPr>
          <w:p w14:paraId="7674CAD2">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68834EC1">
            <w:pPr>
              <w:autoSpaceDE w:val="0"/>
              <w:autoSpaceDN w:val="0"/>
              <w:adjustRightInd w:val="0"/>
              <w:snapToGrid w:val="0"/>
              <w:spacing w:before="48" w:beforeLines="20" w:line="360" w:lineRule="auto"/>
              <w:rPr>
                <w:rFonts w:ascii="宋体" w:hAnsi="宋体"/>
                <w:szCs w:val="21"/>
              </w:rPr>
            </w:pPr>
          </w:p>
        </w:tc>
      </w:tr>
      <w:tr w14:paraId="78BA4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719DF28">
            <w:pPr>
              <w:autoSpaceDE w:val="0"/>
              <w:autoSpaceDN w:val="0"/>
              <w:adjustRightInd w:val="0"/>
              <w:snapToGrid w:val="0"/>
              <w:spacing w:before="48" w:beforeLines="20" w:line="360" w:lineRule="auto"/>
              <w:rPr>
                <w:rFonts w:ascii="宋体" w:hAnsi="宋体"/>
                <w:szCs w:val="21"/>
              </w:rPr>
            </w:pPr>
          </w:p>
        </w:tc>
        <w:tc>
          <w:tcPr>
            <w:tcW w:w="3476" w:type="dxa"/>
          </w:tcPr>
          <w:p w14:paraId="07DD7195">
            <w:pPr>
              <w:autoSpaceDE w:val="0"/>
              <w:autoSpaceDN w:val="0"/>
              <w:adjustRightInd w:val="0"/>
              <w:snapToGrid w:val="0"/>
              <w:spacing w:before="48" w:beforeLines="20" w:line="360" w:lineRule="auto"/>
              <w:rPr>
                <w:rFonts w:ascii="宋体" w:hAnsi="宋体"/>
                <w:szCs w:val="21"/>
              </w:rPr>
            </w:pPr>
          </w:p>
        </w:tc>
        <w:tc>
          <w:tcPr>
            <w:tcW w:w="2581" w:type="dxa"/>
          </w:tcPr>
          <w:p w14:paraId="0CD6121A">
            <w:pPr>
              <w:autoSpaceDE w:val="0"/>
              <w:autoSpaceDN w:val="0"/>
              <w:adjustRightInd w:val="0"/>
              <w:snapToGrid w:val="0"/>
              <w:spacing w:before="48" w:beforeLines="20" w:line="360" w:lineRule="auto"/>
              <w:rPr>
                <w:rFonts w:ascii="宋体" w:hAnsi="宋体"/>
                <w:szCs w:val="21"/>
              </w:rPr>
            </w:pPr>
          </w:p>
        </w:tc>
        <w:tc>
          <w:tcPr>
            <w:tcW w:w="2581" w:type="dxa"/>
          </w:tcPr>
          <w:p w14:paraId="43582323">
            <w:pPr>
              <w:autoSpaceDE w:val="0"/>
              <w:autoSpaceDN w:val="0"/>
              <w:adjustRightInd w:val="0"/>
              <w:snapToGrid w:val="0"/>
              <w:spacing w:before="48" w:beforeLines="20" w:line="360" w:lineRule="auto"/>
              <w:rPr>
                <w:rFonts w:ascii="宋体" w:hAnsi="宋体"/>
                <w:szCs w:val="21"/>
              </w:rPr>
            </w:pPr>
          </w:p>
        </w:tc>
        <w:tc>
          <w:tcPr>
            <w:tcW w:w="2496" w:type="dxa"/>
            <w:vAlign w:val="center"/>
          </w:tcPr>
          <w:p w14:paraId="16E6A857">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3506794B">
            <w:pPr>
              <w:autoSpaceDE w:val="0"/>
              <w:autoSpaceDN w:val="0"/>
              <w:adjustRightInd w:val="0"/>
              <w:snapToGrid w:val="0"/>
              <w:spacing w:before="48" w:beforeLines="20" w:line="360" w:lineRule="auto"/>
              <w:rPr>
                <w:rFonts w:ascii="宋体" w:hAnsi="宋体"/>
                <w:szCs w:val="21"/>
              </w:rPr>
            </w:pPr>
          </w:p>
        </w:tc>
      </w:tr>
      <w:tr w14:paraId="5CE2C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AC5FB86">
            <w:pPr>
              <w:autoSpaceDE w:val="0"/>
              <w:autoSpaceDN w:val="0"/>
              <w:adjustRightInd w:val="0"/>
              <w:snapToGrid w:val="0"/>
              <w:spacing w:before="48" w:beforeLines="20" w:line="360" w:lineRule="auto"/>
              <w:rPr>
                <w:rFonts w:ascii="宋体" w:hAnsi="宋体"/>
                <w:szCs w:val="21"/>
              </w:rPr>
            </w:pPr>
          </w:p>
        </w:tc>
        <w:tc>
          <w:tcPr>
            <w:tcW w:w="3476" w:type="dxa"/>
          </w:tcPr>
          <w:p w14:paraId="39CD715C">
            <w:pPr>
              <w:autoSpaceDE w:val="0"/>
              <w:autoSpaceDN w:val="0"/>
              <w:adjustRightInd w:val="0"/>
              <w:snapToGrid w:val="0"/>
              <w:spacing w:before="48" w:beforeLines="20" w:line="360" w:lineRule="auto"/>
              <w:rPr>
                <w:rFonts w:ascii="宋体" w:hAnsi="宋体"/>
                <w:szCs w:val="21"/>
              </w:rPr>
            </w:pPr>
          </w:p>
        </w:tc>
        <w:tc>
          <w:tcPr>
            <w:tcW w:w="2581" w:type="dxa"/>
          </w:tcPr>
          <w:p w14:paraId="016C2716">
            <w:pPr>
              <w:autoSpaceDE w:val="0"/>
              <w:autoSpaceDN w:val="0"/>
              <w:adjustRightInd w:val="0"/>
              <w:snapToGrid w:val="0"/>
              <w:spacing w:before="48" w:beforeLines="20" w:line="360" w:lineRule="auto"/>
              <w:rPr>
                <w:rFonts w:ascii="宋体" w:hAnsi="宋体"/>
                <w:szCs w:val="21"/>
              </w:rPr>
            </w:pPr>
          </w:p>
        </w:tc>
        <w:tc>
          <w:tcPr>
            <w:tcW w:w="2581" w:type="dxa"/>
          </w:tcPr>
          <w:p w14:paraId="26BC9788">
            <w:pPr>
              <w:autoSpaceDE w:val="0"/>
              <w:autoSpaceDN w:val="0"/>
              <w:adjustRightInd w:val="0"/>
              <w:snapToGrid w:val="0"/>
              <w:spacing w:before="48" w:beforeLines="20" w:line="360" w:lineRule="auto"/>
              <w:rPr>
                <w:rFonts w:ascii="宋体" w:hAnsi="宋体"/>
                <w:szCs w:val="21"/>
              </w:rPr>
            </w:pPr>
          </w:p>
        </w:tc>
        <w:tc>
          <w:tcPr>
            <w:tcW w:w="2496" w:type="dxa"/>
            <w:vAlign w:val="center"/>
          </w:tcPr>
          <w:p w14:paraId="241CD5D1">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68D2F34B">
            <w:pPr>
              <w:autoSpaceDE w:val="0"/>
              <w:autoSpaceDN w:val="0"/>
              <w:adjustRightInd w:val="0"/>
              <w:snapToGrid w:val="0"/>
              <w:spacing w:before="48" w:beforeLines="20" w:line="360" w:lineRule="auto"/>
              <w:rPr>
                <w:rFonts w:ascii="宋体" w:hAnsi="宋体"/>
                <w:szCs w:val="21"/>
              </w:rPr>
            </w:pPr>
          </w:p>
        </w:tc>
      </w:tr>
      <w:tr w14:paraId="52408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D88E8AA">
            <w:pPr>
              <w:autoSpaceDE w:val="0"/>
              <w:autoSpaceDN w:val="0"/>
              <w:adjustRightInd w:val="0"/>
              <w:snapToGrid w:val="0"/>
              <w:spacing w:before="48" w:beforeLines="20" w:line="360" w:lineRule="auto"/>
              <w:rPr>
                <w:rFonts w:ascii="宋体" w:hAnsi="宋体"/>
                <w:szCs w:val="21"/>
              </w:rPr>
            </w:pPr>
          </w:p>
        </w:tc>
        <w:tc>
          <w:tcPr>
            <w:tcW w:w="3476" w:type="dxa"/>
          </w:tcPr>
          <w:p w14:paraId="4F904C35">
            <w:pPr>
              <w:autoSpaceDE w:val="0"/>
              <w:autoSpaceDN w:val="0"/>
              <w:adjustRightInd w:val="0"/>
              <w:snapToGrid w:val="0"/>
              <w:spacing w:before="48" w:beforeLines="20" w:line="360" w:lineRule="auto"/>
              <w:rPr>
                <w:rFonts w:ascii="宋体" w:hAnsi="宋体"/>
                <w:szCs w:val="21"/>
              </w:rPr>
            </w:pPr>
          </w:p>
        </w:tc>
        <w:tc>
          <w:tcPr>
            <w:tcW w:w="2581" w:type="dxa"/>
          </w:tcPr>
          <w:p w14:paraId="2224B58E">
            <w:pPr>
              <w:autoSpaceDE w:val="0"/>
              <w:autoSpaceDN w:val="0"/>
              <w:adjustRightInd w:val="0"/>
              <w:snapToGrid w:val="0"/>
              <w:spacing w:before="48" w:beforeLines="20" w:line="360" w:lineRule="auto"/>
              <w:rPr>
                <w:rFonts w:ascii="宋体" w:hAnsi="宋体"/>
                <w:szCs w:val="21"/>
              </w:rPr>
            </w:pPr>
          </w:p>
        </w:tc>
        <w:tc>
          <w:tcPr>
            <w:tcW w:w="2581" w:type="dxa"/>
          </w:tcPr>
          <w:p w14:paraId="06FADEE6">
            <w:pPr>
              <w:autoSpaceDE w:val="0"/>
              <w:autoSpaceDN w:val="0"/>
              <w:adjustRightInd w:val="0"/>
              <w:snapToGrid w:val="0"/>
              <w:spacing w:before="48" w:beforeLines="20" w:line="360" w:lineRule="auto"/>
              <w:rPr>
                <w:rFonts w:ascii="宋体" w:hAnsi="宋体"/>
                <w:szCs w:val="21"/>
              </w:rPr>
            </w:pPr>
          </w:p>
        </w:tc>
        <w:tc>
          <w:tcPr>
            <w:tcW w:w="2496" w:type="dxa"/>
            <w:vAlign w:val="center"/>
          </w:tcPr>
          <w:p w14:paraId="65DE7C7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5CBFE472">
            <w:pPr>
              <w:autoSpaceDE w:val="0"/>
              <w:autoSpaceDN w:val="0"/>
              <w:adjustRightInd w:val="0"/>
              <w:snapToGrid w:val="0"/>
              <w:spacing w:before="48" w:beforeLines="20" w:line="360" w:lineRule="auto"/>
              <w:rPr>
                <w:rFonts w:ascii="宋体" w:hAnsi="宋体"/>
                <w:szCs w:val="21"/>
              </w:rPr>
            </w:pPr>
          </w:p>
        </w:tc>
      </w:tr>
      <w:tr w14:paraId="4C694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B2449FE">
            <w:pPr>
              <w:autoSpaceDE w:val="0"/>
              <w:autoSpaceDN w:val="0"/>
              <w:adjustRightInd w:val="0"/>
              <w:snapToGrid w:val="0"/>
              <w:spacing w:before="48" w:beforeLines="20" w:line="360" w:lineRule="auto"/>
              <w:rPr>
                <w:rFonts w:ascii="宋体" w:hAnsi="宋体"/>
                <w:szCs w:val="21"/>
              </w:rPr>
            </w:pPr>
          </w:p>
        </w:tc>
        <w:tc>
          <w:tcPr>
            <w:tcW w:w="3476" w:type="dxa"/>
          </w:tcPr>
          <w:p w14:paraId="50F56327">
            <w:pPr>
              <w:autoSpaceDE w:val="0"/>
              <w:autoSpaceDN w:val="0"/>
              <w:adjustRightInd w:val="0"/>
              <w:snapToGrid w:val="0"/>
              <w:spacing w:before="48" w:beforeLines="20" w:line="360" w:lineRule="auto"/>
              <w:rPr>
                <w:rFonts w:ascii="宋体" w:hAnsi="宋体"/>
                <w:szCs w:val="21"/>
              </w:rPr>
            </w:pPr>
          </w:p>
        </w:tc>
        <w:tc>
          <w:tcPr>
            <w:tcW w:w="2581" w:type="dxa"/>
          </w:tcPr>
          <w:p w14:paraId="3BC900CE">
            <w:pPr>
              <w:autoSpaceDE w:val="0"/>
              <w:autoSpaceDN w:val="0"/>
              <w:adjustRightInd w:val="0"/>
              <w:snapToGrid w:val="0"/>
              <w:spacing w:before="48" w:beforeLines="20" w:line="360" w:lineRule="auto"/>
              <w:rPr>
                <w:rFonts w:ascii="宋体" w:hAnsi="宋体"/>
                <w:szCs w:val="21"/>
              </w:rPr>
            </w:pPr>
          </w:p>
        </w:tc>
        <w:tc>
          <w:tcPr>
            <w:tcW w:w="2581" w:type="dxa"/>
          </w:tcPr>
          <w:p w14:paraId="347B2BC1">
            <w:pPr>
              <w:autoSpaceDE w:val="0"/>
              <w:autoSpaceDN w:val="0"/>
              <w:adjustRightInd w:val="0"/>
              <w:snapToGrid w:val="0"/>
              <w:spacing w:before="48" w:beforeLines="20" w:line="360" w:lineRule="auto"/>
              <w:rPr>
                <w:rFonts w:ascii="宋体" w:hAnsi="宋体"/>
                <w:szCs w:val="21"/>
              </w:rPr>
            </w:pPr>
          </w:p>
        </w:tc>
        <w:tc>
          <w:tcPr>
            <w:tcW w:w="2496" w:type="dxa"/>
            <w:vAlign w:val="center"/>
          </w:tcPr>
          <w:p w14:paraId="2934943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7AF5F79C">
            <w:pPr>
              <w:autoSpaceDE w:val="0"/>
              <w:autoSpaceDN w:val="0"/>
              <w:adjustRightInd w:val="0"/>
              <w:snapToGrid w:val="0"/>
              <w:spacing w:before="48" w:beforeLines="20" w:line="360" w:lineRule="auto"/>
              <w:rPr>
                <w:rFonts w:ascii="宋体" w:hAnsi="宋体"/>
                <w:szCs w:val="21"/>
              </w:rPr>
            </w:pPr>
          </w:p>
        </w:tc>
      </w:tr>
      <w:tr w14:paraId="4CD88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FDAA221">
            <w:pPr>
              <w:autoSpaceDE w:val="0"/>
              <w:autoSpaceDN w:val="0"/>
              <w:adjustRightInd w:val="0"/>
              <w:snapToGrid w:val="0"/>
              <w:spacing w:before="48" w:beforeLines="20" w:line="360" w:lineRule="auto"/>
              <w:rPr>
                <w:rFonts w:ascii="宋体" w:hAnsi="宋体"/>
                <w:szCs w:val="21"/>
              </w:rPr>
            </w:pPr>
          </w:p>
        </w:tc>
        <w:tc>
          <w:tcPr>
            <w:tcW w:w="3476" w:type="dxa"/>
          </w:tcPr>
          <w:p w14:paraId="0A1C72D3">
            <w:pPr>
              <w:autoSpaceDE w:val="0"/>
              <w:autoSpaceDN w:val="0"/>
              <w:adjustRightInd w:val="0"/>
              <w:snapToGrid w:val="0"/>
              <w:spacing w:before="48" w:beforeLines="20" w:line="360" w:lineRule="auto"/>
              <w:rPr>
                <w:rFonts w:ascii="宋体" w:hAnsi="宋体"/>
                <w:szCs w:val="21"/>
              </w:rPr>
            </w:pPr>
          </w:p>
        </w:tc>
        <w:tc>
          <w:tcPr>
            <w:tcW w:w="2581" w:type="dxa"/>
          </w:tcPr>
          <w:p w14:paraId="2995E57B">
            <w:pPr>
              <w:autoSpaceDE w:val="0"/>
              <w:autoSpaceDN w:val="0"/>
              <w:adjustRightInd w:val="0"/>
              <w:snapToGrid w:val="0"/>
              <w:spacing w:before="48" w:beforeLines="20" w:line="360" w:lineRule="auto"/>
              <w:rPr>
                <w:rFonts w:ascii="宋体" w:hAnsi="宋体"/>
                <w:szCs w:val="21"/>
              </w:rPr>
            </w:pPr>
          </w:p>
        </w:tc>
        <w:tc>
          <w:tcPr>
            <w:tcW w:w="2581" w:type="dxa"/>
          </w:tcPr>
          <w:p w14:paraId="62CAB6CC">
            <w:pPr>
              <w:autoSpaceDE w:val="0"/>
              <w:autoSpaceDN w:val="0"/>
              <w:adjustRightInd w:val="0"/>
              <w:snapToGrid w:val="0"/>
              <w:spacing w:before="48" w:beforeLines="20" w:line="360" w:lineRule="auto"/>
              <w:rPr>
                <w:rFonts w:ascii="宋体" w:hAnsi="宋体"/>
                <w:szCs w:val="21"/>
              </w:rPr>
            </w:pPr>
          </w:p>
        </w:tc>
        <w:tc>
          <w:tcPr>
            <w:tcW w:w="2496" w:type="dxa"/>
            <w:vAlign w:val="center"/>
          </w:tcPr>
          <w:p w14:paraId="49515A78">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70BBB143">
            <w:pPr>
              <w:autoSpaceDE w:val="0"/>
              <w:autoSpaceDN w:val="0"/>
              <w:adjustRightInd w:val="0"/>
              <w:snapToGrid w:val="0"/>
              <w:spacing w:before="48" w:beforeLines="20" w:line="360" w:lineRule="auto"/>
              <w:rPr>
                <w:rFonts w:ascii="宋体" w:hAnsi="宋体"/>
                <w:szCs w:val="21"/>
              </w:rPr>
            </w:pPr>
          </w:p>
        </w:tc>
      </w:tr>
      <w:tr w14:paraId="285F3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CC341A7">
            <w:pPr>
              <w:autoSpaceDE w:val="0"/>
              <w:autoSpaceDN w:val="0"/>
              <w:adjustRightInd w:val="0"/>
              <w:snapToGrid w:val="0"/>
              <w:spacing w:before="48" w:beforeLines="20" w:line="360" w:lineRule="auto"/>
              <w:rPr>
                <w:rFonts w:ascii="宋体" w:hAnsi="宋体"/>
                <w:szCs w:val="21"/>
              </w:rPr>
            </w:pPr>
          </w:p>
        </w:tc>
        <w:tc>
          <w:tcPr>
            <w:tcW w:w="3476" w:type="dxa"/>
          </w:tcPr>
          <w:p w14:paraId="31490FC2">
            <w:pPr>
              <w:autoSpaceDE w:val="0"/>
              <w:autoSpaceDN w:val="0"/>
              <w:adjustRightInd w:val="0"/>
              <w:snapToGrid w:val="0"/>
              <w:spacing w:before="48" w:beforeLines="20" w:line="360" w:lineRule="auto"/>
              <w:rPr>
                <w:rFonts w:ascii="宋体" w:hAnsi="宋体"/>
                <w:szCs w:val="21"/>
              </w:rPr>
            </w:pPr>
          </w:p>
        </w:tc>
        <w:tc>
          <w:tcPr>
            <w:tcW w:w="2581" w:type="dxa"/>
          </w:tcPr>
          <w:p w14:paraId="2E5BB15F">
            <w:pPr>
              <w:autoSpaceDE w:val="0"/>
              <w:autoSpaceDN w:val="0"/>
              <w:adjustRightInd w:val="0"/>
              <w:snapToGrid w:val="0"/>
              <w:spacing w:before="48" w:beforeLines="20" w:line="360" w:lineRule="auto"/>
              <w:rPr>
                <w:rFonts w:ascii="宋体" w:hAnsi="宋体"/>
                <w:szCs w:val="21"/>
              </w:rPr>
            </w:pPr>
          </w:p>
        </w:tc>
        <w:tc>
          <w:tcPr>
            <w:tcW w:w="2581" w:type="dxa"/>
          </w:tcPr>
          <w:p w14:paraId="6197B83C">
            <w:pPr>
              <w:autoSpaceDE w:val="0"/>
              <w:autoSpaceDN w:val="0"/>
              <w:adjustRightInd w:val="0"/>
              <w:snapToGrid w:val="0"/>
              <w:spacing w:before="48" w:beforeLines="20" w:line="360" w:lineRule="auto"/>
              <w:rPr>
                <w:rFonts w:ascii="宋体" w:hAnsi="宋体"/>
                <w:szCs w:val="21"/>
              </w:rPr>
            </w:pPr>
          </w:p>
        </w:tc>
        <w:tc>
          <w:tcPr>
            <w:tcW w:w="2496" w:type="dxa"/>
            <w:vAlign w:val="center"/>
          </w:tcPr>
          <w:p w14:paraId="38A6B397">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276D1330">
            <w:pPr>
              <w:autoSpaceDE w:val="0"/>
              <w:autoSpaceDN w:val="0"/>
              <w:adjustRightInd w:val="0"/>
              <w:snapToGrid w:val="0"/>
              <w:spacing w:before="48" w:beforeLines="20" w:line="360" w:lineRule="auto"/>
              <w:rPr>
                <w:rFonts w:ascii="宋体" w:hAnsi="宋体"/>
                <w:szCs w:val="21"/>
              </w:rPr>
            </w:pPr>
          </w:p>
        </w:tc>
      </w:tr>
      <w:tr w14:paraId="5E8AB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EAD708B">
            <w:pPr>
              <w:autoSpaceDE w:val="0"/>
              <w:autoSpaceDN w:val="0"/>
              <w:adjustRightInd w:val="0"/>
              <w:snapToGrid w:val="0"/>
              <w:spacing w:before="48" w:beforeLines="20" w:line="360" w:lineRule="auto"/>
              <w:rPr>
                <w:rFonts w:ascii="宋体" w:hAnsi="宋体"/>
                <w:szCs w:val="21"/>
              </w:rPr>
            </w:pPr>
          </w:p>
        </w:tc>
        <w:tc>
          <w:tcPr>
            <w:tcW w:w="3476" w:type="dxa"/>
          </w:tcPr>
          <w:p w14:paraId="784FE132">
            <w:pPr>
              <w:autoSpaceDE w:val="0"/>
              <w:autoSpaceDN w:val="0"/>
              <w:adjustRightInd w:val="0"/>
              <w:snapToGrid w:val="0"/>
              <w:spacing w:before="48" w:beforeLines="20" w:line="360" w:lineRule="auto"/>
              <w:rPr>
                <w:rFonts w:ascii="宋体" w:hAnsi="宋体"/>
                <w:szCs w:val="21"/>
              </w:rPr>
            </w:pPr>
          </w:p>
        </w:tc>
        <w:tc>
          <w:tcPr>
            <w:tcW w:w="2581" w:type="dxa"/>
          </w:tcPr>
          <w:p w14:paraId="53975EE7">
            <w:pPr>
              <w:autoSpaceDE w:val="0"/>
              <w:autoSpaceDN w:val="0"/>
              <w:adjustRightInd w:val="0"/>
              <w:snapToGrid w:val="0"/>
              <w:spacing w:before="48" w:beforeLines="20" w:line="360" w:lineRule="auto"/>
              <w:rPr>
                <w:rFonts w:ascii="宋体" w:hAnsi="宋体"/>
                <w:szCs w:val="21"/>
              </w:rPr>
            </w:pPr>
          </w:p>
        </w:tc>
        <w:tc>
          <w:tcPr>
            <w:tcW w:w="2581" w:type="dxa"/>
          </w:tcPr>
          <w:p w14:paraId="31BEBCC3">
            <w:pPr>
              <w:autoSpaceDE w:val="0"/>
              <w:autoSpaceDN w:val="0"/>
              <w:adjustRightInd w:val="0"/>
              <w:snapToGrid w:val="0"/>
              <w:spacing w:before="48" w:beforeLines="20" w:line="360" w:lineRule="auto"/>
              <w:rPr>
                <w:rFonts w:ascii="宋体" w:hAnsi="宋体"/>
                <w:szCs w:val="21"/>
              </w:rPr>
            </w:pPr>
          </w:p>
        </w:tc>
        <w:tc>
          <w:tcPr>
            <w:tcW w:w="2496" w:type="dxa"/>
            <w:vAlign w:val="center"/>
          </w:tcPr>
          <w:p w14:paraId="53BD14B3">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4B1D6A1B">
            <w:pPr>
              <w:autoSpaceDE w:val="0"/>
              <w:autoSpaceDN w:val="0"/>
              <w:adjustRightInd w:val="0"/>
              <w:snapToGrid w:val="0"/>
              <w:spacing w:before="48" w:beforeLines="20" w:line="360" w:lineRule="auto"/>
              <w:rPr>
                <w:rFonts w:ascii="宋体" w:hAnsi="宋体"/>
                <w:szCs w:val="21"/>
              </w:rPr>
            </w:pPr>
          </w:p>
        </w:tc>
      </w:tr>
      <w:tr w14:paraId="72254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5FACB1A">
            <w:pPr>
              <w:autoSpaceDE w:val="0"/>
              <w:autoSpaceDN w:val="0"/>
              <w:adjustRightInd w:val="0"/>
              <w:snapToGrid w:val="0"/>
              <w:spacing w:before="48" w:beforeLines="20" w:line="360" w:lineRule="auto"/>
              <w:rPr>
                <w:rFonts w:ascii="宋体" w:hAnsi="宋体"/>
                <w:szCs w:val="21"/>
              </w:rPr>
            </w:pPr>
          </w:p>
        </w:tc>
        <w:tc>
          <w:tcPr>
            <w:tcW w:w="3476" w:type="dxa"/>
          </w:tcPr>
          <w:p w14:paraId="22DE2751">
            <w:pPr>
              <w:autoSpaceDE w:val="0"/>
              <w:autoSpaceDN w:val="0"/>
              <w:adjustRightInd w:val="0"/>
              <w:snapToGrid w:val="0"/>
              <w:spacing w:before="48" w:beforeLines="20" w:line="360" w:lineRule="auto"/>
              <w:rPr>
                <w:rFonts w:ascii="宋体" w:hAnsi="宋体"/>
                <w:szCs w:val="21"/>
              </w:rPr>
            </w:pPr>
          </w:p>
        </w:tc>
        <w:tc>
          <w:tcPr>
            <w:tcW w:w="2581" w:type="dxa"/>
          </w:tcPr>
          <w:p w14:paraId="0C04C001">
            <w:pPr>
              <w:autoSpaceDE w:val="0"/>
              <w:autoSpaceDN w:val="0"/>
              <w:adjustRightInd w:val="0"/>
              <w:snapToGrid w:val="0"/>
              <w:spacing w:before="48" w:beforeLines="20" w:line="360" w:lineRule="auto"/>
              <w:rPr>
                <w:rFonts w:ascii="宋体" w:hAnsi="宋体"/>
                <w:szCs w:val="21"/>
              </w:rPr>
            </w:pPr>
          </w:p>
        </w:tc>
        <w:tc>
          <w:tcPr>
            <w:tcW w:w="2581" w:type="dxa"/>
          </w:tcPr>
          <w:p w14:paraId="491BEE00">
            <w:pPr>
              <w:autoSpaceDE w:val="0"/>
              <w:autoSpaceDN w:val="0"/>
              <w:adjustRightInd w:val="0"/>
              <w:snapToGrid w:val="0"/>
              <w:spacing w:before="48" w:beforeLines="20" w:line="360" w:lineRule="auto"/>
              <w:rPr>
                <w:rFonts w:ascii="宋体" w:hAnsi="宋体"/>
                <w:szCs w:val="21"/>
              </w:rPr>
            </w:pPr>
          </w:p>
        </w:tc>
        <w:tc>
          <w:tcPr>
            <w:tcW w:w="2496" w:type="dxa"/>
            <w:vAlign w:val="center"/>
          </w:tcPr>
          <w:p w14:paraId="5EF01143">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3701791B">
            <w:pPr>
              <w:autoSpaceDE w:val="0"/>
              <w:autoSpaceDN w:val="0"/>
              <w:adjustRightInd w:val="0"/>
              <w:snapToGrid w:val="0"/>
              <w:spacing w:before="48" w:beforeLines="20" w:line="360" w:lineRule="auto"/>
              <w:rPr>
                <w:rFonts w:ascii="宋体" w:hAnsi="宋体"/>
                <w:szCs w:val="21"/>
              </w:rPr>
            </w:pPr>
          </w:p>
        </w:tc>
      </w:tr>
      <w:tr w14:paraId="193E4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422B8B37">
            <w:pPr>
              <w:autoSpaceDE w:val="0"/>
              <w:autoSpaceDN w:val="0"/>
              <w:adjustRightInd w:val="0"/>
              <w:snapToGrid w:val="0"/>
              <w:spacing w:before="48" w:beforeLines="20" w:line="360" w:lineRule="auto"/>
              <w:rPr>
                <w:rFonts w:ascii="宋体" w:hAnsi="宋体"/>
                <w:szCs w:val="21"/>
              </w:rPr>
            </w:pPr>
          </w:p>
        </w:tc>
        <w:tc>
          <w:tcPr>
            <w:tcW w:w="3476" w:type="dxa"/>
          </w:tcPr>
          <w:p w14:paraId="712814AE">
            <w:pPr>
              <w:autoSpaceDE w:val="0"/>
              <w:autoSpaceDN w:val="0"/>
              <w:adjustRightInd w:val="0"/>
              <w:snapToGrid w:val="0"/>
              <w:spacing w:before="48" w:beforeLines="20" w:line="360" w:lineRule="auto"/>
              <w:rPr>
                <w:rFonts w:ascii="宋体" w:hAnsi="宋体"/>
                <w:szCs w:val="21"/>
              </w:rPr>
            </w:pPr>
          </w:p>
        </w:tc>
        <w:tc>
          <w:tcPr>
            <w:tcW w:w="2581" w:type="dxa"/>
          </w:tcPr>
          <w:p w14:paraId="764EF3FE">
            <w:pPr>
              <w:autoSpaceDE w:val="0"/>
              <w:autoSpaceDN w:val="0"/>
              <w:adjustRightInd w:val="0"/>
              <w:snapToGrid w:val="0"/>
              <w:spacing w:before="48" w:beforeLines="20" w:line="360" w:lineRule="auto"/>
              <w:rPr>
                <w:rFonts w:ascii="宋体" w:hAnsi="宋体"/>
                <w:szCs w:val="21"/>
              </w:rPr>
            </w:pPr>
          </w:p>
        </w:tc>
        <w:tc>
          <w:tcPr>
            <w:tcW w:w="2581" w:type="dxa"/>
          </w:tcPr>
          <w:p w14:paraId="483D3BCF">
            <w:pPr>
              <w:autoSpaceDE w:val="0"/>
              <w:autoSpaceDN w:val="0"/>
              <w:adjustRightInd w:val="0"/>
              <w:snapToGrid w:val="0"/>
              <w:spacing w:before="48" w:beforeLines="20" w:line="360" w:lineRule="auto"/>
              <w:rPr>
                <w:rFonts w:ascii="宋体" w:hAnsi="宋体"/>
                <w:szCs w:val="21"/>
              </w:rPr>
            </w:pPr>
          </w:p>
        </w:tc>
        <w:tc>
          <w:tcPr>
            <w:tcW w:w="2496" w:type="dxa"/>
            <w:vAlign w:val="center"/>
          </w:tcPr>
          <w:p w14:paraId="14D481FA">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4F002699">
            <w:pPr>
              <w:autoSpaceDE w:val="0"/>
              <w:autoSpaceDN w:val="0"/>
              <w:adjustRightInd w:val="0"/>
              <w:snapToGrid w:val="0"/>
              <w:spacing w:before="48" w:beforeLines="20" w:line="360" w:lineRule="auto"/>
              <w:rPr>
                <w:rFonts w:ascii="宋体" w:hAnsi="宋体"/>
                <w:szCs w:val="21"/>
              </w:rPr>
            </w:pPr>
          </w:p>
        </w:tc>
      </w:tr>
    </w:tbl>
    <w:p w14:paraId="34050E35">
      <w:pPr>
        <w:tabs>
          <w:tab w:val="left" w:pos="2740"/>
          <w:tab w:val="left" w:pos="4940"/>
          <w:tab w:val="left" w:pos="6930"/>
        </w:tabs>
        <w:autoSpaceDE w:val="0"/>
        <w:autoSpaceDN w:val="0"/>
        <w:adjustRightInd w:val="0"/>
        <w:snapToGrid w:val="0"/>
        <w:spacing w:line="360" w:lineRule="auto"/>
        <w:ind w:firstLine="420"/>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6C1E146D">
      <w:pPr>
        <w:tabs>
          <w:tab w:val="left" w:pos="2740"/>
          <w:tab w:val="left" w:pos="4940"/>
          <w:tab w:val="left" w:pos="6930"/>
        </w:tabs>
        <w:autoSpaceDE w:val="0"/>
        <w:autoSpaceDN w:val="0"/>
        <w:adjustRightInd w:val="0"/>
        <w:snapToGrid w:val="0"/>
        <w:spacing w:line="360" w:lineRule="auto"/>
        <w:ind w:firstLine="420"/>
        <w:jc w:val="left"/>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130CB6C4">
      <w:pPr>
        <w:pStyle w:val="2"/>
        <w:jc w:val="right"/>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20C79FCC">
      <w:pPr>
        <w:autoSpaceDE w:val="0"/>
        <w:autoSpaceDN w:val="0"/>
        <w:adjustRightInd w:val="0"/>
        <w:snapToGrid w:val="0"/>
        <w:spacing w:before="48" w:beforeLines="20" w:line="360" w:lineRule="auto"/>
        <w:rPr>
          <w:rFonts w:ascii="宋体" w:hAnsi="宋体"/>
          <w:snapToGrid w:val="0"/>
          <w:kern w:val="0"/>
          <w:sz w:val="24"/>
        </w:rPr>
        <w:sectPr>
          <w:pgSz w:w="16838" w:h="11906" w:orient="landscape"/>
          <w:pgMar w:top="1304" w:right="1134" w:bottom="1304" w:left="1304" w:header="851" w:footer="992" w:gutter="0"/>
          <w:pgBorders>
            <w:top w:val="none" w:sz="0" w:space="0"/>
            <w:left w:val="none" w:sz="0" w:space="0"/>
            <w:bottom w:val="none" w:sz="0" w:space="0"/>
            <w:right w:val="none" w:sz="0" w:space="0"/>
          </w:pgBorders>
          <w:cols w:space="720" w:num="1"/>
          <w:docGrid w:linePitch="312" w:charSpace="0"/>
        </w:sectPr>
      </w:pPr>
    </w:p>
    <w:p w14:paraId="3CD8625E">
      <w:pPr>
        <w:autoSpaceDE w:val="0"/>
        <w:autoSpaceDN w:val="0"/>
        <w:adjustRightInd w:val="0"/>
        <w:snapToGrid w:val="0"/>
        <w:spacing w:before="48" w:beforeLines="20" w:line="360" w:lineRule="auto"/>
        <w:jc w:val="right"/>
        <w:rPr>
          <w:rFonts w:ascii="宋体" w:hAnsi="宋体"/>
          <w:snapToGrid w:val="0"/>
          <w:kern w:val="0"/>
          <w:sz w:val="24"/>
        </w:rPr>
      </w:pPr>
    </w:p>
    <w:p w14:paraId="2F8E7203">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4B677DE6">
      <w:pPr>
        <w:autoSpaceDE w:val="0"/>
        <w:autoSpaceDN w:val="0"/>
        <w:adjustRightInd w:val="0"/>
        <w:snapToGrid w:val="0"/>
        <w:spacing w:line="360" w:lineRule="auto"/>
        <w:jc w:val="left"/>
        <w:rPr>
          <w:rFonts w:ascii="宋体" w:hAnsi="宋体"/>
          <w:b/>
          <w:snapToGrid w:val="0"/>
          <w:kern w:val="0"/>
          <w:sz w:val="24"/>
        </w:rPr>
      </w:pPr>
    </w:p>
    <w:p w14:paraId="4B68AF30">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796A6C4C">
      <w:pPr>
        <w:autoSpaceDE w:val="0"/>
        <w:autoSpaceDN w:val="0"/>
        <w:adjustRightInd w:val="0"/>
        <w:snapToGrid w:val="0"/>
        <w:spacing w:line="360" w:lineRule="auto"/>
        <w:jc w:val="left"/>
        <w:rPr>
          <w:rFonts w:ascii="宋体" w:hAnsi="宋体"/>
          <w:b/>
          <w:snapToGrid w:val="0"/>
          <w:kern w:val="0"/>
          <w:sz w:val="24"/>
        </w:rPr>
      </w:pPr>
    </w:p>
    <w:p w14:paraId="60EEC379">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4EEBB1D5">
      <w:pPr>
        <w:autoSpaceDE w:val="0"/>
        <w:autoSpaceDN w:val="0"/>
        <w:adjustRightInd w:val="0"/>
        <w:snapToGrid w:val="0"/>
        <w:spacing w:line="360" w:lineRule="auto"/>
        <w:jc w:val="left"/>
        <w:rPr>
          <w:rFonts w:ascii="宋体" w:hAnsi="宋体"/>
          <w:b/>
          <w:snapToGrid w:val="0"/>
          <w:kern w:val="0"/>
          <w:sz w:val="24"/>
        </w:rPr>
      </w:pPr>
    </w:p>
    <w:p w14:paraId="701DC84E">
      <w:pPr>
        <w:autoSpaceDE w:val="0"/>
        <w:autoSpaceDN w:val="0"/>
        <w:adjustRightInd w:val="0"/>
        <w:snapToGrid w:val="0"/>
        <w:spacing w:line="360" w:lineRule="auto"/>
        <w:rPr>
          <w:rFonts w:ascii="宋体" w:hAnsi="宋体"/>
          <w:snapToGrid w:val="0"/>
          <w:kern w:val="0"/>
          <w:sz w:val="28"/>
          <w:szCs w:val="28"/>
        </w:rPr>
      </w:pPr>
    </w:p>
    <w:p w14:paraId="591DAE91">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FC7FD08">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5AE70175">
      <w:pPr>
        <w:autoSpaceDE w:val="0"/>
        <w:autoSpaceDN w:val="0"/>
        <w:adjustRightInd w:val="0"/>
        <w:snapToGrid w:val="0"/>
        <w:spacing w:line="360" w:lineRule="auto"/>
        <w:jc w:val="left"/>
        <w:rPr>
          <w:rFonts w:ascii="宋体" w:hAnsi="宋体"/>
          <w:snapToGrid w:val="0"/>
          <w:kern w:val="0"/>
          <w:sz w:val="24"/>
        </w:rPr>
      </w:pPr>
    </w:p>
    <w:p w14:paraId="68BDF1D1">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51C345E8">
      <w:pPr>
        <w:autoSpaceDE w:val="0"/>
        <w:autoSpaceDN w:val="0"/>
        <w:adjustRightInd w:val="0"/>
        <w:snapToGrid w:val="0"/>
        <w:spacing w:line="360" w:lineRule="auto"/>
        <w:jc w:val="left"/>
        <w:rPr>
          <w:rFonts w:ascii="宋体" w:hAnsi="宋体"/>
          <w:snapToGrid w:val="0"/>
          <w:kern w:val="0"/>
          <w:szCs w:val="21"/>
        </w:rPr>
      </w:pPr>
    </w:p>
    <w:p w14:paraId="54DEB06D">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25422B25">
      <w:pPr>
        <w:autoSpaceDE w:val="0"/>
        <w:autoSpaceDN w:val="0"/>
        <w:adjustRightInd w:val="0"/>
        <w:snapToGrid w:val="0"/>
        <w:spacing w:line="360" w:lineRule="auto"/>
        <w:jc w:val="left"/>
        <w:rPr>
          <w:rFonts w:ascii="宋体" w:hAnsi="宋体"/>
          <w:snapToGrid w:val="0"/>
          <w:kern w:val="0"/>
          <w:szCs w:val="21"/>
        </w:rPr>
      </w:pPr>
    </w:p>
    <w:p w14:paraId="302B04EA">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7DF604F9">
      <w:pPr>
        <w:autoSpaceDE w:val="0"/>
        <w:autoSpaceDN w:val="0"/>
        <w:adjustRightInd w:val="0"/>
        <w:snapToGrid w:val="0"/>
        <w:spacing w:line="360" w:lineRule="auto"/>
        <w:jc w:val="left"/>
        <w:rPr>
          <w:rFonts w:ascii="宋体" w:hAnsi="宋体"/>
          <w:snapToGrid w:val="0"/>
          <w:kern w:val="0"/>
          <w:sz w:val="14"/>
          <w:szCs w:val="14"/>
        </w:rPr>
      </w:pPr>
    </w:p>
    <w:p w14:paraId="18436210">
      <w:pPr>
        <w:autoSpaceDE w:val="0"/>
        <w:autoSpaceDN w:val="0"/>
        <w:adjustRightInd w:val="0"/>
        <w:snapToGrid w:val="0"/>
        <w:spacing w:line="360" w:lineRule="auto"/>
        <w:jc w:val="left"/>
        <w:rPr>
          <w:rFonts w:ascii="宋体" w:hAnsi="宋体"/>
          <w:snapToGrid w:val="0"/>
          <w:kern w:val="0"/>
          <w:sz w:val="14"/>
          <w:szCs w:val="14"/>
        </w:rPr>
      </w:pPr>
    </w:p>
    <w:p w14:paraId="1E3B2909">
      <w:pPr>
        <w:autoSpaceDE w:val="0"/>
        <w:autoSpaceDN w:val="0"/>
        <w:adjustRightInd w:val="0"/>
        <w:snapToGrid w:val="0"/>
        <w:spacing w:line="360" w:lineRule="auto"/>
        <w:jc w:val="left"/>
        <w:rPr>
          <w:rFonts w:ascii="宋体" w:hAnsi="宋体"/>
          <w:snapToGrid w:val="0"/>
          <w:kern w:val="0"/>
          <w:sz w:val="14"/>
          <w:szCs w:val="14"/>
        </w:rPr>
      </w:pPr>
    </w:p>
    <w:p w14:paraId="183C7076">
      <w:pPr>
        <w:autoSpaceDE w:val="0"/>
        <w:autoSpaceDN w:val="0"/>
        <w:adjustRightInd w:val="0"/>
        <w:snapToGrid w:val="0"/>
        <w:spacing w:line="360" w:lineRule="auto"/>
        <w:jc w:val="left"/>
        <w:rPr>
          <w:rFonts w:ascii="宋体" w:hAnsi="宋体"/>
          <w:snapToGrid w:val="0"/>
          <w:kern w:val="0"/>
          <w:sz w:val="20"/>
          <w:szCs w:val="20"/>
        </w:rPr>
      </w:pPr>
    </w:p>
    <w:p w14:paraId="2141B9E5">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书面（复印件或原件）</w:t>
      </w:r>
      <w:r>
        <w:rPr>
          <w:rFonts w:hint="eastAsia" w:ascii="宋体" w:hAnsi="宋体"/>
          <w:snapToGrid w:val="0"/>
          <w:kern w:val="0"/>
          <w:szCs w:val="21"/>
        </w:rPr>
        <w:t>提交</w:t>
      </w:r>
      <w:r>
        <w:rPr>
          <w:rFonts w:ascii="宋体" w:hAnsi="宋体"/>
          <w:snapToGrid w:val="0"/>
          <w:kern w:val="0"/>
          <w:szCs w:val="21"/>
        </w:rPr>
        <w:t>。</w:t>
      </w:r>
    </w:p>
    <w:p w14:paraId="72873E4E">
      <w:pPr>
        <w:autoSpaceDE w:val="0"/>
        <w:autoSpaceDN w:val="0"/>
        <w:adjustRightInd w:val="0"/>
        <w:snapToGrid w:val="0"/>
        <w:spacing w:line="360" w:lineRule="auto"/>
        <w:jc w:val="left"/>
        <w:rPr>
          <w:rFonts w:ascii="宋体" w:hAnsi="宋体"/>
          <w:snapToGrid w:val="0"/>
          <w:kern w:val="0"/>
          <w:sz w:val="20"/>
          <w:szCs w:val="20"/>
        </w:rPr>
      </w:pPr>
    </w:p>
    <w:p w14:paraId="520653BE">
      <w:pPr>
        <w:tabs>
          <w:tab w:val="left" w:pos="6400"/>
        </w:tabs>
        <w:autoSpaceDE w:val="0"/>
        <w:autoSpaceDN w:val="0"/>
        <w:adjustRightInd w:val="0"/>
        <w:snapToGrid w:val="0"/>
        <w:spacing w:line="360" w:lineRule="auto"/>
        <w:jc w:val="right"/>
        <w:rPr>
          <w:i/>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6BBFC786">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6BA91AFF">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3FB04664">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3AFFD3FA">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3F8B8F61">
      <w:pPr>
        <w:autoSpaceDE w:val="0"/>
        <w:autoSpaceDN w:val="0"/>
        <w:adjustRightInd w:val="0"/>
        <w:snapToGrid w:val="0"/>
        <w:spacing w:line="360" w:lineRule="auto"/>
        <w:jc w:val="left"/>
        <w:rPr>
          <w:rFonts w:ascii="宋体" w:hAnsi="宋体"/>
          <w:b/>
          <w:snapToGrid w:val="0"/>
          <w:kern w:val="0"/>
          <w:sz w:val="10"/>
          <w:szCs w:val="10"/>
        </w:rPr>
      </w:pPr>
    </w:p>
    <w:p w14:paraId="13246D4A">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3F6DF25E">
      <w:pPr>
        <w:autoSpaceDE w:val="0"/>
        <w:autoSpaceDN w:val="0"/>
        <w:adjustRightInd w:val="0"/>
        <w:snapToGrid w:val="0"/>
        <w:spacing w:line="360" w:lineRule="auto"/>
        <w:ind w:firstLine="3255" w:firstLineChars="1550"/>
        <w:jc w:val="left"/>
        <w:rPr>
          <w:rFonts w:ascii="宋体" w:hAnsi="宋体"/>
          <w:snapToGrid w:val="0"/>
          <w:kern w:val="0"/>
          <w:szCs w:val="21"/>
        </w:rPr>
      </w:pPr>
    </w:p>
    <w:p w14:paraId="63DB2CFE">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1B440C9E">
      <w:pPr>
        <w:autoSpaceDE w:val="0"/>
        <w:autoSpaceDN w:val="0"/>
        <w:adjustRightInd w:val="0"/>
        <w:snapToGrid w:val="0"/>
        <w:spacing w:line="360" w:lineRule="auto"/>
        <w:ind w:firstLine="3150" w:firstLineChars="1500"/>
        <w:rPr>
          <w:rFonts w:ascii="宋体" w:hAnsi="宋体"/>
          <w:snapToGrid w:val="0"/>
          <w:kern w:val="0"/>
          <w:szCs w:val="21"/>
        </w:rPr>
      </w:pPr>
    </w:p>
    <w:p w14:paraId="43E3E570">
      <w:pPr>
        <w:autoSpaceDE w:val="0"/>
        <w:autoSpaceDN w:val="0"/>
        <w:adjustRightInd w:val="0"/>
        <w:snapToGrid w:val="0"/>
        <w:spacing w:line="360" w:lineRule="auto"/>
        <w:ind w:firstLine="3150" w:firstLineChars="1500"/>
        <w:rPr>
          <w:rFonts w:ascii="宋体" w:hAnsi="宋体"/>
          <w:snapToGrid w:val="0"/>
          <w:kern w:val="0"/>
          <w:szCs w:val="21"/>
        </w:rPr>
      </w:pPr>
    </w:p>
    <w:p w14:paraId="00C37A34">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4BE9B140">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64229F14">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1EAB59F7">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0192D5F7">
      <w:pPr>
        <w:autoSpaceDE w:val="0"/>
        <w:autoSpaceDN w:val="0"/>
        <w:adjustRightInd w:val="0"/>
        <w:snapToGrid w:val="0"/>
        <w:spacing w:line="360" w:lineRule="auto"/>
        <w:jc w:val="left"/>
        <w:rPr>
          <w:rFonts w:ascii="宋体" w:hAnsi="宋体"/>
          <w:snapToGrid w:val="0"/>
          <w:kern w:val="0"/>
          <w:sz w:val="18"/>
          <w:szCs w:val="18"/>
        </w:rPr>
      </w:pPr>
    </w:p>
    <w:p w14:paraId="6DD95785">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2310ACBB">
      <w:pPr>
        <w:autoSpaceDE w:val="0"/>
        <w:autoSpaceDN w:val="0"/>
        <w:adjustRightInd w:val="0"/>
        <w:snapToGrid w:val="0"/>
        <w:spacing w:line="360" w:lineRule="auto"/>
        <w:jc w:val="left"/>
        <w:rPr>
          <w:rFonts w:ascii="宋体" w:hAnsi="宋体"/>
          <w:snapToGrid w:val="0"/>
          <w:kern w:val="0"/>
          <w:sz w:val="22"/>
          <w:szCs w:val="22"/>
        </w:rPr>
      </w:pPr>
    </w:p>
    <w:p w14:paraId="42BB27BA">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6FDF256B">
      <w:pPr>
        <w:autoSpaceDE w:val="0"/>
        <w:autoSpaceDN w:val="0"/>
        <w:adjustRightInd w:val="0"/>
        <w:snapToGrid w:val="0"/>
        <w:spacing w:line="360" w:lineRule="auto"/>
        <w:jc w:val="left"/>
        <w:rPr>
          <w:rFonts w:ascii="宋体" w:hAnsi="宋体"/>
          <w:snapToGrid w:val="0"/>
          <w:kern w:val="0"/>
          <w:sz w:val="18"/>
          <w:szCs w:val="18"/>
        </w:rPr>
      </w:pPr>
    </w:p>
    <w:p w14:paraId="4A70F8D9">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3502D0F5">
      <w:pPr>
        <w:autoSpaceDE w:val="0"/>
        <w:autoSpaceDN w:val="0"/>
        <w:adjustRightInd w:val="0"/>
        <w:snapToGrid w:val="0"/>
        <w:spacing w:line="360" w:lineRule="auto"/>
        <w:jc w:val="left"/>
        <w:rPr>
          <w:rFonts w:ascii="宋体" w:hAnsi="宋体"/>
          <w:snapToGrid w:val="0"/>
          <w:kern w:val="0"/>
          <w:sz w:val="20"/>
          <w:szCs w:val="20"/>
        </w:rPr>
      </w:pPr>
    </w:p>
    <w:p w14:paraId="379EA1A4">
      <w:pPr>
        <w:autoSpaceDE w:val="0"/>
        <w:autoSpaceDN w:val="0"/>
        <w:adjustRightInd w:val="0"/>
        <w:snapToGrid w:val="0"/>
        <w:spacing w:line="360" w:lineRule="auto"/>
        <w:jc w:val="left"/>
        <w:rPr>
          <w:rFonts w:ascii="宋体" w:hAnsi="宋体"/>
          <w:snapToGrid w:val="0"/>
          <w:kern w:val="0"/>
          <w:sz w:val="20"/>
          <w:szCs w:val="20"/>
        </w:rPr>
      </w:pPr>
    </w:p>
    <w:p w14:paraId="23492C76">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69C4317B">
      <w:pPr>
        <w:tabs>
          <w:tab w:val="left" w:pos="6620"/>
          <w:tab w:val="left" w:pos="7040"/>
        </w:tabs>
        <w:autoSpaceDE w:val="0"/>
        <w:autoSpaceDN w:val="0"/>
        <w:adjustRightInd w:val="0"/>
        <w:snapToGrid w:val="0"/>
        <w:spacing w:line="480" w:lineRule="auto"/>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4C0C8430">
      <w:pPr>
        <w:autoSpaceDE w:val="0"/>
        <w:autoSpaceDN w:val="0"/>
        <w:adjustRightInd w:val="0"/>
        <w:snapToGrid w:val="0"/>
        <w:spacing w:line="360" w:lineRule="auto"/>
        <w:jc w:val="right"/>
        <w:rPr>
          <w:rFonts w:ascii="宋体" w:hAnsi="宋体"/>
          <w:snapToGrid w:val="0"/>
          <w:kern w:val="0"/>
          <w:sz w:val="20"/>
          <w:szCs w:val="20"/>
        </w:rPr>
      </w:pPr>
    </w:p>
    <w:p w14:paraId="671CAC2F">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093024D9">
      <w:pPr>
        <w:autoSpaceDE w:val="0"/>
        <w:autoSpaceDN w:val="0"/>
        <w:adjustRightInd w:val="0"/>
        <w:snapToGrid w:val="0"/>
        <w:spacing w:line="360" w:lineRule="auto"/>
        <w:jc w:val="left"/>
        <w:rPr>
          <w:rFonts w:ascii="宋体" w:hAnsi="宋体"/>
          <w:b/>
          <w:snapToGrid w:val="0"/>
          <w:kern w:val="0"/>
          <w:sz w:val="24"/>
        </w:rPr>
      </w:pPr>
    </w:p>
    <w:p w14:paraId="2F169EC2">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14:paraId="2535BB3D">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4C739A62">
      <w:pPr>
        <w:autoSpaceDE w:val="0"/>
        <w:autoSpaceDN w:val="0"/>
        <w:adjustRightInd w:val="0"/>
        <w:spacing w:line="360" w:lineRule="auto"/>
        <w:jc w:val="left"/>
        <w:rPr>
          <w:rFonts w:ascii="宋体" w:hAnsi="宋体"/>
          <w:snapToGrid w:val="0"/>
          <w:kern w:val="0"/>
          <w:sz w:val="20"/>
          <w:szCs w:val="20"/>
        </w:rPr>
      </w:pPr>
    </w:p>
    <w:p w14:paraId="40C97304">
      <w:pPr>
        <w:autoSpaceDE w:val="0"/>
        <w:autoSpaceDN w:val="0"/>
        <w:adjustRightInd w:val="0"/>
        <w:spacing w:line="360" w:lineRule="auto"/>
        <w:jc w:val="left"/>
        <w:rPr>
          <w:rFonts w:ascii="宋体" w:hAnsi="宋体"/>
          <w:snapToGrid w:val="0"/>
          <w:kern w:val="0"/>
          <w:sz w:val="20"/>
          <w:szCs w:val="20"/>
        </w:rPr>
      </w:pPr>
    </w:p>
    <w:p w14:paraId="5BD17EAD">
      <w:pPr>
        <w:autoSpaceDE w:val="0"/>
        <w:autoSpaceDN w:val="0"/>
        <w:adjustRightInd w:val="0"/>
        <w:spacing w:line="360" w:lineRule="auto"/>
        <w:jc w:val="left"/>
        <w:rPr>
          <w:rFonts w:ascii="宋体" w:hAnsi="宋体"/>
          <w:snapToGrid w:val="0"/>
          <w:kern w:val="0"/>
          <w:sz w:val="20"/>
          <w:szCs w:val="20"/>
        </w:rPr>
      </w:pPr>
    </w:p>
    <w:p w14:paraId="2886A44D">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75067612">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1296F4A6">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3F82C867">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53D71FE5">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7A9243BF">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68D33FF7">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103D8BEA">
      <w:pPr>
        <w:spacing w:line="360" w:lineRule="auto"/>
        <w:ind w:firstLine="420" w:firstLineChars="200"/>
        <w:rPr>
          <w:rFonts w:ascii="宋体" w:hAnsi="宋体"/>
          <w:kern w:val="0"/>
          <w:szCs w:val="21"/>
        </w:rPr>
      </w:pPr>
      <w:r>
        <w:rPr>
          <w:rFonts w:ascii="宋体" w:hAnsi="宋体"/>
          <w:kern w:val="0"/>
          <w:szCs w:val="21"/>
        </w:rPr>
        <w:t>特此通知。</w:t>
      </w:r>
    </w:p>
    <w:p w14:paraId="175FD108">
      <w:pPr>
        <w:spacing w:line="480" w:lineRule="auto"/>
        <w:rPr>
          <w:rFonts w:ascii="宋体" w:hAnsi="宋体"/>
          <w:kern w:val="0"/>
          <w:sz w:val="24"/>
        </w:rPr>
      </w:pPr>
    </w:p>
    <w:p w14:paraId="3E7B9A47">
      <w:pPr>
        <w:spacing w:line="480" w:lineRule="auto"/>
        <w:rPr>
          <w:rFonts w:ascii="宋体" w:hAnsi="宋体"/>
          <w:kern w:val="0"/>
          <w:sz w:val="24"/>
        </w:rPr>
      </w:pPr>
    </w:p>
    <w:p w14:paraId="77C0D27A">
      <w:pPr>
        <w:spacing w:line="480" w:lineRule="auto"/>
        <w:rPr>
          <w:rFonts w:ascii="宋体" w:hAnsi="宋体"/>
          <w:kern w:val="0"/>
          <w:sz w:val="24"/>
        </w:rPr>
      </w:pPr>
    </w:p>
    <w:p w14:paraId="3AD11DFC">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33606F9A">
      <w:pPr>
        <w:spacing w:line="480" w:lineRule="auto"/>
        <w:jc w:val="left"/>
        <w:rPr>
          <w:rFonts w:ascii="宋体" w:hAnsi="宋体"/>
          <w:kern w:val="0"/>
          <w:szCs w:val="21"/>
          <w:u w:val="single"/>
        </w:rPr>
      </w:pPr>
      <w:r>
        <w:rPr>
          <w:rFonts w:ascii="宋体" w:hAnsi="宋体"/>
          <w:kern w:val="0"/>
          <w:szCs w:val="21"/>
        </w:rPr>
        <w:t xml:space="preserve">                                     联系人</w:t>
      </w:r>
      <w:r>
        <w:rPr>
          <w:rFonts w:ascii="宋体" w:hAnsi="宋体"/>
          <w:snapToGrid w:val="0"/>
          <w:kern w:val="0"/>
          <w:szCs w:val="21"/>
        </w:rPr>
        <w:t>：</w:t>
      </w:r>
      <w:r>
        <w:rPr>
          <w:rFonts w:ascii="宋体" w:hAnsi="宋体"/>
          <w:kern w:val="0"/>
          <w:szCs w:val="21"/>
          <w:u w:val="single"/>
        </w:rPr>
        <w:t xml:space="preserve">                          </w:t>
      </w:r>
    </w:p>
    <w:p w14:paraId="67C73DFE">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15BD48FE">
      <w:pPr>
        <w:spacing w:line="480" w:lineRule="auto"/>
        <w:jc w:val="right"/>
        <w:rPr>
          <w:rFonts w:ascii="宋体" w:hAnsi="宋体"/>
          <w:kern w:val="0"/>
          <w:szCs w:val="21"/>
        </w:rPr>
      </w:pPr>
    </w:p>
    <w:p w14:paraId="6C0F97AD">
      <w:pPr>
        <w:spacing w:line="480" w:lineRule="auto"/>
        <w:jc w:val="right"/>
        <w:rPr>
          <w:rFonts w:ascii="宋体" w:hAnsi="宋体"/>
          <w:kern w:val="0"/>
          <w:szCs w:val="21"/>
        </w:rPr>
      </w:pPr>
    </w:p>
    <w:p w14:paraId="58D1C93A">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38E6BB56">
      <w:pPr>
        <w:spacing w:line="200" w:lineRule="exact"/>
        <w:rPr>
          <w:rFonts w:ascii="宋体" w:hAnsi="宋体"/>
          <w:kern w:val="0"/>
        </w:rPr>
      </w:pPr>
      <w:r>
        <w:rPr>
          <w:rFonts w:ascii="宋体" w:hAnsi="宋体"/>
          <w:snapToGrid w:val="0"/>
          <w:kern w:val="0"/>
        </w:rPr>
        <w:br w:type="page"/>
      </w:r>
      <w:bookmarkStart w:id="506" w:name="招标文件03章02评标办法综合评估法00"/>
      <w:bookmarkEnd w:id="506"/>
      <w:bookmarkStart w:id="507" w:name="招标文件03章02评标办法综合评估法"/>
      <w:bookmarkEnd w:id="507"/>
      <w:bookmarkStart w:id="508" w:name="_Toc200513198"/>
      <w:bookmarkStart w:id="509" w:name="_Toc287607812"/>
      <w:bookmarkStart w:id="510" w:name="_Toc430530500"/>
      <w:bookmarkStart w:id="511" w:name="_Toc224103384"/>
      <w:bookmarkStart w:id="512" w:name="_Toc287620751"/>
      <w:bookmarkStart w:id="513" w:name="_Toc277082618"/>
    </w:p>
    <w:bookmarkEnd w:id="508"/>
    <w:bookmarkEnd w:id="509"/>
    <w:bookmarkEnd w:id="510"/>
    <w:bookmarkEnd w:id="511"/>
    <w:bookmarkEnd w:id="512"/>
    <w:bookmarkEnd w:id="513"/>
    <w:p w14:paraId="50405183">
      <w:pPr>
        <w:pStyle w:val="3"/>
        <w:spacing w:line="360" w:lineRule="auto"/>
        <w:ind w:firstLine="883" w:firstLineChars="200"/>
        <w:jc w:val="center"/>
        <w:rPr>
          <w:rFonts w:ascii="宋体" w:hAnsi="宋体"/>
        </w:rPr>
      </w:pPr>
      <w:bookmarkStart w:id="514" w:name="_Toc509218774"/>
      <w:bookmarkStart w:id="515" w:name="_Toc3544"/>
      <w:bookmarkStart w:id="516" w:name="_Toc20428"/>
      <w:bookmarkStart w:id="517" w:name="_Toc32295"/>
      <w:r>
        <w:rPr>
          <w:rFonts w:ascii="宋体" w:hAnsi="宋体"/>
        </w:rPr>
        <w:t xml:space="preserve">第三章 </w:t>
      </w:r>
      <w:r>
        <w:rPr>
          <w:rFonts w:hint="eastAsia" w:ascii="宋体" w:hAnsi="宋体"/>
        </w:rPr>
        <w:t xml:space="preserve"> </w:t>
      </w:r>
      <w:r>
        <w:rPr>
          <w:rFonts w:ascii="宋体" w:hAnsi="宋体"/>
        </w:rPr>
        <w:t>评标办法（综合评估法）</w:t>
      </w:r>
      <w:bookmarkEnd w:id="514"/>
      <w:bookmarkEnd w:id="515"/>
      <w:bookmarkEnd w:id="516"/>
      <w:bookmarkEnd w:id="517"/>
      <w:bookmarkStart w:id="518" w:name="_Toc287620750"/>
      <w:bookmarkStart w:id="519" w:name="_Toc277082617"/>
      <w:bookmarkStart w:id="520" w:name="_Toc287607811"/>
      <w:bookmarkStart w:id="521" w:name="_Toc224103383"/>
      <w:bookmarkStart w:id="522" w:name="_Toc430530499"/>
    </w:p>
    <w:p w14:paraId="44615241">
      <w:pPr>
        <w:pStyle w:val="4"/>
        <w:spacing w:before="100" w:after="100" w:line="360" w:lineRule="auto"/>
        <w:rPr>
          <w:rFonts w:ascii="宋体" w:hAnsi="宋体"/>
        </w:rPr>
      </w:pPr>
      <w:bookmarkStart w:id="523" w:name="_Toc2060"/>
      <w:bookmarkStart w:id="524" w:name="_Toc509218775"/>
      <w:bookmarkStart w:id="525" w:name="_Toc28953"/>
      <w:r>
        <w:rPr>
          <w:rFonts w:hint="eastAsia" w:ascii="宋体" w:hAnsi="宋体"/>
        </w:rPr>
        <w:t>评标办法前附表</w:t>
      </w:r>
      <w:bookmarkEnd w:id="523"/>
      <w:bookmarkEnd w:id="524"/>
      <w:bookmarkEnd w:id="525"/>
    </w:p>
    <w:p w14:paraId="14663550">
      <w:pPr>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6"/>
        <w:tblW w:w="95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934"/>
        <w:gridCol w:w="1680"/>
        <w:gridCol w:w="2171"/>
        <w:gridCol w:w="4803"/>
      </w:tblGrid>
      <w:tr w14:paraId="59BDC81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Align w:val="center"/>
          </w:tcPr>
          <w:p w14:paraId="51680F55">
            <w:pPr>
              <w:spacing w:line="400" w:lineRule="exact"/>
              <w:jc w:val="center"/>
              <w:rPr>
                <w:rFonts w:ascii="宋体" w:hAnsi="宋体"/>
                <w:b/>
                <w:kern w:val="0"/>
              </w:rPr>
            </w:pPr>
            <w:r>
              <w:rPr>
                <w:rFonts w:ascii="宋体" w:hAnsi="宋体"/>
                <w:b/>
                <w:kern w:val="0"/>
              </w:rPr>
              <w:t>条款号</w:t>
            </w:r>
          </w:p>
        </w:tc>
        <w:tc>
          <w:tcPr>
            <w:tcW w:w="1680" w:type="dxa"/>
            <w:vAlign w:val="center"/>
          </w:tcPr>
          <w:p w14:paraId="4505857E">
            <w:pPr>
              <w:spacing w:line="400" w:lineRule="exact"/>
              <w:jc w:val="center"/>
              <w:rPr>
                <w:rFonts w:ascii="宋体" w:hAnsi="宋体"/>
                <w:b/>
                <w:kern w:val="0"/>
              </w:rPr>
            </w:pPr>
            <w:r>
              <w:rPr>
                <w:rFonts w:ascii="宋体" w:hAnsi="宋体"/>
                <w:b/>
                <w:kern w:val="0"/>
              </w:rPr>
              <w:t>评审因素</w:t>
            </w:r>
          </w:p>
        </w:tc>
        <w:tc>
          <w:tcPr>
            <w:tcW w:w="6974" w:type="dxa"/>
            <w:gridSpan w:val="2"/>
            <w:vAlign w:val="center"/>
          </w:tcPr>
          <w:p w14:paraId="50311699">
            <w:pPr>
              <w:spacing w:line="400" w:lineRule="exact"/>
              <w:jc w:val="center"/>
              <w:rPr>
                <w:rFonts w:ascii="宋体" w:hAnsi="宋体"/>
                <w:b/>
                <w:kern w:val="0"/>
              </w:rPr>
            </w:pPr>
            <w:r>
              <w:rPr>
                <w:rFonts w:ascii="宋体" w:hAnsi="宋体"/>
                <w:b/>
                <w:kern w:val="0"/>
              </w:rPr>
              <w:t>评审标准</w:t>
            </w:r>
          </w:p>
        </w:tc>
      </w:tr>
      <w:tr w14:paraId="1CDBCA6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5" w:hRule="atLeast"/>
          <w:jc w:val="center"/>
        </w:trPr>
        <w:tc>
          <w:tcPr>
            <w:tcW w:w="934" w:type="dxa"/>
            <w:vMerge w:val="restart"/>
            <w:tcBorders>
              <w:right w:val="single" w:color="auto" w:sz="4" w:space="0"/>
            </w:tcBorders>
            <w:vAlign w:val="center"/>
          </w:tcPr>
          <w:p w14:paraId="14AFBAB7">
            <w:pPr>
              <w:spacing w:line="400" w:lineRule="exact"/>
              <w:jc w:val="center"/>
              <w:rPr>
                <w:rFonts w:ascii="宋体" w:hAnsi="宋体"/>
                <w:kern w:val="0"/>
              </w:rPr>
            </w:pPr>
            <w:r>
              <w:rPr>
                <w:rFonts w:ascii="宋体" w:hAnsi="宋体"/>
                <w:kern w:val="0"/>
              </w:rPr>
              <w:t>2.1.</w:t>
            </w:r>
            <w:r>
              <w:rPr>
                <w:rFonts w:hint="eastAsia" w:ascii="宋体" w:hAnsi="宋体"/>
                <w:kern w:val="0"/>
              </w:rPr>
              <w:t>1</w:t>
            </w:r>
          </w:p>
        </w:tc>
        <w:tc>
          <w:tcPr>
            <w:tcW w:w="1680" w:type="dxa"/>
            <w:vMerge w:val="restart"/>
            <w:tcBorders>
              <w:right w:val="single" w:color="auto" w:sz="4" w:space="0"/>
            </w:tcBorders>
            <w:vAlign w:val="center"/>
          </w:tcPr>
          <w:p w14:paraId="6C304894">
            <w:pPr>
              <w:spacing w:line="400" w:lineRule="exact"/>
              <w:jc w:val="center"/>
              <w:rPr>
                <w:rFonts w:ascii="宋体" w:hAnsi="宋体"/>
                <w:kern w:val="0"/>
              </w:rPr>
            </w:pPr>
            <w:r>
              <w:rPr>
                <w:rFonts w:ascii="宋体" w:hAnsi="宋体"/>
                <w:kern w:val="0"/>
              </w:rPr>
              <w:t>资格评审标准</w:t>
            </w:r>
          </w:p>
        </w:tc>
        <w:tc>
          <w:tcPr>
            <w:tcW w:w="2171" w:type="dxa"/>
            <w:tcBorders>
              <w:left w:val="single" w:color="auto" w:sz="4" w:space="0"/>
            </w:tcBorders>
            <w:vAlign w:val="center"/>
          </w:tcPr>
          <w:p w14:paraId="120C0C46">
            <w:pPr>
              <w:spacing w:line="400" w:lineRule="exact"/>
              <w:jc w:val="left"/>
              <w:rPr>
                <w:rFonts w:hint="default" w:ascii="宋体" w:hAnsi="宋体" w:eastAsia="宋体"/>
                <w:kern w:val="0"/>
                <w:lang w:val="en-US" w:eastAsia="zh-CN"/>
              </w:rPr>
            </w:pPr>
            <w:r>
              <w:rPr>
                <w:rFonts w:hint="eastAsia" w:ascii="宋体" w:hAnsi="宋体"/>
                <w:kern w:val="0"/>
                <w:lang w:val="en-US" w:eastAsia="zh-CN"/>
              </w:rPr>
              <w:t>独立法人资格</w:t>
            </w:r>
          </w:p>
        </w:tc>
        <w:tc>
          <w:tcPr>
            <w:tcW w:w="4803" w:type="dxa"/>
            <w:vAlign w:val="center"/>
          </w:tcPr>
          <w:p w14:paraId="2A6F6CED">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0F478B2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6F78BAD8">
            <w:pPr>
              <w:spacing w:line="400" w:lineRule="exact"/>
              <w:jc w:val="center"/>
              <w:rPr>
                <w:rFonts w:ascii="宋体" w:hAnsi="宋体"/>
                <w:kern w:val="0"/>
              </w:rPr>
            </w:pPr>
          </w:p>
        </w:tc>
        <w:tc>
          <w:tcPr>
            <w:tcW w:w="1680" w:type="dxa"/>
            <w:vMerge w:val="continue"/>
            <w:tcBorders>
              <w:right w:val="single" w:color="auto" w:sz="4" w:space="0"/>
            </w:tcBorders>
          </w:tcPr>
          <w:p w14:paraId="7ED47336">
            <w:pPr>
              <w:spacing w:line="400" w:lineRule="exact"/>
              <w:jc w:val="center"/>
              <w:rPr>
                <w:rFonts w:ascii="宋体" w:hAnsi="宋体"/>
                <w:kern w:val="0"/>
              </w:rPr>
            </w:pPr>
          </w:p>
        </w:tc>
        <w:tc>
          <w:tcPr>
            <w:tcW w:w="2171" w:type="dxa"/>
            <w:tcBorders>
              <w:left w:val="single" w:color="auto" w:sz="4" w:space="0"/>
            </w:tcBorders>
            <w:vAlign w:val="top"/>
          </w:tcPr>
          <w:p w14:paraId="7984C37E">
            <w:pPr>
              <w:spacing w:line="400" w:lineRule="exact"/>
              <w:jc w:val="left"/>
              <w:rPr>
                <w:rFonts w:hint="eastAsia" w:ascii="宋体" w:hAnsi="宋体" w:eastAsia="宋体"/>
                <w:kern w:val="0"/>
                <w:lang w:eastAsia="zh-CN"/>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721E5427">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3178C15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3FE8B527">
            <w:pPr>
              <w:spacing w:line="400" w:lineRule="exact"/>
              <w:jc w:val="center"/>
              <w:rPr>
                <w:rFonts w:ascii="宋体" w:hAnsi="宋体"/>
                <w:kern w:val="0"/>
              </w:rPr>
            </w:pPr>
          </w:p>
        </w:tc>
        <w:tc>
          <w:tcPr>
            <w:tcW w:w="1680" w:type="dxa"/>
            <w:vMerge w:val="continue"/>
            <w:tcBorders>
              <w:right w:val="single" w:color="auto" w:sz="4" w:space="0"/>
            </w:tcBorders>
          </w:tcPr>
          <w:p w14:paraId="470BDFAD">
            <w:pPr>
              <w:spacing w:line="400" w:lineRule="exact"/>
              <w:jc w:val="center"/>
              <w:rPr>
                <w:rFonts w:ascii="宋体" w:hAnsi="宋体"/>
                <w:kern w:val="0"/>
              </w:rPr>
            </w:pPr>
          </w:p>
        </w:tc>
        <w:tc>
          <w:tcPr>
            <w:tcW w:w="2171" w:type="dxa"/>
            <w:tcBorders>
              <w:left w:val="single" w:color="auto" w:sz="4" w:space="0"/>
            </w:tcBorders>
            <w:vAlign w:val="center"/>
          </w:tcPr>
          <w:p w14:paraId="73B0CDDF">
            <w:pPr>
              <w:spacing w:line="400" w:lineRule="exact"/>
              <w:jc w:val="left"/>
              <w:rPr>
                <w:rFonts w:ascii="宋体" w:hAnsi="宋体"/>
                <w:kern w:val="0"/>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77F9BC91">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2D647B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34" w:type="dxa"/>
            <w:vMerge w:val="continue"/>
            <w:tcBorders>
              <w:right w:val="single" w:color="auto" w:sz="4" w:space="0"/>
            </w:tcBorders>
          </w:tcPr>
          <w:p w14:paraId="00A800C9">
            <w:pPr>
              <w:spacing w:line="400" w:lineRule="exact"/>
              <w:jc w:val="center"/>
              <w:rPr>
                <w:rFonts w:ascii="宋体" w:hAnsi="宋体"/>
                <w:kern w:val="0"/>
              </w:rPr>
            </w:pPr>
          </w:p>
        </w:tc>
        <w:tc>
          <w:tcPr>
            <w:tcW w:w="1680" w:type="dxa"/>
            <w:vMerge w:val="continue"/>
            <w:tcBorders>
              <w:right w:val="single" w:color="auto" w:sz="4" w:space="0"/>
            </w:tcBorders>
          </w:tcPr>
          <w:p w14:paraId="23DD74C5">
            <w:pPr>
              <w:spacing w:line="400" w:lineRule="exact"/>
              <w:jc w:val="center"/>
              <w:rPr>
                <w:rFonts w:ascii="宋体" w:hAnsi="宋体"/>
                <w:kern w:val="0"/>
              </w:rPr>
            </w:pPr>
          </w:p>
        </w:tc>
        <w:tc>
          <w:tcPr>
            <w:tcW w:w="2171" w:type="dxa"/>
            <w:tcBorders>
              <w:left w:val="single" w:color="auto" w:sz="4" w:space="0"/>
            </w:tcBorders>
            <w:vAlign w:val="top"/>
          </w:tcPr>
          <w:p w14:paraId="0A8A039F">
            <w:pPr>
              <w:spacing w:line="400" w:lineRule="exact"/>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69AE5696">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1D1BA1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tcPr>
          <w:p w14:paraId="17BB529A">
            <w:pPr>
              <w:spacing w:line="400" w:lineRule="exact"/>
              <w:jc w:val="center"/>
              <w:rPr>
                <w:rFonts w:ascii="宋体" w:hAnsi="宋体"/>
                <w:kern w:val="0"/>
              </w:rPr>
            </w:pPr>
          </w:p>
        </w:tc>
        <w:tc>
          <w:tcPr>
            <w:tcW w:w="1680" w:type="dxa"/>
            <w:vMerge w:val="continue"/>
            <w:tcBorders>
              <w:right w:val="single" w:color="auto" w:sz="4" w:space="0"/>
            </w:tcBorders>
          </w:tcPr>
          <w:p w14:paraId="5DF86CA8">
            <w:pPr>
              <w:spacing w:line="400" w:lineRule="exact"/>
              <w:jc w:val="center"/>
              <w:rPr>
                <w:rFonts w:ascii="宋体" w:hAnsi="宋体"/>
                <w:kern w:val="0"/>
              </w:rPr>
            </w:pPr>
          </w:p>
        </w:tc>
        <w:tc>
          <w:tcPr>
            <w:tcW w:w="2171" w:type="dxa"/>
            <w:tcBorders>
              <w:left w:val="single" w:color="auto" w:sz="4" w:space="0"/>
            </w:tcBorders>
            <w:vAlign w:val="top"/>
          </w:tcPr>
          <w:p w14:paraId="0A9097E1">
            <w:pPr>
              <w:spacing w:line="400" w:lineRule="exact"/>
              <w:jc w:val="left"/>
              <w:rPr>
                <w:rFonts w:ascii="宋体" w:hAnsi="宋体"/>
                <w:kern w:val="0"/>
              </w:rPr>
            </w:pPr>
            <w:r>
              <w:rPr>
                <w:rFonts w:hint="eastAsia" w:ascii="宋体" w:hAnsi="宋体" w:cs="宋体"/>
                <w:szCs w:val="21"/>
              </w:rPr>
              <w:t>投标截止日投标资格情况</w:t>
            </w:r>
          </w:p>
        </w:tc>
        <w:tc>
          <w:tcPr>
            <w:tcW w:w="4803" w:type="dxa"/>
            <w:vAlign w:val="center"/>
          </w:tcPr>
          <w:p w14:paraId="2DAD6D63">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0C85D1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934" w:type="dxa"/>
            <w:vMerge w:val="continue"/>
            <w:tcBorders>
              <w:right w:val="single" w:color="auto" w:sz="4" w:space="0"/>
            </w:tcBorders>
          </w:tcPr>
          <w:p w14:paraId="0DDF8D35">
            <w:pPr>
              <w:spacing w:line="400" w:lineRule="exact"/>
              <w:jc w:val="center"/>
              <w:rPr>
                <w:rFonts w:ascii="宋体" w:hAnsi="宋体"/>
                <w:kern w:val="0"/>
              </w:rPr>
            </w:pPr>
          </w:p>
        </w:tc>
        <w:tc>
          <w:tcPr>
            <w:tcW w:w="1680" w:type="dxa"/>
            <w:vMerge w:val="continue"/>
            <w:tcBorders>
              <w:right w:val="single" w:color="auto" w:sz="4" w:space="0"/>
            </w:tcBorders>
          </w:tcPr>
          <w:p w14:paraId="006B343D">
            <w:pPr>
              <w:spacing w:line="400" w:lineRule="exact"/>
              <w:jc w:val="center"/>
              <w:rPr>
                <w:rFonts w:ascii="宋体" w:hAnsi="宋体"/>
                <w:kern w:val="0"/>
              </w:rPr>
            </w:pPr>
          </w:p>
        </w:tc>
        <w:tc>
          <w:tcPr>
            <w:tcW w:w="2171" w:type="dxa"/>
            <w:tcBorders>
              <w:left w:val="single" w:color="auto" w:sz="4" w:space="0"/>
            </w:tcBorders>
            <w:vAlign w:val="top"/>
          </w:tcPr>
          <w:p w14:paraId="75AA41B9">
            <w:pPr>
              <w:spacing w:line="400" w:lineRule="exact"/>
              <w:jc w:val="left"/>
              <w:rPr>
                <w:rFonts w:ascii="宋体" w:hAnsi="宋体"/>
                <w:kern w:val="0"/>
              </w:rPr>
            </w:pPr>
            <w:r>
              <w:rPr>
                <w:rFonts w:ascii="宋体" w:hAnsi="宋体"/>
                <w:kern w:val="0"/>
              </w:rPr>
              <w:t>其他要求</w:t>
            </w:r>
          </w:p>
        </w:tc>
        <w:tc>
          <w:tcPr>
            <w:tcW w:w="4803" w:type="dxa"/>
            <w:vAlign w:val="center"/>
          </w:tcPr>
          <w:p w14:paraId="58888A14">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15057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41C5B3F8">
            <w:pPr>
              <w:spacing w:line="400" w:lineRule="exact"/>
              <w:jc w:val="center"/>
              <w:rPr>
                <w:rFonts w:ascii="宋体" w:hAnsi="宋体"/>
                <w:kern w:val="0"/>
              </w:rPr>
            </w:pPr>
            <w:r>
              <w:rPr>
                <w:rFonts w:ascii="宋体" w:hAnsi="宋体"/>
                <w:kern w:val="0"/>
              </w:rPr>
              <w:t>2.1.</w:t>
            </w:r>
            <w:r>
              <w:rPr>
                <w:rFonts w:hint="eastAsia" w:ascii="宋体" w:hAnsi="宋体"/>
                <w:kern w:val="0"/>
              </w:rPr>
              <w:t>2</w:t>
            </w:r>
          </w:p>
        </w:tc>
        <w:tc>
          <w:tcPr>
            <w:tcW w:w="1680" w:type="dxa"/>
            <w:vMerge w:val="restart"/>
            <w:tcBorders>
              <w:right w:val="single" w:color="auto" w:sz="4" w:space="0"/>
            </w:tcBorders>
            <w:vAlign w:val="center"/>
          </w:tcPr>
          <w:p w14:paraId="2266E2FE">
            <w:pPr>
              <w:spacing w:line="400" w:lineRule="exact"/>
              <w:jc w:val="center"/>
              <w:rPr>
                <w:rFonts w:ascii="宋体" w:hAnsi="宋体"/>
                <w:kern w:val="0"/>
              </w:rPr>
            </w:pPr>
            <w:r>
              <w:rPr>
                <w:rFonts w:ascii="宋体" w:hAnsi="宋体"/>
                <w:kern w:val="0"/>
              </w:rPr>
              <w:t>形式评审标准</w:t>
            </w:r>
          </w:p>
        </w:tc>
        <w:tc>
          <w:tcPr>
            <w:tcW w:w="2171" w:type="dxa"/>
            <w:tcBorders>
              <w:left w:val="single" w:color="auto" w:sz="4" w:space="0"/>
            </w:tcBorders>
            <w:vAlign w:val="center"/>
          </w:tcPr>
          <w:p w14:paraId="6F5DB3CE">
            <w:pPr>
              <w:spacing w:line="400" w:lineRule="exact"/>
              <w:jc w:val="left"/>
              <w:rPr>
                <w:rFonts w:ascii="宋体" w:hAnsi="宋体"/>
                <w:kern w:val="0"/>
              </w:rPr>
            </w:pPr>
            <w:r>
              <w:rPr>
                <w:rFonts w:ascii="宋体" w:hAnsi="宋体"/>
                <w:kern w:val="0"/>
              </w:rPr>
              <w:t>投标人名称</w:t>
            </w:r>
          </w:p>
        </w:tc>
        <w:tc>
          <w:tcPr>
            <w:tcW w:w="4803" w:type="dxa"/>
            <w:vAlign w:val="center"/>
          </w:tcPr>
          <w:p w14:paraId="100F476B">
            <w:pPr>
              <w:spacing w:line="400" w:lineRule="exact"/>
              <w:ind w:firstLine="420" w:firstLineChars="200"/>
              <w:rPr>
                <w:rFonts w:ascii="宋体" w:hAnsi="宋体"/>
                <w:kern w:val="0"/>
              </w:rPr>
            </w:pPr>
            <w:r>
              <w:rPr>
                <w:rFonts w:ascii="宋体" w:hAnsi="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ascii="宋体" w:hAnsi="宋体"/>
                <w:kern w:val="0"/>
              </w:rPr>
              <w:t>一致。</w:t>
            </w:r>
          </w:p>
        </w:tc>
      </w:tr>
      <w:tr w14:paraId="38416C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764790AB">
            <w:pPr>
              <w:spacing w:line="400" w:lineRule="exact"/>
              <w:jc w:val="center"/>
              <w:rPr>
                <w:rFonts w:ascii="宋体" w:hAnsi="宋体"/>
                <w:kern w:val="0"/>
              </w:rPr>
            </w:pPr>
          </w:p>
        </w:tc>
        <w:tc>
          <w:tcPr>
            <w:tcW w:w="1680" w:type="dxa"/>
            <w:vMerge w:val="continue"/>
            <w:tcBorders>
              <w:right w:val="single" w:color="auto" w:sz="4" w:space="0"/>
            </w:tcBorders>
          </w:tcPr>
          <w:p w14:paraId="2D182B18">
            <w:pPr>
              <w:spacing w:line="400" w:lineRule="exact"/>
              <w:jc w:val="center"/>
              <w:rPr>
                <w:rFonts w:ascii="宋体" w:hAnsi="宋体"/>
                <w:kern w:val="0"/>
              </w:rPr>
            </w:pPr>
          </w:p>
        </w:tc>
        <w:tc>
          <w:tcPr>
            <w:tcW w:w="2171" w:type="dxa"/>
            <w:tcBorders>
              <w:left w:val="single" w:color="auto" w:sz="4" w:space="0"/>
            </w:tcBorders>
            <w:vAlign w:val="center"/>
          </w:tcPr>
          <w:p w14:paraId="65334FFC">
            <w:pPr>
              <w:spacing w:line="400" w:lineRule="exact"/>
              <w:jc w:val="left"/>
              <w:rPr>
                <w:rFonts w:ascii="宋体" w:hAnsi="宋体"/>
                <w:kern w:val="0"/>
              </w:rPr>
            </w:pPr>
            <w:r>
              <w:rPr>
                <w:rFonts w:ascii="宋体" w:hAnsi="宋体"/>
                <w:kern w:val="0"/>
              </w:rPr>
              <w:t>投标文件格式</w:t>
            </w:r>
          </w:p>
        </w:tc>
        <w:tc>
          <w:tcPr>
            <w:tcW w:w="4803" w:type="dxa"/>
            <w:vAlign w:val="center"/>
          </w:tcPr>
          <w:p w14:paraId="581B2102">
            <w:pPr>
              <w:spacing w:line="400" w:lineRule="exact"/>
              <w:ind w:firstLine="420" w:firstLineChars="200"/>
            </w:pPr>
            <w:r>
              <w:t>符合第</w:t>
            </w:r>
            <w:r>
              <w:rPr>
                <w:rFonts w:hint="eastAsia"/>
              </w:rPr>
              <w:t>二</w:t>
            </w:r>
            <w:r>
              <w:t>章“投标</w:t>
            </w:r>
            <w:r>
              <w:rPr>
                <w:rFonts w:hint="eastAsia"/>
              </w:rPr>
              <w:t>人须知</w:t>
            </w:r>
            <w:r>
              <w:t>”</w:t>
            </w:r>
            <w:r>
              <w:rPr>
                <w:rFonts w:hint="eastAsia"/>
              </w:rPr>
              <w:t>第3.7款</w:t>
            </w:r>
            <w:r>
              <w:t>的要求</w:t>
            </w:r>
            <w:r>
              <w:rPr>
                <w:rFonts w:hint="eastAsia"/>
              </w:rPr>
              <w:t>（不含投标函部分）</w:t>
            </w:r>
            <w:r>
              <w:t>。</w:t>
            </w:r>
          </w:p>
          <w:p w14:paraId="0370DDC0">
            <w:pPr>
              <w:spacing w:line="400" w:lineRule="exact"/>
              <w:ind w:firstLine="420" w:firstLineChars="200"/>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六</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4A96D9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30" w:hRule="atLeast"/>
          <w:jc w:val="center"/>
        </w:trPr>
        <w:tc>
          <w:tcPr>
            <w:tcW w:w="934" w:type="dxa"/>
            <w:vMerge w:val="continue"/>
            <w:tcBorders>
              <w:right w:val="single" w:color="auto" w:sz="4" w:space="0"/>
            </w:tcBorders>
          </w:tcPr>
          <w:p w14:paraId="053E7C65">
            <w:pPr>
              <w:spacing w:line="400" w:lineRule="exact"/>
              <w:jc w:val="center"/>
              <w:rPr>
                <w:rFonts w:ascii="宋体" w:hAnsi="宋体"/>
                <w:kern w:val="0"/>
              </w:rPr>
            </w:pPr>
          </w:p>
        </w:tc>
        <w:tc>
          <w:tcPr>
            <w:tcW w:w="1680" w:type="dxa"/>
            <w:vMerge w:val="continue"/>
            <w:tcBorders>
              <w:right w:val="single" w:color="auto" w:sz="4" w:space="0"/>
            </w:tcBorders>
          </w:tcPr>
          <w:p w14:paraId="21D4A796">
            <w:pPr>
              <w:spacing w:line="400" w:lineRule="exact"/>
              <w:jc w:val="center"/>
              <w:rPr>
                <w:rFonts w:ascii="宋体" w:hAnsi="宋体"/>
                <w:kern w:val="0"/>
              </w:rPr>
            </w:pPr>
          </w:p>
        </w:tc>
        <w:tc>
          <w:tcPr>
            <w:tcW w:w="2171" w:type="dxa"/>
            <w:tcBorders>
              <w:left w:val="single" w:color="auto" w:sz="4" w:space="0"/>
            </w:tcBorders>
            <w:vAlign w:val="center"/>
          </w:tcPr>
          <w:p w14:paraId="3F304533">
            <w:pPr>
              <w:spacing w:line="400" w:lineRule="exact"/>
              <w:jc w:val="left"/>
              <w:rPr>
                <w:rFonts w:ascii="宋体" w:hAnsi="宋体"/>
                <w:kern w:val="0"/>
              </w:rPr>
            </w:pPr>
            <w:r>
              <w:rPr>
                <w:rFonts w:ascii="宋体" w:hAnsi="宋体"/>
                <w:kern w:val="0"/>
              </w:rPr>
              <w:t>投标文件的签署</w:t>
            </w:r>
          </w:p>
        </w:tc>
        <w:tc>
          <w:tcPr>
            <w:tcW w:w="4803" w:type="dxa"/>
            <w:vAlign w:val="center"/>
          </w:tcPr>
          <w:p w14:paraId="4CE66212">
            <w:pPr>
              <w:spacing w:line="400" w:lineRule="exact"/>
              <w:ind w:firstLine="420" w:firstLineChars="200"/>
              <w:rPr>
                <w:rFonts w:ascii="宋体" w:hAnsi="宋体"/>
                <w:kern w:val="0"/>
              </w:rPr>
            </w:pPr>
            <w:r>
              <w:rPr>
                <w:rFonts w:hint="eastAsia" w:ascii="宋体" w:hAnsi="宋体"/>
                <w:kern w:val="0"/>
              </w:rPr>
              <w:t xml:space="preserve">第六章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lang w:eastAsia="zh-CN"/>
              </w:rPr>
              <w:t>（</w:t>
            </w:r>
            <w:r>
              <w:rPr>
                <w:rFonts w:ascii="宋体" w:hAnsi="宋体"/>
                <w:kern w:val="0"/>
              </w:rPr>
              <w:t>或其委托代理人</w:t>
            </w:r>
            <w:r>
              <w:rPr>
                <w:rFonts w:hint="eastAsia" w:ascii="宋体" w:hAnsi="宋体"/>
                <w:kern w:val="0"/>
                <w:lang w:eastAsia="zh-CN"/>
              </w:rPr>
              <w:t>）</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宋体" w:hAnsi="宋体"/>
                <w:szCs w:val="21"/>
              </w:rPr>
              <w:t>要求签名的，</w:t>
            </w:r>
            <w:r>
              <w:rPr>
                <w:rFonts w:hint="eastAsia" w:ascii="宋体" w:hAnsi="宋体"/>
                <w:kern w:val="0"/>
              </w:rPr>
              <w:t>签名采用手写签名</w:t>
            </w:r>
            <w:r>
              <w:rPr>
                <w:rFonts w:hint="eastAsia" w:ascii="宋体" w:hAnsi="宋体"/>
                <w:szCs w:val="21"/>
              </w:rPr>
              <w:t>或签章</w:t>
            </w:r>
            <w:r>
              <w:rPr>
                <w:rFonts w:hint="eastAsia" w:ascii="宋体" w:hAnsi="宋体"/>
                <w:kern w:val="0"/>
              </w:rPr>
              <w:t>均可。</w:t>
            </w:r>
          </w:p>
          <w:p w14:paraId="6C5DAFA9">
            <w:pPr>
              <w:autoSpaceDE w:val="0"/>
              <w:autoSpaceDN w:val="0"/>
              <w:adjustRightInd w:val="0"/>
              <w:snapToGrid w:val="0"/>
              <w:spacing w:line="400" w:lineRule="exact"/>
              <w:ind w:firstLine="420" w:firstLineChars="200"/>
              <w:rPr>
                <w:rFonts w:ascii="宋体" w:hAnsi="宋体"/>
                <w:kern w:val="0"/>
              </w:rPr>
            </w:pPr>
            <w:r>
              <w:rPr>
                <w:rFonts w:hint="eastAsia" w:ascii="宋体" w:hAnsi="宋体"/>
                <w:kern w:val="0"/>
              </w:rPr>
              <w:t>第六章 投标文件格式（不含投标函部分）要求加盖单位法人章的，</w:t>
            </w:r>
            <w:r>
              <w:rPr>
                <w:rFonts w:hint="eastAsia" w:ascii="宋体" w:hAnsi="宋体" w:eastAsia="宋体" w:cs="宋体"/>
                <w:caps w:val="0"/>
                <w:smallCaps w:val="0"/>
                <w:color w:val="auto"/>
                <w:sz w:val="21"/>
                <w:szCs w:val="21"/>
                <w:lang w:val="en-US" w:eastAsia="zh-CN"/>
              </w:rPr>
              <w:t>加盖投标人单位法人章(公章）或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11E1DD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162D1D72">
            <w:pPr>
              <w:spacing w:line="400" w:lineRule="exact"/>
              <w:jc w:val="center"/>
              <w:rPr>
                <w:rFonts w:ascii="宋体" w:hAnsi="宋体"/>
                <w:kern w:val="0"/>
              </w:rPr>
            </w:pPr>
          </w:p>
        </w:tc>
        <w:tc>
          <w:tcPr>
            <w:tcW w:w="1680" w:type="dxa"/>
            <w:vMerge w:val="continue"/>
            <w:tcBorders>
              <w:right w:val="single" w:color="auto" w:sz="4" w:space="0"/>
            </w:tcBorders>
          </w:tcPr>
          <w:p w14:paraId="334AB8C7">
            <w:pPr>
              <w:spacing w:line="400" w:lineRule="exact"/>
              <w:jc w:val="center"/>
              <w:rPr>
                <w:rFonts w:ascii="宋体" w:hAnsi="宋体"/>
                <w:kern w:val="0"/>
              </w:rPr>
            </w:pPr>
          </w:p>
        </w:tc>
        <w:tc>
          <w:tcPr>
            <w:tcW w:w="2171" w:type="dxa"/>
            <w:tcBorders>
              <w:left w:val="single" w:color="auto" w:sz="4" w:space="0"/>
            </w:tcBorders>
            <w:vAlign w:val="center"/>
          </w:tcPr>
          <w:p w14:paraId="4C350E0F">
            <w:pPr>
              <w:spacing w:line="400" w:lineRule="exact"/>
              <w:jc w:val="left"/>
              <w:rPr>
                <w:rFonts w:ascii="宋体" w:hAnsi="宋体"/>
                <w:kern w:val="0"/>
              </w:rPr>
            </w:pPr>
            <w:r>
              <w:rPr>
                <w:rFonts w:ascii="宋体" w:hAnsi="宋体"/>
                <w:kern w:val="0"/>
              </w:rPr>
              <w:t>委托代理人</w:t>
            </w:r>
          </w:p>
        </w:tc>
        <w:tc>
          <w:tcPr>
            <w:tcW w:w="4803" w:type="dxa"/>
            <w:vAlign w:val="center"/>
          </w:tcPr>
          <w:p w14:paraId="2A9ABF85">
            <w:pPr>
              <w:spacing w:line="400" w:lineRule="exact"/>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和投标人为其缴纳的养老保险</w:t>
            </w:r>
            <w:r>
              <w:rPr>
                <w:rFonts w:hint="eastAsia" w:ascii="宋体" w:hAnsi="宋体"/>
                <w:kern w:val="0"/>
                <w:lang w:val="en-US" w:eastAsia="zh-CN"/>
              </w:rPr>
              <w:t>证明材料</w:t>
            </w:r>
            <w:r>
              <w:rPr>
                <w:rFonts w:hint="eastAsia" w:ascii="宋体" w:hAnsi="宋体"/>
                <w:kern w:val="0"/>
              </w:rPr>
              <w:t>。</w:t>
            </w:r>
          </w:p>
        </w:tc>
      </w:tr>
      <w:tr w14:paraId="72309746">
        <w:tblPrEx>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79E897F1">
            <w:pPr>
              <w:spacing w:line="400" w:lineRule="exact"/>
              <w:jc w:val="center"/>
              <w:rPr>
                <w:rFonts w:ascii="宋体" w:hAnsi="宋体"/>
                <w:kern w:val="0"/>
              </w:rPr>
            </w:pPr>
          </w:p>
        </w:tc>
        <w:tc>
          <w:tcPr>
            <w:tcW w:w="1680" w:type="dxa"/>
            <w:vMerge w:val="continue"/>
            <w:tcBorders>
              <w:right w:val="single" w:color="auto" w:sz="4" w:space="0"/>
            </w:tcBorders>
          </w:tcPr>
          <w:p w14:paraId="02197BEA">
            <w:pPr>
              <w:spacing w:line="400" w:lineRule="exact"/>
              <w:jc w:val="center"/>
              <w:rPr>
                <w:rFonts w:ascii="宋体" w:hAnsi="宋体"/>
                <w:kern w:val="0"/>
              </w:rPr>
            </w:pPr>
          </w:p>
        </w:tc>
        <w:tc>
          <w:tcPr>
            <w:tcW w:w="2171" w:type="dxa"/>
            <w:tcBorders>
              <w:left w:val="single" w:color="auto" w:sz="4" w:space="0"/>
            </w:tcBorders>
            <w:vAlign w:val="center"/>
          </w:tcPr>
          <w:p w14:paraId="7FD0FD5C">
            <w:pPr>
              <w:spacing w:line="400" w:lineRule="exact"/>
              <w:jc w:val="left"/>
              <w:rPr>
                <w:rFonts w:ascii="宋体" w:hAnsi="宋体"/>
                <w:kern w:val="0"/>
              </w:rPr>
            </w:pPr>
            <w:r>
              <w:t>备选投标方案</w:t>
            </w:r>
          </w:p>
        </w:tc>
        <w:tc>
          <w:tcPr>
            <w:tcW w:w="4803" w:type="dxa"/>
            <w:vAlign w:val="center"/>
          </w:tcPr>
          <w:p w14:paraId="259C1073">
            <w:pPr>
              <w:spacing w:line="400" w:lineRule="exact"/>
              <w:ind w:firstLine="420" w:firstLineChars="200"/>
              <w:rPr>
                <w:rFonts w:ascii="宋体" w:hAnsi="宋体"/>
                <w:kern w:val="0"/>
              </w:rPr>
            </w:pPr>
            <w:r>
              <w:rPr>
                <w:rFonts w:ascii="宋体" w:hAnsi="宋体"/>
                <w:kern w:val="0"/>
              </w:rPr>
              <w:t>除招标文件明确允许提交备选投标方案外，投标人不得提交备选投标方案</w:t>
            </w:r>
          </w:p>
        </w:tc>
      </w:tr>
      <w:tr w14:paraId="73D59B1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restart"/>
            <w:vAlign w:val="center"/>
          </w:tcPr>
          <w:p w14:paraId="5332B58A">
            <w:pPr>
              <w:spacing w:line="400" w:lineRule="exact"/>
              <w:jc w:val="center"/>
              <w:rPr>
                <w:rFonts w:ascii="宋体" w:hAnsi="宋体"/>
                <w:kern w:val="0"/>
              </w:rPr>
            </w:pPr>
            <w:r>
              <w:rPr>
                <w:rFonts w:ascii="宋体" w:hAnsi="宋体"/>
                <w:kern w:val="0"/>
              </w:rPr>
              <w:t>2.1.</w:t>
            </w:r>
            <w:r>
              <w:rPr>
                <w:rFonts w:hint="eastAsia" w:ascii="宋体" w:hAnsi="宋体"/>
                <w:kern w:val="0"/>
              </w:rPr>
              <w:t>3</w:t>
            </w:r>
          </w:p>
        </w:tc>
        <w:tc>
          <w:tcPr>
            <w:tcW w:w="1680" w:type="dxa"/>
            <w:vMerge w:val="restart"/>
            <w:vAlign w:val="center"/>
          </w:tcPr>
          <w:p w14:paraId="2D0DEF2E">
            <w:pPr>
              <w:spacing w:line="400" w:lineRule="exact"/>
              <w:jc w:val="center"/>
              <w:rPr>
                <w:rFonts w:ascii="宋体" w:hAnsi="宋体"/>
                <w:kern w:val="0"/>
              </w:rPr>
            </w:pPr>
            <w:r>
              <w:rPr>
                <w:rFonts w:hint="eastAsia" w:ascii="宋体" w:hAnsi="宋体"/>
                <w:kern w:val="0"/>
              </w:rPr>
              <w:t>响应性</w:t>
            </w:r>
            <w:r>
              <w:rPr>
                <w:rFonts w:ascii="宋体" w:hAnsi="宋体"/>
                <w:kern w:val="0"/>
              </w:rPr>
              <w:t>评审标准</w:t>
            </w:r>
          </w:p>
        </w:tc>
        <w:tc>
          <w:tcPr>
            <w:tcW w:w="2171" w:type="dxa"/>
            <w:vAlign w:val="center"/>
          </w:tcPr>
          <w:p w14:paraId="17528F1B">
            <w:pPr>
              <w:spacing w:line="400" w:lineRule="exact"/>
              <w:jc w:val="left"/>
              <w:rPr>
                <w:rFonts w:ascii="宋体" w:hAnsi="宋体"/>
                <w:kern w:val="0"/>
              </w:rPr>
            </w:pPr>
            <w:r>
              <w:rPr>
                <w:rFonts w:ascii="宋体" w:hAnsi="宋体"/>
                <w:kern w:val="0"/>
              </w:rPr>
              <w:t>投标内容</w:t>
            </w:r>
          </w:p>
        </w:tc>
        <w:tc>
          <w:tcPr>
            <w:tcW w:w="4803" w:type="dxa"/>
            <w:vAlign w:val="center"/>
          </w:tcPr>
          <w:p w14:paraId="462F240D">
            <w:pPr>
              <w:spacing w:line="400" w:lineRule="exact"/>
              <w:ind w:firstLine="420" w:firstLineChars="200"/>
              <w:jc w:val="left"/>
              <w:rPr>
                <w:rFonts w:ascii="宋体" w:hAnsi="宋体"/>
                <w:kern w:val="0"/>
              </w:rPr>
            </w:pPr>
            <w:r>
              <w:rPr>
                <w:rFonts w:ascii="宋体" w:hAnsi="宋体"/>
                <w:kern w:val="0"/>
              </w:rPr>
              <w:t>符合第二章“投标人须知”第1.3.1项规定</w:t>
            </w:r>
            <w:r>
              <w:rPr>
                <w:rFonts w:hint="eastAsia" w:ascii="宋体" w:hAnsi="宋体"/>
                <w:kern w:val="0"/>
              </w:rPr>
              <w:t>。</w:t>
            </w:r>
          </w:p>
        </w:tc>
      </w:tr>
      <w:tr w14:paraId="10E439C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continue"/>
            <w:vAlign w:val="center"/>
          </w:tcPr>
          <w:p w14:paraId="18955DAF">
            <w:pPr>
              <w:spacing w:line="400" w:lineRule="exact"/>
              <w:jc w:val="center"/>
              <w:rPr>
                <w:rFonts w:ascii="宋体" w:hAnsi="宋体"/>
                <w:kern w:val="0"/>
              </w:rPr>
            </w:pPr>
          </w:p>
        </w:tc>
        <w:tc>
          <w:tcPr>
            <w:tcW w:w="1680" w:type="dxa"/>
            <w:vMerge w:val="continue"/>
            <w:vAlign w:val="center"/>
          </w:tcPr>
          <w:p w14:paraId="444D25FF">
            <w:pPr>
              <w:spacing w:line="400" w:lineRule="exact"/>
              <w:jc w:val="center"/>
              <w:rPr>
                <w:rFonts w:hint="eastAsia" w:ascii="宋体" w:hAnsi="宋体"/>
                <w:kern w:val="0"/>
              </w:rPr>
            </w:pPr>
          </w:p>
        </w:tc>
        <w:tc>
          <w:tcPr>
            <w:tcW w:w="2171" w:type="dxa"/>
            <w:vAlign w:val="center"/>
          </w:tcPr>
          <w:p w14:paraId="3444997A">
            <w:pPr>
              <w:spacing w:line="400" w:lineRule="exact"/>
              <w:jc w:val="left"/>
              <w:rPr>
                <w:rFonts w:hint="eastAsia" w:ascii="宋体" w:hAnsi="宋体" w:eastAsia="宋体" w:cs="Times New Roman"/>
                <w:kern w:val="0"/>
                <w:sz w:val="21"/>
                <w:szCs w:val="24"/>
                <w:lang w:val="en-US" w:eastAsia="zh-CN" w:bidi="ar-SA"/>
              </w:rPr>
            </w:pPr>
            <w:r>
              <w:rPr>
                <w:rFonts w:ascii="宋体" w:hAnsi="宋体"/>
                <w:kern w:val="0"/>
              </w:rPr>
              <w:t>投标保证金</w:t>
            </w:r>
          </w:p>
        </w:tc>
        <w:tc>
          <w:tcPr>
            <w:tcW w:w="4803" w:type="dxa"/>
            <w:vAlign w:val="center"/>
          </w:tcPr>
          <w:p w14:paraId="7FA5E308">
            <w:pPr>
              <w:tabs>
                <w:tab w:val="left" w:pos="601"/>
                <w:tab w:val="left" w:pos="669"/>
              </w:tabs>
              <w:snapToGrid w:val="0"/>
              <w:spacing w:line="400" w:lineRule="exact"/>
              <w:ind w:firstLine="420" w:firstLineChars="200"/>
              <w:rPr>
                <w:rFonts w:ascii="宋体" w:hAnsi="宋体" w:eastAsia="宋体" w:cs="Times New Roman"/>
                <w:kern w:val="0"/>
                <w:sz w:val="21"/>
                <w:szCs w:val="24"/>
                <w:lang w:val="en-US" w:eastAsia="zh-CN" w:bidi="ar-SA"/>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0DAE57C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45" w:hRule="atLeast"/>
          <w:jc w:val="center"/>
        </w:trPr>
        <w:tc>
          <w:tcPr>
            <w:tcW w:w="934" w:type="dxa"/>
            <w:vMerge w:val="continue"/>
            <w:vAlign w:val="center"/>
          </w:tcPr>
          <w:p w14:paraId="39F527BC">
            <w:pPr>
              <w:spacing w:line="400" w:lineRule="exact"/>
              <w:jc w:val="center"/>
              <w:rPr>
                <w:rFonts w:ascii="宋体" w:hAnsi="宋体"/>
                <w:kern w:val="0"/>
              </w:rPr>
            </w:pPr>
          </w:p>
        </w:tc>
        <w:tc>
          <w:tcPr>
            <w:tcW w:w="1680" w:type="dxa"/>
            <w:vMerge w:val="continue"/>
            <w:textDirection w:val="tbRlV"/>
            <w:vAlign w:val="center"/>
          </w:tcPr>
          <w:p w14:paraId="35A1CAB8">
            <w:pPr>
              <w:spacing w:line="400" w:lineRule="exact"/>
              <w:jc w:val="center"/>
              <w:rPr>
                <w:rFonts w:ascii="宋体" w:hAnsi="宋体"/>
                <w:kern w:val="0"/>
              </w:rPr>
            </w:pPr>
          </w:p>
        </w:tc>
        <w:tc>
          <w:tcPr>
            <w:tcW w:w="2171" w:type="dxa"/>
            <w:tcBorders>
              <w:top w:val="single" w:color="auto" w:sz="4" w:space="0"/>
            </w:tcBorders>
            <w:vAlign w:val="center"/>
          </w:tcPr>
          <w:p w14:paraId="2FDC8C7C">
            <w:pPr>
              <w:spacing w:line="400" w:lineRule="exact"/>
              <w:jc w:val="left"/>
              <w:rPr>
                <w:rFonts w:ascii="宋体" w:hAnsi="宋体" w:eastAsia="宋体" w:cs="Times New Roman"/>
                <w:kern w:val="0"/>
                <w:sz w:val="21"/>
                <w:szCs w:val="24"/>
                <w:lang w:val="en-US" w:eastAsia="zh-CN" w:bidi="ar-SA"/>
              </w:rPr>
            </w:pPr>
            <w:r>
              <w:rPr>
                <w:rFonts w:ascii="宋体" w:hAnsi="宋体"/>
                <w:kern w:val="0"/>
              </w:rPr>
              <w:t>权利义务</w:t>
            </w:r>
          </w:p>
        </w:tc>
        <w:tc>
          <w:tcPr>
            <w:tcW w:w="4803" w:type="dxa"/>
            <w:vAlign w:val="center"/>
          </w:tcPr>
          <w:p w14:paraId="63F84D64">
            <w:pPr>
              <w:spacing w:after="48" w:afterLines="20" w:line="400" w:lineRule="exact"/>
              <w:ind w:firstLine="420" w:firstLineChars="200"/>
              <w:rPr>
                <w:rFonts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137DA51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738" w:hRule="atLeast"/>
          <w:jc w:val="center"/>
        </w:trPr>
        <w:tc>
          <w:tcPr>
            <w:tcW w:w="934" w:type="dxa"/>
            <w:vMerge w:val="continue"/>
          </w:tcPr>
          <w:p w14:paraId="08F51F9B">
            <w:pPr>
              <w:spacing w:line="400" w:lineRule="exact"/>
              <w:jc w:val="center"/>
              <w:rPr>
                <w:rFonts w:ascii="宋体" w:hAnsi="宋体"/>
              </w:rPr>
            </w:pPr>
          </w:p>
        </w:tc>
        <w:tc>
          <w:tcPr>
            <w:tcW w:w="1680" w:type="dxa"/>
            <w:vMerge w:val="continue"/>
          </w:tcPr>
          <w:p w14:paraId="30CD944F">
            <w:pPr>
              <w:spacing w:line="400" w:lineRule="exact"/>
              <w:jc w:val="center"/>
              <w:rPr>
                <w:rFonts w:ascii="宋体" w:hAnsi="宋体"/>
              </w:rPr>
            </w:pPr>
          </w:p>
        </w:tc>
        <w:tc>
          <w:tcPr>
            <w:tcW w:w="2171" w:type="dxa"/>
            <w:vAlign w:val="center"/>
          </w:tcPr>
          <w:p w14:paraId="3C098256">
            <w:pPr>
              <w:spacing w:line="400" w:lineRule="exact"/>
              <w:jc w:val="left"/>
              <w:rPr>
                <w:rFonts w:ascii="宋体" w:hAnsi="宋体" w:eastAsia="宋体" w:cs="Times New Roman"/>
                <w:kern w:val="0"/>
                <w:sz w:val="21"/>
                <w:szCs w:val="24"/>
                <w:lang w:val="en-US" w:eastAsia="zh-CN" w:bidi="ar-SA"/>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803" w:type="dxa"/>
            <w:vAlign w:val="center"/>
          </w:tcPr>
          <w:p w14:paraId="5F297AAC">
            <w:pPr>
              <w:spacing w:line="400" w:lineRule="exact"/>
              <w:ind w:firstLine="420" w:firstLineChars="200"/>
              <w:jc w:val="left"/>
              <w:rPr>
                <w:rFonts w:ascii="宋体" w:hAnsi="宋体" w:eastAsia="宋体" w:cs="Times New Roman"/>
                <w:kern w:val="0"/>
                <w:sz w:val="21"/>
                <w:szCs w:val="24"/>
                <w:lang w:val="en-US" w:eastAsia="zh-CN" w:bidi="ar-SA"/>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335646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979" w:hRule="atLeast"/>
          <w:jc w:val="center"/>
        </w:trPr>
        <w:tc>
          <w:tcPr>
            <w:tcW w:w="934" w:type="dxa"/>
            <w:vMerge w:val="continue"/>
          </w:tcPr>
          <w:p w14:paraId="218EA89E">
            <w:pPr>
              <w:spacing w:line="400" w:lineRule="exact"/>
              <w:rPr>
                <w:rFonts w:ascii="宋体" w:hAnsi="宋体"/>
              </w:rPr>
            </w:pPr>
          </w:p>
        </w:tc>
        <w:tc>
          <w:tcPr>
            <w:tcW w:w="1680" w:type="dxa"/>
            <w:vMerge w:val="continue"/>
          </w:tcPr>
          <w:p w14:paraId="618D88DC">
            <w:pPr>
              <w:spacing w:line="400" w:lineRule="exact"/>
              <w:rPr>
                <w:rFonts w:ascii="宋体" w:hAnsi="宋体"/>
              </w:rPr>
            </w:pPr>
          </w:p>
        </w:tc>
        <w:tc>
          <w:tcPr>
            <w:tcW w:w="2171" w:type="dxa"/>
            <w:vAlign w:val="center"/>
          </w:tcPr>
          <w:p w14:paraId="74ED0E89">
            <w:pPr>
              <w:spacing w:line="400" w:lineRule="exact"/>
              <w:jc w:val="left"/>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803" w:type="dxa"/>
            <w:vAlign w:val="center"/>
          </w:tcPr>
          <w:p w14:paraId="690C9324">
            <w:pPr>
              <w:spacing w:after="48" w:afterLines="20" w:line="400" w:lineRule="exact"/>
              <w:ind w:firstLine="420" w:firstLineChars="200"/>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1603A588">
            <w:pPr>
              <w:spacing w:after="48" w:afterLines="20" w:line="400" w:lineRule="exact"/>
              <w:ind w:firstLine="420" w:firstLineChars="200"/>
              <w:rPr>
                <w:rFonts w:ascii="宋体" w:hAnsi="宋体"/>
                <w:kern w:val="0"/>
              </w:rPr>
            </w:pPr>
            <w:r>
              <w:rPr>
                <w:rFonts w:hint="eastAsia" w:ascii="宋体" w:hAnsi="宋体"/>
                <w:kern w:val="0"/>
              </w:rPr>
              <w:t>按评标委员会要求澄清、说明或补正。</w:t>
            </w:r>
          </w:p>
        </w:tc>
      </w:tr>
      <w:bookmarkEnd w:id="518"/>
      <w:bookmarkEnd w:id="519"/>
      <w:bookmarkEnd w:id="520"/>
      <w:bookmarkEnd w:id="521"/>
      <w:bookmarkEnd w:id="522"/>
      <w:tr w14:paraId="26C152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98" w:hRule="atLeast"/>
          <w:jc w:val="center"/>
        </w:trPr>
        <w:tc>
          <w:tcPr>
            <w:tcW w:w="934" w:type="dxa"/>
            <w:tcBorders>
              <w:right w:val="single" w:color="auto" w:sz="4" w:space="0"/>
            </w:tcBorders>
            <w:vAlign w:val="center"/>
          </w:tcPr>
          <w:p w14:paraId="72762BDC">
            <w:pPr>
              <w:spacing w:line="400" w:lineRule="exact"/>
              <w:ind w:firstLine="0" w:firstLineChars="0"/>
              <w:jc w:val="center"/>
              <w:rPr>
                <w:rFonts w:ascii="宋体" w:hAnsi="宋体"/>
                <w:kern w:val="0"/>
              </w:rPr>
            </w:pPr>
            <w:r>
              <w:rPr>
                <w:rFonts w:ascii="宋体" w:hAnsi="宋体"/>
                <w:kern w:val="0"/>
              </w:rPr>
              <w:t>2.2.1</w:t>
            </w:r>
          </w:p>
        </w:tc>
        <w:tc>
          <w:tcPr>
            <w:tcW w:w="1680" w:type="dxa"/>
            <w:tcBorders>
              <w:left w:val="single" w:color="auto" w:sz="4" w:space="0"/>
            </w:tcBorders>
            <w:vAlign w:val="center"/>
          </w:tcPr>
          <w:p w14:paraId="1C60A1D1">
            <w:pPr>
              <w:tabs>
                <w:tab w:val="left" w:pos="1875"/>
              </w:tabs>
              <w:spacing w:line="400" w:lineRule="exact"/>
              <w:jc w:val="center"/>
              <w:rPr>
                <w:rFonts w:ascii="宋体" w:hAnsi="宋体"/>
                <w:kern w:val="0"/>
              </w:rPr>
            </w:pPr>
            <w:r>
              <w:rPr>
                <w:rFonts w:ascii="宋体" w:hAnsi="宋体"/>
                <w:kern w:val="0"/>
              </w:rPr>
              <w:t>分值构成</w:t>
            </w:r>
          </w:p>
          <w:p w14:paraId="49F9BE5B">
            <w:pPr>
              <w:spacing w:line="400" w:lineRule="exact"/>
              <w:ind w:firstLine="0" w:firstLineChars="0"/>
              <w:jc w:val="center"/>
              <w:rPr>
                <w:rFonts w:ascii="宋体" w:hAnsi="宋体"/>
                <w:kern w:val="0"/>
              </w:rPr>
            </w:pPr>
            <w:r>
              <w:rPr>
                <w:rFonts w:ascii="宋体" w:hAnsi="宋体"/>
                <w:kern w:val="0"/>
              </w:rPr>
              <w:t xml:space="preserve"> （总分1</w:t>
            </w:r>
            <w:r>
              <w:rPr>
                <w:rFonts w:hint="eastAsia" w:ascii="宋体" w:hAnsi="宋体"/>
                <w:kern w:val="0"/>
              </w:rPr>
              <w:t>00</w:t>
            </w:r>
            <w:r>
              <w:rPr>
                <w:rFonts w:ascii="宋体" w:hAnsi="宋体"/>
                <w:kern w:val="0"/>
              </w:rPr>
              <w:t>分）</w:t>
            </w:r>
          </w:p>
        </w:tc>
        <w:tc>
          <w:tcPr>
            <w:tcW w:w="6974" w:type="dxa"/>
            <w:gridSpan w:val="2"/>
            <w:vAlign w:val="center"/>
          </w:tcPr>
          <w:p w14:paraId="57EBE6F2">
            <w:pPr>
              <w:snapToGrid w:val="0"/>
              <w:spacing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kern w:val="0"/>
              </w:rPr>
              <w:t>技术</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40</w:t>
            </w:r>
            <w:r>
              <w:rPr>
                <w:rFonts w:hint="eastAsia" w:ascii="宋体" w:hAnsi="宋体"/>
                <w:kern w:val="0"/>
                <w:u w:val="single"/>
              </w:rPr>
              <w:t xml:space="preserve">   </w:t>
            </w:r>
            <w:r>
              <w:rPr>
                <w:rFonts w:ascii="宋体" w:hAnsi="宋体"/>
                <w:kern w:val="0"/>
              </w:rPr>
              <w:t>分</w:t>
            </w:r>
          </w:p>
          <w:p w14:paraId="09D67A0F">
            <w:pPr>
              <w:snapToGrid w:val="0"/>
              <w:spacing w:line="400" w:lineRule="exact"/>
              <w:ind w:firstLine="420" w:firstLineChars="200"/>
              <w:rPr>
                <w:rFonts w:ascii="宋体" w:hAnsi="宋体"/>
                <w:kern w:val="0"/>
              </w:rPr>
            </w:pPr>
            <w:r>
              <w:rPr>
                <w:rFonts w:hint="eastAsia" w:ascii="宋体" w:hAnsi="宋体"/>
                <w:kern w:val="0"/>
              </w:rPr>
              <w:t>2</w:t>
            </w:r>
            <w:r>
              <w:rPr>
                <w:rFonts w:ascii="宋体" w:hAnsi="宋体"/>
                <w:kern w:val="0"/>
              </w:rPr>
              <w:t>.</w:t>
            </w:r>
            <w:r>
              <w:rPr>
                <w:rFonts w:hint="eastAsia" w:ascii="宋体" w:hAnsi="宋体"/>
                <w:kern w:val="0"/>
              </w:rPr>
              <w:t>商务</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10</w:t>
            </w:r>
            <w:r>
              <w:rPr>
                <w:rFonts w:hint="eastAsia" w:ascii="宋体" w:hAnsi="宋体"/>
                <w:kern w:val="0"/>
                <w:u w:val="single"/>
              </w:rPr>
              <w:t xml:space="preserve">   </w:t>
            </w:r>
            <w:r>
              <w:rPr>
                <w:rFonts w:ascii="宋体" w:hAnsi="宋体"/>
                <w:kern w:val="0"/>
              </w:rPr>
              <w:t>分</w:t>
            </w:r>
            <w:r>
              <w:rPr>
                <w:rFonts w:hint="eastAsia" w:ascii="宋体" w:hAnsi="宋体"/>
                <w:kern w:val="0"/>
              </w:rPr>
              <w:t>；</w:t>
            </w:r>
          </w:p>
          <w:p w14:paraId="451E1E79">
            <w:pPr>
              <w:snapToGrid w:val="0"/>
              <w:spacing w:line="400" w:lineRule="exact"/>
              <w:ind w:firstLine="420" w:firstLineChars="200"/>
              <w:rPr>
                <w:rFonts w:hint="eastAsia" w:ascii="宋体" w:hAnsi="宋体"/>
                <w:kern w:val="0"/>
              </w:rPr>
            </w:pPr>
            <w:r>
              <w:rPr>
                <w:rFonts w:hint="eastAsia" w:ascii="宋体" w:hAnsi="宋体"/>
                <w:kern w:val="0"/>
              </w:rPr>
              <w:t>3.报价</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50</w:t>
            </w:r>
            <w:r>
              <w:rPr>
                <w:rFonts w:hint="eastAsia" w:ascii="宋体" w:hAnsi="宋体"/>
                <w:kern w:val="0"/>
                <w:u w:val="single"/>
              </w:rPr>
              <w:t xml:space="preserve">   </w:t>
            </w:r>
            <w:r>
              <w:rPr>
                <w:rFonts w:hint="eastAsia" w:ascii="宋体" w:hAnsi="宋体"/>
                <w:kern w:val="0"/>
              </w:rPr>
              <w:t>分。</w:t>
            </w:r>
          </w:p>
        </w:tc>
      </w:tr>
      <w:tr w14:paraId="62C606C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23CEDDE4">
            <w:pPr>
              <w:spacing w:line="400" w:lineRule="exact"/>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（1）</w:t>
            </w:r>
          </w:p>
        </w:tc>
        <w:tc>
          <w:tcPr>
            <w:tcW w:w="1680" w:type="dxa"/>
            <w:vMerge w:val="restart"/>
            <w:tcBorders>
              <w:left w:val="single" w:color="auto" w:sz="4" w:space="0"/>
            </w:tcBorders>
            <w:vAlign w:val="center"/>
          </w:tcPr>
          <w:p w14:paraId="6899D9CD">
            <w:pPr>
              <w:pStyle w:val="2"/>
              <w:spacing w:after="0" w:line="400" w:lineRule="exact"/>
              <w:jc w:val="center"/>
              <w:rPr>
                <w:rFonts w:ascii="宋体" w:hAnsi="宋体"/>
                <w:kern w:val="0"/>
              </w:rPr>
            </w:pP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标准</w:t>
            </w:r>
            <w:r>
              <w:rPr>
                <w:rFonts w:hint="eastAsia" w:ascii="宋体" w:hAnsi="宋体"/>
                <w:kern w:val="0"/>
                <w:lang w:eastAsia="zh-CN"/>
              </w:rPr>
              <w:t>（</w:t>
            </w:r>
            <w:r>
              <w:rPr>
                <w:rFonts w:hint="eastAsia" w:ascii="宋体" w:hAnsi="宋体"/>
                <w:kern w:val="0"/>
                <w:lang w:val="en-US" w:eastAsia="zh-CN"/>
              </w:rPr>
              <w:t>A</w:t>
            </w:r>
            <w:r>
              <w:rPr>
                <w:rFonts w:hint="eastAsia" w:ascii="宋体" w:hAnsi="宋体"/>
                <w:kern w:val="0"/>
                <w:lang w:eastAsia="zh-CN"/>
              </w:rPr>
              <w:t>）</w:t>
            </w:r>
          </w:p>
        </w:tc>
        <w:tc>
          <w:tcPr>
            <w:tcW w:w="2171" w:type="dxa"/>
            <w:tcBorders>
              <w:bottom w:val="single" w:color="auto" w:sz="4" w:space="0"/>
            </w:tcBorders>
            <w:vAlign w:val="center"/>
          </w:tcPr>
          <w:p w14:paraId="3E826B7F">
            <w:pPr>
              <w:tabs>
                <w:tab w:val="left" w:pos="1875"/>
              </w:tabs>
              <w:spacing w:line="400" w:lineRule="exact"/>
              <w:jc w:val="center"/>
              <w:rPr>
                <w:rFonts w:ascii="宋体" w:hAnsi="宋体"/>
                <w:kern w:val="0"/>
              </w:rPr>
            </w:pPr>
            <w:r>
              <w:rPr>
                <w:rFonts w:hint="eastAsia" w:ascii="宋体" w:hAnsi="宋体"/>
                <w:kern w:val="0"/>
              </w:rPr>
              <w:t>总体评审标准</w:t>
            </w:r>
          </w:p>
        </w:tc>
        <w:tc>
          <w:tcPr>
            <w:tcW w:w="4803" w:type="dxa"/>
            <w:vAlign w:val="center"/>
          </w:tcPr>
          <w:p w14:paraId="19988FD8">
            <w:pPr>
              <w:spacing w:line="400" w:lineRule="exact"/>
              <w:ind w:firstLine="420" w:firstLineChars="200"/>
              <w:rPr>
                <w:szCs w:val="22"/>
              </w:rPr>
            </w:pPr>
            <w:r>
              <w:rPr>
                <w:rFonts w:hint="eastAsia" w:ascii="宋体" w:hAnsi="宋体" w:cs="宋体"/>
                <w:kern w:val="0"/>
              </w:rPr>
              <w:t>须符合第二章投标人须知前附表第3.7.5项（3）技术部分的要求，否则其技术部分为0分，不再对技术部分的其他评分标准进行评审。</w:t>
            </w:r>
          </w:p>
          <w:p w14:paraId="0CD32192">
            <w:pPr>
              <w:spacing w:line="400" w:lineRule="exact"/>
              <w:ind w:firstLine="420" w:firstLineChars="200"/>
              <w:rPr>
                <w:rFonts w:ascii="宋体" w:hAnsi="宋体"/>
                <w:snapToGrid w:val="0"/>
                <w:kern w:val="0"/>
                <w:szCs w:val="21"/>
              </w:rPr>
            </w:pPr>
            <w:r>
              <w:rPr>
                <w:rFonts w:hint="eastAsia" w:ascii="宋体" w:hAnsi="宋体" w:cs="宋体"/>
                <w:snapToGrid w:val="0"/>
                <w:kern w:val="0"/>
                <w:szCs w:val="21"/>
              </w:rPr>
              <w:t>评标委员会按照优、良、一般、差四个档次进行评分。技术部分缺项的该项得0分。</w:t>
            </w:r>
            <w:r>
              <w:rPr>
                <w:rFonts w:ascii="宋体" w:hAnsi="宋体"/>
                <w:snapToGrid w:val="0"/>
                <w:kern w:val="0"/>
                <w:szCs w:val="21"/>
              </w:rPr>
              <w:t>评标委员会成员为5人及以上时，所有评委</w:t>
            </w:r>
            <w:r>
              <w:rPr>
                <w:rFonts w:hint="eastAsia" w:ascii="宋体" w:hAnsi="宋体"/>
                <w:snapToGrid w:val="0"/>
                <w:kern w:val="0"/>
                <w:szCs w:val="21"/>
              </w:rPr>
              <w:t>评分</w:t>
            </w:r>
            <w:r>
              <w:rPr>
                <w:rFonts w:ascii="宋体" w:hAnsi="宋体"/>
                <w:snapToGrid w:val="0"/>
                <w:kern w:val="0"/>
                <w:szCs w:val="21"/>
              </w:rPr>
              <w:t>中去掉一个最高和一个最低分，余下评委</w:t>
            </w:r>
            <w:r>
              <w:rPr>
                <w:rFonts w:hint="eastAsia" w:ascii="宋体" w:hAnsi="宋体"/>
                <w:snapToGrid w:val="0"/>
                <w:kern w:val="0"/>
                <w:szCs w:val="21"/>
              </w:rPr>
              <w:t>评分</w:t>
            </w:r>
            <w:r>
              <w:rPr>
                <w:rFonts w:ascii="宋体" w:hAnsi="宋体"/>
                <w:snapToGrid w:val="0"/>
                <w:kern w:val="0"/>
                <w:szCs w:val="21"/>
              </w:rPr>
              <w:t>取算术平均值为该投标人</w:t>
            </w:r>
            <w:r>
              <w:rPr>
                <w:rFonts w:hint="eastAsia" w:ascii="宋体" w:hAnsi="宋体"/>
                <w:snapToGrid w:val="0"/>
                <w:kern w:val="0"/>
                <w:szCs w:val="21"/>
              </w:rPr>
              <w:t>技术部分</w:t>
            </w:r>
            <w:r>
              <w:rPr>
                <w:rFonts w:ascii="宋体" w:hAnsi="宋体"/>
                <w:snapToGrid w:val="0"/>
                <w:kern w:val="0"/>
                <w:szCs w:val="21"/>
              </w:rPr>
              <w:t>得分。</w:t>
            </w:r>
          </w:p>
          <w:p w14:paraId="5E738217">
            <w:pPr>
              <w:snapToGrid w:val="0"/>
              <w:spacing w:line="400" w:lineRule="exact"/>
              <w:ind w:firstLine="420" w:firstLineChars="200"/>
              <w:rPr>
                <w:rFonts w:ascii="宋体" w:hAnsi="宋体"/>
                <w:u w:val="single"/>
              </w:rPr>
            </w:pPr>
            <w:r>
              <w:rPr>
                <w:rFonts w:hint="eastAsia" w:ascii="宋体" w:hAnsi="宋体"/>
                <w:kern w:val="0"/>
                <w:szCs w:val="21"/>
              </w:rPr>
              <w:t>技术部分</w:t>
            </w:r>
            <w:r>
              <w:rPr>
                <w:rFonts w:ascii="宋体" w:hAnsi="宋体"/>
                <w:kern w:val="0"/>
                <w:szCs w:val="21"/>
              </w:rPr>
              <w:t>得分的最终结果</w:t>
            </w:r>
            <w:r>
              <w:rPr>
                <w:rFonts w:hint="eastAsia" w:ascii="宋体" w:hAnsi="宋体"/>
                <w:kern w:val="0"/>
                <w:szCs w:val="21"/>
              </w:rPr>
              <w:t>保留两位小数</w:t>
            </w:r>
            <w:r>
              <w:rPr>
                <w:rFonts w:ascii="宋体" w:hAnsi="宋体"/>
                <w:kern w:val="0"/>
                <w:szCs w:val="21"/>
              </w:rPr>
              <w:t>，</w:t>
            </w:r>
            <w:r>
              <w:rPr>
                <w:rFonts w:hint="eastAsia" w:ascii="宋体" w:hAnsi="宋体"/>
                <w:kern w:val="0"/>
                <w:szCs w:val="21"/>
              </w:rPr>
              <w:t>小数点后</w:t>
            </w:r>
            <w:r>
              <w:rPr>
                <w:rFonts w:ascii="宋体" w:hAnsi="宋体"/>
                <w:kern w:val="0"/>
                <w:szCs w:val="21"/>
              </w:rPr>
              <w:t>第三位四舍五入。</w:t>
            </w:r>
          </w:p>
        </w:tc>
      </w:tr>
      <w:tr w14:paraId="578F958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1C998A0B">
            <w:pPr>
              <w:spacing w:line="400" w:lineRule="exact"/>
              <w:jc w:val="center"/>
              <w:rPr>
                <w:rFonts w:ascii="宋体" w:hAnsi="宋体"/>
                <w:kern w:val="0"/>
              </w:rPr>
            </w:pPr>
          </w:p>
        </w:tc>
        <w:tc>
          <w:tcPr>
            <w:tcW w:w="1680" w:type="dxa"/>
            <w:vMerge w:val="continue"/>
            <w:tcBorders>
              <w:left w:val="single" w:color="auto" w:sz="4" w:space="0"/>
            </w:tcBorders>
            <w:vAlign w:val="center"/>
          </w:tcPr>
          <w:p w14:paraId="0EE59060">
            <w:pPr>
              <w:pStyle w:val="2"/>
              <w:jc w:val="center"/>
              <w:rPr>
                <w:rFonts w:ascii="宋体" w:hAnsi="宋体"/>
                <w:kern w:val="0"/>
              </w:rPr>
            </w:pPr>
          </w:p>
        </w:tc>
        <w:tc>
          <w:tcPr>
            <w:tcW w:w="2171" w:type="dxa"/>
            <w:tcBorders>
              <w:bottom w:val="single" w:color="auto" w:sz="4" w:space="0"/>
            </w:tcBorders>
            <w:vAlign w:val="center"/>
          </w:tcPr>
          <w:p w14:paraId="5386F8D7">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ascii="宋体" w:hAnsi="宋体"/>
                <w:kern w:val="0"/>
              </w:rPr>
            </w:pP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交货进度计划及保证措施</w:t>
            </w:r>
          </w:p>
        </w:tc>
        <w:tc>
          <w:tcPr>
            <w:tcW w:w="4803" w:type="dxa"/>
            <w:vAlign w:val="center"/>
          </w:tcPr>
          <w:p w14:paraId="6AB008D6">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2分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 交货进度计划需编制网络图、横道图等图示，各关键节点设置清晰、科学合理，各节点在时间、人员、材料、设备等安排上阐述清晰、切实可行，具有可操作性；进度计划工期管理有提前预想方案以及补救措施等保证措施，保证措施方案可行，能保证投标人在招标人规定的总工期内完成合同约定工作内容。</w:t>
            </w:r>
          </w:p>
          <w:p w14:paraId="4A47EE49">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1.8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1.6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1.8（不含）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1.2</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1.6（不含）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1.2（不含）</w:t>
            </w:r>
            <w:r>
              <w:rPr>
                <w:rFonts w:hint="eastAsia" w:ascii="宋体" w:hAnsi="宋体"/>
                <w:color w:val="000000" w:themeColor="text1"/>
                <w:u w:val="single"/>
                <w14:textFill>
                  <w14:solidFill>
                    <w14:schemeClr w14:val="tx1"/>
                  </w14:solidFill>
                </w14:textFill>
              </w:rPr>
              <w:t>分。</w:t>
            </w:r>
          </w:p>
        </w:tc>
      </w:tr>
      <w:tr w14:paraId="7811CF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64598413">
            <w:pPr>
              <w:spacing w:line="400" w:lineRule="exact"/>
              <w:jc w:val="center"/>
              <w:rPr>
                <w:rFonts w:ascii="宋体" w:hAnsi="宋体"/>
                <w:kern w:val="0"/>
              </w:rPr>
            </w:pPr>
          </w:p>
        </w:tc>
        <w:tc>
          <w:tcPr>
            <w:tcW w:w="1680" w:type="dxa"/>
            <w:vMerge w:val="continue"/>
            <w:tcBorders>
              <w:left w:val="single" w:color="auto" w:sz="4" w:space="0"/>
            </w:tcBorders>
            <w:vAlign w:val="center"/>
          </w:tcPr>
          <w:p w14:paraId="1124BD45">
            <w:pPr>
              <w:pStyle w:val="2"/>
              <w:jc w:val="center"/>
              <w:rPr>
                <w:rFonts w:ascii="宋体" w:hAnsi="宋体"/>
                <w:kern w:val="0"/>
              </w:rPr>
            </w:pPr>
          </w:p>
        </w:tc>
        <w:tc>
          <w:tcPr>
            <w:tcW w:w="2171" w:type="dxa"/>
            <w:tcBorders>
              <w:bottom w:val="single" w:color="auto" w:sz="4" w:space="0"/>
            </w:tcBorders>
            <w:vAlign w:val="center"/>
          </w:tcPr>
          <w:p w14:paraId="3A6E9F7C">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7DC28D06">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eastAsia" w:ascii="宋体" w:hAnsi="宋体"/>
                <w:color w:val="auto"/>
                <w:kern w:val="0"/>
                <w:shd w:val="clear"/>
                <w:lang w:val="en-US" w:eastAsia="zh-CN"/>
              </w:rPr>
              <w:t>半固态复合调味料</w:t>
            </w:r>
            <w:r>
              <w:rPr>
                <w:rFonts w:hint="eastAsia" w:ascii="宋体" w:hAnsi="宋体" w:eastAsia="宋体" w:cs="宋体"/>
                <w:color w:val="000000" w:themeColor="text1"/>
                <w:kern w:val="0"/>
                <w:sz w:val="21"/>
                <w:szCs w:val="21"/>
                <w:lang w:val="en-US" w:eastAsia="zh-CN"/>
                <w14:textFill>
                  <w14:solidFill>
                    <w14:schemeClr w14:val="tx1"/>
                  </w14:solidFill>
                </w14:textFill>
              </w:rPr>
              <w:t>）</w:t>
            </w:r>
          </w:p>
        </w:tc>
        <w:tc>
          <w:tcPr>
            <w:tcW w:w="4803" w:type="dxa"/>
            <w:vAlign w:val="center"/>
          </w:tcPr>
          <w:p w14:paraId="3BF89FAF">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 w:val="21"/>
                <w:szCs w:val="21"/>
                <w:highlight w:val="none"/>
                <w:u w:val="single"/>
                <w:lang w:val="en-US" w:eastAsia="zh-CN"/>
              </w:rPr>
              <w:t xml:space="preserve"> </w:t>
            </w:r>
            <w:r>
              <w:rPr>
                <w:rFonts w:hint="eastAsia" w:ascii="宋体" w:hAnsi="宋体" w:cs="宋体"/>
                <w:color w:val="auto"/>
                <w:sz w:val="21"/>
                <w:szCs w:val="21"/>
                <w:highlight w:val="none"/>
                <w:u w:val="single"/>
                <w:lang w:val="en-US" w:eastAsia="zh-CN"/>
              </w:rPr>
              <w:t>6</w:t>
            </w:r>
            <w:r>
              <w:rPr>
                <w:rFonts w:hint="eastAsia" w:ascii="宋体" w:hAnsi="宋体" w:eastAsia="宋体" w:cs="宋体"/>
                <w:color w:val="auto"/>
                <w:sz w:val="21"/>
                <w:szCs w:val="21"/>
                <w:highlight w:val="none"/>
                <w:u w:val="single"/>
                <w:lang w:val="en-US" w:eastAsia="zh-CN"/>
              </w:rPr>
              <w:t>分</w:t>
            </w: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b w:val="0"/>
                <w:bCs w:val="0"/>
                <w:color w:val="auto"/>
                <w:sz w:val="21"/>
                <w:szCs w:val="21"/>
                <w:highlight w:val="none"/>
                <w:lang w:val="en-US" w:eastAsia="zh-CN"/>
              </w:rPr>
              <w:t>评审要点：投标人对各种</w:t>
            </w:r>
            <w:r>
              <w:rPr>
                <w:rFonts w:hint="eastAsia" w:ascii="宋体" w:hAnsi="宋体" w:eastAsia="宋体" w:cs="宋体"/>
                <w:i w:val="0"/>
                <w:iCs w:val="0"/>
                <w:color w:val="auto"/>
                <w:kern w:val="0"/>
                <w:sz w:val="21"/>
                <w:szCs w:val="21"/>
                <w:highlight w:val="none"/>
                <w:u w:val="single"/>
                <w:lang w:val="en-US" w:eastAsia="zh-CN" w:bidi="ar"/>
              </w:rPr>
              <w:t>泵和仪表的选型方案</w:t>
            </w:r>
            <w:r>
              <w:rPr>
                <w:rFonts w:hint="eastAsia" w:ascii="宋体" w:hAnsi="宋体" w:eastAsia="宋体" w:cs="宋体"/>
                <w:b w:val="0"/>
                <w:bCs w:val="0"/>
                <w:color w:val="auto"/>
                <w:sz w:val="21"/>
                <w:szCs w:val="21"/>
                <w:highlight w:val="none"/>
                <w:lang w:val="en-US" w:eastAsia="zh-CN"/>
              </w:rPr>
              <w:t>、植物油</w:t>
            </w:r>
            <w:r>
              <w:rPr>
                <w:rFonts w:hint="eastAsia" w:ascii="宋体" w:hAnsi="宋体" w:eastAsia="宋体" w:cs="宋体"/>
                <w:i w:val="0"/>
                <w:iCs w:val="0"/>
                <w:color w:val="auto"/>
                <w:kern w:val="0"/>
                <w:sz w:val="21"/>
                <w:szCs w:val="21"/>
                <w:highlight w:val="none"/>
                <w:u w:val="single"/>
                <w:lang w:val="en-US" w:eastAsia="zh-CN" w:bidi="ar"/>
              </w:rPr>
              <w:t>断生罐的加热方式与控制</w:t>
            </w:r>
            <w:r>
              <w:rPr>
                <w:rFonts w:hint="eastAsia" w:ascii="宋体" w:hAnsi="宋体" w:eastAsia="宋体" w:cs="宋体"/>
                <w:b w:val="0"/>
                <w:bCs w:val="0"/>
                <w:color w:val="auto"/>
                <w:sz w:val="21"/>
                <w:szCs w:val="21"/>
                <w:highlight w:val="none"/>
                <w:lang w:val="en-US" w:eastAsia="zh-CN"/>
              </w:rPr>
              <w:t>、自动</w:t>
            </w:r>
            <w:r>
              <w:rPr>
                <w:rFonts w:hint="eastAsia" w:ascii="宋体" w:hAnsi="宋体" w:eastAsia="宋体" w:cs="宋体"/>
                <w:i w:val="0"/>
                <w:iCs w:val="0"/>
                <w:color w:val="auto"/>
                <w:kern w:val="0"/>
                <w:sz w:val="21"/>
                <w:szCs w:val="21"/>
                <w:highlight w:val="none"/>
                <w:u w:val="single"/>
                <w:lang w:val="en-US" w:eastAsia="zh-CN" w:bidi="ar"/>
              </w:rPr>
              <w:t>离心机选型</w:t>
            </w:r>
            <w:r>
              <w:rPr>
                <w:rFonts w:hint="eastAsia" w:ascii="宋体" w:hAnsi="宋体" w:eastAsia="宋体" w:cs="宋体"/>
                <w:b w:val="0"/>
                <w:bCs w:val="0"/>
                <w:color w:val="auto"/>
                <w:sz w:val="21"/>
                <w:szCs w:val="21"/>
                <w:highlight w:val="none"/>
                <w:lang w:val="en-US" w:eastAsia="zh-CN"/>
              </w:rPr>
              <w:t>方案进行阐述说明。评标委员会从整体方案的先进性、可行性和运行的可靠性等方面进行综合评定。</w:t>
            </w:r>
          </w:p>
          <w:p w14:paraId="7CCCF820">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5.4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5.4（不含）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3.6（不含）</w:t>
            </w:r>
            <w:r>
              <w:rPr>
                <w:rFonts w:hint="eastAsia" w:ascii="宋体" w:hAnsi="宋体"/>
                <w:color w:val="000000" w:themeColor="text1"/>
                <w:u w:val="single"/>
                <w14:textFill>
                  <w14:solidFill>
                    <w14:schemeClr w14:val="tx1"/>
                  </w14:solidFill>
                </w14:textFill>
              </w:rPr>
              <w:t>分。</w:t>
            </w:r>
          </w:p>
        </w:tc>
      </w:tr>
      <w:tr w14:paraId="4FEABDE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7FAC75A0">
            <w:pPr>
              <w:spacing w:line="400" w:lineRule="exact"/>
              <w:jc w:val="center"/>
              <w:rPr>
                <w:rFonts w:ascii="宋体" w:hAnsi="宋体"/>
                <w:kern w:val="0"/>
              </w:rPr>
            </w:pPr>
          </w:p>
        </w:tc>
        <w:tc>
          <w:tcPr>
            <w:tcW w:w="1680" w:type="dxa"/>
            <w:vMerge w:val="continue"/>
            <w:tcBorders>
              <w:left w:val="single" w:color="auto" w:sz="4" w:space="0"/>
            </w:tcBorders>
            <w:vAlign w:val="center"/>
          </w:tcPr>
          <w:p w14:paraId="2AC4F46C">
            <w:pPr>
              <w:pStyle w:val="2"/>
              <w:jc w:val="center"/>
              <w:rPr>
                <w:rFonts w:ascii="宋体" w:hAnsi="宋体"/>
                <w:kern w:val="0"/>
              </w:rPr>
            </w:pPr>
          </w:p>
        </w:tc>
        <w:tc>
          <w:tcPr>
            <w:tcW w:w="2171" w:type="dxa"/>
            <w:tcBorders>
              <w:bottom w:val="single" w:color="auto" w:sz="4" w:space="0"/>
            </w:tcBorders>
            <w:vAlign w:val="center"/>
          </w:tcPr>
          <w:p w14:paraId="5F7B9CDA">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3E4FE283">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eastAsia" w:ascii="宋体" w:hAnsi="宋体"/>
                <w:color w:val="auto"/>
                <w:kern w:val="0"/>
                <w:shd w:val="clear"/>
                <w:lang w:val="en-US" w:eastAsia="zh-CN"/>
              </w:rPr>
              <w:t>半固态复合调味料</w:t>
            </w:r>
            <w:r>
              <w:rPr>
                <w:rFonts w:hint="eastAsia" w:ascii="宋体" w:hAnsi="宋体" w:eastAsia="宋体" w:cs="宋体"/>
                <w:color w:val="000000" w:themeColor="text1"/>
                <w:kern w:val="0"/>
                <w:sz w:val="21"/>
                <w:szCs w:val="21"/>
                <w:lang w:val="en-US" w:eastAsia="zh-CN"/>
                <w14:textFill>
                  <w14:solidFill>
                    <w14:schemeClr w14:val="tx1"/>
                  </w14:solidFill>
                </w14:textFill>
              </w:rPr>
              <w:t>）</w:t>
            </w:r>
          </w:p>
        </w:tc>
        <w:tc>
          <w:tcPr>
            <w:tcW w:w="4803" w:type="dxa"/>
            <w:vAlign w:val="center"/>
          </w:tcPr>
          <w:p w14:paraId="368BA4F9">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 w:val="21"/>
                <w:szCs w:val="21"/>
                <w:highlight w:val="none"/>
                <w:u w:val="single"/>
                <w:lang w:val="en-US" w:eastAsia="zh-CN"/>
              </w:rPr>
              <w:t xml:space="preserve"> </w:t>
            </w:r>
            <w:r>
              <w:rPr>
                <w:rFonts w:hint="eastAsia" w:ascii="宋体" w:hAnsi="宋体" w:cs="宋体"/>
                <w:color w:val="auto"/>
                <w:sz w:val="21"/>
                <w:szCs w:val="21"/>
                <w:highlight w:val="none"/>
                <w:u w:val="single"/>
                <w:lang w:val="en-US" w:eastAsia="zh-CN"/>
              </w:rPr>
              <w:t>6</w:t>
            </w:r>
            <w:r>
              <w:rPr>
                <w:rFonts w:hint="eastAsia" w:ascii="宋体" w:hAnsi="宋体" w:eastAsia="宋体" w:cs="宋体"/>
                <w:color w:val="auto"/>
                <w:sz w:val="21"/>
                <w:szCs w:val="21"/>
                <w:highlight w:val="none"/>
                <w:u w:val="single"/>
                <w:lang w:val="en-US" w:eastAsia="zh-CN"/>
              </w:rPr>
              <w:t>分</w:t>
            </w: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b w:val="0"/>
                <w:bCs w:val="0"/>
                <w:color w:val="auto"/>
                <w:sz w:val="21"/>
                <w:szCs w:val="21"/>
                <w:highlight w:val="none"/>
                <w:lang w:val="en-US" w:eastAsia="zh-CN"/>
              </w:rPr>
              <w:t>评审要点：投标人对</w:t>
            </w:r>
            <w:r>
              <w:rPr>
                <w:rFonts w:hint="eastAsia" w:ascii="宋体" w:hAnsi="宋体" w:eastAsia="宋体" w:cs="宋体"/>
                <w:i w:val="0"/>
                <w:iCs w:val="0"/>
                <w:color w:val="auto"/>
                <w:kern w:val="0"/>
                <w:sz w:val="21"/>
                <w:szCs w:val="21"/>
                <w:highlight w:val="none"/>
                <w:u w:val="single"/>
                <w:lang w:val="en-US" w:eastAsia="zh-CN" w:bidi="ar"/>
              </w:rPr>
              <w:t>物料配比、自动投料及防呆防错设计方案</w:t>
            </w:r>
            <w:r>
              <w:rPr>
                <w:rFonts w:hint="eastAsia" w:ascii="宋体" w:hAnsi="宋体" w:eastAsia="宋体" w:cs="宋体"/>
                <w:b w:val="0"/>
                <w:bCs w:val="0"/>
                <w:color w:val="auto"/>
                <w:sz w:val="21"/>
                <w:szCs w:val="21"/>
                <w:highlight w:val="none"/>
                <w:lang w:val="en-US" w:eastAsia="zh-CN"/>
              </w:rPr>
              <w:t>（含香辛料、香料渣、混合辅料等投料）进行阐述说明。评标委员会从整体方案的先进性、可行性和运行的可靠性等方面进行综合评定。</w:t>
            </w:r>
          </w:p>
          <w:p w14:paraId="20CEA262">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5.4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5.4（不含）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3.6（不含）</w:t>
            </w:r>
            <w:r>
              <w:rPr>
                <w:rFonts w:hint="eastAsia" w:ascii="宋体" w:hAnsi="宋体"/>
                <w:color w:val="000000" w:themeColor="text1"/>
                <w:u w:val="single"/>
                <w14:textFill>
                  <w14:solidFill>
                    <w14:schemeClr w14:val="tx1"/>
                  </w14:solidFill>
                </w14:textFill>
              </w:rPr>
              <w:t>分。</w:t>
            </w:r>
          </w:p>
        </w:tc>
      </w:tr>
      <w:tr w14:paraId="4ED1F6C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92E36BE">
            <w:pPr>
              <w:spacing w:line="400" w:lineRule="exact"/>
              <w:jc w:val="center"/>
              <w:rPr>
                <w:rFonts w:ascii="宋体" w:hAnsi="宋体"/>
                <w:kern w:val="0"/>
              </w:rPr>
            </w:pPr>
          </w:p>
        </w:tc>
        <w:tc>
          <w:tcPr>
            <w:tcW w:w="1680" w:type="dxa"/>
            <w:vMerge w:val="continue"/>
            <w:tcBorders>
              <w:left w:val="single" w:color="auto" w:sz="4" w:space="0"/>
            </w:tcBorders>
            <w:vAlign w:val="center"/>
          </w:tcPr>
          <w:p w14:paraId="2384F7CF">
            <w:pPr>
              <w:pStyle w:val="2"/>
              <w:jc w:val="center"/>
              <w:rPr>
                <w:rFonts w:ascii="宋体" w:hAnsi="宋体"/>
                <w:kern w:val="0"/>
              </w:rPr>
            </w:pPr>
          </w:p>
        </w:tc>
        <w:tc>
          <w:tcPr>
            <w:tcW w:w="2171" w:type="dxa"/>
            <w:tcBorders>
              <w:bottom w:val="single" w:color="auto" w:sz="4" w:space="0"/>
            </w:tcBorders>
            <w:vAlign w:val="center"/>
          </w:tcPr>
          <w:p w14:paraId="634B8048">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highlight w:val="none"/>
                <w:lang w:val="en-US" w:eastAsia="zh-CN"/>
                <w14:textFill>
                  <w14:solidFill>
                    <w14:schemeClr w14:val="tx1"/>
                  </w14:solidFill>
                </w14:textFill>
              </w:rPr>
            </w:pP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质量保证措施</w:t>
            </w:r>
          </w:p>
          <w:p w14:paraId="0F8D866F">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default"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w:t>
            </w:r>
            <w:r>
              <w:rPr>
                <w:rFonts w:hint="eastAsia" w:ascii="宋体" w:hAnsi="宋体"/>
                <w:color w:val="auto"/>
                <w:kern w:val="0"/>
                <w:highlight w:val="none"/>
                <w:shd w:val="clear"/>
                <w:lang w:val="en-US" w:eastAsia="zh-CN"/>
              </w:rPr>
              <w:t>半固态复合调味料</w:t>
            </w: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w:t>
            </w:r>
          </w:p>
        </w:tc>
        <w:tc>
          <w:tcPr>
            <w:tcW w:w="4803" w:type="dxa"/>
            <w:vAlign w:val="center"/>
          </w:tcPr>
          <w:p w14:paraId="595DAA29">
            <w:pPr>
              <w:keepNext w:val="0"/>
              <w:keepLines w:val="0"/>
              <w:pageBreakBefore w:val="0"/>
              <w:tabs>
                <w:tab w:val="left" w:pos="1875"/>
              </w:tabs>
              <w:kinsoku/>
              <w:wordWrap/>
              <w:overflowPunct/>
              <w:topLinePunct w:val="0"/>
              <w:autoSpaceDE/>
              <w:autoSpaceDN/>
              <w:bidi w:val="0"/>
              <w:adjustRightInd/>
              <w:spacing w:line="400" w:lineRule="exact"/>
              <w:ind w:right="0" w:rightChars="0" w:firstLine="420" w:firstLineChars="200"/>
              <w:jc w:val="left"/>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 w:val="21"/>
                <w:szCs w:val="21"/>
                <w:highlight w:val="none"/>
                <w:u w:val="single"/>
                <w:lang w:val="en-US" w:eastAsia="zh-CN"/>
              </w:rPr>
              <w:t xml:space="preserve"> </w:t>
            </w:r>
            <w:r>
              <w:rPr>
                <w:rFonts w:hint="eastAsia" w:ascii="宋体" w:hAnsi="宋体" w:cs="宋体"/>
                <w:color w:val="auto"/>
                <w:sz w:val="21"/>
                <w:szCs w:val="21"/>
                <w:highlight w:val="none"/>
                <w:u w:val="single"/>
                <w:lang w:val="en-US" w:eastAsia="zh-CN"/>
              </w:rPr>
              <w:t>6</w:t>
            </w:r>
            <w:r>
              <w:rPr>
                <w:rFonts w:hint="eastAsia" w:ascii="宋体" w:hAnsi="宋体" w:eastAsia="宋体" w:cs="宋体"/>
                <w:color w:val="auto"/>
                <w:sz w:val="21"/>
                <w:szCs w:val="21"/>
                <w:highlight w:val="none"/>
                <w:u w:val="single"/>
                <w:lang w:val="en-US" w:eastAsia="zh-CN"/>
              </w:rPr>
              <w:t>分</w:t>
            </w: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b w:val="0"/>
                <w:bCs w:val="0"/>
                <w:color w:val="auto"/>
                <w:sz w:val="21"/>
                <w:szCs w:val="21"/>
                <w:highlight w:val="none"/>
                <w:lang w:val="en-US" w:eastAsia="zh-CN"/>
              </w:rPr>
              <w:t>评审要点：投标人对</w:t>
            </w:r>
            <w:r>
              <w:rPr>
                <w:rFonts w:hint="eastAsia" w:ascii="宋体" w:hAnsi="宋体" w:eastAsia="宋体" w:cs="宋体"/>
                <w:i w:val="0"/>
                <w:iCs w:val="0"/>
                <w:color w:val="auto"/>
                <w:kern w:val="0"/>
                <w:sz w:val="21"/>
                <w:szCs w:val="21"/>
                <w:highlight w:val="none"/>
                <w:u w:val="single"/>
                <w:lang w:val="en-US" w:eastAsia="zh-CN" w:bidi="ar"/>
              </w:rPr>
              <w:t>洗桶和洗框方案</w:t>
            </w:r>
            <w:r>
              <w:rPr>
                <w:rFonts w:hint="eastAsia" w:ascii="宋体" w:hAnsi="宋体" w:eastAsia="宋体" w:cs="宋体"/>
                <w:b w:val="0"/>
                <w:bCs w:val="0"/>
                <w:color w:val="auto"/>
                <w:sz w:val="21"/>
                <w:szCs w:val="21"/>
                <w:highlight w:val="none"/>
                <w:lang w:val="en-US" w:eastAsia="zh-CN"/>
              </w:rPr>
              <w:t>、</w:t>
            </w:r>
            <w:r>
              <w:rPr>
                <w:rFonts w:hint="eastAsia" w:ascii="宋体" w:hAnsi="宋体" w:eastAsia="宋体" w:cs="宋体"/>
                <w:i w:val="0"/>
                <w:iCs w:val="0"/>
                <w:color w:val="auto"/>
                <w:kern w:val="0"/>
                <w:sz w:val="21"/>
                <w:szCs w:val="21"/>
                <w:highlight w:val="none"/>
                <w:u w:val="single"/>
                <w:lang w:val="en-US" w:eastAsia="zh-CN" w:bidi="ar"/>
              </w:rPr>
              <w:t>无菌灌装方案</w:t>
            </w:r>
            <w:r>
              <w:rPr>
                <w:rFonts w:hint="eastAsia" w:ascii="宋体" w:hAnsi="宋体" w:eastAsia="宋体" w:cs="宋体"/>
                <w:b w:val="0"/>
                <w:bCs w:val="0"/>
                <w:color w:val="auto"/>
                <w:sz w:val="21"/>
                <w:szCs w:val="21"/>
                <w:highlight w:val="none"/>
                <w:lang w:val="en-US" w:eastAsia="zh-CN"/>
              </w:rPr>
              <w:t>、</w:t>
            </w:r>
            <w:r>
              <w:rPr>
                <w:rFonts w:hint="eastAsia" w:ascii="宋体" w:hAnsi="宋体" w:eastAsia="宋体" w:cs="宋体"/>
                <w:i w:val="0"/>
                <w:iCs w:val="0"/>
                <w:color w:val="auto"/>
                <w:kern w:val="0"/>
                <w:sz w:val="21"/>
                <w:szCs w:val="21"/>
                <w:highlight w:val="none"/>
                <w:u w:val="single"/>
                <w:lang w:val="en-US" w:eastAsia="zh-CN" w:bidi="ar"/>
              </w:rPr>
              <w:t>灌装热合方案、成品装框码垛方案</w:t>
            </w:r>
            <w:r>
              <w:rPr>
                <w:rFonts w:hint="eastAsia" w:ascii="宋体" w:hAnsi="宋体" w:eastAsia="宋体" w:cs="宋体"/>
                <w:b w:val="0"/>
                <w:bCs w:val="0"/>
                <w:color w:val="auto"/>
                <w:sz w:val="21"/>
                <w:szCs w:val="21"/>
                <w:highlight w:val="none"/>
                <w:lang w:val="en-US" w:eastAsia="zh-CN"/>
              </w:rPr>
              <w:t>进行阐述说明。评标委员会从整体方案的先进性、可行性和运行的可靠性等方面进行综合评定。</w:t>
            </w:r>
          </w:p>
          <w:p w14:paraId="5B36CF32">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5.4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5.4（不含）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3.6（不含）</w:t>
            </w:r>
            <w:r>
              <w:rPr>
                <w:rFonts w:hint="eastAsia" w:ascii="宋体" w:hAnsi="宋体"/>
                <w:color w:val="000000" w:themeColor="text1"/>
                <w:u w:val="single"/>
                <w14:textFill>
                  <w14:solidFill>
                    <w14:schemeClr w14:val="tx1"/>
                  </w14:solidFill>
                </w14:textFill>
              </w:rPr>
              <w:t>分。</w:t>
            </w:r>
          </w:p>
        </w:tc>
      </w:tr>
      <w:tr w14:paraId="59AF37C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08C10CF0">
            <w:pPr>
              <w:spacing w:line="400" w:lineRule="exact"/>
              <w:jc w:val="center"/>
              <w:rPr>
                <w:rFonts w:ascii="宋体" w:hAnsi="宋体"/>
                <w:kern w:val="0"/>
              </w:rPr>
            </w:pPr>
          </w:p>
        </w:tc>
        <w:tc>
          <w:tcPr>
            <w:tcW w:w="1680" w:type="dxa"/>
            <w:vMerge w:val="continue"/>
            <w:tcBorders>
              <w:left w:val="single" w:color="auto" w:sz="4" w:space="0"/>
            </w:tcBorders>
            <w:vAlign w:val="center"/>
          </w:tcPr>
          <w:p w14:paraId="2D6EEAC6">
            <w:pPr>
              <w:pStyle w:val="2"/>
              <w:jc w:val="center"/>
              <w:rPr>
                <w:rFonts w:ascii="宋体" w:hAnsi="宋体"/>
                <w:kern w:val="0"/>
              </w:rPr>
            </w:pPr>
          </w:p>
        </w:tc>
        <w:tc>
          <w:tcPr>
            <w:tcW w:w="2171" w:type="dxa"/>
            <w:tcBorders>
              <w:bottom w:val="single" w:color="auto" w:sz="4" w:space="0"/>
            </w:tcBorders>
            <w:vAlign w:val="center"/>
          </w:tcPr>
          <w:p w14:paraId="6214F754">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466F515A">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eastAsia" w:ascii="宋体" w:hAnsi="宋体"/>
                <w:color w:val="auto"/>
                <w:kern w:val="0"/>
                <w:lang w:val="en-US" w:eastAsia="zh-CN"/>
              </w:rPr>
              <w:t>油炒辣椒</w:t>
            </w:r>
            <w:r>
              <w:rPr>
                <w:rFonts w:hint="eastAsia" w:ascii="宋体" w:hAnsi="宋体" w:eastAsia="宋体" w:cs="宋体"/>
                <w:color w:val="000000" w:themeColor="text1"/>
                <w:kern w:val="0"/>
                <w:sz w:val="21"/>
                <w:szCs w:val="21"/>
                <w:lang w:val="en-US" w:eastAsia="zh-CN"/>
                <w14:textFill>
                  <w14:solidFill>
                    <w14:schemeClr w14:val="tx1"/>
                  </w14:solidFill>
                </w14:textFill>
              </w:rPr>
              <w:t>）</w:t>
            </w:r>
          </w:p>
        </w:tc>
        <w:tc>
          <w:tcPr>
            <w:tcW w:w="4803" w:type="dxa"/>
            <w:vAlign w:val="center"/>
          </w:tcPr>
          <w:p w14:paraId="3C00810F">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lang w:val="en-US" w:eastAsia="zh-CN"/>
              </w:rPr>
              <w:t xml:space="preserve"> 6分</w:t>
            </w:r>
            <w:r>
              <w:rPr>
                <w:rFonts w:hint="eastAsia" w:ascii="宋体" w:hAnsi="宋体" w:eastAsia="宋体" w:cs="宋体"/>
                <w:color w:val="auto"/>
                <w:sz w:val="21"/>
                <w:szCs w:val="21"/>
                <w:u w:val="none"/>
                <w:lang w:val="en-US" w:eastAsia="zh-CN"/>
              </w:rPr>
              <w:t xml:space="preserve">   </w:t>
            </w:r>
            <w:r>
              <w:rPr>
                <w:rFonts w:hint="eastAsia" w:ascii="宋体" w:hAnsi="宋体" w:eastAsia="宋体" w:cs="宋体"/>
                <w:b w:val="0"/>
                <w:bCs w:val="0"/>
                <w:color w:val="auto"/>
                <w:sz w:val="21"/>
                <w:szCs w:val="21"/>
                <w:lang w:val="en-US" w:eastAsia="zh-CN"/>
              </w:rPr>
              <w:t>评审要点：投标人对</w:t>
            </w:r>
            <w:r>
              <w:rPr>
                <w:rFonts w:hint="eastAsia"/>
                <w:color w:val="auto"/>
                <w:sz w:val="21"/>
                <w:szCs w:val="21"/>
                <w:u w:val="none"/>
                <w:lang w:val="en-US" w:eastAsia="zh-CN"/>
              </w:rPr>
              <w:t>油炒辣椒</w:t>
            </w:r>
            <w:r>
              <w:rPr>
                <w:rFonts w:hint="eastAsia" w:ascii="宋体" w:hAnsi="宋体" w:eastAsia="宋体" w:cs="宋体"/>
                <w:i w:val="0"/>
                <w:iCs w:val="0"/>
                <w:color w:val="auto"/>
                <w:kern w:val="0"/>
                <w:sz w:val="21"/>
                <w:szCs w:val="21"/>
                <w:highlight w:val="none"/>
                <w:u w:val="single"/>
                <w:lang w:val="en-US" w:eastAsia="zh-CN" w:bidi="ar"/>
              </w:rPr>
              <w:t>炒锅上料和倒料方式</w:t>
            </w:r>
            <w:r>
              <w:rPr>
                <w:rFonts w:hint="eastAsia"/>
                <w:color w:val="auto"/>
                <w:sz w:val="21"/>
                <w:szCs w:val="21"/>
                <w:u w:val="none"/>
                <w:lang w:val="en-US" w:eastAsia="zh-CN"/>
              </w:rPr>
              <w:t>、</w:t>
            </w:r>
            <w:r>
              <w:rPr>
                <w:rFonts w:hint="eastAsia" w:ascii="宋体" w:hAnsi="宋体" w:eastAsia="宋体" w:cs="宋体"/>
                <w:i w:val="0"/>
                <w:iCs w:val="0"/>
                <w:color w:val="auto"/>
                <w:kern w:val="0"/>
                <w:sz w:val="21"/>
                <w:szCs w:val="21"/>
                <w:highlight w:val="none"/>
                <w:u w:val="single"/>
                <w:lang w:val="en-US" w:eastAsia="zh-CN" w:bidi="ar"/>
              </w:rPr>
              <w:t>摊凉设备</w:t>
            </w:r>
            <w:r>
              <w:rPr>
                <w:rFonts w:hint="eastAsia"/>
                <w:color w:val="auto"/>
                <w:sz w:val="21"/>
                <w:szCs w:val="21"/>
                <w:u w:val="none"/>
                <w:lang w:val="en-US" w:eastAsia="zh-CN"/>
              </w:rPr>
              <w:t>结构形式、</w:t>
            </w:r>
            <w:r>
              <w:rPr>
                <w:rFonts w:hint="eastAsia" w:ascii="宋体" w:hAnsi="宋体" w:eastAsia="宋体" w:cs="宋体"/>
                <w:i w:val="0"/>
                <w:iCs w:val="0"/>
                <w:color w:val="auto"/>
                <w:kern w:val="0"/>
                <w:sz w:val="21"/>
                <w:szCs w:val="21"/>
                <w:highlight w:val="none"/>
                <w:u w:val="single"/>
                <w:lang w:val="en-US" w:eastAsia="zh-CN" w:bidi="ar"/>
              </w:rPr>
              <w:t>计量包装机选型</w:t>
            </w:r>
            <w:r>
              <w:rPr>
                <w:rFonts w:hint="eastAsia" w:ascii="宋体" w:hAnsi="宋体" w:eastAsia="宋体" w:cs="宋体"/>
                <w:b w:val="0"/>
                <w:bCs w:val="0"/>
                <w:color w:val="auto"/>
                <w:sz w:val="21"/>
                <w:szCs w:val="21"/>
                <w:lang w:val="en-US" w:eastAsia="zh-CN"/>
              </w:rPr>
              <w:t>进行阐述说明。评标委员会从油炒辣椒设备方案的先进性、科学性和实用性等方面进行综合评定。</w:t>
            </w:r>
          </w:p>
          <w:p w14:paraId="041337F7">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5.4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5.4（不含）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3.6（不含）</w:t>
            </w:r>
            <w:r>
              <w:rPr>
                <w:rFonts w:hint="eastAsia" w:ascii="宋体" w:hAnsi="宋体"/>
                <w:color w:val="000000" w:themeColor="text1"/>
                <w:u w:val="single"/>
                <w14:textFill>
                  <w14:solidFill>
                    <w14:schemeClr w14:val="tx1"/>
                  </w14:solidFill>
                </w14:textFill>
              </w:rPr>
              <w:t>分。</w:t>
            </w:r>
          </w:p>
        </w:tc>
      </w:tr>
      <w:tr w14:paraId="64FF30C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68765D8C">
            <w:pPr>
              <w:spacing w:line="400" w:lineRule="exact"/>
              <w:jc w:val="center"/>
              <w:rPr>
                <w:rFonts w:ascii="宋体" w:hAnsi="宋体"/>
                <w:kern w:val="0"/>
              </w:rPr>
            </w:pPr>
          </w:p>
        </w:tc>
        <w:tc>
          <w:tcPr>
            <w:tcW w:w="1680" w:type="dxa"/>
            <w:vMerge w:val="continue"/>
            <w:tcBorders>
              <w:left w:val="single" w:color="auto" w:sz="4" w:space="0"/>
            </w:tcBorders>
            <w:vAlign w:val="center"/>
          </w:tcPr>
          <w:p w14:paraId="70558FF5">
            <w:pPr>
              <w:pStyle w:val="2"/>
              <w:jc w:val="center"/>
              <w:rPr>
                <w:rFonts w:ascii="宋体" w:hAnsi="宋体"/>
                <w:kern w:val="0"/>
              </w:rPr>
            </w:pPr>
          </w:p>
        </w:tc>
        <w:tc>
          <w:tcPr>
            <w:tcW w:w="2171" w:type="dxa"/>
            <w:tcBorders>
              <w:bottom w:val="single" w:color="auto" w:sz="4" w:space="0"/>
            </w:tcBorders>
            <w:vAlign w:val="center"/>
          </w:tcPr>
          <w:p w14:paraId="19DB67F1">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64919E99">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eastAsia" w:ascii="宋体" w:hAnsi="宋体"/>
                <w:color w:val="auto"/>
                <w:kern w:val="0"/>
                <w:lang w:val="en-US" w:eastAsia="zh-CN"/>
              </w:rPr>
              <w:t>辣椒酱</w:t>
            </w:r>
            <w:r>
              <w:rPr>
                <w:rFonts w:hint="eastAsia" w:ascii="宋体" w:hAnsi="宋体" w:eastAsia="宋体" w:cs="宋体"/>
                <w:color w:val="000000" w:themeColor="text1"/>
                <w:kern w:val="0"/>
                <w:sz w:val="21"/>
                <w:szCs w:val="21"/>
                <w:lang w:val="en-US" w:eastAsia="zh-CN"/>
                <w14:textFill>
                  <w14:solidFill>
                    <w14:schemeClr w14:val="tx1"/>
                  </w14:solidFill>
                </w14:textFill>
              </w:rPr>
              <w:t>）</w:t>
            </w:r>
          </w:p>
        </w:tc>
        <w:tc>
          <w:tcPr>
            <w:tcW w:w="4803" w:type="dxa"/>
            <w:vAlign w:val="center"/>
          </w:tcPr>
          <w:p w14:paraId="4BA438C7">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lang w:val="en-US" w:eastAsia="zh-CN"/>
              </w:rPr>
              <w:t xml:space="preserve"> </w:t>
            </w:r>
            <w:r>
              <w:rPr>
                <w:rFonts w:hint="eastAsia" w:ascii="宋体" w:hAnsi="宋体" w:cs="宋体"/>
                <w:color w:val="auto"/>
                <w:sz w:val="21"/>
                <w:szCs w:val="21"/>
                <w:u w:val="single"/>
                <w:lang w:val="en-US" w:eastAsia="zh-CN"/>
              </w:rPr>
              <w:t>4</w:t>
            </w:r>
            <w:r>
              <w:rPr>
                <w:rFonts w:hint="eastAsia" w:ascii="宋体" w:hAnsi="宋体" w:eastAsia="宋体" w:cs="宋体"/>
                <w:color w:val="auto"/>
                <w:sz w:val="21"/>
                <w:szCs w:val="21"/>
                <w:u w:val="single"/>
                <w:lang w:val="en-US" w:eastAsia="zh-CN"/>
              </w:rPr>
              <w:t>分</w:t>
            </w:r>
            <w:r>
              <w:rPr>
                <w:rFonts w:hint="eastAsia" w:ascii="宋体" w:hAnsi="宋体" w:eastAsia="宋体" w:cs="宋体"/>
                <w:color w:val="auto"/>
                <w:sz w:val="21"/>
                <w:szCs w:val="21"/>
                <w:u w:val="none"/>
                <w:lang w:val="en-US" w:eastAsia="zh-CN"/>
              </w:rPr>
              <w:t xml:space="preserve">   </w:t>
            </w:r>
            <w:r>
              <w:rPr>
                <w:rFonts w:hint="eastAsia" w:ascii="宋体" w:hAnsi="宋体" w:eastAsia="宋体" w:cs="宋体"/>
                <w:b w:val="0"/>
                <w:bCs w:val="0"/>
                <w:color w:val="auto"/>
                <w:sz w:val="21"/>
                <w:szCs w:val="21"/>
                <w:lang w:val="en-US" w:eastAsia="zh-CN"/>
              </w:rPr>
              <w:t>评审要点：投标人对</w:t>
            </w:r>
            <w:r>
              <w:rPr>
                <w:rFonts w:hint="eastAsia" w:ascii="宋体" w:hAnsi="宋体" w:eastAsia="宋体" w:cs="宋体"/>
                <w:i w:val="0"/>
                <w:iCs w:val="0"/>
                <w:color w:val="auto"/>
                <w:kern w:val="0"/>
                <w:sz w:val="21"/>
                <w:szCs w:val="21"/>
                <w:highlight w:val="none"/>
                <w:u w:val="single"/>
                <w:lang w:val="en-US" w:eastAsia="zh-CN" w:bidi="ar"/>
              </w:rPr>
              <w:t>泡椒原料上料方式</w:t>
            </w:r>
            <w:r>
              <w:rPr>
                <w:rFonts w:hint="eastAsia" w:ascii="宋体" w:hAnsi="宋体" w:eastAsia="宋体" w:cs="宋体"/>
                <w:b w:val="0"/>
                <w:bCs w:val="0"/>
                <w:color w:val="auto"/>
                <w:sz w:val="21"/>
                <w:szCs w:val="21"/>
                <w:lang w:val="en-US" w:eastAsia="zh-CN"/>
              </w:rPr>
              <w:t>、</w:t>
            </w:r>
            <w:r>
              <w:rPr>
                <w:rFonts w:hint="eastAsia"/>
                <w:color w:val="auto"/>
                <w:sz w:val="21"/>
                <w:szCs w:val="21"/>
                <w:u w:val="none"/>
                <w:lang w:val="en-US" w:eastAsia="zh-CN"/>
              </w:rPr>
              <w:t>泡椒清洗机</w:t>
            </w:r>
            <w:r>
              <w:rPr>
                <w:rFonts w:hint="eastAsia" w:ascii="宋体" w:hAnsi="宋体" w:eastAsia="宋体" w:cs="宋体"/>
                <w:i w:val="0"/>
                <w:iCs w:val="0"/>
                <w:color w:val="auto"/>
                <w:kern w:val="0"/>
                <w:sz w:val="21"/>
                <w:szCs w:val="21"/>
                <w:highlight w:val="none"/>
                <w:u w:val="single"/>
                <w:lang w:val="en-US" w:eastAsia="zh-CN" w:bidi="ar"/>
              </w:rPr>
              <w:t>结构形式</w:t>
            </w:r>
            <w:r>
              <w:rPr>
                <w:rFonts w:hint="eastAsia" w:ascii="宋体" w:hAnsi="宋体" w:eastAsia="宋体" w:cs="宋体"/>
                <w:b w:val="0"/>
                <w:bCs w:val="0"/>
                <w:color w:val="auto"/>
                <w:sz w:val="21"/>
                <w:szCs w:val="21"/>
                <w:lang w:val="en-US" w:eastAsia="zh-CN"/>
              </w:rPr>
              <w:t>、</w:t>
            </w:r>
            <w:r>
              <w:rPr>
                <w:rFonts w:hint="eastAsia"/>
                <w:color w:val="auto"/>
                <w:sz w:val="21"/>
                <w:szCs w:val="21"/>
                <w:u w:val="none"/>
                <w:lang w:val="en-US" w:eastAsia="zh-CN"/>
              </w:rPr>
              <w:t>辣椒酱</w:t>
            </w:r>
            <w:r>
              <w:rPr>
                <w:rFonts w:hint="eastAsia" w:ascii="宋体" w:hAnsi="宋体" w:eastAsia="宋体" w:cs="宋体"/>
                <w:i w:val="0"/>
                <w:iCs w:val="0"/>
                <w:color w:val="auto"/>
                <w:kern w:val="0"/>
                <w:sz w:val="21"/>
                <w:szCs w:val="21"/>
                <w:highlight w:val="none"/>
                <w:u w:val="single"/>
                <w:lang w:val="en-US" w:eastAsia="zh-CN" w:bidi="ar"/>
              </w:rPr>
              <w:t>配料设备方案</w:t>
            </w:r>
            <w:r>
              <w:rPr>
                <w:rFonts w:hint="eastAsia"/>
                <w:color w:val="auto"/>
                <w:sz w:val="21"/>
                <w:szCs w:val="21"/>
                <w:u w:val="none"/>
                <w:lang w:val="en-US" w:eastAsia="zh-CN"/>
              </w:rPr>
              <w:t>、</w:t>
            </w:r>
            <w:r>
              <w:rPr>
                <w:rFonts w:hint="eastAsia" w:ascii="宋体" w:hAnsi="宋体" w:eastAsia="宋体" w:cs="宋体"/>
                <w:i w:val="0"/>
                <w:iCs w:val="0"/>
                <w:color w:val="auto"/>
                <w:kern w:val="0"/>
                <w:sz w:val="21"/>
                <w:szCs w:val="21"/>
                <w:highlight w:val="none"/>
                <w:u w:val="single"/>
                <w:lang w:val="en-US" w:eastAsia="zh-CN" w:bidi="ar"/>
              </w:rPr>
              <w:t>计量罐装机选型</w:t>
            </w:r>
            <w:r>
              <w:rPr>
                <w:rFonts w:hint="eastAsia" w:ascii="宋体" w:hAnsi="宋体" w:eastAsia="宋体" w:cs="宋体"/>
                <w:b w:val="0"/>
                <w:bCs w:val="0"/>
                <w:color w:val="auto"/>
                <w:sz w:val="21"/>
                <w:szCs w:val="21"/>
                <w:lang w:val="en-US" w:eastAsia="zh-CN"/>
              </w:rPr>
              <w:t>进行阐述说明。评标委员会从辣椒酱设备方案的先进性、合理性等方面进行综合评定。</w:t>
            </w:r>
          </w:p>
          <w:p w14:paraId="76BA8E27">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3.6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3.2</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3.6（不含）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2.4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3.2（不含）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2.4（不含）</w:t>
            </w:r>
            <w:r>
              <w:rPr>
                <w:rFonts w:hint="eastAsia" w:ascii="宋体" w:hAnsi="宋体"/>
                <w:color w:val="000000" w:themeColor="text1"/>
                <w:u w:val="single"/>
                <w14:textFill>
                  <w14:solidFill>
                    <w14:schemeClr w14:val="tx1"/>
                  </w14:solidFill>
                </w14:textFill>
              </w:rPr>
              <w:t>分。</w:t>
            </w:r>
          </w:p>
        </w:tc>
      </w:tr>
      <w:tr w14:paraId="37B6D64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D27CA20">
            <w:pPr>
              <w:spacing w:line="400" w:lineRule="exact"/>
              <w:jc w:val="center"/>
              <w:rPr>
                <w:rFonts w:ascii="宋体" w:hAnsi="宋体"/>
                <w:kern w:val="0"/>
              </w:rPr>
            </w:pPr>
          </w:p>
        </w:tc>
        <w:tc>
          <w:tcPr>
            <w:tcW w:w="1680" w:type="dxa"/>
            <w:vMerge w:val="continue"/>
            <w:tcBorders>
              <w:left w:val="single" w:color="auto" w:sz="4" w:space="0"/>
            </w:tcBorders>
            <w:vAlign w:val="center"/>
          </w:tcPr>
          <w:p w14:paraId="70D71F19">
            <w:pPr>
              <w:pStyle w:val="2"/>
              <w:jc w:val="center"/>
              <w:rPr>
                <w:rFonts w:ascii="宋体" w:hAnsi="宋体"/>
                <w:kern w:val="0"/>
              </w:rPr>
            </w:pPr>
          </w:p>
        </w:tc>
        <w:tc>
          <w:tcPr>
            <w:tcW w:w="2171" w:type="dxa"/>
            <w:tcBorders>
              <w:bottom w:val="single" w:color="auto" w:sz="4" w:space="0"/>
            </w:tcBorders>
            <w:vAlign w:val="center"/>
          </w:tcPr>
          <w:p w14:paraId="4112A013">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08172F24">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highlight w:val="none"/>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（设备集成）</w:t>
            </w:r>
          </w:p>
        </w:tc>
        <w:tc>
          <w:tcPr>
            <w:tcW w:w="4803" w:type="dxa"/>
            <w:vAlign w:val="center"/>
          </w:tcPr>
          <w:p w14:paraId="704B46E6">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8</w:t>
            </w:r>
            <w:r>
              <w:rPr>
                <w:rFonts w:hint="eastAsia" w:ascii="宋体" w:hAnsi="宋体" w:eastAsia="宋体" w:cs="宋体"/>
                <w:color w:val="auto"/>
                <w:sz w:val="21"/>
                <w:szCs w:val="21"/>
                <w:u w:val="single"/>
              </w:rPr>
              <w:t>分</w:t>
            </w:r>
            <w:r>
              <w:rPr>
                <w:rFonts w:hint="eastAsia" w:ascii="宋体" w:hAnsi="宋体" w:eastAsia="宋体" w:cs="宋体"/>
                <w:color w:val="auto"/>
                <w:sz w:val="21"/>
                <w:szCs w:val="21"/>
                <w:u w:val="none"/>
              </w:rPr>
              <w:t xml:space="preserve">   </w:t>
            </w:r>
            <w:r>
              <w:rPr>
                <w:rFonts w:hint="eastAsia" w:ascii="宋体" w:hAnsi="宋体" w:eastAsia="宋体" w:cs="宋体"/>
                <w:b w:val="0"/>
                <w:bCs w:val="0"/>
                <w:color w:val="auto"/>
                <w:sz w:val="21"/>
                <w:szCs w:val="21"/>
                <w:lang w:val="en-US" w:eastAsia="zh-CN"/>
              </w:rPr>
              <w:t>评审要点：投标人对生产线的</w:t>
            </w:r>
            <w:r>
              <w:rPr>
                <w:rFonts w:hint="eastAsia" w:ascii="宋体" w:hAnsi="宋体" w:eastAsia="宋体" w:cs="宋体"/>
                <w:i w:val="0"/>
                <w:iCs w:val="0"/>
                <w:color w:val="auto"/>
                <w:kern w:val="0"/>
                <w:sz w:val="21"/>
                <w:szCs w:val="21"/>
                <w:highlight w:val="none"/>
                <w:u w:val="single"/>
                <w:lang w:val="en-US" w:eastAsia="zh-CN" w:bidi="ar"/>
              </w:rPr>
              <w:t>整线布局</w:t>
            </w:r>
            <w:r>
              <w:rPr>
                <w:rFonts w:hint="eastAsia" w:ascii="宋体" w:hAnsi="宋体" w:eastAsia="宋体" w:cs="宋体"/>
                <w:b w:val="0"/>
                <w:bCs w:val="0"/>
                <w:color w:val="auto"/>
                <w:sz w:val="21"/>
                <w:szCs w:val="21"/>
                <w:lang w:val="en-US" w:eastAsia="zh-CN"/>
              </w:rPr>
              <w:t>和设备的</w:t>
            </w:r>
            <w:r>
              <w:rPr>
                <w:rFonts w:hint="eastAsia" w:ascii="宋体" w:hAnsi="宋体" w:eastAsia="宋体" w:cs="宋体"/>
                <w:i w:val="0"/>
                <w:iCs w:val="0"/>
                <w:color w:val="auto"/>
                <w:kern w:val="0"/>
                <w:sz w:val="21"/>
                <w:szCs w:val="21"/>
                <w:highlight w:val="none"/>
                <w:u w:val="single"/>
                <w:lang w:val="en-US" w:eastAsia="zh-CN" w:bidi="ar"/>
              </w:rPr>
              <w:t>控制集成</w:t>
            </w:r>
            <w:r>
              <w:rPr>
                <w:rFonts w:hint="eastAsia" w:ascii="宋体" w:hAnsi="宋体" w:eastAsia="宋体" w:cs="宋体"/>
                <w:b w:val="0"/>
                <w:bCs w:val="0"/>
                <w:color w:val="auto"/>
                <w:sz w:val="21"/>
                <w:szCs w:val="21"/>
                <w:lang w:val="en-US" w:eastAsia="zh-CN"/>
              </w:rPr>
              <w:t>进行阐述说明，整线布局至少包括</w:t>
            </w:r>
            <w:r>
              <w:rPr>
                <w:rFonts w:hint="eastAsia" w:ascii="宋体" w:hAnsi="宋体" w:cs="宋体"/>
                <w:i w:val="0"/>
                <w:iCs w:val="0"/>
                <w:color w:val="auto"/>
                <w:kern w:val="0"/>
                <w:sz w:val="22"/>
                <w:szCs w:val="22"/>
                <w:highlight w:val="none"/>
                <w:u w:val="none"/>
                <w:lang w:val="en-US" w:eastAsia="zh-CN" w:bidi="ar"/>
              </w:rPr>
              <w:t>各种物料罐体布局及相应配套设备布局；控制集成至少包括</w:t>
            </w:r>
            <w:r>
              <w:rPr>
                <w:rFonts w:hint="eastAsia" w:ascii="宋体" w:hAnsi="宋体" w:eastAsia="宋体" w:cs="宋体"/>
                <w:i w:val="0"/>
                <w:iCs w:val="0"/>
                <w:color w:val="auto"/>
                <w:kern w:val="0"/>
                <w:sz w:val="21"/>
                <w:szCs w:val="21"/>
                <w:highlight w:val="none"/>
                <w:u w:val="single"/>
                <w:lang w:val="en-US" w:eastAsia="zh-CN" w:bidi="ar"/>
              </w:rPr>
              <w:t>数据采集与控制系统架构设计</w:t>
            </w:r>
            <w:r>
              <w:rPr>
                <w:rFonts w:hint="eastAsia" w:ascii="宋体" w:hAnsi="宋体" w:cs="宋体"/>
                <w:i w:val="0"/>
                <w:iCs w:val="0"/>
                <w:color w:val="auto"/>
                <w:kern w:val="0"/>
                <w:sz w:val="22"/>
                <w:szCs w:val="22"/>
                <w:highlight w:val="none"/>
                <w:u w:val="none"/>
                <w:lang w:val="en-US" w:eastAsia="zh-CN" w:bidi="ar"/>
              </w:rPr>
              <w:t>、</w:t>
            </w:r>
            <w:r>
              <w:rPr>
                <w:rFonts w:hint="eastAsia" w:ascii="宋体" w:hAnsi="宋体" w:eastAsia="宋体" w:cs="宋体"/>
                <w:i w:val="0"/>
                <w:iCs w:val="0"/>
                <w:color w:val="auto"/>
                <w:kern w:val="0"/>
                <w:sz w:val="21"/>
                <w:szCs w:val="21"/>
                <w:highlight w:val="none"/>
                <w:u w:val="single"/>
                <w:lang w:val="en-US" w:eastAsia="zh-CN" w:bidi="ar"/>
              </w:rPr>
              <w:t>批次过程控制系统设计</w:t>
            </w:r>
            <w:r>
              <w:rPr>
                <w:rFonts w:hint="eastAsia" w:ascii="宋体" w:hAnsi="宋体" w:cs="宋体"/>
                <w:i w:val="0"/>
                <w:iCs w:val="0"/>
                <w:color w:val="auto"/>
                <w:kern w:val="0"/>
                <w:sz w:val="22"/>
                <w:szCs w:val="22"/>
                <w:highlight w:val="none"/>
                <w:u w:val="none"/>
                <w:lang w:val="en-US" w:eastAsia="zh-CN" w:bidi="ar"/>
              </w:rPr>
              <w:t>。</w:t>
            </w:r>
            <w:r>
              <w:rPr>
                <w:rFonts w:hint="eastAsia" w:ascii="宋体" w:hAnsi="宋体" w:eastAsia="宋体" w:cs="宋体"/>
                <w:b w:val="0"/>
                <w:bCs w:val="0"/>
                <w:color w:val="auto"/>
                <w:sz w:val="21"/>
                <w:szCs w:val="21"/>
                <w:lang w:val="en-US" w:eastAsia="zh-CN"/>
              </w:rPr>
              <w:t>评标委员会从整线布局的科学性、合理性，生产物料周转的可行性、顺畅性，控制集成的科学性和先进性等方面进行综合评定。</w:t>
            </w:r>
          </w:p>
          <w:p w14:paraId="3533C19D">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7.2</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8</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6.4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7.2（不含）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4.8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4.8（不含）</w:t>
            </w:r>
            <w:r>
              <w:rPr>
                <w:rFonts w:hint="eastAsia" w:ascii="宋体" w:hAnsi="宋体"/>
                <w:color w:val="000000" w:themeColor="text1"/>
                <w:u w:val="single"/>
                <w14:textFill>
                  <w14:solidFill>
                    <w14:schemeClr w14:val="tx1"/>
                  </w14:solidFill>
                </w14:textFill>
              </w:rPr>
              <w:t>分。</w:t>
            </w:r>
          </w:p>
        </w:tc>
      </w:tr>
      <w:tr w14:paraId="00BD70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265D561F">
            <w:pPr>
              <w:spacing w:line="400" w:lineRule="exact"/>
              <w:jc w:val="center"/>
              <w:rPr>
                <w:rFonts w:ascii="宋体" w:hAnsi="宋体"/>
                <w:kern w:val="0"/>
              </w:rPr>
            </w:pPr>
          </w:p>
        </w:tc>
        <w:tc>
          <w:tcPr>
            <w:tcW w:w="1680" w:type="dxa"/>
            <w:vMerge w:val="continue"/>
            <w:tcBorders>
              <w:left w:val="single" w:color="auto" w:sz="4" w:space="0"/>
            </w:tcBorders>
            <w:vAlign w:val="center"/>
          </w:tcPr>
          <w:p w14:paraId="46EBE20F">
            <w:pPr>
              <w:pStyle w:val="2"/>
              <w:jc w:val="center"/>
              <w:rPr>
                <w:rFonts w:ascii="宋体" w:hAnsi="宋体"/>
                <w:kern w:val="0"/>
              </w:rPr>
            </w:pPr>
          </w:p>
        </w:tc>
        <w:tc>
          <w:tcPr>
            <w:tcW w:w="2171" w:type="dxa"/>
            <w:tcBorders>
              <w:bottom w:val="single" w:color="auto" w:sz="4" w:space="0"/>
            </w:tcBorders>
            <w:vAlign w:val="center"/>
          </w:tcPr>
          <w:p w14:paraId="3688ED7C">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color w:val="auto"/>
                <w:kern w:val="0"/>
                <w:lang w:val="en-US" w:eastAsia="zh-CN"/>
              </w:rPr>
            </w:pPr>
            <w:r>
              <w:rPr>
                <w:rFonts w:hint="eastAsia" w:ascii="宋体" w:hAnsi="宋体" w:eastAsia="宋体" w:cs="宋体"/>
                <w:color w:val="000000" w:themeColor="text1"/>
                <w:kern w:val="0"/>
                <w:sz w:val="21"/>
                <w:szCs w:val="21"/>
                <w14:textFill>
                  <w14:solidFill>
                    <w14:schemeClr w14:val="tx1"/>
                  </w14:solidFill>
                </w14:textFill>
              </w:rPr>
              <w:t>技术服务和质保期服务措施</w:t>
            </w:r>
          </w:p>
        </w:tc>
        <w:tc>
          <w:tcPr>
            <w:tcW w:w="4803" w:type="dxa"/>
            <w:vAlign w:val="center"/>
          </w:tcPr>
          <w:p w14:paraId="022CA7C5">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b w:val="0"/>
                <w:bCs w:val="0"/>
                <w:color w:val="auto"/>
                <w:sz w:val="21"/>
                <w:szCs w:val="21"/>
                <w:u w:val="single"/>
                <w:lang w:val="en-US" w:eastAsia="zh-CN"/>
              </w:rPr>
              <w:t xml:space="preserve"> </w:t>
            </w:r>
            <w:r>
              <w:rPr>
                <w:rFonts w:hint="eastAsia" w:ascii="宋体" w:hAnsi="宋体" w:cs="宋体"/>
                <w:b w:val="0"/>
                <w:bCs w:val="0"/>
                <w:color w:val="auto"/>
                <w:sz w:val="21"/>
                <w:szCs w:val="21"/>
                <w:u w:val="single"/>
                <w:lang w:val="en-US" w:eastAsia="zh-CN"/>
              </w:rPr>
              <w:t>2</w:t>
            </w:r>
            <w:r>
              <w:rPr>
                <w:rFonts w:hint="eastAsia" w:ascii="宋体" w:hAnsi="宋体" w:eastAsia="宋体" w:cs="宋体"/>
                <w:b w:val="0"/>
                <w:bCs w:val="0"/>
                <w:color w:val="auto"/>
                <w:sz w:val="21"/>
                <w:szCs w:val="21"/>
                <w:u w:val="single"/>
                <w:lang w:val="en-US" w:eastAsia="zh-CN"/>
              </w:rPr>
              <w:t>分</w:t>
            </w:r>
            <w:r>
              <w:rPr>
                <w:rFonts w:hint="eastAsia" w:ascii="宋体" w:hAnsi="宋体" w:eastAsia="宋体" w:cs="宋体"/>
                <w:color w:val="auto"/>
                <w:sz w:val="21"/>
                <w:szCs w:val="21"/>
              </w:rPr>
              <w:t xml:space="preserve">   </w:t>
            </w:r>
            <w:r>
              <w:rPr>
                <w:rFonts w:hint="eastAsia" w:ascii="宋体" w:hAnsi="宋体" w:eastAsia="宋体" w:cs="宋体"/>
                <w:i w:val="0"/>
                <w:iCs w:val="0"/>
                <w:color w:val="auto"/>
                <w:kern w:val="0"/>
                <w:sz w:val="21"/>
                <w:szCs w:val="21"/>
                <w:highlight w:val="none"/>
                <w:u w:val="none"/>
                <w:lang w:val="en-US" w:eastAsia="zh-CN" w:bidi="ar"/>
              </w:rPr>
              <w:t>评审要点：投标人完全满足招标文件第四章合同条款中关于技术服务和质量保证期服务的要求，不得有低于招标文件要求的具体措施。投标人对提供服务的方式、响应速度、服务质量控制等措施进行说明。评标委员会从</w:t>
            </w:r>
            <w:r>
              <w:rPr>
                <w:rFonts w:hint="eastAsia" w:ascii="宋体" w:hAnsi="宋体" w:eastAsia="宋体" w:cs="宋体"/>
                <w:color w:val="auto"/>
                <w:kern w:val="0"/>
                <w:sz w:val="21"/>
                <w:szCs w:val="21"/>
                <w:highlight w:val="none"/>
              </w:rPr>
              <w:t>服务</w:t>
            </w:r>
            <w:r>
              <w:rPr>
                <w:rFonts w:hint="eastAsia" w:ascii="宋体" w:hAnsi="宋体" w:eastAsia="宋体" w:cs="宋体"/>
                <w:color w:val="auto"/>
                <w:kern w:val="0"/>
                <w:sz w:val="21"/>
                <w:szCs w:val="21"/>
                <w:highlight w:val="none"/>
                <w:lang w:val="en-US" w:eastAsia="zh-CN"/>
              </w:rPr>
              <w:t>措施</w:t>
            </w:r>
            <w:r>
              <w:rPr>
                <w:rFonts w:hint="eastAsia" w:ascii="宋体" w:hAnsi="宋体" w:eastAsia="宋体" w:cs="宋体"/>
                <w:i w:val="0"/>
                <w:iCs w:val="0"/>
                <w:color w:val="auto"/>
                <w:kern w:val="0"/>
                <w:sz w:val="21"/>
                <w:szCs w:val="21"/>
                <w:highlight w:val="none"/>
                <w:u w:val="none"/>
                <w:lang w:val="en-US" w:eastAsia="zh-CN" w:bidi="ar"/>
              </w:rPr>
              <w:t>的可行性和合理性等方面进行综合评定。</w:t>
            </w:r>
          </w:p>
          <w:p w14:paraId="619D66A3">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1.8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1.6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1.8（不含）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1.2</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1.6（不含）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1.2（不含）</w:t>
            </w:r>
            <w:r>
              <w:rPr>
                <w:rFonts w:hint="eastAsia" w:ascii="宋体" w:hAnsi="宋体"/>
                <w:color w:val="000000" w:themeColor="text1"/>
                <w:u w:val="single"/>
                <w14:textFill>
                  <w14:solidFill>
                    <w14:schemeClr w14:val="tx1"/>
                  </w14:solidFill>
                </w14:textFill>
              </w:rPr>
              <w:t>分。</w:t>
            </w:r>
          </w:p>
        </w:tc>
      </w:tr>
      <w:tr w14:paraId="2D43FB1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06769396">
            <w:pPr>
              <w:spacing w:line="400" w:lineRule="exact"/>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（2）</w:t>
            </w:r>
          </w:p>
        </w:tc>
        <w:tc>
          <w:tcPr>
            <w:tcW w:w="1680" w:type="dxa"/>
            <w:vMerge w:val="restart"/>
            <w:tcBorders>
              <w:left w:val="single" w:color="auto" w:sz="4" w:space="0"/>
            </w:tcBorders>
            <w:vAlign w:val="center"/>
          </w:tcPr>
          <w:p w14:paraId="5209CEBF">
            <w:pPr>
              <w:spacing w:line="400" w:lineRule="exact"/>
              <w:ind w:left="-63" w:leftChars="-30" w:right="-63" w:rightChars="-30"/>
              <w:jc w:val="center"/>
            </w:pPr>
            <w:r>
              <w:rPr>
                <w:rFonts w:hint="eastAsia"/>
              </w:rPr>
              <w:t>商务</w:t>
            </w:r>
            <w:r>
              <w:rPr>
                <w:rFonts w:hint="eastAsia"/>
                <w:lang w:val="en-US" w:eastAsia="zh-CN"/>
              </w:rPr>
              <w:t>评审</w:t>
            </w:r>
            <w:r>
              <w:rPr>
                <w:rFonts w:hint="eastAsia"/>
              </w:rPr>
              <w:t>标准（B）</w:t>
            </w:r>
          </w:p>
        </w:tc>
        <w:tc>
          <w:tcPr>
            <w:tcW w:w="2171" w:type="dxa"/>
            <w:vAlign w:val="center"/>
          </w:tcPr>
          <w:p w14:paraId="5646854A">
            <w:pPr>
              <w:tabs>
                <w:tab w:val="left" w:pos="1875"/>
              </w:tabs>
              <w:spacing w:line="400" w:lineRule="exact"/>
              <w:jc w:val="center"/>
              <w:rPr>
                <w:rFonts w:ascii="宋体" w:hAnsi="宋体" w:cs="宋体"/>
                <w:color w:val="000000" w:themeColor="text1"/>
                <w:kern w:val="0"/>
                <w14:textFill>
                  <w14:solidFill>
                    <w14:schemeClr w14:val="tx1"/>
                  </w14:solidFill>
                </w14:textFill>
              </w:rPr>
            </w:pPr>
            <w:r>
              <w:rPr>
                <w:rFonts w:hint="eastAsia"/>
                <w:color w:val="000000" w:themeColor="text1"/>
                <w:szCs w:val="22"/>
                <w14:textFill>
                  <w14:solidFill>
                    <w14:schemeClr w14:val="tx1"/>
                  </w14:solidFill>
                </w14:textFill>
              </w:rPr>
              <w:t>总体评审标准</w:t>
            </w:r>
          </w:p>
        </w:tc>
        <w:tc>
          <w:tcPr>
            <w:tcW w:w="4803" w:type="dxa"/>
            <w:vAlign w:val="center"/>
          </w:tcPr>
          <w:p w14:paraId="61E0B8D7">
            <w:pPr>
              <w:snapToGrid w:val="0"/>
              <w:spacing w:line="400" w:lineRule="exact"/>
              <w:ind w:firstLine="420" w:firstLineChars="200"/>
              <w:rPr>
                <w:color w:val="000000" w:themeColor="text1"/>
                <w14:textFill>
                  <w14:solidFill>
                    <w14:schemeClr w14:val="tx1"/>
                  </w14:solidFill>
                </w14:textFill>
              </w:rPr>
            </w:pPr>
            <w:r>
              <w:rPr>
                <w:rFonts w:hint="eastAsia" w:ascii="宋体" w:hAnsi="宋体"/>
                <w:color w:val="000000" w:themeColor="text1"/>
                <w:szCs w:val="21"/>
                <w14:textFill>
                  <w14:solidFill>
                    <w14:schemeClr w14:val="tx1"/>
                  </w14:solidFill>
                </w14:textFill>
              </w:rPr>
              <w:t>商务评分为客观评分，</w:t>
            </w:r>
            <w:r>
              <w:rPr>
                <w:rFonts w:ascii="宋体" w:hAnsi="宋体"/>
                <w:color w:val="000000" w:themeColor="text1"/>
                <w:szCs w:val="21"/>
                <w14:textFill>
                  <w14:solidFill>
                    <w14:schemeClr w14:val="tx1"/>
                  </w14:solidFill>
                </w14:textFill>
              </w:rPr>
              <w:t>评标委员会按</w:t>
            </w:r>
            <w:r>
              <w:rPr>
                <w:rFonts w:hint="eastAsia" w:ascii="宋体" w:hAnsi="宋体"/>
                <w:color w:val="000000" w:themeColor="text1"/>
                <w:szCs w:val="21"/>
                <w14:textFill>
                  <w14:solidFill>
                    <w14:schemeClr w14:val="tx1"/>
                  </w14:solidFill>
                </w14:textFill>
              </w:rPr>
              <w:t>以下</w:t>
            </w:r>
            <w:r>
              <w:rPr>
                <w:rFonts w:ascii="宋体" w:hAnsi="宋体"/>
                <w:color w:val="000000" w:themeColor="text1"/>
                <w:szCs w:val="21"/>
                <w14:textFill>
                  <w14:solidFill>
                    <w14:schemeClr w14:val="tx1"/>
                  </w14:solidFill>
                </w14:textFill>
              </w:rPr>
              <w:t>各评审因素设定的分值</w:t>
            </w:r>
            <w:r>
              <w:rPr>
                <w:rFonts w:hint="eastAsia" w:ascii="宋体" w:hAnsi="宋体"/>
                <w:color w:val="000000" w:themeColor="text1"/>
                <w:szCs w:val="21"/>
                <w14:textFill>
                  <w14:solidFill>
                    <w14:schemeClr w14:val="tx1"/>
                  </w14:solidFill>
                </w14:textFill>
              </w:rPr>
              <w:t>进行</w:t>
            </w:r>
            <w:r>
              <w:rPr>
                <w:rFonts w:ascii="宋体" w:hAnsi="宋体"/>
                <w:color w:val="000000" w:themeColor="text1"/>
                <w:szCs w:val="21"/>
                <w14:textFill>
                  <w14:solidFill>
                    <w14:schemeClr w14:val="tx1"/>
                  </w14:solidFill>
                </w14:textFill>
              </w:rPr>
              <w:t>评分</w:t>
            </w:r>
            <w:r>
              <w:rPr>
                <w:rFonts w:hint="eastAsia" w:ascii="宋体" w:hAnsi="宋体"/>
                <w:color w:val="000000" w:themeColor="text1"/>
                <w:szCs w:val="21"/>
                <w14:textFill>
                  <w14:solidFill>
                    <w14:schemeClr w14:val="tx1"/>
                  </w14:solidFill>
                </w14:textFill>
              </w:rPr>
              <w:t>且保证分值统一</w:t>
            </w:r>
            <w:r>
              <w:rPr>
                <w:rFonts w:ascii="宋体" w:hAnsi="宋体"/>
                <w:color w:val="000000" w:themeColor="text1"/>
                <w:szCs w:val="21"/>
                <w14:textFill>
                  <w14:solidFill>
                    <w14:schemeClr w14:val="tx1"/>
                  </w14:solidFill>
                </w14:textFill>
              </w:rPr>
              <w:t>。</w:t>
            </w:r>
          </w:p>
        </w:tc>
      </w:tr>
      <w:tr w14:paraId="17E3A00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34052544">
            <w:pPr>
              <w:spacing w:line="400" w:lineRule="exact"/>
              <w:rPr>
                <w:rFonts w:ascii="宋体" w:hAnsi="宋体"/>
                <w:kern w:val="0"/>
              </w:rPr>
            </w:pPr>
          </w:p>
        </w:tc>
        <w:tc>
          <w:tcPr>
            <w:tcW w:w="1680" w:type="dxa"/>
            <w:vMerge w:val="continue"/>
            <w:tcBorders>
              <w:left w:val="single" w:color="auto" w:sz="4" w:space="0"/>
            </w:tcBorders>
            <w:vAlign w:val="center"/>
          </w:tcPr>
          <w:p w14:paraId="6D3A6442">
            <w:pPr>
              <w:spacing w:line="400" w:lineRule="exact"/>
              <w:ind w:left="-63" w:leftChars="-30" w:right="-63" w:rightChars="-30"/>
              <w:jc w:val="center"/>
            </w:pPr>
          </w:p>
        </w:tc>
        <w:tc>
          <w:tcPr>
            <w:tcW w:w="2171" w:type="dxa"/>
            <w:vAlign w:val="center"/>
          </w:tcPr>
          <w:p w14:paraId="35E9B0E7">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ascii="宋体" w:hAnsi="宋体"/>
                <w:color w:val="000000" w:themeColor="text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类似业绩</w:t>
            </w:r>
          </w:p>
        </w:tc>
        <w:tc>
          <w:tcPr>
            <w:tcW w:w="4803" w:type="dxa"/>
            <w:vAlign w:val="center"/>
          </w:tcPr>
          <w:p w14:paraId="510340A4">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color w:val="auto"/>
                <w:kern w:val="0"/>
                <w:sz w:val="21"/>
                <w:szCs w:val="21"/>
                <w:highlight w:val="none"/>
                <w:lang w:eastAsia="zh-CN"/>
              </w:rPr>
            </w:pPr>
            <w:r>
              <w:rPr>
                <w:rFonts w:hint="eastAsia" w:ascii="宋体" w:hAnsi="宋体" w:eastAsia="宋体" w:cs="宋体"/>
                <w:color w:val="auto"/>
                <w:kern w:val="0"/>
                <w:sz w:val="21"/>
                <w:szCs w:val="21"/>
                <w:highlight w:val="none"/>
                <w:lang w:eastAsia="zh-CN"/>
              </w:rPr>
              <w:t xml:space="preserve">在通过资格审查的基础上（通过资格审查的业绩不参与商务评审），投标人自 </w:t>
            </w:r>
            <w:r>
              <w:rPr>
                <w:rFonts w:hint="eastAsia" w:ascii="宋体" w:hAnsi="宋体" w:eastAsia="宋体" w:cs="宋体"/>
                <w:b/>
                <w:bCs/>
                <w:color w:val="auto"/>
                <w:kern w:val="0"/>
                <w:sz w:val="21"/>
                <w:szCs w:val="21"/>
                <w:highlight w:val="none"/>
                <w:lang w:eastAsia="zh-CN"/>
              </w:rPr>
              <w:t>20</w:t>
            </w:r>
            <w:r>
              <w:rPr>
                <w:rFonts w:hint="eastAsia" w:ascii="宋体" w:hAnsi="宋体" w:cs="宋体"/>
                <w:b/>
                <w:bCs/>
                <w:color w:val="auto"/>
                <w:kern w:val="0"/>
                <w:sz w:val="21"/>
                <w:szCs w:val="21"/>
                <w:highlight w:val="none"/>
                <w:lang w:val="en-US" w:eastAsia="zh-CN"/>
              </w:rPr>
              <w:t>1</w:t>
            </w:r>
            <w:r>
              <w:rPr>
                <w:rFonts w:hint="eastAsia" w:ascii="宋体" w:hAnsi="宋体" w:eastAsia="宋体" w:cs="宋体"/>
                <w:b/>
                <w:bCs/>
                <w:color w:val="auto"/>
                <w:kern w:val="0"/>
                <w:sz w:val="21"/>
                <w:szCs w:val="21"/>
                <w:highlight w:val="none"/>
                <w:lang w:val="en-US" w:eastAsia="zh-CN"/>
              </w:rPr>
              <w:t>0</w:t>
            </w:r>
            <w:r>
              <w:rPr>
                <w:rFonts w:hint="eastAsia" w:ascii="宋体" w:hAnsi="宋体" w:eastAsia="宋体" w:cs="宋体"/>
                <w:b/>
                <w:bCs/>
                <w:color w:val="auto"/>
                <w:kern w:val="0"/>
                <w:sz w:val="21"/>
                <w:szCs w:val="21"/>
                <w:highlight w:val="none"/>
                <w:lang w:eastAsia="zh-CN"/>
              </w:rPr>
              <w:t xml:space="preserve"> 年1月1日</w:t>
            </w:r>
            <w:r>
              <w:rPr>
                <w:rFonts w:hint="eastAsia" w:ascii="宋体" w:hAnsi="宋体" w:eastAsia="宋体" w:cs="宋体"/>
                <w:color w:val="auto"/>
                <w:kern w:val="0"/>
                <w:sz w:val="21"/>
                <w:szCs w:val="21"/>
                <w:highlight w:val="none"/>
                <w:lang w:eastAsia="zh-CN"/>
              </w:rPr>
              <w:t>起至投标截止日止（以合同签订时间为准），每增加1个已完成</w:t>
            </w:r>
            <w:r>
              <w:rPr>
                <w:rFonts w:hint="eastAsia" w:ascii="宋体" w:hAnsi="宋体" w:eastAsia="宋体" w:cs="宋体"/>
                <w:color w:val="auto"/>
                <w:kern w:val="0"/>
                <w:sz w:val="21"/>
                <w:szCs w:val="21"/>
                <w:highlight w:val="none"/>
                <w:lang w:val="en-US" w:eastAsia="zh-CN"/>
              </w:rPr>
              <w:t>的</w:t>
            </w:r>
            <w:r>
              <w:rPr>
                <w:rFonts w:hint="eastAsia" w:ascii="宋体" w:hAnsi="宋体" w:eastAsia="宋体" w:cs="宋体"/>
                <w:b/>
                <w:bCs/>
                <w:i w:val="0"/>
                <w:iCs w:val="0"/>
                <w:color w:val="auto"/>
                <w:kern w:val="0"/>
                <w:sz w:val="21"/>
                <w:szCs w:val="21"/>
                <w:highlight w:val="none"/>
                <w:u w:val="single"/>
                <w:lang w:val="en-US" w:eastAsia="zh-CN" w:bidi="ar"/>
              </w:rPr>
              <w:t>复合调味料设备或</w:t>
            </w:r>
            <w:r>
              <w:rPr>
                <w:rFonts w:hint="eastAsia" w:ascii="宋体" w:hAnsi="宋体" w:cs="宋体"/>
                <w:b/>
                <w:bCs/>
                <w:i w:val="0"/>
                <w:iCs w:val="0"/>
                <w:color w:val="auto"/>
                <w:kern w:val="0"/>
                <w:sz w:val="21"/>
                <w:szCs w:val="21"/>
                <w:highlight w:val="none"/>
                <w:u w:val="single"/>
                <w:lang w:val="en-US" w:eastAsia="zh-CN" w:bidi="ar"/>
              </w:rPr>
              <w:t>调味品（酱油/醋等）</w:t>
            </w:r>
            <w:r>
              <w:rPr>
                <w:rFonts w:hint="eastAsia" w:ascii="宋体" w:hAnsi="宋体" w:eastAsia="宋体" w:cs="宋体"/>
                <w:i w:val="0"/>
                <w:iCs w:val="0"/>
                <w:color w:val="auto"/>
                <w:kern w:val="0"/>
                <w:sz w:val="21"/>
                <w:szCs w:val="21"/>
                <w:highlight w:val="none"/>
                <w:u w:val="single"/>
                <w:lang w:val="en-US" w:eastAsia="zh-CN" w:bidi="ar"/>
              </w:rPr>
              <w:t>设备</w:t>
            </w:r>
            <w:r>
              <w:rPr>
                <w:rFonts w:hint="eastAsia" w:ascii="宋体" w:hAnsi="宋体" w:eastAsia="宋体" w:cs="宋体"/>
                <w:color w:val="auto"/>
                <w:kern w:val="0"/>
                <w:sz w:val="21"/>
                <w:szCs w:val="21"/>
                <w:highlight w:val="none"/>
                <w:lang w:eastAsia="zh-CN"/>
              </w:rPr>
              <w:t>供货业绩，</w:t>
            </w:r>
            <w:r>
              <w:rPr>
                <w:rFonts w:hint="eastAsia" w:ascii="宋体" w:hAnsi="宋体" w:eastAsia="宋体" w:cs="宋体"/>
                <w:color w:val="auto"/>
                <w:kern w:val="0"/>
                <w:sz w:val="21"/>
                <w:szCs w:val="21"/>
                <w:highlight w:val="none"/>
                <w:lang w:val="en-US" w:eastAsia="zh-CN"/>
              </w:rPr>
              <w:t>且</w:t>
            </w:r>
            <w:r>
              <w:rPr>
                <w:rFonts w:hint="eastAsia" w:ascii="宋体" w:hAnsi="宋体" w:eastAsia="宋体" w:cs="宋体"/>
                <w:color w:val="auto"/>
                <w:kern w:val="0"/>
                <w:sz w:val="21"/>
                <w:szCs w:val="21"/>
                <w:highlight w:val="none"/>
                <w:lang w:eastAsia="zh-CN"/>
              </w:rPr>
              <w:t>单个业绩合同金额在</w:t>
            </w:r>
            <w:r>
              <w:rPr>
                <w:rFonts w:hint="eastAsia" w:ascii="宋体" w:hAnsi="宋体" w:eastAsia="宋体" w:cs="宋体"/>
                <w:i w:val="0"/>
                <w:iCs w:val="0"/>
                <w:color w:val="auto"/>
                <w:kern w:val="0"/>
                <w:sz w:val="21"/>
                <w:szCs w:val="21"/>
                <w:highlight w:val="none"/>
                <w:u w:val="single"/>
                <w:lang w:val="en-US" w:eastAsia="zh-CN" w:bidi="ar"/>
              </w:rPr>
              <w:t xml:space="preserve"> 1500万元及以上</w:t>
            </w:r>
            <w:r>
              <w:rPr>
                <w:rFonts w:hint="eastAsia" w:ascii="宋体" w:hAnsi="宋体" w:eastAsia="宋体" w:cs="宋体"/>
                <w:color w:val="auto"/>
                <w:kern w:val="0"/>
                <w:sz w:val="21"/>
                <w:szCs w:val="21"/>
                <w:highlight w:val="none"/>
                <w:lang w:eastAsia="zh-CN"/>
              </w:rPr>
              <w:t>的得</w:t>
            </w:r>
            <w:r>
              <w:rPr>
                <w:rFonts w:hint="eastAsia" w:ascii="宋体" w:hAnsi="宋体" w:eastAsia="宋体" w:cs="宋体"/>
                <w:color w:val="auto"/>
                <w:kern w:val="0"/>
                <w:sz w:val="21"/>
                <w:szCs w:val="21"/>
                <w:highlight w:val="none"/>
                <w:u w:val="single"/>
                <w:lang w:eastAsia="zh-CN"/>
              </w:rPr>
              <w:t xml:space="preserve"> </w:t>
            </w:r>
            <w:r>
              <w:rPr>
                <w:rFonts w:hint="eastAsia" w:ascii="宋体" w:hAnsi="宋体" w:cs="宋体"/>
                <w:color w:val="auto"/>
                <w:kern w:val="0"/>
                <w:sz w:val="21"/>
                <w:szCs w:val="21"/>
                <w:highlight w:val="none"/>
                <w:u w:val="single"/>
                <w:lang w:val="en-US" w:eastAsia="zh-CN"/>
              </w:rPr>
              <w:t>1.5</w:t>
            </w:r>
            <w:r>
              <w:rPr>
                <w:rFonts w:hint="eastAsia" w:ascii="宋体" w:hAnsi="宋体" w:eastAsia="宋体" w:cs="宋体"/>
                <w:color w:val="auto"/>
                <w:kern w:val="0"/>
                <w:sz w:val="21"/>
                <w:szCs w:val="21"/>
                <w:highlight w:val="none"/>
                <w:u w:val="single"/>
                <w:lang w:eastAsia="zh-CN"/>
              </w:rPr>
              <w:t xml:space="preserve"> </w:t>
            </w:r>
            <w:r>
              <w:rPr>
                <w:rFonts w:hint="eastAsia" w:ascii="宋体" w:hAnsi="宋体" w:eastAsia="宋体" w:cs="宋体"/>
                <w:color w:val="auto"/>
                <w:kern w:val="0"/>
                <w:sz w:val="21"/>
                <w:szCs w:val="21"/>
                <w:highlight w:val="none"/>
                <w:lang w:eastAsia="zh-CN"/>
              </w:rPr>
              <w:t>分，本项最多得</w:t>
            </w:r>
            <w:r>
              <w:rPr>
                <w:rFonts w:hint="eastAsia" w:ascii="宋体" w:hAnsi="宋体" w:eastAsia="宋体" w:cs="宋体"/>
                <w:i w:val="0"/>
                <w:iCs w:val="0"/>
                <w:color w:val="auto"/>
                <w:kern w:val="0"/>
                <w:sz w:val="21"/>
                <w:szCs w:val="21"/>
                <w:highlight w:val="none"/>
                <w:u w:val="single"/>
                <w:lang w:val="en-US" w:eastAsia="zh-CN" w:bidi="ar"/>
              </w:rPr>
              <w:t xml:space="preserve"> </w:t>
            </w:r>
            <w:r>
              <w:rPr>
                <w:rFonts w:hint="eastAsia" w:ascii="宋体" w:hAnsi="宋体" w:cs="宋体"/>
                <w:i w:val="0"/>
                <w:iCs w:val="0"/>
                <w:color w:val="auto"/>
                <w:kern w:val="0"/>
                <w:sz w:val="21"/>
                <w:szCs w:val="21"/>
                <w:highlight w:val="none"/>
                <w:u w:val="single"/>
                <w:lang w:val="en-US" w:eastAsia="zh-CN" w:bidi="ar"/>
              </w:rPr>
              <w:t>3</w:t>
            </w:r>
            <w:r>
              <w:rPr>
                <w:rFonts w:hint="eastAsia" w:ascii="宋体" w:hAnsi="宋体" w:eastAsia="宋体" w:cs="宋体"/>
                <w:i w:val="0"/>
                <w:iCs w:val="0"/>
                <w:color w:val="auto"/>
                <w:kern w:val="0"/>
                <w:sz w:val="21"/>
                <w:szCs w:val="21"/>
                <w:highlight w:val="none"/>
                <w:u w:val="single"/>
                <w:lang w:val="en-US" w:eastAsia="zh-CN" w:bidi="ar"/>
              </w:rPr>
              <w:t xml:space="preserve"> </w:t>
            </w:r>
            <w:r>
              <w:rPr>
                <w:rFonts w:hint="eastAsia" w:ascii="宋体" w:hAnsi="宋体" w:eastAsia="宋体" w:cs="宋体"/>
                <w:color w:val="auto"/>
                <w:kern w:val="0"/>
                <w:sz w:val="21"/>
                <w:szCs w:val="21"/>
                <w:highlight w:val="none"/>
                <w:lang w:eastAsia="zh-CN"/>
              </w:rPr>
              <w:t>分。</w:t>
            </w:r>
          </w:p>
          <w:p w14:paraId="4E588E6D">
            <w:pPr>
              <w:pStyle w:val="2"/>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olor w:val="000000" w:themeColor="text1"/>
                <w14:textFill>
                  <w14:solidFill>
                    <w14:schemeClr w14:val="tx1"/>
                  </w14:solidFill>
                </w14:textFill>
              </w:rPr>
            </w:pPr>
          </w:p>
          <w:p w14:paraId="77CE2B99">
            <w:pPr>
              <w:pStyle w:val="2"/>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pPr>
            <w:r>
              <w:rPr>
                <w:rFonts w:hint="eastAsia" w:ascii="宋体" w:hAnsi="宋体"/>
                <w:b/>
                <w:bCs/>
                <w:color w:val="000000" w:themeColor="text1"/>
                <w14:textFill>
                  <w14:solidFill>
                    <w14:schemeClr w14:val="tx1"/>
                  </w14:solidFill>
                </w14:textFill>
              </w:rPr>
              <w:t>业绩证明材料按投标人须知前附表第1</w:t>
            </w:r>
            <w:r>
              <w:rPr>
                <w:rFonts w:ascii="宋体" w:hAnsi="宋体"/>
                <w:b/>
                <w:bCs/>
                <w:color w:val="000000" w:themeColor="text1"/>
                <w14:textFill>
                  <w14:solidFill>
                    <w14:schemeClr w14:val="tx1"/>
                  </w14:solidFill>
                </w14:textFill>
              </w:rPr>
              <w:t>.4.1</w:t>
            </w:r>
            <w:r>
              <w:rPr>
                <w:rFonts w:hint="eastAsia" w:ascii="宋体" w:hAnsi="宋体"/>
                <w:b/>
                <w:bCs/>
                <w:color w:val="000000" w:themeColor="text1"/>
                <w14:textFill>
                  <w14:solidFill>
                    <w14:schemeClr w14:val="tx1"/>
                  </w14:solidFill>
                </w14:textFill>
              </w:rPr>
              <w:t>条第3款</w:t>
            </w:r>
            <w:r>
              <w:rPr>
                <w:rFonts w:hint="eastAsia" w:ascii="宋体" w:hAnsi="宋体"/>
                <w:b/>
                <w:bCs/>
                <w:color w:val="000000" w:themeColor="text1"/>
                <w:lang w:val="en-US" w:eastAsia="zh-CN"/>
                <w14:textFill>
                  <w14:solidFill>
                    <w14:schemeClr w14:val="tx1"/>
                  </w14:solidFill>
                </w14:textFill>
              </w:rPr>
              <w:t>业绩</w:t>
            </w:r>
            <w:r>
              <w:rPr>
                <w:rFonts w:hint="eastAsia" w:ascii="宋体" w:hAnsi="宋体"/>
                <w:b/>
                <w:bCs/>
                <w:color w:val="000000" w:themeColor="text1"/>
                <w14:textFill>
                  <w14:solidFill>
                    <w14:schemeClr w14:val="tx1"/>
                  </w14:solidFill>
                </w14:textFill>
              </w:rPr>
              <w:t>要求</w:t>
            </w:r>
            <w:r>
              <w:rPr>
                <w:rFonts w:hint="eastAsia" w:ascii="宋体" w:hAnsi="宋体"/>
                <w:b/>
                <w:bCs/>
                <w:color w:val="000000" w:themeColor="text1"/>
                <w:lang w:val="en-US" w:eastAsia="zh-CN"/>
                <w14:textFill>
                  <w14:solidFill>
                    <w14:schemeClr w14:val="tx1"/>
                  </w14:solidFill>
                </w14:textFill>
              </w:rPr>
              <w:t>的规定</w:t>
            </w:r>
            <w:r>
              <w:rPr>
                <w:rFonts w:hint="eastAsia" w:ascii="宋体" w:hAnsi="宋体"/>
                <w:b/>
                <w:bCs/>
                <w:color w:val="000000" w:themeColor="text1"/>
                <w14:textFill>
                  <w14:solidFill>
                    <w14:schemeClr w14:val="tx1"/>
                  </w14:solidFill>
                </w14:textFill>
              </w:rPr>
              <w:t>提供。</w:t>
            </w:r>
          </w:p>
        </w:tc>
      </w:tr>
      <w:tr w14:paraId="07F49AD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6565F6DB">
            <w:pPr>
              <w:spacing w:line="400" w:lineRule="exact"/>
              <w:rPr>
                <w:rFonts w:ascii="宋体" w:hAnsi="宋体"/>
                <w:kern w:val="0"/>
              </w:rPr>
            </w:pPr>
          </w:p>
        </w:tc>
        <w:tc>
          <w:tcPr>
            <w:tcW w:w="1680" w:type="dxa"/>
            <w:vMerge w:val="continue"/>
            <w:tcBorders>
              <w:left w:val="single" w:color="auto" w:sz="4" w:space="0"/>
            </w:tcBorders>
            <w:vAlign w:val="center"/>
          </w:tcPr>
          <w:p w14:paraId="01E0F037">
            <w:pPr>
              <w:spacing w:line="400" w:lineRule="exact"/>
              <w:ind w:left="-63" w:leftChars="-30" w:right="-63" w:rightChars="-30"/>
              <w:jc w:val="center"/>
            </w:pPr>
          </w:p>
        </w:tc>
        <w:tc>
          <w:tcPr>
            <w:tcW w:w="2171" w:type="dxa"/>
            <w:vAlign w:val="center"/>
          </w:tcPr>
          <w:p w14:paraId="5E76892A">
            <w:pPr>
              <w:keepNext w:val="0"/>
              <w:keepLines w:val="0"/>
              <w:pageBreakBefore w:val="0"/>
              <w:kinsoku/>
              <w:wordWrap/>
              <w:overflowPunct/>
              <w:topLinePunct w:val="0"/>
              <w:autoSpaceDE/>
              <w:autoSpaceDN/>
              <w:bidi w:val="0"/>
              <w:adjustRightInd/>
              <w:snapToGrid w:val="0"/>
              <w:spacing w:line="400" w:lineRule="exact"/>
              <w:ind w:left="0" w:leftChars="0" w:right="0" w:rightChars="0"/>
              <w:jc w:val="center"/>
              <w:textAlignment w:val="auto"/>
              <w:rPr>
                <w:rFonts w:ascii="宋体" w:hAnsi="宋体"/>
                <w:color w:val="000000" w:themeColor="text1"/>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品牌要求</w:t>
            </w:r>
          </w:p>
        </w:tc>
        <w:tc>
          <w:tcPr>
            <w:tcW w:w="4803" w:type="dxa"/>
            <w:vAlign w:val="center"/>
          </w:tcPr>
          <w:p w14:paraId="080AB82D">
            <w:pPr>
              <w:keepNext w:val="0"/>
              <w:keepLines w:val="0"/>
              <w:pageBreakBefore w:val="0"/>
              <w:widowControl/>
              <w:kinsoku/>
              <w:wordWrap/>
              <w:overflowPunct/>
              <w:topLinePunct w:val="0"/>
              <w:autoSpaceDE/>
              <w:autoSpaceDN/>
              <w:bidi w:val="0"/>
              <w:adjustRightInd/>
              <w:snapToGrid w:val="0"/>
              <w:spacing w:line="400" w:lineRule="exact"/>
              <w:ind w:left="0" w:leftChars="0" w:right="0" w:rightChars="0" w:firstLine="420" w:firstLineChars="200"/>
              <w:jc w:val="left"/>
              <w:textAlignment w:val="auto"/>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投标人</w:t>
            </w:r>
            <w:r>
              <w:rPr>
                <w:rFonts w:hint="eastAsia" w:ascii="宋体" w:hAnsi="宋体" w:eastAsia="宋体" w:cs="宋体"/>
                <w:i w:val="0"/>
                <w:iCs w:val="0"/>
                <w:color w:val="auto"/>
                <w:kern w:val="0"/>
                <w:sz w:val="21"/>
                <w:szCs w:val="21"/>
                <w:highlight w:val="none"/>
                <w:u w:val="none"/>
                <w:lang w:val="en-US" w:eastAsia="zh-CN" w:bidi="ar"/>
              </w:rPr>
              <w:t>满足</w:t>
            </w:r>
            <w:r>
              <w:rPr>
                <w:rFonts w:hint="eastAsia" w:ascii="宋体" w:hAnsi="宋体" w:eastAsia="宋体" w:cs="宋体"/>
                <w:i w:val="0"/>
                <w:iCs w:val="0"/>
                <w:color w:val="auto"/>
                <w:kern w:val="0"/>
                <w:sz w:val="21"/>
                <w:szCs w:val="21"/>
                <w:u w:val="none"/>
                <w:lang w:val="en-US" w:eastAsia="zh-CN" w:bidi="ar"/>
              </w:rPr>
              <w:t>第五章供货要求主要部件品牌要求中推荐品牌的</w:t>
            </w:r>
            <w:r>
              <w:rPr>
                <w:rFonts w:hint="eastAsia" w:ascii="宋体" w:hAnsi="宋体" w:eastAsia="宋体" w:cs="宋体"/>
                <w:i w:val="0"/>
                <w:iCs w:val="0"/>
                <w:color w:val="auto"/>
                <w:kern w:val="0"/>
                <w:sz w:val="21"/>
                <w:szCs w:val="21"/>
                <w:highlight w:val="none"/>
                <w:u w:val="single"/>
                <w:lang w:val="en-US" w:eastAsia="zh-CN" w:bidi="ar"/>
              </w:rPr>
              <w:t xml:space="preserve">得 </w:t>
            </w:r>
            <w:r>
              <w:rPr>
                <w:rFonts w:hint="eastAsia" w:ascii="宋体" w:hAnsi="宋体" w:cs="宋体"/>
                <w:i w:val="0"/>
                <w:iCs w:val="0"/>
                <w:color w:val="auto"/>
                <w:kern w:val="0"/>
                <w:sz w:val="21"/>
                <w:szCs w:val="21"/>
                <w:highlight w:val="none"/>
                <w:u w:val="single"/>
                <w:lang w:val="en-US" w:eastAsia="zh-CN" w:bidi="ar"/>
              </w:rPr>
              <w:t>4</w:t>
            </w:r>
            <w:r>
              <w:rPr>
                <w:rFonts w:hint="eastAsia" w:ascii="宋体" w:hAnsi="宋体" w:eastAsia="宋体" w:cs="宋体"/>
                <w:i w:val="0"/>
                <w:iCs w:val="0"/>
                <w:color w:val="auto"/>
                <w:kern w:val="0"/>
                <w:sz w:val="21"/>
                <w:szCs w:val="21"/>
                <w:highlight w:val="none"/>
                <w:u w:val="single"/>
                <w:lang w:val="en-US" w:eastAsia="zh-CN" w:bidi="ar"/>
              </w:rPr>
              <w:t>分</w:t>
            </w:r>
            <w:r>
              <w:rPr>
                <w:rFonts w:hint="eastAsia" w:ascii="宋体" w:hAnsi="宋体" w:eastAsia="宋体" w:cs="宋体"/>
                <w:i w:val="0"/>
                <w:iCs w:val="0"/>
                <w:color w:val="auto"/>
                <w:kern w:val="0"/>
                <w:sz w:val="21"/>
                <w:szCs w:val="21"/>
                <w:u w:val="none"/>
                <w:lang w:val="en-US" w:eastAsia="zh-CN" w:bidi="ar"/>
              </w:rPr>
              <w:t>，其中任意一项目不满足的得0分。</w:t>
            </w:r>
          </w:p>
          <w:p w14:paraId="5866920B">
            <w:pPr>
              <w:pStyle w:val="2"/>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lang w:val="en-US" w:eastAsia="zh-CN"/>
              </w:rPr>
            </w:pPr>
            <w:r>
              <w:rPr>
                <w:rFonts w:hint="eastAsia" w:ascii="宋体" w:hAnsi="宋体"/>
                <w:b/>
                <w:bCs/>
                <w:color w:val="000000" w:themeColor="text1"/>
                <w:kern w:val="0"/>
                <w:szCs w:val="21"/>
                <w:u w:val="none"/>
                <w:lang w:val="en-US" w:eastAsia="zh-CN"/>
                <w14:textFill>
                  <w14:solidFill>
                    <w14:schemeClr w14:val="tx1"/>
                  </w14:solidFill>
                </w14:textFill>
              </w:rPr>
              <w:t>提供：</w:t>
            </w:r>
            <w:r>
              <w:rPr>
                <w:rFonts w:hint="eastAsia" w:ascii="宋体" w:hAnsi="宋体" w:eastAsia="宋体" w:cs="宋体"/>
                <w:b/>
                <w:bCs/>
                <w:caps w:val="0"/>
                <w:smallCaps w:val="0"/>
                <w:color w:val="000000" w:themeColor="text1"/>
                <w:sz w:val="21"/>
                <w:szCs w:val="21"/>
                <w:highlight w:val="none"/>
                <w:u w:val="none"/>
                <w:lang w:val="en-US" w:eastAsia="zh-CN"/>
                <w14:textFill>
                  <w14:solidFill>
                    <w14:schemeClr w14:val="tx1"/>
                  </w14:solidFill>
                </w14:textFill>
              </w:rPr>
              <w:t>投标人应在投标文件商务部分</w:t>
            </w:r>
            <w:r>
              <w:rPr>
                <w:rFonts w:hint="eastAsia" w:ascii="宋体" w:hAnsi="宋体"/>
                <w:b/>
                <w:bCs/>
                <w:color w:val="000000" w:themeColor="text1"/>
                <w:kern w:val="0"/>
                <w:szCs w:val="21"/>
                <w:u w:val="none"/>
                <w14:textFill>
                  <w14:solidFill>
                    <w14:schemeClr w14:val="tx1"/>
                  </w14:solidFill>
                </w14:textFill>
              </w:rPr>
              <w:t>《</w:t>
            </w:r>
            <w:r>
              <w:rPr>
                <w:rFonts w:hint="eastAsia" w:ascii="宋体" w:hAnsi="宋体"/>
                <w:b/>
                <w:bCs/>
                <w:color w:val="000000" w:themeColor="text1"/>
                <w:kern w:val="0"/>
                <w:szCs w:val="21"/>
                <w:u w:val="none"/>
                <w:lang w:val="en-US" w:eastAsia="zh-CN"/>
                <w14:textFill>
                  <w14:solidFill>
                    <w14:schemeClr w14:val="tx1"/>
                  </w14:solidFill>
                </w14:textFill>
              </w:rPr>
              <w:t>主要部件品牌响应表</w:t>
            </w:r>
            <w:r>
              <w:rPr>
                <w:rFonts w:hint="eastAsia" w:ascii="宋体" w:hAnsi="宋体"/>
                <w:b/>
                <w:bCs/>
                <w:color w:val="000000" w:themeColor="text1"/>
                <w:kern w:val="0"/>
                <w:szCs w:val="21"/>
                <w:u w:val="none"/>
                <w14:textFill>
                  <w14:solidFill>
                    <w14:schemeClr w14:val="tx1"/>
                  </w14:solidFill>
                </w14:textFill>
              </w:rPr>
              <w:t>》</w:t>
            </w:r>
            <w:r>
              <w:rPr>
                <w:rFonts w:hint="eastAsia" w:ascii="宋体" w:hAnsi="宋体"/>
                <w:b/>
                <w:bCs/>
                <w:color w:val="000000" w:themeColor="text1"/>
                <w:kern w:val="0"/>
                <w:szCs w:val="21"/>
                <w:u w:val="none"/>
                <w:lang w:val="en-US" w:eastAsia="zh-CN"/>
                <w14:textFill>
                  <w14:solidFill>
                    <w14:schemeClr w14:val="tx1"/>
                  </w14:solidFill>
                </w14:textFill>
              </w:rPr>
              <w:t>中列明响应的唯一品牌</w:t>
            </w:r>
            <w:r>
              <w:rPr>
                <w:rFonts w:hint="eastAsia" w:ascii="宋体" w:hAnsi="宋体"/>
                <w:b/>
                <w:bCs/>
                <w:color w:val="000000" w:themeColor="text1"/>
                <w:szCs w:val="21"/>
                <w:u w:val="none"/>
                <w:lang w:val="en-US" w:eastAsia="zh-CN"/>
                <w14:textFill>
                  <w14:solidFill>
                    <w14:schemeClr w14:val="tx1"/>
                  </w14:solidFill>
                </w14:textFill>
              </w:rPr>
              <w:t>。</w:t>
            </w:r>
          </w:p>
        </w:tc>
      </w:tr>
      <w:tr w14:paraId="653407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297C2BD7">
            <w:pPr>
              <w:spacing w:line="400" w:lineRule="exact"/>
              <w:rPr>
                <w:rFonts w:ascii="宋体" w:hAnsi="宋体"/>
                <w:kern w:val="0"/>
              </w:rPr>
            </w:pPr>
          </w:p>
        </w:tc>
        <w:tc>
          <w:tcPr>
            <w:tcW w:w="1680" w:type="dxa"/>
            <w:vMerge w:val="continue"/>
            <w:tcBorders>
              <w:left w:val="single" w:color="auto" w:sz="4" w:space="0"/>
            </w:tcBorders>
            <w:vAlign w:val="center"/>
          </w:tcPr>
          <w:p w14:paraId="292EB88F">
            <w:pPr>
              <w:spacing w:line="400" w:lineRule="exact"/>
              <w:ind w:right="-63" w:rightChars="-30"/>
              <w:jc w:val="both"/>
            </w:pPr>
          </w:p>
        </w:tc>
        <w:tc>
          <w:tcPr>
            <w:tcW w:w="2171" w:type="dxa"/>
            <w:vAlign w:val="center"/>
          </w:tcPr>
          <w:p w14:paraId="5D4327A8">
            <w:pPr>
              <w:keepNext w:val="0"/>
              <w:keepLines w:val="0"/>
              <w:pageBreakBefore w:val="0"/>
              <w:kinsoku/>
              <w:wordWrap/>
              <w:overflowPunct/>
              <w:topLinePunct w:val="0"/>
              <w:autoSpaceDE/>
              <w:autoSpaceDN/>
              <w:bidi w:val="0"/>
              <w:adjustRightInd/>
              <w:snapToGrid w:val="0"/>
              <w:spacing w:line="400" w:lineRule="exact"/>
              <w:ind w:left="0" w:leftChars="0" w:right="0" w:rightChars="0"/>
              <w:jc w:val="center"/>
              <w:textAlignment w:val="auto"/>
              <w:rPr>
                <w:rFonts w:hint="eastAsia" w:ascii="宋体" w:hAnsi="宋体"/>
                <w:color w:val="000000" w:themeColor="text1"/>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质量保证期</w:t>
            </w:r>
          </w:p>
        </w:tc>
        <w:tc>
          <w:tcPr>
            <w:tcW w:w="4803" w:type="dxa"/>
            <w:vAlign w:val="center"/>
          </w:tcPr>
          <w:p w14:paraId="0A8A9630">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color w:val="auto"/>
                <w:kern w:val="0"/>
                <w:sz w:val="21"/>
                <w:szCs w:val="21"/>
                <w:u w:val="none"/>
                <w:lang w:val="en-US" w:eastAsia="zh-CN"/>
              </w:rPr>
            </w:pPr>
            <w:r>
              <w:rPr>
                <w:rFonts w:hint="eastAsia" w:ascii="宋体" w:hAnsi="宋体" w:eastAsia="宋体" w:cs="宋体"/>
                <w:color w:val="auto"/>
                <w:kern w:val="0"/>
                <w:sz w:val="21"/>
                <w:szCs w:val="21"/>
                <w:u w:val="none"/>
                <w:lang w:val="en-US" w:eastAsia="zh-CN"/>
              </w:rPr>
              <w:t>投标人在满足招标文件规定24个月质量保证期的基础上，</w:t>
            </w:r>
            <w:r>
              <w:rPr>
                <w:rFonts w:hint="eastAsia" w:ascii="宋体" w:hAnsi="宋体" w:eastAsia="宋体" w:cs="宋体"/>
                <w:i w:val="0"/>
                <w:iCs w:val="0"/>
                <w:color w:val="auto"/>
                <w:kern w:val="0"/>
                <w:sz w:val="21"/>
                <w:szCs w:val="21"/>
                <w:highlight w:val="none"/>
                <w:u w:val="none"/>
                <w:lang w:val="en-US" w:eastAsia="zh-CN" w:bidi="ar"/>
              </w:rPr>
              <w:t>每延长</w:t>
            </w:r>
            <w:r>
              <w:rPr>
                <w:rFonts w:hint="eastAsia" w:ascii="宋体" w:hAnsi="宋体" w:eastAsia="宋体" w:cs="宋体"/>
                <w:i w:val="0"/>
                <w:iCs w:val="0"/>
                <w:color w:val="auto"/>
                <w:kern w:val="0"/>
                <w:sz w:val="21"/>
                <w:szCs w:val="21"/>
                <w:highlight w:val="none"/>
                <w:u w:val="single"/>
                <w:lang w:val="en-US" w:eastAsia="zh-CN" w:bidi="ar"/>
              </w:rPr>
              <w:t>6个月，得1.5分，最多得3分</w:t>
            </w:r>
            <w:r>
              <w:rPr>
                <w:rFonts w:hint="eastAsia" w:ascii="宋体" w:hAnsi="宋体" w:eastAsia="宋体" w:cs="宋体"/>
                <w:color w:val="auto"/>
                <w:kern w:val="0"/>
                <w:sz w:val="21"/>
                <w:szCs w:val="21"/>
                <w:u w:val="none"/>
                <w:lang w:val="en-US" w:eastAsia="zh-CN"/>
              </w:rPr>
              <w:t>。</w:t>
            </w:r>
          </w:p>
          <w:p w14:paraId="6F07796D">
            <w:pPr>
              <w:pStyle w:val="2"/>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rPr>
            </w:pPr>
            <w:r>
              <w:rPr>
                <w:rFonts w:hint="eastAsia" w:ascii="宋体" w:hAnsi="宋体"/>
                <w:b/>
                <w:bCs/>
                <w:color w:val="000000" w:themeColor="text1"/>
                <w:kern w:val="0"/>
                <w:szCs w:val="21"/>
                <w:u w:val="none"/>
                <w:lang w:val="en-US" w:eastAsia="zh-CN"/>
                <w14:textFill>
                  <w14:solidFill>
                    <w14:schemeClr w14:val="tx1"/>
                  </w14:solidFill>
                </w14:textFill>
              </w:rPr>
              <w:t>投标人应在投标文件商务部分《商务偏差表》中响应招标文件规定的质保期，或提出优于招标文件的质保期。</w:t>
            </w:r>
          </w:p>
        </w:tc>
      </w:tr>
      <w:tr w14:paraId="06C377C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restart"/>
            <w:tcBorders>
              <w:right w:val="single" w:color="auto" w:sz="4" w:space="0"/>
            </w:tcBorders>
            <w:vAlign w:val="center"/>
          </w:tcPr>
          <w:p w14:paraId="72682AB1">
            <w:pPr>
              <w:spacing w:line="400" w:lineRule="exact"/>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（3）</w:t>
            </w:r>
          </w:p>
        </w:tc>
        <w:tc>
          <w:tcPr>
            <w:tcW w:w="1680" w:type="dxa"/>
            <w:vMerge w:val="restart"/>
            <w:tcBorders>
              <w:left w:val="single" w:color="auto" w:sz="4" w:space="0"/>
            </w:tcBorders>
            <w:vAlign w:val="center"/>
          </w:tcPr>
          <w:p w14:paraId="32B9717D">
            <w:pPr>
              <w:spacing w:line="400" w:lineRule="exact"/>
              <w:jc w:val="center"/>
              <w:rPr>
                <w:rFonts w:ascii="宋体" w:hAnsi="宋体"/>
                <w:kern w:val="0"/>
              </w:rPr>
            </w:pPr>
            <w:r>
              <w:rPr>
                <w:rFonts w:hint="eastAsia" w:ascii="宋体" w:hAnsi="宋体"/>
                <w:kern w:val="0"/>
              </w:rPr>
              <w:t>投标函部分评审标准</w:t>
            </w:r>
          </w:p>
        </w:tc>
        <w:tc>
          <w:tcPr>
            <w:tcW w:w="2171" w:type="dxa"/>
            <w:vAlign w:val="center"/>
          </w:tcPr>
          <w:p w14:paraId="6F894B35">
            <w:pPr>
              <w:tabs>
                <w:tab w:val="left" w:pos="1875"/>
              </w:tabs>
              <w:spacing w:line="400" w:lineRule="exact"/>
              <w:rPr>
                <w:rFonts w:ascii="宋体" w:hAnsi="宋体" w:cs="宋体"/>
                <w:kern w:val="0"/>
              </w:rPr>
            </w:pPr>
            <w:r>
              <w:rPr>
                <w:rFonts w:hint="eastAsia" w:ascii="宋体" w:hAnsi="宋体" w:cs="宋体"/>
                <w:kern w:val="0"/>
              </w:rPr>
              <w:t>投标函部分的签署</w:t>
            </w:r>
          </w:p>
        </w:tc>
        <w:tc>
          <w:tcPr>
            <w:tcW w:w="4803" w:type="dxa"/>
            <w:vAlign w:val="center"/>
          </w:tcPr>
          <w:p w14:paraId="57023225">
            <w:pPr>
              <w:autoSpaceDE w:val="0"/>
              <w:autoSpaceDN w:val="0"/>
              <w:adjustRightInd w:val="0"/>
              <w:snapToGrid w:val="0"/>
              <w:spacing w:line="400" w:lineRule="exact"/>
              <w:ind w:firstLine="420" w:firstLineChars="200"/>
              <w:rPr>
                <w:rFonts w:ascii="宋体" w:hAnsi="宋体"/>
                <w:u w:val="single"/>
              </w:rPr>
            </w:pP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签名（或盖章）的须齐全。</w:t>
            </w:r>
            <w:r>
              <w:rPr>
                <w:rFonts w:hint="eastAsia" w:ascii="宋体" w:hAnsi="宋体"/>
                <w:szCs w:val="21"/>
              </w:rPr>
              <w:t>要求签名的，</w:t>
            </w:r>
            <w:r>
              <w:rPr>
                <w:rFonts w:hint="eastAsia" w:ascii="宋体" w:hAnsi="宋体" w:cs="宋体"/>
                <w:kern w:val="0"/>
              </w:rPr>
              <w:t>签名采用手写签名</w:t>
            </w:r>
            <w:r>
              <w:rPr>
                <w:rFonts w:hint="eastAsia" w:ascii="宋体" w:hAnsi="宋体"/>
                <w:szCs w:val="21"/>
              </w:rPr>
              <w:t>或签章</w:t>
            </w:r>
            <w:r>
              <w:rPr>
                <w:rFonts w:hint="eastAsia" w:ascii="宋体" w:hAnsi="宋体" w:cs="宋体"/>
                <w:kern w:val="0"/>
              </w:rPr>
              <w:t>均可。要求加盖单位法人章的，</w:t>
            </w:r>
            <w:r>
              <w:rPr>
                <w:rFonts w:hint="eastAsia" w:ascii="宋体" w:hAnsi="宋体" w:eastAsia="宋体" w:cs="宋体"/>
                <w:caps w:val="0"/>
                <w:smallCaps w:val="0"/>
                <w:color w:val="auto"/>
                <w:sz w:val="21"/>
                <w:szCs w:val="21"/>
                <w:lang w:val="en-US" w:eastAsia="zh-CN"/>
              </w:rPr>
              <w:t>加盖投标人单位法人章(公章）或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0346D1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5055D550">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59C36F02">
            <w:pPr>
              <w:spacing w:line="400" w:lineRule="exact"/>
              <w:jc w:val="center"/>
              <w:rPr>
                <w:rFonts w:hint="eastAsia" w:ascii="宋体" w:hAnsi="宋体"/>
                <w:kern w:val="0"/>
              </w:rPr>
            </w:pPr>
          </w:p>
        </w:tc>
        <w:tc>
          <w:tcPr>
            <w:tcW w:w="2171" w:type="dxa"/>
            <w:vAlign w:val="center"/>
          </w:tcPr>
          <w:p w14:paraId="40895972">
            <w:pPr>
              <w:tabs>
                <w:tab w:val="left" w:pos="1875"/>
              </w:tabs>
              <w:spacing w:line="400" w:lineRule="exact"/>
              <w:rPr>
                <w:rFonts w:hint="eastAsia" w:ascii="宋体" w:hAnsi="宋体" w:cs="宋体"/>
                <w:kern w:val="0"/>
              </w:rPr>
            </w:pPr>
            <w:r>
              <w:rPr>
                <w:rFonts w:hint="eastAsia" w:ascii="宋体" w:hAnsi="宋体"/>
                <w:kern w:val="0"/>
              </w:rPr>
              <w:t>交货期</w:t>
            </w:r>
          </w:p>
        </w:tc>
        <w:tc>
          <w:tcPr>
            <w:tcW w:w="4803" w:type="dxa"/>
            <w:vAlign w:val="center"/>
          </w:tcPr>
          <w:p w14:paraId="2B183501">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51947F4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7BD72756">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3B828360">
            <w:pPr>
              <w:spacing w:line="400" w:lineRule="exact"/>
              <w:jc w:val="center"/>
              <w:rPr>
                <w:rFonts w:hint="eastAsia" w:ascii="宋体" w:hAnsi="宋体"/>
                <w:kern w:val="0"/>
              </w:rPr>
            </w:pPr>
          </w:p>
        </w:tc>
        <w:tc>
          <w:tcPr>
            <w:tcW w:w="2171" w:type="dxa"/>
            <w:vAlign w:val="center"/>
          </w:tcPr>
          <w:p w14:paraId="59B768B6">
            <w:pPr>
              <w:tabs>
                <w:tab w:val="left" w:pos="1875"/>
              </w:tabs>
              <w:spacing w:line="400" w:lineRule="exact"/>
              <w:rPr>
                <w:rFonts w:hint="eastAsia" w:ascii="宋体" w:hAnsi="宋体" w:cs="宋体"/>
                <w:kern w:val="0"/>
              </w:rPr>
            </w:pPr>
            <w:r>
              <w:rPr>
                <w:rFonts w:hint="eastAsia" w:ascii="宋体" w:hAnsi="宋体"/>
                <w:kern w:val="0"/>
              </w:rPr>
              <w:t>交货地点</w:t>
            </w:r>
          </w:p>
        </w:tc>
        <w:tc>
          <w:tcPr>
            <w:tcW w:w="4803" w:type="dxa"/>
            <w:vAlign w:val="center"/>
          </w:tcPr>
          <w:p w14:paraId="5CCBEF2C">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68CC88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17571ADB">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7005999E">
            <w:pPr>
              <w:spacing w:line="400" w:lineRule="exact"/>
              <w:jc w:val="center"/>
              <w:rPr>
                <w:rFonts w:hint="eastAsia" w:ascii="宋体" w:hAnsi="宋体"/>
                <w:kern w:val="0"/>
              </w:rPr>
            </w:pPr>
          </w:p>
        </w:tc>
        <w:tc>
          <w:tcPr>
            <w:tcW w:w="2171" w:type="dxa"/>
            <w:vAlign w:val="center"/>
          </w:tcPr>
          <w:p w14:paraId="653A55D6">
            <w:pPr>
              <w:tabs>
                <w:tab w:val="left" w:pos="1875"/>
              </w:tabs>
              <w:spacing w:line="400" w:lineRule="exact"/>
              <w:rPr>
                <w:rFonts w:hint="eastAsia" w:ascii="宋体" w:hAnsi="宋体" w:cs="宋体"/>
                <w:kern w:val="0"/>
              </w:rPr>
            </w:pPr>
            <w:r>
              <w:rPr>
                <w:rFonts w:hint="eastAsia" w:ascii="宋体" w:hAnsi="宋体"/>
                <w:kern w:val="0"/>
              </w:rPr>
              <w:t>投标有效期</w:t>
            </w:r>
          </w:p>
        </w:tc>
        <w:tc>
          <w:tcPr>
            <w:tcW w:w="4803" w:type="dxa"/>
            <w:vAlign w:val="center"/>
          </w:tcPr>
          <w:p w14:paraId="30EFB2F1">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52C905A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B8926F5">
            <w:pPr>
              <w:spacing w:line="400" w:lineRule="exact"/>
              <w:rPr>
                <w:rFonts w:ascii="宋体" w:hAnsi="宋体"/>
                <w:kern w:val="0"/>
              </w:rPr>
            </w:pPr>
          </w:p>
        </w:tc>
        <w:tc>
          <w:tcPr>
            <w:tcW w:w="1680" w:type="dxa"/>
            <w:vMerge w:val="continue"/>
            <w:tcBorders>
              <w:left w:val="single" w:color="auto" w:sz="4" w:space="0"/>
            </w:tcBorders>
            <w:vAlign w:val="center"/>
          </w:tcPr>
          <w:p w14:paraId="73A4C73F">
            <w:pPr>
              <w:spacing w:line="400" w:lineRule="exact"/>
              <w:ind w:firstLine="210" w:firstLineChars="100"/>
              <w:jc w:val="center"/>
              <w:rPr>
                <w:rFonts w:ascii="宋体" w:hAnsi="宋体"/>
                <w:kern w:val="0"/>
              </w:rPr>
            </w:pPr>
          </w:p>
        </w:tc>
        <w:tc>
          <w:tcPr>
            <w:tcW w:w="2171" w:type="dxa"/>
            <w:vAlign w:val="center"/>
          </w:tcPr>
          <w:p w14:paraId="64A8C7A0">
            <w:pPr>
              <w:spacing w:line="400" w:lineRule="exact"/>
              <w:jc w:val="left"/>
              <w:rPr>
                <w:rFonts w:ascii="宋体" w:hAnsi="宋体"/>
                <w:kern w:val="0"/>
              </w:rPr>
            </w:pPr>
            <w:r>
              <w:rPr>
                <w:rFonts w:hint="eastAsia" w:ascii="宋体" w:hAnsi="宋体"/>
                <w:kern w:val="0"/>
              </w:rPr>
              <w:t>投标报价</w:t>
            </w:r>
          </w:p>
        </w:tc>
        <w:tc>
          <w:tcPr>
            <w:tcW w:w="4803" w:type="dxa"/>
            <w:vAlign w:val="center"/>
          </w:tcPr>
          <w:p w14:paraId="19E2FAB6">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宋体"/>
                <w:caps w:val="0"/>
                <w:smallCaps w:val="0"/>
                <w:snapToGrid w:val="0"/>
                <w:color w:val="auto"/>
                <w:kern w:val="0"/>
                <w:sz w:val="21"/>
                <w:szCs w:val="21"/>
                <w:highlight w:val="none"/>
                <w:lang w:val="en-US" w:eastAsia="zh-CN"/>
              </w:rPr>
            </w:pPr>
            <w:r>
              <w:rPr>
                <w:rFonts w:hint="eastAsia" w:ascii="宋体" w:hAnsi="宋体" w:eastAsia="宋体" w:cs="宋体"/>
                <w:caps w:val="0"/>
                <w:smallCaps w:val="0"/>
                <w:snapToGrid w:val="0"/>
                <w:color w:val="auto"/>
                <w:kern w:val="0"/>
                <w:sz w:val="21"/>
                <w:szCs w:val="21"/>
                <w:highlight w:val="none"/>
                <w:lang w:val="en-US" w:eastAsia="zh-CN"/>
              </w:rPr>
              <w:t>1.符合第二章“投标人须知”第3.2款规定。</w:t>
            </w:r>
          </w:p>
          <w:p w14:paraId="6E26CDB8">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420" w:firstLineChars="200"/>
              <w:jc w:val="left"/>
              <w:textAlignment w:val="auto"/>
              <w:outlineLvl w:val="9"/>
            </w:pPr>
            <w:r>
              <w:rPr>
                <w:rFonts w:hint="eastAsia" w:ascii="宋体" w:hAnsi="宋体" w:cs="宋体"/>
                <w:lang w:val="en-US" w:eastAsia="zh-CN"/>
              </w:rPr>
              <w:t>2</w:t>
            </w:r>
            <w:r>
              <w:rPr>
                <w:rFonts w:hint="eastAsia" w:ascii="宋体" w:hAnsi="宋体" w:eastAsia="宋体" w:cs="宋体"/>
              </w:rPr>
              <w:t>.</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0F7B47E7">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pPr>
            <w:r>
              <w:rPr>
                <w:rFonts w:hint="eastAsia" w:ascii="宋体" w:hAnsi="宋体" w:cs="宋体"/>
                <w:lang w:val="en-US" w:eastAsia="zh-CN"/>
              </w:rPr>
              <w:t>3</w:t>
            </w:r>
            <w:r>
              <w:rPr>
                <w:rFonts w:hint="eastAsia" w:ascii="宋体" w:hAnsi="宋体" w:eastAsia="宋体" w:cs="宋体"/>
              </w:rPr>
              <w:t>.</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p>
        </w:tc>
      </w:tr>
      <w:tr w14:paraId="46A9F86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9E1E99A">
            <w:pPr>
              <w:spacing w:line="400" w:lineRule="exact"/>
              <w:rPr>
                <w:rFonts w:ascii="宋体" w:hAnsi="宋体"/>
                <w:kern w:val="0"/>
              </w:rPr>
            </w:pPr>
          </w:p>
        </w:tc>
        <w:tc>
          <w:tcPr>
            <w:tcW w:w="1680" w:type="dxa"/>
            <w:vMerge w:val="continue"/>
            <w:tcBorders>
              <w:left w:val="single" w:color="auto" w:sz="4" w:space="0"/>
            </w:tcBorders>
            <w:vAlign w:val="center"/>
          </w:tcPr>
          <w:p w14:paraId="04C32F34">
            <w:pPr>
              <w:spacing w:line="400" w:lineRule="exact"/>
              <w:ind w:firstLine="210" w:firstLineChars="100"/>
              <w:jc w:val="center"/>
              <w:rPr>
                <w:rFonts w:ascii="宋体" w:hAnsi="宋体"/>
                <w:kern w:val="0"/>
              </w:rPr>
            </w:pPr>
          </w:p>
        </w:tc>
        <w:tc>
          <w:tcPr>
            <w:tcW w:w="2171" w:type="dxa"/>
            <w:vAlign w:val="center"/>
          </w:tcPr>
          <w:p w14:paraId="4B03779B">
            <w:pPr>
              <w:snapToGrid w:val="0"/>
              <w:spacing w:line="400" w:lineRule="exact"/>
              <w:jc w:val="left"/>
              <w:rPr>
                <w:rFonts w:ascii="宋体" w:hAnsi="宋体" w:cs="宋体"/>
                <w:kern w:val="0"/>
                <w:szCs w:val="21"/>
                <w:lang w:bidi="ar"/>
              </w:rPr>
            </w:pPr>
            <w:r>
              <w:rPr>
                <w:rFonts w:hint="eastAsia" w:ascii="宋体" w:hAnsi="宋体" w:cs="宋体"/>
                <w:kern w:val="0"/>
                <w:szCs w:val="21"/>
                <w:lang w:bidi="ar"/>
              </w:rPr>
              <w:t>报价唯一</w:t>
            </w:r>
          </w:p>
        </w:tc>
        <w:tc>
          <w:tcPr>
            <w:tcW w:w="4803" w:type="dxa"/>
            <w:vAlign w:val="center"/>
          </w:tcPr>
          <w:p w14:paraId="35596B26">
            <w:pPr>
              <w:snapToGrid w:val="0"/>
              <w:spacing w:line="400" w:lineRule="exact"/>
              <w:ind w:firstLine="420" w:firstLineChars="200"/>
              <w:jc w:val="left"/>
              <w:rPr>
                <w:rFonts w:ascii="宋体" w:hAnsi="宋体" w:cs="宋体"/>
              </w:rPr>
            </w:pPr>
            <w:r>
              <w:rPr>
                <w:rFonts w:hint="eastAsia" w:ascii="宋体" w:hAnsi="宋体" w:cs="宋体"/>
              </w:rPr>
              <w:t>只能有一个有效报价，在招标文件没有规定的情况下，不得提交选择性报价。</w:t>
            </w:r>
          </w:p>
        </w:tc>
      </w:tr>
      <w:tr w14:paraId="23D143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934" w:type="dxa"/>
            <w:vMerge w:val="continue"/>
            <w:tcBorders>
              <w:right w:val="single" w:color="auto" w:sz="4" w:space="0"/>
            </w:tcBorders>
            <w:vAlign w:val="center"/>
          </w:tcPr>
          <w:p w14:paraId="3ABF11FC">
            <w:pPr>
              <w:spacing w:line="400" w:lineRule="exact"/>
              <w:rPr>
                <w:rFonts w:ascii="宋体" w:hAnsi="宋体"/>
                <w:kern w:val="0"/>
              </w:rPr>
            </w:pPr>
          </w:p>
        </w:tc>
        <w:tc>
          <w:tcPr>
            <w:tcW w:w="1680" w:type="dxa"/>
            <w:vMerge w:val="continue"/>
            <w:tcBorders>
              <w:left w:val="single" w:color="auto" w:sz="4" w:space="0"/>
            </w:tcBorders>
            <w:vAlign w:val="center"/>
          </w:tcPr>
          <w:p w14:paraId="3CB73373">
            <w:pPr>
              <w:spacing w:line="400" w:lineRule="exact"/>
              <w:ind w:firstLine="210" w:firstLineChars="100"/>
              <w:jc w:val="center"/>
              <w:rPr>
                <w:rFonts w:ascii="宋体" w:hAnsi="宋体"/>
                <w:kern w:val="0"/>
              </w:rPr>
            </w:pPr>
          </w:p>
        </w:tc>
        <w:tc>
          <w:tcPr>
            <w:tcW w:w="2171" w:type="dxa"/>
            <w:vAlign w:val="center"/>
          </w:tcPr>
          <w:p w14:paraId="6ABB34CE">
            <w:pPr>
              <w:snapToGrid w:val="0"/>
              <w:spacing w:line="400" w:lineRule="exact"/>
              <w:jc w:val="left"/>
              <w:rPr>
                <w:rFonts w:ascii="宋体" w:hAnsi="宋体" w:cs="宋体"/>
                <w:kern w:val="0"/>
                <w:szCs w:val="21"/>
                <w:lang w:bidi="ar"/>
              </w:rPr>
            </w:pPr>
            <w:r>
              <w:rPr>
                <w:rFonts w:hint="eastAsia" w:ascii="宋体" w:hAnsi="宋体" w:cs="宋体"/>
                <w:kern w:val="0"/>
              </w:rPr>
              <w:t>投标报价大小写不一致修正</w:t>
            </w:r>
          </w:p>
        </w:tc>
        <w:tc>
          <w:tcPr>
            <w:tcW w:w="4803" w:type="dxa"/>
            <w:vAlign w:val="center"/>
          </w:tcPr>
          <w:p w14:paraId="4B43E504">
            <w:pPr>
              <w:snapToGrid w:val="0"/>
              <w:spacing w:line="400" w:lineRule="exact"/>
              <w:ind w:firstLine="420" w:firstLineChars="200"/>
              <w:jc w:val="left"/>
              <w:rPr>
                <w:rFonts w:ascii="宋体" w:hAnsi="宋体" w:cs="宋体"/>
                <w:u w:val="single"/>
              </w:rPr>
            </w:pPr>
            <w:r>
              <w:rPr>
                <w:rFonts w:hint="eastAsia" w:ascii="宋体" w:hAnsi="宋体" w:cs="宋体"/>
                <w:kern w:val="0"/>
              </w:rPr>
              <w:t>符合第三章“评标办法”第3.1.</w:t>
            </w:r>
            <w:r>
              <w:rPr>
                <w:rFonts w:hint="eastAsia" w:ascii="宋体" w:hAnsi="宋体" w:cs="宋体"/>
                <w:kern w:val="0"/>
                <w:lang w:val="en-US" w:eastAsia="zh-CN"/>
              </w:rPr>
              <w:t>2</w:t>
            </w:r>
            <w:r>
              <w:rPr>
                <w:rFonts w:hint="eastAsia" w:ascii="宋体" w:hAnsi="宋体" w:cs="宋体"/>
                <w:kern w:val="0"/>
              </w:rPr>
              <w:t>项规定。</w:t>
            </w:r>
          </w:p>
        </w:tc>
      </w:tr>
      <w:tr w14:paraId="5AB2885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1B07F44D">
            <w:pPr>
              <w:spacing w:line="400" w:lineRule="exact"/>
              <w:jc w:val="center"/>
              <w:rPr>
                <w:rFonts w:ascii="宋体" w:hAnsi="宋体"/>
              </w:rPr>
            </w:pPr>
            <w:r>
              <w:rPr>
                <w:rFonts w:hint="eastAsia" w:ascii="宋体" w:hAnsi="宋体"/>
              </w:rPr>
              <w:t>2</w:t>
            </w:r>
            <w:r>
              <w:rPr>
                <w:rFonts w:ascii="宋体" w:hAnsi="宋体"/>
              </w:rPr>
              <w:t>.2.</w:t>
            </w:r>
            <w:r>
              <w:rPr>
                <w:rFonts w:hint="eastAsia" w:ascii="宋体" w:hAnsi="宋体"/>
                <w:lang w:val="en-US" w:eastAsia="zh-CN"/>
              </w:rPr>
              <w:t>2</w:t>
            </w:r>
            <w:r>
              <w:rPr>
                <w:rFonts w:ascii="宋体" w:hAnsi="宋体"/>
              </w:rPr>
              <w:t>（</w:t>
            </w:r>
            <w:r>
              <w:rPr>
                <w:rFonts w:hint="eastAsia" w:ascii="宋体" w:hAnsi="宋体"/>
              </w:rPr>
              <w:t>4</w:t>
            </w:r>
            <w:r>
              <w:rPr>
                <w:rFonts w:ascii="宋体" w:hAnsi="宋体"/>
              </w:rPr>
              <w:t>）</w:t>
            </w:r>
          </w:p>
        </w:tc>
        <w:tc>
          <w:tcPr>
            <w:tcW w:w="1680" w:type="dxa"/>
            <w:vAlign w:val="center"/>
          </w:tcPr>
          <w:p w14:paraId="2A7E2B1C">
            <w:pPr>
              <w:spacing w:line="400" w:lineRule="exact"/>
              <w:jc w:val="center"/>
            </w:pPr>
            <w:r>
              <w:t>报价</w:t>
            </w:r>
            <w:r>
              <w:rPr>
                <w:rFonts w:hint="eastAsia"/>
                <w:lang w:val="en-US" w:eastAsia="zh-CN"/>
              </w:rPr>
              <w:t>评审</w:t>
            </w:r>
            <w:r>
              <w:rPr>
                <w:rFonts w:hint="eastAsia"/>
              </w:rPr>
              <w:t>标准（C）</w:t>
            </w:r>
          </w:p>
        </w:tc>
        <w:tc>
          <w:tcPr>
            <w:tcW w:w="2171" w:type="dxa"/>
            <w:tcBorders>
              <w:top w:val="single" w:color="auto" w:sz="4" w:space="0"/>
              <w:bottom w:val="single" w:color="auto" w:sz="4" w:space="0"/>
            </w:tcBorders>
            <w:vAlign w:val="center"/>
          </w:tcPr>
          <w:p w14:paraId="34919E21">
            <w:pPr>
              <w:keepNext w:val="0"/>
              <w:keepLines w:val="0"/>
              <w:pageBreakBefore w:val="0"/>
              <w:kinsoku/>
              <w:wordWrap/>
              <w:overflowPunct/>
              <w:topLinePunct w:val="0"/>
              <w:autoSpaceDE/>
              <w:autoSpaceDN/>
              <w:bidi w:val="0"/>
              <w:adjustRightInd/>
              <w:spacing w:line="400" w:lineRule="exact"/>
              <w:ind w:left="0" w:leftChars="0" w:right="0" w:rightChars="0"/>
              <w:jc w:val="center"/>
              <w:textAlignment w:val="auto"/>
              <w:rPr>
                <w:rFonts w:ascii="宋体" w:hAnsi="宋体"/>
              </w:rPr>
            </w:pPr>
            <w:r>
              <w:rPr>
                <w:rFonts w:hint="eastAsia" w:ascii="宋体" w:hAnsi="宋体" w:eastAsia="宋体" w:cs="宋体"/>
                <w:sz w:val="21"/>
                <w:szCs w:val="21"/>
              </w:rPr>
              <w:t>投标</w:t>
            </w:r>
            <w:r>
              <w:rPr>
                <w:rFonts w:hint="eastAsia" w:ascii="宋体" w:hAnsi="宋体" w:eastAsia="宋体" w:cs="宋体"/>
                <w:sz w:val="21"/>
                <w:szCs w:val="21"/>
                <w:lang w:val="en-US" w:eastAsia="zh-CN"/>
              </w:rPr>
              <w:t>总</w:t>
            </w:r>
            <w:r>
              <w:rPr>
                <w:rFonts w:hint="eastAsia" w:ascii="宋体" w:hAnsi="宋体" w:eastAsia="宋体" w:cs="宋体"/>
                <w:sz w:val="21"/>
                <w:szCs w:val="21"/>
              </w:rPr>
              <w:t>报价</w:t>
            </w:r>
          </w:p>
        </w:tc>
        <w:tc>
          <w:tcPr>
            <w:tcW w:w="4803" w:type="dxa"/>
            <w:vAlign w:val="center"/>
          </w:tcPr>
          <w:p w14:paraId="783025A1">
            <w:pPr>
              <w:spacing w:line="400" w:lineRule="exact"/>
              <w:ind w:firstLine="420" w:firstLineChars="200"/>
              <w:rPr>
                <w:color w:val="000000" w:themeColor="text1"/>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进入报价评审的投标人的投标总报价（或暂定投标总报价）得</w:t>
            </w:r>
            <w:r>
              <w:rPr>
                <w:rFonts w:hint="eastAsia" w:ascii="宋体" w:hAnsi="宋体"/>
                <w:color w:val="000000" w:themeColor="text1"/>
                <w:kern w:val="0"/>
                <w:u w:val="single"/>
                <w:lang w:val="en-US" w:eastAsia="zh-CN"/>
                <w14:textFill>
                  <w14:solidFill>
                    <w14:schemeClr w14:val="tx1"/>
                  </w14:solidFill>
                </w14:textFill>
              </w:rPr>
              <w:t xml:space="preserve"> 45 </w:t>
            </w:r>
            <w:r>
              <w:rPr>
                <w:rFonts w:hint="eastAsia" w:ascii="宋体" w:hAnsi="宋体"/>
                <w:color w:val="000000" w:themeColor="text1"/>
                <w:kern w:val="0"/>
                <w:lang w:val="en-US" w:eastAsia="zh-CN"/>
                <w14:textFill>
                  <w14:solidFill>
                    <w14:schemeClr w14:val="tx1"/>
                  </w14:solidFill>
                </w14:textFill>
              </w:rPr>
              <w:t>分。在此基础上，投标总报价（或暂定投标总报价）与评标基准价相比，每增加1%扣</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分，扣完为止；每减少1%加</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分，最多加</w:t>
            </w:r>
            <w:r>
              <w:rPr>
                <w:rFonts w:hint="eastAsia" w:ascii="宋体" w:hAnsi="宋体"/>
                <w:color w:val="000000" w:themeColor="text1"/>
                <w:kern w:val="0"/>
                <w:u w:val="single"/>
                <w:lang w:val="en-US" w:eastAsia="zh-CN"/>
                <w14:textFill>
                  <w14:solidFill>
                    <w14:schemeClr w14:val="tx1"/>
                  </w14:solidFill>
                </w14:textFill>
              </w:rPr>
              <w:t xml:space="preserve">　5 </w:t>
            </w:r>
            <w:r>
              <w:rPr>
                <w:rFonts w:hint="eastAsia" w:ascii="宋体" w:hAnsi="宋体"/>
                <w:color w:val="000000" w:themeColor="text1"/>
                <w:kern w:val="0"/>
                <w:lang w:val="en-US" w:eastAsia="zh-CN"/>
                <w14:textFill>
                  <w14:solidFill>
                    <w14:schemeClr w14:val="tx1"/>
                  </w14:solidFill>
                </w14:textFill>
              </w:rPr>
              <w:t>分。</w:t>
            </w:r>
            <w:r>
              <w:rPr>
                <w:color w:val="000000" w:themeColor="text1"/>
                <w14:textFill>
                  <w14:solidFill>
                    <w14:schemeClr w14:val="tx1"/>
                  </w14:solidFill>
                </w14:textFill>
              </w:rPr>
              <w:t>按插入法计算得分。</w:t>
            </w:r>
          </w:p>
          <w:p w14:paraId="65AC5ED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color w:val="000000" w:themeColor="text1"/>
                <w14:textFill>
                  <w14:solidFill>
                    <w14:schemeClr w14:val="tx1"/>
                  </w14:solidFill>
                </w14:textFill>
              </w:rPr>
            </w:pPr>
            <w:r>
              <w:rPr>
                <w:color w:val="000000" w:themeColor="text1"/>
                <w14:textFill>
                  <w14:solidFill>
                    <w14:schemeClr w14:val="tx1"/>
                  </w14:solidFill>
                </w14:textFill>
              </w:rPr>
              <w:t>未参与评标基准价计算的投标</w:t>
            </w:r>
            <w:r>
              <w:rPr>
                <w:rFonts w:hint="eastAsia"/>
                <w:color w:val="000000" w:themeColor="text1"/>
                <w:lang w:val="en-US" w:eastAsia="zh-CN"/>
                <w14:textFill>
                  <w14:solidFill>
                    <w14:schemeClr w14:val="tx1"/>
                  </w14:solidFill>
                </w14:textFill>
              </w:rPr>
              <w:t>总</w:t>
            </w:r>
            <w:r>
              <w:rPr>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color w:val="000000" w:themeColor="text1"/>
                <w14:textFill>
                  <w14:solidFill>
                    <w14:schemeClr w14:val="tx1"/>
                  </w14:solidFill>
                </w14:textFill>
              </w:rPr>
              <w:t>，仍应参加计算相应分值。</w:t>
            </w:r>
          </w:p>
          <w:p w14:paraId="7B1E3342">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color w:val="000000" w:themeColor="text1"/>
                <w14:textFill>
                  <w14:solidFill>
                    <w14:schemeClr w14:val="tx1"/>
                  </w14:solidFill>
                </w14:textFill>
              </w:rPr>
              <w:t>投标</w:t>
            </w:r>
            <w:r>
              <w:rPr>
                <w:rFonts w:hint="eastAsia"/>
                <w:color w:val="000000" w:themeColor="text1"/>
                <w:lang w:val="en-US" w:eastAsia="zh-CN"/>
                <w14:textFill>
                  <w14:solidFill>
                    <w14:schemeClr w14:val="tx1"/>
                  </w14:solidFill>
                </w14:textFill>
              </w:rPr>
              <w:t>总</w:t>
            </w:r>
            <w:r>
              <w:rPr>
                <w:rFonts w:hint="eastAsia"/>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rFonts w:hint="eastAsia"/>
                <w:color w:val="000000" w:themeColor="text1"/>
                <w14:textFill>
                  <w14:solidFill>
                    <w14:schemeClr w14:val="tx1"/>
                  </w14:solidFill>
                </w14:textFill>
              </w:rPr>
              <w:t>得分最终结果保留两位小数</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小数点后</w:t>
            </w:r>
            <w:r>
              <w:rPr>
                <w:color w:val="000000" w:themeColor="text1"/>
                <w14:textFill>
                  <w14:solidFill>
                    <w14:schemeClr w14:val="tx1"/>
                  </w14:solidFill>
                </w14:textFill>
              </w:rPr>
              <w:t>第三位四舍五入。</w:t>
            </w:r>
          </w:p>
        </w:tc>
      </w:tr>
      <w:tr w14:paraId="3E31104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43C5469">
            <w:pPr>
              <w:spacing w:line="400" w:lineRule="exact"/>
              <w:jc w:val="center"/>
              <w:rPr>
                <w:rFonts w:hint="default" w:ascii="宋体" w:hAnsi="宋体" w:eastAsia="宋体"/>
                <w:lang w:val="en-US" w:eastAsia="zh-CN"/>
              </w:rPr>
            </w:pPr>
            <w:r>
              <w:rPr>
                <w:rFonts w:hint="eastAsia" w:ascii="宋体" w:hAnsi="宋体"/>
                <w:lang w:val="en-US" w:eastAsia="zh-CN"/>
              </w:rPr>
              <w:t>2.2.3</w:t>
            </w:r>
          </w:p>
        </w:tc>
        <w:tc>
          <w:tcPr>
            <w:tcW w:w="1680" w:type="dxa"/>
            <w:vAlign w:val="center"/>
          </w:tcPr>
          <w:p w14:paraId="3799519A">
            <w:pPr>
              <w:spacing w:line="400" w:lineRule="exact"/>
            </w:pPr>
            <w:r>
              <w:rPr>
                <w:rFonts w:ascii="宋体" w:hAnsi="宋体"/>
                <w:kern w:val="0"/>
              </w:rPr>
              <w:t>评标基准价计算方法</w:t>
            </w:r>
          </w:p>
          <w:p w14:paraId="2F60D71C">
            <w:pPr>
              <w:spacing w:line="400" w:lineRule="exact"/>
              <w:jc w:val="center"/>
            </w:pPr>
          </w:p>
        </w:tc>
        <w:tc>
          <w:tcPr>
            <w:tcW w:w="2171" w:type="dxa"/>
            <w:tcBorders>
              <w:top w:val="single" w:color="auto" w:sz="4" w:space="0"/>
              <w:bottom w:val="single" w:color="auto" w:sz="4" w:space="0"/>
            </w:tcBorders>
            <w:vAlign w:val="center"/>
          </w:tcPr>
          <w:p w14:paraId="75E27B3B">
            <w:pPr>
              <w:spacing w:line="400" w:lineRule="exact"/>
              <w:jc w:val="center"/>
              <w:rPr>
                <w:rFonts w:hint="eastAsia" w:ascii="宋体" w:hAnsi="宋体" w:eastAsia="宋体"/>
                <w:lang w:eastAsia="zh-CN"/>
              </w:rPr>
            </w:pPr>
            <w:r>
              <w:rPr>
                <w:rFonts w:ascii="宋体" w:hAnsi="宋体"/>
                <w:kern w:val="0"/>
              </w:rPr>
              <w:t>投标总报价</w:t>
            </w:r>
          </w:p>
        </w:tc>
        <w:tc>
          <w:tcPr>
            <w:tcW w:w="4803" w:type="dxa"/>
            <w:vAlign w:val="center"/>
          </w:tcPr>
          <w:p w14:paraId="1FA0DE40">
            <w:pPr>
              <w:snapToGrid w:val="0"/>
              <w:spacing w:line="400" w:lineRule="exact"/>
              <w:ind w:firstLine="420" w:firstLineChars="200"/>
              <w:rPr>
                <w:rFonts w:hint="eastAsia" w:ascii="宋体" w:hAnsi="宋体"/>
                <w:i/>
                <w:kern w:val="0"/>
                <w:szCs w:val="21"/>
              </w:rPr>
            </w:pPr>
            <w:r>
              <w:rPr>
                <w:rFonts w:hint="eastAsia" w:ascii="宋体" w:hAnsi="宋体" w:cs="宋体"/>
                <w:color w:val="auto"/>
                <w:kern w:val="0"/>
                <w:szCs w:val="21"/>
                <w:highlight w:val="none"/>
                <w:lang w:eastAsia="zh-CN"/>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价中去掉六分之一（不能整除的按小数点前整数取整，不足六家报价则不去掉）的最低价和相同家数的最高价后的算术平均值</w:t>
            </w:r>
            <w:r>
              <w:rPr>
                <w:rFonts w:hint="eastAsia" w:ascii="宋体" w:hAnsi="宋体"/>
                <w:kern w:val="0"/>
                <w:szCs w:val="21"/>
              </w:rPr>
              <w:t>，即为本项目的投标总报价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hint="eastAsia" w:ascii="宋体" w:hAnsi="宋体"/>
                <w:kern w:val="0"/>
                <w:szCs w:val="21"/>
              </w:rPr>
              <w:t>的评标基准价。</w:t>
            </w:r>
          </w:p>
          <w:p w14:paraId="251D196E">
            <w:pPr>
              <w:spacing w:line="400" w:lineRule="exact"/>
              <w:ind w:firstLine="420" w:firstLineChars="200"/>
              <w:rPr>
                <w:rFonts w:hint="eastAsia" w:ascii="宋体" w:hAnsi="宋体"/>
                <w:i/>
                <w:iCs/>
                <w:kern w:val="0"/>
                <w:szCs w:val="21"/>
              </w:rPr>
            </w:pPr>
            <w:r>
              <w:rPr>
                <w:rFonts w:hint="eastAsia" w:ascii="宋体" w:hAnsi="宋体"/>
                <w:kern w:val="0"/>
                <w:szCs w:val="21"/>
              </w:rPr>
              <w:t>评标基准价计算的最终结果</w:t>
            </w:r>
            <w:r>
              <w:rPr>
                <w:rFonts w:ascii="宋体" w:hAnsi="宋体"/>
                <w:kern w:val="0"/>
                <w:szCs w:val="21"/>
              </w:rPr>
              <w:t>取小数点后两位，</w:t>
            </w:r>
            <w:r>
              <w:rPr>
                <w:rFonts w:hint="eastAsia" w:ascii="宋体" w:hAnsi="宋体"/>
                <w:kern w:val="0"/>
                <w:szCs w:val="21"/>
              </w:rPr>
              <w:t>小数点后</w:t>
            </w:r>
            <w:r>
              <w:rPr>
                <w:rFonts w:ascii="宋体" w:hAnsi="宋体"/>
                <w:kern w:val="0"/>
                <w:szCs w:val="21"/>
              </w:rPr>
              <w:t>第三位四舍五入。</w:t>
            </w:r>
          </w:p>
        </w:tc>
      </w:tr>
      <w:tr w14:paraId="358B23D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5B837D01">
            <w:pPr>
              <w:spacing w:line="400" w:lineRule="exact"/>
              <w:jc w:val="center"/>
              <w:rPr>
                <w:rFonts w:hint="default" w:ascii="宋体" w:hAnsi="宋体" w:eastAsia="宋体"/>
                <w:lang w:val="en-US" w:eastAsia="zh-CN"/>
              </w:rPr>
            </w:pPr>
            <w:r>
              <w:rPr>
                <w:rFonts w:hint="eastAsia" w:ascii="宋体" w:hAnsi="宋体"/>
                <w:lang w:val="en-US" w:eastAsia="zh-CN"/>
              </w:rPr>
              <w:t>2.2.4</w:t>
            </w:r>
          </w:p>
        </w:tc>
        <w:tc>
          <w:tcPr>
            <w:tcW w:w="1680" w:type="dxa"/>
            <w:vAlign w:val="center"/>
          </w:tcPr>
          <w:p w14:paraId="0D97C6E8">
            <w:pPr>
              <w:spacing w:line="400" w:lineRule="exact"/>
              <w:jc w:val="center"/>
            </w:pPr>
            <w:r>
              <w:rPr>
                <w:rFonts w:hint="eastAsia" w:ascii="宋体" w:hAnsi="宋体"/>
                <w:kern w:val="0"/>
              </w:rPr>
              <w:t>偏差率计算</w:t>
            </w:r>
          </w:p>
        </w:tc>
        <w:tc>
          <w:tcPr>
            <w:tcW w:w="6974" w:type="dxa"/>
            <w:gridSpan w:val="2"/>
            <w:tcBorders>
              <w:top w:val="single" w:color="auto" w:sz="4" w:space="0"/>
              <w:bottom w:val="single" w:color="auto" w:sz="4" w:space="0"/>
            </w:tcBorders>
            <w:vAlign w:val="center"/>
          </w:tcPr>
          <w:p w14:paraId="5D596C93">
            <w:pPr>
              <w:spacing w:line="400" w:lineRule="exact"/>
              <w:ind w:firstLine="420" w:firstLineChars="200"/>
              <w:jc w:val="left"/>
              <w:rPr>
                <w:rFonts w:ascii="宋体" w:hAnsi="宋体"/>
                <w:kern w:val="0"/>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rPr>
              <w:t>的偏差率计算公式</w:t>
            </w:r>
          </w:p>
          <w:p w14:paraId="01F1F6FF">
            <w:pPr>
              <w:spacing w:line="400" w:lineRule="exact"/>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100％×（投标人报价一评标基准价</w:t>
            </w:r>
            <w:r>
              <w:rPr>
                <w:rFonts w:hint="eastAsia" w:ascii="宋体" w:hAnsi="宋体"/>
                <w:kern w:val="0"/>
              </w:rPr>
              <w:t>）</w:t>
            </w:r>
            <w:r>
              <w:rPr>
                <w:rFonts w:ascii="宋体" w:hAnsi="宋体"/>
                <w:kern w:val="0"/>
              </w:rPr>
              <w:t>／评标基准价</w:t>
            </w:r>
          </w:p>
          <w:p w14:paraId="3630D18E">
            <w:pPr>
              <w:spacing w:line="400" w:lineRule="exact"/>
              <w:ind w:firstLine="420" w:firstLineChars="200"/>
              <w:rPr>
                <w:rFonts w:hint="eastAsia" w:ascii="宋体" w:hAnsi="宋体"/>
                <w:i/>
                <w:iCs/>
                <w:kern w:val="0"/>
                <w:szCs w:val="21"/>
              </w:rPr>
            </w:pPr>
            <w:r>
              <w:rPr>
                <w:rFonts w:hint="eastAsia" w:ascii="宋体" w:hAnsi="宋体"/>
                <w:kern w:val="0"/>
              </w:rPr>
              <w:t>偏差率计算的最终结果取小数点后两位</w:t>
            </w:r>
            <w:r>
              <w:rPr>
                <w:rFonts w:ascii="宋体" w:hAnsi="宋体"/>
                <w:kern w:val="0"/>
                <w:szCs w:val="21"/>
              </w:rPr>
              <w:t>，小数点后第三位四舍五入。</w:t>
            </w:r>
          </w:p>
        </w:tc>
      </w:tr>
      <w:tr w14:paraId="4DBA9B9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61C4A649">
            <w:pPr>
              <w:spacing w:line="400" w:lineRule="exact"/>
              <w:jc w:val="center"/>
              <w:rPr>
                <w:rFonts w:ascii="宋体" w:hAnsi="宋体"/>
              </w:rPr>
            </w:pPr>
            <w:r>
              <w:rPr>
                <w:rFonts w:hint="eastAsia" w:ascii="宋体" w:hAnsi="宋体"/>
              </w:rPr>
              <w:t>3</w:t>
            </w:r>
          </w:p>
        </w:tc>
        <w:tc>
          <w:tcPr>
            <w:tcW w:w="1680" w:type="dxa"/>
            <w:vAlign w:val="center"/>
          </w:tcPr>
          <w:p w14:paraId="441C7FC5">
            <w:pPr>
              <w:spacing w:line="400" w:lineRule="exact"/>
              <w:jc w:val="center"/>
              <w:rPr>
                <w:rFonts w:hint="eastAsia" w:ascii="宋体" w:hAnsi="宋体"/>
              </w:rPr>
            </w:pPr>
            <w:r>
              <w:rPr>
                <w:rFonts w:hint="eastAsia" w:ascii="宋体" w:hAnsi="宋体"/>
              </w:rPr>
              <w:t>评标程序</w:t>
            </w:r>
          </w:p>
        </w:tc>
        <w:tc>
          <w:tcPr>
            <w:tcW w:w="6974" w:type="dxa"/>
            <w:gridSpan w:val="2"/>
            <w:tcBorders>
              <w:top w:val="single" w:color="auto" w:sz="4" w:space="0"/>
              <w:bottom w:val="single" w:color="auto" w:sz="4" w:space="0"/>
            </w:tcBorders>
            <w:vAlign w:val="center"/>
          </w:tcPr>
          <w:p w14:paraId="2418BCC1">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textAlignment w:val="auto"/>
              <w:rPr>
                <w:rFonts w:hint="eastAsia" w:ascii="宋体" w:hAnsi="宋体" w:cs="宋体"/>
                <w:szCs w:val="21"/>
              </w:rPr>
            </w:pPr>
            <w:r>
              <w:rPr>
                <w:rFonts w:hint="eastAsia" w:ascii="宋体" w:hAnsi="宋体" w:cs="宋体"/>
                <w:color w:val="auto"/>
                <w:szCs w:val="21"/>
              </w:rPr>
              <w:t>全部评审方式</w:t>
            </w:r>
          </w:p>
          <w:p w14:paraId="7F0DFA5D">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w:t>
            </w:r>
          </w:p>
          <w:p w14:paraId="31CE83E7">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2.技术评审。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rPr>
              <w:t>。</w:t>
            </w:r>
          </w:p>
          <w:p w14:paraId="2EE912E2">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3.商务评审。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2</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进行商务</w:t>
            </w:r>
            <w:r>
              <w:rPr>
                <w:rFonts w:hint="eastAsia" w:ascii="宋体" w:hAnsi="宋体" w:cs="宋体"/>
                <w:szCs w:val="21"/>
              </w:rPr>
              <w:t>评审</w:t>
            </w:r>
            <w:r>
              <w:rPr>
                <w:rFonts w:hint="eastAsia" w:ascii="宋体" w:hAnsi="宋体" w:cs="宋体"/>
                <w:szCs w:val="21"/>
                <w:lang w:eastAsia="zh-CN"/>
              </w:rPr>
              <w:t>，</w:t>
            </w:r>
            <w:r>
              <w:rPr>
                <w:rFonts w:hint="eastAsia" w:ascii="宋体" w:hAnsi="宋体" w:cs="宋体"/>
                <w:szCs w:val="21"/>
                <w:lang w:val="en-US" w:eastAsia="zh-CN"/>
              </w:rPr>
              <w:t>计算出商务得分B</w:t>
            </w:r>
            <w:r>
              <w:rPr>
                <w:rFonts w:hint="eastAsia" w:ascii="宋体" w:hAnsi="宋体" w:cs="宋体"/>
                <w:szCs w:val="21"/>
              </w:rPr>
              <w:t>。</w:t>
            </w:r>
          </w:p>
          <w:p w14:paraId="5B373684">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eastAsia="宋体" w:cs="宋体"/>
                <w:szCs w:val="21"/>
                <w:lang w:eastAsia="zh-CN"/>
              </w:rPr>
            </w:pPr>
            <w:r>
              <w:rPr>
                <w:rFonts w:hint="eastAsia" w:ascii="宋体" w:hAnsi="宋体" w:cs="宋体"/>
                <w:szCs w:val="21"/>
                <w:lang w:val="en-US" w:eastAsia="zh-CN"/>
              </w:rPr>
              <w:t>4.投标函部分评审。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eastAsia="宋体" w:cs="宋体"/>
                <w:kern w:val="0"/>
                <w:szCs w:val="21"/>
                <w:lang w:eastAsia="zh-CN"/>
              </w:rPr>
              <w:t>投标函</w:t>
            </w:r>
            <w:r>
              <w:rPr>
                <w:rFonts w:hint="eastAsia" w:ascii="宋体" w:hAnsi="宋体" w:cs="宋体"/>
                <w:kern w:val="0"/>
                <w:szCs w:val="21"/>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val="en-US" w:eastAsia="zh-CN"/>
              </w:rPr>
              <w:t>进行</w:t>
            </w:r>
            <w:r>
              <w:rPr>
                <w:rFonts w:hint="eastAsia" w:ascii="宋体" w:hAnsi="宋体" w:cs="宋体"/>
                <w:szCs w:val="21"/>
              </w:rPr>
              <w:t>后续评审</w:t>
            </w:r>
            <w:r>
              <w:rPr>
                <w:rFonts w:hint="eastAsia" w:ascii="宋体" w:hAnsi="宋体" w:cs="宋体"/>
                <w:szCs w:val="21"/>
                <w:lang w:eastAsia="zh-CN"/>
              </w:rPr>
              <w:t>。</w:t>
            </w:r>
          </w:p>
          <w:p w14:paraId="6935DFB3">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lang w:eastAsia="zh-CN"/>
              </w:rPr>
              <w:t>报价评审。</w:t>
            </w:r>
            <w:r>
              <w:rPr>
                <w:rFonts w:hint="eastAsia" w:ascii="宋体" w:hAnsi="宋体" w:cs="宋体"/>
                <w:szCs w:val="21"/>
              </w:rPr>
              <w:t>按照第2.2.3项</w:t>
            </w:r>
            <w:r>
              <w:rPr>
                <w:rFonts w:hint="eastAsia" w:ascii="宋体" w:hAnsi="宋体" w:cs="宋体"/>
                <w:szCs w:val="21"/>
                <w:lang w:val="en-US"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4</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rPr>
              <w:t>进行</w:t>
            </w:r>
            <w:r>
              <w:rPr>
                <w:rFonts w:hint="eastAsia" w:ascii="宋体" w:hAnsi="宋体" w:cs="宋体"/>
                <w:szCs w:val="21"/>
                <w:lang w:val="en-US" w:eastAsia="zh-CN"/>
              </w:rPr>
              <w:t>报价评审，计算出报价得分C</w:t>
            </w:r>
            <w:r>
              <w:rPr>
                <w:rFonts w:hint="eastAsia" w:ascii="宋体" w:hAnsi="宋体" w:cs="宋体"/>
                <w:szCs w:val="21"/>
              </w:rPr>
              <w:t>。</w:t>
            </w:r>
          </w:p>
          <w:p w14:paraId="0231FB58">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6</w:t>
            </w:r>
            <w:r>
              <w:rPr>
                <w:rFonts w:hint="eastAsia" w:ascii="宋体" w:hAnsi="宋体" w:cs="宋体"/>
                <w:szCs w:val="21"/>
              </w:rPr>
              <w:t>.</w:t>
            </w:r>
            <w:r>
              <w:rPr>
                <w:rFonts w:hint="eastAsia" w:ascii="宋体" w:hAnsi="宋体" w:cs="宋体"/>
                <w:szCs w:val="21"/>
                <w:lang w:eastAsia="zh-CN"/>
              </w:rPr>
              <w:t>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lang w:eastAsia="zh-CN"/>
              </w:rPr>
              <w:t>、</w:t>
            </w:r>
            <w:r>
              <w:rPr>
                <w:rFonts w:hint="eastAsia" w:ascii="宋体" w:hAnsi="宋体" w:cs="宋体"/>
                <w:szCs w:val="21"/>
                <w:lang w:val="en-US" w:eastAsia="zh-CN"/>
              </w:rPr>
              <w:t>商务得分B</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p>
          <w:p w14:paraId="3CDB30F7">
            <w:pPr>
              <w:keepNext w:val="0"/>
              <w:keepLines w:val="0"/>
              <w:pageBreakBefore w:val="0"/>
              <w:kinsoku/>
              <w:wordWrap/>
              <w:overflowPunct/>
              <w:topLinePunct w:val="0"/>
              <w:bidi w:val="0"/>
              <w:spacing w:beforeLines="0" w:after="0" w:afterLines="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注：（1）</w:t>
            </w:r>
            <w:r>
              <w:rPr>
                <w:rFonts w:hint="eastAsia" w:ascii="宋体" w:hAnsi="宋体" w:cs="宋体"/>
                <w:szCs w:val="21"/>
              </w:rPr>
              <w:t>因评标委员会作否决投标导致有效投标人不足三个的，评标委员会应当</w:t>
            </w:r>
            <w:r>
              <w:rPr>
                <w:rFonts w:hint="eastAsia" w:ascii="宋体" w:hAnsi="宋体" w:cs="宋体"/>
                <w:spacing w:val="4"/>
                <w:kern w:val="0"/>
                <w:szCs w:val="21"/>
              </w:rPr>
              <w:t>对有效投标人是否仍具有竞争性进行论证。评标委员会认为有效投标人</w:t>
            </w:r>
            <w:r>
              <w:rPr>
                <w:rFonts w:hint="eastAsia" w:ascii="宋体" w:hAnsi="宋体" w:cs="宋体"/>
                <w:szCs w:val="21"/>
              </w:rPr>
              <w:t>的经济、技术等指标仍然具有市场竞争力，能够满足招标文件要求的，评标委员会可以继续评标并确定中标候选人。</w:t>
            </w:r>
            <w:r>
              <w:rPr>
                <w:rFonts w:hint="eastAsia" w:ascii="宋体" w:hAnsi="宋体" w:eastAsia="宋体" w:cs="宋体"/>
                <w:i w:val="0"/>
                <w:iCs w:val="0"/>
                <w:color w:val="auto"/>
                <w:kern w:val="0"/>
                <w:szCs w:val="21"/>
                <w:highlight w:val="none"/>
                <w:lang w:val="en-US" w:eastAsia="zh-CN"/>
              </w:rPr>
              <w:t>（注：本款只适用于首次招标。</w:t>
            </w:r>
            <w:r>
              <w:rPr>
                <w:rFonts w:hint="eastAsia" w:ascii="宋体" w:hAnsi="宋体" w:cs="宋体"/>
                <w:i w:val="0"/>
                <w:iCs w:val="0"/>
                <w:color w:val="auto"/>
                <w:kern w:val="0"/>
                <w:szCs w:val="21"/>
                <w:highlight w:val="none"/>
                <w:lang w:val="en-US" w:eastAsia="zh-CN"/>
              </w:rPr>
              <w:t>重新招标经评审有有效投标人的，应当依法确定中标候选人。</w:t>
            </w:r>
            <w:r>
              <w:rPr>
                <w:rFonts w:hint="eastAsia" w:ascii="宋体" w:hAnsi="宋体" w:eastAsia="宋体" w:cs="宋体"/>
                <w:i w:val="0"/>
                <w:iCs w:val="0"/>
                <w:color w:val="auto"/>
                <w:kern w:val="0"/>
                <w:szCs w:val="21"/>
                <w:highlight w:val="none"/>
                <w:lang w:val="en-US" w:eastAsia="zh-CN"/>
              </w:rPr>
              <w:t>）</w:t>
            </w:r>
          </w:p>
          <w:p w14:paraId="268001B3">
            <w:pPr>
              <w:keepNext w:val="0"/>
              <w:keepLines w:val="0"/>
              <w:pageBreakBefore w:val="0"/>
              <w:widowControl/>
              <w:kinsoku/>
              <w:wordWrap/>
              <w:overflowPunct/>
              <w:topLinePunct w:val="0"/>
              <w:bidi w:val="0"/>
              <w:spacing w:beforeLines="0" w:beforeAutospacing="0" w:after="0" w:afterLines="0" w:afterAutospacing="0" w:line="400" w:lineRule="exact"/>
              <w:ind w:firstLine="420" w:firstLineChars="200"/>
              <w:jc w:val="left"/>
              <w:textAlignment w:val="auto"/>
              <w:rPr>
                <w:rFonts w:ascii="宋体" w:hAnsi="宋体"/>
                <w:kern w:val="0"/>
                <w:szCs w:val="21"/>
              </w:rPr>
            </w:pPr>
            <w:r>
              <w:rPr>
                <w:rFonts w:hint="eastAsia" w:ascii="宋体" w:hAnsi="宋体" w:cs="宋体"/>
                <w:kern w:val="0"/>
                <w:szCs w:val="21"/>
                <w:lang w:val="en-US" w:eastAsia="zh-CN"/>
              </w:rPr>
              <w:t>（2）综合评分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的，以</w:t>
            </w:r>
            <w:r>
              <w:rPr>
                <w:rFonts w:hint="eastAsia" w:ascii="宋体" w:hAnsi="宋体" w:cs="宋体"/>
                <w:kern w:val="0"/>
                <w:szCs w:val="21"/>
                <w:lang w:val="en-US" w:eastAsia="zh-CN"/>
              </w:rPr>
              <w:t>技术部分得分高的</w:t>
            </w:r>
            <w:r>
              <w:rPr>
                <w:rFonts w:hint="eastAsia" w:ascii="宋体" w:hAnsi="宋体" w:cs="宋体"/>
                <w:kern w:val="0"/>
                <w:szCs w:val="21"/>
              </w:rPr>
              <w:t>优先；</w:t>
            </w:r>
            <w:r>
              <w:rPr>
                <w:rFonts w:hint="eastAsia" w:ascii="宋体" w:hAnsi="宋体" w:cs="宋体"/>
                <w:kern w:val="0"/>
                <w:szCs w:val="21"/>
                <w:lang w:val="en-US" w:eastAsia="zh-CN"/>
              </w:rPr>
              <w:t>技术部分得分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w:t>
            </w:r>
            <w:r>
              <w:rPr>
                <w:rFonts w:hint="eastAsia" w:ascii="宋体" w:hAnsi="宋体" w:cs="宋体"/>
                <w:kern w:val="0"/>
                <w:szCs w:val="21"/>
                <w:lang w:eastAsia="zh-CN"/>
              </w:rPr>
              <w:t>以</w:t>
            </w:r>
            <w:r>
              <w:rPr>
                <w:rFonts w:hint="eastAsia" w:ascii="宋体" w:hAnsi="宋体" w:cs="宋体"/>
                <w:kern w:val="0"/>
                <w:szCs w:val="21"/>
                <w:u w:val="single"/>
                <w:lang w:val="en-US" w:eastAsia="zh-CN"/>
              </w:rPr>
              <w:t>商务部分得分高的</w:t>
            </w:r>
            <w:r>
              <w:rPr>
                <w:rFonts w:hint="eastAsia" w:ascii="宋体" w:hAnsi="宋体" w:cs="宋体"/>
                <w:kern w:val="0"/>
                <w:szCs w:val="21"/>
                <w:u w:val="none"/>
                <w:lang w:val="en-US" w:eastAsia="zh-CN"/>
              </w:rPr>
              <w:t>优先；</w:t>
            </w:r>
            <w:r>
              <w:rPr>
                <w:rFonts w:hint="eastAsia" w:ascii="宋体" w:hAnsi="宋体" w:cs="宋体"/>
                <w:kern w:val="0"/>
                <w:szCs w:val="21"/>
                <w:u w:val="single"/>
                <w:lang w:val="en-US" w:eastAsia="zh-CN"/>
              </w:rPr>
              <w:t>商务部分得分</w:t>
            </w:r>
            <w:r>
              <w:rPr>
                <w:rFonts w:hint="eastAsia" w:ascii="宋体" w:hAnsi="宋体" w:cs="宋体"/>
                <w:kern w:val="0"/>
                <w:szCs w:val="21"/>
                <w:u w:val="none"/>
                <w:lang w:val="en-US" w:eastAsia="zh-CN"/>
              </w:rPr>
              <w:t>也相同的，</w:t>
            </w:r>
            <w:r>
              <w:rPr>
                <w:rFonts w:hint="eastAsia" w:ascii="宋体" w:hAnsi="宋体" w:cs="宋体"/>
                <w:kern w:val="0"/>
                <w:szCs w:val="21"/>
              </w:rPr>
              <w:t>由评标委员</w:t>
            </w:r>
            <w:r>
              <w:rPr>
                <w:rFonts w:hint="eastAsia" w:ascii="宋体" w:hAnsi="宋体" w:cs="宋体"/>
                <w:kern w:val="0"/>
                <w:szCs w:val="21"/>
                <w:lang w:val="en-US" w:eastAsia="zh-CN"/>
              </w:rPr>
              <w:t>会</w:t>
            </w:r>
            <w:r>
              <w:rPr>
                <w:rFonts w:hint="eastAsia" w:ascii="宋体" w:hAnsi="宋体" w:cs="宋体"/>
                <w:kern w:val="0"/>
                <w:szCs w:val="21"/>
                <w:lang w:eastAsia="zh-CN"/>
              </w:rPr>
              <w:t>投票</w:t>
            </w:r>
            <w:r>
              <w:rPr>
                <w:rFonts w:hint="eastAsia" w:ascii="宋体" w:hAnsi="宋体" w:cs="宋体"/>
                <w:kern w:val="0"/>
                <w:szCs w:val="21"/>
              </w:rPr>
              <w:t>排序。</w:t>
            </w:r>
          </w:p>
        </w:tc>
      </w:tr>
      <w:tr w14:paraId="0870531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0704558D">
            <w:pPr>
              <w:spacing w:line="400" w:lineRule="exact"/>
              <w:jc w:val="center"/>
              <w:rPr>
                <w:rFonts w:ascii="宋体" w:hAnsi="宋体"/>
              </w:rPr>
            </w:pPr>
            <w:r>
              <w:rPr>
                <w:rFonts w:hint="eastAsia" w:ascii="宋体" w:hAnsi="宋体"/>
              </w:rPr>
              <w:t>3.2.3</w:t>
            </w:r>
          </w:p>
        </w:tc>
        <w:tc>
          <w:tcPr>
            <w:tcW w:w="1680" w:type="dxa"/>
            <w:vAlign w:val="center"/>
          </w:tcPr>
          <w:p w14:paraId="1AE0E75A">
            <w:pPr>
              <w:spacing w:line="400" w:lineRule="exact"/>
              <w:jc w:val="center"/>
              <w:rPr>
                <w:rFonts w:hint="eastAsia" w:ascii="宋体" w:hAnsi="宋体"/>
              </w:rPr>
            </w:pPr>
            <w:r>
              <w:rPr>
                <w:rFonts w:hint="eastAsia" w:ascii="宋体" w:hAnsi="宋体"/>
              </w:rPr>
              <w:t>投标人得分</w:t>
            </w:r>
          </w:p>
        </w:tc>
        <w:tc>
          <w:tcPr>
            <w:tcW w:w="6974" w:type="dxa"/>
            <w:gridSpan w:val="2"/>
            <w:tcBorders>
              <w:top w:val="single" w:color="auto" w:sz="4" w:space="0"/>
              <w:bottom w:val="single" w:color="auto" w:sz="4" w:space="0"/>
            </w:tcBorders>
            <w:vAlign w:val="center"/>
          </w:tcPr>
          <w:p w14:paraId="3FB6F76A">
            <w:pPr>
              <w:spacing w:line="400" w:lineRule="exact"/>
              <w:ind w:firstLine="420" w:firstLineChars="200"/>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09D24F6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0AFA7DC3">
            <w:pPr>
              <w:spacing w:line="400" w:lineRule="exact"/>
              <w:jc w:val="center"/>
              <w:rPr>
                <w:rFonts w:ascii="宋体" w:hAnsi="宋体"/>
              </w:rPr>
            </w:pPr>
            <w:r>
              <w:rPr>
                <w:rFonts w:hint="eastAsia" w:ascii="宋体" w:hAnsi="宋体"/>
              </w:rPr>
              <w:t>3.4</w:t>
            </w:r>
          </w:p>
        </w:tc>
        <w:tc>
          <w:tcPr>
            <w:tcW w:w="1680" w:type="dxa"/>
            <w:vAlign w:val="center"/>
          </w:tcPr>
          <w:p w14:paraId="3AB4BAEB">
            <w:pPr>
              <w:spacing w:line="400" w:lineRule="exact"/>
              <w:jc w:val="center"/>
              <w:rPr>
                <w:rFonts w:hint="eastAsia" w:ascii="宋体" w:hAnsi="宋体"/>
              </w:rPr>
            </w:pPr>
            <w:r>
              <w:rPr>
                <w:rFonts w:hint="eastAsia" w:ascii="宋体" w:hAnsi="宋体"/>
              </w:rPr>
              <w:t>评标结果</w:t>
            </w:r>
          </w:p>
        </w:tc>
        <w:tc>
          <w:tcPr>
            <w:tcW w:w="6974" w:type="dxa"/>
            <w:gridSpan w:val="2"/>
            <w:tcBorders>
              <w:top w:val="single" w:color="auto" w:sz="4" w:space="0"/>
            </w:tcBorders>
            <w:vAlign w:val="center"/>
          </w:tcPr>
          <w:p w14:paraId="2F41C45D">
            <w:pPr>
              <w:spacing w:line="400" w:lineRule="exact"/>
              <w:ind w:firstLine="420" w:firstLineChars="200"/>
              <w:rPr>
                <w:rFonts w:hint="eastAsia" w:ascii="宋体" w:hAnsi="宋体" w:eastAsia="宋体" w:cs="宋体"/>
              </w:rPr>
            </w:pPr>
            <w:r>
              <w:rPr>
                <w:rFonts w:hint="eastAsia" w:ascii="宋体" w:hAnsi="宋体" w:eastAsia="宋体" w:cs="宋体"/>
              </w:rPr>
              <w:t>3.4.1除第二章</w:t>
            </w:r>
            <w:r>
              <w:rPr>
                <w:rFonts w:hint="eastAsia" w:ascii="宋体" w:hAnsi="宋体" w:eastAsia="宋体" w:cs="宋体"/>
                <w:lang w:eastAsia="zh-CN"/>
              </w:rPr>
              <w:t>“</w:t>
            </w:r>
            <w:r>
              <w:rPr>
                <w:rFonts w:hint="eastAsia" w:ascii="宋体" w:hAnsi="宋体" w:eastAsia="宋体" w:cs="宋体"/>
              </w:rPr>
              <w:t>投标人须知</w:t>
            </w:r>
            <w:r>
              <w:rPr>
                <w:rFonts w:hint="eastAsia" w:ascii="宋体" w:hAnsi="宋体" w:eastAsia="宋体" w:cs="宋体"/>
                <w:lang w:eastAsia="zh-CN"/>
              </w:rPr>
              <w:t>”</w:t>
            </w:r>
            <w:r>
              <w:rPr>
                <w:rFonts w:hint="eastAsia" w:ascii="宋体" w:hAnsi="宋体" w:eastAsia="宋体" w:cs="宋体"/>
              </w:rPr>
              <w:t>前附表授权直接确定中标人外，评标委员会按照得分由高到低的顺序推荐中标候选人。</w:t>
            </w:r>
          </w:p>
          <w:p w14:paraId="3B2D14DE">
            <w:pPr>
              <w:spacing w:line="400" w:lineRule="exact"/>
              <w:ind w:firstLine="420" w:firstLineChars="200"/>
            </w:pPr>
            <w:r>
              <w:rPr>
                <w:rFonts w:hint="eastAsia" w:ascii="宋体" w:hAnsi="宋体" w:eastAsia="宋体" w:cs="宋体"/>
                <w:szCs w:val="22"/>
              </w:rPr>
              <w:t>3.4.2</w:t>
            </w:r>
            <w:r>
              <w:rPr>
                <w:szCs w:val="22"/>
              </w:rPr>
              <w:t>评标委员会完成评标后，应当向招标人提交书面评标报告和中标候选人名单。</w:t>
            </w:r>
          </w:p>
        </w:tc>
      </w:tr>
    </w:tbl>
    <w:p w14:paraId="5C43F6D7">
      <w:pPr>
        <w:pStyle w:val="4"/>
        <w:spacing w:before="0" w:after="0" w:line="360" w:lineRule="auto"/>
        <w:rPr>
          <w:rFonts w:ascii="宋体" w:hAnsi="宋体"/>
          <w:b w:val="0"/>
          <w:snapToGrid w:val="0"/>
        </w:rPr>
      </w:pPr>
      <w:bookmarkStart w:id="526" w:name="_Toc509218776"/>
      <w:r>
        <w:rPr>
          <w:rFonts w:ascii="宋体" w:hAnsi="宋体"/>
          <w:b w:val="0"/>
          <w:snapToGrid w:val="0"/>
        </w:rPr>
        <w:br w:type="page"/>
      </w:r>
      <w:bookmarkStart w:id="527" w:name="_Toc10674"/>
      <w:bookmarkStart w:id="528" w:name="_Toc20523"/>
      <w:r>
        <w:rPr>
          <w:rFonts w:ascii="宋体" w:hAnsi="宋体"/>
          <w:b w:val="0"/>
          <w:snapToGrid w:val="0"/>
        </w:rPr>
        <w:t>1.  评标方法</w:t>
      </w:r>
      <w:bookmarkEnd w:id="526"/>
      <w:bookmarkEnd w:id="527"/>
      <w:bookmarkEnd w:id="528"/>
    </w:p>
    <w:p w14:paraId="7D606D06">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lang w:val="en-US" w:eastAsia="zh-CN"/>
        </w:rPr>
        <w:t>出现投标人</w:t>
      </w:r>
      <w:r>
        <w:rPr>
          <w:rFonts w:ascii="宋体" w:hAnsi="宋体"/>
          <w:kern w:val="0"/>
          <w:szCs w:val="21"/>
        </w:rPr>
        <w:t>综合评分相等时，</w:t>
      </w:r>
      <w:r>
        <w:rPr>
          <w:rFonts w:hint="eastAsia" w:ascii="宋体" w:hAnsi="宋体"/>
          <w:kern w:val="0"/>
          <w:szCs w:val="21"/>
        </w:rPr>
        <w:t>以评标办法前附表约定的原则确定</w:t>
      </w:r>
      <w:r>
        <w:rPr>
          <w:rFonts w:hint="eastAsia"/>
          <w:lang w:val="en-US" w:eastAsia="zh-CN"/>
        </w:rPr>
        <w:t>排序</w:t>
      </w:r>
      <w:r>
        <w:rPr>
          <w:rFonts w:ascii="宋体" w:hAnsi="宋体"/>
          <w:spacing w:val="-31"/>
          <w:kern w:val="0"/>
          <w:szCs w:val="21"/>
        </w:rPr>
        <w:t>。</w:t>
      </w:r>
    </w:p>
    <w:p w14:paraId="179EF45B">
      <w:pPr>
        <w:pStyle w:val="4"/>
        <w:spacing w:before="0" w:after="0" w:line="360" w:lineRule="auto"/>
        <w:rPr>
          <w:rFonts w:ascii="宋体" w:hAnsi="宋体"/>
          <w:b w:val="0"/>
          <w:snapToGrid w:val="0"/>
        </w:rPr>
      </w:pPr>
      <w:bookmarkStart w:id="529" w:name="_Toc287607813"/>
      <w:bookmarkStart w:id="530" w:name="_Toc430530501"/>
      <w:bookmarkStart w:id="531" w:name="_Toc277082619"/>
      <w:bookmarkStart w:id="532" w:name="_Toc11608"/>
      <w:bookmarkStart w:id="533" w:name="_Toc509218777"/>
      <w:bookmarkStart w:id="534" w:name="_Toc200513199"/>
      <w:bookmarkStart w:id="535" w:name="_Toc287620752"/>
      <w:bookmarkStart w:id="536" w:name="_Toc22230"/>
      <w:bookmarkStart w:id="537" w:name="_Toc224103385"/>
      <w:r>
        <w:rPr>
          <w:rFonts w:ascii="宋体" w:hAnsi="宋体"/>
          <w:b w:val="0"/>
          <w:snapToGrid w:val="0"/>
        </w:rPr>
        <w:t>2.  评审标准</w:t>
      </w:r>
      <w:bookmarkEnd w:id="529"/>
      <w:bookmarkEnd w:id="530"/>
      <w:bookmarkEnd w:id="531"/>
      <w:bookmarkEnd w:id="532"/>
      <w:bookmarkEnd w:id="533"/>
      <w:bookmarkEnd w:id="534"/>
      <w:bookmarkEnd w:id="535"/>
      <w:bookmarkEnd w:id="536"/>
      <w:bookmarkEnd w:id="537"/>
    </w:p>
    <w:p w14:paraId="22BA67DA">
      <w:pPr>
        <w:pStyle w:val="6"/>
        <w:snapToGrid w:val="0"/>
        <w:spacing w:before="0" w:after="0" w:line="360" w:lineRule="auto"/>
        <w:rPr>
          <w:rFonts w:ascii="宋体" w:hAnsi="宋体"/>
          <w:b w:val="0"/>
          <w:snapToGrid w:val="0"/>
          <w:sz w:val="24"/>
          <w:szCs w:val="24"/>
        </w:rPr>
      </w:pPr>
      <w:bookmarkStart w:id="538" w:name="_Toc509218778"/>
      <w:bookmarkStart w:id="539" w:name="_Toc1359"/>
      <w:bookmarkStart w:id="540" w:name="_Toc224103386"/>
      <w:bookmarkStart w:id="541" w:name="_Toc430530502"/>
      <w:bookmarkStart w:id="542" w:name="_Toc287607814"/>
      <w:bookmarkStart w:id="543" w:name="_Toc277082620"/>
      <w:bookmarkStart w:id="544" w:name="_Toc287620753"/>
      <w:bookmarkStart w:id="545" w:name="_Toc103"/>
      <w:bookmarkStart w:id="546" w:name="_Toc200513200"/>
      <w:r>
        <w:rPr>
          <w:rFonts w:ascii="宋体" w:hAnsi="宋体"/>
          <w:b w:val="0"/>
          <w:snapToGrid w:val="0"/>
          <w:sz w:val="24"/>
          <w:szCs w:val="24"/>
        </w:rPr>
        <w:t>2.1  初步评审标准</w:t>
      </w:r>
      <w:bookmarkEnd w:id="538"/>
      <w:bookmarkEnd w:id="539"/>
      <w:bookmarkEnd w:id="540"/>
      <w:bookmarkEnd w:id="541"/>
      <w:bookmarkEnd w:id="542"/>
      <w:bookmarkEnd w:id="543"/>
      <w:bookmarkEnd w:id="544"/>
      <w:bookmarkEnd w:id="545"/>
      <w:bookmarkEnd w:id="546"/>
    </w:p>
    <w:p w14:paraId="4BD3F81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19DB36D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7A1C17F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5D9B977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2.1.3  响应性评审标准：见评标办法前附表。</w:t>
      </w:r>
    </w:p>
    <w:p w14:paraId="59915887">
      <w:pPr>
        <w:pStyle w:val="6"/>
        <w:snapToGrid w:val="0"/>
        <w:spacing w:before="0" w:after="0" w:line="360" w:lineRule="auto"/>
        <w:rPr>
          <w:rFonts w:ascii="宋体" w:hAnsi="宋体"/>
          <w:b w:val="0"/>
          <w:snapToGrid w:val="0"/>
          <w:sz w:val="24"/>
          <w:szCs w:val="24"/>
        </w:rPr>
      </w:pPr>
      <w:bookmarkStart w:id="547" w:name="_Toc287607815"/>
      <w:bookmarkStart w:id="548" w:name="_Toc26090"/>
      <w:bookmarkStart w:id="549" w:name="_Toc509218779"/>
      <w:bookmarkStart w:id="550" w:name="_Toc224103387"/>
      <w:bookmarkStart w:id="551" w:name="_Toc200513201"/>
      <w:bookmarkStart w:id="552" w:name="_Toc430530503"/>
      <w:bookmarkStart w:id="553" w:name="_Toc287620754"/>
      <w:bookmarkStart w:id="554" w:name="_Toc26665"/>
      <w:bookmarkStart w:id="555" w:name="_Toc277082621"/>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547"/>
      <w:bookmarkEnd w:id="548"/>
      <w:bookmarkEnd w:id="549"/>
      <w:bookmarkEnd w:id="550"/>
      <w:bookmarkEnd w:id="551"/>
      <w:bookmarkEnd w:id="552"/>
      <w:bookmarkEnd w:id="553"/>
      <w:bookmarkEnd w:id="554"/>
      <w:bookmarkEnd w:id="555"/>
    </w:p>
    <w:p w14:paraId="349FB61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2.2.1  分值构成</w:t>
      </w:r>
    </w:p>
    <w:p w14:paraId="1CCE277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0818191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1F1CE5B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ascii="宋体" w:hAnsi="宋体"/>
          <w:spacing w:val="-1"/>
          <w:kern w:val="0"/>
          <w:szCs w:val="21"/>
        </w:rPr>
        <w:t>报</w:t>
      </w:r>
      <w:r>
        <w:rPr>
          <w:rFonts w:ascii="宋体" w:hAnsi="宋体"/>
          <w:kern w:val="0"/>
          <w:szCs w:val="21"/>
        </w:rPr>
        <w:t>价</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0CAB3684">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w:t>
      </w:r>
      <w:r>
        <w:rPr>
          <w:rFonts w:ascii="宋体" w:hAnsi="宋体"/>
          <w:kern w:val="0"/>
          <w:szCs w:val="21"/>
        </w:rPr>
        <w:t>.2.</w:t>
      </w:r>
      <w:r>
        <w:rPr>
          <w:rFonts w:hint="eastAsia" w:ascii="宋体" w:hAnsi="宋体"/>
          <w:kern w:val="0"/>
          <w:szCs w:val="21"/>
          <w:lang w:val="en-US" w:eastAsia="zh-CN"/>
        </w:rPr>
        <w:t>2</w:t>
      </w:r>
      <w:r>
        <w:rPr>
          <w:rFonts w:ascii="宋体" w:hAnsi="宋体"/>
          <w:kern w:val="0"/>
          <w:szCs w:val="21"/>
        </w:rPr>
        <w:t xml:space="preserve">  评</w:t>
      </w:r>
      <w:r>
        <w:rPr>
          <w:rFonts w:hint="eastAsia" w:ascii="宋体" w:hAnsi="宋体"/>
          <w:kern w:val="0"/>
          <w:szCs w:val="21"/>
        </w:rPr>
        <w:t>审</w:t>
      </w:r>
      <w:r>
        <w:rPr>
          <w:rFonts w:ascii="宋体" w:hAnsi="宋体"/>
          <w:kern w:val="0"/>
          <w:szCs w:val="21"/>
        </w:rPr>
        <w:t>标准</w:t>
      </w:r>
    </w:p>
    <w:p w14:paraId="70BECFA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7332A32F">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商务</w:t>
      </w:r>
      <w:r>
        <w:rPr>
          <w:rFonts w:hint="eastAsia" w:ascii="宋体" w:hAnsi="宋体"/>
          <w:kern w:val="0"/>
          <w:szCs w:val="21"/>
          <w:lang w:val="en-US" w:eastAsia="zh-CN"/>
        </w:rPr>
        <w:t>评审</w:t>
      </w:r>
      <w:r>
        <w:rPr>
          <w:rFonts w:ascii="宋体" w:hAnsi="宋体"/>
          <w:kern w:val="0"/>
          <w:szCs w:val="21"/>
        </w:rPr>
        <w:t>标准：见评标办法前附表；</w:t>
      </w:r>
    </w:p>
    <w:p w14:paraId="2EBDCCE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5978328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报价</w:t>
      </w:r>
      <w:r>
        <w:rPr>
          <w:rFonts w:hint="eastAsia" w:ascii="宋体" w:hAnsi="宋体"/>
          <w:kern w:val="0"/>
          <w:szCs w:val="21"/>
          <w:lang w:val="en-US" w:eastAsia="zh-CN"/>
        </w:rPr>
        <w:t>评审</w:t>
      </w:r>
      <w:r>
        <w:rPr>
          <w:rFonts w:ascii="宋体" w:hAnsi="宋体"/>
          <w:kern w:val="0"/>
          <w:szCs w:val="21"/>
        </w:rPr>
        <w:t>标准：见评标办法前附表。</w:t>
      </w:r>
    </w:p>
    <w:p w14:paraId="04A8871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3</w:t>
      </w:r>
      <w:r>
        <w:rPr>
          <w:rFonts w:hint="eastAsia" w:ascii="宋体" w:hAnsi="宋体"/>
          <w:kern w:val="0"/>
          <w:szCs w:val="21"/>
        </w:rPr>
        <w:t xml:space="preserve">  </w:t>
      </w:r>
      <w:r>
        <w:rPr>
          <w:rFonts w:ascii="宋体" w:hAnsi="宋体"/>
          <w:kern w:val="0"/>
          <w:szCs w:val="21"/>
        </w:rPr>
        <w:t>评标基准价计算</w:t>
      </w:r>
    </w:p>
    <w:p w14:paraId="2F6AFD7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评标基准价计算方法：见评标办法前附表。</w:t>
      </w:r>
    </w:p>
    <w:p w14:paraId="79FEC3D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p>
    <w:p w14:paraId="239EFD5E">
      <w:pPr>
        <w:autoSpaceDE w:val="0"/>
        <w:autoSpaceDN w:val="0"/>
        <w:adjustRightInd w:val="0"/>
        <w:snapToGrid w:val="0"/>
        <w:spacing w:line="360" w:lineRule="auto"/>
        <w:ind w:firstLine="420" w:firstLineChars="200"/>
      </w:pPr>
      <w:r>
        <w:rPr>
          <w:rFonts w:ascii="宋体" w:hAnsi="宋体"/>
          <w:kern w:val="0"/>
          <w:szCs w:val="21"/>
        </w:rPr>
        <w:t>投标报价的偏差率计算公式：见评标办法前附表</w:t>
      </w:r>
      <w:r>
        <w:rPr>
          <w:rFonts w:hint="eastAsia" w:ascii="宋体" w:hAnsi="宋体"/>
          <w:kern w:val="0"/>
          <w:szCs w:val="21"/>
        </w:rPr>
        <w:t>；</w:t>
      </w:r>
    </w:p>
    <w:p w14:paraId="3F4C8828">
      <w:pPr>
        <w:pStyle w:val="4"/>
        <w:spacing w:before="0" w:after="0" w:line="360" w:lineRule="auto"/>
        <w:rPr>
          <w:rFonts w:ascii="宋体" w:hAnsi="宋体"/>
          <w:b w:val="0"/>
          <w:snapToGrid w:val="0"/>
        </w:rPr>
      </w:pPr>
      <w:bookmarkStart w:id="556" w:name="_Toc32251"/>
      <w:bookmarkStart w:id="557" w:name="_Toc200513202"/>
      <w:bookmarkStart w:id="558" w:name="_Toc224103388"/>
      <w:bookmarkStart w:id="559" w:name="_Toc287607816"/>
      <w:bookmarkStart w:id="560" w:name="_Toc287620755"/>
      <w:bookmarkStart w:id="561" w:name="_Toc1272"/>
      <w:bookmarkStart w:id="562" w:name="_Toc509218780"/>
      <w:bookmarkStart w:id="563" w:name="_Toc430530504"/>
      <w:bookmarkStart w:id="564" w:name="_Toc277082622"/>
      <w:r>
        <w:rPr>
          <w:rFonts w:ascii="宋体" w:hAnsi="宋体"/>
          <w:b w:val="0"/>
          <w:snapToGrid w:val="0"/>
        </w:rPr>
        <w:t>3.  评标程序</w:t>
      </w:r>
      <w:bookmarkEnd w:id="556"/>
      <w:bookmarkEnd w:id="557"/>
      <w:bookmarkEnd w:id="558"/>
      <w:bookmarkEnd w:id="559"/>
      <w:bookmarkEnd w:id="560"/>
      <w:bookmarkEnd w:id="561"/>
      <w:bookmarkEnd w:id="562"/>
      <w:bookmarkEnd w:id="563"/>
      <w:bookmarkEnd w:id="564"/>
    </w:p>
    <w:p w14:paraId="6CE3483B">
      <w:pPr>
        <w:pStyle w:val="6"/>
        <w:snapToGrid w:val="0"/>
        <w:spacing w:before="0" w:after="0" w:line="360" w:lineRule="auto"/>
        <w:rPr>
          <w:rFonts w:ascii="宋体" w:hAnsi="宋体"/>
          <w:b w:val="0"/>
          <w:snapToGrid w:val="0"/>
          <w:sz w:val="24"/>
          <w:szCs w:val="24"/>
        </w:rPr>
      </w:pPr>
      <w:bookmarkStart w:id="565" w:name="_Toc200513203"/>
      <w:bookmarkStart w:id="566" w:name="_Toc287620756"/>
      <w:bookmarkStart w:id="567" w:name="_Toc224103389"/>
      <w:bookmarkStart w:id="568" w:name="_Toc277082623"/>
      <w:bookmarkStart w:id="569" w:name="_Toc28132"/>
      <w:bookmarkStart w:id="570" w:name="_Toc28133"/>
      <w:bookmarkStart w:id="571" w:name="_Toc430530505"/>
      <w:bookmarkStart w:id="572" w:name="_Toc509218781"/>
      <w:bookmarkStart w:id="573" w:name="_Toc287607817"/>
      <w:r>
        <w:rPr>
          <w:rFonts w:ascii="宋体" w:hAnsi="宋体"/>
          <w:b w:val="0"/>
          <w:snapToGrid w:val="0"/>
          <w:sz w:val="24"/>
          <w:szCs w:val="24"/>
        </w:rPr>
        <w:t>3.1  初步评审</w:t>
      </w:r>
      <w:bookmarkEnd w:id="565"/>
      <w:bookmarkEnd w:id="566"/>
      <w:bookmarkEnd w:id="567"/>
      <w:bookmarkEnd w:id="568"/>
      <w:bookmarkEnd w:id="569"/>
      <w:bookmarkEnd w:id="570"/>
      <w:bookmarkEnd w:id="571"/>
      <w:bookmarkEnd w:id="572"/>
      <w:bookmarkEnd w:id="573"/>
    </w:p>
    <w:p w14:paraId="45FDB53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30B17B0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12BC64D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3.1.2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6A33C92B">
      <w:pPr>
        <w:pStyle w:val="6"/>
        <w:snapToGrid w:val="0"/>
        <w:spacing w:before="0" w:after="0" w:line="360" w:lineRule="auto"/>
        <w:rPr>
          <w:rFonts w:ascii="宋体" w:hAnsi="宋体"/>
          <w:b w:val="0"/>
          <w:snapToGrid w:val="0"/>
          <w:sz w:val="24"/>
          <w:szCs w:val="24"/>
        </w:rPr>
      </w:pPr>
      <w:bookmarkStart w:id="574" w:name="_Toc1"/>
      <w:bookmarkStart w:id="575" w:name="_Toc287607818"/>
      <w:bookmarkStart w:id="576" w:name="_Toc287620757"/>
      <w:bookmarkStart w:id="577" w:name="_Toc224103390"/>
      <w:bookmarkStart w:id="578" w:name="_Toc1733"/>
      <w:bookmarkStart w:id="579" w:name="_Toc200513204"/>
      <w:bookmarkStart w:id="580" w:name="_Toc509218782"/>
      <w:bookmarkStart w:id="581" w:name="_Toc277082624"/>
      <w:bookmarkStart w:id="582" w:name="_Toc430530506"/>
      <w:r>
        <w:rPr>
          <w:rFonts w:ascii="宋体" w:hAnsi="宋体"/>
          <w:b w:val="0"/>
          <w:snapToGrid w:val="0"/>
          <w:sz w:val="24"/>
          <w:szCs w:val="24"/>
        </w:rPr>
        <w:t>3.2  详细评审</w:t>
      </w:r>
      <w:bookmarkEnd w:id="574"/>
      <w:bookmarkEnd w:id="575"/>
      <w:bookmarkEnd w:id="576"/>
      <w:bookmarkEnd w:id="577"/>
      <w:bookmarkEnd w:id="578"/>
      <w:bookmarkEnd w:id="579"/>
      <w:bookmarkEnd w:id="580"/>
      <w:bookmarkEnd w:id="581"/>
      <w:bookmarkEnd w:id="582"/>
    </w:p>
    <w:p w14:paraId="6F0CA692">
      <w:pPr>
        <w:autoSpaceDE w:val="0"/>
        <w:autoSpaceDN w:val="0"/>
        <w:adjustRightInd w:val="0"/>
        <w:snapToGrid w:val="0"/>
        <w:spacing w:line="360" w:lineRule="auto"/>
        <w:ind w:firstLine="420" w:firstLineChars="200"/>
        <w:rPr>
          <w:rFonts w:hint="eastAsia" w:ascii="宋体" w:hAnsi="宋体" w:eastAsia="宋体"/>
          <w:kern w:val="0"/>
          <w:szCs w:val="21"/>
          <w:lang w:eastAsia="zh-CN"/>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lang w:eastAsia="zh-CN"/>
        </w:rPr>
        <w:t>。</w:t>
      </w:r>
    </w:p>
    <w:p w14:paraId="2EA1CE1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77FE397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339C2BFA">
      <w:pPr>
        <w:pStyle w:val="6"/>
        <w:snapToGrid w:val="0"/>
        <w:spacing w:before="0" w:after="0" w:line="360" w:lineRule="auto"/>
        <w:rPr>
          <w:rFonts w:ascii="宋体" w:hAnsi="宋体"/>
          <w:b w:val="0"/>
          <w:snapToGrid w:val="0"/>
          <w:sz w:val="24"/>
          <w:szCs w:val="24"/>
        </w:rPr>
      </w:pPr>
      <w:bookmarkStart w:id="583" w:name="_Toc200513205"/>
      <w:bookmarkStart w:id="584" w:name="_Toc19489"/>
      <w:bookmarkStart w:id="585" w:name="_Toc509218783"/>
      <w:bookmarkStart w:id="586" w:name="_Toc17810"/>
      <w:bookmarkStart w:id="587" w:name="_Toc287620758"/>
      <w:bookmarkStart w:id="588" w:name="_Toc277082625"/>
      <w:bookmarkStart w:id="589" w:name="_Toc224103391"/>
      <w:bookmarkStart w:id="590" w:name="_Toc287607819"/>
      <w:bookmarkStart w:id="591" w:name="_Toc430530507"/>
      <w:r>
        <w:rPr>
          <w:rFonts w:ascii="宋体" w:hAnsi="宋体"/>
          <w:b w:val="0"/>
          <w:snapToGrid w:val="0"/>
          <w:sz w:val="24"/>
          <w:szCs w:val="24"/>
        </w:rPr>
        <w:t>3.3  投标文件的澄清</w:t>
      </w:r>
      <w:bookmarkEnd w:id="583"/>
      <w:bookmarkEnd w:id="584"/>
      <w:bookmarkEnd w:id="585"/>
      <w:bookmarkEnd w:id="586"/>
      <w:bookmarkEnd w:id="587"/>
      <w:bookmarkEnd w:id="588"/>
      <w:bookmarkEnd w:id="589"/>
      <w:bookmarkEnd w:id="590"/>
      <w:bookmarkEnd w:id="591"/>
    </w:p>
    <w:p w14:paraId="5E6FB223">
      <w:pPr>
        <w:autoSpaceDE w:val="0"/>
        <w:autoSpaceDN w:val="0"/>
        <w:adjustRightInd w:val="0"/>
        <w:snapToGrid w:val="0"/>
        <w:spacing w:line="360" w:lineRule="auto"/>
        <w:ind w:firstLine="420" w:firstLineChars="200"/>
        <w:rPr>
          <w:rFonts w:ascii="宋体" w:hAnsi="宋体"/>
          <w:kern w:val="0"/>
          <w:szCs w:val="21"/>
        </w:rPr>
      </w:pPr>
      <w:bookmarkStart w:id="592" w:name="_Hlk71569932"/>
      <w:r>
        <w:rPr>
          <w:rFonts w:ascii="宋体" w:hAnsi="宋体"/>
          <w:kern w:val="0"/>
          <w:szCs w:val="21"/>
        </w:rPr>
        <w:t>3.3.1  在评标过程中，评标委员会可以书面形式要求投标人对所提交投标文件中不明确的内容进行</w:t>
      </w:r>
      <w:r>
        <w:rPr>
          <w:rFonts w:hint="eastAsia" w:ascii="宋体" w:hAnsi="宋体"/>
          <w:kern w:val="0"/>
          <w:szCs w:val="21"/>
          <w:lang w:val="en-US" w:eastAsia="zh-CN"/>
        </w:rPr>
        <w:t>书面</w:t>
      </w:r>
      <w:r>
        <w:rPr>
          <w:rFonts w:hint="eastAsia" w:ascii="宋体" w:hAnsi="宋体"/>
          <w:kern w:val="0"/>
          <w:szCs w:val="21"/>
        </w:rPr>
        <w:t>澄清、说明或补正。评标委员会不接受投标人主动提出的澄清、说明或补正。</w:t>
      </w:r>
    </w:p>
    <w:p w14:paraId="237D9F2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648A3D3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592"/>
    </w:p>
    <w:p w14:paraId="491946D5">
      <w:pPr>
        <w:pStyle w:val="6"/>
        <w:snapToGrid w:val="0"/>
        <w:spacing w:before="0" w:after="0" w:line="360" w:lineRule="auto"/>
        <w:rPr>
          <w:rFonts w:ascii="宋体" w:hAnsi="宋体"/>
          <w:b w:val="0"/>
          <w:snapToGrid w:val="0"/>
          <w:sz w:val="24"/>
          <w:szCs w:val="24"/>
        </w:rPr>
      </w:pPr>
      <w:bookmarkStart w:id="593" w:name="_Toc430530508"/>
      <w:bookmarkStart w:id="594" w:name="_Toc200513206"/>
      <w:bookmarkStart w:id="595" w:name="_Toc287607820"/>
      <w:bookmarkStart w:id="596" w:name="_Toc23781"/>
      <w:bookmarkStart w:id="597" w:name="_Toc27461"/>
      <w:bookmarkStart w:id="598" w:name="_Toc509218784"/>
      <w:bookmarkStart w:id="599" w:name="_Toc224103392"/>
      <w:bookmarkStart w:id="600" w:name="_Toc287620759"/>
      <w:bookmarkStart w:id="601" w:name="_Toc277082626"/>
      <w:r>
        <w:rPr>
          <w:rFonts w:ascii="宋体" w:hAnsi="宋体"/>
          <w:b w:val="0"/>
          <w:snapToGrid w:val="0"/>
          <w:sz w:val="24"/>
          <w:szCs w:val="24"/>
        </w:rPr>
        <w:t>3.4  评标结果</w:t>
      </w:r>
      <w:bookmarkEnd w:id="593"/>
      <w:bookmarkEnd w:id="594"/>
      <w:bookmarkEnd w:id="595"/>
      <w:bookmarkEnd w:id="596"/>
      <w:bookmarkEnd w:id="597"/>
      <w:bookmarkEnd w:id="598"/>
      <w:bookmarkEnd w:id="599"/>
      <w:bookmarkEnd w:id="600"/>
      <w:bookmarkEnd w:id="601"/>
    </w:p>
    <w:p w14:paraId="533DC3C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7B90B009">
      <w:pPr>
        <w:autoSpaceDE w:val="0"/>
        <w:autoSpaceDN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06AA3723">
      <w:pPr>
        <w:autoSpaceDE w:val="0"/>
        <w:autoSpaceDN w:val="0"/>
        <w:adjustRightInd w:val="0"/>
        <w:snapToGrid w:val="0"/>
        <w:spacing w:line="360" w:lineRule="auto"/>
        <w:ind w:firstLine="420" w:firstLineChars="200"/>
      </w:pPr>
      <w:r>
        <w:rPr>
          <w:rFonts w:hint="eastAsia" w:ascii="宋体" w:hAnsi="宋体" w:eastAsia="宋体" w:cs="宋体"/>
          <w:color w:val="auto"/>
          <w:kern w:val="0"/>
          <w:szCs w:val="21"/>
          <w:highlight w:val="none"/>
          <w:lang w:val="en-US" w:eastAsia="zh-CN"/>
        </w:rPr>
        <w:t>3.4.3 有效投标人不足三个的，</w:t>
      </w:r>
      <w:r>
        <w:rPr>
          <w:rFonts w:hint="eastAsia" w:ascii="宋体" w:hAnsi="宋体" w:eastAsia="宋体" w:cs="宋体"/>
          <w:color w:val="auto"/>
          <w:kern w:val="0"/>
          <w:szCs w:val="21"/>
          <w:highlight w:val="none"/>
        </w:rPr>
        <w:t>评标委员会应当对有效投标人是否仍具有竞争性进行论证</w:t>
      </w:r>
      <w:r>
        <w:rPr>
          <w:rFonts w:hint="eastAsia" w:ascii="宋体" w:hAnsi="宋体" w:eastAsia="宋体" w:cs="宋体"/>
          <w:color w:val="auto"/>
          <w:kern w:val="0"/>
          <w:szCs w:val="21"/>
          <w:highlight w:val="none"/>
          <w:lang w:val="en-US" w:eastAsia="zh-CN"/>
        </w:rPr>
        <w:t>，并在评标报告中记载论证过程和结果。</w:t>
      </w:r>
    </w:p>
    <w:p w14:paraId="6ABFF581">
      <w:pPr>
        <w:spacing w:line="360" w:lineRule="auto"/>
        <w:rPr>
          <w:rFonts w:ascii="宋体" w:hAnsi="宋体"/>
          <w:b/>
          <w:szCs w:val="20"/>
        </w:rPr>
      </w:pPr>
      <w:r>
        <w:rPr>
          <w:rFonts w:ascii="宋体" w:hAnsi="宋体"/>
          <w:kern w:val="0"/>
          <w:sz w:val="20"/>
          <w:szCs w:val="20"/>
        </w:rPr>
        <w:br w:type="page"/>
      </w:r>
    </w:p>
    <w:p w14:paraId="4D2AC2C4">
      <w:pPr>
        <w:pStyle w:val="34"/>
        <w:spacing w:line="360" w:lineRule="auto"/>
        <w:rPr>
          <w:rFonts w:ascii="宋体" w:hAnsi="宋体"/>
          <w:b/>
          <w:sz w:val="28"/>
          <w:szCs w:val="28"/>
          <w:u w:val="none"/>
          <w:lang w:eastAsia="zh-CN"/>
        </w:rPr>
      </w:pPr>
      <w:bookmarkStart w:id="602" w:name="招标文件03章02评标办法综合评估法02附件02"/>
      <w:bookmarkEnd w:id="602"/>
      <w:bookmarkStart w:id="603" w:name="招标文件04章合同条款及格式"/>
      <w:bookmarkEnd w:id="603"/>
      <w:bookmarkStart w:id="604" w:name="_Toc230410480"/>
      <w:bookmarkStart w:id="605" w:name="_Toc277082627"/>
      <w:r>
        <w:rPr>
          <w:rFonts w:ascii="宋体" w:hAnsi="宋体"/>
          <w:b/>
          <w:sz w:val="28"/>
          <w:szCs w:val="28"/>
          <w:u w:val="none"/>
          <w:lang w:eastAsia="zh-CN"/>
        </w:rPr>
        <w:t>附件A：综合评估法否决投标情况一览表</w:t>
      </w:r>
      <w:bookmarkEnd w:id="604"/>
    </w:p>
    <w:bookmarkEnd w:id="605"/>
    <w:p w14:paraId="1F451D1C">
      <w:pPr>
        <w:pStyle w:val="34"/>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6"/>
        <w:tblW w:w="945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44"/>
        <w:gridCol w:w="1550"/>
        <w:gridCol w:w="6861"/>
      </w:tblGrid>
      <w:tr w14:paraId="2A3E908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21CC4431">
            <w:pPr>
              <w:spacing w:line="400" w:lineRule="exact"/>
              <w:jc w:val="center"/>
              <w:rPr>
                <w:rFonts w:hint="eastAsia" w:ascii="宋体" w:hAnsi="宋体" w:eastAsia="宋体"/>
                <w:b/>
                <w:szCs w:val="21"/>
                <w:lang w:val="en-US" w:eastAsia="zh-CN"/>
              </w:rPr>
            </w:pPr>
            <w:r>
              <w:rPr>
                <w:rFonts w:hint="eastAsia" w:ascii="宋体" w:hAnsi="宋体"/>
                <w:b/>
                <w:szCs w:val="21"/>
                <w:lang w:val="en-US" w:eastAsia="zh-CN"/>
              </w:rPr>
              <w:t>章节号</w:t>
            </w:r>
          </w:p>
        </w:tc>
        <w:tc>
          <w:tcPr>
            <w:tcW w:w="1550" w:type="dxa"/>
            <w:vAlign w:val="center"/>
          </w:tcPr>
          <w:p w14:paraId="7074286F">
            <w:pPr>
              <w:spacing w:line="400" w:lineRule="exact"/>
              <w:jc w:val="center"/>
              <w:rPr>
                <w:rFonts w:ascii="宋体" w:hAnsi="宋体"/>
                <w:b/>
                <w:szCs w:val="21"/>
              </w:rPr>
            </w:pPr>
            <w:r>
              <w:rPr>
                <w:rFonts w:ascii="宋体" w:hAnsi="宋体"/>
                <w:b/>
                <w:szCs w:val="21"/>
              </w:rPr>
              <w:t>条款名称</w:t>
            </w:r>
          </w:p>
        </w:tc>
        <w:tc>
          <w:tcPr>
            <w:tcW w:w="6861" w:type="dxa"/>
            <w:vAlign w:val="center"/>
          </w:tcPr>
          <w:p w14:paraId="65C1A76A">
            <w:pPr>
              <w:spacing w:line="400" w:lineRule="exact"/>
              <w:jc w:val="center"/>
              <w:rPr>
                <w:rFonts w:ascii="宋体" w:hAnsi="宋体"/>
                <w:b/>
                <w:szCs w:val="21"/>
              </w:rPr>
            </w:pPr>
            <w:r>
              <w:rPr>
                <w:rFonts w:ascii="宋体" w:hAnsi="宋体"/>
                <w:b/>
                <w:szCs w:val="21"/>
              </w:rPr>
              <w:t>否决投标条件</w:t>
            </w:r>
          </w:p>
        </w:tc>
      </w:tr>
      <w:tr w14:paraId="7278AF6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restart"/>
            <w:vAlign w:val="center"/>
          </w:tcPr>
          <w:p w14:paraId="675BCDF5">
            <w:pPr>
              <w:spacing w:line="400" w:lineRule="exact"/>
              <w:jc w:val="center"/>
              <w:rPr>
                <w:rFonts w:hint="eastAsia" w:ascii="宋体" w:hAnsi="宋体" w:eastAsia="宋体"/>
                <w:szCs w:val="21"/>
                <w:lang w:val="en-US" w:eastAsia="zh-CN"/>
              </w:rPr>
            </w:pPr>
            <w:r>
              <w:rPr>
                <w:rFonts w:hint="eastAsia" w:ascii="宋体" w:hAnsi="宋体"/>
                <w:szCs w:val="21"/>
                <w:lang w:val="en-US" w:eastAsia="zh-CN"/>
              </w:rPr>
              <w:t>第三章</w:t>
            </w:r>
          </w:p>
        </w:tc>
        <w:tc>
          <w:tcPr>
            <w:tcW w:w="1550" w:type="dxa"/>
            <w:vMerge w:val="restart"/>
            <w:vAlign w:val="center"/>
          </w:tcPr>
          <w:p w14:paraId="3823FE96">
            <w:pPr>
              <w:spacing w:line="400" w:lineRule="exact"/>
              <w:jc w:val="center"/>
              <w:rPr>
                <w:rFonts w:ascii="宋体" w:hAnsi="宋体"/>
                <w:szCs w:val="21"/>
              </w:rPr>
            </w:pPr>
            <w:r>
              <w:rPr>
                <w:rFonts w:hint="eastAsia" w:ascii="宋体" w:hAnsi="宋体"/>
                <w:szCs w:val="21"/>
              </w:rPr>
              <w:t>资格评审</w:t>
            </w:r>
          </w:p>
        </w:tc>
        <w:tc>
          <w:tcPr>
            <w:tcW w:w="6861" w:type="dxa"/>
            <w:vAlign w:val="center"/>
          </w:tcPr>
          <w:p w14:paraId="3E89DB7F">
            <w:pPr>
              <w:spacing w:line="400" w:lineRule="exact"/>
              <w:ind w:firstLine="420" w:firstLineChars="200"/>
              <w:rPr>
                <w:rFonts w:ascii="宋体" w:hAnsi="宋体"/>
                <w:szCs w:val="21"/>
              </w:rPr>
            </w:pPr>
            <w:r>
              <w:rPr>
                <w:rFonts w:hint="eastAsia" w:ascii="宋体" w:hAnsi="宋体"/>
                <w:szCs w:val="21"/>
              </w:rPr>
              <w:t>A-1投标人的</w:t>
            </w:r>
            <w:r>
              <w:rPr>
                <w:rFonts w:hint="eastAsia" w:ascii="宋体" w:hAnsi="宋体"/>
                <w:szCs w:val="21"/>
                <w:lang w:val="en-US" w:eastAsia="zh-CN"/>
              </w:rPr>
              <w:t>独立法人资格</w:t>
            </w:r>
            <w:r>
              <w:rPr>
                <w:rFonts w:hint="eastAsia" w:ascii="宋体" w:hAnsi="宋体"/>
                <w:szCs w:val="21"/>
              </w:rPr>
              <w:t>、资质条件（如有）</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投标人须知前附表1.4.1项的要求。</w:t>
            </w:r>
          </w:p>
        </w:tc>
      </w:tr>
      <w:tr w14:paraId="59C23A7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2832073F">
            <w:pPr>
              <w:spacing w:line="400" w:lineRule="exact"/>
              <w:jc w:val="center"/>
              <w:rPr>
                <w:rFonts w:ascii="宋体" w:hAnsi="宋体"/>
                <w:szCs w:val="21"/>
              </w:rPr>
            </w:pPr>
          </w:p>
        </w:tc>
        <w:tc>
          <w:tcPr>
            <w:tcW w:w="1550" w:type="dxa"/>
            <w:vMerge w:val="continue"/>
            <w:vAlign w:val="center"/>
          </w:tcPr>
          <w:p w14:paraId="797B2C01">
            <w:pPr>
              <w:spacing w:line="400" w:lineRule="exact"/>
              <w:jc w:val="center"/>
              <w:rPr>
                <w:rFonts w:ascii="宋体" w:hAnsi="宋体"/>
                <w:szCs w:val="21"/>
              </w:rPr>
            </w:pPr>
          </w:p>
        </w:tc>
        <w:tc>
          <w:tcPr>
            <w:tcW w:w="6861" w:type="dxa"/>
            <w:vAlign w:val="center"/>
          </w:tcPr>
          <w:p w14:paraId="0F321671">
            <w:pPr>
              <w:spacing w:line="400" w:lineRule="exact"/>
              <w:ind w:firstLine="420" w:firstLineChars="200"/>
              <w:rPr>
                <w:rFonts w:ascii="宋体" w:hAnsi="宋体"/>
                <w:szCs w:val="21"/>
              </w:rPr>
            </w:pPr>
            <w:r>
              <w:rPr>
                <w:rFonts w:hint="eastAsia" w:ascii="宋体" w:hAnsi="宋体"/>
                <w:szCs w:val="21"/>
              </w:rPr>
              <w:t>A-2投标人的财务</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投标人须知前附表第1.4.1项的要求（如有）。</w:t>
            </w:r>
          </w:p>
        </w:tc>
      </w:tr>
      <w:tr w14:paraId="1844E4C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4B465A03">
            <w:pPr>
              <w:spacing w:line="400" w:lineRule="exact"/>
              <w:jc w:val="center"/>
              <w:rPr>
                <w:rFonts w:ascii="宋体" w:hAnsi="宋体"/>
                <w:szCs w:val="21"/>
              </w:rPr>
            </w:pPr>
          </w:p>
        </w:tc>
        <w:tc>
          <w:tcPr>
            <w:tcW w:w="1550" w:type="dxa"/>
            <w:vMerge w:val="continue"/>
            <w:vAlign w:val="center"/>
          </w:tcPr>
          <w:p w14:paraId="1C121F3B">
            <w:pPr>
              <w:spacing w:line="400" w:lineRule="exact"/>
              <w:jc w:val="center"/>
              <w:rPr>
                <w:rFonts w:ascii="宋体" w:hAnsi="宋体"/>
                <w:szCs w:val="21"/>
              </w:rPr>
            </w:pPr>
          </w:p>
        </w:tc>
        <w:tc>
          <w:tcPr>
            <w:tcW w:w="6861" w:type="dxa"/>
            <w:vAlign w:val="center"/>
          </w:tcPr>
          <w:p w14:paraId="774B4E8B">
            <w:pPr>
              <w:spacing w:line="400" w:lineRule="exact"/>
              <w:ind w:firstLine="420" w:firstLineChars="200"/>
              <w:rPr>
                <w:rFonts w:ascii="宋体" w:hAnsi="宋体"/>
                <w:szCs w:val="21"/>
              </w:rPr>
            </w:pPr>
            <w:r>
              <w:rPr>
                <w:rFonts w:hint="eastAsia" w:ascii="宋体" w:hAnsi="宋体"/>
                <w:szCs w:val="21"/>
              </w:rPr>
              <w:t>A-3投标人的业绩</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投标人须知前附表第1.4.1项的要求（如有）。</w:t>
            </w:r>
          </w:p>
        </w:tc>
      </w:tr>
      <w:tr w14:paraId="07DB2A5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77001A01">
            <w:pPr>
              <w:spacing w:line="400" w:lineRule="exact"/>
              <w:jc w:val="center"/>
              <w:rPr>
                <w:rFonts w:ascii="宋体" w:hAnsi="宋体"/>
                <w:szCs w:val="21"/>
              </w:rPr>
            </w:pPr>
          </w:p>
        </w:tc>
        <w:tc>
          <w:tcPr>
            <w:tcW w:w="1550" w:type="dxa"/>
            <w:vMerge w:val="continue"/>
            <w:vAlign w:val="center"/>
          </w:tcPr>
          <w:p w14:paraId="39E10B97">
            <w:pPr>
              <w:spacing w:line="400" w:lineRule="exact"/>
              <w:jc w:val="center"/>
              <w:rPr>
                <w:rFonts w:ascii="宋体" w:hAnsi="宋体"/>
                <w:szCs w:val="21"/>
              </w:rPr>
            </w:pPr>
          </w:p>
        </w:tc>
        <w:tc>
          <w:tcPr>
            <w:tcW w:w="6861" w:type="dxa"/>
            <w:vAlign w:val="center"/>
          </w:tcPr>
          <w:p w14:paraId="584AE66C">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szCs w:val="21"/>
              </w:rPr>
              <w:t>投标截止日投标资格情况</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投标人须知前附表第1.4.1项的要求。</w:t>
            </w:r>
          </w:p>
        </w:tc>
      </w:tr>
      <w:tr w14:paraId="1530194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3580E042">
            <w:pPr>
              <w:spacing w:line="400" w:lineRule="exact"/>
              <w:jc w:val="center"/>
              <w:rPr>
                <w:rFonts w:ascii="宋体" w:hAnsi="宋体"/>
                <w:szCs w:val="21"/>
              </w:rPr>
            </w:pPr>
          </w:p>
        </w:tc>
        <w:tc>
          <w:tcPr>
            <w:tcW w:w="1550" w:type="dxa"/>
            <w:vMerge w:val="continue"/>
            <w:vAlign w:val="center"/>
          </w:tcPr>
          <w:p w14:paraId="28ADBDEE">
            <w:pPr>
              <w:spacing w:line="400" w:lineRule="exact"/>
              <w:jc w:val="center"/>
              <w:rPr>
                <w:rFonts w:ascii="宋体" w:hAnsi="宋体"/>
                <w:szCs w:val="21"/>
              </w:rPr>
            </w:pPr>
          </w:p>
        </w:tc>
        <w:tc>
          <w:tcPr>
            <w:tcW w:w="6861" w:type="dxa"/>
            <w:vAlign w:val="center"/>
          </w:tcPr>
          <w:p w14:paraId="16E319BF">
            <w:pPr>
              <w:spacing w:line="400" w:lineRule="exact"/>
              <w:ind w:firstLine="420" w:firstLineChars="200"/>
              <w:rPr>
                <w:rFonts w:ascii="宋体" w:hAnsi="宋体"/>
                <w:szCs w:val="21"/>
              </w:rPr>
            </w:pPr>
            <w:r>
              <w:rPr>
                <w:rFonts w:hint="eastAsia" w:ascii="宋体" w:hAnsi="宋体"/>
                <w:szCs w:val="21"/>
              </w:rPr>
              <w:t>A-5投标人的其他要求</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投标人须知前附表1.4.1项的要求。</w:t>
            </w:r>
          </w:p>
        </w:tc>
      </w:tr>
      <w:tr w14:paraId="2CC1647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E809DB0">
            <w:pPr>
              <w:spacing w:line="400" w:lineRule="exact"/>
              <w:jc w:val="center"/>
              <w:rPr>
                <w:rFonts w:hint="eastAsia" w:ascii="宋体" w:hAnsi="宋体"/>
                <w:szCs w:val="21"/>
              </w:rPr>
            </w:pPr>
          </w:p>
        </w:tc>
        <w:tc>
          <w:tcPr>
            <w:tcW w:w="1550" w:type="dxa"/>
            <w:vMerge w:val="restart"/>
            <w:vAlign w:val="center"/>
          </w:tcPr>
          <w:p w14:paraId="21B0F2AF">
            <w:pPr>
              <w:spacing w:line="400" w:lineRule="exact"/>
              <w:jc w:val="center"/>
              <w:rPr>
                <w:rFonts w:ascii="宋体" w:hAnsi="宋体"/>
                <w:szCs w:val="21"/>
              </w:rPr>
            </w:pPr>
            <w:r>
              <w:rPr>
                <w:rFonts w:hint="eastAsia" w:ascii="宋体" w:hAnsi="宋体"/>
                <w:szCs w:val="21"/>
              </w:rPr>
              <w:t>形式评审</w:t>
            </w:r>
          </w:p>
        </w:tc>
        <w:tc>
          <w:tcPr>
            <w:tcW w:w="6861" w:type="dxa"/>
            <w:vAlign w:val="top"/>
          </w:tcPr>
          <w:p w14:paraId="62A168F1">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投标人名称与营业执照、资质证书（如有）</w:t>
            </w:r>
            <w:r>
              <w:rPr>
                <w:rFonts w:hint="eastAsia" w:ascii="宋体" w:hAnsi="宋体"/>
                <w:b/>
                <w:bCs/>
                <w:szCs w:val="21"/>
                <w:lang w:val="en-US" w:eastAsia="zh-CN"/>
              </w:rPr>
              <w:t>不</w:t>
            </w:r>
            <w:r>
              <w:rPr>
                <w:rFonts w:hint="eastAsia" w:ascii="宋体" w:hAnsi="宋体"/>
                <w:b/>
                <w:bCs/>
                <w:szCs w:val="21"/>
              </w:rPr>
              <w:t>一致</w:t>
            </w:r>
            <w:r>
              <w:rPr>
                <w:rFonts w:ascii="宋体" w:hAnsi="宋体"/>
                <w:szCs w:val="21"/>
              </w:rPr>
              <w:t>。</w:t>
            </w:r>
          </w:p>
        </w:tc>
      </w:tr>
      <w:tr w14:paraId="71C1FA6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1BFFF63">
            <w:pPr>
              <w:spacing w:line="400" w:lineRule="exact"/>
              <w:jc w:val="center"/>
              <w:rPr>
                <w:rFonts w:ascii="宋体" w:hAnsi="宋体"/>
                <w:szCs w:val="21"/>
              </w:rPr>
            </w:pPr>
          </w:p>
        </w:tc>
        <w:tc>
          <w:tcPr>
            <w:tcW w:w="1550" w:type="dxa"/>
            <w:vMerge w:val="continue"/>
            <w:vAlign w:val="center"/>
          </w:tcPr>
          <w:p w14:paraId="2FD65601">
            <w:pPr>
              <w:spacing w:line="400" w:lineRule="exact"/>
              <w:jc w:val="center"/>
              <w:rPr>
                <w:rFonts w:ascii="宋体" w:hAnsi="宋体"/>
                <w:szCs w:val="21"/>
              </w:rPr>
            </w:pPr>
          </w:p>
        </w:tc>
        <w:tc>
          <w:tcPr>
            <w:tcW w:w="6861" w:type="dxa"/>
            <w:vAlign w:val="top"/>
          </w:tcPr>
          <w:p w14:paraId="49A54820">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第二章“投标人须知”第3.7款的要求。</w:t>
            </w:r>
          </w:p>
          <w:p w14:paraId="498C20DC">
            <w:pPr>
              <w:spacing w:line="400" w:lineRule="exact"/>
              <w:ind w:firstLine="420" w:firstLineChars="200"/>
              <w:rPr>
                <w:rFonts w:ascii="宋体" w:hAnsi="宋体"/>
                <w:szCs w:val="21"/>
              </w:rPr>
            </w:pPr>
            <w:r>
              <w:rPr>
                <w:rFonts w:hint="eastAsia" w:ascii="宋体" w:hAnsi="宋体"/>
                <w:szCs w:val="21"/>
              </w:rPr>
              <w:t>编制投标文件时对第六章“投标文件格式”的相应要素作实质性修改。</w:t>
            </w:r>
          </w:p>
        </w:tc>
      </w:tr>
      <w:tr w14:paraId="235ADB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7127650">
            <w:pPr>
              <w:spacing w:line="400" w:lineRule="exact"/>
              <w:jc w:val="center"/>
              <w:rPr>
                <w:rFonts w:ascii="宋体" w:hAnsi="宋体"/>
                <w:szCs w:val="21"/>
              </w:rPr>
            </w:pPr>
          </w:p>
        </w:tc>
        <w:tc>
          <w:tcPr>
            <w:tcW w:w="1550" w:type="dxa"/>
            <w:vMerge w:val="continue"/>
            <w:vAlign w:val="center"/>
          </w:tcPr>
          <w:p w14:paraId="33A2C636">
            <w:pPr>
              <w:spacing w:line="400" w:lineRule="exact"/>
              <w:jc w:val="center"/>
              <w:rPr>
                <w:rFonts w:ascii="宋体" w:hAnsi="宋体"/>
                <w:szCs w:val="21"/>
              </w:rPr>
            </w:pPr>
          </w:p>
        </w:tc>
        <w:tc>
          <w:tcPr>
            <w:tcW w:w="6861" w:type="dxa"/>
            <w:vAlign w:val="top"/>
          </w:tcPr>
          <w:p w14:paraId="50A3424E">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0</w:t>
            </w:r>
            <w:r>
              <w:rPr>
                <w:rFonts w:hint="eastAsia" w:ascii="宋体" w:hAnsi="宋体"/>
                <w:szCs w:val="21"/>
              </w:rPr>
              <w:t>第六章 投标文件格式（不含投标函部分）要求法定代表人</w:t>
            </w:r>
            <w:r>
              <w:rPr>
                <w:rFonts w:hint="eastAsia" w:ascii="宋体" w:hAnsi="宋体"/>
                <w:szCs w:val="21"/>
                <w:lang w:eastAsia="zh-CN"/>
              </w:rPr>
              <w:t>（</w:t>
            </w:r>
            <w:r>
              <w:rPr>
                <w:rFonts w:hint="eastAsia" w:ascii="宋体" w:hAnsi="宋体"/>
                <w:szCs w:val="21"/>
              </w:rPr>
              <w:t>或其委托代理人</w:t>
            </w:r>
            <w:r>
              <w:rPr>
                <w:rFonts w:hint="eastAsia" w:ascii="宋体" w:hAnsi="宋体"/>
                <w:szCs w:val="21"/>
                <w:lang w:eastAsia="zh-CN"/>
              </w:rPr>
              <w:t>）</w:t>
            </w:r>
            <w:r>
              <w:rPr>
                <w:rFonts w:hint="eastAsia" w:ascii="宋体" w:hAnsi="宋体"/>
                <w:szCs w:val="21"/>
              </w:rPr>
              <w:t>签名（或盖章）的</w:t>
            </w:r>
            <w:r>
              <w:rPr>
                <w:rFonts w:hint="eastAsia" w:ascii="宋体" w:hAnsi="宋体"/>
                <w:b/>
                <w:bCs/>
                <w:szCs w:val="21"/>
                <w:lang w:val="en-US" w:eastAsia="zh-CN"/>
              </w:rPr>
              <w:t>不</w:t>
            </w:r>
            <w:r>
              <w:rPr>
                <w:rFonts w:hint="eastAsia" w:ascii="宋体" w:hAnsi="宋体"/>
                <w:b/>
                <w:bCs/>
                <w:szCs w:val="21"/>
              </w:rPr>
              <w:t>齐全</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lang w:val="en-US" w:eastAsia="zh-CN"/>
              </w:rPr>
              <w:t>未</w:t>
            </w:r>
            <w:r>
              <w:rPr>
                <w:rFonts w:hint="eastAsia" w:ascii="宋体" w:hAnsi="宋体" w:cs="宋体"/>
                <w:b/>
                <w:bCs/>
                <w:kern w:val="0"/>
              </w:rPr>
              <w:t>采用</w:t>
            </w:r>
            <w:r>
              <w:rPr>
                <w:rFonts w:hint="eastAsia" w:ascii="宋体" w:hAnsi="宋体" w:cs="宋体"/>
                <w:kern w:val="0"/>
              </w:rPr>
              <w:t>手写签名</w:t>
            </w:r>
            <w:r>
              <w:rPr>
                <w:rFonts w:hint="eastAsia" w:ascii="宋体" w:hAnsi="宋体"/>
                <w:szCs w:val="21"/>
              </w:rPr>
              <w:t>或</w:t>
            </w:r>
            <w:r>
              <w:rPr>
                <w:rFonts w:hint="eastAsia" w:ascii="宋体" w:hAnsi="宋体"/>
                <w:b/>
                <w:bCs/>
                <w:szCs w:val="21"/>
                <w:lang w:val="en-US" w:eastAsia="zh-CN"/>
              </w:rPr>
              <w:t>未</w:t>
            </w:r>
            <w:r>
              <w:rPr>
                <w:rFonts w:hint="eastAsia" w:ascii="宋体" w:hAnsi="宋体"/>
                <w:b/>
                <w:bCs/>
                <w:szCs w:val="21"/>
              </w:rPr>
              <w:t>签章</w:t>
            </w:r>
            <w:r>
              <w:rPr>
                <w:rFonts w:hint="eastAsia" w:ascii="宋体" w:hAnsi="宋体" w:cs="宋体"/>
                <w:kern w:val="0"/>
              </w:rPr>
              <w:t>。</w:t>
            </w:r>
          </w:p>
          <w:p w14:paraId="2FE7C8A4">
            <w:pPr>
              <w:spacing w:line="400" w:lineRule="exact"/>
              <w:ind w:firstLine="420" w:firstLineChars="200"/>
              <w:rPr>
                <w:rFonts w:ascii="宋体" w:hAnsi="宋体"/>
                <w:szCs w:val="21"/>
              </w:rPr>
            </w:pPr>
            <w:r>
              <w:rPr>
                <w:rFonts w:hint="eastAsia" w:ascii="宋体" w:hAnsi="宋体"/>
                <w:szCs w:val="21"/>
              </w:rPr>
              <w:t>第六章 投标文件格式（不含投标函部分）要求加盖单位法人章的，</w:t>
            </w:r>
            <w:r>
              <w:rPr>
                <w:rFonts w:hint="eastAsia" w:ascii="宋体" w:hAnsi="宋体"/>
                <w:b/>
                <w:bCs/>
                <w:szCs w:val="21"/>
                <w:lang w:val="en-US" w:eastAsia="zh-CN"/>
              </w:rPr>
              <w:t>未</w:t>
            </w:r>
            <w:r>
              <w:rPr>
                <w:rFonts w:hint="eastAsia" w:ascii="宋体" w:hAnsi="宋体"/>
                <w:b/>
                <w:bCs/>
                <w:szCs w:val="21"/>
              </w:rPr>
              <w:t>加盖</w:t>
            </w:r>
            <w:r>
              <w:rPr>
                <w:rFonts w:hint="eastAsia" w:ascii="宋体" w:hAnsi="宋体"/>
                <w:szCs w:val="21"/>
              </w:rPr>
              <w:t>投标人单位法人章(公章）或投标人的单位电子印章。</w:t>
            </w:r>
          </w:p>
          <w:p w14:paraId="7E31A767">
            <w:pPr>
              <w:spacing w:line="400" w:lineRule="exact"/>
              <w:ind w:firstLine="420" w:firstLineChars="200"/>
              <w:rPr>
                <w:rFonts w:ascii="宋体" w:hAnsi="宋体"/>
                <w:szCs w:val="21"/>
              </w:rPr>
            </w:pPr>
          </w:p>
        </w:tc>
      </w:tr>
      <w:tr w14:paraId="33E6899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E77E069">
            <w:pPr>
              <w:spacing w:line="400" w:lineRule="exact"/>
              <w:jc w:val="center"/>
              <w:rPr>
                <w:rFonts w:ascii="宋体" w:hAnsi="宋体"/>
                <w:szCs w:val="21"/>
              </w:rPr>
            </w:pPr>
          </w:p>
        </w:tc>
        <w:tc>
          <w:tcPr>
            <w:tcW w:w="1550" w:type="dxa"/>
            <w:vMerge w:val="continue"/>
            <w:vAlign w:val="center"/>
          </w:tcPr>
          <w:p w14:paraId="257965E7">
            <w:pPr>
              <w:spacing w:line="400" w:lineRule="exact"/>
              <w:jc w:val="center"/>
              <w:rPr>
                <w:rFonts w:ascii="宋体" w:hAnsi="宋体"/>
                <w:szCs w:val="21"/>
              </w:rPr>
            </w:pPr>
          </w:p>
        </w:tc>
        <w:tc>
          <w:tcPr>
            <w:tcW w:w="6861" w:type="dxa"/>
            <w:vAlign w:val="top"/>
          </w:tcPr>
          <w:p w14:paraId="3F2C4DB4">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1</w:t>
            </w:r>
            <w:r>
              <w:rPr>
                <w:rFonts w:hint="eastAsia" w:ascii="宋体" w:hAnsi="宋体"/>
                <w:szCs w:val="21"/>
              </w:rPr>
              <w:t>投标人法定代表人的委托代理人</w:t>
            </w:r>
            <w:r>
              <w:rPr>
                <w:rFonts w:hint="eastAsia" w:ascii="宋体" w:hAnsi="宋体"/>
                <w:b/>
                <w:bCs/>
                <w:szCs w:val="21"/>
                <w:lang w:val="en-US" w:eastAsia="zh-CN"/>
              </w:rPr>
              <w:t>无</w:t>
            </w:r>
            <w:r>
              <w:rPr>
                <w:rFonts w:hint="eastAsia" w:ascii="宋体" w:hAnsi="宋体"/>
                <w:b/>
                <w:bCs/>
                <w:szCs w:val="21"/>
              </w:rPr>
              <w:t>法定代表人签署的授权委托书和投标人为其缴纳的养老保险证明材料。</w:t>
            </w:r>
          </w:p>
        </w:tc>
      </w:tr>
      <w:tr w14:paraId="32D643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A7A6627">
            <w:pPr>
              <w:spacing w:line="400" w:lineRule="exact"/>
              <w:jc w:val="center"/>
              <w:rPr>
                <w:rFonts w:ascii="宋体" w:hAnsi="宋体"/>
                <w:szCs w:val="21"/>
              </w:rPr>
            </w:pPr>
          </w:p>
        </w:tc>
        <w:tc>
          <w:tcPr>
            <w:tcW w:w="1550" w:type="dxa"/>
            <w:vMerge w:val="continue"/>
            <w:vAlign w:val="center"/>
          </w:tcPr>
          <w:p w14:paraId="54A0FF4A">
            <w:pPr>
              <w:spacing w:line="400" w:lineRule="exact"/>
              <w:jc w:val="center"/>
              <w:rPr>
                <w:rFonts w:ascii="宋体" w:hAnsi="宋体"/>
                <w:szCs w:val="21"/>
              </w:rPr>
            </w:pPr>
          </w:p>
        </w:tc>
        <w:tc>
          <w:tcPr>
            <w:tcW w:w="6861" w:type="dxa"/>
            <w:vAlign w:val="top"/>
          </w:tcPr>
          <w:p w14:paraId="793C11F7">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2</w:t>
            </w:r>
            <w:r>
              <w:rPr>
                <w:rFonts w:ascii="宋体" w:hAnsi="宋体"/>
                <w:szCs w:val="21"/>
              </w:rPr>
              <w:t>招标文件</w:t>
            </w:r>
            <w:r>
              <w:rPr>
                <w:rFonts w:hint="eastAsia" w:ascii="宋体" w:hAnsi="宋体"/>
                <w:b/>
                <w:bCs/>
                <w:szCs w:val="21"/>
                <w:lang w:val="en-US" w:eastAsia="zh-CN"/>
              </w:rPr>
              <w:t>未</w:t>
            </w:r>
            <w:r>
              <w:rPr>
                <w:rFonts w:ascii="宋体" w:hAnsi="宋体"/>
                <w:b/>
                <w:bCs/>
                <w:szCs w:val="21"/>
              </w:rPr>
              <w:t>明确允许</w:t>
            </w:r>
            <w:r>
              <w:rPr>
                <w:rFonts w:ascii="宋体" w:hAnsi="宋体"/>
                <w:szCs w:val="21"/>
              </w:rPr>
              <w:t>提交备选投标方案，投标人</w:t>
            </w:r>
            <w:r>
              <w:rPr>
                <w:rFonts w:ascii="宋体" w:hAnsi="宋体"/>
                <w:b/>
                <w:bCs/>
                <w:szCs w:val="21"/>
              </w:rPr>
              <w:t>提交备选投标方案</w:t>
            </w:r>
            <w:r>
              <w:rPr>
                <w:rFonts w:hint="eastAsia" w:ascii="宋体" w:hAnsi="宋体"/>
                <w:b/>
                <w:bCs/>
                <w:szCs w:val="21"/>
              </w:rPr>
              <w:t>。</w:t>
            </w:r>
          </w:p>
        </w:tc>
      </w:tr>
      <w:tr w14:paraId="7DB97FB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657E3D4">
            <w:pPr>
              <w:spacing w:line="400" w:lineRule="exact"/>
              <w:jc w:val="center"/>
              <w:rPr>
                <w:rFonts w:ascii="宋体" w:hAnsi="宋体"/>
                <w:szCs w:val="21"/>
              </w:rPr>
            </w:pPr>
          </w:p>
        </w:tc>
        <w:tc>
          <w:tcPr>
            <w:tcW w:w="1550" w:type="dxa"/>
            <w:vMerge w:val="continue"/>
            <w:vAlign w:val="center"/>
          </w:tcPr>
          <w:p w14:paraId="3B48A8B5">
            <w:pPr>
              <w:spacing w:line="400" w:lineRule="exact"/>
              <w:jc w:val="center"/>
              <w:rPr>
                <w:rFonts w:ascii="宋体" w:hAnsi="宋体"/>
                <w:szCs w:val="21"/>
              </w:rPr>
            </w:pPr>
          </w:p>
        </w:tc>
        <w:tc>
          <w:tcPr>
            <w:tcW w:w="6861" w:type="dxa"/>
            <w:vAlign w:val="top"/>
          </w:tcPr>
          <w:p w14:paraId="056A8AF4">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投标人名称与营业执照、资质证书（如有）</w:t>
            </w:r>
            <w:r>
              <w:rPr>
                <w:rFonts w:hint="eastAsia" w:ascii="宋体" w:hAnsi="宋体"/>
                <w:b/>
                <w:bCs/>
                <w:szCs w:val="21"/>
                <w:lang w:val="en-US" w:eastAsia="zh-CN"/>
              </w:rPr>
              <w:t>不</w:t>
            </w:r>
            <w:r>
              <w:rPr>
                <w:rFonts w:hint="eastAsia" w:ascii="宋体" w:hAnsi="宋体"/>
                <w:b/>
                <w:bCs/>
                <w:szCs w:val="21"/>
              </w:rPr>
              <w:t>一致</w:t>
            </w:r>
            <w:r>
              <w:rPr>
                <w:rFonts w:ascii="宋体" w:hAnsi="宋体"/>
                <w:szCs w:val="21"/>
              </w:rPr>
              <w:t>。</w:t>
            </w:r>
          </w:p>
        </w:tc>
      </w:tr>
      <w:tr w14:paraId="56F7CA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0448B96">
            <w:pPr>
              <w:spacing w:line="400" w:lineRule="exact"/>
              <w:jc w:val="center"/>
              <w:rPr>
                <w:rFonts w:hint="eastAsia" w:ascii="宋体" w:hAnsi="宋体"/>
                <w:szCs w:val="21"/>
              </w:rPr>
            </w:pPr>
          </w:p>
        </w:tc>
        <w:tc>
          <w:tcPr>
            <w:tcW w:w="1550" w:type="dxa"/>
            <w:vMerge w:val="restart"/>
            <w:vAlign w:val="center"/>
          </w:tcPr>
          <w:p w14:paraId="085B456C">
            <w:pPr>
              <w:spacing w:line="400" w:lineRule="exact"/>
              <w:jc w:val="center"/>
              <w:rPr>
                <w:rFonts w:ascii="宋体" w:hAnsi="宋体"/>
                <w:szCs w:val="21"/>
              </w:rPr>
            </w:pPr>
            <w:r>
              <w:rPr>
                <w:rFonts w:hint="eastAsia" w:ascii="宋体" w:hAnsi="宋体"/>
                <w:szCs w:val="21"/>
              </w:rPr>
              <w:t>响应性评审</w:t>
            </w:r>
          </w:p>
        </w:tc>
        <w:tc>
          <w:tcPr>
            <w:tcW w:w="6861" w:type="dxa"/>
            <w:vAlign w:val="center"/>
          </w:tcPr>
          <w:p w14:paraId="186C6120">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szCs w:val="21"/>
              </w:rPr>
              <w:t>投标内容</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第二章“投标人须知”第1.3.1项规定。</w:t>
            </w:r>
          </w:p>
        </w:tc>
      </w:tr>
      <w:tr w14:paraId="66686A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6BFDA5A">
            <w:pPr>
              <w:spacing w:line="400" w:lineRule="exact"/>
              <w:jc w:val="center"/>
              <w:rPr>
                <w:rFonts w:ascii="宋体" w:hAnsi="宋体"/>
                <w:szCs w:val="21"/>
              </w:rPr>
            </w:pPr>
          </w:p>
        </w:tc>
        <w:tc>
          <w:tcPr>
            <w:tcW w:w="1550" w:type="dxa"/>
            <w:vMerge w:val="continue"/>
            <w:vAlign w:val="center"/>
          </w:tcPr>
          <w:p w14:paraId="12803D2B">
            <w:pPr>
              <w:spacing w:line="400" w:lineRule="exact"/>
              <w:jc w:val="center"/>
              <w:rPr>
                <w:rFonts w:ascii="宋体" w:hAnsi="宋体"/>
                <w:szCs w:val="21"/>
              </w:rPr>
            </w:pPr>
          </w:p>
        </w:tc>
        <w:tc>
          <w:tcPr>
            <w:tcW w:w="6861" w:type="dxa"/>
            <w:vAlign w:val="center"/>
          </w:tcPr>
          <w:p w14:paraId="38153266">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cs="宋体"/>
                <w:color w:val="auto"/>
                <w:szCs w:val="21"/>
                <w:highlight w:val="none"/>
              </w:rPr>
              <w:t>投标保证金</w:t>
            </w:r>
            <w:r>
              <w:rPr>
                <w:rFonts w:hint="eastAsia" w:ascii="宋体" w:hAnsi="宋体" w:cs="宋体"/>
                <w:b/>
                <w:bCs/>
                <w:color w:val="auto"/>
                <w:szCs w:val="21"/>
                <w:highlight w:val="none"/>
                <w:lang w:val="en-US" w:eastAsia="zh-CN"/>
              </w:rPr>
              <w:t>不</w:t>
            </w:r>
            <w:r>
              <w:rPr>
                <w:rFonts w:hint="eastAsia" w:ascii="宋体" w:hAnsi="宋体" w:cs="宋体"/>
                <w:b/>
                <w:bCs/>
                <w:kern w:val="0"/>
              </w:rPr>
              <w:t>符合</w:t>
            </w:r>
            <w:r>
              <w:rPr>
                <w:rFonts w:hint="eastAsia" w:ascii="宋体" w:hAnsi="宋体" w:cs="宋体"/>
                <w:kern w:val="0"/>
              </w:rPr>
              <w:t>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37889C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50B934A">
            <w:pPr>
              <w:spacing w:line="400" w:lineRule="exact"/>
              <w:jc w:val="center"/>
              <w:rPr>
                <w:rFonts w:ascii="宋体" w:hAnsi="宋体"/>
                <w:szCs w:val="21"/>
              </w:rPr>
            </w:pPr>
          </w:p>
        </w:tc>
        <w:tc>
          <w:tcPr>
            <w:tcW w:w="1550" w:type="dxa"/>
            <w:vMerge w:val="continue"/>
            <w:vAlign w:val="center"/>
          </w:tcPr>
          <w:p w14:paraId="691FC613">
            <w:pPr>
              <w:spacing w:line="400" w:lineRule="exact"/>
              <w:jc w:val="center"/>
              <w:rPr>
                <w:rFonts w:ascii="宋体" w:hAnsi="宋体"/>
                <w:szCs w:val="21"/>
              </w:rPr>
            </w:pPr>
          </w:p>
        </w:tc>
        <w:tc>
          <w:tcPr>
            <w:tcW w:w="6861" w:type="dxa"/>
            <w:vAlign w:val="center"/>
          </w:tcPr>
          <w:p w14:paraId="1F2663CF">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5</w:t>
            </w:r>
            <w:r>
              <w:rPr>
                <w:rFonts w:hint="eastAsia" w:ascii="宋体" w:hAnsi="宋体"/>
                <w:b/>
                <w:bCs/>
                <w:szCs w:val="21"/>
                <w:lang w:val="en-US" w:eastAsia="zh-CN"/>
              </w:rPr>
              <w:t>不</w:t>
            </w:r>
            <w:r>
              <w:rPr>
                <w:rFonts w:hint="eastAsia" w:ascii="宋体" w:hAnsi="宋体"/>
                <w:b/>
                <w:bCs/>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w:t>
            </w:r>
            <w:r>
              <w:rPr>
                <w:rFonts w:ascii="宋体" w:hAnsi="宋体"/>
                <w:b/>
                <w:bCs/>
                <w:szCs w:val="21"/>
              </w:rPr>
              <w:t>附有</w:t>
            </w:r>
            <w:r>
              <w:rPr>
                <w:rFonts w:ascii="宋体" w:hAnsi="宋体"/>
                <w:szCs w:val="21"/>
              </w:rPr>
              <w:t>招标人不能接受的条件。</w:t>
            </w:r>
            <w:r>
              <w:rPr>
                <w:rFonts w:hint="eastAsia" w:ascii="宋体" w:hAnsi="宋体"/>
                <w:szCs w:val="21"/>
              </w:rPr>
              <w:t>（由投标人承诺，承诺书格式详见第六章投标文件格式。）</w:t>
            </w:r>
          </w:p>
        </w:tc>
      </w:tr>
      <w:tr w14:paraId="7188D18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02744DF">
            <w:pPr>
              <w:spacing w:line="400" w:lineRule="exact"/>
              <w:jc w:val="center"/>
              <w:rPr>
                <w:rFonts w:ascii="宋体" w:hAnsi="宋体"/>
                <w:szCs w:val="21"/>
              </w:rPr>
            </w:pPr>
          </w:p>
        </w:tc>
        <w:tc>
          <w:tcPr>
            <w:tcW w:w="1550" w:type="dxa"/>
            <w:vMerge w:val="continue"/>
            <w:vAlign w:val="center"/>
          </w:tcPr>
          <w:p w14:paraId="3CEC336C">
            <w:pPr>
              <w:spacing w:line="400" w:lineRule="exact"/>
              <w:jc w:val="center"/>
              <w:rPr>
                <w:rFonts w:ascii="宋体" w:hAnsi="宋体"/>
                <w:szCs w:val="21"/>
              </w:rPr>
            </w:pPr>
          </w:p>
        </w:tc>
        <w:tc>
          <w:tcPr>
            <w:tcW w:w="6861" w:type="dxa"/>
            <w:vAlign w:val="center"/>
          </w:tcPr>
          <w:p w14:paraId="6E45AD73">
            <w:pPr>
              <w:spacing w:line="400" w:lineRule="exact"/>
              <w:ind w:firstLine="420" w:firstLineChars="200"/>
              <w:rPr>
                <w:rFonts w:hint="eastAsia" w:ascii="宋体" w:hAnsi="宋体"/>
                <w:szCs w:val="21"/>
              </w:rPr>
            </w:pPr>
            <w:r>
              <w:rPr>
                <w:rFonts w:hint="eastAsia" w:ascii="宋体" w:hAnsi="宋体"/>
                <w:szCs w:val="21"/>
              </w:rPr>
              <w:t>A-1</w:t>
            </w:r>
            <w:r>
              <w:rPr>
                <w:rFonts w:hint="eastAsia" w:ascii="宋体" w:hAnsi="宋体"/>
                <w:szCs w:val="21"/>
                <w:lang w:val="en-US" w:eastAsia="zh-CN"/>
              </w:rPr>
              <w:t>6</w:t>
            </w:r>
            <w:r>
              <w:rPr>
                <w:rFonts w:hint="eastAsia" w:ascii="宋体" w:hAnsi="宋体"/>
                <w:szCs w:val="21"/>
              </w:rPr>
              <w:t xml:space="preserve"> </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b/>
                <w:bCs/>
                <w:kern w:val="0"/>
                <w:lang w:val="en-US" w:eastAsia="zh-CN"/>
              </w:rPr>
              <w:t>不</w:t>
            </w:r>
            <w:r>
              <w:rPr>
                <w:rFonts w:ascii="宋体" w:hAnsi="宋体"/>
                <w:b/>
                <w:bCs/>
                <w:kern w:val="0"/>
              </w:rPr>
              <w:t>符合</w:t>
            </w:r>
            <w:r>
              <w:rPr>
                <w:rFonts w:ascii="宋体" w:hAnsi="宋体"/>
                <w:kern w:val="0"/>
              </w:rPr>
              <w:t>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22E3F0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BFFA3D3">
            <w:pPr>
              <w:spacing w:line="400" w:lineRule="exact"/>
              <w:jc w:val="center"/>
              <w:rPr>
                <w:rFonts w:ascii="宋体" w:hAnsi="宋体"/>
                <w:szCs w:val="21"/>
              </w:rPr>
            </w:pPr>
          </w:p>
        </w:tc>
        <w:tc>
          <w:tcPr>
            <w:tcW w:w="1550" w:type="dxa"/>
            <w:vMerge w:val="continue"/>
            <w:vAlign w:val="center"/>
          </w:tcPr>
          <w:p w14:paraId="7C223DD5">
            <w:pPr>
              <w:spacing w:line="400" w:lineRule="exact"/>
              <w:jc w:val="center"/>
              <w:rPr>
                <w:rFonts w:ascii="宋体" w:hAnsi="宋体"/>
                <w:szCs w:val="21"/>
              </w:rPr>
            </w:pPr>
          </w:p>
        </w:tc>
        <w:tc>
          <w:tcPr>
            <w:tcW w:w="6861" w:type="dxa"/>
            <w:vAlign w:val="center"/>
          </w:tcPr>
          <w:p w14:paraId="68E07F26">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7</w:t>
            </w:r>
            <w:r>
              <w:rPr>
                <w:rFonts w:hint="eastAsia" w:ascii="宋体" w:hAnsi="宋体"/>
                <w:szCs w:val="21"/>
              </w:rPr>
              <w:t>投标人有以下情形之一的：</w:t>
            </w:r>
          </w:p>
          <w:p w14:paraId="71D80A3E">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0ABF3090">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14:paraId="406338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D18C28D">
            <w:pPr>
              <w:spacing w:line="400" w:lineRule="exact"/>
              <w:jc w:val="center"/>
              <w:rPr>
                <w:rFonts w:hint="eastAsia" w:ascii="宋体" w:hAnsi="宋体"/>
                <w:szCs w:val="21"/>
              </w:rPr>
            </w:pPr>
          </w:p>
        </w:tc>
        <w:tc>
          <w:tcPr>
            <w:tcW w:w="1550" w:type="dxa"/>
            <w:vMerge w:val="restart"/>
            <w:vAlign w:val="center"/>
          </w:tcPr>
          <w:p w14:paraId="08E5DD6B">
            <w:pPr>
              <w:spacing w:line="400" w:lineRule="exact"/>
              <w:jc w:val="center"/>
              <w:rPr>
                <w:rFonts w:ascii="宋体" w:hAnsi="宋体"/>
                <w:szCs w:val="21"/>
              </w:rPr>
            </w:pPr>
            <w:r>
              <w:rPr>
                <w:rFonts w:hint="eastAsia" w:ascii="宋体" w:hAnsi="宋体"/>
                <w:szCs w:val="21"/>
              </w:rPr>
              <w:t>投标函部分评审</w:t>
            </w:r>
          </w:p>
        </w:tc>
        <w:tc>
          <w:tcPr>
            <w:tcW w:w="6861" w:type="dxa"/>
            <w:vAlign w:val="top"/>
          </w:tcPr>
          <w:p w14:paraId="280C11E8">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18</w:t>
            </w: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w:t>
            </w:r>
            <w:r>
              <w:rPr>
                <w:rFonts w:hint="eastAsia" w:ascii="宋体" w:hAnsi="宋体" w:cs="宋体"/>
                <w:b/>
                <w:bCs/>
                <w:kern w:val="0"/>
                <w:lang w:val="en-US" w:eastAsia="zh-CN"/>
              </w:rPr>
              <w:t>不</w:t>
            </w:r>
            <w:r>
              <w:rPr>
                <w:rFonts w:hint="eastAsia" w:ascii="宋体" w:hAnsi="宋体" w:cs="宋体"/>
                <w:b/>
                <w:bCs/>
                <w:kern w:val="0"/>
              </w:rPr>
              <w:t>齐全</w:t>
            </w:r>
            <w:r>
              <w:rPr>
                <w:rFonts w:hint="eastAsia" w:ascii="宋体" w:hAnsi="宋体" w:cs="宋体"/>
                <w:kern w:val="0"/>
                <w:lang w:eastAsia="zh-CN"/>
              </w:rPr>
              <w:t>。</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lang w:val="en-US" w:eastAsia="zh-CN"/>
              </w:rPr>
              <w:t>未</w:t>
            </w:r>
            <w:r>
              <w:rPr>
                <w:rFonts w:hint="eastAsia" w:ascii="宋体" w:hAnsi="宋体" w:cs="宋体"/>
                <w:b/>
                <w:bCs/>
                <w:kern w:val="0"/>
              </w:rPr>
              <w:t>采用</w:t>
            </w:r>
            <w:r>
              <w:rPr>
                <w:rFonts w:hint="eastAsia" w:ascii="宋体" w:hAnsi="宋体" w:cs="宋体"/>
                <w:kern w:val="0"/>
              </w:rPr>
              <w:t>手写签名</w:t>
            </w:r>
            <w:r>
              <w:rPr>
                <w:rFonts w:hint="eastAsia" w:ascii="宋体" w:hAnsi="宋体"/>
                <w:szCs w:val="21"/>
              </w:rPr>
              <w:t>或</w:t>
            </w:r>
            <w:r>
              <w:rPr>
                <w:rFonts w:hint="eastAsia" w:ascii="宋体" w:hAnsi="宋体"/>
                <w:szCs w:val="21"/>
                <w:lang w:val="en-US" w:eastAsia="zh-CN"/>
              </w:rPr>
              <w:t>未</w:t>
            </w:r>
            <w:r>
              <w:rPr>
                <w:rFonts w:hint="eastAsia" w:ascii="宋体" w:hAnsi="宋体"/>
                <w:szCs w:val="21"/>
              </w:rPr>
              <w:t>签章</w:t>
            </w:r>
            <w:r>
              <w:rPr>
                <w:rFonts w:hint="eastAsia" w:ascii="宋体" w:hAnsi="宋体" w:cs="宋体"/>
                <w:kern w:val="0"/>
              </w:rPr>
              <w:t>。要求加盖单位法人章的，</w:t>
            </w:r>
            <w:r>
              <w:rPr>
                <w:rFonts w:hint="eastAsia" w:ascii="宋体" w:hAnsi="宋体"/>
                <w:b/>
                <w:bCs/>
                <w:szCs w:val="21"/>
                <w:lang w:val="en-US" w:eastAsia="zh-CN"/>
              </w:rPr>
              <w:t>未</w:t>
            </w:r>
            <w:r>
              <w:rPr>
                <w:rFonts w:hint="eastAsia" w:ascii="宋体" w:hAnsi="宋体"/>
                <w:b/>
                <w:bCs/>
                <w:szCs w:val="21"/>
              </w:rPr>
              <w:t>加盖</w:t>
            </w:r>
            <w:r>
              <w:rPr>
                <w:rFonts w:hint="eastAsia" w:ascii="宋体" w:hAnsi="宋体"/>
                <w:szCs w:val="21"/>
              </w:rPr>
              <w:t>投标人单位法人章(公章）或投标人的单位电子印章。</w:t>
            </w:r>
          </w:p>
        </w:tc>
      </w:tr>
      <w:tr w14:paraId="1B9B93D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D2866B7">
            <w:pPr>
              <w:spacing w:line="400" w:lineRule="exact"/>
              <w:jc w:val="center"/>
              <w:rPr>
                <w:rFonts w:hint="eastAsia" w:ascii="宋体" w:hAnsi="宋体"/>
                <w:szCs w:val="21"/>
              </w:rPr>
            </w:pPr>
          </w:p>
        </w:tc>
        <w:tc>
          <w:tcPr>
            <w:tcW w:w="1550" w:type="dxa"/>
            <w:vMerge w:val="continue"/>
            <w:vAlign w:val="center"/>
          </w:tcPr>
          <w:p w14:paraId="7BC8B80C">
            <w:pPr>
              <w:spacing w:line="400" w:lineRule="exact"/>
              <w:jc w:val="center"/>
              <w:rPr>
                <w:rFonts w:hint="eastAsia" w:ascii="宋体" w:hAnsi="宋体"/>
                <w:szCs w:val="21"/>
              </w:rPr>
            </w:pPr>
          </w:p>
        </w:tc>
        <w:tc>
          <w:tcPr>
            <w:tcW w:w="6861" w:type="dxa"/>
            <w:vAlign w:val="top"/>
          </w:tcPr>
          <w:p w14:paraId="6AE08FD4">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szCs w:val="21"/>
              </w:rPr>
              <w:t>交货期</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第二章“投标人须知”第1.3.2项规定。</w:t>
            </w:r>
          </w:p>
        </w:tc>
      </w:tr>
      <w:tr w14:paraId="68EF5FB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7C433E7">
            <w:pPr>
              <w:spacing w:line="400" w:lineRule="exact"/>
              <w:jc w:val="center"/>
              <w:rPr>
                <w:rFonts w:hint="eastAsia" w:ascii="宋体" w:hAnsi="宋体"/>
                <w:szCs w:val="21"/>
              </w:rPr>
            </w:pPr>
          </w:p>
        </w:tc>
        <w:tc>
          <w:tcPr>
            <w:tcW w:w="1550" w:type="dxa"/>
            <w:vMerge w:val="continue"/>
            <w:vAlign w:val="center"/>
          </w:tcPr>
          <w:p w14:paraId="4631811E">
            <w:pPr>
              <w:spacing w:line="400" w:lineRule="exact"/>
              <w:jc w:val="center"/>
              <w:rPr>
                <w:rFonts w:hint="eastAsia" w:ascii="宋体" w:hAnsi="宋体"/>
                <w:szCs w:val="21"/>
              </w:rPr>
            </w:pPr>
          </w:p>
        </w:tc>
        <w:tc>
          <w:tcPr>
            <w:tcW w:w="6861" w:type="dxa"/>
            <w:vAlign w:val="top"/>
          </w:tcPr>
          <w:p w14:paraId="14162593">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1</w:t>
            </w:r>
            <w:r>
              <w:rPr>
                <w:rFonts w:hint="eastAsia" w:ascii="宋体" w:hAnsi="宋体"/>
                <w:szCs w:val="21"/>
              </w:rPr>
              <w:t>交货地点</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第二章“投标人须知”第1.3.3项规定。</w:t>
            </w:r>
          </w:p>
        </w:tc>
      </w:tr>
      <w:tr w14:paraId="511FABD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CE2D1DA">
            <w:pPr>
              <w:spacing w:line="400" w:lineRule="exact"/>
              <w:jc w:val="center"/>
              <w:rPr>
                <w:rFonts w:hint="eastAsia" w:ascii="宋体" w:hAnsi="宋体"/>
                <w:szCs w:val="21"/>
              </w:rPr>
            </w:pPr>
          </w:p>
        </w:tc>
        <w:tc>
          <w:tcPr>
            <w:tcW w:w="1550" w:type="dxa"/>
            <w:vMerge w:val="continue"/>
            <w:vAlign w:val="center"/>
          </w:tcPr>
          <w:p w14:paraId="1F71AB52">
            <w:pPr>
              <w:spacing w:line="400" w:lineRule="exact"/>
              <w:jc w:val="center"/>
              <w:rPr>
                <w:rFonts w:hint="eastAsia" w:ascii="宋体" w:hAnsi="宋体"/>
                <w:szCs w:val="21"/>
              </w:rPr>
            </w:pPr>
          </w:p>
        </w:tc>
        <w:tc>
          <w:tcPr>
            <w:tcW w:w="6861" w:type="dxa"/>
            <w:vAlign w:val="top"/>
          </w:tcPr>
          <w:p w14:paraId="20206DB1">
            <w:pPr>
              <w:spacing w:line="400" w:lineRule="exact"/>
              <w:ind w:firstLine="420" w:firstLineChars="200"/>
              <w:rPr>
                <w:rFonts w:hint="eastAsia"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投标有效期</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第二章“投标人须知”第3.3.1项规定。</w:t>
            </w:r>
          </w:p>
        </w:tc>
      </w:tr>
      <w:tr w14:paraId="4C7ECE6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245FB02">
            <w:pPr>
              <w:spacing w:line="400" w:lineRule="exact"/>
              <w:jc w:val="center"/>
              <w:rPr>
                <w:rFonts w:ascii="宋体" w:hAnsi="宋体"/>
                <w:szCs w:val="21"/>
              </w:rPr>
            </w:pPr>
          </w:p>
        </w:tc>
        <w:tc>
          <w:tcPr>
            <w:tcW w:w="1550" w:type="dxa"/>
            <w:vMerge w:val="continue"/>
            <w:vAlign w:val="center"/>
          </w:tcPr>
          <w:p w14:paraId="2D9467BC">
            <w:pPr>
              <w:spacing w:line="400" w:lineRule="exact"/>
              <w:jc w:val="center"/>
              <w:rPr>
                <w:rFonts w:ascii="宋体" w:hAnsi="宋体"/>
                <w:szCs w:val="21"/>
              </w:rPr>
            </w:pPr>
          </w:p>
        </w:tc>
        <w:tc>
          <w:tcPr>
            <w:tcW w:w="6861" w:type="dxa"/>
            <w:vAlign w:val="top"/>
          </w:tcPr>
          <w:p w14:paraId="79067F89">
            <w:pPr>
              <w:spacing w:line="400" w:lineRule="exact"/>
              <w:ind w:firstLine="420" w:firstLineChars="200"/>
            </w:pPr>
            <w:r>
              <w:rPr>
                <w:rFonts w:hint="eastAsia" w:ascii="宋体" w:hAnsi="宋体"/>
                <w:szCs w:val="21"/>
              </w:rPr>
              <w:t>A-</w:t>
            </w:r>
            <w:r>
              <w:rPr>
                <w:rFonts w:hint="eastAsia" w:ascii="宋体" w:hAnsi="宋体"/>
                <w:szCs w:val="21"/>
                <w:lang w:val="en-US" w:eastAsia="zh-CN"/>
              </w:rPr>
              <w:t>23</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w:t>
            </w:r>
            <w:r>
              <w:rPr>
                <w:rFonts w:hint="eastAsia" w:ascii="宋体" w:hAnsi="宋体" w:cs="宋体"/>
                <w:b/>
                <w:bCs/>
                <w:szCs w:val="21"/>
              </w:rPr>
              <w:t>高于</w:t>
            </w:r>
            <w:r>
              <w:rPr>
                <w:rFonts w:hint="eastAsia" w:ascii="宋体" w:hAnsi="宋体" w:cs="宋体"/>
                <w:szCs w:val="21"/>
              </w:rPr>
              <w:t>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b/>
                <w:bCs/>
                <w:color w:val="auto"/>
                <w:szCs w:val="21"/>
                <w:highlight w:val="none"/>
                <w:lang w:val="en-US" w:eastAsia="zh-CN"/>
              </w:rPr>
              <w:t>不</w:t>
            </w:r>
            <w:r>
              <w:rPr>
                <w:rFonts w:hint="eastAsia" w:ascii="宋体" w:hAnsi="宋体" w:cs="宋体"/>
                <w:b/>
                <w:bCs/>
                <w:color w:val="auto"/>
                <w:szCs w:val="21"/>
                <w:highlight w:val="none"/>
              </w:rPr>
              <w:t>一致</w:t>
            </w:r>
            <w:r>
              <w:rPr>
                <w:rFonts w:hint="eastAsia"/>
              </w:rPr>
              <w:t>。</w:t>
            </w:r>
          </w:p>
        </w:tc>
      </w:tr>
      <w:tr w14:paraId="5A296F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16A595A">
            <w:pPr>
              <w:spacing w:line="400" w:lineRule="exact"/>
              <w:jc w:val="center"/>
              <w:rPr>
                <w:rFonts w:ascii="宋体" w:hAnsi="宋体"/>
                <w:szCs w:val="21"/>
              </w:rPr>
            </w:pPr>
          </w:p>
        </w:tc>
        <w:tc>
          <w:tcPr>
            <w:tcW w:w="1550" w:type="dxa"/>
            <w:vMerge w:val="continue"/>
            <w:vAlign w:val="center"/>
          </w:tcPr>
          <w:p w14:paraId="31E30431">
            <w:pPr>
              <w:spacing w:line="400" w:lineRule="exact"/>
              <w:jc w:val="center"/>
              <w:rPr>
                <w:rFonts w:ascii="宋体" w:hAnsi="宋体"/>
                <w:szCs w:val="21"/>
              </w:rPr>
            </w:pPr>
          </w:p>
        </w:tc>
        <w:tc>
          <w:tcPr>
            <w:tcW w:w="6861" w:type="dxa"/>
            <w:vAlign w:val="center"/>
          </w:tcPr>
          <w:p w14:paraId="10E46D6E">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4</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b/>
                <w:bCs/>
                <w:lang w:val="en-US" w:eastAsia="zh-CN"/>
              </w:rPr>
              <w:t>不</w:t>
            </w:r>
            <w:r>
              <w:rPr>
                <w:b/>
                <w:bCs/>
              </w:rP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w:t>
            </w:r>
            <w:r>
              <w:rPr>
                <w:rFonts w:hint="eastAsia"/>
                <w:b/>
                <w:bCs/>
                <w:lang w:val="en-US" w:eastAsia="zh-CN"/>
              </w:rPr>
              <w:t>不</w:t>
            </w:r>
            <w:r>
              <w:rPr>
                <w:b/>
                <w:bCs/>
              </w:rPr>
              <w:t>一致</w:t>
            </w:r>
            <w:r>
              <w:rPr>
                <w:rFonts w:hint="eastAsia"/>
                <w:lang w:eastAsia="zh-CN"/>
              </w:rPr>
              <w:t>。</w:t>
            </w:r>
          </w:p>
        </w:tc>
      </w:tr>
      <w:tr w14:paraId="76D04CE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841A052">
            <w:pPr>
              <w:spacing w:line="400" w:lineRule="exact"/>
              <w:jc w:val="center"/>
              <w:rPr>
                <w:rFonts w:ascii="宋体" w:hAnsi="宋体"/>
                <w:szCs w:val="21"/>
              </w:rPr>
            </w:pPr>
          </w:p>
        </w:tc>
        <w:tc>
          <w:tcPr>
            <w:tcW w:w="1550" w:type="dxa"/>
            <w:vMerge w:val="continue"/>
            <w:vAlign w:val="center"/>
          </w:tcPr>
          <w:p w14:paraId="0EE58013">
            <w:pPr>
              <w:spacing w:line="400" w:lineRule="exact"/>
              <w:jc w:val="center"/>
              <w:rPr>
                <w:rFonts w:ascii="宋体" w:hAnsi="宋体"/>
                <w:szCs w:val="21"/>
              </w:rPr>
            </w:pPr>
          </w:p>
        </w:tc>
        <w:tc>
          <w:tcPr>
            <w:tcW w:w="6861" w:type="dxa"/>
            <w:vAlign w:val="top"/>
          </w:tcPr>
          <w:p w14:paraId="4626C9F9">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5</w:t>
            </w:r>
            <w:r>
              <w:rPr>
                <w:rFonts w:hint="eastAsia" w:ascii="宋体" w:hAnsi="宋体"/>
                <w:szCs w:val="21"/>
              </w:rPr>
              <w:t>有</w:t>
            </w:r>
            <w:r>
              <w:rPr>
                <w:rFonts w:hint="eastAsia" w:ascii="宋体" w:hAnsi="宋体"/>
                <w:b/>
                <w:bCs/>
                <w:szCs w:val="21"/>
                <w:lang w:val="en-US" w:eastAsia="zh-CN"/>
              </w:rPr>
              <w:t>多</w:t>
            </w:r>
            <w:r>
              <w:rPr>
                <w:rFonts w:hint="eastAsia" w:ascii="宋体" w:hAnsi="宋体"/>
                <w:b/>
                <w:bCs/>
                <w:szCs w:val="21"/>
              </w:rPr>
              <w:t>个</w:t>
            </w:r>
            <w:r>
              <w:rPr>
                <w:rFonts w:hint="eastAsia" w:ascii="宋体" w:hAnsi="宋体"/>
                <w:szCs w:val="21"/>
              </w:rPr>
              <w:t>有效报价。在招标文件</w:t>
            </w:r>
            <w:r>
              <w:rPr>
                <w:rFonts w:hint="eastAsia" w:ascii="宋体" w:hAnsi="宋体"/>
                <w:b/>
                <w:bCs/>
                <w:szCs w:val="21"/>
              </w:rPr>
              <w:t>没有规定的情况下</w:t>
            </w:r>
            <w:r>
              <w:rPr>
                <w:rFonts w:hint="eastAsia" w:ascii="宋体" w:hAnsi="宋体"/>
                <w:szCs w:val="21"/>
              </w:rPr>
              <w:t>，提交选择性报价。</w:t>
            </w:r>
          </w:p>
        </w:tc>
      </w:tr>
      <w:tr w14:paraId="3F2C29B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E1FA35E">
            <w:pPr>
              <w:spacing w:line="400" w:lineRule="exact"/>
              <w:jc w:val="center"/>
              <w:rPr>
                <w:rFonts w:ascii="宋体" w:hAnsi="宋体"/>
                <w:szCs w:val="21"/>
              </w:rPr>
            </w:pPr>
          </w:p>
        </w:tc>
        <w:tc>
          <w:tcPr>
            <w:tcW w:w="1550" w:type="dxa"/>
            <w:vMerge w:val="continue"/>
            <w:vAlign w:val="center"/>
          </w:tcPr>
          <w:p w14:paraId="025FB3B7">
            <w:pPr>
              <w:spacing w:line="400" w:lineRule="exact"/>
              <w:jc w:val="center"/>
              <w:rPr>
                <w:rFonts w:ascii="宋体" w:hAnsi="宋体"/>
                <w:szCs w:val="21"/>
              </w:rPr>
            </w:pPr>
          </w:p>
        </w:tc>
        <w:tc>
          <w:tcPr>
            <w:tcW w:w="6861" w:type="dxa"/>
            <w:vAlign w:val="top"/>
          </w:tcPr>
          <w:p w14:paraId="2A0D8129">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投标报价</w:t>
            </w:r>
            <w:r>
              <w:rPr>
                <w:rFonts w:hint="eastAsia" w:ascii="宋体" w:hAnsi="宋体"/>
                <w:szCs w:val="21"/>
                <w:lang w:val="en-US" w:eastAsia="zh-CN"/>
              </w:rPr>
              <w:t>有大小写</w:t>
            </w:r>
            <w:r>
              <w:rPr>
                <w:rFonts w:hint="eastAsia" w:ascii="宋体" w:hAnsi="宋体"/>
                <w:b/>
                <w:bCs/>
                <w:szCs w:val="21"/>
                <w:lang w:val="en-US" w:eastAsia="zh-CN"/>
              </w:rPr>
              <w:t>不一致</w:t>
            </w:r>
            <w:r>
              <w:rPr>
                <w:rFonts w:hint="eastAsia" w:ascii="宋体" w:hAnsi="宋体"/>
                <w:b/>
                <w:bCs/>
                <w:szCs w:val="21"/>
              </w:rPr>
              <w:t>的，</w:t>
            </w:r>
            <w:r>
              <w:rPr>
                <w:rFonts w:hint="eastAsia" w:ascii="宋体" w:hAnsi="宋体"/>
                <w:b/>
                <w:bCs/>
                <w:szCs w:val="21"/>
                <w:lang w:val="en-US" w:eastAsia="zh-CN"/>
              </w:rPr>
              <w:t>未</w:t>
            </w:r>
            <w:r>
              <w:rPr>
                <w:rFonts w:hint="eastAsia" w:ascii="宋体" w:hAnsi="宋体"/>
                <w:b/>
                <w:bCs/>
                <w:szCs w:val="21"/>
              </w:rPr>
              <w:t>按照</w:t>
            </w:r>
            <w:r>
              <w:rPr>
                <w:rFonts w:hint="eastAsia" w:ascii="宋体" w:hAnsi="宋体"/>
                <w:szCs w:val="21"/>
              </w:rPr>
              <w:t>第三章“评标办法”第3.1.</w:t>
            </w:r>
            <w:r>
              <w:rPr>
                <w:rFonts w:hint="eastAsia" w:ascii="宋体" w:hAnsi="宋体"/>
                <w:szCs w:val="21"/>
                <w:lang w:val="en-US" w:eastAsia="zh-CN"/>
              </w:rPr>
              <w:t>2</w:t>
            </w:r>
            <w:r>
              <w:rPr>
                <w:rFonts w:hint="eastAsia" w:ascii="宋体" w:hAnsi="宋体"/>
                <w:szCs w:val="21"/>
              </w:rPr>
              <w:t>项规定执行。</w:t>
            </w:r>
          </w:p>
        </w:tc>
      </w:tr>
      <w:tr w14:paraId="29E0B34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5B0544CD">
            <w:pPr>
              <w:spacing w:line="400" w:lineRule="exact"/>
              <w:jc w:val="center"/>
              <w:rPr>
                <w:rFonts w:hint="eastAsia" w:ascii="宋体" w:hAnsi="宋体" w:eastAsia="宋体"/>
                <w:szCs w:val="21"/>
                <w:lang w:val="en-US" w:eastAsia="zh-CN"/>
              </w:rPr>
            </w:pPr>
            <w:r>
              <w:rPr>
                <w:rFonts w:hint="eastAsia" w:ascii="宋体" w:hAnsi="宋体"/>
                <w:szCs w:val="21"/>
                <w:lang w:val="en-US" w:eastAsia="zh-CN"/>
              </w:rPr>
              <w:t>其他</w:t>
            </w:r>
          </w:p>
        </w:tc>
        <w:tc>
          <w:tcPr>
            <w:tcW w:w="1550" w:type="dxa"/>
            <w:vAlign w:val="center"/>
          </w:tcPr>
          <w:p w14:paraId="796E64B7">
            <w:pPr>
              <w:spacing w:line="400" w:lineRule="exact"/>
              <w:jc w:val="center"/>
              <w:rPr>
                <w:rFonts w:ascii="宋体" w:hAnsi="宋体"/>
                <w:szCs w:val="21"/>
              </w:rPr>
            </w:pPr>
          </w:p>
        </w:tc>
        <w:tc>
          <w:tcPr>
            <w:tcW w:w="6861" w:type="dxa"/>
          </w:tcPr>
          <w:p w14:paraId="04F43476">
            <w:pPr>
              <w:spacing w:line="400" w:lineRule="exact"/>
              <w:ind w:firstLine="420" w:firstLineChars="200"/>
              <w:rPr>
                <w:rFonts w:ascii="宋体" w:hAnsi="宋体"/>
                <w:i/>
                <w:szCs w:val="21"/>
              </w:rPr>
            </w:pPr>
            <w:r>
              <w:rPr>
                <w:rFonts w:hint="eastAsia" w:ascii="宋体" w:hAnsi="宋体"/>
                <w:i/>
                <w:szCs w:val="21"/>
                <w:lang w:val="en-US" w:eastAsia="zh-CN"/>
              </w:rPr>
              <w:t>/</w:t>
            </w:r>
          </w:p>
        </w:tc>
      </w:tr>
    </w:tbl>
    <w:p w14:paraId="5E718B31">
      <w:pPr>
        <w:autoSpaceDE w:val="0"/>
        <w:autoSpaceDN w:val="0"/>
        <w:adjustRightInd w:val="0"/>
        <w:snapToGrid w:val="0"/>
        <w:spacing w:line="360" w:lineRule="auto"/>
        <w:jc w:val="left"/>
        <w:rPr>
          <w:rFonts w:ascii="宋体" w:hAnsi="宋体"/>
          <w:b/>
          <w:kern w:val="0"/>
          <w:sz w:val="20"/>
          <w:szCs w:val="20"/>
        </w:rPr>
      </w:pPr>
    </w:p>
    <w:p w14:paraId="0FC17E0F"/>
    <w:p w14:paraId="4B7F0B83">
      <w:pPr>
        <w:rPr>
          <w:rFonts w:ascii="宋体" w:hAnsi="宋体"/>
          <w:snapToGrid w:val="0"/>
          <w:kern w:val="0"/>
        </w:rPr>
      </w:pPr>
      <w:bookmarkStart w:id="606" w:name="_Toc58860121"/>
      <w:r>
        <w:rPr>
          <w:rFonts w:ascii="宋体" w:hAnsi="宋体"/>
          <w:snapToGrid w:val="0"/>
          <w:kern w:val="0"/>
        </w:rPr>
        <w:br w:type="page"/>
      </w:r>
    </w:p>
    <w:bookmarkEnd w:id="606"/>
    <w:p w14:paraId="204D1F4D">
      <w:pPr>
        <w:pStyle w:val="3"/>
        <w:spacing w:line="360" w:lineRule="auto"/>
        <w:jc w:val="center"/>
        <w:rPr>
          <w:rFonts w:ascii="宋体" w:hAnsi="宋体"/>
          <w:kern w:val="0"/>
        </w:rPr>
      </w:pPr>
      <w:bookmarkStart w:id="607" w:name="_Toc8871"/>
      <w:bookmarkStart w:id="608" w:name="_Toc17777"/>
      <w:bookmarkStart w:id="609" w:name="_Toc509218785"/>
      <w:bookmarkStart w:id="610" w:name="_Toc430530509"/>
      <w:r>
        <w:rPr>
          <w:rFonts w:hint="eastAsia" w:ascii="宋体" w:hAnsi="宋体"/>
          <w:kern w:val="0"/>
        </w:rPr>
        <w:t>第四章  合同条款及格式</w:t>
      </w:r>
      <w:bookmarkEnd w:id="607"/>
      <w:bookmarkEnd w:id="608"/>
      <w:bookmarkEnd w:id="609"/>
      <w:bookmarkEnd w:id="610"/>
    </w:p>
    <w:p w14:paraId="5EE1B7B7"/>
    <w:p w14:paraId="05F9B745">
      <w:r>
        <w:br w:type="page"/>
      </w:r>
    </w:p>
    <w:p w14:paraId="6B3C1981">
      <w:pPr>
        <w:rPr>
          <w:sz w:val="32"/>
          <w:szCs w:val="32"/>
        </w:rPr>
      </w:pPr>
    </w:p>
    <w:p w14:paraId="7E04EB97">
      <w:pPr>
        <w:pStyle w:val="2"/>
        <w:rPr>
          <w:sz w:val="32"/>
          <w:szCs w:val="32"/>
        </w:rPr>
      </w:pPr>
    </w:p>
    <w:p w14:paraId="384BAB84">
      <w:pPr>
        <w:bidi w:val="0"/>
        <w:jc w:val="center"/>
        <w:rPr>
          <w:b/>
          <w:bCs/>
          <w:sz w:val="28"/>
          <w:szCs w:val="28"/>
        </w:rPr>
      </w:pPr>
      <w:bookmarkStart w:id="611" w:name="_Toc22214"/>
      <w:r>
        <w:rPr>
          <w:b/>
          <w:bCs/>
          <w:sz w:val="28"/>
          <w:szCs w:val="28"/>
        </w:rPr>
        <w:t>设备采购合同示范文本</w:t>
      </w:r>
      <w:bookmarkEnd w:id="611"/>
    </w:p>
    <w:p w14:paraId="3AF0B620">
      <w:pPr>
        <w:rPr>
          <w:rFonts w:ascii="宋体" w:hAnsi="宋体"/>
          <w:sz w:val="44"/>
          <w:szCs w:val="44"/>
        </w:rPr>
      </w:pPr>
      <w:r>
        <w:rPr>
          <w:rFonts w:ascii="宋体" w:hAnsi="宋体"/>
        </w:rPr>
        <w:br w:type="page"/>
      </w:r>
      <w:bookmarkStart w:id="612" w:name="_Toc351203480"/>
      <w:bookmarkStart w:id="613" w:name="_Toc296503025"/>
      <w:bookmarkStart w:id="614" w:name="_Toc296890982"/>
    </w:p>
    <w:p w14:paraId="74D1AF78">
      <w:pPr>
        <w:pStyle w:val="4"/>
        <w:spacing w:line="360" w:lineRule="auto"/>
        <w:jc w:val="center"/>
        <w:rPr>
          <w:rFonts w:ascii="宋体" w:hAnsi="宋体"/>
          <w:bCs w:val="0"/>
          <w:sz w:val="21"/>
          <w:szCs w:val="21"/>
        </w:rPr>
      </w:pPr>
      <w:bookmarkStart w:id="615" w:name="_Toc532377179"/>
      <w:bookmarkStart w:id="616" w:name="_Toc532375586"/>
      <w:bookmarkStart w:id="617" w:name="_Toc529388289"/>
      <w:bookmarkStart w:id="618" w:name="_Toc11011"/>
      <w:bookmarkStart w:id="619" w:name="_Toc8587"/>
      <w:bookmarkStart w:id="620" w:name="_Toc267261701"/>
      <w:bookmarkStart w:id="621" w:name="_Toc351203632"/>
      <w:r>
        <w:rPr>
          <w:rFonts w:hint="eastAsia" w:ascii="宋体" w:hAnsi="宋体"/>
          <w:kern w:val="0"/>
          <w:sz w:val="28"/>
          <w:szCs w:val="28"/>
        </w:rPr>
        <w:t>第</w:t>
      </w:r>
      <w:r>
        <w:rPr>
          <w:rFonts w:hint="eastAsia" w:ascii="宋体" w:hAnsi="宋体"/>
          <w:kern w:val="0"/>
          <w:sz w:val="28"/>
          <w:szCs w:val="28"/>
          <w:lang w:val="en-US" w:eastAsia="zh-CN"/>
        </w:rPr>
        <w:t>一</w:t>
      </w:r>
      <w:r>
        <w:rPr>
          <w:rFonts w:hint="eastAsia" w:ascii="宋体" w:hAnsi="宋体"/>
          <w:kern w:val="0"/>
          <w:sz w:val="28"/>
          <w:szCs w:val="28"/>
        </w:rPr>
        <w:t>节 通用合同条款</w:t>
      </w:r>
      <w:bookmarkEnd w:id="615"/>
      <w:bookmarkEnd w:id="616"/>
      <w:bookmarkEnd w:id="617"/>
      <w:bookmarkEnd w:id="618"/>
      <w:bookmarkEnd w:id="619"/>
    </w:p>
    <w:p w14:paraId="06B90C4B">
      <w:pPr>
        <w:pStyle w:val="97"/>
        <w:keepNext w:val="0"/>
        <w:keepLines w:val="0"/>
        <w:tabs>
          <w:tab w:val="left" w:pos="567"/>
        </w:tabs>
        <w:spacing w:before="156" w:after="156"/>
        <w:rPr>
          <w:rFonts w:eastAsia="宋体" w:cs="Times New Roman"/>
          <w:b/>
          <w:bCs/>
          <w:sz w:val="32"/>
          <w:szCs w:val="32"/>
        </w:rPr>
      </w:pPr>
      <w:bookmarkStart w:id="622" w:name="_Toc7119"/>
      <w:bookmarkStart w:id="623" w:name="_Toc13998"/>
      <w:bookmarkStart w:id="624" w:name="_Toc31355"/>
      <w:bookmarkStart w:id="625" w:name="_Toc7639"/>
      <w:bookmarkStart w:id="626" w:name="_Toc27142"/>
      <w:bookmarkStart w:id="627" w:name="_Toc19477"/>
      <w:bookmarkStart w:id="628" w:name="_Toc2881580"/>
      <w:r>
        <w:rPr>
          <w:rFonts w:hint="eastAsia" w:eastAsia="宋体" w:cs="Times New Roman"/>
          <w:b/>
          <w:bCs/>
          <w:sz w:val="32"/>
          <w:szCs w:val="32"/>
        </w:rPr>
        <w:t>1.一般约定</w:t>
      </w:r>
      <w:bookmarkEnd w:id="622"/>
      <w:bookmarkEnd w:id="623"/>
      <w:bookmarkEnd w:id="624"/>
      <w:bookmarkEnd w:id="625"/>
      <w:bookmarkEnd w:id="626"/>
      <w:bookmarkEnd w:id="627"/>
      <w:bookmarkEnd w:id="628"/>
    </w:p>
    <w:p w14:paraId="6AD0279C">
      <w:pPr>
        <w:tabs>
          <w:tab w:val="left" w:pos="1134"/>
        </w:tabs>
        <w:spacing w:line="360" w:lineRule="auto"/>
        <w:ind w:firstLine="420" w:firstLineChars="200"/>
        <w:rPr>
          <w:rFonts w:ascii="微软雅黑" w:eastAsia="微软雅黑" w:cs="微软雅黑"/>
          <w:kern w:val="0"/>
          <w:sz w:val="17"/>
          <w:szCs w:val="17"/>
        </w:rPr>
      </w:pPr>
      <w:r>
        <w:rPr>
          <w:rFonts w:ascii="宋体" w:hAnsi="宋体"/>
          <w:szCs w:val="21"/>
        </w:rPr>
        <w:t xml:space="preserve">1.1 </w:t>
      </w:r>
      <w:r>
        <w:rPr>
          <w:rFonts w:hint="eastAsia" w:ascii="宋体" w:hAnsi="宋体"/>
          <w:szCs w:val="21"/>
        </w:rPr>
        <w:t>词语定义</w:t>
      </w:r>
    </w:p>
    <w:p w14:paraId="16DD09D9">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b/>
          <w:szCs w:val="21"/>
        </w:rPr>
        <w:t>专用合同条款</w:t>
      </w:r>
      <w:r>
        <w:rPr>
          <w:rFonts w:hint="eastAsia" w:ascii="宋体" w:hAnsi="宋体"/>
          <w:szCs w:val="21"/>
        </w:rPr>
        <w:t>另有约定外，合同中的下列词语应具有本款所赋予的含义。</w:t>
      </w:r>
    </w:p>
    <w:p w14:paraId="29847B0B">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合同</w:t>
      </w:r>
    </w:p>
    <w:p w14:paraId="7CC05597">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合同文件（或称合同）：指合同协议书、中标通知书、投标函、商务和技术偏差表、专用合同条款、通用合同条款、供货要求、分项报价表、中标设备技术性能指标的详细描述、技术服务和</w:t>
      </w:r>
      <w:r>
        <w:rPr>
          <w:rFonts w:hint="eastAsia" w:ascii="宋体" w:hAnsi="宋体"/>
          <w:szCs w:val="21"/>
          <w:lang w:eastAsia="zh-CN"/>
        </w:rPr>
        <w:t>质量保证期</w:t>
      </w:r>
      <w:r>
        <w:rPr>
          <w:rFonts w:hint="eastAsia" w:ascii="宋体" w:hAnsi="宋体"/>
          <w:szCs w:val="21"/>
        </w:rPr>
        <w:t>服务计划，以及其他构成合同组成部分的文件。</w:t>
      </w:r>
    </w:p>
    <w:p w14:paraId="529E7EC9">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rPr>
        <w:t>合同协议书：指买方和卖方共同签署的合同协议书。</w:t>
      </w:r>
    </w:p>
    <w:p w14:paraId="64F4DBE2">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中标通知书：指买方通知卖方中标的函件。</w:t>
      </w:r>
    </w:p>
    <w:p w14:paraId="7B7496B1">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投标函：指由卖方填写并签署的，名为“投标函”的函件。</w:t>
      </w:r>
    </w:p>
    <w:p w14:paraId="3CB68252">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商务和技术偏差表：指卖方投标文件中的商务和技术偏差表。</w:t>
      </w:r>
    </w:p>
    <w:p w14:paraId="44388522">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供货要求：指合同文件中名为“供货要求”的文件。</w:t>
      </w:r>
    </w:p>
    <w:p w14:paraId="7BDD44D6">
      <w:pPr>
        <w:tabs>
          <w:tab w:val="left" w:pos="1134"/>
        </w:tabs>
        <w:spacing w:line="360" w:lineRule="auto"/>
        <w:ind w:firstLine="420" w:firstLineChars="200"/>
        <w:rPr>
          <w:rFonts w:ascii="宋体" w:hAnsi="宋体"/>
          <w:szCs w:val="21"/>
        </w:rPr>
      </w:pPr>
      <w:r>
        <w:rPr>
          <w:rFonts w:ascii="宋体" w:hAnsi="宋体"/>
          <w:szCs w:val="21"/>
        </w:rPr>
        <w:t xml:space="preserve">1.1.1.7 </w:t>
      </w:r>
      <w:r>
        <w:rPr>
          <w:rFonts w:hint="eastAsia" w:ascii="宋体" w:hAnsi="宋体"/>
          <w:szCs w:val="21"/>
        </w:rPr>
        <w:t>中标设备技术性能指标的详细描述：指卖方投标文件中的投标设备技术性能指标的详细描述。</w:t>
      </w:r>
    </w:p>
    <w:p w14:paraId="588EDEE6">
      <w:pPr>
        <w:tabs>
          <w:tab w:val="left" w:pos="1134"/>
        </w:tabs>
        <w:spacing w:line="360" w:lineRule="auto"/>
        <w:ind w:firstLine="420" w:firstLineChars="200"/>
        <w:rPr>
          <w:rFonts w:ascii="宋体" w:hAnsi="宋体"/>
          <w:szCs w:val="21"/>
        </w:rPr>
      </w:pPr>
      <w:r>
        <w:rPr>
          <w:rFonts w:ascii="宋体" w:hAnsi="宋体"/>
          <w:szCs w:val="21"/>
        </w:rPr>
        <w:t xml:space="preserve">1.1.1.8 </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服务计划：指卖方投标文件中的技术服务和</w:t>
      </w:r>
      <w:r>
        <w:rPr>
          <w:rFonts w:hint="eastAsia" w:ascii="宋体" w:hAnsi="宋体"/>
          <w:szCs w:val="21"/>
          <w:lang w:eastAsia="zh-CN"/>
        </w:rPr>
        <w:t>质量保证期</w:t>
      </w:r>
      <w:r>
        <w:rPr>
          <w:rFonts w:hint="eastAsia" w:ascii="宋体" w:hAnsi="宋体"/>
          <w:szCs w:val="21"/>
        </w:rPr>
        <w:t>服务计划。</w:t>
      </w:r>
    </w:p>
    <w:p w14:paraId="021E7E95">
      <w:pPr>
        <w:tabs>
          <w:tab w:val="left" w:pos="1134"/>
        </w:tabs>
        <w:spacing w:line="360" w:lineRule="auto"/>
        <w:ind w:firstLine="420" w:firstLineChars="200"/>
        <w:rPr>
          <w:rFonts w:ascii="宋体" w:hAnsi="宋体"/>
          <w:szCs w:val="21"/>
        </w:rPr>
      </w:pPr>
      <w:r>
        <w:rPr>
          <w:rFonts w:ascii="宋体" w:hAnsi="宋体"/>
          <w:szCs w:val="21"/>
        </w:rPr>
        <w:t xml:space="preserve">1.1.1.9 </w:t>
      </w:r>
      <w:r>
        <w:rPr>
          <w:rFonts w:hint="eastAsia" w:ascii="宋体" w:hAnsi="宋体"/>
          <w:szCs w:val="21"/>
        </w:rPr>
        <w:t>分项报价表：指卖方投标文件中的分项报价表。</w:t>
      </w:r>
    </w:p>
    <w:p w14:paraId="46398055">
      <w:pPr>
        <w:tabs>
          <w:tab w:val="left" w:pos="1134"/>
        </w:tabs>
        <w:spacing w:line="360" w:lineRule="auto"/>
        <w:ind w:firstLine="420" w:firstLineChars="200"/>
        <w:rPr>
          <w:rFonts w:ascii="宋体" w:hAnsi="宋体"/>
          <w:szCs w:val="21"/>
        </w:rPr>
      </w:pPr>
      <w:r>
        <w:rPr>
          <w:rFonts w:ascii="宋体" w:hAnsi="宋体"/>
          <w:szCs w:val="21"/>
        </w:rPr>
        <w:t xml:space="preserve">1.1.1.10 </w:t>
      </w:r>
      <w:r>
        <w:rPr>
          <w:rFonts w:hint="eastAsia" w:ascii="宋体" w:hAnsi="宋体"/>
          <w:szCs w:val="21"/>
        </w:rPr>
        <w:t>其他合同文件：指经合同双方当事人确认构成合同文件的其他文件。</w:t>
      </w:r>
    </w:p>
    <w:p w14:paraId="3D9D9F5F">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合同当事人</w:t>
      </w:r>
    </w:p>
    <w:p w14:paraId="228121A4">
      <w:pPr>
        <w:tabs>
          <w:tab w:val="left" w:pos="1134"/>
        </w:tabs>
        <w:spacing w:line="360" w:lineRule="auto"/>
        <w:ind w:firstLine="420" w:firstLineChars="200"/>
        <w:rPr>
          <w:rFonts w:ascii="宋体" w:hAnsi="宋体"/>
          <w:szCs w:val="21"/>
        </w:rPr>
      </w:pPr>
      <w:r>
        <w:rPr>
          <w:rFonts w:ascii="宋体" w:hAnsi="宋体"/>
          <w:szCs w:val="21"/>
        </w:rPr>
        <w:t xml:space="preserve">1.1.2.1 </w:t>
      </w:r>
      <w:r>
        <w:rPr>
          <w:rFonts w:hint="eastAsia" w:ascii="宋体" w:hAnsi="宋体"/>
          <w:szCs w:val="21"/>
        </w:rPr>
        <w:t>合同当事人：指买方和（或）卖方。</w:t>
      </w:r>
    </w:p>
    <w:p w14:paraId="59419FD9">
      <w:pPr>
        <w:tabs>
          <w:tab w:val="left" w:pos="1134"/>
        </w:tabs>
        <w:spacing w:line="360" w:lineRule="auto"/>
        <w:ind w:firstLine="420" w:firstLineChars="200"/>
        <w:rPr>
          <w:rFonts w:ascii="宋体" w:hAnsi="宋体"/>
          <w:szCs w:val="21"/>
        </w:rPr>
      </w:pPr>
      <w:r>
        <w:rPr>
          <w:rFonts w:ascii="宋体" w:hAnsi="宋体"/>
          <w:szCs w:val="21"/>
        </w:rPr>
        <w:t xml:space="preserve">1.1.2.2 </w:t>
      </w:r>
      <w:r>
        <w:rPr>
          <w:rFonts w:hint="eastAsia" w:ascii="宋体" w:hAnsi="宋体"/>
          <w:szCs w:val="21"/>
        </w:rPr>
        <w:t>买方：指与卖方签订合同协议书，购买合同设备和技术服务和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750261DD">
      <w:pPr>
        <w:tabs>
          <w:tab w:val="left" w:pos="1134"/>
        </w:tabs>
        <w:spacing w:line="360" w:lineRule="auto"/>
        <w:ind w:firstLine="420" w:firstLineChars="200"/>
        <w:rPr>
          <w:rFonts w:ascii="宋体" w:hAnsi="宋体"/>
          <w:szCs w:val="21"/>
        </w:rPr>
      </w:pPr>
      <w:r>
        <w:rPr>
          <w:rFonts w:ascii="宋体" w:hAnsi="宋体"/>
          <w:szCs w:val="21"/>
        </w:rPr>
        <w:t xml:space="preserve">1.1.2.3 </w:t>
      </w:r>
      <w:r>
        <w:rPr>
          <w:rFonts w:hint="eastAsia" w:ascii="宋体" w:hAnsi="宋体"/>
          <w:szCs w:val="21"/>
        </w:rPr>
        <w:t>卖方：指与买方签订合同协议书，提供合同设备和技术服务和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2D29F424">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合同价格</w:t>
      </w:r>
    </w:p>
    <w:p w14:paraId="49073273">
      <w:pPr>
        <w:tabs>
          <w:tab w:val="left" w:pos="1134"/>
        </w:tabs>
        <w:spacing w:line="360" w:lineRule="auto"/>
        <w:ind w:firstLine="420" w:firstLineChars="200"/>
        <w:rPr>
          <w:rFonts w:ascii="宋体" w:hAnsi="宋体"/>
          <w:szCs w:val="21"/>
        </w:rPr>
      </w:pPr>
      <w:r>
        <w:rPr>
          <w:rFonts w:ascii="宋体" w:hAnsi="宋体"/>
          <w:szCs w:val="21"/>
        </w:rPr>
        <w:t xml:space="preserve">1.1.3.1 </w:t>
      </w:r>
      <w:r>
        <w:rPr>
          <w:rFonts w:hint="eastAsia" w:ascii="宋体" w:hAnsi="宋体"/>
          <w:szCs w:val="21"/>
        </w:rPr>
        <w:t>签约合同价：是签订合同时合同协议书中写明的合同总金额。</w:t>
      </w:r>
    </w:p>
    <w:p w14:paraId="01F557ED">
      <w:pPr>
        <w:tabs>
          <w:tab w:val="left" w:pos="1134"/>
        </w:tabs>
        <w:spacing w:line="360" w:lineRule="auto"/>
        <w:ind w:firstLine="420" w:firstLineChars="200"/>
        <w:rPr>
          <w:rFonts w:ascii="宋体" w:hAnsi="宋体"/>
          <w:szCs w:val="21"/>
        </w:rPr>
      </w:pPr>
      <w:r>
        <w:rPr>
          <w:rFonts w:ascii="宋体" w:hAnsi="宋体"/>
          <w:szCs w:val="21"/>
        </w:rPr>
        <w:t xml:space="preserve">1.1.3.2 </w:t>
      </w:r>
      <w:r>
        <w:rPr>
          <w:rFonts w:hint="eastAsia" w:ascii="宋体" w:hAnsi="宋体"/>
          <w:szCs w:val="21"/>
        </w:rPr>
        <w:t>合同价格：指卖方按合同约定履行了全部合同义务后，买方应付给卖方的金额。</w:t>
      </w:r>
    </w:p>
    <w:p w14:paraId="2B3C77B1">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合同设备：指卖方按合同约定应向买方提供的设备、装置、备品、备件、易损易耗件、配套使用的软件或其他辅助电子应用程序及技术资料，或其中任何一部分。</w:t>
      </w:r>
    </w:p>
    <w:p w14:paraId="7983A049">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技术资料：指各种纸质及电子载体的与合同设备的设计、检验、安装、调试、考核、操作、维修以及保养等有关的技术指标、规格、图纸和说明文件。</w:t>
      </w:r>
    </w:p>
    <w:p w14:paraId="16BB0FFE">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安装：指对合同设备进行的组装、连接以及根据需要将合同设备固定在施工场地内一定的位置上，使其就位并与相关设备、工程实现连接。</w:t>
      </w:r>
    </w:p>
    <w:p w14:paraId="7DFCA6A2">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调试：指在合同设备安装完成后，对合同设备所进行的调校和测试。</w:t>
      </w:r>
    </w:p>
    <w:p w14:paraId="366C3599">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考核：指在合同设备调试完成后，对合同设备进行的用于确定其是否达到合同约定的技术性能考核指标的考核。</w:t>
      </w:r>
    </w:p>
    <w:p w14:paraId="4D8458A9">
      <w:pPr>
        <w:tabs>
          <w:tab w:val="left" w:pos="1134"/>
        </w:tabs>
        <w:spacing w:line="360" w:lineRule="auto"/>
        <w:ind w:firstLine="420" w:firstLineChars="200"/>
        <w:rPr>
          <w:rFonts w:ascii="宋体" w:hAnsi="宋体"/>
          <w:szCs w:val="21"/>
        </w:rPr>
      </w:pPr>
      <w:r>
        <w:rPr>
          <w:rFonts w:ascii="宋体" w:hAnsi="宋体"/>
          <w:szCs w:val="21"/>
        </w:rPr>
        <w:t xml:space="preserve">1.1.9 </w:t>
      </w:r>
      <w:r>
        <w:rPr>
          <w:rFonts w:hint="eastAsia" w:ascii="宋体" w:hAnsi="宋体"/>
          <w:szCs w:val="21"/>
        </w:rPr>
        <w:t>验收：指合同设备通过考核达到合同约定的技术性能考核指标后，买方作出接受合同设备的确认。</w:t>
      </w:r>
    </w:p>
    <w:p w14:paraId="064C6FCE">
      <w:pPr>
        <w:tabs>
          <w:tab w:val="left" w:pos="1134"/>
        </w:tabs>
        <w:spacing w:line="360" w:lineRule="auto"/>
        <w:ind w:firstLine="420" w:firstLineChars="200"/>
        <w:rPr>
          <w:rFonts w:ascii="宋体" w:hAnsi="宋体"/>
          <w:szCs w:val="21"/>
        </w:rPr>
      </w:pPr>
      <w:r>
        <w:rPr>
          <w:rFonts w:ascii="宋体" w:hAnsi="宋体"/>
          <w:szCs w:val="21"/>
        </w:rPr>
        <w:t xml:space="preserve">1.1.10 </w:t>
      </w:r>
      <w:r>
        <w:rPr>
          <w:rFonts w:hint="eastAsia" w:ascii="宋体" w:hAnsi="宋体"/>
          <w:szCs w:val="21"/>
        </w:rPr>
        <w:t>技术服务：指卖方按合同约定，在合同设备验收前，向买方提供的安装、调试服务，或者在由买方负责的安装、调试、考核中对买方进行的技术指导、协助、监督和培训等。</w:t>
      </w:r>
    </w:p>
    <w:p w14:paraId="447FA118">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质量保证期：指合同设备验收后，卖方按合同约定保证合同设备适当、稳定运行，并负责消除合同设备故障的期限。</w:t>
      </w:r>
    </w:p>
    <w:p w14:paraId="01AE7846">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lang w:eastAsia="zh-CN"/>
        </w:rPr>
        <w:t>质量保证期</w:t>
      </w:r>
      <w:r>
        <w:rPr>
          <w:rFonts w:hint="eastAsia" w:ascii="宋体" w:hAnsi="宋体"/>
          <w:szCs w:val="21"/>
        </w:rPr>
        <w:t>服务：指在质量保证期内，卖方向买方提供的合同设备维护服务、咨询服务、技术指导、协助以及对出现故障的合同设备进行修理或更换的服务。</w:t>
      </w:r>
    </w:p>
    <w:p w14:paraId="56FB1E4C">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工程</w:t>
      </w:r>
    </w:p>
    <w:p w14:paraId="3CF9ABAB">
      <w:pPr>
        <w:tabs>
          <w:tab w:val="left" w:pos="1134"/>
        </w:tabs>
        <w:spacing w:line="360" w:lineRule="auto"/>
        <w:ind w:firstLine="420" w:firstLineChars="200"/>
        <w:rPr>
          <w:rFonts w:ascii="宋体" w:hAnsi="宋体"/>
          <w:szCs w:val="21"/>
        </w:rPr>
      </w:pPr>
      <w:r>
        <w:rPr>
          <w:rFonts w:ascii="宋体" w:hAnsi="宋体"/>
          <w:szCs w:val="21"/>
        </w:rPr>
        <w:t xml:space="preserve">1.1.13.1 </w:t>
      </w:r>
      <w:r>
        <w:rPr>
          <w:rFonts w:hint="eastAsia" w:ascii="宋体" w:hAnsi="宋体"/>
          <w:szCs w:val="21"/>
        </w:rPr>
        <w:t>工程：指在</w:t>
      </w:r>
      <w:r>
        <w:rPr>
          <w:rFonts w:hint="eastAsia" w:ascii="宋体" w:hAnsi="宋体" w:eastAsia="黑体"/>
          <w:b/>
          <w:szCs w:val="21"/>
        </w:rPr>
        <w:t>专用合同条款</w:t>
      </w:r>
      <w:r>
        <w:rPr>
          <w:rFonts w:hint="eastAsia" w:ascii="宋体" w:hAnsi="宋体"/>
          <w:szCs w:val="21"/>
        </w:rPr>
        <w:t>中指明的，安装运行合同设备的工程。</w:t>
      </w:r>
    </w:p>
    <w:p w14:paraId="21AA9C30">
      <w:pPr>
        <w:tabs>
          <w:tab w:val="left" w:pos="1134"/>
        </w:tabs>
        <w:spacing w:line="360" w:lineRule="auto"/>
        <w:ind w:firstLine="420" w:firstLineChars="200"/>
        <w:rPr>
          <w:rFonts w:ascii="宋体" w:hAnsi="宋体"/>
          <w:szCs w:val="21"/>
        </w:rPr>
      </w:pPr>
      <w:r>
        <w:rPr>
          <w:rFonts w:ascii="宋体" w:hAnsi="宋体"/>
          <w:szCs w:val="21"/>
        </w:rPr>
        <w:t xml:space="preserve">1.1.13.2 </w:t>
      </w:r>
      <w:r>
        <w:rPr>
          <w:rFonts w:hint="eastAsia" w:ascii="宋体" w:hAnsi="宋体"/>
          <w:szCs w:val="21"/>
        </w:rPr>
        <w:t>施工场地（或称工地、施工现场）：指</w:t>
      </w:r>
      <w:r>
        <w:rPr>
          <w:rFonts w:hint="eastAsia" w:ascii="宋体" w:hAnsi="宋体" w:eastAsia="黑体"/>
          <w:b/>
          <w:szCs w:val="21"/>
        </w:rPr>
        <w:t>专用合同条款</w:t>
      </w:r>
      <w:r>
        <w:rPr>
          <w:rFonts w:hint="eastAsia" w:ascii="宋体" w:hAnsi="宋体"/>
          <w:szCs w:val="21"/>
        </w:rPr>
        <w:t>中指明的工程所在场所。</w:t>
      </w:r>
    </w:p>
    <w:p w14:paraId="2299B5A6">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天（或称日）：除特别指明外，指日历天。合同中按天计算时间的，开始当天不计入，从次日开始计算。合同约定的期间的最后一天是星期日或者其他法定休假日的，以休假日的次日为期间的最后一天。</w:t>
      </w:r>
    </w:p>
    <w:p w14:paraId="7EC9A3C7">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月：按照公历月计算。合同中按月计算时间的，开始当天不计入，从次日开始计算。合同约定的期间的最后一天是星期日或者其他法定休假日的，以休假日的次日为期间的最后一天。</w:t>
      </w:r>
    </w:p>
    <w:p w14:paraId="1039C8A0">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书面形式：指合同文件、信件和数据电文（包括电报、电传、传真、电子数据交换和电子邮件）等可以有形地表现所载内容的形式。</w:t>
      </w:r>
    </w:p>
    <w:p w14:paraId="28A7D3C2">
      <w:pPr>
        <w:tabs>
          <w:tab w:val="left" w:pos="1134"/>
        </w:tabs>
        <w:spacing w:line="360" w:lineRule="auto"/>
        <w:ind w:firstLine="420" w:firstLineChars="200"/>
        <w:rPr>
          <w:rFonts w:ascii="宋体" w:hAnsi="宋体"/>
          <w:szCs w:val="21"/>
        </w:rPr>
      </w:pPr>
      <w:r>
        <w:rPr>
          <w:rFonts w:ascii="宋体" w:hAnsi="宋体"/>
          <w:szCs w:val="21"/>
        </w:rPr>
        <w:t xml:space="preserve">1.2 </w:t>
      </w:r>
      <w:r>
        <w:rPr>
          <w:rFonts w:hint="eastAsia" w:ascii="宋体" w:hAnsi="宋体"/>
          <w:szCs w:val="21"/>
        </w:rPr>
        <w:t>语言文字</w:t>
      </w:r>
    </w:p>
    <w:p w14:paraId="7338BBE7">
      <w:pPr>
        <w:tabs>
          <w:tab w:val="left" w:pos="1134"/>
        </w:tabs>
        <w:spacing w:line="360" w:lineRule="auto"/>
        <w:ind w:firstLine="420" w:firstLineChars="200"/>
        <w:rPr>
          <w:rFonts w:ascii="宋体" w:hAnsi="宋体"/>
          <w:szCs w:val="21"/>
        </w:rPr>
      </w:pPr>
      <w:r>
        <w:rPr>
          <w:rFonts w:hint="eastAsia" w:ascii="宋体" w:hAnsi="宋体"/>
          <w:szCs w:val="21"/>
        </w:rPr>
        <w:t>合同使用的语言文字为中文。专用术语使用外文的，应附有中文注释。</w:t>
      </w:r>
    </w:p>
    <w:p w14:paraId="1F5662E7">
      <w:pPr>
        <w:tabs>
          <w:tab w:val="left" w:pos="1134"/>
        </w:tabs>
        <w:spacing w:line="360" w:lineRule="auto"/>
        <w:ind w:firstLine="420" w:firstLineChars="200"/>
        <w:rPr>
          <w:rFonts w:ascii="宋体" w:hAnsi="宋体"/>
          <w:szCs w:val="21"/>
        </w:rPr>
      </w:pPr>
      <w:r>
        <w:rPr>
          <w:rFonts w:ascii="宋体" w:hAnsi="宋体"/>
          <w:szCs w:val="21"/>
        </w:rPr>
        <w:t xml:space="preserve">1.3 </w:t>
      </w:r>
      <w:r>
        <w:rPr>
          <w:rFonts w:hint="eastAsia" w:ascii="宋体" w:hAnsi="宋体"/>
          <w:szCs w:val="21"/>
        </w:rPr>
        <w:t>合同文件的优先顺序</w:t>
      </w:r>
    </w:p>
    <w:p w14:paraId="3F611677">
      <w:pPr>
        <w:tabs>
          <w:tab w:val="left" w:pos="1134"/>
        </w:tabs>
        <w:spacing w:line="360" w:lineRule="auto"/>
        <w:ind w:firstLine="420" w:firstLineChars="200"/>
        <w:rPr>
          <w:rFonts w:ascii="宋体" w:hAnsi="宋体"/>
          <w:szCs w:val="21"/>
        </w:rPr>
      </w:pPr>
      <w:r>
        <w:rPr>
          <w:rFonts w:hint="eastAsia" w:ascii="宋体" w:hAnsi="宋体"/>
          <w:szCs w:val="21"/>
        </w:rPr>
        <w:t>组成合同的各项文件应互相解释，互为说明。除</w:t>
      </w:r>
      <w:r>
        <w:rPr>
          <w:rFonts w:hint="eastAsia" w:ascii="宋体" w:hAnsi="宋体" w:eastAsia="黑体"/>
          <w:b/>
          <w:szCs w:val="21"/>
        </w:rPr>
        <w:t>专用合同条款</w:t>
      </w:r>
      <w:r>
        <w:rPr>
          <w:rFonts w:hint="eastAsia" w:ascii="宋体" w:hAnsi="宋体"/>
          <w:szCs w:val="21"/>
        </w:rPr>
        <w:t>另有约定外，解释合同文件的优先顺序如下：</w:t>
      </w:r>
    </w:p>
    <w:p w14:paraId="0B1117F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）合同协议书；</w:t>
      </w:r>
    </w:p>
    <w:p w14:paraId="1881AC27">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）中标通知书；</w:t>
      </w:r>
    </w:p>
    <w:p w14:paraId="088E82D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）投标函；</w:t>
      </w:r>
    </w:p>
    <w:p w14:paraId="39D5DA6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）商务和技术偏差表；</w:t>
      </w:r>
    </w:p>
    <w:p w14:paraId="2CEAC4D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）专用合同条款；</w:t>
      </w:r>
    </w:p>
    <w:p w14:paraId="13294BC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6</w:t>
      </w:r>
      <w:r>
        <w:rPr>
          <w:rFonts w:hint="eastAsia" w:ascii="宋体" w:hAnsi="宋体"/>
          <w:szCs w:val="21"/>
        </w:rPr>
        <w:t>）通用合同条款；</w:t>
      </w:r>
    </w:p>
    <w:p w14:paraId="77BFAF1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7</w:t>
      </w:r>
      <w:r>
        <w:rPr>
          <w:rFonts w:hint="eastAsia" w:ascii="宋体" w:hAnsi="宋体"/>
          <w:szCs w:val="21"/>
        </w:rPr>
        <w:t>）供货要求；</w:t>
      </w:r>
    </w:p>
    <w:p w14:paraId="1E030B2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8</w:t>
      </w:r>
      <w:r>
        <w:rPr>
          <w:rFonts w:hint="eastAsia" w:ascii="宋体" w:hAnsi="宋体"/>
          <w:szCs w:val="21"/>
        </w:rPr>
        <w:t>）分项报价表；</w:t>
      </w:r>
    </w:p>
    <w:p w14:paraId="11ABC89D">
      <w:pPr>
        <w:tabs>
          <w:tab w:val="left" w:pos="1134"/>
        </w:tabs>
        <w:spacing w:line="360" w:lineRule="auto"/>
        <w:ind w:firstLine="420" w:firstLineChars="200"/>
        <w:rPr>
          <w:rFonts w:ascii="宋体" w:hAnsi="宋体"/>
          <w:szCs w:val="21"/>
        </w:rPr>
      </w:pPr>
      <w:bookmarkStart w:id="629" w:name="_Hlk2542503"/>
      <w:r>
        <w:rPr>
          <w:rFonts w:hint="eastAsia" w:ascii="宋体" w:hAnsi="宋体"/>
          <w:szCs w:val="21"/>
        </w:rPr>
        <w:t>（</w:t>
      </w:r>
      <w:r>
        <w:rPr>
          <w:rFonts w:ascii="宋体" w:hAnsi="宋体"/>
          <w:szCs w:val="21"/>
        </w:rPr>
        <w:t>9</w:t>
      </w:r>
      <w:r>
        <w:rPr>
          <w:rFonts w:hint="eastAsia" w:ascii="宋体" w:hAnsi="宋体"/>
          <w:szCs w:val="21"/>
        </w:rPr>
        <w:t>）中标设备技术性能指标的详细描述；</w:t>
      </w:r>
    </w:p>
    <w:p w14:paraId="019BC64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10</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w:t>
      </w:r>
    </w:p>
    <w:bookmarkEnd w:id="629"/>
    <w:p w14:paraId="1ECEA22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11</w:t>
      </w:r>
      <w:r>
        <w:rPr>
          <w:rFonts w:hint="eastAsia" w:ascii="宋体" w:hAnsi="宋体"/>
          <w:szCs w:val="21"/>
        </w:rPr>
        <w:t>）其他合同文件。</w:t>
      </w:r>
    </w:p>
    <w:p w14:paraId="0BDF9CA4">
      <w:pPr>
        <w:tabs>
          <w:tab w:val="left" w:pos="1134"/>
        </w:tabs>
        <w:spacing w:line="360" w:lineRule="auto"/>
        <w:ind w:firstLine="420" w:firstLineChars="200"/>
        <w:rPr>
          <w:rFonts w:ascii="宋体" w:hAnsi="宋体"/>
          <w:szCs w:val="21"/>
        </w:rPr>
      </w:pPr>
      <w:r>
        <w:rPr>
          <w:rFonts w:ascii="宋体" w:hAnsi="宋体"/>
          <w:szCs w:val="21"/>
        </w:rPr>
        <w:t xml:space="preserve">1.4 </w:t>
      </w:r>
      <w:r>
        <w:rPr>
          <w:rFonts w:hint="eastAsia" w:ascii="宋体" w:hAnsi="宋体"/>
          <w:szCs w:val="21"/>
        </w:rPr>
        <w:t>合同的生效及变更</w:t>
      </w:r>
    </w:p>
    <w:p w14:paraId="51950B82">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另有约定外，买方和卖方的法定代表人或其授权代表在合同协议书上签字并加盖单位章后，合同生效。</w:t>
      </w:r>
    </w:p>
    <w:p w14:paraId="57FC5454">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另有约定外，在合同履行过程中，如需对合同进行变更，双方应签订书面协议，并经双方法定代表人或其授权代表签字并加盖单位章后生效。</w:t>
      </w:r>
    </w:p>
    <w:p w14:paraId="54C68A79">
      <w:pPr>
        <w:tabs>
          <w:tab w:val="left" w:pos="1134"/>
        </w:tabs>
        <w:spacing w:line="360" w:lineRule="auto"/>
        <w:ind w:firstLine="420" w:firstLineChars="200"/>
        <w:rPr>
          <w:rFonts w:ascii="宋体" w:hAnsi="宋体"/>
          <w:szCs w:val="21"/>
        </w:rPr>
      </w:pPr>
      <w:r>
        <w:rPr>
          <w:rFonts w:ascii="宋体" w:hAnsi="宋体"/>
          <w:szCs w:val="21"/>
        </w:rPr>
        <w:t xml:space="preserve">1.5 </w:t>
      </w:r>
      <w:r>
        <w:rPr>
          <w:rFonts w:hint="eastAsia" w:ascii="宋体" w:hAnsi="宋体"/>
          <w:szCs w:val="21"/>
        </w:rPr>
        <w:t>联络</w:t>
      </w:r>
    </w:p>
    <w:p w14:paraId="3C9A32C8">
      <w:pPr>
        <w:tabs>
          <w:tab w:val="left" w:pos="1134"/>
        </w:tabs>
        <w:spacing w:line="360" w:lineRule="auto"/>
        <w:ind w:firstLine="420" w:firstLineChars="200"/>
        <w:rPr>
          <w:rFonts w:ascii="宋体" w:hAnsi="宋体"/>
          <w:szCs w:val="21"/>
        </w:rPr>
      </w:pPr>
      <w:r>
        <w:rPr>
          <w:rFonts w:ascii="宋体" w:hAnsi="宋体"/>
          <w:szCs w:val="21"/>
        </w:rPr>
        <w:t xml:space="preserve">1.5.1 </w:t>
      </w:r>
      <w:r>
        <w:rPr>
          <w:rFonts w:hint="eastAsia" w:ascii="宋体" w:hAnsi="宋体"/>
          <w:szCs w:val="21"/>
        </w:rPr>
        <w:t>买卖双方应就合同履行中有关的事项及时进行联络，重要事项应通过书面形式进行联络或确认。合同履行过程中的任何联络及相关文件的签署，均应通过</w:t>
      </w:r>
      <w:r>
        <w:rPr>
          <w:rFonts w:hint="eastAsia" w:ascii="宋体" w:hAnsi="宋体" w:eastAsia="黑体"/>
          <w:b/>
          <w:szCs w:val="21"/>
        </w:rPr>
        <w:t>专用合同条款</w:t>
      </w:r>
      <w:r>
        <w:rPr>
          <w:rFonts w:hint="eastAsia" w:ascii="宋体" w:hAnsi="宋体"/>
          <w:szCs w:val="21"/>
        </w:rPr>
        <w:t>指定的联系人和联系方式进行。合同履行过程中，双方可以书面形式增加或变更指定联系人。</w:t>
      </w:r>
    </w:p>
    <w:p w14:paraId="4064B605">
      <w:pPr>
        <w:tabs>
          <w:tab w:val="left" w:pos="1134"/>
        </w:tabs>
        <w:spacing w:line="360" w:lineRule="auto"/>
        <w:ind w:firstLine="420" w:firstLineChars="200"/>
        <w:rPr>
          <w:rFonts w:ascii="宋体" w:hAnsi="宋体"/>
          <w:szCs w:val="21"/>
        </w:rPr>
      </w:pPr>
      <w:r>
        <w:rPr>
          <w:rFonts w:ascii="宋体" w:hAnsi="宋体"/>
          <w:szCs w:val="21"/>
        </w:rPr>
        <w:t xml:space="preserve">1.5.2 </w:t>
      </w:r>
      <w:r>
        <w:rPr>
          <w:rFonts w:hint="eastAsia" w:ascii="宋体" w:hAnsi="宋体"/>
          <w:szCs w:val="21"/>
        </w:rPr>
        <w:t>合同履行中或与合同有关的任何联络，送达到第</w:t>
      </w:r>
      <w:r>
        <w:rPr>
          <w:rFonts w:ascii="宋体" w:hAnsi="宋体"/>
          <w:szCs w:val="21"/>
        </w:rPr>
        <w:t xml:space="preserve"> 1.5.1 </w:t>
      </w:r>
      <w:r>
        <w:rPr>
          <w:rFonts w:hint="eastAsia" w:ascii="宋体" w:hAnsi="宋体"/>
          <w:szCs w:val="21"/>
        </w:rPr>
        <w:t>项指定的联系人即视为送达。</w:t>
      </w:r>
    </w:p>
    <w:p w14:paraId="2D18B59D">
      <w:pPr>
        <w:tabs>
          <w:tab w:val="left" w:pos="1134"/>
        </w:tabs>
        <w:spacing w:line="360" w:lineRule="auto"/>
        <w:ind w:firstLine="420" w:firstLineChars="200"/>
        <w:rPr>
          <w:rFonts w:ascii="宋体" w:hAnsi="宋体"/>
          <w:szCs w:val="21"/>
        </w:rPr>
      </w:pPr>
      <w:r>
        <w:rPr>
          <w:rFonts w:ascii="宋体" w:hAnsi="宋体"/>
          <w:szCs w:val="21"/>
        </w:rPr>
        <w:t xml:space="preserve">1.5.3 </w:t>
      </w:r>
      <w:r>
        <w:rPr>
          <w:rFonts w:hint="eastAsia" w:ascii="宋体" w:hAnsi="宋体"/>
          <w:szCs w:val="21"/>
        </w:rPr>
        <w:t>买方可以安排监理等相关人员作为买方人员，与卖方进行联络或参加合同设备的监造（如有）、交货前检验（如有）、开箱检验、安装、调试、考核、验收等，但应按照第</w:t>
      </w:r>
      <w:r>
        <w:rPr>
          <w:rFonts w:ascii="宋体" w:hAnsi="宋体"/>
          <w:szCs w:val="21"/>
        </w:rPr>
        <w:t xml:space="preserve"> 1.5.1 </w:t>
      </w:r>
      <w:r>
        <w:rPr>
          <w:rFonts w:hint="eastAsia" w:ascii="宋体" w:hAnsi="宋体"/>
          <w:szCs w:val="21"/>
        </w:rPr>
        <w:t>项的约定事先书面通知卖方。</w:t>
      </w:r>
    </w:p>
    <w:p w14:paraId="6E80C7B8">
      <w:pPr>
        <w:tabs>
          <w:tab w:val="left" w:pos="1134"/>
        </w:tabs>
        <w:spacing w:line="360" w:lineRule="auto"/>
        <w:ind w:firstLine="420" w:firstLineChars="200"/>
        <w:rPr>
          <w:rFonts w:ascii="宋体" w:hAnsi="宋体"/>
          <w:szCs w:val="21"/>
        </w:rPr>
      </w:pPr>
      <w:r>
        <w:rPr>
          <w:rFonts w:ascii="宋体" w:hAnsi="宋体"/>
          <w:szCs w:val="21"/>
        </w:rPr>
        <w:t xml:space="preserve">1.6 </w:t>
      </w:r>
      <w:r>
        <w:rPr>
          <w:rFonts w:hint="eastAsia" w:ascii="宋体" w:hAnsi="宋体"/>
          <w:szCs w:val="21"/>
        </w:rPr>
        <w:t>联合体</w:t>
      </w:r>
    </w:p>
    <w:p w14:paraId="06BF7C12">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卖方为联合体的，联合体各方应当共同与买方签订合同，并向买方为履行合同承担连带责任。</w:t>
      </w:r>
    </w:p>
    <w:p w14:paraId="5EC42A53">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在合同履行过程中，未经买方同意，不得修改</w:t>
      </w:r>
      <w:r>
        <w:rPr>
          <w:rFonts w:hint="eastAsia" w:ascii="宋体" w:hAnsi="宋体"/>
          <w:szCs w:val="21"/>
          <w:lang w:eastAsia="zh-CN"/>
        </w:rPr>
        <w:t>共同投标协议</w:t>
      </w:r>
      <w:r>
        <w:rPr>
          <w:rFonts w:hint="eastAsia" w:ascii="宋体" w:hAnsi="宋体"/>
          <w:szCs w:val="21"/>
        </w:rPr>
        <w:t>。</w:t>
      </w:r>
      <w:r>
        <w:rPr>
          <w:rFonts w:hint="eastAsia" w:ascii="宋体" w:hAnsi="宋体"/>
          <w:szCs w:val="21"/>
          <w:lang w:eastAsia="zh-CN"/>
        </w:rPr>
        <w:t>共同投标协议</w:t>
      </w:r>
      <w:r>
        <w:rPr>
          <w:rFonts w:hint="eastAsia" w:ascii="宋体" w:hAnsi="宋体"/>
          <w:szCs w:val="21"/>
        </w:rPr>
        <w:t>中关于联合体</w:t>
      </w:r>
      <w:r>
        <w:rPr>
          <w:rFonts w:ascii="宋体" w:hAnsi="宋体"/>
          <w:szCs w:val="21"/>
        </w:rPr>
        <w:t xml:space="preserve"> </w:t>
      </w:r>
      <w:r>
        <w:rPr>
          <w:rFonts w:hint="eastAsia" w:ascii="宋体" w:hAnsi="宋体"/>
          <w:szCs w:val="21"/>
        </w:rPr>
        <w:t>成员间权利义务的划分，并不影响或减损联合体各方应就履行合同向买方承担的连带责任。</w:t>
      </w:r>
    </w:p>
    <w:p w14:paraId="5587BB28">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联合体牵头人代表联合体与买方联系，并接受指示，负责组织联合体各成员全面履行合同。除非</w:t>
      </w:r>
      <w:r>
        <w:rPr>
          <w:rFonts w:hint="eastAsia" w:ascii="宋体" w:hAnsi="宋体" w:eastAsia="黑体"/>
          <w:b/>
          <w:szCs w:val="21"/>
        </w:rPr>
        <w:t>专用合同条款</w:t>
      </w:r>
      <w:r>
        <w:rPr>
          <w:rFonts w:hint="eastAsia" w:ascii="宋体" w:hAnsi="宋体"/>
          <w:szCs w:val="21"/>
        </w:rPr>
        <w:t>另有约定，牵头人在履行合同中的所有行为均视为已获得联合体各方的授权。买方可将合同价款全部支付给牵头人并视为其已适当履行了付款义务。如牵头人的行为将构成对合同内容的变更，则牵头人须事先获得联合体各方的特别授权。</w:t>
      </w:r>
    </w:p>
    <w:p w14:paraId="48309AFD">
      <w:pPr>
        <w:tabs>
          <w:tab w:val="left" w:pos="1134"/>
        </w:tabs>
        <w:spacing w:line="360" w:lineRule="auto"/>
        <w:ind w:firstLine="420" w:firstLineChars="200"/>
        <w:rPr>
          <w:rFonts w:ascii="宋体" w:hAnsi="宋体"/>
          <w:szCs w:val="21"/>
        </w:rPr>
      </w:pPr>
      <w:r>
        <w:rPr>
          <w:rFonts w:ascii="宋体" w:hAnsi="宋体"/>
          <w:szCs w:val="21"/>
        </w:rPr>
        <w:t xml:space="preserve">1.7 </w:t>
      </w:r>
      <w:r>
        <w:rPr>
          <w:rFonts w:hint="eastAsia" w:ascii="宋体" w:hAnsi="宋体"/>
          <w:szCs w:val="21"/>
        </w:rPr>
        <w:t>转让</w:t>
      </w:r>
    </w:p>
    <w:p w14:paraId="0CB0990C">
      <w:pPr>
        <w:tabs>
          <w:tab w:val="left" w:pos="1134"/>
        </w:tabs>
        <w:spacing w:line="360" w:lineRule="auto"/>
        <w:ind w:firstLine="420" w:firstLineChars="200"/>
        <w:rPr>
          <w:rFonts w:ascii="宋体" w:hAnsi="宋体"/>
          <w:szCs w:val="21"/>
        </w:rPr>
      </w:pPr>
      <w:r>
        <w:rPr>
          <w:rFonts w:hint="eastAsia" w:ascii="宋体" w:hAnsi="宋体"/>
          <w:szCs w:val="21"/>
        </w:rPr>
        <w:t>未经对方当事人书面同意，合同任何一方均不得转让其在合同项下的权利和（或）义务。</w:t>
      </w:r>
    </w:p>
    <w:p w14:paraId="37477CF0">
      <w:pPr>
        <w:pStyle w:val="97"/>
        <w:keepNext w:val="0"/>
        <w:keepLines w:val="0"/>
        <w:tabs>
          <w:tab w:val="left" w:pos="567"/>
        </w:tabs>
        <w:spacing w:before="156" w:after="156"/>
        <w:rPr>
          <w:rFonts w:eastAsia="宋体" w:cs="Times New Roman"/>
          <w:b/>
          <w:bCs/>
          <w:sz w:val="32"/>
          <w:szCs w:val="32"/>
        </w:rPr>
      </w:pPr>
      <w:bookmarkStart w:id="630" w:name="_Toc9091"/>
      <w:bookmarkStart w:id="631" w:name="_Toc2881581"/>
      <w:bookmarkStart w:id="632" w:name="_Toc15268"/>
      <w:bookmarkStart w:id="633" w:name="_Toc15901"/>
      <w:bookmarkStart w:id="634" w:name="_Toc3276"/>
      <w:bookmarkStart w:id="635" w:name="_Toc25460"/>
      <w:bookmarkStart w:id="636" w:name="_Toc12458"/>
      <w:r>
        <w:rPr>
          <w:rFonts w:hint="eastAsia" w:eastAsia="宋体" w:cs="Times New Roman"/>
          <w:b/>
          <w:bCs/>
          <w:sz w:val="32"/>
          <w:szCs w:val="32"/>
        </w:rPr>
        <w:t>2.合同范围</w:t>
      </w:r>
      <w:bookmarkEnd w:id="630"/>
      <w:bookmarkEnd w:id="631"/>
      <w:bookmarkEnd w:id="632"/>
      <w:bookmarkEnd w:id="633"/>
      <w:bookmarkEnd w:id="634"/>
      <w:bookmarkEnd w:id="635"/>
      <w:bookmarkEnd w:id="636"/>
    </w:p>
    <w:p w14:paraId="5DF9E84A">
      <w:pPr>
        <w:tabs>
          <w:tab w:val="left" w:pos="1134"/>
        </w:tabs>
        <w:spacing w:line="360" w:lineRule="auto"/>
        <w:ind w:firstLine="420" w:firstLineChars="200"/>
        <w:rPr>
          <w:rFonts w:ascii="宋体" w:hAnsi="宋体"/>
          <w:szCs w:val="21"/>
        </w:rPr>
      </w:pPr>
      <w:r>
        <w:rPr>
          <w:rFonts w:hint="eastAsia" w:ascii="宋体" w:hAnsi="宋体"/>
          <w:szCs w:val="21"/>
        </w:rPr>
        <w:t>卖方应根据供货要求、中标设备技术性能指标的详细描述、技术服务和</w:t>
      </w:r>
      <w:r>
        <w:rPr>
          <w:rFonts w:hint="eastAsia" w:ascii="宋体" w:hAnsi="宋体"/>
          <w:szCs w:val="21"/>
          <w:lang w:eastAsia="zh-CN"/>
        </w:rPr>
        <w:t>质量保证期</w:t>
      </w:r>
      <w:r>
        <w:rPr>
          <w:rFonts w:hint="eastAsia" w:ascii="宋体" w:hAnsi="宋体"/>
          <w:szCs w:val="21"/>
        </w:rPr>
        <w:t>服务计划等合同文件的约定向买方提供合同设备、技术服务和</w:t>
      </w:r>
      <w:r>
        <w:rPr>
          <w:rFonts w:hint="eastAsia" w:ascii="宋体" w:hAnsi="宋体"/>
          <w:szCs w:val="21"/>
          <w:lang w:eastAsia="zh-CN"/>
        </w:rPr>
        <w:t>质量保证期</w:t>
      </w:r>
      <w:r>
        <w:rPr>
          <w:rFonts w:hint="eastAsia" w:ascii="宋体" w:hAnsi="宋体"/>
          <w:szCs w:val="21"/>
        </w:rPr>
        <w:t>服务。</w:t>
      </w:r>
    </w:p>
    <w:p w14:paraId="25A36779">
      <w:pPr>
        <w:pStyle w:val="97"/>
        <w:keepNext w:val="0"/>
        <w:keepLines w:val="0"/>
        <w:tabs>
          <w:tab w:val="left" w:pos="567"/>
        </w:tabs>
        <w:spacing w:before="156" w:after="156"/>
        <w:rPr>
          <w:rFonts w:eastAsia="宋体" w:cs="Times New Roman"/>
          <w:b/>
          <w:bCs/>
          <w:sz w:val="32"/>
          <w:szCs w:val="32"/>
        </w:rPr>
      </w:pPr>
      <w:bookmarkStart w:id="637" w:name="_Toc31330"/>
      <w:bookmarkStart w:id="638" w:name="_Toc5449"/>
      <w:bookmarkStart w:id="639" w:name="_Toc9282"/>
      <w:bookmarkStart w:id="640" w:name="_Toc30953"/>
      <w:bookmarkStart w:id="641" w:name="_Toc4892"/>
      <w:bookmarkStart w:id="642" w:name="_Toc2881582"/>
      <w:bookmarkStart w:id="643" w:name="_Toc22809"/>
      <w:r>
        <w:rPr>
          <w:rFonts w:hint="eastAsia" w:eastAsia="宋体" w:cs="Times New Roman"/>
          <w:b/>
          <w:bCs/>
          <w:sz w:val="32"/>
          <w:szCs w:val="32"/>
        </w:rPr>
        <w:t>3.合同价格与支付</w:t>
      </w:r>
      <w:bookmarkEnd w:id="637"/>
      <w:bookmarkEnd w:id="638"/>
      <w:bookmarkEnd w:id="639"/>
      <w:bookmarkEnd w:id="640"/>
      <w:bookmarkEnd w:id="641"/>
      <w:bookmarkEnd w:id="642"/>
      <w:bookmarkEnd w:id="643"/>
    </w:p>
    <w:p w14:paraId="6DC27179">
      <w:pPr>
        <w:tabs>
          <w:tab w:val="left" w:pos="1134"/>
        </w:tabs>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0837BEAA">
      <w:pPr>
        <w:tabs>
          <w:tab w:val="left" w:pos="1134"/>
        </w:tabs>
        <w:spacing w:line="360" w:lineRule="auto"/>
        <w:ind w:firstLine="420" w:firstLineChars="200"/>
        <w:rPr>
          <w:rFonts w:ascii="宋体" w:hAnsi="宋体"/>
          <w:szCs w:val="21"/>
        </w:rPr>
      </w:pPr>
      <w:r>
        <w:rPr>
          <w:rFonts w:ascii="宋体" w:hAnsi="宋体"/>
          <w:szCs w:val="21"/>
        </w:rPr>
        <w:t xml:space="preserve">3.1.1 </w:t>
      </w:r>
      <w:r>
        <w:rPr>
          <w:rFonts w:hint="eastAsia" w:ascii="宋体" w:hAnsi="宋体"/>
          <w:szCs w:val="21"/>
        </w:rPr>
        <w:t>合同协议书中载明的签约合同价包括卖方为完成合同全部义务应承担的一切成本、费用和支出以及卖方的合理利润和税金。</w:t>
      </w:r>
    </w:p>
    <w:p w14:paraId="413582F9">
      <w:pPr>
        <w:tabs>
          <w:tab w:val="left" w:pos="1134"/>
        </w:tabs>
        <w:spacing w:line="360" w:lineRule="auto"/>
        <w:ind w:firstLine="420" w:firstLineChars="200"/>
        <w:rPr>
          <w:rFonts w:ascii="宋体" w:hAnsi="宋体"/>
          <w:szCs w:val="21"/>
        </w:rPr>
      </w:pPr>
      <w:r>
        <w:rPr>
          <w:rFonts w:ascii="宋体" w:hAnsi="宋体"/>
          <w:szCs w:val="21"/>
        </w:rPr>
        <w:t xml:space="preserve">3.1.2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另有约定外，签约合同价为固定价格。</w:t>
      </w:r>
    </w:p>
    <w:p w14:paraId="4636EE95">
      <w:pPr>
        <w:tabs>
          <w:tab w:val="left" w:pos="1134"/>
        </w:tabs>
        <w:spacing w:line="360" w:lineRule="auto"/>
        <w:ind w:firstLine="420" w:firstLineChars="200"/>
        <w:rPr>
          <w:rFonts w:ascii="宋体" w:hAnsi="宋体"/>
          <w:szCs w:val="21"/>
        </w:rPr>
      </w:pPr>
      <w:r>
        <w:rPr>
          <w:rFonts w:ascii="宋体" w:hAnsi="宋体"/>
          <w:szCs w:val="21"/>
        </w:rPr>
        <w:t xml:space="preserve">3.2 </w:t>
      </w:r>
      <w:r>
        <w:rPr>
          <w:rFonts w:hint="eastAsia" w:ascii="宋体" w:hAnsi="宋体"/>
          <w:szCs w:val="21"/>
        </w:rPr>
        <w:t>合同价款的支付</w:t>
      </w:r>
    </w:p>
    <w:p w14:paraId="5923E5E5">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另有约定外，买方应通过以下方式和比例向卖方支付合同价款：</w:t>
      </w:r>
    </w:p>
    <w:p w14:paraId="41280A35">
      <w:pPr>
        <w:tabs>
          <w:tab w:val="left" w:pos="1134"/>
        </w:tabs>
        <w:spacing w:line="360" w:lineRule="auto"/>
        <w:ind w:firstLine="420" w:firstLineChars="200"/>
        <w:rPr>
          <w:rFonts w:ascii="宋体" w:hAnsi="宋体"/>
          <w:szCs w:val="21"/>
        </w:rPr>
      </w:pPr>
      <w:r>
        <w:rPr>
          <w:rFonts w:ascii="宋体" w:hAnsi="宋体"/>
          <w:szCs w:val="21"/>
        </w:rPr>
        <w:t xml:space="preserve">3.2.1 </w:t>
      </w:r>
      <w:r>
        <w:rPr>
          <w:rFonts w:hint="eastAsia" w:ascii="宋体" w:hAnsi="宋体"/>
          <w:szCs w:val="21"/>
        </w:rPr>
        <w:t>预付款</w:t>
      </w:r>
    </w:p>
    <w:p w14:paraId="2516821E">
      <w:pPr>
        <w:tabs>
          <w:tab w:val="left" w:pos="1134"/>
        </w:tabs>
        <w:spacing w:line="360" w:lineRule="auto"/>
        <w:ind w:firstLine="420" w:firstLineChars="200"/>
        <w:rPr>
          <w:rFonts w:ascii="宋体" w:hAnsi="宋体"/>
          <w:szCs w:val="21"/>
        </w:rPr>
      </w:pPr>
      <w:r>
        <w:rPr>
          <w:rFonts w:hint="eastAsia" w:ascii="宋体" w:hAnsi="宋体"/>
          <w:szCs w:val="21"/>
        </w:rPr>
        <w:t>合同生效后，买方在收到卖方开具的注明应付预付款金额的财务收据正本一份并经审核无误后</w:t>
      </w:r>
      <w:r>
        <w:rPr>
          <w:rFonts w:ascii="宋体" w:hAnsi="宋体"/>
          <w:szCs w:val="21"/>
        </w:rPr>
        <w:t xml:space="preserve"> 28 </w:t>
      </w:r>
      <w:r>
        <w:rPr>
          <w:rFonts w:hint="eastAsia" w:ascii="宋体" w:hAnsi="宋体"/>
          <w:szCs w:val="21"/>
        </w:rPr>
        <w:t>日内，向卖方支付签约合同价的</w:t>
      </w:r>
      <w:r>
        <w:rPr>
          <w:rFonts w:ascii="宋体" w:hAnsi="宋体"/>
          <w:szCs w:val="21"/>
        </w:rPr>
        <w:t xml:space="preserve"> 10%</w:t>
      </w:r>
      <w:r>
        <w:rPr>
          <w:rFonts w:hint="eastAsia" w:ascii="宋体" w:hAnsi="宋体"/>
          <w:szCs w:val="21"/>
        </w:rPr>
        <w:t>作为预付款。</w:t>
      </w:r>
    </w:p>
    <w:p w14:paraId="6F13D8BC">
      <w:pPr>
        <w:tabs>
          <w:tab w:val="left" w:pos="1134"/>
        </w:tabs>
        <w:spacing w:line="360" w:lineRule="auto"/>
        <w:ind w:firstLine="420" w:firstLineChars="200"/>
        <w:rPr>
          <w:rFonts w:ascii="宋体" w:hAnsi="宋体"/>
          <w:szCs w:val="21"/>
        </w:rPr>
      </w:pPr>
      <w:r>
        <w:rPr>
          <w:rFonts w:hint="eastAsia" w:ascii="宋体" w:hAnsi="宋体"/>
          <w:szCs w:val="21"/>
        </w:rPr>
        <w:t>买方支付预付款后，如卖方未履行合同义务，则买方有权收回预付款；如卖方依约履行了合同义务，则预付款抵作合同价款。</w:t>
      </w:r>
    </w:p>
    <w:p w14:paraId="492A0FAB">
      <w:pPr>
        <w:tabs>
          <w:tab w:val="left" w:pos="1134"/>
        </w:tabs>
        <w:spacing w:line="360" w:lineRule="auto"/>
        <w:ind w:firstLine="420" w:firstLineChars="200"/>
        <w:rPr>
          <w:rFonts w:ascii="宋体" w:hAnsi="宋体"/>
          <w:szCs w:val="21"/>
        </w:rPr>
      </w:pPr>
      <w:r>
        <w:rPr>
          <w:rFonts w:ascii="宋体" w:hAnsi="宋体"/>
          <w:szCs w:val="21"/>
        </w:rPr>
        <w:t xml:space="preserve">3.2.2 </w:t>
      </w:r>
      <w:r>
        <w:rPr>
          <w:rFonts w:hint="eastAsia" w:ascii="宋体" w:hAnsi="宋体"/>
          <w:szCs w:val="21"/>
        </w:rPr>
        <w:t>交货款</w:t>
      </w:r>
      <w:r>
        <w:rPr>
          <w:rFonts w:ascii="宋体" w:hAnsi="宋体"/>
          <w:szCs w:val="21"/>
        </w:rPr>
        <w:t xml:space="preserve"> </w:t>
      </w:r>
    </w:p>
    <w:p w14:paraId="2DE0C9BF">
      <w:pPr>
        <w:tabs>
          <w:tab w:val="left" w:pos="1134"/>
        </w:tabs>
        <w:spacing w:line="360" w:lineRule="auto"/>
        <w:ind w:firstLine="420" w:firstLineChars="200"/>
        <w:rPr>
          <w:rFonts w:ascii="宋体" w:hAnsi="宋体"/>
          <w:szCs w:val="21"/>
        </w:rPr>
      </w:pPr>
      <w:r>
        <w:rPr>
          <w:rFonts w:hint="eastAsia" w:ascii="宋体" w:hAnsi="宋体"/>
          <w:szCs w:val="21"/>
        </w:rPr>
        <w:t>卖方按合同约定交付全部合同设备后，买方在收到卖方提交的下列全部单据并经审核无误后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60%</w:t>
      </w:r>
      <w:r>
        <w:rPr>
          <w:rFonts w:hint="eastAsia" w:ascii="宋体" w:hAnsi="宋体"/>
          <w:szCs w:val="21"/>
        </w:rPr>
        <w:t>：</w:t>
      </w:r>
    </w:p>
    <w:p w14:paraId="0A39B0B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）卖方出具的交货清单正本一份；</w:t>
      </w:r>
    </w:p>
    <w:p w14:paraId="50CEAC9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）买方签署的收货清单正本一份；</w:t>
      </w:r>
    </w:p>
    <w:p w14:paraId="18A2A31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）制造商出具的出厂质量合格证正本一份；</w:t>
      </w:r>
    </w:p>
    <w:p w14:paraId="021EEC9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）合同价格</w:t>
      </w:r>
      <w:r>
        <w:rPr>
          <w:rFonts w:ascii="宋体" w:hAnsi="宋体"/>
          <w:szCs w:val="21"/>
        </w:rPr>
        <w:t>100%</w:t>
      </w:r>
      <w:r>
        <w:rPr>
          <w:rFonts w:hint="eastAsia" w:ascii="宋体" w:hAnsi="宋体"/>
          <w:szCs w:val="21"/>
        </w:rPr>
        <w:t>金额的增值税发票正本一份。</w:t>
      </w:r>
    </w:p>
    <w:p w14:paraId="69E33CAA">
      <w:pPr>
        <w:tabs>
          <w:tab w:val="left" w:pos="1134"/>
        </w:tabs>
        <w:spacing w:line="360" w:lineRule="auto"/>
        <w:ind w:firstLine="420" w:firstLineChars="200"/>
        <w:rPr>
          <w:rFonts w:ascii="宋体" w:hAnsi="宋体"/>
          <w:szCs w:val="21"/>
        </w:rPr>
      </w:pPr>
      <w:r>
        <w:rPr>
          <w:rFonts w:ascii="宋体" w:hAnsi="宋体"/>
          <w:szCs w:val="21"/>
        </w:rPr>
        <w:t xml:space="preserve">3.2.3 </w:t>
      </w:r>
      <w:r>
        <w:rPr>
          <w:rFonts w:hint="eastAsia" w:ascii="宋体" w:hAnsi="宋体"/>
          <w:szCs w:val="21"/>
        </w:rPr>
        <w:t>验收款</w:t>
      </w:r>
      <w:r>
        <w:rPr>
          <w:rFonts w:ascii="宋体" w:hAnsi="宋体"/>
          <w:szCs w:val="21"/>
        </w:rPr>
        <w:t xml:space="preserve"> </w:t>
      </w:r>
    </w:p>
    <w:p w14:paraId="62507A01">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买方在收到卖方提交的买卖双方签署的合同设备验收证书或已生效的验收款支付函正本一份并经审核无误后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25%</w:t>
      </w:r>
      <w:r>
        <w:rPr>
          <w:rFonts w:hint="eastAsia" w:ascii="宋体" w:hAnsi="宋体"/>
          <w:szCs w:val="21"/>
        </w:rPr>
        <w:t>。</w:t>
      </w:r>
    </w:p>
    <w:p w14:paraId="76E26C38">
      <w:pPr>
        <w:tabs>
          <w:tab w:val="left" w:pos="1134"/>
        </w:tabs>
        <w:spacing w:line="360" w:lineRule="auto"/>
        <w:ind w:firstLine="420" w:firstLineChars="200"/>
        <w:rPr>
          <w:rFonts w:ascii="宋体" w:hAnsi="宋体"/>
          <w:szCs w:val="21"/>
        </w:rPr>
      </w:pPr>
      <w:r>
        <w:rPr>
          <w:rFonts w:ascii="宋体" w:hAnsi="宋体"/>
          <w:szCs w:val="21"/>
        </w:rPr>
        <w:t xml:space="preserve">3.2.4 </w:t>
      </w:r>
      <w:r>
        <w:rPr>
          <w:rFonts w:hint="eastAsia" w:ascii="宋体" w:hAnsi="宋体"/>
          <w:szCs w:val="21"/>
        </w:rPr>
        <w:t>结清款</w:t>
      </w:r>
      <w:r>
        <w:rPr>
          <w:rFonts w:ascii="宋体" w:hAnsi="宋体"/>
          <w:szCs w:val="21"/>
        </w:rPr>
        <w:t xml:space="preserve"> </w:t>
      </w:r>
    </w:p>
    <w:p w14:paraId="1FB88E7F">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买方在收到卖方提交的买方签署的质量保证期届满证书或已生效的结清款支付函正本一份并经审核无误后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5%</w:t>
      </w:r>
      <w:r>
        <w:rPr>
          <w:rFonts w:hint="eastAsia" w:ascii="宋体" w:hAnsi="宋体"/>
          <w:szCs w:val="21"/>
        </w:rPr>
        <w:t>。</w:t>
      </w:r>
    </w:p>
    <w:p w14:paraId="4BF235A4">
      <w:pPr>
        <w:tabs>
          <w:tab w:val="left" w:pos="1134"/>
        </w:tabs>
        <w:spacing w:line="360" w:lineRule="auto"/>
        <w:ind w:firstLine="420" w:firstLineChars="200"/>
        <w:rPr>
          <w:rFonts w:ascii="宋体" w:hAnsi="宋体"/>
          <w:szCs w:val="21"/>
        </w:rPr>
      </w:pPr>
      <w:r>
        <w:rPr>
          <w:rFonts w:hint="eastAsia" w:ascii="宋体" w:hAnsi="宋体"/>
          <w:szCs w:val="21"/>
        </w:rPr>
        <w:t>如果依照合同第</w:t>
      </w:r>
      <w:r>
        <w:rPr>
          <w:rFonts w:ascii="宋体" w:hAnsi="宋体"/>
          <w:szCs w:val="21"/>
        </w:rPr>
        <w:t xml:space="preserve"> 9.1 </w:t>
      </w:r>
      <w:r>
        <w:rPr>
          <w:rFonts w:hint="eastAsia" w:ascii="宋体" w:hAnsi="宋体"/>
          <w:szCs w:val="21"/>
        </w:rPr>
        <w:t>项，卖方应向买方支付费用的，买方有权从结清款中直接扣除该笔费用。</w:t>
      </w:r>
    </w:p>
    <w:p w14:paraId="7A599C8D">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另有约定外，在买方向卖方支付验收款的同时或其后的任何时间内，卖方可在向买方提交买方可接受的金额为合同价格</w:t>
      </w:r>
      <w:r>
        <w:rPr>
          <w:rFonts w:ascii="宋体" w:hAnsi="宋体"/>
          <w:szCs w:val="21"/>
        </w:rPr>
        <w:t xml:space="preserve"> 5%</w:t>
      </w:r>
      <w:r>
        <w:rPr>
          <w:rFonts w:hint="eastAsia" w:ascii="宋体" w:hAnsi="宋体"/>
          <w:szCs w:val="21"/>
        </w:rPr>
        <w:t>的合同结清款保函的前提下，要求买方支付合同结清款，买方不得拒绝。</w:t>
      </w:r>
    </w:p>
    <w:p w14:paraId="77733761">
      <w:pPr>
        <w:tabs>
          <w:tab w:val="left" w:pos="1134"/>
        </w:tabs>
        <w:spacing w:line="360" w:lineRule="auto"/>
        <w:ind w:firstLine="420" w:firstLineChars="200"/>
        <w:rPr>
          <w:rFonts w:ascii="宋体" w:hAnsi="宋体"/>
          <w:szCs w:val="21"/>
        </w:rPr>
      </w:pPr>
      <w:r>
        <w:rPr>
          <w:rFonts w:ascii="宋体" w:hAnsi="宋体"/>
          <w:szCs w:val="21"/>
        </w:rPr>
        <w:t xml:space="preserve">3.3 </w:t>
      </w:r>
      <w:r>
        <w:rPr>
          <w:rFonts w:hint="eastAsia" w:ascii="宋体" w:hAnsi="宋体"/>
          <w:szCs w:val="21"/>
        </w:rPr>
        <w:t>买方扣款的权利</w:t>
      </w:r>
    </w:p>
    <w:p w14:paraId="5F6D196C">
      <w:pPr>
        <w:tabs>
          <w:tab w:val="left" w:pos="1134"/>
        </w:tabs>
        <w:spacing w:line="360" w:lineRule="auto"/>
        <w:ind w:firstLine="420" w:firstLineChars="200"/>
        <w:rPr>
          <w:rFonts w:ascii="宋体" w:hAnsi="宋体"/>
          <w:szCs w:val="21"/>
        </w:rPr>
      </w:pPr>
      <w:r>
        <w:rPr>
          <w:rFonts w:hint="eastAsia" w:ascii="宋体" w:hAnsi="宋体"/>
          <w:szCs w:val="21"/>
        </w:rPr>
        <w:t>当卖方应向买方支付合同项下的违约金或赔偿金时，买方有权从上述任何一笔应付款中予以直接扣除和（或）兑付履约保证金。</w:t>
      </w:r>
    </w:p>
    <w:p w14:paraId="6CF9D0F5">
      <w:pPr>
        <w:pStyle w:val="97"/>
        <w:keepNext w:val="0"/>
        <w:keepLines w:val="0"/>
        <w:tabs>
          <w:tab w:val="left" w:pos="567"/>
        </w:tabs>
        <w:spacing w:before="156" w:after="156"/>
        <w:rPr>
          <w:rFonts w:eastAsia="宋体" w:cs="Times New Roman"/>
          <w:b/>
          <w:bCs/>
          <w:sz w:val="32"/>
          <w:szCs w:val="32"/>
        </w:rPr>
      </w:pPr>
      <w:bookmarkStart w:id="644" w:name="_Toc20684"/>
      <w:bookmarkStart w:id="645" w:name="_Toc28108"/>
      <w:bookmarkStart w:id="646" w:name="_Toc3886"/>
      <w:bookmarkStart w:id="647" w:name="_Toc2881583"/>
      <w:bookmarkStart w:id="648" w:name="_Toc24979"/>
      <w:bookmarkStart w:id="649" w:name="_Toc5960"/>
      <w:bookmarkStart w:id="650" w:name="_Toc32618"/>
      <w:r>
        <w:rPr>
          <w:rFonts w:hint="eastAsia" w:eastAsia="宋体" w:cs="Times New Roman"/>
          <w:b/>
          <w:bCs/>
          <w:sz w:val="32"/>
          <w:szCs w:val="32"/>
        </w:rPr>
        <w:t>4.监造及交货前检验</w:t>
      </w:r>
      <w:bookmarkEnd w:id="644"/>
      <w:bookmarkEnd w:id="645"/>
      <w:bookmarkEnd w:id="646"/>
      <w:bookmarkEnd w:id="647"/>
      <w:bookmarkEnd w:id="648"/>
      <w:bookmarkEnd w:id="649"/>
      <w:bookmarkEnd w:id="650"/>
    </w:p>
    <w:p w14:paraId="25B25780">
      <w:pPr>
        <w:tabs>
          <w:tab w:val="left" w:pos="1134"/>
        </w:tabs>
        <w:spacing w:line="360" w:lineRule="auto"/>
        <w:ind w:firstLine="420" w:firstLineChars="200"/>
        <w:rPr>
          <w:rFonts w:ascii="宋体" w:hAnsi="宋体"/>
          <w:szCs w:val="21"/>
        </w:rPr>
      </w:pPr>
      <w:r>
        <w:rPr>
          <w:rFonts w:ascii="宋体" w:hAnsi="宋体"/>
          <w:szCs w:val="21"/>
        </w:rPr>
        <w:t xml:space="preserve">4.1 </w:t>
      </w:r>
      <w:r>
        <w:rPr>
          <w:rFonts w:hint="eastAsia" w:ascii="宋体" w:hAnsi="宋体"/>
          <w:szCs w:val="21"/>
        </w:rPr>
        <w:t>监造</w:t>
      </w:r>
    </w:p>
    <w:p w14:paraId="489765E7">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约定买方对合同设备进行监造的，双方应按本款及</w:t>
      </w:r>
      <w:r>
        <w:rPr>
          <w:rFonts w:hint="eastAsia" w:ascii="宋体" w:hAnsi="宋体" w:eastAsia="黑体"/>
          <w:b/>
          <w:szCs w:val="21"/>
        </w:rPr>
        <w:t>专用合同条款</w:t>
      </w:r>
      <w:r>
        <w:rPr>
          <w:rFonts w:hint="eastAsia" w:ascii="宋体" w:hAnsi="宋体"/>
          <w:szCs w:val="21"/>
        </w:rPr>
        <w:t>约定履行。</w:t>
      </w:r>
    </w:p>
    <w:p w14:paraId="15BD75FB">
      <w:pPr>
        <w:tabs>
          <w:tab w:val="left" w:pos="1134"/>
        </w:tabs>
        <w:spacing w:line="360" w:lineRule="auto"/>
        <w:ind w:firstLine="420" w:firstLineChars="200"/>
        <w:rPr>
          <w:rFonts w:ascii="宋体" w:hAnsi="宋体"/>
          <w:szCs w:val="21"/>
        </w:rPr>
      </w:pPr>
      <w:r>
        <w:rPr>
          <w:rFonts w:ascii="宋体" w:hAnsi="宋体"/>
          <w:szCs w:val="21"/>
        </w:rPr>
        <w:t xml:space="preserve">4.1.1 </w:t>
      </w:r>
      <w:r>
        <w:rPr>
          <w:rFonts w:hint="eastAsia" w:ascii="宋体" w:hAnsi="宋体"/>
          <w:szCs w:val="21"/>
        </w:rPr>
        <w:t>在合同设备的制造过程中，买方可派出监造人员，对合同设备的生产制造进行监造，监督合同设备制造、检验等情况。监造的范围、方式等应符合</w:t>
      </w:r>
      <w:r>
        <w:rPr>
          <w:rFonts w:hint="eastAsia" w:ascii="宋体" w:hAnsi="宋体" w:eastAsia="黑体"/>
          <w:b/>
          <w:szCs w:val="21"/>
        </w:rPr>
        <w:t>专用合同条款</w:t>
      </w:r>
      <w:r>
        <w:rPr>
          <w:rFonts w:hint="eastAsia" w:ascii="宋体" w:hAnsi="宋体"/>
          <w:szCs w:val="21"/>
        </w:rPr>
        <w:t>和（或）供货要求等合同文件的约定。</w:t>
      </w:r>
    </w:p>
    <w:p w14:paraId="1A797D8A">
      <w:pPr>
        <w:tabs>
          <w:tab w:val="left" w:pos="1134"/>
        </w:tabs>
        <w:spacing w:line="360" w:lineRule="auto"/>
        <w:ind w:firstLine="420" w:firstLineChars="200"/>
        <w:rPr>
          <w:rFonts w:ascii="宋体" w:hAnsi="宋体"/>
          <w:szCs w:val="21"/>
        </w:rPr>
      </w:pPr>
      <w:r>
        <w:rPr>
          <w:rFonts w:ascii="宋体" w:hAnsi="宋体"/>
          <w:szCs w:val="21"/>
        </w:rPr>
        <w:t xml:space="preserve">4.1.2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买方监造人员可到合同设备及其关键部件的生产制造现场进行监造，卖方应予配合。卖方应免费为买方监造人员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另有约定外，买方监造人员的交通、食宿费用由买方承担。</w:t>
      </w:r>
    </w:p>
    <w:p w14:paraId="1791E98F">
      <w:pPr>
        <w:tabs>
          <w:tab w:val="left" w:pos="1134"/>
        </w:tabs>
        <w:spacing w:line="360" w:lineRule="auto"/>
        <w:ind w:firstLine="420" w:firstLineChars="200"/>
        <w:rPr>
          <w:rFonts w:ascii="宋体" w:hAnsi="宋体"/>
          <w:szCs w:val="21"/>
        </w:rPr>
      </w:pPr>
      <w:r>
        <w:rPr>
          <w:rFonts w:ascii="宋体" w:hAnsi="宋体"/>
          <w:szCs w:val="21"/>
        </w:rPr>
        <w:t xml:space="preserve">4.1.3 </w:t>
      </w:r>
      <w:r>
        <w:rPr>
          <w:rFonts w:hint="eastAsia" w:ascii="宋体" w:hAnsi="宋体"/>
          <w:szCs w:val="21"/>
        </w:rPr>
        <w:t>卖方制订生产制造合同设备的进度计划时，应将买方监造纳入计划安排，并提前通知买方；买方进行监造不应影响合同设备的正常生产。除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日将需要买方监造人员现场监造事项通知买方；如买方监造人员未按通知出席，不影响合同设备及其关键部件的制造或检验，但买方监造人员有权事后了解、查阅、复制相关制造或检验记录。</w:t>
      </w:r>
    </w:p>
    <w:p w14:paraId="60BEDE95">
      <w:pPr>
        <w:tabs>
          <w:tab w:val="left" w:pos="1134"/>
        </w:tabs>
        <w:spacing w:line="360" w:lineRule="auto"/>
        <w:ind w:firstLine="420" w:firstLineChars="200"/>
        <w:rPr>
          <w:rFonts w:ascii="宋体" w:hAnsi="宋体"/>
          <w:szCs w:val="21"/>
        </w:rPr>
      </w:pPr>
      <w:r>
        <w:rPr>
          <w:rFonts w:ascii="宋体" w:hAnsi="宋体"/>
          <w:szCs w:val="21"/>
        </w:rPr>
        <w:t xml:space="preserve">4.1.4 </w:t>
      </w:r>
      <w:r>
        <w:rPr>
          <w:rFonts w:hint="eastAsia" w:ascii="宋体" w:hAnsi="宋体"/>
          <w:szCs w:val="21"/>
        </w:rPr>
        <w:t>买方监造人员在监造中如发现合同设备及其关键部件不符合合同约定的标准，则有权提出意见和建议。卖方应采取必要措施消除合同设备的不符，由此增加的费用和（或）造成的延误由卖方负责。</w:t>
      </w:r>
    </w:p>
    <w:p w14:paraId="596FE863">
      <w:pPr>
        <w:tabs>
          <w:tab w:val="left" w:pos="1134"/>
        </w:tabs>
        <w:spacing w:line="360" w:lineRule="auto"/>
        <w:ind w:firstLine="420" w:firstLineChars="200"/>
        <w:rPr>
          <w:rFonts w:ascii="宋体" w:hAnsi="宋体"/>
          <w:szCs w:val="21"/>
        </w:rPr>
      </w:pPr>
      <w:r>
        <w:rPr>
          <w:rFonts w:ascii="宋体" w:hAnsi="宋体"/>
          <w:szCs w:val="21"/>
        </w:rPr>
        <w:t xml:space="preserve">4.1.5 </w:t>
      </w:r>
      <w:r>
        <w:rPr>
          <w:rFonts w:hint="eastAsia" w:ascii="宋体" w:hAnsi="宋体"/>
          <w:szCs w:val="21"/>
        </w:rPr>
        <w:t>买方监造人员对合同设备的监造，不视为对合同设备质量的确认，不影响卖方交货后买方依照合同约定对合同设备提出质量异议和（或）退货的权利，也不免除卖方依照合同约定对合同设备所应承担的任何义务或责任。</w:t>
      </w:r>
    </w:p>
    <w:p w14:paraId="441BAD01">
      <w:pPr>
        <w:tabs>
          <w:tab w:val="left" w:pos="1134"/>
        </w:tabs>
        <w:spacing w:line="360" w:lineRule="auto"/>
        <w:ind w:firstLine="420" w:firstLineChars="200"/>
        <w:rPr>
          <w:rFonts w:ascii="宋体" w:hAnsi="宋体"/>
          <w:szCs w:val="21"/>
        </w:rPr>
      </w:pPr>
      <w:r>
        <w:rPr>
          <w:rFonts w:ascii="宋体" w:hAnsi="宋体"/>
          <w:szCs w:val="21"/>
        </w:rPr>
        <w:t xml:space="preserve">4.2 </w:t>
      </w:r>
      <w:r>
        <w:rPr>
          <w:rFonts w:hint="eastAsia" w:ascii="宋体" w:hAnsi="宋体"/>
          <w:szCs w:val="21"/>
        </w:rPr>
        <w:t>交货前检验</w:t>
      </w:r>
    </w:p>
    <w:p w14:paraId="516AC21D">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约定买方参与交货前检验的，双方应按本款及</w:t>
      </w:r>
      <w:r>
        <w:rPr>
          <w:rFonts w:hint="eastAsia" w:ascii="宋体" w:hAnsi="宋体" w:eastAsia="黑体"/>
          <w:b/>
          <w:szCs w:val="21"/>
        </w:rPr>
        <w:t>专用合同条款</w:t>
      </w:r>
      <w:r>
        <w:rPr>
          <w:rFonts w:hint="eastAsia" w:ascii="宋体" w:hAnsi="宋体"/>
          <w:szCs w:val="21"/>
        </w:rPr>
        <w:t>约定履行。</w:t>
      </w:r>
    </w:p>
    <w:p w14:paraId="45B36FD2">
      <w:pPr>
        <w:tabs>
          <w:tab w:val="left" w:pos="1134"/>
        </w:tabs>
        <w:spacing w:line="360" w:lineRule="auto"/>
        <w:ind w:firstLine="420" w:firstLineChars="200"/>
        <w:rPr>
          <w:rFonts w:ascii="宋体" w:hAnsi="宋体"/>
          <w:szCs w:val="21"/>
        </w:rPr>
      </w:pPr>
      <w:r>
        <w:rPr>
          <w:rFonts w:ascii="宋体" w:hAnsi="宋体"/>
          <w:szCs w:val="21"/>
        </w:rPr>
        <w:t xml:space="preserve">4.2.1 </w:t>
      </w:r>
      <w:r>
        <w:rPr>
          <w:rFonts w:hint="eastAsia" w:ascii="宋体" w:hAnsi="宋体"/>
          <w:szCs w:val="21"/>
        </w:rPr>
        <w:t>合同设备交货前，卖方应会同买方代表根据合同约定对合同设备进行交货前检验并出具交货前检验记录，有关费用由卖方承担。卖方应免费为买方代表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另有约定外，买方代表的交通、食宿费用由买方承担。</w:t>
      </w:r>
    </w:p>
    <w:p w14:paraId="0AB02EDE">
      <w:pPr>
        <w:tabs>
          <w:tab w:val="left" w:pos="1134"/>
        </w:tabs>
        <w:spacing w:line="360" w:lineRule="auto"/>
        <w:ind w:firstLine="420" w:firstLineChars="200"/>
        <w:rPr>
          <w:rFonts w:ascii="宋体" w:hAnsi="宋体"/>
          <w:szCs w:val="21"/>
        </w:rPr>
      </w:pPr>
      <w:r>
        <w:rPr>
          <w:rFonts w:ascii="宋体" w:hAnsi="宋体"/>
          <w:szCs w:val="21"/>
        </w:rPr>
        <w:t xml:space="preserve">4.2.2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代表检验事项通知买方；如买方代表未按通知出席，不影响合同设备的检验。若卖方未依照合同约定提前通知买方而自行检验，则买方有权要求卖方暂停发货并重新进行检验，由此增加的费用和（或）造成的延误由卖方负责。</w:t>
      </w:r>
    </w:p>
    <w:p w14:paraId="6AE02480">
      <w:pPr>
        <w:tabs>
          <w:tab w:val="left" w:pos="1134"/>
        </w:tabs>
        <w:spacing w:line="360" w:lineRule="auto"/>
        <w:ind w:firstLine="420" w:firstLineChars="200"/>
        <w:rPr>
          <w:rFonts w:ascii="宋体" w:hAnsi="宋体"/>
          <w:szCs w:val="21"/>
        </w:rPr>
      </w:pPr>
      <w:r>
        <w:rPr>
          <w:rFonts w:ascii="宋体" w:hAnsi="宋体"/>
          <w:szCs w:val="21"/>
        </w:rPr>
        <w:t xml:space="preserve">4.2.3 </w:t>
      </w:r>
      <w:r>
        <w:rPr>
          <w:rFonts w:hint="eastAsia" w:ascii="宋体" w:hAnsi="宋体"/>
          <w:szCs w:val="21"/>
        </w:rPr>
        <w:t>买方代表在检验中如发现合同设备不符合合同约定的标准，则有权提出异议。卖方应采取必要措施消除合同设备的不符，由此增加的费用和（或）造成的延误由卖方负责。</w:t>
      </w:r>
    </w:p>
    <w:p w14:paraId="5F1874D9">
      <w:pPr>
        <w:tabs>
          <w:tab w:val="left" w:pos="1134"/>
        </w:tabs>
        <w:spacing w:line="360" w:lineRule="auto"/>
        <w:ind w:firstLine="420" w:firstLineChars="200"/>
        <w:rPr>
          <w:rFonts w:ascii="宋体" w:hAnsi="宋体"/>
          <w:szCs w:val="21"/>
        </w:rPr>
      </w:pPr>
      <w:r>
        <w:rPr>
          <w:rFonts w:ascii="宋体" w:hAnsi="宋体"/>
          <w:szCs w:val="21"/>
        </w:rPr>
        <w:t xml:space="preserve">4.2.4 </w:t>
      </w:r>
      <w:r>
        <w:rPr>
          <w:rFonts w:hint="eastAsia" w:ascii="宋体" w:hAnsi="宋体"/>
          <w:szCs w:val="21"/>
        </w:rPr>
        <w:t>买方代表参与交货前检验及签署交货前检验记录的行为，不视为对合同设备质量的确认，不影响卖方交货后买方依照合同约定对合同设备提出质量异议和（或）退货的权利，也不免除卖方依照合同约定对合同设备所应承担的任何义务或责任。</w:t>
      </w:r>
    </w:p>
    <w:p w14:paraId="1F6883AE">
      <w:pPr>
        <w:pStyle w:val="97"/>
        <w:keepNext w:val="0"/>
        <w:keepLines w:val="0"/>
        <w:tabs>
          <w:tab w:val="left" w:pos="567"/>
        </w:tabs>
        <w:spacing w:before="156" w:after="156"/>
        <w:rPr>
          <w:rFonts w:eastAsia="宋体" w:cs="Times New Roman"/>
          <w:b/>
          <w:bCs/>
          <w:sz w:val="32"/>
          <w:szCs w:val="32"/>
        </w:rPr>
      </w:pPr>
      <w:bookmarkStart w:id="651" w:name="_Toc7682"/>
      <w:bookmarkStart w:id="652" w:name="_Toc2881584"/>
      <w:bookmarkStart w:id="653" w:name="_Toc15764"/>
      <w:bookmarkStart w:id="654" w:name="_Toc12083"/>
      <w:bookmarkStart w:id="655" w:name="_Toc285"/>
      <w:bookmarkStart w:id="656" w:name="_Toc1835"/>
      <w:bookmarkStart w:id="657" w:name="_Toc10432"/>
      <w:r>
        <w:rPr>
          <w:rFonts w:hint="eastAsia" w:eastAsia="宋体" w:cs="Times New Roman"/>
          <w:b/>
          <w:bCs/>
          <w:sz w:val="32"/>
          <w:szCs w:val="32"/>
        </w:rPr>
        <w:t>5.包装、标记、运输和交付</w:t>
      </w:r>
      <w:bookmarkEnd w:id="651"/>
      <w:bookmarkEnd w:id="652"/>
      <w:bookmarkEnd w:id="653"/>
      <w:bookmarkEnd w:id="654"/>
      <w:bookmarkEnd w:id="655"/>
      <w:bookmarkEnd w:id="656"/>
      <w:bookmarkEnd w:id="657"/>
    </w:p>
    <w:p w14:paraId="48046258">
      <w:pPr>
        <w:tabs>
          <w:tab w:val="left" w:pos="1134"/>
        </w:tabs>
        <w:spacing w:line="360" w:lineRule="auto"/>
        <w:ind w:firstLine="420" w:firstLineChars="200"/>
        <w:rPr>
          <w:rFonts w:ascii="宋体" w:hAnsi="宋体"/>
          <w:szCs w:val="21"/>
        </w:rPr>
      </w:pPr>
      <w:r>
        <w:rPr>
          <w:rFonts w:ascii="宋体" w:hAnsi="宋体"/>
          <w:szCs w:val="21"/>
        </w:rPr>
        <w:t xml:space="preserve">5.1 </w:t>
      </w:r>
      <w:r>
        <w:rPr>
          <w:rFonts w:hint="eastAsia" w:ascii="宋体" w:hAnsi="宋体"/>
          <w:szCs w:val="21"/>
        </w:rPr>
        <w:t>包装</w:t>
      </w:r>
    </w:p>
    <w:p w14:paraId="777D4126">
      <w:pPr>
        <w:tabs>
          <w:tab w:val="left" w:pos="1134"/>
        </w:tabs>
        <w:spacing w:line="360" w:lineRule="auto"/>
        <w:ind w:firstLine="420" w:firstLineChars="200"/>
        <w:rPr>
          <w:rFonts w:ascii="宋体" w:hAnsi="宋体"/>
          <w:szCs w:val="21"/>
        </w:rPr>
      </w:pPr>
      <w:r>
        <w:rPr>
          <w:rFonts w:ascii="宋体" w:hAnsi="宋体"/>
          <w:szCs w:val="21"/>
        </w:rPr>
        <w:t xml:space="preserve">5.1.1 </w:t>
      </w:r>
      <w:r>
        <w:rPr>
          <w:rFonts w:hint="eastAsia" w:ascii="宋体" w:hAnsi="宋体"/>
          <w:szCs w:val="21"/>
        </w:rPr>
        <w:t>卖方应对合同设备进行妥善包装，以满足合同设备运至施工场地及在施工场地保管的需要。包装应采取防潮、防晒、防锈、防腐蚀、防震动及防止其它损坏的必要保护措施，从而保护合同设备能够经受多次搬运、装卸、长途运输并适宜保管。</w:t>
      </w:r>
    </w:p>
    <w:p w14:paraId="0E7B15AF">
      <w:pPr>
        <w:tabs>
          <w:tab w:val="left" w:pos="1134"/>
        </w:tabs>
        <w:spacing w:line="360" w:lineRule="auto"/>
        <w:ind w:firstLine="420" w:firstLineChars="200"/>
        <w:rPr>
          <w:rFonts w:ascii="宋体" w:hAnsi="宋体"/>
          <w:szCs w:val="21"/>
        </w:rPr>
      </w:pPr>
      <w:r>
        <w:rPr>
          <w:rFonts w:ascii="宋体" w:hAnsi="宋体"/>
          <w:szCs w:val="21"/>
        </w:rPr>
        <w:t xml:space="preserve">5.1.2 </w:t>
      </w:r>
      <w:r>
        <w:rPr>
          <w:rFonts w:hint="eastAsia" w:ascii="宋体" w:hAnsi="宋体"/>
          <w:szCs w:val="21"/>
        </w:rPr>
        <w:t>每个独立包装箱内应附装箱清单、质量合格证、装配图、说明书、操作指南等资料。</w:t>
      </w:r>
    </w:p>
    <w:p w14:paraId="0AA10D3F">
      <w:pPr>
        <w:tabs>
          <w:tab w:val="left" w:pos="1134"/>
        </w:tabs>
        <w:spacing w:line="360" w:lineRule="auto"/>
        <w:ind w:firstLine="420" w:firstLineChars="200"/>
        <w:rPr>
          <w:rFonts w:ascii="宋体" w:hAnsi="宋体"/>
          <w:szCs w:val="21"/>
        </w:rPr>
      </w:pPr>
      <w:r>
        <w:rPr>
          <w:rFonts w:ascii="宋体" w:hAnsi="宋体"/>
          <w:szCs w:val="21"/>
        </w:rPr>
        <w:t xml:space="preserve">5.1.3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另有约定外，买方无需将包装物退还给卖方。</w:t>
      </w:r>
    </w:p>
    <w:p w14:paraId="00A43D8F">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4D22C133">
      <w:pPr>
        <w:tabs>
          <w:tab w:val="left" w:pos="1134"/>
        </w:tabs>
        <w:spacing w:line="360" w:lineRule="auto"/>
        <w:ind w:firstLine="420" w:firstLineChars="200"/>
        <w:rPr>
          <w:rFonts w:ascii="宋体" w:hAnsi="宋体"/>
          <w:szCs w:val="21"/>
        </w:rPr>
      </w:pPr>
      <w:r>
        <w:rPr>
          <w:rFonts w:ascii="宋体" w:hAnsi="宋体"/>
          <w:szCs w:val="21"/>
        </w:rPr>
        <w:t xml:space="preserve">5.2.1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另有约定外，卖方应在每一包装箱相邻的四个侧面以不可擦除的、明显的方式标记必要的装运信息和标记，以满足合同设备运输和保管的需要。</w:t>
      </w:r>
    </w:p>
    <w:p w14:paraId="2B62AB20">
      <w:pPr>
        <w:tabs>
          <w:tab w:val="left" w:pos="1134"/>
        </w:tabs>
        <w:spacing w:line="360" w:lineRule="auto"/>
        <w:ind w:firstLine="420" w:firstLineChars="200"/>
        <w:rPr>
          <w:rFonts w:ascii="宋体" w:hAnsi="宋体"/>
          <w:szCs w:val="21"/>
        </w:rPr>
      </w:pPr>
      <w:r>
        <w:rPr>
          <w:rFonts w:ascii="宋体" w:hAnsi="宋体"/>
          <w:szCs w:val="21"/>
        </w:rPr>
        <w:t xml:space="preserve">5.2.2 </w:t>
      </w:r>
      <w:r>
        <w:rPr>
          <w:rFonts w:hint="eastAsia" w:ascii="宋体" w:hAnsi="宋体"/>
          <w:szCs w:val="21"/>
        </w:rPr>
        <w:t>根据合同设备的特点和运输、保管的不同要求，卖方应在包装箱上清楚地标注</w:t>
      </w:r>
      <w:r>
        <w:rPr>
          <w:rFonts w:ascii="宋体" w:hAnsi="宋体"/>
          <w:szCs w:val="21"/>
        </w:rPr>
        <w:t>“</w:t>
      </w:r>
      <w:r>
        <w:rPr>
          <w:rFonts w:hint="eastAsia" w:ascii="宋体" w:hAnsi="宋体"/>
          <w:szCs w:val="21"/>
        </w:rPr>
        <w:t>小心轻放</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此端朝上，请勿倒置</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保持干燥</w:t>
      </w:r>
      <w:r>
        <w:rPr>
          <w:rFonts w:ascii="宋体" w:hAnsi="宋体"/>
          <w:szCs w:val="21"/>
        </w:rPr>
        <w:t>”</w:t>
      </w:r>
      <w:r>
        <w:rPr>
          <w:rFonts w:hint="eastAsia" w:ascii="宋体" w:hAnsi="宋体"/>
          <w:szCs w:val="21"/>
        </w:rPr>
        <w:t>等字样和其他适当标记。对于</w:t>
      </w:r>
      <w:r>
        <w:rPr>
          <w:rFonts w:hint="eastAsia" w:ascii="宋体" w:hAnsi="宋体" w:eastAsia="黑体"/>
          <w:b/>
          <w:szCs w:val="21"/>
        </w:rPr>
        <w:t>专用合同条款</w:t>
      </w:r>
      <w:r>
        <w:rPr>
          <w:rFonts w:hint="eastAsia" w:ascii="宋体" w:hAnsi="宋体"/>
          <w:szCs w:val="21"/>
        </w:rPr>
        <w:t>约定的超大超重件，卖方应在包装箱两侧标注</w:t>
      </w:r>
      <w:r>
        <w:rPr>
          <w:rFonts w:ascii="宋体" w:hAnsi="宋体"/>
          <w:szCs w:val="21"/>
        </w:rPr>
        <w:t>“</w:t>
      </w:r>
      <w:r>
        <w:rPr>
          <w:rFonts w:hint="eastAsia" w:ascii="宋体" w:hAnsi="宋体"/>
          <w:szCs w:val="21"/>
        </w:rPr>
        <w:t>重心</w:t>
      </w:r>
      <w:r>
        <w:rPr>
          <w:rFonts w:ascii="宋体" w:hAnsi="宋体"/>
          <w:szCs w:val="21"/>
        </w:rPr>
        <w:t>”</w:t>
      </w:r>
      <w:r>
        <w:rPr>
          <w:rFonts w:hint="eastAsia" w:ascii="宋体" w:hAnsi="宋体"/>
          <w:szCs w:val="21"/>
        </w:rPr>
        <w:t>和</w:t>
      </w:r>
      <w:r>
        <w:rPr>
          <w:rFonts w:ascii="宋体" w:hAnsi="宋体"/>
          <w:szCs w:val="21"/>
        </w:rPr>
        <w:t>“</w:t>
      </w:r>
      <w:r>
        <w:rPr>
          <w:rFonts w:hint="eastAsia" w:ascii="宋体" w:hAnsi="宋体"/>
          <w:szCs w:val="21"/>
        </w:rPr>
        <w:t>起吊点</w:t>
      </w:r>
      <w:r>
        <w:rPr>
          <w:rFonts w:ascii="宋体" w:hAnsi="宋体"/>
          <w:szCs w:val="21"/>
        </w:rPr>
        <w:t>”</w:t>
      </w:r>
      <w:r>
        <w:rPr>
          <w:rFonts w:hint="eastAsia" w:ascii="宋体" w:hAnsi="宋体"/>
          <w:szCs w:val="21"/>
        </w:rPr>
        <w:t>以便装卸和搬运。如果发运合同设备中含有易燃易爆物品、腐蚀物品、放射性物质等危险品，则应在包装箱上标明危险品标志。</w:t>
      </w:r>
    </w:p>
    <w:p w14:paraId="4B48DC78">
      <w:pPr>
        <w:tabs>
          <w:tab w:val="left" w:pos="1134"/>
        </w:tabs>
        <w:spacing w:line="360" w:lineRule="auto"/>
        <w:ind w:firstLine="420" w:firstLineChars="200"/>
        <w:rPr>
          <w:rFonts w:ascii="宋体" w:hAnsi="宋体"/>
          <w:szCs w:val="21"/>
        </w:rPr>
      </w:pPr>
      <w:r>
        <w:rPr>
          <w:rFonts w:ascii="宋体" w:hAnsi="宋体"/>
          <w:szCs w:val="21"/>
        </w:rPr>
        <w:t xml:space="preserve">5.3 </w:t>
      </w:r>
      <w:r>
        <w:rPr>
          <w:rFonts w:hint="eastAsia" w:ascii="宋体" w:hAnsi="宋体"/>
          <w:szCs w:val="21"/>
        </w:rPr>
        <w:t>运输</w:t>
      </w:r>
    </w:p>
    <w:p w14:paraId="1F701720">
      <w:pPr>
        <w:tabs>
          <w:tab w:val="left" w:pos="1134"/>
        </w:tabs>
        <w:spacing w:line="360" w:lineRule="auto"/>
        <w:ind w:firstLine="420" w:firstLineChars="200"/>
        <w:rPr>
          <w:rFonts w:ascii="宋体" w:hAnsi="宋体"/>
          <w:szCs w:val="21"/>
        </w:rPr>
      </w:pPr>
      <w:r>
        <w:rPr>
          <w:rFonts w:ascii="宋体" w:hAnsi="宋体"/>
          <w:szCs w:val="21"/>
        </w:rPr>
        <w:t xml:space="preserve">5.3.1 </w:t>
      </w:r>
      <w:r>
        <w:rPr>
          <w:rFonts w:hint="eastAsia" w:ascii="宋体" w:hAnsi="宋体"/>
          <w:szCs w:val="21"/>
        </w:rPr>
        <w:t>卖方应自行选择适宜的运输工具及线路安排合同设备运输。</w:t>
      </w:r>
    </w:p>
    <w:p w14:paraId="7D98ED52">
      <w:pPr>
        <w:tabs>
          <w:tab w:val="left" w:pos="1134"/>
        </w:tabs>
        <w:spacing w:line="360" w:lineRule="auto"/>
        <w:ind w:firstLine="420" w:firstLineChars="200"/>
        <w:rPr>
          <w:rFonts w:ascii="宋体" w:hAnsi="宋体"/>
          <w:szCs w:val="21"/>
        </w:rPr>
      </w:pPr>
      <w:r>
        <w:rPr>
          <w:rFonts w:ascii="宋体" w:hAnsi="宋体"/>
          <w:szCs w:val="21"/>
        </w:rPr>
        <w:t xml:space="preserve">5.3.2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另有约定外，每件能够独立运行的设备应整套装运。该设备安装、调试、考核和运行所使用的备品、备件、易损易耗件等应随相关的主机一齐装运。</w:t>
      </w:r>
    </w:p>
    <w:p w14:paraId="0ED879A5">
      <w:pPr>
        <w:tabs>
          <w:tab w:val="left" w:pos="1134"/>
        </w:tabs>
        <w:spacing w:line="360" w:lineRule="auto"/>
        <w:ind w:firstLine="420" w:firstLineChars="200"/>
        <w:rPr>
          <w:rFonts w:ascii="宋体" w:hAnsi="宋体"/>
          <w:szCs w:val="21"/>
        </w:rPr>
      </w:pPr>
      <w:r>
        <w:rPr>
          <w:rFonts w:ascii="宋体" w:hAnsi="宋体"/>
          <w:szCs w:val="21"/>
        </w:rPr>
        <w:t xml:space="preserve">5.3.3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另有约定外，卖方应在合同设备预计启运</w:t>
      </w:r>
      <w:r>
        <w:rPr>
          <w:rFonts w:ascii="宋体" w:hAnsi="宋体"/>
          <w:szCs w:val="21"/>
        </w:rPr>
        <w:t xml:space="preserve"> 7 </w:t>
      </w:r>
      <w:r>
        <w:rPr>
          <w:rFonts w:hint="eastAsia" w:ascii="宋体" w:hAnsi="宋体"/>
          <w:szCs w:val="21"/>
        </w:rPr>
        <w:t>日前，将合同设备名称、数量、箱数、总毛重、总体积（用</w:t>
      </w:r>
      <w:r>
        <w:rPr>
          <w:rFonts w:ascii="宋体" w:hAnsi="宋体"/>
          <w:szCs w:val="21"/>
        </w:rPr>
        <w:t xml:space="preserve"> m3 </w:t>
      </w:r>
      <w:r>
        <w:rPr>
          <w:rFonts w:hint="eastAsia" w:ascii="宋体" w:hAnsi="宋体"/>
          <w:szCs w:val="21"/>
        </w:rPr>
        <w:t>表示）、每箱尺寸（长</w:t>
      </w:r>
      <w:r>
        <w:rPr>
          <w:rFonts w:ascii="宋体" w:hAnsi="宋体"/>
          <w:szCs w:val="21"/>
        </w:rPr>
        <w:t>×</w:t>
      </w:r>
      <w:r>
        <w:rPr>
          <w:rFonts w:hint="eastAsia" w:ascii="宋体" w:hAnsi="宋体"/>
          <w:szCs w:val="21"/>
        </w:rPr>
        <w:t>宽</w:t>
      </w:r>
      <w:r>
        <w:rPr>
          <w:rFonts w:ascii="宋体" w:hAnsi="宋体"/>
          <w:szCs w:val="21"/>
        </w:rPr>
        <w:t>×</w:t>
      </w:r>
      <w:r>
        <w:rPr>
          <w:rFonts w:hint="eastAsia" w:ascii="宋体" w:hAnsi="宋体"/>
          <w:szCs w:val="21"/>
        </w:rPr>
        <w:t>高）、装运合同设备总金额、运输方式、预计交付日期和合同设备在运输、装卸、保管中的注意事项等预通知买方，并在合同设备启运后</w:t>
      </w:r>
      <w:r>
        <w:rPr>
          <w:rFonts w:ascii="宋体" w:hAnsi="宋体"/>
          <w:szCs w:val="21"/>
        </w:rPr>
        <w:t xml:space="preserve"> 24 </w:t>
      </w:r>
      <w:r>
        <w:rPr>
          <w:rFonts w:hint="eastAsia" w:ascii="宋体" w:hAnsi="宋体"/>
          <w:szCs w:val="21"/>
        </w:rPr>
        <w:t>小时之内正式通知买方。</w:t>
      </w:r>
    </w:p>
    <w:p w14:paraId="0565C999">
      <w:pPr>
        <w:tabs>
          <w:tab w:val="left" w:pos="1134"/>
        </w:tabs>
        <w:spacing w:line="360" w:lineRule="auto"/>
        <w:ind w:firstLine="420" w:firstLineChars="200"/>
        <w:rPr>
          <w:rFonts w:ascii="宋体" w:hAnsi="宋体"/>
          <w:szCs w:val="21"/>
        </w:rPr>
      </w:pPr>
      <w:r>
        <w:rPr>
          <w:rFonts w:ascii="宋体" w:hAnsi="宋体"/>
          <w:szCs w:val="21"/>
        </w:rPr>
        <w:t xml:space="preserve">5.3.4 </w:t>
      </w:r>
      <w:r>
        <w:rPr>
          <w:rFonts w:hint="eastAsia" w:ascii="宋体" w:hAnsi="宋体"/>
          <w:szCs w:val="21"/>
        </w:rPr>
        <w:t>卖方在根据第</w:t>
      </w:r>
      <w:r>
        <w:rPr>
          <w:rFonts w:ascii="宋体" w:hAnsi="宋体"/>
          <w:szCs w:val="21"/>
        </w:rPr>
        <w:t xml:space="preserve"> 5.3.3 </w:t>
      </w:r>
      <w:r>
        <w:rPr>
          <w:rFonts w:hint="eastAsia" w:ascii="宋体" w:hAnsi="宋体"/>
          <w:szCs w:val="21"/>
        </w:rPr>
        <w:t>项进行通知时，如果发运合同设备中包括</w:t>
      </w:r>
      <w:r>
        <w:rPr>
          <w:rFonts w:hint="eastAsia" w:ascii="宋体" w:hAnsi="宋体" w:eastAsia="黑体"/>
          <w:b/>
          <w:szCs w:val="21"/>
        </w:rPr>
        <w:t>专用合同条款</w:t>
      </w:r>
      <w:r>
        <w:rPr>
          <w:rFonts w:hint="eastAsia" w:ascii="宋体" w:hAnsi="宋体"/>
          <w:szCs w:val="21"/>
        </w:rPr>
        <w:t>约定的超大超重包装，则卖方应将超大和（或）超重的每个包装箱的重量和尺寸通知买方；如果发运合同设备中包括易燃易爆物品、腐蚀物品、放射性物质等危险品，则危险品的品名、性质、在运输、装卸、保管方面的特殊要求、注意事项和处理意外情况的方法等，也应一并通知买方。</w:t>
      </w:r>
    </w:p>
    <w:p w14:paraId="4B815CC3">
      <w:pPr>
        <w:tabs>
          <w:tab w:val="left" w:pos="1134"/>
        </w:tabs>
        <w:spacing w:line="360" w:lineRule="auto"/>
        <w:ind w:firstLine="420" w:firstLineChars="200"/>
        <w:rPr>
          <w:rFonts w:ascii="宋体" w:hAnsi="宋体"/>
          <w:szCs w:val="21"/>
        </w:rPr>
      </w:pPr>
      <w:r>
        <w:rPr>
          <w:rFonts w:ascii="宋体" w:hAnsi="宋体"/>
          <w:szCs w:val="21"/>
        </w:rPr>
        <w:t xml:space="preserve">5.4 </w:t>
      </w:r>
      <w:r>
        <w:rPr>
          <w:rFonts w:hint="eastAsia" w:ascii="宋体" w:hAnsi="宋体"/>
          <w:szCs w:val="21"/>
        </w:rPr>
        <w:t>交付</w:t>
      </w:r>
    </w:p>
    <w:p w14:paraId="35175733">
      <w:pPr>
        <w:tabs>
          <w:tab w:val="left" w:pos="1134"/>
        </w:tabs>
        <w:spacing w:line="360" w:lineRule="auto"/>
        <w:ind w:firstLine="420" w:firstLineChars="200"/>
        <w:rPr>
          <w:rFonts w:ascii="宋体" w:hAnsi="宋体"/>
          <w:szCs w:val="21"/>
        </w:rPr>
      </w:pPr>
      <w:r>
        <w:rPr>
          <w:rFonts w:ascii="宋体" w:hAnsi="宋体"/>
          <w:szCs w:val="21"/>
        </w:rPr>
        <w:t xml:space="preserve">5.4.1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根据合同约定的交付时间和批次在施工场地卸货后将合同设备交付给买方，买方对卖方交付的合同设备的外观及件数进行清点核验后应签发收货清单。买方签发收货清单不代表对合同设备的接受，双方还应按合同约定进行后续的检验和验收。</w:t>
      </w:r>
    </w:p>
    <w:p w14:paraId="222DFA61">
      <w:pPr>
        <w:tabs>
          <w:tab w:val="left" w:pos="1134"/>
        </w:tabs>
        <w:spacing w:line="360" w:lineRule="auto"/>
        <w:ind w:firstLine="420" w:firstLineChars="200"/>
        <w:rPr>
          <w:rFonts w:ascii="宋体" w:hAnsi="宋体"/>
          <w:szCs w:val="21"/>
        </w:rPr>
      </w:pPr>
      <w:r>
        <w:rPr>
          <w:rFonts w:ascii="宋体" w:hAnsi="宋体"/>
          <w:szCs w:val="21"/>
        </w:rPr>
        <w:t xml:space="preserve">5.4.2 </w:t>
      </w:r>
      <w:r>
        <w:rPr>
          <w:rFonts w:hint="eastAsia" w:ascii="宋体" w:hAnsi="宋体"/>
          <w:szCs w:val="21"/>
        </w:rPr>
        <w:t>合同设备的所有权和风险自交付时起由卖方转移至买方，合同设备交付给买方之前包括运输在内的所有风险均由卖方承担。</w:t>
      </w:r>
    </w:p>
    <w:p w14:paraId="653017D6">
      <w:pPr>
        <w:tabs>
          <w:tab w:val="left" w:pos="1134"/>
        </w:tabs>
        <w:spacing w:line="360" w:lineRule="auto"/>
        <w:ind w:firstLine="420" w:firstLineChars="200"/>
        <w:rPr>
          <w:rFonts w:ascii="宋体" w:hAnsi="宋体"/>
          <w:szCs w:val="21"/>
        </w:rPr>
      </w:pPr>
      <w:r>
        <w:rPr>
          <w:rFonts w:ascii="宋体" w:hAnsi="宋体"/>
          <w:szCs w:val="21"/>
        </w:rPr>
        <w:t xml:space="preserve">5.4.3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另有约定外，买方如果发现技术资料存在短缺和（或）损坏，卖方应在收到买方的通知后</w:t>
      </w:r>
      <w:r>
        <w:rPr>
          <w:rFonts w:ascii="宋体" w:hAnsi="宋体"/>
          <w:szCs w:val="21"/>
        </w:rPr>
        <w:t xml:space="preserve"> 7 </w:t>
      </w:r>
      <w:r>
        <w:rPr>
          <w:rFonts w:hint="eastAsia" w:ascii="宋体" w:hAnsi="宋体"/>
          <w:szCs w:val="21"/>
        </w:rPr>
        <w:t>日内免费补齐短缺和（或）损坏的部分。如果买方发现卖方提供的技术资料有误，卖方应在收到买方通知后</w:t>
      </w:r>
      <w:r>
        <w:rPr>
          <w:rFonts w:ascii="宋体" w:hAnsi="宋体"/>
          <w:szCs w:val="21"/>
        </w:rPr>
        <w:t xml:space="preserve"> 7 </w:t>
      </w:r>
      <w:r>
        <w:rPr>
          <w:rFonts w:hint="eastAsia" w:ascii="宋体" w:hAnsi="宋体"/>
          <w:szCs w:val="21"/>
        </w:rPr>
        <w:t>日内免费替换。如由于买方原因导致技术资料丢失和（或）损坏，卖方应在收到买方的通知后</w:t>
      </w:r>
      <w:r>
        <w:rPr>
          <w:rFonts w:ascii="宋体" w:hAnsi="宋体"/>
          <w:szCs w:val="21"/>
        </w:rPr>
        <w:t xml:space="preserve"> 7 </w:t>
      </w:r>
      <w:r>
        <w:rPr>
          <w:rFonts w:hint="eastAsia" w:ascii="宋体" w:hAnsi="宋体"/>
          <w:szCs w:val="21"/>
        </w:rPr>
        <w:t>日内补齐丢失和（或）损坏的部分，但买方应向卖方支付合理的复制、邮寄费用。</w:t>
      </w:r>
    </w:p>
    <w:p w14:paraId="5C620CBE">
      <w:pPr>
        <w:pStyle w:val="97"/>
        <w:keepNext w:val="0"/>
        <w:keepLines w:val="0"/>
        <w:tabs>
          <w:tab w:val="left" w:pos="567"/>
        </w:tabs>
        <w:spacing w:before="156" w:after="156"/>
        <w:rPr>
          <w:rFonts w:eastAsia="宋体" w:cs="Times New Roman"/>
          <w:b/>
          <w:bCs/>
          <w:sz w:val="32"/>
          <w:szCs w:val="32"/>
        </w:rPr>
      </w:pPr>
      <w:bookmarkStart w:id="658" w:name="_Toc2751"/>
      <w:bookmarkStart w:id="659" w:name="_Toc19740"/>
      <w:bookmarkStart w:id="660" w:name="_Toc10483"/>
      <w:bookmarkStart w:id="661" w:name="_Toc18696"/>
      <w:bookmarkStart w:id="662" w:name="_Toc8331"/>
      <w:bookmarkStart w:id="663" w:name="_Toc20469"/>
      <w:bookmarkStart w:id="664" w:name="_Toc2881585"/>
      <w:r>
        <w:rPr>
          <w:rFonts w:hint="eastAsia" w:eastAsia="宋体" w:cs="Times New Roman"/>
          <w:b/>
          <w:bCs/>
          <w:sz w:val="32"/>
          <w:szCs w:val="32"/>
        </w:rPr>
        <w:t>6.</w:t>
      </w:r>
      <w:bookmarkStart w:id="665" w:name="_Hlk2544388"/>
      <w:r>
        <w:rPr>
          <w:rFonts w:hint="eastAsia" w:eastAsia="宋体" w:cs="Times New Roman"/>
          <w:b/>
          <w:bCs/>
          <w:sz w:val="32"/>
          <w:szCs w:val="32"/>
        </w:rPr>
        <w:t>开箱检验、安装、调试、考核、验收</w:t>
      </w:r>
      <w:bookmarkEnd w:id="658"/>
      <w:bookmarkEnd w:id="659"/>
      <w:bookmarkEnd w:id="660"/>
      <w:bookmarkEnd w:id="661"/>
      <w:bookmarkEnd w:id="662"/>
      <w:bookmarkEnd w:id="663"/>
      <w:bookmarkEnd w:id="664"/>
      <w:bookmarkEnd w:id="665"/>
    </w:p>
    <w:p w14:paraId="442F4CC9">
      <w:pPr>
        <w:tabs>
          <w:tab w:val="left" w:pos="1134"/>
        </w:tabs>
        <w:spacing w:line="360" w:lineRule="auto"/>
        <w:ind w:firstLine="420" w:firstLineChars="200"/>
        <w:rPr>
          <w:rFonts w:ascii="宋体" w:hAnsi="宋体"/>
          <w:szCs w:val="21"/>
        </w:rPr>
      </w:pPr>
      <w:bookmarkStart w:id="666" w:name="_Hlk2544430"/>
      <w:r>
        <w:rPr>
          <w:rFonts w:ascii="宋体" w:hAnsi="宋体"/>
          <w:szCs w:val="21"/>
        </w:rPr>
        <w:t xml:space="preserve">6.1 </w:t>
      </w:r>
      <w:r>
        <w:rPr>
          <w:rFonts w:hint="eastAsia" w:ascii="宋体" w:hAnsi="宋体"/>
          <w:szCs w:val="21"/>
        </w:rPr>
        <w:t>开箱检验</w:t>
      </w:r>
    </w:p>
    <w:p w14:paraId="09C3F9C5">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合同设备交付后应进行开箱检验，即合同设备数量及外观检验。开箱检验在</w:t>
      </w:r>
      <w:r>
        <w:rPr>
          <w:rFonts w:hint="eastAsia" w:ascii="宋体" w:hAnsi="宋体" w:eastAsia="黑体"/>
          <w:b/>
          <w:szCs w:val="21"/>
        </w:rPr>
        <w:t>专用合同条款</w:t>
      </w:r>
      <w:r>
        <w:rPr>
          <w:rFonts w:hint="eastAsia" w:ascii="宋体" w:hAnsi="宋体"/>
          <w:szCs w:val="21"/>
        </w:rPr>
        <w:t>约定的下列任一种时间进行：</w:t>
      </w:r>
    </w:p>
    <w:p w14:paraId="043FC97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w:t>
      </w:r>
      <w:bookmarkStart w:id="667" w:name="_Hlk2544566"/>
      <w:r>
        <w:rPr>
          <w:rFonts w:hint="eastAsia" w:ascii="宋体" w:hAnsi="宋体"/>
          <w:szCs w:val="21"/>
        </w:rPr>
        <w:t>合同设备交付时</w:t>
      </w:r>
      <w:bookmarkEnd w:id="667"/>
      <w:r>
        <w:rPr>
          <w:rFonts w:hint="eastAsia" w:ascii="宋体" w:hAnsi="宋体"/>
          <w:szCs w:val="21"/>
        </w:rPr>
        <w:t>；</w:t>
      </w:r>
    </w:p>
    <w:p w14:paraId="235FC2C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w:t>
      </w:r>
      <w:bookmarkStart w:id="668" w:name="_Hlk2544586"/>
      <w:r>
        <w:rPr>
          <w:rFonts w:hint="eastAsia" w:ascii="宋体" w:hAnsi="宋体"/>
          <w:szCs w:val="21"/>
        </w:rPr>
        <w:t>合同设备交付后的一定期限内</w:t>
      </w:r>
      <w:bookmarkEnd w:id="668"/>
      <w:r>
        <w:rPr>
          <w:rFonts w:hint="eastAsia" w:ascii="宋体" w:hAnsi="宋体"/>
          <w:szCs w:val="21"/>
        </w:rPr>
        <w:t>。如开箱检验不在合同设备交付时进行，买方应在开箱检验</w:t>
      </w:r>
      <w:r>
        <w:rPr>
          <w:rFonts w:ascii="宋体" w:hAnsi="宋体"/>
          <w:szCs w:val="21"/>
        </w:rPr>
        <w:t xml:space="preserve"> 3 </w:t>
      </w:r>
      <w:r>
        <w:rPr>
          <w:rFonts w:hint="eastAsia" w:ascii="宋体" w:hAnsi="宋体"/>
          <w:szCs w:val="21"/>
        </w:rPr>
        <w:t>日前将开箱检验的时间和地点通知卖方。</w:t>
      </w:r>
    </w:p>
    <w:bookmarkEnd w:id="666"/>
    <w:p w14:paraId="44E3AA85">
      <w:pPr>
        <w:tabs>
          <w:tab w:val="left" w:pos="1134"/>
        </w:tabs>
        <w:spacing w:line="360" w:lineRule="auto"/>
        <w:ind w:firstLine="420" w:firstLineChars="200"/>
        <w:rPr>
          <w:rFonts w:ascii="宋体" w:hAnsi="宋体"/>
          <w:szCs w:val="21"/>
        </w:rPr>
      </w:pPr>
      <w:r>
        <w:rPr>
          <w:rFonts w:ascii="宋体" w:hAnsi="宋体"/>
          <w:szCs w:val="21"/>
        </w:rPr>
        <w:t xml:space="preserve">6.1.2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另有约定外，合同设备的开箱检验应在施工场地进行。</w:t>
      </w:r>
    </w:p>
    <w:p w14:paraId="662A24AE">
      <w:pPr>
        <w:tabs>
          <w:tab w:val="left" w:pos="1134"/>
        </w:tabs>
        <w:spacing w:line="360" w:lineRule="auto"/>
        <w:ind w:firstLine="420" w:firstLineChars="200"/>
        <w:rPr>
          <w:rFonts w:ascii="宋体" w:hAnsi="宋体"/>
          <w:szCs w:val="21"/>
        </w:rPr>
      </w:pPr>
      <w:r>
        <w:rPr>
          <w:rFonts w:ascii="宋体" w:hAnsi="宋体"/>
          <w:szCs w:val="21"/>
        </w:rPr>
        <w:t xml:space="preserve">6.1.3 </w:t>
      </w:r>
      <w:r>
        <w:rPr>
          <w:rFonts w:hint="eastAsia" w:ascii="宋体" w:hAnsi="宋体"/>
          <w:szCs w:val="21"/>
        </w:rPr>
        <w:t>开箱检验由买卖双方共同进行，卖方应自负费用派遣代表到场参加开箱检验。</w:t>
      </w:r>
    </w:p>
    <w:p w14:paraId="0434420D">
      <w:pPr>
        <w:tabs>
          <w:tab w:val="left" w:pos="1134"/>
        </w:tabs>
        <w:spacing w:line="360" w:lineRule="auto"/>
        <w:ind w:firstLine="420" w:firstLineChars="200"/>
        <w:rPr>
          <w:rFonts w:ascii="宋体" w:hAnsi="宋体"/>
          <w:szCs w:val="21"/>
        </w:rPr>
      </w:pPr>
      <w:r>
        <w:rPr>
          <w:rFonts w:ascii="宋体" w:hAnsi="宋体"/>
          <w:szCs w:val="21"/>
        </w:rPr>
        <w:t xml:space="preserve">6.1.4 </w:t>
      </w:r>
      <w:r>
        <w:rPr>
          <w:rFonts w:hint="eastAsia" w:ascii="宋体" w:hAnsi="宋体"/>
          <w:szCs w:val="21"/>
        </w:rPr>
        <w:t>在开箱检验中，买方和卖方应共同签署数量、外观检验报告，报告应列明检验结果，包括检验合格或发现的任何短缺、损坏或其它与合同约定不符的情形。</w:t>
      </w:r>
    </w:p>
    <w:p w14:paraId="4357FC7E">
      <w:pPr>
        <w:tabs>
          <w:tab w:val="left" w:pos="1134"/>
        </w:tabs>
        <w:spacing w:line="360" w:lineRule="auto"/>
        <w:ind w:firstLine="420" w:firstLineChars="200"/>
        <w:rPr>
          <w:rFonts w:ascii="宋体" w:hAnsi="宋体"/>
          <w:szCs w:val="21"/>
        </w:rPr>
      </w:pPr>
      <w:r>
        <w:rPr>
          <w:rFonts w:ascii="宋体" w:hAnsi="宋体"/>
          <w:szCs w:val="21"/>
        </w:rPr>
        <w:t xml:space="preserve">6.1.5 </w:t>
      </w:r>
      <w:r>
        <w:rPr>
          <w:rFonts w:hint="eastAsia" w:ascii="宋体" w:hAnsi="宋体"/>
          <w:szCs w:val="21"/>
        </w:rPr>
        <w:t>如果卖方代表未能依约或按买方通知到场参加开箱检验，买方有权在卖方代表未在场的情况下进行开箱检验，并签署数量、外观检验报告，对于该检验报告和检验结果，视为卖方已接受，但卖方确有合理理由且事先与买方协商推迟开箱检验时间的除外。</w:t>
      </w:r>
    </w:p>
    <w:p w14:paraId="61F6E26B">
      <w:pPr>
        <w:tabs>
          <w:tab w:val="left" w:pos="1134"/>
        </w:tabs>
        <w:spacing w:line="360" w:lineRule="auto"/>
        <w:ind w:firstLine="420" w:firstLineChars="200"/>
        <w:rPr>
          <w:rFonts w:ascii="宋体" w:hAnsi="宋体"/>
          <w:szCs w:val="21"/>
        </w:rPr>
      </w:pPr>
      <w:r>
        <w:rPr>
          <w:rFonts w:ascii="宋体" w:hAnsi="宋体"/>
          <w:szCs w:val="21"/>
        </w:rPr>
        <w:t xml:space="preserve">6.1.6 </w:t>
      </w:r>
      <w:r>
        <w:rPr>
          <w:rFonts w:hint="eastAsia" w:ascii="宋体" w:hAnsi="宋体"/>
          <w:szCs w:val="21"/>
        </w:rPr>
        <w:t>如开箱检验不在合同设备交付时进行，则合同设备交付以后到开箱检验之前，应由买方负责按交货时外包装原样对合同设备进行妥善保管。除</w:t>
      </w:r>
      <w:r>
        <w:rPr>
          <w:rFonts w:hint="eastAsia" w:ascii="宋体" w:hAnsi="宋体" w:eastAsia="黑体"/>
          <w:b/>
          <w:szCs w:val="21"/>
        </w:rPr>
        <w:t>专用合同条款</w:t>
      </w:r>
      <w:r>
        <w:rPr>
          <w:rFonts w:hint="eastAsia" w:ascii="宋体" w:hAnsi="宋体"/>
          <w:szCs w:val="21"/>
        </w:rPr>
        <w:t>另有约定外，在开箱检验时如果合同设备外包装与交货时一致，则开箱检验中发现的合同设备的短缺、损坏或其它与合同约定不符的情形，由卖方负责，卖方应补齐、更换及采取其他补救措施。如果在开箱检验时合同设备外包装不是交货时的包装或虽是交货时的包装但与交货时不一致且出现很可能导致合同设备短缺或损坏的包装破损，则开箱检验中发现合同设备短缺、损坏或其它与合同约定不符的情形的风险，由买方承担，但买方能够证明是由于卖方原因或合同设备交付前非买方原因</w:t>
      </w:r>
      <w:r>
        <w:rPr>
          <w:rFonts w:ascii="宋体" w:hAnsi="宋体"/>
          <w:szCs w:val="21"/>
        </w:rPr>
        <w:t xml:space="preserve"> </w:t>
      </w:r>
      <w:r>
        <w:rPr>
          <w:rFonts w:hint="eastAsia" w:ascii="宋体" w:hAnsi="宋体"/>
          <w:szCs w:val="21"/>
        </w:rPr>
        <w:t>导致的除外。</w:t>
      </w:r>
    </w:p>
    <w:p w14:paraId="26E728F9">
      <w:pPr>
        <w:tabs>
          <w:tab w:val="left" w:pos="1134"/>
        </w:tabs>
        <w:spacing w:line="360" w:lineRule="auto"/>
        <w:ind w:firstLine="420" w:firstLineChars="200"/>
        <w:rPr>
          <w:rFonts w:ascii="宋体" w:hAnsi="宋体"/>
          <w:szCs w:val="21"/>
        </w:rPr>
      </w:pPr>
      <w:r>
        <w:rPr>
          <w:rFonts w:ascii="宋体" w:hAnsi="宋体"/>
          <w:szCs w:val="21"/>
        </w:rPr>
        <w:t xml:space="preserve">6.1.7 </w:t>
      </w:r>
      <w:r>
        <w:rPr>
          <w:rFonts w:hint="eastAsia" w:ascii="宋体" w:hAnsi="宋体"/>
          <w:szCs w:val="21"/>
        </w:rPr>
        <w:t>如双方在</w:t>
      </w:r>
      <w:r>
        <w:rPr>
          <w:rFonts w:hint="eastAsia" w:ascii="宋体" w:hAnsi="宋体" w:eastAsia="黑体"/>
          <w:b/>
          <w:szCs w:val="21"/>
        </w:rPr>
        <w:t>专用合同条款</w:t>
      </w:r>
      <w:r>
        <w:rPr>
          <w:rFonts w:hint="eastAsia" w:ascii="宋体" w:hAnsi="宋体"/>
          <w:szCs w:val="21"/>
        </w:rPr>
        <w:t>和（或）供货要求等合同文件中约定由第三方检测机构对合同设备进行开箱检验或在开箱检验过程中另行约定由第三方检验的，则第三方检测机构的检验结果对双方均具有约束力。</w:t>
      </w:r>
    </w:p>
    <w:p w14:paraId="723F47FF">
      <w:pPr>
        <w:tabs>
          <w:tab w:val="left" w:pos="1134"/>
        </w:tabs>
        <w:spacing w:line="360" w:lineRule="auto"/>
        <w:ind w:firstLine="420" w:firstLineChars="200"/>
        <w:rPr>
          <w:rFonts w:ascii="宋体" w:hAnsi="宋体"/>
          <w:szCs w:val="21"/>
        </w:rPr>
      </w:pPr>
      <w:r>
        <w:rPr>
          <w:rFonts w:ascii="宋体" w:hAnsi="宋体"/>
          <w:szCs w:val="21"/>
        </w:rPr>
        <w:t xml:space="preserve">6.1.8 </w:t>
      </w:r>
      <w:r>
        <w:rPr>
          <w:rFonts w:hint="eastAsia" w:ascii="宋体" w:hAnsi="宋体"/>
          <w:szCs w:val="21"/>
        </w:rPr>
        <w:t>开箱检验的检验结果不能对抗在合同设备的安装、调试、考核、验收中及质量保证期内发现的合同设备质量问题，也不能免除或影响卖方依照合同约定对买方负有的包括合同设备质量在内的任何义务或责任。</w:t>
      </w:r>
    </w:p>
    <w:p w14:paraId="7B02C53D">
      <w:pPr>
        <w:tabs>
          <w:tab w:val="left" w:pos="1134"/>
        </w:tabs>
        <w:spacing w:line="360" w:lineRule="auto"/>
        <w:ind w:firstLine="420" w:firstLineChars="200"/>
        <w:rPr>
          <w:rFonts w:ascii="宋体" w:hAnsi="宋体"/>
          <w:szCs w:val="21"/>
        </w:rPr>
      </w:pPr>
      <w:r>
        <w:rPr>
          <w:rFonts w:ascii="宋体" w:hAnsi="宋体"/>
          <w:szCs w:val="21"/>
        </w:rPr>
        <w:t xml:space="preserve">6.2 </w:t>
      </w:r>
      <w:bookmarkStart w:id="669" w:name="_Hlk2545099"/>
      <w:r>
        <w:rPr>
          <w:rFonts w:hint="eastAsia" w:ascii="宋体" w:hAnsi="宋体"/>
          <w:szCs w:val="21"/>
        </w:rPr>
        <w:t>安装、调试</w:t>
      </w:r>
    </w:p>
    <w:p w14:paraId="745E75AF">
      <w:pPr>
        <w:tabs>
          <w:tab w:val="left" w:pos="1134"/>
        </w:tabs>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开箱检验完成后，双方应对合同设备进行安装、调试，以使其具备考核的状态。安装、调试应按照</w:t>
      </w:r>
      <w:r>
        <w:rPr>
          <w:rFonts w:hint="eastAsia" w:ascii="宋体" w:hAnsi="宋体" w:eastAsia="黑体"/>
          <w:b/>
          <w:szCs w:val="21"/>
        </w:rPr>
        <w:t>专用合同条款</w:t>
      </w:r>
      <w:r>
        <w:rPr>
          <w:rFonts w:hint="eastAsia" w:ascii="宋体" w:hAnsi="宋体"/>
          <w:szCs w:val="21"/>
        </w:rPr>
        <w:t>约定的下列任一种方式进行：</w:t>
      </w:r>
    </w:p>
    <w:p w14:paraId="4407BF7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7824248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）买方或买方安排第三方负责合同设备的安装、调试工作，卖方提供技术服务。除</w:t>
      </w:r>
      <w:r>
        <w:rPr>
          <w:rFonts w:hint="eastAsia" w:ascii="宋体" w:hAnsi="宋体" w:eastAsia="黑体"/>
          <w:b/>
          <w:szCs w:val="21"/>
        </w:rPr>
        <w:t>专用合同条款</w:t>
      </w:r>
      <w:r>
        <w:rPr>
          <w:rFonts w:hint="eastAsia" w:ascii="宋体" w:hAnsi="宋体"/>
          <w:szCs w:val="21"/>
        </w:rPr>
        <w:t>另有约定外，在安装、调试过程中，如由于买方或买方安排的第三方未按照卖方现场服务人员的指导导致安装、调试不成功和（或）出现合同设备损坏，买方应自行承担责任。如在买方或买方安排的第三方按照卖方现场服务人员的指导进行安装、调试的情况下出现安装、调试不成功和（或）造成合同设备损坏的情况，卖方应承担责任。</w:t>
      </w:r>
    </w:p>
    <w:bookmarkEnd w:id="669"/>
    <w:p w14:paraId="55A44D70">
      <w:pPr>
        <w:tabs>
          <w:tab w:val="left" w:pos="1134"/>
        </w:tabs>
        <w:spacing w:line="360" w:lineRule="auto"/>
        <w:ind w:firstLine="420" w:firstLineChars="200"/>
        <w:rPr>
          <w:rFonts w:ascii="宋体" w:hAnsi="宋体"/>
          <w:szCs w:val="21"/>
        </w:rPr>
      </w:pPr>
      <w:r>
        <w:rPr>
          <w:rFonts w:ascii="宋体" w:hAnsi="宋体"/>
          <w:szCs w:val="21"/>
        </w:rPr>
        <w:t xml:space="preserve">6.2.2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w:t>
      </w:r>
      <w:bookmarkStart w:id="670" w:name="_Hlk2545657"/>
      <w:r>
        <w:rPr>
          <w:rFonts w:hint="eastAsia" w:ascii="宋体" w:hAnsi="宋体"/>
          <w:szCs w:val="21"/>
        </w:rPr>
        <w:t>安装、调试中合同设备运行需要的用水、用电、其他动力和原材料（如需要）等均由买方承担</w:t>
      </w:r>
      <w:bookmarkEnd w:id="670"/>
      <w:r>
        <w:rPr>
          <w:rFonts w:hint="eastAsia" w:ascii="宋体" w:hAnsi="宋体"/>
          <w:szCs w:val="21"/>
        </w:rPr>
        <w:t>。</w:t>
      </w:r>
    </w:p>
    <w:p w14:paraId="7CE5BA05">
      <w:pPr>
        <w:tabs>
          <w:tab w:val="left" w:pos="1134"/>
        </w:tabs>
        <w:spacing w:line="360" w:lineRule="auto"/>
        <w:ind w:firstLine="420" w:firstLineChars="200"/>
        <w:rPr>
          <w:rFonts w:ascii="宋体" w:hAnsi="宋体"/>
          <w:szCs w:val="21"/>
        </w:rPr>
      </w:pPr>
      <w:r>
        <w:rPr>
          <w:rFonts w:ascii="宋体" w:hAnsi="宋体"/>
          <w:szCs w:val="21"/>
        </w:rPr>
        <w:t xml:space="preserve">6.2.3 </w:t>
      </w:r>
      <w:r>
        <w:rPr>
          <w:rFonts w:hint="eastAsia" w:ascii="宋体" w:hAnsi="宋体"/>
          <w:szCs w:val="21"/>
        </w:rPr>
        <w:t>双方应对合同设备的安装、调试情况共同及时进行记录。</w:t>
      </w:r>
    </w:p>
    <w:p w14:paraId="2AD311D4">
      <w:pPr>
        <w:tabs>
          <w:tab w:val="left" w:pos="1134"/>
        </w:tabs>
        <w:spacing w:line="360" w:lineRule="auto"/>
        <w:ind w:firstLine="420" w:firstLineChars="200"/>
        <w:rPr>
          <w:rFonts w:ascii="宋体" w:hAnsi="宋体"/>
          <w:szCs w:val="21"/>
        </w:rPr>
      </w:pPr>
      <w:r>
        <w:rPr>
          <w:rFonts w:ascii="宋体" w:hAnsi="宋体"/>
          <w:szCs w:val="21"/>
        </w:rPr>
        <w:t xml:space="preserve">6.3 </w:t>
      </w:r>
      <w:r>
        <w:rPr>
          <w:rFonts w:hint="eastAsia" w:ascii="宋体" w:hAnsi="宋体"/>
          <w:szCs w:val="21"/>
        </w:rPr>
        <w:t>考核</w:t>
      </w:r>
    </w:p>
    <w:p w14:paraId="74020DEC">
      <w:pPr>
        <w:tabs>
          <w:tab w:val="left" w:pos="1134"/>
        </w:tabs>
        <w:spacing w:line="360" w:lineRule="auto"/>
        <w:ind w:firstLine="420" w:firstLineChars="200"/>
        <w:rPr>
          <w:rFonts w:ascii="宋体" w:hAnsi="宋体"/>
          <w:szCs w:val="21"/>
        </w:rPr>
      </w:pPr>
      <w:r>
        <w:rPr>
          <w:rFonts w:ascii="宋体" w:hAnsi="宋体"/>
          <w:szCs w:val="21"/>
        </w:rPr>
        <w:t xml:space="preserve">6.3.1 </w:t>
      </w:r>
      <w:r>
        <w:rPr>
          <w:rFonts w:hint="eastAsia" w:ascii="宋体" w:hAnsi="宋体"/>
          <w:szCs w:val="21"/>
        </w:rPr>
        <w:t>安装、调试完成后，双方应对合同设备进行考核，以确定合同设备是否达到合同约定的技术性能考核指标。除</w:t>
      </w:r>
      <w:r>
        <w:rPr>
          <w:rFonts w:hint="eastAsia" w:ascii="宋体" w:hAnsi="宋体" w:eastAsia="黑体"/>
          <w:b/>
          <w:szCs w:val="21"/>
        </w:rPr>
        <w:t>专用合同条款</w:t>
      </w:r>
      <w:r>
        <w:rPr>
          <w:rFonts w:hint="eastAsia" w:ascii="宋体" w:hAnsi="宋体"/>
          <w:szCs w:val="21"/>
        </w:rPr>
        <w:t>另有约定外，考核中合同设备运行需要的用水、用电、其他动力和原材料（如需要）等均由买方承担。</w:t>
      </w:r>
    </w:p>
    <w:p w14:paraId="4F476E43">
      <w:pPr>
        <w:tabs>
          <w:tab w:val="left" w:pos="1134"/>
        </w:tabs>
        <w:spacing w:line="360" w:lineRule="auto"/>
        <w:ind w:firstLine="420" w:firstLineChars="200"/>
        <w:rPr>
          <w:rFonts w:ascii="宋体" w:hAnsi="宋体"/>
          <w:szCs w:val="21"/>
        </w:rPr>
      </w:pPr>
      <w:r>
        <w:rPr>
          <w:rFonts w:ascii="宋体" w:hAnsi="宋体"/>
          <w:szCs w:val="21"/>
        </w:rPr>
        <w:t xml:space="preserve">6.3.2 </w:t>
      </w:r>
      <w:r>
        <w:rPr>
          <w:rFonts w:hint="eastAsia" w:ascii="宋体" w:hAnsi="宋体"/>
          <w:szCs w:val="21"/>
        </w:rPr>
        <w:t>如由于卖方原因合同设备在考核中未能达到合同约定的技术性能考核指标，则卖方应在双方同意的期限内采取措施消除合同设备中存在的缺陷，并在缺陷消除以后，尽快进行再次考核。</w:t>
      </w:r>
    </w:p>
    <w:p w14:paraId="36893949">
      <w:pPr>
        <w:tabs>
          <w:tab w:val="left" w:pos="1134"/>
        </w:tabs>
        <w:spacing w:line="360" w:lineRule="auto"/>
        <w:ind w:firstLine="420" w:firstLineChars="200"/>
        <w:rPr>
          <w:rFonts w:ascii="宋体" w:hAnsi="宋体"/>
          <w:szCs w:val="21"/>
        </w:rPr>
      </w:pPr>
      <w:r>
        <w:rPr>
          <w:rFonts w:ascii="宋体" w:hAnsi="宋体"/>
          <w:szCs w:val="21"/>
        </w:rPr>
        <w:t xml:space="preserve">6.3.3 </w:t>
      </w:r>
      <w:r>
        <w:rPr>
          <w:rFonts w:hint="eastAsia" w:ascii="宋体" w:hAnsi="宋体"/>
          <w:szCs w:val="21"/>
        </w:rPr>
        <w:t>由于卖方原因未能达到技术性能考核指标时，为卖方进行考核的机会不超过三次。如果由于卖方原因，三次考核均未能达到合同约定的技术性能考核指标，则买卖双方应就合同的后续履行进行协商，协商不成的，买方有权解除合同。但如合同中约定了或双方在考核中另行达成了合同设备的最低技术性能考核指标，且合同设备达到了最低技术性能考核指标的，视为合同设备已达到技术性能考核指标，买方无权解除合同，且应接受合同设备，但卖方应按</w:t>
      </w:r>
      <w:r>
        <w:rPr>
          <w:rFonts w:hint="eastAsia" w:ascii="宋体" w:hAnsi="宋体" w:eastAsia="黑体"/>
          <w:b/>
          <w:szCs w:val="21"/>
        </w:rPr>
        <w:t>专用合同条款</w:t>
      </w:r>
      <w:r>
        <w:rPr>
          <w:rFonts w:hint="eastAsia" w:ascii="宋体" w:hAnsi="宋体"/>
          <w:szCs w:val="21"/>
        </w:rPr>
        <w:t>的约定进行减价或向买方支付补偿金。</w:t>
      </w:r>
    </w:p>
    <w:p w14:paraId="164269FE">
      <w:pPr>
        <w:tabs>
          <w:tab w:val="left" w:pos="1134"/>
        </w:tabs>
        <w:spacing w:line="360" w:lineRule="auto"/>
        <w:ind w:firstLine="420" w:firstLineChars="200"/>
        <w:rPr>
          <w:rFonts w:ascii="宋体" w:hAnsi="宋体"/>
          <w:szCs w:val="21"/>
        </w:rPr>
      </w:pPr>
      <w:r>
        <w:rPr>
          <w:rFonts w:ascii="宋体" w:hAnsi="宋体"/>
          <w:szCs w:val="21"/>
        </w:rPr>
        <w:t xml:space="preserve">6.3.4 </w:t>
      </w:r>
      <w:r>
        <w:rPr>
          <w:rFonts w:hint="eastAsia" w:ascii="宋体" w:hAnsi="宋体"/>
          <w:szCs w:val="21"/>
        </w:rPr>
        <w:t>如由于买方原因合同设备在考核中未能达到合同约定的技术性能考核指标，则卖方应协助买方安排再次考核。由于买方原因未能达到技术性能考核指标时，为买方进行考核的机会不超过三次。</w:t>
      </w:r>
    </w:p>
    <w:p w14:paraId="7E6028E3">
      <w:pPr>
        <w:tabs>
          <w:tab w:val="left" w:pos="1134"/>
        </w:tabs>
        <w:spacing w:line="360" w:lineRule="auto"/>
        <w:ind w:firstLine="420" w:firstLineChars="200"/>
        <w:rPr>
          <w:rFonts w:ascii="宋体" w:hAnsi="宋体"/>
          <w:szCs w:val="21"/>
        </w:rPr>
      </w:pPr>
      <w:r>
        <w:rPr>
          <w:rFonts w:ascii="宋体" w:hAnsi="宋体"/>
          <w:szCs w:val="21"/>
        </w:rPr>
        <w:t xml:space="preserve">6.3.5 </w:t>
      </w:r>
      <w:r>
        <w:rPr>
          <w:rFonts w:hint="eastAsia" w:ascii="宋体" w:hAnsi="宋体"/>
          <w:szCs w:val="21"/>
        </w:rPr>
        <w:t>考核期间，双方应及时共同记录合同设备的用水、用电、其他动力和原材料（如有）的使用及设备考核情况。对于未达到技术性能考核指标的，应如实记录设备表现、可能原因及处理情况等。</w:t>
      </w:r>
    </w:p>
    <w:p w14:paraId="7CBF152D">
      <w:pPr>
        <w:tabs>
          <w:tab w:val="left" w:pos="1134"/>
        </w:tabs>
        <w:spacing w:line="360" w:lineRule="auto"/>
        <w:ind w:firstLine="420" w:firstLineChars="200"/>
        <w:rPr>
          <w:rFonts w:ascii="宋体" w:hAnsi="宋体"/>
          <w:szCs w:val="21"/>
        </w:rPr>
      </w:pPr>
      <w:r>
        <w:rPr>
          <w:rFonts w:ascii="宋体" w:hAnsi="宋体"/>
          <w:szCs w:val="21"/>
        </w:rPr>
        <w:t xml:space="preserve">6.4 </w:t>
      </w:r>
      <w:r>
        <w:rPr>
          <w:rFonts w:hint="eastAsia" w:ascii="宋体" w:hAnsi="宋体"/>
          <w:szCs w:val="21"/>
        </w:rPr>
        <w:t>验收</w:t>
      </w:r>
    </w:p>
    <w:p w14:paraId="3358196B">
      <w:pPr>
        <w:tabs>
          <w:tab w:val="left" w:pos="1134"/>
        </w:tabs>
        <w:spacing w:line="360" w:lineRule="auto"/>
        <w:ind w:firstLine="420" w:firstLineChars="200"/>
        <w:rPr>
          <w:rFonts w:ascii="宋体" w:hAnsi="宋体"/>
          <w:szCs w:val="21"/>
        </w:rPr>
      </w:pPr>
      <w:r>
        <w:rPr>
          <w:rFonts w:ascii="宋体" w:hAnsi="宋体"/>
          <w:szCs w:val="21"/>
        </w:rPr>
        <w:t xml:space="preserve">6.4.1 </w:t>
      </w:r>
      <w:r>
        <w:rPr>
          <w:rFonts w:hint="eastAsia" w:ascii="宋体" w:hAnsi="宋体"/>
          <w:szCs w:val="21"/>
        </w:rPr>
        <w:t xml:space="preserve">如合同设备在考核中达到或视为达到技术性能考核指标，则买卖双方应在考核完成后 </w:t>
      </w:r>
      <w:r>
        <w:rPr>
          <w:rFonts w:ascii="宋体" w:hAnsi="宋体"/>
          <w:szCs w:val="21"/>
        </w:rPr>
        <w:t xml:space="preserve">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另行约定的时间内签署合同设备验收证书一式二份，双方各持一份。验收日期应为合同设备达到或视为达到技术性能考核指标的日期。</w:t>
      </w:r>
    </w:p>
    <w:p w14:paraId="32755D03">
      <w:pPr>
        <w:tabs>
          <w:tab w:val="left" w:pos="1134"/>
        </w:tabs>
        <w:spacing w:line="360" w:lineRule="auto"/>
        <w:ind w:firstLine="420" w:firstLineChars="200"/>
        <w:rPr>
          <w:rFonts w:ascii="宋体" w:hAnsi="宋体"/>
          <w:szCs w:val="21"/>
        </w:rPr>
      </w:pPr>
      <w:r>
        <w:rPr>
          <w:rFonts w:ascii="宋体" w:hAnsi="宋体"/>
          <w:szCs w:val="21"/>
        </w:rPr>
        <w:t xml:space="preserve">6.4.2 </w:t>
      </w:r>
      <w:r>
        <w:rPr>
          <w:rFonts w:hint="eastAsia" w:ascii="宋体" w:hAnsi="宋体"/>
          <w:szCs w:val="21"/>
        </w:rPr>
        <w:t>如由于买方原因合同设备在三次考核中均未能达到技术性能考核指标，买卖双方应在考核结束后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18F66DBF">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12 </w:t>
      </w:r>
      <w:r>
        <w:rPr>
          <w:rFonts w:hint="eastAsia" w:ascii="宋体" w:hAnsi="宋体"/>
          <w:szCs w:val="21"/>
        </w:rPr>
        <w:t>个月内应买方要求提供相关技术服务，协助买方采取一切必要措施使合同设备达到技术性能考核指标。买方应承担卖方因此产生的全部费用。</w:t>
      </w:r>
    </w:p>
    <w:p w14:paraId="0F23330C">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12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17D5927B">
      <w:pPr>
        <w:tabs>
          <w:tab w:val="left" w:pos="1134"/>
        </w:tabs>
        <w:spacing w:line="360" w:lineRule="auto"/>
        <w:ind w:firstLine="420" w:firstLineChars="200"/>
        <w:rPr>
          <w:rFonts w:ascii="宋体" w:hAnsi="宋体"/>
          <w:szCs w:val="21"/>
        </w:rPr>
      </w:pPr>
      <w:r>
        <w:rPr>
          <w:rFonts w:ascii="宋体" w:hAnsi="宋体"/>
          <w:szCs w:val="21"/>
        </w:rPr>
        <w:t xml:space="preserve">6.4.3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另有约定外，如由于买方原因在最后一批合同设备交货后</w:t>
      </w:r>
      <w:r>
        <w:rPr>
          <w:rFonts w:ascii="宋体" w:hAnsi="宋体"/>
          <w:szCs w:val="21"/>
        </w:rPr>
        <w:t xml:space="preserve"> 6 </w:t>
      </w:r>
      <w:r>
        <w:rPr>
          <w:rFonts w:hint="eastAsia" w:ascii="宋体" w:hAnsi="宋体"/>
          <w:szCs w:val="21"/>
        </w:rPr>
        <w:t>个月内未能开始考核，则买卖双方应在上述期限届满后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5229220E">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6 </w:t>
      </w:r>
      <w:r>
        <w:rPr>
          <w:rFonts w:hint="eastAsia" w:ascii="宋体" w:hAnsi="宋体"/>
          <w:szCs w:val="21"/>
        </w:rPr>
        <w:t>个月内应买方要求提供不超出合同范围的技术服务，协助买方采取一切必要措施使合同设备达到技术性能考核指标，且买方无需因此向卖方支付费用。</w:t>
      </w:r>
    </w:p>
    <w:p w14:paraId="040BE9D1">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6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1C679C5B">
      <w:pPr>
        <w:tabs>
          <w:tab w:val="left" w:pos="1134"/>
        </w:tabs>
        <w:spacing w:line="360" w:lineRule="auto"/>
        <w:ind w:firstLine="420" w:firstLineChars="200"/>
        <w:rPr>
          <w:rFonts w:ascii="宋体" w:hAnsi="宋体"/>
          <w:szCs w:val="21"/>
        </w:rPr>
      </w:pPr>
      <w:r>
        <w:rPr>
          <w:rFonts w:ascii="宋体" w:hAnsi="宋体"/>
          <w:szCs w:val="21"/>
        </w:rPr>
        <w:t xml:space="preserve">6.4.4 </w:t>
      </w:r>
      <w:r>
        <w:rPr>
          <w:rFonts w:hint="eastAsia" w:ascii="宋体" w:hAnsi="宋体"/>
          <w:szCs w:val="21"/>
        </w:rPr>
        <w:t>在第</w:t>
      </w:r>
      <w:r>
        <w:rPr>
          <w:rFonts w:ascii="宋体" w:hAnsi="宋体"/>
          <w:szCs w:val="21"/>
        </w:rPr>
        <w:t xml:space="preserve"> 6.4.2 </w:t>
      </w:r>
      <w:r>
        <w:rPr>
          <w:rFonts w:hint="eastAsia" w:ascii="宋体" w:hAnsi="宋体"/>
          <w:szCs w:val="21"/>
        </w:rPr>
        <w:t>项和第</w:t>
      </w:r>
      <w:r>
        <w:rPr>
          <w:rFonts w:ascii="宋体" w:hAnsi="宋体"/>
          <w:szCs w:val="21"/>
        </w:rPr>
        <w:t xml:space="preserve"> 6.4.3 </w:t>
      </w:r>
      <w:r>
        <w:rPr>
          <w:rFonts w:hint="eastAsia" w:ascii="宋体" w:hAnsi="宋体"/>
          <w:szCs w:val="21"/>
        </w:rPr>
        <w:t>项情形下，卖方也可单方签署验收款支付函提交买方，如果买方在收到卖方签署的验收款支付函后</w:t>
      </w:r>
      <w:r>
        <w:rPr>
          <w:rFonts w:ascii="宋体" w:hAnsi="宋体"/>
          <w:szCs w:val="21"/>
        </w:rPr>
        <w:t xml:space="preserve"> 14 </w:t>
      </w:r>
      <w:r>
        <w:rPr>
          <w:rFonts w:hint="eastAsia" w:ascii="宋体" w:hAnsi="宋体"/>
          <w:szCs w:val="21"/>
        </w:rPr>
        <w:t>日内未向卖方提出书面异议，则验收款支付函自签署之日起生效。</w:t>
      </w:r>
    </w:p>
    <w:p w14:paraId="09AEE783">
      <w:pPr>
        <w:tabs>
          <w:tab w:val="left" w:pos="1134"/>
        </w:tabs>
        <w:spacing w:line="360" w:lineRule="auto"/>
        <w:ind w:firstLine="420" w:firstLineChars="200"/>
        <w:rPr>
          <w:rFonts w:ascii="宋体" w:hAnsi="宋体"/>
          <w:szCs w:val="21"/>
        </w:rPr>
      </w:pPr>
      <w:r>
        <w:rPr>
          <w:rFonts w:ascii="宋体" w:hAnsi="宋体"/>
          <w:szCs w:val="21"/>
        </w:rPr>
        <w:t xml:space="preserve">6.4.5 </w:t>
      </w:r>
      <w:r>
        <w:rPr>
          <w:rFonts w:hint="eastAsia" w:ascii="宋体" w:hAnsi="宋体"/>
          <w:szCs w:val="21"/>
        </w:rPr>
        <w:t>合同设备验收证书的签署不能免除卖方在质量保证期内对合同设备应承担的保证责任。</w:t>
      </w:r>
    </w:p>
    <w:p w14:paraId="2A499C02">
      <w:pPr>
        <w:pStyle w:val="97"/>
        <w:keepNext w:val="0"/>
        <w:keepLines w:val="0"/>
        <w:tabs>
          <w:tab w:val="left" w:pos="567"/>
        </w:tabs>
        <w:spacing w:before="156" w:after="156"/>
        <w:rPr>
          <w:rFonts w:eastAsia="宋体" w:cs="Times New Roman"/>
          <w:b/>
          <w:bCs/>
          <w:sz w:val="32"/>
          <w:szCs w:val="32"/>
        </w:rPr>
      </w:pPr>
      <w:bookmarkStart w:id="671" w:name="_Toc9440"/>
      <w:bookmarkStart w:id="672" w:name="_Toc2881586"/>
      <w:bookmarkStart w:id="673" w:name="_Toc31630"/>
      <w:bookmarkStart w:id="674" w:name="_Toc21092"/>
      <w:bookmarkStart w:id="675" w:name="_Toc12705"/>
      <w:bookmarkStart w:id="676" w:name="_Toc24465"/>
      <w:bookmarkStart w:id="677" w:name="_Toc8799"/>
      <w:r>
        <w:rPr>
          <w:rFonts w:hint="eastAsia" w:eastAsia="宋体" w:cs="Times New Roman"/>
          <w:b/>
          <w:bCs/>
          <w:sz w:val="32"/>
          <w:szCs w:val="32"/>
        </w:rPr>
        <w:t>7.技术服务</w:t>
      </w:r>
      <w:bookmarkEnd w:id="671"/>
      <w:bookmarkEnd w:id="672"/>
      <w:bookmarkEnd w:id="673"/>
      <w:bookmarkEnd w:id="674"/>
      <w:bookmarkEnd w:id="675"/>
      <w:bookmarkEnd w:id="676"/>
      <w:bookmarkEnd w:id="677"/>
    </w:p>
    <w:p w14:paraId="0821B9C1">
      <w:pPr>
        <w:tabs>
          <w:tab w:val="left" w:pos="1134"/>
        </w:tabs>
        <w:spacing w:line="360" w:lineRule="auto"/>
        <w:ind w:firstLine="420" w:firstLineChars="200"/>
        <w:rPr>
          <w:rFonts w:ascii="宋体" w:hAnsi="宋体"/>
          <w:szCs w:val="21"/>
        </w:rPr>
      </w:pPr>
      <w:r>
        <w:rPr>
          <w:rFonts w:ascii="宋体" w:hAnsi="宋体"/>
          <w:szCs w:val="21"/>
        </w:rPr>
        <w:t xml:space="preserve">7.1 </w:t>
      </w:r>
      <w:r>
        <w:rPr>
          <w:rFonts w:hint="eastAsia" w:ascii="宋体" w:hAnsi="宋体"/>
          <w:szCs w:val="21"/>
        </w:rPr>
        <w:t>卖方应派遣技术熟练、称职的技术人员到施工场地为买方提供技术服务。卖方的技术服务应符合合同的约定。</w:t>
      </w:r>
    </w:p>
    <w:p w14:paraId="1850B26D">
      <w:pPr>
        <w:tabs>
          <w:tab w:val="left" w:pos="1134"/>
        </w:tabs>
        <w:spacing w:line="360" w:lineRule="auto"/>
        <w:ind w:firstLine="420" w:firstLineChars="200"/>
        <w:rPr>
          <w:rFonts w:ascii="宋体" w:hAnsi="宋体"/>
          <w:szCs w:val="21"/>
        </w:rPr>
      </w:pPr>
      <w:r>
        <w:rPr>
          <w:rFonts w:ascii="宋体" w:hAnsi="宋体"/>
          <w:szCs w:val="21"/>
        </w:rPr>
        <w:t xml:space="preserve">7.2 </w:t>
      </w:r>
      <w:r>
        <w:rPr>
          <w:rFonts w:hint="eastAsia" w:ascii="宋体" w:hAnsi="宋体"/>
          <w:szCs w:val="21"/>
        </w:rPr>
        <w:t>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w:t>
      </w:r>
    </w:p>
    <w:p w14:paraId="081E9649">
      <w:pPr>
        <w:tabs>
          <w:tab w:val="left" w:pos="1134"/>
        </w:tabs>
        <w:spacing w:line="360" w:lineRule="auto"/>
        <w:ind w:firstLine="420" w:firstLineChars="200"/>
        <w:rPr>
          <w:rFonts w:ascii="宋体" w:hAnsi="宋体"/>
          <w:szCs w:val="21"/>
        </w:rPr>
      </w:pPr>
      <w:r>
        <w:rPr>
          <w:rFonts w:ascii="宋体" w:hAnsi="宋体"/>
          <w:szCs w:val="21"/>
        </w:rPr>
        <w:t xml:space="preserve">7.3 </w:t>
      </w:r>
      <w:r>
        <w:rPr>
          <w:rFonts w:hint="eastAsia" w:ascii="宋体" w:hAnsi="宋体"/>
          <w:szCs w:val="21"/>
        </w:rPr>
        <w:t>卖方技术人员应遵守买方施工现场的各项规章制度和安全操作规程，并服从买方的现场管理。</w:t>
      </w:r>
    </w:p>
    <w:p w14:paraId="0C890A92">
      <w:pPr>
        <w:tabs>
          <w:tab w:val="left" w:pos="1134"/>
        </w:tabs>
        <w:spacing w:line="360" w:lineRule="auto"/>
        <w:ind w:firstLine="420" w:firstLineChars="200"/>
        <w:rPr>
          <w:rFonts w:ascii="宋体" w:hAnsi="宋体"/>
          <w:szCs w:val="21"/>
        </w:rPr>
      </w:pPr>
      <w:r>
        <w:rPr>
          <w:rFonts w:ascii="宋体" w:hAnsi="宋体"/>
          <w:szCs w:val="21"/>
        </w:rPr>
        <w:t xml:space="preserve">7.4 </w:t>
      </w:r>
      <w:r>
        <w:rPr>
          <w:rFonts w:hint="eastAsia" w:ascii="宋体" w:hAnsi="宋体"/>
          <w:szCs w:val="21"/>
        </w:rPr>
        <w:t>如果任何技术人员不合格，买方有权要求卖方撤换，因撤换而产生的费用应由卖方承担。在不影响技术服务并且征得买方同意的条件下，卖方也可自负费用更换其技术人员。</w:t>
      </w:r>
    </w:p>
    <w:p w14:paraId="35FC9928">
      <w:pPr>
        <w:pStyle w:val="97"/>
        <w:keepNext w:val="0"/>
        <w:keepLines w:val="0"/>
        <w:tabs>
          <w:tab w:val="left" w:pos="567"/>
        </w:tabs>
        <w:spacing w:before="156" w:after="156"/>
        <w:rPr>
          <w:rFonts w:eastAsia="宋体" w:cs="Times New Roman"/>
          <w:b/>
          <w:bCs/>
          <w:sz w:val="32"/>
          <w:szCs w:val="32"/>
          <w:highlight w:val="none"/>
        </w:rPr>
      </w:pPr>
      <w:bookmarkStart w:id="678" w:name="_Toc22441"/>
      <w:bookmarkStart w:id="679" w:name="_Toc27126"/>
      <w:bookmarkStart w:id="680" w:name="_Toc7944"/>
      <w:bookmarkStart w:id="681" w:name="_Toc16938"/>
      <w:bookmarkStart w:id="682" w:name="_Toc22376"/>
      <w:bookmarkStart w:id="683" w:name="_Toc7127"/>
      <w:bookmarkStart w:id="684" w:name="_Toc2881587"/>
      <w:r>
        <w:rPr>
          <w:rFonts w:hint="eastAsia" w:eastAsia="宋体" w:cs="Times New Roman"/>
          <w:b/>
          <w:bCs/>
          <w:sz w:val="32"/>
          <w:szCs w:val="32"/>
          <w:highlight w:val="none"/>
        </w:rPr>
        <w:t>8.质量保证期</w:t>
      </w:r>
      <w:bookmarkEnd w:id="678"/>
      <w:bookmarkEnd w:id="679"/>
      <w:bookmarkEnd w:id="680"/>
      <w:bookmarkEnd w:id="681"/>
      <w:bookmarkEnd w:id="682"/>
      <w:bookmarkEnd w:id="683"/>
      <w:bookmarkEnd w:id="684"/>
    </w:p>
    <w:p w14:paraId="10566EB8">
      <w:pPr>
        <w:tabs>
          <w:tab w:val="left" w:pos="1134"/>
        </w:tabs>
        <w:spacing w:line="360" w:lineRule="auto"/>
        <w:ind w:firstLine="420" w:firstLineChars="200"/>
        <w:rPr>
          <w:rFonts w:ascii="宋体" w:hAnsi="宋体"/>
          <w:szCs w:val="21"/>
        </w:rPr>
      </w:pPr>
      <w:r>
        <w:rPr>
          <w:rFonts w:ascii="宋体" w:hAnsi="宋体"/>
          <w:szCs w:val="21"/>
        </w:rPr>
        <w:t xml:space="preserve">8.1 </w:t>
      </w:r>
      <w:r>
        <w:rPr>
          <w:rFonts w:hint="eastAsia" w:ascii="宋体" w:hAnsi="宋体"/>
          <w:szCs w:val="21"/>
        </w:rPr>
        <w:t>除</w:t>
      </w:r>
      <w:r>
        <w:rPr>
          <w:rFonts w:hint="eastAsia" w:ascii="宋体" w:hAnsi="宋体" w:eastAsia="黑体"/>
          <w:b/>
          <w:szCs w:val="21"/>
        </w:rPr>
        <w:t>专</w:t>
      </w:r>
      <w:r>
        <w:rPr>
          <w:rFonts w:hint="eastAsia" w:ascii="宋体" w:hAnsi="宋体" w:eastAsia="黑体"/>
          <w:b/>
          <w:szCs w:val="21"/>
          <w:highlight w:val="none"/>
        </w:rPr>
        <w:t>用合同条款</w:t>
      </w:r>
      <w:r>
        <w:rPr>
          <w:rFonts w:hint="eastAsia" w:ascii="宋体" w:hAnsi="宋体"/>
          <w:szCs w:val="21"/>
          <w:highlight w:val="none"/>
        </w:rPr>
        <w:t>和（或）供货要求等合同文件另有约定外，合同设备整体质量保证期为验收之日起</w:t>
      </w:r>
      <w:r>
        <w:rPr>
          <w:rFonts w:ascii="宋体" w:hAnsi="宋体"/>
          <w:szCs w:val="21"/>
          <w:highlight w:val="none"/>
        </w:rPr>
        <w:t xml:space="preserve"> </w:t>
      </w:r>
      <w:r>
        <w:rPr>
          <w:rFonts w:ascii="宋体" w:hAnsi="宋体"/>
          <w:color w:val="C00000"/>
          <w:szCs w:val="21"/>
          <w:highlight w:val="none"/>
        </w:rPr>
        <w:t xml:space="preserve">12 </w:t>
      </w:r>
      <w:r>
        <w:rPr>
          <w:rFonts w:hint="eastAsia" w:ascii="宋体" w:hAnsi="宋体"/>
          <w:szCs w:val="21"/>
          <w:highlight w:val="none"/>
        </w:rPr>
        <w:t>个月。如对合同设备中关键部件的质量保证期有特殊要求的，买卖双方可在</w:t>
      </w:r>
      <w:r>
        <w:rPr>
          <w:rFonts w:hint="eastAsia" w:ascii="宋体" w:hAnsi="宋体" w:eastAsia="黑体"/>
          <w:b/>
          <w:szCs w:val="21"/>
          <w:highlight w:val="none"/>
        </w:rPr>
        <w:t>专用合同条款</w:t>
      </w:r>
      <w:r>
        <w:rPr>
          <w:rFonts w:hint="eastAsia" w:ascii="宋体" w:hAnsi="宋体"/>
          <w:szCs w:val="21"/>
          <w:highlight w:val="none"/>
        </w:rPr>
        <w:t>中约定。在合同第</w:t>
      </w:r>
      <w:r>
        <w:rPr>
          <w:rFonts w:ascii="宋体" w:hAnsi="宋体"/>
          <w:szCs w:val="21"/>
          <w:highlight w:val="none"/>
        </w:rPr>
        <w:t xml:space="preserve"> 6.4.2 </w:t>
      </w:r>
      <w:r>
        <w:rPr>
          <w:rFonts w:hint="eastAsia" w:ascii="宋体" w:hAnsi="宋体"/>
          <w:szCs w:val="21"/>
          <w:highlight w:val="none"/>
        </w:rPr>
        <w:t>项情形下，无论合同设备何时验收，其质量保证期最长为签署验收款支付函后</w:t>
      </w:r>
      <w:r>
        <w:rPr>
          <w:rFonts w:ascii="宋体" w:hAnsi="宋体"/>
          <w:szCs w:val="21"/>
          <w:highlight w:val="none"/>
        </w:rPr>
        <w:t xml:space="preserve"> 12</w:t>
      </w:r>
      <w:r>
        <w:rPr>
          <w:rFonts w:ascii="宋体" w:hAnsi="宋体"/>
          <w:szCs w:val="21"/>
        </w:rPr>
        <w:t xml:space="preserve"> </w:t>
      </w:r>
      <w:r>
        <w:rPr>
          <w:rFonts w:hint="eastAsia" w:ascii="宋体" w:hAnsi="宋体"/>
          <w:szCs w:val="21"/>
        </w:rPr>
        <w:t>个月。在合同第</w:t>
      </w:r>
      <w:r>
        <w:rPr>
          <w:rFonts w:ascii="宋体" w:hAnsi="宋体"/>
          <w:szCs w:val="21"/>
        </w:rPr>
        <w:t xml:space="preserve"> 6.4.3 </w:t>
      </w:r>
      <w:r>
        <w:rPr>
          <w:rFonts w:hint="eastAsia" w:ascii="宋体" w:hAnsi="宋体"/>
          <w:szCs w:val="21"/>
        </w:rPr>
        <w:t>项情形下，无论合同设备何时验收，其质量保证期最长为签署验收款支付函后</w:t>
      </w:r>
      <w:r>
        <w:rPr>
          <w:rFonts w:ascii="宋体" w:hAnsi="宋体"/>
          <w:szCs w:val="21"/>
        </w:rPr>
        <w:t xml:space="preserve"> 6 </w:t>
      </w:r>
      <w:r>
        <w:rPr>
          <w:rFonts w:hint="eastAsia" w:ascii="宋体" w:hAnsi="宋体"/>
          <w:szCs w:val="21"/>
        </w:rPr>
        <w:t>个月。</w:t>
      </w:r>
    </w:p>
    <w:p w14:paraId="6322EB14">
      <w:pPr>
        <w:tabs>
          <w:tab w:val="left" w:pos="1134"/>
        </w:tabs>
        <w:spacing w:line="360" w:lineRule="auto"/>
        <w:ind w:firstLine="420" w:firstLineChars="200"/>
        <w:rPr>
          <w:rFonts w:ascii="宋体" w:hAnsi="宋体"/>
          <w:szCs w:val="21"/>
        </w:rPr>
      </w:pPr>
      <w:r>
        <w:rPr>
          <w:rFonts w:ascii="宋体" w:hAnsi="宋体"/>
          <w:szCs w:val="21"/>
        </w:rPr>
        <w:t xml:space="preserve">8.2 </w:t>
      </w:r>
      <w:r>
        <w:rPr>
          <w:rFonts w:hint="eastAsia" w:ascii="宋体" w:hAnsi="宋体"/>
          <w:szCs w:val="21"/>
        </w:rPr>
        <w:t>在质量保证期内如果合同设备出现故障，卖方应自负费用提供</w:t>
      </w:r>
      <w:r>
        <w:rPr>
          <w:rFonts w:hint="eastAsia" w:ascii="宋体" w:hAnsi="宋体"/>
          <w:szCs w:val="21"/>
          <w:lang w:eastAsia="zh-CN"/>
        </w:rPr>
        <w:t>质量保证期</w:t>
      </w:r>
      <w:r>
        <w:rPr>
          <w:rFonts w:hint="eastAsia" w:ascii="宋体" w:hAnsi="宋体"/>
          <w:szCs w:val="21"/>
        </w:rPr>
        <w:t>服务，对相关合同设备进行修理或更换以消除故障。更换的合同设备和（或）关键部件的质量保证期应重新计算。但如果合同设备的故障是由于买方原因造成的，则对合同设备进行修理和更换的费用应由买方承担。</w:t>
      </w:r>
    </w:p>
    <w:p w14:paraId="21EEB50F">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质量保证期届满后，买方应在</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另行约定的时间内向卖方出具合同设备的质量保证期届满证书。</w:t>
      </w:r>
    </w:p>
    <w:p w14:paraId="0C43A179">
      <w:pPr>
        <w:tabs>
          <w:tab w:val="left" w:pos="1134"/>
        </w:tabs>
        <w:spacing w:line="360" w:lineRule="auto"/>
        <w:ind w:firstLine="420" w:firstLineChars="200"/>
        <w:rPr>
          <w:rFonts w:ascii="宋体" w:hAnsi="宋体"/>
          <w:szCs w:val="21"/>
        </w:rPr>
      </w:pPr>
      <w:r>
        <w:rPr>
          <w:rFonts w:ascii="宋体" w:hAnsi="宋体"/>
          <w:szCs w:val="21"/>
        </w:rPr>
        <w:t xml:space="preserve">8.4 </w:t>
      </w:r>
      <w:r>
        <w:rPr>
          <w:rFonts w:hint="eastAsia" w:ascii="宋体" w:hAnsi="宋体"/>
          <w:szCs w:val="21"/>
        </w:rPr>
        <w:t>在合同第</w:t>
      </w:r>
      <w:r>
        <w:rPr>
          <w:rFonts w:ascii="宋体" w:hAnsi="宋体"/>
          <w:szCs w:val="21"/>
        </w:rPr>
        <w:t xml:space="preserve"> 6.4.2 </w:t>
      </w:r>
      <w:r>
        <w:rPr>
          <w:rFonts w:hint="eastAsia" w:ascii="宋体" w:hAnsi="宋体"/>
          <w:szCs w:val="21"/>
        </w:rPr>
        <w:t>项情形下，如在验收款支付函签署后</w:t>
      </w:r>
      <w:r>
        <w:rPr>
          <w:rFonts w:ascii="宋体" w:hAnsi="宋体"/>
          <w:szCs w:val="21"/>
        </w:rPr>
        <w:t xml:space="preserve"> 12 </w:t>
      </w:r>
      <w:r>
        <w:rPr>
          <w:rFonts w:hint="eastAsia" w:ascii="宋体" w:hAnsi="宋体"/>
          <w:szCs w:val="21"/>
        </w:rPr>
        <w:t>个月内由于买方原因合同设备仍未能达到技术性能考核指标，则买卖双方应在该</w:t>
      </w:r>
      <w:r>
        <w:rPr>
          <w:rFonts w:ascii="宋体" w:hAnsi="宋体"/>
          <w:szCs w:val="21"/>
        </w:rPr>
        <w:t xml:space="preserve"> 12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744E47FA">
      <w:pPr>
        <w:tabs>
          <w:tab w:val="left" w:pos="1134"/>
        </w:tabs>
        <w:spacing w:line="360" w:lineRule="auto"/>
        <w:ind w:firstLine="420" w:firstLineChars="200"/>
        <w:rPr>
          <w:rFonts w:ascii="宋体" w:hAnsi="宋体"/>
          <w:szCs w:val="21"/>
        </w:rPr>
      </w:pPr>
      <w:r>
        <w:rPr>
          <w:rFonts w:ascii="宋体" w:hAnsi="宋体"/>
          <w:szCs w:val="21"/>
        </w:rPr>
        <w:t xml:space="preserve">8.5 </w:t>
      </w:r>
      <w:r>
        <w:rPr>
          <w:rFonts w:hint="eastAsia" w:ascii="宋体" w:hAnsi="宋体"/>
          <w:szCs w:val="21"/>
        </w:rPr>
        <w:t>在合同第</w:t>
      </w:r>
      <w:r>
        <w:rPr>
          <w:rFonts w:ascii="宋体" w:hAnsi="宋体"/>
          <w:szCs w:val="21"/>
        </w:rPr>
        <w:t xml:space="preserve"> 6.4.3 </w:t>
      </w:r>
      <w:r>
        <w:rPr>
          <w:rFonts w:hint="eastAsia" w:ascii="宋体" w:hAnsi="宋体"/>
          <w:szCs w:val="21"/>
        </w:rPr>
        <w:t>项情形下，如在验收款支付函签署后</w:t>
      </w:r>
      <w:r>
        <w:rPr>
          <w:rFonts w:ascii="宋体" w:hAnsi="宋体"/>
          <w:szCs w:val="21"/>
        </w:rPr>
        <w:t xml:space="preserve"> 6 </w:t>
      </w:r>
      <w:r>
        <w:rPr>
          <w:rFonts w:hint="eastAsia" w:ascii="宋体" w:hAnsi="宋体"/>
          <w:szCs w:val="21"/>
        </w:rPr>
        <w:t>个月内由于买方原因合同设备仍未进行考核或仍未达到技术性能考核指标，则买卖双方应在该</w:t>
      </w:r>
      <w:r>
        <w:rPr>
          <w:rFonts w:ascii="宋体" w:hAnsi="宋体"/>
          <w:szCs w:val="21"/>
        </w:rPr>
        <w:t xml:space="preserve"> 6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5B395106">
      <w:pPr>
        <w:tabs>
          <w:tab w:val="left" w:pos="1134"/>
        </w:tabs>
        <w:spacing w:line="360" w:lineRule="auto"/>
        <w:ind w:firstLine="420" w:firstLineChars="200"/>
        <w:rPr>
          <w:rFonts w:ascii="宋体" w:hAnsi="宋体"/>
          <w:szCs w:val="21"/>
        </w:rPr>
      </w:pPr>
      <w:r>
        <w:rPr>
          <w:rFonts w:ascii="宋体" w:hAnsi="宋体"/>
          <w:szCs w:val="21"/>
        </w:rPr>
        <w:t xml:space="preserve">8.6 </w:t>
      </w:r>
      <w:r>
        <w:rPr>
          <w:rFonts w:hint="eastAsia" w:ascii="宋体" w:hAnsi="宋体"/>
          <w:szCs w:val="21"/>
        </w:rPr>
        <w:t>在第</w:t>
      </w:r>
      <w:r>
        <w:rPr>
          <w:rFonts w:ascii="宋体" w:hAnsi="宋体"/>
          <w:szCs w:val="21"/>
        </w:rPr>
        <w:t xml:space="preserve"> 8.4 </w:t>
      </w:r>
      <w:r>
        <w:rPr>
          <w:rFonts w:hint="eastAsia" w:ascii="宋体" w:hAnsi="宋体"/>
          <w:szCs w:val="21"/>
        </w:rPr>
        <w:t>款和第</w:t>
      </w:r>
      <w:r>
        <w:rPr>
          <w:rFonts w:ascii="宋体" w:hAnsi="宋体"/>
          <w:szCs w:val="21"/>
        </w:rPr>
        <w:t xml:space="preserve"> 8.5 </w:t>
      </w:r>
      <w:r>
        <w:rPr>
          <w:rFonts w:hint="eastAsia" w:ascii="宋体" w:hAnsi="宋体"/>
          <w:szCs w:val="21"/>
        </w:rPr>
        <w:t>款情形下，卖方也可单方签署结清款支付函提交买方，如果买方在收到卖方签署的结清款支付函后</w:t>
      </w:r>
      <w:r>
        <w:rPr>
          <w:rFonts w:ascii="宋体" w:hAnsi="宋体"/>
          <w:szCs w:val="21"/>
        </w:rPr>
        <w:t xml:space="preserve"> 14 </w:t>
      </w:r>
      <w:r>
        <w:rPr>
          <w:rFonts w:hint="eastAsia" w:ascii="宋体" w:hAnsi="宋体"/>
          <w:szCs w:val="21"/>
        </w:rPr>
        <w:t>日内未向卖方提出书面异议，则结清款支付函自签署之日起生效。</w:t>
      </w:r>
    </w:p>
    <w:p w14:paraId="23974C22">
      <w:pPr>
        <w:pStyle w:val="97"/>
        <w:keepNext w:val="0"/>
        <w:keepLines w:val="0"/>
        <w:tabs>
          <w:tab w:val="left" w:pos="567"/>
        </w:tabs>
        <w:spacing w:before="156" w:after="156"/>
        <w:rPr>
          <w:rFonts w:eastAsia="宋体" w:cs="Times New Roman"/>
          <w:b/>
          <w:bCs/>
          <w:sz w:val="32"/>
          <w:szCs w:val="32"/>
        </w:rPr>
      </w:pPr>
      <w:bookmarkStart w:id="685" w:name="_Toc30016"/>
      <w:bookmarkStart w:id="686" w:name="_Toc2881588"/>
      <w:bookmarkStart w:id="687" w:name="_Toc12830"/>
      <w:bookmarkStart w:id="688" w:name="_Toc10481"/>
      <w:bookmarkStart w:id="689" w:name="_Toc6690"/>
      <w:bookmarkStart w:id="690" w:name="_Toc31541"/>
      <w:bookmarkStart w:id="691" w:name="_Toc1552"/>
      <w:r>
        <w:rPr>
          <w:rFonts w:hint="eastAsia" w:eastAsia="宋体" w:cs="Times New Roman"/>
          <w:b/>
          <w:bCs/>
          <w:sz w:val="32"/>
          <w:szCs w:val="32"/>
        </w:rPr>
        <w:t>9.</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685"/>
      <w:bookmarkEnd w:id="686"/>
      <w:bookmarkEnd w:id="687"/>
      <w:bookmarkEnd w:id="688"/>
      <w:bookmarkEnd w:id="689"/>
      <w:bookmarkEnd w:id="690"/>
      <w:bookmarkEnd w:id="691"/>
    </w:p>
    <w:p w14:paraId="02A53876">
      <w:pPr>
        <w:tabs>
          <w:tab w:val="left" w:pos="1134"/>
        </w:tabs>
        <w:spacing w:line="360" w:lineRule="auto"/>
        <w:ind w:firstLine="420" w:firstLineChars="200"/>
        <w:rPr>
          <w:rFonts w:ascii="宋体" w:hAnsi="宋体"/>
          <w:szCs w:val="21"/>
        </w:rPr>
      </w:pPr>
      <w:r>
        <w:rPr>
          <w:rFonts w:ascii="宋体" w:hAnsi="宋体"/>
          <w:szCs w:val="21"/>
        </w:rPr>
        <w:t xml:space="preserve">9.1 </w:t>
      </w:r>
      <w:r>
        <w:rPr>
          <w:rFonts w:hint="eastAsia" w:ascii="宋体" w:hAnsi="宋体"/>
          <w:szCs w:val="21"/>
        </w:rPr>
        <w:t>卖方应为</w:t>
      </w:r>
      <w:r>
        <w:rPr>
          <w:rFonts w:hint="eastAsia" w:ascii="宋体" w:hAnsi="宋体"/>
          <w:szCs w:val="21"/>
          <w:lang w:eastAsia="zh-CN"/>
        </w:rPr>
        <w:t>质量保证期</w:t>
      </w:r>
      <w:r>
        <w:rPr>
          <w:rFonts w:hint="eastAsia" w:ascii="宋体" w:hAnsi="宋体"/>
          <w:szCs w:val="21"/>
        </w:rPr>
        <w:t>服务配备充足的技术人员、工具和备件并保证提供的联系方式畅通。除</w:t>
      </w:r>
      <w:r>
        <w:rPr>
          <w:rFonts w:hint="eastAsia" w:ascii="宋体" w:hAnsi="宋体" w:eastAsia="黑体"/>
          <w:b/>
          <w:szCs w:val="21"/>
        </w:rPr>
        <w:t>专用合同条款</w:t>
      </w:r>
      <w:r>
        <w:rPr>
          <w:rFonts w:hint="eastAsia" w:ascii="宋体" w:hAnsi="宋体"/>
          <w:szCs w:val="21"/>
        </w:rPr>
        <w:t>和（或）供货要求等合同文件另有约定外，卖方应在收到买方通知后</w:t>
      </w:r>
      <w:r>
        <w:rPr>
          <w:rFonts w:ascii="宋体" w:hAnsi="宋体"/>
          <w:szCs w:val="21"/>
        </w:rPr>
        <w:t xml:space="preserve"> 24 </w:t>
      </w:r>
      <w:r>
        <w:rPr>
          <w:rFonts w:hint="eastAsia" w:ascii="宋体" w:hAnsi="宋体"/>
          <w:szCs w:val="21"/>
        </w:rPr>
        <w:t>小时内做出响应，如需卖方到合同设备现场，卖方应在收到买方通知后</w:t>
      </w:r>
      <w:r>
        <w:rPr>
          <w:rFonts w:ascii="宋体" w:hAnsi="宋体"/>
          <w:szCs w:val="21"/>
        </w:rPr>
        <w:t xml:space="preserve"> 48 </w:t>
      </w:r>
      <w:r>
        <w:rPr>
          <w:rFonts w:hint="eastAsia" w:ascii="宋体" w:hAnsi="宋体"/>
          <w:szCs w:val="21"/>
        </w:rPr>
        <w:t>小时内到达，并在到达后</w:t>
      </w:r>
      <w:r>
        <w:rPr>
          <w:rFonts w:ascii="宋体" w:hAnsi="宋体"/>
          <w:szCs w:val="21"/>
        </w:rPr>
        <w:t xml:space="preserve"> 7 </w:t>
      </w:r>
      <w:r>
        <w:rPr>
          <w:rFonts w:hint="eastAsia" w:ascii="宋体" w:hAnsi="宋体"/>
          <w:szCs w:val="21"/>
        </w:rPr>
        <w:t>日内解决合同设备的故障（重大故障除外）。如果卖方未在上述时间内作出响应，则买方有权自行或委托他人解决相关问题或查找和解决合同设备的故障，卖方应承担由此发生的全部费用。</w:t>
      </w:r>
    </w:p>
    <w:p w14:paraId="0482CB21">
      <w:pPr>
        <w:tabs>
          <w:tab w:val="left" w:pos="1134"/>
        </w:tabs>
        <w:spacing w:line="360" w:lineRule="auto"/>
        <w:ind w:firstLine="420" w:firstLineChars="200"/>
        <w:rPr>
          <w:rFonts w:ascii="宋体" w:hAnsi="宋体"/>
          <w:szCs w:val="21"/>
        </w:rPr>
      </w:pPr>
      <w:r>
        <w:rPr>
          <w:rFonts w:ascii="宋体" w:hAnsi="宋体"/>
          <w:szCs w:val="21"/>
        </w:rPr>
        <w:t xml:space="preserve">9.2 </w:t>
      </w:r>
      <w:r>
        <w:rPr>
          <w:rFonts w:hint="eastAsia" w:ascii="宋体" w:hAnsi="宋体"/>
          <w:szCs w:val="21"/>
        </w:rPr>
        <w:t>如卖方技术人员需到合同设备现场进行</w:t>
      </w:r>
      <w:r>
        <w:rPr>
          <w:rFonts w:hint="eastAsia" w:ascii="宋体" w:hAnsi="宋体"/>
          <w:szCs w:val="21"/>
          <w:lang w:eastAsia="zh-CN"/>
        </w:rPr>
        <w:t>质量保证期</w:t>
      </w:r>
      <w:r>
        <w:rPr>
          <w:rFonts w:hint="eastAsia" w:ascii="宋体" w:hAnsi="宋体"/>
          <w:szCs w:val="21"/>
        </w:rPr>
        <w:t>服务，则买方应免费为卖方技术人员提供工作条件及便利，包括但不限于必要的办公场所、技术资料及出入许可等。除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另有约定外，卖方技术人员的交通、食宿费用由卖方承担。卖方技术人员应遵守买方施工现场的各项规章制度和安全操作规程，并服从买方的现场管理。</w:t>
      </w:r>
    </w:p>
    <w:p w14:paraId="7E27EF1B">
      <w:pPr>
        <w:tabs>
          <w:tab w:val="left" w:pos="1134"/>
        </w:tabs>
        <w:spacing w:line="360" w:lineRule="auto"/>
        <w:ind w:firstLine="420" w:firstLineChars="200"/>
        <w:rPr>
          <w:rFonts w:ascii="宋体" w:hAnsi="宋体"/>
          <w:szCs w:val="21"/>
        </w:rPr>
      </w:pPr>
      <w:r>
        <w:rPr>
          <w:rFonts w:ascii="宋体" w:hAnsi="宋体"/>
          <w:szCs w:val="21"/>
        </w:rPr>
        <w:t xml:space="preserve">9.3 </w:t>
      </w:r>
      <w:r>
        <w:rPr>
          <w:rFonts w:hint="eastAsia" w:ascii="宋体" w:hAnsi="宋体"/>
          <w:szCs w:val="21"/>
        </w:rPr>
        <w:t>如果任何技术人员不合格，买方有权要求卖方撤换，因撤换而产生的费用应由卖方承担。在不影响</w:t>
      </w:r>
      <w:r>
        <w:rPr>
          <w:rFonts w:hint="eastAsia" w:ascii="宋体" w:hAnsi="宋体"/>
          <w:szCs w:val="21"/>
          <w:lang w:eastAsia="zh-CN"/>
        </w:rPr>
        <w:t>质量保证期</w:t>
      </w:r>
      <w:r>
        <w:rPr>
          <w:rFonts w:hint="eastAsia" w:ascii="宋体" w:hAnsi="宋体"/>
          <w:szCs w:val="21"/>
        </w:rPr>
        <w:t>服务并且征得买方同意的条件下，卖方也可自负费用更换其技术人员。</w:t>
      </w:r>
    </w:p>
    <w:p w14:paraId="2E94CD7D">
      <w:pPr>
        <w:tabs>
          <w:tab w:val="left" w:pos="1134"/>
        </w:tabs>
        <w:spacing w:line="360" w:lineRule="auto"/>
        <w:ind w:firstLine="420" w:firstLineChars="200"/>
        <w:rPr>
          <w:rFonts w:ascii="宋体" w:hAnsi="宋体"/>
          <w:szCs w:val="21"/>
        </w:rPr>
      </w:pPr>
      <w:r>
        <w:rPr>
          <w:rFonts w:ascii="宋体" w:hAnsi="宋体"/>
          <w:szCs w:val="21"/>
        </w:rPr>
        <w:t xml:space="preserve">9.4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另有约定外，卖方应就在施工现场进行</w:t>
      </w:r>
      <w:r>
        <w:rPr>
          <w:rFonts w:hint="eastAsia" w:ascii="宋体" w:hAnsi="宋体"/>
          <w:szCs w:val="21"/>
          <w:lang w:eastAsia="zh-CN"/>
        </w:rPr>
        <w:t>质量保证期</w:t>
      </w:r>
      <w:r>
        <w:rPr>
          <w:rFonts w:hint="eastAsia" w:ascii="宋体" w:hAnsi="宋体"/>
          <w:szCs w:val="21"/>
        </w:rPr>
        <w:t>服务的情况进行记录，记载合同设备故障发生的时间、原因及解决情况等，由买方签字确认，并在质量保证期结束后提交给买方。</w:t>
      </w:r>
    </w:p>
    <w:p w14:paraId="5C38001D">
      <w:pPr>
        <w:pStyle w:val="97"/>
        <w:keepNext w:val="0"/>
        <w:keepLines w:val="0"/>
        <w:tabs>
          <w:tab w:val="left" w:pos="567"/>
        </w:tabs>
        <w:spacing w:before="156" w:after="156"/>
        <w:rPr>
          <w:rFonts w:eastAsia="宋体" w:cs="Times New Roman"/>
          <w:b/>
          <w:bCs/>
          <w:sz w:val="32"/>
          <w:szCs w:val="32"/>
        </w:rPr>
      </w:pPr>
      <w:bookmarkStart w:id="692" w:name="_Toc29560"/>
      <w:bookmarkStart w:id="693" w:name="_Toc27268"/>
      <w:bookmarkStart w:id="694" w:name="_Toc17161"/>
      <w:bookmarkStart w:id="695" w:name="_Toc27556"/>
      <w:bookmarkStart w:id="696" w:name="_Toc15312"/>
      <w:bookmarkStart w:id="697" w:name="_Toc2881589"/>
      <w:bookmarkStart w:id="698" w:name="_Toc29670"/>
      <w:r>
        <w:rPr>
          <w:rFonts w:hint="eastAsia" w:eastAsia="宋体" w:cs="Times New Roman"/>
          <w:b/>
          <w:bCs/>
          <w:sz w:val="32"/>
          <w:szCs w:val="32"/>
        </w:rPr>
        <w:t>10.履约保证金</w:t>
      </w:r>
      <w:bookmarkEnd w:id="692"/>
      <w:bookmarkEnd w:id="693"/>
      <w:bookmarkEnd w:id="694"/>
      <w:bookmarkEnd w:id="695"/>
      <w:bookmarkEnd w:id="696"/>
      <w:bookmarkEnd w:id="697"/>
      <w:bookmarkEnd w:id="698"/>
    </w:p>
    <w:p w14:paraId="201B708E">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另有约定外，履约保证金自合同生效之日起生效，在合同设备验收证书或验收款支付函签署之日起</w:t>
      </w:r>
      <w:r>
        <w:rPr>
          <w:rFonts w:ascii="宋体" w:hAnsi="宋体"/>
          <w:szCs w:val="21"/>
        </w:rPr>
        <w:t xml:space="preserve"> 28 </w:t>
      </w:r>
      <w:r>
        <w:rPr>
          <w:rFonts w:hint="eastAsia" w:ascii="宋体" w:hAnsi="宋体"/>
          <w:szCs w:val="21"/>
        </w:rPr>
        <w:t>日后失效。如果卖方不履行合同约定的义务或其履行不符合合同的约定，买方有权扣划相应金额的履约保证金。</w:t>
      </w:r>
    </w:p>
    <w:p w14:paraId="08CCD50D">
      <w:pPr>
        <w:pStyle w:val="97"/>
        <w:keepNext w:val="0"/>
        <w:keepLines w:val="0"/>
        <w:tabs>
          <w:tab w:val="left" w:pos="567"/>
        </w:tabs>
        <w:spacing w:before="156" w:after="156"/>
        <w:rPr>
          <w:rFonts w:eastAsia="宋体" w:cs="Times New Roman"/>
          <w:b/>
          <w:bCs/>
          <w:sz w:val="32"/>
          <w:szCs w:val="32"/>
        </w:rPr>
      </w:pPr>
      <w:bookmarkStart w:id="699" w:name="_Toc32146"/>
      <w:bookmarkStart w:id="700" w:name="_Toc19263"/>
      <w:bookmarkStart w:id="701" w:name="_Toc12371"/>
      <w:bookmarkStart w:id="702" w:name="_Toc19274"/>
      <w:bookmarkStart w:id="703" w:name="_Toc31004"/>
      <w:bookmarkStart w:id="704" w:name="_Toc2881590"/>
      <w:bookmarkStart w:id="705" w:name="_Toc22817"/>
      <w:r>
        <w:rPr>
          <w:rFonts w:hint="eastAsia" w:eastAsia="宋体" w:cs="Times New Roman"/>
          <w:b/>
          <w:bCs/>
          <w:sz w:val="32"/>
          <w:szCs w:val="32"/>
        </w:rPr>
        <w:t>11.保证</w:t>
      </w:r>
      <w:bookmarkEnd w:id="699"/>
      <w:bookmarkEnd w:id="700"/>
      <w:bookmarkEnd w:id="701"/>
      <w:bookmarkEnd w:id="702"/>
      <w:bookmarkEnd w:id="703"/>
      <w:bookmarkEnd w:id="704"/>
      <w:bookmarkEnd w:id="705"/>
    </w:p>
    <w:p w14:paraId="42BDF695">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卖方保证其具有完全的能力履行本合同项下的全部义务。</w:t>
      </w:r>
    </w:p>
    <w:p w14:paraId="55A0DC97">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卖方保证其所提供的合同设备及对合同的履行符合所有应适用的法律、行政法规、地方性法规、自治条例和单行条例、规章及其他规范性文件的强制性规定。</w:t>
      </w:r>
    </w:p>
    <w:p w14:paraId="2663A313">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卖方保证其对合同设备的销售不损害任何第三方的合法权益和社会公众利益。任何第三方不会因卖方原因而基于所有权、抵押权、留置权或其他任何权利或事由对合同设备主张权利。</w:t>
      </w:r>
    </w:p>
    <w:p w14:paraId="4BAFFCFD">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卖方保证合同设备符合合同约定的规格、标准、技术性能考核指标等，能够安全和稳定地运行，且合同设备（包括全部部件）全新、完整、未使用过，除非</w:t>
      </w:r>
      <w:r>
        <w:rPr>
          <w:rFonts w:hint="eastAsia" w:ascii="宋体" w:hAnsi="宋体" w:eastAsia="黑体"/>
          <w:b/>
          <w:szCs w:val="21"/>
        </w:rPr>
        <w:t>专用合同条款</w:t>
      </w:r>
      <w:r>
        <w:rPr>
          <w:rFonts w:hint="eastAsia" w:ascii="宋体" w:hAnsi="宋体"/>
          <w:szCs w:val="21"/>
        </w:rPr>
        <w:t>和（或）供货要求等合同文件另有约定。</w:t>
      </w:r>
    </w:p>
    <w:p w14:paraId="12C5AB44">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卖方保证，卖方所提供的技术资料完整、清晰、准确，符合合同约定并且能够满足合同设备的安装、调试、考核、操作以及维修和保养的需要。</w:t>
      </w:r>
    </w:p>
    <w:p w14:paraId="04D19C9E">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卖方保证合同范围内提供的备品备件能够满足合同设备在质量保证期结束前正常运行及维修的需要，如在质量保证期结束前因卖方原因出现备品备件短缺影响合同设备正常运行的，卖方应免费提供。</w:t>
      </w:r>
    </w:p>
    <w:p w14:paraId="25279CAD">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如果在合同设备设计使用寿命期内发生合同项下备品备件停止生产的情况，卖方应事先将拟停止生产的计划通知买方，使买方有足够的时间考虑备品备件的需求量。根据买方要求，卖方应：</w:t>
      </w:r>
    </w:p>
    <w:p w14:paraId="289C3307">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）以不高于同期市场价格或其向任何第三方销售同类产品的价格提供合同设备正常运行所需的全部备品备件。或</w:t>
      </w:r>
    </w:p>
    <w:p w14:paraId="4E308D4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免费提供可供买方或第三方制造停产备品备件所需的全部技术资料，以便买方持续获得上述备品备件以满足合同设备在寿命期内正常运行的需要。卖方保证买方或买方委托的第三方制造及买方使用这些备品备件不侵犯任何人的知识产权。</w:t>
      </w:r>
    </w:p>
    <w:p w14:paraId="7B6E0960">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卖方保证，在合同设备设计使用寿命期内，如果卖方发现合同设备由于设计、制造、标识等原因存在足以危及人身、财产安全的缺陷，卖方将及时通知买方并及时采取修正或者补充标识、修理、更换等措施消除缺陷。</w:t>
      </w:r>
    </w:p>
    <w:p w14:paraId="61BAD975">
      <w:pPr>
        <w:pStyle w:val="97"/>
        <w:keepNext w:val="0"/>
        <w:keepLines w:val="0"/>
        <w:tabs>
          <w:tab w:val="left" w:pos="567"/>
        </w:tabs>
        <w:spacing w:before="156" w:after="156"/>
        <w:rPr>
          <w:rFonts w:eastAsia="宋体" w:cs="Times New Roman"/>
          <w:b/>
          <w:bCs/>
          <w:sz w:val="32"/>
          <w:szCs w:val="32"/>
        </w:rPr>
      </w:pPr>
      <w:bookmarkStart w:id="706" w:name="_Toc3192"/>
      <w:bookmarkStart w:id="707" w:name="_Toc16903"/>
      <w:bookmarkStart w:id="708" w:name="_Toc11072"/>
      <w:bookmarkStart w:id="709" w:name="_Toc2881591"/>
      <w:bookmarkStart w:id="710" w:name="_Toc16563"/>
      <w:bookmarkStart w:id="711" w:name="_Toc9929"/>
      <w:bookmarkStart w:id="712" w:name="_Toc32343"/>
      <w:r>
        <w:rPr>
          <w:rFonts w:hint="eastAsia" w:eastAsia="宋体" w:cs="Times New Roman"/>
          <w:b/>
          <w:bCs/>
          <w:sz w:val="32"/>
          <w:szCs w:val="32"/>
        </w:rPr>
        <w:t>12.知识产权</w:t>
      </w:r>
      <w:bookmarkEnd w:id="706"/>
      <w:bookmarkEnd w:id="707"/>
      <w:bookmarkEnd w:id="708"/>
      <w:bookmarkEnd w:id="709"/>
      <w:bookmarkEnd w:id="710"/>
      <w:bookmarkEnd w:id="711"/>
      <w:bookmarkEnd w:id="712"/>
    </w:p>
    <w:p w14:paraId="700E202C">
      <w:pPr>
        <w:tabs>
          <w:tab w:val="left" w:pos="1134"/>
        </w:tabs>
        <w:spacing w:line="360" w:lineRule="auto"/>
        <w:ind w:firstLine="420" w:firstLineChars="200"/>
        <w:rPr>
          <w:rFonts w:ascii="宋体" w:hAnsi="宋体"/>
          <w:szCs w:val="21"/>
        </w:rPr>
      </w:pPr>
      <w:r>
        <w:rPr>
          <w:rFonts w:ascii="宋体" w:hAnsi="宋体"/>
          <w:szCs w:val="21"/>
        </w:rPr>
        <w:t xml:space="preserve">12.1 </w:t>
      </w:r>
      <w:r>
        <w:rPr>
          <w:rFonts w:hint="eastAsia" w:ascii="宋体" w:hAnsi="宋体"/>
          <w:szCs w:val="21"/>
        </w:rPr>
        <w:t>买方在履行合同过程中提供给卖方的全部图纸、文件和其他含有数据和信息的资料，其知识产权属于买方。</w:t>
      </w:r>
    </w:p>
    <w:p w14:paraId="75396742">
      <w:pPr>
        <w:tabs>
          <w:tab w:val="left" w:pos="1134"/>
        </w:tabs>
        <w:spacing w:line="360" w:lineRule="auto"/>
        <w:ind w:firstLine="420" w:firstLineChars="200"/>
        <w:rPr>
          <w:rFonts w:ascii="宋体" w:hAnsi="宋体"/>
          <w:szCs w:val="21"/>
        </w:rPr>
      </w:pPr>
      <w:r>
        <w:rPr>
          <w:rFonts w:ascii="宋体" w:hAnsi="宋体"/>
          <w:szCs w:val="21"/>
        </w:rPr>
        <w:t xml:space="preserve">12.2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另有约定外，买方不因签署和履行合同而享有卖方在履行合同过程中提供给买方的图纸、文件、配套软件、电子辅助程序和其他含有数据和信息的资料的知识产权。</w:t>
      </w:r>
    </w:p>
    <w:p w14:paraId="4A01A66B">
      <w:pPr>
        <w:tabs>
          <w:tab w:val="left" w:pos="1134"/>
        </w:tabs>
        <w:spacing w:line="360" w:lineRule="auto"/>
        <w:ind w:firstLine="420" w:firstLineChars="200"/>
        <w:rPr>
          <w:rFonts w:ascii="宋体" w:hAnsi="宋体"/>
          <w:szCs w:val="21"/>
        </w:rPr>
      </w:pPr>
      <w:r>
        <w:rPr>
          <w:rFonts w:ascii="宋体" w:hAnsi="宋体"/>
          <w:szCs w:val="21"/>
        </w:rPr>
        <w:t xml:space="preserve">12.3 </w:t>
      </w:r>
      <w:r>
        <w:rPr>
          <w:rFonts w:hint="eastAsia" w:ascii="宋体" w:hAnsi="宋体"/>
          <w:szCs w:val="21"/>
        </w:rPr>
        <w:t>如合同设备涉及知识产权，则卖方保证买方在使用合同设备过程中免于受到第三方提出的有关知识产权侵权的主张、索赔或诉讼的伤害。</w:t>
      </w:r>
    </w:p>
    <w:p w14:paraId="54B35BD3">
      <w:pPr>
        <w:tabs>
          <w:tab w:val="left" w:pos="1134"/>
        </w:tabs>
        <w:spacing w:line="360" w:lineRule="auto"/>
        <w:ind w:firstLine="420" w:firstLineChars="200"/>
        <w:rPr>
          <w:rFonts w:ascii="宋体" w:hAnsi="宋体"/>
          <w:szCs w:val="21"/>
        </w:rPr>
      </w:pPr>
      <w:r>
        <w:rPr>
          <w:rFonts w:ascii="宋体" w:hAnsi="宋体"/>
          <w:szCs w:val="21"/>
        </w:rPr>
        <w:t xml:space="preserve">12.4 </w:t>
      </w:r>
      <w:r>
        <w:rPr>
          <w:rFonts w:hint="eastAsia" w:ascii="宋体" w:hAnsi="宋体"/>
          <w:szCs w:val="21"/>
        </w:rPr>
        <w:t>如果买方收到任何第三方有关知识产权的主张、索赔或诉讼，卖方在收到买方通知后，应以买方名义并在买方的协助下，自负费用处理与第三方的索赔或诉讼，并赔偿买方因此发生的费用和遭受的损失。除</w:t>
      </w:r>
      <w:r>
        <w:rPr>
          <w:rFonts w:hint="eastAsia" w:ascii="宋体" w:hAnsi="宋体" w:eastAsia="黑体"/>
          <w:b/>
          <w:szCs w:val="21"/>
        </w:rPr>
        <w:t>专用合同条款</w:t>
      </w:r>
      <w:r>
        <w:rPr>
          <w:rFonts w:hint="eastAsia" w:ascii="宋体" w:hAnsi="宋体"/>
          <w:szCs w:val="21"/>
        </w:rPr>
        <w:t>另有约定外，如果卖方拒绝处理前述索赔或诉讼或在收到买方通知后</w:t>
      </w:r>
      <w:r>
        <w:rPr>
          <w:rFonts w:ascii="宋体" w:hAnsi="宋体"/>
          <w:szCs w:val="21"/>
        </w:rPr>
        <w:t xml:space="preserve"> 28 </w:t>
      </w:r>
      <w:r>
        <w:rPr>
          <w:rFonts w:hint="eastAsia" w:ascii="宋体" w:hAnsi="宋体"/>
          <w:szCs w:val="21"/>
        </w:rPr>
        <w:t>日内未作表示，买方可以自己的名义进行这些索赔或诉讼，因此发生的费用和遭受的损失均应由卖方承担。</w:t>
      </w:r>
    </w:p>
    <w:p w14:paraId="61CA436D">
      <w:pPr>
        <w:pStyle w:val="97"/>
        <w:keepNext w:val="0"/>
        <w:keepLines w:val="0"/>
        <w:tabs>
          <w:tab w:val="left" w:pos="567"/>
        </w:tabs>
        <w:spacing w:before="156" w:after="156"/>
        <w:rPr>
          <w:rFonts w:eastAsia="宋体" w:cs="Times New Roman"/>
          <w:b/>
          <w:bCs/>
          <w:sz w:val="32"/>
          <w:szCs w:val="32"/>
        </w:rPr>
      </w:pPr>
      <w:bookmarkStart w:id="713" w:name="_Toc2881592"/>
      <w:bookmarkStart w:id="714" w:name="_Toc30790"/>
      <w:bookmarkStart w:id="715" w:name="_Toc8275"/>
      <w:bookmarkStart w:id="716" w:name="_Toc26033"/>
      <w:bookmarkStart w:id="717" w:name="_Toc14021"/>
      <w:bookmarkStart w:id="718" w:name="_Toc18260"/>
      <w:bookmarkStart w:id="719" w:name="_Toc19253"/>
      <w:r>
        <w:rPr>
          <w:rFonts w:hint="eastAsia" w:eastAsia="宋体" w:cs="Times New Roman"/>
          <w:b/>
          <w:bCs/>
          <w:sz w:val="32"/>
          <w:szCs w:val="32"/>
        </w:rPr>
        <w:t>13.保密</w:t>
      </w:r>
      <w:bookmarkEnd w:id="713"/>
      <w:bookmarkEnd w:id="714"/>
      <w:bookmarkEnd w:id="715"/>
      <w:bookmarkEnd w:id="716"/>
      <w:bookmarkEnd w:id="717"/>
      <w:bookmarkEnd w:id="718"/>
      <w:bookmarkEnd w:id="719"/>
    </w:p>
    <w:p w14:paraId="0385BEAF">
      <w:pPr>
        <w:tabs>
          <w:tab w:val="left" w:pos="1134"/>
        </w:tabs>
        <w:spacing w:line="360" w:lineRule="auto"/>
        <w:ind w:firstLine="420" w:firstLineChars="200"/>
        <w:rPr>
          <w:rFonts w:ascii="宋体" w:hAnsi="宋体"/>
          <w:szCs w:val="21"/>
        </w:rPr>
      </w:pPr>
      <w:r>
        <w:rPr>
          <w:rFonts w:hint="eastAsia" w:ascii="宋体" w:hAnsi="宋体"/>
          <w:szCs w:val="21"/>
        </w:rPr>
        <w:t>合同双方应对因履行合同而取得的另一方当事人的信息、资料等予以保密。未经另一方当事人书面同意，任何一方均不得为与履行合同无关的目的使用或向第三方披露另一方当事人提供的信息、资料。</w:t>
      </w:r>
    </w:p>
    <w:p w14:paraId="42F74D0B">
      <w:pPr>
        <w:tabs>
          <w:tab w:val="left" w:pos="1134"/>
        </w:tabs>
        <w:spacing w:line="360" w:lineRule="auto"/>
        <w:ind w:firstLine="420" w:firstLineChars="200"/>
        <w:rPr>
          <w:rFonts w:ascii="宋体" w:hAnsi="宋体"/>
          <w:szCs w:val="21"/>
        </w:rPr>
      </w:pPr>
      <w:r>
        <w:rPr>
          <w:rFonts w:hint="eastAsia" w:ascii="宋体" w:hAnsi="宋体"/>
          <w:szCs w:val="21"/>
        </w:rPr>
        <w:t>合同当事人的保密义务不适用于下列信息：</w:t>
      </w:r>
    </w:p>
    <w:p w14:paraId="7F81DB9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）非因接受信息一方的过失现在或以后进入公共领域的信息；</w:t>
      </w:r>
    </w:p>
    <w:p w14:paraId="7DD5380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）接受信息一方当事人合法地从第三方获得并且据其善意了解第三方也不对此承担保密义务的信息；</w:t>
      </w:r>
    </w:p>
    <w:p w14:paraId="6A99FDF1">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）法律或法律的执行要求披露的信息。</w:t>
      </w:r>
    </w:p>
    <w:p w14:paraId="2D7EF591">
      <w:pPr>
        <w:pStyle w:val="97"/>
        <w:keepNext w:val="0"/>
        <w:keepLines w:val="0"/>
        <w:tabs>
          <w:tab w:val="left" w:pos="567"/>
        </w:tabs>
        <w:spacing w:before="156" w:after="156"/>
        <w:rPr>
          <w:rFonts w:eastAsia="宋体" w:cs="Times New Roman"/>
          <w:b/>
          <w:bCs/>
          <w:sz w:val="32"/>
          <w:szCs w:val="32"/>
        </w:rPr>
      </w:pPr>
      <w:bookmarkStart w:id="720" w:name="_Toc16422"/>
      <w:bookmarkStart w:id="721" w:name="_Toc17398"/>
      <w:bookmarkStart w:id="722" w:name="_Toc2881593"/>
      <w:bookmarkStart w:id="723" w:name="_Toc3382"/>
      <w:bookmarkStart w:id="724" w:name="_Toc15738"/>
      <w:bookmarkStart w:id="725" w:name="_Toc4859"/>
      <w:bookmarkStart w:id="726" w:name="_Toc1836"/>
      <w:r>
        <w:rPr>
          <w:rFonts w:hint="eastAsia" w:eastAsia="宋体" w:cs="Times New Roman"/>
          <w:b/>
          <w:bCs/>
          <w:sz w:val="32"/>
          <w:szCs w:val="32"/>
        </w:rPr>
        <w:t>14.违约责任</w:t>
      </w:r>
      <w:bookmarkEnd w:id="720"/>
      <w:bookmarkEnd w:id="721"/>
      <w:bookmarkEnd w:id="722"/>
      <w:bookmarkEnd w:id="723"/>
      <w:bookmarkEnd w:id="724"/>
      <w:bookmarkEnd w:id="725"/>
      <w:bookmarkEnd w:id="726"/>
    </w:p>
    <w:p w14:paraId="130E71CD">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合同一方不履行合同义务、履行合同义务不符合约定或者违反合同项下所作保证的，应向对方承担继续履行、采取修理、更换、退货等补救措施或者赔偿损失等违约责任。</w:t>
      </w:r>
    </w:p>
    <w:p w14:paraId="6DE385DF">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卖方未能按时交付合同设备（包括仅迟延交付技术资料但足以导致合同设备安装、调</w:t>
      </w:r>
      <w:r>
        <w:rPr>
          <w:rFonts w:ascii="宋体" w:hAnsi="宋体"/>
          <w:szCs w:val="21"/>
        </w:rPr>
        <w:t xml:space="preserve"> </w:t>
      </w:r>
      <w:r>
        <w:rPr>
          <w:rFonts w:hint="eastAsia" w:ascii="宋体" w:hAnsi="宋体"/>
          <w:szCs w:val="21"/>
        </w:rPr>
        <w:t>试、考核、验收工作推迟的）的，应向买方支付迟延交付违约金。除</w:t>
      </w:r>
      <w:r>
        <w:rPr>
          <w:rFonts w:hint="eastAsia" w:ascii="宋体" w:hAnsi="宋体" w:eastAsia="黑体"/>
          <w:b/>
          <w:szCs w:val="21"/>
        </w:rPr>
        <w:t>专用合同条款</w:t>
      </w:r>
      <w:r>
        <w:rPr>
          <w:rFonts w:hint="eastAsia" w:ascii="宋体" w:hAnsi="宋体"/>
          <w:szCs w:val="21"/>
        </w:rPr>
        <w:t>另有约定外，迟延交付违约金的计算方法如下：</w:t>
      </w:r>
    </w:p>
    <w:p w14:paraId="72E12AE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）从迟交的第一周到第四周，每周迟延交付违约金为迟交合同设备价格的</w:t>
      </w:r>
      <w:r>
        <w:rPr>
          <w:rFonts w:ascii="宋体" w:hAnsi="宋体"/>
          <w:szCs w:val="21"/>
        </w:rPr>
        <w:t xml:space="preserve"> 0.5%</w:t>
      </w:r>
      <w:r>
        <w:rPr>
          <w:rFonts w:hint="eastAsia" w:ascii="宋体" w:hAnsi="宋体"/>
          <w:szCs w:val="21"/>
        </w:rPr>
        <w:t>；</w:t>
      </w:r>
    </w:p>
    <w:p w14:paraId="274937E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）从迟交的第五周到第八周，每周迟延交付违约金为迟交合同设备价格的</w:t>
      </w:r>
      <w:r>
        <w:rPr>
          <w:rFonts w:ascii="宋体" w:hAnsi="宋体"/>
          <w:szCs w:val="21"/>
        </w:rPr>
        <w:t xml:space="preserve"> 1%</w:t>
      </w:r>
      <w:r>
        <w:rPr>
          <w:rFonts w:hint="eastAsia" w:ascii="宋体" w:hAnsi="宋体"/>
          <w:szCs w:val="21"/>
        </w:rPr>
        <w:t>；</w:t>
      </w:r>
    </w:p>
    <w:p w14:paraId="254806B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）从迟交第九周起，每周迟延交付违约金为迟交合同设备价格的</w:t>
      </w:r>
      <w:r>
        <w:rPr>
          <w:rFonts w:ascii="宋体" w:hAnsi="宋体"/>
          <w:szCs w:val="21"/>
        </w:rPr>
        <w:t xml:space="preserve"> 1.5%</w:t>
      </w:r>
      <w:r>
        <w:rPr>
          <w:rFonts w:hint="eastAsia" w:ascii="宋体" w:hAnsi="宋体"/>
          <w:szCs w:val="21"/>
        </w:rPr>
        <w:t>。在计算迟延交付违约金时，迟交不足一周的按一周计算。迟延交付违约金的总额不得超过合同价格的</w:t>
      </w:r>
      <w:r>
        <w:rPr>
          <w:rFonts w:ascii="宋体" w:hAnsi="宋体"/>
          <w:szCs w:val="21"/>
        </w:rPr>
        <w:t>10%</w:t>
      </w:r>
      <w:r>
        <w:rPr>
          <w:rFonts w:hint="eastAsia" w:ascii="宋体" w:hAnsi="宋体"/>
          <w:szCs w:val="21"/>
        </w:rPr>
        <w:t>。迟延交付违约金的支付不能免除卖方继续交付相关合同设备的义务，但如迟延交付必然导致合同设备安装、调试、考核、验收工作推迟的，相关工作应相应顺延。</w:t>
      </w:r>
    </w:p>
    <w:p w14:paraId="048E63AA">
      <w:pPr>
        <w:tabs>
          <w:tab w:val="left" w:pos="1134"/>
        </w:tabs>
        <w:spacing w:line="360" w:lineRule="auto"/>
        <w:ind w:firstLine="420" w:firstLineChars="200"/>
        <w:rPr>
          <w:rFonts w:ascii="宋体" w:hAnsi="宋体"/>
          <w:szCs w:val="21"/>
        </w:rPr>
      </w:pPr>
      <w:r>
        <w:rPr>
          <w:rFonts w:ascii="宋体" w:hAnsi="宋体"/>
          <w:szCs w:val="21"/>
        </w:rPr>
        <w:t xml:space="preserve">14.3 </w:t>
      </w:r>
      <w:r>
        <w:rPr>
          <w:rFonts w:hint="eastAsia" w:ascii="宋体" w:hAnsi="宋体"/>
          <w:szCs w:val="21"/>
        </w:rPr>
        <w:t>买方未能按合同约定支付合同价款的，应向卖方支付延迟付款违约金。除</w:t>
      </w:r>
      <w:r>
        <w:rPr>
          <w:rFonts w:hint="eastAsia" w:ascii="宋体" w:hAnsi="宋体" w:eastAsia="黑体"/>
          <w:b/>
          <w:szCs w:val="21"/>
        </w:rPr>
        <w:t>专用合同条款</w:t>
      </w:r>
      <w:r>
        <w:rPr>
          <w:rFonts w:hint="eastAsia" w:ascii="宋体" w:hAnsi="宋体"/>
          <w:szCs w:val="21"/>
        </w:rPr>
        <w:t>另有约定外，迟延付款违约金的计算方法如下：</w:t>
      </w:r>
    </w:p>
    <w:p w14:paraId="182D8D7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）从迟付的第一周到第四周，每周迟延付款违约金为迟延付款金额的</w:t>
      </w:r>
      <w:r>
        <w:rPr>
          <w:rFonts w:ascii="宋体" w:hAnsi="宋体"/>
          <w:szCs w:val="21"/>
        </w:rPr>
        <w:t xml:space="preserve"> 0.5%</w:t>
      </w:r>
      <w:r>
        <w:rPr>
          <w:rFonts w:hint="eastAsia" w:ascii="宋体" w:hAnsi="宋体"/>
          <w:szCs w:val="21"/>
        </w:rPr>
        <w:t>；</w:t>
      </w:r>
    </w:p>
    <w:p w14:paraId="384EE0F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）从迟付的第五周到第八周，每周迟延付款违约金为迟延付款金额的</w:t>
      </w:r>
      <w:r>
        <w:rPr>
          <w:rFonts w:ascii="宋体" w:hAnsi="宋体"/>
          <w:szCs w:val="21"/>
        </w:rPr>
        <w:t xml:space="preserve"> 1%</w:t>
      </w:r>
      <w:r>
        <w:rPr>
          <w:rFonts w:hint="eastAsia" w:ascii="宋体" w:hAnsi="宋体"/>
          <w:szCs w:val="21"/>
        </w:rPr>
        <w:t>；</w:t>
      </w:r>
    </w:p>
    <w:p w14:paraId="21272A9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）从迟付第九周起，每周迟延付款违约金为迟延付款金额的</w:t>
      </w:r>
      <w:r>
        <w:rPr>
          <w:rFonts w:ascii="宋体" w:hAnsi="宋体"/>
          <w:szCs w:val="21"/>
        </w:rPr>
        <w:t xml:space="preserve"> 1.5%</w:t>
      </w:r>
      <w:r>
        <w:rPr>
          <w:rFonts w:hint="eastAsia" w:ascii="宋体" w:hAnsi="宋体"/>
          <w:szCs w:val="21"/>
        </w:rPr>
        <w:t>。在计算迟延付款违约金时，迟付不足一周的按一周计算。迟延付款违约金的总额不得超过合同价格的</w:t>
      </w:r>
      <w:r>
        <w:rPr>
          <w:rFonts w:ascii="宋体" w:hAnsi="宋体"/>
          <w:szCs w:val="21"/>
        </w:rPr>
        <w:t xml:space="preserve"> 10%</w:t>
      </w:r>
      <w:r>
        <w:rPr>
          <w:rFonts w:hint="eastAsia" w:ascii="宋体" w:hAnsi="宋体"/>
          <w:szCs w:val="21"/>
        </w:rPr>
        <w:t>。</w:t>
      </w:r>
    </w:p>
    <w:p w14:paraId="055228E6">
      <w:pPr>
        <w:pStyle w:val="97"/>
        <w:keepNext w:val="0"/>
        <w:keepLines w:val="0"/>
        <w:tabs>
          <w:tab w:val="left" w:pos="567"/>
        </w:tabs>
        <w:spacing w:before="156" w:after="156"/>
        <w:rPr>
          <w:rFonts w:eastAsia="宋体" w:cs="Times New Roman"/>
          <w:b/>
          <w:bCs/>
          <w:sz w:val="32"/>
          <w:szCs w:val="32"/>
        </w:rPr>
      </w:pPr>
      <w:bookmarkStart w:id="727" w:name="_Toc14410"/>
      <w:bookmarkStart w:id="728" w:name="_Toc15866"/>
      <w:bookmarkStart w:id="729" w:name="_Toc2881594"/>
      <w:bookmarkStart w:id="730" w:name="_Toc25260"/>
      <w:bookmarkStart w:id="731" w:name="_Toc30438"/>
      <w:bookmarkStart w:id="732" w:name="_Toc18597"/>
      <w:bookmarkStart w:id="733" w:name="_Toc31553"/>
      <w:r>
        <w:rPr>
          <w:rFonts w:hint="eastAsia" w:eastAsia="宋体" w:cs="Times New Roman"/>
          <w:b/>
          <w:bCs/>
          <w:sz w:val="32"/>
          <w:szCs w:val="32"/>
        </w:rPr>
        <w:t>15.合同的解除</w:t>
      </w:r>
      <w:bookmarkEnd w:id="727"/>
      <w:bookmarkEnd w:id="728"/>
      <w:bookmarkEnd w:id="729"/>
      <w:bookmarkEnd w:id="730"/>
      <w:bookmarkEnd w:id="731"/>
      <w:bookmarkEnd w:id="732"/>
      <w:bookmarkEnd w:id="733"/>
    </w:p>
    <w:p w14:paraId="7AF5DA37">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另有约定外，有下述情形之一，当事人可发出书面通知全部或部分地解除合同，合同自通知到达对方时全部或部分地解除：</w:t>
      </w:r>
    </w:p>
    <w:p w14:paraId="619072C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）卖方迟延交付合同设备超过</w:t>
      </w:r>
      <w:r>
        <w:rPr>
          <w:rFonts w:ascii="宋体" w:hAnsi="宋体"/>
          <w:szCs w:val="21"/>
        </w:rPr>
        <w:t xml:space="preserve"> 3 </w:t>
      </w:r>
      <w:r>
        <w:rPr>
          <w:rFonts w:hint="eastAsia" w:ascii="宋体" w:hAnsi="宋体"/>
          <w:szCs w:val="21"/>
        </w:rPr>
        <w:t>个月；</w:t>
      </w:r>
    </w:p>
    <w:p w14:paraId="78C1698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合同设备由于卖方原因三次考核均未能达到技术性能考核指标或在合同约定了或双方在考核中另行达成了最低技术性能考核指标时均未能达到最低技术性能考核指标，且买卖双方未就合同的后续履行协商达成一致；</w:t>
      </w:r>
    </w:p>
    <w:p w14:paraId="460E316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）买方迟延付款超过</w:t>
      </w:r>
      <w:r>
        <w:rPr>
          <w:rFonts w:ascii="宋体" w:hAnsi="宋体"/>
          <w:szCs w:val="21"/>
        </w:rPr>
        <w:t xml:space="preserve"> 3 </w:t>
      </w:r>
      <w:r>
        <w:rPr>
          <w:rFonts w:hint="eastAsia" w:ascii="宋体" w:hAnsi="宋体"/>
          <w:szCs w:val="21"/>
        </w:rPr>
        <w:t>个月；</w:t>
      </w:r>
    </w:p>
    <w:p w14:paraId="142591F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）合同一方当事人未能履行合同项下任何其它义务（细微义务除外），或在未事先征得另一方当事人同意的情况下，从事任何可能在实质上不利影响其履行合同能力的活动，经另一方当事人书面通知后</w:t>
      </w:r>
      <w:r>
        <w:rPr>
          <w:rFonts w:ascii="宋体" w:hAnsi="宋体"/>
          <w:szCs w:val="21"/>
        </w:rPr>
        <w:t xml:space="preserve"> 14 </w:t>
      </w:r>
      <w:r>
        <w:rPr>
          <w:rFonts w:hint="eastAsia" w:ascii="宋体" w:hAnsi="宋体"/>
          <w:szCs w:val="21"/>
        </w:rPr>
        <w:t>日内或在</w:t>
      </w:r>
      <w:r>
        <w:rPr>
          <w:rFonts w:hint="eastAsia" w:ascii="宋体" w:hAnsi="宋体" w:eastAsia="黑体"/>
          <w:b/>
          <w:szCs w:val="21"/>
        </w:rPr>
        <w:t>专用合同条款</w:t>
      </w:r>
      <w:r>
        <w:rPr>
          <w:rFonts w:hint="eastAsia" w:ascii="宋体" w:hAnsi="宋体"/>
          <w:szCs w:val="21"/>
        </w:rPr>
        <w:t>约定的其他期限内未能对其行为作出补救；</w:t>
      </w:r>
    </w:p>
    <w:p w14:paraId="5ED6DA3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）合同一方当事人出现破产、清算、资不抵债、成为失信被执行人等可能丧失履约能力的情形，且未能提供令对方满意的履约保证金。</w:t>
      </w:r>
    </w:p>
    <w:p w14:paraId="5C191F73">
      <w:pPr>
        <w:pStyle w:val="97"/>
        <w:keepNext w:val="0"/>
        <w:keepLines w:val="0"/>
        <w:tabs>
          <w:tab w:val="left" w:pos="567"/>
        </w:tabs>
        <w:spacing w:before="156" w:after="156"/>
        <w:rPr>
          <w:rFonts w:eastAsia="宋体" w:cs="Times New Roman"/>
          <w:b/>
          <w:bCs/>
          <w:sz w:val="32"/>
          <w:szCs w:val="32"/>
        </w:rPr>
      </w:pPr>
      <w:bookmarkStart w:id="734" w:name="_Toc2881595"/>
      <w:bookmarkStart w:id="735" w:name="_Toc4332"/>
      <w:bookmarkStart w:id="736" w:name="_Toc1809"/>
      <w:bookmarkStart w:id="737" w:name="_Toc28995"/>
      <w:bookmarkStart w:id="738" w:name="_Toc10941"/>
      <w:bookmarkStart w:id="739" w:name="_Toc31448"/>
      <w:bookmarkStart w:id="740" w:name="_Toc26267"/>
      <w:r>
        <w:rPr>
          <w:rFonts w:hint="eastAsia" w:eastAsia="宋体" w:cs="Times New Roman"/>
          <w:b/>
          <w:bCs/>
          <w:sz w:val="32"/>
          <w:szCs w:val="32"/>
        </w:rPr>
        <w:t>16.不可抗力</w:t>
      </w:r>
      <w:bookmarkEnd w:id="734"/>
      <w:bookmarkEnd w:id="735"/>
      <w:bookmarkEnd w:id="736"/>
      <w:bookmarkEnd w:id="737"/>
      <w:bookmarkEnd w:id="738"/>
      <w:bookmarkEnd w:id="739"/>
      <w:bookmarkEnd w:id="740"/>
    </w:p>
    <w:p w14:paraId="7616B4D1">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如果任何一方当事人受到不能预见、不能避免且不能克服的不可抗力事件的影响，例如战争、严重的火灾、台风、地震、洪水和</w:t>
      </w:r>
      <w:r>
        <w:rPr>
          <w:rFonts w:hint="eastAsia" w:ascii="宋体" w:hAnsi="宋体" w:eastAsia="黑体"/>
          <w:b/>
          <w:szCs w:val="21"/>
        </w:rPr>
        <w:t>专用合同条款</w:t>
      </w:r>
      <w:r>
        <w:rPr>
          <w:rFonts w:hint="eastAsia" w:ascii="宋体" w:hAnsi="宋体"/>
          <w:szCs w:val="21"/>
        </w:rPr>
        <w:t>约定的其他情形，而无法履行合同项下的任何义务，则受影响的一方当事人应立即将此类事件的发生通知另一方当事人，并应在不可抗力事件发生后</w:t>
      </w:r>
      <w:r>
        <w:rPr>
          <w:rFonts w:ascii="宋体" w:hAnsi="宋体"/>
          <w:szCs w:val="21"/>
        </w:rPr>
        <w:t xml:space="preserve"> 28 </w:t>
      </w:r>
      <w:r>
        <w:rPr>
          <w:rFonts w:hint="eastAsia" w:ascii="宋体" w:hAnsi="宋体"/>
          <w:szCs w:val="21"/>
        </w:rPr>
        <w:t>日内将有关当局或机构出具的证明文件提交给另一方当事人。</w:t>
      </w:r>
    </w:p>
    <w:p w14:paraId="44BEF743">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受不可抗力事件影响的一方当事人对于不可抗力事件导致的任何合同义务的迟延履行或不能履行不承担违约责任。但该方当事人应尽快将不可抗力事件结束或消除的情况通知另一方当事人。</w:t>
      </w:r>
    </w:p>
    <w:p w14:paraId="4595934F">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双方当事人应在不可抗力事件结束或其影响消除后立即继续履行其合同义务，合同期限也应相应顺延。除</w:t>
      </w:r>
      <w:r>
        <w:rPr>
          <w:rFonts w:hint="eastAsia" w:ascii="宋体" w:hAnsi="宋体" w:eastAsia="黑体"/>
          <w:b/>
          <w:szCs w:val="21"/>
        </w:rPr>
        <w:t>专用合同条款</w:t>
      </w:r>
      <w:r>
        <w:rPr>
          <w:rFonts w:hint="eastAsia" w:ascii="宋体" w:hAnsi="宋体"/>
          <w:szCs w:val="21"/>
        </w:rPr>
        <w:t>另有约定外，如果不可抗力事件的影响持续超过</w:t>
      </w:r>
      <w:r>
        <w:rPr>
          <w:rFonts w:ascii="宋体" w:hAnsi="宋体"/>
          <w:szCs w:val="21"/>
        </w:rPr>
        <w:t xml:space="preserve"> 140 </w:t>
      </w:r>
      <w:r>
        <w:rPr>
          <w:rFonts w:hint="eastAsia" w:ascii="宋体" w:hAnsi="宋体"/>
          <w:szCs w:val="21"/>
        </w:rPr>
        <w:t>日，则任何一方当事人均有权以书面通知解除合同。</w:t>
      </w:r>
    </w:p>
    <w:p w14:paraId="4CABEAB7">
      <w:pPr>
        <w:pStyle w:val="97"/>
        <w:keepNext w:val="0"/>
        <w:keepLines w:val="0"/>
        <w:tabs>
          <w:tab w:val="left" w:pos="567"/>
        </w:tabs>
        <w:spacing w:before="156" w:after="156"/>
        <w:rPr>
          <w:rFonts w:eastAsia="宋体" w:cs="Times New Roman"/>
          <w:b/>
          <w:bCs/>
          <w:sz w:val="32"/>
          <w:szCs w:val="32"/>
        </w:rPr>
      </w:pPr>
      <w:bookmarkStart w:id="741" w:name="_Toc8951"/>
      <w:bookmarkStart w:id="742" w:name="_Toc10377"/>
      <w:bookmarkStart w:id="743" w:name="_Toc2881596"/>
      <w:bookmarkStart w:id="744" w:name="_Toc30382"/>
      <w:bookmarkStart w:id="745" w:name="_Toc19430"/>
      <w:bookmarkStart w:id="746" w:name="_Toc20272"/>
      <w:bookmarkStart w:id="747" w:name="_Toc8452"/>
      <w:r>
        <w:rPr>
          <w:rFonts w:hint="eastAsia" w:eastAsia="宋体" w:cs="Times New Roman"/>
          <w:b/>
          <w:bCs/>
          <w:sz w:val="32"/>
          <w:szCs w:val="32"/>
        </w:rPr>
        <w:t>17.争议的解决</w:t>
      </w:r>
      <w:bookmarkEnd w:id="741"/>
      <w:bookmarkEnd w:id="742"/>
      <w:bookmarkEnd w:id="743"/>
      <w:bookmarkEnd w:id="744"/>
      <w:bookmarkEnd w:id="745"/>
      <w:bookmarkEnd w:id="746"/>
      <w:bookmarkEnd w:id="747"/>
    </w:p>
    <w:p w14:paraId="38EE1878">
      <w:pPr>
        <w:tabs>
          <w:tab w:val="left" w:pos="1134"/>
        </w:tabs>
        <w:spacing w:line="360" w:lineRule="auto"/>
        <w:ind w:firstLine="420" w:firstLineChars="200"/>
        <w:rPr>
          <w:rFonts w:ascii="宋体" w:hAnsi="宋体"/>
          <w:szCs w:val="21"/>
        </w:rPr>
      </w:pPr>
      <w:r>
        <w:rPr>
          <w:rFonts w:hint="eastAsia" w:ascii="宋体" w:hAnsi="宋体"/>
          <w:szCs w:val="21"/>
        </w:rPr>
        <w:t>因本合同引起的或与本合同有关的任何争议</w:t>
      </w:r>
      <w:r>
        <w:rPr>
          <w:rFonts w:ascii="宋体" w:hAnsi="宋体"/>
          <w:szCs w:val="21"/>
        </w:rPr>
        <w:t>,</w:t>
      </w:r>
      <w:r>
        <w:rPr>
          <w:rFonts w:hint="eastAsia" w:ascii="宋体" w:hAnsi="宋体"/>
          <w:szCs w:val="21"/>
        </w:rPr>
        <w:t>双方可通过友好协商解决。友好协商解决不成的，可在</w:t>
      </w:r>
      <w:r>
        <w:rPr>
          <w:rFonts w:hint="eastAsia" w:ascii="宋体" w:hAnsi="宋体" w:eastAsia="黑体"/>
          <w:b/>
          <w:szCs w:val="21"/>
        </w:rPr>
        <w:t>专用合同条款</w:t>
      </w:r>
      <w:r>
        <w:rPr>
          <w:rFonts w:hint="eastAsia" w:ascii="宋体" w:hAnsi="宋体"/>
          <w:szCs w:val="21"/>
        </w:rPr>
        <w:t>中约定下列一种方式解决：</w:t>
      </w:r>
    </w:p>
    <w:p w14:paraId="7233823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）向约定的仲裁委员会申请仲裁；</w:t>
      </w:r>
    </w:p>
    <w:p w14:paraId="2B0181BC">
      <w:pPr>
        <w:spacing w:line="360" w:lineRule="auto"/>
        <w:ind w:firstLine="420" w:firstLineChars="200"/>
        <w:rPr>
          <w:rFonts w:ascii="宋体" w:hAnsi="宋体"/>
        </w:rPr>
      </w:pPr>
      <w:r>
        <w:rPr>
          <w:rFonts w:hint="eastAsia" w:ascii="宋体" w:hAnsi="宋体"/>
          <w:szCs w:val="21"/>
        </w:rPr>
        <w:t>（</w:t>
      </w:r>
      <w:r>
        <w:rPr>
          <w:rFonts w:ascii="宋体" w:hAnsi="宋体"/>
          <w:szCs w:val="21"/>
        </w:rPr>
        <w:t>2</w:t>
      </w:r>
      <w:r>
        <w:rPr>
          <w:rFonts w:hint="eastAsia" w:ascii="宋体" w:hAnsi="宋体"/>
          <w:szCs w:val="21"/>
        </w:rPr>
        <w:t>）向有管辖权的人民法院提起诉讼。</w:t>
      </w:r>
    </w:p>
    <w:p w14:paraId="274FDCC1">
      <w:pPr>
        <w:bidi w:val="0"/>
        <w:rPr>
          <w:lang w:val="zh-CN"/>
        </w:rPr>
      </w:pPr>
      <w:r>
        <w:rPr>
          <w:rFonts w:hint="eastAsia"/>
          <w:lang w:val="zh-CN"/>
        </w:rPr>
        <w:br w:type="page"/>
      </w:r>
    </w:p>
    <w:p w14:paraId="39BC2929">
      <w:pPr>
        <w:pStyle w:val="4"/>
        <w:spacing w:line="360" w:lineRule="auto"/>
        <w:jc w:val="center"/>
        <w:rPr>
          <w:rFonts w:ascii="宋体" w:hAnsi="宋体"/>
          <w:kern w:val="0"/>
          <w:sz w:val="28"/>
          <w:szCs w:val="28"/>
        </w:rPr>
      </w:pPr>
      <w:bookmarkStart w:id="748" w:name="_Toc532377320"/>
      <w:bookmarkStart w:id="749" w:name="_Toc22691"/>
      <w:bookmarkStart w:id="750" w:name="_Toc529388290"/>
      <w:bookmarkStart w:id="751" w:name="_Toc532375607"/>
      <w:bookmarkStart w:id="752" w:name="_Toc28138"/>
      <w:r>
        <w:rPr>
          <w:rFonts w:hint="eastAsia" w:ascii="宋体" w:hAnsi="宋体"/>
          <w:kern w:val="0"/>
          <w:sz w:val="28"/>
          <w:szCs w:val="28"/>
        </w:rPr>
        <w:t>第</w:t>
      </w:r>
      <w:r>
        <w:rPr>
          <w:rFonts w:hint="eastAsia" w:ascii="宋体" w:hAnsi="宋体"/>
          <w:kern w:val="0"/>
          <w:sz w:val="28"/>
          <w:szCs w:val="28"/>
          <w:lang w:val="en-US" w:eastAsia="zh-CN"/>
        </w:rPr>
        <w:t>二</w:t>
      </w:r>
      <w:r>
        <w:rPr>
          <w:rFonts w:hint="eastAsia" w:ascii="宋体" w:hAnsi="宋体"/>
          <w:kern w:val="0"/>
          <w:sz w:val="28"/>
          <w:szCs w:val="28"/>
        </w:rPr>
        <w:t>节 专用合同条款</w:t>
      </w:r>
      <w:bookmarkEnd w:id="748"/>
      <w:bookmarkEnd w:id="749"/>
      <w:bookmarkEnd w:id="750"/>
      <w:bookmarkEnd w:id="751"/>
      <w:bookmarkEnd w:id="752"/>
    </w:p>
    <w:p w14:paraId="5F35B792">
      <w:pPr>
        <w:pStyle w:val="97"/>
        <w:keepNext w:val="0"/>
        <w:keepLines w:val="0"/>
        <w:tabs>
          <w:tab w:val="left" w:pos="567"/>
        </w:tabs>
        <w:spacing w:before="156" w:after="156"/>
        <w:rPr>
          <w:rFonts w:eastAsia="宋体" w:cs="Times New Roman"/>
          <w:b/>
          <w:bCs/>
          <w:sz w:val="32"/>
          <w:szCs w:val="32"/>
        </w:rPr>
      </w:pPr>
      <w:bookmarkStart w:id="753" w:name="baidusnap7"/>
      <w:bookmarkEnd w:id="753"/>
      <w:bookmarkStart w:id="754" w:name="baidusnap3"/>
      <w:bookmarkEnd w:id="754"/>
      <w:bookmarkStart w:id="755" w:name="_Toc27170"/>
      <w:bookmarkStart w:id="756" w:name="_Toc698"/>
      <w:bookmarkStart w:id="757" w:name="_Toc218049013"/>
      <w:bookmarkStart w:id="758" w:name="_Toc27196"/>
      <w:bookmarkStart w:id="759" w:name="_Toc218048833"/>
      <w:bookmarkStart w:id="760" w:name="_Toc381358675"/>
      <w:bookmarkStart w:id="761" w:name="_Toc21206"/>
      <w:bookmarkStart w:id="762" w:name="_Toc255494563"/>
      <w:bookmarkStart w:id="763" w:name="_Toc217443411"/>
      <w:bookmarkStart w:id="764" w:name="_Toc29901"/>
      <w:bookmarkStart w:id="765" w:name="_Toc10484"/>
      <w:bookmarkStart w:id="766" w:name="_Toc256955766"/>
      <w:bookmarkStart w:id="767" w:name="_Toc2881827"/>
      <w:bookmarkStart w:id="768" w:name="_Toc531098981"/>
      <w:bookmarkStart w:id="769" w:name="_Toc375218810"/>
      <w:bookmarkStart w:id="770" w:name="_Toc153270596"/>
      <w:bookmarkStart w:id="771" w:name="_Toc139194405"/>
      <w:bookmarkStart w:id="772" w:name="_Toc153629149"/>
      <w:bookmarkStart w:id="773" w:name="_Toc153629207"/>
      <w:bookmarkStart w:id="774" w:name="_Toc138323411"/>
      <w:bookmarkStart w:id="775" w:name="_Toc138638817"/>
      <w:bookmarkStart w:id="776" w:name="_Toc31567"/>
      <w:bookmarkStart w:id="777" w:name="_Toc15767"/>
      <w:bookmarkStart w:id="778" w:name="_Toc152696792"/>
      <w:r>
        <w:rPr>
          <w:rFonts w:hint="eastAsia" w:eastAsia="宋体" w:cs="Times New Roman"/>
          <w:b/>
          <w:bCs/>
          <w:sz w:val="32"/>
          <w:szCs w:val="32"/>
        </w:rPr>
        <w:t>1. 一般规定</w:t>
      </w:r>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p>
    <w:p w14:paraId="11427842">
      <w:pPr>
        <w:spacing w:line="360" w:lineRule="auto"/>
        <w:ind w:firstLine="420" w:firstLineChars="200"/>
        <w:rPr>
          <w:rFonts w:ascii="宋体" w:hAnsi="宋体"/>
          <w:szCs w:val="21"/>
        </w:rPr>
      </w:pPr>
      <w:bookmarkStart w:id="779" w:name="_Toc531098982"/>
      <w:r>
        <w:rPr>
          <w:rFonts w:hint="eastAsia" w:ascii="宋体" w:hAnsi="宋体"/>
          <w:szCs w:val="21"/>
        </w:rPr>
        <w:t>1.1</w:t>
      </w:r>
      <w:r>
        <w:rPr>
          <w:rFonts w:ascii="宋体" w:hAnsi="宋体"/>
          <w:szCs w:val="21"/>
        </w:rPr>
        <w:t xml:space="preserve"> </w:t>
      </w:r>
      <w:r>
        <w:rPr>
          <w:rFonts w:hint="eastAsia" w:ascii="宋体" w:hAnsi="宋体"/>
          <w:szCs w:val="21"/>
        </w:rPr>
        <w:t>词语定义</w:t>
      </w:r>
      <w:bookmarkEnd w:id="779"/>
    </w:p>
    <w:p w14:paraId="1052AB80">
      <w:pPr>
        <w:spacing w:line="360" w:lineRule="auto"/>
        <w:ind w:firstLine="420" w:firstLineChars="200"/>
        <w:rPr>
          <w:rFonts w:ascii="宋体" w:hAnsi="宋体"/>
          <w:szCs w:val="21"/>
        </w:rPr>
      </w:pPr>
      <w:r>
        <w:rPr>
          <w:rFonts w:ascii="宋体" w:hAnsi="宋体"/>
          <w:szCs w:val="21"/>
        </w:rPr>
        <w:t>1.1.</w:t>
      </w:r>
      <w:r>
        <w:rPr>
          <w:rFonts w:hint="eastAsia" w:ascii="宋体" w:hAnsi="宋体"/>
          <w:szCs w:val="21"/>
        </w:rPr>
        <w:t>13</w:t>
      </w:r>
      <w:r>
        <w:rPr>
          <w:rFonts w:ascii="宋体" w:hAnsi="宋体"/>
          <w:szCs w:val="21"/>
        </w:rPr>
        <w:t xml:space="preserve"> </w:t>
      </w:r>
      <w:r>
        <w:rPr>
          <w:rFonts w:hint="eastAsia" w:ascii="宋体" w:hAnsi="宋体"/>
          <w:szCs w:val="21"/>
        </w:rPr>
        <w:t>工程</w:t>
      </w:r>
    </w:p>
    <w:p w14:paraId="2784C4CC">
      <w:pPr>
        <w:spacing w:line="360" w:lineRule="auto"/>
        <w:ind w:firstLine="630" w:firstLineChars="300"/>
        <w:rPr>
          <w:rFonts w:ascii="宋体" w:hAnsi="宋体" w:cs="Arial"/>
          <w:szCs w:val="21"/>
          <w:u w:val="single"/>
        </w:rPr>
      </w:pPr>
      <w:r>
        <w:rPr>
          <w:rFonts w:hint="eastAsia" w:ascii="宋体" w:hAnsi="宋体"/>
          <w:szCs w:val="21"/>
        </w:rPr>
        <w:t>1.1.13.1</w:t>
      </w:r>
      <w:r>
        <w:rPr>
          <w:rFonts w:ascii="宋体" w:hAnsi="宋体"/>
          <w:szCs w:val="21"/>
        </w:rPr>
        <w:t xml:space="preserve"> </w:t>
      </w:r>
      <w:r>
        <w:rPr>
          <w:rFonts w:hint="eastAsia" w:ascii="宋体" w:hAnsi="宋体"/>
          <w:szCs w:val="21"/>
        </w:rPr>
        <w:t>工程：</w:t>
      </w:r>
      <w:r>
        <w:rPr>
          <w:rFonts w:ascii="宋体" w:hAnsi="宋体" w:cs="Arial"/>
          <w:szCs w:val="21"/>
          <w:u w:val="single"/>
        </w:rPr>
        <w:t xml:space="preserve"> </w:t>
      </w:r>
      <w:r>
        <w:rPr>
          <w:rFonts w:hint="eastAsia" w:ascii="宋体" w:hAnsi="宋体" w:eastAsia="宋体" w:cs="宋体"/>
          <w:caps w:val="0"/>
          <w:smallCaps w:val="0"/>
          <w:snapToGrid w:val="0"/>
          <w:color w:val="auto"/>
          <w:kern w:val="0"/>
          <w:sz w:val="21"/>
          <w:szCs w:val="21"/>
          <w:u w:val="single"/>
          <w:lang w:val="en-US" w:eastAsia="zh-CN"/>
        </w:rPr>
        <w:t>乌江涪陵榨菜绿色智能化生产基地(一期)项目</w:t>
      </w:r>
      <w:r>
        <w:rPr>
          <w:rFonts w:ascii="宋体" w:hAnsi="宋体" w:cs="Arial"/>
          <w:szCs w:val="21"/>
          <w:u w:val="single"/>
        </w:rPr>
        <w:t xml:space="preserve"> </w:t>
      </w:r>
      <w:r>
        <w:rPr>
          <w:rFonts w:hint="eastAsia" w:ascii="宋体" w:hAnsi="宋体" w:cs="Arial"/>
          <w:szCs w:val="21"/>
        </w:rPr>
        <w:t>。</w:t>
      </w:r>
    </w:p>
    <w:p w14:paraId="0B79809A">
      <w:pPr>
        <w:spacing w:line="360" w:lineRule="auto"/>
        <w:ind w:firstLine="630" w:firstLineChars="300"/>
        <w:rPr>
          <w:rFonts w:ascii="宋体" w:hAnsi="宋体" w:cs="Arial"/>
          <w:szCs w:val="21"/>
          <w:u w:val="single"/>
        </w:rPr>
      </w:pPr>
      <w:r>
        <w:rPr>
          <w:rFonts w:hint="eastAsia" w:ascii="宋体" w:hAnsi="宋体" w:cs="Arial"/>
          <w:szCs w:val="21"/>
        </w:rPr>
        <w:t>1.1.13.2</w:t>
      </w:r>
      <w:r>
        <w:rPr>
          <w:rFonts w:ascii="宋体" w:hAnsi="宋体" w:cs="Arial"/>
          <w:szCs w:val="21"/>
        </w:rPr>
        <w:t xml:space="preserve"> </w:t>
      </w:r>
      <w:r>
        <w:rPr>
          <w:rFonts w:hint="eastAsia" w:ascii="宋体" w:hAnsi="宋体" w:cs="Arial"/>
          <w:szCs w:val="21"/>
        </w:rPr>
        <w:t>施工场地（或称工地、施工现场）：</w:t>
      </w:r>
      <w:r>
        <w:rPr>
          <w:rFonts w:hint="eastAsia" w:ascii="宋体" w:hAnsi="宋体" w:cs="Arial"/>
          <w:szCs w:val="21"/>
          <w:u w:val="single"/>
        </w:rPr>
        <w:t xml:space="preserve"> </w:t>
      </w:r>
      <w:r>
        <w:rPr>
          <w:rFonts w:hint="eastAsia" w:ascii="宋体" w:hAnsi="宋体" w:eastAsia="宋体" w:cs="宋体"/>
          <w:caps w:val="0"/>
          <w:smallCaps w:val="0"/>
          <w:color w:val="auto"/>
          <w:sz w:val="21"/>
          <w:szCs w:val="21"/>
          <w:u w:val="single"/>
        </w:rPr>
        <w:t>重庆市涪陵区马鞍街道人和社区</w:t>
      </w:r>
      <w:r>
        <w:rPr>
          <w:rFonts w:hint="eastAsia" w:ascii="宋体" w:hAnsi="宋体" w:cs="Arial"/>
          <w:szCs w:val="21"/>
          <w:u w:val="single"/>
        </w:rPr>
        <w:t xml:space="preserve"> </w:t>
      </w:r>
      <w:r>
        <w:rPr>
          <w:rFonts w:hint="eastAsia" w:ascii="宋体" w:hAnsi="宋体" w:cs="Arial"/>
          <w:szCs w:val="21"/>
        </w:rPr>
        <w:t>。</w:t>
      </w:r>
    </w:p>
    <w:p w14:paraId="14D4A03F">
      <w:pPr>
        <w:spacing w:line="360" w:lineRule="auto"/>
        <w:ind w:firstLine="420" w:firstLineChars="200"/>
        <w:rPr>
          <w:rFonts w:ascii="宋体" w:hAnsi="宋体"/>
          <w:szCs w:val="21"/>
        </w:rPr>
      </w:pPr>
      <w:bookmarkStart w:id="780" w:name="_Toc531098983"/>
      <w:r>
        <w:rPr>
          <w:rFonts w:ascii="宋体" w:hAnsi="宋体"/>
          <w:szCs w:val="21"/>
        </w:rPr>
        <w:t xml:space="preserve">1.3 </w:t>
      </w:r>
      <w:r>
        <w:rPr>
          <w:rFonts w:hint="eastAsia" w:ascii="宋体" w:hAnsi="宋体"/>
          <w:szCs w:val="21"/>
        </w:rPr>
        <w:t>合同文件的优先顺序</w:t>
      </w:r>
      <w:bookmarkEnd w:id="780"/>
    </w:p>
    <w:p w14:paraId="434DF308">
      <w:pPr>
        <w:widowControl/>
        <w:tabs>
          <w:tab w:val="left" w:pos="1044"/>
          <w:tab w:val="left" w:pos="9072"/>
          <w:tab w:val="left" w:pos="9781"/>
        </w:tabs>
        <w:spacing w:line="360" w:lineRule="auto"/>
        <w:ind w:firstLine="420" w:firstLineChars="200"/>
        <w:jc w:val="left"/>
        <w:rPr>
          <w:u w:val="single"/>
        </w:rPr>
      </w:pPr>
      <w:r>
        <w:rPr>
          <w:rFonts w:hint="eastAsia" w:ascii="宋体" w:hAnsi="宋体"/>
          <w:szCs w:val="21"/>
        </w:rPr>
        <w:t>解释合同文件优先顺序的约定：</w:t>
      </w:r>
      <w:r>
        <w:rPr>
          <w:rFonts w:hint="eastAsia" w:ascii="宋体" w:hAnsi="宋体"/>
          <w:szCs w:val="21"/>
          <w:u w:val="single"/>
        </w:rPr>
        <w:t>按照合同协议书</w:t>
      </w:r>
      <w:r>
        <w:rPr>
          <w:rFonts w:hint="eastAsia" w:ascii="宋体" w:hAnsi="宋体"/>
          <w:bCs/>
          <w:szCs w:val="21"/>
          <w:u w:val="single"/>
        </w:rPr>
        <w:t>〔</w:t>
      </w:r>
      <w:r>
        <w:rPr>
          <w:rFonts w:hint="eastAsia" w:ascii="宋体" w:hAnsi="宋体"/>
          <w:szCs w:val="21"/>
          <w:u w:val="single"/>
        </w:rPr>
        <w:t>第2条</w:t>
      </w:r>
      <w:r>
        <w:rPr>
          <w:rFonts w:hint="eastAsia" w:ascii="宋体" w:hAnsi="宋体"/>
          <w:bCs/>
          <w:szCs w:val="21"/>
          <w:u w:val="single"/>
        </w:rPr>
        <w:t>〕</w:t>
      </w:r>
      <w:r>
        <w:rPr>
          <w:rFonts w:hint="eastAsia" w:ascii="宋体" w:hAnsi="宋体"/>
          <w:szCs w:val="21"/>
          <w:u w:val="single"/>
        </w:rPr>
        <w:t>约定执行</w:t>
      </w:r>
      <w:r>
        <w:rPr>
          <w:rFonts w:hint="eastAsia" w:ascii="宋体" w:hAnsi="宋体"/>
          <w:szCs w:val="21"/>
        </w:rPr>
        <w:t>。</w:t>
      </w:r>
    </w:p>
    <w:p w14:paraId="55C9AFAF">
      <w:pPr>
        <w:tabs>
          <w:tab w:val="left" w:pos="1134"/>
        </w:tabs>
        <w:spacing w:line="360" w:lineRule="auto"/>
        <w:ind w:firstLine="420" w:firstLineChars="200"/>
        <w:rPr>
          <w:rFonts w:ascii="宋体" w:hAnsi="宋体"/>
          <w:szCs w:val="21"/>
          <w:u w:val="single"/>
        </w:rPr>
      </w:pPr>
      <w:r>
        <w:rPr>
          <w:rFonts w:hint="eastAsia" w:ascii="宋体" w:hAnsi="宋体"/>
          <w:szCs w:val="21"/>
        </w:rPr>
        <w:t>其他合同文件包括：</w:t>
      </w:r>
      <w:r>
        <w:rPr>
          <w:rFonts w:hint="eastAsia" w:ascii="宋体" w:hAnsi="宋体"/>
          <w:szCs w:val="21"/>
          <w:u w:val="single"/>
          <w:lang w:val="en-US" w:eastAsia="zh-CN"/>
        </w:rPr>
        <w:t>\</w:t>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u w:val="single"/>
        </w:rPr>
        <w:t xml:space="preserve">    </w:t>
      </w:r>
      <w:r>
        <w:rPr>
          <w:rFonts w:hint="eastAsia" w:ascii="宋体" w:hAnsi="宋体"/>
          <w:szCs w:val="21"/>
        </w:rPr>
        <w:t>。</w:t>
      </w:r>
    </w:p>
    <w:p w14:paraId="26082015">
      <w:pPr>
        <w:tabs>
          <w:tab w:val="left" w:pos="1134"/>
        </w:tabs>
        <w:spacing w:line="360" w:lineRule="auto"/>
        <w:ind w:firstLine="420" w:firstLineChars="200"/>
        <w:rPr>
          <w:rFonts w:ascii="宋体" w:hAnsi="宋体"/>
          <w:szCs w:val="21"/>
        </w:rPr>
      </w:pPr>
      <w:r>
        <w:rPr>
          <w:rFonts w:hint="eastAsia" w:ascii="宋体" w:hAnsi="宋体"/>
          <w:szCs w:val="21"/>
        </w:rPr>
        <w:t>1.4</w:t>
      </w:r>
      <w:r>
        <w:rPr>
          <w:rFonts w:ascii="宋体" w:hAnsi="宋体"/>
          <w:szCs w:val="21"/>
        </w:rPr>
        <w:t xml:space="preserve"> </w:t>
      </w:r>
      <w:r>
        <w:rPr>
          <w:rFonts w:hint="eastAsia" w:ascii="宋体" w:hAnsi="宋体"/>
          <w:szCs w:val="21"/>
        </w:rPr>
        <w:t>合同的生效及变更</w:t>
      </w:r>
    </w:p>
    <w:p w14:paraId="78560FC7">
      <w:pPr>
        <w:tabs>
          <w:tab w:val="left" w:pos="1134"/>
        </w:tabs>
        <w:spacing w:line="360" w:lineRule="auto"/>
        <w:ind w:firstLine="420" w:firstLineChars="200"/>
        <w:rPr>
          <w:rFonts w:ascii="宋体" w:hAnsi="宋体"/>
          <w:szCs w:val="21"/>
          <w:u w:val="single"/>
        </w:rPr>
      </w:pPr>
      <w:r>
        <w:rPr>
          <w:rFonts w:ascii="宋体" w:hAnsi="宋体"/>
          <w:szCs w:val="21"/>
        </w:rPr>
        <w:t xml:space="preserve">1.4.1 </w:t>
      </w:r>
      <w:r>
        <w:rPr>
          <w:rFonts w:hint="eastAsia" w:ascii="宋体" w:hAnsi="宋体"/>
          <w:szCs w:val="21"/>
        </w:rPr>
        <w:t>合同生效的约定：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6889E6E8">
      <w:pPr>
        <w:tabs>
          <w:tab w:val="left" w:pos="1134"/>
        </w:tabs>
        <w:spacing w:line="360" w:lineRule="auto"/>
        <w:ind w:firstLine="420" w:firstLineChars="200"/>
        <w:rPr>
          <w:rFonts w:ascii="宋体" w:hAnsi="宋体"/>
          <w:szCs w:val="21"/>
          <w:u w:val="single"/>
        </w:rPr>
      </w:pPr>
      <w:r>
        <w:rPr>
          <w:rFonts w:hint="eastAsia" w:ascii="宋体" w:hAnsi="宋体"/>
          <w:szCs w:val="21"/>
        </w:rPr>
        <w:t>1.4.2</w:t>
      </w:r>
      <w:r>
        <w:rPr>
          <w:rFonts w:ascii="宋体" w:hAnsi="宋体"/>
          <w:szCs w:val="21"/>
        </w:rPr>
        <w:t xml:space="preserve"> </w:t>
      </w:r>
      <w:r>
        <w:rPr>
          <w:rFonts w:hint="eastAsia" w:ascii="宋体" w:hAnsi="宋体"/>
          <w:szCs w:val="21"/>
        </w:rPr>
        <w:t>合同变更的约定：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60F5449E">
      <w:pPr>
        <w:tabs>
          <w:tab w:val="left" w:pos="1134"/>
        </w:tabs>
        <w:spacing w:line="360" w:lineRule="auto"/>
        <w:ind w:firstLine="420" w:firstLineChars="200"/>
        <w:rPr>
          <w:rFonts w:ascii="宋体" w:hAnsi="宋体"/>
          <w:szCs w:val="21"/>
        </w:rPr>
      </w:pPr>
      <w:r>
        <w:rPr>
          <w:rFonts w:hint="eastAsia" w:ascii="宋体" w:hAnsi="宋体"/>
          <w:szCs w:val="21"/>
        </w:rPr>
        <w:t>1.5</w:t>
      </w:r>
      <w:r>
        <w:rPr>
          <w:rFonts w:ascii="宋体" w:hAnsi="宋体"/>
          <w:szCs w:val="21"/>
        </w:rPr>
        <w:t xml:space="preserve"> </w:t>
      </w:r>
      <w:r>
        <w:rPr>
          <w:rFonts w:hint="eastAsia" w:ascii="宋体" w:hAnsi="宋体"/>
          <w:szCs w:val="21"/>
        </w:rPr>
        <w:t>联络</w:t>
      </w:r>
    </w:p>
    <w:p w14:paraId="0C9B8F95">
      <w:pPr>
        <w:tabs>
          <w:tab w:val="left" w:pos="1134"/>
        </w:tabs>
        <w:spacing w:line="360" w:lineRule="auto"/>
        <w:ind w:firstLine="420"/>
        <w:rPr>
          <w:rFonts w:ascii="宋体" w:hAnsi="宋体"/>
          <w:szCs w:val="21"/>
          <w:u w:val="single"/>
        </w:rPr>
      </w:pPr>
      <w:r>
        <w:rPr>
          <w:rFonts w:hint="eastAsia" w:ascii="宋体" w:hAnsi="宋体"/>
          <w:szCs w:val="21"/>
        </w:rPr>
        <w:t>1.5.1</w:t>
      </w:r>
      <w:r>
        <w:rPr>
          <w:rFonts w:ascii="宋体" w:hAnsi="宋体"/>
          <w:szCs w:val="21"/>
        </w:rPr>
        <w:t xml:space="preserve"> </w:t>
      </w:r>
      <w:r>
        <w:rPr>
          <w:rFonts w:hint="eastAsia" w:ascii="宋体" w:hAnsi="宋体"/>
          <w:szCs w:val="21"/>
        </w:rPr>
        <w:t>买方指定的联系人及联系方式：</w:t>
      </w:r>
      <w:r>
        <w:rPr>
          <w:rFonts w:hint="eastAsia" w:ascii="宋体" w:hAnsi="宋体"/>
          <w:szCs w:val="21"/>
          <w:u w:val="single"/>
        </w:rPr>
        <w:t xml:space="preserve">                                 </w:t>
      </w:r>
      <w:r>
        <w:rPr>
          <w:rFonts w:hint="eastAsia" w:ascii="宋体" w:hAnsi="宋体"/>
          <w:szCs w:val="21"/>
        </w:rPr>
        <w:t>。</w:t>
      </w:r>
    </w:p>
    <w:p w14:paraId="3DDB3DBC">
      <w:pPr>
        <w:tabs>
          <w:tab w:val="left" w:pos="1134"/>
        </w:tabs>
        <w:spacing w:line="360" w:lineRule="auto"/>
        <w:ind w:firstLine="420"/>
        <w:rPr>
          <w:rFonts w:ascii="宋体" w:hAnsi="宋体"/>
          <w:szCs w:val="21"/>
          <w:u w:val="single"/>
        </w:rPr>
      </w:pPr>
      <w:r>
        <w:rPr>
          <w:rFonts w:hint="eastAsia" w:ascii="宋体" w:hAnsi="宋体"/>
          <w:szCs w:val="21"/>
        </w:rPr>
        <w:t>卖方指定的联系人及联系方式：</w:t>
      </w:r>
      <w:r>
        <w:rPr>
          <w:rFonts w:hint="eastAsia" w:ascii="宋体" w:hAnsi="宋体"/>
          <w:szCs w:val="21"/>
          <w:u w:val="single"/>
        </w:rPr>
        <w:t xml:space="preserve">                                       </w:t>
      </w:r>
      <w:r>
        <w:rPr>
          <w:rFonts w:hint="eastAsia" w:ascii="宋体" w:hAnsi="宋体"/>
          <w:szCs w:val="21"/>
        </w:rPr>
        <w:t>。</w:t>
      </w:r>
    </w:p>
    <w:p w14:paraId="3966A5F4">
      <w:pPr>
        <w:tabs>
          <w:tab w:val="left" w:pos="1134"/>
        </w:tabs>
        <w:spacing w:line="360" w:lineRule="auto"/>
        <w:ind w:firstLine="420" w:firstLineChars="200"/>
        <w:rPr>
          <w:rFonts w:ascii="宋体" w:hAnsi="宋体"/>
          <w:szCs w:val="21"/>
        </w:rPr>
      </w:pPr>
      <w:r>
        <w:rPr>
          <w:rFonts w:hint="eastAsia" w:ascii="宋体" w:hAnsi="宋体"/>
          <w:szCs w:val="21"/>
        </w:rPr>
        <w:t>1.6</w:t>
      </w:r>
      <w:r>
        <w:rPr>
          <w:rFonts w:ascii="宋体" w:hAnsi="宋体"/>
          <w:szCs w:val="21"/>
        </w:rPr>
        <w:t xml:space="preserve"> </w:t>
      </w:r>
      <w:r>
        <w:rPr>
          <w:rFonts w:hint="eastAsia" w:ascii="宋体" w:hAnsi="宋体"/>
          <w:szCs w:val="21"/>
        </w:rPr>
        <w:t>联合体</w:t>
      </w:r>
    </w:p>
    <w:p w14:paraId="3EBA735E">
      <w:pPr>
        <w:tabs>
          <w:tab w:val="left" w:pos="1134"/>
        </w:tabs>
        <w:spacing w:line="360" w:lineRule="auto"/>
        <w:ind w:firstLine="420"/>
        <w:rPr>
          <w:rFonts w:ascii="宋体" w:hAnsi="宋体"/>
          <w:szCs w:val="21"/>
        </w:rPr>
      </w:pPr>
      <w:r>
        <w:rPr>
          <w:rFonts w:ascii="宋体" w:hAnsi="宋体"/>
          <w:szCs w:val="21"/>
        </w:rPr>
        <w:t xml:space="preserve">1.6.3 </w:t>
      </w:r>
      <w:r>
        <w:rPr>
          <w:rFonts w:hint="eastAsia" w:ascii="宋体" w:hAnsi="宋体"/>
          <w:szCs w:val="21"/>
        </w:rPr>
        <w:t>牵头人行为效力的约定：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411FC92D">
      <w:pPr>
        <w:pStyle w:val="97"/>
        <w:keepNext w:val="0"/>
        <w:keepLines w:val="0"/>
        <w:tabs>
          <w:tab w:val="left" w:pos="567"/>
        </w:tabs>
        <w:spacing w:before="156" w:after="156"/>
        <w:rPr>
          <w:rFonts w:eastAsia="宋体" w:cs="Times New Roman"/>
          <w:b/>
          <w:bCs/>
          <w:sz w:val="32"/>
          <w:szCs w:val="32"/>
        </w:rPr>
      </w:pPr>
      <w:bookmarkStart w:id="781" w:name="_Toc19197"/>
      <w:bookmarkStart w:id="782" w:name="_Toc23081"/>
      <w:bookmarkStart w:id="783" w:name="_Toc2859382"/>
      <w:bookmarkStart w:id="784" w:name="_Toc17351"/>
      <w:bookmarkStart w:id="785" w:name="_Toc29106"/>
      <w:bookmarkStart w:id="786" w:name="_Toc1168"/>
      <w:bookmarkStart w:id="787" w:name="_Toc24363"/>
      <w:bookmarkStart w:id="788" w:name="_Toc531098984"/>
      <w:r>
        <w:rPr>
          <w:rFonts w:hint="eastAsia" w:eastAsia="宋体" w:cs="Times New Roman"/>
          <w:b/>
          <w:bCs/>
          <w:sz w:val="32"/>
          <w:szCs w:val="32"/>
        </w:rPr>
        <w:t>3. 合同价格与支付</w:t>
      </w:r>
      <w:bookmarkEnd w:id="781"/>
      <w:bookmarkEnd w:id="782"/>
      <w:bookmarkEnd w:id="783"/>
      <w:bookmarkEnd w:id="784"/>
      <w:bookmarkEnd w:id="785"/>
      <w:bookmarkEnd w:id="786"/>
      <w:bookmarkEnd w:id="787"/>
      <w:bookmarkEnd w:id="788"/>
    </w:p>
    <w:p w14:paraId="2B84BAD7">
      <w:pPr>
        <w:tabs>
          <w:tab w:val="left" w:pos="1134"/>
        </w:tabs>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73E189E6">
      <w:pPr>
        <w:tabs>
          <w:tab w:val="left" w:pos="1134"/>
        </w:tabs>
        <w:spacing w:line="360" w:lineRule="auto"/>
        <w:ind w:firstLine="420"/>
        <w:rPr>
          <w:rFonts w:hint="eastAsia" w:ascii="宋体" w:hAnsi="宋体"/>
          <w:color w:val="auto"/>
          <w:szCs w:val="21"/>
        </w:rPr>
      </w:pPr>
      <w:r>
        <w:rPr>
          <w:rFonts w:ascii="宋体" w:hAnsi="宋体"/>
          <w:color w:val="auto"/>
          <w:szCs w:val="21"/>
        </w:rPr>
        <w:t xml:space="preserve">3.1.2 </w:t>
      </w:r>
      <w:r>
        <w:rPr>
          <w:rFonts w:hint="eastAsia" w:ascii="宋体" w:hAnsi="宋体"/>
          <w:color w:val="auto"/>
          <w:szCs w:val="21"/>
        </w:rPr>
        <w:t>签约合同价的约定：</w:t>
      </w:r>
    </w:p>
    <w:p w14:paraId="48C4138A">
      <w:pPr>
        <w:pageBreakBefore w:val="0"/>
        <w:tabs>
          <w:tab w:val="left" w:pos="1134"/>
        </w:tabs>
        <w:topLinePunct w:val="0"/>
        <w:bidi w:val="0"/>
        <w:spacing w:line="360" w:lineRule="auto"/>
        <w:ind w:firstLine="420"/>
        <w:rPr>
          <w:rFonts w:hint="eastAsia" w:ascii="宋体" w:hAnsi="宋体" w:eastAsia="宋体" w:cs="宋体"/>
          <w:caps w:val="0"/>
          <w:smallCaps w:val="0"/>
          <w:color w:val="auto"/>
          <w:kern w:val="2"/>
          <w:sz w:val="21"/>
          <w:szCs w:val="21"/>
          <w:lang w:val="en-US" w:eastAsia="zh-CN" w:bidi="ar-SA"/>
        </w:rPr>
      </w:pPr>
      <w:r>
        <w:rPr>
          <w:rFonts w:hint="eastAsia" w:ascii="宋体" w:hAnsi="宋体" w:eastAsia="宋体" w:cs="宋体"/>
          <w:caps w:val="0"/>
          <w:smallCaps w:val="0"/>
          <w:color w:val="auto"/>
          <w:sz w:val="21"/>
          <w:szCs w:val="21"/>
          <w:highlight w:val="none"/>
          <w:u w:val="none"/>
          <w:lang w:val="en-US" w:eastAsia="zh-CN"/>
        </w:rPr>
        <w:t>（1）本合同为总价包干合同；</w:t>
      </w:r>
      <w:r>
        <w:rPr>
          <w:rFonts w:hint="eastAsia" w:ascii="宋体" w:hAnsi="宋体" w:eastAsia="宋体" w:cs="宋体"/>
          <w:caps w:val="0"/>
          <w:smallCaps w:val="0"/>
          <w:color w:val="auto"/>
          <w:kern w:val="2"/>
          <w:sz w:val="21"/>
          <w:szCs w:val="21"/>
          <w:lang w:val="en-US" w:eastAsia="zh-CN" w:bidi="ar-SA"/>
        </w:rPr>
        <w:t>除合同约定扣除违约金的情况为外，合同价不调整。</w:t>
      </w:r>
    </w:p>
    <w:p w14:paraId="6EE3EAA0">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auto"/>
          <w:kern w:val="2"/>
          <w:sz w:val="21"/>
          <w:szCs w:val="21"/>
          <w:lang w:val="en-US" w:eastAsia="zh-CN" w:bidi="ar-SA"/>
        </w:rPr>
        <w:t>合同价款</w:t>
      </w:r>
      <w:r>
        <w:rPr>
          <w:rFonts w:hint="eastAsia" w:ascii="宋体" w:hAnsi="宋体" w:eastAsia="宋体" w:cs="宋体"/>
          <w:caps w:val="0"/>
          <w:smallCaps w:val="0"/>
          <w:color w:val="auto"/>
          <w:sz w:val="21"/>
          <w:szCs w:val="21"/>
          <w:lang w:val="en-US" w:eastAsia="zh-CN"/>
        </w:rPr>
        <w:t>包含了完成合同</w:t>
      </w:r>
      <w:r>
        <w:rPr>
          <w:rFonts w:hint="eastAsia" w:ascii="宋体" w:hAnsi="宋体" w:eastAsia="宋体" w:cs="宋体"/>
          <w:caps w:val="0"/>
          <w:smallCaps w:val="0"/>
          <w:color w:val="auto"/>
          <w:sz w:val="21"/>
          <w:szCs w:val="21"/>
        </w:rPr>
        <w:t>全部内容，如果有任何遗漏，均被视为</w:t>
      </w:r>
      <w:r>
        <w:rPr>
          <w:rFonts w:hint="eastAsia" w:ascii="宋体" w:hAnsi="宋体" w:eastAsia="宋体" w:cs="宋体"/>
          <w:caps w:val="0"/>
          <w:smallCaps w:val="0"/>
          <w:color w:val="auto"/>
          <w:sz w:val="21"/>
          <w:szCs w:val="21"/>
          <w:lang w:val="en-US" w:eastAsia="zh-CN"/>
        </w:rPr>
        <w:t>卖方</w:t>
      </w:r>
      <w:r>
        <w:rPr>
          <w:rFonts w:hint="eastAsia" w:ascii="宋体" w:hAnsi="宋体" w:eastAsia="宋体" w:cs="宋体"/>
          <w:caps w:val="0"/>
          <w:smallCaps w:val="0"/>
          <w:color w:val="auto"/>
          <w:sz w:val="21"/>
          <w:szCs w:val="21"/>
        </w:rPr>
        <w:t>已经在</w:t>
      </w:r>
      <w:r>
        <w:rPr>
          <w:rFonts w:hint="eastAsia" w:ascii="宋体" w:hAnsi="宋体" w:eastAsia="宋体" w:cs="宋体"/>
          <w:caps w:val="0"/>
          <w:smallCaps w:val="0"/>
          <w:color w:val="auto"/>
          <w:sz w:val="21"/>
          <w:szCs w:val="21"/>
          <w:lang w:val="en-US" w:eastAsia="zh-CN"/>
        </w:rPr>
        <w:t>合同</w:t>
      </w:r>
      <w:r>
        <w:rPr>
          <w:rFonts w:hint="eastAsia" w:ascii="宋体" w:hAnsi="宋体" w:eastAsia="宋体" w:cs="宋体"/>
          <w:caps w:val="0"/>
          <w:smallCaps w:val="0"/>
          <w:color w:val="auto"/>
          <w:sz w:val="21"/>
          <w:szCs w:val="21"/>
        </w:rPr>
        <w:t>价中考虑</w:t>
      </w:r>
      <w:r>
        <w:rPr>
          <w:rFonts w:hint="eastAsia" w:ascii="宋体" w:hAnsi="宋体" w:eastAsia="宋体" w:cs="宋体"/>
          <w:caps w:val="0"/>
          <w:smallCaps w:val="0"/>
          <w:color w:val="000000"/>
          <w:sz w:val="21"/>
          <w:szCs w:val="21"/>
        </w:rPr>
        <w:t>。</w:t>
      </w:r>
      <w:r>
        <w:rPr>
          <w:rFonts w:hint="eastAsia" w:ascii="宋体" w:hAnsi="宋体" w:eastAsia="宋体" w:cs="宋体"/>
          <w:caps w:val="0"/>
          <w:smallCaps w:val="0"/>
          <w:color w:val="000000"/>
          <w:sz w:val="21"/>
          <w:szCs w:val="21"/>
          <w:lang w:val="en-US" w:eastAsia="zh-CN"/>
        </w:rPr>
        <w:t>合同价包含设备费用和设备到项目施工现场、落地初验、转运、仓储、安装、验收合格及质量保证期的各项费用等相关费用。包括但不限于所有</w:t>
      </w:r>
      <w:r>
        <w:rPr>
          <w:rFonts w:hint="eastAsia" w:ascii="宋体" w:hAnsi="宋体" w:eastAsia="宋体" w:cs="宋体"/>
          <w:caps w:val="0"/>
          <w:smallCaps w:val="0"/>
          <w:color w:val="000000"/>
          <w:sz w:val="21"/>
          <w:szCs w:val="21"/>
          <w:vertAlign w:val="baseline"/>
          <w:lang w:val="en-US" w:eastAsia="zh-CN"/>
        </w:rPr>
        <w:t>人工费、材料费、机械费、企业管理费、利润、风险费、措施费（含安全文明施工费、疫情常态化防疫措施费等）、规费、税金（含增值税、城建税、教育费附加、地方教育附加）、配合费、二次或多次转运费、建设工程竣工档案编制费、垃圾清运费、成品保护费、养护费、政策性文件规定费用，以及专用合同条款明示或暗示的所有责任、义务和风险。是卖方在对招标项目充分了解及对风险充分估计后，为实施和完成该合同全部内容所作的完备报价。</w:t>
      </w:r>
    </w:p>
    <w:p w14:paraId="5CFB36AF">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2）合同内容实施期间，买方有权要求卖方对中标方案进行优化，对合同设计内容变更（含系统结构图及其它详图），卖方应书面报买方书面审批后方可进行修改，修改版本以数字形式在图标的版本栏内表示出来。卖方负责向海外制造商取得所需的资料（如有）。</w:t>
      </w:r>
    </w:p>
    <w:p w14:paraId="00AE2069">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（3）合同实施期间，导致卖方人工、材料、机械设备窝工及相关损失的包含在签约合同价中。</w:t>
      </w:r>
    </w:p>
    <w:p w14:paraId="252A9943">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4）在合同实施期间，若卖方需对合同设备或其组成部件的品牌或技术方案进行变更，卖方应于采购前28天将品牌和技术方案的相关变更材料以书面的形式报送买方，经买方书面审批同意后，卖方方可采购实施，若买方未同意，则卖方必须按合同要求执行。涉及到与本合同约定不相符的，卖方书面申请，经买方组织评审后书面批复后方可实施，书面批复必须是加盖买方公章，否则，按不合格（或未按合同约定履约）处理。</w:t>
      </w:r>
    </w:p>
    <w:p w14:paraId="6F7BE5D8">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3.1.3 合同价格形式</w:t>
      </w:r>
    </w:p>
    <w:p w14:paraId="05640D9A">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eastAsia="zh-CN"/>
        </w:rPr>
      </w:pPr>
      <w:r>
        <w:rPr>
          <w:rFonts w:hint="eastAsia" w:ascii="宋体" w:hAnsi="宋体" w:eastAsia="宋体" w:cs="宋体"/>
          <w:caps w:val="0"/>
          <w:smallCaps w:val="0"/>
          <w:color w:val="auto"/>
          <w:sz w:val="21"/>
          <w:szCs w:val="21"/>
          <w:highlight w:val="none"/>
          <w:lang w:val="en-US" w:eastAsia="zh-CN"/>
        </w:rPr>
        <w:t>本合同价格形式采用</w:t>
      </w:r>
      <w:r>
        <w:rPr>
          <w:rFonts w:hint="eastAsia" w:ascii="宋体" w:hAnsi="宋体" w:eastAsia="宋体" w:cs="宋体"/>
          <w:caps w:val="0"/>
          <w:smallCaps w:val="0"/>
          <w:color w:val="auto"/>
          <w:sz w:val="21"/>
          <w:szCs w:val="21"/>
          <w:highlight w:val="none"/>
        </w:rPr>
        <w:t>以下</w:t>
      </w:r>
      <w:r>
        <w:rPr>
          <w:rFonts w:hint="eastAsia" w:ascii="宋体" w:hAnsi="宋体" w:eastAsia="宋体" w:cs="宋体"/>
          <w:caps w:val="0"/>
          <w:smallCaps w:val="0"/>
          <w:color w:val="auto"/>
          <w:sz w:val="21"/>
          <w:szCs w:val="21"/>
          <w:highlight w:val="none"/>
          <w:u w:val="none"/>
          <w:lang w:val="en-US" w:eastAsia="zh-CN"/>
        </w:rPr>
        <w:t>形式：</w:t>
      </w:r>
    </w:p>
    <w:p w14:paraId="702A291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（1）固定总价形式：合同价格=签约合同价-</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减价</w:t>
      </w:r>
      <w:r>
        <w:rPr>
          <w:rFonts w:hint="eastAsia" w:ascii="宋体" w:hAnsi="宋体" w:eastAsia="宋体" w:cs="宋体"/>
          <w:caps w:val="0"/>
          <w:smallCaps w:val="0"/>
          <w:color w:val="auto"/>
          <w:sz w:val="21"/>
          <w:szCs w:val="21"/>
          <w:highlight w:val="none"/>
          <w:lang w:val="en-US" w:eastAsia="zh-CN"/>
        </w:rPr>
        <w:t>金额</w:t>
      </w:r>
      <w:r>
        <w:rPr>
          <w:rFonts w:hint="eastAsia" w:ascii="宋体" w:hAnsi="宋体" w:eastAsia="宋体" w:cs="宋体"/>
          <w:caps w:val="0"/>
          <w:smallCaps w:val="0"/>
          <w:color w:val="auto"/>
          <w:sz w:val="21"/>
          <w:szCs w:val="21"/>
          <w:highlight w:val="none"/>
        </w:rPr>
        <w:t>或向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支付</w:t>
      </w:r>
      <w:r>
        <w:rPr>
          <w:rFonts w:hint="eastAsia" w:ascii="宋体" w:hAnsi="宋体" w:eastAsia="宋体" w:cs="宋体"/>
          <w:caps w:val="0"/>
          <w:smallCaps w:val="0"/>
          <w:color w:val="auto"/>
          <w:sz w:val="21"/>
          <w:szCs w:val="21"/>
          <w:highlight w:val="none"/>
          <w:lang w:val="en-US" w:eastAsia="zh-CN"/>
        </w:rPr>
        <w:t>的</w:t>
      </w:r>
      <w:r>
        <w:rPr>
          <w:rFonts w:hint="eastAsia" w:ascii="宋体" w:hAnsi="宋体" w:eastAsia="宋体" w:cs="宋体"/>
          <w:caps w:val="0"/>
          <w:smallCaps w:val="0"/>
          <w:color w:val="auto"/>
          <w:sz w:val="21"/>
          <w:szCs w:val="21"/>
          <w:highlight w:val="none"/>
        </w:rPr>
        <w:t>补偿金</w:t>
      </w:r>
      <w:r>
        <w:rPr>
          <w:rFonts w:hint="eastAsia" w:ascii="宋体" w:hAnsi="宋体" w:eastAsia="宋体" w:cs="宋体"/>
          <w:caps w:val="0"/>
          <w:smallCaps w:val="0"/>
          <w:color w:val="auto"/>
          <w:sz w:val="21"/>
          <w:szCs w:val="21"/>
          <w:highlight w:val="none"/>
          <w:lang w:val="en-US" w:eastAsia="zh-CN"/>
        </w:rPr>
        <w:t>-违约金或赔偿金±合同变更金额。</w:t>
      </w:r>
    </w:p>
    <w:p w14:paraId="4646A920">
      <w:pPr>
        <w:pStyle w:val="2"/>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 w:val="21"/>
          <w:szCs w:val="21"/>
          <w:vertAlign w:val="baseline"/>
          <w:lang w:val="en-US" w:eastAsia="zh-CN"/>
        </w:rPr>
      </w:pPr>
      <w:r>
        <w:rPr>
          <w:rFonts w:hint="eastAsia" w:ascii="宋体" w:hAnsi="宋体" w:eastAsia="宋体" w:cs="宋体"/>
          <w:caps w:val="0"/>
          <w:smallCaps w:val="0"/>
          <w:color w:val="auto"/>
          <w:kern w:val="2"/>
          <w:sz w:val="21"/>
          <w:szCs w:val="21"/>
          <w:highlight w:val="none"/>
          <w:u w:val="none"/>
          <w:lang w:val="en-US" w:eastAsia="zh-CN" w:bidi="ar-SA"/>
        </w:rPr>
        <w:t>（2）合同履约完成后，合同内容变更（本合同和附件《供货要求》中约定以外的内容）计算方式为：增（减）工程量（价）按中标人投标文件相同或相似单项计价原则进行计价，如合同内容变更合计增加（减少）工程价在合同价</w:t>
      </w:r>
      <w:r>
        <w:rPr>
          <w:rFonts w:hint="eastAsia" w:ascii="宋体" w:hAnsi="宋体" w:cs="宋体"/>
          <w:caps w:val="0"/>
          <w:smallCaps w:val="0"/>
          <w:color w:val="auto"/>
          <w:kern w:val="2"/>
          <w:sz w:val="21"/>
          <w:szCs w:val="21"/>
          <w:highlight w:val="none"/>
          <w:u w:val="single"/>
          <w:lang w:val="en-US" w:eastAsia="zh-CN" w:bidi="ar-SA"/>
        </w:rPr>
        <w:t>2</w:t>
      </w:r>
      <w:r>
        <w:rPr>
          <w:rFonts w:hint="eastAsia" w:ascii="宋体" w:hAnsi="宋体" w:eastAsia="宋体" w:cs="宋体"/>
          <w:caps w:val="0"/>
          <w:smallCaps w:val="0"/>
          <w:color w:val="auto"/>
          <w:kern w:val="2"/>
          <w:sz w:val="21"/>
          <w:szCs w:val="21"/>
          <w:highlight w:val="none"/>
          <w:u w:val="single"/>
          <w:lang w:val="en-US" w:eastAsia="zh-CN" w:bidi="ar-SA"/>
        </w:rPr>
        <w:t>%</w:t>
      </w:r>
      <w:r>
        <w:rPr>
          <w:rFonts w:hint="eastAsia" w:ascii="宋体" w:hAnsi="宋体" w:eastAsia="宋体" w:cs="宋体"/>
          <w:caps w:val="0"/>
          <w:smallCaps w:val="0"/>
          <w:color w:val="auto"/>
          <w:kern w:val="2"/>
          <w:sz w:val="21"/>
          <w:szCs w:val="21"/>
          <w:highlight w:val="none"/>
          <w:u w:val="none"/>
          <w:lang w:val="en-US" w:eastAsia="zh-CN" w:bidi="ar-SA"/>
        </w:rPr>
        <w:t>范围以内的不予调整，增加（减少</w:t>
      </w:r>
      <w:r>
        <w:rPr>
          <w:rFonts w:hint="eastAsia" w:ascii="宋体" w:hAnsi="宋体" w:eastAsia="宋体" w:cs="宋体"/>
          <w:caps w:val="0"/>
          <w:smallCaps w:val="0"/>
          <w:color w:val="auto"/>
          <w:kern w:val="2"/>
          <w:sz w:val="21"/>
          <w:szCs w:val="21"/>
          <w:highlight w:val="none"/>
          <w:u w:val="single"/>
          <w:lang w:val="en-US" w:eastAsia="zh-CN" w:bidi="ar-SA"/>
        </w:rPr>
        <w:t>）</w:t>
      </w:r>
      <w:r>
        <w:rPr>
          <w:rFonts w:hint="eastAsia" w:ascii="宋体" w:hAnsi="宋体" w:cs="宋体"/>
          <w:caps w:val="0"/>
          <w:smallCaps w:val="0"/>
          <w:color w:val="auto"/>
          <w:kern w:val="2"/>
          <w:sz w:val="21"/>
          <w:szCs w:val="21"/>
          <w:highlight w:val="none"/>
          <w:u w:val="single"/>
          <w:lang w:val="en-US" w:eastAsia="zh-CN" w:bidi="ar-SA"/>
        </w:rPr>
        <w:t>2</w:t>
      </w:r>
      <w:r>
        <w:rPr>
          <w:rFonts w:hint="eastAsia" w:ascii="宋体" w:hAnsi="宋体" w:eastAsia="宋体" w:cs="宋体"/>
          <w:caps w:val="0"/>
          <w:smallCaps w:val="0"/>
          <w:color w:val="auto"/>
          <w:kern w:val="2"/>
          <w:sz w:val="21"/>
          <w:szCs w:val="21"/>
          <w:highlight w:val="none"/>
          <w:u w:val="single"/>
          <w:lang w:val="en-US" w:eastAsia="zh-CN" w:bidi="ar-SA"/>
        </w:rPr>
        <w:t>%</w:t>
      </w:r>
      <w:r>
        <w:rPr>
          <w:rFonts w:hint="eastAsia" w:ascii="宋体" w:hAnsi="宋体" w:eastAsia="宋体" w:cs="宋体"/>
          <w:caps w:val="0"/>
          <w:smallCaps w:val="0"/>
          <w:color w:val="auto"/>
          <w:kern w:val="2"/>
          <w:sz w:val="21"/>
          <w:szCs w:val="21"/>
          <w:highlight w:val="none"/>
          <w:u w:val="none"/>
          <w:lang w:val="en-US" w:eastAsia="zh-CN" w:bidi="ar-SA"/>
        </w:rPr>
        <w:t>范围以外部分据实进行调整，但调整后最终总价不超过买方招标时发布的最高限价。</w:t>
      </w:r>
    </w:p>
    <w:p w14:paraId="685B34B0">
      <w:pPr>
        <w:tabs>
          <w:tab w:val="left" w:pos="1134"/>
        </w:tabs>
        <w:spacing w:line="360" w:lineRule="auto"/>
        <w:ind w:firstLine="420" w:firstLineChars="200"/>
        <w:rPr>
          <w:rFonts w:ascii="宋体" w:hAnsi="宋体"/>
          <w:szCs w:val="21"/>
        </w:rPr>
      </w:pPr>
      <w:r>
        <w:rPr>
          <w:rFonts w:hint="eastAsia" w:ascii="宋体" w:hAnsi="宋体"/>
          <w:szCs w:val="21"/>
        </w:rPr>
        <w:t>3.2</w:t>
      </w:r>
      <w:r>
        <w:rPr>
          <w:rFonts w:ascii="宋体" w:hAnsi="宋体"/>
          <w:szCs w:val="21"/>
        </w:rPr>
        <w:t xml:space="preserve"> </w:t>
      </w:r>
      <w:r>
        <w:rPr>
          <w:rFonts w:hint="eastAsia" w:ascii="宋体" w:hAnsi="宋体"/>
          <w:szCs w:val="21"/>
        </w:rPr>
        <w:t>合同价款的支付</w:t>
      </w:r>
    </w:p>
    <w:p w14:paraId="2A2FD55B">
      <w:pPr>
        <w:spacing w:line="360" w:lineRule="auto"/>
        <w:ind w:firstLine="420" w:firstLineChars="200"/>
        <w:rPr>
          <w:rFonts w:hint="eastAsia" w:ascii="宋体" w:hAnsi="宋体"/>
          <w:szCs w:val="21"/>
        </w:rPr>
      </w:pPr>
      <w:r>
        <w:rPr>
          <w:rFonts w:hint="eastAsia" w:ascii="宋体" w:hAnsi="宋体"/>
          <w:szCs w:val="21"/>
        </w:rPr>
        <w:t>合同价款支付的约定：</w:t>
      </w:r>
    </w:p>
    <w:p w14:paraId="741BE941">
      <w:pPr>
        <w:pageBreakBefore w:val="0"/>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auto"/>
          <w:sz w:val="21"/>
          <w:szCs w:val="21"/>
          <w:highlight w:val="none"/>
          <w:lang w:val="en-US" w:eastAsia="zh-CN"/>
        </w:rPr>
      </w:pPr>
      <w:r>
        <w:rPr>
          <w:rFonts w:hint="eastAsia" w:ascii="宋体" w:hAnsi="宋体" w:eastAsia="宋体" w:cs="宋体"/>
          <w:b w:val="0"/>
          <w:bCs w:val="0"/>
          <w:i w:val="0"/>
          <w:iCs w:val="0"/>
          <w:caps w:val="0"/>
          <w:smallCaps w:val="0"/>
          <w:color w:val="auto"/>
          <w:sz w:val="21"/>
          <w:szCs w:val="21"/>
          <w:highlight w:val="none"/>
          <w:lang w:val="en-US" w:eastAsia="zh-CN"/>
        </w:rPr>
        <w:t>3.2.1预付款</w:t>
      </w:r>
    </w:p>
    <w:p w14:paraId="158DC2E4">
      <w:pPr>
        <w:pageBreakBefore w:val="0"/>
        <w:numPr>
          <w:ilvl w:val="0"/>
          <w:numId w:val="2"/>
        </w:numPr>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000000"/>
          <w:sz w:val="21"/>
          <w:szCs w:val="21"/>
          <w:highlight w:val="none"/>
          <w:u w:val="none"/>
          <w:lang w:val="en-US" w:eastAsia="zh-CN"/>
        </w:rPr>
      </w:pPr>
      <w:r>
        <w:rPr>
          <w:rFonts w:hint="eastAsia" w:ascii="宋体" w:hAnsi="宋体" w:eastAsia="宋体" w:cs="宋体"/>
          <w:b w:val="0"/>
          <w:bCs w:val="0"/>
          <w:i w:val="0"/>
          <w:iCs w:val="0"/>
          <w:caps w:val="0"/>
          <w:smallCaps w:val="0"/>
          <w:color w:val="000000"/>
          <w:sz w:val="21"/>
          <w:szCs w:val="21"/>
          <w:highlight w:val="none"/>
          <w:u w:val="none"/>
          <w:lang w:val="en-US" w:eastAsia="zh-CN"/>
        </w:rPr>
        <w:t>预付款支付比例或金额：签约合同</w:t>
      </w:r>
      <w:r>
        <w:rPr>
          <w:rFonts w:hint="eastAsia" w:ascii="宋体" w:hAnsi="宋体" w:eastAsia="宋体" w:cs="宋体"/>
          <w:b w:val="0"/>
          <w:bCs w:val="0"/>
          <w:i w:val="0"/>
          <w:iCs w:val="0"/>
          <w:caps w:val="0"/>
          <w:smallCaps w:val="0"/>
          <w:color w:val="000000"/>
          <w:sz w:val="21"/>
          <w:szCs w:val="21"/>
          <w:highlight w:val="yellow"/>
          <w:u w:val="none"/>
          <w:lang w:val="en-US" w:eastAsia="zh-CN"/>
        </w:rPr>
        <w:t>价的</w:t>
      </w:r>
      <w:r>
        <w:rPr>
          <w:rFonts w:hint="eastAsia" w:ascii="宋体" w:hAnsi="宋体" w:cs="宋体"/>
          <w:b w:val="0"/>
          <w:bCs w:val="0"/>
          <w:i w:val="0"/>
          <w:iCs w:val="0"/>
          <w:caps w:val="0"/>
          <w:smallCaps w:val="0"/>
          <w:color w:val="000000"/>
          <w:sz w:val="21"/>
          <w:szCs w:val="21"/>
          <w:highlight w:val="yellow"/>
          <w:u w:val="single"/>
          <w:lang w:val="en-US" w:eastAsia="zh-CN"/>
        </w:rPr>
        <w:t xml:space="preserve"> </w:t>
      </w:r>
      <w:r>
        <w:rPr>
          <w:rFonts w:hint="eastAsia" w:ascii="Times New Roman" w:hAnsi="Times New Roman" w:eastAsia="宋体" w:cs="Times New Roman"/>
          <w:color w:val="auto"/>
          <w:highlight w:val="yellow"/>
          <w:u w:val="single"/>
          <w:lang w:val="en-US" w:eastAsia="zh-CN"/>
        </w:rPr>
        <w:t>30 %</w:t>
      </w:r>
      <w:r>
        <w:rPr>
          <w:rFonts w:hint="eastAsia" w:ascii="宋体" w:hAnsi="宋体" w:eastAsia="宋体" w:cs="宋体"/>
          <w:b w:val="0"/>
          <w:bCs w:val="0"/>
          <w:i w:val="0"/>
          <w:iCs w:val="0"/>
          <w:caps w:val="0"/>
          <w:smallCaps w:val="0"/>
          <w:color w:val="000000"/>
          <w:sz w:val="21"/>
          <w:szCs w:val="21"/>
          <w:highlight w:val="yellow"/>
          <w:u w:val="none"/>
          <w:lang w:val="en-US" w:eastAsia="zh-CN"/>
        </w:rPr>
        <w:t>。</w:t>
      </w:r>
    </w:p>
    <w:p w14:paraId="2D1CBAF5">
      <w:pPr>
        <w:pageBreakBefore w:val="0"/>
        <w:numPr>
          <w:ilvl w:val="0"/>
          <w:numId w:val="2"/>
        </w:numPr>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000000"/>
          <w:kern w:val="0"/>
          <w:sz w:val="21"/>
          <w:szCs w:val="21"/>
          <w:highlight w:val="none"/>
          <w:lang w:val="en-US" w:eastAsia="zh-CN" w:bidi="ar"/>
        </w:rPr>
      </w:pPr>
      <w:r>
        <w:rPr>
          <w:rFonts w:hint="eastAsia" w:ascii="宋体" w:hAnsi="宋体" w:eastAsia="宋体" w:cs="宋体"/>
          <w:b w:val="0"/>
          <w:bCs w:val="0"/>
          <w:i w:val="0"/>
          <w:iCs w:val="0"/>
          <w:caps w:val="0"/>
          <w:smallCaps w:val="0"/>
          <w:color w:val="000000"/>
          <w:sz w:val="21"/>
          <w:szCs w:val="21"/>
          <w:highlight w:val="none"/>
          <w:lang w:val="en-US" w:eastAsia="zh-CN"/>
        </w:rPr>
        <w:t>预付款支付期</w:t>
      </w:r>
      <w:r>
        <w:rPr>
          <w:rFonts w:hint="eastAsia" w:ascii="宋体" w:hAnsi="宋体" w:eastAsia="宋体" w:cs="宋体"/>
          <w:b w:val="0"/>
          <w:bCs w:val="0"/>
          <w:i w:val="0"/>
          <w:iCs w:val="0"/>
          <w:caps w:val="0"/>
          <w:smallCaps w:val="0"/>
          <w:color w:val="000000"/>
          <w:sz w:val="21"/>
          <w:szCs w:val="21"/>
          <w:highlight w:val="none"/>
          <w:u w:val="none"/>
          <w:lang w:val="en-US" w:eastAsia="zh-CN"/>
        </w:rPr>
        <w:t>限：</w:t>
      </w:r>
      <w:r>
        <w:rPr>
          <w:rFonts w:hint="eastAsia" w:ascii="宋体" w:hAnsi="宋体" w:eastAsia="宋体" w:cs="宋体"/>
          <w:b w:val="0"/>
          <w:bCs w:val="0"/>
          <w:i w:val="0"/>
          <w:iCs w:val="0"/>
          <w:caps w:val="0"/>
          <w:smallCaps w:val="0"/>
          <w:color w:val="000000"/>
          <w:sz w:val="21"/>
          <w:szCs w:val="21"/>
          <w:highlight w:val="none"/>
          <w:u w:val="single"/>
          <w:lang w:val="en-US" w:eastAsia="zh-CN"/>
        </w:rPr>
        <w:t>合同签订生效，且</w:t>
      </w:r>
      <w:r>
        <w:rPr>
          <w:rFonts w:hint="eastAsia" w:ascii="宋体" w:hAnsi="宋体"/>
          <w:color w:val="000000"/>
          <w:highlight w:val="none"/>
          <w:u w:val="single"/>
          <w:lang w:val="en-US" w:eastAsia="zh-CN"/>
        </w:rPr>
        <w:t>卖方完成所有设计并交由买方审批同意后28日内</w:t>
      </w:r>
      <w:r>
        <w:rPr>
          <w:rFonts w:hint="eastAsia" w:ascii="宋体" w:hAnsi="宋体" w:eastAsia="宋体" w:cs="宋体"/>
          <w:b w:val="0"/>
          <w:bCs w:val="0"/>
          <w:i w:val="0"/>
          <w:iCs w:val="0"/>
          <w:caps w:val="0"/>
          <w:smallCaps w:val="0"/>
          <w:color w:val="000000"/>
          <w:sz w:val="21"/>
          <w:szCs w:val="21"/>
          <w:highlight w:val="none"/>
          <w:lang w:val="en-US" w:eastAsia="zh-CN"/>
        </w:rPr>
        <w:t>。</w:t>
      </w:r>
    </w:p>
    <w:p w14:paraId="674A6D64">
      <w:pPr>
        <w:pageBreakBefore w:val="0"/>
        <w:numPr>
          <w:ilvl w:val="0"/>
          <w:numId w:val="2"/>
        </w:numPr>
        <w:topLinePunct w:val="0"/>
        <w:bidi w:val="0"/>
        <w:spacing w:line="360" w:lineRule="auto"/>
        <w:ind w:left="0" w:leftChars="0" w:firstLine="420" w:firstLineChars="200"/>
        <w:rPr>
          <w:rFonts w:hint="eastAsia" w:ascii="宋体" w:hAnsi="宋体" w:eastAsia="宋体" w:cs="宋体"/>
          <w:b w:val="0"/>
          <w:bCs w:val="0"/>
          <w:caps w:val="0"/>
          <w:smallCaps w:val="0"/>
          <w:color w:val="000000"/>
          <w:sz w:val="21"/>
          <w:szCs w:val="21"/>
          <w:highlight w:val="none"/>
          <w:u w:val="none"/>
        </w:rPr>
      </w:pPr>
      <w:r>
        <w:rPr>
          <w:rFonts w:hint="eastAsia" w:ascii="宋体" w:hAnsi="宋体" w:eastAsia="宋体" w:cs="宋体"/>
          <w:b w:val="0"/>
          <w:bCs w:val="0"/>
          <w:i w:val="0"/>
          <w:iCs w:val="0"/>
          <w:caps w:val="0"/>
          <w:smallCaps w:val="0"/>
          <w:color w:val="000000"/>
          <w:sz w:val="21"/>
          <w:szCs w:val="21"/>
          <w:highlight w:val="none"/>
          <w:lang w:val="en-US" w:eastAsia="zh-CN"/>
        </w:rPr>
        <w:t>预付款扣回的方式：</w:t>
      </w:r>
      <w:r>
        <w:rPr>
          <w:rFonts w:hint="eastAsia" w:ascii="宋体" w:hAnsi="宋体" w:eastAsia="宋体" w:cs="宋体"/>
          <w:b w:val="0"/>
          <w:bCs w:val="0"/>
          <w:caps w:val="0"/>
          <w:smallCaps w:val="0"/>
          <w:color w:val="000000"/>
          <w:sz w:val="21"/>
          <w:szCs w:val="21"/>
          <w:highlight w:val="none"/>
          <w:u w:val="single"/>
          <w:lang w:eastAsia="zh-CN"/>
        </w:rPr>
        <w:t>买方</w:t>
      </w:r>
      <w:r>
        <w:rPr>
          <w:rFonts w:hint="eastAsia" w:ascii="宋体" w:hAnsi="宋体" w:eastAsia="宋体" w:cs="宋体"/>
          <w:b w:val="0"/>
          <w:bCs w:val="0"/>
          <w:caps w:val="0"/>
          <w:smallCaps w:val="0"/>
          <w:color w:val="000000"/>
          <w:sz w:val="21"/>
          <w:szCs w:val="21"/>
          <w:highlight w:val="none"/>
          <w:u w:val="single"/>
        </w:rPr>
        <w:t>支付预付款后，如</w:t>
      </w:r>
      <w:r>
        <w:rPr>
          <w:rFonts w:hint="eastAsia" w:ascii="宋体" w:hAnsi="宋体" w:eastAsia="宋体" w:cs="宋体"/>
          <w:b w:val="0"/>
          <w:bCs w:val="0"/>
          <w:caps w:val="0"/>
          <w:smallCaps w:val="0"/>
          <w:color w:val="000000"/>
          <w:sz w:val="21"/>
          <w:szCs w:val="21"/>
          <w:highlight w:val="none"/>
          <w:u w:val="single"/>
          <w:lang w:eastAsia="zh-CN"/>
        </w:rPr>
        <w:t>卖方</w:t>
      </w:r>
      <w:r>
        <w:rPr>
          <w:rFonts w:hint="eastAsia" w:ascii="宋体" w:hAnsi="宋体" w:eastAsia="宋体" w:cs="宋体"/>
          <w:b w:val="0"/>
          <w:bCs w:val="0"/>
          <w:caps w:val="0"/>
          <w:smallCaps w:val="0"/>
          <w:color w:val="000000"/>
          <w:sz w:val="21"/>
          <w:szCs w:val="21"/>
          <w:highlight w:val="none"/>
          <w:u w:val="single"/>
        </w:rPr>
        <w:t>未履行合同义务，则</w:t>
      </w:r>
      <w:r>
        <w:rPr>
          <w:rFonts w:hint="eastAsia" w:ascii="宋体" w:hAnsi="宋体" w:eastAsia="宋体" w:cs="宋体"/>
          <w:b w:val="0"/>
          <w:bCs w:val="0"/>
          <w:caps w:val="0"/>
          <w:smallCaps w:val="0"/>
          <w:color w:val="000000"/>
          <w:sz w:val="21"/>
          <w:szCs w:val="21"/>
          <w:highlight w:val="none"/>
          <w:u w:val="single"/>
          <w:lang w:eastAsia="zh-CN"/>
        </w:rPr>
        <w:t>买方</w:t>
      </w:r>
      <w:r>
        <w:rPr>
          <w:rFonts w:hint="eastAsia" w:ascii="宋体" w:hAnsi="宋体" w:eastAsia="宋体" w:cs="宋体"/>
          <w:b w:val="0"/>
          <w:bCs w:val="0"/>
          <w:caps w:val="0"/>
          <w:smallCaps w:val="0"/>
          <w:color w:val="000000"/>
          <w:sz w:val="21"/>
          <w:szCs w:val="21"/>
          <w:highlight w:val="none"/>
          <w:u w:val="single"/>
        </w:rPr>
        <w:t>有权收回预付款；如</w:t>
      </w:r>
      <w:r>
        <w:rPr>
          <w:rFonts w:hint="eastAsia" w:ascii="宋体" w:hAnsi="宋体" w:eastAsia="宋体" w:cs="宋体"/>
          <w:b w:val="0"/>
          <w:bCs w:val="0"/>
          <w:caps w:val="0"/>
          <w:smallCaps w:val="0"/>
          <w:color w:val="000000"/>
          <w:sz w:val="21"/>
          <w:szCs w:val="21"/>
          <w:highlight w:val="none"/>
          <w:u w:val="single"/>
          <w:lang w:eastAsia="zh-CN"/>
        </w:rPr>
        <w:t>卖方</w:t>
      </w:r>
      <w:r>
        <w:rPr>
          <w:rFonts w:hint="eastAsia" w:ascii="宋体" w:hAnsi="宋体" w:eastAsia="宋体" w:cs="宋体"/>
          <w:b w:val="0"/>
          <w:bCs w:val="0"/>
          <w:caps w:val="0"/>
          <w:smallCaps w:val="0"/>
          <w:color w:val="000000"/>
          <w:sz w:val="21"/>
          <w:szCs w:val="21"/>
          <w:highlight w:val="none"/>
          <w:u w:val="single"/>
        </w:rPr>
        <w:t>依约履行了合同义务，则预付款抵作合同价款</w:t>
      </w:r>
      <w:r>
        <w:rPr>
          <w:rFonts w:hint="eastAsia" w:ascii="宋体" w:hAnsi="宋体" w:eastAsia="宋体" w:cs="宋体"/>
          <w:b w:val="0"/>
          <w:bCs w:val="0"/>
          <w:caps w:val="0"/>
          <w:smallCaps w:val="0"/>
          <w:color w:val="000000"/>
          <w:sz w:val="21"/>
          <w:szCs w:val="21"/>
          <w:highlight w:val="none"/>
          <w:u w:val="none"/>
        </w:rPr>
        <w:t>。</w:t>
      </w:r>
    </w:p>
    <w:p w14:paraId="27A6083A">
      <w:pPr>
        <w:pageBreakBefore w:val="0"/>
        <w:topLinePunct w:val="0"/>
        <w:bidi w:val="0"/>
        <w:spacing w:line="360" w:lineRule="auto"/>
        <w:ind w:firstLine="420" w:firstLineChars="200"/>
        <w:rPr>
          <w:rFonts w:hint="eastAsia" w:ascii="宋体" w:hAnsi="宋体" w:eastAsia="宋体" w:cs="宋体"/>
          <w:caps w:val="0"/>
          <w:smallCaps w:val="0"/>
          <w:color w:val="auto"/>
          <w:sz w:val="21"/>
          <w:szCs w:val="21"/>
          <w:highlight w:val="none"/>
          <w:u w:val="none"/>
        </w:rPr>
      </w:pP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.2.3 验收款</w:t>
      </w:r>
    </w:p>
    <w:p w14:paraId="12D1086F">
      <w:pPr>
        <w:shd w:val="clear"/>
        <w:spacing w:line="360" w:lineRule="auto"/>
        <w:ind w:firstLine="420" w:firstLineChars="200"/>
        <w:rPr>
          <w:color w:val="auto"/>
        </w:rPr>
      </w:pPr>
      <w:r>
        <w:rPr>
          <w:rFonts w:hint="eastAsia" w:ascii="宋体" w:hAnsi="宋体"/>
        </w:rPr>
        <w:t>买方在收到卖方提交的买卖双方签署的合同设备验收证书或已生效的验收款支付函正本一份并经审核无误后</w:t>
      </w:r>
      <w:r>
        <w:rPr>
          <w:rFonts w:hint="eastAsia"/>
        </w:rPr>
        <w:t xml:space="preserve"> </w:t>
      </w:r>
      <w:r>
        <w:t>28</w:t>
      </w:r>
      <w:r>
        <w:rPr>
          <w:rFonts w:hint="eastAsia"/>
        </w:rPr>
        <w:t xml:space="preserve"> </w:t>
      </w:r>
      <w:r>
        <w:rPr>
          <w:rFonts w:hint="eastAsia" w:ascii="宋体" w:hAnsi="宋体"/>
        </w:rPr>
        <w:t>日内，向卖方支付至</w:t>
      </w:r>
      <w:r>
        <w:rPr>
          <w:rFonts w:hint="eastAsia" w:ascii="宋体" w:hAnsi="宋体"/>
          <w:color w:val="auto"/>
        </w:rPr>
        <w:t>合同价格的</w:t>
      </w:r>
      <w:r>
        <w:rPr>
          <w:rFonts w:hint="eastAsia" w:ascii="Times New Roman" w:hAnsi="Times New Roman" w:eastAsia="宋体" w:cs="Times New Roman"/>
          <w:color w:val="auto"/>
          <w:highlight w:val="yellow"/>
          <w:u w:val="single"/>
          <w:lang w:val="en-US" w:eastAsia="zh-CN"/>
        </w:rPr>
        <w:t xml:space="preserve"> 95 %</w:t>
      </w:r>
      <w:r>
        <w:rPr>
          <w:rFonts w:hint="eastAsia"/>
          <w:color w:val="auto"/>
          <w:lang w:eastAsia="zh-CN"/>
        </w:rPr>
        <w:t>（</w:t>
      </w:r>
      <w:r>
        <w:rPr>
          <w:rFonts w:hint="eastAsia"/>
          <w:color w:val="auto"/>
          <w:lang w:val="en-US" w:eastAsia="zh-CN"/>
        </w:rPr>
        <w:t>含预付款</w:t>
      </w:r>
      <w:r>
        <w:rPr>
          <w:rFonts w:hint="eastAsia"/>
          <w:color w:val="auto"/>
          <w:lang w:eastAsia="zh-CN"/>
        </w:rPr>
        <w:t>）</w:t>
      </w:r>
      <w:r>
        <w:rPr>
          <w:rFonts w:hint="eastAsia" w:ascii="宋体" w:hAnsi="宋体"/>
          <w:color w:val="auto"/>
        </w:rPr>
        <w:t>。</w:t>
      </w:r>
    </w:p>
    <w:p w14:paraId="289036CA">
      <w:pPr>
        <w:keepNext w:val="0"/>
        <w:keepLines w:val="0"/>
        <w:pageBreakBefore w:val="0"/>
        <w:widowControl w:val="0"/>
        <w:shd w:val="clea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olor w:val="auto"/>
          <w:lang w:eastAsia="zh-CN"/>
        </w:rPr>
      </w:pP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 xml:space="preserve">.2.4 </w:t>
      </w:r>
      <w:r>
        <w:rPr>
          <w:rFonts w:hint="eastAsia" w:ascii="宋体" w:hAnsi="宋体"/>
          <w:color w:val="auto"/>
          <w:lang w:val="en-US" w:eastAsia="zh-CN"/>
        </w:rPr>
        <w:t>质量保证金</w:t>
      </w:r>
      <w:r>
        <w:rPr>
          <w:rFonts w:hint="eastAsia" w:ascii="宋体" w:hAnsi="宋体"/>
          <w:color w:val="auto"/>
          <w:lang w:eastAsia="zh-CN"/>
        </w:rPr>
        <w:t>（</w:t>
      </w:r>
      <w:r>
        <w:rPr>
          <w:rFonts w:hint="eastAsia" w:ascii="宋体" w:hAnsi="宋体"/>
          <w:color w:val="auto"/>
        </w:rPr>
        <w:t>结清款</w:t>
      </w:r>
      <w:r>
        <w:rPr>
          <w:rFonts w:hint="eastAsia" w:ascii="宋体" w:hAnsi="宋体"/>
          <w:color w:val="auto"/>
          <w:lang w:eastAsia="zh-CN"/>
        </w:rPr>
        <w:t>）</w:t>
      </w:r>
    </w:p>
    <w:p w14:paraId="20E6C0C4">
      <w:pPr>
        <w:keepNext w:val="0"/>
        <w:keepLines w:val="0"/>
        <w:pageBreakBefore w:val="0"/>
        <w:widowControl w:val="0"/>
        <w:shd w:val="clea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Cs w:val="21"/>
          <w:highlight w:val="none"/>
          <w:u w:val="none"/>
          <w:lang w:eastAsia="zh-CN"/>
        </w:rPr>
      </w:pPr>
      <w:r>
        <w:rPr>
          <w:rFonts w:hint="eastAsia" w:ascii="宋体" w:hAnsi="宋体" w:eastAsia="宋体" w:cs="宋体"/>
          <w:caps w:val="0"/>
          <w:smallCaps w:val="0"/>
          <w:color w:val="auto"/>
          <w:sz w:val="21"/>
          <w:szCs w:val="21"/>
          <w:highlight w:val="none"/>
          <w:u w:val="none"/>
          <w:lang w:val="en-US" w:eastAsia="zh-CN"/>
        </w:rPr>
        <w:t>（1）质量保证金比例：</w:t>
      </w:r>
      <w:r>
        <w:rPr>
          <w:rFonts w:hint="eastAsia" w:ascii="宋体" w:hAnsi="宋体" w:eastAsia="宋体" w:cs="宋体"/>
          <w:caps w:val="0"/>
          <w:smallCaps w:val="0"/>
          <w:color w:val="auto"/>
          <w:sz w:val="21"/>
          <w:szCs w:val="21"/>
          <w:highlight w:val="none"/>
          <w:u w:val="single"/>
          <w:lang w:val="en-US" w:eastAsia="zh-CN"/>
        </w:rPr>
        <w:t>按3.1.2约定进行合同价款结算，</w:t>
      </w:r>
      <w:r>
        <w:rPr>
          <w:rFonts w:hint="eastAsia" w:ascii="宋体" w:hAnsi="宋体" w:eastAsia="宋体" w:cs="宋体"/>
          <w:caps w:val="0"/>
          <w:smallCaps w:val="0"/>
          <w:color w:val="auto"/>
          <w:szCs w:val="21"/>
          <w:highlight w:val="none"/>
          <w:u w:val="single"/>
        </w:rPr>
        <w:t>结算审定金额的</w:t>
      </w:r>
      <w:r>
        <w:rPr>
          <w:rFonts w:hint="eastAsia" w:ascii="Times New Roman" w:hAnsi="Times New Roman" w:eastAsia="宋体" w:cs="Times New Roman"/>
          <w:color w:val="auto"/>
          <w:highlight w:val="yellow"/>
          <w:u w:val="single"/>
          <w:lang w:val="en-US" w:eastAsia="zh-CN"/>
        </w:rPr>
        <w:t>5％</w:t>
      </w:r>
      <w:r>
        <w:rPr>
          <w:rFonts w:hint="eastAsia" w:ascii="宋体" w:hAnsi="宋体" w:eastAsia="宋体" w:cs="宋体"/>
          <w:caps w:val="0"/>
          <w:smallCaps w:val="0"/>
          <w:color w:val="auto"/>
          <w:szCs w:val="21"/>
          <w:highlight w:val="none"/>
          <w:u w:val="single"/>
        </w:rPr>
        <w:t>的</w:t>
      </w:r>
      <w:r>
        <w:rPr>
          <w:rFonts w:hint="eastAsia" w:ascii="宋体" w:hAnsi="宋体" w:eastAsia="宋体" w:cs="宋体"/>
          <w:caps w:val="0"/>
          <w:smallCaps w:val="0"/>
          <w:color w:val="auto"/>
          <w:szCs w:val="21"/>
          <w:highlight w:val="none"/>
          <w:u w:val="single"/>
          <w:lang w:val="en-US" w:eastAsia="zh-CN"/>
        </w:rPr>
        <w:t>款项</w:t>
      </w:r>
      <w:r>
        <w:rPr>
          <w:rFonts w:hint="eastAsia" w:ascii="宋体" w:hAnsi="宋体" w:eastAsia="宋体" w:cs="宋体"/>
          <w:caps w:val="0"/>
          <w:smallCaps w:val="0"/>
          <w:color w:val="auto"/>
          <w:szCs w:val="21"/>
          <w:highlight w:val="none"/>
          <w:u w:val="single"/>
        </w:rPr>
        <w:t>作为</w:t>
      </w:r>
      <w:r>
        <w:rPr>
          <w:rFonts w:hint="eastAsia" w:ascii="宋体" w:hAnsi="宋体" w:eastAsia="宋体" w:cs="宋体"/>
          <w:caps w:val="0"/>
          <w:smallCaps w:val="0"/>
          <w:color w:val="auto"/>
          <w:szCs w:val="21"/>
          <w:highlight w:val="none"/>
          <w:u w:val="single"/>
          <w:lang w:val="en-US" w:eastAsia="zh-CN"/>
        </w:rPr>
        <w:t>合同</w:t>
      </w:r>
      <w:r>
        <w:rPr>
          <w:rFonts w:hint="eastAsia" w:ascii="宋体" w:hAnsi="宋体" w:eastAsia="宋体" w:cs="宋体"/>
          <w:caps w:val="0"/>
          <w:smallCaps w:val="0"/>
          <w:color w:val="auto"/>
          <w:szCs w:val="21"/>
          <w:highlight w:val="none"/>
          <w:u w:val="single"/>
        </w:rPr>
        <w:t>质量保证金</w:t>
      </w:r>
      <w:r>
        <w:rPr>
          <w:rFonts w:hint="eastAsia" w:ascii="宋体" w:hAnsi="宋体" w:eastAsia="宋体" w:cs="宋体"/>
          <w:caps w:val="0"/>
          <w:smallCaps w:val="0"/>
          <w:color w:val="auto"/>
          <w:szCs w:val="21"/>
          <w:highlight w:val="none"/>
          <w:u w:val="none"/>
          <w:lang w:eastAsia="zh-CN"/>
        </w:rPr>
        <w:t>。</w:t>
      </w:r>
    </w:p>
    <w:p w14:paraId="592AE9A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 w:val="21"/>
          <w:szCs w:val="21"/>
          <w:highlight w:val="none"/>
          <w:u w:val="none"/>
          <w:lang w:eastAsia="zh-CN"/>
        </w:rPr>
      </w:pPr>
      <w:r>
        <w:rPr>
          <w:rFonts w:hint="eastAsia" w:ascii="宋体" w:hAnsi="宋体" w:eastAsia="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highlight w:val="none"/>
          <w:u w:val="none"/>
          <w:lang w:val="en-US" w:eastAsia="zh-CN"/>
        </w:rPr>
        <w:t>2）质量保证金支付：</w:t>
      </w:r>
      <w:r>
        <w:rPr>
          <w:rFonts w:hint="eastAsia" w:ascii="宋体" w:hAnsi="宋体" w:eastAsia="宋体" w:cs="宋体"/>
          <w:caps w:val="0"/>
          <w:smallCaps w:val="0"/>
          <w:color w:val="auto"/>
          <w:sz w:val="21"/>
          <w:szCs w:val="21"/>
          <w:highlight w:val="none"/>
          <w:u w:val="single"/>
          <w:lang w:val="en-US" w:eastAsia="zh-CN"/>
        </w:rPr>
        <w:t>质量保证期满，卖方</w:t>
      </w:r>
      <w:r>
        <w:rPr>
          <w:rFonts w:hint="eastAsia" w:ascii="宋体" w:hAnsi="宋体" w:eastAsia="宋体" w:cs="宋体"/>
          <w:caps w:val="0"/>
          <w:smallCaps w:val="0"/>
          <w:color w:val="auto"/>
          <w:sz w:val="21"/>
          <w:szCs w:val="21"/>
          <w:highlight w:val="none"/>
          <w:u w:val="single"/>
        </w:rPr>
        <w:t>向</w:t>
      </w:r>
      <w:r>
        <w:rPr>
          <w:rFonts w:hint="eastAsia" w:ascii="宋体" w:hAnsi="宋体" w:eastAsia="宋体" w:cs="宋体"/>
          <w:caps w:val="0"/>
          <w:smallCaps w:val="0"/>
          <w:color w:val="auto"/>
          <w:sz w:val="21"/>
          <w:szCs w:val="21"/>
          <w:highlight w:val="none"/>
          <w:u w:val="single"/>
          <w:lang w:val="en-US" w:eastAsia="zh-CN"/>
        </w:rPr>
        <w:t>买方</w:t>
      </w:r>
      <w:r>
        <w:rPr>
          <w:rFonts w:hint="eastAsia" w:ascii="宋体" w:hAnsi="宋体" w:eastAsia="宋体" w:cs="宋体"/>
          <w:caps w:val="0"/>
          <w:smallCaps w:val="0"/>
          <w:color w:val="auto"/>
          <w:sz w:val="21"/>
          <w:szCs w:val="21"/>
          <w:highlight w:val="none"/>
          <w:u w:val="single"/>
        </w:rPr>
        <w:t>申请，</w:t>
      </w:r>
      <w:r>
        <w:rPr>
          <w:rFonts w:hint="eastAsia" w:ascii="宋体" w:hAnsi="宋体" w:eastAsia="宋体" w:cs="宋体"/>
          <w:caps w:val="0"/>
          <w:smallCaps w:val="0"/>
          <w:color w:val="auto"/>
          <w:sz w:val="21"/>
          <w:szCs w:val="21"/>
          <w:highlight w:val="none"/>
          <w:u w:val="single"/>
          <w:lang w:val="en-US" w:eastAsia="zh-CN"/>
        </w:rPr>
        <w:t>买方</w:t>
      </w:r>
      <w:r>
        <w:rPr>
          <w:rFonts w:hint="eastAsia" w:ascii="宋体" w:hAnsi="宋体" w:eastAsia="宋体" w:cs="宋体"/>
          <w:caps w:val="0"/>
          <w:smallCaps w:val="0"/>
          <w:color w:val="auto"/>
          <w:sz w:val="21"/>
          <w:szCs w:val="21"/>
          <w:highlight w:val="none"/>
          <w:u w:val="single"/>
        </w:rPr>
        <w:t>审核，</w:t>
      </w:r>
      <w:r>
        <w:rPr>
          <w:rFonts w:hint="eastAsia" w:ascii="宋体" w:hAnsi="宋体" w:eastAsia="宋体" w:cs="宋体"/>
          <w:caps w:val="0"/>
          <w:smallCaps w:val="0"/>
          <w:color w:val="auto"/>
          <w:sz w:val="21"/>
          <w:szCs w:val="21"/>
          <w:highlight w:val="none"/>
          <w:u w:val="single"/>
          <w:lang w:val="en-US" w:eastAsia="zh-CN"/>
        </w:rPr>
        <w:t>卖方</w:t>
      </w:r>
      <w:r>
        <w:rPr>
          <w:rFonts w:hint="eastAsia" w:ascii="宋体" w:hAnsi="宋体" w:eastAsia="宋体" w:cs="宋体"/>
          <w:caps w:val="0"/>
          <w:smallCaps w:val="0"/>
          <w:color w:val="auto"/>
          <w:sz w:val="21"/>
          <w:szCs w:val="21"/>
          <w:highlight w:val="none"/>
          <w:u w:val="single"/>
        </w:rPr>
        <w:t>无任何违约责任及应赔偿发包人情形的，发包人在28天内一次性支付相应</w:t>
      </w:r>
      <w:r>
        <w:rPr>
          <w:rFonts w:hint="eastAsia" w:ascii="宋体" w:hAnsi="宋体" w:eastAsia="宋体" w:cs="宋体"/>
          <w:caps w:val="0"/>
          <w:smallCaps w:val="0"/>
          <w:color w:val="auto"/>
          <w:sz w:val="21"/>
          <w:szCs w:val="21"/>
          <w:highlight w:val="none"/>
          <w:u w:val="single"/>
          <w:lang w:val="en-US" w:eastAsia="zh-CN"/>
        </w:rPr>
        <w:t>质量</w:t>
      </w:r>
      <w:r>
        <w:rPr>
          <w:rFonts w:hint="eastAsia" w:ascii="宋体" w:hAnsi="宋体" w:eastAsia="宋体" w:cs="宋体"/>
          <w:caps w:val="0"/>
          <w:smallCaps w:val="0"/>
          <w:color w:val="auto"/>
          <w:sz w:val="21"/>
          <w:szCs w:val="21"/>
          <w:highlight w:val="none"/>
          <w:u w:val="single"/>
        </w:rPr>
        <w:t>保</w:t>
      </w:r>
      <w:r>
        <w:rPr>
          <w:rFonts w:hint="eastAsia" w:ascii="宋体" w:hAnsi="宋体" w:eastAsia="宋体" w:cs="宋体"/>
          <w:caps w:val="0"/>
          <w:smallCaps w:val="0"/>
          <w:color w:val="auto"/>
          <w:sz w:val="21"/>
          <w:szCs w:val="21"/>
          <w:highlight w:val="none"/>
          <w:u w:val="single"/>
          <w:lang w:val="en-US" w:eastAsia="zh-CN"/>
        </w:rPr>
        <w:t>证</w:t>
      </w:r>
      <w:r>
        <w:rPr>
          <w:rFonts w:hint="eastAsia" w:ascii="宋体" w:hAnsi="宋体" w:eastAsia="宋体" w:cs="宋体"/>
          <w:caps w:val="0"/>
          <w:smallCaps w:val="0"/>
          <w:color w:val="auto"/>
          <w:sz w:val="21"/>
          <w:szCs w:val="21"/>
          <w:highlight w:val="none"/>
          <w:u w:val="single"/>
        </w:rPr>
        <w:t>金</w:t>
      </w:r>
      <w:r>
        <w:rPr>
          <w:rFonts w:hint="eastAsia" w:ascii="宋体" w:hAnsi="宋体" w:eastAsia="宋体" w:cs="宋体"/>
          <w:caps w:val="0"/>
          <w:smallCaps w:val="0"/>
          <w:color w:val="auto"/>
          <w:sz w:val="21"/>
          <w:szCs w:val="21"/>
          <w:highlight w:val="none"/>
          <w:u w:val="none"/>
          <w:lang w:eastAsia="zh-CN"/>
        </w:rPr>
        <w:t>。</w:t>
      </w:r>
    </w:p>
    <w:p w14:paraId="67CD47A0">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caps w:val="0"/>
          <w:smallCaps w:val="0"/>
          <w:color w:val="auto"/>
          <w:lang w:eastAsia="zh-CN"/>
        </w:rPr>
      </w:pPr>
      <w:r>
        <w:rPr>
          <w:rFonts w:hint="eastAsia" w:ascii="宋体" w:hAnsi="宋体" w:eastAsia="宋体" w:cs="宋体"/>
          <w:caps w:val="0"/>
          <w:smallCaps w:val="0"/>
          <w:color w:val="auto"/>
          <w:sz w:val="21"/>
          <w:szCs w:val="21"/>
          <w:highlight w:val="none"/>
          <w:u w:val="none"/>
          <w:lang w:val="en-US" w:eastAsia="zh-CN"/>
        </w:rPr>
        <w:t>（3）质保金的支付后并不能免除承包人对项目承包范围内按国家规定应承担的质量责任以及按招标文件、合同规定保修期应承担的保修责任。</w:t>
      </w:r>
    </w:p>
    <w:p w14:paraId="46FB51D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 w:val="21"/>
          <w:szCs w:val="21"/>
          <w:highlight w:val="none"/>
          <w:u w:val="none"/>
          <w:lang w:val="zh-CN" w:eastAsia="zh-CN"/>
        </w:rPr>
      </w:pPr>
      <w:r>
        <w:rPr>
          <w:rFonts w:hint="eastAsia" w:ascii="宋体" w:hAnsi="宋体" w:eastAsia="宋体" w:cs="宋体"/>
          <w:caps w:val="0"/>
          <w:smallCaps w:val="0"/>
          <w:color w:val="000000"/>
          <w:sz w:val="21"/>
          <w:szCs w:val="21"/>
          <w:highlight w:val="none"/>
          <w:u w:val="none"/>
          <w:lang w:val="en-US" w:eastAsia="zh-CN"/>
        </w:rPr>
        <w:t>3.2.5</w:t>
      </w:r>
      <w:r>
        <w:rPr>
          <w:rFonts w:hint="eastAsia" w:ascii="宋体" w:hAnsi="宋体" w:eastAsia="宋体" w:cs="宋体"/>
          <w:caps w:val="0"/>
          <w:smallCaps w:val="0"/>
          <w:color w:val="000000"/>
          <w:sz w:val="21"/>
          <w:szCs w:val="21"/>
          <w:highlight w:val="none"/>
          <w:u w:val="none"/>
          <w:lang w:val="zh-CN" w:eastAsia="zh-CN"/>
        </w:rPr>
        <w:t>在</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每次向</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支付款</w:t>
      </w:r>
      <w:r>
        <w:rPr>
          <w:rFonts w:hint="eastAsia" w:ascii="宋体" w:hAnsi="宋体" w:eastAsia="宋体" w:cs="宋体"/>
          <w:caps w:val="0"/>
          <w:smallCaps w:val="0"/>
          <w:color w:val="000000"/>
          <w:sz w:val="21"/>
          <w:szCs w:val="21"/>
          <w:highlight w:val="none"/>
          <w:u w:val="none"/>
          <w:lang w:val="en-US" w:eastAsia="zh-CN"/>
        </w:rPr>
        <w:t>项</w:t>
      </w:r>
      <w:r>
        <w:rPr>
          <w:rFonts w:hint="eastAsia" w:ascii="宋体" w:hAnsi="宋体" w:eastAsia="宋体" w:cs="宋体"/>
          <w:caps w:val="0"/>
          <w:smallCaps w:val="0"/>
          <w:color w:val="000000"/>
          <w:sz w:val="21"/>
          <w:szCs w:val="21"/>
          <w:highlight w:val="none"/>
          <w:u w:val="none"/>
          <w:lang w:val="zh-CN" w:eastAsia="zh-CN"/>
        </w:rPr>
        <w:t>前，</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应向</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开具增值税专用发票。否则，</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有权拒绝付款</w:t>
      </w:r>
      <w:r>
        <w:rPr>
          <w:rFonts w:hint="eastAsia" w:ascii="宋体" w:hAnsi="宋体" w:eastAsia="宋体" w:cs="宋体"/>
          <w:caps w:val="0"/>
          <w:smallCaps w:val="0"/>
          <w:color w:val="000000"/>
          <w:sz w:val="21"/>
          <w:szCs w:val="21"/>
          <w:highlight w:val="none"/>
          <w:u w:val="none"/>
          <w:lang w:val="en-US" w:eastAsia="zh-CN"/>
        </w:rPr>
        <w:t>或</w:t>
      </w:r>
      <w:r>
        <w:rPr>
          <w:rFonts w:hint="eastAsia" w:ascii="宋体" w:hAnsi="宋体" w:eastAsia="宋体" w:cs="宋体"/>
          <w:caps w:val="0"/>
          <w:smallCaps w:val="0"/>
          <w:color w:val="000000"/>
          <w:sz w:val="21"/>
          <w:szCs w:val="21"/>
          <w:highlight w:val="none"/>
          <w:u w:val="none"/>
          <w:lang w:val="zh-CN" w:eastAsia="zh-CN"/>
        </w:rPr>
        <w:t>顺延付款时间。因</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开具的发票不规范、不合法或涉嫌虚开发票引起税务问题的，</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需依法重新开具发票，并向</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承担赔偿责任，包括但不限于税款、滞纳金、罚款及相关损失等。</w:t>
      </w:r>
    </w:p>
    <w:p w14:paraId="1DEC4CB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Cs w:val="21"/>
        </w:rPr>
      </w:pPr>
      <w:r>
        <w:rPr>
          <w:rFonts w:hint="eastAsia" w:ascii="宋体" w:hAnsi="宋体" w:eastAsia="宋体" w:cs="宋体"/>
          <w:caps w:val="0"/>
          <w:smallCaps w:val="0"/>
          <w:color w:val="000000"/>
          <w:sz w:val="21"/>
          <w:szCs w:val="21"/>
          <w:highlight w:val="none"/>
          <w:u w:val="none"/>
          <w:lang w:val="en-US" w:eastAsia="zh-CN"/>
        </w:rPr>
        <w:t>3.2.6卖方向买方开具的增值税专用发票，卖方必须确保发票票面信息全部真实，相关项目、价款等内容与本合同一致。因发票票面信息有误导致发票不能抵扣税款或者被认定为虚开的，卖方需向买方承担赔偿责任，包括但不限于税款、滞纳金、罚款及相关损失等。</w:t>
      </w:r>
    </w:p>
    <w:p w14:paraId="7F6F54F2">
      <w:pPr>
        <w:pStyle w:val="97"/>
        <w:keepNext w:val="0"/>
        <w:keepLines w:val="0"/>
        <w:tabs>
          <w:tab w:val="left" w:pos="567"/>
        </w:tabs>
        <w:spacing w:before="156" w:after="156"/>
        <w:rPr>
          <w:rFonts w:eastAsia="宋体" w:cs="Times New Roman"/>
          <w:b/>
          <w:bCs/>
          <w:sz w:val="32"/>
          <w:szCs w:val="32"/>
        </w:rPr>
      </w:pPr>
      <w:bookmarkStart w:id="789" w:name="_Toc9926"/>
      <w:bookmarkStart w:id="790" w:name="_Toc31833"/>
      <w:bookmarkStart w:id="791" w:name="_Toc1473"/>
      <w:bookmarkStart w:id="792" w:name="_Toc18535"/>
      <w:bookmarkStart w:id="793" w:name="_Toc22694"/>
      <w:bookmarkStart w:id="794" w:name="_Toc28373"/>
      <w:bookmarkStart w:id="795" w:name="_Toc2881828"/>
      <w:bookmarkStart w:id="796" w:name="_Toc531098985"/>
      <w:r>
        <w:rPr>
          <w:rFonts w:hint="eastAsia" w:eastAsia="宋体" w:cs="Times New Roman"/>
          <w:b/>
          <w:bCs/>
          <w:sz w:val="32"/>
          <w:szCs w:val="32"/>
        </w:rPr>
        <w:t>4. 监造及交货前检验</w:t>
      </w:r>
      <w:bookmarkEnd w:id="789"/>
      <w:bookmarkEnd w:id="790"/>
      <w:bookmarkEnd w:id="791"/>
      <w:bookmarkEnd w:id="792"/>
      <w:bookmarkEnd w:id="793"/>
      <w:bookmarkEnd w:id="794"/>
      <w:bookmarkEnd w:id="795"/>
    </w:p>
    <w:p w14:paraId="4E626FF9">
      <w:pPr>
        <w:tabs>
          <w:tab w:val="left" w:pos="1134"/>
        </w:tabs>
        <w:spacing w:line="360" w:lineRule="auto"/>
        <w:ind w:firstLine="420" w:firstLineChars="200"/>
        <w:rPr>
          <w:rFonts w:ascii="宋体" w:hAnsi="宋体"/>
        </w:rPr>
      </w:pPr>
      <w:r>
        <w:rPr>
          <w:rFonts w:hint="eastAsia" w:ascii="宋体" w:hAnsi="宋体"/>
        </w:rPr>
        <w:t>4.1</w:t>
      </w:r>
      <w:r>
        <w:rPr>
          <w:rFonts w:ascii="宋体" w:hAnsi="宋体"/>
        </w:rPr>
        <w:t xml:space="preserve"> </w:t>
      </w:r>
      <w:r>
        <w:rPr>
          <w:rFonts w:hint="eastAsia" w:ascii="宋体" w:hAnsi="宋体"/>
        </w:rPr>
        <w:t>监造</w:t>
      </w:r>
    </w:p>
    <w:p w14:paraId="16A98D59">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lang w:val="en-US" w:eastAsia="zh-CN"/>
        </w:rPr>
      </w:pP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对合同</w:t>
      </w:r>
      <w:r>
        <w:rPr>
          <w:rFonts w:hint="eastAsia" w:ascii="宋体" w:hAnsi="宋体" w:eastAsia="宋体" w:cs="宋体"/>
          <w:caps w:val="0"/>
          <w:smallCaps w:val="0"/>
          <w:color w:val="000000"/>
          <w:highlight w:val="none"/>
          <w:lang w:val="en-US" w:eastAsia="zh-CN"/>
        </w:rPr>
        <w:t>设备实施不定期的</w:t>
      </w:r>
      <w:r>
        <w:rPr>
          <w:rFonts w:hint="eastAsia" w:ascii="宋体" w:hAnsi="宋体" w:eastAsia="宋体" w:cs="宋体"/>
          <w:caps w:val="0"/>
          <w:smallCaps w:val="0"/>
          <w:color w:val="000000"/>
          <w:highlight w:val="none"/>
        </w:rPr>
        <w:t>监造</w:t>
      </w:r>
      <w:r>
        <w:rPr>
          <w:rFonts w:hint="eastAsia" w:ascii="宋体" w:hAnsi="宋体" w:eastAsia="宋体" w:cs="宋体"/>
          <w:caps w:val="0"/>
          <w:smallCaps w:val="0"/>
          <w:color w:val="000000"/>
          <w:highlight w:val="none"/>
          <w:lang w:eastAsia="zh-CN"/>
        </w:rPr>
        <w:t>，</w:t>
      </w:r>
      <w:r>
        <w:rPr>
          <w:rFonts w:hint="eastAsia" w:ascii="宋体" w:hAnsi="宋体" w:eastAsia="宋体" w:cs="宋体"/>
          <w:caps w:val="0"/>
          <w:smallCaps w:val="0"/>
          <w:color w:val="000000"/>
          <w:highlight w:val="none"/>
          <w:lang w:val="en-US" w:eastAsia="zh-CN"/>
        </w:rPr>
        <w:t>买方在对设备监造时可指派第三方单位参与。</w:t>
      </w:r>
    </w:p>
    <w:p w14:paraId="49494F25">
      <w:pPr>
        <w:tabs>
          <w:tab w:val="left" w:pos="1134"/>
        </w:tabs>
        <w:spacing w:line="360" w:lineRule="auto"/>
        <w:ind w:firstLine="420" w:firstLineChars="200"/>
        <w:rPr>
          <w:rFonts w:hint="eastAsia" w:ascii="宋体" w:hAnsi="宋体"/>
        </w:rPr>
      </w:pPr>
      <w:r>
        <w:rPr>
          <w:rFonts w:hint="eastAsia" w:ascii="宋体" w:hAnsi="宋体"/>
        </w:rPr>
        <w:t>4.1.1 监造的范围、方式等的约定：</w:t>
      </w:r>
    </w:p>
    <w:p w14:paraId="3362741D">
      <w:pPr>
        <w:pageBreakBefore w:val="0"/>
        <w:tabs>
          <w:tab w:val="left" w:pos="1134"/>
        </w:tabs>
        <w:topLinePunct w:val="0"/>
        <w:bidi w:val="0"/>
        <w:spacing w:line="360" w:lineRule="auto"/>
        <w:ind w:firstLine="420" w:firstLineChars="200"/>
        <w:rPr>
          <w:rFonts w:hint="eastAsia" w:ascii="宋体" w:hAnsi="宋体" w:eastAsia="宋体" w:cs="宋体"/>
          <w:b/>
          <w:bCs/>
          <w:caps w:val="0"/>
          <w:smallCaps w:val="0"/>
          <w:color w:val="000000"/>
          <w:sz w:val="21"/>
          <w:szCs w:val="21"/>
          <w:highlight w:val="none"/>
          <w:u w:val="none"/>
          <w:lang w:val="en-US" w:eastAsia="zh-CN"/>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b/>
          <w:bCs/>
          <w:caps w:val="0"/>
          <w:smallCaps w:val="0"/>
          <w:color w:val="000000"/>
          <w:sz w:val="21"/>
          <w:szCs w:val="21"/>
          <w:highlight w:val="none"/>
          <w:u w:val="none"/>
          <w:lang w:val="en-US" w:eastAsia="zh-CN"/>
        </w:rPr>
        <w:t>1）关于买方对合同设备实施不定期的监造，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75CA00E2">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2）</w:t>
      </w:r>
      <w:r>
        <w:rPr>
          <w:rFonts w:hint="eastAsia" w:ascii="宋体" w:hAnsi="宋体" w:eastAsia="宋体" w:cs="宋体"/>
          <w:caps w:val="0"/>
          <w:smallCaps w:val="0"/>
          <w:color w:val="000000"/>
          <w:szCs w:val="21"/>
          <w:highlight w:val="none"/>
        </w:rPr>
        <w:t>在</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的制造过程中，</w:t>
      </w:r>
      <w:r>
        <w:rPr>
          <w:rFonts w:hint="eastAsia" w:ascii="宋体" w:hAnsi="宋体" w:eastAsia="宋体" w:cs="宋体"/>
          <w:caps w:val="0"/>
          <w:smallCaps w:val="0"/>
          <w:color w:val="000000"/>
          <w:szCs w:val="21"/>
          <w:highlight w:val="none"/>
          <w:lang w:val="en-US" w:eastAsia="zh-CN"/>
        </w:rPr>
        <w:t>买方</w:t>
      </w:r>
      <w:r>
        <w:rPr>
          <w:rFonts w:hint="eastAsia" w:ascii="宋体" w:hAnsi="宋体" w:eastAsia="宋体" w:cs="宋体"/>
          <w:caps w:val="0"/>
          <w:smallCaps w:val="0"/>
          <w:color w:val="000000"/>
          <w:szCs w:val="21"/>
          <w:highlight w:val="none"/>
        </w:rPr>
        <w:t>可</w:t>
      </w:r>
      <w:r>
        <w:rPr>
          <w:rFonts w:hint="eastAsia" w:ascii="宋体" w:hAnsi="宋体" w:eastAsia="宋体" w:cs="宋体"/>
          <w:caps w:val="0"/>
          <w:smallCaps w:val="0"/>
          <w:color w:val="000000"/>
          <w:szCs w:val="21"/>
          <w:highlight w:val="none"/>
          <w:lang w:val="en-US" w:eastAsia="zh-CN"/>
        </w:rPr>
        <w:t>随时</w:t>
      </w:r>
      <w:r>
        <w:rPr>
          <w:rFonts w:hint="eastAsia" w:ascii="宋体" w:hAnsi="宋体" w:eastAsia="宋体" w:cs="宋体"/>
          <w:caps w:val="0"/>
          <w:smallCaps w:val="0"/>
          <w:color w:val="000000"/>
          <w:szCs w:val="21"/>
          <w:highlight w:val="none"/>
        </w:rPr>
        <w:t>派出监造人员，</w:t>
      </w:r>
      <w:r>
        <w:rPr>
          <w:rFonts w:hint="eastAsia" w:ascii="宋体" w:hAnsi="宋体" w:eastAsia="宋体" w:cs="宋体"/>
          <w:caps w:val="0"/>
          <w:smallCaps w:val="0"/>
          <w:color w:val="000000"/>
          <w:szCs w:val="21"/>
          <w:highlight w:val="none"/>
          <w:lang w:val="en-US" w:eastAsia="zh-CN"/>
        </w:rPr>
        <w:t>到</w:t>
      </w:r>
      <w:r>
        <w:rPr>
          <w:rFonts w:hint="eastAsia" w:ascii="宋体" w:hAnsi="宋体" w:eastAsia="宋体" w:cs="宋体"/>
          <w:caps w:val="0"/>
          <w:smallCaps w:val="0"/>
          <w:color w:val="000000"/>
          <w:szCs w:val="21"/>
          <w:highlight w:val="none"/>
        </w:rPr>
        <w:t>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及其关键部件的生产制造</w:t>
      </w:r>
      <w:r>
        <w:rPr>
          <w:rFonts w:hint="eastAsia" w:ascii="宋体" w:hAnsi="宋体" w:eastAsia="宋体" w:cs="宋体"/>
          <w:caps w:val="0"/>
          <w:smallCaps w:val="0"/>
          <w:color w:val="000000"/>
          <w:szCs w:val="21"/>
          <w:highlight w:val="none"/>
          <w:lang w:val="en-US" w:eastAsia="zh-CN"/>
        </w:rPr>
        <w:t>现场</w:t>
      </w:r>
      <w:r>
        <w:rPr>
          <w:rFonts w:hint="eastAsia" w:ascii="宋体" w:hAnsi="宋体" w:eastAsia="宋体" w:cs="宋体"/>
          <w:caps w:val="0"/>
          <w:smallCaps w:val="0"/>
          <w:color w:val="000000"/>
          <w:szCs w:val="21"/>
          <w:highlight w:val="none"/>
        </w:rPr>
        <w:t>进行监造</w:t>
      </w: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highlight w:val="none"/>
          <w:lang w:val="en-US" w:eastAsia="zh-CN"/>
        </w:rPr>
        <w:t>卖方需配合买方</w:t>
      </w:r>
      <w:r>
        <w:rPr>
          <w:rFonts w:hint="eastAsia" w:ascii="宋体" w:hAnsi="宋体" w:eastAsia="宋体" w:cs="宋体"/>
          <w:caps w:val="0"/>
          <w:smallCaps w:val="0"/>
          <w:color w:val="000000"/>
          <w:highlight w:val="none"/>
        </w:rPr>
        <w:t>监造人员</w:t>
      </w:r>
      <w:r>
        <w:rPr>
          <w:rFonts w:hint="eastAsia" w:ascii="宋体" w:hAnsi="宋体" w:eastAsia="宋体" w:cs="宋体"/>
          <w:caps w:val="0"/>
          <w:smallCaps w:val="0"/>
          <w:color w:val="000000"/>
          <w:highlight w:val="none"/>
          <w:lang w:eastAsia="zh-CN"/>
        </w:rPr>
        <w:t>，</w:t>
      </w:r>
      <w:r>
        <w:rPr>
          <w:rFonts w:hint="eastAsia" w:ascii="宋体" w:hAnsi="宋体" w:eastAsia="宋体" w:cs="宋体"/>
          <w:caps w:val="0"/>
          <w:smallCaps w:val="0"/>
          <w:color w:val="000000"/>
          <w:highlight w:val="none"/>
        </w:rPr>
        <w:t>为</w:t>
      </w: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监造人员提供工作条件及便利</w:t>
      </w:r>
      <w:r>
        <w:rPr>
          <w:rFonts w:hint="eastAsia" w:ascii="宋体" w:hAnsi="宋体" w:eastAsia="宋体" w:cs="宋体"/>
          <w:caps w:val="0"/>
          <w:smallCaps w:val="0"/>
          <w:color w:val="000000"/>
          <w:highlight w:val="none"/>
          <w:lang w:val="en-US" w:eastAsia="zh-CN"/>
        </w:rPr>
        <w:t>，</w:t>
      </w:r>
      <w:r>
        <w:rPr>
          <w:rFonts w:hint="eastAsia" w:ascii="宋体" w:hAnsi="宋体" w:eastAsia="宋体" w:cs="宋体"/>
          <w:caps w:val="0"/>
          <w:smallCaps w:val="0"/>
          <w:color w:val="000000"/>
          <w:szCs w:val="21"/>
          <w:highlight w:val="none"/>
        </w:rPr>
        <w:t>包括但不限于必要的办公场所、技术资料、检测工具及出入许可等。</w:t>
      </w:r>
    </w:p>
    <w:p w14:paraId="2AB4CB67">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3）</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制订生产制造合同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的进度计划时，应将</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监造纳入计划安排</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应提前 7 日将需要</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监造人员现场监造事项通知</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如</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监造人员未按通知出席，不影响合同设备及其关键部件的制造或检验，但</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监造人员有权事后了解、查阅、复制相关制造或检验记录。</w:t>
      </w:r>
    </w:p>
    <w:p w14:paraId="65738BCF">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监造人员在监造中如发现合同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及其关键部件不符合合同约定的标准，有权提出意见和建议</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应采取必要措施消除，由此增加的费用和（或）造成的延误由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26E4DCE9">
      <w:pPr>
        <w:tabs>
          <w:tab w:val="left" w:pos="1134"/>
        </w:tabs>
        <w:spacing w:line="360" w:lineRule="auto"/>
        <w:ind w:firstLine="420" w:firstLineChars="200"/>
        <w:rPr>
          <w:rFonts w:ascii="宋体" w:hAnsi="宋体"/>
        </w:rPr>
      </w:pPr>
      <w:r>
        <w:rPr>
          <w:rFonts w:hint="eastAsia" w:ascii="宋体" w:hAnsi="宋体"/>
        </w:rPr>
        <w:t>4.1.2 卖方配合买方监造人员，为买方监造人员提供工作条件及便利的约定：</w:t>
      </w:r>
      <w:r>
        <w:rPr>
          <w:rFonts w:hint="eastAsia" w:ascii="宋体" w:hAnsi="宋体"/>
          <w:szCs w:val="21"/>
          <w:u w:val="single"/>
        </w:rPr>
        <w:t xml:space="preserve"> </w:t>
      </w:r>
      <w:r>
        <w:rPr>
          <w:rFonts w:hint="eastAsia" w:ascii="宋体" w:hAnsi="宋体" w:eastAsia="宋体" w:cs="宋体"/>
          <w:caps w:val="0"/>
          <w:smallCaps w:val="0"/>
          <w:color w:val="000000"/>
          <w:highlight w:val="none"/>
          <w:u w:val="single"/>
          <w:lang w:val="en-US" w:eastAsia="zh-CN"/>
        </w:rPr>
        <w:t>卖方需配合买方</w:t>
      </w:r>
      <w:r>
        <w:rPr>
          <w:rFonts w:hint="eastAsia" w:ascii="宋体" w:hAnsi="宋体" w:eastAsia="宋体" w:cs="宋体"/>
          <w:caps w:val="0"/>
          <w:smallCaps w:val="0"/>
          <w:color w:val="000000"/>
          <w:highlight w:val="none"/>
          <w:u w:val="single"/>
        </w:rPr>
        <w:t>监造人员</w:t>
      </w:r>
      <w:r>
        <w:rPr>
          <w:rFonts w:hint="eastAsia" w:ascii="宋体" w:hAnsi="宋体" w:eastAsia="宋体" w:cs="宋体"/>
          <w:caps w:val="0"/>
          <w:smallCaps w:val="0"/>
          <w:color w:val="000000"/>
          <w:highlight w:val="none"/>
          <w:u w:val="single"/>
          <w:lang w:eastAsia="zh-CN"/>
        </w:rPr>
        <w:t>，</w:t>
      </w:r>
      <w:r>
        <w:rPr>
          <w:rFonts w:hint="eastAsia" w:ascii="宋体" w:hAnsi="宋体" w:eastAsia="宋体" w:cs="宋体"/>
          <w:caps w:val="0"/>
          <w:smallCaps w:val="0"/>
          <w:color w:val="000000"/>
          <w:highlight w:val="none"/>
          <w:u w:val="single"/>
        </w:rPr>
        <w:t>为</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监造人员提供工作条件及便利</w:t>
      </w:r>
      <w:r>
        <w:rPr>
          <w:rFonts w:hint="eastAsia" w:ascii="宋体" w:hAnsi="宋体" w:eastAsia="宋体" w:cs="宋体"/>
          <w:caps w:val="0"/>
          <w:smallCaps w:val="0"/>
          <w:color w:val="000000"/>
          <w:highlight w:val="none"/>
          <w:u w:val="single"/>
          <w:lang w:val="en-US" w:eastAsia="zh-CN"/>
        </w:rPr>
        <w:t>，</w:t>
      </w:r>
      <w:r>
        <w:rPr>
          <w:rFonts w:hint="eastAsia" w:ascii="宋体" w:hAnsi="宋体" w:eastAsia="宋体" w:cs="宋体"/>
          <w:caps w:val="0"/>
          <w:smallCaps w:val="0"/>
          <w:color w:val="000000"/>
          <w:szCs w:val="21"/>
          <w:highlight w:val="none"/>
          <w:u w:val="single"/>
        </w:rPr>
        <w:t>包括但不限于必要的办公场所、技术资料、检测工具及出入许可等</w:t>
      </w:r>
      <w:r>
        <w:rPr>
          <w:rFonts w:hint="eastAsia" w:ascii="宋体" w:hAnsi="宋体"/>
          <w:szCs w:val="21"/>
          <w:u w:val="single"/>
        </w:rPr>
        <w:t xml:space="preserve"> 。</w:t>
      </w:r>
    </w:p>
    <w:p w14:paraId="419DE64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rPr>
      </w:pPr>
      <w:r>
        <w:rPr>
          <w:rFonts w:hint="eastAsia" w:ascii="宋体" w:hAnsi="宋体"/>
        </w:rPr>
        <w:t>买方监造人员的交通、食宿费用承担的约定：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监造人员的交通、食宿费用</w:t>
      </w:r>
      <w:r>
        <w:rPr>
          <w:rFonts w:hint="eastAsia" w:ascii="宋体" w:hAnsi="宋体" w:eastAsia="宋体" w:cs="宋体"/>
          <w:caps w:val="0"/>
          <w:smallCaps w:val="0"/>
          <w:color w:val="000000"/>
          <w:highlight w:val="none"/>
          <w:u w:val="single"/>
          <w:lang w:val="en-US" w:eastAsia="zh-CN"/>
        </w:rPr>
        <w:t>由买方自行承担</w:t>
      </w:r>
      <w:r>
        <w:rPr>
          <w:rFonts w:hint="eastAsia" w:ascii="宋体" w:hAnsi="宋体"/>
          <w:szCs w:val="21"/>
          <w:u w:val="single"/>
        </w:rPr>
        <w:t xml:space="preserve"> 。</w:t>
      </w:r>
    </w:p>
    <w:p w14:paraId="7ADFB27C">
      <w:pPr>
        <w:tabs>
          <w:tab w:val="left" w:pos="1134"/>
        </w:tabs>
        <w:spacing w:line="360" w:lineRule="auto"/>
        <w:ind w:firstLine="420" w:firstLineChars="200"/>
        <w:rPr>
          <w:rFonts w:ascii="宋体" w:hAnsi="宋体"/>
        </w:rPr>
      </w:pPr>
      <w:r>
        <w:rPr>
          <w:rFonts w:hint="eastAsia" w:ascii="宋体" w:hAnsi="宋体"/>
        </w:rPr>
        <w:t>4.1.3 卖方将需要买方监造人员现场监造事项通知买方的时间约定：</w:t>
      </w:r>
      <w:r>
        <w:rPr>
          <w:rFonts w:hint="eastAsia" w:ascii="宋体" w:hAnsi="宋体"/>
          <w:szCs w:val="21"/>
          <w:u w:val="single"/>
        </w:rPr>
        <w:t>提前7日</w:t>
      </w:r>
      <w:r>
        <w:rPr>
          <w:rFonts w:hint="eastAsia" w:ascii="宋体" w:hAnsi="宋体"/>
          <w:szCs w:val="21"/>
        </w:rPr>
        <w:t>。</w:t>
      </w:r>
    </w:p>
    <w:p w14:paraId="0543F68F">
      <w:pPr>
        <w:tabs>
          <w:tab w:val="left" w:pos="1134"/>
        </w:tabs>
        <w:spacing w:line="360" w:lineRule="auto"/>
        <w:ind w:firstLine="420" w:firstLineChars="200"/>
        <w:rPr>
          <w:rFonts w:ascii="宋体" w:hAnsi="宋体"/>
        </w:rPr>
      </w:pPr>
      <w:r>
        <w:rPr>
          <w:rFonts w:hint="eastAsia" w:ascii="宋体" w:hAnsi="宋体"/>
        </w:rPr>
        <w:t>4.2</w:t>
      </w:r>
      <w:r>
        <w:rPr>
          <w:rFonts w:ascii="宋体" w:hAnsi="宋体"/>
        </w:rPr>
        <w:t xml:space="preserve"> </w:t>
      </w:r>
      <w:r>
        <w:rPr>
          <w:rFonts w:hint="eastAsia" w:ascii="宋体" w:hAnsi="宋体"/>
        </w:rPr>
        <w:t>交货前检验</w:t>
      </w:r>
    </w:p>
    <w:p w14:paraId="7C11145D">
      <w:pPr>
        <w:tabs>
          <w:tab w:val="left" w:pos="1134"/>
        </w:tabs>
        <w:spacing w:line="360" w:lineRule="auto"/>
        <w:ind w:firstLine="420" w:firstLineChars="200"/>
        <w:rPr>
          <w:rFonts w:hint="eastAsia" w:ascii="宋体" w:hAnsi="宋体"/>
        </w:rPr>
      </w:pP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对合同</w:t>
      </w:r>
      <w:r>
        <w:rPr>
          <w:rFonts w:hint="eastAsia" w:ascii="宋体" w:hAnsi="宋体" w:eastAsia="宋体" w:cs="宋体"/>
          <w:caps w:val="0"/>
          <w:smallCaps w:val="0"/>
          <w:color w:val="000000"/>
          <w:highlight w:val="none"/>
          <w:lang w:val="en-US" w:eastAsia="zh-CN"/>
        </w:rPr>
        <w:t>设备实施</w:t>
      </w:r>
      <w:r>
        <w:rPr>
          <w:rFonts w:hint="eastAsia" w:ascii="宋体" w:hAnsi="宋体"/>
        </w:rPr>
        <w:t>交货前检验</w:t>
      </w:r>
      <w:r>
        <w:rPr>
          <w:rFonts w:hint="eastAsia" w:ascii="宋体" w:hAnsi="宋体"/>
          <w:lang w:eastAsia="zh-CN"/>
        </w:rPr>
        <w:t>。</w:t>
      </w:r>
      <w:r>
        <w:rPr>
          <w:rFonts w:hint="eastAsia" w:ascii="宋体" w:hAnsi="宋体"/>
        </w:rPr>
        <w:t>对合同设备进行交货前检验的具体约定：</w:t>
      </w:r>
    </w:p>
    <w:p w14:paraId="01391C1B">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aps w:val="0"/>
          <w:smallCaps w:val="0"/>
          <w:color w:val="000000"/>
          <w:u w:val="none"/>
          <w:lang w:val="en-US" w:eastAsia="zh-CN"/>
        </w:rPr>
      </w:pPr>
      <w:r>
        <w:rPr>
          <w:rFonts w:hint="eastAsia" w:ascii="宋体" w:hAnsi="宋体" w:eastAsia="宋体" w:cs="宋体"/>
          <w:b/>
          <w:bCs/>
          <w:caps w:val="0"/>
          <w:smallCaps w:val="0"/>
          <w:color w:val="000000"/>
          <w:sz w:val="21"/>
          <w:szCs w:val="21"/>
          <w:highlight w:val="none"/>
          <w:u w:val="none"/>
          <w:lang w:val="en-US" w:eastAsia="zh-CN"/>
        </w:rPr>
        <w:t>（1）关于设备发货前的核验，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1853B0FA">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（2）卖方在设备具备发货条件且在发货前应书面通知买方，买方在收到书面通知后7个工作日内组织相关人员到设备生产地按合同约定对其进行抽检；且卖方在买方书面同意后方可组织发货。</w:t>
      </w:r>
    </w:p>
    <w:p w14:paraId="4D6A2960">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3）</w:t>
      </w:r>
      <w:r>
        <w:rPr>
          <w:rFonts w:hint="eastAsia" w:ascii="宋体" w:hAnsi="宋体" w:eastAsia="宋体" w:cs="宋体"/>
          <w:caps w:val="0"/>
          <w:smallCaps w:val="0"/>
          <w:color w:val="000000"/>
          <w:szCs w:val="21"/>
          <w:highlight w:val="none"/>
        </w:rPr>
        <w:t>若</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未提前通知</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而自行检验</w:t>
      </w:r>
      <w:r>
        <w:rPr>
          <w:rFonts w:hint="eastAsia" w:ascii="宋体" w:hAnsi="宋体" w:eastAsia="宋体" w:cs="宋体"/>
          <w:caps w:val="0"/>
          <w:smallCaps w:val="0"/>
          <w:color w:val="000000"/>
          <w:szCs w:val="21"/>
          <w:highlight w:val="none"/>
          <w:lang w:val="en-US" w:eastAsia="zh-CN"/>
        </w:rPr>
        <w:t>的</w:t>
      </w:r>
      <w:r>
        <w:rPr>
          <w:rFonts w:hint="eastAsia" w:ascii="宋体" w:hAnsi="宋体" w:eastAsia="宋体" w:cs="宋体"/>
          <w:caps w:val="0"/>
          <w:smallCaps w:val="0"/>
          <w:color w:val="000000"/>
          <w:szCs w:val="21"/>
          <w:highlight w:val="none"/>
        </w:rPr>
        <w:t>，则</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有权要求</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暂停发货并重新进行检验，由此增加的费用和（或）造成的延误由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194F59FE">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代表在检验中如发现合同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不符合合同约定的，有权提出异议。</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应采取必要措施消除，</w:t>
      </w:r>
      <w:r>
        <w:rPr>
          <w:rFonts w:hint="eastAsia" w:ascii="宋体" w:hAnsi="宋体" w:eastAsia="宋体" w:cs="宋体"/>
          <w:caps w:val="0"/>
          <w:smallCaps w:val="0"/>
          <w:color w:val="000000"/>
          <w:szCs w:val="21"/>
          <w:highlight w:val="none"/>
          <w:lang w:val="en-US" w:eastAsia="zh-CN"/>
        </w:rPr>
        <w:t>消除后需再通知买方组织再次检验，再次检验卖方在买方书面同意后方可组织发货。因检验不合格整改</w:t>
      </w:r>
      <w:r>
        <w:rPr>
          <w:rFonts w:hint="eastAsia" w:ascii="宋体" w:hAnsi="宋体" w:eastAsia="宋体" w:cs="宋体"/>
          <w:caps w:val="0"/>
          <w:smallCaps w:val="0"/>
          <w:color w:val="000000"/>
          <w:szCs w:val="21"/>
          <w:highlight w:val="none"/>
        </w:rPr>
        <w:t>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2EB449DA">
      <w:pPr>
        <w:tabs>
          <w:tab w:val="left" w:pos="1134"/>
        </w:tabs>
        <w:spacing w:line="360" w:lineRule="auto"/>
        <w:ind w:firstLine="420" w:firstLineChars="200"/>
        <w:rPr>
          <w:rFonts w:ascii="宋体" w:hAnsi="宋体"/>
          <w:szCs w:val="21"/>
        </w:rPr>
      </w:pPr>
      <w:r>
        <w:rPr>
          <w:rFonts w:hint="eastAsia" w:ascii="宋体" w:hAnsi="宋体"/>
          <w:szCs w:val="21"/>
        </w:rPr>
        <w:t xml:space="preserve">4.2.1 </w:t>
      </w:r>
      <w:r>
        <w:rPr>
          <w:rFonts w:hint="eastAsia" w:ascii="宋体" w:hAnsi="宋体"/>
        </w:rPr>
        <w:t>参与交货前检验的买方代表的交通、食宿费用承担的约定：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szCs w:val="21"/>
          <w:highlight w:val="none"/>
          <w:u w:val="single"/>
          <w:lang w:val="en-US" w:eastAsia="zh-CN"/>
        </w:rPr>
        <w:t>买方交货前验收</w:t>
      </w:r>
      <w:r>
        <w:rPr>
          <w:rFonts w:hint="eastAsia" w:ascii="宋体" w:hAnsi="宋体" w:eastAsia="宋体" w:cs="宋体"/>
          <w:caps w:val="0"/>
          <w:smallCaps w:val="0"/>
          <w:color w:val="000000"/>
          <w:szCs w:val="21"/>
          <w:highlight w:val="none"/>
          <w:u w:val="single"/>
        </w:rPr>
        <w:t>人员的交通、食宿费用</w:t>
      </w:r>
      <w:r>
        <w:rPr>
          <w:rFonts w:hint="eastAsia" w:ascii="宋体" w:hAnsi="宋体" w:eastAsia="宋体" w:cs="宋体"/>
          <w:caps w:val="0"/>
          <w:smallCaps w:val="0"/>
          <w:color w:val="000000"/>
          <w:szCs w:val="21"/>
          <w:highlight w:val="none"/>
          <w:u w:val="single"/>
          <w:lang w:val="en-US" w:eastAsia="zh-CN"/>
        </w:rPr>
        <w:t>由买方自行承担</w:t>
      </w:r>
      <w:r>
        <w:rPr>
          <w:rFonts w:hint="eastAsia" w:ascii="宋体" w:hAnsi="宋体"/>
          <w:szCs w:val="21"/>
          <w:u w:val="single"/>
        </w:rPr>
        <w:t xml:space="preserve"> 。</w:t>
      </w:r>
    </w:p>
    <w:p w14:paraId="3BC8D06F">
      <w:pPr>
        <w:tabs>
          <w:tab w:val="left" w:pos="1134"/>
        </w:tabs>
        <w:spacing w:line="360" w:lineRule="auto"/>
        <w:ind w:firstLine="420" w:firstLineChars="200"/>
        <w:rPr>
          <w:rFonts w:ascii="宋体" w:hAnsi="宋体"/>
        </w:rPr>
      </w:pPr>
      <w:r>
        <w:rPr>
          <w:rFonts w:hint="eastAsia" w:ascii="宋体" w:hAnsi="宋体"/>
          <w:szCs w:val="21"/>
        </w:rPr>
        <w:t xml:space="preserve">4.2.2 </w:t>
      </w:r>
      <w:r>
        <w:rPr>
          <w:rFonts w:hint="eastAsia" w:ascii="宋体" w:hAnsi="宋体"/>
        </w:rPr>
        <w:t>卖方将需要买方代表检验事项通知买方的时间约定：</w:t>
      </w:r>
      <w:r>
        <w:rPr>
          <w:rFonts w:hint="eastAsia" w:ascii="宋体" w:hAnsi="宋体"/>
          <w:szCs w:val="21"/>
          <w:u w:val="single"/>
        </w:rPr>
        <w:t>提前7日</w:t>
      </w:r>
      <w:r>
        <w:rPr>
          <w:rFonts w:hint="eastAsia" w:ascii="宋体" w:hAnsi="宋体"/>
          <w:szCs w:val="21"/>
        </w:rPr>
        <w:t>。</w:t>
      </w:r>
    </w:p>
    <w:p w14:paraId="2F05AEF8">
      <w:pPr>
        <w:pStyle w:val="97"/>
        <w:keepNext w:val="0"/>
        <w:keepLines w:val="0"/>
        <w:tabs>
          <w:tab w:val="left" w:pos="567"/>
        </w:tabs>
        <w:spacing w:before="156" w:after="156"/>
        <w:rPr>
          <w:rFonts w:eastAsia="宋体" w:cs="Times New Roman"/>
          <w:b/>
          <w:bCs/>
          <w:sz w:val="32"/>
          <w:szCs w:val="32"/>
        </w:rPr>
      </w:pPr>
      <w:bookmarkStart w:id="797" w:name="_Toc2881829"/>
      <w:bookmarkStart w:id="798" w:name="_Toc11040"/>
      <w:bookmarkStart w:id="799" w:name="_Toc7006"/>
      <w:bookmarkStart w:id="800" w:name="_Toc12723"/>
      <w:bookmarkStart w:id="801" w:name="_Toc12044"/>
      <w:bookmarkStart w:id="802" w:name="_Toc24338"/>
      <w:bookmarkStart w:id="803" w:name="_Toc26925"/>
      <w:r>
        <w:rPr>
          <w:rFonts w:hint="eastAsia" w:eastAsia="宋体" w:cs="Times New Roman"/>
          <w:b/>
          <w:bCs/>
          <w:sz w:val="32"/>
          <w:szCs w:val="32"/>
        </w:rPr>
        <w:t>5. 包装、标记、运输和交付</w:t>
      </w:r>
      <w:bookmarkEnd w:id="796"/>
      <w:bookmarkEnd w:id="797"/>
      <w:bookmarkEnd w:id="798"/>
      <w:bookmarkEnd w:id="799"/>
      <w:bookmarkEnd w:id="800"/>
      <w:bookmarkEnd w:id="801"/>
      <w:bookmarkEnd w:id="802"/>
      <w:bookmarkEnd w:id="803"/>
    </w:p>
    <w:p w14:paraId="3EE8EFD7">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.1 </w:t>
      </w:r>
      <w:r>
        <w:rPr>
          <w:rFonts w:hint="eastAsia" w:ascii="宋体" w:hAnsi="宋体"/>
          <w:szCs w:val="21"/>
        </w:rPr>
        <w:t>包装</w:t>
      </w:r>
    </w:p>
    <w:p w14:paraId="0827F9B3">
      <w:pPr>
        <w:pageBreakBefore w:val="0"/>
        <w:tabs>
          <w:tab w:val="left" w:pos="1134"/>
        </w:tabs>
        <w:topLinePunct w:val="0"/>
        <w:bidi w:val="0"/>
        <w:spacing w:line="360" w:lineRule="auto"/>
        <w:ind w:firstLine="420"/>
        <w:rPr>
          <w:rFonts w:hint="eastAsia" w:ascii="宋体" w:hAnsi="宋体" w:eastAsia="宋体" w:cs="宋体"/>
          <w:caps w:val="0"/>
          <w:smallCaps w:val="0"/>
          <w:color w:val="000000"/>
          <w:szCs w:val="21"/>
          <w:highlight w:val="none"/>
          <w:u w:val="single"/>
        </w:rPr>
      </w:pPr>
      <w:r>
        <w:rPr>
          <w:rFonts w:hint="eastAsia" w:ascii="宋体" w:hAnsi="宋体"/>
          <w:szCs w:val="21"/>
        </w:rPr>
        <w:t>5</w:t>
      </w:r>
      <w:r>
        <w:rPr>
          <w:rFonts w:ascii="宋体" w:hAnsi="宋体"/>
          <w:szCs w:val="21"/>
        </w:rPr>
        <w:t>.1.</w:t>
      </w:r>
      <w:r>
        <w:rPr>
          <w:rFonts w:hint="eastAsia" w:ascii="宋体" w:hAnsi="宋体"/>
          <w:szCs w:val="21"/>
        </w:rPr>
        <w:t>3</w:t>
      </w:r>
      <w:r>
        <w:rPr>
          <w:rFonts w:ascii="宋体" w:hAnsi="宋体"/>
          <w:szCs w:val="21"/>
        </w:rPr>
        <w:t xml:space="preserve"> </w:t>
      </w:r>
      <w:r>
        <w:rPr>
          <w:rFonts w:hint="eastAsia" w:ascii="宋体" w:hAnsi="宋体"/>
          <w:szCs w:val="21"/>
        </w:rPr>
        <w:t>包装物处理方式的约定：</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应对合同设备进行妥善包装，以满足合同设备运至施工场地及在施工场地保管的需要</w:t>
      </w:r>
      <w:r>
        <w:rPr>
          <w:rFonts w:hint="eastAsia" w:ascii="宋体" w:hAnsi="宋体" w:eastAsia="宋体" w:cs="宋体"/>
          <w:caps w:val="0"/>
          <w:smallCaps w:val="0"/>
          <w:color w:val="000000"/>
          <w:sz w:val="21"/>
          <w:szCs w:val="21"/>
          <w:highlight w:val="none"/>
          <w:u w:val="single"/>
          <w:lang w:val="en-US" w:eastAsia="zh-CN"/>
        </w:rPr>
        <w:t>并符合包装和运输的有关标准，包装应为制造商时的原包装</w:t>
      </w:r>
      <w:r>
        <w:rPr>
          <w:rFonts w:hint="eastAsia" w:ascii="宋体" w:hAnsi="宋体" w:eastAsia="宋体" w:cs="宋体"/>
          <w:caps w:val="0"/>
          <w:smallCaps w:val="0"/>
          <w:color w:val="000000"/>
          <w:szCs w:val="21"/>
          <w:highlight w:val="none"/>
          <w:u w:val="single"/>
        </w:rPr>
        <w:t>。包装应采取防潮、防晒、防锈、防腐蚀、防震动</w:t>
      </w:r>
      <w:r>
        <w:rPr>
          <w:rFonts w:hint="eastAsia" w:ascii="宋体" w:hAnsi="宋体" w:eastAsia="宋体" w:cs="宋体"/>
          <w:caps w:val="0"/>
          <w:smallCaps w:val="0"/>
          <w:color w:val="000000"/>
          <w:sz w:val="21"/>
          <w:szCs w:val="21"/>
          <w:highlight w:val="none"/>
          <w:u w:val="single"/>
          <w:lang w:val="en-US" w:eastAsia="zh-CN"/>
        </w:rPr>
        <w:t>以及其他不可预见的损坏</w:t>
      </w:r>
      <w:r>
        <w:rPr>
          <w:rFonts w:hint="eastAsia" w:ascii="宋体" w:hAnsi="宋体" w:eastAsia="宋体" w:cs="宋体"/>
          <w:caps w:val="0"/>
          <w:smallCaps w:val="0"/>
          <w:color w:val="000000"/>
          <w:szCs w:val="21"/>
          <w:highlight w:val="none"/>
          <w:u w:val="single"/>
        </w:rPr>
        <w:t>的必要保护措施，从而保护合同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能够经受多次搬运、装卸、长途运输并适宜保管。</w:t>
      </w:r>
    </w:p>
    <w:p w14:paraId="52F8971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 xml:space="preserve"> 每个独立包装箱内应附装箱清单、质量合格证、装配图、说明书、操作指南等资料。</w:t>
      </w:r>
    </w:p>
    <w:p w14:paraId="1B78784D">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1B885F4F">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highlight w:val="none"/>
          <w:u w:val="none"/>
          <w:lang w:val="en-US" w:eastAsia="zh-CN"/>
        </w:rPr>
      </w:pPr>
      <w:r>
        <w:rPr>
          <w:rFonts w:hint="eastAsia" w:ascii="宋体" w:hAnsi="宋体"/>
          <w:szCs w:val="21"/>
        </w:rPr>
        <w:t>5</w:t>
      </w:r>
      <w:r>
        <w:rPr>
          <w:rFonts w:ascii="宋体" w:hAnsi="宋体"/>
          <w:szCs w:val="21"/>
        </w:rPr>
        <w:t xml:space="preserve">.2.1 </w:t>
      </w:r>
      <w:r>
        <w:rPr>
          <w:rFonts w:hint="eastAsia" w:ascii="宋体" w:hAnsi="宋体"/>
          <w:szCs w:val="21"/>
          <w:lang w:val="en-US" w:eastAsia="zh-CN"/>
        </w:rPr>
        <w:t>进行标记的约定</w:t>
      </w:r>
      <w:r>
        <w:rPr>
          <w:rFonts w:hint="eastAsia" w:ascii="宋体" w:hAnsi="宋体"/>
          <w:szCs w:val="21"/>
        </w:rPr>
        <w:t>：</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应在每一包装箱</w:t>
      </w:r>
      <w:r>
        <w:rPr>
          <w:rFonts w:hint="eastAsia" w:ascii="宋体" w:hAnsi="宋体" w:eastAsia="宋体" w:cs="宋体"/>
          <w:caps w:val="0"/>
          <w:smallCaps w:val="0"/>
          <w:color w:val="000000"/>
          <w:szCs w:val="21"/>
          <w:highlight w:val="none"/>
          <w:u w:val="single"/>
          <w:lang w:val="en-US" w:eastAsia="zh-CN"/>
        </w:rPr>
        <w:t>醒目位置</w:t>
      </w:r>
      <w:r>
        <w:rPr>
          <w:rFonts w:hint="eastAsia" w:ascii="宋体" w:hAnsi="宋体" w:eastAsia="宋体" w:cs="宋体"/>
          <w:caps w:val="0"/>
          <w:smallCaps w:val="0"/>
          <w:color w:val="000000"/>
          <w:szCs w:val="21"/>
          <w:highlight w:val="none"/>
          <w:u w:val="single"/>
        </w:rPr>
        <w:t>不可擦除、明显的方式标记必要的装运信息和标记，以满足合同设备运输和保管的需要</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具体包括</w:t>
      </w:r>
      <w:r>
        <w:rPr>
          <w:rFonts w:hint="eastAsia" w:ascii="宋体" w:hAnsi="宋体" w:eastAsia="宋体" w:cs="宋体"/>
          <w:caps w:val="0"/>
          <w:smallCaps w:val="0"/>
          <w:color w:val="000000"/>
          <w:sz w:val="21"/>
          <w:szCs w:val="21"/>
          <w:highlight w:val="none"/>
          <w:u w:val="single"/>
        </w:rPr>
        <w:t>目的站</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合同设备名称；箱号/件号；毛重/净重（公斤）；体积（长×宽×高，以毫米表示）；吊点；合同设备运输警示标示。</w:t>
      </w:r>
    </w:p>
    <w:p w14:paraId="49C2E30D">
      <w:pPr>
        <w:tabs>
          <w:tab w:val="left" w:pos="1134"/>
        </w:tabs>
        <w:spacing w:line="360" w:lineRule="auto"/>
        <w:ind w:firstLine="420"/>
        <w:rPr>
          <w:rFonts w:ascii="宋体" w:hAnsi="宋体"/>
          <w:szCs w:val="21"/>
        </w:rPr>
      </w:pPr>
      <w:r>
        <w:rPr>
          <w:rFonts w:ascii="宋体" w:hAnsi="宋体"/>
          <w:szCs w:val="21"/>
        </w:rPr>
        <w:t xml:space="preserve">5.2.2 </w:t>
      </w:r>
      <w:r>
        <w:rPr>
          <w:rFonts w:hint="eastAsia" w:ascii="宋体" w:hAnsi="宋体"/>
          <w:szCs w:val="21"/>
        </w:rPr>
        <w:t>超大超重件包括：</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cs="宋体"/>
          <w:szCs w:val="21"/>
        </w:rPr>
        <w:t>。</w:t>
      </w:r>
    </w:p>
    <w:p w14:paraId="4722F98E">
      <w:pPr>
        <w:tabs>
          <w:tab w:val="left" w:pos="1134"/>
        </w:tabs>
        <w:spacing w:line="360" w:lineRule="auto"/>
        <w:ind w:firstLine="420" w:firstLineChars="200"/>
        <w:rPr>
          <w:rFonts w:ascii="宋体" w:hAnsi="宋体"/>
          <w:szCs w:val="21"/>
          <w:u w:val="single"/>
        </w:rPr>
      </w:pPr>
      <w:r>
        <w:rPr>
          <w:rFonts w:hint="eastAsia" w:ascii="宋体" w:hAnsi="宋体"/>
          <w:szCs w:val="21"/>
        </w:rPr>
        <w:t>5</w:t>
      </w:r>
      <w:r>
        <w:rPr>
          <w:rFonts w:ascii="宋体" w:hAnsi="宋体"/>
          <w:szCs w:val="21"/>
        </w:rPr>
        <w:t>.3</w:t>
      </w:r>
      <w:r>
        <w:rPr>
          <w:rFonts w:hint="eastAsia" w:ascii="宋体" w:hAnsi="宋体"/>
          <w:szCs w:val="21"/>
        </w:rPr>
        <w:t>运输</w:t>
      </w:r>
    </w:p>
    <w:p w14:paraId="4126BBE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szCs w:val="21"/>
        </w:rPr>
        <w:t>5</w:t>
      </w:r>
      <w:r>
        <w:rPr>
          <w:rFonts w:ascii="宋体" w:hAnsi="宋体"/>
          <w:szCs w:val="21"/>
        </w:rPr>
        <w:t>.3.</w:t>
      </w:r>
      <w:r>
        <w:rPr>
          <w:rFonts w:hint="eastAsia" w:ascii="宋体" w:hAnsi="宋体"/>
          <w:szCs w:val="21"/>
        </w:rPr>
        <w:t>2</w:t>
      </w:r>
      <w:r>
        <w:rPr>
          <w:rFonts w:ascii="宋体" w:hAnsi="宋体"/>
          <w:szCs w:val="21"/>
        </w:rPr>
        <w:t xml:space="preserve"> </w:t>
      </w:r>
      <w:r>
        <w:rPr>
          <w:rFonts w:hint="eastAsia" w:ascii="宋体" w:hAnsi="宋体"/>
          <w:szCs w:val="21"/>
        </w:rPr>
        <w:t>装运方式的约定：</w:t>
      </w: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rPr>
        <w:t xml:space="preserve"> </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应根据约定的</w:t>
      </w:r>
      <w:r>
        <w:rPr>
          <w:rFonts w:hint="eastAsia" w:ascii="宋体" w:hAnsi="宋体" w:eastAsia="宋体" w:cs="宋体"/>
          <w:caps w:val="0"/>
          <w:smallCaps w:val="0"/>
          <w:color w:val="000000"/>
          <w:szCs w:val="21"/>
          <w:highlight w:val="none"/>
          <w:u w:val="single"/>
          <w:lang w:val="en-US" w:eastAsia="zh-CN"/>
        </w:rPr>
        <w:t>发货</w:t>
      </w:r>
      <w:r>
        <w:rPr>
          <w:rFonts w:hint="eastAsia" w:ascii="宋体" w:hAnsi="宋体" w:eastAsia="宋体" w:cs="宋体"/>
          <w:caps w:val="0"/>
          <w:smallCaps w:val="0"/>
          <w:color w:val="000000"/>
          <w:szCs w:val="21"/>
          <w:highlight w:val="none"/>
          <w:u w:val="single"/>
        </w:rPr>
        <w:t>时间和批次自行选择适宜的运输工具及线路安排合同设备运输</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w:t>
      </w:r>
    </w:p>
    <w:p w14:paraId="3AD2800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每件能够独立运行的设备应整套装运。该设备安装、调试、考核和运行所使用的备品、备件、易损易耗件等应随相关的主机一</w:t>
      </w:r>
      <w:r>
        <w:rPr>
          <w:rFonts w:hint="eastAsia" w:ascii="宋体" w:hAnsi="宋体" w:eastAsia="宋体" w:cs="宋体"/>
          <w:caps w:val="0"/>
          <w:smallCaps w:val="0"/>
          <w:color w:val="000000"/>
          <w:szCs w:val="21"/>
          <w:highlight w:val="none"/>
          <w:u w:val="single"/>
          <w:lang w:val="en-US" w:eastAsia="zh-CN"/>
        </w:rPr>
        <w:t>起</w:t>
      </w:r>
      <w:r>
        <w:rPr>
          <w:rFonts w:hint="eastAsia" w:ascii="宋体" w:hAnsi="宋体" w:eastAsia="宋体" w:cs="宋体"/>
          <w:caps w:val="0"/>
          <w:smallCaps w:val="0"/>
          <w:color w:val="000000"/>
          <w:szCs w:val="21"/>
          <w:highlight w:val="none"/>
          <w:u w:val="single"/>
        </w:rPr>
        <w:t>装运。</w:t>
      </w:r>
    </w:p>
    <w:p w14:paraId="44D0B995">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lang w:val="en-US" w:eastAsia="zh-CN"/>
        </w:rPr>
      </w:pPr>
      <w:r>
        <w:rPr>
          <w:rFonts w:hint="eastAsia" w:ascii="宋体" w:hAnsi="宋体" w:eastAsia="宋体" w:cs="宋体"/>
          <w:caps w:val="0"/>
          <w:smallCaps w:val="0"/>
          <w:color w:val="000000"/>
          <w:szCs w:val="21"/>
          <w:highlight w:val="none"/>
          <w:u w:val="single"/>
          <w:lang w:val="en-US" w:eastAsia="zh-CN"/>
        </w:rPr>
        <w:t>（3）</w:t>
      </w:r>
      <w:r>
        <w:rPr>
          <w:rFonts w:hint="eastAsia" w:ascii="宋体" w:hAnsi="宋体" w:eastAsia="宋体" w:cs="宋体"/>
          <w:caps w:val="0"/>
          <w:smallCaps w:val="0"/>
          <w:color w:val="000000"/>
          <w:szCs w:val="21"/>
          <w:highlight w:val="none"/>
          <w:u w:val="single"/>
        </w:rPr>
        <w:t>如果发运合同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中包括超大超重包装，则</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应将超大和（或）超重的每个包装箱的重量和尺寸通知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；如果发运合同设备中包括易燃易爆物品、腐蚀物品、放射性物质等危险品，则危险品的品名、性质、在运输、装卸、保管方面的特殊要求、注意事项和处理意外情况的方法等，也应一并通知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lang w:val="en-US" w:eastAsia="zh-CN"/>
        </w:rPr>
        <w:t>但应由卖方协调相关部门，</w:t>
      </w:r>
      <w:r>
        <w:rPr>
          <w:rFonts w:hint="eastAsia" w:ascii="宋体" w:hAnsi="宋体" w:eastAsia="宋体" w:cs="宋体"/>
          <w:caps w:val="0"/>
          <w:smallCaps w:val="0"/>
          <w:color w:val="000000"/>
          <w:sz w:val="21"/>
          <w:szCs w:val="21"/>
          <w:highlight w:val="none"/>
          <w:u w:val="single"/>
          <w:lang w:val="en-US" w:eastAsia="zh-CN"/>
        </w:rPr>
        <w:t>所有设备</w:t>
      </w:r>
      <w:r>
        <w:rPr>
          <w:rFonts w:hint="eastAsia" w:ascii="宋体" w:hAnsi="宋体" w:eastAsia="宋体" w:cs="宋体"/>
          <w:caps w:val="0"/>
          <w:smallCaps w:val="0"/>
          <w:color w:val="000000"/>
          <w:szCs w:val="21"/>
          <w:highlight w:val="none"/>
          <w:u w:val="single"/>
        </w:rPr>
        <w:t>运输</w:t>
      </w:r>
      <w:r>
        <w:rPr>
          <w:rFonts w:hint="eastAsia" w:ascii="宋体" w:hAnsi="宋体" w:eastAsia="宋体" w:cs="宋体"/>
          <w:caps w:val="0"/>
          <w:smallCaps w:val="0"/>
          <w:color w:val="000000"/>
          <w:szCs w:val="21"/>
          <w:highlight w:val="none"/>
          <w:u w:val="single"/>
          <w:lang w:val="en-US" w:eastAsia="zh-CN"/>
        </w:rPr>
        <w:t>费用，以及</w:t>
      </w:r>
      <w:r>
        <w:rPr>
          <w:rFonts w:hint="eastAsia" w:ascii="宋体" w:hAnsi="宋体" w:eastAsia="宋体" w:cs="宋体"/>
          <w:caps w:val="0"/>
          <w:smallCaps w:val="0"/>
          <w:color w:val="000000"/>
          <w:szCs w:val="21"/>
          <w:highlight w:val="none"/>
          <w:u w:val="single"/>
        </w:rPr>
        <w:t>需</w:t>
      </w:r>
      <w:r>
        <w:rPr>
          <w:rFonts w:hint="eastAsia" w:ascii="宋体" w:hAnsi="宋体" w:eastAsia="宋体" w:cs="宋体"/>
          <w:caps w:val="0"/>
          <w:smallCaps w:val="0"/>
          <w:color w:val="000000"/>
          <w:szCs w:val="21"/>
          <w:highlight w:val="none"/>
          <w:u w:val="single"/>
          <w:lang w:val="en-US" w:eastAsia="zh-CN"/>
        </w:rPr>
        <w:t>要对</w:t>
      </w:r>
      <w:r>
        <w:rPr>
          <w:rFonts w:hint="eastAsia" w:ascii="宋体" w:hAnsi="宋体" w:eastAsia="宋体" w:cs="宋体"/>
          <w:caps w:val="0"/>
          <w:smallCaps w:val="0"/>
          <w:color w:val="000000"/>
          <w:szCs w:val="21"/>
          <w:highlight w:val="none"/>
          <w:u w:val="single"/>
        </w:rPr>
        <w:t>道路和桥梁临时加固改造费用</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装卸费用</w:t>
      </w:r>
      <w:r>
        <w:rPr>
          <w:rFonts w:hint="eastAsia" w:ascii="宋体" w:hAnsi="宋体" w:eastAsia="宋体" w:cs="宋体"/>
          <w:caps w:val="0"/>
          <w:smallCaps w:val="0"/>
          <w:color w:val="000000"/>
          <w:szCs w:val="21"/>
          <w:highlight w:val="none"/>
          <w:u w:val="single"/>
        </w:rPr>
        <w:t>和其他有关费用由</w:t>
      </w:r>
      <w:r>
        <w:rPr>
          <w:rFonts w:hint="eastAsia" w:ascii="宋体" w:hAnsi="宋体" w:eastAsia="宋体" w:cs="宋体"/>
          <w:caps w:val="0"/>
          <w:smallCaps w:val="0"/>
          <w:color w:val="000000"/>
          <w:szCs w:val="21"/>
          <w:highlight w:val="none"/>
          <w:u w:val="single"/>
          <w:lang w:val="en-US"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eastAsia="宋体" w:cs="宋体"/>
          <w:caps w:val="0"/>
          <w:smallCaps w:val="0"/>
          <w:color w:val="000000"/>
          <w:szCs w:val="21"/>
          <w:highlight w:val="none"/>
          <w:u w:val="single"/>
          <w:lang w:val="en-US" w:eastAsia="zh-CN"/>
        </w:rPr>
        <w:t>。</w:t>
      </w:r>
    </w:p>
    <w:p w14:paraId="11CD6F7B">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u w:val="single"/>
          <w:lang w:eastAsia="zh-CN"/>
        </w:rPr>
      </w:pPr>
      <w:r>
        <w:rPr>
          <w:rFonts w:hint="eastAsia" w:ascii="宋体" w:hAnsi="宋体"/>
          <w:szCs w:val="21"/>
        </w:rPr>
        <w:t>5</w:t>
      </w:r>
      <w:r>
        <w:rPr>
          <w:rFonts w:ascii="宋体" w:hAnsi="宋体"/>
          <w:szCs w:val="21"/>
        </w:rPr>
        <w:t>.3.</w:t>
      </w:r>
      <w:r>
        <w:rPr>
          <w:rFonts w:hint="eastAsia" w:ascii="宋体" w:hAnsi="宋体"/>
          <w:szCs w:val="21"/>
        </w:rPr>
        <w:t>3</w:t>
      </w:r>
      <w:r>
        <w:rPr>
          <w:rFonts w:ascii="宋体" w:hAnsi="宋体"/>
          <w:szCs w:val="21"/>
        </w:rPr>
        <w:t xml:space="preserve"> </w:t>
      </w:r>
      <w:r>
        <w:rPr>
          <w:rFonts w:hint="eastAsia" w:ascii="宋体" w:hAnsi="宋体"/>
        </w:rPr>
        <w:t>卖方通知</w:t>
      </w:r>
      <w:r>
        <w:rPr>
          <w:rFonts w:hint="eastAsia" w:ascii="宋体" w:hAnsi="宋体"/>
          <w:lang w:val="en-US" w:eastAsia="zh-CN"/>
        </w:rPr>
        <w:t>的约定</w:t>
      </w:r>
      <w:r>
        <w:rPr>
          <w:rFonts w:hint="eastAsia" w:ascii="宋体" w:hAnsi="宋体"/>
          <w:szCs w:val="21"/>
        </w:rPr>
        <w:t>：</w:t>
      </w:r>
      <w:r>
        <w:rPr>
          <w:rFonts w:hint="eastAsia" w:ascii="宋体" w:hAnsi="宋体" w:eastAsia="宋体" w:cs="宋体"/>
          <w:caps w:val="0"/>
          <w:smallCaps w:val="0"/>
          <w:color w:val="auto"/>
          <w:szCs w:val="21"/>
          <w:highlight w:val="none"/>
          <w:u w:val="single"/>
          <w:lang w:eastAsia="zh-CN"/>
        </w:rPr>
        <w:t>卖方</w:t>
      </w:r>
      <w:r>
        <w:rPr>
          <w:rFonts w:hint="eastAsia" w:ascii="宋体" w:hAnsi="宋体" w:eastAsia="宋体" w:cs="宋体"/>
          <w:caps w:val="0"/>
          <w:smallCaps w:val="0"/>
          <w:color w:val="auto"/>
          <w:szCs w:val="21"/>
          <w:highlight w:val="none"/>
          <w:u w:val="single"/>
        </w:rPr>
        <w:t>应在合同</w:t>
      </w:r>
      <w:r>
        <w:rPr>
          <w:rFonts w:hint="eastAsia" w:ascii="宋体" w:hAnsi="宋体" w:eastAsia="宋体" w:cs="宋体"/>
          <w:caps w:val="0"/>
          <w:smallCaps w:val="0"/>
          <w:color w:val="auto"/>
          <w:szCs w:val="21"/>
          <w:highlight w:val="none"/>
          <w:u w:val="single"/>
          <w:lang w:val="en-US" w:eastAsia="zh-CN"/>
        </w:rPr>
        <w:t>设备</w:t>
      </w:r>
      <w:r>
        <w:rPr>
          <w:rFonts w:hint="eastAsia" w:ascii="宋体" w:hAnsi="宋体" w:eastAsia="宋体" w:cs="宋体"/>
          <w:caps w:val="0"/>
          <w:smallCaps w:val="0"/>
          <w:color w:val="auto"/>
          <w:szCs w:val="21"/>
          <w:highlight w:val="none"/>
          <w:u w:val="single"/>
        </w:rPr>
        <w:t>预计启运 7 日前</w:t>
      </w:r>
      <w:r>
        <w:rPr>
          <w:rFonts w:hint="eastAsia" w:ascii="宋体" w:hAnsi="宋体" w:eastAsia="宋体" w:cs="宋体"/>
          <w:caps w:val="0"/>
          <w:smallCaps w:val="0"/>
          <w:color w:val="auto"/>
          <w:sz w:val="21"/>
          <w:szCs w:val="21"/>
          <w:highlight w:val="none"/>
          <w:u w:val="single"/>
          <w:lang w:val="en-US" w:eastAsia="zh-CN"/>
        </w:rPr>
        <w:t>预通知买方</w:t>
      </w:r>
      <w:r>
        <w:rPr>
          <w:rFonts w:hint="eastAsia" w:ascii="宋体" w:hAnsi="宋体" w:eastAsia="宋体" w:cs="宋体"/>
          <w:caps w:val="0"/>
          <w:smallCaps w:val="0"/>
          <w:color w:val="auto"/>
          <w:szCs w:val="21"/>
          <w:highlight w:val="none"/>
          <w:u w:val="single"/>
        </w:rPr>
        <w:t>，</w:t>
      </w:r>
      <w:r>
        <w:rPr>
          <w:rFonts w:hint="eastAsia" w:ascii="宋体" w:hAnsi="宋体" w:eastAsia="宋体" w:cs="宋体"/>
          <w:caps w:val="0"/>
          <w:smallCaps w:val="0"/>
          <w:color w:val="auto"/>
          <w:sz w:val="21"/>
          <w:szCs w:val="21"/>
          <w:highlight w:val="none"/>
          <w:u w:val="single"/>
        </w:rPr>
        <w:t>并在合同</w:t>
      </w:r>
      <w:r>
        <w:rPr>
          <w:rFonts w:hint="eastAsia" w:ascii="宋体" w:hAnsi="宋体" w:eastAsia="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u w:val="single"/>
        </w:rPr>
        <w:t>启运后</w:t>
      </w:r>
      <w:r>
        <w:rPr>
          <w:rFonts w:hint="eastAsia" w:ascii="宋体" w:hAnsi="宋体" w:eastAsia="宋体" w:cs="宋体"/>
          <w:caps w:val="0"/>
          <w:smallCaps w:val="0"/>
          <w:color w:val="auto"/>
          <w:sz w:val="21"/>
          <w:szCs w:val="21"/>
          <w:highlight w:val="none"/>
          <w:u w:val="single"/>
          <w:lang w:val="en-US" w:eastAsia="zh-CN"/>
        </w:rPr>
        <w:t xml:space="preserve">  12 </w:t>
      </w:r>
      <w:r>
        <w:rPr>
          <w:rFonts w:hint="eastAsia" w:ascii="宋体" w:hAnsi="宋体" w:eastAsia="宋体" w:cs="宋体"/>
          <w:caps w:val="0"/>
          <w:smallCaps w:val="0"/>
          <w:color w:val="auto"/>
          <w:sz w:val="21"/>
          <w:szCs w:val="21"/>
          <w:highlight w:val="none"/>
          <w:u w:val="single"/>
        </w:rPr>
        <w:t>小时之内正式通知</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lang w:val="en-US" w:eastAsia="zh-CN"/>
        </w:rPr>
        <w:t>具体包括合</w:t>
      </w:r>
      <w:r>
        <w:rPr>
          <w:rFonts w:hint="eastAsia" w:ascii="宋体" w:hAnsi="宋体" w:eastAsia="宋体" w:cs="宋体"/>
          <w:caps w:val="0"/>
          <w:smallCaps w:val="0"/>
          <w:color w:val="auto"/>
          <w:sz w:val="21"/>
          <w:szCs w:val="21"/>
          <w:highlight w:val="none"/>
          <w:u w:val="single"/>
        </w:rPr>
        <w:t>同设备名称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数量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箱数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总毛重</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总体积（用m</w:t>
      </w:r>
      <w:r>
        <w:rPr>
          <w:rFonts w:hint="eastAsia" w:ascii="宋体" w:hAnsi="宋体" w:eastAsia="宋体" w:cs="宋体"/>
          <w:caps w:val="0"/>
          <w:smallCaps w:val="0"/>
          <w:color w:val="auto"/>
          <w:sz w:val="21"/>
          <w:szCs w:val="21"/>
          <w:highlight w:val="none"/>
          <w:u w:val="single"/>
          <w:vertAlign w:val="superscript"/>
        </w:rPr>
        <w:t>3</w:t>
      </w:r>
      <w:r>
        <w:rPr>
          <w:rFonts w:hint="eastAsia" w:ascii="宋体" w:hAnsi="宋体" w:eastAsia="宋体" w:cs="宋体"/>
          <w:caps w:val="0"/>
          <w:smallCaps w:val="0"/>
          <w:color w:val="auto"/>
          <w:sz w:val="21"/>
          <w:szCs w:val="21"/>
          <w:highlight w:val="none"/>
          <w:u w:val="single"/>
        </w:rPr>
        <w:t>表示）</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每箱尺寸（长×宽×高）</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装运合同设备总金额</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合同设备装箱单（应注明包装</w:t>
      </w:r>
      <w:r>
        <w:rPr>
          <w:rFonts w:hint="eastAsia" w:ascii="宋体" w:hAnsi="宋体" w:eastAsia="宋体" w:cs="宋体"/>
          <w:caps w:val="0"/>
          <w:smallCaps w:val="0"/>
          <w:color w:val="auto"/>
          <w:sz w:val="21"/>
          <w:szCs w:val="21"/>
          <w:highlight w:val="none"/>
          <w:u w:val="single"/>
          <w:lang w:val="en-US" w:eastAsia="zh-CN"/>
        </w:rPr>
        <w:t>箱内设备</w:t>
      </w:r>
      <w:r>
        <w:rPr>
          <w:rFonts w:hint="eastAsia" w:ascii="宋体" w:hAnsi="宋体" w:eastAsia="宋体" w:cs="宋体"/>
          <w:caps w:val="0"/>
          <w:smallCaps w:val="0"/>
          <w:color w:val="auto"/>
          <w:sz w:val="21"/>
          <w:szCs w:val="21"/>
          <w:highlight w:val="none"/>
          <w:u w:val="single"/>
        </w:rPr>
        <w:t>名称、数量、价格</w:t>
      </w:r>
      <w:r>
        <w:rPr>
          <w:rFonts w:hint="eastAsia" w:ascii="宋体" w:hAnsi="宋体" w:eastAsia="宋体" w:cs="宋体"/>
          <w:caps w:val="0"/>
          <w:smallCaps w:val="0"/>
          <w:color w:val="auto"/>
          <w:sz w:val="21"/>
          <w:szCs w:val="21"/>
          <w:highlight w:val="none"/>
          <w:u w:val="single"/>
          <w:lang w:val="en-US" w:eastAsia="zh-CN"/>
        </w:rPr>
        <w:t>等</w:t>
      </w:r>
      <w:r>
        <w:rPr>
          <w:rFonts w:hint="eastAsia" w:ascii="宋体" w:hAnsi="宋体" w:eastAsia="宋体" w:cs="宋体"/>
          <w:caps w:val="0"/>
          <w:smallCaps w:val="0"/>
          <w:color w:val="auto"/>
          <w:sz w:val="21"/>
          <w:szCs w:val="21"/>
          <w:highlight w:val="none"/>
          <w:u w:val="single"/>
        </w:rPr>
        <w:t>详细信息）</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运输方式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预计</w:t>
      </w:r>
      <w:r>
        <w:rPr>
          <w:rFonts w:hint="eastAsia" w:ascii="宋体" w:hAnsi="宋体" w:eastAsia="宋体" w:cs="宋体"/>
          <w:caps w:val="0"/>
          <w:smallCaps w:val="0"/>
          <w:color w:val="auto"/>
          <w:sz w:val="21"/>
          <w:szCs w:val="21"/>
          <w:highlight w:val="none"/>
          <w:u w:val="single"/>
          <w:lang w:val="en-US" w:eastAsia="zh-CN"/>
        </w:rPr>
        <w:t>到货</w:t>
      </w:r>
      <w:r>
        <w:rPr>
          <w:rFonts w:hint="eastAsia" w:ascii="宋体" w:hAnsi="宋体" w:eastAsia="宋体" w:cs="宋体"/>
          <w:caps w:val="0"/>
          <w:smallCaps w:val="0"/>
          <w:color w:val="auto"/>
          <w:sz w:val="21"/>
          <w:szCs w:val="21"/>
          <w:highlight w:val="none"/>
          <w:u w:val="single"/>
        </w:rPr>
        <w:t>日期</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车（船）号、运单号</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合同设备在运输、装卸、保管中的注意事项</w:t>
      </w:r>
      <w:r>
        <w:rPr>
          <w:rFonts w:hint="eastAsia" w:ascii="宋体" w:hAnsi="宋体" w:eastAsia="宋体" w:cs="宋体"/>
          <w:caps w:val="0"/>
          <w:smallCaps w:val="0"/>
          <w:color w:val="auto"/>
          <w:szCs w:val="21"/>
          <w:highlight w:val="none"/>
          <w:u w:val="single"/>
        </w:rPr>
        <w:t>等</w:t>
      </w:r>
      <w:r>
        <w:rPr>
          <w:rFonts w:hint="eastAsia" w:ascii="宋体" w:hAnsi="宋体" w:eastAsia="宋体" w:cs="宋体"/>
          <w:caps w:val="0"/>
          <w:smallCaps w:val="0"/>
          <w:color w:val="auto"/>
          <w:szCs w:val="21"/>
          <w:highlight w:val="none"/>
          <w:u w:val="single"/>
          <w:lang w:val="en-US" w:eastAsia="zh-CN"/>
        </w:rPr>
        <w:t>内容。</w:t>
      </w:r>
    </w:p>
    <w:p w14:paraId="6E57B765">
      <w:pPr>
        <w:tabs>
          <w:tab w:val="left" w:pos="1134"/>
        </w:tabs>
        <w:spacing w:line="360" w:lineRule="auto"/>
        <w:ind w:firstLine="420" w:firstLineChars="200"/>
        <w:rPr>
          <w:rFonts w:ascii="宋体" w:hAnsi="宋体"/>
          <w:szCs w:val="21"/>
        </w:rPr>
      </w:pPr>
      <w:r>
        <w:rPr>
          <w:rFonts w:hint="eastAsia" w:ascii="宋体" w:hAnsi="宋体"/>
          <w:szCs w:val="21"/>
        </w:rPr>
        <w:t>5.3.4</w:t>
      </w:r>
      <w:r>
        <w:rPr>
          <w:rFonts w:ascii="宋体" w:hAnsi="宋体"/>
          <w:szCs w:val="21"/>
        </w:rPr>
        <w:t xml:space="preserve"> </w:t>
      </w:r>
      <w:r>
        <w:rPr>
          <w:rFonts w:hint="eastAsia" w:ascii="宋体" w:hAnsi="宋体"/>
          <w:szCs w:val="21"/>
        </w:rPr>
        <w:t>超大超重包装的约定：</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szCs w:val="21"/>
        </w:rPr>
        <w:t>。</w:t>
      </w:r>
    </w:p>
    <w:p w14:paraId="5C2368E8">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.4 </w:t>
      </w:r>
      <w:r>
        <w:rPr>
          <w:rFonts w:hint="eastAsia" w:ascii="宋体" w:hAnsi="宋体"/>
          <w:szCs w:val="21"/>
        </w:rPr>
        <w:t>交付</w:t>
      </w:r>
    </w:p>
    <w:p w14:paraId="0571F3FD">
      <w:pPr>
        <w:tabs>
          <w:tab w:val="left" w:pos="1134"/>
        </w:tabs>
        <w:spacing w:line="360" w:lineRule="auto"/>
        <w:ind w:firstLine="420"/>
        <w:rPr>
          <w:rFonts w:hint="eastAsia" w:ascii="宋体" w:hAnsi="宋体"/>
          <w:szCs w:val="21"/>
        </w:rPr>
      </w:pPr>
      <w:r>
        <w:rPr>
          <w:rFonts w:hint="eastAsia" w:ascii="宋体" w:hAnsi="宋体"/>
          <w:szCs w:val="21"/>
        </w:rPr>
        <w:t>5</w:t>
      </w:r>
      <w:r>
        <w:rPr>
          <w:rFonts w:ascii="宋体" w:hAnsi="宋体"/>
          <w:szCs w:val="21"/>
        </w:rPr>
        <w:t>.4.1交付合同</w:t>
      </w:r>
      <w:r>
        <w:rPr>
          <w:rFonts w:hint="eastAsia" w:ascii="宋体" w:hAnsi="宋体"/>
          <w:szCs w:val="21"/>
        </w:rPr>
        <w:t>设备的约定：</w:t>
      </w:r>
    </w:p>
    <w:p w14:paraId="3F669C4E">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highlight w:val="none"/>
          <w:u w:val="none"/>
          <w:lang w:eastAsia="zh-CN"/>
        </w:rPr>
      </w:pPr>
      <w:r>
        <w:rPr>
          <w:rFonts w:hint="eastAsia" w:ascii="宋体" w:hAnsi="宋体" w:eastAsia="宋体" w:cs="宋体"/>
          <w:caps w:val="0"/>
          <w:smallCaps w:val="0"/>
          <w:color w:val="000000"/>
          <w:sz w:val="21"/>
          <w:szCs w:val="21"/>
          <w:highlight w:val="none"/>
          <w:u w:val="none"/>
        </w:rPr>
        <w:t xml:space="preserve"> </w:t>
      </w:r>
      <w:r>
        <w:rPr>
          <w:rFonts w:hint="eastAsia" w:ascii="宋体" w:hAnsi="宋体" w:eastAsia="宋体" w:cs="宋体"/>
          <w:caps w:val="0"/>
          <w:smallCaps w:val="0"/>
          <w:color w:val="000000"/>
          <w:sz w:val="21"/>
          <w:szCs w:val="21"/>
          <w:highlight w:val="none"/>
          <w:u w:val="none"/>
          <w:lang w:val="en-US" w:eastAsia="zh-CN"/>
        </w:rPr>
        <w:t>合同约定的设备至竣工验收合格前，期间货物（设备)损毁、灭失，以及导致合同当事方及第三方的人身、财产损失都由卖方承担全部责任，当竣工验收合格后设备的所有权及其他责任自动转移到买方。</w:t>
      </w:r>
    </w:p>
    <w:p w14:paraId="04ED7213">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在</w:t>
      </w:r>
      <w:r>
        <w:rPr>
          <w:rFonts w:hint="eastAsia" w:ascii="宋体" w:hAnsi="宋体" w:eastAsia="宋体" w:cs="宋体"/>
          <w:caps w:val="0"/>
          <w:smallCaps w:val="0"/>
          <w:color w:val="auto"/>
          <w:sz w:val="21"/>
          <w:szCs w:val="21"/>
          <w:highlight w:val="none"/>
        </w:rPr>
        <w:t>合同设备交付的同时</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还应</w:t>
      </w:r>
      <w:r>
        <w:rPr>
          <w:rFonts w:hint="eastAsia" w:ascii="宋体" w:hAnsi="宋体" w:eastAsia="宋体" w:cs="宋体"/>
          <w:caps w:val="0"/>
          <w:smallCaps w:val="0"/>
          <w:color w:val="auto"/>
          <w:sz w:val="21"/>
          <w:szCs w:val="21"/>
          <w:highlight w:val="none"/>
        </w:rPr>
        <w:t>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提供以下资料：</w:t>
      </w:r>
    </w:p>
    <w:p w14:paraId="7B35D80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（1）</w:t>
      </w:r>
      <w:r>
        <w:rPr>
          <w:rFonts w:hint="eastAsia" w:ascii="宋体" w:hAnsi="宋体" w:eastAsia="宋体" w:cs="宋体"/>
          <w:caps w:val="0"/>
          <w:smallCaps w:val="0"/>
          <w:color w:val="auto"/>
          <w:sz w:val="21"/>
          <w:szCs w:val="21"/>
          <w:highlight w:val="none"/>
          <w:u w:val="single"/>
        </w:rPr>
        <w:t>合同设备原产地证明，一式2份；</w:t>
      </w:r>
    </w:p>
    <w:p w14:paraId="4BF0423D">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（2）</w:t>
      </w:r>
      <w:r>
        <w:rPr>
          <w:rFonts w:hint="eastAsia" w:ascii="宋体" w:hAnsi="宋体" w:eastAsia="宋体" w:cs="宋体"/>
          <w:caps w:val="0"/>
          <w:smallCaps w:val="0"/>
          <w:color w:val="auto"/>
          <w:sz w:val="21"/>
          <w:szCs w:val="21"/>
          <w:highlight w:val="none"/>
          <w:u w:val="single"/>
        </w:rPr>
        <w:t>合同设备质量合格证明，一式2份；</w:t>
      </w:r>
    </w:p>
    <w:p w14:paraId="6ECDA1DC">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single"/>
        </w:rPr>
        <w:t>合同设备出厂检验纪录，一式2份；</w:t>
      </w:r>
    </w:p>
    <w:p w14:paraId="1DDC4EDB">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none"/>
          <w:lang w:val="en-US" w:eastAsia="zh-CN"/>
        </w:rPr>
        <w:t>4</w:t>
      </w: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检测</w:t>
      </w:r>
      <w:r>
        <w:rPr>
          <w:rFonts w:hint="eastAsia" w:ascii="宋体" w:hAnsi="宋体" w:eastAsia="宋体" w:cs="宋体"/>
          <w:caps w:val="0"/>
          <w:smallCaps w:val="0"/>
          <w:color w:val="auto"/>
          <w:sz w:val="21"/>
          <w:szCs w:val="21"/>
          <w:highlight w:val="none"/>
          <w:u w:val="single"/>
        </w:rPr>
        <w:t>报告，一式2份。</w:t>
      </w:r>
    </w:p>
    <w:p w14:paraId="11FEE1AC">
      <w:pPr>
        <w:tabs>
          <w:tab w:val="left" w:pos="1134"/>
        </w:tabs>
        <w:spacing w:line="360" w:lineRule="auto"/>
        <w:ind w:firstLine="420"/>
        <w:rPr>
          <w:rFonts w:hint="eastAsia" w:ascii="宋体" w:hAnsi="宋体" w:eastAsia="宋体" w:cs="宋体"/>
          <w:caps w:val="0"/>
          <w:smallCaps w:val="0"/>
          <w:color w:val="000000"/>
          <w:szCs w:val="21"/>
          <w:highlight w:val="none"/>
          <w:u w:val="single"/>
          <w:lang w:eastAsia="zh-CN"/>
        </w:rPr>
      </w:pPr>
      <w:r>
        <w:rPr>
          <w:rFonts w:hint="eastAsia" w:ascii="宋体" w:hAnsi="宋体"/>
          <w:szCs w:val="21"/>
        </w:rPr>
        <w:t>5</w:t>
      </w:r>
      <w:r>
        <w:rPr>
          <w:rFonts w:ascii="宋体" w:hAnsi="宋体"/>
          <w:szCs w:val="21"/>
        </w:rPr>
        <w:t>.4.3</w:t>
      </w:r>
      <w:r>
        <w:rPr>
          <w:rFonts w:hint="eastAsia" w:ascii="宋体" w:hAnsi="宋体"/>
          <w:szCs w:val="21"/>
        </w:rPr>
        <w:t xml:space="preserve"> </w:t>
      </w:r>
      <w:r>
        <w:rPr>
          <w:rFonts w:hint="eastAsia" w:ascii="宋体" w:hAnsi="宋体" w:cs="宋体"/>
          <w:szCs w:val="21"/>
        </w:rPr>
        <w:t>卖方应根据本合同的要求向买方提供与合同设备相关的技术资料，技术资料的范围和交付进度详见本合同附件一。如技术资料不满足合同的要求或交付不符合合同规定的交付进度，卖方应承担违约责任。</w:t>
      </w:r>
      <w:r>
        <w:rPr>
          <w:rFonts w:ascii="宋体" w:hAnsi="宋体"/>
          <w:szCs w:val="21"/>
        </w:rPr>
        <w:t>技术资料短缺</w:t>
      </w:r>
      <w:r>
        <w:rPr>
          <w:rFonts w:hint="eastAsia" w:ascii="宋体" w:hAnsi="宋体"/>
          <w:szCs w:val="21"/>
        </w:rPr>
        <w:t>和（或）</w:t>
      </w:r>
      <w:r>
        <w:rPr>
          <w:rFonts w:ascii="宋体" w:hAnsi="宋体"/>
          <w:szCs w:val="21"/>
        </w:rPr>
        <w:t>损坏</w:t>
      </w:r>
      <w:r>
        <w:rPr>
          <w:rFonts w:hint="eastAsia" w:ascii="宋体" w:hAnsi="宋体"/>
          <w:szCs w:val="21"/>
        </w:rPr>
        <w:t>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卖方应在</w:t>
      </w:r>
      <w:r>
        <w:rPr>
          <w:rFonts w:hint="eastAsia" w:ascii="宋体" w:hAnsi="宋体" w:eastAsia="宋体" w:cs="宋体"/>
          <w:caps w:val="0"/>
          <w:smallCaps w:val="0"/>
          <w:color w:val="000000"/>
          <w:szCs w:val="21"/>
          <w:highlight w:val="none"/>
          <w:u w:val="single"/>
        </w:rPr>
        <w:t>买方收货</w:t>
      </w:r>
      <w:r>
        <w:rPr>
          <w:rFonts w:hint="eastAsia" w:ascii="宋体" w:hAnsi="宋体" w:eastAsia="宋体" w:cs="宋体"/>
          <w:caps w:val="0"/>
          <w:smallCaps w:val="0"/>
          <w:color w:val="000000"/>
          <w:szCs w:val="21"/>
          <w:highlight w:val="none"/>
          <w:u w:val="single"/>
          <w:lang w:val="en-US" w:eastAsia="zh-CN"/>
        </w:rPr>
        <w:t>前</w:t>
      </w:r>
      <w:r>
        <w:rPr>
          <w:rFonts w:hint="eastAsia" w:ascii="宋体" w:hAnsi="宋体" w:eastAsia="宋体" w:cs="宋体"/>
          <w:caps w:val="0"/>
          <w:smallCaps w:val="0"/>
          <w:color w:val="000000"/>
          <w:szCs w:val="21"/>
          <w:highlight w:val="none"/>
          <w:u w:val="single"/>
        </w:rPr>
        <w:t xml:space="preserve"> 7个工作日</w:t>
      </w:r>
      <w:r>
        <w:rPr>
          <w:rFonts w:hint="eastAsia" w:ascii="宋体" w:hAnsi="宋体" w:eastAsia="宋体" w:cs="宋体"/>
          <w:caps w:val="0"/>
          <w:smallCaps w:val="0"/>
          <w:color w:val="000000"/>
          <w:szCs w:val="21"/>
          <w:highlight w:val="none"/>
          <w:u w:val="single"/>
          <w:lang w:val="en-US" w:eastAsia="zh-CN"/>
        </w:rPr>
        <w:t>内将相关技术资料书面交买方</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买方对</w:t>
      </w:r>
      <w:r>
        <w:rPr>
          <w:rFonts w:hint="eastAsia" w:ascii="宋体" w:hAnsi="宋体" w:eastAsia="宋体" w:cs="宋体"/>
          <w:caps w:val="0"/>
          <w:smallCaps w:val="0"/>
          <w:color w:val="000000"/>
          <w:szCs w:val="21"/>
          <w:highlight w:val="none"/>
          <w:u w:val="single"/>
        </w:rPr>
        <w:t>技术资料</w:t>
      </w:r>
      <w:r>
        <w:rPr>
          <w:rFonts w:hint="eastAsia" w:ascii="宋体" w:hAnsi="宋体" w:eastAsia="宋体" w:cs="宋体"/>
          <w:caps w:val="0"/>
          <w:smallCaps w:val="0"/>
          <w:color w:val="000000"/>
          <w:szCs w:val="21"/>
          <w:highlight w:val="none"/>
          <w:u w:val="single"/>
          <w:lang w:val="en-US" w:eastAsia="zh-CN"/>
        </w:rPr>
        <w:t>审查后</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可</w:t>
      </w:r>
      <w:r>
        <w:rPr>
          <w:rFonts w:hint="eastAsia" w:ascii="宋体" w:hAnsi="宋体" w:eastAsia="宋体" w:cs="宋体"/>
          <w:caps w:val="0"/>
          <w:smallCaps w:val="0"/>
          <w:color w:val="000000"/>
          <w:szCs w:val="21"/>
          <w:highlight w:val="none"/>
          <w:u w:val="single"/>
        </w:rPr>
        <w:t>以书面形式（如“资料短缺通知单”）通知卖方短缺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情况</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卖方在收到通知后，必须在</w:t>
      </w:r>
      <w:r>
        <w:rPr>
          <w:rFonts w:hint="eastAsia" w:ascii="宋体" w:hAnsi="宋体" w:eastAsia="宋体" w:cs="宋体"/>
          <w:caps w:val="0"/>
          <w:smallCaps w:val="0"/>
          <w:color w:val="000000"/>
          <w:szCs w:val="21"/>
          <w:highlight w:val="none"/>
          <w:u w:val="single"/>
          <w:lang w:eastAsia="zh-CN"/>
        </w:rPr>
        <w:t>4</w:t>
      </w:r>
      <w:r>
        <w:rPr>
          <w:rFonts w:hint="eastAsia" w:ascii="宋体" w:hAnsi="宋体" w:eastAsia="宋体" w:cs="宋体"/>
          <w:caps w:val="0"/>
          <w:smallCaps w:val="0"/>
          <w:color w:val="000000"/>
          <w:szCs w:val="21"/>
          <w:highlight w:val="none"/>
          <w:u w:val="single"/>
          <w:lang w:val="en-US" w:eastAsia="zh-CN"/>
        </w:rPr>
        <w:t>8小时内</w:t>
      </w:r>
      <w:r>
        <w:rPr>
          <w:rFonts w:hint="eastAsia" w:ascii="宋体" w:hAnsi="宋体" w:eastAsia="宋体" w:cs="宋体"/>
          <w:caps w:val="0"/>
          <w:smallCaps w:val="0"/>
          <w:color w:val="000000"/>
          <w:szCs w:val="21"/>
          <w:highlight w:val="none"/>
          <w:u w:val="single"/>
        </w:rPr>
        <w:t>确认，并无条件免费补寄所短缺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的资料</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所有因补寄产生的费用（如快递费、关税等）</w:t>
      </w:r>
      <w:r>
        <w:rPr>
          <w:rFonts w:hint="eastAsia" w:ascii="宋体" w:hAnsi="宋体" w:eastAsia="宋体" w:cs="宋体"/>
          <w:caps w:val="0"/>
          <w:smallCaps w:val="0"/>
          <w:color w:val="000000"/>
          <w:szCs w:val="21"/>
          <w:highlight w:val="none"/>
          <w:u w:val="single"/>
          <w:lang w:val="en-US" w:eastAsia="zh-CN"/>
        </w:rPr>
        <w:t>及工期损失</w:t>
      </w:r>
      <w:r>
        <w:rPr>
          <w:rFonts w:hint="eastAsia" w:ascii="宋体" w:hAnsi="宋体" w:eastAsia="宋体" w:cs="宋体"/>
          <w:caps w:val="0"/>
          <w:smallCaps w:val="0"/>
          <w:color w:val="000000"/>
          <w:szCs w:val="21"/>
          <w:highlight w:val="none"/>
          <w:u w:val="single"/>
        </w:rPr>
        <w:t>均由卖方承担</w:t>
      </w:r>
      <w:r>
        <w:rPr>
          <w:rFonts w:hint="eastAsia" w:ascii="宋体" w:hAnsi="宋体" w:eastAsia="宋体" w:cs="宋体"/>
          <w:caps w:val="0"/>
          <w:smallCaps w:val="0"/>
          <w:color w:val="000000"/>
          <w:szCs w:val="21"/>
          <w:highlight w:val="none"/>
          <w:u w:val="single"/>
          <w:lang w:eastAsia="zh-CN"/>
        </w:rPr>
        <w:t>。</w:t>
      </w:r>
    </w:p>
    <w:p w14:paraId="0D9FA3FB">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cs="宋体"/>
          <w:caps w:val="0"/>
          <w:smallCaps w:val="0"/>
          <w:color w:val="auto"/>
          <w:sz w:val="21"/>
          <w:szCs w:val="21"/>
          <w:highlight w:val="none"/>
          <w:lang w:val="en-US" w:eastAsia="zh-CN"/>
        </w:rPr>
        <w:t>5.4.3.1</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应就合同设备向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交付</w:t>
      </w:r>
      <w:r>
        <w:rPr>
          <w:rFonts w:hint="eastAsia" w:ascii="宋体" w:hAnsi="宋体" w:eastAsia="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份技术资料</w:t>
      </w:r>
      <w:r>
        <w:rPr>
          <w:rFonts w:hint="eastAsia" w:ascii="宋体" w:hAnsi="宋体" w:eastAsia="宋体" w:cs="宋体"/>
          <w:caps w:val="0"/>
          <w:smallCaps w:val="0"/>
          <w:color w:val="auto"/>
          <w:sz w:val="21"/>
          <w:szCs w:val="21"/>
          <w:highlight w:val="none"/>
          <w:u w:val="single"/>
        </w:rPr>
        <w:t>（原件</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rPr>
        <w:t>份，电子版2份）</w:t>
      </w:r>
      <w:r>
        <w:rPr>
          <w:rFonts w:hint="eastAsia" w:ascii="宋体" w:hAnsi="宋体" w:eastAsia="宋体" w:cs="宋体"/>
          <w:caps w:val="0"/>
          <w:smallCaps w:val="0"/>
          <w:color w:val="auto"/>
          <w:sz w:val="21"/>
          <w:szCs w:val="21"/>
          <w:highlight w:val="none"/>
        </w:rPr>
        <w:t>。技术资料采用随合同设备</w:t>
      </w:r>
      <w:r>
        <w:rPr>
          <w:rFonts w:hint="eastAsia" w:ascii="宋体" w:hAnsi="宋体" w:eastAsia="宋体" w:cs="宋体"/>
          <w:caps w:val="0"/>
          <w:smallCaps w:val="0"/>
          <w:color w:val="auto"/>
          <w:sz w:val="21"/>
          <w:szCs w:val="21"/>
          <w:highlight w:val="none"/>
          <w:lang w:val="en-US" w:eastAsia="zh-CN"/>
        </w:rPr>
        <w:t>一起送达</w:t>
      </w:r>
      <w:r>
        <w:rPr>
          <w:rFonts w:hint="eastAsia" w:ascii="宋体" w:hAnsi="宋体" w:eastAsia="宋体" w:cs="宋体"/>
          <w:caps w:val="0"/>
          <w:smallCaps w:val="0"/>
          <w:color w:val="auto"/>
          <w:sz w:val="21"/>
          <w:szCs w:val="21"/>
          <w:highlight w:val="none"/>
        </w:rPr>
        <w:t>方式</w:t>
      </w:r>
      <w:r>
        <w:rPr>
          <w:rFonts w:hint="eastAsia" w:ascii="宋体" w:hAnsi="宋体" w:eastAsia="宋体" w:cs="宋体"/>
          <w:caps w:val="0"/>
          <w:smallCaps w:val="0"/>
          <w:color w:val="auto"/>
          <w:sz w:val="21"/>
          <w:szCs w:val="21"/>
          <w:highlight w:val="none"/>
          <w:lang w:val="en-US" w:eastAsia="zh-CN"/>
        </w:rPr>
        <w:t>交付</w:t>
      </w:r>
      <w:r>
        <w:rPr>
          <w:rFonts w:hint="eastAsia" w:ascii="宋体" w:hAnsi="宋体" w:eastAsia="宋体" w:cs="宋体"/>
          <w:caps w:val="0"/>
          <w:smallCaps w:val="0"/>
          <w:color w:val="auto"/>
          <w:sz w:val="21"/>
          <w:szCs w:val="21"/>
          <w:highlight w:val="none"/>
        </w:rPr>
        <w:t>：</w:t>
      </w:r>
    </w:p>
    <w:p w14:paraId="4BDEF37E">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5.4.3.3 技术资料的审查</w:t>
      </w:r>
    </w:p>
    <w:p w14:paraId="11D2D90F">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卖方应确保其提供的技术资料完整、正确、整洁、书写明确、符合本合同要求，卖方对技术资料的充分性、完整性和准确性负责。如果技术资料包含有非中文内容，买方有权要求卖方提供中文译本。如果卖方提供技术资料中文译本的，卖方应对翻译文本的准确性负责。</w:t>
      </w:r>
    </w:p>
    <w:p w14:paraId="154F555F">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（2）买方应收到技术资料后</w:t>
      </w:r>
      <w:r>
        <w:rPr>
          <w:rFonts w:hint="eastAsia" w:ascii="宋体" w:hAnsi="宋体" w:eastAsia="宋体" w:cs="宋体"/>
          <w:caps w:val="0"/>
          <w:smallCaps w:val="0"/>
          <w:color w:val="auto"/>
          <w:sz w:val="21"/>
          <w:szCs w:val="21"/>
          <w:highlight w:val="none"/>
          <w:u w:val="single"/>
          <w:lang w:val="en-US" w:eastAsia="zh-CN"/>
        </w:rPr>
        <w:t xml:space="preserve"> 7 </w:t>
      </w:r>
      <w:r>
        <w:rPr>
          <w:rFonts w:hint="eastAsia" w:ascii="宋体" w:hAnsi="宋体" w:eastAsia="宋体" w:cs="宋体"/>
          <w:caps w:val="0"/>
          <w:smallCaps w:val="0"/>
          <w:color w:val="auto"/>
          <w:sz w:val="21"/>
          <w:szCs w:val="21"/>
          <w:highlight w:val="none"/>
          <w:lang w:val="en-US" w:eastAsia="zh-CN"/>
        </w:rPr>
        <w:t>日内完成对该批技术资料进行审查，并向卖方提供审核意见。</w:t>
      </w:r>
    </w:p>
    <w:p w14:paraId="41FEEBD9">
      <w:pPr>
        <w:tabs>
          <w:tab w:val="left" w:pos="1134"/>
        </w:tabs>
        <w:spacing w:line="360" w:lineRule="auto"/>
        <w:ind w:firstLine="420"/>
        <w:rPr>
          <w:rFonts w:ascii="宋体" w:hAnsi="宋体"/>
          <w:szCs w:val="21"/>
        </w:rPr>
      </w:pPr>
      <w:r>
        <w:rPr>
          <w:rFonts w:hint="eastAsia" w:ascii="宋体" w:hAnsi="宋体" w:eastAsia="宋体" w:cs="宋体"/>
          <w:caps w:val="0"/>
          <w:smallCaps w:val="0"/>
          <w:color w:val="auto"/>
          <w:sz w:val="21"/>
          <w:szCs w:val="21"/>
          <w:highlight w:val="none"/>
          <w:lang w:val="en-US" w:eastAsia="zh-CN"/>
        </w:rPr>
        <w:t>（3）卖方收到买方的审核意见后，应于</w:t>
      </w:r>
      <w:r>
        <w:rPr>
          <w:rFonts w:hint="eastAsia" w:ascii="宋体" w:hAnsi="宋体" w:eastAsia="宋体" w:cs="宋体"/>
          <w:caps w:val="0"/>
          <w:smallCaps w:val="0"/>
          <w:color w:val="auto"/>
          <w:sz w:val="21"/>
          <w:szCs w:val="21"/>
          <w:highlight w:val="none"/>
          <w:u w:val="single"/>
          <w:lang w:val="en-US" w:eastAsia="zh-CN"/>
        </w:rPr>
        <w:t xml:space="preserve"> 7</w:t>
      </w:r>
      <w:r>
        <w:rPr>
          <w:rFonts w:hint="eastAsia" w:ascii="宋体" w:hAnsi="宋体" w:eastAsia="宋体" w:cs="宋体"/>
          <w:caps w:val="0"/>
          <w:smallCaps w:val="0"/>
          <w:color w:val="auto"/>
          <w:sz w:val="21"/>
          <w:szCs w:val="21"/>
          <w:highlight w:val="none"/>
          <w:lang w:val="en-US" w:eastAsia="zh-CN"/>
        </w:rPr>
        <w:t>日内完成对技术资料修改，并再次提交买方审查，直至获得买方认可。如果卖方未在</w:t>
      </w:r>
      <w:r>
        <w:rPr>
          <w:rFonts w:hint="eastAsia" w:ascii="宋体" w:hAnsi="宋体" w:eastAsia="宋体" w:cs="宋体"/>
          <w:caps w:val="0"/>
          <w:smallCaps w:val="0"/>
          <w:color w:val="auto"/>
          <w:sz w:val="21"/>
          <w:szCs w:val="21"/>
          <w:highlight w:val="none"/>
          <w:u w:val="single"/>
          <w:lang w:val="en-US" w:eastAsia="zh-CN"/>
        </w:rPr>
        <w:t xml:space="preserve">  2 </w:t>
      </w:r>
      <w:r>
        <w:rPr>
          <w:rFonts w:hint="eastAsia" w:ascii="宋体" w:hAnsi="宋体" w:eastAsia="宋体" w:cs="宋体"/>
          <w:caps w:val="0"/>
          <w:smallCaps w:val="0"/>
          <w:color w:val="auto"/>
          <w:sz w:val="21"/>
          <w:szCs w:val="21"/>
          <w:highlight w:val="none"/>
          <w:lang w:val="en-US" w:eastAsia="zh-CN"/>
        </w:rPr>
        <w:t>日内对买方审查意见予以答复，视为卖方全部接受买方审查意见</w:t>
      </w:r>
      <w:r>
        <w:rPr>
          <w:rFonts w:hint="eastAsia" w:ascii="宋体" w:hAnsi="宋体"/>
          <w:szCs w:val="21"/>
        </w:rPr>
        <w:t>。</w:t>
      </w:r>
    </w:p>
    <w:p w14:paraId="3738C24E">
      <w:pPr>
        <w:pStyle w:val="97"/>
        <w:keepNext w:val="0"/>
        <w:keepLines w:val="0"/>
        <w:tabs>
          <w:tab w:val="left" w:pos="567"/>
        </w:tabs>
        <w:spacing w:before="156" w:after="156"/>
        <w:rPr>
          <w:rFonts w:eastAsia="宋体" w:cs="Times New Roman"/>
          <w:b/>
          <w:bCs/>
          <w:sz w:val="32"/>
          <w:szCs w:val="32"/>
        </w:rPr>
      </w:pPr>
      <w:bookmarkStart w:id="804" w:name="_Toc531098986"/>
      <w:bookmarkStart w:id="805" w:name="_Toc18700"/>
      <w:bookmarkStart w:id="806" w:name="_Toc2881830"/>
      <w:bookmarkStart w:id="807" w:name="_Toc3310"/>
      <w:bookmarkStart w:id="808" w:name="_Toc28845"/>
      <w:bookmarkStart w:id="809" w:name="_Toc19494"/>
      <w:bookmarkStart w:id="810" w:name="_Toc10787"/>
      <w:bookmarkStart w:id="811" w:name="_Toc11690"/>
      <w:r>
        <w:rPr>
          <w:rFonts w:hint="eastAsia" w:eastAsia="宋体" w:cs="Times New Roman"/>
          <w:b/>
          <w:bCs/>
          <w:sz w:val="32"/>
          <w:szCs w:val="32"/>
        </w:rPr>
        <w:t>6.</w:t>
      </w:r>
      <w:bookmarkEnd w:id="804"/>
      <w:r>
        <w:rPr>
          <w:rFonts w:hint="eastAsia" w:eastAsia="宋体" w:cs="Times New Roman"/>
          <w:b/>
          <w:bCs/>
          <w:sz w:val="32"/>
          <w:szCs w:val="32"/>
        </w:rPr>
        <w:t xml:space="preserve"> 开箱检验、安装、调试、考核、验收</w:t>
      </w:r>
      <w:bookmarkEnd w:id="805"/>
      <w:bookmarkEnd w:id="806"/>
      <w:bookmarkEnd w:id="807"/>
      <w:bookmarkEnd w:id="808"/>
      <w:bookmarkEnd w:id="809"/>
      <w:bookmarkEnd w:id="810"/>
      <w:bookmarkEnd w:id="811"/>
    </w:p>
    <w:p w14:paraId="42A3A3D4">
      <w:pPr>
        <w:tabs>
          <w:tab w:val="left" w:pos="1134"/>
        </w:tabs>
        <w:spacing w:line="360" w:lineRule="auto"/>
        <w:ind w:firstLine="420" w:firstLineChars="200"/>
        <w:rPr>
          <w:rFonts w:ascii="宋体" w:hAnsi="宋体"/>
          <w:szCs w:val="21"/>
        </w:rPr>
      </w:pPr>
      <w:bookmarkStart w:id="812" w:name="_Toc1656"/>
      <w:bookmarkStart w:id="813" w:name="_Toc531606351"/>
      <w:bookmarkStart w:id="814" w:name="_Toc22072"/>
      <w:bookmarkStart w:id="815" w:name="_Toc4686"/>
      <w:bookmarkStart w:id="816" w:name="_Toc531098987"/>
      <w:bookmarkStart w:id="817" w:name="_Toc30086"/>
      <w:bookmarkStart w:id="818" w:name="_Toc5727"/>
      <w:bookmarkStart w:id="819" w:name="_Toc531098988"/>
      <w:r>
        <w:rPr>
          <w:rFonts w:ascii="宋体" w:hAnsi="宋体"/>
          <w:szCs w:val="21"/>
        </w:rPr>
        <w:t xml:space="preserve">6.1 </w:t>
      </w:r>
      <w:r>
        <w:rPr>
          <w:rFonts w:hint="eastAsia" w:ascii="宋体" w:hAnsi="宋体"/>
          <w:szCs w:val="21"/>
        </w:rPr>
        <w:t>开箱检验</w:t>
      </w:r>
    </w:p>
    <w:p w14:paraId="5FB9CF49">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开箱检验时间：</w:t>
      </w:r>
      <w:r>
        <w:rPr>
          <w:rFonts w:hint="eastAsia" w:ascii="宋体" w:hAnsi="宋体" w:cs="宋体"/>
          <w:szCs w:val="21"/>
          <w:u w:val="single"/>
        </w:rPr>
        <w:t>合同设备交付后7日内</w:t>
      </w:r>
      <w:r>
        <w:rPr>
          <w:rFonts w:hint="eastAsia" w:ascii="宋体" w:hAnsi="宋体" w:cs="宋体"/>
          <w:szCs w:val="21"/>
        </w:rPr>
        <w:t>。</w:t>
      </w:r>
    </w:p>
    <w:p w14:paraId="1C76293A">
      <w:pPr>
        <w:tabs>
          <w:tab w:val="left" w:pos="1134"/>
        </w:tabs>
        <w:spacing w:line="360" w:lineRule="auto"/>
        <w:ind w:firstLine="420" w:firstLineChars="200"/>
        <w:rPr>
          <w:rFonts w:ascii="宋体" w:hAnsi="宋体"/>
          <w:szCs w:val="21"/>
        </w:rPr>
      </w:pPr>
      <w:r>
        <w:rPr>
          <w:rFonts w:ascii="宋体" w:hAnsi="宋体"/>
          <w:szCs w:val="21"/>
        </w:rPr>
        <w:t>6.1.</w:t>
      </w:r>
      <w:r>
        <w:rPr>
          <w:rFonts w:hint="eastAsia" w:ascii="宋体" w:hAnsi="宋体"/>
          <w:szCs w:val="21"/>
        </w:rPr>
        <w:t>2</w:t>
      </w:r>
      <w:r>
        <w:rPr>
          <w:rFonts w:ascii="宋体" w:hAnsi="宋体"/>
          <w:szCs w:val="21"/>
        </w:rPr>
        <w:t xml:space="preserve"> </w:t>
      </w:r>
      <w:r>
        <w:rPr>
          <w:rFonts w:hint="eastAsia" w:ascii="宋体" w:hAnsi="宋体"/>
          <w:szCs w:val="21"/>
        </w:rPr>
        <w:t>开箱检验地点的约定：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乌江涪陵榨菜绿色智能化生产基地（一期）项目所在地</w:t>
      </w:r>
      <w:r>
        <w:rPr>
          <w:rFonts w:hint="eastAsia" w:ascii="宋体" w:hAnsi="宋体"/>
          <w:szCs w:val="21"/>
        </w:rPr>
        <w:t>。</w:t>
      </w:r>
    </w:p>
    <w:p w14:paraId="5118A769">
      <w:pPr>
        <w:tabs>
          <w:tab w:val="left" w:pos="1134"/>
        </w:tabs>
        <w:spacing w:line="360" w:lineRule="auto"/>
        <w:ind w:firstLine="420" w:firstLineChars="200"/>
        <w:rPr>
          <w:rFonts w:hint="eastAsia" w:ascii="宋体" w:hAnsi="宋体"/>
          <w:szCs w:val="21"/>
        </w:rPr>
      </w:pPr>
      <w:r>
        <w:rPr>
          <w:rFonts w:ascii="宋体" w:hAnsi="宋体"/>
          <w:szCs w:val="21"/>
        </w:rPr>
        <w:t>6.1.</w:t>
      </w:r>
      <w:r>
        <w:rPr>
          <w:rFonts w:hint="eastAsia" w:ascii="宋体" w:hAnsi="宋体"/>
          <w:szCs w:val="21"/>
        </w:rPr>
        <w:t>6</w:t>
      </w:r>
      <w:r>
        <w:rPr>
          <w:rFonts w:ascii="宋体" w:hAnsi="宋体"/>
          <w:szCs w:val="21"/>
        </w:rPr>
        <w:t xml:space="preserve"> </w:t>
      </w:r>
      <w:r>
        <w:rPr>
          <w:rFonts w:hint="eastAsia" w:ascii="宋体" w:hAnsi="宋体"/>
          <w:szCs w:val="21"/>
        </w:rPr>
        <w:t>合同设备交付后进行的开箱检验中发现相关问题时的处理方式约定：</w:t>
      </w:r>
    </w:p>
    <w:p w14:paraId="35F24138">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bCs/>
          <w:caps w:val="0"/>
          <w:smallCaps w:val="0"/>
          <w:color w:val="000000"/>
          <w:highlight w:val="none"/>
          <w:u w:val="none"/>
          <w:lang w:val="en-US" w:eastAsia="zh-CN"/>
        </w:rPr>
      </w:pPr>
      <w:r>
        <w:rPr>
          <w:rFonts w:hint="eastAsia" w:ascii="宋体" w:hAnsi="宋体" w:eastAsia="宋体" w:cs="宋体"/>
          <w:caps w:val="0"/>
          <w:smallCaps w:val="0"/>
          <w:color w:val="000000"/>
          <w:sz w:val="21"/>
          <w:szCs w:val="21"/>
          <w:highlight w:val="none"/>
          <w:u w:val="none"/>
          <w:lang w:val="en-US" w:eastAsia="zh-CN"/>
        </w:rPr>
        <w:t>（1）</w:t>
      </w:r>
      <w:r>
        <w:rPr>
          <w:rFonts w:hint="eastAsia" w:ascii="宋体" w:hAnsi="宋体" w:eastAsia="宋体" w:cs="宋体"/>
          <w:b/>
          <w:bCs/>
          <w:caps w:val="0"/>
          <w:smallCaps w:val="0"/>
          <w:color w:val="000000"/>
          <w:sz w:val="21"/>
          <w:szCs w:val="21"/>
          <w:highlight w:val="none"/>
          <w:u w:val="none"/>
          <w:lang w:val="en-US" w:eastAsia="zh-CN"/>
        </w:rPr>
        <w:t>合同设备运送至买方项目现场后，由买方和卖方双方共同开箱检验，验收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117A51FC">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 w:val="21"/>
          <w:szCs w:val="21"/>
          <w:highlight w:val="none"/>
          <w:u w:val="none"/>
          <w:lang w:val="en-US" w:eastAsia="zh-CN"/>
        </w:rPr>
        <w:t>（2）</w:t>
      </w:r>
      <w:r>
        <w:rPr>
          <w:rFonts w:hint="eastAsia" w:ascii="宋体" w:hAnsi="宋体" w:eastAsia="宋体" w:cs="宋体"/>
          <w:caps w:val="0"/>
          <w:smallCaps w:val="0"/>
          <w:color w:val="000000"/>
          <w:szCs w:val="21"/>
          <w:highlight w:val="none"/>
          <w:lang w:val="en-US" w:eastAsia="zh-CN"/>
        </w:rPr>
        <w:t>到货</w:t>
      </w:r>
      <w:r>
        <w:rPr>
          <w:rFonts w:hint="eastAsia" w:ascii="宋体" w:hAnsi="宋体" w:eastAsia="宋体" w:cs="宋体"/>
          <w:caps w:val="0"/>
          <w:smallCaps w:val="0"/>
          <w:color w:val="000000"/>
          <w:szCs w:val="21"/>
          <w:highlight w:val="none"/>
        </w:rPr>
        <w:t>检验时</w:t>
      </w:r>
      <w:r>
        <w:rPr>
          <w:rFonts w:hint="eastAsia" w:ascii="宋体" w:hAnsi="宋体" w:eastAsia="宋体" w:cs="宋体"/>
          <w:caps w:val="0"/>
          <w:smallCaps w:val="0"/>
          <w:color w:val="000000"/>
          <w:szCs w:val="21"/>
          <w:highlight w:val="none"/>
          <w:lang w:val="en-US" w:eastAsia="zh-CN"/>
        </w:rPr>
        <w:t>卖方应</w:t>
      </w:r>
      <w:r>
        <w:rPr>
          <w:rFonts w:hint="eastAsia" w:ascii="宋体" w:hAnsi="宋体" w:eastAsia="宋体" w:cs="宋体"/>
          <w:caps w:val="0"/>
          <w:smallCaps w:val="0"/>
          <w:color w:val="000000"/>
          <w:sz w:val="21"/>
          <w:szCs w:val="21"/>
          <w:highlight w:val="none"/>
          <w:u w:val="none"/>
          <w:lang w:val="en-US" w:eastAsia="zh-CN"/>
        </w:rPr>
        <w:t>提交相关的合格资料，买方按合同约定核对到场设备与发货前核准的是否一致，并抽查设备部件是否损坏，</w:t>
      </w:r>
      <w:r>
        <w:rPr>
          <w:rFonts w:hint="eastAsia" w:ascii="宋体" w:hAnsi="宋体" w:eastAsia="宋体" w:cs="宋体"/>
          <w:caps w:val="0"/>
          <w:smallCaps w:val="0"/>
          <w:color w:val="000000"/>
          <w:szCs w:val="21"/>
          <w:highlight w:val="none"/>
        </w:rPr>
        <w:t>如果合同设备</w:t>
      </w:r>
      <w:r>
        <w:rPr>
          <w:rFonts w:hint="eastAsia" w:ascii="宋体" w:hAnsi="宋体" w:eastAsia="宋体" w:cs="宋体"/>
          <w:caps w:val="0"/>
          <w:smallCaps w:val="0"/>
          <w:color w:val="000000"/>
          <w:szCs w:val="21"/>
          <w:highlight w:val="none"/>
          <w:lang w:val="en-US" w:eastAsia="zh-CN"/>
        </w:rPr>
        <w:t>有缺失、破损或其它与发</w:t>
      </w:r>
      <w:r>
        <w:rPr>
          <w:rFonts w:hint="eastAsia" w:ascii="宋体" w:hAnsi="宋体" w:eastAsia="宋体" w:cs="宋体"/>
          <w:caps w:val="0"/>
          <w:smallCaps w:val="0"/>
          <w:color w:val="000000"/>
          <w:szCs w:val="21"/>
          <w:highlight w:val="none"/>
        </w:rPr>
        <w:t>货时</w:t>
      </w:r>
      <w:r>
        <w:rPr>
          <w:rFonts w:hint="eastAsia" w:ascii="宋体" w:hAnsi="宋体" w:eastAsia="宋体" w:cs="宋体"/>
          <w:caps w:val="0"/>
          <w:smallCaps w:val="0"/>
          <w:color w:val="000000"/>
          <w:szCs w:val="21"/>
          <w:highlight w:val="none"/>
          <w:lang w:val="en-US" w:eastAsia="zh-CN"/>
        </w:rPr>
        <w:t>不</w:t>
      </w:r>
      <w:r>
        <w:rPr>
          <w:rFonts w:hint="eastAsia" w:ascii="宋体" w:hAnsi="宋体" w:eastAsia="宋体" w:cs="宋体"/>
          <w:caps w:val="0"/>
          <w:smallCaps w:val="0"/>
          <w:color w:val="000000"/>
          <w:szCs w:val="21"/>
          <w:highlight w:val="none"/>
        </w:rPr>
        <w:t>一致</w:t>
      </w:r>
      <w:r>
        <w:rPr>
          <w:rFonts w:hint="eastAsia" w:ascii="宋体" w:hAnsi="宋体" w:eastAsia="宋体" w:cs="宋体"/>
          <w:caps w:val="0"/>
          <w:smallCaps w:val="0"/>
          <w:color w:val="000000"/>
          <w:szCs w:val="21"/>
          <w:highlight w:val="none"/>
          <w:lang w:val="en-US" w:eastAsia="zh-CN"/>
        </w:rPr>
        <w:t>的情况</w:t>
      </w:r>
      <w:r>
        <w:rPr>
          <w:rFonts w:hint="eastAsia" w:ascii="宋体" w:hAnsi="宋体" w:eastAsia="宋体" w:cs="宋体"/>
          <w:caps w:val="0"/>
          <w:smallCaps w:val="0"/>
          <w:color w:val="000000"/>
          <w:szCs w:val="21"/>
          <w:highlight w:val="none"/>
        </w:rPr>
        <w:t>，由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负责补齐、更换及采取其他补救措施</w:t>
      </w: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双方对到货的</w:t>
      </w:r>
      <w:r>
        <w:rPr>
          <w:rFonts w:hint="eastAsia" w:ascii="宋体" w:hAnsi="宋体" w:eastAsia="宋体" w:cs="宋体"/>
          <w:caps w:val="0"/>
          <w:smallCaps w:val="0"/>
          <w:color w:val="000000"/>
          <w:szCs w:val="21"/>
          <w:highlight w:val="none"/>
        </w:rPr>
        <w:t>合同设备的外观及件数进行清点核验后签发收货清单</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签发收货清单不代表对合同设备的</w:t>
      </w:r>
      <w:r>
        <w:rPr>
          <w:rFonts w:hint="eastAsia" w:ascii="宋体" w:hAnsi="宋体" w:eastAsia="宋体" w:cs="宋体"/>
          <w:caps w:val="0"/>
          <w:smallCaps w:val="0"/>
          <w:color w:val="000000"/>
          <w:szCs w:val="21"/>
          <w:highlight w:val="none"/>
          <w:lang w:val="en-US" w:eastAsia="zh-CN"/>
        </w:rPr>
        <w:t>最终验收</w:t>
      </w:r>
      <w:r>
        <w:rPr>
          <w:rFonts w:hint="eastAsia" w:ascii="宋体" w:hAnsi="宋体" w:eastAsia="宋体" w:cs="宋体"/>
          <w:caps w:val="0"/>
          <w:smallCaps w:val="0"/>
          <w:color w:val="000000"/>
          <w:szCs w:val="21"/>
          <w:highlight w:val="none"/>
        </w:rPr>
        <w:t>。</w:t>
      </w:r>
    </w:p>
    <w:p w14:paraId="32D23DBF">
      <w:pPr>
        <w:pageBreakBefore w:val="0"/>
        <w:numPr>
          <w:ilvl w:val="0"/>
          <w:numId w:val="0"/>
        </w:numPr>
        <w:tabs>
          <w:tab w:val="left" w:pos="1134"/>
        </w:tabs>
        <w:topLinePunct w:val="0"/>
        <w:bidi w:val="0"/>
        <w:spacing w:line="360" w:lineRule="auto"/>
        <w:ind w:firstLine="420" w:firstLineChars="200"/>
        <w:rPr>
          <w:rFonts w:hint="eastAsia" w:ascii="宋体" w:hAnsi="宋体" w:eastAsia="宋体" w:cs="宋体"/>
          <w:color w:val="000000"/>
        </w:rPr>
      </w:pPr>
      <w:r>
        <w:rPr>
          <w:rFonts w:hint="eastAsia" w:ascii="宋体" w:hAnsi="宋体" w:eastAsia="宋体" w:cs="宋体"/>
          <w:caps w:val="0"/>
          <w:smallCaps w:val="0"/>
          <w:color w:val="000000"/>
          <w:sz w:val="21"/>
          <w:szCs w:val="21"/>
          <w:highlight w:val="none"/>
          <w:u w:val="none"/>
          <w:lang w:val="en-US" w:eastAsia="zh-CN"/>
        </w:rPr>
        <w:t>（3））如果卖方未按买方书面通知到场参加开箱检验，买方有权单独进行开箱检验，并签署检验文件，对于检验结果，视为卖方已接受，但卖方确有合理理由且事先与买方协商推迟开箱检验时间的除外。</w:t>
      </w:r>
    </w:p>
    <w:p w14:paraId="4E811E4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none"/>
          <w:lang w:val="en-US" w:eastAsia="zh-CN"/>
        </w:rPr>
      </w:pPr>
      <w:r>
        <w:rPr>
          <w:rFonts w:hint="eastAsia" w:ascii="宋体" w:hAnsi="宋体" w:eastAsia="宋体" w:cs="宋体"/>
          <w:caps w:val="0"/>
          <w:smallCaps w:val="0"/>
          <w:color w:val="000000"/>
          <w:sz w:val="21"/>
          <w:szCs w:val="21"/>
          <w:highlight w:val="none"/>
          <w:u w:val="none"/>
          <w:lang w:val="en-US" w:eastAsia="zh-CN"/>
        </w:rPr>
        <w:t>（4）未达到验收标准的，卖方应无条件将不合格设备退出场地，重新组织设备进场；卖方也可申请第三方机构检测，第三方机构必须是买方书面认可的单位，如第三方机构检测合格，检测费用由买方承担，设备按合同约定继续安装，导致工期延误的，买方只承担工期顺延的责任，不承担其他违约责和费用，如第三方机构检测不合格，卖方应无条件将不合格设备退场，重新组织设备进场。因进场设备不合格给买方造成损失的，卖方应全额赔偿，卖方如无能力履约的，可申请解除合同，合同解除后卖方应全额</w:t>
      </w:r>
      <w:r>
        <w:rPr>
          <w:rFonts w:hint="eastAsia" w:ascii="宋体" w:hAnsi="宋体" w:eastAsia="宋体" w:cs="宋体"/>
          <w:caps w:val="0"/>
          <w:smallCaps w:val="0"/>
          <w:color w:val="000000"/>
          <w:szCs w:val="21"/>
          <w:highlight w:val="none"/>
          <w:u w:val="none"/>
          <w:lang w:val="en-US" w:eastAsia="zh-CN"/>
        </w:rPr>
        <w:t>退还买方已经支付的款项并承担违约责任。</w:t>
      </w:r>
    </w:p>
    <w:p w14:paraId="02CCFD57">
      <w:pPr>
        <w:tabs>
          <w:tab w:val="left" w:pos="1134"/>
        </w:tabs>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（5）由卖方负责所供设备在买方项目现场的保管，买方提供场地协助保管，若设备发生损坏或遗失，由卖方负责修复、更换及补齐。</w:t>
      </w:r>
    </w:p>
    <w:p w14:paraId="66EFCA89">
      <w:pPr>
        <w:tabs>
          <w:tab w:val="left" w:pos="1134"/>
        </w:tabs>
        <w:spacing w:line="360" w:lineRule="auto"/>
        <w:ind w:firstLine="420" w:firstLineChars="200"/>
        <w:rPr>
          <w:rFonts w:hint="eastAsia" w:ascii="宋体" w:hAnsi="宋体" w:eastAsia="宋体" w:cs="宋体"/>
          <w:caps w:val="0"/>
          <w:smallCaps w:val="0"/>
          <w:color w:val="000000"/>
          <w:sz w:val="21"/>
          <w:szCs w:val="21"/>
          <w:highlight w:val="none"/>
          <w:u w:val="none"/>
          <w:lang w:eastAsia="zh-CN"/>
        </w:rPr>
      </w:pPr>
      <w:r>
        <w:rPr>
          <w:rFonts w:ascii="宋体" w:hAnsi="宋体"/>
          <w:szCs w:val="21"/>
        </w:rPr>
        <w:t>6.1.</w:t>
      </w:r>
      <w:r>
        <w:rPr>
          <w:rFonts w:hint="eastAsia" w:ascii="宋体" w:hAnsi="宋体"/>
          <w:szCs w:val="21"/>
        </w:rPr>
        <w:t>7</w:t>
      </w:r>
      <w:r>
        <w:rPr>
          <w:rFonts w:ascii="宋体" w:hAnsi="宋体"/>
          <w:szCs w:val="21"/>
        </w:rPr>
        <w:t xml:space="preserve"> </w:t>
      </w:r>
      <w:r>
        <w:rPr>
          <w:rFonts w:hint="eastAsia" w:ascii="宋体" w:hAnsi="宋体"/>
          <w:szCs w:val="21"/>
        </w:rPr>
        <w:t>第三方检测机构对合同设备进行检验的约定：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所有检测由卖方组织完成，并提交检测报告，完成相关证件办理；如确需要委托第三方机构对合同设备进行检测的 ，第三方机构必须是买方书面认可的单位；第三方检测试验机构检测试验的试件所需的材料、取样、送检及相关配合工作由卖方人负责完成并承担由此产生的所有相关费用</w:t>
      </w:r>
      <w:r>
        <w:rPr>
          <w:rFonts w:hint="eastAsia" w:ascii="宋体" w:hAnsi="宋体" w:eastAsia="宋体" w:cs="宋体"/>
          <w:caps w:val="0"/>
          <w:smallCaps w:val="0"/>
          <w:color w:val="000000"/>
          <w:sz w:val="21"/>
          <w:szCs w:val="21"/>
          <w:highlight w:val="none"/>
          <w:u w:val="none"/>
          <w:lang w:eastAsia="zh-CN"/>
        </w:rPr>
        <w:t>。</w:t>
      </w:r>
    </w:p>
    <w:p w14:paraId="60C42CFE">
      <w:pPr>
        <w:tabs>
          <w:tab w:val="left" w:pos="1134"/>
        </w:tabs>
        <w:spacing w:line="360" w:lineRule="auto"/>
        <w:ind w:firstLine="420" w:firstLineChars="200"/>
        <w:rPr>
          <w:rFonts w:ascii="宋体" w:hAnsi="宋体"/>
          <w:szCs w:val="21"/>
        </w:rPr>
      </w:pPr>
      <w:r>
        <w:rPr>
          <w:rFonts w:hint="eastAsia" w:ascii="宋体" w:hAnsi="宋体"/>
          <w:szCs w:val="21"/>
        </w:rPr>
        <w:t>6.2</w:t>
      </w:r>
      <w:r>
        <w:rPr>
          <w:rFonts w:ascii="宋体" w:hAnsi="宋体"/>
          <w:szCs w:val="21"/>
        </w:rPr>
        <w:t xml:space="preserve"> </w:t>
      </w:r>
      <w:r>
        <w:rPr>
          <w:rFonts w:hint="eastAsia" w:ascii="宋体" w:hAnsi="宋体"/>
          <w:szCs w:val="21"/>
        </w:rPr>
        <w:t>安装、调试</w:t>
      </w:r>
    </w:p>
    <w:p w14:paraId="5F98646C">
      <w:pPr>
        <w:tabs>
          <w:tab w:val="left" w:pos="1134"/>
        </w:tabs>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合同设备的安装、调试按照第</w:t>
      </w:r>
      <w:r>
        <w:rPr>
          <w:rFonts w:hint="eastAsia" w:ascii="宋体" w:hAnsi="宋体"/>
          <w:szCs w:val="21"/>
          <w:u w:val="single"/>
        </w:rPr>
        <w:t xml:space="preserve"> </w:t>
      </w:r>
      <w:r>
        <w:rPr>
          <w:rFonts w:hint="eastAsia" w:ascii="宋体" w:hAnsi="宋体"/>
          <w:szCs w:val="21"/>
          <w:u w:val="single"/>
          <w:lang w:eastAsia="zh-CN"/>
        </w:rPr>
        <w:t>（</w:t>
      </w:r>
      <w:r>
        <w:rPr>
          <w:rFonts w:hint="eastAsia" w:ascii="宋体" w:hAnsi="宋体"/>
          <w:szCs w:val="21"/>
          <w:u w:val="single"/>
          <w:lang w:val="en-US" w:eastAsia="zh-CN"/>
        </w:rPr>
        <w:t>1）</w:t>
      </w:r>
      <w:r>
        <w:rPr>
          <w:rFonts w:ascii="宋体" w:hAnsi="宋体"/>
          <w:szCs w:val="21"/>
          <w:u w:val="single"/>
        </w:rPr>
        <w:t xml:space="preserve"> </w:t>
      </w:r>
      <w:r>
        <w:rPr>
          <w:rFonts w:hint="eastAsia" w:ascii="宋体" w:hAnsi="宋体"/>
          <w:szCs w:val="21"/>
        </w:rPr>
        <w:t>种方式进行：</w:t>
      </w:r>
    </w:p>
    <w:p w14:paraId="3B0A655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0D3035C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w:t>
      </w:r>
    </w:p>
    <w:p w14:paraId="3C99247E">
      <w:pPr>
        <w:tabs>
          <w:tab w:val="left" w:pos="1134"/>
        </w:tabs>
        <w:spacing w:line="360" w:lineRule="auto"/>
        <w:ind w:firstLine="420" w:firstLineChars="200"/>
        <w:rPr>
          <w:rFonts w:ascii="宋体" w:hAnsi="宋体"/>
          <w:szCs w:val="21"/>
        </w:rPr>
      </w:pPr>
      <w:r>
        <w:rPr>
          <w:rFonts w:hint="eastAsia" w:ascii="宋体" w:hAnsi="宋体"/>
          <w:szCs w:val="21"/>
        </w:rPr>
        <w:t>采用第（2）种方式时，相关责任划分的约定：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rPr>
        <w:t>。</w:t>
      </w:r>
    </w:p>
    <w:p w14:paraId="32302C30">
      <w:pPr>
        <w:tabs>
          <w:tab w:val="left" w:pos="1134"/>
        </w:tabs>
        <w:spacing w:line="360" w:lineRule="auto"/>
        <w:ind w:firstLine="420" w:firstLineChars="200"/>
        <w:rPr>
          <w:rFonts w:hint="eastAsia" w:ascii="宋体" w:hAnsi="宋体"/>
          <w:szCs w:val="21"/>
        </w:rPr>
      </w:pPr>
      <w:r>
        <w:rPr>
          <w:rFonts w:hint="eastAsia" w:ascii="宋体" w:hAnsi="宋体"/>
          <w:szCs w:val="21"/>
        </w:rPr>
        <w:t xml:space="preserve">6.2.2 </w:t>
      </w:r>
      <w:r>
        <w:rPr>
          <w:rFonts w:hint="eastAsia" w:ascii="宋体" w:hAnsi="宋体"/>
        </w:rPr>
        <w:t>安装、调试中合同设备运行需要的用水、用电、其他动力和原材料（如需要）等</w:t>
      </w:r>
      <w:r>
        <w:rPr>
          <w:rFonts w:hint="eastAsia" w:ascii="宋体" w:hAnsi="宋体"/>
          <w:szCs w:val="21"/>
        </w:rPr>
        <w:t>承担主体及方式的约定：</w:t>
      </w:r>
    </w:p>
    <w:p w14:paraId="25681CEF">
      <w:pPr>
        <w:pageBreakBefore w:val="0"/>
        <w:tabs>
          <w:tab w:val="left" w:pos="1134"/>
        </w:tabs>
        <w:topLinePunct w:val="0"/>
        <w:bidi w:val="0"/>
        <w:spacing w:line="360" w:lineRule="auto"/>
        <w:ind w:left="420" w:leftChars="200" w:firstLine="0" w:firstLineChars="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1）合同设备安装、调试期间所需的水、电、压缩空气由买方承担。</w:t>
      </w:r>
    </w:p>
    <w:p w14:paraId="59D8620A">
      <w:pPr>
        <w:pageBreakBefore w:val="0"/>
        <w:tabs>
          <w:tab w:val="left" w:pos="1134"/>
        </w:tabs>
        <w:topLinePunct w:val="0"/>
        <w:bidi w:val="0"/>
        <w:spacing w:line="360" w:lineRule="auto"/>
        <w:ind w:left="420" w:leftChars="200" w:firstLine="0" w:firstLineChars="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w:t>
      </w:r>
      <w:r>
        <w:rPr>
          <w:rFonts w:hint="eastAsia" w:ascii="宋体" w:hAnsi="宋体" w:eastAsia="宋体" w:cs="宋体"/>
          <w:caps w:val="0"/>
          <w:smallCaps w:val="0"/>
          <w:color w:val="auto"/>
          <w:sz w:val="21"/>
          <w:szCs w:val="21"/>
          <w:highlight w:val="none"/>
          <w:lang w:eastAsia="zh-CN"/>
        </w:rPr>
        <w:t>合同设备的安装、调试、</w:t>
      </w:r>
      <w:r>
        <w:rPr>
          <w:rFonts w:hint="eastAsia" w:ascii="宋体" w:hAnsi="宋体" w:eastAsia="宋体" w:cs="宋体"/>
          <w:caps w:val="0"/>
          <w:smallCaps w:val="0"/>
          <w:color w:val="auto"/>
          <w:sz w:val="21"/>
          <w:szCs w:val="21"/>
          <w:highlight w:val="none"/>
          <w:lang w:val="en-US" w:eastAsia="zh-CN"/>
        </w:rPr>
        <w:t>送检等</w:t>
      </w:r>
      <w:r>
        <w:rPr>
          <w:rFonts w:hint="eastAsia" w:ascii="宋体" w:hAnsi="宋体" w:eastAsia="宋体" w:cs="宋体"/>
          <w:caps w:val="0"/>
          <w:smallCaps w:val="0"/>
          <w:color w:val="auto"/>
          <w:sz w:val="21"/>
          <w:szCs w:val="21"/>
          <w:highlight w:val="none"/>
          <w:lang w:eastAsia="zh-CN"/>
        </w:rPr>
        <w:t>工作</w:t>
      </w:r>
      <w:r>
        <w:rPr>
          <w:rFonts w:hint="eastAsia" w:ascii="宋体" w:hAnsi="宋体" w:eastAsia="宋体" w:cs="宋体"/>
          <w:caps w:val="0"/>
          <w:smallCaps w:val="0"/>
          <w:color w:val="auto"/>
          <w:sz w:val="21"/>
          <w:szCs w:val="21"/>
          <w:highlight w:val="none"/>
          <w:lang w:val="en-US" w:eastAsia="zh-CN"/>
        </w:rPr>
        <w:t>中涉及的其他费用均由卖方承担。</w:t>
      </w:r>
    </w:p>
    <w:p w14:paraId="738897B6">
      <w:pPr>
        <w:tabs>
          <w:tab w:val="left" w:pos="1134"/>
        </w:tabs>
        <w:spacing w:line="360" w:lineRule="auto"/>
        <w:ind w:firstLine="420" w:firstLineChars="200"/>
        <w:rPr>
          <w:rFonts w:ascii="宋体" w:hAnsi="宋体"/>
          <w:szCs w:val="21"/>
        </w:rPr>
      </w:pPr>
      <w:r>
        <w:rPr>
          <w:rFonts w:hint="eastAsia" w:ascii="宋体" w:hAnsi="宋体"/>
          <w:szCs w:val="21"/>
        </w:rPr>
        <w:t>6.3</w:t>
      </w:r>
      <w:r>
        <w:rPr>
          <w:rFonts w:ascii="宋体" w:hAnsi="宋体"/>
          <w:szCs w:val="21"/>
        </w:rPr>
        <w:t xml:space="preserve"> </w:t>
      </w:r>
      <w:r>
        <w:rPr>
          <w:rFonts w:hint="eastAsia" w:ascii="宋体" w:hAnsi="宋体"/>
          <w:szCs w:val="21"/>
        </w:rPr>
        <w:t>考核</w:t>
      </w:r>
    </w:p>
    <w:p w14:paraId="345901C7">
      <w:pPr>
        <w:tabs>
          <w:tab w:val="left" w:pos="1134"/>
        </w:tabs>
        <w:spacing w:line="360" w:lineRule="auto"/>
        <w:ind w:firstLine="420" w:firstLineChars="200"/>
        <w:rPr>
          <w:rFonts w:hint="eastAsia" w:ascii="宋体" w:hAnsi="宋体"/>
          <w:szCs w:val="21"/>
        </w:rPr>
      </w:pPr>
      <w:r>
        <w:rPr>
          <w:rFonts w:ascii="宋体" w:hAnsi="宋体"/>
          <w:szCs w:val="21"/>
        </w:rPr>
        <w:t>6.</w:t>
      </w:r>
      <w:r>
        <w:rPr>
          <w:rFonts w:hint="eastAsia" w:ascii="宋体" w:hAnsi="宋体"/>
          <w:szCs w:val="21"/>
        </w:rPr>
        <w:t>3</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考核中合同设备运行需要的用水、用电、其他动力和原材料（如需要）等承担主体及方式的约定：</w:t>
      </w:r>
    </w:p>
    <w:p w14:paraId="50D6F468">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1）</w:t>
      </w:r>
      <w:r>
        <w:rPr>
          <w:rFonts w:hint="eastAsia" w:ascii="宋体" w:hAnsi="宋体" w:eastAsia="宋体" w:cs="宋体"/>
          <w:caps w:val="0"/>
          <w:smallCaps w:val="0"/>
          <w:color w:val="000000" w:themeColor="text1"/>
          <w:szCs w:val="21"/>
          <w:highlight w:val="none"/>
          <w:u w:val="none"/>
          <w:lang w:val="en-US" w:eastAsia="zh-CN"/>
          <w14:textFill>
            <w14:solidFill>
              <w14:schemeClr w14:val="tx1"/>
            </w14:solidFill>
          </w14:textFill>
        </w:rPr>
        <w:t>设备安装完成，考核期间（试运行期间）</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所需的水、电、压</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缩空气由买方承担。</w:t>
      </w:r>
    </w:p>
    <w:p w14:paraId="5658BB88">
      <w:pPr>
        <w:pageBreakBefore w:val="0"/>
        <w:tabs>
          <w:tab w:val="left" w:pos="1134"/>
        </w:tabs>
        <w:kinsoku/>
        <w:overflowPunct/>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aps w:val="0"/>
          <w:smallCaps w:val="0"/>
          <w:color w:val="000000" w:themeColor="text1"/>
          <w:sz w:val="21"/>
          <w:szCs w:val="21"/>
          <w:highlight w:val="none"/>
          <w14:textFill>
            <w14:solidFill>
              <w14:schemeClr w14:val="tx1"/>
            </w14:solidFill>
          </w14:textFill>
        </w:rPr>
        <w:t>合同设备的</w:t>
      </w:r>
      <w:r>
        <w:rPr>
          <w:rFonts w:hint="eastAsia" w:ascii="宋体" w:hAnsi="宋体" w:cs="宋体"/>
          <w:caps w:val="0"/>
          <w:smallCaps w:val="0"/>
          <w:color w:val="000000" w:themeColor="text1"/>
          <w:sz w:val="21"/>
          <w:szCs w:val="21"/>
          <w:highlight w:val="none"/>
          <w:lang w:val="en-US" w:eastAsia="zh-CN"/>
          <w14:textFill>
            <w14:solidFill>
              <w14:schemeClr w14:val="tx1"/>
            </w14:solidFill>
          </w14:textFill>
        </w:rPr>
        <w:t>考核</w:t>
      </w:r>
      <w:r>
        <w:rPr>
          <w:rFonts w:hint="eastAsia" w:ascii="宋体" w:hAnsi="宋体" w:eastAsia="宋体" w:cs="宋体"/>
          <w:caps w:val="0"/>
          <w:smallCaps w:val="0"/>
          <w:color w:val="000000" w:themeColor="text1"/>
          <w:sz w:val="21"/>
          <w:szCs w:val="21"/>
          <w:highlight w:val="none"/>
          <w14:textFill>
            <w14:solidFill>
              <w14:schemeClr w14:val="tx1"/>
            </w14:solidFill>
          </w14:textFill>
        </w:rPr>
        <w:t>工作</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中涉及的其他费用均由卖方承担。</w:t>
      </w:r>
    </w:p>
    <w:p w14:paraId="6D7DB572">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6.3.2 考核前提条件、考核周期：</w:t>
      </w:r>
    </w:p>
    <w:p w14:paraId="579A1CA8">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（1）设备状态：合同设备必须已完全安装、调试完毕，所有安全附件均已安装到位并校验合格</w:t>
      </w:r>
      <w:r>
        <w:rPr>
          <w:rFonts w:hint="eastAsia" w:ascii="宋体" w:hAnsi="宋体" w:eastAsia="宋体" w:cs="宋体"/>
          <w:caps w:val="0"/>
          <w:smallCaps w:val="0"/>
          <w:color w:val="auto"/>
          <w:kern w:val="2"/>
          <w:sz w:val="21"/>
          <w:szCs w:val="21"/>
          <w:highlight w:val="none"/>
          <w:lang w:val="en-US" w:eastAsia="zh-CN" w:bidi="ar-SA"/>
        </w:rPr>
        <w:t>并取得《特种设备使用登记证》（如有）</w:t>
      </w:r>
      <w:r>
        <w:rPr>
          <w:rFonts w:hint="eastAsia" w:ascii="宋体" w:hAnsi="宋体" w:eastAsia="宋体" w:cs="宋体"/>
          <w:caps w:val="0"/>
          <w:smallCaps w:val="0"/>
          <w:color w:val="000000"/>
          <w:kern w:val="2"/>
          <w:sz w:val="21"/>
          <w:szCs w:val="21"/>
          <w:highlight w:val="none"/>
          <w:lang w:val="en-US" w:eastAsia="zh-CN" w:bidi="ar-SA"/>
        </w:rPr>
        <w:t>。</w:t>
      </w:r>
    </w:p>
    <w:p w14:paraId="1461F17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（2）考核周期：考核应在</w:t>
      </w:r>
      <w:r>
        <w:rPr>
          <w:rFonts w:hint="eastAsia" w:ascii="宋体" w:hAnsi="宋体" w:cs="宋体"/>
          <w:caps w:val="0"/>
          <w:smallCaps w:val="0"/>
          <w:color w:val="auto"/>
          <w:kern w:val="2"/>
          <w:sz w:val="21"/>
          <w:szCs w:val="21"/>
          <w:highlight w:val="none"/>
          <w:lang w:val="en-US" w:eastAsia="zh-CN" w:bidi="ar-SA"/>
        </w:rPr>
        <w:t>合同</w:t>
      </w:r>
      <w:r>
        <w:rPr>
          <w:rFonts w:hint="eastAsia" w:ascii="宋体" w:hAnsi="宋体" w:eastAsia="宋体" w:cs="宋体"/>
          <w:caps w:val="0"/>
          <w:smallCaps w:val="0"/>
          <w:color w:val="auto"/>
          <w:kern w:val="2"/>
          <w:sz w:val="21"/>
          <w:szCs w:val="21"/>
          <w:highlight w:val="none"/>
          <w:lang w:val="en-US" w:eastAsia="zh-CN" w:bidi="ar-SA"/>
        </w:rPr>
        <w:t>设备</w:t>
      </w:r>
      <w:r>
        <w:rPr>
          <w:rFonts w:hint="eastAsia" w:ascii="宋体" w:hAnsi="宋体" w:eastAsia="宋体" w:cs="宋体"/>
          <w:color w:val="auto"/>
          <w:highlight w:val="none"/>
          <w:lang w:val="en-US" w:eastAsia="zh-CN"/>
        </w:rPr>
        <w:t>试运行（且与招标人</w:t>
      </w:r>
      <w:r>
        <w:rPr>
          <w:rFonts w:hint="eastAsia" w:ascii="宋体" w:hAnsi="宋体" w:eastAsia="宋体" w:cs="宋体"/>
          <w:i w:val="0"/>
          <w:iCs w:val="0"/>
          <w:color w:val="auto"/>
          <w:kern w:val="0"/>
          <w:sz w:val="21"/>
          <w:szCs w:val="21"/>
          <w:highlight w:val="none"/>
          <w:u w:val="none"/>
          <w:lang w:val="en-US" w:eastAsia="zh-CN" w:bidi="ar"/>
        </w:rPr>
        <w:t>上位MES系统完成接口对接</w:t>
      </w:r>
      <w:r>
        <w:rPr>
          <w:rFonts w:hint="eastAsia" w:ascii="宋体" w:hAnsi="宋体" w:eastAsia="宋体" w:cs="宋体"/>
          <w:color w:val="auto"/>
          <w:highlight w:val="none"/>
          <w:lang w:val="en-US" w:eastAsia="zh-CN"/>
        </w:rPr>
        <w:t>联调后）1个月后</w:t>
      </w:r>
      <w:r>
        <w:rPr>
          <w:rFonts w:hint="eastAsia" w:ascii="宋体" w:hAnsi="宋体" w:eastAsia="宋体" w:cs="宋体"/>
          <w:caps w:val="0"/>
          <w:smallCaps w:val="0"/>
          <w:color w:val="auto"/>
          <w:kern w:val="2"/>
          <w:sz w:val="21"/>
          <w:szCs w:val="21"/>
          <w:highlight w:val="none"/>
          <w:lang w:val="en-US" w:eastAsia="zh-CN" w:bidi="ar-SA"/>
        </w:rPr>
        <w:t>，按照</w:t>
      </w:r>
      <w:r>
        <w:rPr>
          <w:rFonts w:hint="eastAsia" w:ascii="宋体" w:hAnsi="宋体" w:eastAsia="宋体" w:cs="宋体"/>
          <w:color w:val="auto"/>
          <w:highlight w:val="none"/>
          <w:lang w:val="en-US" w:eastAsia="zh-CN"/>
        </w:rPr>
        <w:t>附件1《</w:t>
      </w:r>
      <w:r>
        <w:rPr>
          <w:rFonts w:hint="eastAsia" w:ascii="宋体" w:hAnsi="宋体" w:eastAsia="宋体" w:cs="宋体"/>
          <w:caps w:val="0"/>
          <w:smallCaps w:val="0"/>
          <w:color w:val="auto"/>
          <w:sz w:val="21"/>
          <w:szCs w:val="21"/>
          <w:highlight w:val="none"/>
          <w:u w:val="none"/>
          <w:lang w:val="en-US" w:eastAsia="zh-CN"/>
        </w:rPr>
        <w:t>供货</w:t>
      </w:r>
      <w:r>
        <w:rPr>
          <w:rFonts w:hint="eastAsia" w:ascii="宋体" w:hAnsi="宋体" w:eastAsia="宋体" w:cs="宋体"/>
          <w:caps w:val="0"/>
          <w:smallCaps w:val="0"/>
          <w:color w:val="auto"/>
          <w:sz w:val="21"/>
          <w:szCs w:val="21"/>
          <w:highlight w:val="none"/>
          <w:u w:val="none"/>
        </w:rPr>
        <w:t>要求</w:t>
      </w:r>
      <w:r>
        <w:rPr>
          <w:rFonts w:hint="eastAsia" w:ascii="宋体" w:hAnsi="宋体" w:eastAsia="宋体" w:cs="宋体"/>
          <w:color w:val="auto"/>
          <w:highlight w:val="none"/>
          <w:lang w:val="en-US" w:eastAsia="zh-CN"/>
        </w:rPr>
        <w:t>》</w:t>
      </w:r>
      <w:r>
        <w:rPr>
          <w:rFonts w:hint="eastAsia" w:ascii="宋体" w:hAnsi="宋体" w:eastAsia="宋体" w:cs="宋体"/>
          <w:caps w:val="0"/>
          <w:smallCaps w:val="0"/>
          <w:color w:val="auto"/>
          <w:kern w:val="2"/>
          <w:sz w:val="21"/>
          <w:szCs w:val="21"/>
          <w:highlight w:val="none"/>
          <w:lang w:val="en-US" w:eastAsia="zh-CN" w:bidi="ar-SA"/>
        </w:rPr>
        <w:t>进行考核。期间不得出现设备自身故障原因停机或进行重大调整。</w:t>
      </w:r>
    </w:p>
    <w:p w14:paraId="7BD6028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kern w:val="2"/>
          <w:sz w:val="21"/>
          <w:szCs w:val="21"/>
          <w:highlight w:val="none"/>
          <w:lang w:val="en-US" w:eastAsia="zh-CN" w:bidi="ar-SA"/>
        </w:rPr>
        <w:t>（3）在考核期间，因设备本身质量、设计或制造缺陷导致的任何安全事故、人身伤害或财产损失，由卖方承担全部责任。</w:t>
      </w:r>
    </w:p>
    <w:p w14:paraId="696E339C">
      <w:pPr>
        <w:tabs>
          <w:tab w:val="left" w:pos="1134"/>
        </w:tabs>
        <w:spacing w:line="360" w:lineRule="auto"/>
        <w:ind w:firstLine="420" w:firstLineChars="200"/>
        <w:rPr>
          <w:rFonts w:hint="eastAsia" w:ascii="宋体" w:hAnsi="宋体"/>
          <w:szCs w:val="21"/>
        </w:rPr>
      </w:pPr>
      <w:r>
        <w:rPr>
          <w:rFonts w:hint="eastAsia" w:ascii="宋体" w:hAnsi="宋体"/>
          <w:szCs w:val="21"/>
        </w:rPr>
        <w:t>6.3.3</w:t>
      </w:r>
      <w:r>
        <w:rPr>
          <w:rFonts w:ascii="宋体" w:hAnsi="宋体"/>
          <w:szCs w:val="21"/>
        </w:rPr>
        <w:t xml:space="preserve"> </w:t>
      </w:r>
      <w:r>
        <w:rPr>
          <w:rFonts w:hint="eastAsia" w:ascii="宋体" w:hAnsi="宋体"/>
          <w:szCs w:val="21"/>
        </w:rPr>
        <w:t>若合同设备在考核中仅达到</w:t>
      </w:r>
      <w:r>
        <w:rPr>
          <w:rFonts w:hint="eastAsia" w:ascii="宋体" w:hAnsi="宋体"/>
        </w:rPr>
        <w:t>合同约定的或双方在考核中另行达成的最低技术性能考核指标，</w:t>
      </w:r>
      <w:r>
        <w:rPr>
          <w:rFonts w:hint="eastAsia" w:ascii="宋体" w:hAnsi="宋体"/>
          <w:szCs w:val="21"/>
        </w:rPr>
        <w:t>卖方应进行减价或向买方支付补偿金的约定：</w:t>
      </w:r>
    </w:p>
    <w:p w14:paraId="4D7E123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（1）设备安装、调试完成后，由卖方书面申请，买方审批后双方应对合同设备进行考核，以确定合同设备是否达到合同约定的技术性能考核指标。</w:t>
      </w:r>
    </w:p>
    <w:p w14:paraId="418ADDE0">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aps w:val="0"/>
          <w:smallCaps w:val="0"/>
          <w:color w:val="000000"/>
          <w:sz w:val="21"/>
          <w:szCs w:val="21"/>
          <w:highlight w:val="none"/>
          <w:lang w:val="en-US" w:eastAsia="zh-CN"/>
        </w:rPr>
      </w:pPr>
      <w:r>
        <w:rPr>
          <w:rFonts w:hint="eastAsia" w:ascii="宋体" w:hAnsi="宋体" w:eastAsia="宋体" w:cs="宋体"/>
          <w:b w:val="0"/>
          <w:bCs w:val="0"/>
          <w:caps w:val="0"/>
          <w:smallCaps w:val="0"/>
          <w:color w:val="000000"/>
          <w:sz w:val="21"/>
          <w:szCs w:val="21"/>
          <w:highlight w:val="none"/>
          <w:lang w:val="en-US" w:eastAsia="zh-CN"/>
        </w:rPr>
        <w:t>（2）合同设备按合同约定的技术性能指标进行考核，任何指标均不得低于合同约定的参数。</w:t>
      </w:r>
    </w:p>
    <w:p w14:paraId="558A1686">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aps w:val="0"/>
          <w:smallCaps w:val="0"/>
          <w:color w:val="000000"/>
          <w:sz w:val="21"/>
          <w:szCs w:val="21"/>
          <w:highlight w:val="none"/>
          <w:lang w:val="en-US" w:eastAsia="zh-CN"/>
        </w:rPr>
      </w:pPr>
      <w:r>
        <w:rPr>
          <w:rFonts w:hint="eastAsia" w:ascii="宋体" w:hAnsi="宋体" w:eastAsia="宋体" w:cs="宋体"/>
          <w:b w:val="0"/>
          <w:bCs w:val="0"/>
          <w:caps w:val="0"/>
          <w:smallCaps w:val="0"/>
          <w:color w:val="000000"/>
          <w:sz w:val="21"/>
          <w:szCs w:val="21"/>
          <w:highlight w:val="none"/>
          <w:lang w:val="en-US" w:eastAsia="zh-CN"/>
        </w:rPr>
        <w:t>（3）如合同设备在考核中未能达到合同约定的技术性能考核指标，买方为卖方提供不超过三次整改机会，若三次整改均未达到技术性能考核指标，或者整改时间超过</w:t>
      </w:r>
      <w:r>
        <w:rPr>
          <w:rFonts w:hint="eastAsia" w:ascii="宋体" w:hAnsi="宋体" w:eastAsia="宋体" w:cs="宋体"/>
          <w:b w:val="0"/>
          <w:bCs w:val="0"/>
          <w:caps w:val="0"/>
          <w:smallCaps w:val="0"/>
          <w:color w:val="000000"/>
          <w:sz w:val="21"/>
          <w:szCs w:val="21"/>
          <w:highlight w:val="none"/>
          <w:u w:val="single"/>
          <w:lang w:val="en-US" w:eastAsia="zh-CN"/>
        </w:rPr>
        <w:t xml:space="preserve"> </w:t>
      </w:r>
      <w:r>
        <w:rPr>
          <w:rFonts w:hint="eastAsia" w:ascii="宋体" w:hAnsi="宋体" w:cs="宋体"/>
          <w:b w:val="0"/>
          <w:bCs w:val="0"/>
          <w:caps w:val="0"/>
          <w:smallCaps w:val="0"/>
          <w:color w:val="000000"/>
          <w:sz w:val="21"/>
          <w:szCs w:val="21"/>
          <w:highlight w:val="none"/>
          <w:u w:val="single"/>
          <w:lang w:val="en-US" w:eastAsia="zh-CN"/>
        </w:rPr>
        <w:t>3</w:t>
      </w:r>
      <w:r>
        <w:rPr>
          <w:rFonts w:hint="eastAsia" w:ascii="宋体" w:hAnsi="宋体" w:eastAsia="宋体" w:cs="宋体"/>
          <w:b w:val="0"/>
          <w:bCs w:val="0"/>
          <w:caps w:val="0"/>
          <w:smallCaps w:val="0"/>
          <w:color w:val="000000"/>
          <w:sz w:val="21"/>
          <w:szCs w:val="21"/>
          <w:highlight w:val="none"/>
          <w:u w:val="single"/>
          <w:lang w:val="en-US" w:eastAsia="zh-CN"/>
        </w:rPr>
        <w:t xml:space="preserve"> </w:t>
      </w:r>
      <w:r>
        <w:rPr>
          <w:rFonts w:hint="eastAsia" w:ascii="宋体" w:hAnsi="宋体" w:eastAsia="宋体" w:cs="宋体"/>
          <w:b w:val="0"/>
          <w:bCs w:val="0"/>
          <w:caps w:val="0"/>
          <w:smallCaps w:val="0"/>
          <w:color w:val="000000"/>
          <w:sz w:val="21"/>
          <w:szCs w:val="21"/>
          <w:highlight w:val="none"/>
          <w:lang w:val="en-US" w:eastAsia="zh-CN"/>
        </w:rPr>
        <w:t>个月，买方有权按合同违约责任条款实施考核或解除合同。</w:t>
      </w:r>
    </w:p>
    <w:p w14:paraId="0B92702E">
      <w:pPr>
        <w:pStyle w:val="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000000"/>
          <w:lang w:val="en-US" w:eastAsia="zh-CN"/>
        </w:rPr>
      </w:pPr>
      <w:r>
        <w:rPr>
          <w:rFonts w:hint="eastAsia" w:ascii="宋体" w:hAnsi="宋体" w:eastAsia="宋体" w:cs="宋体"/>
          <w:b w:val="0"/>
          <w:bCs w:val="0"/>
          <w:caps w:val="0"/>
          <w:smallCaps w:val="0"/>
          <w:color w:val="000000"/>
          <w:sz w:val="21"/>
          <w:szCs w:val="21"/>
          <w:highlight w:val="none"/>
          <w:lang w:val="en-US" w:eastAsia="zh-CN"/>
        </w:rPr>
        <w:t xml:space="preserve">    </w:t>
      </w:r>
      <w:r>
        <w:rPr>
          <w:rFonts w:hint="eastAsia" w:ascii="宋体" w:hAnsi="宋体" w:eastAsia="宋体" w:cs="宋体"/>
          <w:b w:val="0"/>
          <w:bCs w:val="0"/>
          <w:caps w:val="0"/>
          <w:smallCaps w:val="0"/>
          <w:color w:val="000000"/>
          <w:kern w:val="2"/>
          <w:sz w:val="21"/>
          <w:szCs w:val="21"/>
          <w:highlight w:val="none"/>
          <w:lang w:val="en-US" w:eastAsia="zh-CN" w:bidi="ar-SA"/>
        </w:rPr>
        <w:t>（4）若合同设备在考核中未达到合同约定指标，或双方在考核中另行达成的最低技术性能考核指标的，卖方应进行减价或向买方支付补偿金</w:t>
      </w:r>
      <w:r>
        <w:rPr>
          <w:rFonts w:hint="eastAsia" w:ascii="宋体" w:hAnsi="宋体" w:eastAsia="宋体" w:cs="宋体"/>
          <w:b w:val="0"/>
          <w:bCs w:val="0"/>
          <w:caps w:val="0"/>
          <w:smallCaps w:val="0"/>
          <w:color w:val="000000"/>
          <w:kern w:val="2"/>
          <w:sz w:val="21"/>
          <w:szCs w:val="21"/>
          <w:highlight w:val="none"/>
          <w:u w:val="single"/>
          <w:lang w:val="en-US" w:eastAsia="zh-CN" w:bidi="ar-SA"/>
        </w:rPr>
        <w:t>按14.2条（4）小条执行</w:t>
      </w:r>
      <w:r>
        <w:rPr>
          <w:rFonts w:hint="eastAsia" w:ascii="宋体" w:hAnsi="宋体" w:eastAsia="宋体" w:cs="宋体"/>
          <w:b w:val="0"/>
          <w:bCs w:val="0"/>
          <w:caps w:val="0"/>
          <w:smallCaps w:val="0"/>
          <w:color w:val="000000"/>
          <w:kern w:val="2"/>
          <w:sz w:val="21"/>
          <w:szCs w:val="21"/>
          <w:highlight w:val="none"/>
          <w:lang w:val="en-US" w:eastAsia="zh-CN" w:bidi="ar-SA"/>
        </w:rPr>
        <w:t>。</w:t>
      </w:r>
    </w:p>
    <w:p w14:paraId="3FE1AD98">
      <w:pPr>
        <w:tabs>
          <w:tab w:val="left" w:pos="1134"/>
        </w:tabs>
        <w:spacing w:line="360" w:lineRule="auto"/>
        <w:ind w:firstLine="420" w:firstLineChars="200"/>
        <w:rPr>
          <w:rFonts w:ascii="宋体" w:hAnsi="宋体"/>
          <w:szCs w:val="21"/>
        </w:rPr>
      </w:pPr>
      <w:r>
        <w:rPr>
          <w:rFonts w:hint="eastAsia" w:ascii="宋体" w:hAnsi="宋体"/>
          <w:szCs w:val="21"/>
        </w:rPr>
        <w:t>6.4</w:t>
      </w:r>
      <w:r>
        <w:rPr>
          <w:rFonts w:ascii="宋体" w:hAnsi="宋体"/>
          <w:szCs w:val="21"/>
        </w:rPr>
        <w:t xml:space="preserve"> </w:t>
      </w:r>
      <w:r>
        <w:rPr>
          <w:rFonts w:hint="eastAsia" w:ascii="宋体" w:hAnsi="宋体"/>
          <w:szCs w:val="21"/>
        </w:rPr>
        <w:t>验收</w:t>
      </w:r>
    </w:p>
    <w:p w14:paraId="6E97BCA6">
      <w:pPr>
        <w:tabs>
          <w:tab w:val="left" w:pos="1134"/>
        </w:tabs>
        <w:spacing w:line="360" w:lineRule="auto"/>
        <w:ind w:firstLine="420" w:firstLineChars="200"/>
        <w:rPr>
          <w:rFonts w:ascii="宋体" w:hAnsi="宋体"/>
          <w:szCs w:val="21"/>
        </w:rPr>
      </w:pPr>
      <w:r>
        <w:rPr>
          <w:rFonts w:ascii="宋体" w:hAnsi="宋体"/>
          <w:szCs w:val="21"/>
        </w:rPr>
        <w:t>6.</w:t>
      </w:r>
      <w:r>
        <w:rPr>
          <w:rFonts w:hint="eastAsia" w:ascii="宋体" w:hAnsi="宋体"/>
          <w:szCs w:val="21"/>
        </w:rPr>
        <w:t>4</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签署合同设备验收证书时间的约定：</w:t>
      </w:r>
      <w:r>
        <w:rPr>
          <w:rFonts w:hint="eastAsia" w:ascii="宋体" w:hAnsi="宋体"/>
          <w:u w:val="single"/>
        </w:rPr>
        <w:t>在考核完成后</w:t>
      </w:r>
      <w:r>
        <w:rPr>
          <w:u w:val="single"/>
        </w:rPr>
        <w:t>7</w:t>
      </w:r>
      <w:r>
        <w:rPr>
          <w:rFonts w:hint="eastAsia" w:ascii="宋体" w:hAnsi="宋体"/>
          <w:u w:val="single"/>
        </w:rPr>
        <w:t>日内</w:t>
      </w:r>
      <w:r>
        <w:rPr>
          <w:rFonts w:hint="eastAsia" w:ascii="宋体" w:hAnsi="宋体"/>
          <w:szCs w:val="21"/>
        </w:rPr>
        <w:t>。</w:t>
      </w:r>
    </w:p>
    <w:p w14:paraId="2ACDCB89">
      <w:pPr>
        <w:tabs>
          <w:tab w:val="left" w:pos="1134"/>
        </w:tabs>
        <w:spacing w:line="360" w:lineRule="auto"/>
        <w:ind w:firstLine="420" w:firstLineChars="200"/>
        <w:rPr>
          <w:rFonts w:ascii="宋体" w:hAnsi="宋体"/>
          <w:szCs w:val="21"/>
          <w:u w:val="single"/>
        </w:rPr>
      </w:pPr>
      <w:r>
        <w:rPr>
          <w:rFonts w:hint="eastAsia" w:ascii="宋体" w:hAnsi="宋体"/>
          <w:szCs w:val="21"/>
        </w:rPr>
        <w:t>6.4.2</w:t>
      </w:r>
      <w:r>
        <w:rPr>
          <w:rFonts w:ascii="宋体" w:hAnsi="宋体"/>
          <w:szCs w:val="21"/>
        </w:rPr>
        <w:t xml:space="preserve"> </w:t>
      </w:r>
      <w:r>
        <w:rPr>
          <w:rFonts w:hint="eastAsia" w:ascii="宋体" w:hAnsi="宋体"/>
        </w:rPr>
        <w:t>如由于买方原因合同设备在三次考核中均未能达到技术性能考核指标，买卖双方应在</w:t>
      </w:r>
      <w:r>
        <w:rPr>
          <w:rFonts w:hint="eastAsia" w:ascii="宋体" w:hAnsi="宋体"/>
          <w:u w:val="single"/>
        </w:rPr>
        <w:t>考核结束后</w:t>
      </w:r>
      <w:r>
        <w:rPr>
          <w:u w:val="single"/>
        </w:rPr>
        <w:t>7</w:t>
      </w:r>
      <w:r>
        <w:rPr>
          <w:rFonts w:hint="eastAsia" w:ascii="宋体" w:hAnsi="宋体"/>
          <w:u w:val="single"/>
        </w:rPr>
        <w:t>日内</w:t>
      </w:r>
      <w:r>
        <w:rPr>
          <w:rFonts w:hint="eastAsia" w:ascii="宋体" w:hAnsi="宋体"/>
        </w:rPr>
        <w:t>签署验收款支付函。</w:t>
      </w:r>
    </w:p>
    <w:p w14:paraId="7F5E7DFC">
      <w:pPr>
        <w:pageBreakBefore w:val="0"/>
        <w:tabs>
          <w:tab w:val="left" w:pos="1134"/>
        </w:tabs>
        <w:topLinePunct w:val="0"/>
        <w:bidi w:val="0"/>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rPr>
        <w:t xml:space="preserve"> 在质保期内，卖方应无偿提技术服务与支持</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每半年至少进行一次定期巡检，巡检内容包括</w:t>
      </w:r>
      <w:r>
        <w:rPr>
          <w:rFonts w:hint="eastAsia" w:ascii="宋体" w:hAnsi="宋体" w:eastAsia="宋体" w:cs="宋体"/>
          <w:caps w:val="0"/>
          <w:smallCaps w:val="0"/>
          <w:color w:val="000000"/>
          <w:sz w:val="21"/>
          <w:szCs w:val="21"/>
          <w:highlight w:val="none"/>
          <w:u w:val="single"/>
        </w:rPr>
        <w:t>检查</w:t>
      </w:r>
      <w:r>
        <w:rPr>
          <w:rFonts w:hint="eastAsia" w:ascii="宋体" w:hAnsi="宋体" w:eastAsia="宋体" w:cs="宋体"/>
          <w:caps w:val="0"/>
          <w:smallCaps w:val="0"/>
          <w:color w:val="000000"/>
          <w:sz w:val="21"/>
          <w:szCs w:val="21"/>
          <w:highlight w:val="none"/>
          <w:u w:val="single"/>
          <w:lang w:val="en-US" w:eastAsia="zh-CN"/>
        </w:rPr>
        <w:t>设备</w:t>
      </w:r>
      <w:r>
        <w:rPr>
          <w:rFonts w:hint="eastAsia" w:ascii="宋体" w:hAnsi="宋体" w:eastAsia="宋体" w:cs="宋体"/>
          <w:caps w:val="0"/>
          <w:smallCaps w:val="0"/>
          <w:color w:val="000000"/>
          <w:sz w:val="21"/>
          <w:szCs w:val="21"/>
          <w:highlight w:val="none"/>
          <w:u w:val="single"/>
        </w:rPr>
        <w:t>运行状态、调试数据、检查安全附件、对买方的操作和维护人员进行现场指导、提供优化运行的建议并提交书面巡检报告</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提供</w:t>
      </w:r>
      <w:r>
        <w:rPr>
          <w:rFonts w:hint="eastAsia" w:ascii="宋体" w:hAnsi="宋体" w:eastAsia="宋体" w:cs="宋体"/>
          <w:caps w:val="0"/>
          <w:smallCaps w:val="0"/>
          <w:color w:val="000000"/>
          <w:sz w:val="21"/>
          <w:szCs w:val="21"/>
          <w:highlight w:val="none"/>
          <w:u w:val="single"/>
          <w:lang w:val="en-US" w:eastAsia="zh-CN"/>
        </w:rPr>
        <w:t>全天</w:t>
      </w:r>
      <w:r>
        <w:rPr>
          <w:rFonts w:hint="eastAsia" w:ascii="宋体" w:hAnsi="宋体" w:eastAsia="宋体" w:cs="宋体"/>
          <w:caps w:val="0"/>
          <w:smallCaps w:val="0"/>
          <w:color w:val="000000"/>
          <w:sz w:val="21"/>
          <w:szCs w:val="21"/>
          <w:highlight w:val="none"/>
          <w:u w:val="single"/>
        </w:rPr>
        <w:t>免费热线电话或在线支持，解答买方操作人员提出的技术问题，指导进行故障排查和应急处理。</w:t>
      </w:r>
    </w:p>
    <w:p w14:paraId="777E6B60">
      <w:pPr>
        <w:tabs>
          <w:tab w:val="left" w:pos="1134"/>
        </w:tabs>
        <w:spacing w:line="360" w:lineRule="auto"/>
        <w:ind w:firstLine="420" w:firstLineChars="200"/>
        <w:rPr>
          <w:rFonts w:ascii="宋体" w:hAnsi="宋体"/>
          <w:szCs w:val="21"/>
        </w:rPr>
      </w:pPr>
      <w:r>
        <w:rPr>
          <w:rFonts w:hint="eastAsia" w:ascii="宋体" w:hAnsi="宋体"/>
          <w:szCs w:val="21"/>
        </w:rPr>
        <w:t>6.4.3</w:t>
      </w:r>
      <w:r>
        <w:rPr>
          <w:rFonts w:ascii="宋体" w:hAnsi="宋体"/>
          <w:szCs w:val="21"/>
        </w:rPr>
        <w:t xml:space="preserve"> </w:t>
      </w:r>
      <w:r>
        <w:rPr>
          <w:rFonts w:hint="eastAsia" w:ascii="宋体" w:hAnsi="宋体"/>
          <w:szCs w:val="21"/>
        </w:rPr>
        <w:t>因买方原因未能及时组织考核的约定：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7762DE1E">
      <w:pPr>
        <w:tabs>
          <w:tab w:val="left" w:pos="1134"/>
        </w:tabs>
        <w:spacing w:line="360" w:lineRule="auto"/>
        <w:ind w:firstLine="420" w:firstLineChars="200"/>
        <w:rPr>
          <w:rFonts w:ascii="宋体" w:hAnsi="宋体"/>
          <w:szCs w:val="21"/>
          <w:u w:val="single"/>
        </w:rPr>
      </w:pPr>
      <w:r>
        <w:rPr>
          <w:rFonts w:hint="eastAsia" w:ascii="宋体" w:hAnsi="宋体"/>
          <w:szCs w:val="21"/>
        </w:rPr>
        <w:t>因买方原因未能及时组织考核，签署验收款支付函时间的约定：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3FCCB556">
      <w:pPr>
        <w:tabs>
          <w:tab w:val="left" w:pos="1134"/>
        </w:tabs>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338638F5">
      <w:pPr>
        <w:pStyle w:val="97"/>
        <w:keepNext w:val="0"/>
        <w:keepLines w:val="0"/>
        <w:tabs>
          <w:tab w:val="left" w:pos="567"/>
        </w:tabs>
        <w:spacing w:before="156" w:after="156"/>
        <w:rPr>
          <w:rFonts w:eastAsia="宋体" w:cs="Times New Roman"/>
          <w:b/>
          <w:bCs/>
          <w:sz w:val="32"/>
          <w:szCs w:val="32"/>
        </w:rPr>
      </w:pPr>
      <w:bookmarkStart w:id="820" w:name="_Toc27933"/>
      <w:r>
        <w:rPr>
          <w:rFonts w:hint="eastAsia" w:eastAsia="宋体" w:cs="Times New Roman"/>
          <w:b/>
          <w:bCs/>
          <w:sz w:val="32"/>
          <w:szCs w:val="32"/>
        </w:rPr>
        <w:t>7. 技术服务</w:t>
      </w:r>
      <w:bookmarkEnd w:id="812"/>
      <w:bookmarkEnd w:id="813"/>
      <w:bookmarkEnd w:id="814"/>
      <w:bookmarkEnd w:id="815"/>
      <w:bookmarkEnd w:id="816"/>
      <w:bookmarkEnd w:id="817"/>
      <w:bookmarkEnd w:id="818"/>
      <w:bookmarkEnd w:id="820"/>
    </w:p>
    <w:p w14:paraId="3254ACD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u w:val="none"/>
          <w:lang w:eastAsia="zh-CN"/>
        </w:rPr>
      </w:pPr>
      <w:bookmarkStart w:id="821" w:name="_Toc17139"/>
      <w:bookmarkStart w:id="822" w:name="_Toc30125"/>
      <w:bookmarkStart w:id="823" w:name="_Toc867"/>
      <w:bookmarkStart w:id="824" w:name="_Toc11636"/>
      <w:bookmarkStart w:id="825" w:name="_Toc1172"/>
      <w:bookmarkStart w:id="826" w:name="_Toc2881831"/>
      <w:r>
        <w:rPr>
          <w:rFonts w:hint="eastAsia" w:ascii="宋体" w:hAnsi="宋体" w:eastAsia="宋体" w:cs="宋体"/>
          <w:caps w:val="0"/>
          <w:smallCaps w:val="0"/>
          <w:color w:val="auto"/>
          <w:sz w:val="21"/>
          <w:szCs w:val="21"/>
          <w:highlight w:val="none"/>
        </w:rPr>
        <w:t xml:space="preserve">7.2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所有</w:t>
      </w:r>
      <w:r>
        <w:rPr>
          <w:rFonts w:hint="eastAsia" w:ascii="宋体" w:hAnsi="宋体" w:eastAsia="宋体" w:cs="宋体"/>
          <w:caps w:val="0"/>
          <w:smallCaps w:val="0"/>
          <w:color w:val="auto"/>
          <w:sz w:val="21"/>
          <w:szCs w:val="21"/>
          <w:highlight w:val="none"/>
        </w:rPr>
        <w:t>人员的交通、食</w:t>
      </w:r>
      <w:r>
        <w:rPr>
          <w:rFonts w:hint="eastAsia" w:ascii="宋体" w:hAnsi="宋体" w:eastAsia="宋体" w:cs="宋体"/>
          <w:caps w:val="0"/>
          <w:smallCaps w:val="0"/>
          <w:color w:val="000000"/>
          <w:sz w:val="21"/>
          <w:szCs w:val="21"/>
          <w:highlight w:val="none"/>
        </w:rPr>
        <w:t>宿费用承担的约定：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由卖方承担</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none"/>
          <w:lang w:eastAsia="zh-CN"/>
        </w:rPr>
        <w:t>。</w:t>
      </w:r>
    </w:p>
    <w:p w14:paraId="60DE8117">
      <w:pPr>
        <w:pageBreakBefore w:val="0"/>
        <w:tabs>
          <w:tab w:val="left" w:pos="1134"/>
        </w:tabs>
        <w:topLinePunct w:val="0"/>
        <w:bidi w:val="0"/>
        <w:spacing w:line="360" w:lineRule="auto"/>
        <w:ind w:firstLine="420" w:firstLineChars="200"/>
        <w:rPr>
          <w:rFonts w:hint="eastAsia" w:ascii="宋体" w:hAnsi="宋体" w:eastAsia="宋体" w:cs="宋体"/>
          <w:caps w:val="0"/>
          <w:smallCaps w:val="0"/>
          <w:lang w:val="en-US" w:eastAsia="zh-CN"/>
        </w:rPr>
      </w:pPr>
      <w:r>
        <w:rPr>
          <w:rFonts w:hint="eastAsia" w:ascii="宋体" w:hAnsi="宋体" w:eastAsia="宋体" w:cs="宋体"/>
          <w:caps w:val="0"/>
          <w:smallCaps w:val="0"/>
          <w:color w:val="auto"/>
          <w:sz w:val="21"/>
          <w:szCs w:val="21"/>
          <w:highlight w:val="none"/>
          <w:lang w:val="en-US" w:eastAsia="zh-CN"/>
        </w:rPr>
        <w:t>7.</w:t>
      </w:r>
      <w:r>
        <w:rPr>
          <w:rFonts w:hint="eastAsia" w:ascii="宋体" w:hAnsi="宋体" w:cs="宋体"/>
          <w:caps w:val="0"/>
          <w:smallCaps w:val="0"/>
          <w:color w:val="auto"/>
          <w:sz w:val="21"/>
          <w:szCs w:val="21"/>
          <w:highlight w:val="none"/>
          <w:lang w:val="en-US" w:eastAsia="zh-CN"/>
        </w:rPr>
        <w:t>5</w:t>
      </w:r>
      <w:r>
        <w:rPr>
          <w:rFonts w:hint="eastAsia" w:ascii="宋体" w:hAnsi="宋体" w:eastAsia="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应指派一位具有丰富</w:t>
      </w:r>
      <w:r>
        <w:rPr>
          <w:rFonts w:hint="eastAsia" w:ascii="宋体" w:hAnsi="宋体" w:eastAsia="宋体" w:cs="宋体"/>
          <w:caps w:val="0"/>
          <w:smallCaps w:val="0"/>
          <w:color w:val="auto"/>
          <w:sz w:val="21"/>
          <w:szCs w:val="21"/>
          <w:highlight w:val="none"/>
          <w:u w:val="single"/>
          <w:lang w:val="en-US" w:eastAsia="zh-CN"/>
        </w:rPr>
        <w:t>技术管理</w:t>
      </w:r>
      <w:r>
        <w:rPr>
          <w:rFonts w:hint="eastAsia" w:ascii="宋体" w:hAnsi="宋体" w:eastAsia="宋体" w:cs="宋体"/>
          <w:caps w:val="0"/>
          <w:smallCaps w:val="0"/>
          <w:color w:val="auto"/>
          <w:sz w:val="21"/>
          <w:szCs w:val="21"/>
          <w:highlight w:val="none"/>
          <w:u w:val="single"/>
        </w:rPr>
        <w:t>经验和良好沟通协调能力</w:t>
      </w:r>
      <w:r>
        <w:rPr>
          <w:rFonts w:hint="eastAsia" w:ascii="宋体" w:hAnsi="宋体" w:eastAsia="宋体" w:cs="宋体"/>
          <w:caps w:val="0"/>
          <w:smallCaps w:val="0"/>
          <w:color w:val="auto"/>
          <w:sz w:val="21"/>
          <w:szCs w:val="21"/>
          <w:highlight w:val="none"/>
          <w:u w:val="single"/>
          <w:lang w:val="en-US" w:eastAsia="zh-CN"/>
        </w:rPr>
        <w:t>的技术人员</w:t>
      </w:r>
      <w:r>
        <w:rPr>
          <w:rFonts w:hint="eastAsia" w:ascii="宋体" w:hAnsi="宋体" w:eastAsia="宋体" w:cs="宋体"/>
          <w:caps w:val="0"/>
          <w:smallCaps w:val="0"/>
          <w:color w:val="auto"/>
          <w:sz w:val="21"/>
          <w:szCs w:val="21"/>
          <w:highlight w:val="none"/>
          <w:u w:val="single"/>
        </w:rPr>
        <w:t>，全权代表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统筹管理技术服务事项</w:t>
      </w:r>
      <w:r>
        <w:rPr>
          <w:rFonts w:hint="eastAsia" w:ascii="宋体" w:hAnsi="宋体" w:eastAsia="宋体" w:cs="宋体"/>
          <w:caps w:val="0"/>
          <w:smallCaps w:val="0"/>
          <w:color w:val="auto"/>
          <w:sz w:val="21"/>
          <w:szCs w:val="21"/>
          <w:highlight w:val="none"/>
          <w:u w:val="single"/>
        </w:rPr>
        <w:t>，有权代表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接收和发出本合同项下的任何通知、同意、批准和决定等，有权代表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处理本合同项下需与</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沟通和协调的事项。</w:t>
      </w:r>
      <w:r>
        <w:rPr>
          <w:rFonts w:hint="eastAsia" w:ascii="宋体" w:hAnsi="宋体" w:eastAsia="宋体" w:cs="宋体"/>
          <w:caps w:val="0"/>
          <w:smallCaps w:val="0"/>
          <w:color w:val="auto"/>
          <w:sz w:val="21"/>
          <w:szCs w:val="21"/>
          <w:highlight w:val="none"/>
          <w:u w:val="single"/>
          <w:lang w:val="en-US" w:eastAsia="zh-CN"/>
        </w:rPr>
        <w:t>该人员</w:t>
      </w:r>
      <w:r>
        <w:rPr>
          <w:rFonts w:hint="eastAsia" w:ascii="宋体" w:hAnsi="宋体" w:eastAsia="宋体" w:cs="宋体"/>
          <w:caps w:val="0"/>
          <w:smallCaps w:val="0"/>
          <w:color w:val="auto"/>
          <w:sz w:val="21"/>
          <w:szCs w:val="21"/>
          <w:highlight w:val="none"/>
          <w:u w:val="single"/>
          <w:lang w:val="en-GB" w:eastAsia="zh-TW"/>
        </w:rPr>
        <w:t>的任何</w:t>
      </w:r>
      <w:r>
        <w:rPr>
          <w:rFonts w:hint="eastAsia" w:ascii="宋体" w:hAnsi="宋体" w:eastAsia="宋体" w:cs="宋体"/>
          <w:caps w:val="0"/>
          <w:smallCaps w:val="0"/>
          <w:color w:val="auto"/>
          <w:sz w:val="21"/>
          <w:szCs w:val="21"/>
          <w:highlight w:val="none"/>
          <w:u w:val="single"/>
          <w:lang w:val="en-GB"/>
        </w:rPr>
        <w:t>行为</w:t>
      </w:r>
      <w:r>
        <w:rPr>
          <w:rFonts w:hint="eastAsia" w:ascii="宋体" w:hAnsi="宋体" w:eastAsia="宋体" w:cs="宋体"/>
          <w:caps w:val="0"/>
          <w:smallCaps w:val="0"/>
          <w:color w:val="auto"/>
          <w:sz w:val="21"/>
          <w:szCs w:val="21"/>
          <w:highlight w:val="none"/>
          <w:u w:val="single"/>
          <w:lang w:val="en-GB" w:eastAsia="zh-TW"/>
        </w:rPr>
        <w:t>、疏忽或不作为</w:t>
      </w:r>
      <w:r>
        <w:rPr>
          <w:rFonts w:hint="eastAsia" w:ascii="宋体" w:hAnsi="宋体" w:eastAsia="宋体" w:cs="宋体"/>
          <w:caps w:val="0"/>
          <w:smallCaps w:val="0"/>
          <w:color w:val="auto"/>
          <w:sz w:val="21"/>
          <w:szCs w:val="21"/>
          <w:highlight w:val="none"/>
          <w:u w:val="single"/>
          <w:lang w:val="en-GB"/>
        </w:rPr>
        <w:t>应视同</w:t>
      </w:r>
      <w:r>
        <w:rPr>
          <w:rFonts w:hint="eastAsia" w:ascii="宋体" w:hAnsi="宋体" w:eastAsia="宋体" w:cs="宋体"/>
          <w:caps w:val="0"/>
          <w:smallCaps w:val="0"/>
          <w:color w:val="auto"/>
          <w:sz w:val="21"/>
          <w:szCs w:val="21"/>
          <w:highlight w:val="none"/>
          <w:u w:val="single"/>
          <w:lang w:val="en-GB" w:eastAsia="zh-CN"/>
        </w:rPr>
        <w:t>卖方</w:t>
      </w:r>
      <w:r>
        <w:rPr>
          <w:rFonts w:hint="eastAsia" w:ascii="宋体" w:hAnsi="宋体" w:eastAsia="宋体" w:cs="宋体"/>
          <w:caps w:val="0"/>
          <w:smallCaps w:val="0"/>
          <w:color w:val="auto"/>
          <w:sz w:val="21"/>
          <w:szCs w:val="21"/>
          <w:highlight w:val="none"/>
          <w:u w:val="single"/>
          <w:lang w:val="en-GB"/>
        </w:rPr>
        <w:t>的行为、疏忽或不作为，</w:t>
      </w:r>
      <w:r>
        <w:rPr>
          <w:rFonts w:hint="eastAsia" w:ascii="宋体" w:hAnsi="宋体" w:eastAsia="宋体" w:cs="宋体"/>
          <w:caps w:val="0"/>
          <w:smallCaps w:val="0"/>
          <w:color w:val="auto"/>
          <w:sz w:val="21"/>
          <w:szCs w:val="21"/>
          <w:highlight w:val="none"/>
          <w:u w:val="single"/>
          <w:lang w:val="en-GB" w:eastAsia="zh-CN"/>
        </w:rPr>
        <w:t>卖方</w:t>
      </w:r>
      <w:r>
        <w:rPr>
          <w:rFonts w:hint="eastAsia" w:ascii="宋体" w:hAnsi="宋体" w:eastAsia="宋体" w:cs="宋体"/>
          <w:caps w:val="0"/>
          <w:smallCaps w:val="0"/>
          <w:color w:val="auto"/>
          <w:sz w:val="21"/>
          <w:szCs w:val="21"/>
          <w:highlight w:val="none"/>
          <w:u w:val="single"/>
          <w:lang w:val="en-GB" w:eastAsia="zh-TW"/>
        </w:rPr>
        <w:t>应对</w:t>
      </w:r>
      <w:r>
        <w:rPr>
          <w:rFonts w:hint="eastAsia" w:ascii="宋体" w:hAnsi="宋体" w:eastAsia="宋体" w:cs="宋体"/>
          <w:caps w:val="0"/>
          <w:smallCaps w:val="0"/>
          <w:color w:val="auto"/>
          <w:sz w:val="21"/>
          <w:szCs w:val="21"/>
          <w:highlight w:val="none"/>
          <w:u w:val="single"/>
          <w:lang w:val="en-GB"/>
        </w:rPr>
        <w:t>此</w:t>
      </w:r>
      <w:r>
        <w:rPr>
          <w:rFonts w:hint="eastAsia" w:ascii="宋体" w:hAnsi="宋体" w:eastAsia="宋体" w:cs="宋体"/>
          <w:caps w:val="0"/>
          <w:smallCaps w:val="0"/>
          <w:color w:val="auto"/>
          <w:sz w:val="21"/>
          <w:szCs w:val="21"/>
          <w:highlight w:val="none"/>
          <w:u w:val="single"/>
          <w:lang w:val="en-GB" w:eastAsia="zh-TW"/>
        </w:rPr>
        <w:t>承担</w:t>
      </w:r>
      <w:r>
        <w:rPr>
          <w:rFonts w:hint="eastAsia" w:ascii="宋体" w:hAnsi="宋体" w:eastAsia="宋体" w:cs="宋体"/>
          <w:caps w:val="0"/>
          <w:smallCaps w:val="0"/>
          <w:color w:val="auto"/>
          <w:sz w:val="21"/>
          <w:szCs w:val="21"/>
          <w:highlight w:val="none"/>
          <w:u w:val="single"/>
          <w:lang w:val="en-GB"/>
        </w:rPr>
        <w:t>全部</w:t>
      </w:r>
      <w:r>
        <w:rPr>
          <w:rFonts w:hint="eastAsia" w:ascii="宋体" w:hAnsi="宋体" w:eastAsia="宋体" w:cs="宋体"/>
          <w:caps w:val="0"/>
          <w:smallCaps w:val="0"/>
          <w:color w:val="auto"/>
          <w:sz w:val="21"/>
          <w:szCs w:val="21"/>
          <w:highlight w:val="none"/>
          <w:u w:val="single"/>
          <w:lang w:val="en-GB" w:eastAsia="zh-TW"/>
        </w:rPr>
        <w:t>责任</w:t>
      </w:r>
      <w:r>
        <w:rPr>
          <w:rFonts w:hint="eastAsia" w:ascii="宋体" w:hAnsi="宋体" w:eastAsia="宋体" w:cs="宋体"/>
          <w:caps w:val="0"/>
          <w:smallCaps w:val="0"/>
          <w:color w:val="auto"/>
          <w:sz w:val="21"/>
          <w:szCs w:val="21"/>
          <w:highlight w:val="none"/>
          <w:u w:val="single"/>
          <w:lang w:val="en-GB"/>
        </w:rPr>
        <w:t>。</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应于指派</w:t>
      </w:r>
      <w:r>
        <w:rPr>
          <w:rFonts w:hint="eastAsia" w:ascii="宋体" w:hAnsi="宋体" w:eastAsia="宋体" w:cs="宋体"/>
          <w:caps w:val="0"/>
          <w:smallCaps w:val="0"/>
          <w:color w:val="auto"/>
          <w:sz w:val="21"/>
          <w:szCs w:val="21"/>
          <w:highlight w:val="none"/>
          <w:u w:val="single"/>
          <w:lang w:val="en-US" w:eastAsia="zh-CN"/>
        </w:rPr>
        <w:t>该人员</w:t>
      </w:r>
      <w:r>
        <w:rPr>
          <w:rFonts w:hint="eastAsia" w:ascii="宋体" w:hAnsi="宋体" w:eastAsia="宋体" w:cs="宋体"/>
          <w:caps w:val="0"/>
          <w:smallCaps w:val="0"/>
          <w:color w:val="auto"/>
          <w:sz w:val="21"/>
          <w:szCs w:val="21"/>
          <w:highlight w:val="none"/>
          <w:u w:val="single"/>
        </w:rPr>
        <w:t>后将</w:t>
      </w:r>
      <w:r>
        <w:rPr>
          <w:rFonts w:hint="eastAsia" w:ascii="宋体" w:hAnsi="宋体" w:eastAsia="宋体" w:cs="宋体"/>
          <w:caps w:val="0"/>
          <w:smallCaps w:val="0"/>
          <w:color w:val="auto"/>
          <w:sz w:val="21"/>
          <w:szCs w:val="21"/>
          <w:highlight w:val="none"/>
          <w:u w:val="single"/>
          <w:lang w:val="en-US" w:eastAsia="zh-CN"/>
        </w:rPr>
        <w:t>其</w:t>
      </w:r>
      <w:r>
        <w:rPr>
          <w:rFonts w:hint="eastAsia" w:ascii="宋体" w:hAnsi="宋体" w:eastAsia="宋体" w:cs="宋体"/>
          <w:caps w:val="0"/>
          <w:smallCaps w:val="0"/>
          <w:color w:val="auto"/>
          <w:sz w:val="21"/>
          <w:szCs w:val="21"/>
          <w:highlight w:val="none"/>
          <w:u w:val="single"/>
        </w:rPr>
        <w:t>简历及联系方式提供给</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w:t>
      </w:r>
    </w:p>
    <w:p w14:paraId="181C7C1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lang w:eastAsia="zh-CN"/>
        </w:rPr>
        <w:t>卖方</w:t>
      </w:r>
      <w:r>
        <w:rPr>
          <w:rFonts w:hint="eastAsia" w:ascii="宋体" w:hAnsi="宋体" w:eastAsia="宋体" w:cs="宋体"/>
          <w:caps w:val="0"/>
          <w:smallCaps w:val="0"/>
          <w:color w:val="auto"/>
          <w:sz w:val="21"/>
          <w:szCs w:val="21"/>
          <w:highlight w:val="none"/>
          <w:u w:val="none"/>
          <w:lang w:val="en-US" w:eastAsia="zh-CN"/>
        </w:rPr>
        <w:t>的技术服务包括但不限于：</w:t>
      </w:r>
      <w:r>
        <w:rPr>
          <w:rFonts w:hint="eastAsia" w:ascii="宋体" w:hAnsi="宋体" w:eastAsia="宋体" w:cs="宋体"/>
          <w:caps w:val="0"/>
          <w:smallCaps w:val="0"/>
          <w:color w:val="auto"/>
          <w:sz w:val="21"/>
          <w:szCs w:val="21"/>
          <w:highlight w:val="none"/>
          <w:u w:val="single"/>
        </w:rPr>
        <w:t>就本合同</w:t>
      </w:r>
      <w:r>
        <w:rPr>
          <w:rFonts w:hint="eastAsia" w:ascii="宋体" w:hAnsi="宋体" w:eastAsia="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u w:val="single"/>
        </w:rPr>
        <w:t>的安装和调试进行技术服务，对预试车、投料试车、考核等给予技术服务指导并对</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现场人员进行培训。</w:t>
      </w:r>
    </w:p>
    <w:p w14:paraId="5BCC833F">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lang w:val="en-US" w:eastAsia="zh-CN"/>
        </w:rPr>
      </w:pPr>
      <w:r>
        <w:rPr>
          <w:rFonts w:hint="eastAsia" w:ascii="宋体" w:hAnsi="宋体" w:eastAsia="宋体" w:cs="宋体"/>
          <w:caps w:val="0"/>
          <w:smallCaps w:val="0"/>
          <w:color w:val="auto"/>
          <w:szCs w:val="21"/>
          <w:highlight w:val="none"/>
          <w:lang w:eastAsia="zh-CN"/>
        </w:rPr>
        <w:t>买方</w:t>
      </w:r>
      <w:r>
        <w:rPr>
          <w:rFonts w:hint="eastAsia" w:ascii="宋体" w:hAnsi="宋体" w:eastAsia="宋体" w:cs="宋体"/>
          <w:caps w:val="0"/>
          <w:smallCaps w:val="0"/>
          <w:color w:val="auto"/>
          <w:szCs w:val="21"/>
          <w:highlight w:val="none"/>
        </w:rPr>
        <w:t>有权要求</w:t>
      </w:r>
      <w:r>
        <w:rPr>
          <w:rFonts w:hint="eastAsia" w:ascii="宋体" w:hAnsi="宋体" w:eastAsia="宋体" w:cs="宋体"/>
          <w:caps w:val="0"/>
          <w:smallCaps w:val="0"/>
          <w:color w:val="auto"/>
          <w:szCs w:val="21"/>
          <w:highlight w:val="none"/>
          <w:lang w:eastAsia="zh-CN"/>
        </w:rPr>
        <w:t>卖方</w:t>
      </w:r>
      <w:r>
        <w:rPr>
          <w:rFonts w:hint="eastAsia" w:ascii="宋体" w:hAnsi="宋体" w:eastAsia="宋体" w:cs="宋体"/>
          <w:caps w:val="0"/>
          <w:smallCaps w:val="0"/>
          <w:color w:val="auto"/>
          <w:szCs w:val="21"/>
          <w:highlight w:val="none"/>
        </w:rPr>
        <w:t>撤换</w:t>
      </w:r>
      <w:r>
        <w:rPr>
          <w:rFonts w:hint="eastAsia" w:ascii="宋体" w:hAnsi="宋体" w:eastAsia="宋体" w:cs="宋体"/>
          <w:caps w:val="0"/>
          <w:smallCaps w:val="0"/>
          <w:color w:val="auto"/>
          <w:szCs w:val="21"/>
          <w:highlight w:val="none"/>
          <w:lang w:val="en-US" w:eastAsia="zh-CN"/>
        </w:rPr>
        <w:t>不合格人员</w:t>
      </w:r>
      <w:r>
        <w:rPr>
          <w:rFonts w:hint="eastAsia" w:ascii="宋体" w:hAnsi="宋体" w:eastAsia="宋体" w:cs="宋体"/>
          <w:caps w:val="0"/>
          <w:smallCaps w:val="0"/>
          <w:color w:val="auto"/>
          <w:szCs w:val="21"/>
          <w:highlight w:val="none"/>
        </w:rPr>
        <w:t>，因撤换而产生的费用应由</w:t>
      </w:r>
      <w:r>
        <w:rPr>
          <w:rFonts w:hint="eastAsia" w:ascii="宋体" w:hAnsi="宋体" w:eastAsia="宋体" w:cs="宋体"/>
          <w:caps w:val="0"/>
          <w:smallCaps w:val="0"/>
          <w:color w:val="auto"/>
          <w:szCs w:val="21"/>
          <w:highlight w:val="none"/>
          <w:lang w:eastAsia="zh-CN"/>
        </w:rPr>
        <w:t>卖方</w:t>
      </w:r>
      <w:r>
        <w:rPr>
          <w:rFonts w:hint="eastAsia" w:ascii="宋体" w:hAnsi="宋体" w:eastAsia="宋体" w:cs="宋体"/>
          <w:caps w:val="0"/>
          <w:smallCaps w:val="0"/>
          <w:color w:val="auto"/>
          <w:szCs w:val="21"/>
          <w:highlight w:val="none"/>
        </w:rPr>
        <w:t>承担</w:t>
      </w:r>
      <w:r>
        <w:rPr>
          <w:rFonts w:hint="eastAsia" w:ascii="宋体" w:hAnsi="宋体" w:eastAsia="宋体" w:cs="宋体"/>
          <w:caps w:val="0"/>
          <w:smallCaps w:val="0"/>
          <w:color w:val="auto"/>
          <w:szCs w:val="21"/>
          <w:highlight w:val="none"/>
          <w:lang w:eastAsia="zh-CN"/>
        </w:rPr>
        <w:t>。</w:t>
      </w:r>
      <w:r>
        <w:rPr>
          <w:rFonts w:hint="eastAsia" w:ascii="宋体" w:hAnsi="宋体" w:eastAsia="宋体" w:cs="宋体"/>
          <w:caps w:val="0"/>
          <w:smallCaps w:val="0"/>
          <w:color w:val="auto"/>
          <w:szCs w:val="21"/>
          <w:highlight w:val="none"/>
          <w:lang w:val="en-US" w:eastAsia="zh-CN"/>
        </w:rPr>
        <w:t>卖方所有负责</w:t>
      </w:r>
      <w:r>
        <w:rPr>
          <w:rFonts w:hint="eastAsia" w:ascii="宋体" w:hAnsi="宋体" w:eastAsia="宋体" w:cs="宋体"/>
          <w:caps w:val="0"/>
          <w:smallCaps w:val="0"/>
          <w:color w:val="auto"/>
          <w:szCs w:val="21"/>
          <w:highlight w:val="none"/>
        </w:rPr>
        <w:t>完成合同设备的安装</w:t>
      </w:r>
      <w:r>
        <w:rPr>
          <w:rFonts w:hint="eastAsia" w:ascii="宋体" w:hAnsi="宋体" w:eastAsia="宋体" w:cs="宋体"/>
          <w:caps w:val="0"/>
          <w:smallCaps w:val="0"/>
          <w:color w:val="auto"/>
          <w:szCs w:val="21"/>
          <w:highlight w:val="none"/>
          <w:lang w:val="en-US" w:eastAsia="zh-CN"/>
        </w:rPr>
        <w:t>和</w:t>
      </w:r>
      <w:r>
        <w:rPr>
          <w:rFonts w:hint="eastAsia" w:ascii="宋体" w:hAnsi="宋体" w:eastAsia="宋体" w:cs="宋体"/>
          <w:caps w:val="0"/>
          <w:smallCaps w:val="0"/>
          <w:color w:val="auto"/>
          <w:szCs w:val="21"/>
          <w:highlight w:val="none"/>
        </w:rPr>
        <w:t>调试</w:t>
      </w:r>
      <w:r>
        <w:rPr>
          <w:rFonts w:hint="eastAsia" w:ascii="宋体" w:hAnsi="宋体" w:eastAsia="宋体" w:cs="宋体"/>
          <w:caps w:val="0"/>
          <w:smallCaps w:val="0"/>
          <w:color w:val="auto"/>
          <w:szCs w:val="21"/>
          <w:highlight w:val="none"/>
          <w:lang w:val="en-US" w:eastAsia="zh-CN"/>
        </w:rPr>
        <w:t>工作人员必须服从卖方的统一管理。</w:t>
      </w:r>
    </w:p>
    <w:p w14:paraId="4F802389">
      <w:pPr>
        <w:pageBreakBefore w:val="0"/>
        <w:tabs>
          <w:tab w:val="left" w:pos="1134"/>
        </w:tabs>
        <w:topLinePunct w:val="0"/>
        <w:bidi w:val="0"/>
        <w:spacing w:line="360" w:lineRule="auto"/>
        <w:ind w:firstLine="420" w:firstLineChars="200"/>
        <w:rPr>
          <w:rFonts w:hint="eastAsia" w:ascii="宋体" w:hAnsi="宋体"/>
          <w:szCs w:val="21"/>
        </w:rPr>
      </w:pPr>
      <w:r>
        <w:rPr>
          <w:rFonts w:hint="eastAsia" w:ascii="宋体" w:hAnsi="宋体" w:eastAsia="宋体" w:cs="宋体"/>
          <w:caps w:val="0"/>
          <w:smallCaps w:val="0"/>
          <w:color w:val="auto"/>
          <w:kern w:val="0"/>
          <w:sz w:val="21"/>
          <w:szCs w:val="21"/>
          <w:highlight w:val="none"/>
          <w:lang w:val="en-US" w:eastAsia="zh-CN"/>
        </w:rPr>
        <w:t>7.</w:t>
      </w:r>
      <w:r>
        <w:rPr>
          <w:rFonts w:hint="eastAsia" w:ascii="宋体" w:hAnsi="宋体" w:cs="宋体"/>
          <w:caps w:val="0"/>
          <w:smallCaps w:val="0"/>
          <w:color w:val="auto"/>
          <w:kern w:val="0"/>
          <w:sz w:val="21"/>
          <w:szCs w:val="21"/>
          <w:highlight w:val="none"/>
          <w:lang w:val="en-US" w:eastAsia="zh-CN"/>
        </w:rPr>
        <w:t>6</w:t>
      </w:r>
      <w:r>
        <w:rPr>
          <w:rFonts w:hint="eastAsia" w:ascii="宋体" w:hAnsi="宋体" w:eastAsia="宋体" w:cs="宋体"/>
          <w:caps w:val="0"/>
          <w:smallCaps w:val="0"/>
          <w:color w:val="auto"/>
          <w:kern w:val="0"/>
          <w:sz w:val="21"/>
          <w:szCs w:val="21"/>
          <w:highlight w:val="none"/>
          <w:lang w:val="en-US" w:eastAsia="zh-CN"/>
        </w:rPr>
        <w:t xml:space="preserve"> 由于卖方原因导致技术服务</w:t>
      </w:r>
      <w:r>
        <w:rPr>
          <w:rFonts w:hint="eastAsia" w:ascii="宋体" w:hAnsi="宋体" w:eastAsia="宋体" w:cs="宋体"/>
          <w:caps w:val="0"/>
          <w:smallCaps w:val="0"/>
          <w:color w:val="auto"/>
          <w:sz w:val="21"/>
          <w:szCs w:val="21"/>
          <w:highlight w:val="none"/>
          <w:u w:val="none"/>
        </w:rPr>
        <w:t>超过</w:t>
      </w:r>
      <w:r>
        <w:rPr>
          <w:rFonts w:hint="eastAsia" w:ascii="宋体" w:hAnsi="宋体" w:eastAsia="宋体" w:cs="宋体"/>
          <w:caps w:val="0"/>
          <w:smallCaps w:val="0"/>
          <w:color w:val="auto"/>
          <w:sz w:val="21"/>
          <w:szCs w:val="21"/>
          <w:highlight w:val="none"/>
          <w:u w:val="none"/>
          <w:lang w:val="en-US" w:eastAsia="zh-CN"/>
        </w:rPr>
        <w:t>约定服务期</w:t>
      </w:r>
      <w:r>
        <w:rPr>
          <w:rFonts w:hint="eastAsia" w:ascii="宋体" w:hAnsi="宋体" w:eastAsia="宋体" w:cs="宋体"/>
          <w:caps w:val="0"/>
          <w:smallCaps w:val="0"/>
          <w:color w:val="auto"/>
          <w:sz w:val="21"/>
          <w:szCs w:val="21"/>
          <w:highlight w:val="none"/>
          <w:u w:val="none"/>
        </w:rPr>
        <w:t>的，</w:t>
      </w:r>
      <w:r>
        <w:rPr>
          <w:rFonts w:hint="eastAsia" w:ascii="宋体" w:hAnsi="宋体" w:eastAsia="宋体" w:cs="宋体"/>
          <w:caps w:val="0"/>
          <w:smallCaps w:val="0"/>
          <w:color w:val="auto"/>
          <w:sz w:val="21"/>
          <w:szCs w:val="21"/>
          <w:highlight w:val="none"/>
          <w:u w:val="none"/>
          <w:lang w:eastAsia="zh-CN"/>
        </w:rPr>
        <w:t>卖方</w:t>
      </w:r>
      <w:r>
        <w:rPr>
          <w:rFonts w:hint="eastAsia" w:ascii="宋体" w:hAnsi="宋体" w:eastAsia="宋体" w:cs="宋体"/>
          <w:caps w:val="0"/>
          <w:smallCaps w:val="0"/>
          <w:color w:val="auto"/>
          <w:sz w:val="21"/>
          <w:szCs w:val="21"/>
          <w:highlight w:val="none"/>
          <w:u w:val="none"/>
        </w:rPr>
        <w:t>应对未完工作</w:t>
      </w:r>
      <w:r>
        <w:rPr>
          <w:rFonts w:hint="eastAsia" w:ascii="宋体" w:hAnsi="宋体" w:eastAsia="宋体" w:cs="宋体"/>
          <w:caps w:val="0"/>
          <w:smallCaps w:val="0"/>
          <w:color w:val="auto"/>
          <w:sz w:val="21"/>
          <w:szCs w:val="21"/>
          <w:highlight w:val="none"/>
          <w:u w:val="none"/>
          <w:lang w:val="en-US" w:eastAsia="zh-CN"/>
        </w:rPr>
        <w:t>继续</w:t>
      </w:r>
      <w:r>
        <w:rPr>
          <w:rFonts w:hint="eastAsia" w:ascii="宋体" w:hAnsi="宋体" w:eastAsia="宋体" w:cs="宋体"/>
          <w:caps w:val="0"/>
          <w:smallCaps w:val="0"/>
          <w:color w:val="auto"/>
          <w:sz w:val="21"/>
          <w:szCs w:val="21"/>
          <w:highlight w:val="none"/>
          <w:u w:val="none"/>
        </w:rPr>
        <w:t>服务直至完成全部服务工作</w:t>
      </w:r>
      <w:r>
        <w:rPr>
          <w:rFonts w:hint="eastAsia" w:ascii="宋体" w:hAnsi="宋体" w:eastAsia="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highlight w:val="none"/>
          <w:u w:val="none"/>
          <w:lang w:val="en-US" w:eastAsia="zh-CN"/>
        </w:rPr>
        <w:t>不得收取额外费用</w:t>
      </w:r>
      <w:r>
        <w:rPr>
          <w:rFonts w:hint="eastAsia" w:ascii="宋体" w:hAnsi="宋体" w:eastAsia="宋体" w:cs="宋体"/>
          <w:caps w:val="0"/>
          <w:smallCaps w:val="0"/>
          <w:color w:val="auto"/>
          <w:sz w:val="21"/>
          <w:szCs w:val="21"/>
          <w:highlight w:val="none"/>
          <w:u w:val="none"/>
        </w:rPr>
        <w:t>。</w:t>
      </w:r>
    </w:p>
    <w:p w14:paraId="59D1B748">
      <w:pPr>
        <w:pStyle w:val="97"/>
        <w:keepNext w:val="0"/>
        <w:keepLines w:val="0"/>
        <w:tabs>
          <w:tab w:val="left" w:pos="567"/>
        </w:tabs>
        <w:spacing w:before="156" w:after="156"/>
        <w:rPr>
          <w:rFonts w:eastAsia="宋体" w:cs="Times New Roman"/>
          <w:b/>
          <w:bCs/>
          <w:sz w:val="32"/>
          <w:szCs w:val="32"/>
        </w:rPr>
      </w:pPr>
      <w:bookmarkStart w:id="827" w:name="_Toc20382"/>
      <w:r>
        <w:rPr>
          <w:rFonts w:hint="eastAsia" w:eastAsia="宋体" w:cs="Times New Roman"/>
          <w:b/>
          <w:bCs/>
          <w:sz w:val="32"/>
          <w:szCs w:val="32"/>
        </w:rPr>
        <w:t>8. 质量保证期</w:t>
      </w:r>
      <w:bookmarkEnd w:id="819"/>
      <w:bookmarkEnd w:id="821"/>
      <w:bookmarkEnd w:id="822"/>
      <w:bookmarkEnd w:id="823"/>
      <w:bookmarkEnd w:id="824"/>
      <w:bookmarkEnd w:id="825"/>
      <w:bookmarkEnd w:id="826"/>
      <w:bookmarkEnd w:id="827"/>
    </w:p>
    <w:p w14:paraId="5C613450">
      <w:pPr>
        <w:tabs>
          <w:tab w:val="left" w:pos="1134"/>
        </w:tabs>
        <w:spacing w:line="360" w:lineRule="auto"/>
        <w:ind w:firstLine="420" w:firstLineChars="200"/>
        <w:rPr>
          <w:rFonts w:ascii="宋体" w:hAnsi="宋体"/>
          <w:szCs w:val="21"/>
          <w:u w:val="single"/>
        </w:rPr>
      </w:pPr>
      <w:r>
        <w:rPr>
          <w:rFonts w:hint="eastAsia" w:ascii="宋体" w:hAnsi="宋体"/>
          <w:szCs w:val="21"/>
        </w:rPr>
        <w:t>8</w:t>
      </w:r>
      <w:r>
        <w:rPr>
          <w:rFonts w:ascii="宋体" w:hAnsi="宋体"/>
          <w:szCs w:val="21"/>
        </w:rPr>
        <w:t xml:space="preserve">.1 </w:t>
      </w:r>
      <w:r>
        <w:rPr>
          <w:rFonts w:hint="eastAsia" w:ascii="宋体" w:hAnsi="宋体"/>
          <w:szCs w:val="21"/>
        </w:rPr>
        <w:t>合同设备整体质量保证期</w:t>
      </w:r>
      <w:r>
        <w:rPr>
          <w:rFonts w:hint="eastAsia" w:ascii="宋体" w:hAnsi="宋体"/>
        </w:rPr>
        <w:t>为</w:t>
      </w:r>
      <w:r>
        <w:rPr>
          <w:rFonts w:hint="eastAsia" w:ascii="宋体" w:hAnsi="宋体"/>
          <w:u w:val="single"/>
        </w:rPr>
        <w:t>验收合格之日起</w:t>
      </w:r>
      <w:r>
        <w:rPr>
          <w:rFonts w:hint="eastAsia"/>
          <w:u w:val="single"/>
          <w:lang w:val="en-US" w:eastAsia="zh-CN"/>
        </w:rPr>
        <w:t xml:space="preserve">  </w:t>
      </w:r>
      <w:r>
        <w:rPr>
          <w:rFonts w:hint="eastAsia" w:ascii="宋体" w:hAnsi="宋体"/>
          <w:u w:val="single"/>
        </w:rPr>
        <w:t>个月</w:t>
      </w:r>
      <w:r>
        <w:rPr>
          <w:rFonts w:hint="eastAsia" w:ascii="宋体" w:hAnsi="宋体"/>
        </w:rPr>
        <w:t>。</w:t>
      </w:r>
    </w:p>
    <w:p w14:paraId="714C997C">
      <w:pPr>
        <w:tabs>
          <w:tab w:val="left" w:pos="1134"/>
        </w:tabs>
        <w:spacing w:line="360" w:lineRule="auto"/>
        <w:ind w:firstLine="420" w:firstLineChars="200"/>
        <w:rPr>
          <w:rFonts w:ascii="宋体" w:hAnsi="宋体"/>
          <w:szCs w:val="21"/>
          <w:u w:val="single"/>
        </w:rPr>
      </w:pPr>
      <w:r>
        <w:rPr>
          <w:rFonts w:hint="eastAsia" w:ascii="宋体" w:hAnsi="宋体"/>
          <w:szCs w:val="21"/>
        </w:rPr>
        <w:t>合同设备中关键部件的质量保证期的特殊要求：</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7CE0B6DC">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买方向卖方出具合同设备的质量保证期届满证书时间的约定：</w:t>
      </w:r>
      <w:r>
        <w:rPr>
          <w:rFonts w:hint="eastAsia" w:ascii="宋体" w:hAnsi="宋体"/>
          <w:szCs w:val="21"/>
          <w:u w:val="single"/>
        </w:rPr>
        <w:t>在</w:t>
      </w:r>
      <w:r>
        <w:rPr>
          <w:rFonts w:hint="eastAsia" w:ascii="宋体" w:hAnsi="宋体"/>
          <w:u w:val="single"/>
        </w:rPr>
        <w:t>质量保证期届满后</w:t>
      </w:r>
      <w:r>
        <w:rPr>
          <w:rFonts w:hint="eastAsia" w:ascii="宋体" w:hAnsi="宋体"/>
          <w:u w:val="single"/>
          <w:lang w:val="en-US" w:eastAsia="zh-CN"/>
        </w:rPr>
        <w:t>7</w:t>
      </w:r>
      <w:r>
        <w:rPr>
          <w:rFonts w:hint="eastAsia" w:ascii="宋体" w:hAnsi="宋体"/>
          <w:u w:val="single"/>
        </w:rPr>
        <w:t>日内</w:t>
      </w:r>
      <w:r>
        <w:rPr>
          <w:rFonts w:hint="eastAsia" w:ascii="宋体" w:hAnsi="宋体"/>
        </w:rPr>
        <w:t>。</w:t>
      </w:r>
    </w:p>
    <w:p w14:paraId="06DD5DBC">
      <w:pPr>
        <w:tabs>
          <w:tab w:val="left" w:pos="1134"/>
        </w:tabs>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4</w:t>
      </w:r>
      <w:r>
        <w:rPr>
          <w:rFonts w:ascii="宋体" w:hAnsi="宋体"/>
          <w:szCs w:val="21"/>
        </w:rPr>
        <w:t xml:space="preserve"> </w:t>
      </w:r>
      <w:r>
        <w:rPr>
          <w:rFonts w:hint="eastAsia" w:ascii="宋体" w:hAnsi="宋体"/>
        </w:rPr>
        <w:t>在通用合同条款第</w:t>
      </w:r>
      <w:r>
        <w:t>6.4.2</w:t>
      </w:r>
      <w:r>
        <w:rPr>
          <w:rFonts w:hint="eastAsia" w:ascii="宋体" w:hAnsi="宋体"/>
        </w:rPr>
        <w:t>项情形下，如在验收款支付函签署后</w:t>
      </w:r>
      <w:r>
        <w:t>12</w:t>
      </w:r>
      <w:r>
        <w:rPr>
          <w:rFonts w:hint="eastAsia" w:ascii="宋体" w:hAnsi="宋体"/>
        </w:rPr>
        <w:t>个月内由于买方原因合同设备仍未能达到技术性能考核指标，则买卖双方应在</w:t>
      </w:r>
      <w:r>
        <w:rPr>
          <w:rFonts w:hint="eastAsia" w:ascii="宋体" w:hAnsi="宋体"/>
          <w:u w:val="single"/>
        </w:rPr>
        <w:t xml:space="preserve"> </w:t>
      </w:r>
      <w:r>
        <w:rPr>
          <w:rFonts w:hint="eastAsia" w:ascii="宋体" w:hAnsi="宋体"/>
          <w:u w:val="single"/>
          <w:lang w:val="en-US" w:eastAsia="zh-CN"/>
        </w:rPr>
        <w:t>30</w:t>
      </w:r>
      <w:r>
        <w:rPr>
          <w:rFonts w:hint="eastAsia" w:ascii="宋体" w:hAnsi="宋体"/>
          <w:u w:val="single"/>
        </w:rPr>
        <w:t xml:space="preserve">  </w:t>
      </w:r>
      <w:r>
        <w:rPr>
          <w:rFonts w:hint="eastAsia" w:ascii="宋体" w:hAnsi="宋体"/>
        </w:rPr>
        <w:t>日内签署结清款支付函。</w:t>
      </w:r>
    </w:p>
    <w:p w14:paraId="7B9FE32C">
      <w:pPr>
        <w:tabs>
          <w:tab w:val="left" w:pos="1134"/>
        </w:tabs>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5</w:t>
      </w:r>
      <w:r>
        <w:rPr>
          <w:rFonts w:ascii="宋体" w:hAnsi="宋体"/>
          <w:szCs w:val="21"/>
        </w:rPr>
        <w:t xml:space="preserve"> </w:t>
      </w:r>
      <w:r>
        <w:rPr>
          <w:rFonts w:hint="eastAsia" w:ascii="宋体" w:hAnsi="宋体"/>
        </w:rPr>
        <w:t>在通用合同条款第</w:t>
      </w:r>
      <w:r>
        <w:t>6.4.3</w:t>
      </w:r>
      <w:r>
        <w:rPr>
          <w:rFonts w:hint="eastAsia" w:ascii="宋体" w:hAnsi="宋体"/>
        </w:rPr>
        <w:t>项情形下，如在验收款支付函签署后</w:t>
      </w:r>
      <w:r>
        <w:t>6</w:t>
      </w:r>
      <w:r>
        <w:rPr>
          <w:rFonts w:hint="eastAsia" w:ascii="宋体" w:hAnsi="宋体"/>
        </w:rPr>
        <w:t>个月内由于买方原因合同设备仍未进行考核或仍未达到技术性能考核指标，则买卖双方应在</w:t>
      </w:r>
      <w:r>
        <w:rPr>
          <w:rFonts w:hint="eastAsia" w:ascii="宋体" w:hAnsi="宋体"/>
          <w:u w:val="single"/>
        </w:rPr>
        <w:t xml:space="preserve"> </w:t>
      </w:r>
      <w:r>
        <w:rPr>
          <w:rFonts w:hint="eastAsia" w:ascii="宋体" w:hAnsi="宋体"/>
          <w:u w:val="single"/>
          <w:lang w:val="en-US" w:eastAsia="zh-CN"/>
        </w:rPr>
        <w:t>30</w:t>
      </w:r>
      <w:r>
        <w:rPr>
          <w:rFonts w:hint="eastAsia" w:ascii="宋体" w:hAnsi="宋体"/>
          <w:u w:val="single"/>
        </w:rPr>
        <w:t xml:space="preserve">  </w:t>
      </w:r>
      <w:r>
        <w:rPr>
          <w:rFonts w:hint="eastAsia" w:ascii="宋体" w:hAnsi="宋体"/>
        </w:rPr>
        <w:t>日内签署结清款支付函。</w:t>
      </w:r>
    </w:p>
    <w:p w14:paraId="450BDEA5">
      <w:pPr>
        <w:pStyle w:val="97"/>
        <w:keepNext w:val="0"/>
        <w:keepLines w:val="0"/>
        <w:tabs>
          <w:tab w:val="left" w:pos="567"/>
        </w:tabs>
        <w:spacing w:before="156" w:after="156"/>
        <w:rPr>
          <w:rFonts w:eastAsia="宋体" w:cs="Times New Roman"/>
          <w:b/>
          <w:bCs/>
          <w:sz w:val="32"/>
          <w:szCs w:val="32"/>
        </w:rPr>
      </w:pPr>
      <w:bookmarkStart w:id="828" w:name="_Toc15068"/>
      <w:bookmarkStart w:id="829" w:name="_Toc6749"/>
      <w:bookmarkStart w:id="830" w:name="_Toc9072"/>
      <w:bookmarkStart w:id="831" w:name="_Toc32645"/>
      <w:bookmarkStart w:id="832" w:name="_Toc20907"/>
      <w:bookmarkStart w:id="833" w:name="_Toc15063"/>
      <w:r>
        <w:rPr>
          <w:rFonts w:hint="eastAsia" w:eastAsia="宋体" w:cs="Times New Roman"/>
          <w:b/>
          <w:bCs/>
          <w:sz w:val="32"/>
          <w:szCs w:val="32"/>
        </w:rPr>
        <w:t xml:space="preserve">9. </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828"/>
      <w:bookmarkEnd w:id="829"/>
      <w:bookmarkEnd w:id="830"/>
      <w:bookmarkEnd w:id="831"/>
      <w:bookmarkEnd w:id="832"/>
      <w:bookmarkEnd w:id="833"/>
    </w:p>
    <w:p w14:paraId="7971F163">
      <w:pPr>
        <w:tabs>
          <w:tab w:val="left" w:pos="1134"/>
        </w:tabs>
        <w:spacing w:line="360" w:lineRule="auto"/>
        <w:ind w:firstLine="420" w:firstLineChars="200"/>
        <w:rPr>
          <w:rFonts w:ascii="宋体" w:hAnsi="宋体"/>
          <w:szCs w:val="21"/>
        </w:rPr>
      </w:pPr>
      <w:r>
        <w:rPr>
          <w:rFonts w:hint="eastAsia" w:ascii="宋体" w:hAnsi="宋体"/>
          <w:szCs w:val="21"/>
        </w:rPr>
        <w:t>9</w:t>
      </w:r>
      <w:r>
        <w:rPr>
          <w:rFonts w:ascii="宋体" w:hAnsi="宋体"/>
          <w:szCs w:val="21"/>
        </w:rPr>
        <w:t xml:space="preserve">.1 </w:t>
      </w:r>
      <w:r>
        <w:rPr>
          <w:rFonts w:hint="eastAsia" w:ascii="宋体" w:hAnsi="宋体"/>
          <w:szCs w:val="21"/>
          <w:lang w:eastAsia="zh-CN"/>
        </w:rPr>
        <w:t>质量保证期</w:t>
      </w:r>
      <w:r>
        <w:rPr>
          <w:rFonts w:hint="eastAsia" w:ascii="宋体" w:hAnsi="宋体"/>
          <w:szCs w:val="21"/>
        </w:rPr>
        <w:t>服务响应的约定：</w:t>
      </w:r>
    </w:p>
    <w:p w14:paraId="1997C881">
      <w:pPr>
        <w:tabs>
          <w:tab w:val="left" w:pos="1134"/>
        </w:tabs>
        <w:spacing w:line="360" w:lineRule="auto"/>
        <w:ind w:firstLine="420" w:firstLineChars="200"/>
        <w:rPr>
          <w:rFonts w:ascii="宋体" w:hAnsi="宋体"/>
          <w:szCs w:val="21"/>
          <w:u w:val="single"/>
        </w:rPr>
      </w:pPr>
      <w:r>
        <w:rPr>
          <w:rFonts w:hint="eastAsia" w:ascii="宋体" w:hAnsi="宋体"/>
          <w:szCs w:val="21"/>
        </w:rPr>
        <w:t>（1）卖方应在收到买方通知后</w:t>
      </w:r>
      <w:r>
        <w:rPr>
          <w:rFonts w:hint="eastAsia" w:ascii="宋体" w:hAnsi="宋体"/>
          <w:szCs w:val="21"/>
          <w:u w:val="single"/>
        </w:rPr>
        <w:t xml:space="preserve"> </w:t>
      </w:r>
      <w:r>
        <w:rPr>
          <w:rFonts w:hint="eastAsia" w:ascii="宋体" w:hAnsi="宋体"/>
          <w:szCs w:val="21"/>
          <w:u w:val="single"/>
          <w:lang w:val="en-US" w:eastAsia="zh-CN"/>
        </w:rPr>
        <w:t>2</w:t>
      </w:r>
      <w:r>
        <w:rPr>
          <w:rFonts w:hint="eastAsia" w:ascii="宋体" w:hAnsi="宋体"/>
          <w:szCs w:val="21"/>
          <w:u w:val="single"/>
        </w:rPr>
        <w:t xml:space="preserve"> </w:t>
      </w:r>
      <w:r>
        <w:rPr>
          <w:rFonts w:hint="eastAsia" w:ascii="宋体" w:hAnsi="宋体"/>
          <w:szCs w:val="21"/>
        </w:rPr>
        <w:t>小时内做出响应；</w:t>
      </w:r>
    </w:p>
    <w:p w14:paraId="668B790B">
      <w:pPr>
        <w:tabs>
          <w:tab w:val="left" w:pos="1134"/>
        </w:tabs>
        <w:spacing w:line="360" w:lineRule="auto"/>
        <w:ind w:firstLine="420" w:firstLineChars="200"/>
        <w:rPr>
          <w:rFonts w:ascii="宋体" w:hAnsi="宋体"/>
          <w:szCs w:val="21"/>
          <w:u w:val="single"/>
        </w:rPr>
      </w:pPr>
      <w:r>
        <w:rPr>
          <w:rFonts w:hint="eastAsia" w:ascii="宋体" w:hAnsi="宋体"/>
          <w:szCs w:val="21"/>
        </w:rPr>
        <w:t>（2）卖方应在收到买方通知后</w:t>
      </w:r>
      <w:r>
        <w:rPr>
          <w:rFonts w:hint="eastAsia" w:ascii="宋体" w:hAnsi="宋体"/>
          <w:szCs w:val="21"/>
          <w:u w:val="single"/>
        </w:rPr>
        <w:t xml:space="preserve"> </w:t>
      </w:r>
      <w:r>
        <w:rPr>
          <w:rFonts w:hint="eastAsia" w:ascii="宋体" w:hAnsi="宋体"/>
          <w:szCs w:val="21"/>
          <w:u w:val="single"/>
          <w:lang w:val="en-US" w:eastAsia="zh-CN"/>
        </w:rPr>
        <w:t>24</w:t>
      </w:r>
      <w:r>
        <w:rPr>
          <w:rFonts w:hint="eastAsia" w:ascii="宋体" w:hAnsi="宋体"/>
          <w:szCs w:val="21"/>
          <w:u w:val="single"/>
        </w:rPr>
        <w:t xml:space="preserve"> </w:t>
      </w:r>
      <w:r>
        <w:rPr>
          <w:rFonts w:hint="eastAsia" w:ascii="宋体" w:hAnsi="宋体"/>
          <w:szCs w:val="21"/>
        </w:rPr>
        <w:t>小时内到达合同设备现场；</w:t>
      </w:r>
    </w:p>
    <w:p w14:paraId="1FCFE938">
      <w:pPr>
        <w:pageBreakBefore w:val="0"/>
        <w:tabs>
          <w:tab w:val="left" w:pos="1134"/>
        </w:tabs>
        <w:kinsoku/>
        <w:overflowPunct/>
        <w:topLinePunct w:val="0"/>
        <w:bidi w:val="0"/>
        <w:spacing w:line="360" w:lineRule="auto"/>
        <w:ind w:firstLine="420" w:firstLineChars="200"/>
        <w:rPr>
          <w:rFonts w:hint="eastAsia" w:ascii="宋体" w:hAnsi="宋体"/>
          <w:szCs w:val="21"/>
        </w:rPr>
      </w:pPr>
      <w:r>
        <w:rPr>
          <w:rFonts w:hint="eastAsia" w:ascii="宋体" w:hAnsi="宋体"/>
          <w:szCs w:val="21"/>
        </w:rPr>
        <w:t>（3）卖方应在到达现场后</w:t>
      </w:r>
      <w:r>
        <w:rPr>
          <w:rFonts w:hint="eastAsia" w:ascii="宋体" w:hAnsi="宋体"/>
          <w:szCs w:val="21"/>
          <w:u w:val="single"/>
        </w:rPr>
        <w:t xml:space="preserve"> </w:t>
      </w:r>
      <w:r>
        <w:rPr>
          <w:rFonts w:hint="eastAsia" w:ascii="宋体" w:hAnsi="宋体"/>
          <w:szCs w:val="21"/>
          <w:u w:val="single"/>
          <w:lang w:val="en-US" w:eastAsia="zh-CN"/>
        </w:rPr>
        <w:t>1</w:t>
      </w:r>
      <w:r>
        <w:rPr>
          <w:rFonts w:hint="eastAsia" w:ascii="宋体" w:hAnsi="宋体"/>
          <w:szCs w:val="21"/>
          <w:u w:val="single"/>
        </w:rPr>
        <w:t xml:space="preserve"> </w:t>
      </w:r>
      <w:r>
        <w:rPr>
          <w:rFonts w:hint="eastAsia" w:ascii="宋体" w:hAnsi="宋体"/>
          <w:szCs w:val="21"/>
        </w:rPr>
        <w:t>日内解决合同设备的故障（重大故障除外）；</w:t>
      </w:r>
    </w:p>
    <w:p w14:paraId="4B9991B1">
      <w:pPr>
        <w:pageBreakBefore w:val="0"/>
        <w:tabs>
          <w:tab w:val="left" w:pos="1134"/>
        </w:tabs>
        <w:kinsoku/>
        <w:overflowPunct/>
        <w:topLinePunct w:val="0"/>
        <w:bidi w:val="0"/>
        <w:spacing w:line="360" w:lineRule="auto"/>
        <w:ind w:firstLine="420" w:firstLineChars="200"/>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若</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卖方未在规定时限内响应或到场的，每延迟</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1</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日</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支付</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5</w:t>
      </w:r>
      <w:r>
        <w:rPr>
          <w:rFonts w:hint="eastAsia" w:ascii="宋体" w:hAnsi="宋体" w:cs="宋体"/>
          <w:caps w:val="0"/>
          <w:smallCaps w:val="0"/>
          <w:color w:val="000000" w:themeColor="text1"/>
          <w:sz w:val="21"/>
          <w:szCs w:val="21"/>
          <w:highlight w:val="none"/>
          <w:u w:val="single"/>
          <w:lang w:eastAsia="zh-CN"/>
          <w14:textFill>
            <w14:solidFill>
              <w14:schemeClr w14:val="tx1"/>
            </w14:solidFill>
          </w14:textFill>
        </w:rPr>
        <w:t>000</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元违约金。</w:t>
      </w:r>
    </w:p>
    <w:p w14:paraId="4C469006">
      <w:pPr>
        <w:tabs>
          <w:tab w:val="left" w:pos="1134"/>
        </w:tabs>
        <w:spacing w:line="360" w:lineRule="auto"/>
        <w:ind w:firstLine="420" w:firstLineChars="200"/>
        <w:rPr>
          <w:rFonts w:hint="eastAsia" w:ascii="宋体" w:hAnsi="宋体" w:cs="宋体"/>
          <w:szCs w:val="21"/>
          <w:u w:val="none"/>
        </w:rPr>
      </w:pPr>
      <w:r>
        <w:rPr>
          <w:rFonts w:hint="eastAsia" w:ascii="宋体" w:hAnsi="宋体"/>
          <w:u w:val="none"/>
        </w:rPr>
        <w:t>如果卖方未在上述时间内作出响应，则买方有权自行或委托第三方解决相关问题或查找和解决合同设备的故障，卖方应承担由此发生的全部费用，</w:t>
      </w:r>
      <w:r>
        <w:rPr>
          <w:rFonts w:hint="eastAsia" w:ascii="宋体" w:hAnsi="宋体" w:cs="宋体"/>
          <w:szCs w:val="21"/>
          <w:u w:val="none"/>
        </w:rPr>
        <w:t>包括但不限于向委托的第三方支付的费用、设备费用、材料费用、零部件费用等，买方可直接扣减质保金或要求卖方退还部分合同价款。</w:t>
      </w:r>
    </w:p>
    <w:p w14:paraId="714D493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w:t>
      </w:r>
      <w:r>
        <w:rPr>
          <w:rFonts w:hint="eastAsia" w:ascii="宋体" w:hAnsi="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val="en-US" w:eastAsia="zh-CN"/>
        </w:rPr>
        <w:t>）如卖方技术人员需到合同设备现场进行质保期服务，则买方应免费为卖方技术人员提供工作条件及便利，包括但不限于必要的办公场所、技术资料及出入许可等。卖方技术人员应遵守买方施工现场的各项规章制度和安全操作规程，并服从买方的现场管理。</w:t>
      </w:r>
    </w:p>
    <w:p w14:paraId="75D8D3A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w:t>
      </w:r>
      <w:r>
        <w:rPr>
          <w:rFonts w:hint="eastAsia" w:ascii="宋体" w:hAnsi="宋体" w:cs="宋体"/>
          <w:caps w:val="0"/>
          <w:smallCaps w:val="0"/>
          <w:color w:val="000000"/>
          <w:szCs w:val="21"/>
          <w:highlight w:val="none"/>
          <w:lang w:val="en-US" w:eastAsia="zh-CN"/>
        </w:rPr>
        <w:t>5</w:t>
      </w:r>
      <w:r>
        <w:rPr>
          <w:rFonts w:hint="eastAsia" w:ascii="宋体" w:hAnsi="宋体" w:eastAsia="宋体" w:cs="宋体"/>
          <w:caps w:val="0"/>
          <w:smallCaps w:val="0"/>
          <w:color w:val="000000"/>
          <w:szCs w:val="21"/>
          <w:highlight w:val="none"/>
          <w:lang w:val="en-US" w:eastAsia="zh-CN"/>
        </w:rPr>
        <w:t>）在质量保证期内如果设备出现故障，卖方应负费用提供质保期服务，对相关合同设备进行修理或更换以消除故障。更换的设备和（或）关键部件的质量保证期应重新计算。如果合同设备的故障是由于买方原因造成的，则对设备进行修理和更换的硬件费用由买方承担，卖方免费提供技术服务。</w:t>
      </w:r>
    </w:p>
    <w:p w14:paraId="79BDAE09">
      <w:pPr>
        <w:pStyle w:val="7"/>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质量保证期内，若同一故障重复发生三次，卖方须免费更换故障设备部件并延长该部件质保期6个月。</w:t>
      </w:r>
    </w:p>
    <w:p w14:paraId="106CD009">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w:t>
      </w:r>
      <w:r>
        <w:rPr>
          <w:rFonts w:hint="eastAsia" w:ascii="宋体" w:hAnsi="宋体" w:cs="宋体"/>
          <w:caps w:val="0"/>
          <w:smallCaps w:val="0"/>
          <w:color w:val="000000" w:themeColor="text1"/>
          <w:szCs w:val="21"/>
          <w:highlight w:val="none"/>
          <w:lang w:val="en-US" w:eastAsia="zh-CN"/>
          <w14:textFill>
            <w14:solidFill>
              <w14:schemeClr w14:val="tx1"/>
            </w14:solidFill>
          </w14:textFill>
        </w:rPr>
        <w:t>6</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）验收完成后，根据买方时间要求，卖方提供</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累</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计不低于</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2个月</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的陪产服务</w:t>
      </w:r>
      <w:r>
        <w:rPr>
          <w:rFonts w:hint="eastAsia" w:ascii="宋体" w:hAnsi="宋体" w:cs="宋体"/>
          <w:caps w:val="0"/>
          <w:smallCaps w:val="0"/>
          <w:color w:val="000000" w:themeColor="text1"/>
          <w:szCs w:val="21"/>
          <w:highlight w:val="none"/>
          <w:lang w:val="en-US" w:eastAsia="zh-CN"/>
          <w14:textFill>
            <w14:solidFill>
              <w14:schemeClr w14:val="tx1"/>
            </w14:solidFill>
          </w14:textFill>
        </w:rPr>
        <w:t>，单次陪产时间不低于</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半个月</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w:t>
      </w:r>
      <w:r>
        <w:rPr>
          <w:rFonts w:hint="eastAsia" w:ascii="宋体" w:hAnsi="宋体" w:cs="宋体"/>
          <w:caps w:val="0"/>
          <w:smallCaps w:val="0"/>
          <w:color w:val="000000" w:themeColor="text1"/>
          <w:szCs w:val="21"/>
          <w:highlight w:val="none"/>
          <w:lang w:val="en-US" w:eastAsia="zh-CN"/>
          <w14:textFill>
            <w14:solidFill>
              <w14:schemeClr w14:val="tx1"/>
            </w14:solidFill>
          </w14:textFill>
        </w:rPr>
        <w:t>具体陪产时间以买方通知为准，</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陪产人员按买方生产需求不低于</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 xml:space="preserve"> 1 </w:t>
      </w:r>
      <w:r>
        <w:rPr>
          <w:rFonts w:hint="eastAsia" w:ascii="宋体" w:hAnsi="宋体" w:eastAsia="宋体" w:cs="宋体"/>
          <w:caps w:val="0"/>
          <w:smallCaps w:val="0"/>
          <w:color w:val="000000" w:themeColor="text1"/>
          <w:szCs w:val="21"/>
          <w:highlight w:val="none"/>
          <w:u w:val="none"/>
          <w:lang w:val="en-US" w:eastAsia="zh-CN"/>
          <w14:textFill>
            <w14:solidFill>
              <w14:schemeClr w14:val="tx1"/>
            </w14:solidFill>
          </w14:textFill>
        </w:rPr>
        <w:t>人</w:t>
      </w:r>
      <w:r>
        <w:rPr>
          <w:rFonts w:hint="eastAsia" w:ascii="宋体" w:hAnsi="宋体" w:cs="宋体"/>
          <w:caps w:val="0"/>
          <w:smallCaps w:val="0"/>
          <w:color w:val="000000" w:themeColor="text1"/>
          <w:szCs w:val="21"/>
          <w:highlight w:val="none"/>
          <w:u w:val="none"/>
          <w:lang w:val="en-US" w:eastAsia="zh-CN"/>
          <w14:textFill>
            <w14:solidFill>
              <w14:schemeClr w14:val="tx1"/>
            </w14:solidFill>
          </w14:textFill>
        </w:rPr>
        <w:t>，陪产人</w:t>
      </w:r>
      <w:r>
        <w:rPr>
          <w:rFonts w:hint="eastAsia" w:ascii="宋体" w:hAnsi="宋体" w:cs="宋体"/>
          <w:caps w:val="0"/>
          <w:smallCaps w:val="0"/>
          <w:color w:val="000000"/>
          <w:szCs w:val="21"/>
          <w:highlight w:val="none"/>
          <w:u w:val="none"/>
          <w:lang w:val="en-US" w:eastAsia="zh-CN"/>
        </w:rPr>
        <w:t>员应具备解决现场发生问题的能力。</w:t>
      </w:r>
    </w:p>
    <w:p w14:paraId="26ED5FC2">
      <w:pPr>
        <w:pStyle w:val="2"/>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u w:val="single"/>
        </w:rPr>
      </w:pPr>
      <w:r>
        <w:rPr>
          <w:rFonts w:hint="eastAsia" w:ascii="宋体" w:hAnsi="宋体" w:eastAsia="宋体" w:cs="宋体"/>
          <w:caps w:val="0"/>
          <w:smallCaps w:val="0"/>
          <w:color w:val="000000"/>
          <w:kern w:val="2"/>
          <w:sz w:val="21"/>
          <w:szCs w:val="21"/>
          <w:highlight w:val="none"/>
          <w:lang w:val="en-US" w:eastAsia="zh-CN" w:bidi="ar-SA"/>
        </w:rPr>
        <w:t>（</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）验收完成后，根据买方时间要求，为买方的操作及维护人员提供至少</w:t>
      </w:r>
      <w:r>
        <w:rPr>
          <w:rFonts w:hint="eastAsia" w:ascii="宋体" w:hAnsi="宋体" w:cs="宋体"/>
          <w:caps w:val="0"/>
          <w:smallCaps w:val="0"/>
          <w:color w:val="auto"/>
          <w:kern w:val="2"/>
          <w:sz w:val="21"/>
          <w:szCs w:val="21"/>
          <w:highlight w:val="none"/>
          <w:u w:val="single"/>
          <w:lang w:val="en-US" w:eastAsia="zh-CN" w:bidi="ar-SA"/>
        </w:rPr>
        <w:t>3</w:t>
      </w:r>
      <w:r>
        <w:rPr>
          <w:rFonts w:hint="eastAsia" w:ascii="宋体" w:hAnsi="宋体" w:eastAsia="宋体" w:cs="宋体"/>
          <w:caps w:val="0"/>
          <w:smallCaps w:val="0"/>
          <w:color w:val="auto"/>
          <w:kern w:val="2"/>
          <w:sz w:val="21"/>
          <w:szCs w:val="21"/>
          <w:highlight w:val="none"/>
          <w:u w:val="single"/>
          <w:lang w:val="en-US" w:eastAsia="zh-CN" w:bidi="ar-SA"/>
        </w:rPr>
        <w:t>次</w:t>
      </w:r>
      <w:r>
        <w:rPr>
          <w:rFonts w:hint="eastAsia" w:ascii="宋体" w:hAnsi="宋体" w:eastAsia="宋体" w:cs="宋体"/>
          <w:caps w:val="0"/>
          <w:smallCaps w:val="0"/>
          <w:color w:val="000000"/>
          <w:kern w:val="2"/>
          <w:sz w:val="21"/>
          <w:szCs w:val="21"/>
          <w:highlight w:val="none"/>
          <w:lang w:val="en-US" w:eastAsia="zh-CN" w:bidi="ar-SA"/>
        </w:rPr>
        <w:t>免费的集中强化培训。培训内容应包括设备的日常操作、常规维护、故障识别与应急处理等，并提供中文版的操作及维护手册。</w:t>
      </w:r>
    </w:p>
    <w:p w14:paraId="5C296123">
      <w:pPr>
        <w:tabs>
          <w:tab w:val="left" w:pos="1134"/>
        </w:tabs>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卖方</w:t>
      </w:r>
      <w:r>
        <w:rPr>
          <w:rFonts w:hint="eastAsia" w:ascii="宋体" w:hAnsi="宋体"/>
          <w:szCs w:val="21"/>
          <w:lang w:eastAsia="zh-CN"/>
        </w:rPr>
        <w:t>质量保证期</w:t>
      </w:r>
      <w:r>
        <w:rPr>
          <w:rFonts w:hint="eastAsia" w:ascii="宋体" w:hAnsi="宋体"/>
          <w:szCs w:val="21"/>
        </w:rPr>
        <w:t>服务技术人员的交通、食宿费用承担的约定：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auto"/>
          <w:sz w:val="21"/>
          <w:szCs w:val="21"/>
          <w:highlight w:val="none"/>
          <w:u w:val="single"/>
          <w:lang w:val="en-US" w:eastAsia="zh-CN"/>
        </w:rPr>
        <w:t>由卖方承担</w:t>
      </w:r>
      <w:r>
        <w:rPr>
          <w:rFonts w:hint="eastAsia" w:ascii="宋体" w:hAnsi="宋体"/>
          <w:szCs w:val="21"/>
          <w:u w:val="single"/>
        </w:rPr>
        <w:t xml:space="preserve">          </w:t>
      </w:r>
      <w:r>
        <w:rPr>
          <w:rFonts w:hint="eastAsia" w:ascii="宋体" w:hAnsi="宋体"/>
          <w:szCs w:val="21"/>
        </w:rPr>
        <w:t>。</w:t>
      </w:r>
    </w:p>
    <w:p w14:paraId="2B6C77E1">
      <w:pPr>
        <w:tabs>
          <w:tab w:val="left" w:pos="1134"/>
        </w:tabs>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卖方记录</w:t>
      </w:r>
      <w:r>
        <w:rPr>
          <w:rFonts w:hint="eastAsia" w:ascii="宋体" w:hAnsi="宋体"/>
          <w:szCs w:val="21"/>
          <w:lang w:eastAsia="zh-CN"/>
        </w:rPr>
        <w:t>质量保证期</w:t>
      </w:r>
      <w:r>
        <w:rPr>
          <w:rFonts w:hint="eastAsia" w:ascii="宋体" w:hAnsi="宋体"/>
          <w:szCs w:val="21"/>
        </w:rPr>
        <w:t>服务情况的约定：</w:t>
      </w:r>
      <w:r>
        <w:rPr>
          <w:rFonts w:hint="eastAsia" w:ascii="宋体" w:hAnsi="宋体"/>
          <w:szCs w:val="21"/>
          <w:u w:val="single"/>
        </w:rPr>
        <w:t xml:space="preserve"> </w:t>
      </w:r>
      <w:r>
        <w:rPr>
          <w:rFonts w:hint="eastAsia" w:ascii="宋体" w:hAnsi="宋体" w:eastAsia="宋体" w:cs="宋体"/>
          <w:caps w:val="0"/>
          <w:smallCaps w:val="0"/>
          <w:color w:val="auto"/>
          <w:szCs w:val="21"/>
          <w:highlight w:val="none"/>
          <w:u w:val="single"/>
          <w:lang w:val="en-US" w:eastAsia="zh-CN"/>
        </w:rPr>
        <w:t>卖方对在买方现场进行质保期服务的情况进行记录，记载设备故障发生的时间、原因及解决情况等，由买方签字确认，并在质量保证期结束后进行整理并提交给买方</w:t>
      </w:r>
      <w:r>
        <w:rPr>
          <w:rFonts w:hint="eastAsia" w:ascii="宋体" w:hAnsi="宋体"/>
          <w:szCs w:val="21"/>
          <w:u w:val="single"/>
        </w:rPr>
        <w:t xml:space="preserve"> </w:t>
      </w:r>
      <w:r>
        <w:rPr>
          <w:rFonts w:hint="eastAsia" w:ascii="宋体" w:hAnsi="宋体"/>
          <w:szCs w:val="21"/>
        </w:rPr>
        <w:t>。</w:t>
      </w:r>
    </w:p>
    <w:p w14:paraId="5C437402">
      <w:pPr>
        <w:pStyle w:val="97"/>
        <w:keepNext w:val="0"/>
        <w:keepLines w:val="0"/>
        <w:tabs>
          <w:tab w:val="left" w:pos="567"/>
        </w:tabs>
        <w:spacing w:before="156" w:after="156"/>
        <w:rPr>
          <w:rFonts w:eastAsia="宋体" w:cs="Times New Roman"/>
          <w:b/>
          <w:bCs/>
          <w:sz w:val="32"/>
          <w:szCs w:val="32"/>
        </w:rPr>
      </w:pPr>
      <w:bookmarkStart w:id="834" w:name="_Toc852"/>
      <w:bookmarkStart w:id="835" w:name="_Toc30678"/>
      <w:bookmarkStart w:id="836" w:name="_Toc531098989"/>
      <w:bookmarkStart w:id="837" w:name="_Toc32169"/>
      <w:bookmarkStart w:id="838" w:name="_Toc16295"/>
      <w:bookmarkStart w:id="839" w:name="_Toc5701"/>
      <w:bookmarkStart w:id="840" w:name="_Toc531606353"/>
      <w:bookmarkStart w:id="841" w:name="_Toc29689"/>
      <w:bookmarkStart w:id="842" w:name="_Toc2881832"/>
      <w:r>
        <w:rPr>
          <w:rFonts w:hint="eastAsia" w:eastAsia="宋体" w:cs="Times New Roman"/>
          <w:b/>
          <w:bCs/>
          <w:sz w:val="32"/>
          <w:szCs w:val="32"/>
        </w:rPr>
        <w:t>10. 履约保证金</w:t>
      </w:r>
      <w:bookmarkEnd w:id="834"/>
      <w:bookmarkEnd w:id="835"/>
      <w:bookmarkEnd w:id="836"/>
      <w:bookmarkEnd w:id="837"/>
      <w:bookmarkEnd w:id="838"/>
      <w:bookmarkEnd w:id="839"/>
      <w:bookmarkEnd w:id="840"/>
      <w:bookmarkEnd w:id="841"/>
    </w:p>
    <w:p w14:paraId="3556FA16">
      <w:pPr>
        <w:spacing w:line="360" w:lineRule="auto"/>
        <w:ind w:firstLine="420" w:firstLineChars="200"/>
        <w:jc w:val="left"/>
        <w:rPr>
          <w:rFonts w:hint="eastAsia" w:ascii="宋体" w:hAnsi="宋体" w:eastAsia="宋体"/>
          <w:szCs w:val="21"/>
          <w:lang w:eastAsia="zh-CN"/>
        </w:rPr>
      </w:pPr>
      <w:r>
        <w:rPr>
          <w:rFonts w:hint="eastAsia" w:ascii="宋体" w:hAnsi="宋体"/>
          <w:szCs w:val="21"/>
        </w:rPr>
        <w:t>卖方需提供履约保证金</w:t>
      </w:r>
      <w:r>
        <w:rPr>
          <w:rFonts w:hint="eastAsia" w:ascii="宋体" w:hAnsi="宋体"/>
          <w:szCs w:val="21"/>
          <w:lang w:eastAsia="zh-CN"/>
        </w:rPr>
        <w:t>。</w:t>
      </w:r>
    </w:p>
    <w:p w14:paraId="19E25E49">
      <w:pPr>
        <w:spacing w:line="360" w:lineRule="auto"/>
        <w:ind w:firstLine="420" w:firstLineChars="200"/>
        <w:jc w:val="left"/>
        <w:rPr>
          <w:rFonts w:ascii="宋体" w:hAnsi="宋体"/>
          <w:szCs w:val="21"/>
        </w:rPr>
      </w:pPr>
      <w:r>
        <w:rPr>
          <w:rFonts w:hint="eastAsia" w:ascii="宋体" w:hAnsi="宋体"/>
          <w:szCs w:val="21"/>
        </w:rPr>
        <w:t>卖方提供履约保证金的形式、金额及期限：</w:t>
      </w:r>
    </w:p>
    <w:p w14:paraId="362FE148">
      <w:pPr>
        <w:pageBreakBefore w:val="0"/>
        <w:kinsoku/>
        <w:wordWrap/>
        <w:overflowPunct/>
        <w:topLinePunct w:val="0"/>
        <w:bidi w:val="0"/>
        <w:snapToGrid w:val="0"/>
        <w:spacing w:line="360" w:lineRule="auto"/>
        <w:ind w:firstLine="420" w:firstLineChars="200"/>
        <w:jc w:val="left"/>
        <w:rPr>
          <w:rFonts w:ascii="宋体" w:hAnsi="宋体"/>
          <w:szCs w:val="21"/>
        </w:rPr>
      </w:pPr>
      <w:r>
        <w:rPr>
          <w:rFonts w:hint="eastAsia" w:ascii="宋体" w:hAnsi="宋体"/>
          <w:szCs w:val="21"/>
        </w:rPr>
        <w:t>（1）履约保证金的形式：现金或银行保函或现金+银行保函的组合；采用保函形式的，</w:t>
      </w:r>
      <w:r>
        <w:rPr>
          <w:rFonts w:hint="eastAsia" w:ascii="宋体" w:hAnsi="宋体" w:eastAsia="宋体" w:cs="宋体"/>
          <w:caps w:val="0"/>
          <w:smallCaps w:val="0"/>
          <w:color w:val="auto"/>
          <w:kern w:val="0"/>
          <w:sz w:val="21"/>
          <w:szCs w:val="21"/>
          <w:lang w:val="en-US" w:eastAsia="zh-CN"/>
        </w:rPr>
        <w:t>银行</w:t>
      </w:r>
      <w:r>
        <w:rPr>
          <w:rFonts w:hint="eastAsia" w:ascii="宋体" w:hAnsi="宋体" w:eastAsia="宋体" w:cs="宋体"/>
          <w:caps w:val="0"/>
          <w:smallCaps w:val="0"/>
          <w:color w:val="auto"/>
          <w:kern w:val="0"/>
          <w:sz w:val="21"/>
          <w:szCs w:val="21"/>
        </w:rPr>
        <w:t>保函</w:t>
      </w:r>
      <w:r>
        <w:rPr>
          <w:rFonts w:hint="eastAsia" w:ascii="宋体" w:hAnsi="宋体" w:eastAsia="宋体" w:cs="宋体"/>
          <w:caps w:val="0"/>
          <w:smallCaps w:val="0"/>
          <w:color w:val="auto"/>
          <w:kern w:val="0"/>
          <w:sz w:val="21"/>
          <w:szCs w:val="21"/>
          <w:lang w:val="en-US" w:eastAsia="zh-CN"/>
        </w:rPr>
        <w:t>必须是</w:t>
      </w:r>
      <w:r>
        <w:rPr>
          <w:rFonts w:hint="eastAsia" w:ascii="宋体" w:hAnsi="宋体" w:eastAsia="宋体" w:cs="宋体"/>
          <w:caps w:val="0"/>
          <w:smallCaps w:val="0"/>
          <w:color w:val="auto"/>
          <w:sz w:val="21"/>
          <w:szCs w:val="21"/>
          <w:lang w:val="en-US" w:eastAsia="zh-CN"/>
        </w:rPr>
        <w:t>在国有商业银行或全国性股份制商业银行开具，且纸质保函能在开立人在渝的总部或者分支机构进行核验，</w:t>
      </w:r>
      <w:r>
        <w:rPr>
          <w:rFonts w:hint="eastAsia" w:ascii="宋体" w:hAnsi="宋体"/>
          <w:szCs w:val="21"/>
        </w:rPr>
        <w:t>保函必须为不可撤销且见索即付；</w:t>
      </w:r>
    </w:p>
    <w:p w14:paraId="4D3F1298">
      <w:pPr>
        <w:tabs>
          <w:tab w:val="left" w:pos="1134"/>
        </w:tabs>
        <w:spacing w:line="360" w:lineRule="auto"/>
        <w:ind w:firstLine="420" w:firstLineChars="200"/>
        <w:jc w:val="left"/>
        <w:rPr>
          <w:rFonts w:ascii="宋体" w:hAnsi="宋体"/>
          <w:szCs w:val="21"/>
        </w:rPr>
      </w:pPr>
      <w:r>
        <w:rPr>
          <w:rFonts w:hint="eastAsia" w:ascii="宋体" w:hAnsi="宋体"/>
          <w:szCs w:val="21"/>
        </w:rPr>
        <w:t>（2）履约保证金的金额：</w:t>
      </w:r>
      <w:r>
        <w:rPr>
          <w:rFonts w:hint="eastAsia" w:ascii="方正仿宋_GB2312" w:hAnsi="宋体" w:eastAsia="方正仿宋_GB2312" w:cs="宋体"/>
          <w:kern w:val="0"/>
          <w:szCs w:val="21"/>
          <w:u w:val="single"/>
        </w:rPr>
        <w:t xml:space="preserve"> </w:t>
      </w:r>
      <w:r>
        <w:rPr>
          <w:rFonts w:hint="eastAsia" w:ascii="宋体" w:hAnsi="宋体" w:eastAsia="宋体" w:cs="宋体"/>
          <w:caps w:val="0"/>
          <w:smallCaps w:val="0"/>
          <w:color w:val="auto"/>
          <w:sz w:val="21"/>
          <w:szCs w:val="21"/>
          <w:highlight w:val="none"/>
          <w:u w:val="single"/>
        </w:rPr>
        <w:t>履约保证金为中标</w:t>
      </w:r>
      <w:r>
        <w:rPr>
          <w:rFonts w:hint="eastAsia" w:ascii="宋体" w:hAnsi="宋体" w:eastAsia="宋体" w:cs="宋体"/>
          <w:caps w:val="0"/>
          <w:smallCaps w:val="0"/>
          <w:color w:val="auto"/>
          <w:sz w:val="21"/>
          <w:szCs w:val="21"/>
          <w:highlight w:val="none"/>
          <w:u w:val="single"/>
          <w:lang w:val="en-US" w:eastAsia="zh-CN"/>
        </w:rPr>
        <w:t>合同</w:t>
      </w:r>
      <w:r>
        <w:rPr>
          <w:rFonts w:hint="eastAsia" w:ascii="宋体" w:hAnsi="宋体" w:eastAsia="宋体" w:cs="宋体"/>
          <w:caps w:val="0"/>
          <w:smallCaps w:val="0"/>
          <w:color w:val="auto"/>
          <w:sz w:val="21"/>
          <w:szCs w:val="21"/>
          <w:highlight w:val="none"/>
          <w:u w:val="single"/>
        </w:rPr>
        <w:t>价的</w:t>
      </w:r>
      <w:r>
        <w:rPr>
          <w:rFonts w:hint="eastAsia" w:ascii="宋体" w:hAnsi="宋体" w:cs="宋体"/>
          <w:caps w:val="0"/>
          <w:smallCaps w:val="0"/>
          <w:color w:val="auto"/>
          <w:sz w:val="21"/>
          <w:szCs w:val="21"/>
          <w:highlight w:val="none"/>
          <w:u w:val="single"/>
          <w:lang w:val="en-US" w:eastAsia="zh-CN"/>
        </w:rPr>
        <w:t>5</w:t>
      </w:r>
      <w:r>
        <w:rPr>
          <w:rFonts w:hint="eastAsia" w:ascii="宋体" w:hAnsi="宋体" w:eastAsia="宋体" w:cs="宋体"/>
          <w:caps w:val="0"/>
          <w:smallCaps w:val="0"/>
          <w:color w:val="auto"/>
          <w:sz w:val="21"/>
          <w:szCs w:val="21"/>
          <w:highlight w:val="none"/>
          <w:u w:val="single"/>
        </w:rPr>
        <w:t>%</w:t>
      </w:r>
      <w:r>
        <w:rPr>
          <w:rFonts w:hint="eastAsia" w:ascii="宋体" w:hAnsi="宋体" w:eastAsia="宋体" w:cs="宋体"/>
          <w:caps w:val="0"/>
          <w:smallCaps w:val="0"/>
          <w:color w:val="auto"/>
          <w:kern w:val="0"/>
          <w:sz w:val="21"/>
          <w:szCs w:val="21"/>
          <w:highlight w:val="none"/>
          <w:u w:val="single"/>
        </w:rPr>
        <w:t xml:space="preserve"> </w:t>
      </w:r>
      <w:r>
        <w:rPr>
          <w:rFonts w:hint="eastAsia" w:ascii="方正仿宋_GB2312" w:hAnsi="宋体" w:eastAsia="方正仿宋_GB2312" w:cs="宋体"/>
          <w:kern w:val="0"/>
          <w:szCs w:val="21"/>
          <w:u w:val="single"/>
        </w:rPr>
        <w:t xml:space="preserve"> </w:t>
      </w:r>
      <w:r>
        <w:rPr>
          <w:rFonts w:hint="eastAsia" w:ascii="宋体" w:hAnsi="宋体"/>
          <w:szCs w:val="21"/>
        </w:rPr>
        <w:t>；</w:t>
      </w:r>
    </w:p>
    <w:p w14:paraId="2F07A21A">
      <w:pPr>
        <w:tabs>
          <w:tab w:val="left" w:pos="1134"/>
        </w:tabs>
        <w:spacing w:line="360" w:lineRule="auto"/>
        <w:ind w:firstLine="420" w:firstLineChars="200"/>
        <w:jc w:val="left"/>
        <w:rPr>
          <w:rFonts w:ascii="宋体" w:hAnsi="宋体"/>
          <w:szCs w:val="21"/>
        </w:rPr>
      </w:pPr>
      <w:r>
        <w:rPr>
          <w:rFonts w:hint="eastAsia" w:ascii="宋体" w:hAnsi="宋体"/>
          <w:szCs w:val="21"/>
        </w:rPr>
        <w:t>（3）履约保证金的提交时间：</w:t>
      </w:r>
      <w:r>
        <w:rPr>
          <w:rFonts w:hint="eastAsia" w:ascii="宋体" w:hAnsi="宋体"/>
          <w:kern w:val="0"/>
          <w:szCs w:val="21"/>
        </w:rPr>
        <w:t>中标人收到中标通知书后</w:t>
      </w:r>
      <w:r>
        <w:rPr>
          <w:rFonts w:hint="eastAsia" w:ascii="宋体" w:hAnsi="宋体"/>
          <w:kern w:val="0"/>
          <w:szCs w:val="21"/>
          <w:u w:val="single"/>
        </w:rPr>
        <w:t xml:space="preserve"> </w:t>
      </w:r>
      <w:r>
        <w:rPr>
          <w:rFonts w:hint="eastAsia" w:ascii="宋体" w:hAnsi="宋体"/>
          <w:kern w:val="0"/>
          <w:szCs w:val="21"/>
          <w:u w:val="single"/>
          <w:lang w:val="en-US" w:eastAsia="zh-CN"/>
        </w:rPr>
        <w:t>30</w:t>
      </w:r>
      <w:r>
        <w:rPr>
          <w:rFonts w:hint="eastAsia" w:ascii="宋体" w:hAnsi="宋体"/>
          <w:kern w:val="0"/>
          <w:szCs w:val="21"/>
          <w:u w:val="single"/>
        </w:rPr>
        <w:t xml:space="preserve"> </w:t>
      </w:r>
      <w:r>
        <w:rPr>
          <w:rFonts w:hint="eastAsia" w:ascii="宋体" w:hAnsi="宋体"/>
          <w:kern w:val="0"/>
          <w:szCs w:val="21"/>
        </w:rPr>
        <w:t>日内提交</w:t>
      </w:r>
      <w:r>
        <w:rPr>
          <w:rFonts w:hint="eastAsia" w:ascii="宋体" w:hAnsi="宋体"/>
          <w:szCs w:val="21"/>
        </w:rPr>
        <w:t>。</w:t>
      </w:r>
    </w:p>
    <w:p w14:paraId="13FF1ADE">
      <w:pPr>
        <w:tabs>
          <w:tab w:val="left" w:pos="1134"/>
        </w:tabs>
        <w:spacing w:line="360" w:lineRule="auto"/>
        <w:ind w:firstLine="420" w:firstLineChars="200"/>
        <w:jc w:val="left"/>
        <w:rPr>
          <w:rFonts w:ascii="宋体" w:hAnsi="宋体"/>
          <w:szCs w:val="21"/>
        </w:rPr>
      </w:pPr>
      <w:r>
        <w:rPr>
          <w:rFonts w:hint="eastAsia" w:ascii="宋体" w:hAnsi="宋体"/>
          <w:szCs w:val="21"/>
        </w:rPr>
        <w:t>（4）履约保证金的期限：</w:t>
      </w:r>
      <w:r>
        <w:rPr>
          <w:rFonts w:hint="eastAsia" w:ascii="宋体" w:hAnsi="宋体"/>
          <w:szCs w:val="21"/>
          <w:u w:val="single"/>
        </w:rPr>
        <w:t>自合同生效之日起至</w:t>
      </w:r>
      <w:r>
        <w:rPr>
          <w:rFonts w:hint="eastAsia" w:ascii="宋体" w:hAnsi="宋体"/>
          <w:u w:val="single"/>
        </w:rPr>
        <w:t>合同设备验收证书或验收款支付函签署之日</w:t>
      </w:r>
      <w:r>
        <w:rPr>
          <w:rFonts w:hint="eastAsia" w:ascii="宋体" w:hAnsi="宋体"/>
          <w:szCs w:val="21"/>
          <w:u w:val="single"/>
        </w:rPr>
        <w:t>止</w:t>
      </w:r>
      <w:r>
        <w:rPr>
          <w:rFonts w:hint="eastAsia" w:ascii="宋体" w:hAnsi="宋体"/>
          <w:szCs w:val="21"/>
        </w:rPr>
        <w:t>。</w:t>
      </w:r>
    </w:p>
    <w:p w14:paraId="7F3A7327">
      <w:pPr>
        <w:tabs>
          <w:tab w:val="left" w:pos="1134"/>
        </w:tabs>
        <w:spacing w:line="360" w:lineRule="auto"/>
        <w:ind w:firstLine="420" w:firstLineChars="200"/>
        <w:jc w:val="left"/>
        <w:rPr>
          <w:rFonts w:ascii="宋体" w:hAnsi="宋体"/>
          <w:szCs w:val="21"/>
        </w:rPr>
      </w:pPr>
      <w:r>
        <w:rPr>
          <w:rFonts w:hint="eastAsia" w:ascii="宋体" w:hAnsi="宋体"/>
          <w:szCs w:val="21"/>
        </w:rPr>
        <w:t>（5）履约担保的退还时间：</w:t>
      </w:r>
      <w:r>
        <w:rPr>
          <w:rFonts w:hint="eastAsia" w:ascii="宋体" w:hAnsi="宋体"/>
          <w:szCs w:val="21"/>
          <w:u w:val="single"/>
        </w:rPr>
        <w:t>采用现金担保的，在</w:t>
      </w:r>
      <w:r>
        <w:rPr>
          <w:rFonts w:hint="eastAsia" w:ascii="宋体" w:hAnsi="宋体"/>
          <w:u w:val="single"/>
        </w:rPr>
        <w:t>合同设备验收证书或验收款支付函签署</w:t>
      </w:r>
      <w:r>
        <w:rPr>
          <w:rFonts w:hint="eastAsia" w:ascii="宋体" w:hAnsi="宋体"/>
          <w:szCs w:val="21"/>
          <w:u w:val="single"/>
        </w:rPr>
        <w:t>后28天内</w:t>
      </w:r>
      <w:r>
        <w:rPr>
          <w:rFonts w:hint="eastAsia" w:ascii="宋体" w:hAnsi="宋体"/>
          <w:szCs w:val="21"/>
          <w:u w:val="single"/>
          <w:lang w:val="en-US" w:eastAsia="zh-CN"/>
        </w:rPr>
        <w:t>无息</w:t>
      </w:r>
      <w:r>
        <w:rPr>
          <w:rFonts w:hint="eastAsia" w:ascii="宋体" w:hAnsi="宋体"/>
          <w:szCs w:val="21"/>
          <w:u w:val="single"/>
        </w:rPr>
        <w:t>退还；采用银行保函的，在</w:t>
      </w:r>
      <w:r>
        <w:rPr>
          <w:rFonts w:hint="eastAsia" w:ascii="宋体" w:hAnsi="宋体"/>
          <w:u w:val="single"/>
        </w:rPr>
        <w:t>合同设备验收证书或验收款支付函签署</w:t>
      </w:r>
      <w:r>
        <w:rPr>
          <w:rFonts w:hint="eastAsia" w:ascii="宋体" w:hAnsi="宋体"/>
          <w:szCs w:val="21"/>
          <w:u w:val="single"/>
        </w:rPr>
        <w:t>后28天内</w:t>
      </w:r>
      <w:r>
        <w:rPr>
          <w:rFonts w:hint="eastAsia" w:ascii="宋体" w:hAnsi="宋体"/>
          <w:szCs w:val="21"/>
          <w:u w:val="single"/>
          <w:lang w:val="en-US" w:eastAsia="zh-CN"/>
        </w:rPr>
        <w:t>无息</w:t>
      </w:r>
      <w:r>
        <w:rPr>
          <w:rFonts w:hint="eastAsia" w:ascii="宋体" w:hAnsi="宋体"/>
          <w:szCs w:val="21"/>
          <w:u w:val="single"/>
        </w:rPr>
        <w:t>退还</w:t>
      </w:r>
      <w:r>
        <w:rPr>
          <w:rFonts w:hint="eastAsia" w:ascii="宋体" w:hAnsi="宋体"/>
          <w:szCs w:val="21"/>
        </w:rPr>
        <w:t>。</w:t>
      </w:r>
    </w:p>
    <w:p w14:paraId="113D1A0E">
      <w:pPr>
        <w:pStyle w:val="97"/>
        <w:keepNext w:val="0"/>
        <w:keepLines w:val="0"/>
        <w:tabs>
          <w:tab w:val="left" w:pos="567"/>
        </w:tabs>
        <w:spacing w:before="156" w:after="156"/>
        <w:rPr>
          <w:rFonts w:eastAsia="宋体" w:cs="Times New Roman"/>
          <w:b/>
          <w:bCs/>
          <w:sz w:val="32"/>
          <w:szCs w:val="32"/>
        </w:rPr>
      </w:pPr>
      <w:bookmarkStart w:id="843" w:name="_Toc531098990"/>
      <w:bookmarkStart w:id="844" w:name="_Toc18158"/>
      <w:bookmarkStart w:id="845" w:name="_Toc729"/>
      <w:bookmarkStart w:id="846" w:name="_Toc25149"/>
      <w:bookmarkStart w:id="847" w:name="_Toc2577"/>
      <w:bookmarkStart w:id="848" w:name="_Toc16066"/>
      <w:bookmarkStart w:id="849" w:name="_Toc531606354"/>
      <w:bookmarkStart w:id="850" w:name="_Toc6412"/>
      <w:r>
        <w:rPr>
          <w:rFonts w:hint="eastAsia" w:eastAsia="宋体" w:cs="Times New Roman"/>
          <w:b/>
          <w:bCs/>
          <w:sz w:val="32"/>
          <w:szCs w:val="32"/>
        </w:rPr>
        <w:t>11. 保证</w:t>
      </w:r>
      <w:bookmarkEnd w:id="843"/>
      <w:bookmarkEnd w:id="844"/>
      <w:bookmarkEnd w:id="845"/>
      <w:bookmarkEnd w:id="846"/>
      <w:bookmarkEnd w:id="847"/>
      <w:bookmarkEnd w:id="848"/>
      <w:bookmarkEnd w:id="849"/>
      <w:bookmarkEnd w:id="850"/>
    </w:p>
    <w:p w14:paraId="04F8C710">
      <w:pPr>
        <w:tabs>
          <w:tab w:val="left" w:pos="1134"/>
        </w:tabs>
        <w:spacing w:line="360" w:lineRule="auto"/>
        <w:ind w:firstLine="420" w:firstLineChars="200"/>
        <w:rPr>
          <w:rFonts w:ascii="宋体" w:hAnsi="宋体"/>
          <w:color w:val="auto"/>
          <w:szCs w:val="21"/>
        </w:rPr>
      </w:pPr>
      <w:r>
        <w:rPr>
          <w:rFonts w:hint="eastAsia" w:ascii="宋体" w:hAnsi="宋体"/>
          <w:szCs w:val="21"/>
        </w:rPr>
        <w:t>11</w:t>
      </w:r>
      <w:r>
        <w:rPr>
          <w:rFonts w:ascii="宋体" w:hAnsi="宋体"/>
          <w:szCs w:val="21"/>
        </w:rPr>
        <w:t xml:space="preserve">.4 </w:t>
      </w:r>
      <w:r>
        <w:rPr>
          <w:rFonts w:hint="eastAsia" w:ascii="宋体" w:hAnsi="宋体"/>
          <w:szCs w:val="21"/>
        </w:rPr>
        <w:t>对合同设备品质的约定</w:t>
      </w:r>
      <w:r>
        <w:rPr>
          <w:rFonts w:hint="eastAsia" w:ascii="宋体" w:hAnsi="宋体"/>
          <w:color w:val="auto"/>
          <w:szCs w:val="21"/>
        </w:rPr>
        <w:t>：</w:t>
      </w:r>
      <w:r>
        <w:rPr>
          <w:rFonts w:hint="eastAsia" w:ascii="宋体" w:hAnsi="宋体"/>
          <w:color w:val="auto"/>
          <w:szCs w:val="21"/>
          <w:u w:val="single"/>
        </w:rPr>
        <w:t xml:space="preserve"> </w:t>
      </w:r>
      <w:r>
        <w:rPr>
          <w:rFonts w:hint="eastAsia" w:ascii="宋体" w:hAnsi="宋体" w:eastAsia="宋体" w:cs="宋体"/>
          <w:caps w:val="0"/>
          <w:smallCaps w:val="0"/>
          <w:color w:val="auto"/>
          <w:sz w:val="21"/>
          <w:szCs w:val="21"/>
          <w:highlight w:val="none"/>
          <w:u w:val="single"/>
        </w:rPr>
        <w:t>见</w:t>
      </w:r>
      <w:r>
        <w:rPr>
          <w:rFonts w:hint="eastAsia" w:ascii="宋体" w:hAnsi="宋体" w:cs="宋体"/>
          <w:caps w:val="0"/>
          <w:smallCaps w:val="0"/>
          <w:color w:val="auto"/>
          <w:sz w:val="21"/>
          <w:szCs w:val="21"/>
          <w:highlight w:val="none"/>
          <w:u w:val="single"/>
          <w:lang w:eastAsia="zh-CN"/>
        </w:rPr>
        <w:t>《</w:t>
      </w:r>
      <w:r>
        <w:rPr>
          <w:rFonts w:hint="eastAsia" w:ascii="宋体" w:hAnsi="宋体" w:cs="宋体"/>
          <w:caps w:val="0"/>
          <w:smallCaps w:val="0"/>
          <w:color w:val="auto"/>
          <w:sz w:val="21"/>
          <w:szCs w:val="21"/>
          <w:highlight w:val="none"/>
          <w:u w:val="single"/>
          <w:lang w:val="en-US" w:eastAsia="zh-CN"/>
        </w:rPr>
        <w:t>供货要求》</w:t>
      </w:r>
      <w:r>
        <w:rPr>
          <w:rFonts w:hint="eastAsia" w:ascii="宋体" w:hAnsi="宋体"/>
          <w:color w:val="auto"/>
          <w:szCs w:val="21"/>
          <w:u w:val="single"/>
        </w:rPr>
        <w:t xml:space="preserve">               </w:t>
      </w:r>
      <w:r>
        <w:rPr>
          <w:rFonts w:hint="eastAsia" w:ascii="宋体" w:hAnsi="宋体"/>
          <w:color w:val="auto"/>
          <w:szCs w:val="21"/>
        </w:rPr>
        <w:t>。</w:t>
      </w:r>
    </w:p>
    <w:p w14:paraId="261AAC6D">
      <w:pPr>
        <w:tabs>
          <w:tab w:val="left" w:pos="1134"/>
        </w:tabs>
        <w:spacing w:line="360" w:lineRule="auto"/>
        <w:ind w:firstLine="420" w:firstLineChars="200"/>
        <w:rPr>
          <w:rFonts w:hint="eastAsia" w:ascii="宋体" w:hAnsi="宋体"/>
          <w:color w:val="auto"/>
          <w:szCs w:val="21"/>
        </w:rPr>
      </w:pPr>
      <w:r>
        <w:rPr>
          <w:rFonts w:hint="eastAsia" w:ascii="宋体" w:hAnsi="宋体"/>
          <w:color w:val="auto"/>
          <w:szCs w:val="21"/>
        </w:rPr>
        <w:t>11</w:t>
      </w:r>
      <w:r>
        <w:rPr>
          <w:rFonts w:ascii="宋体" w:hAnsi="宋体"/>
          <w:color w:val="auto"/>
          <w:szCs w:val="21"/>
        </w:rPr>
        <w:t>.</w:t>
      </w:r>
      <w:r>
        <w:rPr>
          <w:rFonts w:hint="eastAsia" w:ascii="宋体" w:hAnsi="宋体"/>
          <w:color w:val="auto"/>
          <w:szCs w:val="21"/>
        </w:rPr>
        <w:t>7</w:t>
      </w:r>
      <w:r>
        <w:rPr>
          <w:rFonts w:ascii="宋体" w:hAnsi="宋体"/>
          <w:color w:val="auto"/>
          <w:szCs w:val="21"/>
        </w:rPr>
        <w:t xml:space="preserve"> </w:t>
      </w:r>
      <w:r>
        <w:rPr>
          <w:rFonts w:hint="eastAsia" w:ascii="宋体" w:hAnsi="宋体"/>
          <w:color w:val="auto"/>
          <w:szCs w:val="21"/>
        </w:rPr>
        <w:t>合同设备使用寿命期内，卖方保障买方获取备品备件的约定：</w:t>
      </w:r>
    </w:p>
    <w:p w14:paraId="49DDA12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u w:val="single"/>
        </w:rPr>
        <w:t>卖方无偿提供产品的技术咨询，并负责产品的终身维修，10年内</w:t>
      </w:r>
      <w:r>
        <w:rPr>
          <w:rFonts w:hint="eastAsia" w:ascii="宋体" w:hAnsi="宋体" w:eastAsia="宋体" w:cs="宋体"/>
          <w:caps w:val="0"/>
          <w:smallCaps w:val="0"/>
          <w:color w:val="auto"/>
          <w:sz w:val="21"/>
          <w:szCs w:val="21"/>
          <w:highlight w:val="none"/>
          <w:u w:val="single"/>
          <w:lang w:val="en-US" w:eastAsia="zh-CN"/>
        </w:rPr>
        <w:t>按</w:t>
      </w:r>
      <w:r>
        <w:rPr>
          <w:rFonts w:hint="eastAsia" w:ascii="宋体" w:hAnsi="宋体" w:eastAsia="宋体" w:cs="宋体"/>
          <w:caps w:val="0"/>
          <w:smallCaps w:val="0"/>
          <w:color w:val="auto"/>
          <w:sz w:val="21"/>
          <w:szCs w:val="21"/>
          <w:highlight w:val="none"/>
          <w:u w:val="single"/>
        </w:rPr>
        <w:t>合同签订</w:t>
      </w:r>
      <w:r>
        <w:rPr>
          <w:rFonts w:hint="eastAsia" w:ascii="宋体" w:hAnsi="宋体" w:eastAsia="宋体" w:cs="宋体"/>
          <w:caps w:val="0"/>
          <w:smallCaps w:val="0"/>
          <w:color w:val="auto"/>
          <w:sz w:val="21"/>
          <w:szCs w:val="21"/>
          <w:highlight w:val="none"/>
          <w:u w:val="single"/>
          <w:lang w:val="en-US" w:eastAsia="zh-CN"/>
        </w:rPr>
        <w:t>的备品备件</w:t>
      </w:r>
      <w:r>
        <w:rPr>
          <w:rFonts w:hint="eastAsia" w:ascii="宋体" w:hAnsi="宋体" w:eastAsia="宋体" w:cs="宋体"/>
          <w:caps w:val="0"/>
          <w:smallCaps w:val="0"/>
          <w:color w:val="auto"/>
          <w:sz w:val="21"/>
          <w:szCs w:val="21"/>
          <w:highlight w:val="none"/>
          <w:u w:val="single"/>
        </w:rPr>
        <w:t>价格提供备品备件，单次人工费用不超过</w:t>
      </w:r>
      <w:r>
        <w:rPr>
          <w:rFonts w:hint="eastAsia" w:ascii="宋体" w:hAnsi="宋体" w:eastAsia="宋体" w:cs="宋体"/>
          <w:caps w:val="0"/>
          <w:smallCaps w:val="0"/>
          <w:color w:val="auto"/>
          <w:sz w:val="21"/>
          <w:szCs w:val="21"/>
          <w:highlight w:val="none"/>
          <w:u w:val="single"/>
          <w:lang w:val="en-US" w:eastAsia="zh-CN"/>
        </w:rPr>
        <w:t>10</w:t>
      </w:r>
      <w:r>
        <w:rPr>
          <w:rFonts w:hint="eastAsia" w:ascii="宋体" w:hAnsi="宋体" w:eastAsia="宋体" w:cs="宋体"/>
          <w:caps w:val="0"/>
          <w:smallCaps w:val="0"/>
          <w:color w:val="auto"/>
          <w:sz w:val="21"/>
          <w:szCs w:val="21"/>
          <w:highlight w:val="none"/>
          <w:u w:val="single"/>
        </w:rPr>
        <w:t>00元（包括但不限于人员的出场费、住宿费、交通费等）</w:t>
      </w:r>
      <w:r>
        <w:rPr>
          <w:rFonts w:hint="eastAsia" w:ascii="宋体" w:hAnsi="宋体" w:eastAsia="宋体" w:cs="宋体"/>
          <w:caps w:val="0"/>
          <w:smallCaps w:val="0"/>
          <w:color w:val="auto"/>
          <w:sz w:val="21"/>
          <w:szCs w:val="21"/>
          <w:highlight w:val="none"/>
        </w:rPr>
        <w:t>。</w:t>
      </w:r>
    </w:p>
    <w:p w14:paraId="39CCFE8B">
      <w:pPr>
        <w:pStyle w:val="7"/>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eastAsia" w:ascii="宋体" w:hAnsi="宋体" w:eastAsia="宋体" w:cs="宋体"/>
          <w:color w:val="auto"/>
          <w:lang w:val="en-US" w:eastAsia="zh-CN"/>
        </w:rPr>
      </w:pPr>
      <w:r>
        <w:rPr>
          <w:rFonts w:hint="eastAsia" w:ascii="宋体" w:hAnsi="宋体" w:eastAsia="宋体" w:cs="宋体"/>
          <w:caps w:val="0"/>
          <w:smallCaps w:val="0"/>
          <w:color w:val="auto"/>
          <w:sz w:val="21"/>
          <w:szCs w:val="21"/>
          <w:highlight w:val="none"/>
          <w:lang w:eastAsia="zh-CN"/>
        </w:rPr>
        <w:t>卖方须在设备使用寿命期内，以不高于投标报价的价格提供备品备件，且不得以停产为由拒绝供应。</w:t>
      </w:r>
    </w:p>
    <w:p w14:paraId="5E716EA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sz w:val="21"/>
          <w:szCs w:val="21"/>
          <w:highlight w:val="none"/>
          <w:lang w:val="en-US" w:eastAsia="zh-CN"/>
        </w:rPr>
        <w:t>本条补充</w:t>
      </w:r>
      <w:r>
        <w:rPr>
          <w:rFonts w:hint="eastAsia" w:ascii="宋体" w:hAnsi="宋体" w:eastAsia="宋体" w:cs="宋体"/>
          <w:caps w:val="0"/>
          <w:smallCaps w:val="0"/>
          <w:color w:val="auto"/>
          <w:kern w:val="0"/>
          <w:sz w:val="21"/>
          <w:szCs w:val="21"/>
          <w:highlight w:val="none"/>
        </w:rPr>
        <w:t>：</w:t>
      </w:r>
    </w:p>
    <w:p w14:paraId="279CC6B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11.9 </w:t>
      </w:r>
      <w:r>
        <w:rPr>
          <w:rFonts w:hint="eastAsia" w:ascii="宋体" w:hAnsi="宋体" w:eastAsia="宋体" w:cs="宋体"/>
          <w:caps w:val="0"/>
          <w:smallCaps w:val="0"/>
          <w:color w:val="auto"/>
          <w:sz w:val="21"/>
          <w:szCs w:val="21"/>
          <w:highlight w:val="none"/>
        </w:rPr>
        <w:t>对于根据有关法律必须持证生产或经营的</w:t>
      </w:r>
      <w:r>
        <w:rPr>
          <w:rFonts w:hint="eastAsia" w:ascii="宋体" w:hAnsi="宋体" w:eastAsia="宋体" w:cs="宋体"/>
          <w:caps w:val="0"/>
          <w:smallCaps w:val="0"/>
          <w:color w:val="auto"/>
          <w:sz w:val="21"/>
          <w:szCs w:val="21"/>
          <w:highlight w:val="none"/>
          <w:lang w:val="en-US" w:eastAsia="zh-CN"/>
        </w:rPr>
        <w:t>合同设备</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在生产或经营时应持有全套有效的生产许可证或经营许可证</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保证合同设备制造现场符合</w:t>
      </w:r>
      <w:r>
        <w:rPr>
          <w:rFonts w:hint="eastAsia" w:ascii="宋体" w:hAnsi="宋体" w:eastAsia="宋体" w:cs="宋体"/>
          <w:caps w:val="0"/>
          <w:smallCaps w:val="0"/>
          <w:color w:val="auto"/>
          <w:sz w:val="21"/>
          <w:szCs w:val="21"/>
          <w:highlight w:val="none"/>
          <w:lang w:val="en-US" w:eastAsia="zh-CN"/>
        </w:rPr>
        <w:t>有关</w:t>
      </w:r>
      <w:r>
        <w:rPr>
          <w:rFonts w:hint="eastAsia" w:ascii="宋体" w:hAnsi="宋体" w:eastAsia="宋体" w:cs="宋体"/>
          <w:caps w:val="0"/>
          <w:smallCaps w:val="0"/>
          <w:color w:val="auto"/>
          <w:sz w:val="21"/>
          <w:szCs w:val="21"/>
          <w:highlight w:val="none"/>
        </w:rPr>
        <w:t>法律的要求。</w:t>
      </w:r>
    </w:p>
    <w:p w14:paraId="1913BB66">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11.10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合同设备制造使用的材料和制作工艺符合国家标准，不包含任何禁用物质</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用于合同设备的包装材料应是符合环保要求的包装材料。</w:t>
      </w:r>
    </w:p>
    <w:p w14:paraId="63FDEFAF">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11.11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不得将其在本合同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的任何权利和义务全部或部分转让给任何第三方，包括</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的关联企业。</w:t>
      </w:r>
    </w:p>
    <w:p w14:paraId="7912366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auto"/>
          <w:kern w:val="0"/>
          <w:sz w:val="21"/>
          <w:szCs w:val="21"/>
          <w:highlight w:val="none"/>
          <w:lang w:val="en-US" w:eastAsia="zh-CN"/>
        </w:rPr>
        <w:t xml:space="preserve">11.12 </w:t>
      </w:r>
      <w:r>
        <w:rPr>
          <w:rFonts w:hint="eastAsia" w:ascii="宋体" w:hAnsi="宋体" w:eastAsia="宋体" w:cs="宋体"/>
          <w:caps w:val="0"/>
          <w:smallCaps w:val="0"/>
          <w:color w:val="auto"/>
          <w:sz w:val="21"/>
          <w:szCs w:val="21"/>
          <w:highlight w:val="none"/>
        </w:rPr>
        <w:t>未经</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事先书面同意，</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不得将其在本合同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的任何义务分包给任何第三方，包括</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的关联企业。即使</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批准</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的任何部分义务分包给第三方，</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000000"/>
          <w:sz w:val="21"/>
          <w:szCs w:val="21"/>
          <w:highlight w:val="none"/>
        </w:rPr>
        <w:t>对分包商</w:t>
      </w:r>
      <w:r>
        <w:rPr>
          <w:rFonts w:hint="eastAsia" w:ascii="宋体" w:hAnsi="宋体" w:eastAsia="宋体" w:cs="宋体"/>
          <w:caps w:val="0"/>
          <w:smallCaps w:val="0"/>
          <w:color w:val="000000"/>
          <w:sz w:val="21"/>
          <w:szCs w:val="21"/>
          <w:highlight w:val="none"/>
          <w:lang w:val="en-US" w:eastAsia="zh-CN"/>
        </w:rPr>
        <w:t>的资格和</w:t>
      </w:r>
      <w:r>
        <w:rPr>
          <w:rFonts w:hint="eastAsia" w:ascii="宋体" w:hAnsi="宋体" w:eastAsia="宋体" w:cs="宋体"/>
          <w:caps w:val="0"/>
          <w:smallCaps w:val="0"/>
          <w:color w:val="000000"/>
          <w:sz w:val="21"/>
          <w:szCs w:val="21"/>
          <w:highlight w:val="none"/>
        </w:rPr>
        <w:t>工作负责，并承担本合同</w:t>
      </w:r>
      <w:r>
        <w:rPr>
          <w:rFonts w:hint="eastAsia" w:ascii="宋体" w:hAnsi="宋体" w:eastAsia="宋体" w:cs="宋体"/>
          <w:caps w:val="0"/>
          <w:smallCaps w:val="0"/>
          <w:color w:val="000000"/>
          <w:sz w:val="21"/>
          <w:szCs w:val="21"/>
          <w:highlight w:val="none"/>
          <w:lang w:val="en-US" w:eastAsia="zh-CN"/>
        </w:rPr>
        <w:t>中</w:t>
      </w:r>
      <w:r>
        <w:rPr>
          <w:rFonts w:hint="eastAsia" w:ascii="宋体" w:hAnsi="宋体" w:eastAsia="宋体" w:cs="宋体"/>
          <w:caps w:val="0"/>
          <w:smallCaps w:val="0"/>
          <w:color w:val="000000"/>
          <w:sz w:val="21"/>
          <w:szCs w:val="21"/>
          <w:highlight w:val="none"/>
        </w:rPr>
        <w:t>的全部责任和义务，不因分包而减轻或免除。</w:t>
      </w:r>
    </w:p>
    <w:p w14:paraId="66E1D356">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11.13 卖方按</w:t>
      </w:r>
      <w:r>
        <w:rPr>
          <w:rFonts w:hint="eastAsia" w:ascii="宋体" w:hAnsi="宋体" w:eastAsia="宋体" w:cs="宋体"/>
          <w:caps w:val="0"/>
          <w:smallCaps w:val="0"/>
          <w:color w:val="000000"/>
          <w:sz w:val="21"/>
          <w:szCs w:val="21"/>
          <w:highlight w:val="none"/>
        </w:rPr>
        <w:t>法律规定和合同约定</w:t>
      </w:r>
      <w:r>
        <w:rPr>
          <w:rFonts w:hint="eastAsia" w:ascii="宋体" w:hAnsi="宋体" w:eastAsia="宋体" w:cs="宋体"/>
          <w:caps w:val="0"/>
          <w:smallCaps w:val="0"/>
          <w:color w:val="000000"/>
          <w:sz w:val="21"/>
          <w:szCs w:val="21"/>
          <w:highlight w:val="none"/>
          <w:lang w:val="en-US" w:eastAsia="zh-CN"/>
        </w:rPr>
        <w:t>完成</w:t>
      </w:r>
      <w:r>
        <w:rPr>
          <w:rFonts w:hint="eastAsia" w:ascii="宋体" w:hAnsi="宋体" w:eastAsia="宋体" w:cs="宋体"/>
          <w:caps w:val="0"/>
          <w:smallCaps w:val="0"/>
          <w:color w:val="000000"/>
          <w:sz w:val="21"/>
          <w:szCs w:val="21"/>
          <w:highlight w:val="none"/>
        </w:rPr>
        <w:t>应由</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办理的许可和批准，将办理结果书面报送</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留存。</w:t>
      </w:r>
    </w:p>
    <w:p w14:paraId="4A12CDA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11.14卖方</w:t>
      </w:r>
      <w:r>
        <w:rPr>
          <w:rFonts w:hint="eastAsia" w:ascii="宋体" w:hAnsi="宋体" w:eastAsia="宋体" w:cs="宋体"/>
          <w:caps w:val="0"/>
          <w:smallCaps w:val="0"/>
          <w:color w:val="000000"/>
          <w:sz w:val="21"/>
          <w:szCs w:val="21"/>
          <w:highlight w:val="none"/>
        </w:rPr>
        <w:t>按法律规定和合同约定完成工程，包括满足合同所必需的或合同隐含的以及由承包人义务而产生的任何工程，还应包括合同根据相关法律法规、技术规范等对工程的稳定性、完整性或安全、可靠、有效运行所必需的所有工程，并在保修期内承担保修义务。</w:t>
      </w:r>
    </w:p>
    <w:p w14:paraId="5AA87781">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11.15卖方</w:t>
      </w:r>
      <w:r>
        <w:rPr>
          <w:rFonts w:hint="eastAsia" w:ascii="宋体" w:hAnsi="宋体" w:eastAsia="宋体" w:cs="宋体"/>
          <w:caps w:val="0"/>
          <w:smallCaps w:val="0"/>
          <w:color w:val="000000"/>
          <w:sz w:val="21"/>
          <w:szCs w:val="21"/>
          <w:highlight w:val="none"/>
        </w:rPr>
        <w:t>按法律规定和合同约定采取</w:t>
      </w:r>
      <w:r>
        <w:rPr>
          <w:rFonts w:hint="eastAsia" w:ascii="宋体" w:hAnsi="宋体" w:eastAsia="宋体" w:cs="宋体"/>
          <w:caps w:val="0"/>
          <w:smallCaps w:val="0"/>
          <w:color w:val="000000"/>
          <w:sz w:val="21"/>
          <w:szCs w:val="21"/>
          <w:highlight w:val="none"/>
          <w:lang w:val="en-US" w:eastAsia="zh-CN"/>
        </w:rPr>
        <w:t>必要的</w:t>
      </w:r>
      <w:r>
        <w:rPr>
          <w:rFonts w:hint="eastAsia" w:ascii="宋体" w:hAnsi="宋体" w:eastAsia="宋体" w:cs="宋体"/>
          <w:caps w:val="0"/>
          <w:smallCaps w:val="0"/>
          <w:color w:val="000000"/>
          <w:sz w:val="21"/>
          <w:szCs w:val="21"/>
          <w:highlight w:val="none"/>
        </w:rPr>
        <w:t>施工安全和环境保护措施，</w:t>
      </w:r>
      <w:r>
        <w:rPr>
          <w:rFonts w:hint="eastAsia" w:ascii="宋体" w:hAnsi="宋体" w:eastAsia="宋体" w:cs="宋体"/>
          <w:caps w:val="0"/>
          <w:smallCaps w:val="0"/>
          <w:color w:val="000000"/>
          <w:sz w:val="21"/>
          <w:szCs w:val="21"/>
          <w:highlight w:val="none"/>
          <w:lang w:val="en-US" w:eastAsia="zh-CN"/>
        </w:rPr>
        <w:t>购买</w:t>
      </w:r>
      <w:r>
        <w:rPr>
          <w:rFonts w:hint="eastAsia" w:ascii="宋体" w:hAnsi="宋体" w:eastAsia="宋体" w:cs="宋体"/>
          <w:caps w:val="0"/>
          <w:smallCaps w:val="0"/>
          <w:color w:val="000000"/>
          <w:sz w:val="21"/>
          <w:szCs w:val="21"/>
          <w:highlight w:val="none"/>
        </w:rPr>
        <w:t>保险，确保人员、材料、设备和设施的安全</w:t>
      </w:r>
      <w:r>
        <w:rPr>
          <w:rFonts w:hint="eastAsia" w:ascii="宋体" w:hAnsi="宋体" w:eastAsia="宋体" w:cs="宋体"/>
          <w:caps w:val="0"/>
          <w:smallCaps w:val="0"/>
          <w:color w:val="000000"/>
          <w:sz w:val="21"/>
          <w:szCs w:val="21"/>
          <w:highlight w:val="none"/>
          <w:lang w:val="en-US" w:eastAsia="zh-CN"/>
        </w:rPr>
        <w:t>和第三方的人身、财产安全，并承担一切经济、法律责任</w:t>
      </w:r>
      <w:r>
        <w:rPr>
          <w:rFonts w:hint="eastAsia" w:ascii="宋体" w:hAnsi="宋体" w:eastAsia="宋体" w:cs="宋体"/>
          <w:caps w:val="0"/>
          <w:smallCaps w:val="0"/>
          <w:color w:val="000000"/>
          <w:sz w:val="21"/>
          <w:szCs w:val="21"/>
          <w:highlight w:val="none"/>
        </w:rPr>
        <w:t>。</w:t>
      </w:r>
    </w:p>
    <w:p w14:paraId="21605BF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11.16</w:t>
      </w:r>
      <w:r>
        <w:rPr>
          <w:rFonts w:hint="eastAsia" w:ascii="宋体" w:hAnsi="宋体" w:eastAsia="宋体" w:cs="宋体"/>
          <w:caps w:val="0"/>
          <w:smallCaps w:val="0"/>
          <w:color w:val="000000"/>
          <w:sz w:val="21"/>
          <w:szCs w:val="21"/>
          <w:highlight w:val="none"/>
        </w:rPr>
        <w:t>按合同约定的工作内容和施工进度要求，编制施工组织设计和施工措施计划</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lang w:val="en-US" w:eastAsia="zh-CN"/>
        </w:rPr>
        <w:t>报买方审批后实施，含工厂组装计划、出厂之前的调试和试验计划、运抵现场后的安装调试和考核验收计划，</w:t>
      </w:r>
      <w:r>
        <w:rPr>
          <w:rFonts w:hint="eastAsia" w:ascii="宋体" w:hAnsi="宋体" w:eastAsia="宋体" w:cs="宋体"/>
          <w:caps w:val="0"/>
          <w:smallCaps w:val="0"/>
          <w:color w:val="000000"/>
          <w:sz w:val="21"/>
          <w:szCs w:val="21"/>
          <w:highlight w:val="none"/>
        </w:rPr>
        <w:t>并对所有施工作业和施工方法的完备性和安全可靠性负责</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施工组织设计中的措施保障水平应满足按合同进度实施的需要，且不得低于投标时施工组织设计的措施保障水平。</w:t>
      </w:r>
    </w:p>
    <w:p w14:paraId="4FACFE9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11.17卖方</w:t>
      </w:r>
      <w:r>
        <w:rPr>
          <w:rFonts w:hint="eastAsia" w:ascii="宋体" w:hAnsi="宋体" w:eastAsia="宋体" w:cs="宋体"/>
          <w:caps w:val="0"/>
          <w:smallCaps w:val="0"/>
          <w:color w:val="000000"/>
          <w:sz w:val="21"/>
          <w:szCs w:val="21"/>
          <w:highlight w:val="none"/>
        </w:rPr>
        <w:t>服从</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的管理模式、工作方式和工作要求</w:t>
      </w:r>
      <w:r>
        <w:rPr>
          <w:rFonts w:hint="eastAsia" w:ascii="宋体" w:hAnsi="宋体" w:eastAsia="宋体" w:cs="宋体"/>
          <w:caps w:val="0"/>
          <w:smallCaps w:val="0"/>
          <w:color w:val="000000"/>
          <w:sz w:val="21"/>
          <w:szCs w:val="21"/>
          <w:highlight w:val="none"/>
          <w:lang w:eastAsia="zh-CN"/>
        </w:rPr>
        <w:t>。</w:t>
      </w:r>
    </w:p>
    <w:p w14:paraId="416726F4">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11.18</w:t>
      </w:r>
      <w:r>
        <w:rPr>
          <w:rFonts w:hint="eastAsia" w:ascii="宋体" w:hAnsi="宋体" w:eastAsia="宋体" w:cs="宋体"/>
          <w:caps w:val="0"/>
          <w:smallCaps w:val="0"/>
          <w:color w:val="000000"/>
          <w:sz w:val="21"/>
          <w:szCs w:val="21"/>
          <w:highlight w:val="none"/>
        </w:rPr>
        <w:t>若因</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原因（如:工程</w:t>
      </w:r>
      <w:r>
        <w:rPr>
          <w:rFonts w:hint="eastAsia" w:ascii="宋体" w:hAnsi="宋体" w:eastAsia="宋体" w:cs="宋体"/>
          <w:caps w:val="0"/>
          <w:smallCaps w:val="0"/>
          <w:color w:val="000000"/>
          <w:sz w:val="21"/>
          <w:szCs w:val="21"/>
          <w:highlight w:val="none"/>
          <w:lang w:val="en-US" w:eastAsia="zh-CN"/>
        </w:rPr>
        <w:t>设计变更、认质核价不及时</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项目增</w:t>
      </w:r>
      <w:r>
        <w:rPr>
          <w:rFonts w:hint="eastAsia" w:ascii="宋体" w:hAnsi="宋体" w:eastAsia="宋体" w:cs="宋体"/>
          <w:caps w:val="0"/>
          <w:smallCaps w:val="0"/>
          <w:color w:val="000000"/>
          <w:sz w:val="21"/>
          <w:szCs w:val="21"/>
          <w:highlight w:val="none"/>
          <w:lang w:val="en-US" w:eastAsia="zh-CN"/>
        </w:rPr>
        <w:t>加或者减少，暂停工程施工</w:t>
      </w:r>
      <w:r>
        <w:rPr>
          <w:rFonts w:hint="eastAsia" w:ascii="宋体" w:hAnsi="宋体" w:eastAsia="宋体" w:cs="宋体"/>
          <w:caps w:val="0"/>
          <w:smallCaps w:val="0"/>
          <w:color w:val="000000"/>
          <w:sz w:val="21"/>
          <w:szCs w:val="21"/>
          <w:highlight w:val="none"/>
        </w:rPr>
        <w:t>等）</w:t>
      </w:r>
      <w:r>
        <w:rPr>
          <w:rFonts w:hint="eastAsia" w:ascii="宋体" w:hAnsi="宋体" w:eastAsia="宋体" w:cs="宋体"/>
          <w:caps w:val="0"/>
          <w:smallCaps w:val="0"/>
          <w:color w:val="000000"/>
          <w:sz w:val="21"/>
          <w:szCs w:val="21"/>
          <w:highlight w:val="none"/>
          <w:lang w:val="en-US" w:eastAsia="zh-CN"/>
        </w:rPr>
        <w:t>造成买方的</w:t>
      </w:r>
      <w:r>
        <w:rPr>
          <w:rFonts w:hint="eastAsia" w:ascii="宋体" w:hAnsi="宋体" w:eastAsia="宋体" w:cs="宋体"/>
          <w:caps w:val="0"/>
          <w:smallCaps w:val="0"/>
          <w:color w:val="000000"/>
          <w:sz w:val="21"/>
          <w:szCs w:val="21"/>
          <w:highlight w:val="none"/>
        </w:rPr>
        <w:t>人、材、机停（窝）工</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工期延长等</w:t>
      </w:r>
      <w:r>
        <w:rPr>
          <w:rFonts w:hint="eastAsia" w:ascii="宋体" w:hAnsi="宋体" w:eastAsia="宋体" w:cs="宋体"/>
          <w:caps w:val="0"/>
          <w:smallCaps w:val="0"/>
          <w:color w:val="000000"/>
          <w:sz w:val="21"/>
          <w:szCs w:val="21"/>
          <w:highlight w:val="none"/>
          <w:lang w:val="en-US" w:eastAsia="zh-CN"/>
        </w:rPr>
        <w:t>的相关费用由卖方承担。</w:t>
      </w:r>
    </w:p>
    <w:p w14:paraId="636867FF">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 xml:space="preserve">11.19卖方已经在投标前，对该工程进行全面了解，已经充分评估该合同履约存在的风险，对合同履约中排除相关风险的相关工作承担责任；   </w:t>
      </w:r>
    </w:p>
    <w:p w14:paraId="26439D6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11.20为迎接相关职能部门、买方上级部门的检查、参观学习，买方提出的迎检布置要求，由卖方完成迎检工作</w:t>
      </w:r>
      <w:r>
        <w:rPr>
          <w:rFonts w:hint="eastAsia" w:ascii="宋体" w:hAnsi="宋体" w:eastAsia="宋体" w:cs="宋体"/>
          <w:caps w:val="0"/>
          <w:smallCaps w:val="0"/>
          <w:color w:val="000000"/>
          <w:sz w:val="21"/>
          <w:szCs w:val="21"/>
          <w:highlight w:val="none"/>
        </w:rPr>
        <w:t>。</w:t>
      </w:r>
    </w:p>
    <w:p w14:paraId="45B7CAD3">
      <w:pPr>
        <w:pageBreakBefore w:val="0"/>
        <w:tabs>
          <w:tab w:val="left" w:pos="1134"/>
        </w:tabs>
        <w:kinsoku/>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en-US" w:eastAsia="zh-CN"/>
        </w:rPr>
      </w:pPr>
      <w:r>
        <w:rPr>
          <w:rFonts w:hint="eastAsia" w:ascii="宋体" w:eastAsia="宋体" w:cs="宋体"/>
          <w:caps w:val="0"/>
          <w:smallCaps w:val="0"/>
          <w:color w:val="000000"/>
          <w:sz w:val="21"/>
          <w:szCs w:val="21"/>
          <w:highlight w:val="none"/>
          <w:lang w:val="en-US" w:eastAsia="zh-CN"/>
        </w:rPr>
        <w:t xml:space="preserve">11.21 </w:t>
      </w:r>
      <w:r>
        <w:rPr>
          <w:rFonts w:hint="eastAsia" w:ascii="宋体" w:hAnsi="宋体" w:eastAsia="宋体" w:cs="宋体"/>
          <w:caps w:val="0"/>
          <w:smallCaps w:val="0"/>
          <w:color w:val="auto"/>
          <w:sz w:val="21"/>
          <w:szCs w:val="21"/>
          <w:highlight w:val="none"/>
          <w:lang w:val="en-US" w:eastAsia="zh-CN"/>
        </w:rPr>
        <w:t>卖方中标后配合买方完成</w:t>
      </w:r>
      <w:r>
        <w:rPr>
          <w:rFonts w:hint="eastAsia" w:ascii="宋体" w:hAnsi="宋体" w:cs="宋体"/>
          <w:caps w:val="0"/>
          <w:smallCaps w:val="0"/>
          <w:color w:val="auto"/>
          <w:sz w:val="21"/>
          <w:szCs w:val="21"/>
          <w:highlight w:val="none"/>
          <w:lang w:val="en-US" w:eastAsia="zh-CN"/>
        </w:rPr>
        <w:t>产线</w:t>
      </w:r>
      <w:r>
        <w:rPr>
          <w:rFonts w:hint="eastAsia" w:ascii="宋体" w:hAnsi="宋体" w:eastAsia="宋体" w:cs="宋体"/>
          <w:caps w:val="0"/>
          <w:smallCaps w:val="0"/>
          <w:color w:val="auto"/>
          <w:sz w:val="21"/>
          <w:szCs w:val="21"/>
          <w:highlight w:val="none"/>
          <w:lang w:val="en-US" w:eastAsia="zh-CN"/>
        </w:rPr>
        <w:t>整体布局设计，至少应包括中标通知书签发30日内提供设备图、安装布局图和管路图等，均需提供2D和3D图。</w:t>
      </w:r>
    </w:p>
    <w:p w14:paraId="5AB5BDDF">
      <w:pPr>
        <w:pageBreakBefore w:val="0"/>
        <w:tabs>
          <w:tab w:val="left" w:pos="1134"/>
        </w:tabs>
        <w:kinsoku/>
        <w:overflowPunct/>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Cs w:val="28"/>
          <w:lang w:val="en-US" w:eastAsia="zh-CN"/>
          <w14:textFill>
            <w14:solidFill>
              <w14:schemeClr w14:val="tx1"/>
            </w14:solidFill>
          </w14:textFill>
        </w:rPr>
        <w:t>11.22卖方</w:t>
      </w:r>
      <w:r>
        <w:rPr>
          <w:rFonts w:hint="eastAsia" w:ascii="宋体" w:hAnsi="宋体" w:eastAsia="宋体" w:cs="宋体"/>
          <w:color w:val="000000" w:themeColor="text1"/>
          <w:szCs w:val="28"/>
          <w14:textFill>
            <w14:solidFill>
              <w14:schemeClr w14:val="tx1"/>
            </w14:solidFill>
          </w14:textFill>
        </w:rPr>
        <w:t>无条件配合</w:t>
      </w:r>
      <w:r>
        <w:rPr>
          <w:rFonts w:hint="eastAsia" w:ascii="宋体" w:hAnsi="宋体" w:eastAsia="宋体" w:cs="宋体"/>
          <w:color w:val="000000" w:themeColor="text1"/>
          <w:szCs w:val="28"/>
          <w:lang w:val="en-US" w:eastAsia="zh-CN"/>
          <w14:textFill>
            <w14:solidFill>
              <w14:schemeClr w14:val="tx1"/>
            </w14:solidFill>
          </w14:textFill>
        </w:rPr>
        <w:t>买方完成合同设备及系统与买方上位MES系统的联调工作</w:t>
      </w:r>
      <w:r>
        <w:rPr>
          <w:rFonts w:hint="eastAsia" w:ascii="宋体" w:hAnsi="宋体" w:eastAsia="宋体" w:cs="宋体"/>
          <w:color w:val="000000" w:themeColor="text1"/>
          <w:szCs w:val="28"/>
          <w14:textFill>
            <w14:solidFill>
              <w14:schemeClr w14:val="tx1"/>
            </w14:solidFill>
          </w14:textFill>
        </w:rPr>
        <w:t>，不</w:t>
      </w:r>
      <w:r>
        <w:rPr>
          <w:rFonts w:hint="eastAsia" w:ascii="宋体" w:hAnsi="宋体" w:eastAsia="宋体" w:cs="宋体"/>
          <w:color w:val="000000" w:themeColor="text1"/>
          <w:szCs w:val="28"/>
          <w:lang w:val="en-US" w:eastAsia="zh-CN"/>
          <w14:textFill>
            <w14:solidFill>
              <w14:schemeClr w14:val="tx1"/>
            </w14:solidFill>
          </w14:textFill>
        </w:rPr>
        <w:t>再</w:t>
      </w:r>
      <w:r>
        <w:rPr>
          <w:rFonts w:hint="eastAsia" w:ascii="宋体" w:hAnsi="宋体" w:eastAsia="宋体" w:cs="宋体"/>
          <w:color w:val="000000" w:themeColor="text1"/>
          <w:szCs w:val="28"/>
          <w14:textFill>
            <w14:solidFill>
              <w14:schemeClr w14:val="tx1"/>
            </w14:solidFill>
          </w14:textFill>
        </w:rPr>
        <w:t>收取任何费用，不得设置技术障碍</w:t>
      </w:r>
      <w:r>
        <w:rPr>
          <w:rFonts w:hint="eastAsia" w:ascii="宋体" w:hAnsi="宋体" w:eastAsia="宋体" w:cs="宋体"/>
          <w:color w:val="000000" w:themeColor="text1"/>
          <w:szCs w:val="28"/>
          <w:lang w:eastAsia="zh-CN"/>
          <w14:textFill>
            <w14:solidFill>
              <w14:schemeClr w14:val="tx1"/>
            </w14:solidFill>
          </w14:textFill>
        </w:rPr>
        <w:t>，</w:t>
      </w:r>
      <w:r>
        <w:rPr>
          <w:rFonts w:hint="eastAsia" w:ascii="宋体" w:hAnsi="宋体" w:eastAsia="宋体" w:cs="宋体"/>
          <w:color w:val="000000" w:themeColor="text1"/>
          <w:szCs w:val="28"/>
          <w:lang w:val="en-US" w:eastAsia="zh-CN"/>
          <w14:textFill>
            <w14:solidFill>
              <w14:schemeClr w14:val="tx1"/>
            </w14:solidFill>
          </w14:textFill>
        </w:rPr>
        <w:t>所有所涉及的硬件、软件、人工、差旅等费用均已包含在签约合同总价内</w:t>
      </w:r>
      <w:r>
        <w:rPr>
          <w:rFonts w:hint="eastAsia" w:ascii="宋体" w:hAnsi="宋体" w:eastAsia="宋体" w:cs="宋体"/>
          <w:color w:val="000000" w:themeColor="text1"/>
          <w:szCs w:val="28"/>
          <w14:textFill>
            <w14:solidFill>
              <w14:schemeClr w14:val="tx1"/>
            </w14:solidFill>
          </w14:textFill>
        </w:rPr>
        <w:t>。</w:t>
      </w:r>
    </w:p>
    <w:p w14:paraId="627E0A76">
      <w:pPr>
        <w:tabs>
          <w:tab w:val="left" w:pos="1134"/>
        </w:tabs>
        <w:spacing w:line="360" w:lineRule="auto"/>
        <w:ind w:firstLine="422" w:firstLineChars="200"/>
        <w:rPr>
          <w:rFonts w:ascii="宋体" w:hAnsi="宋体"/>
          <w:szCs w:val="21"/>
        </w:rPr>
      </w:pPr>
      <w:r>
        <w:rPr>
          <w:rFonts w:hint="eastAsia" w:ascii="宋体"/>
          <w:b/>
          <w:bCs/>
          <w:color w:val="auto"/>
          <w:szCs w:val="21"/>
          <w:highlight w:val="none"/>
          <w:u w:val="none"/>
          <w:lang w:val="en-US" w:eastAsia="zh-CN"/>
        </w:rPr>
        <w:t>以上卖方的保证</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在合同履约中产生的</w:t>
      </w:r>
      <w:r>
        <w:rPr>
          <w:rFonts w:hint="eastAsia" w:ascii="宋体"/>
          <w:b/>
          <w:bCs/>
          <w:color w:val="auto"/>
          <w:szCs w:val="21"/>
          <w:highlight w:val="none"/>
          <w:u w:val="none"/>
        </w:rPr>
        <w:t>相关费用已</w:t>
      </w:r>
      <w:r>
        <w:rPr>
          <w:rFonts w:hint="eastAsia" w:ascii="宋体"/>
          <w:b/>
          <w:bCs/>
          <w:color w:val="auto"/>
          <w:szCs w:val="21"/>
          <w:highlight w:val="none"/>
          <w:u w:val="none"/>
          <w:lang w:val="en-US" w:eastAsia="zh-CN"/>
        </w:rPr>
        <w:t>包含在签约合同价格</w:t>
      </w:r>
      <w:r>
        <w:rPr>
          <w:rFonts w:hint="eastAsia" w:ascii="宋体"/>
          <w:b/>
          <w:bCs/>
          <w:color w:val="auto"/>
          <w:szCs w:val="21"/>
          <w:highlight w:val="none"/>
          <w:u w:val="none"/>
        </w:rPr>
        <w:t>中</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如清单中未体现，卖方已经综合考虑将其纳入到其他清单中进行了综合报价）</w:t>
      </w:r>
      <w:r>
        <w:rPr>
          <w:rFonts w:hint="eastAsia" w:ascii="宋体"/>
          <w:b/>
          <w:bCs/>
          <w:color w:val="auto"/>
          <w:szCs w:val="21"/>
          <w:highlight w:val="none"/>
          <w:u w:val="none"/>
        </w:rPr>
        <w:t>，结算时</w:t>
      </w:r>
      <w:r>
        <w:rPr>
          <w:rFonts w:hint="eastAsia" w:ascii="宋体"/>
          <w:b/>
          <w:bCs/>
          <w:color w:val="auto"/>
          <w:szCs w:val="21"/>
          <w:highlight w:val="none"/>
          <w:u w:val="none"/>
          <w:lang w:val="en-US" w:eastAsia="zh-CN"/>
        </w:rPr>
        <w:t>买方</w:t>
      </w:r>
      <w:r>
        <w:rPr>
          <w:rFonts w:hint="eastAsia" w:ascii="宋体"/>
          <w:b/>
          <w:bCs/>
          <w:color w:val="auto"/>
          <w:szCs w:val="21"/>
          <w:highlight w:val="none"/>
          <w:u w:val="none"/>
        </w:rPr>
        <w:t>对此类费用不再另行支付</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如因卖方原因，造成工期延误由卖方承担，如</w:t>
      </w:r>
      <w:r>
        <w:rPr>
          <w:rFonts w:hint="eastAsia" w:ascii="宋体" w:cs="宋体"/>
          <w:b/>
          <w:bCs/>
          <w:color w:val="auto"/>
          <w:szCs w:val="21"/>
          <w:highlight w:val="none"/>
          <w:u w:val="none"/>
        </w:rPr>
        <w:t>因</w:t>
      </w:r>
      <w:r>
        <w:rPr>
          <w:rFonts w:hint="eastAsia" w:ascii="宋体" w:cs="宋体"/>
          <w:b/>
          <w:bCs/>
          <w:color w:val="auto"/>
          <w:szCs w:val="21"/>
          <w:highlight w:val="none"/>
          <w:u w:val="none"/>
          <w:lang w:val="en-US" w:eastAsia="zh-CN"/>
        </w:rPr>
        <w:t>买方原因导致</w:t>
      </w:r>
      <w:r>
        <w:rPr>
          <w:rFonts w:hint="eastAsia" w:ascii="宋体" w:cs="宋体"/>
          <w:b/>
          <w:bCs/>
          <w:color w:val="auto"/>
          <w:szCs w:val="21"/>
          <w:highlight w:val="none"/>
          <w:u w:val="none"/>
        </w:rPr>
        <w:t>工期</w:t>
      </w:r>
      <w:r>
        <w:rPr>
          <w:rFonts w:hint="eastAsia" w:ascii="宋体" w:cs="宋体"/>
          <w:b/>
          <w:bCs/>
          <w:color w:val="auto"/>
          <w:szCs w:val="21"/>
          <w:highlight w:val="none"/>
          <w:u w:val="none"/>
          <w:lang w:val="en-US" w:eastAsia="zh-CN"/>
        </w:rPr>
        <w:t>延误的</w:t>
      </w:r>
      <w:r>
        <w:rPr>
          <w:rFonts w:hint="eastAsia" w:ascii="宋体" w:cs="宋体"/>
          <w:b/>
          <w:bCs/>
          <w:color w:val="auto"/>
          <w:szCs w:val="21"/>
          <w:highlight w:val="none"/>
          <w:u w:val="none"/>
        </w:rPr>
        <w:t>，</w:t>
      </w:r>
      <w:r>
        <w:rPr>
          <w:rFonts w:hint="eastAsia" w:ascii="宋体" w:cs="宋体"/>
          <w:b/>
          <w:bCs/>
          <w:color w:val="auto"/>
          <w:szCs w:val="21"/>
          <w:highlight w:val="none"/>
          <w:u w:val="none"/>
          <w:lang w:val="en-US" w:eastAsia="zh-CN"/>
        </w:rPr>
        <w:t>买方只</w:t>
      </w:r>
      <w:r>
        <w:rPr>
          <w:rFonts w:hint="eastAsia" w:ascii="宋体" w:cs="宋体"/>
          <w:b/>
          <w:bCs/>
          <w:color w:val="auto"/>
          <w:szCs w:val="21"/>
          <w:highlight w:val="none"/>
          <w:u w:val="none"/>
        </w:rPr>
        <w:t>同意</w:t>
      </w:r>
      <w:r>
        <w:rPr>
          <w:rFonts w:hint="eastAsia" w:ascii="宋体" w:cs="宋体"/>
          <w:b/>
          <w:bCs/>
          <w:color w:val="auto"/>
          <w:szCs w:val="21"/>
          <w:highlight w:val="none"/>
          <w:u w:val="none"/>
          <w:lang w:val="en-US" w:eastAsia="zh-CN"/>
        </w:rPr>
        <w:t>工期</w:t>
      </w:r>
      <w:r>
        <w:rPr>
          <w:rFonts w:hint="eastAsia" w:ascii="宋体" w:cs="宋体"/>
          <w:b/>
          <w:bCs/>
          <w:color w:val="auto"/>
          <w:szCs w:val="21"/>
          <w:highlight w:val="none"/>
          <w:u w:val="none"/>
        </w:rPr>
        <w:t>顺延</w:t>
      </w:r>
      <w:r>
        <w:rPr>
          <w:rFonts w:hint="eastAsia" w:ascii="宋体" w:hAnsi="宋体"/>
          <w:szCs w:val="21"/>
        </w:rPr>
        <w:t>。</w:t>
      </w:r>
    </w:p>
    <w:p w14:paraId="5327E0D8">
      <w:pPr>
        <w:pStyle w:val="97"/>
        <w:keepNext w:val="0"/>
        <w:keepLines w:val="0"/>
        <w:tabs>
          <w:tab w:val="left" w:pos="567"/>
        </w:tabs>
        <w:spacing w:before="156" w:after="156"/>
        <w:rPr>
          <w:rFonts w:eastAsia="宋体" w:cs="Times New Roman"/>
          <w:b/>
          <w:bCs/>
          <w:sz w:val="32"/>
          <w:szCs w:val="32"/>
        </w:rPr>
      </w:pPr>
      <w:bookmarkStart w:id="851" w:name="_Toc32464"/>
      <w:bookmarkStart w:id="852" w:name="_Toc548"/>
      <w:bookmarkStart w:id="853" w:name="_Toc30305"/>
      <w:bookmarkStart w:id="854" w:name="_Toc17955"/>
      <w:bookmarkStart w:id="855" w:name="_Toc29829"/>
      <w:bookmarkStart w:id="856" w:name="_Toc11968"/>
      <w:r>
        <w:rPr>
          <w:rFonts w:hint="eastAsia" w:eastAsia="宋体" w:cs="Times New Roman"/>
          <w:b/>
          <w:bCs/>
          <w:sz w:val="32"/>
          <w:szCs w:val="32"/>
        </w:rPr>
        <w:t>12.知识产权</w:t>
      </w:r>
      <w:bookmarkEnd w:id="851"/>
      <w:bookmarkEnd w:id="852"/>
      <w:bookmarkEnd w:id="853"/>
      <w:bookmarkEnd w:id="854"/>
      <w:bookmarkEnd w:id="855"/>
      <w:bookmarkEnd w:id="856"/>
    </w:p>
    <w:p w14:paraId="2E1A5A85">
      <w:pPr>
        <w:tabs>
          <w:tab w:val="left" w:pos="1134"/>
        </w:tabs>
        <w:spacing w:line="360" w:lineRule="auto"/>
        <w:ind w:firstLine="420" w:firstLineChars="200"/>
        <w:rPr>
          <w:rFonts w:ascii="宋体" w:hAnsi="宋体"/>
          <w:szCs w:val="21"/>
          <w:u w:val="single"/>
        </w:rPr>
      </w:pPr>
      <w:r>
        <w:rPr>
          <w:rFonts w:hint="eastAsia" w:ascii="宋体" w:hAnsi="宋体"/>
          <w:szCs w:val="21"/>
        </w:rPr>
        <w:t>12</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买方对卖方提供相关技术资料享有相关知识产权的约定：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买方对卖方</w:t>
      </w:r>
      <w:r>
        <w:rPr>
          <w:rFonts w:hint="eastAsia" w:ascii="宋体" w:hAnsi="宋体" w:eastAsia="宋体" w:cs="宋体"/>
          <w:caps w:val="0"/>
          <w:smallCaps w:val="0"/>
          <w:color w:val="000000"/>
          <w:sz w:val="21"/>
          <w:szCs w:val="21"/>
          <w:highlight w:val="none"/>
          <w:u w:val="single"/>
        </w:rPr>
        <w:t>提供</w:t>
      </w:r>
      <w:r>
        <w:rPr>
          <w:rFonts w:hint="eastAsia" w:ascii="宋体" w:hAnsi="宋体" w:eastAsia="宋体" w:cs="宋体"/>
          <w:caps w:val="0"/>
          <w:smallCaps w:val="0"/>
          <w:color w:val="000000"/>
          <w:sz w:val="21"/>
          <w:szCs w:val="21"/>
          <w:highlight w:val="none"/>
          <w:u w:val="single"/>
          <w:lang w:val="en-US" w:eastAsia="zh-CN"/>
        </w:rPr>
        <w:t>的</w:t>
      </w:r>
      <w:r>
        <w:rPr>
          <w:rFonts w:hint="eastAsia" w:ascii="宋体" w:hAnsi="宋体" w:eastAsia="宋体" w:cs="宋体"/>
          <w:caps w:val="0"/>
          <w:smallCaps w:val="0"/>
          <w:color w:val="000000"/>
          <w:sz w:val="21"/>
          <w:szCs w:val="21"/>
          <w:highlight w:val="none"/>
          <w:u w:val="single"/>
        </w:rPr>
        <w:t>相关技术资料</w:t>
      </w:r>
      <w:r>
        <w:rPr>
          <w:rFonts w:hint="eastAsia" w:ascii="宋体" w:hAnsi="宋体" w:eastAsia="宋体" w:cs="宋体"/>
          <w:caps w:val="0"/>
          <w:smallCaps w:val="0"/>
          <w:color w:val="000000"/>
          <w:sz w:val="21"/>
          <w:szCs w:val="21"/>
          <w:highlight w:val="none"/>
          <w:u w:val="single"/>
          <w:lang w:val="en-US" w:eastAsia="zh-CN"/>
        </w:rPr>
        <w:t>永久、无偿</w:t>
      </w:r>
      <w:r>
        <w:rPr>
          <w:rFonts w:hint="eastAsia" w:ascii="宋体" w:hAnsi="宋体" w:eastAsia="宋体" w:cs="宋体"/>
          <w:caps w:val="0"/>
          <w:smallCaps w:val="0"/>
          <w:color w:val="000000"/>
          <w:sz w:val="21"/>
          <w:szCs w:val="21"/>
          <w:highlight w:val="none"/>
          <w:u w:val="single"/>
        </w:rPr>
        <w:t>享有相关知识产权</w:t>
      </w:r>
      <w:r>
        <w:rPr>
          <w:rFonts w:hint="eastAsia" w:ascii="宋体" w:hAnsi="宋体"/>
          <w:szCs w:val="21"/>
          <w:u w:val="single"/>
        </w:rPr>
        <w:t>。</w:t>
      </w:r>
    </w:p>
    <w:p w14:paraId="5ACEC0B6">
      <w:pPr>
        <w:tabs>
          <w:tab w:val="left" w:pos="1134"/>
        </w:tabs>
        <w:spacing w:line="360" w:lineRule="auto"/>
        <w:ind w:firstLine="420" w:firstLineChars="200"/>
        <w:rPr>
          <w:rFonts w:ascii="宋体" w:hAnsi="宋体"/>
          <w:szCs w:val="21"/>
        </w:rPr>
      </w:pPr>
      <w:r>
        <w:rPr>
          <w:rFonts w:hint="eastAsia" w:ascii="宋体" w:hAnsi="宋体"/>
          <w:szCs w:val="21"/>
        </w:rPr>
        <w:t>12</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买方应对第三方有关知识产权的主张、索赔或诉讼的约定：</w:t>
      </w:r>
      <w:r>
        <w:rPr>
          <w:rFonts w:hint="eastAsia" w:ascii="宋体" w:hAnsi="宋体" w:eastAsia="宋体" w:cs="宋体"/>
          <w:caps w:val="0"/>
          <w:smallCaps w:val="0"/>
          <w:color w:val="000000"/>
          <w:sz w:val="21"/>
          <w:szCs w:val="21"/>
          <w:highlight w:val="none"/>
          <w:u w:val="none"/>
        </w:rPr>
        <w:t xml:space="preserve"> </w:t>
      </w:r>
      <w:r>
        <w:rPr>
          <w:rFonts w:hint="eastAsia" w:ascii="宋体" w:hAnsi="宋体" w:eastAsia="宋体" w:cs="宋体"/>
          <w:caps w:val="0"/>
          <w:smallCaps w:val="0"/>
          <w:color w:val="000000"/>
          <w:szCs w:val="21"/>
          <w:highlight w:val="none"/>
          <w:u w:val="single"/>
        </w:rPr>
        <w:t>如果</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收到任何第三方有关知识产权的主张、索赔或诉讼，</w:t>
      </w:r>
      <w:r>
        <w:rPr>
          <w:rFonts w:hint="eastAsia" w:ascii="宋体" w:hAnsi="宋体" w:eastAsia="宋体" w:cs="宋体"/>
          <w:caps w:val="0"/>
          <w:smallCaps w:val="0"/>
          <w:color w:val="000000"/>
          <w:sz w:val="21"/>
          <w:szCs w:val="21"/>
          <w:highlight w:val="none"/>
          <w:u w:val="single"/>
          <w:lang w:val="en-US" w:eastAsia="zh-CN"/>
        </w:rPr>
        <w:t>由买方通知卖方独立处置，</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通知后，应以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名义</w:t>
      </w:r>
      <w:r>
        <w:rPr>
          <w:rFonts w:hint="eastAsia" w:ascii="宋体" w:hAnsi="宋体" w:eastAsia="宋体" w:cs="宋体"/>
          <w:caps w:val="0"/>
          <w:smallCaps w:val="0"/>
          <w:color w:val="000000"/>
          <w:szCs w:val="21"/>
          <w:highlight w:val="none"/>
          <w:u w:val="single"/>
          <w:lang w:val="en-US" w:eastAsia="zh-CN"/>
        </w:rPr>
        <w:t>(或买方配合）</w:t>
      </w:r>
      <w:r>
        <w:rPr>
          <w:rFonts w:hint="eastAsia" w:ascii="宋体" w:hAnsi="宋体" w:eastAsia="宋体" w:cs="宋体"/>
          <w:caps w:val="0"/>
          <w:smallCaps w:val="0"/>
          <w:color w:val="000000"/>
          <w:szCs w:val="21"/>
          <w:highlight w:val="none"/>
          <w:u w:val="single"/>
        </w:rPr>
        <w:t>自负费用处理与第三方的索赔或诉讼，并赔偿</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因此发生的费用和遭受的损失。如果</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拒绝处理前述索赔或诉讼或在收到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 xml:space="preserve">通知后 </w:t>
      </w:r>
      <w:r>
        <w:rPr>
          <w:rFonts w:hint="eastAsia" w:ascii="宋体" w:hAnsi="宋体" w:eastAsia="宋体" w:cs="宋体"/>
          <w:caps w:val="0"/>
          <w:smallCaps w:val="0"/>
          <w:color w:val="000000"/>
          <w:szCs w:val="21"/>
          <w:highlight w:val="none"/>
          <w:u w:val="single"/>
          <w:lang w:val="en-US" w:eastAsia="zh-CN"/>
        </w:rPr>
        <w:t>7</w:t>
      </w:r>
      <w:r>
        <w:rPr>
          <w:rFonts w:hint="eastAsia" w:ascii="宋体" w:hAnsi="宋体" w:eastAsia="宋体" w:cs="宋体"/>
          <w:caps w:val="0"/>
          <w:smallCaps w:val="0"/>
          <w:color w:val="000000"/>
          <w:szCs w:val="21"/>
          <w:highlight w:val="none"/>
          <w:u w:val="single"/>
        </w:rPr>
        <w:t xml:space="preserve"> 日内未作表示，</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可以自己的名义进行索赔或诉讼，因此发生的费用和遭受的损失均应由</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szCs w:val="21"/>
        </w:rPr>
        <w:t>。</w:t>
      </w:r>
    </w:p>
    <w:p w14:paraId="5D995C70">
      <w:pPr>
        <w:pStyle w:val="97"/>
        <w:keepNext w:val="0"/>
        <w:keepLines w:val="0"/>
        <w:tabs>
          <w:tab w:val="left" w:pos="567"/>
        </w:tabs>
        <w:spacing w:before="156" w:after="156"/>
        <w:rPr>
          <w:rFonts w:eastAsia="宋体" w:cs="Times New Roman"/>
          <w:b/>
          <w:bCs/>
          <w:sz w:val="32"/>
          <w:szCs w:val="32"/>
        </w:rPr>
      </w:pPr>
      <w:bookmarkStart w:id="857" w:name="_Toc27903"/>
      <w:bookmarkStart w:id="858" w:name="_Toc32592"/>
      <w:bookmarkStart w:id="859" w:name="_Toc531606355"/>
      <w:bookmarkStart w:id="860" w:name="_Toc13276"/>
      <w:bookmarkStart w:id="861" w:name="_Toc531098991"/>
      <w:bookmarkStart w:id="862" w:name="_Toc23531"/>
      <w:bookmarkStart w:id="863" w:name="_Toc1892"/>
      <w:bookmarkStart w:id="864" w:name="_Toc31564"/>
      <w:r>
        <w:rPr>
          <w:rFonts w:hint="eastAsia" w:eastAsia="宋体" w:cs="Times New Roman"/>
          <w:b/>
          <w:bCs/>
          <w:sz w:val="32"/>
          <w:szCs w:val="32"/>
        </w:rPr>
        <w:t>14. 违约责任</w:t>
      </w:r>
      <w:bookmarkEnd w:id="857"/>
      <w:bookmarkEnd w:id="858"/>
      <w:bookmarkEnd w:id="859"/>
      <w:bookmarkEnd w:id="860"/>
      <w:bookmarkEnd w:id="861"/>
      <w:bookmarkEnd w:id="862"/>
      <w:bookmarkEnd w:id="863"/>
      <w:bookmarkEnd w:id="864"/>
    </w:p>
    <w:p w14:paraId="0BC31235">
      <w:pPr>
        <w:tabs>
          <w:tab w:val="left" w:pos="1134"/>
        </w:tabs>
        <w:spacing w:line="360" w:lineRule="auto"/>
        <w:ind w:firstLine="420" w:firstLineChars="200"/>
        <w:rPr>
          <w:rFonts w:hint="eastAsia" w:ascii="宋体" w:hAnsi="宋体"/>
        </w:rPr>
      </w:pPr>
      <w:r>
        <w:rPr>
          <w:rFonts w:hint="eastAsia" w:ascii="宋体" w:hAnsi="宋体"/>
          <w:szCs w:val="21"/>
        </w:rPr>
        <w:t xml:space="preserve">14.1 </w:t>
      </w:r>
      <w:r>
        <w:rPr>
          <w:rFonts w:hint="eastAsia" w:ascii="宋体" w:hAnsi="宋体"/>
        </w:rPr>
        <w:t>合同任意一方支付的违约金总额不得超过合同价格的</w:t>
      </w:r>
      <w:r>
        <w:rPr>
          <w:rFonts w:hint="eastAsia"/>
          <w:u w:val="single"/>
        </w:rPr>
        <w:t>20</w:t>
      </w:r>
      <w:r>
        <w:t>%</w:t>
      </w:r>
      <w:r>
        <w:rPr>
          <w:rFonts w:hint="eastAsia" w:ascii="宋体" w:hAnsi="宋体"/>
        </w:rPr>
        <w:t>。</w:t>
      </w:r>
    </w:p>
    <w:p w14:paraId="19218DB9">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通用合同条款14.2、14.3款细化为：</w:t>
      </w:r>
    </w:p>
    <w:p w14:paraId="578F4149">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14.2 卖方违约责任的约定</w:t>
      </w:r>
    </w:p>
    <w:p w14:paraId="7085073B">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卖方发生下列任一违约行为时，应向买方支付违约金，并赔偿买方因此遭受的超出违约金数额的全部损失。同时，买方有权向卖方发</w:t>
      </w:r>
      <w:r>
        <w:rPr>
          <w:rFonts w:hint="eastAsia" w:ascii="宋体" w:hAnsi="宋体"/>
          <w:szCs w:val="21"/>
          <w:highlight w:val="none"/>
          <w:lang w:val="en-US" w:eastAsia="zh-CN"/>
        </w:rPr>
        <w:t>出书面整改通知，要求其在该通知指定的合理</w:t>
      </w:r>
      <w:r>
        <w:rPr>
          <w:rFonts w:hint="eastAsia" w:ascii="宋体" w:hAnsi="宋体"/>
          <w:szCs w:val="21"/>
          <w:lang w:val="en-US" w:eastAsia="zh-CN"/>
        </w:rPr>
        <w:t>期限内纠正，由此增加的全部费用由卖方承担。除本条另有明确约定外，如卖方未能在该指定期限内纠正的，买方有权解除合同。</w:t>
      </w:r>
    </w:p>
    <w:p w14:paraId="0BFAF7DA">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1）在制造过程中，买方监造人员发现合同设备零部件或制造工艺不符合合同要求的，卖方应立即整改，并重新制造或更换不符合要求的合同设备。如卖方拒不整改，该部分设备不纳入验收，且买方有权依据本14.2条总括规定要求卖方承担相应违约责任或解除合同。</w:t>
      </w:r>
    </w:p>
    <w:p w14:paraId="7D6B18B0">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（2）未能按时交付合同设备（包括仅延迟交付技术资料，但该延迟足以导致合同设备安装、调试、考核、验收工作推迟的）的，卖方应向买方支付延迟交付违约金。违约金计算方法为：</w:t>
      </w:r>
    </w:p>
    <w:p w14:paraId="783D7105">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a）延迟交付合同设备的，自延迟交付次日起，按该延迟交付合同设备价格的0.2%/天累计计算违约金；</w:t>
      </w:r>
    </w:p>
    <w:p w14:paraId="2016BA29">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b）仅延迟交付技术资料的，按500元/天累计计算违约金。</w:t>
      </w:r>
    </w:p>
    <w:p w14:paraId="44E99C89">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延迟交付违约金的支付不免除卖方继续交付相关合同设备的义务。如该延迟交付必然导致合同设备安装、调试、考核、验收等工作推迟的，相应工期不顺延，由卖方承担一切责任及费用。</w:t>
      </w:r>
    </w:p>
    <w:p w14:paraId="1EEF069D">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3）在到货或安装过程检验中，发现合同设备不符合本合同要求的，卖方应负责更换不符合要求的合同设备，直至验收合格，并向买方支付该不符合要求合同设备价格20%的违约金。如卖方经买方书面通知后，在指定期限内仍未能完成更换或更换后仍不合格的，买方有权依据本14.2条总括规定解除合同。</w:t>
      </w:r>
    </w:p>
    <w:p w14:paraId="2AF48AB6">
      <w:pPr>
        <w:tabs>
          <w:tab w:val="left" w:pos="1134"/>
        </w:tabs>
        <w:spacing w:line="360" w:lineRule="auto"/>
        <w:ind w:firstLine="420" w:firstLineChars="200"/>
        <w:rPr>
          <w:rFonts w:hint="eastAsia" w:ascii="宋体" w:hAnsi="宋体"/>
          <w:color w:val="000000" w:themeColor="text1"/>
          <w:szCs w:val="21"/>
          <w:highlight w:val="yellow"/>
          <w:lang w:val="en-US" w:eastAsia="zh-CN"/>
          <w14:textFill>
            <w14:solidFill>
              <w14:schemeClr w14:val="tx1"/>
            </w14:solidFill>
          </w14:textFill>
        </w:rPr>
      </w:pPr>
      <w:r>
        <w:rPr>
          <w:rFonts w:hint="eastAsia" w:ascii="宋体" w:hAnsi="宋体"/>
          <w:color w:val="000000" w:themeColor="text1"/>
          <w:szCs w:val="21"/>
          <w:highlight w:val="none"/>
          <w:lang w:val="en-US" w:eastAsia="zh-CN"/>
          <w14:textFill>
            <w14:solidFill>
              <w14:schemeClr w14:val="tx1"/>
            </w14:solidFill>
          </w14:textFill>
        </w:rPr>
        <w:t>（4）</w:t>
      </w:r>
      <w:r>
        <w:rPr>
          <w:rFonts w:hint="eastAsia" w:ascii="宋体" w:hAnsi="宋体"/>
          <w:color w:val="000000" w:themeColor="text1"/>
          <w:szCs w:val="21"/>
          <w:lang w:val="en-US" w:eastAsia="zh-CN"/>
          <w14:textFill>
            <w14:solidFill>
              <w14:schemeClr w14:val="tx1"/>
            </w14:solidFill>
          </w14:textFill>
        </w:rPr>
        <w:t>合同设备的考核及未达标的处理，按以下约定执行：</w:t>
      </w:r>
    </w:p>
    <w:p w14:paraId="47423D22">
      <w:pPr>
        <w:pStyle w:val="4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eastAsia" w:ascii="宋体" w:hAnsi="宋体" w:eastAsia="宋体" w:cs="Times New Roman"/>
          <w:color w:val="000000" w:themeColor="text1"/>
          <w:kern w:val="2"/>
          <w:sz w:val="21"/>
          <w:szCs w:val="21"/>
          <w:lang w:val="en-US" w:eastAsia="zh-CN" w:bidi="ar-SA"/>
          <w14:textFill>
            <w14:solidFill>
              <w14:schemeClr w14:val="tx1"/>
            </w14:solidFill>
          </w14:textFill>
        </w:rPr>
      </w:pP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考核程序按本合同第6.3.3条约定的程序进行。合同设备因卖方原因，在按6.3.3条约定的考核（含三次整改机会）后仍未能达到合同约定的技术性能考核指标的，按如下方式处理：</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eastAsia" w:cs="Times New Roman"/>
          <w:color w:val="000000" w:themeColor="text1"/>
          <w:kern w:val="2"/>
          <w:sz w:val="21"/>
          <w:szCs w:val="21"/>
          <w:lang w:val="en-US" w:eastAsia="zh-CN" w:bidi="ar-SA"/>
          <w14:textFill>
            <w14:solidFill>
              <w14:schemeClr w14:val="tx1"/>
            </w14:solidFill>
          </w14:textFill>
        </w:rPr>
        <w:t xml:space="preserve">    1）</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单台设备性能不达标：</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a）如该单台设备性能虽未达到合同约定的技术性能考核指标，但已达到双方在考核中另行达成的最低技术性能考核指标的，卖方应就该台设备向买方支付减价或补偿金，减价或补偿金按该台设备价格的</w:t>
      </w:r>
      <w:r>
        <w:rPr>
          <w:rFonts w:hint="eastAsia" w:cs="Times New Roman"/>
          <w:color w:val="000000" w:themeColor="text1"/>
          <w:kern w:val="2"/>
          <w:sz w:val="21"/>
          <w:szCs w:val="21"/>
          <w:lang w:val="en-US" w:eastAsia="zh-CN" w:bidi="ar-SA"/>
          <w14:textFill>
            <w14:solidFill>
              <w14:schemeClr w14:val="tx1"/>
            </w14:solidFill>
          </w14:textFill>
        </w:rPr>
        <w:t>2</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0%计算；</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b）如该单台设备性能未达到合同约定的技术性能考核指标，且连双方在考核中另行达成的最低技术性能考核指标也未达到的，或卖方在整改期满后出现以下情形之一的，视为卖方不愿继续整改，买方有权直接对该单台设备处以相当于其价值100%的违约金：</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① 卖方书面明确表示不再继续整改；</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② 卖方在收到买方书面催告后15日内，仍未启动整改或未能提交合理的整改计划。</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eastAsia" w:cs="Times New Roman"/>
          <w:color w:val="000000" w:themeColor="text1"/>
          <w:kern w:val="2"/>
          <w:sz w:val="21"/>
          <w:szCs w:val="21"/>
          <w:lang w:val="en-US" w:eastAsia="zh-CN" w:bidi="ar-SA"/>
          <w14:textFill>
            <w14:solidFill>
              <w14:schemeClr w14:val="tx1"/>
            </w14:solidFill>
          </w14:textFill>
        </w:rPr>
        <w:t xml:space="preserve">    2）</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整线设备产能不达标：</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a）如整线设备产能未达到合同约定的产能指标，但已达到合同约定产能指标90%（含）的，且双方在考核中约定该等情形适用减价处理的，卖方应向买方支付合同总价10%的补偿金，本合同继续履行；</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b）如整线设备产能未达到合同约定产能指标的90%，或三次整改后整线设备产能仍不达标的</w:t>
      </w:r>
      <w:r>
        <w:rPr>
          <w:rFonts w:hint="eastAsia" w:cs="Times New Roman"/>
          <w:color w:val="000000" w:themeColor="text1"/>
          <w:kern w:val="2"/>
          <w:sz w:val="21"/>
          <w:szCs w:val="21"/>
          <w:lang w:val="en-US" w:eastAsia="zh-CN" w:bidi="ar-SA"/>
          <w14:textFill>
            <w14:solidFill>
              <w14:schemeClr w14:val="tx1"/>
            </w14:solidFill>
          </w14:textFill>
        </w:rPr>
        <w:t>（时间期限为3个月）</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，买方有权解除合同，卖方须在合同解除后15日内向买方退还已支付的全部合同价款，并自费拆除全部设备，同时向买方支付合同总价20%的违约金。</w:t>
      </w:r>
    </w:p>
    <w:p w14:paraId="71464424">
      <w:pPr>
        <w:pStyle w:val="4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default" w:ascii="宋体" w:hAnsi="宋体" w:eastAsia="宋体" w:cs="Times New Roman"/>
          <w:color w:val="000000" w:themeColor="text1"/>
          <w:kern w:val="2"/>
          <w:sz w:val="21"/>
          <w:szCs w:val="21"/>
          <w:lang w:val="en-US" w:eastAsia="zh-CN" w:bidi="ar-SA"/>
          <w14:textFill>
            <w14:solidFill>
              <w14:schemeClr w14:val="tx1"/>
            </w14:solidFill>
          </w14:textFill>
        </w:rPr>
      </w:pP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（5）质量保证期内，如合同设备被发现存在任何缺陷，且出现下列情形之一的，买方有权退还该台设备，卖方应退还该设备的全部价款，并向买方支付该存在缺陷合同设备价格10%的违约金：</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a）卖方拒绝根据合同约定进行修理或更换；</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b）经卖方修理或更换后，仍无法消除该缺陷。</w:t>
      </w:r>
    </w:p>
    <w:p w14:paraId="454F4107">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14.2.2卖方违反本合同第11条所作保证的，应在买方指定的期限内纠正或采取补救措施。如卖方纠正或采取的补救措施经买方书面认可的，卖方仍应向买方支付合同设备价格5%的违约金，并赔偿买方因此遭受的超出该违约金数额的全部损失。如卖方未在买方指定期限内纠正，或补救措施未能获得买方认可，则买方有权根据本14.2条总括规定要求卖方承担违约责任或解除合同。</w:t>
      </w:r>
    </w:p>
    <w:p w14:paraId="7B89EA89">
      <w:pPr>
        <w:tabs>
          <w:tab w:val="left" w:pos="1134"/>
        </w:tabs>
        <w:spacing w:line="360" w:lineRule="auto"/>
        <w:ind w:firstLine="420" w:firstLineChars="200"/>
        <w:rPr>
          <w:rFonts w:hint="default" w:ascii="宋体" w:hAnsi="宋体" w:eastAsia="宋体"/>
          <w:color w:val="auto"/>
          <w:szCs w:val="21"/>
          <w:lang w:val="en-US" w:eastAsia="zh-CN"/>
        </w:rPr>
      </w:pPr>
      <w:r>
        <w:rPr>
          <w:rFonts w:hint="eastAsia" w:ascii="宋体" w:hAnsi="宋体"/>
          <w:szCs w:val="21"/>
        </w:rPr>
        <w:t>14.3</w:t>
      </w:r>
      <w:r>
        <w:rPr>
          <w:rFonts w:ascii="宋体" w:hAnsi="宋体"/>
          <w:szCs w:val="21"/>
        </w:rPr>
        <w:t xml:space="preserve"> </w:t>
      </w:r>
      <w:r>
        <w:rPr>
          <w:rFonts w:hint="eastAsia" w:ascii="宋体" w:hAnsi="宋体"/>
          <w:szCs w:val="21"/>
        </w:rPr>
        <w:t>买方违约责任</w:t>
      </w:r>
      <w:r>
        <w:rPr>
          <w:rFonts w:hint="eastAsia" w:ascii="宋体" w:hAnsi="宋体"/>
          <w:szCs w:val="21"/>
          <w:lang w:val="en-US" w:eastAsia="zh-CN"/>
        </w:rPr>
        <w:t>的约定：</w:t>
      </w:r>
      <w:r>
        <w:rPr>
          <w:rFonts w:hint="eastAsia" w:ascii="宋体" w:hAnsi="宋体" w:eastAsia="宋体" w:cs="宋体"/>
          <w:caps w:val="0"/>
          <w:smallCaps w:val="0"/>
          <w:color w:val="auto"/>
          <w:sz w:val="21"/>
          <w:szCs w:val="21"/>
          <w:highlight w:val="none"/>
        </w:rPr>
        <w:t>未能按合同约定支付合同价款的，</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应向</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支付延迟付款违约金。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延迟付款违约金计算方法的约定</w:t>
      </w:r>
      <w:r>
        <w:rPr>
          <w:rFonts w:hint="eastAsia" w:ascii="宋体" w:hAnsi="宋体" w:eastAsia="宋体" w:cs="宋体"/>
          <w:caps w:val="0"/>
          <w:smallCaps w:val="0"/>
          <w:color w:val="FF0000"/>
          <w:sz w:val="21"/>
          <w:szCs w:val="21"/>
          <w:highlight w:val="none"/>
        </w:rPr>
        <w:t>：</w:t>
      </w:r>
      <w:r>
        <w:rPr>
          <w:rFonts w:hint="eastAsia" w:ascii="宋体" w:hAnsi="宋体" w:eastAsia="宋体" w:cs="宋体"/>
          <w:caps w:val="0"/>
          <w:smallCaps w:val="0"/>
          <w:color w:val="auto"/>
          <w:szCs w:val="21"/>
          <w:highlight w:val="none"/>
          <w:u w:val="single"/>
        </w:rPr>
        <w:t>违约金=未能按合同约定支付合同价款金额×中国人民银行 202</w:t>
      </w:r>
      <w:r>
        <w:rPr>
          <w:rFonts w:hint="eastAsia" w:ascii="宋体" w:hAnsi="宋体" w:eastAsia="宋体" w:cs="宋体"/>
          <w:caps w:val="0"/>
          <w:smallCaps w:val="0"/>
          <w:color w:val="auto"/>
          <w:szCs w:val="21"/>
          <w:highlight w:val="none"/>
          <w:u w:val="single"/>
          <w:lang w:val="en-US" w:eastAsia="zh-CN"/>
        </w:rPr>
        <w:t>6</w:t>
      </w:r>
      <w:r>
        <w:rPr>
          <w:rFonts w:hint="eastAsia" w:ascii="宋体" w:hAnsi="宋体" w:eastAsia="宋体" w:cs="宋体"/>
          <w:caps w:val="0"/>
          <w:smallCaps w:val="0"/>
          <w:color w:val="auto"/>
          <w:szCs w:val="21"/>
          <w:highlight w:val="none"/>
          <w:u w:val="single"/>
        </w:rPr>
        <w:t>年</w:t>
      </w:r>
      <w:r>
        <w:rPr>
          <w:rFonts w:hint="eastAsia" w:ascii="宋体" w:hAnsi="宋体" w:eastAsia="宋体" w:cs="宋体"/>
          <w:caps w:val="0"/>
          <w:smallCaps w:val="0"/>
          <w:color w:val="auto"/>
          <w:szCs w:val="21"/>
          <w:highlight w:val="none"/>
          <w:u w:val="single"/>
          <w:lang w:val="en-US" w:eastAsia="zh-CN"/>
        </w:rPr>
        <w:t>1</w:t>
      </w:r>
      <w:r>
        <w:rPr>
          <w:rFonts w:hint="eastAsia" w:ascii="宋体" w:hAnsi="宋体" w:eastAsia="宋体" w:cs="宋体"/>
          <w:caps w:val="0"/>
          <w:smallCaps w:val="0"/>
          <w:color w:val="auto"/>
          <w:szCs w:val="21"/>
          <w:highlight w:val="none"/>
          <w:u w:val="single"/>
        </w:rPr>
        <w:t>月公布的5年期贷款市场报价利率/360天×逾期天数（自第29天起计算）</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color w:val="auto"/>
          <w:sz w:val="21"/>
          <w:szCs w:val="21"/>
          <w:highlight w:val="none"/>
          <w:u w:val="none"/>
          <w:lang w:val="en-US" w:eastAsia="zh-CN"/>
        </w:rPr>
        <w:t>。</w:t>
      </w:r>
    </w:p>
    <w:p w14:paraId="52033CED">
      <w:pPr>
        <w:tabs>
          <w:tab w:val="left" w:pos="1134"/>
        </w:tabs>
        <w:spacing w:line="360" w:lineRule="auto"/>
        <w:ind w:firstLine="420" w:firstLineChars="200"/>
        <w:rPr>
          <w:rFonts w:hint="default" w:ascii="宋体" w:hAnsi="宋体" w:eastAsia="宋体"/>
          <w:szCs w:val="21"/>
          <w:lang w:val="en-US" w:eastAsia="zh-CN"/>
        </w:rPr>
      </w:pPr>
    </w:p>
    <w:p w14:paraId="0C9C738A">
      <w:pPr>
        <w:pStyle w:val="97"/>
        <w:keepNext w:val="0"/>
        <w:keepLines w:val="0"/>
        <w:tabs>
          <w:tab w:val="left" w:pos="567"/>
        </w:tabs>
        <w:spacing w:before="156" w:after="156"/>
        <w:rPr>
          <w:rFonts w:eastAsia="宋体" w:cs="Times New Roman"/>
          <w:b/>
          <w:bCs/>
          <w:sz w:val="32"/>
          <w:szCs w:val="32"/>
        </w:rPr>
      </w:pPr>
      <w:bookmarkStart w:id="865" w:name="_Toc26084"/>
      <w:bookmarkStart w:id="866" w:name="_Toc531098992"/>
      <w:bookmarkStart w:id="867" w:name="_Toc19438"/>
      <w:bookmarkStart w:id="868" w:name="_Toc6277"/>
      <w:bookmarkStart w:id="869" w:name="_Toc531606356"/>
      <w:bookmarkStart w:id="870" w:name="_Toc3357"/>
      <w:bookmarkStart w:id="871" w:name="_Toc29729"/>
      <w:bookmarkStart w:id="872" w:name="_Toc31345"/>
      <w:r>
        <w:rPr>
          <w:rFonts w:hint="eastAsia" w:eastAsia="宋体" w:cs="Times New Roman"/>
          <w:b/>
          <w:bCs/>
          <w:sz w:val="32"/>
          <w:szCs w:val="32"/>
        </w:rPr>
        <w:t>15. 合同的解除</w:t>
      </w:r>
      <w:bookmarkEnd w:id="865"/>
      <w:bookmarkEnd w:id="866"/>
      <w:bookmarkEnd w:id="867"/>
      <w:bookmarkEnd w:id="868"/>
      <w:bookmarkEnd w:id="869"/>
      <w:bookmarkEnd w:id="870"/>
      <w:bookmarkEnd w:id="871"/>
      <w:bookmarkEnd w:id="872"/>
    </w:p>
    <w:p w14:paraId="6A293D57">
      <w:pPr>
        <w:tabs>
          <w:tab w:val="left" w:pos="1134"/>
        </w:tabs>
        <w:spacing w:line="360" w:lineRule="auto"/>
        <w:ind w:firstLine="420"/>
        <w:rPr>
          <w:rFonts w:hint="eastAsia" w:ascii="宋体" w:hAnsi="宋体"/>
          <w:szCs w:val="21"/>
        </w:rPr>
      </w:pPr>
      <w:r>
        <w:rPr>
          <w:rFonts w:hint="eastAsia" w:ascii="宋体" w:hAnsi="宋体"/>
          <w:szCs w:val="21"/>
        </w:rPr>
        <w:t>合同解除的</w:t>
      </w:r>
      <w:r>
        <w:rPr>
          <w:rFonts w:hint="eastAsia" w:ascii="宋体" w:hAnsi="宋体"/>
          <w:szCs w:val="21"/>
          <w:lang w:val="en-US" w:eastAsia="zh-CN"/>
        </w:rPr>
        <w:t>约定</w:t>
      </w:r>
      <w:r>
        <w:rPr>
          <w:rFonts w:hint="eastAsia" w:ascii="宋体" w:hAnsi="宋体"/>
          <w:szCs w:val="21"/>
        </w:rPr>
        <w:t>：</w:t>
      </w:r>
    </w:p>
    <w:p w14:paraId="0BD9E071">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除通用合同条款约定的情形外，</w:t>
      </w:r>
      <w:r>
        <w:rPr>
          <w:rFonts w:hint="eastAsia" w:ascii="宋体" w:hAnsi="宋体" w:eastAsia="宋体" w:cs="宋体"/>
          <w:caps w:val="0"/>
          <w:smallCaps w:val="0"/>
          <w:color w:val="auto"/>
          <w:sz w:val="21"/>
          <w:szCs w:val="21"/>
          <w:highlight w:val="none"/>
        </w:rPr>
        <w:t>合同</w:t>
      </w:r>
      <w:r>
        <w:rPr>
          <w:rFonts w:hint="eastAsia" w:ascii="宋体" w:hAnsi="宋体" w:eastAsia="宋体" w:cs="宋体"/>
          <w:caps w:val="0"/>
          <w:smallCaps w:val="0"/>
          <w:color w:val="auto"/>
          <w:sz w:val="21"/>
          <w:szCs w:val="21"/>
          <w:highlight w:val="none"/>
          <w:lang w:val="en-US" w:eastAsia="zh-CN"/>
        </w:rPr>
        <w:t>可</w:t>
      </w:r>
      <w:r>
        <w:rPr>
          <w:rFonts w:hint="eastAsia" w:ascii="宋体" w:hAnsi="宋体" w:eastAsia="宋体" w:cs="宋体"/>
          <w:caps w:val="0"/>
          <w:smallCaps w:val="0"/>
          <w:color w:val="auto"/>
          <w:sz w:val="21"/>
          <w:szCs w:val="21"/>
          <w:highlight w:val="none"/>
        </w:rPr>
        <w:t>解除的</w:t>
      </w:r>
      <w:r>
        <w:rPr>
          <w:rFonts w:hint="eastAsia" w:ascii="宋体" w:hAnsi="宋体" w:eastAsia="宋体" w:cs="宋体"/>
          <w:caps w:val="0"/>
          <w:smallCaps w:val="0"/>
          <w:color w:val="auto"/>
          <w:sz w:val="21"/>
          <w:szCs w:val="21"/>
          <w:highlight w:val="none"/>
          <w:lang w:val="en-US" w:eastAsia="zh-CN"/>
        </w:rPr>
        <w:t>其他情形如下：</w:t>
      </w:r>
    </w:p>
    <w:p w14:paraId="71F71097">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1</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在制造过程中，</w:t>
      </w:r>
      <w:r>
        <w:rPr>
          <w:rFonts w:hint="eastAsia" w:ascii="宋体" w:hAnsi="宋体" w:eastAsia="宋体" w:cs="宋体"/>
          <w:caps w:val="0"/>
          <w:smallCaps w:val="0"/>
          <w:color w:val="auto"/>
          <w:sz w:val="21"/>
          <w:szCs w:val="21"/>
          <w:highlight w:val="none"/>
          <w:u w:val="single"/>
          <w:lang w:val="en-US" w:eastAsia="zh-CN"/>
        </w:rPr>
        <w:t>买方监造人员发现</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零部件或制造工艺</w:t>
      </w:r>
      <w:r>
        <w:rPr>
          <w:rFonts w:hint="eastAsia" w:ascii="宋体" w:hAnsi="宋体" w:eastAsia="宋体" w:cs="宋体"/>
          <w:caps w:val="0"/>
          <w:smallCaps w:val="0"/>
          <w:color w:val="auto"/>
          <w:sz w:val="21"/>
          <w:szCs w:val="21"/>
          <w:highlight w:val="none"/>
          <w:u w:val="single"/>
        </w:rPr>
        <w:t>不符合合同</w:t>
      </w:r>
      <w:r>
        <w:rPr>
          <w:rFonts w:hint="eastAsia" w:ascii="宋体" w:hAnsi="宋体" w:eastAsia="宋体" w:cs="宋体"/>
          <w:caps w:val="0"/>
          <w:smallCaps w:val="0"/>
          <w:color w:val="auto"/>
          <w:sz w:val="21"/>
          <w:szCs w:val="21"/>
          <w:highlight w:val="none"/>
          <w:u w:val="single"/>
          <w:lang w:val="en-US" w:eastAsia="zh-CN"/>
        </w:rPr>
        <w:t>要求，且未在买方指定期限内纠正的；</w:t>
      </w:r>
    </w:p>
    <w:p w14:paraId="2E7C47F9">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到货检验中发现存在合同设备不符合本合同要求，</w:t>
      </w:r>
      <w:r>
        <w:rPr>
          <w:rFonts w:hint="eastAsia" w:ascii="宋体" w:hAnsi="宋体" w:eastAsia="宋体" w:cs="宋体"/>
          <w:caps w:val="0"/>
          <w:smallCaps w:val="0"/>
          <w:color w:val="auto"/>
          <w:sz w:val="21"/>
          <w:szCs w:val="21"/>
          <w:highlight w:val="none"/>
          <w:u w:val="single"/>
          <w:lang w:val="en-US" w:eastAsia="zh-CN"/>
        </w:rPr>
        <w:t>且未在买方指定期限内纠正的；</w:t>
      </w:r>
    </w:p>
    <w:p w14:paraId="1C280B33">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质量保证期内，如合同设备被发现存在任何缺陷，</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拒绝根据合同进行修理、更换或经修理、更换仍无法消除该等缺陷</w:t>
      </w:r>
      <w:r>
        <w:rPr>
          <w:rFonts w:hint="eastAsia" w:ascii="宋体" w:hAnsi="宋体" w:eastAsia="宋体" w:cs="宋体"/>
          <w:caps w:val="0"/>
          <w:smallCaps w:val="0"/>
          <w:color w:val="auto"/>
          <w:sz w:val="21"/>
          <w:szCs w:val="21"/>
          <w:highlight w:val="none"/>
          <w:u w:val="single"/>
          <w:lang w:val="en-US" w:eastAsia="zh-CN"/>
        </w:rPr>
        <w:t>的，且未在买方指定期限内纠正的；</w:t>
      </w:r>
    </w:p>
    <w:p w14:paraId="7EEC9104">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卖方违反本合同第11条所作保证，且未在买方指定期限内纠正或无法纠正的；</w:t>
      </w:r>
    </w:p>
    <w:p w14:paraId="7ABB3FC0">
      <w:pPr>
        <w:pageBreakBefore w:val="0"/>
        <w:tabs>
          <w:tab w:val="left" w:pos="1134"/>
        </w:tabs>
        <w:topLinePunct w:val="0"/>
        <w:bidi w:val="0"/>
        <w:spacing w:line="360" w:lineRule="auto"/>
        <w:ind w:firstLine="420"/>
        <w:rPr>
          <w:rFonts w:ascii="宋体" w:hAnsi="宋体"/>
          <w:szCs w:val="21"/>
        </w:rPr>
      </w:pPr>
      <w:r>
        <w:rPr>
          <w:rFonts w:hint="eastAsia" w:ascii="宋体" w:hAnsi="宋体" w:eastAsia="宋体" w:cs="宋体"/>
          <w:caps w:val="0"/>
          <w:smallCaps w:val="0"/>
          <w:color w:val="000000"/>
          <w:sz w:val="21"/>
          <w:szCs w:val="21"/>
          <w:highlight w:val="none"/>
        </w:rPr>
        <w:t>合同一方当事人收到</w:t>
      </w:r>
      <w:r>
        <w:rPr>
          <w:rFonts w:hint="eastAsia" w:ascii="宋体" w:hAnsi="宋体" w:eastAsia="宋体" w:cs="宋体"/>
          <w:caps w:val="0"/>
          <w:smallCaps w:val="0"/>
          <w:color w:val="000000"/>
          <w:sz w:val="21"/>
          <w:szCs w:val="21"/>
          <w:highlight w:val="none"/>
          <w:lang w:val="en-US" w:eastAsia="zh-CN"/>
        </w:rPr>
        <w:t>另一方解除</w:t>
      </w:r>
      <w:r>
        <w:rPr>
          <w:rFonts w:hint="eastAsia" w:ascii="宋体" w:hAnsi="宋体" w:eastAsia="宋体" w:cs="宋体"/>
          <w:caps w:val="0"/>
          <w:smallCaps w:val="0"/>
          <w:color w:val="000000"/>
          <w:sz w:val="21"/>
          <w:szCs w:val="21"/>
          <w:highlight w:val="none"/>
        </w:rPr>
        <w:t>合同的书面通知后，应立即停止</w:t>
      </w:r>
      <w:r>
        <w:rPr>
          <w:rFonts w:hint="eastAsia" w:ascii="宋体" w:hAnsi="宋体" w:eastAsia="宋体" w:cs="宋体"/>
          <w:caps w:val="0"/>
          <w:smallCaps w:val="0"/>
          <w:color w:val="000000"/>
          <w:sz w:val="21"/>
          <w:szCs w:val="21"/>
          <w:highlight w:val="none"/>
          <w:lang w:val="en-US" w:eastAsia="zh-CN"/>
        </w:rPr>
        <w:t>履行合同相关工作</w:t>
      </w:r>
      <w:r>
        <w:rPr>
          <w:rFonts w:hint="eastAsia" w:ascii="宋体" w:hAnsi="宋体" w:eastAsia="宋体" w:cs="宋体"/>
          <w:caps w:val="0"/>
          <w:smallCaps w:val="0"/>
          <w:color w:val="000000"/>
          <w:sz w:val="21"/>
          <w:szCs w:val="21"/>
          <w:highlight w:val="none"/>
        </w:rPr>
        <w:t>，并对已履行的部分进行结算。</w:t>
      </w:r>
      <w:r>
        <w:rPr>
          <w:rFonts w:hint="eastAsia" w:ascii="宋体" w:hAnsi="宋体" w:eastAsia="宋体" w:cs="宋体"/>
          <w:caps w:val="0"/>
          <w:smallCaps w:val="0"/>
          <w:color w:val="000000"/>
          <w:sz w:val="21"/>
          <w:szCs w:val="21"/>
          <w:highlight w:val="none"/>
          <w:lang w:val="zh-CN"/>
        </w:rPr>
        <w:t>对于合同</w:t>
      </w:r>
      <w:r>
        <w:rPr>
          <w:rFonts w:hint="eastAsia" w:ascii="宋体" w:hAnsi="宋体" w:eastAsia="宋体" w:cs="宋体"/>
          <w:caps w:val="0"/>
          <w:smallCaps w:val="0"/>
          <w:color w:val="000000"/>
          <w:sz w:val="21"/>
          <w:szCs w:val="21"/>
          <w:highlight w:val="none"/>
          <w:lang w:val="en-US" w:eastAsia="zh-CN"/>
        </w:rPr>
        <w:t>解除</w:t>
      </w:r>
      <w:r>
        <w:rPr>
          <w:rFonts w:hint="eastAsia" w:ascii="宋体" w:hAnsi="宋体" w:eastAsia="宋体" w:cs="宋体"/>
          <w:caps w:val="0"/>
          <w:smallCaps w:val="0"/>
          <w:color w:val="000000"/>
          <w:sz w:val="21"/>
          <w:szCs w:val="21"/>
          <w:highlight w:val="none"/>
          <w:lang w:val="zh-CN"/>
        </w:rPr>
        <w:t>前买方已经支付合同价款的合同设备（</w:t>
      </w:r>
      <w:r>
        <w:rPr>
          <w:rFonts w:hint="eastAsia" w:ascii="宋体" w:hAnsi="宋体" w:eastAsia="宋体" w:cs="宋体"/>
          <w:caps w:val="0"/>
          <w:smallCaps w:val="0"/>
          <w:color w:val="000000"/>
          <w:sz w:val="21"/>
          <w:szCs w:val="21"/>
          <w:highlight w:val="none"/>
          <w:lang w:val="en-US" w:eastAsia="zh-CN"/>
        </w:rPr>
        <w:t>不包含预付款）</w:t>
      </w:r>
      <w:r>
        <w:rPr>
          <w:rFonts w:hint="eastAsia" w:ascii="宋体" w:hAnsi="宋体" w:eastAsia="宋体" w:cs="宋体"/>
          <w:caps w:val="0"/>
          <w:smallCaps w:val="0"/>
          <w:color w:val="000000"/>
          <w:sz w:val="21"/>
          <w:szCs w:val="21"/>
          <w:highlight w:val="none"/>
          <w:lang w:val="zh-CN"/>
        </w:rPr>
        <w:t>，卖方应立即移交给买方，</w:t>
      </w:r>
      <w:r>
        <w:rPr>
          <w:rFonts w:hint="eastAsia" w:ascii="宋体" w:hAnsi="宋体" w:eastAsia="宋体" w:cs="宋体"/>
          <w:caps w:val="0"/>
          <w:smallCaps w:val="0"/>
          <w:color w:val="000000"/>
          <w:sz w:val="21"/>
          <w:szCs w:val="21"/>
          <w:highlight w:val="none"/>
          <w:lang w:val="en-US" w:eastAsia="zh-CN"/>
        </w:rPr>
        <w:t>且保证设备完全符合合同约定</w:t>
      </w:r>
      <w:r>
        <w:rPr>
          <w:rFonts w:hint="eastAsia" w:ascii="宋体" w:hAnsi="宋体" w:eastAsia="宋体" w:cs="宋体"/>
          <w:caps w:val="0"/>
          <w:smallCaps w:val="0"/>
          <w:color w:val="000000"/>
          <w:sz w:val="21"/>
          <w:szCs w:val="21"/>
          <w:highlight w:val="none"/>
          <w:lang w:val="zh-CN"/>
        </w:rPr>
        <w:t>，买方拥有相关合同设备的全部权益。</w:t>
      </w:r>
      <w:r>
        <w:rPr>
          <w:rFonts w:hint="eastAsia" w:ascii="宋体" w:hAnsi="宋体" w:eastAsia="宋体" w:cs="宋体"/>
          <w:caps w:val="0"/>
          <w:smallCaps w:val="0"/>
          <w:color w:val="000000"/>
          <w:sz w:val="21"/>
          <w:szCs w:val="21"/>
          <w:highlight w:val="none"/>
          <w:u w:val="single"/>
          <w:lang w:val="en-US" w:eastAsia="zh-CN"/>
        </w:rPr>
        <w:t>因卖方违约导致解除合同的，买方应支付卖方已履行部分结算款的80%（超出部份金额由卖方退回买方），余下部分的结算款作为卖方向买方支付合同解除的违约金；因买方原因解除合同的，买方除支付卖方已履行部分的结算款外，不再进行任何补偿</w:t>
      </w:r>
      <w:r>
        <w:rPr>
          <w:rFonts w:hint="eastAsia" w:ascii="宋体" w:hAnsi="宋体" w:eastAsia="宋体" w:cs="宋体"/>
          <w:caps w:val="0"/>
          <w:smallCaps w:val="0"/>
          <w:color w:val="000000"/>
          <w:sz w:val="21"/>
          <w:szCs w:val="21"/>
          <w:highlight w:val="none"/>
          <w:u w:val="single"/>
        </w:rPr>
        <w:t>。任何时候</w:t>
      </w:r>
      <w:r>
        <w:rPr>
          <w:rFonts w:hint="eastAsia" w:ascii="宋体" w:hAnsi="宋体" w:eastAsia="宋体" w:cs="宋体"/>
          <w:caps w:val="0"/>
          <w:smallCaps w:val="0"/>
          <w:color w:val="000000"/>
          <w:sz w:val="21"/>
          <w:szCs w:val="21"/>
          <w:highlight w:val="none"/>
          <w:u w:val="single"/>
          <w:lang w:eastAsia="zh-CN"/>
        </w:rPr>
        <w:t>卖方</w:t>
      </w:r>
      <w:r>
        <w:rPr>
          <w:rFonts w:hint="eastAsia" w:ascii="宋体" w:hAnsi="宋体" w:eastAsia="宋体" w:cs="宋体"/>
          <w:caps w:val="0"/>
          <w:smallCaps w:val="0"/>
          <w:color w:val="000000"/>
          <w:sz w:val="21"/>
          <w:szCs w:val="21"/>
          <w:highlight w:val="none"/>
          <w:u w:val="single"/>
        </w:rPr>
        <w:t>均无权要求</w:t>
      </w:r>
      <w:r>
        <w:rPr>
          <w:rFonts w:hint="eastAsia" w:ascii="宋体" w:hAnsi="宋体" w:eastAsia="宋体" w:cs="宋体"/>
          <w:caps w:val="0"/>
          <w:smallCaps w:val="0"/>
          <w:color w:val="000000"/>
          <w:sz w:val="21"/>
          <w:szCs w:val="21"/>
          <w:highlight w:val="none"/>
          <w:u w:val="single"/>
          <w:lang w:eastAsia="zh-CN"/>
        </w:rPr>
        <w:t>买方</w:t>
      </w:r>
      <w:r>
        <w:rPr>
          <w:rFonts w:hint="eastAsia" w:ascii="宋体" w:hAnsi="宋体" w:eastAsia="宋体" w:cs="宋体"/>
          <w:caps w:val="0"/>
          <w:smallCaps w:val="0"/>
          <w:color w:val="000000"/>
          <w:sz w:val="21"/>
          <w:szCs w:val="21"/>
          <w:highlight w:val="none"/>
          <w:u w:val="single"/>
        </w:rPr>
        <w:t>赔偿因合同</w:t>
      </w:r>
      <w:r>
        <w:rPr>
          <w:rFonts w:hint="eastAsia" w:ascii="宋体" w:hAnsi="宋体" w:eastAsia="宋体" w:cs="宋体"/>
          <w:caps w:val="0"/>
          <w:smallCaps w:val="0"/>
          <w:color w:val="000000"/>
          <w:sz w:val="21"/>
          <w:szCs w:val="21"/>
          <w:highlight w:val="none"/>
          <w:u w:val="single"/>
          <w:lang w:val="en-US" w:eastAsia="zh-CN"/>
        </w:rPr>
        <w:t>解除（终止）</w:t>
      </w:r>
      <w:r>
        <w:rPr>
          <w:rFonts w:hint="eastAsia" w:ascii="宋体" w:hAnsi="宋体" w:eastAsia="宋体" w:cs="宋体"/>
          <w:caps w:val="0"/>
          <w:smallCaps w:val="0"/>
          <w:color w:val="000000"/>
          <w:sz w:val="21"/>
          <w:szCs w:val="21"/>
          <w:highlight w:val="none"/>
          <w:u w:val="single"/>
        </w:rPr>
        <w:t>而引起的预期利润的损失或损害。</w:t>
      </w:r>
    </w:p>
    <w:p w14:paraId="33BC7F4A">
      <w:pPr>
        <w:pStyle w:val="97"/>
        <w:keepNext w:val="0"/>
        <w:keepLines w:val="0"/>
        <w:tabs>
          <w:tab w:val="left" w:pos="567"/>
        </w:tabs>
        <w:spacing w:before="156" w:after="156"/>
        <w:rPr>
          <w:rFonts w:eastAsia="宋体" w:cs="Times New Roman"/>
          <w:b/>
          <w:bCs/>
          <w:sz w:val="32"/>
          <w:szCs w:val="32"/>
        </w:rPr>
      </w:pPr>
      <w:bookmarkStart w:id="873" w:name="_Toc4421"/>
      <w:bookmarkStart w:id="874" w:name="_Toc5483"/>
      <w:bookmarkStart w:id="875" w:name="_Toc7576"/>
      <w:bookmarkStart w:id="876" w:name="_Toc9026"/>
      <w:bookmarkStart w:id="877" w:name="_Toc10668"/>
      <w:bookmarkStart w:id="878" w:name="_Toc19356"/>
      <w:r>
        <w:rPr>
          <w:rFonts w:hint="eastAsia" w:eastAsia="宋体" w:cs="Times New Roman"/>
          <w:b/>
          <w:bCs/>
          <w:sz w:val="32"/>
          <w:szCs w:val="32"/>
        </w:rPr>
        <w:t>16. 不可抗力</w:t>
      </w:r>
      <w:bookmarkEnd w:id="842"/>
      <w:bookmarkEnd w:id="873"/>
      <w:bookmarkEnd w:id="874"/>
      <w:bookmarkEnd w:id="875"/>
      <w:bookmarkEnd w:id="876"/>
      <w:bookmarkEnd w:id="877"/>
      <w:bookmarkEnd w:id="878"/>
    </w:p>
    <w:p w14:paraId="751D3C8E">
      <w:pPr>
        <w:spacing w:line="360" w:lineRule="auto"/>
        <w:ind w:right="105" w:rightChars="50" w:firstLine="420" w:firstLineChars="200"/>
        <w:jc w:val="left"/>
        <w:rPr>
          <w:rFonts w:ascii="宋体" w:hAnsi="宋体"/>
          <w:szCs w:val="21"/>
        </w:rPr>
      </w:pPr>
      <w:bookmarkStart w:id="879" w:name="_Toc28939"/>
      <w:bookmarkStart w:id="880" w:name="_Toc2881833"/>
      <w:bookmarkStart w:id="881" w:name="_Toc23750"/>
      <w:bookmarkStart w:id="882" w:name="_Toc10293"/>
      <w:bookmarkStart w:id="883" w:name="_Toc23385"/>
      <w:bookmarkStart w:id="884" w:name="_Toc23252"/>
      <w:bookmarkStart w:id="885" w:name="_Toc531098993"/>
      <w:r>
        <w:rPr>
          <w:rFonts w:hint="eastAsia" w:ascii="宋体" w:hAnsi="宋体"/>
          <w:szCs w:val="21"/>
        </w:rPr>
        <w:t>16.1</w:t>
      </w:r>
      <w:r>
        <w:rPr>
          <w:rFonts w:ascii="宋体" w:hAnsi="宋体"/>
          <w:szCs w:val="21"/>
        </w:rPr>
        <w:t xml:space="preserve"> </w:t>
      </w:r>
      <w:r>
        <w:rPr>
          <w:rFonts w:hint="eastAsia" w:ascii="宋体" w:hAnsi="宋体"/>
          <w:szCs w:val="21"/>
        </w:rPr>
        <w:t>除通用合同条款约定的不可抗力事件之外，视为不可抗力的其他情形包括：</w:t>
      </w:r>
      <w:bookmarkStart w:id="886" w:name="_Hlk524379638"/>
    </w:p>
    <w:p w14:paraId="0AF54A72">
      <w:pPr>
        <w:spacing w:line="360" w:lineRule="auto"/>
        <w:ind w:right="105" w:rightChars="50" w:firstLine="420" w:firstLineChars="200"/>
        <w:jc w:val="left"/>
        <w:rPr>
          <w:rFonts w:ascii="宋体" w:hAnsi="宋体"/>
          <w:szCs w:val="21"/>
        </w:rPr>
      </w:pPr>
      <w:r>
        <w:rPr>
          <w:rFonts w:hint="eastAsia" w:ascii="宋体" w:hAnsi="宋体"/>
          <w:szCs w:val="21"/>
        </w:rPr>
        <w:t>（1）火山爆发、山崩、山体滑坡、泥石流、龙卷风、不可预测的突发性地质或自然灾害；</w:t>
      </w:r>
    </w:p>
    <w:p w14:paraId="6C138100">
      <w:pPr>
        <w:spacing w:line="360" w:lineRule="auto"/>
        <w:ind w:right="105" w:rightChars="50" w:firstLine="420" w:firstLineChars="200"/>
        <w:jc w:val="left"/>
        <w:rPr>
          <w:rFonts w:ascii="宋体" w:hAnsi="宋体"/>
          <w:szCs w:val="21"/>
        </w:rPr>
      </w:pPr>
      <w:r>
        <w:rPr>
          <w:rFonts w:hint="eastAsia" w:ascii="宋体" w:hAnsi="宋体"/>
          <w:szCs w:val="21"/>
        </w:rPr>
        <w:t>（2）</w:t>
      </w:r>
      <w:r>
        <w:rPr>
          <w:rFonts w:hint="eastAsia" w:ascii="宋体" w:hAnsi="宋体" w:cs="宋体"/>
          <w:szCs w:val="21"/>
        </w:rPr>
        <w:t>瘟疫、严重流行病及防疫限制；</w:t>
      </w:r>
    </w:p>
    <w:p w14:paraId="7CDC6BF8">
      <w:pPr>
        <w:spacing w:line="360" w:lineRule="auto"/>
        <w:ind w:right="105" w:rightChars="50" w:firstLine="420" w:firstLineChars="200"/>
        <w:jc w:val="left"/>
        <w:rPr>
          <w:rFonts w:ascii="宋体" w:hAnsi="宋体"/>
          <w:szCs w:val="21"/>
        </w:rPr>
      </w:pPr>
      <w:r>
        <w:rPr>
          <w:rFonts w:hint="eastAsia" w:ascii="宋体" w:hAnsi="宋体"/>
          <w:szCs w:val="21"/>
        </w:rPr>
        <w:t>（3）骚乱、戒严、封锁、禁运、恐怖行为等社会行为，但卖方或其分包人派遣与雇佣的人员由于履行合同原因引起的除外；</w:t>
      </w:r>
    </w:p>
    <w:p w14:paraId="46E84584">
      <w:pPr>
        <w:spacing w:line="360" w:lineRule="auto"/>
        <w:ind w:right="105" w:rightChars="50" w:firstLine="420" w:firstLineChars="200"/>
        <w:jc w:val="left"/>
        <w:rPr>
          <w:rFonts w:ascii="宋体" w:hAnsi="宋体"/>
          <w:szCs w:val="21"/>
        </w:rPr>
      </w:pPr>
      <w:r>
        <w:rPr>
          <w:rFonts w:hint="eastAsia" w:ascii="宋体" w:hAnsi="宋体"/>
          <w:szCs w:val="21"/>
        </w:rPr>
        <w:t>（4）不能合理预见的重大交通阻滞、停运、交通事故，非双方责任引起的爆炸、船舶撞击等情形；</w:t>
      </w:r>
    </w:p>
    <w:p w14:paraId="5ECDB034">
      <w:pPr>
        <w:spacing w:line="360" w:lineRule="auto"/>
        <w:ind w:right="105" w:rightChars="50" w:firstLine="420" w:firstLineChars="200"/>
        <w:jc w:val="left"/>
        <w:rPr>
          <w:rFonts w:ascii="宋体" w:hAnsi="宋体"/>
          <w:szCs w:val="21"/>
        </w:rPr>
      </w:pPr>
      <w:r>
        <w:rPr>
          <w:rFonts w:hint="eastAsia" w:ascii="宋体" w:hAnsi="宋体"/>
          <w:szCs w:val="21"/>
        </w:rPr>
        <w:t>（5）化学、放射性污染或核辐射；</w:t>
      </w:r>
    </w:p>
    <w:p w14:paraId="447F78CC">
      <w:pPr>
        <w:spacing w:line="360" w:lineRule="auto"/>
        <w:ind w:right="105" w:rightChars="50" w:firstLine="420" w:firstLineChars="200"/>
        <w:jc w:val="left"/>
        <w:rPr>
          <w:rFonts w:ascii="宋体" w:hAnsi="宋体"/>
          <w:szCs w:val="21"/>
        </w:rPr>
      </w:pPr>
      <w:r>
        <w:rPr>
          <w:rFonts w:hint="eastAsia" w:ascii="宋体" w:hAnsi="宋体"/>
          <w:szCs w:val="21"/>
        </w:rPr>
        <w:t>（6）政府或主管部门行为导致项目暂停或取消</w:t>
      </w:r>
      <w:bookmarkEnd w:id="886"/>
      <w:r>
        <w:rPr>
          <w:rFonts w:hint="eastAsia" w:ascii="宋体" w:hAnsi="宋体"/>
          <w:szCs w:val="21"/>
        </w:rPr>
        <w:t>；</w:t>
      </w:r>
    </w:p>
    <w:p w14:paraId="25B21CED">
      <w:pPr>
        <w:tabs>
          <w:tab w:val="left" w:pos="1134"/>
        </w:tabs>
        <w:spacing w:line="360" w:lineRule="auto"/>
        <w:ind w:firstLine="420" w:firstLineChars="200"/>
        <w:rPr>
          <w:rFonts w:ascii="宋体" w:hAnsi="宋体"/>
          <w:szCs w:val="21"/>
          <w:u w:val="single"/>
        </w:rPr>
      </w:pPr>
      <w:r>
        <w:rPr>
          <w:rFonts w:hint="eastAsia" w:ascii="宋体" w:hAnsi="宋体"/>
          <w:szCs w:val="21"/>
        </w:rPr>
        <w:t>（7）</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1BC2675D">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因不可抗力事件引发持续影响，双方解除合同的约定：</w:t>
      </w:r>
      <w:r>
        <w:rPr>
          <w:rFonts w:hint="eastAsia" w:ascii="宋体" w:hAnsi="宋体"/>
          <w:u w:val="single"/>
        </w:rPr>
        <w:t>不可抗力事件的影响持续超过</w:t>
      </w:r>
      <w:r>
        <w:rPr>
          <w:rFonts w:hint="eastAsia"/>
          <w:u w:val="single"/>
          <w:lang w:val="en-US" w:eastAsia="zh-CN"/>
        </w:rPr>
        <w:t>300</w:t>
      </w:r>
      <w:r>
        <w:rPr>
          <w:rFonts w:hint="eastAsia" w:ascii="宋体" w:hAnsi="宋体"/>
          <w:u w:val="single"/>
        </w:rPr>
        <w:t>日，则任何一方当事人均有权以书面通知解除合同</w:t>
      </w:r>
      <w:r>
        <w:rPr>
          <w:rFonts w:hint="eastAsia" w:ascii="宋体" w:hAnsi="宋体"/>
          <w:szCs w:val="21"/>
        </w:rPr>
        <w:t>。</w:t>
      </w:r>
    </w:p>
    <w:p w14:paraId="2FFCC1B5">
      <w:pPr>
        <w:pStyle w:val="97"/>
        <w:keepNext w:val="0"/>
        <w:keepLines w:val="0"/>
        <w:tabs>
          <w:tab w:val="left" w:pos="567"/>
        </w:tabs>
        <w:spacing w:before="156" w:after="156"/>
        <w:rPr>
          <w:rFonts w:eastAsia="宋体" w:cs="Times New Roman"/>
          <w:b/>
          <w:bCs/>
          <w:sz w:val="32"/>
          <w:szCs w:val="32"/>
        </w:rPr>
      </w:pPr>
      <w:bookmarkStart w:id="887" w:name="_Toc13493"/>
      <w:r>
        <w:rPr>
          <w:rFonts w:hint="eastAsia" w:eastAsia="宋体" w:cs="Times New Roman"/>
          <w:b/>
          <w:bCs/>
          <w:sz w:val="32"/>
          <w:szCs w:val="32"/>
        </w:rPr>
        <w:t>17.争议的解决</w:t>
      </w:r>
      <w:bookmarkEnd w:id="879"/>
      <w:bookmarkEnd w:id="880"/>
      <w:bookmarkEnd w:id="881"/>
      <w:bookmarkEnd w:id="882"/>
      <w:bookmarkEnd w:id="883"/>
      <w:bookmarkEnd w:id="884"/>
      <w:bookmarkEnd w:id="885"/>
      <w:bookmarkEnd w:id="887"/>
    </w:p>
    <w:p w14:paraId="26540A86">
      <w:pPr>
        <w:tabs>
          <w:tab w:val="left" w:pos="1134"/>
        </w:tabs>
        <w:spacing w:line="360" w:lineRule="auto"/>
        <w:ind w:firstLine="420" w:firstLineChars="200"/>
        <w:rPr>
          <w:rFonts w:ascii="宋体" w:hAnsi="宋体"/>
          <w:szCs w:val="21"/>
        </w:rPr>
      </w:pPr>
      <w:bookmarkStart w:id="888" w:name="_Toc255494584"/>
      <w:bookmarkStart w:id="889" w:name="_Toc1990"/>
      <w:bookmarkStart w:id="890" w:name="_Toc26355"/>
      <w:bookmarkStart w:id="891" w:name="_Toc256955788"/>
      <w:bookmarkStart w:id="892" w:name="_Toc375218864"/>
      <w:bookmarkStart w:id="893" w:name="_Toc7114"/>
      <w:bookmarkStart w:id="894" w:name="_Toc22474"/>
      <w:bookmarkStart w:id="895" w:name="_Toc9195"/>
      <w:bookmarkStart w:id="896" w:name="_Toc218048858"/>
      <w:bookmarkStart w:id="897" w:name="_Toc381358697"/>
      <w:bookmarkStart w:id="898" w:name="_Toc531098994"/>
      <w:bookmarkStart w:id="899" w:name="_Toc2881834"/>
      <w:r>
        <w:rPr>
          <w:rFonts w:hint="eastAsia" w:ascii="宋体" w:hAnsi="宋体"/>
          <w:szCs w:val="21"/>
        </w:rPr>
        <w:t>因本合同引起的或与本合同有关的任何争议，双方可通过友好协商解决。友好协商解决不成的，</w:t>
      </w:r>
      <w:r>
        <w:rPr>
          <w:rFonts w:hint="eastAsia" w:ascii="宋体" w:hAnsi="宋体"/>
          <w:szCs w:val="21"/>
          <w:shd w:val="clear" w:color="auto" w:fill="FFFFFF"/>
        </w:rPr>
        <w:t>选择下列第</w:t>
      </w:r>
      <w:r>
        <w:rPr>
          <w:rFonts w:hint="eastAsia" w:ascii="宋体" w:hAnsi="宋体" w:eastAsia="宋体" w:cs="宋体"/>
          <w:caps w:val="0"/>
          <w:smallCaps w:val="0"/>
          <w:color w:val="000000"/>
          <w:sz w:val="21"/>
          <w:szCs w:val="21"/>
          <w:highlight w:val="none"/>
          <w:u w:val="single"/>
          <w:shd w:val="clear" w:color="auto" w:fill="FFFFFF"/>
          <w:lang w:eastAsia="zh-CN"/>
        </w:rPr>
        <w:t>（</w:t>
      </w:r>
      <w:r>
        <w:rPr>
          <w:rFonts w:hint="eastAsia" w:ascii="宋体" w:hAnsi="宋体" w:eastAsia="宋体" w:cs="宋体"/>
          <w:caps w:val="0"/>
          <w:smallCaps w:val="0"/>
          <w:color w:val="000000"/>
          <w:sz w:val="21"/>
          <w:szCs w:val="21"/>
          <w:highlight w:val="none"/>
          <w:u w:val="single"/>
          <w:shd w:val="clear" w:color="auto" w:fill="FFFFFF"/>
          <w:lang w:val="en-US" w:eastAsia="zh-CN"/>
        </w:rPr>
        <w:t>2）</w:t>
      </w:r>
      <w:r>
        <w:rPr>
          <w:rFonts w:hint="eastAsia" w:ascii="宋体" w:hAnsi="宋体"/>
          <w:szCs w:val="21"/>
          <w:u w:val="single"/>
          <w:shd w:val="clear" w:color="auto" w:fill="FFFFFF"/>
        </w:rPr>
        <w:t xml:space="preserve"> </w:t>
      </w:r>
      <w:r>
        <w:rPr>
          <w:rFonts w:hint="eastAsia" w:ascii="宋体" w:hAnsi="宋体"/>
          <w:szCs w:val="21"/>
          <w:shd w:val="clear" w:color="auto" w:fill="FFFFFF"/>
        </w:rPr>
        <w:t>种方式解决：</w:t>
      </w:r>
    </w:p>
    <w:p w14:paraId="4D8A9E8D">
      <w:pPr>
        <w:spacing w:line="360" w:lineRule="auto"/>
        <w:ind w:firstLine="420" w:firstLineChars="200"/>
        <w:rPr>
          <w:rFonts w:ascii="宋体" w:hAnsi="宋体"/>
          <w:shd w:val="clear" w:color="auto" w:fill="FFFFFF"/>
        </w:rPr>
      </w:pPr>
      <w:r>
        <w:rPr>
          <w:rFonts w:hint="eastAsia" w:ascii="宋体" w:hAnsi="宋体"/>
          <w:shd w:val="clear" w:color="auto" w:fill="FFFFFF"/>
        </w:rPr>
        <w:t>（1）</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hint="eastAsia" w:ascii="宋体" w:hAnsi="宋体" w:cs="宋体"/>
          <w:caps w:val="0"/>
          <w:smallCaps w:val="0"/>
          <w:color w:val="auto"/>
          <w:szCs w:val="21"/>
          <w:highlight w:val="none"/>
          <w:u w:val="single"/>
          <w:lang w:val="en-US" w:eastAsia="zh-CN"/>
        </w:rPr>
        <w:t xml:space="preserve"> </w:t>
      </w:r>
      <w:r>
        <w:rPr>
          <w:rFonts w:ascii="宋体" w:hAnsi="宋体"/>
          <w:szCs w:val="21"/>
        </w:rPr>
        <w:t>仲裁委员会申请仲裁；</w:t>
      </w:r>
    </w:p>
    <w:p w14:paraId="2954636E">
      <w:pPr>
        <w:tabs>
          <w:tab w:val="left" w:pos="1134"/>
        </w:tabs>
        <w:spacing w:line="360" w:lineRule="auto"/>
        <w:ind w:firstLine="420"/>
        <w:rPr>
          <w:rFonts w:ascii="宋体" w:hAnsi="宋体"/>
          <w:szCs w:val="21"/>
          <w:shd w:val="clear" w:color="auto" w:fill="FFFFFF"/>
        </w:rPr>
      </w:pPr>
      <w:r>
        <w:rPr>
          <w:rFonts w:hint="eastAsia" w:ascii="宋体" w:hAnsi="宋体"/>
          <w:szCs w:val="21"/>
          <w:shd w:val="clear" w:color="auto" w:fill="FFFFFF"/>
        </w:rPr>
        <w:t>（2）</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ascii="宋体" w:hAnsi="宋体"/>
          <w:szCs w:val="21"/>
          <w:u w:val="single"/>
        </w:rPr>
        <w:t xml:space="preserve"> </w:t>
      </w:r>
      <w:r>
        <w:rPr>
          <w:rFonts w:ascii="宋体" w:hAnsi="宋体"/>
          <w:szCs w:val="21"/>
        </w:rPr>
        <w:t>人民法院</w:t>
      </w:r>
      <w:r>
        <w:rPr>
          <w:rFonts w:hint="eastAsia" w:ascii="宋体" w:hAnsi="宋体"/>
          <w:szCs w:val="21"/>
          <w:shd w:val="clear" w:color="auto" w:fill="FFFFFF"/>
        </w:rPr>
        <w:t>提起诉讼。</w:t>
      </w:r>
    </w:p>
    <w:p w14:paraId="628EC693">
      <w:pPr>
        <w:pStyle w:val="97"/>
        <w:keepNext w:val="0"/>
        <w:keepLines w:val="0"/>
        <w:tabs>
          <w:tab w:val="left" w:pos="567"/>
        </w:tabs>
        <w:spacing w:before="156" w:after="156"/>
        <w:rPr>
          <w:rFonts w:eastAsia="宋体" w:cs="Times New Roman"/>
          <w:b/>
          <w:bCs/>
          <w:sz w:val="32"/>
          <w:szCs w:val="32"/>
        </w:rPr>
      </w:pPr>
      <w:bookmarkStart w:id="900" w:name="_Toc19108"/>
      <w:r>
        <w:rPr>
          <w:rFonts w:hint="eastAsia" w:eastAsia="宋体" w:cs="Times New Roman"/>
          <w:b/>
          <w:bCs/>
          <w:sz w:val="32"/>
          <w:szCs w:val="32"/>
        </w:rPr>
        <w:t>18.补充条款</w:t>
      </w:r>
      <w:bookmarkEnd w:id="888"/>
      <w:bookmarkEnd w:id="889"/>
      <w:bookmarkEnd w:id="890"/>
      <w:bookmarkEnd w:id="891"/>
      <w:bookmarkEnd w:id="892"/>
      <w:bookmarkEnd w:id="893"/>
      <w:bookmarkEnd w:id="894"/>
      <w:bookmarkEnd w:id="895"/>
      <w:bookmarkEnd w:id="896"/>
      <w:bookmarkEnd w:id="897"/>
      <w:bookmarkEnd w:id="898"/>
      <w:bookmarkEnd w:id="899"/>
      <w:bookmarkEnd w:id="900"/>
    </w:p>
    <w:bookmarkEnd w:id="770"/>
    <w:bookmarkEnd w:id="771"/>
    <w:bookmarkEnd w:id="772"/>
    <w:bookmarkEnd w:id="773"/>
    <w:bookmarkEnd w:id="774"/>
    <w:bookmarkEnd w:id="775"/>
    <w:bookmarkEnd w:id="776"/>
    <w:bookmarkEnd w:id="777"/>
    <w:bookmarkEnd w:id="778"/>
    <w:p w14:paraId="3CB9A1D9">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bookmarkStart w:id="901" w:name="_Toc1231"/>
      <w:bookmarkStart w:id="902" w:name="_Toc532384193"/>
      <w:bookmarkStart w:id="903" w:name="_Toc531632627"/>
      <w:r>
        <w:rPr>
          <w:rFonts w:hint="eastAsia" w:ascii="宋体" w:hAnsi="宋体" w:eastAsia="宋体" w:cs="宋体"/>
          <w:caps w:val="0"/>
          <w:smallCaps w:val="0"/>
          <w:color w:val="000000"/>
          <w:sz w:val="21"/>
          <w:szCs w:val="21"/>
          <w:highlight w:val="none"/>
          <w:lang w:val="en-US" w:eastAsia="zh-CN"/>
        </w:rPr>
        <w:t>1.</w:t>
      </w:r>
      <w:r>
        <w:rPr>
          <w:rFonts w:hint="eastAsia" w:ascii="宋体" w:hAnsi="宋体" w:eastAsia="宋体" w:cs="宋体"/>
          <w:caps w:val="0"/>
          <w:smallCaps w:val="0"/>
          <w:color w:val="000000"/>
          <w:sz w:val="21"/>
          <w:szCs w:val="21"/>
          <w:highlight w:val="none"/>
        </w:rPr>
        <w:t>履行合同过程中，</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向</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提交的任何待核实、审核、批准、回复、确认的申请、通知、报告、要求、资料等，只有在同时满足下列两个条件时，才视为上述主体认可或接受或确认。否则，不能视上述主体认可或接受或确认，即使部门规章、地方法规或地方规章中有视为认可或接受或确认之规定。</w:t>
      </w:r>
    </w:p>
    <w:p w14:paraId="4719929C">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一是</w:t>
      </w:r>
      <w:r>
        <w:rPr>
          <w:rFonts w:hint="eastAsia" w:ascii="宋体" w:hAnsi="宋体" w:eastAsia="宋体" w:cs="宋体"/>
          <w:caps w:val="0"/>
          <w:smallCaps w:val="0"/>
          <w:color w:val="000000"/>
          <w:sz w:val="21"/>
          <w:szCs w:val="21"/>
          <w:highlight w:val="none"/>
        </w:rPr>
        <w:t>在协议书、专用条款中有关于逾期不核实、不审核、不批准、不回复、不提出异议、不提出意见或不确认视为认可或接受或确认之特别约定。</w:t>
      </w:r>
    </w:p>
    <w:p w14:paraId="25DFB6B4">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向上述主体提交的任何待核实、审核、批准、回复、确认的申请、通知、报告、要求、资料等必须完全符合合同约定和总监理工程师、</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出具的经</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确认收</w:t>
      </w:r>
      <w:r>
        <w:rPr>
          <w:rFonts w:hint="eastAsia" w:ascii="宋体" w:hAnsi="宋体" w:eastAsia="宋体" w:cs="宋体"/>
          <w:caps w:val="0"/>
          <w:smallCaps w:val="0"/>
          <w:color w:val="000000"/>
          <w:sz w:val="21"/>
          <w:szCs w:val="21"/>
          <w:highlight w:val="none"/>
          <w:lang w:val="en-US" w:eastAsia="zh-CN"/>
        </w:rPr>
        <w:t>到</w:t>
      </w:r>
      <w:r>
        <w:rPr>
          <w:rFonts w:hint="eastAsia" w:ascii="宋体" w:hAnsi="宋体" w:eastAsia="宋体" w:cs="宋体"/>
          <w:caps w:val="0"/>
          <w:smallCaps w:val="0"/>
          <w:color w:val="000000"/>
          <w:sz w:val="21"/>
          <w:szCs w:val="21"/>
          <w:highlight w:val="none"/>
        </w:rPr>
        <w:t>的书面指令（包括但不限于完全符合提交的期限、提交的程序、提交的内容要求等）。</w:t>
      </w:r>
    </w:p>
    <w:p w14:paraId="5D87AB7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二是</w:t>
      </w:r>
      <w:r>
        <w:rPr>
          <w:rFonts w:hint="eastAsia" w:ascii="宋体" w:hAnsi="宋体" w:eastAsia="宋体" w:cs="宋体"/>
          <w:caps w:val="0"/>
          <w:smallCaps w:val="0"/>
          <w:color w:val="000000"/>
          <w:sz w:val="21"/>
          <w:szCs w:val="21"/>
          <w:highlight w:val="none"/>
        </w:rPr>
        <w:t>除非</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代表在</w:t>
      </w:r>
      <w:r>
        <w:rPr>
          <w:rFonts w:hint="eastAsia" w:ascii="宋体" w:hAnsi="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发出的工程施工联系函或其他报告、文件上签署明确意见</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代表的签名或其他人的签名（即使其他人签署意见），仅表示</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对该份文件的签收，不能作为</w:t>
      </w:r>
      <w:r>
        <w:rPr>
          <w:rFonts w:hint="eastAsia" w:ascii="宋体" w:hAnsi="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意见或已同意的结算依据。</w:t>
      </w:r>
    </w:p>
    <w:p w14:paraId="0013A0F1">
      <w:pPr>
        <w:pageBreakBefore w:val="0"/>
        <w:numPr>
          <w:ilvl w:val="0"/>
          <w:numId w:val="0"/>
        </w:numPr>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2.买方</w:t>
      </w:r>
      <w:r>
        <w:rPr>
          <w:rFonts w:hint="eastAsia" w:ascii="宋体" w:hAnsi="宋体" w:eastAsia="宋体" w:cs="宋体"/>
          <w:caps w:val="0"/>
          <w:smallCaps w:val="0"/>
          <w:color w:val="000000"/>
          <w:sz w:val="21"/>
          <w:szCs w:val="21"/>
          <w:highlight w:val="none"/>
        </w:rPr>
        <w:t>行使职权时发出的书面文件必须有</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代表本人的签字</w:t>
      </w:r>
      <w:r>
        <w:rPr>
          <w:rFonts w:hint="eastAsia" w:ascii="宋体" w:hAnsi="宋体" w:eastAsia="宋体" w:cs="宋体"/>
          <w:caps w:val="0"/>
          <w:smallCaps w:val="0"/>
          <w:color w:val="000000"/>
          <w:sz w:val="21"/>
          <w:szCs w:val="21"/>
          <w:highlight w:val="none"/>
          <w:lang w:val="en-US" w:eastAsia="zh-CN"/>
        </w:rPr>
        <w:t>或加盖</w:t>
      </w:r>
      <w:r>
        <w:rPr>
          <w:rFonts w:hint="eastAsia" w:ascii="宋体" w:hAnsi="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lang w:val="en-US" w:eastAsia="zh-CN"/>
        </w:rPr>
        <w:t>公章</w:t>
      </w:r>
      <w:r>
        <w:rPr>
          <w:rFonts w:hint="eastAsia" w:ascii="宋体" w:hAnsi="宋体" w:eastAsia="宋体" w:cs="宋体"/>
          <w:caps w:val="0"/>
          <w:smallCaps w:val="0"/>
          <w:color w:val="000000"/>
          <w:sz w:val="21"/>
          <w:szCs w:val="21"/>
          <w:highlight w:val="none"/>
        </w:rPr>
        <w:t>后方有效。</w:t>
      </w:r>
    </w:p>
    <w:p w14:paraId="167921FA">
      <w:pPr>
        <w:bidi w:val="0"/>
      </w:pPr>
    </w:p>
    <w:p w14:paraId="731A1D84">
      <w:pPr>
        <w:bidi w:val="0"/>
      </w:pPr>
    </w:p>
    <w:p w14:paraId="3268DD32">
      <w:pPr>
        <w:pStyle w:val="2"/>
      </w:pPr>
    </w:p>
    <w:bookmarkEnd w:id="901"/>
    <w:bookmarkEnd w:id="902"/>
    <w:bookmarkEnd w:id="903"/>
    <w:p w14:paraId="4586DB8A">
      <w:pPr>
        <w:spacing w:line="240" w:lineRule="auto"/>
        <w:jc w:val="center"/>
        <w:outlineLvl w:val="1"/>
        <w:rPr>
          <w:rFonts w:hint="eastAsia" w:ascii="宋体" w:hAnsi="宋体"/>
          <w:szCs w:val="21"/>
        </w:rPr>
      </w:pPr>
      <w:r>
        <w:rPr>
          <w:rFonts w:hint="eastAsia" w:ascii="宋体" w:hAnsi="宋体"/>
          <w:szCs w:val="21"/>
        </w:rPr>
        <w:br w:type="page"/>
      </w:r>
      <w:bookmarkStart w:id="904" w:name="_Toc29981"/>
      <w:r>
        <w:rPr>
          <w:rFonts w:hint="eastAsia" w:ascii="宋体" w:hAnsi="宋体" w:eastAsia="宋体" w:cs="Times New Roman"/>
          <w:b/>
          <w:bCs/>
          <w:kern w:val="0"/>
          <w:sz w:val="28"/>
          <w:szCs w:val="28"/>
          <w:lang w:val="en-US" w:eastAsia="zh-CN" w:bidi="ar-SA"/>
        </w:rPr>
        <w:t>第三节 合同附件格式</w:t>
      </w:r>
      <w:r>
        <w:rPr>
          <w:rFonts w:hint="eastAsia" w:ascii="宋体" w:hAnsi="宋体"/>
          <w:szCs w:val="21"/>
        </w:rPr>
        <w:br w:type="page"/>
      </w:r>
      <w:bookmarkEnd w:id="904"/>
    </w:p>
    <w:p w14:paraId="2F18044D">
      <w:pPr>
        <w:pStyle w:val="5"/>
        <w:bidi w:val="0"/>
        <w:rPr>
          <w:rFonts w:hint="default"/>
          <w:lang w:val="en-US" w:eastAsia="zh-CN"/>
        </w:rPr>
      </w:pPr>
      <w:r>
        <w:rPr>
          <w:rFonts w:hint="eastAsia"/>
        </w:rPr>
        <w:t>附件</w:t>
      </w:r>
      <w:r>
        <w:rPr>
          <w:rFonts w:hint="eastAsia"/>
          <w:lang w:val="en-US" w:eastAsia="zh-CN"/>
        </w:rPr>
        <w:t>一</w:t>
      </w:r>
      <w:r>
        <w:rPr>
          <w:rFonts w:hint="eastAsia"/>
        </w:rPr>
        <w:t>：</w:t>
      </w:r>
      <w:r>
        <w:rPr>
          <w:rFonts w:hint="eastAsia"/>
          <w:lang w:val="en-US" w:eastAsia="zh-CN"/>
        </w:rPr>
        <w:t>合同协议书</w:t>
      </w:r>
    </w:p>
    <w:p w14:paraId="4C9D1419">
      <w:pPr>
        <w:keepNext/>
        <w:keepLines/>
        <w:pageBreakBefore w:val="0"/>
        <w:widowControl w:val="0"/>
        <w:kinsoku/>
        <w:wordWrap/>
        <w:overflowPunct/>
        <w:topLinePunct w:val="0"/>
        <w:autoSpaceDE/>
        <w:autoSpaceDN/>
        <w:bidi w:val="0"/>
        <w:adjustRightInd/>
        <w:snapToGrid/>
        <w:spacing w:line="360" w:lineRule="auto"/>
        <w:jc w:val="center"/>
        <w:textAlignment w:val="auto"/>
        <w:outlineLvl w:val="9"/>
        <w:rPr>
          <w:rFonts w:ascii="宋体" w:hAnsi="宋体"/>
          <w:b w:val="0"/>
          <w:bCs w:val="0"/>
          <w:kern w:val="0"/>
          <w:sz w:val="28"/>
          <w:szCs w:val="28"/>
        </w:rPr>
      </w:pPr>
      <w:r>
        <w:rPr>
          <w:rFonts w:ascii="宋体" w:hAnsi="宋体"/>
          <w:b w:val="0"/>
          <w:bCs w:val="0"/>
          <w:kern w:val="0"/>
          <w:sz w:val="28"/>
          <w:szCs w:val="28"/>
        </w:rPr>
        <w:t>合同协议书</w:t>
      </w:r>
    </w:p>
    <w:p w14:paraId="12F41E5A">
      <w:pPr>
        <w:widowControl/>
        <w:tabs>
          <w:tab w:val="left" w:pos="1044"/>
          <w:tab w:val="left" w:pos="9072"/>
          <w:tab w:val="left" w:pos="9781"/>
        </w:tabs>
        <w:spacing w:line="360" w:lineRule="auto"/>
        <w:ind w:firstLine="420" w:firstLineChars="200"/>
        <w:jc w:val="left"/>
        <w:rPr>
          <w:rFonts w:hint="eastAsia" w:eastAsia="宋体"/>
          <w:lang w:eastAsia="zh-CN"/>
        </w:rPr>
      </w:pPr>
      <w:r>
        <w:rPr>
          <w:u w:val="single"/>
        </w:rPr>
        <w:t xml:space="preserve">     </w:t>
      </w:r>
      <w:r>
        <w:rPr>
          <w:rFonts w:hint="eastAsia"/>
          <w:u w:val="single"/>
        </w:rPr>
        <w:t xml:space="preserve">        </w:t>
      </w:r>
      <w:r>
        <w:rPr>
          <w:u w:val="single"/>
        </w:rPr>
        <w:t xml:space="preserve">  </w:t>
      </w:r>
      <w:r>
        <w:t>（买方名称，以下简称</w:t>
      </w:r>
      <w:r>
        <w:rPr>
          <w:rFonts w:hint="eastAsia" w:ascii="宋体" w:hAnsi="宋体" w:cs="宋体"/>
        </w:rPr>
        <w:t>“</w:t>
      </w:r>
      <w:r>
        <w:t>买方</w:t>
      </w:r>
      <w:r>
        <w:rPr>
          <w:rFonts w:hint="eastAsia" w:ascii="宋体" w:hAnsi="宋体" w:cs="宋体"/>
        </w:rPr>
        <w:t>”）</w:t>
      </w:r>
      <w:r>
        <w:t>为获得</w:t>
      </w:r>
      <w:r>
        <w:rPr>
          <w:rFonts w:hint="eastAsia"/>
          <w:u w:val="single"/>
        </w:rPr>
        <w:t xml:space="preserve"> </w:t>
      </w:r>
      <w:r>
        <w:rPr>
          <w:u w:val="single"/>
        </w:rPr>
        <w:t xml:space="preserve">    （项目名称）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t>，已接</w:t>
      </w:r>
      <w:r>
        <w:rPr>
          <w:rFonts w:hint="eastAsia"/>
        </w:rPr>
        <w:t>受</w:t>
      </w:r>
      <w:r>
        <w:rPr>
          <w:rFonts w:hint="eastAsia"/>
          <w:u w:val="single"/>
        </w:rPr>
        <w:t xml:space="preserve">     </w:t>
      </w:r>
      <w:r>
        <w:rPr>
          <w:u w:val="single"/>
        </w:rPr>
        <w:t xml:space="preserve">    </w:t>
      </w:r>
      <w:r>
        <w:t>（卖方名称，以下简称</w:t>
      </w:r>
      <w:r>
        <w:rPr>
          <w:rFonts w:hint="eastAsia"/>
        </w:rPr>
        <w:t>“</w:t>
      </w:r>
      <w:r>
        <w:t>卖方</w:t>
      </w:r>
      <w:r>
        <w:rPr>
          <w:rFonts w:hint="eastAsia"/>
        </w:rPr>
        <w:t>”</w:t>
      </w:r>
      <w:r>
        <w:t>）</w:t>
      </w:r>
      <w:r>
        <w:rPr>
          <w:rFonts w:hint="eastAsia"/>
          <w:lang w:val="en-US" w:eastAsia="zh-CN"/>
        </w:rPr>
        <w:t>为提供</w:t>
      </w:r>
      <w:r>
        <w:t>上述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lang w:val="en-US" w:eastAsia="zh-CN"/>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rPr>
          <w:rFonts w:hint="eastAsia" w:cs="微软雅黑"/>
          <w:spacing w:val="-2"/>
          <w:kern w:val="0"/>
          <w:lang w:val="en-US" w:eastAsia="zh-CN"/>
        </w:rPr>
        <w:t>所作</w:t>
      </w:r>
      <w:r>
        <w:t>的投标。买卖双方共同达成如下协议</w:t>
      </w:r>
      <w:r>
        <w:rPr>
          <w:rFonts w:hint="eastAsia"/>
          <w:lang w:eastAsia="zh-CN"/>
        </w:rPr>
        <w:t>：</w:t>
      </w:r>
    </w:p>
    <w:p w14:paraId="466EF00B">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1.</w:t>
      </w:r>
      <w:r>
        <w:rPr>
          <w:rFonts w:hint="eastAsia" w:ascii="宋体" w:hAnsi="宋体"/>
          <w:kern w:val="0"/>
          <w:szCs w:val="21"/>
          <w:lang w:val="en-US" w:eastAsia="zh-CN"/>
        </w:rPr>
        <w:t>本协议书与</w:t>
      </w:r>
      <w:r>
        <w:rPr>
          <w:rFonts w:ascii="宋体" w:hAnsi="宋体"/>
          <w:kern w:val="0"/>
          <w:szCs w:val="21"/>
        </w:rPr>
        <w:t>下列文件一起构成合同文件：</w:t>
      </w:r>
    </w:p>
    <w:p w14:paraId="391ACC80">
      <w:pPr>
        <w:widowControl/>
        <w:tabs>
          <w:tab w:val="left" w:pos="9072"/>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1</w:t>
      </w:r>
      <w:r>
        <w:rPr>
          <w:rFonts w:ascii="宋体" w:hAnsi="宋体"/>
          <w:kern w:val="0"/>
          <w:szCs w:val="21"/>
        </w:rPr>
        <w:t>）中标通知书；</w:t>
      </w:r>
    </w:p>
    <w:p w14:paraId="2D945233">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2</w:t>
      </w:r>
      <w:r>
        <w:rPr>
          <w:rFonts w:hint="eastAsia" w:ascii="宋体" w:hAnsi="宋体"/>
          <w:kern w:val="0"/>
          <w:szCs w:val="21"/>
        </w:rPr>
        <w:t>）投标函；</w:t>
      </w:r>
    </w:p>
    <w:p w14:paraId="5CD58A56">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rPr>
        <w:t>商务和技术偏差表</w:t>
      </w:r>
      <w:r>
        <w:rPr>
          <w:rFonts w:hint="eastAsia" w:ascii="宋体" w:hAnsi="宋体"/>
          <w:kern w:val="0"/>
          <w:szCs w:val="21"/>
        </w:rPr>
        <w:t>；</w:t>
      </w:r>
    </w:p>
    <w:p w14:paraId="2406C7E2">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4</w:t>
      </w:r>
      <w:r>
        <w:rPr>
          <w:rFonts w:hint="eastAsia" w:ascii="宋体" w:hAnsi="宋体"/>
          <w:kern w:val="0"/>
          <w:szCs w:val="21"/>
        </w:rPr>
        <w:t>）专用合同条款；</w:t>
      </w:r>
    </w:p>
    <w:p w14:paraId="57DA6C5C">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）通用合同条款；</w:t>
      </w:r>
    </w:p>
    <w:p w14:paraId="2098800B">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6</w:t>
      </w:r>
      <w:r>
        <w:rPr>
          <w:rFonts w:hint="eastAsia" w:ascii="宋体" w:hAnsi="宋体"/>
          <w:kern w:val="0"/>
          <w:szCs w:val="21"/>
        </w:rPr>
        <w:t>）供货要求；</w:t>
      </w:r>
    </w:p>
    <w:p w14:paraId="031FB8BD">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7</w:t>
      </w:r>
      <w:r>
        <w:rPr>
          <w:rFonts w:hint="eastAsia" w:ascii="宋体" w:hAnsi="宋体"/>
          <w:kern w:val="0"/>
          <w:szCs w:val="21"/>
        </w:rPr>
        <w:t>）分项报价表；</w:t>
      </w:r>
    </w:p>
    <w:p w14:paraId="6863B576">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8</w:t>
      </w:r>
      <w:r>
        <w:rPr>
          <w:rFonts w:hint="eastAsia" w:ascii="宋体" w:hAnsi="宋体"/>
          <w:kern w:val="0"/>
          <w:szCs w:val="21"/>
        </w:rPr>
        <w:t>）</w:t>
      </w:r>
      <w:r>
        <w:rPr>
          <w:rFonts w:ascii="宋体" w:hAnsi="宋体" w:cs="Arial"/>
        </w:rPr>
        <w:t>中标设备技术性能指标的详细描述</w:t>
      </w:r>
      <w:r>
        <w:rPr>
          <w:rFonts w:hint="eastAsia" w:ascii="宋体" w:hAnsi="宋体"/>
          <w:kern w:val="0"/>
          <w:szCs w:val="21"/>
        </w:rPr>
        <w:t>；</w:t>
      </w:r>
    </w:p>
    <w:p w14:paraId="620CD98F">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9</w:t>
      </w:r>
      <w:r>
        <w:rPr>
          <w:rFonts w:hint="eastAsia" w:ascii="宋体" w:hAnsi="宋体"/>
          <w:kern w:val="0"/>
          <w:szCs w:val="21"/>
        </w:rPr>
        <w:t>）</w:t>
      </w:r>
      <w:r>
        <w:rPr>
          <w:rFonts w:ascii="宋体" w:hAnsi="宋体" w:cs="Arial"/>
        </w:rPr>
        <w:t>技术服务和</w:t>
      </w:r>
      <w:r>
        <w:rPr>
          <w:rFonts w:hint="eastAsia" w:ascii="宋体" w:hAnsi="宋体" w:cs="Arial"/>
          <w:lang w:eastAsia="zh-CN"/>
        </w:rPr>
        <w:t>质保期</w:t>
      </w:r>
      <w:r>
        <w:rPr>
          <w:rFonts w:ascii="宋体" w:hAnsi="宋体" w:cs="Arial"/>
        </w:rPr>
        <w:t>服务计划</w:t>
      </w:r>
      <w:r>
        <w:rPr>
          <w:rFonts w:hint="eastAsia" w:ascii="宋体" w:hAnsi="宋体"/>
          <w:kern w:val="0"/>
          <w:szCs w:val="21"/>
        </w:rPr>
        <w:t>；</w:t>
      </w:r>
    </w:p>
    <w:p w14:paraId="449D4BB7">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rPr>
        <w:t>1</w:t>
      </w:r>
      <w:r>
        <w:rPr>
          <w:rFonts w:hint="eastAsia" w:ascii="宋体" w:hAnsi="宋体"/>
          <w:kern w:val="0"/>
          <w:szCs w:val="21"/>
          <w:lang w:val="en-US" w:eastAsia="zh-CN"/>
        </w:rPr>
        <w:t>0</w:t>
      </w:r>
      <w:r>
        <w:rPr>
          <w:rFonts w:ascii="宋体" w:hAnsi="宋体"/>
          <w:kern w:val="0"/>
          <w:szCs w:val="21"/>
        </w:rPr>
        <w:t>）其他合同文件。</w:t>
      </w:r>
    </w:p>
    <w:p w14:paraId="5FA82D89">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2.上述合同文件互相补充和解释。如果合同文件之间存在矛盾或不一致之处，以上述文件的排列顺序在先者为准。</w:t>
      </w:r>
    </w:p>
    <w:p w14:paraId="5D52CA53">
      <w:pPr>
        <w:widowControl/>
        <w:tabs>
          <w:tab w:val="left" w:pos="9072"/>
          <w:tab w:val="left" w:pos="9640"/>
        </w:tabs>
        <w:spacing w:line="360" w:lineRule="auto"/>
        <w:ind w:firstLine="420" w:firstLineChars="200"/>
        <w:jc w:val="left"/>
        <w:rPr>
          <w:rFonts w:ascii="宋体" w:hAnsi="宋体"/>
          <w:kern w:val="0"/>
          <w:szCs w:val="21"/>
        </w:rPr>
      </w:pPr>
      <w:r>
        <w:rPr>
          <w:rFonts w:ascii="宋体" w:hAnsi="宋体"/>
          <w:kern w:val="0"/>
          <w:szCs w:val="21"/>
        </w:rPr>
        <w:t>3.</w:t>
      </w:r>
      <w:r>
        <w:rPr>
          <w:rFonts w:hint="eastAsia" w:ascii="宋体" w:hAnsi="宋体"/>
          <w:kern w:val="0"/>
          <w:szCs w:val="21"/>
        </w:rPr>
        <w:t>签约合同价：</w:t>
      </w:r>
      <w:r>
        <w:rPr>
          <w:rFonts w:ascii="宋体" w:hAnsi="宋体"/>
          <w:kern w:val="0"/>
          <w:szCs w:val="21"/>
        </w:rPr>
        <w:t>人民币（大写）</w:t>
      </w:r>
      <w:r>
        <w:rPr>
          <w:rFonts w:ascii="宋体" w:hAnsi="宋体"/>
          <w:kern w:val="0"/>
          <w:szCs w:val="21"/>
          <w:u w:val="single"/>
        </w:rPr>
        <w:t xml:space="preserve">              </w:t>
      </w:r>
      <w:r>
        <w:rPr>
          <w:spacing w:val="-3"/>
        </w:rPr>
        <w:t>（</w:t>
      </w:r>
      <w:r>
        <w:rPr>
          <w:rFonts w:eastAsia="Times New Roman"/>
          <w:spacing w:val="-3"/>
        </w:rPr>
        <w:t>¥</w:t>
      </w:r>
      <w:r>
        <w:rPr>
          <w:rFonts w:hint="eastAsia"/>
          <w:spacing w:val="-3"/>
          <w:u w:val="single"/>
        </w:rPr>
        <w:t xml:space="preserve">               </w:t>
      </w:r>
      <w:r>
        <w:rPr>
          <w:rFonts w:hint="eastAsia"/>
          <w:spacing w:val="-3"/>
        </w:rPr>
        <w:t>）。</w:t>
      </w:r>
    </w:p>
    <w:p w14:paraId="7E3F68B9">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4.</w:t>
      </w:r>
      <w:r>
        <w:rPr>
          <w:rFonts w:hint="eastAsia"/>
        </w:rPr>
        <w:t>卖方承诺保证完全按照合同约定提供合同设备</w:t>
      </w:r>
      <w:r>
        <w:rPr>
          <w:rFonts w:hint="eastAsia"/>
          <w:lang w:val="en-US" w:eastAsia="zh-CN"/>
        </w:rPr>
        <w:t>和</w:t>
      </w:r>
      <w:r>
        <w:rPr>
          <w:rFonts w:hint="eastAsia"/>
        </w:rPr>
        <w:t>技术服务和</w:t>
      </w:r>
      <w:r>
        <w:rPr>
          <w:rFonts w:hint="eastAsia"/>
          <w:lang w:eastAsia="zh-CN"/>
        </w:rPr>
        <w:t>质保期</w:t>
      </w:r>
      <w:r>
        <w:rPr>
          <w:rFonts w:hint="eastAsia"/>
        </w:rPr>
        <w:t>服务并修补缺陷。</w:t>
      </w:r>
    </w:p>
    <w:p w14:paraId="34365526">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5.</w:t>
      </w:r>
      <w:r>
        <w:rPr>
          <w:rFonts w:hint="eastAsia"/>
        </w:rPr>
        <w:t>买方承诺保证按照合同约定的条件、时间和方式向卖方支付合同价款。</w:t>
      </w:r>
    </w:p>
    <w:p w14:paraId="0D533376">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6.</w:t>
      </w:r>
      <w:r>
        <w:rPr>
          <w:rFonts w:hAnsi="宋体"/>
        </w:rPr>
        <w:t>本合同</w:t>
      </w:r>
      <w:r>
        <w:rPr>
          <w:rFonts w:hint="eastAsia" w:hAnsi="宋体"/>
          <w:lang w:val="en-US" w:eastAsia="zh-CN"/>
        </w:rPr>
        <w:t>协议书</w:t>
      </w:r>
      <w:r>
        <w:rPr>
          <w:rFonts w:hAnsi="宋体"/>
        </w:rPr>
        <w:t>一式</w:t>
      </w:r>
      <w:r>
        <w:rPr>
          <w:rFonts w:hint="eastAsia" w:hAnsi="宋体"/>
          <w:u w:val="single"/>
        </w:rPr>
        <w:t xml:space="preserve">   </w:t>
      </w:r>
      <w:r>
        <w:rPr>
          <w:rFonts w:hAnsi="宋体"/>
        </w:rPr>
        <w:t>份，</w:t>
      </w:r>
      <w:r>
        <w:rPr>
          <w:rFonts w:hint="eastAsia" w:hAnsi="宋体"/>
          <w:lang w:val="en-US" w:eastAsia="zh-CN"/>
        </w:rPr>
        <w:t>合同</w:t>
      </w:r>
      <w:r>
        <w:rPr>
          <w:rFonts w:hint="eastAsia" w:hAnsi="宋体"/>
        </w:rPr>
        <w:t>双</w:t>
      </w:r>
      <w:r>
        <w:rPr>
          <w:rFonts w:hAnsi="宋体"/>
        </w:rPr>
        <w:t>方各执</w:t>
      </w:r>
      <w:r>
        <w:rPr>
          <w:rFonts w:hint="eastAsia" w:hAnsi="宋体"/>
        </w:rPr>
        <w:t xml:space="preserve"> </w:t>
      </w:r>
      <w:r>
        <w:rPr>
          <w:rFonts w:hint="eastAsia" w:hAnsi="宋体"/>
          <w:u w:val="single"/>
        </w:rPr>
        <w:t xml:space="preserve">   </w:t>
      </w:r>
      <w:r>
        <w:rPr>
          <w:rFonts w:hAnsi="宋体"/>
        </w:rPr>
        <w:t>份。</w:t>
      </w:r>
    </w:p>
    <w:p w14:paraId="258F33CD">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7.</w:t>
      </w:r>
      <w:r>
        <w:rPr>
          <w:rFonts w:hAnsi="宋体"/>
          <w:szCs w:val="21"/>
        </w:rPr>
        <w:t>合同未尽事宜，双方另行签订补充协议</w:t>
      </w:r>
      <w:r>
        <w:rPr>
          <w:rFonts w:hint="eastAsia" w:hAnsi="宋体"/>
          <w:szCs w:val="21"/>
          <w:lang w:eastAsia="zh-CN"/>
        </w:rPr>
        <w:t>，</w:t>
      </w:r>
      <w:r>
        <w:rPr>
          <w:rFonts w:hAnsi="宋体"/>
          <w:szCs w:val="21"/>
        </w:rPr>
        <w:t>补充协议是合同的组成部分。</w:t>
      </w:r>
    </w:p>
    <w:p w14:paraId="194CDC74">
      <w:pPr>
        <w:widowControl/>
        <w:tabs>
          <w:tab w:val="left" w:pos="9640"/>
        </w:tabs>
        <w:spacing w:line="360" w:lineRule="auto"/>
        <w:ind w:firstLine="420" w:firstLineChars="200"/>
        <w:jc w:val="left"/>
        <w:rPr>
          <w:rFonts w:hint="eastAsia" w:ascii="宋体" w:hAnsi="宋体"/>
          <w:kern w:val="0"/>
          <w:szCs w:val="21"/>
        </w:rPr>
      </w:pPr>
    </w:p>
    <w:p w14:paraId="55AB3CAB">
      <w:pPr>
        <w:pStyle w:val="2"/>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pPr>
      <w:r>
        <w:t>买方：</w:t>
      </w:r>
      <w:r>
        <w:rPr>
          <w:u w:val="single"/>
        </w:rPr>
        <w:t xml:space="preserve"> </w:t>
      </w:r>
      <w:r>
        <w:rPr>
          <w:rFonts w:hint="eastAsia"/>
          <w:u w:val="single"/>
          <w:lang w:val="en-US" w:eastAsia="zh-CN"/>
        </w:rPr>
        <w:t xml:space="preserve">                           </w:t>
      </w:r>
      <w:r>
        <w:t>（盖单位章）</w:t>
      </w:r>
    </w:p>
    <w:p w14:paraId="7DF52B60">
      <w:pPr>
        <w:pStyle w:val="2"/>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rPr>
          <w:spacing w:val="-3"/>
        </w:rPr>
        <w:t>（</w:t>
      </w:r>
      <w:r>
        <w:t>签</w:t>
      </w:r>
      <w:r>
        <w:rPr>
          <w:spacing w:val="-3"/>
        </w:rPr>
        <w:t>字</w:t>
      </w:r>
      <w:r>
        <w:t>）</w:t>
      </w:r>
    </w:p>
    <w:p w14:paraId="42C5C53D">
      <w:pPr>
        <w:pStyle w:val="2"/>
        <w:keepNext w:val="0"/>
        <w:keepLines w:val="0"/>
        <w:pageBreakBefore w:val="0"/>
        <w:widowControl w:val="0"/>
        <w:tabs>
          <w:tab w:val="left" w:pos="5438"/>
          <w:tab w:val="left" w:pos="6383"/>
          <w:tab w:val="left" w:pos="7326"/>
        </w:tabs>
        <w:kinsoku/>
        <w:wordWrap/>
        <w:overflowPunct/>
        <w:topLinePunct w:val="0"/>
        <w:autoSpaceDE w:val="0"/>
        <w:autoSpaceDN w:val="0"/>
        <w:bidi w:val="0"/>
        <w:adjustRightInd/>
        <w:snapToGrid/>
        <w:spacing w:before="0" w:after="0" w:line="360" w:lineRule="auto"/>
        <w:ind w:left="0"/>
        <w:jc w:val="right"/>
        <w:textAlignment w:val="auto"/>
      </w:pPr>
      <w:r>
        <w:rPr>
          <w:rFonts w:ascii="Times New Roman" w:eastAsia="Times New Roman"/>
          <w:w w:val="100"/>
          <w:u w:val="single"/>
        </w:rPr>
        <w:t xml:space="preserve"> </w:t>
      </w:r>
      <w:r>
        <w:rPr>
          <w:rFonts w:hint="eastAsia" w:ascii="Times New Roman"/>
          <w:w w:val="100"/>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37AC5281">
      <w:pPr>
        <w:pStyle w:val="2"/>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pPr>
    </w:p>
    <w:p w14:paraId="4B190DB2">
      <w:pPr>
        <w:pStyle w:val="2"/>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rPr>
          <w:sz w:val="9"/>
        </w:rPr>
      </w:pPr>
      <w:r>
        <w:t>卖方</w:t>
      </w:r>
      <w:r>
        <w:rPr>
          <w:spacing w:val="-3"/>
        </w:rPr>
        <w:t>：</w:t>
      </w:r>
      <w:r>
        <w:rPr>
          <w:spacing w:val="-3"/>
          <w:u w:val="single"/>
        </w:rPr>
        <w:t xml:space="preserve"> </w:t>
      </w:r>
      <w:r>
        <w:rPr>
          <w:rFonts w:hint="eastAsia"/>
          <w:spacing w:val="-3"/>
          <w:u w:val="single"/>
          <w:lang w:val="en-US" w:eastAsia="zh-CN"/>
        </w:rPr>
        <w:t xml:space="preserve">                            </w:t>
      </w:r>
      <w:r>
        <w:t>（盖</w:t>
      </w:r>
      <w:r>
        <w:rPr>
          <w:spacing w:val="-3"/>
        </w:rPr>
        <w:t>单</w:t>
      </w:r>
      <w:r>
        <w:t>位</w:t>
      </w:r>
      <w:r>
        <w:rPr>
          <w:spacing w:val="-3"/>
        </w:rPr>
        <w:t>章</w:t>
      </w:r>
      <w:r>
        <w:t>）</w:t>
      </w:r>
    </w:p>
    <w:p w14:paraId="4495D24C">
      <w:pPr>
        <w:pStyle w:val="2"/>
        <w:keepNext w:val="0"/>
        <w:keepLines w:val="0"/>
        <w:pageBreakBefore w:val="0"/>
        <w:widowControl w:val="0"/>
        <w:tabs>
          <w:tab w:val="left" w:pos="7852"/>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t>（</w:t>
      </w:r>
      <w:r>
        <w:rPr>
          <w:spacing w:val="-3"/>
        </w:rPr>
        <w:t>签</w:t>
      </w:r>
      <w:r>
        <w:t>字）</w:t>
      </w:r>
    </w:p>
    <w:p w14:paraId="1B30CE97">
      <w:pPr>
        <w:spacing w:line="360" w:lineRule="auto"/>
        <w:jc w:val="right"/>
      </w:pPr>
      <w:r>
        <w:rPr>
          <w:rFonts w:ascii="Times New Roman" w:eastAsia="Times New Roman"/>
          <w:w w:val="100"/>
          <w:u w:val="single"/>
        </w:rPr>
        <w:t xml:space="preserve"> </w:t>
      </w:r>
      <w:r>
        <w:rPr>
          <w:rFonts w:ascii="Times New Roman" w:eastAsia="Times New Roman"/>
          <w:u w:val="single"/>
        </w:rPr>
        <w:tab/>
      </w:r>
      <w:r>
        <w:t>年</w:t>
      </w:r>
      <w:r>
        <w:rPr>
          <w:u w:val="single"/>
        </w:rPr>
        <w:t xml:space="preserve"> </w:t>
      </w:r>
      <w:r>
        <w:rPr>
          <w:u w:val="single"/>
        </w:rPr>
        <w:tab/>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642A0AC3">
      <w:pPr>
        <w:spacing w:line="360" w:lineRule="auto"/>
        <w:jc w:val="right"/>
      </w:pPr>
    </w:p>
    <w:p w14:paraId="27120658">
      <w:pPr>
        <w:pStyle w:val="2"/>
        <w:jc w:val="center"/>
      </w:pPr>
    </w:p>
    <w:p w14:paraId="339B9860">
      <w:pPr>
        <w:spacing w:line="360" w:lineRule="auto"/>
        <w:rPr>
          <w:rFonts w:ascii="宋体" w:hAnsi="宋体"/>
          <w:szCs w:val="21"/>
        </w:rPr>
      </w:pPr>
    </w:p>
    <w:p w14:paraId="469BE96E">
      <w:pPr>
        <w:pStyle w:val="5"/>
        <w:bidi w:val="0"/>
      </w:pPr>
      <w:r>
        <w:rPr>
          <w:rFonts w:hint="eastAsia" w:ascii="宋体" w:hAnsi="宋体"/>
          <w:szCs w:val="21"/>
        </w:rPr>
        <w:br w:type="page"/>
      </w:r>
      <w:r>
        <w:rPr>
          <w:rFonts w:hint="eastAsia"/>
        </w:rPr>
        <w:t>附</w:t>
      </w:r>
      <w:bookmarkStart w:id="905" w:name="_Toc296891054"/>
      <w:bookmarkStart w:id="906" w:name="_Toc267261693"/>
      <w:bookmarkStart w:id="907" w:name="_Toc296346727"/>
      <w:bookmarkStart w:id="908" w:name="_Toc296503226"/>
      <w:bookmarkStart w:id="909" w:name="_Toc296891266"/>
      <w:bookmarkStart w:id="910" w:name="_Toc296347225"/>
      <w:bookmarkStart w:id="911" w:name="_Toc296944565"/>
      <w:r>
        <w:rPr>
          <w:rFonts w:hint="eastAsia"/>
        </w:rPr>
        <w:t>件</w:t>
      </w:r>
      <w:r>
        <w:rPr>
          <w:rFonts w:hint="eastAsia"/>
          <w:lang w:val="en-US" w:eastAsia="zh-CN"/>
        </w:rPr>
        <w:t>二</w:t>
      </w:r>
      <w:r>
        <w:rPr>
          <w:rFonts w:hint="eastAsia"/>
        </w:rPr>
        <w:t>：</w:t>
      </w:r>
      <w:bookmarkEnd w:id="905"/>
      <w:bookmarkEnd w:id="906"/>
      <w:bookmarkEnd w:id="907"/>
      <w:bookmarkEnd w:id="908"/>
      <w:bookmarkEnd w:id="909"/>
      <w:bookmarkEnd w:id="910"/>
      <w:bookmarkEnd w:id="911"/>
      <w:r>
        <w:rPr>
          <w:rFonts w:hint="eastAsia"/>
        </w:rPr>
        <w:t>履约保证金格式</w:t>
      </w:r>
    </w:p>
    <w:p w14:paraId="4348BC0B">
      <w:pPr>
        <w:pStyle w:val="2"/>
        <w:tabs>
          <w:tab w:val="left" w:pos="2305"/>
        </w:tabs>
        <w:spacing w:before="43"/>
      </w:pPr>
    </w:p>
    <w:p w14:paraId="163096A1">
      <w:pPr>
        <w:pStyle w:val="2"/>
        <w:tabs>
          <w:tab w:val="left" w:pos="2305"/>
        </w:tabs>
        <w:spacing w:before="43"/>
      </w:pPr>
      <w:r>
        <w:t>如采用银行保函，格式如下。</w:t>
      </w:r>
    </w:p>
    <w:p w14:paraId="4C8139F7">
      <w:pPr>
        <w:pStyle w:val="2"/>
        <w:tabs>
          <w:tab w:val="left" w:pos="2305"/>
        </w:tabs>
        <w:spacing w:before="43"/>
        <w:ind w:left="100"/>
        <w:jc w:val="center"/>
        <w:rPr>
          <w:sz w:val="28"/>
        </w:rPr>
      </w:pPr>
    </w:p>
    <w:p w14:paraId="60D3E3F5">
      <w:pPr>
        <w:pStyle w:val="2"/>
        <w:tabs>
          <w:tab w:val="left" w:pos="2305"/>
        </w:tabs>
        <w:spacing w:before="43"/>
        <w:ind w:left="100"/>
        <w:jc w:val="center"/>
      </w:pPr>
      <w:r>
        <w:rPr>
          <w:sz w:val="28"/>
        </w:rPr>
        <w:t>履约保证金</w:t>
      </w:r>
    </w:p>
    <w:p w14:paraId="28A14A48">
      <w:pPr>
        <w:pStyle w:val="2"/>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w w:val="100"/>
          <w:sz w:val="21"/>
          <w:szCs w:val="21"/>
          <w:u w:val="single"/>
        </w:rPr>
      </w:pPr>
    </w:p>
    <w:p w14:paraId="08BA748B">
      <w:pPr>
        <w:pStyle w:val="2"/>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sz w:val="21"/>
          <w:szCs w:val="21"/>
        </w:rPr>
      </w:pPr>
      <w:r>
        <w:rPr>
          <w:rFonts w:hint="eastAsia" w:ascii="宋体" w:hAnsi="宋体" w:eastAsia="宋体" w:cs="宋体"/>
          <w:w w:val="100"/>
          <w:sz w:val="21"/>
          <w:szCs w:val="21"/>
          <w:u w:val="single"/>
        </w:rPr>
        <w:t xml:space="preserve"> </w:t>
      </w:r>
      <w:r>
        <w:rPr>
          <w:rFonts w:hint="eastAsia" w:ascii="宋体" w:hAnsi="宋体" w:eastAsia="宋体" w:cs="宋体"/>
          <w:sz w:val="21"/>
          <w:szCs w:val="21"/>
          <w:u w:val="single"/>
        </w:rPr>
        <w:tab/>
      </w:r>
      <w:r>
        <w:rPr>
          <w:rFonts w:hint="eastAsia" w:cs="宋体"/>
          <w:spacing w:val="-3"/>
          <w:w w:val="100"/>
          <w:sz w:val="21"/>
          <w:szCs w:val="21"/>
          <w:lang w:eastAsia="zh-CN"/>
        </w:rPr>
        <w:t>（</w:t>
      </w:r>
      <w:r>
        <w:rPr>
          <w:rFonts w:hint="eastAsia" w:ascii="宋体" w:hAnsi="宋体" w:eastAsia="宋体" w:cs="宋体"/>
          <w:spacing w:val="-1"/>
          <w:w w:val="100"/>
          <w:sz w:val="21"/>
          <w:szCs w:val="21"/>
        </w:rPr>
        <w:t>买方名称</w:t>
      </w:r>
      <w:r>
        <w:rPr>
          <w:rFonts w:hint="eastAsia" w:cs="宋体"/>
          <w:spacing w:val="-3"/>
          <w:w w:val="100"/>
          <w:sz w:val="21"/>
          <w:szCs w:val="21"/>
          <w:lang w:eastAsia="zh-CN"/>
        </w:rPr>
        <w:t>）：</w:t>
      </w:r>
    </w:p>
    <w:p w14:paraId="3669294D">
      <w:pPr>
        <w:pStyle w:val="2"/>
        <w:keepNext w:val="0"/>
        <w:keepLines w:val="0"/>
        <w:pageBreakBefore w:val="0"/>
        <w:widowControl w:val="0"/>
        <w:tabs>
          <w:tab w:val="left" w:pos="7586"/>
          <w:tab w:val="left" w:pos="8533"/>
        </w:tabs>
        <w:kinsoku/>
        <w:wordWrap/>
        <w:overflowPunct/>
        <w:topLinePunct w:val="0"/>
        <w:autoSpaceDE w:val="0"/>
        <w:autoSpaceDN w:val="0"/>
        <w:bidi w:val="0"/>
        <w:adjustRightInd/>
        <w:snapToGrid/>
        <w:spacing w:before="0" w:line="360" w:lineRule="auto"/>
        <w:ind w:left="0" w:firstLine="420" w:firstLineChars="200"/>
        <w:textAlignment w:val="auto"/>
        <w:rPr>
          <w:rFonts w:hint="default" w:ascii="宋体" w:hAnsi="宋体" w:eastAsia="宋体" w:cs="宋体"/>
          <w:sz w:val="21"/>
          <w:szCs w:val="21"/>
          <w:u w:val="single"/>
          <w:lang w:val="en-US" w:eastAsia="zh-CN"/>
        </w:rPr>
      </w:pPr>
      <w:r>
        <w:rPr>
          <w:rFonts w:hint="eastAsia" w:cs="宋体"/>
          <w:sz w:val="21"/>
          <w:szCs w:val="21"/>
          <w:lang w:val="en-US" w:eastAsia="zh-CN"/>
        </w:rPr>
        <w:t>鉴于</w:t>
      </w:r>
      <w:r>
        <w:rPr>
          <w:rFonts w:hint="eastAsia" w:cs="宋体"/>
          <w:sz w:val="21"/>
          <w:szCs w:val="21"/>
          <w:u w:val="single"/>
          <w:lang w:val="en-US" w:eastAsia="zh-CN"/>
        </w:rPr>
        <w:t xml:space="preserve">         </w:t>
      </w:r>
      <w:r>
        <w:rPr>
          <w:rFonts w:hint="eastAsia" w:cs="宋体"/>
          <w:sz w:val="21"/>
          <w:szCs w:val="21"/>
          <w:lang w:val="en-US" w:eastAsia="zh-CN"/>
        </w:rPr>
        <w:t>（</w:t>
      </w:r>
      <w:r>
        <w:rPr>
          <w:rFonts w:hint="eastAsia" w:ascii="宋体" w:hAnsi="宋体" w:eastAsia="宋体" w:cs="宋体"/>
          <w:sz w:val="21"/>
          <w:szCs w:val="21"/>
        </w:rPr>
        <w:t>买</w:t>
      </w:r>
      <w:r>
        <w:rPr>
          <w:rFonts w:hint="eastAsia" w:ascii="宋体" w:hAnsi="宋体" w:eastAsia="宋体" w:cs="宋体"/>
          <w:spacing w:val="-3"/>
          <w:sz w:val="21"/>
          <w:szCs w:val="21"/>
        </w:rPr>
        <w:t>方</w:t>
      </w:r>
      <w:r>
        <w:rPr>
          <w:rFonts w:hint="eastAsia" w:ascii="宋体" w:hAnsi="宋体" w:eastAsia="宋体" w:cs="宋体"/>
          <w:sz w:val="21"/>
          <w:szCs w:val="21"/>
        </w:rPr>
        <w:t>名</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以</w:t>
      </w:r>
      <w:r>
        <w:rPr>
          <w:rFonts w:hint="eastAsia" w:ascii="宋体" w:hAnsi="宋体" w:eastAsia="宋体" w:cs="宋体"/>
          <w:sz w:val="21"/>
          <w:szCs w:val="21"/>
        </w:rPr>
        <w:t>下</w:t>
      </w:r>
      <w:r>
        <w:rPr>
          <w:rFonts w:hint="eastAsia" w:ascii="宋体" w:hAnsi="宋体" w:eastAsia="宋体" w:cs="宋体"/>
          <w:spacing w:val="-3"/>
          <w:sz w:val="21"/>
          <w:szCs w:val="21"/>
        </w:rPr>
        <w:t>简称</w:t>
      </w:r>
      <w:r>
        <w:rPr>
          <w:rFonts w:hint="eastAsia" w:cs="宋体"/>
          <w:i w:val="0"/>
          <w:iCs/>
          <w:sz w:val="21"/>
          <w:szCs w:val="21"/>
          <w:lang w:eastAsia="zh-CN"/>
        </w:rPr>
        <w:t>“</w:t>
      </w:r>
      <w:r>
        <w:rPr>
          <w:rFonts w:hint="eastAsia" w:ascii="宋体" w:hAnsi="宋体" w:eastAsia="宋体" w:cs="宋体"/>
          <w:sz w:val="21"/>
          <w:szCs w:val="21"/>
        </w:rPr>
        <w:t>买方</w:t>
      </w:r>
      <w:r>
        <w:rPr>
          <w:rFonts w:hint="eastAsia" w:cs="宋体"/>
          <w:i w:val="0"/>
          <w:iCs/>
          <w:sz w:val="21"/>
          <w:szCs w:val="21"/>
          <w:lang w:eastAsia="zh-CN"/>
        </w:rPr>
        <w:t>”</w:t>
      </w:r>
      <w:r>
        <w:rPr>
          <w:rFonts w:hint="eastAsia" w:cs="宋体"/>
          <w:sz w:val="21"/>
          <w:szCs w:val="21"/>
          <w:lang w:val="en-US" w:eastAsia="zh-CN"/>
        </w:rPr>
        <w:t>）</w:t>
      </w:r>
      <w:r>
        <w:rPr>
          <w:rFonts w:hint="eastAsia" w:cs="宋体"/>
          <w:spacing w:val="-3"/>
          <w:sz w:val="21"/>
          <w:szCs w:val="21"/>
          <w:lang w:val="en-US" w:eastAsia="zh-CN"/>
        </w:rPr>
        <w:t>接受</w:t>
      </w:r>
      <w:r>
        <w:rPr>
          <w:rFonts w:hint="eastAsia" w:cs="宋体"/>
          <w:spacing w:val="-3"/>
          <w:sz w:val="21"/>
          <w:szCs w:val="21"/>
          <w:u w:val="single"/>
          <w:lang w:val="en-US" w:eastAsia="zh-CN"/>
        </w:rPr>
        <w:t xml:space="preserve">             </w:t>
      </w:r>
      <w:r>
        <w:rPr>
          <w:rFonts w:hint="eastAsia" w:cs="宋体"/>
          <w:spacing w:val="-3"/>
          <w:sz w:val="21"/>
          <w:szCs w:val="21"/>
          <w:lang w:val="en-US" w:eastAsia="zh-CN"/>
        </w:rPr>
        <w:t>（</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ascii="宋体" w:hAnsi="宋体" w:eastAsia="宋体" w:cs="宋体"/>
          <w:spacing w:val="-3"/>
          <w:sz w:val="21"/>
          <w:szCs w:val="21"/>
        </w:rPr>
        <w:t>名</w:t>
      </w:r>
      <w:r>
        <w:rPr>
          <w:rFonts w:hint="eastAsia" w:ascii="宋体" w:hAnsi="宋体" w:eastAsia="宋体" w:cs="宋体"/>
          <w:sz w:val="21"/>
          <w:szCs w:val="21"/>
        </w:rPr>
        <w:t>称</w:t>
      </w:r>
      <w:r>
        <w:rPr>
          <w:rFonts w:hint="eastAsia" w:cs="宋体"/>
          <w:sz w:val="21"/>
          <w:szCs w:val="21"/>
          <w:lang w:eastAsia="zh-CN"/>
        </w:rPr>
        <w:t>，</w:t>
      </w:r>
      <w:r>
        <w:rPr>
          <w:rFonts w:hint="eastAsia" w:ascii="宋体" w:hAnsi="宋体" w:eastAsia="宋体" w:cs="宋体"/>
          <w:sz w:val="21"/>
          <w:szCs w:val="21"/>
        </w:rPr>
        <w:t>以下</w:t>
      </w:r>
      <w:r>
        <w:rPr>
          <w:rFonts w:hint="eastAsia" w:cs="宋体"/>
          <w:sz w:val="21"/>
          <w:szCs w:val="21"/>
          <w:lang w:val="en-US" w:eastAsia="zh-CN"/>
        </w:rPr>
        <w:t>简</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cs="宋体"/>
          <w:spacing w:val="-3"/>
          <w:sz w:val="21"/>
          <w:szCs w:val="21"/>
          <w:lang w:eastAsia="zh-CN"/>
        </w:rPr>
        <w:t>”</w:t>
      </w:r>
      <w:r>
        <w:rPr>
          <w:rFonts w:hint="eastAsia" w:cs="宋体"/>
          <w:spacing w:val="-3"/>
          <w:sz w:val="21"/>
          <w:szCs w:val="21"/>
          <w:lang w:val="en-US" w:eastAsia="zh-CN"/>
        </w:rPr>
        <w:t>）</w:t>
      </w:r>
      <w:r>
        <w:rPr>
          <w:rFonts w:hint="eastAsia" w:ascii="宋体" w:hAnsi="宋体" w:eastAsia="宋体" w:cs="宋体"/>
          <w:sz w:val="21"/>
          <w:szCs w:val="21"/>
        </w:rPr>
        <w:t>于</w:t>
      </w:r>
      <w:r>
        <w:rPr>
          <w:rFonts w:hint="eastAsia" w:cs="宋体"/>
          <w:sz w:val="21"/>
          <w:szCs w:val="21"/>
          <w:u w:val="single"/>
          <w:lang w:val="en-US" w:eastAsia="zh-CN"/>
        </w:rPr>
        <w:t xml:space="preserve">    </w:t>
      </w:r>
      <w:r>
        <w:rPr>
          <w:rFonts w:hint="eastAsia" w:cs="宋体"/>
          <w:sz w:val="21"/>
          <w:szCs w:val="21"/>
          <w:u w:val="none"/>
          <w:lang w:val="en-US" w:eastAsia="zh-CN"/>
        </w:rPr>
        <w:t>年</w:t>
      </w:r>
      <w:r>
        <w:rPr>
          <w:rFonts w:hint="eastAsia" w:cs="宋体"/>
          <w:sz w:val="21"/>
          <w:szCs w:val="21"/>
          <w:u w:val="single"/>
          <w:lang w:val="en-US" w:eastAsia="zh-CN"/>
        </w:rPr>
        <w:t xml:space="preserve">   </w:t>
      </w:r>
      <w:r>
        <w:rPr>
          <w:rFonts w:hint="eastAsia" w:cs="宋体"/>
          <w:sz w:val="21"/>
          <w:szCs w:val="21"/>
          <w:u w:val="none"/>
          <w:lang w:val="en-US" w:eastAsia="zh-CN"/>
        </w:rPr>
        <w:t>月</w:t>
      </w:r>
      <w:r>
        <w:rPr>
          <w:rFonts w:hint="eastAsia" w:cs="宋体"/>
          <w:sz w:val="21"/>
          <w:szCs w:val="21"/>
          <w:u w:val="single"/>
          <w:lang w:val="en-US" w:eastAsia="zh-CN"/>
        </w:rPr>
        <w:t xml:space="preserve">   </w:t>
      </w:r>
      <w:r>
        <w:rPr>
          <w:rFonts w:hint="eastAsia" w:cs="宋体"/>
          <w:sz w:val="21"/>
          <w:szCs w:val="21"/>
          <w:u w:val="none"/>
          <w:lang w:val="en-US" w:eastAsia="zh-CN"/>
        </w:rPr>
        <w:t>日参加</w:t>
      </w:r>
      <w:r>
        <w:rPr>
          <w:rFonts w:hint="eastAsia" w:cs="宋体"/>
          <w:sz w:val="21"/>
          <w:szCs w:val="21"/>
          <w:u w:val="single"/>
          <w:lang w:val="en-US" w:eastAsia="zh-CN"/>
        </w:rPr>
        <w:t xml:space="preserve">             （项目名称）</w:t>
      </w:r>
      <w:r>
        <w:rPr>
          <w:rFonts w:hint="eastAsia" w:cs="宋体"/>
          <w:sz w:val="21"/>
          <w:szCs w:val="21"/>
          <w:u w:val="none"/>
          <w:lang w:val="en-US" w:eastAsia="zh-CN"/>
        </w:rPr>
        <w:t>设备采购招标项目的投标。我方愿意无条件地、不可撤销地就卖方履行与你方订立的合同，向你方提供担保。</w:t>
      </w:r>
    </w:p>
    <w:p w14:paraId="625A8E6D">
      <w:pPr>
        <w:pStyle w:val="330"/>
        <w:keepNext w:val="0"/>
        <w:keepLines w:val="0"/>
        <w:pageBreakBefore w:val="0"/>
        <w:widowControl w:val="0"/>
        <w:numPr>
          <w:ilvl w:val="0"/>
          <w:numId w:val="0"/>
        </w:numPr>
        <w:tabs>
          <w:tab w:val="left" w:pos="785"/>
          <w:tab w:val="left" w:pos="4564"/>
          <w:tab w:val="left" w:pos="6559"/>
        </w:tabs>
        <w:kinsoku/>
        <w:wordWrap/>
        <w:overflowPunct/>
        <w:topLinePunct w:val="0"/>
        <w:autoSpaceDE w:val="0"/>
        <w:autoSpaceDN w:val="0"/>
        <w:bidi w:val="0"/>
        <w:adjustRightInd/>
        <w:snapToGrid/>
        <w:spacing w:before="0" w:after="0" w:line="360" w:lineRule="auto"/>
        <w:ind w:leftChars="0" w:right="0" w:rightChars="0" w:firstLine="408" w:firstLineChars="200"/>
        <w:jc w:val="left"/>
        <w:textAlignment w:val="auto"/>
        <w:rPr>
          <w:rFonts w:hint="eastAsia" w:ascii="宋体" w:hAnsi="宋体" w:eastAsia="宋体" w:cs="宋体"/>
          <w:sz w:val="21"/>
          <w:szCs w:val="21"/>
        </w:rPr>
      </w:pPr>
      <w:r>
        <w:rPr>
          <w:rFonts w:hint="eastAsia" w:cs="宋体"/>
          <w:spacing w:val="-3"/>
          <w:sz w:val="21"/>
          <w:szCs w:val="21"/>
          <w:lang w:val="en-US" w:eastAsia="zh-CN"/>
        </w:rPr>
        <w:t>1.</w:t>
      </w:r>
      <w:r>
        <w:rPr>
          <w:rFonts w:hint="eastAsia" w:ascii="宋体" w:hAnsi="宋体" w:eastAsia="宋体" w:cs="宋体"/>
          <w:spacing w:val="-3"/>
          <w:sz w:val="21"/>
          <w:szCs w:val="21"/>
        </w:rPr>
        <w:t>担</w:t>
      </w:r>
      <w:r>
        <w:rPr>
          <w:rFonts w:hint="eastAsia" w:ascii="宋体" w:hAnsi="宋体" w:eastAsia="宋体" w:cs="宋体"/>
          <w:sz w:val="21"/>
          <w:szCs w:val="21"/>
        </w:rPr>
        <w:t>保</w:t>
      </w:r>
      <w:r>
        <w:rPr>
          <w:rFonts w:hint="eastAsia" w:ascii="宋体" w:hAnsi="宋体" w:eastAsia="宋体" w:cs="宋体"/>
          <w:spacing w:val="-3"/>
          <w:sz w:val="21"/>
          <w:szCs w:val="21"/>
        </w:rPr>
        <w:t>金</w:t>
      </w:r>
      <w:r>
        <w:rPr>
          <w:rFonts w:hint="eastAsia" w:ascii="宋体" w:hAnsi="宋体" w:eastAsia="宋体" w:cs="宋体"/>
          <w:sz w:val="21"/>
          <w:szCs w:val="21"/>
        </w:rPr>
        <w:t>额</w:t>
      </w:r>
      <w:r>
        <w:rPr>
          <w:rFonts w:hint="eastAsia" w:ascii="宋体" w:hAnsi="宋体" w:eastAsia="宋体" w:cs="宋体"/>
          <w:spacing w:val="-3"/>
          <w:sz w:val="21"/>
          <w:szCs w:val="21"/>
        </w:rPr>
        <w:t>人</w:t>
      </w:r>
      <w:r>
        <w:rPr>
          <w:rFonts w:hint="eastAsia" w:ascii="宋体" w:hAnsi="宋体" w:eastAsia="宋体" w:cs="宋体"/>
          <w:sz w:val="21"/>
          <w:szCs w:val="21"/>
        </w:rPr>
        <w:t>民</w:t>
      </w:r>
      <w:r>
        <w:rPr>
          <w:rFonts w:hint="eastAsia" w:ascii="宋体" w:hAnsi="宋体" w:eastAsia="宋体" w:cs="宋体"/>
          <w:spacing w:val="-3"/>
          <w:sz w:val="21"/>
          <w:szCs w:val="21"/>
        </w:rPr>
        <w:t>币</w:t>
      </w:r>
      <w:r>
        <w:rPr>
          <w:rFonts w:hint="eastAsia" w:ascii="宋体" w:hAnsi="宋体" w:eastAsia="宋体" w:cs="宋体"/>
          <w:sz w:val="21"/>
          <w:szCs w:val="21"/>
        </w:rPr>
        <w:t>（</w:t>
      </w:r>
      <w:r>
        <w:rPr>
          <w:rFonts w:hint="eastAsia" w:ascii="宋体" w:hAnsi="宋体" w:eastAsia="宋体" w:cs="宋体"/>
          <w:spacing w:val="-3"/>
          <w:sz w:val="21"/>
          <w:szCs w:val="21"/>
        </w:rPr>
        <w:t>大写</w:t>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p>
    <w:p w14:paraId="58753E5F">
      <w:pPr>
        <w:pStyle w:val="330"/>
        <w:keepNext w:val="0"/>
        <w:keepLines w:val="0"/>
        <w:pageBreakBefore w:val="0"/>
        <w:widowControl w:val="0"/>
        <w:numPr>
          <w:ilvl w:val="0"/>
          <w:numId w:val="0"/>
        </w:numPr>
        <w:tabs>
          <w:tab w:val="left" w:pos="790"/>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z w:val="21"/>
          <w:szCs w:val="21"/>
        </w:rPr>
      </w:pPr>
      <w:r>
        <w:rPr>
          <w:rFonts w:hint="eastAsia" w:cs="宋体"/>
          <w:sz w:val="21"/>
          <w:szCs w:val="21"/>
          <w:lang w:val="en-US" w:eastAsia="zh-CN"/>
        </w:rPr>
        <w:t>2.</w:t>
      </w:r>
      <w:r>
        <w:rPr>
          <w:rFonts w:hint="eastAsia" w:ascii="宋体" w:hAnsi="宋体" w:eastAsia="宋体" w:cs="宋体"/>
          <w:spacing w:val="0"/>
          <w:sz w:val="21"/>
          <w:szCs w:val="21"/>
        </w:rPr>
        <w:t>担保有效期自买方与卖方签订的合同生效之日起至合同设备验收证书或验收款支付函签署之日起28日后失效。</w:t>
      </w:r>
    </w:p>
    <w:p w14:paraId="0774D5B8">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3.</w:t>
      </w:r>
      <w:r>
        <w:rPr>
          <w:rFonts w:hint="eastAsia" w:ascii="宋体" w:hAnsi="宋体" w:eastAsia="宋体" w:cs="宋体"/>
          <w:spacing w:val="0"/>
          <w:sz w:val="21"/>
          <w:szCs w:val="21"/>
        </w:rPr>
        <w:t>在本担保有效期内，如果卖方不履行合同约定的义务或其履行不符合合同的约定，我方在收到你方以书面形式提出的在担保金额内的赔偿要求后，在7日内无条件支付。</w:t>
      </w:r>
    </w:p>
    <w:p w14:paraId="12389816">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4.</w:t>
      </w:r>
      <w:r>
        <w:rPr>
          <w:rFonts w:hint="eastAsia" w:ascii="宋体" w:hAnsi="宋体" w:eastAsia="宋体" w:cs="宋体"/>
          <w:spacing w:val="0"/>
          <w:sz w:val="21"/>
          <w:szCs w:val="21"/>
        </w:rPr>
        <w:t>买方和卖方变更合同时，无论我方是否收到该变更，我方承担本担保规定的义务不变。</w:t>
      </w:r>
    </w:p>
    <w:p w14:paraId="2E07A29A">
      <w:pPr>
        <w:pStyle w:val="2"/>
        <w:rPr>
          <w:sz w:val="22"/>
        </w:rPr>
      </w:pPr>
    </w:p>
    <w:p w14:paraId="6D1BE5F1">
      <w:pPr>
        <w:pStyle w:val="2"/>
        <w:spacing w:before="10"/>
        <w:rPr>
          <w:sz w:val="32"/>
        </w:rPr>
      </w:pPr>
    </w:p>
    <w:p w14:paraId="209872AB">
      <w:pPr>
        <w:pStyle w:val="2"/>
        <w:keepNext w:val="0"/>
        <w:keepLines w:val="0"/>
        <w:pageBreakBefore w:val="0"/>
        <w:widowControl w:val="0"/>
        <w:tabs>
          <w:tab w:val="left" w:pos="7589"/>
        </w:tabs>
        <w:kinsoku/>
        <w:wordWrap/>
        <w:overflowPunct/>
        <w:topLinePunct w:val="0"/>
        <w:autoSpaceDE w:val="0"/>
        <w:autoSpaceDN w:val="0"/>
        <w:bidi w:val="0"/>
        <w:adjustRightInd/>
        <w:snapToGrid/>
        <w:spacing w:before="0" w:line="360" w:lineRule="auto"/>
        <w:ind w:left="0"/>
        <w:jc w:val="right"/>
        <w:textAlignment w:val="auto"/>
        <w:rPr>
          <w:sz w:val="22"/>
        </w:rPr>
      </w:pPr>
      <w:r>
        <w:t>担保</w:t>
      </w:r>
      <w:r>
        <w:rPr>
          <w:spacing w:val="-3"/>
        </w:rPr>
        <w:t>人</w:t>
      </w:r>
      <w:r>
        <w:t>名称</w:t>
      </w:r>
      <w:r>
        <w:rPr>
          <w:spacing w:val="0"/>
        </w:rPr>
        <w:t xml:space="preserve"> </w:t>
      </w:r>
      <w:r>
        <w:t>：</w:t>
      </w:r>
      <w:r>
        <w:rPr>
          <w:rFonts w:hint="eastAsia"/>
          <w:u w:val="single"/>
          <w:lang w:val="en-US" w:eastAsia="zh-CN"/>
        </w:rPr>
        <w:t xml:space="preserve">                           </w:t>
      </w:r>
      <w:r>
        <w:rPr>
          <w:u w:val="none"/>
        </w:rPr>
        <w:t>（</w:t>
      </w:r>
      <w:r>
        <w:rPr>
          <w:spacing w:val="-3"/>
        </w:rPr>
        <w:t>盖</w:t>
      </w:r>
      <w:r>
        <w:t>单</w:t>
      </w:r>
      <w:r>
        <w:rPr>
          <w:spacing w:val="-3"/>
        </w:rPr>
        <w:t>位章</w:t>
      </w:r>
      <w:r>
        <w:t>）</w:t>
      </w:r>
    </w:p>
    <w:p w14:paraId="3F28197C">
      <w:pPr>
        <w:pStyle w:val="2"/>
        <w:keepNext w:val="0"/>
        <w:keepLines w:val="0"/>
        <w:pageBreakBefore w:val="0"/>
        <w:widowControl w:val="0"/>
        <w:tabs>
          <w:tab w:val="left" w:pos="7906"/>
        </w:tabs>
        <w:kinsoku/>
        <w:wordWrap/>
        <w:overflowPunct/>
        <w:topLinePunct w:val="0"/>
        <w:autoSpaceDE w:val="0"/>
        <w:autoSpaceDN w:val="0"/>
        <w:bidi w:val="0"/>
        <w:adjustRightInd/>
        <w:snapToGrid/>
        <w:spacing w:before="0" w:line="360" w:lineRule="auto"/>
        <w:ind w:left="0"/>
        <w:jc w:val="right"/>
        <w:textAlignment w:val="auto"/>
      </w:pPr>
      <w:r>
        <w:t>法定</w:t>
      </w:r>
      <w:r>
        <w:rPr>
          <w:spacing w:val="-3"/>
        </w:rPr>
        <w:t>代</w:t>
      </w:r>
      <w:r>
        <w:t>表</w:t>
      </w:r>
      <w:r>
        <w:rPr>
          <w:spacing w:val="-48"/>
        </w:rPr>
        <w:t>人</w:t>
      </w:r>
      <w:r>
        <w:t>（</w:t>
      </w:r>
      <w:r>
        <w:rPr>
          <w:spacing w:val="-3"/>
        </w:rPr>
        <w:t>单</w:t>
      </w:r>
      <w:r>
        <w:t>位</w:t>
      </w:r>
      <w:r>
        <w:rPr>
          <w:spacing w:val="-3"/>
        </w:rPr>
        <w:t>负</w:t>
      </w:r>
      <w:r>
        <w:t>责人</w:t>
      </w:r>
      <w:r>
        <w:rPr>
          <w:spacing w:val="-48"/>
        </w:rPr>
        <w:t>）</w:t>
      </w:r>
      <w:r>
        <w:t>或其</w:t>
      </w:r>
      <w:r>
        <w:rPr>
          <w:spacing w:val="-3"/>
        </w:rPr>
        <w:t>委</w:t>
      </w:r>
      <w:r>
        <w:t>托</w:t>
      </w:r>
      <w:r>
        <w:rPr>
          <w:spacing w:val="-3"/>
        </w:rPr>
        <w:t>代</w:t>
      </w:r>
      <w:r>
        <w:t>理</w:t>
      </w:r>
      <w:r>
        <w:rPr>
          <w:spacing w:val="-3"/>
        </w:rPr>
        <w:t>人</w:t>
      </w:r>
      <w:r>
        <w:t>：</w:t>
      </w:r>
      <w:r>
        <w:rPr>
          <w:rFonts w:hint="eastAsia"/>
          <w:u w:val="single"/>
          <w:lang w:val="en-US" w:eastAsia="zh-CN"/>
        </w:rPr>
        <w:t xml:space="preserve">       </w:t>
      </w:r>
      <w:r>
        <w:rPr>
          <w:spacing w:val="-3"/>
          <w:u w:val="none"/>
        </w:rPr>
        <w:t>（</w:t>
      </w:r>
      <w:r>
        <w:rPr>
          <w:spacing w:val="-3"/>
        </w:rPr>
        <w:t>签字）</w:t>
      </w:r>
    </w:p>
    <w:p w14:paraId="5B10E445">
      <w:pPr>
        <w:pStyle w:val="2"/>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firstLine="4830" w:firstLineChars="2300"/>
        <w:jc w:val="both"/>
        <w:textAlignment w:val="auto"/>
        <w:rPr>
          <w:rFonts w:hint="default" w:ascii="Times New Roman" w:eastAsia="宋体"/>
          <w:sz w:val="24"/>
          <w:lang w:val="en-US" w:eastAsia="zh-CN"/>
        </w:rPr>
      </w:pPr>
      <w:r>
        <w:t>地址</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10349207">
      <w:pPr>
        <w:pStyle w:val="2"/>
        <w:keepNext w:val="0"/>
        <w:keepLines w:val="0"/>
        <w:pageBreakBefore w:val="0"/>
        <w:widowControl w:val="0"/>
        <w:tabs>
          <w:tab w:val="left" w:pos="8760"/>
        </w:tabs>
        <w:kinsoku/>
        <w:wordWrap/>
        <w:overflowPunct/>
        <w:topLinePunct w:val="0"/>
        <w:autoSpaceDE w:val="0"/>
        <w:autoSpaceDN w:val="0"/>
        <w:bidi w:val="0"/>
        <w:adjustRightInd/>
        <w:snapToGrid/>
        <w:spacing w:before="0" w:line="360" w:lineRule="auto"/>
        <w:ind w:left="0" w:firstLine="4410" w:firstLineChars="2100"/>
        <w:jc w:val="both"/>
        <w:textAlignment w:val="auto"/>
        <w:rPr>
          <w:rFonts w:hint="default" w:ascii="Times New Roman" w:eastAsia="宋体"/>
          <w:sz w:val="24"/>
          <w:lang w:val="en-US" w:eastAsia="zh-CN"/>
        </w:rPr>
      </w:pPr>
      <w:r>
        <w:t>邮政</w:t>
      </w:r>
      <w:r>
        <w:rPr>
          <w:spacing w:val="-3"/>
        </w:rPr>
        <w:t>编</w:t>
      </w:r>
      <w:r>
        <w:t>码</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1C79B411">
      <w:pPr>
        <w:pStyle w:val="2"/>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left="0" w:firstLine="4830" w:firstLineChars="2300"/>
        <w:jc w:val="both"/>
        <w:textAlignment w:val="auto"/>
        <w:rPr>
          <w:rFonts w:hint="default" w:ascii="Times New Roman" w:eastAsia="宋体"/>
          <w:sz w:val="25"/>
          <w:lang w:val="en-US" w:eastAsia="zh-CN"/>
        </w:rPr>
      </w:pPr>
      <w:r>
        <w:t>电话</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1B3A766C">
      <w:pPr>
        <w:widowControl/>
        <w:spacing w:line="360" w:lineRule="auto"/>
        <w:jc w:val="right"/>
      </w:pPr>
      <w:r>
        <w:rPr>
          <w:rFonts w:ascii="Times New Roman" w:eastAsia="Times New Roman"/>
          <w:w w:val="100"/>
          <w:u w:val="single"/>
        </w:rPr>
        <w:t xml:space="preserve"> </w:t>
      </w:r>
      <w:r>
        <w:rPr>
          <w:rFonts w:hint="eastAsia" w:ascii="Times New Roman"/>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4AD4DD40">
      <w:pPr>
        <w:widowControl/>
        <w:spacing w:line="360" w:lineRule="auto"/>
        <w:jc w:val="left"/>
        <w:rPr>
          <w:sz w:val="32"/>
          <w:szCs w:val="32"/>
        </w:rPr>
      </w:pPr>
      <w:r>
        <w:rPr>
          <w:rFonts w:hint="eastAsia" w:ascii="宋体" w:hAnsi="宋体"/>
          <w:szCs w:val="21"/>
        </w:rPr>
        <w:br w:type="page"/>
      </w:r>
    </w:p>
    <w:p w14:paraId="7C6DBA83">
      <w:pPr>
        <w:pStyle w:val="5"/>
        <w:bidi w:val="0"/>
        <w:rPr>
          <w:rFonts w:hint="default" w:eastAsia="宋体"/>
          <w:lang w:val="en-US" w:eastAsia="zh-CN"/>
        </w:rPr>
      </w:pPr>
      <w:r>
        <w:rPr>
          <w:rFonts w:hint="eastAsia"/>
        </w:rPr>
        <w:t>附件</w:t>
      </w:r>
      <w:r>
        <w:rPr>
          <w:rFonts w:hint="eastAsia"/>
          <w:lang w:val="en-US" w:eastAsia="zh-CN"/>
        </w:rPr>
        <w:t>三</w:t>
      </w:r>
      <w:r>
        <w:rPr>
          <w:rFonts w:hint="eastAsia"/>
        </w:rPr>
        <w:t>：</w:t>
      </w:r>
      <w:r>
        <w:rPr>
          <w:rFonts w:hint="eastAsia"/>
          <w:lang w:val="en-US" w:eastAsia="zh-CN"/>
        </w:rPr>
        <w:t>供货要求</w:t>
      </w:r>
    </w:p>
    <w:p w14:paraId="79626D29">
      <w:pPr>
        <w:pageBreakBefore w:val="0"/>
        <w:kinsoku/>
        <w:overflowPunct/>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sectPr>
          <w:headerReference r:id="rId9" w:type="default"/>
          <w:footerReference r:id="rId10" w:type="default"/>
          <w:pgSz w:w="11906" w:h="16838"/>
          <w:pgMar w:top="771" w:right="1474" w:bottom="1418" w:left="1588" w:header="851" w:footer="992" w:gutter="0"/>
          <w:pgBorders>
            <w:top w:val="none" w:sz="0" w:space="0"/>
            <w:left w:val="none" w:sz="0" w:space="0"/>
            <w:bottom w:val="none" w:sz="0" w:space="0"/>
            <w:right w:val="none" w:sz="0" w:space="0"/>
          </w:pgBorders>
          <w:pgNumType w:fmt="numberInDash"/>
          <w:cols w:space="720" w:num="1"/>
          <w:docGrid w:linePitch="312" w:charSpace="0"/>
        </w:sectPr>
      </w:pPr>
      <w:r>
        <w:rPr>
          <w:rFonts w:hint="eastAsia" w:ascii="宋体" w:hAnsi="宋体" w:eastAsia="宋体" w:cs="宋体"/>
          <w:b w:val="0"/>
          <w:bCs w:val="0"/>
          <w:caps w:val="0"/>
          <w:smallCaps w:val="0"/>
          <w:color w:val="auto"/>
          <w:kern w:val="0"/>
          <w:sz w:val="21"/>
          <w:szCs w:val="21"/>
          <w:highlight w:val="none"/>
          <w:lang w:val="en-US" w:eastAsia="zh-CN"/>
        </w:rPr>
        <w:t>详见招标文件第五章及卖方在投标时的商务承</w:t>
      </w:r>
    </w:p>
    <w:p w14:paraId="11693AAB">
      <w:pPr>
        <w:pStyle w:val="5"/>
        <w:bidi w:val="0"/>
        <w:rPr>
          <w:rFonts w:hint="eastAsia" w:ascii="宋体" w:hAnsi="宋体" w:eastAsia="宋体"/>
          <w:lang w:val="en-US" w:eastAsia="zh-CN"/>
        </w:rPr>
      </w:pPr>
      <w:r>
        <w:rPr>
          <w:rFonts w:hint="eastAsia" w:ascii="宋体" w:hAnsi="宋体" w:eastAsia="宋体"/>
          <w:lang w:val="en-US" w:eastAsia="zh-CN"/>
        </w:rPr>
        <w:t>附件四：廉洁从业合同</w:t>
      </w:r>
    </w:p>
    <w:p w14:paraId="07586E06">
      <w:pPr>
        <w:pageBreakBefore w:val="0"/>
        <w:topLinePunct w:val="0"/>
        <w:bidi w:val="0"/>
        <w:spacing w:before="120" w:beforeLines="50" w:after="120" w:afterLines="50" w:line="360" w:lineRule="auto"/>
        <w:jc w:val="center"/>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sz w:val="21"/>
          <w:szCs w:val="21"/>
          <w:highlight w:val="none"/>
        </w:rPr>
        <w:t>廉洁从业合同（参考格式）</w:t>
      </w:r>
    </w:p>
    <w:p w14:paraId="68D08272">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lang w:eastAsia="zh-CN"/>
        </w:rPr>
      </w:pPr>
    </w:p>
    <w:p w14:paraId="4824EF17">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w:t>
      </w:r>
    </w:p>
    <w:p w14:paraId="0D36321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w:t>
      </w:r>
    </w:p>
    <w:p w14:paraId="29ABD5C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为加强工程建设中的廉政建设，规范</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与</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双方的各项活动，防止发生各种谋取不正当利益的违法违纪行为，保护国家、集体和当事人的合法权益，根据国家有关工程建设的法律法规和廉政建设责任制规定，特订立廉洁从业合同。</w:t>
      </w:r>
    </w:p>
    <w:p w14:paraId="54B7D098">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一、总则</w:t>
      </w:r>
    </w:p>
    <w:p w14:paraId="67680BE5">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1、应严格遵守国家关于市场准入、项目招标投标、工程设计和市场活动的有关法律、法规，相关政策，以及廉政建设的各项规定。</w:t>
      </w:r>
    </w:p>
    <w:p w14:paraId="602DDEB7">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2、严格执行建设工程合同文件，自觉按合同办事。</w:t>
      </w:r>
    </w:p>
    <w:p w14:paraId="794E4F2D">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3、业务活动必须坚持公开、公平、公正、诚信、透明的原则（除法律法规另有规定者外），不得为获取不正当的利益，损害国家、集体和对方利益，不得违反工程建设管理、工程设计的规章制度。</w:t>
      </w:r>
    </w:p>
    <w:p w14:paraId="2FFF18B1">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4、发现对方在业务活动中有违规、违纪、违法行为的，应及时提醒对方，情节严重的，应向其上级主管部门或纪检监察、司法等有关机关举报。</w:t>
      </w:r>
    </w:p>
    <w:p w14:paraId="1EDC1417">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二、</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的责任</w:t>
      </w:r>
    </w:p>
    <w:p w14:paraId="6C3AB06A">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的领导和从事该建设工程项目的工作人员在工程建设的事前、事中、事后应遵守以下规定：</w:t>
      </w:r>
    </w:p>
    <w:p w14:paraId="227F047A">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及其工作人员不得索要或接受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的礼金、有价证券和贵重物品，不得在</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报销任何应由</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或个人支付的费用。</w:t>
      </w:r>
    </w:p>
    <w:p w14:paraId="6AEFC016">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工作人员不得参加</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安排的宴请或可能对公正执行建设管理行为有影响的其他活动；不得接受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提供的通讯工具、交通工具和高档办公用品。</w:t>
      </w:r>
    </w:p>
    <w:p w14:paraId="47A43F4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及其工作人员不得要求或接受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为其住房装修、婚丧嫁娶活动、旅游等提供方便。</w:t>
      </w:r>
    </w:p>
    <w:p w14:paraId="44C3661D">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工作人员的家属、亲戚不得从事与</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工程有关的材料设备供应、分包、劳务等经济活动。</w:t>
      </w:r>
    </w:p>
    <w:p w14:paraId="2FFA572E">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 xml:space="preserve">三、 </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的责任</w:t>
      </w:r>
    </w:p>
    <w:p w14:paraId="3D38E0BF">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应与</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和相关单位保持正常的业务交往，按照有关法律法规和程序开展业务工作。严格执行工程建设的方针、政策，尤其是有关建筑施工安装的强制性标准和规范</w:t>
      </w:r>
      <w:r>
        <w:rPr>
          <w:rFonts w:hint="eastAsia" w:ascii="宋体" w:hAnsi="宋体" w:eastAsia="宋体" w:cs="宋体"/>
          <w:caps w:val="0"/>
          <w:smallCaps w:val="0"/>
          <w:color w:val="auto"/>
          <w:kern w:val="0"/>
          <w:sz w:val="21"/>
          <w:szCs w:val="21"/>
          <w:highlight w:val="none"/>
          <w:lang w:eastAsia="zh-CN"/>
        </w:rPr>
        <w:t>，</w:t>
      </w:r>
      <w:r>
        <w:rPr>
          <w:rFonts w:hint="eastAsia" w:ascii="宋体" w:hAnsi="宋体" w:eastAsia="宋体" w:cs="宋体"/>
          <w:caps w:val="0"/>
          <w:smallCaps w:val="0"/>
          <w:color w:val="auto"/>
          <w:kern w:val="0"/>
          <w:sz w:val="21"/>
          <w:szCs w:val="21"/>
          <w:highlight w:val="none"/>
        </w:rPr>
        <w:t>并遵守以下规定：</w:t>
      </w:r>
    </w:p>
    <w:p w14:paraId="05931C0F">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及其工作人员行贿或馈赠礼金、有价证券、贵重礼品。</w:t>
      </w:r>
    </w:p>
    <w:p w14:paraId="1D83B40B">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不得以任何名义为</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及其工作人员报销应由</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单位或个人支付的费用。</w:t>
      </w:r>
    </w:p>
    <w:p w14:paraId="48608D46">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不得以任何理由邀请</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工作人员外出旅游或安排</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工作人员参加宴请、健身、娱乐等活动。</w:t>
      </w:r>
    </w:p>
    <w:p w14:paraId="176E221F">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不得与</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工程承包人联合作假，如计量、验收，提供虚假资料，接收好处或提成。</w:t>
      </w:r>
    </w:p>
    <w:p w14:paraId="48DDC023">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5、</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不得以任何理由索要或接受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工程承包人的礼金、有价证券和贵重物品，不得在</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工程承包人报销任何应由</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或个人支付的费用。</w:t>
      </w:r>
    </w:p>
    <w:p w14:paraId="33B2FD63">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6、</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不准参加有可能影响公正执行公务的</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工程承包人的宴请、健身、娱乐等活动。</w:t>
      </w:r>
    </w:p>
    <w:p w14:paraId="089B9A22">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7、</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及其工作人员不得要求或接受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工程承包人为其住房装修、婚丧嫁娶活动、旅游等提供方便。</w:t>
      </w:r>
    </w:p>
    <w:p w14:paraId="001EEFA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8、</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不准向</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工程承包人介绍或为配偶、子女、亲属参与同项目工程合同有关的设备、材料、工程分包、劳务等经济活动。不得以任何理由向施工单位推荐分包单位和要求购买与项目工程合同规定以外的材料、设备等。</w:t>
      </w:r>
    </w:p>
    <w:p w14:paraId="1178F28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9、</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及其工作人员应严格按设计规程办事，不得为谋取私利向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人员非法行贿，私下串通，损害</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利益，同时必须履行向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承诺的上述其他的廉政义务。</w:t>
      </w:r>
    </w:p>
    <w:p w14:paraId="13C08A3F">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10、</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如果发现</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工作人员有违反廉政规定的行为，应向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组织或上级单位举报。</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均不得找任何借口对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进行报复。</w:t>
      </w:r>
    </w:p>
    <w:p w14:paraId="6E0744FA">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四、违约责任及相关处罚</w:t>
      </w:r>
    </w:p>
    <w:p w14:paraId="34B7D619">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工作人员有违反本合同第一、二条责任行为的，按照管理权限，依据有关法律法规和规定给予党纪、政纪处分或组织处理；涉嫌犯罪的，移交司法机关追究刑事责任；给</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单位造成经济损失的，应予以赔偿。</w:t>
      </w:r>
    </w:p>
    <w:p w14:paraId="2A3EE2E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工作人员有违反本合同第一、三条责任行为的，将自觉接受</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相应的处罚，具体内容如下：</w:t>
      </w:r>
    </w:p>
    <w:p w14:paraId="7B0894E7">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2.1 发现</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接受工程承包人的宴请或娱乐活动，第一次给予警告；发现第二次，参与宴请或娱乐活动的</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人员写出书面检查，并接受</w:t>
      </w:r>
      <w:r>
        <w:rPr>
          <w:rFonts w:hint="eastAsia" w:ascii="宋体" w:hAnsi="宋体" w:eastAsia="宋体" w:cs="宋体"/>
          <w:caps w:val="0"/>
          <w:smallCaps w:val="0"/>
          <w:color w:val="auto"/>
          <w:kern w:val="0"/>
          <w:sz w:val="21"/>
          <w:szCs w:val="21"/>
          <w:highlight w:val="none"/>
          <w:u w:val="single"/>
        </w:rPr>
        <w:t>500</w:t>
      </w:r>
      <w:r>
        <w:rPr>
          <w:rFonts w:hint="eastAsia" w:ascii="宋体" w:hAnsi="宋体" w:eastAsia="宋体" w:cs="宋体"/>
          <w:caps w:val="0"/>
          <w:smallCaps w:val="0"/>
          <w:color w:val="auto"/>
          <w:kern w:val="0"/>
          <w:sz w:val="21"/>
          <w:szCs w:val="21"/>
          <w:highlight w:val="none"/>
        </w:rPr>
        <w:t>元/人的经济处罚，</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项目负责人接受</w:t>
      </w:r>
      <w:r>
        <w:rPr>
          <w:rFonts w:hint="eastAsia" w:ascii="宋体" w:hAnsi="宋体" w:eastAsia="宋体" w:cs="宋体"/>
          <w:caps w:val="0"/>
          <w:smallCaps w:val="0"/>
          <w:color w:val="auto"/>
          <w:kern w:val="0"/>
          <w:sz w:val="21"/>
          <w:szCs w:val="21"/>
          <w:highlight w:val="none"/>
          <w:u w:val="single"/>
        </w:rPr>
        <w:t>1000</w:t>
      </w:r>
      <w:r>
        <w:rPr>
          <w:rFonts w:hint="eastAsia" w:ascii="宋体" w:hAnsi="宋体" w:eastAsia="宋体" w:cs="宋体"/>
          <w:caps w:val="0"/>
          <w:smallCaps w:val="0"/>
          <w:color w:val="auto"/>
          <w:kern w:val="0"/>
          <w:sz w:val="21"/>
          <w:szCs w:val="21"/>
          <w:highlight w:val="none"/>
        </w:rPr>
        <w:t>元的经济处罚；发现第三次，参与宴请或娱乐活动的</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人员清退出场，</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接受</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元的经济处罚。</w:t>
      </w:r>
    </w:p>
    <w:p w14:paraId="4A4A41FE">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2.2 发现</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工作人员接受工程</w:t>
      </w:r>
      <w:r>
        <w:rPr>
          <w:rFonts w:hint="eastAsia" w:ascii="宋体" w:hAnsi="宋体" w:eastAsia="宋体" w:cs="宋体"/>
          <w:caps w:val="0"/>
          <w:smallCaps w:val="0"/>
          <w:color w:val="auto"/>
          <w:kern w:val="0"/>
          <w:sz w:val="21"/>
          <w:szCs w:val="21"/>
          <w:highlight w:val="none"/>
          <w:lang w:val="en-US" w:eastAsia="zh-CN"/>
        </w:rPr>
        <w:t>安装单位</w:t>
      </w:r>
      <w:r>
        <w:rPr>
          <w:rFonts w:hint="eastAsia" w:ascii="宋体" w:hAnsi="宋体" w:eastAsia="宋体" w:cs="宋体"/>
          <w:caps w:val="0"/>
          <w:smallCaps w:val="0"/>
          <w:color w:val="auto"/>
          <w:kern w:val="0"/>
          <w:sz w:val="21"/>
          <w:szCs w:val="21"/>
          <w:highlight w:val="none"/>
        </w:rPr>
        <w:t>为其住房装修、婚丧嫁娶活动、旅游等提供方便的行为，发现一次处罚一次。第一次发现，对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2000</w:t>
      </w:r>
      <w:r>
        <w:rPr>
          <w:rFonts w:hint="eastAsia" w:ascii="宋体" w:hAnsi="宋体" w:eastAsia="宋体" w:cs="宋体"/>
          <w:caps w:val="0"/>
          <w:smallCaps w:val="0"/>
          <w:color w:val="auto"/>
          <w:kern w:val="0"/>
          <w:sz w:val="21"/>
          <w:szCs w:val="21"/>
          <w:highlight w:val="none"/>
        </w:rPr>
        <w:t>元的罚款，对</w:t>
      </w:r>
      <w:r>
        <w:rPr>
          <w:rFonts w:hint="eastAsia" w:ascii="宋体" w:hAnsi="宋体" w:eastAsia="宋体" w:cs="宋体"/>
          <w:caps w:val="0"/>
          <w:smallCaps w:val="0"/>
          <w:color w:val="auto"/>
          <w:kern w:val="0"/>
          <w:sz w:val="21"/>
          <w:szCs w:val="21"/>
          <w:highlight w:val="none"/>
          <w:lang w:eastAsia="zh-CN"/>
        </w:rPr>
        <w:t>卖方进行</w:t>
      </w:r>
      <w:r>
        <w:rPr>
          <w:rFonts w:hint="eastAsia" w:ascii="宋体" w:hAnsi="宋体" w:eastAsia="宋体" w:cs="宋体"/>
          <w:caps w:val="0"/>
          <w:smallCaps w:val="0"/>
          <w:color w:val="auto"/>
          <w:kern w:val="0"/>
          <w:sz w:val="21"/>
          <w:szCs w:val="21"/>
          <w:highlight w:val="none"/>
        </w:rPr>
        <w:t>警告，相关人员写出书面检查；以后每发现一次，对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元的罚款，清退相关</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员。</w:t>
      </w:r>
    </w:p>
    <w:p w14:paraId="0AEA019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2.3</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不得索要或接受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工程承包人的礼金、有价证券和贵重物品。若情况属实，</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除了退还所收物品外，还要接受</w:t>
      </w:r>
      <w:r>
        <w:rPr>
          <w:rFonts w:hint="eastAsia" w:ascii="宋体" w:hAnsi="宋体" w:eastAsia="宋体" w:cs="宋体"/>
          <w:caps w:val="0"/>
          <w:smallCaps w:val="0"/>
          <w:color w:val="auto"/>
          <w:kern w:val="0"/>
          <w:sz w:val="21"/>
          <w:szCs w:val="21"/>
          <w:highlight w:val="none"/>
          <w:lang w:val="en-US" w:eastAsia="zh-CN"/>
        </w:rPr>
        <w:t>买方</w:t>
      </w:r>
      <w:r>
        <w:rPr>
          <w:rFonts w:hint="eastAsia" w:ascii="宋体" w:hAnsi="宋体" w:eastAsia="宋体" w:cs="宋体"/>
          <w:caps w:val="0"/>
          <w:smallCaps w:val="0"/>
          <w:color w:val="auto"/>
          <w:kern w:val="0"/>
          <w:sz w:val="21"/>
          <w:szCs w:val="21"/>
          <w:highlight w:val="none"/>
        </w:rPr>
        <w:t>的处罚，即：第一次发现，对</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人警告，相关人员写出书面检查；第二次发现，对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1000</w:t>
      </w:r>
      <w:r>
        <w:rPr>
          <w:rFonts w:hint="eastAsia" w:ascii="宋体" w:hAnsi="宋体" w:eastAsia="宋体" w:cs="宋体"/>
          <w:caps w:val="0"/>
          <w:smallCaps w:val="0"/>
          <w:color w:val="auto"/>
          <w:kern w:val="0"/>
          <w:sz w:val="21"/>
          <w:szCs w:val="21"/>
          <w:highlight w:val="none"/>
        </w:rPr>
        <w:t>元的罚款，清退相关</w:t>
      </w:r>
      <w:r>
        <w:rPr>
          <w:rFonts w:hint="eastAsia" w:ascii="宋体" w:hAnsi="宋体" w:eastAsia="宋体" w:cs="宋体"/>
          <w:caps w:val="0"/>
          <w:smallCaps w:val="0"/>
          <w:color w:val="auto"/>
          <w:kern w:val="0"/>
          <w:sz w:val="21"/>
          <w:szCs w:val="21"/>
          <w:highlight w:val="none"/>
          <w:lang w:eastAsia="zh-CN"/>
        </w:rPr>
        <w:t>卖方相关</w:t>
      </w:r>
      <w:r>
        <w:rPr>
          <w:rFonts w:hint="eastAsia" w:ascii="宋体" w:hAnsi="宋体" w:eastAsia="宋体" w:cs="宋体"/>
          <w:caps w:val="0"/>
          <w:smallCaps w:val="0"/>
          <w:color w:val="auto"/>
          <w:kern w:val="0"/>
          <w:sz w:val="21"/>
          <w:szCs w:val="21"/>
          <w:highlight w:val="none"/>
        </w:rPr>
        <w:t xml:space="preserve">人员。 </w:t>
      </w:r>
    </w:p>
    <w:p w14:paraId="536CB2DB">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 xml:space="preserve">2.4 </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不得介绍建筑材料或介绍劳务单位参与工程建设。若情况属实，发现一次处罚一次，每发现一次对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元的罚款。</w:t>
      </w:r>
    </w:p>
    <w:p w14:paraId="08000F39">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有违反本合同第一、三条责任行为情节严重的，除接受以上第2条处罚外，还依据有关法律法规和规定给予相关责任人党纪、政纪处分或组织处理；涉嫌犯罪的，移交司法机关追究刑事责任；给</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单位造成经济损失的，应予以赔偿。</w:t>
      </w:r>
    </w:p>
    <w:p w14:paraId="23A30203">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（以下无正文）</w:t>
      </w:r>
    </w:p>
    <w:p w14:paraId="7E40CA35">
      <w:pPr>
        <w:pageBreakBefore w:val="0"/>
        <w:kinsoku/>
        <w:wordWrap/>
        <w:overflowPunct/>
        <w:topLinePunct w:val="0"/>
        <w:bidi w:val="0"/>
        <w:adjustRightInd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z w:val="21"/>
          <w:szCs w:val="21"/>
          <w:lang w:eastAsia="zh-CN"/>
        </w:rPr>
        <w:t>买方</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snapToGrid w:val="0"/>
          <w:color w:val="auto"/>
          <w:kern w:val="0"/>
          <w:sz w:val="21"/>
          <w:szCs w:val="21"/>
          <w:highlight w:val="none"/>
          <w:lang w:val="en-US" w:eastAsia="zh-CN"/>
        </w:rPr>
        <w:t>盖</w:t>
      </w:r>
      <w:r>
        <w:rPr>
          <w:rFonts w:hint="eastAsia" w:ascii="宋体" w:hAnsi="宋体" w:eastAsia="宋体" w:cs="宋体"/>
          <w:caps w:val="0"/>
          <w:smallCaps w:val="0"/>
          <w:snapToGrid w:val="0"/>
          <w:color w:val="auto"/>
          <w:kern w:val="0"/>
          <w:sz w:val="21"/>
          <w:szCs w:val="21"/>
          <w:highlight w:val="none"/>
        </w:rPr>
        <w:t>公章或合同专用章）</w:t>
      </w:r>
    </w:p>
    <w:p w14:paraId="04AF06F9">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napToGrid w:val="0"/>
          <w:color w:val="auto"/>
          <w:kern w:val="0"/>
          <w:sz w:val="21"/>
          <w:szCs w:val="21"/>
          <w:highlight w:val="none"/>
        </w:rPr>
        <w:t>法定代表人或其委托代理人：</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rPr>
        <w:t>签名</w:t>
      </w:r>
      <w:r>
        <w:rPr>
          <w:rFonts w:hint="eastAsia" w:ascii="宋体" w:hAnsi="宋体" w:eastAsia="宋体" w:cs="宋体"/>
          <w:caps w:val="0"/>
          <w:smallCaps w:val="0"/>
          <w:color w:val="auto"/>
          <w:sz w:val="21"/>
          <w:szCs w:val="21"/>
          <w:highlight w:val="none"/>
          <w:lang w:val="en-US" w:eastAsia="zh-CN"/>
        </w:rPr>
        <w:t>或盖章</w:t>
      </w:r>
      <w:r>
        <w:rPr>
          <w:rFonts w:hint="eastAsia" w:ascii="宋体" w:hAnsi="宋体" w:eastAsia="宋体" w:cs="宋体"/>
          <w:caps w:val="0"/>
          <w:smallCaps w:val="0"/>
          <w:snapToGrid w:val="0"/>
          <w:color w:val="auto"/>
          <w:kern w:val="0"/>
          <w:sz w:val="21"/>
          <w:szCs w:val="21"/>
          <w:highlight w:val="none"/>
        </w:rPr>
        <w:t>）</w:t>
      </w:r>
    </w:p>
    <w:p w14:paraId="02DAA2E6">
      <w:pPr>
        <w:pageBreakBefore w:val="0"/>
        <w:kinsoku/>
        <w:wordWrap/>
        <w:overflowPunct/>
        <w:topLinePunct w:val="0"/>
        <w:bidi w:val="0"/>
        <w:spacing w:line="360" w:lineRule="auto"/>
        <w:textAlignment w:val="auto"/>
        <w:rPr>
          <w:rFonts w:hint="eastAsia" w:ascii="宋体" w:hAnsi="宋体" w:eastAsia="宋体" w:cs="宋体"/>
          <w:caps w:val="0"/>
          <w:smallCaps w:val="0"/>
          <w:snapToGrid w:val="0"/>
          <w:color w:val="auto"/>
          <w:kern w:val="0"/>
          <w:sz w:val="21"/>
          <w:szCs w:val="21"/>
          <w:highlight w:val="none"/>
          <w:lang w:eastAsia="zh-CN"/>
        </w:rPr>
      </w:pPr>
      <w:r>
        <w:rPr>
          <w:rFonts w:hint="eastAsia" w:ascii="宋体" w:hAnsi="宋体" w:eastAsia="宋体" w:cs="宋体"/>
          <w:caps w:val="0"/>
          <w:smallCaps w:val="0"/>
          <w:snapToGrid w:val="0"/>
          <w:color w:val="auto"/>
          <w:kern w:val="0"/>
          <w:sz w:val="21"/>
          <w:szCs w:val="21"/>
          <w:highlight w:val="none"/>
          <w:lang w:val="en-US" w:eastAsia="zh-CN"/>
        </w:rPr>
        <w:t xml:space="preserve"> </w:t>
      </w:r>
    </w:p>
    <w:p w14:paraId="0F3CE959">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snapToGrid w:val="0"/>
          <w:color w:val="auto"/>
          <w:kern w:val="0"/>
          <w:sz w:val="21"/>
          <w:szCs w:val="21"/>
          <w:highlight w:val="none"/>
          <w:lang w:val="en-US" w:eastAsia="zh-CN"/>
        </w:rPr>
        <w:t>卖方</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snapToGrid w:val="0"/>
          <w:color w:val="auto"/>
          <w:kern w:val="0"/>
          <w:sz w:val="21"/>
          <w:szCs w:val="21"/>
          <w:highlight w:val="none"/>
          <w:lang w:val="en-US" w:eastAsia="zh-CN"/>
        </w:rPr>
        <w:t>盖</w:t>
      </w:r>
      <w:r>
        <w:rPr>
          <w:rFonts w:hint="eastAsia" w:ascii="宋体" w:hAnsi="宋体" w:eastAsia="宋体" w:cs="宋体"/>
          <w:caps w:val="0"/>
          <w:smallCaps w:val="0"/>
          <w:snapToGrid w:val="0"/>
          <w:color w:val="auto"/>
          <w:kern w:val="0"/>
          <w:sz w:val="21"/>
          <w:szCs w:val="21"/>
          <w:highlight w:val="none"/>
        </w:rPr>
        <w:t>公章或合同专用章）</w:t>
      </w:r>
    </w:p>
    <w:p w14:paraId="1F28E0B9">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napToGrid w:val="0"/>
          <w:color w:val="auto"/>
          <w:kern w:val="0"/>
          <w:sz w:val="21"/>
          <w:szCs w:val="21"/>
          <w:highlight w:val="none"/>
        </w:rPr>
        <w:t>法定代表人或其委托代理人：</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rPr>
        <w:t>签名</w:t>
      </w:r>
      <w:r>
        <w:rPr>
          <w:rFonts w:hint="eastAsia" w:ascii="宋体" w:hAnsi="宋体" w:eastAsia="宋体" w:cs="宋体"/>
          <w:caps w:val="0"/>
          <w:smallCaps w:val="0"/>
          <w:color w:val="auto"/>
          <w:sz w:val="21"/>
          <w:szCs w:val="21"/>
          <w:highlight w:val="none"/>
          <w:lang w:val="en-US" w:eastAsia="zh-CN"/>
        </w:rPr>
        <w:t>或盖章</w:t>
      </w:r>
      <w:r>
        <w:rPr>
          <w:rFonts w:hint="eastAsia" w:ascii="宋体" w:hAnsi="宋体" w:eastAsia="宋体" w:cs="宋体"/>
          <w:caps w:val="0"/>
          <w:smallCaps w:val="0"/>
          <w:snapToGrid w:val="0"/>
          <w:color w:val="auto"/>
          <w:kern w:val="0"/>
          <w:sz w:val="21"/>
          <w:szCs w:val="21"/>
          <w:highlight w:val="none"/>
        </w:rPr>
        <w:t>）</w:t>
      </w:r>
    </w:p>
    <w:p w14:paraId="31817D3A">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lang w:val="en-US" w:eastAsia="zh-CN"/>
        </w:rPr>
      </w:pPr>
      <w:r>
        <w:rPr>
          <w:rFonts w:hint="eastAsia" w:ascii="宋体" w:hAnsi="宋体" w:eastAsia="宋体" w:cs="宋体"/>
          <w:caps w:val="0"/>
          <w:smallCaps w:val="0"/>
          <w:snapToGrid w:val="0"/>
          <w:color w:val="auto"/>
          <w:kern w:val="0"/>
          <w:sz w:val="21"/>
          <w:szCs w:val="21"/>
          <w:highlight w:val="none"/>
          <w:lang w:val="en-US" w:eastAsia="zh-CN"/>
        </w:rPr>
        <w:t xml:space="preserve"> </w:t>
      </w:r>
    </w:p>
    <w:p w14:paraId="631E7AF0">
      <w:pPr>
        <w:pageBreakBefore w:val="0"/>
        <w:kinsoku/>
        <w:wordWrap/>
        <w:overflowPunct/>
        <w:topLinePunct w:val="0"/>
        <w:bidi w:val="0"/>
        <w:spacing w:line="360" w:lineRule="auto"/>
        <w:ind w:firstLine="420" w:firstLineChars="200"/>
        <w:textAlignment w:val="auto"/>
        <w:rPr>
          <w:rFonts w:hint="eastAsia" w:ascii="宋体" w:hAnsi="宋体" w:eastAsia="宋体" w:cs="宋体"/>
          <w:bCs/>
          <w:caps w:val="0"/>
          <w:smallCaps w:val="0"/>
          <w:color w:val="auto"/>
          <w:sz w:val="21"/>
          <w:szCs w:val="21"/>
          <w:highlight w:val="none"/>
          <w:u w:val="single"/>
          <w:lang w:val="en-US" w:eastAsia="zh-CN"/>
        </w:rPr>
      </w:pPr>
      <w:r>
        <w:rPr>
          <w:rFonts w:hint="eastAsia" w:ascii="宋体" w:hAnsi="宋体" w:eastAsia="宋体" w:cs="宋体"/>
          <w:caps w:val="0"/>
          <w:smallCaps w:val="0"/>
          <w:snapToGrid w:val="0"/>
          <w:color w:val="auto"/>
          <w:kern w:val="0"/>
          <w:sz w:val="21"/>
          <w:szCs w:val="21"/>
          <w:highlight w:val="none"/>
          <w:lang w:val="en-US" w:eastAsia="zh-CN"/>
        </w:rPr>
        <w:t>合同签约地：重庆市涪陵榨菜集团股份有限公司</w:t>
      </w:r>
    </w:p>
    <w:p w14:paraId="41789EE9">
      <w:pPr>
        <w:pageBreakBefore w:val="0"/>
        <w:kinsoku/>
        <w:wordWrap/>
        <w:overflowPunct/>
        <w:topLinePunct w:val="0"/>
        <w:bidi w:val="0"/>
        <w:spacing w:line="360" w:lineRule="auto"/>
        <w:ind w:firstLine="420" w:firstLineChars="200"/>
        <w:jc w:val="both"/>
        <w:textAlignment w:val="auto"/>
        <w:rPr>
          <w:rFonts w:hint="eastAsia" w:ascii="宋体" w:hAnsi="宋体" w:eastAsia="宋体" w:cs="宋体"/>
          <w:bCs/>
          <w:caps w:val="0"/>
          <w:smallCaps w:val="0"/>
          <w:color w:val="auto"/>
          <w:sz w:val="21"/>
          <w:szCs w:val="21"/>
          <w:highlight w:val="none"/>
          <w:u w:val="single"/>
          <w:lang w:val="en-US" w:eastAsia="zh-CN"/>
        </w:rPr>
      </w:pPr>
      <w:r>
        <w:rPr>
          <w:rFonts w:hint="eastAsia" w:ascii="宋体" w:hAnsi="宋体" w:eastAsia="宋体" w:cs="宋体"/>
          <w:caps w:val="0"/>
          <w:smallCaps w:val="0"/>
          <w:snapToGrid w:val="0"/>
          <w:color w:val="auto"/>
          <w:kern w:val="0"/>
          <w:sz w:val="21"/>
          <w:szCs w:val="21"/>
          <w:highlight w:val="none"/>
        </w:rPr>
        <w:t>签约时间：</w:t>
      </w:r>
      <w:r>
        <w:rPr>
          <w:rFonts w:hint="eastAsia" w:ascii="宋体" w:hAnsi="宋体" w:eastAsia="宋体" w:cs="宋体"/>
          <w:caps w:val="0"/>
          <w:smallCaps w:val="0"/>
          <w:snapToGrid w:val="0"/>
          <w:color w:val="auto"/>
          <w:kern w:val="0"/>
          <w:sz w:val="21"/>
          <w:szCs w:val="21"/>
          <w:highlight w:val="none"/>
          <w:u w:val="single"/>
          <w:lang w:val="en-US" w:eastAsia="zh-CN"/>
        </w:rPr>
        <w:t>202</w:t>
      </w:r>
      <w:r>
        <w:rPr>
          <w:rFonts w:hint="eastAsia" w:ascii="宋体" w:hAnsi="宋体" w:cs="宋体"/>
          <w:caps w:val="0"/>
          <w:smallCaps w:val="0"/>
          <w:snapToGrid w:val="0"/>
          <w:color w:val="auto"/>
          <w:kern w:val="0"/>
          <w:sz w:val="21"/>
          <w:szCs w:val="21"/>
          <w:highlight w:val="none"/>
          <w:u w:val="single"/>
          <w:lang w:val="en-US" w:eastAsia="zh-CN"/>
        </w:rPr>
        <w:t>6</w:t>
      </w:r>
      <w:r>
        <w:rPr>
          <w:rFonts w:hint="eastAsia" w:ascii="宋体" w:hAnsi="宋体" w:eastAsia="宋体" w:cs="宋体"/>
          <w:bCs/>
          <w:caps w:val="0"/>
          <w:smallCaps w:val="0"/>
          <w:color w:val="auto"/>
          <w:sz w:val="21"/>
          <w:szCs w:val="21"/>
          <w:highlight w:val="none"/>
          <w:u w:val="none"/>
          <w:lang w:val="en-US" w:eastAsia="zh-CN"/>
        </w:rPr>
        <w:t>年</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bCs/>
          <w:caps w:val="0"/>
          <w:smallCaps w:val="0"/>
          <w:color w:val="auto"/>
          <w:sz w:val="21"/>
          <w:szCs w:val="21"/>
          <w:highlight w:val="none"/>
          <w:u w:val="none"/>
          <w:lang w:val="en-US" w:eastAsia="zh-CN"/>
        </w:rPr>
        <w:t>月</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bCs/>
          <w:caps w:val="0"/>
          <w:smallCaps w:val="0"/>
          <w:color w:val="auto"/>
          <w:sz w:val="21"/>
          <w:szCs w:val="21"/>
          <w:highlight w:val="none"/>
          <w:u w:val="none"/>
          <w:lang w:val="en-US" w:eastAsia="zh-CN"/>
        </w:rPr>
        <w:t>日</w:t>
      </w:r>
    </w:p>
    <w:p w14:paraId="325B3B75">
      <w:pPr>
        <w:widowControl/>
        <w:spacing w:line="360" w:lineRule="auto"/>
        <w:ind w:firstLine="6510" w:firstLineChars="3100"/>
        <w:jc w:val="left"/>
        <w:rPr>
          <w:rFonts w:ascii="宋体" w:hAnsi="宋体"/>
          <w:szCs w:val="21"/>
          <w:u w:val="single"/>
        </w:rPr>
      </w:pPr>
      <w:bookmarkStart w:id="912" w:name="_Toc2859385"/>
      <w:r>
        <w:rPr>
          <w:rFonts w:hint="eastAsia" w:ascii="宋体" w:hAnsi="宋体"/>
          <w:szCs w:val="21"/>
        </w:rPr>
        <w:br w:type="page"/>
      </w:r>
    </w:p>
    <w:bookmarkEnd w:id="620"/>
    <w:bookmarkEnd w:id="621"/>
    <w:bookmarkEnd w:id="912"/>
    <w:p w14:paraId="29E204F4">
      <w:pPr>
        <w:pStyle w:val="5"/>
        <w:bidi w:val="0"/>
        <w:rPr>
          <w:rFonts w:hint="eastAsia"/>
          <w:lang w:val="en-US" w:eastAsia="zh-CN"/>
        </w:rPr>
      </w:pPr>
      <w:bookmarkStart w:id="913" w:name="招标文件05章工程量清单"/>
      <w:bookmarkEnd w:id="913"/>
      <w:r>
        <w:rPr>
          <w:rFonts w:hint="eastAsia"/>
          <w:lang w:val="en-US" w:eastAsia="zh-CN"/>
        </w:rPr>
        <w:t>附件五  安全管理协议</w:t>
      </w:r>
    </w:p>
    <w:p w14:paraId="5842895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 xml:space="preserve"> </w:t>
      </w:r>
    </w:p>
    <w:p w14:paraId="6FE0279E">
      <w:pPr>
        <w:pStyle w:val="2"/>
        <w:pageBreakBefore w:val="0"/>
        <w:kinsoku/>
        <w:overflowPunct/>
        <w:topLinePunct w:val="0"/>
        <w:bidi w:val="0"/>
        <w:spacing w:line="360" w:lineRule="auto"/>
        <w:rPr>
          <w:rFonts w:hint="eastAsia" w:ascii="宋体" w:hAnsi="宋体" w:eastAsia="宋体" w:cs="宋体"/>
          <w:color w:val="auto"/>
          <w:lang w:bidi="ar"/>
        </w:rPr>
      </w:pPr>
      <w:r>
        <w:rPr>
          <w:rFonts w:hint="eastAsia" w:ascii="宋体" w:hAnsi="宋体" w:eastAsia="宋体" w:cs="宋体"/>
          <w:color w:val="auto"/>
          <w:lang w:val="en-US" w:eastAsia="zh-CN" w:bidi="ar"/>
        </w:rPr>
        <w:t>买方</w:t>
      </w:r>
      <w:r>
        <w:rPr>
          <w:rFonts w:hint="eastAsia" w:ascii="宋体" w:hAnsi="宋体" w:eastAsia="宋体" w:cs="宋体"/>
          <w:color w:val="auto"/>
          <w:lang w:bidi="ar"/>
        </w:rPr>
        <w:t>（全称）：</w:t>
      </w:r>
      <w:r>
        <w:rPr>
          <w:rFonts w:hint="eastAsia" w:ascii="宋体" w:hAnsi="宋体" w:eastAsia="宋体" w:cs="宋体"/>
          <w:color w:val="auto"/>
          <w:u w:val="single"/>
          <w:lang w:bidi="ar"/>
        </w:rPr>
        <w:t xml:space="preserve">                                  </w:t>
      </w:r>
    </w:p>
    <w:p w14:paraId="5E92436D">
      <w:pPr>
        <w:pStyle w:val="2"/>
        <w:pageBreakBefore w:val="0"/>
        <w:kinsoku/>
        <w:overflowPunct/>
        <w:topLinePunct w:val="0"/>
        <w:bidi w:val="0"/>
        <w:spacing w:line="360" w:lineRule="auto"/>
        <w:rPr>
          <w:rFonts w:hint="eastAsia" w:ascii="宋体" w:hAnsi="宋体" w:eastAsia="宋体" w:cs="宋体"/>
          <w:color w:val="auto"/>
          <w:lang w:bidi="ar"/>
        </w:rPr>
      </w:pPr>
      <w:r>
        <w:rPr>
          <w:rFonts w:hint="eastAsia" w:ascii="宋体" w:hAnsi="宋体" w:eastAsia="宋体" w:cs="宋体"/>
          <w:color w:val="auto"/>
          <w:lang w:val="en-US" w:eastAsia="zh-CN" w:bidi="ar"/>
        </w:rPr>
        <w:t>卖方</w:t>
      </w:r>
      <w:r>
        <w:rPr>
          <w:rFonts w:hint="eastAsia" w:ascii="宋体" w:hAnsi="宋体" w:eastAsia="宋体" w:cs="宋体"/>
          <w:color w:val="auto"/>
          <w:lang w:bidi="ar"/>
        </w:rPr>
        <w:t>（全称）：</w:t>
      </w:r>
      <w:r>
        <w:rPr>
          <w:rFonts w:hint="eastAsia" w:ascii="宋体" w:hAnsi="宋体" w:eastAsia="宋体" w:cs="宋体"/>
          <w:color w:val="auto"/>
          <w:u w:val="single"/>
          <w:lang w:bidi="ar"/>
        </w:rPr>
        <w:t xml:space="preserve">                                  </w:t>
      </w:r>
    </w:p>
    <w:p w14:paraId="61BDB7F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为了确保实现</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安全生产目标，进一步明确双方的安全管理责任，加强安全生产管理工作的协调、管理力度，</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（以下简称“</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”）与</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（以下简称“</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”）依据国家安全生产相关的法律、法规和安全方面的强制性国家标准或行业标准，双方同意签订该协议作为正式合同安全管理方面的补充规定，并承诺本协议具有与合同相同的法律效力。具体条款如下：</w:t>
      </w:r>
    </w:p>
    <w:p w14:paraId="249B3BF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14" w:name="_Toc239510289"/>
      <w:bookmarkEnd w:id="914"/>
      <w:bookmarkStart w:id="915" w:name="_Toc247431423"/>
      <w:bookmarkEnd w:id="915"/>
      <w:bookmarkStart w:id="916" w:name="_Toc532375700"/>
      <w:bookmarkEnd w:id="916"/>
      <w:bookmarkStart w:id="917" w:name="_Toc247418263"/>
      <w:r>
        <w:rPr>
          <w:rFonts w:hint="eastAsia" w:ascii="宋体" w:hAnsi="宋体" w:eastAsia="宋体" w:cs="宋体"/>
          <w:color w:val="auto"/>
          <w:kern w:val="0"/>
          <w:szCs w:val="21"/>
          <w:lang w:bidi="ar"/>
        </w:rPr>
        <w:t>一、协议有效期限</w:t>
      </w:r>
      <w:bookmarkEnd w:id="917"/>
    </w:p>
    <w:p w14:paraId="6B1DBAA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本协议中所涉及的安全管理责任自合同订立之日起开始生效，至合同</w:t>
      </w:r>
      <w:r>
        <w:rPr>
          <w:rFonts w:hint="eastAsia" w:ascii="宋体" w:hAnsi="宋体" w:eastAsia="宋体" w:cs="宋体"/>
          <w:color w:val="auto"/>
          <w:kern w:val="0"/>
          <w:szCs w:val="21"/>
          <w:lang w:val="en-US" w:eastAsia="zh-CN" w:bidi="ar"/>
        </w:rPr>
        <w:t>内容</w:t>
      </w:r>
      <w:r>
        <w:rPr>
          <w:rFonts w:hint="eastAsia" w:ascii="宋体" w:hAnsi="宋体" w:eastAsia="宋体" w:cs="宋体"/>
          <w:color w:val="auto"/>
          <w:kern w:val="0"/>
          <w:szCs w:val="21"/>
          <w:lang w:bidi="ar"/>
        </w:rPr>
        <w:t>全部完工验收且经</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签订移交协议生效后之日终止。</w:t>
      </w:r>
    </w:p>
    <w:p w14:paraId="18C8C51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18" w:name="_Toc247418264"/>
      <w:bookmarkEnd w:id="918"/>
      <w:bookmarkStart w:id="919" w:name="_Toc247431424"/>
      <w:bookmarkEnd w:id="919"/>
      <w:bookmarkStart w:id="920" w:name="_Toc239510290"/>
      <w:bookmarkEnd w:id="920"/>
      <w:bookmarkStart w:id="921" w:name="_Toc532375701"/>
      <w:r>
        <w:rPr>
          <w:rFonts w:hint="eastAsia" w:ascii="宋体" w:hAnsi="宋体" w:eastAsia="宋体" w:cs="宋体"/>
          <w:color w:val="auto"/>
          <w:kern w:val="0"/>
          <w:szCs w:val="21"/>
          <w:lang w:bidi="ar"/>
        </w:rPr>
        <w:t>二、责任目标</w:t>
      </w:r>
      <w:bookmarkEnd w:id="921"/>
    </w:p>
    <w:p w14:paraId="175D69B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（一）</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承诺承担和履行合同和</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所规定的安全责任，且满足要求。</w:t>
      </w:r>
    </w:p>
    <w:p w14:paraId="49767D5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（二）</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的安全控制目标是确保本</w:t>
      </w:r>
      <w:r>
        <w:rPr>
          <w:rFonts w:hint="eastAsia" w:ascii="宋体" w:hAnsi="宋体" w:eastAsia="宋体" w:cs="宋体"/>
          <w:color w:val="auto"/>
          <w:kern w:val="0"/>
          <w:szCs w:val="21"/>
          <w:lang w:val="en-US" w:eastAsia="zh-CN" w:bidi="ar"/>
        </w:rPr>
        <w:t>合同内容</w:t>
      </w:r>
      <w:r>
        <w:rPr>
          <w:rFonts w:hint="eastAsia" w:ascii="宋体" w:hAnsi="宋体" w:eastAsia="宋体" w:cs="宋体"/>
          <w:color w:val="auto"/>
          <w:kern w:val="0"/>
          <w:szCs w:val="21"/>
          <w:lang w:bidi="ar"/>
        </w:rPr>
        <w:t>在实施过程中：</w:t>
      </w:r>
    </w:p>
    <w:p w14:paraId="2E136CC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1．不发生人身重伤事故；</w:t>
      </w:r>
    </w:p>
    <w:p w14:paraId="3DCE5CC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2．不发生火灾事故；</w:t>
      </w:r>
    </w:p>
    <w:p w14:paraId="3458CD9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3．不发生负有同等及以上事故责任的造成人身重伤的一般交通事故；</w:t>
      </w:r>
    </w:p>
    <w:p w14:paraId="4FA7176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4．不发生集体食物中毒事件（同时5人及以上的食物中毒）；</w:t>
      </w:r>
    </w:p>
    <w:p w14:paraId="20A9B37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5．不发生流行性传染病 （无甲型传染病、其他常见传染病未形成多人同时患病）；</w:t>
      </w:r>
    </w:p>
    <w:p w14:paraId="6B3135C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6．不发生重大环境污染事件（生活、工业垃圾及其他污染物造成环境污染和大面积水土流失）；</w:t>
      </w:r>
    </w:p>
    <w:p w14:paraId="1BA7D1C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7．不发生对施工区附近生产、生活造成重大影响的事件（如造成重大设备损坏、重大财产损失、人员伤害等）；</w:t>
      </w:r>
    </w:p>
    <w:p w14:paraId="0F7F5B3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8．不发生治安保卫事件（构成刑事拘留及以上的事件、盗窃直接损失超过1万元人民币的事件）。</w:t>
      </w:r>
    </w:p>
    <w:p w14:paraId="4341525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22" w:name="_Toc247418265"/>
      <w:bookmarkEnd w:id="922"/>
      <w:bookmarkStart w:id="923" w:name="_Toc247431425"/>
      <w:bookmarkEnd w:id="923"/>
      <w:bookmarkStart w:id="924" w:name="_Toc239510291"/>
      <w:r>
        <w:rPr>
          <w:rFonts w:hint="eastAsia" w:ascii="宋体" w:hAnsi="宋体" w:eastAsia="宋体" w:cs="宋体"/>
          <w:color w:val="auto"/>
          <w:kern w:val="0"/>
          <w:szCs w:val="21"/>
          <w:lang w:bidi="ar"/>
        </w:rPr>
        <w:t>（三）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承诺在施工中控制以下安全事故的发生：</w:t>
      </w:r>
      <w:bookmarkEnd w:id="924"/>
    </w:p>
    <w:p w14:paraId="159FF41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1．人员轻伤事故。</w:t>
      </w:r>
    </w:p>
    <w:p w14:paraId="1699EF8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2．负有同等及以上事故责任的人身轻伤交通事故。</w:t>
      </w:r>
    </w:p>
    <w:p w14:paraId="5564C6E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3．其他安全未遂事故和异常事件。</w:t>
      </w:r>
    </w:p>
    <w:p w14:paraId="0C4BB9C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25" w:name="_Toc247431426"/>
      <w:bookmarkEnd w:id="925"/>
      <w:bookmarkStart w:id="926" w:name="_Toc532375702"/>
      <w:bookmarkEnd w:id="926"/>
      <w:bookmarkStart w:id="927" w:name="_Toc247418266"/>
      <w:bookmarkEnd w:id="927"/>
      <w:bookmarkStart w:id="928" w:name="_Toc239510292"/>
      <w:r>
        <w:rPr>
          <w:rFonts w:hint="eastAsia" w:ascii="宋体" w:hAnsi="宋体" w:eastAsia="宋体" w:cs="宋体"/>
          <w:color w:val="auto"/>
          <w:kern w:val="0"/>
          <w:szCs w:val="21"/>
          <w:lang w:bidi="ar"/>
        </w:rPr>
        <w:t>三、安全责任</w:t>
      </w:r>
      <w:bookmarkEnd w:id="928"/>
    </w:p>
    <w:p w14:paraId="3EABE8C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负有安全生产的管理责任和直接责任。</w:t>
      </w:r>
    </w:p>
    <w:p w14:paraId="663BF45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的法人或签署合同的公司总经理或受委托的代理人对合同安全负有全面的领导责任。</w:t>
      </w:r>
    </w:p>
    <w:p w14:paraId="424EBA1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项目经理对施工现场的安全工作负有全面的直接领导责任。</w:t>
      </w:r>
    </w:p>
    <w:p w14:paraId="2513FC0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保证执行“谁施工、谁负责”的施工安全原则。</w:t>
      </w:r>
    </w:p>
    <w:p w14:paraId="714D2E9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保证服从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对安全工作的统一协调和管理。</w:t>
      </w:r>
    </w:p>
    <w:p w14:paraId="5062D4C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保证对本工程项目安全生产条件及其管理资源自行投入。</w:t>
      </w:r>
    </w:p>
    <w:p w14:paraId="068196C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保证建立本工程项目的安全管理体系及安全保证体系（注：项目安全管理大纲/手册、管理性的程序文件等）。</w:t>
      </w:r>
    </w:p>
    <w:p w14:paraId="1667E7E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保证现场的安全管理专职人员必须持有建设主管部门安全生产培训考核合格证书。</w:t>
      </w:r>
    </w:p>
    <w:p w14:paraId="71B83DE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9．</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保证为现场所有工作人员（含分包商员工及劳务人员）配备符合国家标准的有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和/或其下属分包商标志的个人基本劳动保护用品。</w:t>
      </w:r>
    </w:p>
    <w:p w14:paraId="318CF73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10．</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保证按照国家法律规定为现场所有工作人员（含分包商员工及劳务人员）购买意外伤害保险。</w:t>
      </w:r>
    </w:p>
    <w:p w14:paraId="5FF0DD3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11．</w:t>
      </w:r>
      <w:r>
        <w:rPr>
          <w:rFonts w:hint="eastAsia" w:ascii="宋体" w:hAnsi="宋体" w:eastAsia="宋体" w:cs="宋体"/>
          <w:color w:val="auto"/>
          <w:kern w:val="0"/>
          <w:szCs w:val="21"/>
          <w:lang w:val="en-US" w:eastAsia="zh-CN" w:bidi="ar"/>
        </w:rPr>
        <w:t>保证</w:t>
      </w:r>
      <w:r>
        <w:rPr>
          <w:rFonts w:hint="eastAsia" w:ascii="宋体" w:hAnsi="宋体" w:eastAsia="宋体" w:cs="宋体"/>
          <w:color w:val="auto"/>
          <w:kern w:val="0"/>
          <w:szCs w:val="21"/>
          <w:lang w:bidi="ar"/>
        </w:rPr>
        <w:t>保证施工生活营地（包括自建的和租用的营地）满足消防、安全用电、卫生防疫、防暴雨、防雷击等方面的安全要求。</w:t>
      </w:r>
    </w:p>
    <w:p w14:paraId="4EB34DA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保证对带入现场的设备、工具、材料按照国家法规和标准进行检测、试验，并持有法定部门出具的检验证书。</w:t>
      </w:r>
    </w:p>
    <w:p w14:paraId="5EBA67F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保证制订施工现场的文明施工措施，保护环境、树木和植被，保持施工现场的良好秩序和整洁的作业环境。</w:t>
      </w:r>
    </w:p>
    <w:p w14:paraId="315D2E7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负责在施工过程中与当地政府、周边群众及其他承包商保持良好的沟通和交流。</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遇到与周边群众发生纠纷时，应负责协调工作，确保工程能够顺利进行。</w:t>
      </w:r>
    </w:p>
    <w:p w14:paraId="2DF905A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29" w:name="_Toc247431427"/>
      <w:bookmarkEnd w:id="929"/>
      <w:bookmarkStart w:id="930" w:name="_Toc247418267"/>
      <w:bookmarkEnd w:id="930"/>
      <w:bookmarkStart w:id="931" w:name="_Toc239510293"/>
      <w:bookmarkEnd w:id="931"/>
      <w:bookmarkStart w:id="932" w:name="_Toc532375703"/>
      <w:r>
        <w:rPr>
          <w:rFonts w:hint="eastAsia" w:ascii="宋体" w:hAnsi="宋体" w:eastAsia="宋体" w:cs="宋体"/>
          <w:color w:val="auto"/>
          <w:kern w:val="0"/>
          <w:szCs w:val="21"/>
          <w:lang w:bidi="ar"/>
        </w:rPr>
        <w:t>四、接口及协调</w:t>
      </w:r>
      <w:bookmarkEnd w:id="932"/>
    </w:p>
    <w:p w14:paraId="0E588CB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买方如</w:t>
      </w:r>
      <w:r>
        <w:rPr>
          <w:rFonts w:hint="eastAsia" w:ascii="宋体" w:hAnsi="宋体" w:eastAsia="宋体" w:cs="宋体"/>
          <w:color w:val="auto"/>
          <w:kern w:val="0"/>
          <w:szCs w:val="21"/>
          <w:lang w:bidi="ar"/>
        </w:rPr>
        <w:t>委托监理公司对该工程实施监理，监理公司在安全管理方面代表</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行使监督检查职能，</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必须给予配合和支持。</w:t>
      </w:r>
    </w:p>
    <w:p w14:paraId="4C414CB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人员、车辆的出入，带入现场的设备、机具、材料，在现场使用的或直接管理的办公、生活、生产性设施的安全管理须满足</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现场管理的基本要求。</w:t>
      </w:r>
    </w:p>
    <w:p w14:paraId="0110760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应指定专职安全管理人员与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委托的监理公司接口，参与安全协调和管理。安全协调和管理的内容包括职业健康、工业安全、消防安全、卫生防疫、交通安全、环境保护、治安保卫等各方面。</w:t>
      </w:r>
    </w:p>
    <w:p w14:paraId="7B375C3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的专职安全管理人员应具备协调安全工作的能力和授权。</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委托的监理公司有权对专职安全管理人员的能力和权力做出评价，对于不能胜任的专职安全管理人员，</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委托的监理公司有权要求</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换人。</w:t>
      </w:r>
    </w:p>
    <w:p w14:paraId="5EDE7B3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指定的专职安全管理人员应与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委托的监理公司建立联系，在业务上接受</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委托的监理公司的协调和指导。</w:t>
      </w:r>
    </w:p>
    <w:p w14:paraId="5D97A94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6．开工后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的专职安全管理人员应按照</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委托的监理公司的规定，定期报送安全月度快报、季报、年报和各种专项事故报告等。</w:t>
      </w:r>
    </w:p>
    <w:p w14:paraId="73EFC5C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7．在工程实体未全部正式移交</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施工管理部门之前，</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依旧对施工范围内的安全管理负责。</w:t>
      </w:r>
    </w:p>
    <w:p w14:paraId="72C5671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33" w:name="_Toc239510294"/>
      <w:bookmarkEnd w:id="933"/>
      <w:bookmarkStart w:id="934" w:name="_Toc247431428"/>
      <w:bookmarkEnd w:id="934"/>
      <w:bookmarkStart w:id="935" w:name="_Toc247418268"/>
      <w:bookmarkEnd w:id="935"/>
      <w:bookmarkStart w:id="936" w:name="_Toc532375704"/>
      <w:r>
        <w:rPr>
          <w:rFonts w:hint="eastAsia" w:ascii="宋体" w:hAnsi="宋体" w:eastAsia="宋体" w:cs="宋体"/>
          <w:color w:val="auto"/>
          <w:kern w:val="0"/>
          <w:szCs w:val="21"/>
          <w:lang w:bidi="ar"/>
        </w:rPr>
        <w:t>五、安全资质审查</w:t>
      </w:r>
      <w:bookmarkEnd w:id="936"/>
    </w:p>
    <w:p w14:paraId="5E074F8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在项目开工前5个工作天内向</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委托的监理公司提供以下安全资质供审查和存档：</w:t>
      </w:r>
    </w:p>
    <w:p w14:paraId="525F17C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1．企业安全生产许可证书复印件。</w:t>
      </w:r>
    </w:p>
    <w:p w14:paraId="0641EC1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2．企业近三年的施工简历及安全施工业绩证明文件。</w:t>
      </w:r>
    </w:p>
    <w:p w14:paraId="5856785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3．企业主要安全管理人员（包括项目经理、专职安全管理人员）经建设主管部门安全生产知识考核合格证书。</w:t>
      </w:r>
    </w:p>
    <w:p w14:paraId="0BDCE5D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4．特种作业人员资格证书。</w:t>
      </w:r>
    </w:p>
    <w:p w14:paraId="3408BCC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5．项目安全管理机构及其人员配备（</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必须配有专职的安全员）。</w:t>
      </w:r>
    </w:p>
    <w:p w14:paraId="39FA6AA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6．适用于项目的安全管理体系及保证体系文件（安全管理大纲及管理程序文件）。</w:t>
      </w:r>
    </w:p>
    <w:p w14:paraId="226129D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37" w:name="_Toc247431429"/>
      <w:bookmarkEnd w:id="937"/>
      <w:bookmarkStart w:id="938" w:name="_Toc239510295"/>
      <w:bookmarkEnd w:id="938"/>
      <w:bookmarkStart w:id="939" w:name="_Toc247418269"/>
      <w:bookmarkEnd w:id="939"/>
      <w:bookmarkStart w:id="940" w:name="_Toc532375705"/>
      <w:r>
        <w:rPr>
          <w:rFonts w:hint="eastAsia" w:ascii="宋体" w:hAnsi="宋体" w:eastAsia="宋体" w:cs="宋体"/>
          <w:color w:val="auto"/>
          <w:kern w:val="0"/>
          <w:szCs w:val="21"/>
          <w:lang w:bidi="ar"/>
        </w:rPr>
        <w:t>六、人员基本素质</w:t>
      </w:r>
      <w:bookmarkEnd w:id="940"/>
    </w:p>
    <w:p w14:paraId="3CE49CE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提供的人员必须满足下列要求：</w:t>
      </w:r>
    </w:p>
    <w:p w14:paraId="760E43C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1．身体健康，无影响工作的精神疾病、无传染病和其他重大疾病；</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需对其雇用的施工人员签发健康声明并保证其健康。其中体检证明材料（县级以上医院）和健康声明作为人员办理入场证件的必备材料。</w:t>
      </w:r>
    </w:p>
    <w:p w14:paraId="6FA0783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2．无刑事案件牵连。</w:t>
      </w:r>
    </w:p>
    <w:p w14:paraId="7F8FFE0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3．无吸毒、酗酒、赌博、嫖娼等恶习及违法行为。</w:t>
      </w:r>
    </w:p>
    <w:p w14:paraId="675476D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41" w:name="_Toc532375706"/>
      <w:bookmarkEnd w:id="941"/>
      <w:bookmarkStart w:id="942" w:name="_Toc247418270"/>
      <w:bookmarkEnd w:id="942"/>
      <w:bookmarkStart w:id="943" w:name="_Toc247431430"/>
      <w:bookmarkEnd w:id="943"/>
      <w:bookmarkStart w:id="944" w:name="_Toc239510296"/>
      <w:r>
        <w:rPr>
          <w:rFonts w:hint="eastAsia" w:ascii="宋体" w:hAnsi="宋体" w:eastAsia="宋体" w:cs="宋体"/>
          <w:color w:val="auto"/>
          <w:kern w:val="0"/>
          <w:szCs w:val="21"/>
          <w:lang w:bidi="ar"/>
        </w:rPr>
        <w:t>七、劳动保护</w:t>
      </w:r>
      <w:bookmarkEnd w:id="944"/>
    </w:p>
    <w:p w14:paraId="2B9CEF4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负责为本单位任何用工形式的员工提供个人劳动保护用品（包括工作服、安全帽、安全鞋等）。</w:t>
      </w:r>
    </w:p>
    <w:p w14:paraId="63409B2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负责向特殊工种的员工提供特殊劳动保护，否则不得从事特殊工种作业。</w:t>
      </w:r>
    </w:p>
    <w:p w14:paraId="49F189D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委托的监理公司有权检查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的个人劳动保护用品是否符合国家的相应标准。</w:t>
      </w:r>
    </w:p>
    <w:p w14:paraId="2CD4EF4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 xml:space="preserve">4． </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在特殊风险场所作业而需要特殊防护用品或安全仪表时，必须在上述防护用品全部到位后才能开工。</w:t>
      </w:r>
    </w:p>
    <w:p w14:paraId="3D2BC7F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应配备临时安全围栏、警示带、警告标志、防火布等集体防护用品。</w:t>
      </w:r>
    </w:p>
    <w:p w14:paraId="5881BEA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45" w:name="_Toc239510297"/>
      <w:bookmarkEnd w:id="945"/>
      <w:bookmarkStart w:id="946" w:name="_Toc247431431"/>
      <w:bookmarkEnd w:id="946"/>
      <w:bookmarkStart w:id="947" w:name="_Toc247418271"/>
      <w:bookmarkEnd w:id="947"/>
      <w:bookmarkStart w:id="948" w:name="_Toc532375707"/>
      <w:r>
        <w:rPr>
          <w:rFonts w:hint="eastAsia" w:ascii="宋体" w:hAnsi="宋体" w:eastAsia="宋体" w:cs="宋体"/>
          <w:color w:val="auto"/>
          <w:kern w:val="0"/>
          <w:szCs w:val="21"/>
          <w:lang w:bidi="ar"/>
        </w:rPr>
        <w:t>八、施工机具与材料</w:t>
      </w:r>
      <w:bookmarkEnd w:id="948"/>
    </w:p>
    <w:p w14:paraId="41C69BD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对带入现场的施工机械和工器具的安全负责。</w:t>
      </w:r>
    </w:p>
    <w:p w14:paraId="6436493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2．对于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带入现场的特殊工器具，如起重设备、索具、机动车辆、压缩气瓶等，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必须按国家法规和标准进行检测、试验，并持有法定部门出具的检验证书。</w:t>
      </w:r>
    </w:p>
    <w:p w14:paraId="7414609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3．对于不属于法定检测的工器具，</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也必须建立相应的管理、检测制度，这些工器具包括登高工具、脚手架材料、电动工具、安全防护设备及用具等。</w:t>
      </w:r>
    </w:p>
    <w:p w14:paraId="7AE27C4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49" w:name="_Toc247431432"/>
      <w:bookmarkEnd w:id="949"/>
      <w:bookmarkStart w:id="950" w:name="_Toc239510298"/>
      <w:bookmarkEnd w:id="950"/>
      <w:bookmarkStart w:id="951" w:name="_Toc247418272"/>
      <w:bookmarkEnd w:id="951"/>
      <w:bookmarkStart w:id="952" w:name="_Toc532375708"/>
      <w:r>
        <w:rPr>
          <w:rFonts w:hint="eastAsia" w:ascii="宋体" w:hAnsi="宋体" w:eastAsia="宋体" w:cs="宋体"/>
          <w:color w:val="auto"/>
          <w:kern w:val="0"/>
          <w:szCs w:val="21"/>
          <w:lang w:bidi="ar"/>
        </w:rPr>
        <w:t>九、开工前安全条件检查</w:t>
      </w:r>
      <w:bookmarkEnd w:id="952"/>
    </w:p>
    <w:p w14:paraId="4D4E4BA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委托的监理公司将在合同生效后，工程项目正式开工5个工作日前，依据合同安全条款的要求逐项对</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安全准备情况进行检查。不满足开工安全条件时，</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将不得开工，由此产生的工期和成本的影响，由</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自行负责。</w:t>
      </w:r>
    </w:p>
    <w:p w14:paraId="5B647D9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开工前安全条件检查的基本内容包括：安全管理体系建设、安全资金投入、危险源识别和安全风险分析、施工机械的安全状况、安全工器具和材料、安全培训教材和教员、专职安全人员的到岗情况、培训的有效性、人员控制、个人劳动保护用品配备等内容。</w:t>
      </w:r>
    </w:p>
    <w:p w14:paraId="0A186F9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委托的监理公司检查发现的缺陷，</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应在规定期限内完成整改。对于重大缺陷，</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委托的监理公司有权要求</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推迟开工，由此对工期产生的影响或经济损失，由</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承担。</w:t>
      </w:r>
    </w:p>
    <w:p w14:paraId="4CBC9F2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53" w:name="_Toc532375709"/>
      <w:bookmarkEnd w:id="953"/>
      <w:bookmarkStart w:id="954" w:name="_Toc247431433"/>
      <w:bookmarkEnd w:id="954"/>
      <w:bookmarkStart w:id="955" w:name="_Toc247418273"/>
      <w:bookmarkEnd w:id="955"/>
      <w:bookmarkStart w:id="956" w:name="_Toc239510299"/>
      <w:r>
        <w:rPr>
          <w:rFonts w:hint="eastAsia" w:ascii="宋体" w:hAnsi="宋体" w:eastAsia="宋体" w:cs="宋体"/>
          <w:color w:val="auto"/>
          <w:kern w:val="0"/>
          <w:szCs w:val="21"/>
          <w:lang w:bidi="ar"/>
        </w:rPr>
        <w:t>十、安全监督</w:t>
      </w:r>
      <w:bookmarkEnd w:id="956"/>
    </w:p>
    <w:p w14:paraId="0606337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应配备有满足项目安全管理需要的专职安全管理人员。</w:t>
      </w:r>
    </w:p>
    <w:p w14:paraId="1EE51E5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的专职安全管理人员必须持建设主管部门颁发的安全生产知识考核合格证书。</w:t>
      </w:r>
    </w:p>
    <w:p w14:paraId="2577C56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的专职安全管理人员在业务上接受</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委托的监理公司和</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安全管理部门的协调和指导。</w:t>
      </w:r>
    </w:p>
    <w:p w14:paraId="04406DE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应建立班前安全交底制度；施工期间坚持开展安全检查和日常安全监督并形成相应的记录。</w:t>
      </w:r>
    </w:p>
    <w:p w14:paraId="7B7CDD0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应在每个作业区任命兼职安全员，赋予兼职安全员相应的授权和义务，并对兼职安全员进行定期考核。</w:t>
      </w:r>
    </w:p>
    <w:p w14:paraId="53F1AE3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应接受和配合</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专业部门及委托的监理公司的监督与安全评价。</w:t>
      </w:r>
    </w:p>
    <w:p w14:paraId="03B3887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和委托的监理公司有权对</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履行安全管理协议的情况进行监督，并有权对违章行为实行停工和处罚，处罚情况将通知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。涉及经济处罚时将直接通知合同管理部门从合同结算中扣除。</w:t>
      </w:r>
    </w:p>
    <w:p w14:paraId="16780D2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57" w:name="_Toc532375710"/>
      <w:bookmarkEnd w:id="957"/>
      <w:bookmarkStart w:id="958" w:name="_Toc239510300"/>
      <w:bookmarkEnd w:id="958"/>
      <w:bookmarkStart w:id="959" w:name="_Toc247418274"/>
      <w:bookmarkEnd w:id="959"/>
      <w:bookmarkStart w:id="960" w:name="_Toc247431434"/>
      <w:r>
        <w:rPr>
          <w:rFonts w:hint="eastAsia" w:ascii="宋体" w:hAnsi="宋体" w:eastAsia="宋体" w:cs="宋体"/>
          <w:color w:val="auto"/>
          <w:kern w:val="0"/>
          <w:szCs w:val="21"/>
          <w:lang w:bidi="ar"/>
        </w:rPr>
        <w:t>十一、安全培训与授权</w:t>
      </w:r>
      <w:bookmarkEnd w:id="960"/>
    </w:p>
    <w:p w14:paraId="1CB2E70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所有特殊工种人员必须持证上岗，</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和</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委托的监理公司有权对其进行抽查。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要建立特殊工种定期培训和检查计划，这些工种包括但不限于：机动车驾驶员、焊工、起重工、电工等。</w:t>
      </w:r>
    </w:p>
    <w:p w14:paraId="5B1250A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应在特殊工种之外的其他工种中，筛选出高风险工种，并对其开展针对性的专题安全培训。</w:t>
      </w:r>
    </w:p>
    <w:p w14:paraId="50D1415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应组织 “入场培训”和考核。</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委托的监理公司有权监督培训、考核情况或组织抽查考核。</w:t>
      </w:r>
    </w:p>
    <w:p w14:paraId="0A9D17B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应建立安全培训和考核机制，编制培训教材和培训滚动计划。</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应组织安全考试/考核，建立培训考核记录，</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委托的监理公司有权查看这些记录。</w:t>
      </w:r>
    </w:p>
    <w:p w14:paraId="4E7115C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61" w:name="_Toc247418275"/>
      <w:bookmarkEnd w:id="961"/>
      <w:bookmarkStart w:id="962" w:name="_Toc239510301"/>
      <w:bookmarkEnd w:id="962"/>
      <w:bookmarkStart w:id="963" w:name="_Toc247431435"/>
      <w:bookmarkEnd w:id="963"/>
      <w:bookmarkStart w:id="964" w:name="_Toc532375711"/>
      <w:r>
        <w:rPr>
          <w:rFonts w:hint="eastAsia" w:ascii="宋体" w:hAnsi="宋体" w:eastAsia="宋体" w:cs="宋体"/>
          <w:color w:val="auto"/>
          <w:kern w:val="0"/>
          <w:szCs w:val="21"/>
          <w:lang w:bidi="ar"/>
        </w:rPr>
        <w:t>十二、职业健康与卫生防疫</w:t>
      </w:r>
      <w:bookmarkEnd w:id="964"/>
    </w:p>
    <w:p w14:paraId="3B23C97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应有特殊健康检查制度，预防有禁忌症患者从事有关职业，如恐高症患者不得从事高空作业，患有心血管疾病的人员不得从事繁重的体力劳动，特殊工种人员的体检应符合国家的规定。</w:t>
      </w:r>
    </w:p>
    <w:p w14:paraId="2B42EB3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应保证卫生防疫基本设施的投入，以满足医疗、急救的要求，建立外部医疗支持渠道。</w:t>
      </w:r>
    </w:p>
    <w:p w14:paraId="1259A0A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应建立卫生防疫措施计划，做好生活区和施工区的卫生防疫工作；制定和执行保证饮水卫生、饮食卫生、环境卫生和预防集体食物中毒的措施；有灭蚊、灭鼠和消毒的专项工作计划；有针对性地制订预防SARS、禽流感、疟疾、霍乱、肠道传染病、肝炎、H1N1流感等疾病的措施。</w:t>
      </w:r>
    </w:p>
    <w:p w14:paraId="49A5FA5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65" w:name="_Toc247418276"/>
      <w:bookmarkEnd w:id="965"/>
      <w:bookmarkStart w:id="966" w:name="_Toc239510302"/>
      <w:bookmarkEnd w:id="966"/>
      <w:bookmarkStart w:id="967" w:name="_Toc532375712"/>
      <w:bookmarkEnd w:id="967"/>
      <w:bookmarkStart w:id="968" w:name="_Toc247431436"/>
      <w:r>
        <w:rPr>
          <w:rFonts w:hint="eastAsia" w:ascii="宋体" w:hAnsi="宋体" w:eastAsia="宋体" w:cs="宋体"/>
          <w:color w:val="auto"/>
          <w:kern w:val="0"/>
          <w:szCs w:val="21"/>
          <w:lang w:bidi="ar"/>
        </w:rPr>
        <w:t>十三、文明施工与环保要求</w:t>
      </w:r>
      <w:bookmarkEnd w:id="968"/>
    </w:p>
    <w:p w14:paraId="4DCDC7C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需制订施工现场的文明施工措施，保持良好的施工现场秩序。施工现场的物料堆放要摆放整齐，安全标志和宣传标志要清楚醒目，废料、废物要分类收集，安全通道要畅通。</w:t>
      </w:r>
    </w:p>
    <w:p w14:paraId="0711EB6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作业时应避免建筑材料抛洒、飞扬、流淌；应尽可能降低噪音、震动。</w:t>
      </w:r>
    </w:p>
    <w:p w14:paraId="4C28A3F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应根据实际需要，在施工现场布置临时卫生设施（洗手间、卫生间等），施工作业不破坏环境卫生，不污染现场环境。</w:t>
      </w:r>
    </w:p>
    <w:p w14:paraId="18CEE31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在施工中应充分重视对环境的保护，保护绿色植被，保护古树。施工如需伤害古树，必须报告</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委托的监理公司，在未得到指令前，禁止擅自伤害古树。</w:t>
      </w:r>
    </w:p>
    <w:p w14:paraId="7CDEC83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及时清理现场废物和垃圾。工业废料与生活垃圾必须分开，有害废物与普通废物必须分开（如油品废物、电池灯管等，必须单独收集、存放）；禁止在非指定场所乱倒、乱堆垃圾。禁止违章处理危险化学品和工业垃圾。</w:t>
      </w:r>
    </w:p>
    <w:p w14:paraId="08CCF5C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在施工中应禁止向环境，排放工业污水、生活污水、废油或其他有害物质。</w:t>
      </w:r>
    </w:p>
    <w:p w14:paraId="372F6C1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防止水土流失，应及时对裸露的地基、边坡、开挖出来的沙/土以及砂、石、水泥等建筑材料予以保护，防止风刮扬尘，雨水冲刷，流入下水道、排洪沟。如因防护不及时而造成大量水土流失、淤塞道路、沟道或污染环境的，</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应承担清淤、清扫以及相应的赔偿责任。</w:t>
      </w:r>
    </w:p>
    <w:p w14:paraId="29906FD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69" w:name="_Toc247418277"/>
      <w:bookmarkEnd w:id="969"/>
      <w:bookmarkStart w:id="970" w:name="_Toc247431437"/>
      <w:bookmarkEnd w:id="970"/>
      <w:bookmarkStart w:id="971" w:name="_Toc239510303"/>
      <w:bookmarkEnd w:id="971"/>
      <w:bookmarkStart w:id="972" w:name="_Toc532375713"/>
      <w:r>
        <w:rPr>
          <w:rFonts w:hint="eastAsia" w:ascii="宋体" w:hAnsi="宋体" w:eastAsia="宋体" w:cs="宋体"/>
          <w:color w:val="auto"/>
          <w:kern w:val="0"/>
          <w:szCs w:val="21"/>
          <w:lang w:bidi="ar"/>
        </w:rPr>
        <w:t>十四、工程风险管理与事故预防</w:t>
      </w:r>
      <w:bookmarkEnd w:id="972"/>
    </w:p>
    <w:p w14:paraId="382AB74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73" w:name="_Toc247431438"/>
      <w:bookmarkEnd w:id="973"/>
      <w:bookmarkStart w:id="974" w:name="_Toc247418278"/>
      <w:bookmarkEnd w:id="974"/>
      <w:bookmarkStart w:id="975" w:name="_Toc239510304"/>
      <w:r>
        <w:rPr>
          <w:rFonts w:hint="eastAsia" w:ascii="宋体" w:hAnsi="宋体" w:eastAsia="宋体" w:cs="宋体"/>
          <w:color w:val="auto"/>
          <w:kern w:val="0"/>
          <w:szCs w:val="21"/>
          <w:lang w:bidi="ar"/>
        </w:rPr>
        <w:t>（一）基本要求</w:t>
      </w:r>
      <w:bookmarkEnd w:id="975"/>
    </w:p>
    <w:p w14:paraId="483D0FF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76" w:name="_Toc532375714"/>
      <w:bookmarkEnd w:id="976"/>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应对施工过程进行全面、深入的危险源识别和风险分析。在施工安全组织设计中提供危险源及重要危险源清单、作业风险分析报告，该报告应包括（但不限于）如下信息：</w:t>
      </w:r>
    </w:p>
    <w:p w14:paraId="61BE94B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（1）高风险作业和工种清单：作业名称、类别和数量、主要事故风险。</w:t>
      </w:r>
    </w:p>
    <w:p w14:paraId="148587F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（2）施工能源和机械的种类、数量和主要事故风险。</w:t>
      </w:r>
    </w:p>
    <w:p w14:paraId="0A226FE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（3）施工作业条件的类型和主要事故风险。</w:t>
      </w:r>
    </w:p>
    <w:p w14:paraId="4762189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（4）主要工艺过程（或施工活动）的类别及其相关的事故风险。</w:t>
      </w:r>
    </w:p>
    <w:p w14:paraId="511BB74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（5）主要火灾危险（可燃物、点火源）。</w:t>
      </w:r>
    </w:p>
    <w:p w14:paraId="0DE355D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（6）主要自然灾害（洪水、大风、雷暴、暴雨、地质灾害等）。</w:t>
      </w:r>
    </w:p>
    <w:p w14:paraId="0ED46CE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（7）主要环境保护事件（有害垃圾、机械的跑冒滴漏、原材料流失、水土流失等）。</w:t>
      </w:r>
    </w:p>
    <w:p w14:paraId="7A74730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（8）其他。</w:t>
      </w:r>
    </w:p>
    <w:p w14:paraId="08F548C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应针对识别出的危险源制定有针对性的事故预防措施并确保在施工中得到有效落实。</w:t>
      </w:r>
    </w:p>
    <w:p w14:paraId="5DFF995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应建立日常施工活动的动态作业风险分析和安全交底制度。该制度应明确规定风险分析的方法、责任和交底的内容、时间及记录。</w:t>
      </w:r>
    </w:p>
    <w:p w14:paraId="4A04ED8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77" w:name="_Toc239510305"/>
      <w:bookmarkEnd w:id="977"/>
      <w:bookmarkStart w:id="978" w:name="_Toc247418279"/>
      <w:bookmarkEnd w:id="978"/>
      <w:bookmarkStart w:id="979" w:name="_Toc247431439"/>
      <w:r>
        <w:rPr>
          <w:rFonts w:hint="eastAsia" w:ascii="宋体" w:hAnsi="宋体" w:eastAsia="宋体" w:cs="宋体"/>
          <w:color w:val="auto"/>
          <w:kern w:val="0"/>
          <w:szCs w:val="21"/>
          <w:lang w:bidi="ar"/>
        </w:rPr>
        <w:t>（二）现场作业基本安全条件</w:t>
      </w:r>
      <w:bookmarkEnd w:id="979"/>
    </w:p>
    <w:p w14:paraId="7EF7C64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规定现场作业的基本安全条件，包括照明条件、通风条件、作业平台和通道条件、物料堆放条件、供电供水条件、吸烟点、休息点等，并对临边现场、道路上作业现场、立体交叉作业现场、地面坑洞和沟道、夜间作业现场等的基本安全条件做出规定。</w:t>
      </w:r>
    </w:p>
    <w:p w14:paraId="59B50E4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80" w:name="_Toc247418280"/>
      <w:bookmarkEnd w:id="980"/>
      <w:bookmarkStart w:id="981" w:name="_Toc247431440"/>
      <w:bookmarkEnd w:id="981"/>
      <w:bookmarkStart w:id="982" w:name="_Toc239510306"/>
      <w:bookmarkEnd w:id="982"/>
      <w:bookmarkStart w:id="983" w:name="_Toc532375715"/>
      <w:r>
        <w:rPr>
          <w:rFonts w:hint="eastAsia" w:ascii="宋体" w:hAnsi="宋体" w:eastAsia="宋体" w:cs="宋体"/>
          <w:color w:val="auto"/>
          <w:kern w:val="0"/>
          <w:szCs w:val="21"/>
          <w:lang w:bidi="ar"/>
        </w:rPr>
        <w:t>十五、事故报告与应急救援</w:t>
      </w:r>
      <w:bookmarkEnd w:id="983"/>
    </w:p>
    <w:p w14:paraId="11B6EA7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应制定对于未遂事故及以上级别的安全事件和事故，定期报送安全月度快报、季报、年报和各种专项事故报告等。</w:t>
      </w:r>
    </w:p>
    <w:p w14:paraId="0BBC39B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应建立安全事故统计记录、未遂事故统计记录、违章统计记录，并根据统计情况进行分析，并就分析结果制定相应的预防措施。</w:t>
      </w:r>
    </w:p>
    <w:p w14:paraId="6138075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应建立事故应急救援机制，明确事故处置的基本原则，即现场发生事故时，首先抢救生命，向救援组织报警，并采取措施限制事故扩大。</w:t>
      </w:r>
    </w:p>
    <w:p w14:paraId="15B0E70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应建立相应的应急响应组织，以便能迅速处理突发意外。</w:t>
      </w:r>
    </w:p>
    <w:p w14:paraId="6D33DC2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应建立专项应急响应预案，包括重大人身伤亡事故的救护预案、火灾响应预案、“四防”预案（防风、防冻、防雷、防暴雨）、重大疫病防护预案、环境污染防护预案、地质灾害防护预案等。</w:t>
      </w:r>
    </w:p>
    <w:p w14:paraId="0605E39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应对应急预案进行适当演练，保证应急预案的可操作性。</w:t>
      </w:r>
    </w:p>
    <w:p w14:paraId="2DC0B74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7．在工地的其他施工单位发生重大事故时，</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应无条件立即配合、支持事故抢险。</w:t>
      </w:r>
    </w:p>
    <w:p w14:paraId="0F25584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必须为事故处置支付各项费用，包括受伤者的抚恤、补偿等费用，并按合同要求赔偿对</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造成的损失。</w:t>
      </w:r>
    </w:p>
    <w:p w14:paraId="2F6CB11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9．由于</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原因而造成的事故，</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应负责按事故的具体损失情况给予</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经济赔偿。</w:t>
      </w:r>
    </w:p>
    <w:p w14:paraId="4495C79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10．涉及</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员工的伤害事故，</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除要报告</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委托的监理公司外，还应负责按照国家、行业和本单位上级公司的要求，上报事故。</w:t>
      </w:r>
    </w:p>
    <w:p w14:paraId="399156A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84" w:name="_Toc532375716"/>
      <w:bookmarkEnd w:id="984"/>
      <w:bookmarkStart w:id="985" w:name="_Toc247418281"/>
      <w:bookmarkEnd w:id="985"/>
      <w:bookmarkStart w:id="986" w:name="_Toc247431441"/>
      <w:bookmarkEnd w:id="986"/>
      <w:bookmarkStart w:id="987" w:name="_Toc239510307"/>
      <w:r>
        <w:rPr>
          <w:rFonts w:hint="eastAsia" w:ascii="宋体" w:hAnsi="宋体" w:eastAsia="宋体" w:cs="宋体"/>
          <w:color w:val="auto"/>
          <w:kern w:val="0"/>
          <w:szCs w:val="21"/>
          <w:lang w:bidi="ar"/>
        </w:rPr>
        <w:t>十六、安全业绩考核</w:t>
      </w:r>
      <w:bookmarkEnd w:id="987"/>
    </w:p>
    <w:p w14:paraId="4C70E85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为了落实安全管理的责任，</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在施工过程中发生安全事故时，</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除应按国家有关规定承担责任和处罚外，</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还将按照以下标准进行考核：</w:t>
      </w:r>
    </w:p>
    <w:tbl>
      <w:tblPr>
        <w:tblStyle w:val="46"/>
        <w:tblW w:w="7005" w:type="dxa"/>
        <w:jc w:val="center"/>
        <w:tblLayout w:type="fixed"/>
        <w:tblCellMar>
          <w:top w:w="0" w:type="dxa"/>
          <w:left w:w="0" w:type="dxa"/>
          <w:bottom w:w="0" w:type="dxa"/>
          <w:right w:w="0" w:type="dxa"/>
        </w:tblCellMar>
      </w:tblPr>
      <w:tblGrid>
        <w:gridCol w:w="3240"/>
        <w:gridCol w:w="3765"/>
      </w:tblGrid>
      <w:tr w14:paraId="0CBE46FD">
        <w:tblPrEx>
          <w:tblCellMar>
            <w:top w:w="0" w:type="dxa"/>
            <w:left w:w="0" w:type="dxa"/>
            <w:bottom w:w="0" w:type="dxa"/>
            <w:right w:w="0" w:type="dxa"/>
          </w:tblCellMar>
        </w:tblPrEx>
        <w:trPr>
          <w:trHeight w:val="188"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5DA60223">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事件类型</w:t>
            </w:r>
          </w:p>
        </w:tc>
        <w:tc>
          <w:tcPr>
            <w:tcW w:w="376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36C0C7B">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违约金额</w:t>
            </w:r>
          </w:p>
        </w:tc>
      </w:tr>
      <w:tr w14:paraId="2C95CCA4">
        <w:tblPrEx>
          <w:tblCellMar>
            <w:top w:w="0" w:type="dxa"/>
            <w:left w:w="0" w:type="dxa"/>
            <w:bottom w:w="0" w:type="dxa"/>
            <w:right w:w="0" w:type="dxa"/>
          </w:tblCellMar>
        </w:tblPrEx>
        <w:trPr>
          <w:trHeight w:val="281"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53F347E0">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较大事故</w:t>
            </w:r>
          </w:p>
        </w:tc>
        <w:tc>
          <w:tcPr>
            <w:tcW w:w="3765" w:type="dxa"/>
            <w:tcBorders>
              <w:top w:val="single" w:color="auto" w:sz="8" w:space="0"/>
              <w:left w:val="nil"/>
              <w:bottom w:val="single" w:color="auto" w:sz="8" w:space="0"/>
              <w:right w:val="single" w:color="auto" w:sz="8" w:space="0"/>
            </w:tcBorders>
            <w:noWrap w:val="0"/>
            <w:vAlign w:val="center"/>
          </w:tcPr>
          <w:p w14:paraId="03BD514C">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签约合同价的0.5‰</w:t>
            </w:r>
          </w:p>
        </w:tc>
      </w:tr>
      <w:tr w14:paraId="6957E77B">
        <w:tblPrEx>
          <w:tblCellMar>
            <w:top w:w="0" w:type="dxa"/>
            <w:left w:w="0" w:type="dxa"/>
            <w:bottom w:w="0" w:type="dxa"/>
            <w:right w:w="0" w:type="dxa"/>
          </w:tblCellMar>
        </w:tblPrEx>
        <w:trPr>
          <w:trHeight w:val="274"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7AF2BC90">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重大事故</w:t>
            </w:r>
          </w:p>
        </w:tc>
        <w:tc>
          <w:tcPr>
            <w:tcW w:w="3765" w:type="dxa"/>
            <w:tcBorders>
              <w:top w:val="single" w:color="auto" w:sz="8" w:space="0"/>
              <w:left w:val="nil"/>
              <w:bottom w:val="single" w:color="auto" w:sz="8" w:space="0"/>
              <w:right w:val="single" w:color="auto" w:sz="8" w:space="0"/>
            </w:tcBorders>
            <w:noWrap w:val="0"/>
            <w:vAlign w:val="center"/>
          </w:tcPr>
          <w:p w14:paraId="0A9E62F9">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签约合同价的2‰</w:t>
            </w:r>
          </w:p>
        </w:tc>
      </w:tr>
      <w:tr w14:paraId="2B19AB57">
        <w:tblPrEx>
          <w:tblCellMar>
            <w:top w:w="0" w:type="dxa"/>
            <w:left w:w="0" w:type="dxa"/>
            <w:bottom w:w="0" w:type="dxa"/>
            <w:right w:w="0" w:type="dxa"/>
          </w:tblCellMar>
        </w:tblPrEx>
        <w:trPr>
          <w:trHeight w:val="138"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17CD5607">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特别重大事故</w:t>
            </w:r>
          </w:p>
        </w:tc>
        <w:tc>
          <w:tcPr>
            <w:tcW w:w="3765" w:type="dxa"/>
            <w:tcBorders>
              <w:top w:val="single" w:color="auto" w:sz="8" w:space="0"/>
              <w:left w:val="nil"/>
              <w:bottom w:val="single" w:color="auto" w:sz="8" w:space="0"/>
              <w:right w:val="single" w:color="auto" w:sz="8" w:space="0"/>
            </w:tcBorders>
            <w:noWrap w:val="0"/>
            <w:vAlign w:val="center"/>
          </w:tcPr>
          <w:p w14:paraId="4B941B87">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签约合同价的4‰</w:t>
            </w:r>
          </w:p>
        </w:tc>
      </w:tr>
    </w:tbl>
    <w:p w14:paraId="0E73145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（1）较大事故，是指造成3人以上10人以下死亡，或者10人以上50人以下重伤，或者1000万元以上5000万元以下直接经济损失的事故；</w:t>
      </w:r>
    </w:p>
    <w:p w14:paraId="0623C80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（2）重大事故，是指造成10人以上30人以下死亡，或者50人以上100人以下重伤，或者5000万元以上1亿元以下直接经济损失的事故；</w:t>
      </w:r>
    </w:p>
    <w:p w14:paraId="2A0E566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（3）特别重大事故，是指造成30人以上死亡，或者100人以上重伤（包括急性工业中毒，下同），或者1亿元以上直接经济损失的事故；</w:t>
      </w:r>
    </w:p>
    <w:p w14:paraId="4198650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（4）所称的“以上”包括本数，所称的“以下”不包括本数。</w:t>
      </w:r>
    </w:p>
    <w:p w14:paraId="6087469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（5）如整个施工过程未发生以上安全事故，则给予</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建安费总额的1‰的安全奖励。</w:t>
      </w:r>
    </w:p>
    <w:p w14:paraId="14C2AA2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委托的监理公司负责对</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的安全业绩进行考核。每次合同支付前，</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提交自我安全业绩评估报告，然后交</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委托的监理公司评价。</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委托的监理公司在签署评价意见后，将作为合同支付依据之一，同时也作为是否可接受</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再次参加</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 xml:space="preserve">项目投标的依据之一。 </w:t>
      </w:r>
    </w:p>
    <w:p w14:paraId="578D833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88" w:name="_Toc239510308"/>
      <w:bookmarkEnd w:id="988"/>
      <w:bookmarkStart w:id="989" w:name="_Toc532375717"/>
      <w:bookmarkEnd w:id="989"/>
      <w:bookmarkStart w:id="990" w:name="_Toc247418282"/>
      <w:bookmarkEnd w:id="990"/>
      <w:bookmarkStart w:id="991" w:name="_Toc247431442"/>
      <w:r>
        <w:rPr>
          <w:rFonts w:hint="eastAsia" w:ascii="宋体" w:hAnsi="宋体" w:eastAsia="宋体" w:cs="宋体"/>
          <w:color w:val="auto"/>
          <w:kern w:val="0"/>
          <w:szCs w:val="21"/>
          <w:lang w:bidi="ar"/>
        </w:rPr>
        <w:t>十七、协议条款的修订</w:t>
      </w:r>
      <w:bookmarkEnd w:id="991"/>
    </w:p>
    <w:p w14:paraId="45DBDCA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在项目实施过程中，经双方友好协商，本协议的有关条款也可做出相应的修改。</w:t>
      </w:r>
    </w:p>
    <w:p w14:paraId="031E897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本工程安全管理协议，由</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双方在施工承包合同签订后7天内共同签署，作为施工合同附件。</w:t>
      </w:r>
    </w:p>
    <w:p w14:paraId="2C62A3D3">
      <w:pPr>
        <w:pageBreakBefore w:val="0"/>
        <w:widowControl/>
        <w:kinsoku/>
        <w:overflowPunct/>
        <w:topLinePunct w:val="0"/>
        <w:bidi w:val="0"/>
        <w:spacing w:line="360" w:lineRule="auto"/>
        <w:ind w:firstLine="420" w:firstLineChars="200"/>
        <w:jc w:val="left"/>
        <w:rPr>
          <w:rFonts w:hint="eastAsia" w:ascii="宋体" w:hAnsi="宋体" w:eastAsia="宋体" w:cs="宋体"/>
          <w:color w:val="auto"/>
          <w:lang w:bidi="ar"/>
        </w:rPr>
      </w:pPr>
      <w:r>
        <w:rPr>
          <w:rFonts w:hint="eastAsia" w:ascii="宋体" w:hAnsi="宋体" w:eastAsia="宋体" w:cs="宋体"/>
          <w:color w:val="auto"/>
          <w:lang w:bidi="ar"/>
        </w:rPr>
        <w:t>（以下无正文）</w:t>
      </w:r>
    </w:p>
    <w:p w14:paraId="56A7181E">
      <w:pPr>
        <w:pStyle w:val="2"/>
        <w:pageBreakBefore w:val="0"/>
        <w:kinsoku/>
        <w:overflowPunct/>
        <w:topLinePunct w:val="0"/>
        <w:bidi w:val="0"/>
        <w:spacing w:line="360" w:lineRule="auto"/>
        <w:rPr>
          <w:rFonts w:hint="eastAsia" w:ascii="宋体" w:hAnsi="宋体" w:eastAsia="宋体" w:cs="宋体"/>
          <w:color w:val="auto"/>
          <w:lang w:bidi="ar"/>
        </w:rPr>
      </w:pPr>
    </w:p>
    <w:p w14:paraId="14E44433">
      <w:pPr>
        <w:pStyle w:val="2"/>
        <w:pageBreakBefore w:val="0"/>
        <w:kinsoku/>
        <w:overflowPunct/>
        <w:topLinePunct w:val="0"/>
        <w:bidi w:val="0"/>
        <w:spacing w:line="360" w:lineRule="auto"/>
        <w:rPr>
          <w:rFonts w:hint="eastAsia" w:ascii="宋体" w:hAnsi="宋体" w:eastAsia="宋体" w:cs="宋体"/>
          <w:color w:val="auto"/>
          <w:lang w:bidi="ar"/>
        </w:rPr>
      </w:pPr>
    </w:p>
    <w:p w14:paraId="593E427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（公章）：</w:t>
      </w:r>
      <w:r>
        <w:rPr>
          <w:rFonts w:hint="eastAsia" w:ascii="宋体" w:hAnsi="宋体" w:eastAsia="宋体" w:cs="宋体"/>
          <w:color w:val="auto"/>
          <w:kern w:val="0"/>
          <w:szCs w:val="21"/>
          <w:u w:val="single"/>
          <w:lang w:bidi="ar"/>
        </w:rPr>
        <w:t xml:space="preserve">                       </w:t>
      </w:r>
    </w:p>
    <w:p w14:paraId="76925CF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法定代表人（签名）：</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 xml:space="preserve">  </w:t>
      </w:r>
    </w:p>
    <w:p w14:paraId="1956189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或其委托代理人（签名）：</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 xml:space="preserve">  </w:t>
      </w:r>
    </w:p>
    <w:p w14:paraId="4146B16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 xml:space="preserve"> </w:t>
      </w:r>
    </w:p>
    <w:p w14:paraId="688BB93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（公章）：</w:t>
      </w:r>
      <w:r>
        <w:rPr>
          <w:rFonts w:hint="eastAsia" w:ascii="宋体" w:hAnsi="宋体" w:eastAsia="宋体" w:cs="宋体"/>
          <w:color w:val="auto"/>
          <w:kern w:val="0"/>
          <w:szCs w:val="21"/>
          <w:u w:val="single"/>
          <w:lang w:bidi="ar"/>
        </w:rPr>
        <w:t xml:space="preserve">                       </w:t>
      </w:r>
    </w:p>
    <w:p w14:paraId="726C01D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法定代表人（签名）：</w:t>
      </w:r>
      <w:r>
        <w:rPr>
          <w:rFonts w:hint="eastAsia" w:ascii="宋体" w:hAnsi="宋体" w:eastAsia="宋体" w:cs="宋体"/>
          <w:color w:val="auto"/>
          <w:kern w:val="0"/>
          <w:szCs w:val="21"/>
          <w:u w:val="single"/>
          <w:lang w:bidi="ar"/>
        </w:rPr>
        <w:t xml:space="preserve">                       </w:t>
      </w:r>
    </w:p>
    <w:p w14:paraId="277E190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或其委托代理人（签名）：</w:t>
      </w:r>
      <w:r>
        <w:rPr>
          <w:rFonts w:hint="eastAsia" w:ascii="宋体" w:hAnsi="宋体" w:eastAsia="宋体" w:cs="宋体"/>
          <w:color w:val="auto"/>
          <w:kern w:val="0"/>
          <w:szCs w:val="21"/>
          <w:u w:val="single"/>
          <w:lang w:bidi="ar"/>
        </w:rPr>
        <w:t xml:space="preserve">                   </w:t>
      </w:r>
    </w:p>
    <w:p w14:paraId="008039E1">
      <w:pPr>
        <w:widowControl/>
        <w:spacing w:line="360" w:lineRule="auto"/>
        <w:jc w:val="left"/>
        <w:rPr>
          <w:rFonts w:ascii="宋体" w:hAnsi="宋体"/>
          <w:szCs w:val="20"/>
        </w:rPr>
      </w:pPr>
      <w:r>
        <w:rPr>
          <w:rFonts w:ascii="宋体" w:hAnsi="宋体"/>
          <w:szCs w:val="20"/>
        </w:rPr>
        <w:br w:type="page"/>
      </w:r>
    </w:p>
    <w:p w14:paraId="0FBE3713">
      <w:pPr>
        <w:pStyle w:val="3"/>
        <w:spacing w:line="360" w:lineRule="auto"/>
        <w:jc w:val="center"/>
        <w:rPr>
          <w:rFonts w:ascii="宋体" w:hAnsi="宋体"/>
          <w:sz w:val="32"/>
          <w:szCs w:val="32"/>
        </w:rPr>
      </w:pPr>
      <w:bookmarkStart w:id="992" w:name="招标文件06章图纸"/>
      <w:bookmarkEnd w:id="992"/>
      <w:bookmarkStart w:id="993" w:name="_Toc534185825"/>
      <w:bookmarkStart w:id="994" w:name="_Toc287620803"/>
      <w:bookmarkStart w:id="995" w:name="_Toc430530519"/>
      <w:bookmarkStart w:id="996" w:name="_Toc287607861"/>
      <w:bookmarkStart w:id="997" w:name="_Toc509218846"/>
      <w:bookmarkStart w:id="998" w:name="_Toc17538"/>
      <w:bookmarkStart w:id="999" w:name="_Toc7191"/>
      <w:bookmarkStart w:id="1000" w:name="_Toc28271"/>
      <w:r>
        <w:rPr>
          <w:rFonts w:hint="eastAsia" w:ascii="宋体" w:hAnsi="宋体"/>
          <w:sz w:val="32"/>
          <w:szCs w:val="32"/>
        </w:rPr>
        <w:t xml:space="preserve">第五章  </w:t>
      </w:r>
      <w:bookmarkEnd w:id="993"/>
      <w:bookmarkEnd w:id="994"/>
      <w:bookmarkEnd w:id="995"/>
      <w:bookmarkEnd w:id="996"/>
      <w:bookmarkEnd w:id="997"/>
      <w:r>
        <w:rPr>
          <w:rFonts w:hint="eastAsia" w:ascii="宋体" w:hAnsi="宋体"/>
          <w:sz w:val="32"/>
          <w:szCs w:val="32"/>
        </w:rPr>
        <w:t>供货要求</w:t>
      </w:r>
      <w:bookmarkEnd w:id="998"/>
      <w:bookmarkEnd w:id="999"/>
      <w:bookmarkEnd w:id="1000"/>
      <w:bookmarkStart w:id="1001" w:name="招标文件06章图纸01"/>
      <w:bookmarkEnd w:id="1001"/>
      <w:bookmarkStart w:id="1002" w:name="_Toc287620804"/>
      <w:bookmarkStart w:id="1003" w:name="_Toc430530520"/>
    </w:p>
    <w:bookmarkEnd w:id="1002"/>
    <w:bookmarkEnd w:id="1003"/>
    <w:p w14:paraId="302E4BD2">
      <w:pPr>
        <w:pStyle w:val="4"/>
        <w:bidi w:val="0"/>
        <w:rPr>
          <w:rFonts w:hint="eastAsia"/>
          <w:lang w:val="en-US" w:eastAsia="zh-CN"/>
        </w:rPr>
      </w:pPr>
      <w:r>
        <w:rPr>
          <w:rFonts w:hint="eastAsia"/>
          <w:lang w:val="en-US" w:eastAsia="zh-CN"/>
        </w:rPr>
        <w:t>一、</w:t>
      </w:r>
      <w:r>
        <w:rPr>
          <w:rFonts w:hint="eastAsia"/>
        </w:rPr>
        <w:t>总体要求</w:t>
      </w:r>
    </w:p>
    <w:p w14:paraId="0149DA99">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rPr>
      </w:pPr>
      <w:r>
        <w:rPr>
          <w:rFonts w:hint="default" w:ascii="宋体" w:hAnsi="宋体" w:eastAsia="宋体" w:cs="宋体"/>
          <w:caps w:val="0"/>
          <w:smallCaps w:val="0"/>
          <w:color w:val="auto"/>
          <w:sz w:val="21"/>
          <w:szCs w:val="21"/>
          <w:highlight w:val="none"/>
        </w:rPr>
        <w:t>1</w:t>
      </w:r>
      <w:r>
        <w:rPr>
          <w:rFonts w:hint="eastAsia" w:ascii="宋体" w:hAnsi="宋体" w:cs="宋体"/>
          <w:caps w:val="0"/>
          <w:smallCaps w:val="0"/>
          <w:color w:val="auto"/>
          <w:sz w:val="21"/>
          <w:szCs w:val="21"/>
          <w:highlight w:val="none"/>
          <w:lang w:eastAsia="zh-CN"/>
        </w:rPr>
        <w:t>.</w:t>
      </w:r>
      <w:r>
        <w:rPr>
          <w:rFonts w:hint="default" w:ascii="宋体" w:hAnsi="宋体" w:eastAsia="宋体" w:cs="宋体"/>
          <w:caps w:val="0"/>
          <w:smallCaps w:val="0"/>
          <w:color w:val="auto"/>
          <w:sz w:val="21"/>
          <w:szCs w:val="21"/>
          <w:highlight w:val="none"/>
          <w:lang w:val="zh-CN"/>
        </w:rPr>
        <w:t>本</w:t>
      </w:r>
      <w:r>
        <w:rPr>
          <w:rFonts w:hint="default" w:ascii="宋体" w:hAnsi="宋体" w:eastAsia="宋体" w:cs="宋体"/>
          <w:caps w:val="0"/>
          <w:smallCaps w:val="0"/>
          <w:color w:val="auto"/>
          <w:sz w:val="21"/>
          <w:szCs w:val="21"/>
          <w:highlight w:val="none"/>
        </w:rPr>
        <w:t>技术文件</w:t>
      </w:r>
      <w:r>
        <w:rPr>
          <w:rFonts w:hint="default" w:ascii="宋体" w:hAnsi="宋体" w:eastAsia="宋体" w:cs="宋体"/>
          <w:caps w:val="0"/>
          <w:smallCaps w:val="0"/>
          <w:color w:val="auto"/>
          <w:sz w:val="21"/>
          <w:szCs w:val="21"/>
          <w:highlight w:val="none"/>
          <w:lang w:val="zh-CN"/>
        </w:rPr>
        <w:t>适用于“</w:t>
      </w:r>
      <w:r>
        <w:rPr>
          <w:rFonts w:hint="eastAsia" w:ascii="宋体" w:hAnsi="宋体" w:cs="宋体"/>
          <w:caps w:val="0"/>
          <w:smallCaps w:val="0"/>
          <w:color w:val="auto"/>
          <w:sz w:val="21"/>
          <w:szCs w:val="21"/>
          <w:highlight w:val="none"/>
          <w:lang w:eastAsia="zh-CN"/>
        </w:rPr>
        <w:t>乌江涪陵榨菜绿色智能化生产基地（一期）</w:t>
      </w:r>
      <w:r>
        <w:rPr>
          <w:rFonts w:hint="eastAsia" w:ascii="宋体" w:hAnsi="宋体" w:cs="宋体"/>
          <w:caps w:val="0"/>
          <w:smallCaps w:val="0"/>
          <w:color w:val="auto"/>
          <w:sz w:val="21"/>
          <w:szCs w:val="21"/>
          <w:highlight w:val="none"/>
          <w:lang w:val="en-US" w:eastAsia="zh-CN"/>
        </w:rPr>
        <w:t>半固态</w:t>
      </w:r>
      <w:r>
        <w:rPr>
          <w:rFonts w:hint="eastAsia" w:ascii="宋体" w:hAnsi="宋体" w:cs="宋体"/>
          <w:caps w:val="0"/>
          <w:smallCaps w:val="0"/>
          <w:color w:val="auto"/>
          <w:sz w:val="21"/>
          <w:szCs w:val="21"/>
          <w:highlight w:val="none"/>
          <w:lang w:eastAsia="zh-CN"/>
        </w:rPr>
        <w:t>复合调味料生产线</w:t>
      </w:r>
      <w:r>
        <w:rPr>
          <w:rFonts w:hint="eastAsia" w:ascii="宋体" w:hAnsi="宋体" w:cs="宋体"/>
          <w:caps w:val="0"/>
          <w:smallCaps w:val="0"/>
          <w:color w:val="auto"/>
          <w:sz w:val="21"/>
          <w:szCs w:val="21"/>
          <w:highlight w:val="none"/>
          <w:lang w:val="en-US" w:eastAsia="zh-CN"/>
        </w:rPr>
        <w:t>定制</w:t>
      </w:r>
      <w:r>
        <w:rPr>
          <w:rFonts w:hint="eastAsia" w:ascii="宋体" w:hAnsi="宋体" w:cs="宋体"/>
          <w:caps w:val="0"/>
          <w:smallCaps w:val="0"/>
          <w:color w:val="auto"/>
          <w:sz w:val="21"/>
          <w:szCs w:val="21"/>
          <w:highlight w:val="none"/>
          <w:lang w:eastAsia="zh-CN"/>
        </w:rPr>
        <w:t>设备采购</w:t>
      </w:r>
      <w:r>
        <w:rPr>
          <w:rFonts w:hint="default" w:ascii="宋体" w:hAnsi="宋体" w:eastAsia="宋体" w:cs="宋体"/>
          <w:caps w:val="0"/>
          <w:smallCaps w:val="0"/>
          <w:color w:val="auto"/>
          <w:sz w:val="21"/>
          <w:szCs w:val="21"/>
          <w:highlight w:val="none"/>
        </w:rPr>
        <w:t>”项目</w:t>
      </w:r>
      <w:r>
        <w:rPr>
          <w:rFonts w:hint="default" w:ascii="宋体" w:hAnsi="宋体" w:eastAsia="宋体" w:cs="宋体"/>
          <w:caps w:val="0"/>
          <w:smallCaps w:val="0"/>
          <w:color w:val="auto"/>
          <w:sz w:val="21"/>
          <w:szCs w:val="21"/>
          <w:highlight w:val="none"/>
          <w:lang w:val="zh-CN"/>
        </w:rPr>
        <w:t>，</w:t>
      </w:r>
      <w:r>
        <w:rPr>
          <w:rFonts w:hint="default" w:ascii="宋体" w:hAnsi="宋体" w:eastAsia="宋体" w:cs="宋体"/>
          <w:caps w:val="0"/>
          <w:smallCaps w:val="0"/>
          <w:color w:val="auto"/>
          <w:sz w:val="21"/>
          <w:szCs w:val="21"/>
          <w:highlight w:val="none"/>
        </w:rPr>
        <w:t>包括但不限于该工程的设计、采购、运输、保险、安装、调试、检测（包含强制的和招标人要求的）</w:t>
      </w:r>
      <w:r>
        <w:rPr>
          <w:rFonts w:hint="default" w:ascii="宋体" w:hAnsi="宋体" w:eastAsia="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en-US" w:eastAsia="zh-CN"/>
        </w:rPr>
        <w:t>验收、</w:t>
      </w:r>
      <w:r>
        <w:rPr>
          <w:rFonts w:hint="default" w:ascii="宋体" w:hAnsi="宋体" w:eastAsia="宋体" w:cs="宋体"/>
          <w:caps w:val="0"/>
          <w:smallCaps w:val="0"/>
          <w:color w:val="auto"/>
          <w:sz w:val="21"/>
          <w:szCs w:val="21"/>
          <w:highlight w:val="none"/>
          <w:lang w:val="zh-CN"/>
        </w:rPr>
        <w:t>技术服务和质量保证</w:t>
      </w:r>
      <w:r>
        <w:rPr>
          <w:rFonts w:hint="default" w:ascii="宋体" w:hAnsi="宋体" w:eastAsia="宋体" w:cs="宋体"/>
          <w:caps w:val="0"/>
          <w:smallCaps w:val="0"/>
          <w:color w:val="auto"/>
          <w:sz w:val="21"/>
          <w:szCs w:val="21"/>
          <w:highlight w:val="none"/>
        </w:rPr>
        <w:t>等方面的技术要求。</w:t>
      </w:r>
    </w:p>
    <w:p w14:paraId="7B4C0CAE">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zh-CN"/>
        </w:rPr>
      </w:pPr>
      <w:r>
        <w:rPr>
          <w:rFonts w:hint="default" w:ascii="宋体" w:hAnsi="宋体" w:eastAsia="宋体" w:cs="宋体"/>
          <w:caps w:val="0"/>
          <w:smallCaps w:val="0"/>
          <w:color w:val="auto"/>
          <w:sz w:val="21"/>
          <w:szCs w:val="21"/>
          <w:highlight w:val="none"/>
        </w:rPr>
        <w:t>2</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投标人</w:t>
      </w:r>
      <w:r>
        <w:rPr>
          <w:rFonts w:hint="default" w:ascii="宋体" w:hAnsi="宋体" w:eastAsia="宋体" w:cs="宋体"/>
          <w:caps w:val="0"/>
          <w:smallCaps w:val="0"/>
          <w:color w:val="auto"/>
          <w:sz w:val="21"/>
          <w:szCs w:val="21"/>
          <w:highlight w:val="none"/>
          <w:lang w:val="zh-CN"/>
        </w:rPr>
        <w:t>提供的</w:t>
      </w:r>
      <w:r>
        <w:rPr>
          <w:rFonts w:hint="eastAsia" w:ascii="宋体" w:hAnsi="宋体" w:eastAsia="宋体" w:cs="宋体"/>
          <w:caps w:val="0"/>
          <w:smallCaps w:val="0"/>
          <w:color w:val="auto"/>
          <w:sz w:val="21"/>
          <w:szCs w:val="21"/>
          <w:highlight w:val="none"/>
          <w:lang w:val="en-US" w:eastAsia="zh-CN"/>
        </w:rPr>
        <w:t>半固态</w:t>
      </w:r>
      <w:r>
        <w:rPr>
          <w:rFonts w:hint="eastAsia" w:ascii="宋体" w:hAnsi="宋体" w:eastAsia="宋体" w:cs="宋体"/>
          <w:caps w:val="0"/>
          <w:smallCaps w:val="0"/>
          <w:color w:val="auto"/>
          <w:sz w:val="21"/>
          <w:szCs w:val="21"/>
          <w:highlight w:val="none"/>
          <w:lang w:val="zh-CN"/>
        </w:rPr>
        <w:t>复合调味</w:t>
      </w:r>
      <w:r>
        <w:rPr>
          <w:rFonts w:hint="eastAsia" w:ascii="宋体" w:hAnsi="宋体" w:eastAsia="宋体" w:cs="宋体"/>
          <w:caps w:val="0"/>
          <w:smallCaps w:val="0"/>
          <w:color w:val="auto"/>
          <w:sz w:val="21"/>
          <w:szCs w:val="21"/>
          <w:highlight w:val="none"/>
          <w:lang w:val="en-US" w:eastAsia="zh-CN"/>
        </w:rPr>
        <w:t>料</w:t>
      </w:r>
      <w:r>
        <w:rPr>
          <w:rFonts w:hint="eastAsia" w:ascii="宋体" w:hAnsi="宋体" w:eastAsia="宋体" w:cs="宋体"/>
          <w:caps w:val="0"/>
          <w:smallCaps w:val="0"/>
          <w:color w:val="auto"/>
          <w:sz w:val="21"/>
          <w:szCs w:val="21"/>
          <w:highlight w:val="none"/>
          <w:lang w:val="zh-CN"/>
        </w:rPr>
        <w:t>生产线</w:t>
      </w:r>
      <w:r>
        <w:rPr>
          <w:rFonts w:hint="eastAsia" w:ascii="宋体" w:hAnsi="宋体" w:cs="宋体"/>
          <w:caps w:val="0"/>
          <w:smallCaps w:val="0"/>
          <w:color w:val="auto"/>
          <w:sz w:val="21"/>
          <w:szCs w:val="21"/>
          <w:highlight w:val="none"/>
          <w:lang w:val="en-US" w:eastAsia="zh-CN"/>
        </w:rPr>
        <w:t>定制</w:t>
      </w:r>
      <w:r>
        <w:rPr>
          <w:rFonts w:hint="eastAsia" w:ascii="宋体" w:hAnsi="宋体" w:eastAsia="宋体" w:cs="宋体"/>
          <w:caps w:val="0"/>
          <w:smallCaps w:val="0"/>
          <w:color w:val="auto"/>
          <w:sz w:val="21"/>
          <w:szCs w:val="21"/>
          <w:highlight w:val="none"/>
          <w:lang w:val="zh-CN"/>
        </w:rPr>
        <w:t>设备要求</w:t>
      </w:r>
      <w:r>
        <w:rPr>
          <w:rFonts w:hint="default" w:ascii="宋体" w:hAnsi="宋体" w:eastAsia="宋体" w:cs="宋体"/>
          <w:caps w:val="0"/>
          <w:smallCaps w:val="0"/>
          <w:color w:val="auto"/>
          <w:sz w:val="21"/>
          <w:szCs w:val="21"/>
          <w:highlight w:val="none"/>
        </w:rPr>
        <w:t>采用目前国内外先进、可靠的工艺技术，自动化程度</w:t>
      </w:r>
      <w:r>
        <w:rPr>
          <w:rFonts w:hint="eastAsia" w:ascii="宋体" w:hAnsi="宋体" w:cs="宋体"/>
          <w:caps w:val="0"/>
          <w:smallCaps w:val="0"/>
          <w:color w:val="auto"/>
          <w:sz w:val="21"/>
          <w:szCs w:val="21"/>
          <w:highlight w:val="none"/>
          <w:lang w:val="en-US" w:eastAsia="zh-CN"/>
        </w:rPr>
        <w:t>先进</w:t>
      </w:r>
      <w:r>
        <w:rPr>
          <w:rFonts w:hint="default" w:ascii="宋体" w:hAnsi="宋体" w:eastAsia="宋体" w:cs="宋体"/>
          <w:caps w:val="0"/>
          <w:smallCaps w:val="0"/>
          <w:color w:val="auto"/>
          <w:sz w:val="21"/>
          <w:szCs w:val="21"/>
          <w:highlight w:val="none"/>
        </w:rPr>
        <w:t>、处理效率高，能实现长期达标</w:t>
      </w:r>
      <w:r>
        <w:rPr>
          <w:rFonts w:hint="eastAsia" w:ascii="宋体" w:hAnsi="宋体" w:cs="宋体"/>
          <w:caps w:val="0"/>
          <w:smallCaps w:val="0"/>
          <w:color w:val="auto"/>
          <w:sz w:val="21"/>
          <w:szCs w:val="21"/>
          <w:highlight w:val="none"/>
          <w:lang w:val="en-US" w:eastAsia="zh-CN"/>
        </w:rPr>
        <w:t>稳定</w:t>
      </w:r>
      <w:r>
        <w:rPr>
          <w:rFonts w:hint="default" w:ascii="宋体" w:hAnsi="宋体" w:eastAsia="宋体" w:cs="宋体"/>
          <w:caps w:val="0"/>
          <w:smallCaps w:val="0"/>
          <w:color w:val="auto"/>
          <w:sz w:val="21"/>
          <w:szCs w:val="21"/>
          <w:highlight w:val="none"/>
        </w:rPr>
        <w:t>运行</w:t>
      </w:r>
      <w:r>
        <w:rPr>
          <w:rFonts w:hint="eastAsia" w:ascii="宋体" w:hAnsi="宋体" w:cs="宋体"/>
          <w:caps w:val="0"/>
          <w:smallCaps w:val="0"/>
          <w:color w:val="auto"/>
          <w:sz w:val="21"/>
          <w:szCs w:val="21"/>
          <w:highlight w:val="none"/>
          <w:lang w:val="en-US" w:eastAsia="zh-CN"/>
        </w:rPr>
        <w:t>的</w:t>
      </w:r>
      <w:r>
        <w:rPr>
          <w:rFonts w:hint="default" w:ascii="宋体" w:hAnsi="宋体" w:eastAsia="宋体" w:cs="宋体"/>
          <w:caps w:val="0"/>
          <w:smallCaps w:val="0"/>
          <w:color w:val="auto"/>
          <w:sz w:val="21"/>
          <w:szCs w:val="21"/>
          <w:highlight w:val="none"/>
          <w:lang w:val="en-US" w:eastAsia="zh-CN"/>
        </w:rPr>
        <w:t>能力</w:t>
      </w:r>
      <w:r>
        <w:rPr>
          <w:rFonts w:hint="default" w:ascii="宋体" w:hAnsi="宋体" w:eastAsia="宋体" w:cs="宋体"/>
          <w:caps w:val="0"/>
          <w:smallCaps w:val="0"/>
          <w:color w:val="auto"/>
          <w:sz w:val="21"/>
          <w:szCs w:val="21"/>
          <w:highlight w:val="none"/>
          <w:lang w:val="zh-CN"/>
        </w:rPr>
        <w:t>。</w:t>
      </w:r>
      <w:r>
        <w:rPr>
          <w:rFonts w:hint="default" w:ascii="宋体" w:hAnsi="宋体" w:eastAsia="宋体" w:cs="宋体"/>
          <w:caps w:val="0"/>
          <w:smallCaps w:val="0"/>
          <w:color w:val="auto"/>
          <w:sz w:val="21"/>
          <w:szCs w:val="21"/>
          <w:highlight w:val="none"/>
        </w:rPr>
        <w:t>包括但不限于</w:t>
      </w:r>
      <w:r>
        <w:rPr>
          <w:rFonts w:hint="eastAsia" w:ascii="宋体" w:hAnsi="宋体" w:cs="宋体"/>
          <w:caps w:val="0"/>
          <w:smallCaps w:val="0"/>
          <w:color w:val="auto"/>
          <w:sz w:val="21"/>
          <w:szCs w:val="21"/>
          <w:highlight w:val="none"/>
          <w:lang w:eastAsia="zh-CN"/>
        </w:rPr>
        <w:t>投标人</w:t>
      </w:r>
      <w:r>
        <w:rPr>
          <w:rFonts w:hint="default" w:ascii="宋体" w:hAnsi="宋体" w:eastAsia="宋体" w:cs="宋体"/>
          <w:caps w:val="0"/>
          <w:smallCaps w:val="0"/>
          <w:color w:val="auto"/>
          <w:sz w:val="21"/>
          <w:szCs w:val="21"/>
          <w:highlight w:val="none"/>
        </w:rPr>
        <w:t>承担</w:t>
      </w:r>
      <w:r>
        <w:rPr>
          <w:rFonts w:hint="default" w:ascii="宋体" w:hAnsi="宋体" w:eastAsia="宋体" w:cs="宋体"/>
          <w:caps w:val="0"/>
          <w:smallCaps w:val="0"/>
          <w:color w:val="auto"/>
          <w:sz w:val="21"/>
          <w:szCs w:val="21"/>
          <w:highlight w:val="none"/>
          <w:lang w:val="en-US" w:eastAsia="zh-CN"/>
        </w:rPr>
        <w:t>设备采购及安装</w:t>
      </w:r>
      <w:r>
        <w:rPr>
          <w:rFonts w:hint="default" w:ascii="宋体" w:hAnsi="宋体" w:eastAsia="宋体" w:cs="宋体"/>
          <w:caps w:val="0"/>
          <w:smallCaps w:val="0"/>
          <w:color w:val="auto"/>
          <w:sz w:val="21"/>
          <w:szCs w:val="21"/>
          <w:highlight w:val="none"/>
        </w:rPr>
        <w:t>工程的设计、制造、采购、运输</w:t>
      </w:r>
      <w:r>
        <w:rPr>
          <w:rFonts w:hint="eastAsia" w:ascii="宋体" w:hAnsi="宋体"/>
          <w:snapToGrid w:val="0"/>
          <w:color w:val="auto"/>
          <w:kern w:val="0"/>
          <w:sz w:val="21"/>
          <w:szCs w:val="21"/>
          <w:highlight w:val="none"/>
          <w:u w:val="none"/>
          <w:lang w:val="en-US" w:eastAsia="zh-CN"/>
        </w:rPr>
        <w:t>（含包装、装卸、保险、二次或多次转运）</w:t>
      </w:r>
      <w:r>
        <w:rPr>
          <w:rFonts w:hint="default" w:ascii="宋体" w:hAnsi="宋体" w:eastAsia="宋体" w:cs="宋体"/>
          <w:caps w:val="0"/>
          <w:smallCaps w:val="0"/>
          <w:color w:val="auto"/>
          <w:sz w:val="21"/>
          <w:szCs w:val="21"/>
          <w:highlight w:val="none"/>
        </w:rPr>
        <w:t>、储存、施工、安装</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i w:val="0"/>
          <w:iCs w:val="0"/>
          <w:caps w:val="0"/>
          <w:color w:val="auto"/>
          <w:spacing w:val="0"/>
          <w:sz w:val="21"/>
          <w:szCs w:val="21"/>
          <w:shd w:val="clear" w:color="auto" w:fill="FFFFFF"/>
          <w:lang w:val="en-US" w:eastAsia="zh-CN"/>
        </w:rPr>
        <w:t>含</w:t>
      </w:r>
      <w:r>
        <w:rPr>
          <w:rFonts w:hint="eastAsia" w:ascii="宋体" w:hAnsi="宋体" w:eastAsia="宋体" w:cs="宋体"/>
          <w:i w:val="0"/>
          <w:iCs w:val="0"/>
          <w:caps w:val="0"/>
          <w:color w:val="auto"/>
          <w:spacing w:val="0"/>
          <w:sz w:val="21"/>
          <w:szCs w:val="21"/>
          <w:shd w:val="clear" w:color="auto" w:fill="FFFFFF"/>
        </w:rPr>
        <w:t>设备基础、开洞、开沟、封堵</w:t>
      </w:r>
      <w:r>
        <w:rPr>
          <w:rFonts w:hint="eastAsia" w:ascii="宋体" w:hAnsi="宋体" w:eastAsia="宋体" w:cs="宋体"/>
          <w:i w:val="0"/>
          <w:iCs w:val="0"/>
          <w:caps w:val="0"/>
          <w:color w:val="auto"/>
          <w:spacing w:val="0"/>
          <w:sz w:val="21"/>
          <w:szCs w:val="21"/>
          <w:shd w:val="clear" w:color="auto" w:fill="FFFFFF"/>
          <w:lang w:eastAsia="zh-CN"/>
        </w:rPr>
        <w:t>、</w:t>
      </w:r>
      <w:r>
        <w:rPr>
          <w:rFonts w:hint="eastAsia" w:ascii="宋体" w:hAnsi="宋体" w:eastAsia="宋体" w:cs="宋体"/>
          <w:i w:val="0"/>
          <w:iCs w:val="0"/>
          <w:caps w:val="0"/>
          <w:color w:val="auto"/>
          <w:spacing w:val="0"/>
          <w:sz w:val="21"/>
          <w:szCs w:val="21"/>
          <w:shd w:val="clear" w:color="auto" w:fill="FFFFFF"/>
          <w:lang w:val="en-US" w:eastAsia="zh-CN"/>
        </w:rPr>
        <w:t>室外防护</w:t>
      </w:r>
      <w:r>
        <w:rPr>
          <w:rFonts w:hint="eastAsia" w:ascii="宋体" w:hAnsi="宋体" w:eastAsia="宋体" w:cs="宋体"/>
          <w:i w:val="0"/>
          <w:iCs w:val="0"/>
          <w:caps w:val="0"/>
          <w:color w:val="auto"/>
          <w:spacing w:val="0"/>
          <w:sz w:val="21"/>
          <w:szCs w:val="21"/>
          <w:shd w:val="clear" w:color="auto" w:fill="FFFFFF"/>
        </w:rPr>
        <w:t>等</w:t>
      </w:r>
      <w:r>
        <w:rPr>
          <w:rFonts w:hint="eastAsia" w:ascii="宋体" w:hAnsi="宋体" w:eastAsia="宋体" w:cs="宋体"/>
          <w:color w:val="auto"/>
          <w:kern w:val="0"/>
          <w:sz w:val="21"/>
          <w:szCs w:val="21"/>
          <w:highlight w:val="none"/>
          <w:u w:val="none"/>
          <w:lang w:val="en-US" w:eastAsia="zh-CN"/>
        </w:rPr>
        <w:t>）</w:t>
      </w:r>
      <w:r>
        <w:rPr>
          <w:rFonts w:hint="default" w:ascii="宋体" w:hAnsi="宋体" w:eastAsia="宋体" w:cs="宋体"/>
          <w:caps w:val="0"/>
          <w:smallCaps w:val="0"/>
          <w:color w:val="auto"/>
          <w:sz w:val="21"/>
          <w:szCs w:val="21"/>
          <w:highlight w:val="none"/>
        </w:rPr>
        <w:t>、调试、</w:t>
      </w:r>
      <w:r>
        <w:rPr>
          <w:rFonts w:hint="eastAsia" w:ascii="宋体" w:hAnsi="宋体" w:cs="宋体"/>
          <w:caps w:val="0"/>
          <w:smallCaps w:val="0"/>
          <w:color w:val="auto"/>
          <w:sz w:val="21"/>
          <w:szCs w:val="21"/>
          <w:highlight w:val="none"/>
          <w:lang w:val="en-US" w:eastAsia="zh-CN"/>
        </w:rPr>
        <w:t>检测（含第三方检测）、</w:t>
      </w:r>
      <w:r>
        <w:rPr>
          <w:rFonts w:hint="default" w:ascii="宋体" w:hAnsi="宋体" w:eastAsia="宋体" w:cs="宋体"/>
          <w:caps w:val="0"/>
          <w:smallCaps w:val="0"/>
          <w:color w:val="auto"/>
          <w:sz w:val="21"/>
          <w:szCs w:val="21"/>
          <w:highlight w:val="none"/>
        </w:rPr>
        <w:t>试运行</w:t>
      </w:r>
      <w:r>
        <w:rPr>
          <w:rFonts w:hint="default" w:ascii="宋体" w:hAnsi="宋体" w:eastAsia="宋体" w:cs="宋体"/>
          <w:caps w:val="0"/>
          <w:smallCaps w:val="0"/>
          <w:color w:val="auto"/>
          <w:sz w:val="21"/>
          <w:szCs w:val="21"/>
          <w:highlight w:val="none"/>
          <w:lang w:eastAsia="zh-CN"/>
        </w:rPr>
        <w:t>、</w:t>
      </w:r>
      <w:r>
        <w:rPr>
          <w:rFonts w:hint="default" w:ascii="宋体" w:hAnsi="宋体" w:eastAsia="宋体" w:cs="宋体"/>
          <w:caps w:val="0"/>
          <w:smallCaps w:val="0"/>
          <w:color w:val="auto"/>
          <w:sz w:val="21"/>
          <w:szCs w:val="21"/>
          <w:highlight w:val="none"/>
        </w:rPr>
        <w:t>国家相关部门的验收、试验检</w:t>
      </w:r>
      <w:r>
        <w:rPr>
          <w:rFonts w:hint="eastAsia" w:ascii="宋体" w:hAnsi="宋体" w:cs="宋体"/>
          <w:caps w:val="0"/>
          <w:smallCaps w:val="0"/>
          <w:color w:val="auto"/>
          <w:sz w:val="21"/>
          <w:szCs w:val="21"/>
          <w:highlight w:val="none"/>
          <w:lang w:val="en-US" w:eastAsia="zh-CN"/>
        </w:rPr>
        <w:t>验</w:t>
      </w:r>
      <w:r>
        <w:rPr>
          <w:rFonts w:hint="default" w:ascii="宋体" w:hAnsi="宋体" w:eastAsia="宋体" w:cs="宋体"/>
          <w:caps w:val="0"/>
          <w:smallCaps w:val="0"/>
          <w:color w:val="auto"/>
          <w:sz w:val="21"/>
          <w:szCs w:val="21"/>
          <w:highlight w:val="none"/>
        </w:rPr>
        <w:t>和最终交付等所有工作，以及专用工具、技术服务（含参与性能试验、外方技术服务、培训等）等方面的技术要求，所有的费用均包含在总报价中。</w:t>
      </w:r>
    </w:p>
    <w:p w14:paraId="25F11085">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zh-CN"/>
        </w:rPr>
      </w:pPr>
      <w:r>
        <w:rPr>
          <w:rFonts w:hint="default" w:ascii="宋体" w:hAnsi="宋体" w:eastAsia="宋体" w:cs="宋体"/>
          <w:caps w:val="0"/>
          <w:smallCaps w:val="0"/>
          <w:color w:val="auto"/>
          <w:sz w:val="21"/>
          <w:szCs w:val="21"/>
          <w:highlight w:val="none"/>
        </w:rPr>
        <w:t>3</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招标人</w:t>
      </w:r>
      <w:r>
        <w:rPr>
          <w:rFonts w:hint="default" w:ascii="宋体" w:hAnsi="宋体" w:eastAsia="宋体" w:cs="宋体"/>
          <w:caps w:val="0"/>
          <w:smallCaps w:val="0"/>
          <w:color w:val="auto"/>
          <w:sz w:val="21"/>
          <w:szCs w:val="21"/>
          <w:highlight w:val="none"/>
          <w:lang w:val="zh-CN"/>
        </w:rPr>
        <w:t>在本</w:t>
      </w:r>
      <w:r>
        <w:rPr>
          <w:rFonts w:hint="default" w:ascii="宋体" w:hAnsi="宋体" w:eastAsia="宋体" w:cs="宋体"/>
          <w:caps w:val="0"/>
          <w:smallCaps w:val="0"/>
          <w:color w:val="auto"/>
          <w:sz w:val="21"/>
          <w:szCs w:val="21"/>
          <w:highlight w:val="none"/>
        </w:rPr>
        <w:t>技术文件</w:t>
      </w:r>
      <w:r>
        <w:rPr>
          <w:rFonts w:hint="default" w:ascii="宋体" w:hAnsi="宋体" w:eastAsia="宋体" w:cs="宋体"/>
          <w:caps w:val="0"/>
          <w:smallCaps w:val="0"/>
          <w:color w:val="auto"/>
          <w:sz w:val="21"/>
          <w:szCs w:val="21"/>
          <w:highlight w:val="none"/>
          <w:lang w:val="zh-CN"/>
        </w:rPr>
        <w:t>中提出了最低限度的技术要求</w:t>
      </w:r>
      <w:r>
        <w:rPr>
          <w:rFonts w:hint="default" w:ascii="宋体" w:hAnsi="宋体" w:eastAsia="宋体" w:cs="宋体"/>
          <w:caps w:val="0"/>
          <w:smallCaps w:val="0"/>
          <w:color w:val="auto"/>
          <w:sz w:val="21"/>
          <w:szCs w:val="21"/>
          <w:highlight w:val="none"/>
          <w:lang w:val="en-US" w:eastAsia="zh-CN"/>
        </w:rPr>
        <w:t>和数量要求，最终设备数量和技术参数以</w:t>
      </w:r>
      <w:r>
        <w:rPr>
          <w:rFonts w:hint="eastAsia" w:ascii="宋体" w:hAnsi="宋体" w:cs="宋体"/>
          <w:caps w:val="0"/>
          <w:smallCaps w:val="0"/>
          <w:color w:val="auto"/>
          <w:sz w:val="21"/>
          <w:szCs w:val="21"/>
          <w:highlight w:val="none"/>
          <w:lang w:val="en-US" w:eastAsia="zh-CN"/>
        </w:rPr>
        <w:t>招标人</w:t>
      </w:r>
      <w:r>
        <w:rPr>
          <w:rFonts w:hint="default" w:ascii="宋体" w:hAnsi="宋体" w:eastAsia="宋体" w:cs="宋体"/>
          <w:caps w:val="0"/>
          <w:smallCaps w:val="0"/>
          <w:color w:val="auto"/>
          <w:sz w:val="21"/>
          <w:szCs w:val="21"/>
          <w:highlight w:val="none"/>
          <w:lang w:val="en-US" w:eastAsia="zh-CN"/>
        </w:rPr>
        <w:t>确认的设计方案及技术协议</w:t>
      </w:r>
      <w:r>
        <w:rPr>
          <w:rFonts w:hint="eastAsia" w:ascii="宋体" w:hAnsi="宋体" w:cs="宋体"/>
          <w:caps w:val="0"/>
          <w:smallCaps w:val="0"/>
          <w:color w:val="auto"/>
          <w:sz w:val="21"/>
          <w:szCs w:val="21"/>
          <w:highlight w:val="none"/>
          <w:lang w:val="en-US" w:eastAsia="zh-CN"/>
        </w:rPr>
        <w:t>为准。</w:t>
      </w:r>
      <w:r>
        <w:rPr>
          <w:rFonts w:hint="default" w:ascii="宋体" w:hAnsi="宋体" w:eastAsia="宋体" w:cs="宋体"/>
          <w:caps w:val="0"/>
          <w:smallCaps w:val="0"/>
          <w:color w:val="auto"/>
          <w:sz w:val="21"/>
          <w:szCs w:val="21"/>
          <w:highlight w:val="none"/>
          <w:lang w:val="zh-CN"/>
        </w:rPr>
        <w:t>不因本技术文件未说明而不保证设备功能的完整性，</w:t>
      </w:r>
      <w:r>
        <w:rPr>
          <w:rFonts w:hint="eastAsia" w:ascii="宋体" w:hAnsi="宋体" w:cs="宋体"/>
          <w:caps w:val="0"/>
          <w:smallCaps w:val="0"/>
          <w:color w:val="auto"/>
          <w:sz w:val="21"/>
          <w:szCs w:val="21"/>
          <w:highlight w:val="none"/>
          <w:lang w:val="zh-CN"/>
        </w:rPr>
        <w:t>投标人</w:t>
      </w:r>
      <w:r>
        <w:rPr>
          <w:rFonts w:hint="default" w:ascii="宋体" w:hAnsi="宋体" w:eastAsia="宋体" w:cs="宋体"/>
          <w:caps w:val="0"/>
          <w:smallCaps w:val="0"/>
          <w:color w:val="auto"/>
          <w:sz w:val="21"/>
          <w:szCs w:val="21"/>
          <w:highlight w:val="none"/>
          <w:lang w:val="zh-CN"/>
        </w:rPr>
        <w:t>应提供满足本技术文件和所列标准要求的高质量产品及其相应服务，</w:t>
      </w:r>
      <w:r>
        <w:rPr>
          <w:rFonts w:hint="eastAsia" w:ascii="宋体" w:hAnsi="宋体" w:cs="宋体"/>
          <w:caps w:val="0"/>
          <w:smallCaps w:val="0"/>
          <w:color w:val="auto"/>
          <w:sz w:val="21"/>
          <w:szCs w:val="21"/>
          <w:highlight w:val="none"/>
          <w:lang w:val="en-US" w:eastAsia="zh-CN"/>
        </w:rPr>
        <w:t>应满足</w:t>
      </w:r>
      <w:r>
        <w:rPr>
          <w:rFonts w:hint="default" w:ascii="宋体" w:hAnsi="宋体" w:eastAsia="宋体" w:cs="宋体"/>
          <w:caps w:val="0"/>
          <w:smallCaps w:val="0"/>
          <w:color w:val="auto"/>
          <w:sz w:val="21"/>
          <w:szCs w:val="21"/>
          <w:highlight w:val="none"/>
          <w:lang w:val="zh-CN"/>
        </w:rPr>
        <w:t>国家有关</w:t>
      </w:r>
      <w:r>
        <w:rPr>
          <w:rFonts w:hint="default" w:ascii="宋体" w:hAnsi="宋体" w:eastAsia="宋体" w:cs="宋体"/>
          <w:caps w:val="0"/>
          <w:smallCaps w:val="0"/>
          <w:color w:val="auto"/>
          <w:sz w:val="21"/>
          <w:szCs w:val="21"/>
          <w:highlight w:val="none"/>
        </w:rPr>
        <w:t>安全、消防、节能、环保、职业卫生</w:t>
      </w:r>
      <w:r>
        <w:rPr>
          <w:rFonts w:hint="default" w:ascii="宋体" w:hAnsi="宋体" w:eastAsia="宋体" w:cs="宋体"/>
          <w:caps w:val="0"/>
          <w:smallCaps w:val="0"/>
          <w:color w:val="auto"/>
          <w:sz w:val="21"/>
          <w:szCs w:val="21"/>
          <w:highlight w:val="none"/>
          <w:lang w:eastAsia="zh-CN"/>
        </w:rPr>
        <w:t>、</w:t>
      </w:r>
      <w:r>
        <w:rPr>
          <w:rFonts w:hint="default" w:ascii="宋体" w:hAnsi="宋体" w:eastAsia="宋体" w:cs="宋体"/>
          <w:caps w:val="0"/>
          <w:smallCaps w:val="0"/>
          <w:color w:val="auto"/>
          <w:sz w:val="21"/>
          <w:szCs w:val="21"/>
          <w:highlight w:val="none"/>
          <w:lang w:val="en-US" w:eastAsia="zh-CN"/>
        </w:rPr>
        <w:t>食品卫生</w:t>
      </w:r>
      <w:r>
        <w:rPr>
          <w:rFonts w:hint="default" w:ascii="宋体" w:hAnsi="宋体" w:eastAsia="宋体" w:cs="宋体"/>
          <w:caps w:val="0"/>
          <w:smallCaps w:val="0"/>
          <w:color w:val="auto"/>
          <w:sz w:val="21"/>
          <w:szCs w:val="21"/>
          <w:highlight w:val="none"/>
          <w:lang w:val="zh-CN"/>
        </w:rPr>
        <w:t>等标准</w:t>
      </w:r>
      <w:r>
        <w:rPr>
          <w:rFonts w:hint="eastAsia" w:ascii="宋体" w:hAnsi="宋体" w:cs="宋体"/>
          <w:caps w:val="0"/>
          <w:smallCaps w:val="0"/>
          <w:color w:val="auto"/>
          <w:sz w:val="21"/>
          <w:szCs w:val="21"/>
          <w:highlight w:val="none"/>
          <w:lang w:val="en-US" w:eastAsia="zh-CN"/>
        </w:rPr>
        <w:t>或</w:t>
      </w:r>
      <w:r>
        <w:rPr>
          <w:rFonts w:hint="default" w:ascii="宋体" w:hAnsi="宋体" w:eastAsia="宋体" w:cs="宋体"/>
          <w:caps w:val="0"/>
          <w:smallCaps w:val="0"/>
          <w:color w:val="auto"/>
          <w:sz w:val="21"/>
          <w:szCs w:val="21"/>
          <w:highlight w:val="none"/>
          <w:lang w:val="zh-CN"/>
        </w:rPr>
        <w:t>规定满足其要求，同时还应满足</w:t>
      </w:r>
      <w:r>
        <w:rPr>
          <w:rFonts w:hint="default" w:ascii="宋体" w:hAnsi="宋体" w:eastAsia="宋体" w:cs="宋体"/>
          <w:caps w:val="0"/>
          <w:smallCaps w:val="0"/>
          <w:color w:val="auto"/>
          <w:sz w:val="21"/>
          <w:szCs w:val="21"/>
          <w:highlight w:val="none"/>
          <w:lang w:val="en-US" w:eastAsia="zh-CN"/>
        </w:rPr>
        <w:t>本</w:t>
      </w:r>
      <w:r>
        <w:rPr>
          <w:rFonts w:hint="default" w:ascii="宋体" w:hAnsi="宋体" w:eastAsia="宋体" w:cs="宋体"/>
          <w:caps w:val="0"/>
          <w:smallCaps w:val="0"/>
          <w:color w:val="auto"/>
          <w:sz w:val="21"/>
          <w:szCs w:val="21"/>
          <w:highlight w:val="none"/>
          <w:lang w:val="zh-CN"/>
        </w:rPr>
        <w:t>技术文件相关要求。</w:t>
      </w:r>
    </w:p>
    <w:p w14:paraId="13A85F77">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default" w:ascii="宋体" w:hAnsi="宋体" w:eastAsia="宋体" w:cs="宋体"/>
          <w:caps w:val="0"/>
          <w:smallCaps w:val="0"/>
          <w:color w:val="auto"/>
          <w:sz w:val="21"/>
          <w:szCs w:val="21"/>
          <w:highlight w:val="none"/>
        </w:rPr>
        <w:t>4</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投标人</w:t>
      </w:r>
      <w:r>
        <w:rPr>
          <w:rFonts w:hint="default" w:ascii="宋体" w:hAnsi="宋体" w:eastAsia="宋体" w:cs="宋体"/>
          <w:caps w:val="0"/>
          <w:smallCaps w:val="0"/>
          <w:color w:val="auto"/>
          <w:sz w:val="21"/>
          <w:szCs w:val="21"/>
          <w:highlight w:val="none"/>
          <w:lang w:val="zh-CN"/>
        </w:rPr>
        <w:t>应根据</w:t>
      </w:r>
      <w:r>
        <w:rPr>
          <w:rFonts w:hint="eastAsia" w:ascii="宋体" w:hAnsi="宋体" w:cs="宋体"/>
          <w:caps w:val="0"/>
          <w:smallCaps w:val="0"/>
          <w:color w:val="auto"/>
          <w:sz w:val="21"/>
          <w:szCs w:val="21"/>
          <w:highlight w:val="none"/>
          <w:lang w:val="zh-CN"/>
        </w:rPr>
        <w:t>招标人</w:t>
      </w:r>
      <w:r>
        <w:rPr>
          <w:rFonts w:hint="default" w:ascii="宋体" w:hAnsi="宋体" w:eastAsia="宋体" w:cs="宋体"/>
          <w:caps w:val="0"/>
          <w:smallCaps w:val="0"/>
          <w:color w:val="auto"/>
          <w:sz w:val="21"/>
          <w:szCs w:val="21"/>
          <w:highlight w:val="none"/>
          <w:lang w:val="zh-CN"/>
        </w:rPr>
        <w:t>提供的</w:t>
      </w:r>
      <w:r>
        <w:rPr>
          <w:rFonts w:hint="eastAsia" w:ascii="宋体" w:hAnsi="宋体" w:eastAsia="宋体" w:cs="宋体"/>
          <w:caps w:val="0"/>
          <w:smallCaps w:val="0"/>
          <w:color w:val="auto"/>
          <w:sz w:val="21"/>
          <w:szCs w:val="21"/>
          <w:highlight w:val="none"/>
          <w:lang w:val="zh-CN"/>
        </w:rPr>
        <w:t>生产区平面布局</w:t>
      </w:r>
      <w:r>
        <w:rPr>
          <w:rFonts w:hint="default" w:ascii="宋体" w:hAnsi="宋体" w:eastAsia="宋体" w:cs="宋体"/>
          <w:caps w:val="0"/>
          <w:smallCaps w:val="0"/>
          <w:color w:val="auto"/>
          <w:sz w:val="21"/>
          <w:szCs w:val="21"/>
          <w:highlight w:val="none"/>
          <w:lang w:val="zh-CN"/>
        </w:rPr>
        <w:t>、技术要求和现场限定</w:t>
      </w:r>
      <w:r>
        <w:rPr>
          <w:rFonts w:hint="eastAsia" w:ascii="宋体" w:hAnsi="宋体" w:eastAsia="宋体" w:cs="宋体"/>
          <w:caps w:val="0"/>
          <w:smallCaps w:val="0"/>
          <w:color w:val="auto"/>
          <w:sz w:val="21"/>
          <w:szCs w:val="21"/>
          <w:highlight w:val="none"/>
          <w:lang w:val="zh-CN"/>
        </w:rPr>
        <w:t>的条件</w:t>
      </w:r>
      <w:r>
        <w:rPr>
          <w:rFonts w:hint="eastAsia" w:ascii="宋体" w:hAnsi="宋体" w:eastAsia="宋体" w:cs="宋体"/>
          <w:caps w:val="0"/>
          <w:smallCaps w:val="0"/>
          <w:color w:val="auto"/>
          <w:sz w:val="21"/>
          <w:szCs w:val="21"/>
          <w:highlight w:val="none"/>
          <w:lang w:val="en-US" w:eastAsia="zh-CN"/>
        </w:rPr>
        <w:t>自行前往勘察</w:t>
      </w:r>
      <w:r>
        <w:rPr>
          <w:rFonts w:hint="eastAsia" w:ascii="宋体" w:hAnsi="宋体" w:eastAsia="宋体" w:cs="宋体"/>
          <w:caps w:val="0"/>
          <w:smallCaps w:val="0"/>
          <w:color w:val="auto"/>
          <w:sz w:val="21"/>
          <w:szCs w:val="21"/>
          <w:highlight w:val="none"/>
          <w:lang w:val="zh-CN"/>
        </w:rPr>
        <w:t>，并结合自身经验，合理选择其供货范围内的设备和</w:t>
      </w:r>
      <w:r>
        <w:rPr>
          <w:rFonts w:hint="eastAsia" w:ascii="宋体" w:hAnsi="宋体" w:cs="宋体"/>
          <w:caps w:val="0"/>
          <w:smallCaps w:val="0"/>
          <w:color w:val="auto"/>
          <w:sz w:val="21"/>
          <w:szCs w:val="21"/>
          <w:highlight w:val="none"/>
          <w:lang w:val="en-US" w:eastAsia="zh-CN"/>
        </w:rPr>
        <w:t>材质</w:t>
      </w:r>
      <w:r>
        <w:rPr>
          <w:rFonts w:hint="eastAsia" w:ascii="宋体" w:hAnsi="宋体" w:eastAsia="宋体" w:cs="宋体"/>
          <w:caps w:val="0"/>
          <w:smallCaps w:val="0"/>
          <w:color w:val="auto"/>
          <w:sz w:val="21"/>
          <w:szCs w:val="21"/>
          <w:highlight w:val="none"/>
          <w:lang w:val="zh-CN"/>
        </w:rPr>
        <w:t>，保证</w:t>
      </w:r>
      <w:r>
        <w:rPr>
          <w:rFonts w:hint="eastAsia" w:ascii="宋体" w:hAnsi="宋体" w:eastAsia="宋体" w:cs="宋体"/>
          <w:caps w:val="0"/>
          <w:smallCaps w:val="0"/>
          <w:color w:val="auto"/>
          <w:sz w:val="21"/>
          <w:szCs w:val="21"/>
          <w:highlight w:val="none"/>
          <w:lang w:val="en-US" w:eastAsia="zh-CN"/>
        </w:rPr>
        <w:t>满足</w:t>
      </w:r>
      <w:r>
        <w:rPr>
          <w:rFonts w:hint="eastAsia" w:ascii="宋体" w:hAnsi="宋体" w:eastAsia="宋体" w:cs="宋体"/>
          <w:caps w:val="0"/>
          <w:smallCaps w:val="0"/>
          <w:color w:val="auto"/>
          <w:sz w:val="21"/>
          <w:szCs w:val="21"/>
          <w:highlight w:val="none"/>
          <w:lang w:val="zh-CN"/>
        </w:rPr>
        <w:t>其性能指标和系统运行安全</w:t>
      </w:r>
      <w:r>
        <w:rPr>
          <w:rFonts w:hint="eastAsia" w:ascii="宋体" w:hAnsi="宋体" w:cs="宋体"/>
          <w:caps w:val="0"/>
          <w:smallCaps w:val="0"/>
          <w:color w:val="auto"/>
          <w:sz w:val="21"/>
          <w:szCs w:val="21"/>
          <w:highlight w:val="none"/>
          <w:lang w:val="zh-CN"/>
        </w:rPr>
        <w:t>、</w:t>
      </w:r>
      <w:r>
        <w:rPr>
          <w:rFonts w:hint="eastAsia" w:ascii="宋体" w:hAnsi="宋体" w:cs="宋体"/>
          <w:caps w:val="0"/>
          <w:smallCaps w:val="0"/>
          <w:color w:val="auto"/>
          <w:sz w:val="21"/>
          <w:szCs w:val="21"/>
          <w:highlight w:val="none"/>
          <w:lang w:val="en-US" w:eastAsia="zh-CN"/>
        </w:rPr>
        <w:t>稳定、</w:t>
      </w:r>
      <w:r>
        <w:rPr>
          <w:rFonts w:hint="eastAsia" w:ascii="宋体" w:hAnsi="宋体" w:eastAsia="宋体" w:cs="宋体"/>
          <w:caps w:val="0"/>
          <w:smallCaps w:val="0"/>
          <w:color w:val="auto"/>
          <w:sz w:val="21"/>
          <w:szCs w:val="21"/>
          <w:highlight w:val="none"/>
          <w:lang w:val="zh-CN"/>
        </w:rPr>
        <w:t>可靠</w:t>
      </w:r>
      <w:r>
        <w:rPr>
          <w:rFonts w:hint="eastAsia" w:ascii="宋体" w:hAnsi="宋体" w:cs="宋体"/>
          <w:caps w:val="0"/>
          <w:smallCaps w:val="0"/>
          <w:color w:val="auto"/>
          <w:sz w:val="21"/>
          <w:szCs w:val="21"/>
          <w:highlight w:val="none"/>
          <w:lang w:val="zh-CN"/>
        </w:rPr>
        <w:t>。</w:t>
      </w:r>
      <w:r>
        <w:rPr>
          <w:rFonts w:hint="eastAsia" w:ascii="宋体" w:hAnsi="宋体" w:eastAsia="宋体" w:cs="宋体"/>
          <w:caps w:val="0"/>
          <w:smallCaps w:val="0"/>
          <w:color w:val="auto"/>
          <w:sz w:val="21"/>
          <w:szCs w:val="21"/>
          <w:highlight w:val="none"/>
          <w:lang w:val="zh-CN"/>
        </w:rPr>
        <w:t>在此基础上应尽可能降低投资、运行费用</w:t>
      </w:r>
      <w:r>
        <w:rPr>
          <w:rFonts w:hint="eastAsia" w:ascii="宋体" w:hAnsi="宋体" w:cs="宋体"/>
          <w:caps w:val="0"/>
          <w:smallCaps w:val="0"/>
          <w:color w:val="auto"/>
          <w:sz w:val="21"/>
          <w:szCs w:val="21"/>
          <w:highlight w:val="none"/>
          <w:lang w:val="en-US" w:eastAsia="zh-CN"/>
        </w:rPr>
        <w:t>等</w:t>
      </w:r>
      <w:r>
        <w:rPr>
          <w:rFonts w:hint="eastAsia" w:ascii="宋体" w:hAnsi="宋体" w:eastAsia="宋体" w:cs="宋体"/>
          <w:caps w:val="0"/>
          <w:smallCaps w:val="0"/>
          <w:color w:val="auto"/>
          <w:sz w:val="21"/>
          <w:szCs w:val="21"/>
          <w:highlight w:val="none"/>
          <w:lang w:val="zh-CN"/>
        </w:rPr>
        <w:t>。</w:t>
      </w:r>
    </w:p>
    <w:p w14:paraId="38A943CE">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5</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所提供的工艺技术必须是成功进行</w:t>
      </w:r>
      <w:r>
        <w:rPr>
          <w:rFonts w:hint="eastAsia" w:ascii="宋体" w:hAnsi="宋体" w:eastAsia="宋体" w:cs="宋体"/>
          <w:caps w:val="0"/>
          <w:smallCaps w:val="0"/>
          <w:color w:val="auto"/>
          <w:sz w:val="21"/>
          <w:szCs w:val="21"/>
          <w:highlight w:val="none"/>
          <w:lang w:val="en-US" w:eastAsia="zh-CN"/>
        </w:rPr>
        <w:t>过</w:t>
      </w:r>
      <w:r>
        <w:rPr>
          <w:rFonts w:hint="eastAsia" w:ascii="宋体" w:hAnsi="宋体" w:eastAsia="宋体" w:cs="宋体"/>
          <w:caps w:val="0"/>
          <w:smallCaps w:val="0"/>
          <w:color w:val="auto"/>
          <w:sz w:val="21"/>
          <w:szCs w:val="21"/>
          <w:highlight w:val="none"/>
          <w:lang w:val="zh-CN"/>
        </w:rPr>
        <w:t>工业化</w:t>
      </w:r>
      <w:r>
        <w:rPr>
          <w:rFonts w:hint="eastAsia" w:ascii="宋体" w:hAnsi="宋体" w:eastAsia="宋体" w:cs="宋体"/>
          <w:caps w:val="0"/>
          <w:smallCaps w:val="0"/>
          <w:color w:val="auto"/>
          <w:sz w:val="21"/>
          <w:szCs w:val="21"/>
          <w:highlight w:val="none"/>
          <w:lang w:val="en-US" w:eastAsia="zh-CN"/>
        </w:rPr>
        <w:t>落地</w:t>
      </w:r>
      <w:r>
        <w:rPr>
          <w:rFonts w:hint="eastAsia" w:ascii="宋体" w:hAnsi="宋体" w:eastAsia="宋体" w:cs="宋体"/>
          <w:caps w:val="0"/>
          <w:smallCaps w:val="0"/>
          <w:color w:val="auto"/>
          <w:sz w:val="21"/>
          <w:szCs w:val="21"/>
          <w:highlight w:val="none"/>
          <w:lang w:val="zh-CN"/>
        </w:rPr>
        <w:t>的，</w:t>
      </w:r>
      <w:r>
        <w:rPr>
          <w:rFonts w:hint="eastAsia" w:ascii="宋体" w:hAnsi="宋体" w:eastAsia="宋体" w:cs="宋体"/>
          <w:caps w:val="0"/>
          <w:smallCaps w:val="0"/>
          <w:color w:val="auto"/>
          <w:sz w:val="21"/>
          <w:szCs w:val="21"/>
          <w:highlight w:val="none"/>
          <w:lang w:val="en-US" w:eastAsia="zh-CN"/>
        </w:rPr>
        <w:t>能够</w:t>
      </w:r>
      <w:r>
        <w:rPr>
          <w:rFonts w:hint="eastAsia" w:ascii="宋体" w:hAnsi="宋体" w:eastAsia="宋体" w:cs="宋体"/>
          <w:caps w:val="0"/>
          <w:smallCaps w:val="0"/>
          <w:color w:val="auto"/>
          <w:sz w:val="21"/>
          <w:szCs w:val="21"/>
          <w:highlight w:val="none"/>
          <w:lang w:val="zh-CN"/>
        </w:rPr>
        <w:t>满负荷、连续稳定</w:t>
      </w:r>
      <w:r>
        <w:rPr>
          <w:rFonts w:hint="eastAsia" w:ascii="宋体" w:hAnsi="宋体" w:cs="宋体"/>
          <w:caps w:val="0"/>
          <w:smallCaps w:val="0"/>
          <w:color w:val="auto"/>
          <w:sz w:val="21"/>
          <w:szCs w:val="21"/>
          <w:highlight w:val="none"/>
          <w:lang w:val="en-US" w:eastAsia="zh-CN"/>
        </w:rPr>
        <w:t>、安全</w:t>
      </w:r>
      <w:r>
        <w:rPr>
          <w:rFonts w:hint="eastAsia" w:ascii="宋体" w:hAnsi="宋体" w:eastAsia="宋体" w:cs="宋体"/>
          <w:caps w:val="0"/>
          <w:smallCaps w:val="0"/>
          <w:color w:val="auto"/>
          <w:sz w:val="21"/>
          <w:szCs w:val="21"/>
          <w:highlight w:val="none"/>
          <w:lang w:val="zh-CN"/>
        </w:rPr>
        <w:t>的成熟技术。</w:t>
      </w:r>
    </w:p>
    <w:p w14:paraId="44241344">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6</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双方有义务保护其中一方的知识产权，必须承诺对拥有知识产权一方提供的技术文件资料负责保密，不得向任何第三方转让，技术文件资料仅限使用于本工程。</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所供产品中涉及第三方知识产权，</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自行负责所有相关责权，</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不负任何相关责任。</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提供的产品如果含有专利技术，在</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的报价中已包括所需的专利费。</w:t>
      </w:r>
    </w:p>
    <w:p w14:paraId="65C8AFF5">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7</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zh-CN"/>
        </w:rPr>
        <w:t>从签订合同之后至</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开始制造之日的这段时期内，</w:t>
      </w:r>
      <w:r>
        <w:rPr>
          <w:rFonts w:hint="eastAsia" w:ascii="宋体" w:hAnsi="宋体" w:cs="宋体"/>
          <w:caps w:val="0"/>
          <w:smallCaps w:val="0"/>
          <w:color w:val="auto"/>
          <w:sz w:val="21"/>
          <w:szCs w:val="21"/>
          <w:highlight w:val="none"/>
          <w:lang w:val="zh-CN"/>
        </w:rPr>
        <w:t>招标人</w:t>
      </w:r>
      <w:r>
        <w:rPr>
          <w:rFonts w:hint="eastAsia" w:ascii="宋体" w:hAnsi="宋体" w:eastAsia="宋体" w:cs="宋体"/>
          <w:caps w:val="0"/>
          <w:smallCaps w:val="0"/>
          <w:color w:val="auto"/>
          <w:sz w:val="21"/>
          <w:szCs w:val="21"/>
          <w:highlight w:val="none"/>
          <w:lang w:val="zh-CN"/>
        </w:rPr>
        <w:t>有权提出因</w:t>
      </w:r>
      <w:r>
        <w:rPr>
          <w:rFonts w:hint="eastAsia" w:ascii="宋体" w:hAnsi="宋体" w:cs="宋体"/>
          <w:caps w:val="0"/>
          <w:smallCaps w:val="0"/>
          <w:color w:val="auto"/>
          <w:sz w:val="21"/>
          <w:szCs w:val="21"/>
          <w:highlight w:val="none"/>
          <w:lang w:val="en-US" w:eastAsia="zh-CN"/>
        </w:rPr>
        <w:t>新的</w:t>
      </w:r>
      <w:r>
        <w:rPr>
          <w:rFonts w:hint="eastAsia" w:ascii="宋体" w:hAnsi="宋体" w:eastAsia="宋体" w:cs="宋体"/>
          <w:caps w:val="0"/>
          <w:smallCaps w:val="0"/>
          <w:color w:val="auto"/>
          <w:sz w:val="21"/>
          <w:szCs w:val="21"/>
          <w:highlight w:val="none"/>
          <w:lang w:val="zh-CN"/>
        </w:rPr>
        <w:t>规范或标准发生变化而产生的一些补充修改要求。</w:t>
      </w:r>
    </w:p>
    <w:p w14:paraId="2CACEA65">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8</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在</w:t>
      </w:r>
      <w:r>
        <w:rPr>
          <w:rFonts w:hint="eastAsia" w:ascii="宋体" w:hAnsi="宋体" w:eastAsia="宋体" w:cs="宋体"/>
          <w:caps w:val="0"/>
          <w:smallCaps w:val="0"/>
          <w:color w:val="auto"/>
          <w:sz w:val="21"/>
          <w:szCs w:val="21"/>
          <w:highlight w:val="none"/>
          <w:lang w:val="zh-CN"/>
        </w:rPr>
        <w:t>本技术文件所引用的标准与</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所执行的标准发生矛盾时，按较高的标准执行。新颁国家和行业现行标准，需替代时，应执行新颁标准。</w:t>
      </w:r>
    </w:p>
    <w:p w14:paraId="3E049754">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9</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若技术文件中</w:t>
      </w:r>
      <w:r>
        <w:rPr>
          <w:rFonts w:hint="eastAsia" w:ascii="宋体" w:hAnsi="宋体" w:eastAsia="宋体" w:cs="宋体"/>
          <w:caps w:val="0"/>
          <w:smallCaps w:val="0"/>
          <w:color w:val="auto"/>
          <w:sz w:val="21"/>
          <w:szCs w:val="21"/>
          <w:highlight w:val="none"/>
          <w:lang w:val="en-US" w:eastAsia="zh-CN"/>
        </w:rPr>
        <w:t>存在</w:t>
      </w:r>
      <w:r>
        <w:rPr>
          <w:rFonts w:hint="eastAsia" w:ascii="宋体" w:hAnsi="宋体" w:eastAsia="宋体" w:cs="宋体"/>
          <w:caps w:val="0"/>
          <w:smallCaps w:val="0"/>
          <w:color w:val="auto"/>
          <w:sz w:val="21"/>
          <w:szCs w:val="21"/>
          <w:highlight w:val="none"/>
        </w:rPr>
        <w:t>前后描述不一致的地方，以较高要求为准，最终解释权归</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所有。</w:t>
      </w:r>
    </w:p>
    <w:p w14:paraId="3E6AAB19">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10</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本项目属于交钥匙工程，所有因设计、</w:t>
      </w:r>
      <w:r>
        <w:rPr>
          <w:rFonts w:hint="eastAsia" w:ascii="宋体" w:hAnsi="宋体" w:cs="宋体"/>
          <w:caps w:val="0"/>
          <w:smallCaps w:val="0"/>
          <w:color w:val="auto"/>
          <w:sz w:val="21"/>
          <w:szCs w:val="21"/>
          <w:highlight w:val="none"/>
          <w:lang w:val="en-US" w:eastAsia="zh-CN"/>
        </w:rPr>
        <w:t>制造、</w:t>
      </w:r>
      <w:r>
        <w:rPr>
          <w:rFonts w:hint="eastAsia" w:ascii="宋体" w:hAnsi="宋体" w:eastAsia="宋体" w:cs="宋体"/>
          <w:caps w:val="0"/>
          <w:smallCaps w:val="0"/>
          <w:color w:val="auto"/>
          <w:sz w:val="21"/>
          <w:szCs w:val="21"/>
          <w:highlight w:val="none"/>
        </w:rPr>
        <w:t>供货、</w:t>
      </w:r>
      <w:r>
        <w:rPr>
          <w:rFonts w:hint="eastAsia" w:ascii="宋体" w:hAnsi="宋体" w:eastAsia="宋体" w:cs="宋体"/>
          <w:caps w:val="0"/>
          <w:smallCaps w:val="0"/>
          <w:color w:val="auto"/>
          <w:sz w:val="21"/>
          <w:szCs w:val="21"/>
          <w:highlight w:val="none"/>
          <w:lang w:val="en-US" w:eastAsia="zh-CN"/>
        </w:rPr>
        <w:t>安装、调试</w:t>
      </w:r>
      <w:r>
        <w:rPr>
          <w:rFonts w:hint="eastAsia" w:ascii="宋体" w:hAnsi="宋体" w:cs="宋体"/>
          <w:caps w:val="0"/>
          <w:smallCaps w:val="0"/>
          <w:color w:val="auto"/>
          <w:sz w:val="21"/>
          <w:szCs w:val="21"/>
          <w:highlight w:val="none"/>
          <w:lang w:val="en-US" w:eastAsia="zh-CN"/>
        </w:rPr>
        <w:t>、验收、送检（若需要）</w:t>
      </w:r>
      <w:r>
        <w:rPr>
          <w:rFonts w:hint="eastAsia" w:ascii="宋体" w:hAnsi="宋体" w:eastAsia="宋体" w:cs="宋体"/>
          <w:caps w:val="0"/>
          <w:smallCaps w:val="0"/>
          <w:color w:val="auto"/>
          <w:sz w:val="21"/>
          <w:szCs w:val="21"/>
          <w:highlight w:val="none"/>
        </w:rPr>
        <w:t>等原因导致的系统不能正常运行问题，均由</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无条件进行整改完善，并承担相应的延误责任及损失。</w:t>
      </w:r>
    </w:p>
    <w:p w14:paraId="331179B5">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11</w:t>
      </w:r>
      <w:r>
        <w:rPr>
          <w:rFonts w:hint="eastAsia" w:ascii="宋体" w:hAnsi="宋体" w:cs="宋体"/>
          <w:caps w:val="0"/>
          <w:smallCaps w:val="0"/>
          <w:color w:val="auto"/>
          <w:sz w:val="21"/>
          <w:szCs w:val="21"/>
          <w:highlight w:val="none"/>
          <w:lang w:eastAsia="zh-CN"/>
        </w:rPr>
        <w:t>.投标人</w:t>
      </w:r>
      <w:r>
        <w:rPr>
          <w:rFonts w:hint="eastAsia" w:ascii="宋体" w:hAnsi="宋体" w:cs="宋体"/>
          <w:caps w:val="0"/>
          <w:smallCaps w:val="0"/>
          <w:color w:val="auto"/>
          <w:sz w:val="21"/>
          <w:szCs w:val="21"/>
          <w:highlight w:val="none"/>
          <w:lang w:val="en-US" w:eastAsia="zh-CN"/>
        </w:rPr>
        <w:t>按</w:t>
      </w:r>
      <w:r>
        <w:rPr>
          <w:rFonts w:hint="eastAsia" w:ascii="宋体" w:hAnsi="宋体" w:eastAsia="宋体" w:cs="宋体"/>
          <w:caps w:val="0"/>
          <w:smallCaps w:val="0"/>
          <w:color w:val="auto"/>
          <w:sz w:val="21"/>
          <w:szCs w:val="21"/>
          <w:highlight w:val="none"/>
        </w:rPr>
        <w:t>需在投标前现场勘查，充分了解现场场地情况、</w:t>
      </w:r>
      <w:r>
        <w:rPr>
          <w:rFonts w:hint="eastAsia" w:ascii="宋体" w:hAnsi="宋体" w:cs="宋体"/>
          <w:caps w:val="0"/>
          <w:smallCaps w:val="0"/>
          <w:color w:val="auto"/>
          <w:sz w:val="21"/>
          <w:szCs w:val="21"/>
          <w:highlight w:val="none"/>
          <w:lang w:val="en-US" w:eastAsia="zh-CN"/>
        </w:rPr>
        <w:t>公共辅助</w:t>
      </w:r>
      <w:r>
        <w:rPr>
          <w:rFonts w:hint="eastAsia" w:ascii="宋体" w:hAnsi="宋体" w:eastAsia="宋体" w:cs="宋体"/>
          <w:caps w:val="0"/>
          <w:smallCaps w:val="0"/>
          <w:color w:val="auto"/>
          <w:sz w:val="21"/>
          <w:szCs w:val="21"/>
          <w:highlight w:val="none"/>
        </w:rPr>
        <w:t>工程接口情况和工程量，根据现场实际情况制定</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案。中标后不得以现场情况不了解为理由增加费用。</w:t>
      </w:r>
    </w:p>
    <w:p w14:paraId="24E55A44">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12</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招标人</w:t>
      </w:r>
      <w:r>
        <w:rPr>
          <w:rFonts w:hint="eastAsia" w:ascii="宋体" w:hAnsi="宋体" w:eastAsia="宋体" w:cs="宋体"/>
          <w:caps w:val="0"/>
          <w:smallCaps w:val="0"/>
          <w:color w:val="auto"/>
          <w:sz w:val="21"/>
          <w:szCs w:val="21"/>
          <w:highlight w:val="none"/>
          <w:lang w:val="zh-CN"/>
        </w:rPr>
        <w:t>有权对</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所供设备图纸进行审查和监造，但</w:t>
      </w:r>
      <w:r>
        <w:rPr>
          <w:rFonts w:hint="eastAsia" w:ascii="宋体" w:hAnsi="宋体" w:cs="宋体"/>
          <w:caps w:val="0"/>
          <w:smallCaps w:val="0"/>
          <w:color w:val="auto"/>
          <w:sz w:val="21"/>
          <w:szCs w:val="21"/>
          <w:highlight w:val="none"/>
          <w:lang w:val="zh-CN"/>
        </w:rPr>
        <w:t>招标人</w:t>
      </w:r>
      <w:r>
        <w:rPr>
          <w:rFonts w:hint="eastAsia" w:ascii="宋体" w:hAnsi="宋体" w:eastAsia="宋体" w:cs="宋体"/>
          <w:caps w:val="0"/>
          <w:smallCaps w:val="0"/>
          <w:color w:val="auto"/>
          <w:sz w:val="21"/>
          <w:szCs w:val="21"/>
          <w:highlight w:val="none"/>
        </w:rPr>
        <w:t>的审查和监造并不免除</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应承担的设备质量责任（包括但不限于对</w:t>
      </w:r>
      <w:r>
        <w:rPr>
          <w:rFonts w:hint="eastAsia" w:ascii="宋体" w:hAnsi="宋体" w:eastAsia="宋体" w:cs="宋体"/>
          <w:caps w:val="0"/>
          <w:smallCaps w:val="0"/>
          <w:color w:val="auto"/>
          <w:sz w:val="21"/>
          <w:szCs w:val="21"/>
          <w:highlight w:val="none"/>
          <w:lang w:val="zh-CN"/>
        </w:rPr>
        <w:t>设备的结构安全负责</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val="zh-CN"/>
        </w:rPr>
        <w:t>，</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必须对所供设备的</w:t>
      </w:r>
      <w:r>
        <w:rPr>
          <w:rFonts w:hint="eastAsia" w:ascii="宋体" w:hAnsi="宋体" w:eastAsia="宋体" w:cs="宋体"/>
          <w:caps w:val="0"/>
          <w:smallCaps w:val="0"/>
          <w:color w:val="auto"/>
          <w:sz w:val="21"/>
          <w:szCs w:val="21"/>
          <w:highlight w:val="none"/>
        </w:rPr>
        <w:t>质量责任和</w:t>
      </w:r>
      <w:r>
        <w:rPr>
          <w:rFonts w:hint="eastAsia" w:ascii="宋体" w:hAnsi="宋体" w:eastAsia="宋体" w:cs="宋体"/>
          <w:caps w:val="0"/>
          <w:smallCaps w:val="0"/>
          <w:color w:val="auto"/>
          <w:sz w:val="21"/>
          <w:szCs w:val="21"/>
          <w:highlight w:val="none"/>
          <w:lang w:val="zh-CN"/>
        </w:rPr>
        <w:t>结构安全负全责。</w:t>
      </w:r>
    </w:p>
    <w:p w14:paraId="06B14D97">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13</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所供设备，</w:t>
      </w:r>
      <w:r>
        <w:rPr>
          <w:rFonts w:hint="eastAsia" w:ascii="宋体" w:hAnsi="宋体" w:eastAsia="宋体" w:cs="宋体"/>
          <w:caps w:val="0"/>
          <w:smallCaps w:val="0"/>
          <w:color w:val="auto"/>
          <w:sz w:val="21"/>
          <w:szCs w:val="21"/>
          <w:highlight w:val="none"/>
        </w:rPr>
        <w:t>现场不允许</w:t>
      </w:r>
      <w:r>
        <w:rPr>
          <w:rFonts w:hint="eastAsia" w:ascii="宋体" w:hAnsi="宋体" w:eastAsia="宋体" w:cs="宋体"/>
          <w:caps w:val="0"/>
          <w:smallCaps w:val="0"/>
          <w:color w:val="auto"/>
          <w:sz w:val="21"/>
          <w:szCs w:val="21"/>
          <w:highlight w:val="none"/>
          <w:lang w:val="en-US" w:eastAsia="zh-CN"/>
        </w:rPr>
        <w:t>出现</w:t>
      </w:r>
      <w:r>
        <w:rPr>
          <w:rFonts w:hint="eastAsia" w:ascii="宋体" w:hAnsi="宋体" w:eastAsia="宋体" w:cs="宋体"/>
          <w:caps w:val="0"/>
          <w:smallCaps w:val="0"/>
          <w:color w:val="auto"/>
          <w:sz w:val="21"/>
          <w:szCs w:val="21"/>
          <w:highlight w:val="none"/>
        </w:rPr>
        <w:t>“跑、冒、滴、漏”现象</w:t>
      </w:r>
      <w:r>
        <w:rPr>
          <w:rFonts w:hint="eastAsia" w:ascii="宋体" w:hAnsi="宋体" w:eastAsia="宋体" w:cs="宋体"/>
          <w:caps w:val="0"/>
          <w:smallCaps w:val="0"/>
          <w:color w:val="auto"/>
          <w:sz w:val="21"/>
          <w:szCs w:val="21"/>
          <w:highlight w:val="none"/>
          <w:lang w:val="zh-CN"/>
        </w:rPr>
        <w:t>，</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需配合</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完成验收工作</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如：</w:t>
      </w:r>
      <w:r>
        <w:rPr>
          <w:rFonts w:hint="eastAsia" w:ascii="宋体" w:hAnsi="宋体" w:eastAsia="宋体" w:cs="宋体"/>
          <w:caps w:val="0"/>
          <w:smallCaps w:val="0"/>
          <w:color w:val="auto"/>
          <w:sz w:val="21"/>
          <w:szCs w:val="21"/>
          <w:highlight w:val="none"/>
        </w:rPr>
        <w:t>环保</w:t>
      </w:r>
      <w:r>
        <w:rPr>
          <w:rFonts w:hint="eastAsia" w:ascii="宋体" w:hAnsi="宋体" w:eastAsia="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en-US" w:eastAsia="zh-CN"/>
        </w:rPr>
        <w:t>安全、</w:t>
      </w:r>
      <w:r>
        <w:rPr>
          <w:rFonts w:hint="eastAsia" w:ascii="宋体" w:hAnsi="宋体" w:eastAsia="宋体" w:cs="宋体"/>
          <w:caps w:val="0"/>
          <w:smallCaps w:val="0"/>
          <w:color w:val="auto"/>
          <w:sz w:val="21"/>
          <w:szCs w:val="21"/>
          <w:highlight w:val="none"/>
          <w:lang w:val="en-US" w:eastAsia="zh-CN"/>
        </w:rPr>
        <w:t>食品生产许可等</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，若由于</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所供设备原因造成验收出现问题的，由</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负全责。</w:t>
      </w:r>
    </w:p>
    <w:p w14:paraId="50FC1432">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14</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投标文件中，包括图纸、计算、说明、使用手册等，均应使用国际单位制（SI）。</w:t>
      </w:r>
    </w:p>
    <w:p w14:paraId="6803915F">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15</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在投标时需对提出的技术方案、平面布置图、工艺流程</w:t>
      </w:r>
      <w:r>
        <w:rPr>
          <w:rFonts w:hint="eastAsia" w:ascii="宋体" w:hAnsi="宋体" w:eastAsia="宋体" w:cs="宋体"/>
          <w:caps w:val="0"/>
          <w:smallCaps w:val="0"/>
          <w:color w:val="auto"/>
          <w:sz w:val="21"/>
          <w:szCs w:val="21"/>
          <w:highlight w:val="none"/>
          <w:lang w:val="en-US" w:eastAsia="zh-CN"/>
        </w:rPr>
        <w:t>图</w:t>
      </w:r>
      <w:r>
        <w:rPr>
          <w:rFonts w:hint="eastAsia" w:ascii="宋体" w:hAnsi="宋体" w:eastAsia="宋体" w:cs="宋体"/>
          <w:caps w:val="0"/>
          <w:smallCaps w:val="0"/>
          <w:color w:val="auto"/>
          <w:sz w:val="21"/>
          <w:szCs w:val="21"/>
          <w:highlight w:val="none"/>
        </w:rPr>
        <w:t>、设备参数及运行方式进行详细描述和说明。</w:t>
      </w:r>
    </w:p>
    <w:p w14:paraId="5DABAC83">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16</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项目范围内涉及的特种设备必须配套合格证书，并由中标方负责协助</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报检、检验和取得相关使用证书。</w:t>
      </w:r>
    </w:p>
    <w:p w14:paraId="617D2B41">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lang w:val="en-US" w:eastAsia="zh-CN"/>
        </w:rPr>
        <w:t>17</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提供的设备、设施、和材料须满足《食品安全国家标准</w:t>
      </w:r>
      <w:r>
        <w:rPr>
          <w:rFonts w:hint="eastAsia" w:ascii="宋体" w:hAnsi="宋体" w:eastAsia="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rPr>
        <w:t>食品生产通用卫生规范》（GB 14881）规范要求。</w:t>
      </w:r>
    </w:p>
    <w:p w14:paraId="521DABE9">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lang w:val="en-US" w:eastAsia="zh-CN"/>
        </w:rPr>
        <w:t>18</w:t>
      </w:r>
      <w:r>
        <w:rPr>
          <w:rFonts w:hint="eastAsia" w:ascii="宋体" w:hAnsi="宋体" w:cs="宋体"/>
          <w:caps w:val="0"/>
          <w:smallCaps w:val="0"/>
          <w:color w:val="auto"/>
          <w:sz w:val="21"/>
          <w:szCs w:val="21"/>
          <w:highlight w:val="none"/>
          <w:lang w:val="en-US" w:eastAsia="zh-CN"/>
        </w:rPr>
        <w:t>.</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提供的所有设备须满足《食品机械安全</w:t>
      </w:r>
      <w:r>
        <w:rPr>
          <w:rFonts w:hint="eastAsia" w:ascii="宋体" w:hAnsi="宋体" w:eastAsia="宋体" w:cs="宋体"/>
          <w:caps w:val="0"/>
          <w:smallCaps w:val="0"/>
          <w:color w:val="auto"/>
          <w:sz w:val="21"/>
          <w:szCs w:val="21"/>
          <w:highlight w:val="none"/>
          <w:lang w:val="en-US" w:eastAsia="zh-CN"/>
        </w:rPr>
        <w:t>要求</w:t>
      </w:r>
      <w:r>
        <w:rPr>
          <w:rFonts w:hint="eastAsia" w:ascii="宋体" w:hAnsi="宋体" w:eastAsia="宋体" w:cs="宋体"/>
          <w:caps w:val="0"/>
          <w:smallCaps w:val="0"/>
          <w:color w:val="auto"/>
          <w:sz w:val="21"/>
          <w:szCs w:val="21"/>
          <w:highlight w:val="none"/>
        </w:rPr>
        <w:t>》（GB 16798）</w:t>
      </w:r>
      <w:r>
        <w:rPr>
          <w:rFonts w:hint="eastAsia" w:ascii="宋体" w:hAnsi="宋体" w:cs="宋体"/>
          <w:caps w:val="0"/>
          <w:smallCaps w:val="0"/>
          <w:color w:val="auto"/>
          <w:sz w:val="21"/>
          <w:szCs w:val="21"/>
          <w:highlight w:val="none"/>
          <w:lang w:val="en-US" w:eastAsia="zh-CN"/>
        </w:rPr>
        <w:t>和《</w:t>
      </w:r>
      <w:r>
        <w:rPr>
          <w:rFonts w:hint="eastAsia" w:ascii="宋体" w:hAnsi="宋体" w:eastAsia="宋体" w:cs="宋体"/>
          <w:caps w:val="0"/>
          <w:smallCaps w:val="0"/>
          <w:color w:val="auto"/>
          <w:sz w:val="21"/>
          <w:szCs w:val="21"/>
          <w:highlight w:val="none"/>
          <w:lang w:val="en-US" w:eastAsia="zh-CN"/>
        </w:rPr>
        <w:t>食品安全国家标准 食品接触材料及制品通用安全要求》</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lang w:val="en-US" w:eastAsia="zh-CN"/>
        </w:rPr>
        <w:t>GB 4806.1</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rPr>
        <w:t>规范要求。</w:t>
      </w:r>
    </w:p>
    <w:p w14:paraId="55977776">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19</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rPr>
        <w:t>未尽事宜需满足国家现行有效的标准、规程、规范等。</w:t>
      </w:r>
    </w:p>
    <w:p w14:paraId="72C61DDC">
      <w:pPr>
        <w:pStyle w:val="4"/>
        <w:bidi w:val="0"/>
        <w:rPr>
          <w:rFonts w:hint="eastAsia"/>
          <w:lang w:val="en-US" w:eastAsia="zh-CN"/>
        </w:rPr>
      </w:pPr>
      <w:r>
        <w:rPr>
          <w:rFonts w:hint="eastAsia"/>
          <w:lang w:val="en-US" w:eastAsia="zh-CN"/>
        </w:rPr>
        <w:t>二、项目概述</w:t>
      </w:r>
    </w:p>
    <w:p w14:paraId="01B4478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lang w:val="en-US" w:eastAsia="zh-CN"/>
        </w:rPr>
      </w:pPr>
      <w:r>
        <w:rPr>
          <w:rFonts w:hint="eastAsia"/>
          <w:lang w:eastAsia="zh-CN"/>
        </w:rPr>
        <w:t>本项目在</w:t>
      </w:r>
      <w:r>
        <w:rPr>
          <w:rFonts w:hint="eastAsia"/>
          <w:lang w:val="en-US" w:eastAsia="zh-CN"/>
        </w:rPr>
        <w:t>招标人原有复合调味料生产线的搬迁技改项目，现该项目地址设在6号车间一层和二层，总面积约7000平米，具体的平面设计见附件。该项目具体内容包括：半固态复合调味料生产定制设备（含半固态复合调味料洗桶/框设备、熬油生产设备、油炒辣椒生产设备、辣椒酱生产设备）及相关内容的配套设施。</w:t>
      </w:r>
    </w:p>
    <w:p w14:paraId="057554FE">
      <w:pPr>
        <w:pStyle w:val="4"/>
        <w:bidi w:val="0"/>
        <w:rPr>
          <w:rFonts w:hint="eastAsia"/>
          <w:lang w:val="en-US" w:eastAsia="zh-CN"/>
        </w:rPr>
      </w:pPr>
      <w:r>
        <w:rPr>
          <w:rFonts w:hint="eastAsia"/>
          <w:lang w:val="en-US" w:eastAsia="zh-CN"/>
        </w:rPr>
        <w:t>三、</w:t>
      </w:r>
      <w:r>
        <w:rPr>
          <w:rFonts w:hint="eastAsia"/>
          <w:lang w:eastAsia="zh-CN"/>
        </w:rPr>
        <w:t>货物采购</w:t>
      </w:r>
      <w:r>
        <w:rPr>
          <w:rFonts w:hint="eastAsia"/>
        </w:rPr>
        <w:t>内容</w:t>
      </w:r>
    </w:p>
    <w:p w14:paraId="1DFFA4E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u w:val="none"/>
          <w:lang w:val="en-US" w:eastAsia="zh-CN"/>
        </w:rPr>
      </w:pPr>
      <w:r>
        <w:rPr>
          <w:rFonts w:hint="eastAsia" w:ascii="宋体" w:hAnsi="宋体" w:eastAsia="宋体" w:cs="宋体"/>
          <w:lang w:val="en-US" w:eastAsia="zh-CN"/>
        </w:rPr>
        <w:t>1.本次招标项目货物：</w:t>
      </w:r>
      <w:r>
        <w:rPr>
          <w:rFonts w:hint="eastAsia" w:ascii="宋体" w:hAnsi="宋体" w:eastAsia="宋体" w:cs="宋体"/>
          <w:b w:val="0"/>
          <w:bCs w:val="0"/>
          <w:color w:val="auto"/>
          <w:kern w:val="2"/>
          <w:sz w:val="21"/>
          <w:szCs w:val="21"/>
          <w:u w:val="none"/>
          <w:lang w:val="en-US" w:eastAsia="zh-CN" w:bidi="ar-SA"/>
        </w:rPr>
        <w:t>定制1条半固态复合调味料生产线设备及配套设施（含半固态复合调味料设备、洗桶设备、熬油生产设备、油炒辣椒生产设备、辣椒酱生产设备等），以及从招标人指定点搭取的电缆、水管、气管、天然气、蒸汽管道及其线槽、支架、阀门和仪表等。投标人完成半固态复合调味料生产线设备及配套设施的设计、供货（含备品备件、专用工器具等）、装配（含出厂前组装、测试和检验、现场整体组装等）、装卸、运输（含包装、保险）、安装（含设备基础、开洞、开沟、封堵、室外防护等）、调试、考核、验收，以及质量保证期内的维修、维护、保养、人员培训和其它相关伴随服务等工作内容。</w:t>
      </w:r>
    </w:p>
    <w:p w14:paraId="3C1A5B48">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beforeAutospacing="0" w:afterAutospacing="0" w:line="360" w:lineRule="auto"/>
        <w:ind w:firstLine="210" w:firstLineChars="100"/>
        <w:jc w:val="left"/>
        <w:textAlignment w:val="auto"/>
        <w:rPr>
          <w:rFonts w:hint="default" w:ascii="宋体" w:hAnsi="宋体" w:eastAsia="宋体" w:cs="宋体"/>
          <w:color w:val="auto"/>
          <w:kern w:val="0"/>
          <w:sz w:val="21"/>
          <w:szCs w:val="21"/>
          <w:highlight w:val="none"/>
          <w:u w:val="none"/>
          <w:lang w:val="en-US" w:eastAsia="zh-CN"/>
        </w:rPr>
      </w:pPr>
      <w:r>
        <w:rPr>
          <w:rFonts w:hint="eastAsia"/>
          <w:color w:val="auto"/>
          <w:sz w:val="21"/>
          <w:szCs w:val="21"/>
          <w:lang w:val="en-US" w:eastAsia="zh-CN"/>
        </w:rPr>
        <w:t>3.</w:t>
      </w:r>
      <w:r>
        <w:rPr>
          <w:rFonts w:hint="eastAsia" w:ascii="宋体" w:hAnsi="宋体" w:cs="宋体"/>
          <w:color w:val="auto"/>
          <w:kern w:val="0"/>
          <w:sz w:val="21"/>
          <w:szCs w:val="21"/>
          <w:highlight w:val="none"/>
          <w:u w:val="none"/>
          <w:lang w:val="en-US" w:eastAsia="zh-CN"/>
        </w:rPr>
        <w:t>水、电、气、汽、天然气接口：投标人负责从车间指定位置搭接，具体见图纸，其余未注明的但为半固体复合调料设备及配套设施正常运行所需的均由卖方负责。</w:t>
      </w:r>
    </w:p>
    <w:p w14:paraId="409F6A0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210" w:firstLineChars="100"/>
        <w:textAlignment w:val="auto"/>
        <w:rPr>
          <w:rFonts w:hint="default"/>
          <w:color w:val="auto"/>
          <w:sz w:val="21"/>
          <w:szCs w:val="21"/>
          <w:lang w:val="en-US" w:eastAsia="zh-CN"/>
        </w:rPr>
      </w:pPr>
      <w:r>
        <w:rPr>
          <w:rFonts w:hint="eastAsia"/>
          <w:color w:val="auto"/>
          <w:sz w:val="21"/>
          <w:szCs w:val="21"/>
          <w:lang w:val="en-US" w:eastAsia="zh-CN"/>
        </w:rPr>
        <w:t>4. 工期：合同签订后总工期120日历天，</w:t>
      </w:r>
      <w:r>
        <w:rPr>
          <w:rFonts w:hint="eastAsia" w:ascii="宋体" w:hAnsi="宋体" w:eastAsia="宋体" w:cs="宋体"/>
          <w:b w:val="0"/>
          <w:bCs w:val="0"/>
          <w:snapToGrid w:val="0"/>
          <w:color w:val="000000" w:themeColor="text1"/>
          <w:kern w:val="0"/>
          <w:sz w:val="21"/>
          <w:szCs w:val="21"/>
          <w:u w:val="none"/>
          <w14:textFill>
            <w14:solidFill>
              <w14:schemeClr w14:val="tx1"/>
            </w14:solidFill>
          </w14:textFill>
        </w:rPr>
        <w:t>含设备安装调试工期</w:t>
      </w:r>
      <w:r>
        <w:rPr>
          <w:rFonts w:hint="eastAsia" w:ascii="宋体" w:hAnsi="宋体" w:eastAsia="宋体" w:cs="宋体"/>
          <w:b w:val="0"/>
          <w:bCs w:val="0"/>
          <w:snapToGrid w:val="0"/>
          <w:color w:val="000000" w:themeColor="text1"/>
          <w:kern w:val="0"/>
          <w:sz w:val="21"/>
          <w:szCs w:val="21"/>
          <w:u w:val="single"/>
          <w:lang w:val="en-US" w:eastAsia="zh-CN"/>
          <w14:textFill>
            <w14:solidFill>
              <w14:schemeClr w14:val="tx1"/>
            </w14:solidFill>
          </w14:textFill>
        </w:rPr>
        <w:t>3</w:t>
      </w:r>
      <w:r>
        <w:rPr>
          <w:rFonts w:hint="eastAsia" w:ascii="宋体" w:hAnsi="宋体" w:eastAsia="宋体" w:cs="宋体"/>
          <w:b w:val="0"/>
          <w:bCs w:val="0"/>
          <w:snapToGrid w:val="0"/>
          <w:color w:val="000000" w:themeColor="text1"/>
          <w:kern w:val="0"/>
          <w:sz w:val="21"/>
          <w:szCs w:val="21"/>
          <w:u w:val="single"/>
          <w14:textFill>
            <w14:solidFill>
              <w14:schemeClr w14:val="tx1"/>
            </w14:solidFill>
          </w14:textFill>
        </w:rPr>
        <w:t>0日历天</w:t>
      </w:r>
      <w:r>
        <w:rPr>
          <w:rFonts w:hint="eastAsia" w:ascii="宋体" w:hAnsi="宋体" w:cs="宋体"/>
          <w:b w:val="0"/>
          <w:bCs w:val="0"/>
          <w:snapToGrid w:val="0"/>
          <w:color w:val="000000" w:themeColor="text1"/>
          <w:kern w:val="0"/>
          <w:sz w:val="21"/>
          <w:szCs w:val="21"/>
          <w:u w:val="single"/>
          <w:lang w:eastAsia="zh-CN"/>
          <w14:textFill>
            <w14:solidFill>
              <w14:schemeClr w14:val="tx1"/>
            </w14:solidFill>
          </w14:textFill>
        </w:rPr>
        <w:t>。</w:t>
      </w:r>
    </w:p>
    <w:p w14:paraId="1C3CE066">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210" w:firstLineChars="100"/>
        <w:jc w:val="left"/>
        <w:textAlignment w:val="auto"/>
        <w:rPr>
          <w:rFonts w:hint="default" w:eastAsia="宋体"/>
          <w:color w:val="auto"/>
          <w:sz w:val="21"/>
          <w:szCs w:val="21"/>
          <w:lang w:val="en-US" w:eastAsia="zh-CN"/>
        </w:rPr>
      </w:pPr>
      <w:r>
        <w:rPr>
          <w:rFonts w:hint="eastAsia"/>
          <w:color w:val="auto"/>
          <w:sz w:val="21"/>
          <w:szCs w:val="21"/>
          <w:lang w:val="en-US" w:eastAsia="zh-CN"/>
        </w:rPr>
        <w:t>5. 质量保证期：</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所有设备自验收合格</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并交付业主使用</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之日起</w:t>
      </w:r>
      <w:r>
        <w:rPr>
          <w:rFonts w:hint="eastAsia" w:ascii="宋体" w:hAnsi="宋体" w:eastAsia="宋体" w:cs="宋体"/>
          <w:caps w:val="0"/>
          <w:smallCaps w:val="0"/>
          <w:color w:val="000000" w:themeColor="text1"/>
          <w:sz w:val="21"/>
          <w:szCs w:val="21"/>
          <w:u w:val="single"/>
          <w:lang w:val="en-US" w:eastAsia="zh-CN"/>
          <w14:textFill>
            <w14:solidFill>
              <w14:schemeClr w14:val="tx1"/>
            </w14:solidFill>
          </w14:textFill>
        </w:rPr>
        <w:t>24</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个月</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，但投标人可选择延长质保期。</w:t>
      </w:r>
    </w:p>
    <w:p w14:paraId="2C5C9972">
      <w:pPr>
        <w:pStyle w:val="4"/>
        <w:bidi w:val="0"/>
        <w:ind w:left="0" w:leftChars="0" w:firstLine="0" w:firstLineChars="0"/>
        <w:rPr>
          <w:rFonts w:hint="default"/>
          <w:lang w:val="en-US" w:eastAsia="zh-CN"/>
        </w:rPr>
      </w:pPr>
      <w:r>
        <w:rPr>
          <w:rFonts w:hint="eastAsia"/>
          <w:lang w:val="en-US" w:eastAsia="zh-CN"/>
        </w:rPr>
        <w:t>四、产能要求及物料需求</w:t>
      </w:r>
    </w:p>
    <w:p w14:paraId="6FD79AC5">
      <w:pPr>
        <w:pStyle w:val="6"/>
        <w:bidi w:val="0"/>
        <w:rPr>
          <w:rFonts w:hint="eastAsia"/>
          <w:lang w:val="en-US" w:eastAsia="zh-CN"/>
        </w:rPr>
      </w:pPr>
      <w:r>
        <w:rPr>
          <w:rFonts w:hint="eastAsia"/>
          <w:lang w:val="en-US" w:eastAsia="zh-CN"/>
        </w:rPr>
        <w:t>（一）产品规模</w:t>
      </w:r>
    </w:p>
    <w:p w14:paraId="137C42E0">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ascii="宋体" w:hAnsi="宋体" w:cs="宋体"/>
          <w:b w:val="0"/>
          <w:bCs w:val="0"/>
          <w:color w:val="auto"/>
          <w:sz w:val="21"/>
          <w:szCs w:val="21"/>
          <w:lang w:val="en-US" w:eastAsia="zh-CN"/>
        </w:rPr>
      </w:pPr>
      <w:r>
        <w:rPr>
          <w:rFonts w:hint="eastAsia" w:ascii="宋体" w:hAnsi="宋体" w:cs="宋体"/>
          <w:color w:val="auto"/>
          <w:kern w:val="2"/>
          <w:sz w:val="21"/>
          <w:szCs w:val="21"/>
          <w:lang w:val="en-US" w:eastAsia="zh-CN" w:bidi="ar-SA"/>
        </w:rPr>
        <w:t>半固态复合调味料</w:t>
      </w:r>
      <w:r>
        <w:rPr>
          <w:rFonts w:hint="eastAsia" w:ascii="宋体" w:hAnsi="宋体" w:eastAsia="宋体" w:cs="宋体"/>
          <w:color w:val="auto"/>
          <w:kern w:val="2"/>
          <w:sz w:val="21"/>
          <w:szCs w:val="21"/>
          <w:lang w:val="en-US" w:eastAsia="zh-CN" w:bidi="ar-SA"/>
        </w:rPr>
        <w:t>产能按10000吨/年（按15万吨/年榨菜产品使用计算）进行产线规划，单班生产，按每200天/年灌装日计算</w:t>
      </w:r>
      <w:r>
        <w:rPr>
          <w:rFonts w:hint="eastAsia" w:ascii="宋体" w:hAnsi="宋体" w:eastAsia="宋体" w:cs="宋体"/>
          <w:b w:val="0"/>
          <w:bCs w:val="0"/>
          <w:color w:val="auto"/>
          <w:sz w:val="21"/>
          <w:szCs w:val="21"/>
        </w:rPr>
        <w:t>，</w:t>
      </w:r>
      <w:r>
        <w:rPr>
          <w:rFonts w:hint="eastAsia" w:ascii="宋体" w:hAnsi="宋体" w:eastAsia="宋体" w:cs="宋体"/>
          <w:b w:val="0"/>
          <w:bCs w:val="0"/>
          <w:color w:val="auto"/>
          <w:sz w:val="21"/>
          <w:szCs w:val="21"/>
          <w:lang w:val="en-US" w:eastAsia="zh-CN"/>
        </w:rPr>
        <w:t>日产能为50吨/天设计</w:t>
      </w:r>
      <w:r>
        <w:rPr>
          <w:rFonts w:hint="eastAsia" w:ascii="宋体" w:hAnsi="宋体" w:cs="宋体"/>
          <w:b w:val="0"/>
          <w:bCs w:val="0"/>
          <w:color w:val="auto"/>
          <w:sz w:val="21"/>
          <w:szCs w:val="21"/>
          <w:lang w:val="en-US" w:eastAsia="zh-CN"/>
        </w:rPr>
        <w:t>，每天工作8小时计</w:t>
      </w:r>
      <w:r>
        <w:rPr>
          <w:rFonts w:hint="eastAsia" w:ascii="宋体" w:hAnsi="宋体" w:eastAsia="宋体" w:cs="宋体"/>
          <w:b w:val="0"/>
          <w:bCs w:val="0"/>
          <w:color w:val="auto"/>
          <w:sz w:val="21"/>
          <w:szCs w:val="21"/>
          <w:lang w:val="en-US" w:eastAsia="zh-CN"/>
        </w:rPr>
        <w:t>。</w:t>
      </w:r>
      <w:r>
        <w:rPr>
          <w:rFonts w:hint="eastAsia" w:ascii="宋体" w:hAnsi="宋体" w:eastAsia="宋体" w:cs="宋体"/>
          <w:b w:val="0"/>
          <w:bCs w:val="0"/>
          <w:color w:val="auto"/>
          <w:sz w:val="21"/>
          <w:szCs w:val="21"/>
        </w:rPr>
        <w:t>原料按用量依次为：水、植物油、辣椒粉、香辛料，其它食品配料</w:t>
      </w:r>
      <w:r>
        <w:rPr>
          <w:rFonts w:hint="eastAsia" w:ascii="宋体" w:hAnsi="宋体" w:cs="宋体"/>
          <w:b w:val="0"/>
          <w:bCs w:val="0"/>
          <w:color w:val="auto"/>
          <w:sz w:val="21"/>
          <w:szCs w:val="21"/>
          <w:lang w:val="en-US" w:eastAsia="zh-CN"/>
        </w:rPr>
        <w:t>；油炒辣椒产量按3吨/8小时计算；熬油（断生）产能按10吨/4小时计算；红油、香辣油、熟制菜籽油半自动灌装，产能按1吨/小时计算；辣椒酱调味料产能按4吨/6小时计算。</w:t>
      </w:r>
    </w:p>
    <w:p w14:paraId="38453862">
      <w:pPr>
        <w:pStyle w:val="6"/>
        <w:bidi w:val="0"/>
        <w:rPr>
          <w:rFonts w:hint="eastAsia"/>
          <w:lang w:val="en-US" w:eastAsia="zh-CN"/>
        </w:rPr>
      </w:pPr>
      <w:r>
        <w:rPr>
          <w:rFonts w:hint="eastAsia"/>
          <w:lang w:val="en-US" w:eastAsia="zh-CN"/>
        </w:rPr>
        <w:t>（二）产品规格</w:t>
      </w:r>
    </w:p>
    <w:p w14:paraId="76831285">
      <w:pPr>
        <w:spacing w:line="360" w:lineRule="auto"/>
        <w:ind w:firstLine="420" w:firstLineChars="200"/>
        <w:jc w:val="left"/>
        <w:rPr>
          <w:rFonts w:hint="eastAsia" w:ascii="宋体" w:hAnsi="宋体"/>
          <w:color w:val="auto"/>
          <w:sz w:val="21"/>
          <w:szCs w:val="21"/>
          <w:lang w:val="en-US" w:eastAsia="zh-CN"/>
        </w:rPr>
      </w:pPr>
      <w:r>
        <w:rPr>
          <w:rFonts w:hint="eastAsia" w:ascii="宋体" w:hAnsi="宋体"/>
          <w:color w:val="auto"/>
          <w:sz w:val="21"/>
          <w:szCs w:val="21"/>
          <w:lang w:val="en-US" w:eastAsia="zh-CN"/>
        </w:rPr>
        <w:t>1.</w:t>
      </w:r>
      <w:r>
        <w:rPr>
          <w:rFonts w:hint="eastAsia" w:ascii="宋体" w:hAnsi="宋体" w:cs="宋体"/>
          <w:color w:val="auto"/>
          <w:kern w:val="2"/>
          <w:sz w:val="21"/>
          <w:szCs w:val="21"/>
          <w:lang w:val="en-US" w:eastAsia="zh-CN" w:bidi="ar-SA"/>
        </w:rPr>
        <w:t>半固态复合调味料</w:t>
      </w:r>
      <w:r>
        <w:rPr>
          <w:rFonts w:hint="eastAsia" w:ascii="宋体" w:hAnsi="宋体"/>
          <w:color w:val="auto"/>
          <w:sz w:val="21"/>
          <w:szCs w:val="21"/>
          <w:lang w:val="en-US" w:eastAsia="zh-CN"/>
        </w:rPr>
        <w:t>包装规格按</w:t>
      </w:r>
      <w:r>
        <w:rPr>
          <w:rFonts w:hint="eastAsia" w:ascii="宋体" w:hAnsi="宋体" w:eastAsia="宋体"/>
          <w:color w:val="auto"/>
          <w:sz w:val="21"/>
          <w:szCs w:val="21"/>
        </w:rPr>
        <w:t>2</w:t>
      </w:r>
      <w:r>
        <w:rPr>
          <w:rFonts w:ascii="宋体" w:hAnsi="宋体" w:eastAsia="宋体"/>
          <w:color w:val="auto"/>
          <w:sz w:val="21"/>
          <w:szCs w:val="21"/>
        </w:rPr>
        <w:t>5</w:t>
      </w:r>
      <w:r>
        <w:rPr>
          <w:rFonts w:hint="eastAsia" w:ascii="宋体" w:hAnsi="宋体" w:eastAsia="宋体"/>
          <w:color w:val="auto"/>
          <w:sz w:val="21"/>
          <w:szCs w:val="21"/>
          <w:lang w:val="en-US" w:eastAsia="zh-CN"/>
        </w:rPr>
        <w:t>-30</w:t>
      </w:r>
      <w:r>
        <w:rPr>
          <w:rFonts w:hint="eastAsia" w:ascii="宋体" w:hAnsi="宋体" w:eastAsia="宋体"/>
          <w:color w:val="auto"/>
          <w:sz w:val="21"/>
          <w:szCs w:val="21"/>
        </w:rPr>
        <w:t>千克/袋</w:t>
      </w:r>
      <w:r>
        <w:rPr>
          <w:rFonts w:hint="eastAsia" w:ascii="宋体" w:hAnsi="宋体"/>
          <w:color w:val="auto"/>
          <w:sz w:val="21"/>
          <w:szCs w:val="21"/>
          <w:lang w:eastAsia="zh-CN"/>
        </w:rPr>
        <w:t>，外用</w:t>
      </w:r>
      <w:r>
        <w:rPr>
          <w:rFonts w:hint="eastAsia" w:ascii="宋体" w:hAnsi="宋体"/>
          <w:color w:val="auto"/>
          <w:sz w:val="21"/>
          <w:szCs w:val="21"/>
          <w:lang w:val="en-US" w:eastAsia="zh-CN"/>
        </w:rPr>
        <w:t>带盖塑料方框</w:t>
      </w:r>
      <w:r>
        <w:rPr>
          <w:rFonts w:hint="eastAsia" w:ascii="宋体" w:hAnsi="宋体"/>
          <w:color w:val="auto"/>
          <w:sz w:val="21"/>
          <w:szCs w:val="21"/>
          <w:lang w:eastAsia="zh-CN"/>
        </w:rPr>
        <w:t>（保护产品及运输方便）</w:t>
      </w:r>
      <w:r>
        <w:rPr>
          <w:rFonts w:hint="eastAsia" w:ascii="宋体" w:hAnsi="宋体"/>
          <w:color w:val="auto"/>
          <w:sz w:val="21"/>
          <w:szCs w:val="21"/>
          <w:lang w:val="en-US" w:eastAsia="zh-CN"/>
        </w:rPr>
        <w:t>。</w:t>
      </w:r>
    </w:p>
    <w:p w14:paraId="47A74A22">
      <w:pPr>
        <w:spacing w:line="360" w:lineRule="auto"/>
        <w:ind w:firstLine="420" w:firstLineChars="200"/>
        <w:jc w:val="left"/>
        <w:rPr>
          <w:rFonts w:hint="eastAsia" w:ascii="宋体" w:hAnsi="宋体"/>
          <w:color w:val="auto"/>
          <w:sz w:val="21"/>
          <w:szCs w:val="21"/>
          <w:lang w:val="en-US" w:eastAsia="zh-CN"/>
        </w:rPr>
      </w:pPr>
      <w:r>
        <w:rPr>
          <w:rFonts w:hint="eastAsia" w:ascii="宋体" w:hAnsi="宋体"/>
          <w:color w:val="auto"/>
          <w:sz w:val="21"/>
          <w:szCs w:val="21"/>
          <w:lang w:val="en-US" w:eastAsia="zh-CN"/>
        </w:rPr>
        <w:t>2.油炒辣椒包装规格1-4千克/袋，袋材质为复合铝箔袋。</w:t>
      </w:r>
    </w:p>
    <w:p w14:paraId="68169C74">
      <w:pPr>
        <w:spacing w:line="360" w:lineRule="auto"/>
        <w:ind w:firstLine="420" w:firstLineChars="200"/>
        <w:jc w:val="left"/>
        <w:rPr>
          <w:rFonts w:hint="eastAsia" w:ascii="宋体" w:hAnsi="宋体"/>
          <w:color w:val="auto"/>
          <w:sz w:val="21"/>
          <w:szCs w:val="21"/>
          <w:lang w:val="en-US" w:eastAsia="zh-CN"/>
        </w:rPr>
      </w:pPr>
      <w:r>
        <w:rPr>
          <w:rFonts w:hint="eastAsia" w:ascii="宋体" w:hAnsi="宋体"/>
          <w:color w:val="auto"/>
          <w:sz w:val="21"/>
          <w:szCs w:val="21"/>
          <w:lang w:val="en-US" w:eastAsia="zh-CN"/>
        </w:rPr>
        <w:t>3.</w:t>
      </w:r>
      <w:r>
        <w:rPr>
          <w:rFonts w:hint="eastAsia" w:ascii="宋体" w:hAnsi="宋体" w:cs="宋体"/>
          <w:b w:val="0"/>
          <w:bCs w:val="0"/>
          <w:color w:val="auto"/>
          <w:sz w:val="21"/>
          <w:szCs w:val="21"/>
          <w:lang w:val="en-US" w:eastAsia="zh-CN"/>
        </w:rPr>
        <w:t>红油、香辣油、熟制菜籽油</w:t>
      </w:r>
      <w:r>
        <w:rPr>
          <w:rFonts w:hint="eastAsia" w:ascii="宋体" w:hAnsi="宋体"/>
          <w:color w:val="auto"/>
          <w:sz w:val="21"/>
          <w:szCs w:val="21"/>
          <w:lang w:val="en-US" w:eastAsia="zh-CN"/>
        </w:rPr>
        <w:t>包装规格25-45千克/袋，外包装为带盖塑料桶。</w:t>
      </w:r>
    </w:p>
    <w:p w14:paraId="23B1BF4B">
      <w:pPr>
        <w:spacing w:line="360" w:lineRule="auto"/>
        <w:ind w:firstLine="420" w:firstLineChars="200"/>
        <w:jc w:val="left"/>
        <w:rPr>
          <w:rFonts w:hint="default" w:ascii="宋体" w:hAnsi="宋体"/>
          <w:color w:val="auto"/>
          <w:sz w:val="21"/>
          <w:szCs w:val="21"/>
          <w:lang w:val="en-US" w:eastAsia="zh-CN"/>
        </w:rPr>
      </w:pPr>
      <w:r>
        <w:rPr>
          <w:rFonts w:hint="eastAsia" w:ascii="宋体" w:hAnsi="宋体"/>
          <w:color w:val="auto"/>
          <w:sz w:val="21"/>
          <w:szCs w:val="21"/>
          <w:lang w:val="en-US" w:eastAsia="zh-CN"/>
        </w:rPr>
        <w:t>4.辣椒酱调味料包装规格25千克/袋，外包装为带盖塑料桶。</w:t>
      </w:r>
    </w:p>
    <w:p w14:paraId="263F0275">
      <w:pPr>
        <w:pStyle w:val="6"/>
        <w:bidi w:val="0"/>
        <w:rPr>
          <w:rFonts w:hint="eastAsia"/>
          <w:lang w:val="en-US" w:eastAsia="zh-CN"/>
        </w:rPr>
      </w:pPr>
      <w:r>
        <w:rPr>
          <w:rFonts w:hint="eastAsia"/>
          <w:lang w:val="en-US" w:eastAsia="zh-CN"/>
        </w:rPr>
        <w:t>（三）半固态复合调味料工艺要求和工艺流程图</w:t>
      </w:r>
    </w:p>
    <w:p w14:paraId="1E7AF2AC">
      <w:pPr>
        <w:pStyle w:val="5"/>
        <w:bidi w:val="0"/>
        <w:rPr>
          <w:rFonts w:hint="eastAsia"/>
          <w:lang w:val="en-US" w:eastAsia="zh-CN"/>
        </w:rPr>
      </w:pPr>
      <w:r>
        <w:rPr>
          <w:rFonts w:hint="eastAsia"/>
          <w:lang w:val="en-US" w:eastAsia="zh-CN"/>
        </w:rPr>
        <w:t>1.辣椒油工艺</w:t>
      </w:r>
    </w:p>
    <w:p w14:paraId="331E2A74">
      <w:pPr>
        <w:numPr>
          <w:ilvl w:val="0"/>
          <w:numId w:val="0"/>
        </w:numPr>
        <w:spacing w:line="360" w:lineRule="auto"/>
        <w:ind w:left="360" w:leftChars="0" w:firstLine="420" w:firstLineChars="200"/>
        <w:rPr>
          <w:rFonts w:hint="eastAsia" w:ascii="宋体" w:hAnsi="宋体"/>
          <w:b w:val="0"/>
          <w:bCs w:val="0"/>
          <w:sz w:val="21"/>
          <w:szCs w:val="21"/>
          <w:lang w:val="en-US" w:eastAsia="zh-CN"/>
        </w:rPr>
      </w:pPr>
      <w:r>
        <w:rPr>
          <w:rFonts w:hint="eastAsia" w:ascii="宋体" w:hAnsi="宋体"/>
          <w:b w:val="0"/>
          <w:bCs w:val="0"/>
          <w:sz w:val="21"/>
          <w:szCs w:val="21"/>
          <w:lang w:val="en-US" w:eastAsia="zh-CN"/>
        </w:rPr>
        <w:t>油罐---泵入燃气加热</w:t>
      </w:r>
      <w:r>
        <w:rPr>
          <w:rFonts w:hint="eastAsia" w:ascii="宋体" w:hAnsi="宋体"/>
          <w:b w:val="0"/>
          <w:bCs w:val="0"/>
          <w:color w:val="auto"/>
          <w:sz w:val="21"/>
          <w:szCs w:val="21"/>
          <w:lang w:val="en-US" w:eastAsia="zh-CN"/>
        </w:rPr>
        <w:t>断生炼油锅</w:t>
      </w:r>
      <w:r>
        <w:rPr>
          <w:rFonts w:hint="eastAsia" w:ascii="宋体" w:hAnsi="宋体"/>
          <w:b w:val="0"/>
          <w:bCs w:val="0"/>
          <w:sz w:val="21"/>
          <w:szCs w:val="21"/>
          <w:lang w:val="en-US" w:eastAsia="zh-CN"/>
        </w:rPr>
        <w:t>---高温断生（240℃）---管式冷却（130</w:t>
      </w:r>
      <w:r>
        <w:rPr>
          <w:rFonts w:hint="eastAsia" w:ascii="宋体" w:hAnsi="宋体" w:eastAsia="宋体" w:cs="宋体"/>
          <w:b w:val="0"/>
          <w:bCs w:val="0"/>
          <w:sz w:val="21"/>
          <w:szCs w:val="21"/>
          <w:lang w:val="en-US" w:eastAsia="zh-CN"/>
        </w:rPr>
        <w:t>℃</w:t>
      </w:r>
      <w:r>
        <w:rPr>
          <w:rFonts w:hint="eastAsia" w:ascii="宋体" w:hAnsi="宋体"/>
          <w:b w:val="0"/>
          <w:bCs w:val="0"/>
          <w:sz w:val="21"/>
          <w:szCs w:val="21"/>
          <w:lang w:val="en-US" w:eastAsia="zh-CN"/>
        </w:rPr>
        <w:t>）---泵入浸提罐（蒸汽夹层罐）---加入辣椒粉---恒温加热浸提（浸提罐带搅拌）---离心机油渣分离---辣椒油。</w:t>
      </w:r>
    </w:p>
    <w:p w14:paraId="6D08D1B8">
      <w:pPr>
        <w:numPr>
          <w:ilvl w:val="0"/>
          <w:numId w:val="0"/>
        </w:numPr>
        <w:spacing w:line="360" w:lineRule="auto"/>
        <w:ind w:left="360" w:leftChars="0" w:firstLine="420" w:firstLineChars="200"/>
        <w:rPr>
          <w:rFonts w:hint="default" w:ascii="宋体" w:hAnsi="宋体"/>
          <w:b w:val="0"/>
          <w:bCs w:val="0"/>
          <w:color w:val="auto"/>
          <w:sz w:val="21"/>
          <w:szCs w:val="21"/>
          <w:lang w:val="en-US" w:eastAsia="zh-CN"/>
        </w:rPr>
      </w:pPr>
      <w:r>
        <w:rPr>
          <w:rFonts w:hint="eastAsia" w:ascii="宋体" w:hAnsi="宋体"/>
          <w:b w:val="0"/>
          <w:bCs w:val="0"/>
          <w:color w:val="auto"/>
          <w:sz w:val="21"/>
          <w:szCs w:val="21"/>
          <w:lang w:val="en-US" w:eastAsia="zh-CN"/>
        </w:rPr>
        <w:t>辣椒渣离心后含油率要求低于3%，如果离心后含油率不达标要求采用压榨设备辣椒渣再进行一次压榨，榨出辣椒渣中的油脂。</w:t>
      </w:r>
    </w:p>
    <w:p w14:paraId="56D0D880">
      <w:pPr>
        <w:pStyle w:val="5"/>
        <w:numPr>
          <w:ilvl w:val="0"/>
          <w:numId w:val="3"/>
        </w:numPr>
        <w:bidi w:val="0"/>
        <w:rPr>
          <w:rFonts w:hint="eastAsia"/>
          <w:lang w:val="en-US" w:eastAsia="zh-CN"/>
        </w:rPr>
      </w:pPr>
      <w:r>
        <w:rPr>
          <w:rFonts w:hint="eastAsia"/>
          <w:lang w:val="en-US" w:eastAsia="zh-CN"/>
        </w:rPr>
        <w:t>香辛料浸提工艺</w:t>
      </w:r>
    </w:p>
    <w:p w14:paraId="619A0C5D">
      <w:pPr>
        <w:numPr>
          <w:ilvl w:val="0"/>
          <w:numId w:val="0"/>
        </w:numPr>
        <w:spacing w:line="360" w:lineRule="auto"/>
        <w:ind w:firstLine="420" w:firstLineChars="200"/>
        <w:rPr>
          <w:rFonts w:hint="eastAsia" w:ascii="Calibri" w:hAnsi="Calibri" w:cs="Calibri"/>
          <w:b w:val="0"/>
          <w:bCs w:val="0"/>
          <w:sz w:val="21"/>
          <w:szCs w:val="21"/>
          <w:lang w:val="en-US" w:eastAsia="zh-CN"/>
        </w:rPr>
      </w:pPr>
      <w:r>
        <w:rPr>
          <w:rFonts w:hint="default" w:ascii="Calibri" w:hAnsi="Calibri" w:cs="Calibri"/>
          <w:b w:val="0"/>
          <w:bCs w:val="0"/>
          <w:sz w:val="21"/>
          <w:szCs w:val="21"/>
          <w:lang w:val="en-US" w:eastAsia="zh-CN"/>
        </w:rPr>
        <w:t>①</w:t>
      </w:r>
      <w:r>
        <w:rPr>
          <w:rFonts w:hint="eastAsia" w:ascii="Calibri" w:hAnsi="Calibri" w:cs="Calibri"/>
          <w:b w:val="0"/>
          <w:bCs w:val="0"/>
          <w:sz w:val="21"/>
          <w:szCs w:val="21"/>
          <w:lang w:val="en-US" w:eastAsia="zh-CN"/>
        </w:rPr>
        <w:t>第一次油浸提</w:t>
      </w:r>
    </w:p>
    <w:p w14:paraId="3CB72263">
      <w:pPr>
        <w:numPr>
          <w:ilvl w:val="0"/>
          <w:numId w:val="0"/>
        </w:numPr>
        <w:spacing w:line="360" w:lineRule="auto"/>
        <w:ind w:firstLine="420" w:firstLineChars="200"/>
        <w:rPr>
          <w:rFonts w:hint="default" w:ascii="宋体" w:hAnsi="宋体" w:eastAsia="宋体"/>
          <w:sz w:val="21"/>
          <w:szCs w:val="21"/>
          <w:lang w:val="en-US" w:eastAsia="zh-CN"/>
        </w:rPr>
      </w:pPr>
      <w:r>
        <w:rPr>
          <w:rFonts w:hint="eastAsia" w:ascii="宋体" w:hAnsi="宋体"/>
          <w:b w:val="0"/>
          <w:bCs w:val="0"/>
          <w:sz w:val="21"/>
          <w:szCs w:val="21"/>
          <w:lang w:val="en-US" w:eastAsia="zh-CN"/>
        </w:rPr>
        <w:t>油罐---泵入燃气加热</w:t>
      </w:r>
      <w:r>
        <w:rPr>
          <w:rFonts w:hint="eastAsia" w:ascii="宋体" w:hAnsi="宋体"/>
          <w:b w:val="0"/>
          <w:bCs w:val="0"/>
          <w:color w:val="auto"/>
          <w:sz w:val="21"/>
          <w:szCs w:val="21"/>
          <w:lang w:val="en-US" w:eastAsia="zh-CN"/>
        </w:rPr>
        <w:t>断生炼油锅</w:t>
      </w:r>
      <w:r>
        <w:rPr>
          <w:rFonts w:hint="eastAsia" w:ascii="宋体" w:hAnsi="宋体"/>
          <w:b w:val="0"/>
          <w:bCs w:val="0"/>
          <w:sz w:val="21"/>
          <w:szCs w:val="21"/>
          <w:lang w:val="en-US" w:eastAsia="zh-CN"/>
        </w:rPr>
        <w:t>---高温断生（240℃）---管式冷却（130</w:t>
      </w:r>
      <w:r>
        <w:rPr>
          <w:rFonts w:hint="eastAsia" w:ascii="宋体" w:hAnsi="宋体" w:eastAsia="宋体" w:cs="宋体"/>
          <w:b w:val="0"/>
          <w:bCs w:val="0"/>
          <w:sz w:val="21"/>
          <w:szCs w:val="21"/>
          <w:lang w:val="en-US" w:eastAsia="zh-CN"/>
        </w:rPr>
        <w:t>℃</w:t>
      </w:r>
      <w:r>
        <w:rPr>
          <w:rFonts w:hint="eastAsia" w:ascii="宋体" w:hAnsi="宋体"/>
          <w:b w:val="0"/>
          <w:bCs w:val="0"/>
          <w:sz w:val="21"/>
          <w:szCs w:val="21"/>
          <w:lang w:val="en-US" w:eastAsia="zh-CN"/>
        </w:rPr>
        <w:t>）---泵入浸提罐（蒸汽夹层罐）---加入香辛料---恒温加热浸提（浸提罐带搅拌）---离心机油渣分离---浸提油直接用于复合半固态调味料生产。</w:t>
      </w:r>
    </w:p>
    <w:p w14:paraId="22A7F50A">
      <w:pPr>
        <w:pStyle w:val="7"/>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20" w:firstLineChars="200"/>
        <w:textAlignment w:val="auto"/>
        <w:rPr>
          <w:rFonts w:hint="eastAsia" w:ascii="Calibri" w:hAnsi="Calibri" w:cs="Calibri"/>
          <w:sz w:val="21"/>
          <w:szCs w:val="21"/>
          <w:lang w:val="en-US" w:eastAsia="zh-CN"/>
        </w:rPr>
      </w:pPr>
      <w:r>
        <w:rPr>
          <w:rFonts w:hint="default" w:ascii="Calibri" w:hAnsi="Calibri" w:cs="Calibri"/>
          <w:sz w:val="21"/>
          <w:szCs w:val="21"/>
          <w:lang w:val="en-US" w:eastAsia="zh-CN"/>
        </w:rPr>
        <w:t>②</w:t>
      </w:r>
      <w:r>
        <w:rPr>
          <w:rFonts w:hint="eastAsia" w:ascii="Calibri" w:hAnsi="Calibri" w:cs="Calibri"/>
          <w:sz w:val="21"/>
          <w:szCs w:val="21"/>
          <w:lang w:val="en-US" w:eastAsia="zh-CN"/>
        </w:rPr>
        <w:t>第二次用水浸提</w:t>
      </w:r>
    </w:p>
    <w:p w14:paraId="3252AD81">
      <w:pPr>
        <w:pStyle w:val="7"/>
        <w:keepNext w:val="0"/>
        <w:keepLines w:val="0"/>
        <w:pageBreakBefore w:val="0"/>
        <w:numPr>
          <w:ilvl w:val="0"/>
          <w:numId w:val="0"/>
        </w:numPr>
        <w:kinsoku/>
        <w:wordWrap/>
        <w:overflowPunct/>
        <w:topLinePunct w:val="0"/>
        <w:bidi w:val="0"/>
        <w:spacing w:line="360" w:lineRule="auto"/>
        <w:ind w:firstLine="420" w:firstLineChars="200"/>
        <w:textAlignment w:val="auto"/>
        <w:rPr>
          <w:rFonts w:hint="default"/>
          <w:sz w:val="21"/>
          <w:szCs w:val="21"/>
          <w:lang w:val="en-US" w:eastAsia="zh-CN"/>
        </w:rPr>
      </w:pPr>
      <w:r>
        <w:rPr>
          <w:rFonts w:hint="eastAsia" w:ascii="Calibri" w:hAnsi="Calibri" w:cs="Calibri"/>
          <w:sz w:val="21"/>
          <w:szCs w:val="21"/>
          <w:lang w:val="en-US" w:eastAsia="zh-CN"/>
        </w:rPr>
        <w:t>香辛料渣（第一用油浸提后离心后的渣）</w:t>
      </w:r>
      <w:r>
        <w:rPr>
          <w:rFonts w:hint="eastAsia" w:ascii="宋体" w:hAnsi="宋体"/>
          <w:b w:val="0"/>
          <w:bCs w:val="0"/>
          <w:sz w:val="21"/>
          <w:szCs w:val="21"/>
          <w:lang w:val="en-US" w:eastAsia="zh-CN"/>
        </w:rPr>
        <w:t>---</w:t>
      </w:r>
      <w:r>
        <w:rPr>
          <w:rFonts w:hint="eastAsia" w:ascii="Calibri" w:hAnsi="Calibri" w:cs="Calibri"/>
          <w:sz w:val="21"/>
          <w:szCs w:val="21"/>
          <w:lang w:val="en-US" w:eastAsia="zh-CN"/>
        </w:rPr>
        <w:t>倒入浸提罐</w:t>
      </w:r>
      <w:r>
        <w:rPr>
          <w:rFonts w:hint="eastAsia" w:ascii="宋体" w:hAnsi="宋体"/>
          <w:b w:val="0"/>
          <w:bCs w:val="0"/>
          <w:sz w:val="21"/>
          <w:szCs w:val="21"/>
          <w:lang w:val="en-US" w:eastAsia="zh-CN"/>
        </w:rPr>
        <w:t>---</w:t>
      </w:r>
      <w:r>
        <w:rPr>
          <w:rFonts w:hint="eastAsia" w:ascii="Calibri" w:hAnsi="Calibri" w:cs="Calibri"/>
          <w:sz w:val="21"/>
          <w:szCs w:val="21"/>
          <w:lang w:val="en-US" w:eastAsia="zh-CN"/>
        </w:rPr>
        <w:t>加入榨菜汁/</w:t>
      </w:r>
      <w:r>
        <w:rPr>
          <w:rFonts w:hint="eastAsia" w:ascii="Calibri" w:hAnsi="Calibri" w:cs="Calibri"/>
          <w:color w:val="auto"/>
          <w:sz w:val="21"/>
          <w:szCs w:val="21"/>
          <w:lang w:val="en-US" w:eastAsia="zh-CN"/>
        </w:rPr>
        <w:t>生活饮用水</w:t>
      </w:r>
      <w:r>
        <w:rPr>
          <w:rFonts w:hint="eastAsia" w:ascii="宋体" w:hAnsi="宋体"/>
          <w:b w:val="0"/>
          <w:bCs w:val="0"/>
          <w:sz w:val="21"/>
          <w:szCs w:val="21"/>
          <w:lang w:val="en-US" w:eastAsia="zh-CN"/>
        </w:rPr>
        <w:t>---</w:t>
      </w:r>
      <w:r>
        <w:rPr>
          <w:rFonts w:hint="eastAsia" w:ascii="Calibri" w:hAnsi="Calibri" w:cs="Calibri"/>
          <w:sz w:val="21"/>
          <w:szCs w:val="21"/>
          <w:lang w:val="en-US" w:eastAsia="zh-CN"/>
        </w:rPr>
        <w:t>罐体内浸提（罐带搅拌、恒温）</w:t>
      </w:r>
      <w:r>
        <w:rPr>
          <w:rFonts w:hint="eastAsia" w:ascii="宋体" w:hAnsi="宋体"/>
          <w:b w:val="0"/>
          <w:bCs w:val="0"/>
          <w:sz w:val="21"/>
          <w:szCs w:val="21"/>
          <w:lang w:val="en-US" w:eastAsia="zh-CN"/>
        </w:rPr>
        <w:t>---</w:t>
      </w:r>
      <w:r>
        <w:rPr>
          <w:rFonts w:hint="eastAsia" w:ascii="Calibri" w:hAnsi="Calibri" w:cs="Calibri"/>
          <w:sz w:val="21"/>
          <w:szCs w:val="21"/>
          <w:lang w:val="en-US" w:eastAsia="zh-CN"/>
        </w:rPr>
        <w:t>自动离心分离</w:t>
      </w:r>
      <w:r>
        <w:rPr>
          <w:rFonts w:hint="eastAsia" w:ascii="宋体" w:hAnsi="宋体"/>
          <w:b w:val="0"/>
          <w:bCs w:val="0"/>
          <w:sz w:val="21"/>
          <w:szCs w:val="21"/>
          <w:lang w:val="en-US" w:eastAsia="zh-CN"/>
        </w:rPr>
        <w:t>---</w:t>
      </w:r>
      <w:r>
        <w:rPr>
          <w:rFonts w:hint="eastAsia" w:ascii="Calibri" w:hAnsi="Calibri" w:cs="Calibri"/>
          <w:sz w:val="21"/>
          <w:szCs w:val="21"/>
          <w:lang w:val="en-US" w:eastAsia="zh-CN"/>
        </w:rPr>
        <w:t>浸提水用于</w:t>
      </w:r>
      <w:r>
        <w:rPr>
          <w:rFonts w:hint="eastAsia" w:ascii="宋体" w:hAnsi="宋体"/>
          <w:b w:val="0"/>
          <w:bCs w:val="0"/>
          <w:sz w:val="21"/>
          <w:szCs w:val="21"/>
          <w:lang w:val="en-US" w:eastAsia="zh-CN"/>
        </w:rPr>
        <w:t>复合半固态调味料</w:t>
      </w:r>
      <w:r>
        <w:rPr>
          <w:rFonts w:hint="eastAsia" w:ascii="Calibri" w:hAnsi="Calibri" w:cs="Calibri"/>
          <w:sz w:val="21"/>
          <w:szCs w:val="21"/>
          <w:lang w:val="en-US" w:eastAsia="zh-CN"/>
        </w:rPr>
        <w:t>生产（渣废弃）。</w:t>
      </w:r>
    </w:p>
    <w:p w14:paraId="2F222A01">
      <w:pPr>
        <w:pStyle w:val="5"/>
        <w:numPr>
          <w:ilvl w:val="0"/>
          <w:numId w:val="3"/>
        </w:numPr>
        <w:bidi w:val="0"/>
        <w:rPr>
          <w:rFonts w:hint="eastAsia"/>
          <w:lang w:val="en-US" w:eastAsia="zh-CN"/>
        </w:rPr>
      </w:pPr>
      <w:r>
        <w:rPr>
          <w:rFonts w:hint="eastAsia"/>
          <w:lang w:val="en-US" w:eastAsia="zh-CN"/>
        </w:rPr>
        <w:t>半固态复合调味料生产工艺</w:t>
      </w:r>
    </w:p>
    <w:p w14:paraId="4703093D">
      <w:pPr>
        <w:pStyle w:val="7"/>
        <w:keepNext w:val="0"/>
        <w:keepLines w:val="0"/>
        <w:pageBreakBefore w:val="0"/>
        <w:numPr>
          <w:ilvl w:val="0"/>
          <w:numId w:val="0"/>
        </w:numPr>
        <w:kinsoku/>
        <w:wordWrap/>
        <w:overflowPunct/>
        <w:topLinePunct w:val="0"/>
        <w:bidi w:val="0"/>
        <w:spacing w:line="360" w:lineRule="auto"/>
        <w:ind w:leftChars="0" w:firstLine="210" w:firstLineChars="100"/>
        <w:textAlignment w:val="auto"/>
        <w:rPr>
          <w:rFonts w:hint="eastAsia"/>
          <w:color w:val="auto"/>
          <w:sz w:val="21"/>
          <w:szCs w:val="21"/>
          <w:lang w:val="en-US" w:eastAsia="zh-CN"/>
        </w:rPr>
      </w:pPr>
      <w:r>
        <w:rPr>
          <w:rFonts w:hint="eastAsia"/>
          <w:color w:val="auto"/>
          <w:sz w:val="21"/>
          <w:szCs w:val="21"/>
          <w:lang w:val="en-US" w:eastAsia="zh-CN"/>
        </w:rPr>
        <w:t>本次重点的工艺要求：</w:t>
      </w:r>
    </w:p>
    <w:p w14:paraId="6843556D">
      <w:pPr>
        <w:pStyle w:val="7"/>
        <w:keepNext w:val="0"/>
        <w:keepLines w:val="0"/>
        <w:pageBreakBefore w:val="0"/>
        <w:numPr>
          <w:ilvl w:val="0"/>
          <w:numId w:val="0"/>
        </w:numPr>
        <w:kinsoku/>
        <w:wordWrap/>
        <w:overflowPunct/>
        <w:topLinePunct w:val="0"/>
        <w:bidi w:val="0"/>
        <w:spacing w:line="360" w:lineRule="auto"/>
        <w:textAlignment w:val="auto"/>
        <w:rPr>
          <w:rFonts w:hint="eastAsia"/>
          <w:color w:val="auto"/>
          <w:sz w:val="21"/>
          <w:szCs w:val="21"/>
          <w:lang w:val="en-US" w:eastAsia="zh-CN"/>
        </w:rPr>
      </w:pPr>
      <w:r>
        <w:rPr>
          <w:rFonts w:hint="eastAsia" w:eastAsia="宋体"/>
          <w:color w:val="auto"/>
          <w:kern w:val="2"/>
          <w:sz w:val="21"/>
          <w:szCs w:val="21"/>
          <w:lang w:val="en-US" w:eastAsia="zh-CN" w:bidi="ar-SA"/>
        </w:rPr>
        <w:t>（1）</w:t>
      </w:r>
      <w:r>
        <w:rPr>
          <w:rFonts w:hint="eastAsia"/>
          <w:color w:val="auto"/>
          <w:sz w:val="21"/>
          <w:szCs w:val="21"/>
          <w:lang w:val="en-US" w:eastAsia="zh-CN"/>
        </w:rPr>
        <w:t>浸提油先</w:t>
      </w:r>
      <w:r>
        <w:rPr>
          <w:rFonts w:hint="eastAsia" w:ascii="Times New Roman" w:hAnsi="Times New Roman" w:eastAsia="宋体" w:cs="Times New Roman"/>
          <w:color w:val="auto"/>
          <w:sz w:val="21"/>
          <w:szCs w:val="21"/>
          <w:lang w:val="en-US" w:eastAsia="zh-CN"/>
        </w:rPr>
        <w:t>用</w:t>
      </w:r>
      <w:r>
        <w:rPr>
          <w:rFonts w:hint="eastAsia" w:ascii="Times New Roman" w:hAnsi="Times New Roman" w:eastAsia="宋体" w:cs="Times New Roman"/>
          <w:b w:val="0"/>
          <w:bCs w:val="0"/>
          <w:color w:val="auto"/>
          <w:sz w:val="21"/>
          <w:szCs w:val="21"/>
          <w:lang w:val="en-US" w:eastAsia="zh-CN"/>
        </w:rPr>
        <w:t>断生炼油锅（天然气加热）</w:t>
      </w:r>
      <w:r>
        <w:rPr>
          <w:rFonts w:hint="eastAsia"/>
          <w:color w:val="auto"/>
          <w:sz w:val="21"/>
          <w:szCs w:val="21"/>
          <w:lang w:val="en-US" w:eastAsia="zh-CN"/>
        </w:rPr>
        <w:t>断生（温度在240</w:t>
      </w:r>
      <w:r>
        <w:rPr>
          <w:rFonts w:hint="eastAsia" w:ascii="宋体" w:hAnsi="宋体" w:eastAsia="宋体" w:cs="宋体"/>
          <w:color w:val="auto"/>
          <w:sz w:val="21"/>
          <w:szCs w:val="21"/>
          <w:lang w:val="en-US" w:eastAsia="zh-CN"/>
        </w:rPr>
        <w:t>℃</w:t>
      </w:r>
      <w:r>
        <w:rPr>
          <w:rFonts w:hint="eastAsia"/>
          <w:color w:val="auto"/>
          <w:sz w:val="21"/>
          <w:szCs w:val="21"/>
          <w:lang w:val="en-US" w:eastAsia="zh-CN"/>
        </w:rPr>
        <w:t>左右），断生后的油冷却后再泵入香辛料浸提油罐，浸提油罐为蒸汽夹层加热方式。断生炼油锅和浸提油罐需要增加抽油烟装置。</w:t>
      </w:r>
    </w:p>
    <w:p w14:paraId="357A0D05">
      <w:pPr>
        <w:pStyle w:val="7"/>
        <w:keepNext w:val="0"/>
        <w:keepLines w:val="0"/>
        <w:pageBreakBefore w:val="0"/>
        <w:numPr>
          <w:ilvl w:val="0"/>
          <w:numId w:val="0"/>
        </w:numPr>
        <w:kinsoku/>
        <w:wordWrap/>
        <w:overflowPunct/>
        <w:topLinePunct w:val="0"/>
        <w:bidi w:val="0"/>
        <w:spacing w:line="360" w:lineRule="auto"/>
        <w:textAlignment w:val="auto"/>
        <w:rPr>
          <w:rFonts w:hint="eastAsia"/>
          <w:color w:val="auto"/>
          <w:sz w:val="21"/>
          <w:szCs w:val="21"/>
          <w:lang w:val="en-US" w:eastAsia="zh-CN"/>
        </w:rPr>
      </w:pPr>
      <w:r>
        <w:rPr>
          <w:rFonts w:hint="eastAsia"/>
          <w:color w:val="auto"/>
          <w:sz w:val="21"/>
          <w:szCs w:val="21"/>
          <w:lang w:val="en-US" w:eastAsia="zh-CN"/>
        </w:rPr>
        <w:t>（2）香辛料油渣分离和香辛料水渣分离机要求为全自动。</w:t>
      </w:r>
    </w:p>
    <w:p w14:paraId="60C9F366">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color w:val="auto"/>
          <w:sz w:val="21"/>
          <w:szCs w:val="21"/>
          <w:lang w:val="en-US" w:eastAsia="zh-CN"/>
        </w:rPr>
      </w:pPr>
      <w:r>
        <w:rPr>
          <w:rFonts w:hint="eastAsia"/>
          <w:color w:val="auto"/>
          <w:sz w:val="21"/>
          <w:szCs w:val="21"/>
          <w:lang w:val="en-US" w:eastAsia="zh-CN"/>
        </w:rPr>
        <w:t>（3）全部浸提罐投料方式要全自动投料，减少人力，提高效率、减少出错。</w:t>
      </w:r>
    </w:p>
    <w:p w14:paraId="63862AFF">
      <w:pPr>
        <w:pStyle w:val="7"/>
        <w:keepNext w:val="0"/>
        <w:keepLines w:val="0"/>
        <w:pageBreakBefore w:val="0"/>
        <w:numPr>
          <w:ilvl w:val="0"/>
          <w:numId w:val="0"/>
        </w:numPr>
        <w:kinsoku/>
        <w:wordWrap/>
        <w:overflowPunct/>
        <w:topLinePunct w:val="0"/>
        <w:bidi w:val="0"/>
        <w:spacing w:line="360" w:lineRule="auto"/>
        <w:ind w:leftChars="0"/>
        <w:textAlignment w:val="auto"/>
        <w:rPr>
          <w:rFonts w:hint="default" w:eastAsia="宋体"/>
          <w:color w:val="auto"/>
          <w:sz w:val="21"/>
          <w:szCs w:val="21"/>
          <w:lang w:val="en-US" w:eastAsia="zh-CN"/>
        </w:rPr>
      </w:pPr>
      <w:r>
        <w:rPr>
          <w:rFonts w:hint="eastAsia"/>
          <w:color w:val="auto"/>
          <w:sz w:val="21"/>
          <w:szCs w:val="21"/>
          <w:lang w:val="en-US" w:eastAsia="zh-CN"/>
        </w:rPr>
        <w:t>（4）香辛料油浸提后的渣上到煮水罐料位置时，不在夹层上料，在车间地面采用其它自动上料方式入到煮水罐内。</w:t>
      </w:r>
    </w:p>
    <w:p w14:paraId="3904828D">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w:t>
      </w:r>
      <w:r>
        <w:rPr>
          <w:rFonts w:hint="eastAsia" w:ascii="宋体" w:hAnsi="宋体" w:cs="宋体"/>
          <w:color w:val="auto"/>
          <w:sz w:val="21"/>
          <w:szCs w:val="21"/>
          <w:lang w:val="en-US" w:eastAsia="zh-CN"/>
        </w:rPr>
        <w:t>5</w:t>
      </w:r>
      <w:r>
        <w:rPr>
          <w:rFonts w:hint="eastAsia" w:ascii="宋体" w:hAnsi="宋体" w:eastAsia="宋体" w:cs="宋体"/>
          <w:color w:val="auto"/>
          <w:sz w:val="21"/>
          <w:szCs w:val="21"/>
          <w:lang w:val="en-US" w:eastAsia="zh-CN"/>
        </w:rPr>
        <w:t>）投料位置</w:t>
      </w:r>
      <w:r>
        <w:rPr>
          <w:rFonts w:hint="eastAsia" w:ascii="宋体" w:hAnsi="宋体" w:cs="宋体"/>
          <w:color w:val="auto"/>
          <w:sz w:val="21"/>
          <w:szCs w:val="21"/>
          <w:lang w:val="en-US" w:eastAsia="zh-CN"/>
        </w:rPr>
        <w:t>及方式</w:t>
      </w:r>
      <w:r>
        <w:rPr>
          <w:rFonts w:hint="eastAsia" w:ascii="宋体" w:hAnsi="宋体" w:eastAsia="宋体" w:cs="宋体"/>
          <w:color w:val="auto"/>
          <w:sz w:val="21"/>
          <w:szCs w:val="21"/>
          <w:lang w:val="en-US" w:eastAsia="zh-CN"/>
        </w:rPr>
        <w:t>：各罐体投料</w:t>
      </w:r>
      <w:r>
        <w:rPr>
          <w:rFonts w:hint="eastAsia" w:ascii="宋体" w:hAnsi="宋体" w:cs="宋体"/>
          <w:color w:val="auto"/>
          <w:sz w:val="21"/>
          <w:szCs w:val="21"/>
          <w:lang w:val="en-US" w:eastAsia="zh-CN"/>
        </w:rPr>
        <w:t>（香辛料、辅料）</w:t>
      </w:r>
      <w:r>
        <w:rPr>
          <w:rFonts w:hint="eastAsia" w:ascii="宋体" w:hAnsi="宋体" w:eastAsia="宋体" w:cs="宋体"/>
          <w:color w:val="auto"/>
          <w:sz w:val="21"/>
          <w:szCs w:val="21"/>
          <w:lang w:val="en-US" w:eastAsia="zh-CN"/>
        </w:rPr>
        <w:t>位置在</w:t>
      </w:r>
      <w:r>
        <w:rPr>
          <w:rFonts w:hint="eastAsia" w:ascii="宋体" w:hAnsi="宋体" w:cs="宋体"/>
          <w:color w:val="auto"/>
          <w:sz w:val="21"/>
          <w:szCs w:val="21"/>
          <w:lang w:val="en-US" w:eastAsia="zh-CN"/>
        </w:rPr>
        <w:t>二</w:t>
      </w:r>
      <w:r>
        <w:rPr>
          <w:rFonts w:hint="eastAsia" w:ascii="宋体" w:hAnsi="宋体" w:eastAsia="宋体" w:cs="宋体"/>
          <w:color w:val="auto"/>
          <w:sz w:val="21"/>
          <w:szCs w:val="21"/>
          <w:lang w:val="en-US" w:eastAsia="zh-CN"/>
        </w:rPr>
        <w:t>层的</w:t>
      </w:r>
      <w:r>
        <w:rPr>
          <w:rFonts w:hint="eastAsia" w:ascii="宋体" w:hAnsi="宋体" w:cs="宋体"/>
          <w:color w:val="auto"/>
          <w:sz w:val="21"/>
          <w:szCs w:val="21"/>
          <w:lang w:val="en-US" w:eastAsia="zh-CN"/>
        </w:rPr>
        <w:t>对应位置开孔、投料，投料位置在二楼集中配料区，投料方式为料仓、自动计量、入罐。香辛料及辅料投料罐及计量罐（或其他计量方式）由投标方建造；香辛料及辅料配比由集中配料车间完成，不在此标范围；各罐体位置可由投标方自行布局。投料设施结构方式要求简洁，设备系统不复杂。</w:t>
      </w:r>
    </w:p>
    <w:p w14:paraId="030B3B72">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cs="宋体"/>
          <w:color w:val="auto"/>
          <w:sz w:val="21"/>
          <w:szCs w:val="21"/>
          <w:lang w:val="en-US" w:eastAsia="zh-CN"/>
        </w:rPr>
      </w:pPr>
      <w:r>
        <w:rPr>
          <w:rFonts w:hint="eastAsia" w:ascii="宋体" w:hAnsi="宋体" w:eastAsia="宋体" w:cs="宋体"/>
          <w:color w:val="auto"/>
          <w:sz w:val="21"/>
          <w:szCs w:val="21"/>
          <w:lang w:val="en-US" w:eastAsia="zh-CN"/>
        </w:rPr>
        <w:t>（</w:t>
      </w:r>
      <w:r>
        <w:rPr>
          <w:rFonts w:hint="eastAsia" w:ascii="宋体" w:hAnsi="宋体" w:cs="宋体"/>
          <w:color w:val="auto"/>
          <w:sz w:val="21"/>
          <w:szCs w:val="21"/>
          <w:lang w:val="en-US" w:eastAsia="zh-CN"/>
        </w:rPr>
        <w:t>6</w:t>
      </w:r>
      <w:r>
        <w:rPr>
          <w:rFonts w:hint="eastAsia" w:ascii="宋体" w:hAnsi="宋体" w:eastAsia="宋体" w:cs="宋体"/>
          <w:color w:val="auto"/>
          <w:sz w:val="21"/>
          <w:szCs w:val="21"/>
          <w:lang w:val="en-US" w:eastAsia="zh-CN"/>
        </w:rPr>
        <w:t>）投料</w:t>
      </w:r>
      <w:r>
        <w:rPr>
          <w:rFonts w:hint="eastAsia" w:ascii="宋体" w:hAnsi="宋体" w:cs="宋体"/>
          <w:color w:val="auto"/>
          <w:sz w:val="21"/>
          <w:szCs w:val="21"/>
          <w:lang w:val="en-US" w:eastAsia="zh-CN"/>
        </w:rPr>
        <w:t>纠错</w:t>
      </w:r>
      <w:r>
        <w:rPr>
          <w:rFonts w:hint="eastAsia" w:ascii="宋体" w:hAnsi="宋体" w:eastAsia="宋体" w:cs="宋体"/>
          <w:color w:val="auto"/>
          <w:sz w:val="21"/>
          <w:szCs w:val="21"/>
          <w:lang w:val="en-US" w:eastAsia="zh-CN"/>
        </w:rPr>
        <w:t>：各罐需要</w:t>
      </w:r>
      <w:r>
        <w:rPr>
          <w:rFonts w:hint="eastAsia" w:ascii="宋体" w:hAnsi="宋体" w:cs="宋体"/>
          <w:color w:val="auto"/>
          <w:sz w:val="21"/>
          <w:szCs w:val="21"/>
          <w:lang w:val="en-US" w:eastAsia="zh-CN"/>
        </w:rPr>
        <w:t>的</w:t>
      </w:r>
      <w:r>
        <w:rPr>
          <w:rFonts w:hint="eastAsia" w:ascii="宋体" w:hAnsi="宋体" w:eastAsia="宋体" w:cs="宋体"/>
          <w:color w:val="auto"/>
          <w:sz w:val="21"/>
          <w:szCs w:val="21"/>
          <w:lang w:val="en-US" w:eastAsia="zh-CN"/>
        </w:rPr>
        <w:t>物料</w:t>
      </w:r>
      <w:r>
        <w:rPr>
          <w:rFonts w:hint="eastAsia" w:ascii="宋体" w:hAnsi="宋体" w:cs="宋体"/>
          <w:color w:val="auto"/>
          <w:sz w:val="21"/>
          <w:szCs w:val="21"/>
          <w:lang w:val="en-US" w:eastAsia="zh-CN"/>
        </w:rPr>
        <w:t>要实现</w:t>
      </w:r>
      <w:r>
        <w:rPr>
          <w:rFonts w:hint="eastAsia" w:ascii="宋体" w:hAnsi="宋体" w:eastAsia="宋体" w:cs="宋体"/>
          <w:color w:val="auto"/>
          <w:sz w:val="21"/>
          <w:szCs w:val="21"/>
          <w:lang w:val="en-US" w:eastAsia="zh-CN"/>
        </w:rPr>
        <w:t>自动投料</w:t>
      </w:r>
      <w:r>
        <w:rPr>
          <w:rFonts w:hint="eastAsia" w:ascii="宋体" w:hAnsi="宋体" w:cs="宋体"/>
          <w:color w:val="auto"/>
          <w:sz w:val="21"/>
          <w:szCs w:val="21"/>
          <w:lang w:val="en-US" w:eastAsia="zh-CN"/>
        </w:rPr>
        <w:t>，并有自动防错功能。</w:t>
      </w:r>
    </w:p>
    <w:p w14:paraId="79D553C1">
      <w:pPr>
        <w:pStyle w:val="7"/>
        <w:keepNext w:val="0"/>
        <w:keepLines w:val="0"/>
        <w:pageBreakBefore w:val="0"/>
        <w:numPr>
          <w:ilvl w:val="0"/>
          <w:numId w:val="0"/>
        </w:numPr>
        <w:kinsoku/>
        <w:wordWrap/>
        <w:overflowPunct/>
        <w:topLinePunct w:val="0"/>
        <w:bidi w:val="0"/>
        <w:spacing w:line="360" w:lineRule="auto"/>
        <w:ind w:leftChars="0"/>
        <w:textAlignment w:val="auto"/>
        <w:rPr>
          <w:rFonts w:hint="default" w:ascii="宋体" w:hAnsi="宋体" w:cs="宋体"/>
          <w:b/>
          <w:bCs/>
          <w:color w:val="000000" w:themeColor="text1"/>
          <w:sz w:val="21"/>
          <w:szCs w:val="21"/>
          <w:lang w:val="en-US" w:eastAsia="zh-CN"/>
          <w14:textFill>
            <w14:solidFill>
              <w14:schemeClr w14:val="tx1"/>
            </w14:solidFill>
          </w14:textFill>
        </w:rPr>
      </w:pPr>
      <w:r>
        <w:rPr>
          <w:rFonts w:hint="eastAsia" w:ascii="宋体" w:hAnsi="宋体" w:cs="宋体"/>
          <w:b/>
          <w:bCs/>
          <w:color w:val="000000" w:themeColor="text1"/>
          <w:sz w:val="21"/>
          <w:szCs w:val="21"/>
          <w:lang w:val="en-US" w:eastAsia="zh-CN"/>
          <w14:textFill>
            <w14:solidFill>
              <w14:schemeClr w14:val="tx1"/>
            </w14:solidFill>
          </w14:textFill>
        </w:rPr>
        <w:t xml:space="preserve">  注：辅料为混合料，在二楼集中配料车间已提前预配好的混匀辅料和香辛料，本段不考虑辅料和香辛料的混匀与配比问题。</w:t>
      </w:r>
    </w:p>
    <w:p w14:paraId="2FB64F49">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7</w:t>
      </w:r>
      <w:r>
        <w:rPr>
          <w:rFonts w:hint="eastAsia" w:ascii="宋体" w:hAnsi="宋体" w:eastAsia="宋体" w:cs="宋体"/>
          <w:color w:val="auto"/>
          <w:sz w:val="21"/>
          <w:szCs w:val="21"/>
          <w:highlight w:val="none"/>
          <w:lang w:val="en-US" w:eastAsia="zh-CN"/>
        </w:rPr>
        <w:t>）投料计量区域的</w:t>
      </w:r>
      <w:r>
        <w:rPr>
          <w:rFonts w:hint="eastAsia" w:ascii="宋体" w:hAnsi="宋体" w:cs="宋体"/>
          <w:color w:val="auto"/>
          <w:sz w:val="21"/>
          <w:szCs w:val="21"/>
          <w:highlight w:val="none"/>
          <w:lang w:val="en-US" w:eastAsia="zh-CN"/>
        </w:rPr>
        <w:t>各种物料料仓要</w:t>
      </w:r>
      <w:r>
        <w:rPr>
          <w:rFonts w:hint="eastAsia" w:ascii="宋体" w:hAnsi="宋体" w:eastAsia="宋体" w:cs="宋体"/>
          <w:color w:val="auto"/>
          <w:sz w:val="21"/>
          <w:szCs w:val="21"/>
          <w:highlight w:val="none"/>
          <w:lang w:val="en-US" w:eastAsia="zh-CN"/>
        </w:rPr>
        <w:t>防止物料吸潮。</w:t>
      </w:r>
    </w:p>
    <w:p w14:paraId="74EB44DE">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eastAsia="宋体" w:cs="宋体"/>
          <w:sz w:val="21"/>
          <w:szCs w:val="21"/>
          <w:lang w:val="en-US" w:eastAsia="zh-CN"/>
        </w:rPr>
      </w:pPr>
      <w:r>
        <w:rPr>
          <w:rFonts w:hint="eastAsia" w:ascii="宋体" w:hAnsi="宋体" w:eastAsia="宋体" w:cs="宋体"/>
          <w:b w:val="0"/>
          <w:bCs w:val="0"/>
          <w:color w:val="auto"/>
          <w:sz w:val="21"/>
          <w:szCs w:val="21"/>
          <w:lang w:val="en-US" w:eastAsia="zh-CN"/>
        </w:rPr>
        <w:t>（</w:t>
      </w:r>
      <w:r>
        <w:rPr>
          <w:rFonts w:hint="eastAsia" w:ascii="宋体" w:hAnsi="宋体" w:cs="宋体"/>
          <w:b w:val="0"/>
          <w:bCs w:val="0"/>
          <w:color w:val="auto"/>
          <w:sz w:val="21"/>
          <w:szCs w:val="21"/>
          <w:lang w:val="en-US" w:eastAsia="zh-CN"/>
        </w:rPr>
        <w:t>8</w:t>
      </w:r>
      <w:r>
        <w:rPr>
          <w:rFonts w:hint="eastAsia" w:ascii="宋体" w:hAnsi="宋体" w:eastAsia="宋体" w:cs="宋体"/>
          <w:b w:val="0"/>
          <w:bCs w:val="0"/>
          <w:color w:val="auto"/>
          <w:sz w:val="21"/>
          <w:szCs w:val="21"/>
          <w:lang w:val="en-US" w:eastAsia="zh-CN"/>
        </w:rPr>
        <w:t>）香辛料第一次油浸提后离心，离心的香料渣需第二次入</w:t>
      </w:r>
      <w:r>
        <w:rPr>
          <w:rFonts w:hint="eastAsia" w:ascii="宋体" w:hAnsi="宋体" w:cs="宋体"/>
          <w:b w:val="0"/>
          <w:bCs w:val="0"/>
          <w:color w:val="auto"/>
          <w:sz w:val="21"/>
          <w:szCs w:val="21"/>
          <w:lang w:val="en-US" w:eastAsia="zh-CN"/>
        </w:rPr>
        <w:t>煮水罐（6个）</w:t>
      </w:r>
      <w:r>
        <w:rPr>
          <w:rFonts w:hint="eastAsia" w:ascii="宋体" w:hAnsi="宋体" w:eastAsia="宋体" w:cs="宋体"/>
          <w:b w:val="0"/>
          <w:bCs w:val="0"/>
          <w:color w:val="auto"/>
          <w:sz w:val="21"/>
          <w:szCs w:val="21"/>
          <w:lang w:val="en-US" w:eastAsia="zh-CN"/>
        </w:rPr>
        <w:t>。</w:t>
      </w:r>
      <w:r>
        <w:rPr>
          <w:rFonts w:hint="eastAsia" w:ascii="宋体" w:hAnsi="宋体" w:cs="宋体"/>
          <w:b w:val="0"/>
          <w:bCs w:val="0"/>
          <w:color w:val="auto"/>
          <w:sz w:val="21"/>
          <w:szCs w:val="21"/>
          <w:lang w:val="en-US" w:eastAsia="zh-CN"/>
        </w:rPr>
        <w:t>香料渣如何进入煮水罐由投标单位自行设计，要求采用自动方式。</w:t>
      </w:r>
    </w:p>
    <w:p w14:paraId="1AA69A58">
      <w:pPr>
        <w:pStyle w:val="7"/>
        <w:keepNext w:val="0"/>
        <w:keepLines w:val="0"/>
        <w:pageBreakBefore w:val="0"/>
        <w:numPr>
          <w:ilvl w:val="0"/>
          <w:numId w:val="0"/>
        </w:numPr>
        <w:kinsoku/>
        <w:wordWrap/>
        <w:overflowPunct/>
        <w:topLinePunct w:val="0"/>
        <w:bidi w:val="0"/>
        <w:spacing w:line="360" w:lineRule="auto"/>
        <w:ind w:leftChars="0"/>
        <w:textAlignment w:val="auto"/>
        <w:rPr>
          <w:rFonts w:hint="default"/>
          <w:color w:val="auto"/>
          <w:sz w:val="21"/>
          <w:szCs w:val="21"/>
          <w:lang w:val="en-US" w:eastAsia="zh-CN"/>
        </w:rPr>
      </w:pPr>
      <w:r>
        <w:rPr>
          <w:rFonts w:hint="eastAsia"/>
          <w:color w:val="auto"/>
          <w:sz w:val="21"/>
          <w:szCs w:val="21"/>
          <w:lang w:val="en-US" w:eastAsia="zh-CN"/>
        </w:rPr>
        <w:t>（9）无菌灌装要求：灌装为复合塑料袋，外包装形式为塑料筐和桶式，桶式为半自动人工灌装，后流入堆码区，塑料筐为自动码垛，桶式为人工码垛（桶为过度阶段，报废完后全部使用框式）。</w:t>
      </w:r>
    </w:p>
    <w:p w14:paraId="392FB083">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color w:val="auto"/>
          <w:sz w:val="21"/>
          <w:szCs w:val="21"/>
          <w:lang w:val="en-US" w:eastAsia="zh-CN"/>
        </w:rPr>
      </w:pPr>
      <w:r>
        <w:rPr>
          <w:rFonts w:hint="eastAsia"/>
          <w:color w:val="auto"/>
          <w:sz w:val="21"/>
          <w:szCs w:val="21"/>
          <w:lang w:val="en-US" w:eastAsia="zh-CN"/>
        </w:rPr>
        <w:t>（10）洗框/桶、</w:t>
      </w:r>
      <w:r>
        <w:rPr>
          <w:rFonts w:hint="eastAsia"/>
          <w:color w:val="auto"/>
          <w:sz w:val="21"/>
          <w:szCs w:val="21"/>
          <w:highlight w:val="none"/>
          <w:lang w:val="en-US" w:eastAsia="zh-CN"/>
        </w:rPr>
        <w:t>烘</w:t>
      </w:r>
      <w:r>
        <w:rPr>
          <w:rFonts w:hint="eastAsia"/>
          <w:color w:val="auto"/>
          <w:sz w:val="21"/>
          <w:szCs w:val="21"/>
          <w:lang w:val="en-US" w:eastAsia="zh-CN"/>
        </w:rPr>
        <w:t>干工序。洗框/桶工序是对重复使用的塑料框及盖进行清洗，清洗方式为碱、水采用热水（68</w:t>
      </w:r>
      <w:r>
        <w:rPr>
          <w:rFonts w:hint="eastAsia" w:ascii="宋体" w:hAnsi="宋体" w:eastAsia="宋体" w:cs="宋体"/>
          <w:color w:val="auto"/>
          <w:sz w:val="21"/>
          <w:szCs w:val="21"/>
          <w:lang w:val="en-US" w:eastAsia="zh-CN"/>
        </w:rPr>
        <w:t>℃</w:t>
      </w:r>
      <w:r>
        <w:rPr>
          <w:rFonts w:hint="eastAsia"/>
          <w:color w:val="auto"/>
          <w:sz w:val="21"/>
          <w:szCs w:val="21"/>
          <w:lang w:val="en-US" w:eastAsia="zh-CN"/>
        </w:rPr>
        <w:t>），清洗后有及时烘干装置，做到及清洗及时</w:t>
      </w:r>
      <w:r>
        <w:rPr>
          <w:rFonts w:hint="eastAsia"/>
          <w:color w:val="auto"/>
          <w:sz w:val="21"/>
          <w:szCs w:val="21"/>
          <w:highlight w:val="none"/>
          <w:lang w:val="en-US" w:eastAsia="zh-CN"/>
        </w:rPr>
        <w:t>烘</w:t>
      </w:r>
      <w:r>
        <w:rPr>
          <w:rFonts w:hint="eastAsia"/>
          <w:color w:val="auto"/>
          <w:sz w:val="21"/>
          <w:szCs w:val="21"/>
          <w:lang w:val="en-US" w:eastAsia="zh-CN"/>
        </w:rPr>
        <w:t>干及时使用。洗框/桶采用人工辅助上线，自动清洗、自动</w:t>
      </w:r>
      <w:r>
        <w:rPr>
          <w:rFonts w:hint="eastAsia"/>
          <w:color w:val="auto"/>
          <w:sz w:val="21"/>
          <w:szCs w:val="21"/>
          <w:highlight w:val="none"/>
          <w:lang w:val="en-US" w:eastAsia="zh-CN"/>
        </w:rPr>
        <w:t>烘</w:t>
      </w:r>
      <w:r>
        <w:rPr>
          <w:rFonts w:hint="eastAsia"/>
          <w:color w:val="auto"/>
          <w:sz w:val="21"/>
          <w:szCs w:val="21"/>
          <w:lang w:val="en-US" w:eastAsia="zh-CN"/>
        </w:rPr>
        <w:t>工序。</w:t>
      </w:r>
    </w:p>
    <w:p w14:paraId="261136A7">
      <w:pPr>
        <w:pStyle w:val="7"/>
        <w:keepNext w:val="0"/>
        <w:keepLines w:val="0"/>
        <w:pageBreakBefore w:val="0"/>
        <w:numPr>
          <w:ilvl w:val="0"/>
          <w:numId w:val="0"/>
        </w:numPr>
        <w:kinsoku/>
        <w:wordWrap/>
        <w:overflowPunct/>
        <w:topLinePunct w:val="0"/>
        <w:bidi w:val="0"/>
        <w:spacing w:line="360" w:lineRule="auto"/>
        <w:ind w:firstLine="420" w:firstLineChars="200"/>
        <w:textAlignment w:val="auto"/>
        <w:rPr>
          <w:rFonts w:hint="default"/>
          <w:color w:val="auto"/>
          <w:sz w:val="21"/>
          <w:szCs w:val="21"/>
          <w:lang w:val="en-US" w:eastAsia="zh-CN"/>
        </w:rPr>
      </w:pPr>
      <w:r>
        <w:rPr>
          <w:rFonts w:hint="eastAsia" w:ascii="Times New Roman" w:hAnsi="Times New Roman" w:eastAsia="宋体" w:cs="Times New Roman"/>
          <w:color w:val="auto"/>
          <w:sz w:val="21"/>
          <w:szCs w:val="21"/>
          <w:lang w:val="en-US" w:eastAsia="zh-CN"/>
        </w:rPr>
        <w:t>半固态复合调味料</w:t>
      </w:r>
      <w:r>
        <w:rPr>
          <w:rFonts w:hint="eastAsia"/>
          <w:color w:val="auto"/>
          <w:sz w:val="21"/>
          <w:szCs w:val="21"/>
          <w:lang w:val="en-US" w:eastAsia="zh-CN"/>
        </w:rPr>
        <w:t>生产工艺流程图如下：</w:t>
      </w:r>
    </w:p>
    <w:p w14:paraId="4066F570">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eastAsia="宋体"/>
          <w:color w:val="auto"/>
          <w:lang w:eastAsia="zh-CN"/>
        </w:rPr>
      </w:pPr>
      <w:r>
        <w:rPr>
          <w:rFonts w:hint="eastAsia"/>
          <w:color w:val="auto"/>
          <w:lang w:val="en-US" w:eastAsia="zh-CN"/>
        </w:rPr>
        <w:t xml:space="preserve"> </w:t>
      </w:r>
      <w:r>
        <w:rPr>
          <w:rFonts w:hint="eastAsia" w:eastAsia="宋体"/>
          <w:color w:val="auto"/>
          <w:lang w:eastAsia="zh-CN"/>
        </w:rPr>
        <w:drawing>
          <wp:inline distT="0" distB="0" distL="114300" distR="114300">
            <wp:extent cx="5586730" cy="6766560"/>
            <wp:effectExtent l="0" t="0" r="1270" b="2540"/>
            <wp:docPr id="5" name="图片 5" descr="半固态复合调味料工艺流程图0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半固态复合调味料工艺流程图0331"/>
                    <pic:cNvPicPr>
                      <a:picLocks noChangeAspect="1"/>
                    </pic:cNvPicPr>
                  </pic:nvPicPr>
                  <pic:blipFill>
                    <a:blip r:embed="rId12"/>
                    <a:stretch>
                      <a:fillRect/>
                    </a:stretch>
                  </pic:blipFill>
                  <pic:spPr>
                    <a:xfrm>
                      <a:off x="0" y="0"/>
                      <a:ext cx="5586730" cy="6766560"/>
                    </a:xfrm>
                    <a:prstGeom prst="rect">
                      <a:avLst/>
                    </a:prstGeom>
                  </pic:spPr>
                </pic:pic>
              </a:graphicData>
            </a:graphic>
          </wp:inline>
        </w:drawing>
      </w:r>
    </w:p>
    <w:p w14:paraId="3FA54525">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备注：半固态复合调味料生产罐体需要投料的有四种类型：浸提油罐、</w:t>
      </w:r>
      <w:r>
        <w:rPr>
          <w:rFonts w:hint="eastAsia" w:ascii="宋体" w:hAnsi="宋体" w:cs="宋体"/>
          <w:b w:val="0"/>
          <w:bCs w:val="0"/>
          <w:color w:val="auto"/>
          <w:sz w:val="21"/>
          <w:szCs w:val="21"/>
          <w:lang w:val="en-US" w:eastAsia="zh-CN"/>
        </w:rPr>
        <w:t>煮水</w:t>
      </w:r>
      <w:r>
        <w:rPr>
          <w:rFonts w:hint="eastAsia" w:ascii="宋体" w:hAnsi="宋体" w:eastAsia="宋体" w:cs="宋体"/>
          <w:b w:val="0"/>
          <w:bCs w:val="0"/>
          <w:color w:val="auto"/>
          <w:sz w:val="21"/>
          <w:szCs w:val="21"/>
          <w:lang w:val="en-US" w:eastAsia="zh-CN"/>
        </w:rPr>
        <w:t>罐、</w:t>
      </w:r>
      <w:r>
        <w:rPr>
          <w:rFonts w:hint="eastAsia" w:ascii="宋体" w:hAnsi="宋体" w:eastAsia="宋体" w:cs="宋体"/>
          <w:bCs w:val="0"/>
          <w:spacing w:val="0"/>
          <w:sz w:val="21"/>
          <w:szCs w:val="21"/>
          <w:shd w:val="clear" w:color="auto" w:fill="auto"/>
          <w:lang w:val="en-US" w:eastAsia="zh-CN"/>
        </w:rPr>
        <w:t>高</w:t>
      </w:r>
      <w:r>
        <w:rPr>
          <w:rFonts w:hint="eastAsia" w:ascii="宋体" w:hAnsi="宋体" w:eastAsia="宋体" w:cs="宋体"/>
          <w:bCs w:val="0"/>
          <w:color w:val="auto"/>
          <w:spacing w:val="0"/>
          <w:sz w:val="21"/>
          <w:szCs w:val="21"/>
          <w:shd w:val="clear" w:color="auto" w:fill="auto"/>
          <w:lang w:val="en-US" w:eastAsia="zh-CN"/>
        </w:rPr>
        <w:t>速溶解调配罐</w:t>
      </w:r>
      <w:r>
        <w:rPr>
          <w:rFonts w:hint="eastAsia" w:ascii="宋体" w:hAnsi="宋体" w:eastAsia="宋体" w:cs="宋体"/>
          <w:b w:val="0"/>
          <w:bCs w:val="0"/>
          <w:color w:val="auto"/>
          <w:sz w:val="21"/>
          <w:szCs w:val="21"/>
          <w:lang w:val="en-US" w:eastAsia="zh-CN"/>
        </w:rPr>
        <w:t>、计量调配罐。</w:t>
      </w:r>
    </w:p>
    <w:p w14:paraId="6E641CAF">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（1）浸提油罐：粗辣椒粉、复合香辛料</w:t>
      </w:r>
      <w:r>
        <w:rPr>
          <w:rFonts w:hint="eastAsia" w:ascii="宋体" w:hAnsi="宋体" w:cs="宋体"/>
          <w:color w:val="auto"/>
          <w:sz w:val="21"/>
          <w:szCs w:val="21"/>
          <w:lang w:val="en-US" w:eastAsia="zh-CN"/>
        </w:rPr>
        <w:t>粉</w:t>
      </w:r>
      <w:r>
        <w:rPr>
          <w:rFonts w:hint="eastAsia" w:ascii="宋体" w:hAnsi="宋体" w:eastAsia="宋体" w:cs="宋体"/>
          <w:color w:val="auto"/>
          <w:sz w:val="21"/>
          <w:szCs w:val="21"/>
          <w:lang w:val="en-US" w:eastAsia="zh-CN"/>
        </w:rPr>
        <w:t>。</w:t>
      </w:r>
    </w:p>
    <w:p w14:paraId="76A5A1D6">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w:t>
      </w:r>
      <w:r>
        <w:rPr>
          <w:rFonts w:hint="eastAsia" w:ascii="宋体" w:hAnsi="宋体" w:cs="宋体"/>
          <w:color w:val="auto"/>
          <w:sz w:val="21"/>
          <w:szCs w:val="21"/>
          <w:lang w:val="en-US" w:eastAsia="zh-CN"/>
        </w:rPr>
        <w:t>煮水</w:t>
      </w:r>
      <w:r>
        <w:rPr>
          <w:rFonts w:hint="eastAsia" w:ascii="宋体" w:hAnsi="宋体" w:eastAsia="宋体" w:cs="宋体"/>
          <w:color w:val="auto"/>
          <w:sz w:val="21"/>
          <w:szCs w:val="21"/>
          <w:lang w:val="en-US" w:eastAsia="zh-CN"/>
        </w:rPr>
        <w:t>罐：复合香辛料油浸提后第二次水浸提。</w:t>
      </w:r>
    </w:p>
    <w:p w14:paraId="3C1765CC">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r>
        <w:rPr>
          <w:rFonts w:hint="eastAsia" w:ascii="宋体" w:hAnsi="宋体" w:eastAsia="宋体" w:cs="宋体"/>
          <w:bCs w:val="0"/>
          <w:color w:val="auto"/>
          <w:spacing w:val="0"/>
          <w:sz w:val="21"/>
          <w:szCs w:val="21"/>
          <w:shd w:val="clear" w:color="auto" w:fill="auto"/>
          <w:lang w:val="en-US" w:eastAsia="zh-CN"/>
        </w:rPr>
        <w:t>高速溶解调配罐</w:t>
      </w:r>
      <w:r>
        <w:rPr>
          <w:rFonts w:hint="eastAsia" w:ascii="宋体" w:hAnsi="宋体" w:eastAsia="宋体" w:cs="宋体"/>
          <w:color w:val="auto"/>
          <w:sz w:val="21"/>
          <w:szCs w:val="21"/>
          <w:lang w:val="en-US" w:eastAsia="zh-CN"/>
        </w:rPr>
        <w:t>：乳化</w:t>
      </w:r>
      <w:r>
        <w:rPr>
          <w:rFonts w:hint="eastAsia" w:ascii="宋体" w:hAnsi="宋体" w:cs="宋体"/>
          <w:color w:val="auto"/>
          <w:sz w:val="21"/>
          <w:szCs w:val="21"/>
          <w:lang w:val="en-US" w:eastAsia="zh-CN"/>
        </w:rPr>
        <w:t>剂</w:t>
      </w:r>
      <w:r>
        <w:rPr>
          <w:rFonts w:hint="eastAsia" w:ascii="宋体" w:hAnsi="宋体" w:eastAsia="宋体" w:cs="宋体"/>
          <w:color w:val="auto"/>
          <w:sz w:val="21"/>
          <w:szCs w:val="21"/>
          <w:lang w:val="en-US" w:eastAsia="zh-CN"/>
        </w:rPr>
        <w:t>投放。</w:t>
      </w:r>
    </w:p>
    <w:p w14:paraId="0E64EEA8">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r>
        <w:rPr>
          <w:rFonts w:hint="eastAsia" w:ascii="宋体" w:hAnsi="宋体" w:cs="宋体"/>
          <w:color w:val="auto"/>
          <w:sz w:val="21"/>
          <w:szCs w:val="21"/>
          <w:lang w:val="en-US" w:eastAsia="zh-CN"/>
        </w:rPr>
        <w:t>计量调配</w:t>
      </w:r>
      <w:r>
        <w:rPr>
          <w:rFonts w:hint="eastAsia" w:ascii="宋体" w:hAnsi="宋体" w:eastAsia="宋体" w:cs="宋体"/>
          <w:color w:val="auto"/>
          <w:sz w:val="21"/>
          <w:szCs w:val="21"/>
          <w:lang w:val="en-US" w:eastAsia="zh-CN"/>
        </w:rPr>
        <w:t>罐：水、油、味精</w:t>
      </w:r>
      <w:r>
        <w:rPr>
          <w:rFonts w:hint="eastAsia" w:ascii="宋体" w:hAnsi="宋体" w:cs="宋体"/>
          <w:color w:val="auto"/>
          <w:sz w:val="21"/>
          <w:szCs w:val="21"/>
          <w:lang w:val="en-US" w:eastAsia="zh-CN"/>
        </w:rPr>
        <w:t>、呈味核苷酸二钠</w:t>
      </w:r>
      <w:r>
        <w:rPr>
          <w:rFonts w:hint="eastAsia" w:ascii="宋体" w:hAnsi="宋体" w:eastAsia="宋体" w:cs="宋体"/>
          <w:color w:val="auto"/>
          <w:sz w:val="21"/>
          <w:szCs w:val="21"/>
          <w:lang w:val="en-US" w:eastAsia="zh-CN"/>
        </w:rPr>
        <w:t>等多种细小颗粒和粉体物料。</w:t>
      </w:r>
    </w:p>
    <w:p w14:paraId="1A884D1D">
      <w:pPr>
        <w:pStyle w:val="5"/>
        <w:bidi w:val="0"/>
        <w:ind w:left="0" w:leftChars="0" w:firstLine="0" w:firstLineChars="0"/>
        <w:rPr>
          <w:rFonts w:hint="eastAsia"/>
          <w:lang w:val="en-US" w:eastAsia="zh-CN"/>
        </w:rPr>
      </w:pPr>
      <w:r>
        <w:rPr>
          <w:rFonts w:hint="eastAsia"/>
          <w:lang w:val="en-US" w:eastAsia="zh-CN"/>
        </w:rPr>
        <w:t>4.配料罐配料物料的种类及配料数量的比例</w:t>
      </w:r>
    </w:p>
    <w:p w14:paraId="407CC1FD">
      <w:pPr>
        <w:pStyle w:val="7"/>
        <w:keepNext w:val="0"/>
        <w:keepLines w:val="0"/>
        <w:pageBreakBefore w:val="0"/>
        <w:numPr>
          <w:ilvl w:val="0"/>
          <w:numId w:val="0"/>
        </w:numPr>
        <w:kinsoku/>
        <w:wordWrap/>
        <w:overflowPunct/>
        <w:topLinePunct w:val="0"/>
        <w:bidi w:val="0"/>
        <w:spacing w:line="360" w:lineRule="auto"/>
        <w:ind w:leftChars="0" w:firstLine="420" w:firstLineChars="200"/>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配料罐中的添加的物料主要为三种，一是香料渣水，渣水与全部添加物料的比例为65：1；二是食品添加剂和油类，配料罐中添加的油料分别取名为x1、x2、x3、x4、x5。添加量如下表：</w:t>
      </w:r>
    </w:p>
    <w:tbl>
      <w:tblPr>
        <w:tblStyle w:val="46"/>
        <w:tblW w:w="84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03"/>
        <w:gridCol w:w="3259"/>
        <w:gridCol w:w="3538"/>
      </w:tblGrid>
      <w:tr w14:paraId="6EA33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16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2B807">
            <w:pPr>
              <w:keepNext w:val="0"/>
              <w:keepLines w:val="0"/>
              <w:widowControl/>
              <w:suppressLineNumbers w:val="0"/>
              <w:ind w:leftChars="10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物料种类</w:t>
            </w: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1F00D">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添加油类种类</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7C662">
            <w:pPr>
              <w:keepNext w:val="0"/>
              <w:keepLines w:val="0"/>
              <w:widowControl/>
              <w:suppressLineNumbers w:val="0"/>
              <w:jc w:val="center"/>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添加量（按一次配料5吨计），千克</w:t>
            </w:r>
          </w:p>
        </w:tc>
      </w:tr>
      <w:tr w14:paraId="0F57C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1603" w:type="dxa"/>
            <w:vMerge w:val="restart"/>
            <w:tcBorders>
              <w:top w:val="single" w:color="000000" w:sz="4" w:space="0"/>
              <w:left w:val="single" w:color="000000" w:sz="4" w:space="0"/>
              <w:right w:val="single" w:color="000000" w:sz="4" w:space="0"/>
            </w:tcBorders>
            <w:shd w:val="clear" w:color="auto" w:fill="auto"/>
            <w:noWrap/>
            <w:vAlign w:val="center"/>
          </w:tcPr>
          <w:p w14:paraId="5EBC2DAD">
            <w:pPr>
              <w:keepNext w:val="0"/>
              <w:keepLines w:val="0"/>
              <w:widowControl/>
              <w:suppressLineNumbers w:val="0"/>
              <w:ind w:leftChars="10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油料类</w:t>
            </w: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02123">
            <w:pPr>
              <w:keepNext w:val="0"/>
              <w:keepLines w:val="0"/>
              <w:widowControl/>
              <w:suppressLineNumbers w:val="0"/>
              <w:jc w:val="center"/>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油X1</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CF137">
            <w:pPr>
              <w:keepNext w:val="0"/>
              <w:keepLines w:val="0"/>
              <w:widowControl/>
              <w:suppressLineNumbers w:val="0"/>
              <w:jc w:val="center"/>
              <w:textAlignment w:val="bottom"/>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0-141</w:t>
            </w:r>
          </w:p>
        </w:tc>
      </w:tr>
      <w:tr w14:paraId="07F45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1603" w:type="dxa"/>
            <w:vMerge w:val="continue"/>
            <w:tcBorders>
              <w:left w:val="single" w:color="000000" w:sz="4" w:space="0"/>
              <w:right w:val="single" w:color="000000" w:sz="4" w:space="0"/>
            </w:tcBorders>
            <w:shd w:val="clear" w:color="auto" w:fill="auto"/>
            <w:noWrap/>
            <w:vAlign w:val="center"/>
          </w:tcPr>
          <w:p w14:paraId="31FBF4A1">
            <w:pPr>
              <w:keepNext w:val="0"/>
              <w:keepLines w:val="0"/>
              <w:widowControl/>
              <w:suppressLineNumbers w:val="0"/>
              <w:ind w:left="0" w:leftChars="0"/>
              <w:jc w:val="both"/>
              <w:textAlignment w:val="bottom"/>
              <w:rPr>
                <w:rFonts w:hint="eastAsia" w:ascii="宋体" w:hAnsi="宋体" w:eastAsia="宋体" w:cs="宋体"/>
                <w:i w:val="0"/>
                <w:iCs w:val="0"/>
                <w:color w:val="000000"/>
                <w:kern w:val="0"/>
                <w:sz w:val="21"/>
                <w:szCs w:val="21"/>
                <w:u w:val="none"/>
                <w:lang w:val="en-US" w:eastAsia="zh-CN" w:bidi="ar"/>
              </w:rPr>
            </w:pP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42E9F">
            <w:pPr>
              <w:keepNext w:val="0"/>
              <w:keepLines w:val="0"/>
              <w:widowControl/>
              <w:suppressLineNumbers w:val="0"/>
              <w:jc w:val="center"/>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油X2</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566E9">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rPr>
            </w:pPr>
            <w:r>
              <w:rPr>
                <w:rFonts w:hint="eastAsia" w:ascii="宋体" w:hAnsi="宋体" w:eastAsia="宋体" w:cs="宋体"/>
                <w:i w:val="0"/>
                <w:iCs w:val="0"/>
                <w:color w:val="auto"/>
                <w:kern w:val="0"/>
                <w:sz w:val="21"/>
                <w:szCs w:val="21"/>
                <w:u w:val="none"/>
                <w:lang w:val="en-US" w:eastAsia="zh-CN" w:bidi="ar"/>
              </w:rPr>
              <w:t>0-150</w:t>
            </w:r>
          </w:p>
        </w:tc>
      </w:tr>
      <w:tr w14:paraId="50AB9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1603" w:type="dxa"/>
            <w:vMerge w:val="continue"/>
            <w:tcBorders>
              <w:left w:val="single" w:color="000000" w:sz="4" w:space="0"/>
              <w:right w:val="single" w:color="000000" w:sz="4" w:space="0"/>
            </w:tcBorders>
            <w:shd w:val="clear" w:color="auto" w:fill="auto"/>
            <w:noWrap/>
            <w:vAlign w:val="center"/>
          </w:tcPr>
          <w:p w14:paraId="4B7DC4CD">
            <w:pPr>
              <w:keepNext w:val="0"/>
              <w:keepLines w:val="0"/>
              <w:widowControl/>
              <w:suppressLineNumbers w:val="0"/>
              <w:ind w:left="0" w:leftChars="0"/>
              <w:jc w:val="both"/>
              <w:textAlignment w:val="bottom"/>
              <w:rPr>
                <w:rFonts w:hint="eastAsia" w:ascii="宋体" w:hAnsi="宋体" w:eastAsia="宋体" w:cs="宋体"/>
                <w:i w:val="0"/>
                <w:iCs w:val="0"/>
                <w:color w:val="000000"/>
                <w:kern w:val="0"/>
                <w:sz w:val="21"/>
                <w:szCs w:val="21"/>
                <w:u w:val="none"/>
                <w:lang w:val="en-US" w:eastAsia="zh-CN" w:bidi="ar"/>
              </w:rPr>
            </w:pP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97B07">
            <w:pPr>
              <w:keepNext w:val="0"/>
              <w:keepLines w:val="0"/>
              <w:widowControl/>
              <w:suppressLineNumbers w:val="0"/>
              <w:jc w:val="center"/>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油X3</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EE183">
            <w:pPr>
              <w:keepNext w:val="0"/>
              <w:keepLines w:val="0"/>
              <w:widowControl/>
              <w:suppressLineNumbers w:val="0"/>
              <w:jc w:val="center"/>
              <w:textAlignment w:val="bottom"/>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0-141</w:t>
            </w:r>
          </w:p>
        </w:tc>
      </w:tr>
      <w:tr w14:paraId="4C7DB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1603" w:type="dxa"/>
            <w:vMerge w:val="continue"/>
            <w:tcBorders>
              <w:left w:val="single" w:color="000000" w:sz="4" w:space="0"/>
              <w:right w:val="single" w:color="000000" w:sz="4" w:space="0"/>
            </w:tcBorders>
            <w:shd w:val="clear" w:color="auto" w:fill="auto"/>
            <w:noWrap/>
            <w:vAlign w:val="center"/>
          </w:tcPr>
          <w:p w14:paraId="6020AAAB">
            <w:pPr>
              <w:keepNext w:val="0"/>
              <w:keepLines w:val="0"/>
              <w:widowControl/>
              <w:suppressLineNumbers w:val="0"/>
              <w:ind w:left="0" w:leftChars="0"/>
              <w:jc w:val="both"/>
              <w:textAlignment w:val="bottom"/>
              <w:rPr>
                <w:rFonts w:hint="eastAsia" w:ascii="宋体" w:hAnsi="宋体" w:eastAsia="宋体" w:cs="宋体"/>
                <w:i w:val="0"/>
                <w:iCs w:val="0"/>
                <w:color w:val="000000"/>
                <w:kern w:val="0"/>
                <w:sz w:val="21"/>
                <w:szCs w:val="21"/>
                <w:u w:val="none"/>
                <w:lang w:val="en-US" w:eastAsia="zh-CN" w:bidi="ar"/>
              </w:rPr>
            </w:pP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A6047">
            <w:pPr>
              <w:keepNext w:val="0"/>
              <w:keepLines w:val="0"/>
              <w:widowControl/>
              <w:suppressLineNumbers w:val="0"/>
              <w:jc w:val="center"/>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油X4</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C1BDD">
            <w:pPr>
              <w:keepNext w:val="0"/>
              <w:keepLines w:val="0"/>
              <w:widowControl/>
              <w:suppressLineNumbers w:val="0"/>
              <w:jc w:val="center"/>
              <w:textAlignment w:val="bottom"/>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0-30.5</w:t>
            </w:r>
          </w:p>
        </w:tc>
      </w:tr>
      <w:tr w14:paraId="32A53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1603" w:type="dxa"/>
            <w:vMerge w:val="continue"/>
            <w:tcBorders>
              <w:left w:val="single" w:color="000000" w:sz="4" w:space="0"/>
              <w:bottom w:val="single" w:color="000000" w:sz="4" w:space="0"/>
              <w:right w:val="single" w:color="000000" w:sz="4" w:space="0"/>
            </w:tcBorders>
            <w:shd w:val="clear" w:color="auto" w:fill="auto"/>
            <w:noWrap/>
            <w:vAlign w:val="center"/>
          </w:tcPr>
          <w:p w14:paraId="0F900811">
            <w:pPr>
              <w:keepNext w:val="0"/>
              <w:keepLines w:val="0"/>
              <w:widowControl/>
              <w:suppressLineNumbers w:val="0"/>
              <w:ind w:left="0" w:leftChars="0"/>
              <w:jc w:val="both"/>
              <w:textAlignment w:val="bottom"/>
              <w:rPr>
                <w:rFonts w:hint="eastAsia" w:ascii="宋体" w:hAnsi="宋体" w:eastAsia="宋体" w:cs="宋体"/>
                <w:i w:val="0"/>
                <w:iCs w:val="0"/>
                <w:color w:val="000000"/>
                <w:kern w:val="0"/>
                <w:sz w:val="21"/>
                <w:szCs w:val="21"/>
                <w:u w:val="none"/>
                <w:lang w:val="en-US" w:eastAsia="zh-CN" w:bidi="ar"/>
              </w:rPr>
            </w:pP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837C1">
            <w:pPr>
              <w:keepNext w:val="0"/>
              <w:keepLines w:val="0"/>
              <w:widowControl/>
              <w:suppressLineNumbers w:val="0"/>
              <w:jc w:val="center"/>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油X5</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6529B">
            <w:pPr>
              <w:keepNext w:val="0"/>
              <w:keepLines w:val="0"/>
              <w:widowControl/>
              <w:suppressLineNumbers w:val="0"/>
              <w:jc w:val="center"/>
              <w:textAlignment w:val="bottom"/>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0-0.4</w:t>
            </w:r>
          </w:p>
        </w:tc>
      </w:tr>
    </w:tbl>
    <w:p w14:paraId="288ED516">
      <w:pPr>
        <w:pStyle w:val="7"/>
        <w:keepNext w:val="0"/>
        <w:keepLines w:val="0"/>
        <w:pageBreakBefore w:val="0"/>
        <w:widowControl w:val="0"/>
        <w:numPr>
          <w:ilvl w:val="0"/>
          <w:numId w:val="0"/>
        </w:numPr>
        <w:kinsoku/>
        <w:wordWrap/>
        <w:overflowPunct/>
        <w:topLinePunct w:val="0"/>
        <w:autoSpaceDE/>
        <w:autoSpaceDN/>
        <w:bidi w:val="0"/>
        <w:adjustRightInd/>
        <w:snapToGrid/>
        <w:spacing w:before="157" w:beforeLines="50" w:after="0" w:line="360" w:lineRule="auto"/>
        <w:ind w:firstLine="422" w:firstLineChars="200"/>
        <w:textAlignment w:val="auto"/>
        <w:rPr>
          <w:rFonts w:hint="eastAsia" w:ascii="宋体" w:hAnsi="宋体" w:eastAsia="宋体" w:cs="宋体"/>
          <w:b/>
          <w:bCs/>
          <w:color w:val="auto"/>
          <w:sz w:val="21"/>
          <w:szCs w:val="21"/>
          <w:lang w:val="en-US" w:eastAsia="zh-CN"/>
        </w:rPr>
      </w:pPr>
      <w:r>
        <w:rPr>
          <w:rFonts w:hint="eastAsia" w:ascii="宋体" w:hAnsi="宋体" w:cs="宋体"/>
          <w:b/>
          <w:bCs/>
          <w:color w:val="auto"/>
          <w:sz w:val="21"/>
          <w:szCs w:val="21"/>
          <w:lang w:val="en-US" w:eastAsia="zh-CN"/>
        </w:rPr>
        <w:t>投标方按添加物料的种类及参照数量进行物料管理系统设备及软件的设计，油料类采用泵入方式添加。</w:t>
      </w:r>
    </w:p>
    <w:p w14:paraId="487B4690">
      <w:pPr>
        <w:pStyle w:val="5"/>
        <w:bidi w:val="0"/>
        <w:ind w:left="0" w:leftChars="0" w:firstLine="0" w:firstLineChars="0"/>
        <w:rPr>
          <w:rFonts w:hint="default"/>
          <w:lang w:val="en-US" w:eastAsia="zh-CN"/>
        </w:rPr>
      </w:pPr>
      <w:r>
        <w:rPr>
          <w:rFonts w:hint="eastAsia"/>
          <w:lang w:val="en-US" w:eastAsia="zh-CN"/>
        </w:rPr>
        <w:t>5.油烟处理</w:t>
      </w:r>
    </w:p>
    <w:p w14:paraId="6F64826F">
      <w:pPr>
        <w:pStyle w:val="7"/>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浸提油罐和煮水罐运行时产生的蒸汽与油烟，须经配套的处理系统有效收集并净化，达到环保排放标准后方可排出车间。</w:t>
      </w:r>
    </w:p>
    <w:p w14:paraId="7F953FC5">
      <w:pPr>
        <w:pStyle w:val="5"/>
        <w:bidi w:val="0"/>
        <w:ind w:left="0" w:leftChars="0" w:firstLine="0" w:firstLineChars="0"/>
        <w:rPr>
          <w:rFonts w:hint="eastAsia"/>
          <w:lang w:val="en-US" w:eastAsia="zh-CN"/>
        </w:rPr>
      </w:pPr>
      <w:r>
        <w:rPr>
          <w:rFonts w:hint="eastAsia"/>
          <w:lang w:val="en-US" w:eastAsia="zh-CN"/>
        </w:rPr>
        <w:t>6.榨菜汁/生活饮用水供应系统</w:t>
      </w:r>
    </w:p>
    <w:p w14:paraId="226F56CD">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（1）榨菜汁从6#车间指定2个窖池经自清洗过滤器泵入煮水罐（6个），泵材质316L、管道材质316L；</w:t>
      </w:r>
    </w:p>
    <w:p w14:paraId="2699879E">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（2）生活饮用水需从车间指定位置接入煮水罐（6个）；</w:t>
      </w:r>
    </w:p>
    <w:p w14:paraId="44037A01">
      <w:pPr>
        <w:pStyle w:val="7"/>
        <w:keepNext w:val="0"/>
        <w:keepLines w:val="0"/>
        <w:pageBreakBefore w:val="0"/>
        <w:numPr>
          <w:ilvl w:val="0"/>
          <w:numId w:val="0"/>
        </w:numPr>
        <w:kinsoku/>
        <w:wordWrap/>
        <w:overflowPunct/>
        <w:topLinePunct w:val="0"/>
        <w:bidi w:val="0"/>
        <w:spacing w:line="360" w:lineRule="auto"/>
        <w:ind w:leftChars="0"/>
        <w:textAlignment w:val="auto"/>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（3）榨菜汁/生活饮用水自动计量系统。</w:t>
      </w:r>
    </w:p>
    <w:p w14:paraId="64DA8B0A">
      <w:pPr>
        <w:pStyle w:val="6"/>
        <w:bidi w:val="0"/>
        <w:rPr>
          <w:rFonts w:hint="eastAsia"/>
          <w:lang w:val="en-US" w:eastAsia="zh-CN"/>
        </w:rPr>
      </w:pPr>
      <w:r>
        <w:rPr>
          <w:rFonts w:hint="eastAsia"/>
          <w:lang w:val="en-US" w:eastAsia="zh-CN"/>
        </w:rPr>
        <w:t>（四）油炒辣椒工艺</w:t>
      </w:r>
    </w:p>
    <w:p w14:paraId="2649D1F1">
      <w:pPr>
        <w:pStyle w:val="5"/>
        <w:bidi w:val="0"/>
        <w:rPr>
          <w:rFonts w:hint="default"/>
          <w:lang w:val="en-US" w:eastAsia="zh-CN"/>
        </w:rPr>
      </w:pPr>
      <w:r>
        <w:rPr>
          <w:rFonts w:hint="eastAsia"/>
          <w:lang w:val="en-US" w:eastAsia="zh-CN"/>
        </w:rPr>
        <w:t>1.流程图</w:t>
      </w:r>
    </w:p>
    <w:p w14:paraId="28FB803B">
      <w:pPr>
        <w:pStyle w:val="7"/>
        <w:keepNext w:val="0"/>
        <w:keepLines w:val="0"/>
        <w:pageBreakBefore w:val="0"/>
        <w:numPr>
          <w:ilvl w:val="0"/>
          <w:numId w:val="0"/>
        </w:numPr>
        <w:kinsoku/>
        <w:wordWrap/>
        <w:overflowPunct/>
        <w:topLinePunct w:val="0"/>
        <w:bidi w:val="0"/>
        <w:spacing w:line="360" w:lineRule="auto"/>
        <w:ind w:leftChars="0"/>
        <w:jc w:val="center"/>
        <w:textAlignment w:val="auto"/>
        <w:rPr>
          <w:rFonts w:hint="eastAsia"/>
          <w:b/>
          <w:bCs/>
          <w:color w:val="auto"/>
          <w:sz w:val="24"/>
          <w:szCs w:val="24"/>
          <w:lang w:eastAsia="zh-CN"/>
        </w:rPr>
      </w:pPr>
      <w:r>
        <w:rPr>
          <w:rFonts w:hint="eastAsia"/>
          <w:b/>
          <w:bCs/>
          <w:color w:val="auto"/>
          <w:sz w:val="24"/>
          <w:szCs w:val="24"/>
          <w:lang w:val="en-US" w:eastAsia="zh-CN"/>
        </w:rPr>
        <w:drawing>
          <wp:inline distT="0" distB="0" distL="114300" distR="114300">
            <wp:extent cx="1598295" cy="2604770"/>
            <wp:effectExtent l="0" t="0" r="1905" b="5080"/>
            <wp:docPr id="2" name="图片 2" descr="油炒辣椒工艺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油炒辣椒工艺流程图"/>
                    <pic:cNvPicPr>
                      <a:picLocks noChangeAspect="1"/>
                    </pic:cNvPicPr>
                  </pic:nvPicPr>
                  <pic:blipFill>
                    <a:blip r:embed="rId13"/>
                    <a:stretch>
                      <a:fillRect/>
                    </a:stretch>
                  </pic:blipFill>
                  <pic:spPr>
                    <a:xfrm>
                      <a:off x="0" y="0"/>
                      <a:ext cx="1598295" cy="2604770"/>
                    </a:xfrm>
                    <a:prstGeom prst="rect">
                      <a:avLst/>
                    </a:prstGeom>
                    <a:noFill/>
                    <a:ln>
                      <a:noFill/>
                    </a:ln>
                  </pic:spPr>
                </pic:pic>
              </a:graphicData>
            </a:graphic>
          </wp:inline>
        </w:drawing>
      </w:r>
    </w:p>
    <w:p w14:paraId="053E9B08">
      <w:pPr>
        <w:pStyle w:val="5"/>
        <w:bidi w:val="0"/>
        <w:rPr>
          <w:rFonts w:hint="eastAsia"/>
          <w:lang w:val="en-US" w:eastAsia="zh-CN"/>
        </w:rPr>
      </w:pPr>
      <w:r>
        <w:rPr>
          <w:rFonts w:hint="eastAsia"/>
          <w:lang w:val="en-US" w:eastAsia="zh-CN"/>
        </w:rPr>
        <w:t>2.工艺要求</w:t>
      </w:r>
    </w:p>
    <w:p w14:paraId="638B8C06">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w:t>
      </w:r>
      <w:r>
        <w:rPr>
          <w:rFonts w:hint="eastAsia" w:ascii="宋体" w:hAnsi="宋体" w:eastAsia="宋体" w:cs="宋体"/>
          <w:b w:val="0"/>
          <w:bCs w:val="0"/>
          <w:color w:val="auto"/>
          <w:sz w:val="21"/>
          <w:szCs w:val="21"/>
          <w:lang w:val="en-US" w:eastAsia="zh-CN"/>
        </w:rPr>
        <w:t>1</w:t>
      </w:r>
      <w:r>
        <w:rPr>
          <w:rFonts w:hint="eastAsia" w:ascii="宋体" w:hAnsi="宋体" w:cs="宋体"/>
          <w:b w:val="0"/>
          <w:bCs w:val="0"/>
          <w:color w:val="auto"/>
          <w:sz w:val="21"/>
          <w:szCs w:val="21"/>
          <w:lang w:val="en-US" w:eastAsia="zh-CN"/>
        </w:rPr>
        <w:t>）</w:t>
      </w:r>
      <w:r>
        <w:rPr>
          <w:rFonts w:hint="eastAsia" w:ascii="宋体" w:hAnsi="宋体" w:cs="宋体"/>
          <w:b w:val="0"/>
          <w:bCs w:val="0"/>
          <w:color w:val="auto"/>
          <w:sz w:val="21"/>
          <w:szCs w:val="21"/>
          <w:highlight w:val="none"/>
          <w:lang w:val="en-US" w:eastAsia="zh-CN"/>
        </w:rPr>
        <w:t>油上料方式：一级菜籽油管道自动计量入锅；香料油先泵入油炒辣椒炒制间香料油暂存罐，暂存罐进入炒锅自动计量泵入。</w:t>
      </w:r>
    </w:p>
    <w:p w14:paraId="7A950044">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（2）</w:t>
      </w:r>
      <w:r>
        <w:rPr>
          <w:rFonts w:hint="eastAsia" w:ascii="宋体" w:hAnsi="宋体" w:eastAsia="宋体" w:cs="宋体"/>
          <w:b/>
          <w:bCs/>
          <w:color w:val="auto"/>
          <w:sz w:val="21"/>
          <w:szCs w:val="21"/>
          <w:lang w:val="en-US" w:eastAsia="zh-CN"/>
        </w:rPr>
        <w:t>辣椒粉上料方式：</w:t>
      </w:r>
      <w:r>
        <w:rPr>
          <w:rFonts w:hint="eastAsia" w:ascii="宋体" w:hAnsi="宋体" w:cs="宋体"/>
          <w:b/>
          <w:bCs/>
          <w:color w:val="auto"/>
          <w:sz w:val="21"/>
          <w:szCs w:val="21"/>
          <w:lang w:val="en-US" w:eastAsia="zh-CN"/>
        </w:rPr>
        <w:t>二楼自动上料</w:t>
      </w:r>
      <w:r>
        <w:rPr>
          <w:rFonts w:hint="eastAsia" w:ascii="宋体" w:hAnsi="宋体" w:eastAsia="宋体" w:cs="宋体"/>
          <w:b/>
          <w:bCs/>
          <w:color w:val="auto"/>
          <w:sz w:val="21"/>
          <w:szCs w:val="21"/>
          <w:lang w:val="en-US" w:eastAsia="zh-CN"/>
        </w:rPr>
        <w:t>、</w:t>
      </w:r>
      <w:r>
        <w:rPr>
          <w:rFonts w:hint="eastAsia" w:ascii="宋体" w:hAnsi="宋体" w:cs="宋体"/>
          <w:b/>
          <w:bCs/>
          <w:color w:val="auto"/>
          <w:sz w:val="21"/>
          <w:szCs w:val="21"/>
          <w:lang w:val="en-US" w:eastAsia="zh-CN"/>
        </w:rPr>
        <w:t>自动计量，辣椒粉如何进入炒锅由投标方选择最佳方式</w:t>
      </w:r>
      <w:r>
        <w:rPr>
          <w:rFonts w:hint="eastAsia" w:ascii="宋体" w:hAnsi="宋体" w:eastAsia="宋体" w:cs="宋体"/>
          <w:b w:val="0"/>
          <w:bCs w:val="0"/>
          <w:color w:val="auto"/>
          <w:sz w:val="21"/>
          <w:szCs w:val="21"/>
          <w:lang w:val="en-US" w:eastAsia="zh-CN"/>
        </w:rPr>
        <w:t>。</w:t>
      </w:r>
    </w:p>
    <w:p w14:paraId="2D61C64A">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（3）</w:t>
      </w:r>
      <w:r>
        <w:rPr>
          <w:rFonts w:hint="eastAsia" w:ascii="宋体" w:hAnsi="宋体" w:eastAsia="宋体" w:cs="宋体"/>
          <w:b w:val="0"/>
          <w:bCs w:val="0"/>
          <w:color w:val="auto"/>
          <w:sz w:val="21"/>
          <w:szCs w:val="21"/>
          <w:lang w:val="en-US" w:eastAsia="zh-CN"/>
        </w:rPr>
        <w:t>炒锅应具备自动翻转出料功能。搅拌形式优先采用行星式搅拌（公转+双自转），也接受投标人提供同等或更优的先进搅拌方案，但所投方案必须能确保物料翻炒均匀、无死角、无粘锅现象，并在投标文件中提供能证明其搅拌均匀性的技术对比资料。</w:t>
      </w:r>
    </w:p>
    <w:p w14:paraId="4F5CE074">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default"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（4）</w:t>
      </w:r>
      <w:r>
        <w:rPr>
          <w:rFonts w:hint="eastAsia" w:ascii="宋体" w:hAnsi="宋体" w:eastAsia="宋体" w:cs="宋体"/>
          <w:b w:val="0"/>
          <w:bCs w:val="0"/>
          <w:color w:val="auto"/>
          <w:sz w:val="21"/>
          <w:szCs w:val="21"/>
          <w:lang w:val="en-US" w:eastAsia="zh-CN"/>
        </w:rPr>
        <w:t>冷却设备须结构简单、自动化运行，将油炒辣椒由110℃降温至55℃。从冷却开始至待包装全过程，物料须保持均匀混合状态，不得出现油脂析出或与辣椒固形物分离。</w:t>
      </w:r>
    </w:p>
    <w:p w14:paraId="3B7DE884">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（5）计量、包装、喷码：冷却后的物料自动连续进入包装机（给袋式），包装袋材质为复合铝箔袋。在线喷码(喷生产日期和二维码）。</w:t>
      </w:r>
    </w:p>
    <w:p w14:paraId="71179E36">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（6）人工装入塑料周转框。</w:t>
      </w:r>
    </w:p>
    <w:p w14:paraId="44A09C7F">
      <w:pPr>
        <w:pStyle w:val="6"/>
        <w:bidi w:val="0"/>
        <w:rPr>
          <w:rFonts w:hint="eastAsia"/>
          <w:lang w:val="en-US" w:eastAsia="zh-CN"/>
        </w:rPr>
      </w:pPr>
      <w:r>
        <w:rPr>
          <w:rFonts w:hint="eastAsia"/>
          <w:lang w:val="en-US" w:eastAsia="zh-CN"/>
        </w:rPr>
        <w:t>（五）辣椒酱调味料工艺</w:t>
      </w:r>
    </w:p>
    <w:p w14:paraId="5F020407">
      <w:pPr>
        <w:pStyle w:val="5"/>
        <w:bidi w:val="0"/>
        <w:rPr>
          <w:rFonts w:hint="eastAsia"/>
          <w:lang w:val="en-US" w:eastAsia="zh-CN"/>
        </w:rPr>
      </w:pPr>
      <w:r>
        <w:rPr>
          <w:rFonts w:hint="eastAsia"/>
          <w:lang w:val="en-US" w:eastAsia="zh-CN"/>
        </w:rPr>
        <w:t>1.流程图</w:t>
      </w:r>
    </w:p>
    <w:p w14:paraId="2D766BAE">
      <w:pPr>
        <w:pStyle w:val="7"/>
        <w:keepNext w:val="0"/>
        <w:keepLines w:val="0"/>
        <w:pageBreakBefore w:val="0"/>
        <w:numPr>
          <w:ilvl w:val="0"/>
          <w:numId w:val="0"/>
        </w:numPr>
        <w:kinsoku/>
        <w:wordWrap/>
        <w:overflowPunct/>
        <w:topLinePunct w:val="0"/>
        <w:bidi w:val="0"/>
        <w:spacing w:line="360" w:lineRule="auto"/>
        <w:ind w:leftChars="0"/>
        <w:jc w:val="center"/>
        <w:textAlignment w:val="auto"/>
        <w:rPr>
          <w:rFonts w:hint="default" w:ascii="宋体" w:hAnsi="宋体" w:cs="宋体"/>
          <w:b w:val="0"/>
          <w:bCs w:val="0"/>
          <w:color w:val="auto"/>
          <w:sz w:val="21"/>
          <w:szCs w:val="21"/>
          <w:lang w:val="en-US" w:eastAsia="zh-CN"/>
        </w:rPr>
      </w:pPr>
      <w:r>
        <w:rPr>
          <w:rFonts w:hint="default" w:ascii="宋体" w:hAnsi="宋体" w:cs="宋体"/>
          <w:b w:val="0"/>
          <w:bCs w:val="0"/>
          <w:color w:val="auto"/>
          <w:sz w:val="21"/>
          <w:szCs w:val="21"/>
          <w:lang w:val="en-US" w:eastAsia="zh-CN"/>
        </w:rPr>
        <w:drawing>
          <wp:inline distT="0" distB="0" distL="114300" distR="114300">
            <wp:extent cx="3058795" cy="6271260"/>
            <wp:effectExtent l="0" t="0" r="1905" b="2540"/>
            <wp:docPr id="6" name="图片 6" descr="辣椒酱调味料工艺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辣椒酱调味料工艺流程图"/>
                    <pic:cNvPicPr>
                      <a:picLocks noChangeAspect="1"/>
                    </pic:cNvPicPr>
                  </pic:nvPicPr>
                  <pic:blipFill>
                    <a:blip r:embed="rId14"/>
                    <a:stretch>
                      <a:fillRect/>
                    </a:stretch>
                  </pic:blipFill>
                  <pic:spPr>
                    <a:xfrm>
                      <a:off x="0" y="0"/>
                      <a:ext cx="3058795" cy="6271260"/>
                    </a:xfrm>
                    <a:prstGeom prst="rect">
                      <a:avLst/>
                    </a:prstGeom>
                  </pic:spPr>
                </pic:pic>
              </a:graphicData>
            </a:graphic>
          </wp:inline>
        </w:drawing>
      </w:r>
    </w:p>
    <w:p w14:paraId="4D12CF8A">
      <w:pPr>
        <w:pStyle w:val="5"/>
        <w:bidi w:val="0"/>
        <w:ind w:left="0" w:leftChars="0" w:firstLine="0" w:firstLineChars="0"/>
        <w:rPr>
          <w:rFonts w:hint="eastAsia"/>
          <w:lang w:val="en-US" w:eastAsia="zh-CN"/>
        </w:rPr>
      </w:pPr>
      <w:r>
        <w:rPr>
          <w:rFonts w:hint="eastAsia"/>
          <w:lang w:val="en-US" w:eastAsia="zh-CN"/>
        </w:rPr>
        <w:t>2.工艺要求</w:t>
      </w:r>
    </w:p>
    <w:p w14:paraId="02FF1432">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（1）泡辣椒入车间方式：不锈钢料槽直接入车间，料槽材质为316L。</w:t>
      </w:r>
    </w:p>
    <w:p w14:paraId="6EB6046F">
      <w:pPr>
        <w:pStyle w:val="7"/>
        <w:keepNext w:val="0"/>
        <w:keepLines w:val="0"/>
        <w:pageBreakBefore w:val="0"/>
        <w:numPr>
          <w:ilvl w:val="0"/>
          <w:numId w:val="0"/>
        </w:numPr>
        <w:kinsoku/>
        <w:wordWrap/>
        <w:overflowPunct/>
        <w:topLinePunct w:val="0"/>
        <w:bidi w:val="0"/>
        <w:spacing w:line="360" w:lineRule="auto"/>
        <w:textAlignment w:val="auto"/>
        <w:rPr>
          <w:rFonts w:hint="default"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（2）除杂：人工除杂，除杂平台为料槽（梭盆），自动进料、接料（进入清洗机）。</w:t>
      </w:r>
    </w:p>
    <w:p w14:paraId="528A0829">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（3）泡辣椒清洗：物料自动上料，榨菜汁自动清洗（与半固态复合调味料榨菜汁供应系统共用） ，清洗后榨菜汁不再使用。</w:t>
      </w:r>
    </w:p>
    <w:p w14:paraId="3D785971">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cs="宋体"/>
          <w:b w:val="0"/>
          <w:bCs w:val="0"/>
          <w:color w:val="auto"/>
          <w:sz w:val="21"/>
          <w:szCs w:val="21"/>
          <w:highlight w:val="yellow"/>
          <w:lang w:val="en-US" w:eastAsia="zh-CN"/>
        </w:rPr>
      </w:pPr>
      <w:r>
        <w:rPr>
          <w:rFonts w:hint="eastAsia" w:ascii="宋体" w:hAnsi="宋体" w:cs="宋体"/>
          <w:b w:val="0"/>
          <w:bCs w:val="0"/>
          <w:color w:val="auto"/>
          <w:sz w:val="21"/>
          <w:szCs w:val="21"/>
          <w:lang w:val="en-US" w:eastAsia="zh-CN"/>
        </w:rPr>
        <w:t>（4）</w:t>
      </w:r>
      <w:r>
        <w:rPr>
          <w:rFonts w:hint="eastAsia" w:ascii="宋体" w:hAnsi="宋体" w:cs="宋体"/>
          <w:b w:val="0"/>
          <w:bCs w:val="0"/>
          <w:color w:val="auto"/>
          <w:sz w:val="21"/>
          <w:szCs w:val="21"/>
          <w:highlight w:val="none"/>
          <w:lang w:val="en-US" w:eastAsia="zh-CN"/>
        </w:rPr>
        <w:t>粉碎：粗粉碎：采用打椒机粉碎；细粉碎：自动上料，采用胶体磨（细度可调节）。</w:t>
      </w:r>
    </w:p>
    <w:p w14:paraId="54E271BB">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（5）泡椒配拌料系统。</w:t>
      </w:r>
      <w:r>
        <w:rPr>
          <w:rFonts w:hint="eastAsia"/>
          <w:color w:val="auto"/>
          <w:kern w:val="2"/>
          <w:sz w:val="21"/>
          <w:szCs w:val="21"/>
          <w:lang w:val="en-US" w:eastAsia="zh-CN" w:bidi="ar-SA"/>
        </w:rPr>
        <w:t>调配罐带搅拌装置，罐体内泡椒浆不需加加热。调配罐要便于人工操作，必要时设置操作平台。部份</w:t>
      </w:r>
      <w:r>
        <w:rPr>
          <w:rFonts w:hint="eastAsia" w:ascii="宋体" w:hAnsi="宋体" w:cs="宋体"/>
          <w:b w:val="0"/>
          <w:bCs w:val="0"/>
          <w:color w:val="auto"/>
          <w:sz w:val="21"/>
          <w:szCs w:val="21"/>
          <w:lang w:val="en-US" w:eastAsia="zh-CN"/>
        </w:rPr>
        <w:t>实现自动拌料。辅料包含食盐、柠檬酸、乳酸(液体)、泡椒汁、榨菜汁等，添加方式要求如下：</w:t>
      </w:r>
    </w:p>
    <w:p w14:paraId="513EF0E0">
      <w:pPr>
        <w:keepNext w:val="0"/>
        <w:keepLines w:val="0"/>
        <w:pageBreakBefore w:val="0"/>
        <w:widowControl w:val="0"/>
        <w:numPr>
          <w:ilvl w:val="0"/>
          <w:numId w:val="4"/>
        </w:numPr>
        <w:kinsoku/>
        <w:wordWrap/>
        <w:overflowPunct/>
        <w:topLinePunct w:val="0"/>
        <w:autoSpaceDE/>
        <w:autoSpaceDN/>
        <w:bidi w:val="0"/>
        <w:adjustRightInd/>
        <w:snapToGrid/>
        <w:spacing w:before="0" w:after="0" w:line="360" w:lineRule="auto"/>
        <w:ind w:left="783" w:leftChars="200" w:hanging="363"/>
        <w:textAlignment w:val="auto"/>
        <w:rPr>
          <w:color w:val="auto"/>
          <w:sz w:val="21"/>
          <w:szCs w:val="21"/>
        </w:rPr>
      </w:pPr>
      <w:r>
        <w:rPr>
          <w:color w:val="auto"/>
          <w:sz w:val="21"/>
          <w:szCs w:val="21"/>
        </w:rPr>
        <w:t>食盐、柠檬酸、乳酸(液体)：采用人工添加；</w:t>
      </w:r>
    </w:p>
    <w:p w14:paraId="37094C54">
      <w:pPr>
        <w:keepNext w:val="0"/>
        <w:keepLines w:val="0"/>
        <w:pageBreakBefore w:val="0"/>
        <w:widowControl w:val="0"/>
        <w:numPr>
          <w:ilvl w:val="0"/>
          <w:numId w:val="5"/>
        </w:numPr>
        <w:kinsoku/>
        <w:wordWrap/>
        <w:overflowPunct/>
        <w:topLinePunct w:val="0"/>
        <w:autoSpaceDE/>
        <w:autoSpaceDN/>
        <w:bidi w:val="0"/>
        <w:adjustRightInd/>
        <w:snapToGrid/>
        <w:spacing w:before="0" w:after="0" w:line="360" w:lineRule="auto"/>
        <w:ind w:left="783" w:leftChars="200" w:hanging="363" w:firstLineChars="0"/>
        <w:jc w:val="both"/>
        <w:textAlignment w:val="auto"/>
        <w:rPr>
          <w:color w:val="auto"/>
          <w:sz w:val="21"/>
          <w:szCs w:val="21"/>
        </w:rPr>
      </w:pPr>
      <w:r>
        <w:rPr>
          <w:rFonts w:eastAsia="宋体"/>
          <w:color w:val="auto"/>
          <w:kern w:val="2"/>
          <w:sz w:val="21"/>
          <w:szCs w:val="21"/>
          <w:lang w:val="en-US" w:eastAsia="zh-CN" w:bidi="ar-SA"/>
        </w:rPr>
        <w:t>榨菜汁：供应及添加方式与“半固态复合调料榨菜汁供应系统”一致</w:t>
      </w:r>
      <w:r>
        <w:rPr>
          <w:rFonts w:hint="eastAsia"/>
          <w:color w:val="auto"/>
          <w:kern w:val="2"/>
          <w:sz w:val="21"/>
          <w:szCs w:val="21"/>
          <w:lang w:val="en-US" w:eastAsia="zh-CN" w:bidi="ar-SA"/>
        </w:rPr>
        <w:t>，自动加入。</w:t>
      </w:r>
    </w:p>
    <w:p w14:paraId="1E9B828A">
      <w:pPr>
        <w:keepNext w:val="0"/>
        <w:keepLines w:val="0"/>
        <w:pageBreakBefore w:val="0"/>
        <w:widowControl w:val="0"/>
        <w:numPr>
          <w:ilvl w:val="0"/>
          <w:numId w:val="6"/>
        </w:numPr>
        <w:kinsoku/>
        <w:wordWrap/>
        <w:overflowPunct/>
        <w:topLinePunct w:val="0"/>
        <w:autoSpaceDE/>
        <w:autoSpaceDN/>
        <w:bidi w:val="0"/>
        <w:adjustRightInd/>
        <w:snapToGrid/>
        <w:spacing w:before="0" w:after="0" w:line="360" w:lineRule="auto"/>
        <w:ind w:left="783" w:leftChars="200" w:hanging="363" w:firstLineChars="0"/>
        <w:jc w:val="both"/>
        <w:textAlignment w:val="auto"/>
        <w:rPr>
          <w:rFonts w:hint="default" w:ascii="宋体" w:hAnsi="宋体" w:eastAsia="宋体" w:cs="宋体"/>
          <w:b w:val="0"/>
          <w:bCs w:val="0"/>
          <w:color w:val="auto"/>
          <w:kern w:val="2"/>
          <w:sz w:val="21"/>
          <w:szCs w:val="21"/>
          <w:lang w:val="en-US" w:eastAsia="zh-CN" w:bidi="ar-SA"/>
        </w:rPr>
      </w:pPr>
      <w:r>
        <w:rPr>
          <w:rFonts w:eastAsia="宋体"/>
          <w:color w:val="auto"/>
          <w:kern w:val="2"/>
          <w:sz w:val="21"/>
          <w:szCs w:val="21"/>
          <w:lang w:val="en-US" w:eastAsia="zh-CN" w:bidi="ar-SA"/>
        </w:rPr>
        <w:t>泡椒汁供应流程：利用泵从泡椒池抽取汁液，经带滤网的不锈钢桶过滤后，由人工转运至辣椒酱生产车间，再通过计量泵定量输送至拌料环节。</w:t>
      </w:r>
    </w:p>
    <w:p w14:paraId="21101F55">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（6）计量灌装：采用泵及管道自动计量、灌装。人工将塑料袋装入塑料桶，放入输送带，进入灌装环节，塑料袋使用半自动扎带机封口。人工封桶、人工码垛。</w:t>
      </w:r>
    </w:p>
    <w:p w14:paraId="5A7C2ADB">
      <w:pPr>
        <w:pStyle w:val="4"/>
        <w:bidi w:val="0"/>
        <w:rPr>
          <w:rFonts w:hint="eastAsia"/>
        </w:rPr>
      </w:pPr>
      <w:r>
        <w:rPr>
          <w:rFonts w:hint="eastAsia"/>
          <w:lang w:val="en-US" w:eastAsia="zh-CN"/>
        </w:rPr>
        <w:t>五、</w:t>
      </w:r>
      <w:r>
        <w:rPr>
          <w:rFonts w:hint="eastAsia"/>
        </w:rPr>
        <w:t>设备需求一览表</w:t>
      </w:r>
    </w:p>
    <w:p w14:paraId="7F63A90F">
      <w:pPr>
        <w:pStyle w:val="7"/>
        <w:keepNext w:val="0"/>
        <w:keepLines w:val="0"/>
        <w:pageBreakBefore w:val="0"/>
        <w:numPr>
          <w:ilvl w:val="0"/>
          <w:numId w:val="0"/>
        </w:numPr>
        <w:kinsoku/>
        <w:wordWrap/>
        <w:overflowPunct/>
        <w:topLinePunct w:val="0"/>
        <w:bidi w:val="0"/>
        <w:spacing w:line="360" w:lineRule="auto"/>
        <w:ind w:leftChars="0" w:firstLine="480"/>
        <w:textAlignment w:val="auto"/>
        <w:rPr>
          <w:rFonts w:hint="default"/>
          <w:b w:val="0"/>
          <w:bCs w:val="0"/>
          <w:color w:val="auto"/>
          <w:sz w:val="21"/>
          <w:szCs w:val="21"/>
          <w:lang w:val="en-US" w:eastAsia="zh-CN"/>
        </w:rPr>
      </w:pPr>
      <w:r>
        <w:rPr>
          <w:rFonts w:hint="eastAsia"/>
          <w:b w:val="0"/>
          <w:bCs w:val="0"/>
          <w:color w:val="auto"/>
          <w:sz w:val="21"/>
          <w:szCs w:val="21"/>
          <w:lang w:val="en-US" w:eastAsia="zh-CN"/>
        </w:rPr>
        <w:t>下表中虽未列明，但为实现第五章供货要求提及的产品、产能、工艺等所需的设备及配套设施均含在投标人的供货范围内。</w:t>
      </w:r>
    </w:p>
    <w:p w14:paraId="526BBDAD">
      <w:pPr>
        <w:pStyle w:val="6"/>
        <w:bidi w:val="0"/>
        <w:rPr>
          <w:rFonts w:hint="eastAsia"/>
          <w:lang w:val="en-US" w:eastAsia="zh-CN"/>
        </w:rPr>
      </w:pPr>
      <w:r>
        <w:rPr>
          <w:rFonts w:hint="eastAsia"/>
          <w:lang w:val="en-US" w:eastAsia="zh-CN"/>
        </w:rPr>
        <w:t>（一）半固态复合调味料设备需求一览表</w:t>
      </w:r>
    </w:p>
    <w:tbl>
      <w:tblPr>
        <w:tblStyle w:val="47"/>
        <w:tblW w:w="86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7"/>
        <w:gridCol w:w="3434"/>
        <w:gridCol w:w="855"/>
        <w:gridCol w:w="870"/>
        <w:gridCol w:w="2855"/>
      </w:tblGrid>
      <w:tr w14:paraId="073BA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607" w:type="dxa"/>
            <w:noWrap w:val="0"/>
            <w:vAlign w:val="center"/>
          </w:tcPr>
          <w:p w14:paraId="709A7985">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序号</w:t>
            </w:r>
          </w:p>
        </w:tc>
        <w:tc>
          <w:tcPr>
            <w:tcW w:w="3434" w:type="dxa"/>
            <w:noWrap w:val="0"/>
            <w:vAlign w:val="center"/>
          </w:tcPr>
          <w:p w14:paraId="378F56DA">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设备名称</w:t>
            </w:r>
          </w:p>
        </w:tc>
        <w:tc>
          <w:tcPr>
            <w:tcW w:w="855" w:type="dxa"/>
            <w:noWrap w:val="0"/>
            <w:vAlign w:val="center"/>
          </w:tcPr>
          <w:p w14:paraId="1F9893ED">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规格</w:t>
            </w:r>
          </w:p>
          <w:p w14:paraId="45D37750">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型号</w:t>
            </w:r>
          </w:p>
        </w:tc>
        <w:tc>
          <w:tcPr>
            <w:tcW w:w="870" w:type="dxa"/>
            <w:noWrap w:val="0"/>
            <w:vAlign w:val="center"/>
          </w:tcPr>
          <w:p w14:paraId="38DFC942">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数量</w:t>
            </w:r>
          </w:p>
        </w:tc>
        <w:tc>
          <w:tcPr>
            <w:tcW w:w="2855" w:type="dxa"/>
            <w:noWrap w:val="0"/>
            <w:vAlign w:val="center"/>
          </w:tcPr>
          <w:p w14:paraId="496B1DB5">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备注</w:t>
            </w:r>
          </w:p>
        </w:tc>
      </w:tr>
      <w:tr w14:paraId="3EDDC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607" w:type="dxa"/>
            <w:shd w:val="clear" w:color="auto" w:fill="auto"/>
            <w:noWrap w:val="0"/>
            <w:vAlign w:val="center"/>
          </w:tcPr>
          <w:p w14:paraId="6CA261D1">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w:t>
            </w:r>
          </w:p>
        </w:tc>
        <w:tc>
          <w:tcPr>
            <w:tcW w:w="3434" w:type="dxa"/>
            <w:shd w:val="clear" w:color="auto" w:fill="auto"/>
            <w:noWrap w:val="0"/>
            <w:vAlign w:val="center"/>
          </w:tcPr>
          <w:p w14:paraId="6028C82F">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原油</w:t>
            </w:r>
            <w:r>
              <w:rPr>
                <w:rFonts w:hint="eastAsia" w:ascii="宋体" w:hAnsi="宋体" w:eastAsia="宋体" w:cs="宋体"/>
                <w:bCs w:val="0"/>
                <w:color w:val="auto"/>
                <w:spacing w:val="0"/>
                <w:sz w:val="18"/>
                <w:szCs w:val="18"/>
                <w:shd w:val="clear" w:color="auto" w:fill="auto"/>
                <w:lang w:val="en-US" w:eastAsia="zh-CN"/>
              </w:rPr>
              <w:t>储</w:t>
            </w:r>
            <w:r>
              <w:rPr>
                <w:rFonts w:hint="eastAsia" w:ascii="宋体" w:hAnsi="宋体" w:eastAsia="宋体" w:cs="宋体"/>
                <w:bCs w:val="0"/>
                <w:color w:val="auto"/>
                <w:spacing w:val="0"/>
                <w:sz w:val="18"/>
                <w:szCs w:val="18"/>
                <w:shd w:val="clear" w:color="auto" w:fill="auto"/>
                <w:lang w:eastAsia="zh-CN"/>
              </w:rPr>
              <w:t>罐</w:t>
            </w:r>
          </w:p>
        </w:tc>
        <w:tc>
          <w:tcPr>
            <w:tcW w:w="855" w:type="dxa"/>
            <w:shd w:val="clear" w:color="auto" w:fill="auto"/>
            <w:noWrap w:val="0"/>
            <w:vAlign w:val="center"/>
          </w:tcPr>
          <w:p w14:paraId="46F47194">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25T</w:t>
            </w:r>
          </w:p>
        </w:tc>
        <w:tc>
          <w:tcPr>
            <w:tcW w:w="870" w:type="dxa"/>
            <w:shd w:val="clear" w:color="auto" w:fill="auto"/>
            <w:noWrap w:val="0"/>
            <w:vAlign w:val="center"/>
          </w:tcPr>
          <w:p w14:paraId="4622157B">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2</w:t>
            </w:r>
            <w:r>
              <w:rPr>
                <w:rFonts w:hint="eastAsia" w:ascii="宋体" w:hAnsi="宋体" w:eastAsia="宋体" w:cs="宋体"/>
                <w:bCs w:val="0"/>
                <w:color w:val="auto"/>
                <w:spacing w:val="0"/>
                <w:sz w:val="18"/>
                <w:szCs w:val="18"/>
                <w:shd w:val="clear" w:color="auto" w:fill="auto"/>
                <w:lang w:val="en-US" w:eastAsia="zh-CN"/>
              </w:rPr>
              <w:t>台</w:t>
            </w:r>
          </w:p>
        </w:tc>
        <w:tc>
          <w:tcPr>
            <w:tcW w:w="2855" w:type="dxa"/>
            <w:shd w:val="clear" w:color="auto" w:fill="auto"/>
            <w:noWrap w:val="0"/>
            <w:vAlign w:val="center"/>
          </w:tcPr>
          <w:p w14:paraId="7825B4D2">
            <w:pP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底部锥形，可视化液位计，加称重系统，利旧2台（由投标方负责将2台旧罐从现有生产厂迁至新厂并负责安装，距离约35公里，旧罐体原有容积约10吨）。</w:t>
            </w:r>
          </w:p>
        </w:tc>
      </w:tr>
      <w:tr w14:paraId="18F5B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shd w:val="clear" w:color="auto" w:fill="auto"/>
            <w:noWrap w:val="0"/>
            <w:vAlign w:val="center"/>
          </w:tcPr>
          <w:p w14:paraId="598620A0">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2</w:t>
            </w:r>
          </w:p>
        </w:tc>
        <w:tc>
          <w:tcPr>
            <w:tcW w:w="3434" w:type="dxa"/>
            <w:shd w:val="clear" w:color="auto" w:fill="auto"/>
            <w:noWrap w:val="0"/>
            <w:vAlign w:val="center"/>
          </w:tcPr>
          <w:p w14:paraId="54DEC9C4">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断生</w:t>
            </w:r>
            <w:r>
              <w:rPr>
                <w:rFonts w:hint="eastAsia" w:ascii="宋体" w:hAnsi="宋体" w:eastAsia="宋体" w:cs="宋体"/>
                <w:bCs w:val="0"/>
                <w:color w:val="auto"/>
                <w:spacing w:val="0"/>
                <w:kern w:val="2"/>
                <w:sz w:val="18"/>
                <w:szCs w:val="18"/>
                <w:shd w:val="clear" w:color="auto" w:fill="auto"/>
                <w:lang w:val="en-US" w:eastAsia="zh-CN" w:bidi="ar-SA"/>
              </w:rPr>
              <w:t>炼油锅油流量计</w:t>
            </w:r>
          </w:p>
        </w:tc>
        <w:tc>
          <w:tcPr>
            <w:tcW w:w="855" w:type="dxa"/>
            <w:shd w:val="clear" w:color="auto" w:fill="auto"/>
            <w:noWrap w:val="0"/>
            <w:vAlign w:val="center"/>
          </w:tcPr>
          <w:p w14:paraId="74FDA723">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0851A3B6">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5B82278E">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原油罐到炼油锅</w:t>
            </w:r>
          </w:p>
        </w:tc>
      </w:tr>
      <w:tr w14:paraId="7C21A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shd w:val="clear" w:color="auto" w:fill="auto"/>
            <w:noWrap w:val="0"/>
            <w:vAlign w:val="center"/>
          </w:tcPr>
          <w:p w14:paraId="3A6273A3">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3</w:t>
            </w:r>
          </w:p>
        </w:tc>
        <w:tc>
          <w:tcPr>
            <w:tcW w:w="3434" w:type="dxa"/>
            <w:shd w:val="clear" w:color="auto" w:fill="auto"/>
            <w:noWrap w:val="0"/>
            <w:vAlign w:val="center"/>
          </w:tcPr>
          <w:p w14:paraId="40E5027D">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浸提油罐流量计</w:t>
            </w:r>
          </w:p>
        </w:tc>
        <w:tc>
          <w:tcPr>
            <w:tcW w:w="855" w:type="dxa"/>
            <w:shd w:val="clear" w:color="auto" w:fill="auto"/>
            <w:noWrap w:val="0"/>
            <w:vAlign w:val="center"/>
          </w:tcPr>
          <w:p w14:paraId="2F0604F0">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4A2A7F94">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45538FD8">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耐高温300℃</w:t>
            </w:r>
          </w:p>
        </w:tc>
      </w:tr>
      <w:tr w14:paraId="06CDC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shd w:val="clear" w:color="auto" w:fill="auto"/>
            <w:noWrap w:val="0"/>
            <w:vAlign w:val="center"/>
          </w:tcPr>
          <w:p w14:paraId="724FD1CE">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4</w:t>
            </w:r>
          </w:p>
        </w:tc>
        <w:tc>
          <w:tcPr>
            <w:tcW w:w="3434" w:type="dxa"/>
            <w:shd w:val="clear" w:color="auto" w:fill="auto"/>
            <w:noWrap w:val="0"/>
            <w:vAlign w:val="center"/>
          </w:tcPr>
          <w:p w14:paraId="17E5D9E0">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储油罐流量计</w:t>
            </w:r>
          </w:p>
        </w:tc>
        <w:tc>
          <w:tcPr>
            <w:tcW w:w="855" w:type="dxa"/>
            <w:shd w:val="clear" w:color="auto" w:fill="auto"/>
            <w:noWrap w:val="0"/>
            <w:vAlign w:val="center"/>
          </w:tcPr>
          <w:p w14:paraId="2F106158">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299DB5AF">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41790D30">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分离后从过渡储油罐到储油罐</w:t>
            </w:r>
          </w:p>
        </w:tc>
      </w:tr>
      <w:tr w14:paraId="17D74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607" w:type="dxa"/>
            <w:shd w:val="clear" w:color="auto" w:fill="auto"/>
            <w:noWrap w:val="0"/>
            <w:vAlign w:val="center"/>
          </w:tcPr>
          <w:p w14:paraId="4E67B1B7">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5</w:t>
            </w:r>
          </w:p>
        </w:tc>
        <w:tc>
          <w:tcPr>
            <w:tcW w:w="3434" w:type="dxa"/>
            <w:shd w:val="clear" w:color="auto" w:fill="auto"/>
            <w:noWrap w:val="0"/>
            <w:vAlign w:val="center"/>
          </w:tcPr>
          <w:p w14:paraId="59A4C798">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生活饮用水/榨菜汁流量计</w:t>
            </w:r>
          </w:p>
        </w:tc>
        <w:tc>
          <w:tcPr>
            <w:tcW w:w="855" w:type="dxa"/>
            <w:shd w:val="clear" w:color="auto" w:fill="auto"/>
            <w:noWrap w:val="0"/>
            <w:vAlign w:val="center"/>
          </w:tcPr>
          <w:p w14:paraId="0BC66459">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4C9C1852">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1F76BE54">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p>
        </w:tc>
      </w:tr>
      <w:tr w14:paraId="0AE0A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607" w:type="dxa"/>
            <w:shd w:val="clear" w:color="auto" w:fill="auto"/>
            <w:noWrap w:val="0"/>
            <w:vAlign w:val="center"/>
          </w:tcPr>
          <w:p w14:paraId="582617ED">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6</w:t>
            </w:r>
          </w:p>
        </w:tc>
        <w:tc>
          <w:tcPr>
            <w:tcW w:w="3434" w:type="dxa"/>
            <w:shd w:val="clear" w:color="auto" w:fill="auto"/>
            <w:noWrap w:val="0"/>
            <w:vAlign w:val="center"/>
          </w:tcPr>
          <w:p w14:paraId="44852348">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香料渣水流量计</w:t>
            </w:r>
          </w:p>
        </w:tc>
        <w:tc>
          <w:tcPr>
            <w:tcW w:w="855" w:type="dxa"/>
            <w:shd w:val="clear" w:color="auto" w:fill="auto"/>
            <w:noWrap w:val="0"/>
            <w:vAlign w:val="center"/>
          </w:tcPr>
          <w:p w14:paraId="70067B92">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3830735D">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1EC7DCEE">
            <w:pP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配料用</w:t>
            </w:r>
          </w:p>
        </w:tc>
      </w:tr>
      <w:tr w14:paraId="189A4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607" w:type="dxa"/>
            <w:shd w:val="clear" w:color="auto" w:fill="auto"/>
            <w:noWrap w:val="0"/>
            <w:vAlign w:val="center"/>
          </w:tcPr>
          <w:p w14:paraId="38377857">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7</w:t>
            </w:r>
          </w:p>
        </w:tc>
        <w:tc>
          <w:tcPr>
            <w:tcW w:w="3434" w:type="dxa"/>
            <w:shd w:val="clear" w:color="auto" w:fill="auto"/>
            <w:noWrap w:val="0"/>
            <w:vAlign w:val="center"/>
          </w:tcPr>
          <w:p w14:paraId="5419F50D">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香料油/辣椒油流量计</w:t>
            </w:r>
          </w:p>
        </w:tc>
        <w:tc>
          <w:tcPr>
            <w:tcW w:w="855" w:type="dxa"/>
            <w:shd w:val="clear" w:color="auto" w:fill="auto"/>
            <w:noWrap w:val="0"/>
            <w:vAlign w:val="center"/>
          </w:tcPr>
          <w:p w14:paraId="4D7E0645">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4A12A8B4">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5D91E9CB">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p>
        </w:tc>
      </w:tr>
      <w:tr w14:paraId="374F0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jc w:val="center"/>
        </w:trPr>
        <w:tc>
          <w:tcPr>
            <w:tcW w:w="607" w:type="dxa"/>
            <w:shd w:val="clear" w:color="auto" w:fill="auto"/>
            <w:noWrap w:val="0"/>
            <w:vAlign w:val="center"/>
          </w:tcPr>
          <w:p w14:paraId="19722999">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8</w:t>
            </w:r>
          </w:p>
        </w:tc>
        <w:tc>
          <w:tcPr>
            <w:tcW w:w="3434" w:type="dxa"/>
            <w:shd w:val="clear" w:color="auto" w:fill="auto"/>
            <w:noWrap w:val="0"/>
            <w:vAlign w:val="center"/>
          </w:tcPr>
          <w:p w14:paraId="7B7A594D">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断生</w:t>
            </w:r>
            <w:r>
              <w:rPr>
                <w:rFonts w:hint="eastAsia" w:ascii="宋体" w:hAnsi="宋体" w:eastAsia="宋体" w:cs="宋体"/>
                <w:bCs w:val="0"/>
                <w:color w:val="auto"/>
                <w:spacing w:val="0"/>
                <w:kern w:val="2"/>
                <w:sz w:val="18"/>
                <w:szCs w:val="18"/>
                <w:shd w:val="clear" w:color="auto" w:fill="auto"/>
                <w:lang w:val="en-US" w:eastAsia="zh-CN" w:bidi="ar-SA"/>
              </w:rPr>
              <w:t>炼油锅</w:t>
            </w:r>
          </w:p>
        </w:tc>
        <w:tc>
          <w:tcPr>
            <w:tcW w:w="855" w:type="dxa"/>
            <w:shd w:val="clear" w:color="auto" w:fill="auto"/>
            <w:noWrap w:val="0"/>
            <w:vAlign w:val="center"/>
          </w:tcPr>
          <w:p w14:paraId="4AA8BF92">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2500L</w:t>
            </w:r>
          </w:p>
        </w:tc>
        <w:tc>
          <w:tcPr>
            <w:tcW w:w="870" w:type="dxa"/>
            <w:shd w:val="clear" w:color="auto" w:fill="auto"/>
            <w:noWrap w:val="0"/>
            <w:vAlign w:val="center"/>
          </w:tcPr>
          <w:p w14:paraId="14771E39">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3台</w:t>
            </w:r>
          </w:p>
        </w:tc>
        <w:tc>
          <w:tcPr>
            <w:tcW w:w="2855" w:type="dxa"/>
            <w:shd w:val="clear" w:color="auto" w:fill="auto"/>
            <w:noWrap w:val="0"/>
            <w:vAlign w:val="center"/>
          </w:tcPr>
          <w:p w14:paraId="749B37FA">
            <w:pP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天然气加热</w:t>
            </w:r>
          </w:p>
        </w:tc>
      </w:tr>
      <w:tr w14:paraId="74A8F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607" w:type="dxa"/>
            <w:tcBorders>
              <w:bottom w:val="single" w:color="auto" w:sz="4" w:space="0"/>
            </w:tcBorders>
            <w:shd w:val="clear" w:color="auto" w:fill="auto"/>
            <w:noWrap w:val="0"/>
            <w:vAlign w:val="center"/>
          </w:tcPr>
          <w:p w14:paraId="6CA252FB">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9</w:t>
            </w:r>
          </w:p>
        </w:tc>
        <w:tc>
          <w:tcPr>
            <w:tcW w:w="3434" w:type="dxa"/>
            <w:shd w:val="clear" w:color="auto" w:fill="auto"/>
            <w:noWrap w:val="0"/>
            <w:vAlign w:val="center"/>
          </w:tcPr>
          <w:p w14:paraId="4ED50844">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管式冷却</w:t>
            </w:r>
          </w:p>
        </w:tc>
        <w:tc>
          <w:tcPr>
            <w:tcW w:w="855" w:type="dxa"/>
            <w:shd w:val="clear" w:color="auto" w:fill="auto"/>
            <w:noWrap w:val="0"/>
            <w:vAlign w:val="center"/>
          </w:tcPr>
          <w:p w14:paraId="1149AC6F">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20CAD378">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6195BE53">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温度可调</w:t>
            </w:r>
          </w:p>
        </w:tc>
      </w:tr>
      <w:tr w14:paraId="49EF3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607" w:type="dxa"/>
            <w:tcBorders>
              <w:bottom w:val="single" w:color="auto" w:sz="4" w:space="0"/>
            </w:tcBorders>
            <w:noWrap w:val="0"/>
            <w:vAlign w:val="center"/>
          </w:tcPr>
          <w:p w14:paraId="6D82D77D">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10</w:t>
            </w:r>
          </w:p>
        </w:tc>
        <w:tc>
          <w:tcPr>
            <w:tcW w:w="3434" w:type="dxa"/>
            <w:noWrap w:val="0"/>
            <w:vAlign w:val="center"/>
          </w:tcPr>
          <w:p w14:paraId="61F88038">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浸提油罐</w:t>
            </w:r>
          </w:p>
        </w:tc>
        <w:tc>
          <w:tcPr>
            <w:tcW w:w="855" w:type="dxa"/>
            <w:noWrap w:val="0"/>
            <w:vAlign w:val="center"/>
          </w:tcPr>
          <w:p w14:paraId="0FC07075">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8000L</w:t>
            </w:r>
          </w:p>
        </w:tc>
        <w:tc>
          <w:tcPr>
            <w:tcW w:w="870" w:type="dxa"/>
            <w:noWrap w:val="0"/>
            <w:vAlign w:val="center"/>
          </w:tcPr>
          <w:p w14:paraId="21BEBA82">
            <w:pPr>
              <w:jc w:val="cente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6台</w:t>
            </w:r>
          </w:p>
        </w:tc>
        <w:tc>
          <w:tcPr>
            <w:tcW w:w="2855" w:type="dxa"/>
            <w:noWrap w:val="0"/>
            <w:vAlign w:val="center"/>
          </w:tcPr>
          <w:p w14:paraId="2F594E41">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配称重系统，可视化液位计</w:t>
            </w:r>
          </w:p>
        </w:tc>
      </w:tr>
      <w:tr w14:paraId="62198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607" w:type="dxa"/>
            <w:tcBorders>
              <w:bottom w:val="single" w:color="auto" w:sz="4" w:space="0"/>
            </w:tcBorders>
            <w:noWrap w:val="0"/>
            <w:vAlign w:val="center"/>
          </w:tcPr>
          <w:p w14:paraId="62B25619">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11</w:t>
            </w:r>
          </w:p>
        </w:tc>
        <w:tc>
          <w:tcPr>
            <w:tcW w:w="3434" w:type="dxa"/>
            <w:noWrap w:val="0"/>
            <w:vAlign w:val="center"/>
          </w:tcPr>
          <w:p w14:paraId="7E0F9D40">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浸提油罐</w:t>
            </w:r>
          </w:p>
        </w:tc>
        <w:tc>
          <w:tcPr>
            <w:tcW w:w="855" w:type="dxa"/>
            <w:noWrap w:val="0"/>
            <w:vAlign w:val="center"/>
          </w:tcPr>
          <w:p w14:paraId="3775920C">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2500L</w:t>
            </w:r>
          </w:p>
        </w:tc>
        <w:tc>
          <w:tcPr>
            <w:tcW w:w="870" w:type="dxa"/>
            <w:noWrap w:val="0"/>
            <w:vAlign w:val="center"/>
          </w:tcPr>
          <w:p w14:paraId="1FD755A0">
            <w:pPr>
              <w:jc w:val="cente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1台</w:t>
            </w:r>
          </w:p>
        </w:tc>
        <w:tc>
          <w:tcPr>
            <w:tcW w:w="2855" w:type="dxa"/>
            <w:noWrap w:val="0"/>
            <w:vAlign w:val="center"/>
          </w:tcPr>
          <w:p w14:paraId="277D20F3">
            <w:pP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配称重系统，可视化液位计</w:t>
            </w:r>
          </w:p>
        </w:tc>
      </w:tr>
      <w:tr w14:paraId="0EF8F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607" w:type="dxa"/>
            <w:tcBorders>
              <w:bottom w:val="single" w:color="auto" w:sz="4" w:space="0"/>
            </w:tcBorders>
            <w:noWrap w:val="0"/>
            <w:vAlign w:val="center"/>
          </w:tcPr>
          <w:p w14:paraId="17D4B75B">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12</w:t>
            </w:r>
          </w:p>
        </w:tc>
        <w:tc>
          <w:tcPr>
            <w:tcW w:w="3434" w:type="dxa"/>
            <w:noWrap w:val="0"/>
            <w:vAlign w:val="center"/>
          </w:tcPr>
          <w:p w14:paraId="21003183">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煮水罐</w:t>
            </w:r>
          </w:p>
        </w:tc>
        <w:tc>
          <w:tcPr>
            <w:tcW w:w="855" w:type="dxa"/>
            <w:noWrap w:val="0"/>
            <w:vAlign w:val="center"/>
          </w:tcPr>
          <w:p w14:paraId="5C45FE6F">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8000L</w:t>
            </w:r>
          </w:p>
        </w:tc>
        <w:tc>
          <w:tcPr>
            <w:tcW w:w="870" w:type="dxa"/>
            <w:noWrap w:val="0"/>
            <w:vAlign w:val="center"/>
          </w:tcPr>
          <w:p w14:paraId="28A76793">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6台</w:t>
            </w:r>
          </w:p>
        </w:tc>
        <w:tc>
          <w:tcPr>
            <w:tcW w:w="2855" w:type="dxa"/>
            <w:noWrap w:val="0"/>
            <w:vAlign w:val="center"/>
          </w:tcPr>
          <w:p w14:paraId="67EC1DBF">
            <w:pP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p>
        </w:tc>
      </w:tr>
      <w:tr w14:paraId="75AA6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tcBorders>
              <w:top w:val="single" w:color="auto" w:sz="4" w:space="0"/>
            </w:tcBorders>
            <w:noWrap w:val="0"/>
            <w:vAlign w:val="center"/>
          </w:tcPr>
          <w:p w14:paraId="713DAF6D">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13</w:t>
            </w:r>
          </w:p>
        </w:tc>
        <w:tc>
          <w:tcPr>
            <w:tcW w:w="3434" w:type="dxa"/>
            <w:noWrap w:val="0"/>
            <w:vAlign w:val="center"/>
          </w:tcPr>
          <w:p w14:paraId="182E7C51">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螺杆泵</w:t>
            </w:r>
          </w:p>
        </w:tc>
        <w:tc>
          <w:tcPr>
            <w:tcW w:w="855" w:type="dxa"/>
            <w:noWrap w:val="0"/>
            <w:vAlign w:val="center"/>
          </w:tcPr>
          <w:p w14:paraId="2DA4154E">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3C6B5B2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6</w:t>
            </w:r>
            <w:r>
              <w:rPr>
                <w:rFonts w:hint="eastAsia" w:ascii="宋体" w:hAnsi="宋体" w:eastAsia="宋体" w:cs="宋体"/>
                <w:bCs w:val="0"/>
                <w:color w:val="auto"/>
                <w:spacing w:val="0"/>
                <w:sz w:val="18"/>
                <w:szCs w:val="18"/>
                <w:shd w:val="clear" w:color="auto" w:fill="auto"/>
                <w:lang w:val="en-US" w:eastAsia="zh-CN"/>
              </w:rPr>
              <w:t>台</w:t>
            </w:r>
          </w:p>
        </w:tc>
        <w:tc>
          <w:tcPr>
            <w:tcW w:w="2855" w:type="dxa"/>
            <w:noWrap w:val="0"/>
            <w:vAlign w:val="center"/>
          </w:tcPr>
          <w:p w14:paraId="288A659B">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泵油渣</w:t>
            </w:r>
          </w:p>
        </w:tc>
      </w:tr>
      <w:tr w14:paraId="13E22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5590E1CC">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14</w:t>
            </w:r>
          </w:p>
        </w:tc>
        <w:tc>
          <w:tcPr>
            <w:tcW w:w="3434" w:type="dxa"/>
            <w:noWrap w:val="0"/>
            <w:vAlign w:val="center"/>
          </w:tcPr>
          <w:p w14:paraId="11BD2B0E">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自动离心</w:t>
            </w:r>
            <w:r>
              <w:rPr>
                <w:rFonts w:hint="eastAsia" w:ascii="宋体" w:hAnsi="宋体" w:eastAsia="宋体" w:cs="宋体"/>
                <w:bCs w:val="0"/>
                <w:color w:val="auto"/>
                <w:spacing w:val="0"/>
                <w:sz w:val="18"/>
                <w:szCs w:val="18"/>
                <w:shd w:val="clear" w:color="auto" w:fill="auto"/>
                <w:lang w:eastAsia="zh-CN"/>
              </w:rPr>
              <w:t>机</w:t>
            </w:r>
          </w:p>
        </w:tc>
        <w:tc>
          <w:tcPr>
            <w:tcW w:w="855" w:type="dxa"/>
            <w:noWrap w:val="0"/>
            <w:vAlign w:val="center"/>
          </w:tcPr>
          <w:p w14:paraId="6FDA625A">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46CBA21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5</w:t>
            </w:r>
            <w:r>
              <w:rPr>
                <w:rFonts w:hint="eastAsia" w:ascii="宋体" w:hAnsi="宋体" w:eastAsia="宋体" w:cs="宋体"/>
                <w:bCs w:val="0"/>
                <w:color w:val="auto"/>
                <w:spacing w:val="0"/>
                <w:sz w:val="18"/>
                <w:szCs w:val="18"/>
                <w:shd w:val="clear" w:color="auto" w:fill="auto"/>
                <w:lang w:eastAsia="zh-CN"/>
              </w:rPr>
              <w:t>台</w:t>
            </w:r>
          </w:p>
        </w:tc>
        <w:tc>
          <w:tcPr>
            <w:tcW w:w="2855" w:type="dxa"/>
            <w:noWrap w:val="0"/>
            <w:vAlign w:val="center"/>
          </w:tcPr>
          <w:p w14:paraId="6D6F9543">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3台油渣分离，2台水渣分离</w:t>
            </w:r>
          </w:p>
        </w:tc>
      </w:tr>
      <w:tr w14:paraId="48DFC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62AFF714">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16</w:t>
            </w:r>
          </w:p>
        </w:tc>
        <w:tc>
          <w:tcPr>
            <w:tcW w:w="3434" w:type="dxa"/>
            <w:noWrap w:val="0"/>
            <w:vAlign w:val="center"/>
          </w:tcPr>
          <w:p w14:paraId="4F6BF2A8">
            <w:pP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过渡储油罐</w:t>
            </w:r>
          </w:p>
        </w:tc>
        <w:tc>
          <w:tcPr>
            <w:tcW w:w="855" w:type="dxa"/>
            <w:noWrap w:val="0"/>
            <w:vAlign w:val="center"/>
          </w:tcPr>
          <w:p w14:paraId="1820069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3000L</w:t>
            </w:r>
          </w:p>
        </w:tc>
        <w:tc>
          <w:tcPr>
            <w:tcW w:w="870" w:type="dxa"/>
            <w:noWrap w:val="0"/>
            <w:vAlign w:val="center"/>
          </w:tcPr>
          <w:p w14:paraId="089EC06F">
            <w:pPr>
              <w:jc w:val="cente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2D51C1E5">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配液位计，罐分辣的和不辣的</w:t>
            </w:r>
          </w:p>
        </w:tc>
      </w:tr>
      <w:tr w14:paraId="778DC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07AA7756">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17</w:t>
            </w:r>
          </w:p>
        </w:tc>
        <w:tc>
          <w:tcPr>
            <w:tcW w:w="3434" w:type="dxa"/>
            <w:noWrap w:val="0"/>
            <w:vAlign w:val="center"/>
          </w:tcPr>
          <w:p w14:paraId="4337BBFB">
            <w:pP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过渡储水罐</w:t>
            </w:r>
          </w:p>
        </w:tc>
        <w:tc>
          <w:tcPr>
            <w:tcW w:w="855" w:type="dxa"/>
            <w:noWrap w:val="0"/>
            <w:vAlign w:val="center"/>
          </w:tcPr>
          <w:p w14:paraId="134D0C73">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3000L</w:t>
            </w:r>
          </w:p>
        </w:tc>
        <w:tc>
          <w:tcPr>
            <w:tcW w:w="870" w:type="dxa"/>
            <w:noWrap w:val="0"/>
            <w:vAlign w:val="center"/>
          </w:tcPr>
          <w:p w14:paraId="6766B828">
            <w:pPr>
              <w:jc w:val="cente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1台</w:t>
            </w:r>
          </w:p>
        </w:tc>
        <w:tc>
          <w:tcPr>
            <w:tcW w:w="2855" w:type="dxa"/>
            <w:noWrap w:val="0"/>
            <w:vAlign w:val="center"/>
          </w:tcPr>
          <w:p w14:paraId="49C02EE1">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 xml:space="preserve">配液位计 </w:t>
            </w:r>
          </w:p>
        </w:tc>
      </w:tr>
      <w:tr w14:paraId="1CFD2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34432A64">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w:t>
            </w:r>
            <w:r>
              <w:rPr>
                <w:rFonts w:hint="eastAsia" w:ascii="宋体" w:hAnsi="宋体" w:cs="宋体"/>
                <w:bCs w:val="0"/>
                <w:spacing w:val="0"/>
                <w:sz w:val="18"/>
                <w:szCs w:val="18"/>
                <w:shd w:val="clear" w:color="auto" w:fill="auto"/>
                <w:lang w:val="en-US" w:eastAsia="zh-CN"/>
              </w:rPr>
              <w:t>8</w:t>
            </w:r>
          </w:p>
        </w:tc>
        <w:tc>
          <w:tcPr>
            <w:tcW w:w="3434" w:type="dxa"/>
            <w:noWrap w:val="0"/>
            <w:vAlign w:val="center"/>
          </w:tcPr>
          <w:p w14:paraId="683EA597">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回程泵</w:t>
            </w:r>
          </w:p>
        </w:tc>
        <w:tc>
          <w:tcPr>
            <w:tcW w:w="855" w:type="dxa"/>
            <w:noWrap w:val="0"/>
            <w:vAlign w:val="center"/>
          </w:tcPr>
          <w:p w14:paraId="2A30ABB3">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32D69175">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103C88ED">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进过渡储罐，油、水各一台</w:t>
            </w:r>
          </w:p>
        </w:tc>
      </w:tr>
      <w:tr w14:paraId="10EAF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53AD6583">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w:t>
            </w:r>
            <w:r>
              <w:rPr>
                <w:rFonts w:hint="eastAsia" w:ascii="宋体" w:hAnsi="宋体" w:cs="宋体"/>
                <w:bCs w:val="0"/>
                <w:spacing w:val="0"/>
                <w:sz w:val="18"/>
                <w:szCs w:val="18"/>
                <w:shd w:val="clear" w:color="auto" w:fill="auto"/>
                <w:lang w:val="en-US" w:eastAsia="zh-CN"/>
              </w:rPr>
              <w:t>9</w:t>
            </w:r>
          </w:p>
        </w:tc>
        <w:tc>
          <w:tcPr>
            <w:tcW w:w="3434" w:type="dxa"/>
            <w:noWrap w:val="0"/>
            <w:vAlign w:val="center"/>
          </w:tcPr>
          <w:p w14:paraId="549B079F">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出料泵</w:t>
            </w:r>
          </w:p>
        </w:tc>
        <w:tc>
          <w:tcPr>
            <w:tcW w:w="855" w:type="dxa"/>
            <w:noWrap w:val="0"/>
            <w:vAlign w:val="center"/>
          </w:tcPr>
          <w:p w14:paraId="0F732EF2">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12E85DF4">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788BCDF2">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出过渡储罐，油、水各一台</w:t>
            </w:r>
          </w:p>
        </w:tc>
      </w:tr>
      <w:tr w14:paraId="3BB68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20146AE2">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20</w:t>
            </w:r>
          </w:p>
        </w:tc>
        <w:tc>
          <w:tcPr>
            <w:tcW w:w="3434" w:type="dxa"/>
            <w:noWrap w:val="0"/>
            <w:vAlign w:val="center"/>
          </w:tcPr>
          <w:p w14:paraId="5AD3A500">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eastAsia="zh-CN"/>
              </w:rPr>
              <w:t>过滤器</w:t>
            </w:r>
          </w:p>
        </w:tc>
        <w:tc>
          <w:tcPr>
            <w:tcW w:w="855" w:type="dxa"/>
            <w:noWrap w:val="0"/>
            <w:vAlign w:val="center"/>
          </w:tcPr>
          <w:p w14:paraId="5DF1BE51">
            <w:pPr>
              <w:jc w:val="center"/>
              <w:rPr>
                <w:rFonts w:hint="eastAsia" w:ascii="宋体" w:hAnsi="宋体" w:eastAsia="宋体" w:cs="宋体"/>
                <w:bCs w:val="0"/>
                <w:spacing w:val="0"/>
                <w:kern w:val="2"/>
                <w:sz w:val="18"/>
                <w:szCs w:val="18"/>
                <w:shd w:val="clear" w:color="auto" w:fill="auto"/>
                <w:lang w:val="en-US" w:eastAsia="zh-CN" w:bidi="ar-SA"/>
              </w:rPr>
            </w:pPr>
          </w:p>
        </w:tc>
        <w:tc>
          <w:tcPr>
            <w:tcW w:w="870" w:type="dxa"/>
            <w:noWrap w:val="0"/>
            <w:vAlign w:val="center"/>
          </w:tcPr>
          <w:p w14:paraId="666571E6">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若干台</w:t>
            </w:r>
          </w:p>
        </w:tc>
        <w:tc>
          <w:tcPr>
            <w:tcW w:w="2855" w:type="dxa"/>
            <w:noWrap w:val="0"/>
            <w:vAlign w:val="center"/>
          </w:tcPr>
          <w:p w14:paraId="1813822F">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 xml:space="preserve">分级过滤，最终达到120目 </w:t>
            </w:r>
          </w:p>
        </w:tc>
      </w:tr>
      <w:tr w14:paraId="0D762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607" w:type="dxa"/>
            <w:noWrap w:val="0"/>
            <w:vAlign w:val="center"/>
          </w:tcPr>
          <w:p w14:paraId="231B2061">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21</w:t>
            </w:r>
          </w:p>
        </w:tc>
        <w:tc>
          <w:tcPr>
            <w:tcW w:w="3434" w:type="dxa"/>
            <w:noWrap w:val="0"/>
            <w:vAlign w:val="center"/>
          </w:tcPr>
          <w:p w14:paraId="0BC19E4C">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储存罐</w:t>
            </w:r>
          </w:p>
        </w:tc>
        <w:tc>
          <w:tcPr>
            <w:tcW w:w="855" w:type="dxa"/>
            <w:noWrap w:val="0"/>
            <w:vAlign w:val="center"/>
          </w:tcPr>
          <w:p w14:paraId="3EA8CA6B">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7</w:t>
            </w:r>
            <w:r>
              <w:rPr>
                <w:rFonts w:hint="eastAsia" w:ascii="宋体" w:hAnsi="宋体" w:eastAsia="宋体" w:cs="宋体"/>
                <w:bCs w:val="0"/>
                <w:spacing w:val="0"/>
                <w:kern w:val="2"/>
                <w:sz w:val="18"/>
                <w:szCs w:val="18"/>
                <w:shd w:val="clear" w:color="auto" w:fill="auto"/>
                <w:lang w:val="en-US" w:eastAsia="zh-CN" w:bidi="ar-SA"/>
              </w:rPr>
              <w:t>000L</w:t>
            </w:r>
          </w:p>
        </w:tc>
        <w:tc>
          <w:tcPr>
            <w:tcW w:w="870" w:type="dxa"/>
            <w:noWrap w:val="0"/>
            <w:vAlign w:val="center"/>
          </w:tcPr>
          <w:p w14:paraId="3C760424">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7台</w:t>
            </w:r>
          </w:p>
        </w:tc>
        <w:tc>
          <w:tcPr>
            <w:tcW w:w="2855" w:type="dxa"/>
            <w:noWrap w:val="0"/>
            <w:vAlign w:val="center"/>
          </w:tcPr>
          <w:p w14:paraId="6A798AEF">
            <w:pPr>
              <w:rPr>
                <w:rFonts w:hint="eastAsia" w:ascii="宋体" w:hAnsi="宋体" w:eastAsia="宋体" w:cs="宋体"/>
                <w:bCs w:val="0"/>
                <w:spacing w:val="0"/>
                <w:kern w:val="2"/>
                <w:sz w:val="18"/>
                <w:szCs w:val="18"/>
                <w:shd w:val="clear" w:color="auto" w:fill="auto"/>
                <w:lang w:val="en-US" w:eastAsia="zh-CN" w:bidi="ar-SA"/>
              </w:rPr>
            </w:pPr>
          </w:p>
        </w:tc>
      </w:tr>
      <w:tr w14:paraId="191F6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607" w:type="dxa"/>
            <w:noWrap w:val="0"/>
            <w:vAlign w:val="center"/>
          </w:tcPr>
          <w:p w14:paraId="0A97077C">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22</w:t>
            </w:r>
          </w:p>
        </w:tc>
        <w:tc>
          <w:tcPr>
            <w:tcW w:w="3434" w:type="dxa"/>
            <w:noWrap w:val="0"/>
            <w:vAlign w:val="center"/>
          </w:tcPr>
          <w:p w14:paraId="04B0C31C">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储存罐</w:t>
            </w:r>
            <w:r>
              <w:rPr>
                <w:rFonts w:hint="eastAsia" w:ascii="宋体" w:hAnsi="宋体" w:eastAsia="宋体" w:cs="宋体"/>
                <w:bCs w:val="0"/>
                <w:spacing w:val="0"/>
                <w:sz w:val="18"/>
                <w:szCs w:val="18"/>
                <w:shd w:val="clear" w:color="auto" w:fill="auto"/>
                <w:lang w:val="en-US" w:eastAsia="zh-CN"/>
              </w:rPr>
              <w:t>出料泵</w:t>
            </w:r>
          </w:p>
        </w:tc>
        <w:tc>
          <w:tcPr>
            <w:tcW w:w="855" w:type="dxa"/>
            <w:noWrap w:val="0"/>
            <w:vAlign w:val="center"/>
          </w:tcPr>
          <w:p w14:paraId="24EA8E89">
            <w:pPr>
              <w:jc w:val="center"/>
              <w:rPr>
                <w:rFonts w:hint="eastAsia" w:ascii="宋体" w:hAnsi="宋体" w:eastAsia="宋体" w:cs="宋体"/>
                <w:bCs w:val="0"/>
                <w:spacing w:val="0"/>
                <w:kern w:val="2"/>
                <w:sz w:val="18"/>
                <w:szCs w:val="18"/>
                <w:shd w:val="clear" w:color="auto" w:fill="auto"/>
                <w:lang w:val="en-US" w:eastAsia="zh-CN" w:bidi="ar-SA"/>
              </w:rPr>
            </w:pPr>
          </w:p>
        </w:tc>
        <w:tc>
          <w:tcPr>
            <w:tcW w:w="870" w:type="dxa"/>
            <w:noWrap w:val="0"/>
            <w:vAlign w:val="center"/>
          </w:tcPr>
          <w:p w14:paraId="7264F876">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w:t>
            </w:r>
            <w:r>
              <w:rPr>
                <w:rFonts w:hint="eastAsia" w:ascii="宋体" w:hAnsi="宋体" w:eastAsia="宋体" w:cs="宋体"/>
                <w:bCs w:val="0"/>
                <w:spacing w:val="0"/>
                <w:sz w:val="18"/>
                <w:szCs w:val="18"/>
                <w:shd w:val="clear" w:color="auto" w:fill="auto"/>
                <w:lang w:val="en-US" w:eastAsia="zh-CN"/>
              </w:rPr>
              <w:t>台</w:t>
            </w:r>
          </w:p>
        </w:tc>
        <w:tc>
          <w:tcPr>
            <w:tcW w:w="2855" w:type="dxa"/>
            <w:noWrap w:val="0"/>
            <w:vAlign w:val="center"/>
          </w:tcPr>
          <w:p w14:paraId="023BC277">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油、水各一台</w:t>
            </w:r>
          </w:p>
        </w:tc>
      </w:tr>
      <w:tr w14:paraId="63C2F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10BD4AB9">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23</w:t>
            </w:r>
          </w:p>
        </w:tc>
        <w:tc>
          <w:tcPr>
            <w:tcW w:w="3434" w:type="dxa"/>
            <w:noWrap w:val="0"/>
            <w:vAlign w:val="center"/>
          </w:tcPr>
          <w:p w14:paraId="0C103CFE">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煮水罐</w:t>
            </w:r>
            <w:r>
              <w:rPr>
                <w:rFonts w:hint="eastAsia" w:ascii="宋体" w:hAnsi="宋体" w:eastAsia="宋体" w:cs="宋体"/>
                <w:bCs w:val="0"/>
                <w:spacing w:val="0"/>
                <w:kern w:val="2"/>
                <w:sz w:val="18"/>
                <w:szCs w:val="18"/>
                <w:shd w:val="clear" w:color="auto" w:fill="auto"/>
                <w:lang w:val="en-US" w:eastAsia="zh-CN" w:bidi="ar-SA"/>
              </w:rPr>
              <w:t>出料泵</w:t>
            </w:r>
          </w:p>
        </w:tc>
        <w:tc>
          <w:tcPr>
            <w:tcW w:w="855" w:type="dxa"/>
            <w:noWrap w:val="0"/>
            <w:vAlign w:val="center"/>
          </w:tcPr>
          <w:p w14:paraId="08A7E23D">
            <w:pPr>
              <w:jc w:val="center"/>
              <w:rPr>
                <w:rFonts w:hint="eastAsia" w:ascii="宋体" w:hAnsi="宋体" w:eastAsia="宋体" w:cs="宋体"/>
                <w:bCs w:val="0"/>
                <w:spacing w:val="0"/>
                <w:kern w:val="2"/>
                <w:sz w:val="18"/>
                <w:szCs w:val="18"/>
                <w:shd w:val="clear" w:color="auto" w:fill="auto"/>
                <w:lang w:val="en-US" w:eastAsia="zh-CN" w:bidi="ar-SA"/>
              </w:rPr>
            </w:pPr>
          </w:p>
        </w:tc>
        <w:tc>
          <w:tcPr>
            <w:tcW w:w="870" w:type="dxa"/>
            <w:noWrap w:val="0"/>
            <w:vAlign w:val="center"/>
          </w:tcPr>
          <w:p w14:paraId="60CB7ECE">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6</w:t>
            </w:r>
            <w:r>
              <w:rPr>
                <w:rFonts w:hint="eastAsia" w:ascii="宋体" w:hAnsi="宋体" w:eastAsia="宋体" w:cs="宋体"/>
                <w:bCs w:val="0"/>
                <w:spacing w:val="0"/>
                <w:kern w:val="2"/>
                <w:sz w:val="18"/>
                <w:szCs w:val="18"/>
                <w:highlight w:val="none"/>
                <w:shd w:val="clear" w:color="auto" w:fill="auto"/>
                <w:lang w:val="en-US" w:eastAsia="zh-CN" w:bidi="ar-SA"/>
              </w:rPr>
              <w:t>台</w:t>
            </w:r>
          </w:p>
        </w:tc>
        <w:tc>
          <w:tcPr>
            <w:tcW w:w="2855" w:type="dxa"/>
            <w:noWrap w:val="0"/>
            <w:vAlign w:val="center"/>
          </w:tcPr>
          <w:p w14:paraId="4A6E67A1">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煮水罐到离心机</w:t>
            </w:r>
          </w:p>
        </w:tc>
      </w:tr>
      <w:tr w14:paraId="5D117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5D055A70">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24</w:t>
            </w:r>
          </w:p>
        </w:tc>
        <w:tc>
          <w:tcPr>
            <w:tcW w:w="3434" w:type="dxa"/>
            <w:noWrap w:val="0"/>
            <w:vAlign w:val="center"/>
          </w:tcPr>
          <w:p w14:paraId="32FA5F8E">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管</w:t>
            </w:r>
            <w:r>
              <w:rPr>
                <w:rFonts w:hint="eastAsia" w:ascii="宋体" w:hAnsi="宋体" w:eastAsia="宋体" w:cs="宋体"/>
                <w:bCs w:val="0"/>
                <w:color w:val="auto"/>
                <w:spacing w:val="0"/>
                <w:sz w:val="18"/>
                <w:szCs w:val="18"/>
                <w:shd w:val="clear" w:color="auto" w:fill="auto"/>
                <w:lang w:val="en-US" w:eastAsia="zh-CN"/>
              </w:rPr>
              <w:t>式换热器</w:t>
            </w:r>
          </w:p>
        </w:tc>
        <w:tc>
          <w:tcPr>
            <w:tcW w:w="855" w:type="dxa"/>
            <w:noWrap w:val="0"/>
            <w:vAlign w:val="center"/>
          </w:tcPr>
          <w:p w14:paraId="379880D3">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536EBB96">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1台</w:t>
            </w:r>
          </w:p>
        </w:tc>
        <w:tc>
          <w:tcPr>
            <w:tcW w:w="2855" w:type="dxa"/>
            <w:noWrap w:val="0"/>
            <w:vAlign w:val="center"/>
          </w:tcPr>
          <w:p w14:paraId="2591A249">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水储存罐到配料罐，温度可调</w:t>
            </w:r>
          </w:p>
        </w:tc>
      </w:tr>
      <w:tr w14:paraId="56D98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6FDA7C8C">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25</w:t>
            </w:r>
          </w:p>
        </w:tc>
        <w:tc>
          <w:tcPr>
            <w:tcW w:w="3434" w:type="dxa"/>
            <w:noWrap w:val="0"/>
            <w:vAlign w:val="center"/>
          </w:tcPr>
          <w:p w14:paraId="14FED47D">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高速溶解调配罐</w:t>
            </w:r>
          </w:p>
        </w:tc>
        <w:tc>
          <w:tcPr>
            <w:tcW w:w="855" w:type="dxa"/>
            <w:noWrap w:val="0"/>
            <w:vAlign w:val="center"/>
          </w:tcPr>
          <w:p w14:paraId="6FD549AE">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2500L</w:t>
            </w:r>
          </w:p>
        </w:tc>
        <w:tc>
          <w:tcPr>
            <w:tcW w:w="870" w:type="dxa"/>
            <w:noWrap w:val="0"/>
            <w:vAlign w:val="center"/>
          </w:tcPr>
          <w:p w14:paraId="79B2C303">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58BCEF40">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水化罐，液体粘稠</w:t>
            </w:r>
          </w:p>
        </w:tc>
      </w:tr>
      <w:tr w14:paraId="19191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610FF1E8">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w:t>
            </w:r>
            <w:r>
              <w:rPr>
                <w:rFonts w:hint="eastAsia" w:ascii="宋体" w:hAnsi="宋体" w:cs="宋体"/>
                <w:bCs w:val="0"/>
                <w:color w:val="auto"/>
                <w:spacing w:val="0"/>
                <w:sz w:val="18"/>
                <w:szCs w:val="18"/>
                <w:shd w:val="clear" w:color="auto" w:fill="auto"/>
                <w:lang w:val="en-US" w:eastAsia="zh-CN"/>
              </w:rPr>
              <w:t>6</w:t>
            </w:r>
          </w:p>
        </w:tc>
        <w:tc>
          <w:tcPr>
            <w:tcW w:w="3434" w:type="dxa"/>
            <w:noWrap w:val="0"/>
            <w:vAlign w:val="center"/>
          </w:tcPr>
          <w:p w14:paraId="4EE434B1">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凸轮式双转子泵</w:t>
            </w:r>
          </w:p>
        </w:tc>
        <w:tc>
          <w:tcPr>
            <w:tcW w:w="855" w:type="dxa"/>
            <w:noWrap w:val="0"/>
            <w:vAlign w:val="center"/>
          </w:tcPr>
          <w:p w14:paraId="6744CB72">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23176AFE">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1台</w:t>
            </w:r>
          </w:p>
        </w:tc>
        <w:tc>
          <w:tcPr>
            <w:tcW w:w="2855" w:type="dxa"/>
            <w:noWrap w:val="0"/>
            <w:vAlign w:val="center"/>
          </w:tcPr>
          <w:p w14:paraId="3878EA45">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乳化剂水化后出料泵</w:t>
            </w:r>
          </w:p>
        </w:tc>
      </w:tr>
      <w:tr w14:paraId="3F4FA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4B3F6F6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27</w:t>
            </w:r>
          </w:p>
        </w:tc>
        <w:tc>
          <w:tcPr>
            <w:tcW w:w="3434" w:type="dxa"/>
            <w:noWrap w:val="0"/>
            <w:vAlign w:val="center"/>
          </w:tcPr>
          <w:p w14:paraId="3243B2CA">
            <w:pPr>
              <w:rPr>
                <w:rFonts w:hint="eastAsia" w:ascii="宋体" w:hAnsi="宋体" w:eastAsia="宋体" w:cs="宋体"/>
                <w:b/>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计量调配罐</w:t>
            </w:r>
          </w:p>
        </w:tc>
        <w:tc>
          <w:tcPr>
            <w:tcW w:w="855" w:type="dxa"/>
            <w:noWrap w:val="0"/>
            <w:vAlign w:val="center"/>
          </w:tcPr>
          <w:p w14:paraId="65EE2950">
            <w:pPr>
              <w:jc w:val="center"/>
              <w:rPr>
                <w:rFonts w:hint="eastAsia" w:ascii="宋体" w:hAnsi="宋体" w:eastAsia="宋体" w:cs="宋体"/>
                <w:b/>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7</w:t>
            </w:r>
            <w:r>
              <w:rPr>
                <w:rFonts w:hint="eastAsia" w:ascii="宋体" w:hAnsi="宋体" w:eastAsia="宋体" w:cs="宋体"/>
                <w:bCs w:val="0"/>
                <w:color w:val="auto"/>
                <w:spacing w:val="0"/>
                <w:sz w:val="18"/>
                <w:szCs w:val="18"/>
                <w:shd w:val="clear" w:color="auto" w:fill="auto"/>
                <w:lang w:val="en-US" w:eastAsia="zh-CN"/>
              </w:rPr>
              <w:t>000</w:t>
            </w:r>
            <w:r>
              <w:rPr>
                <w:rFonts w:hint="eastAsia" w:ascii="宋体" w:hAnsi="宋体" w:eastAsia="宋体" w:cs="宋体"/>
                <w:bCs w:val="0"/>
                <w:color w:val="auto"/>
                <w:spacing w:val="0"/>
                <w:sz w:val="18"/>
                <w:szCs w:val="18"/>
                <w:shd w:val="clear" w:color="auto" w:fill="auto"/>
                <w:lang w:eastAsia="zh-CN"/>
              </w:rPr>
              <w:t>L</w:t>
            </w:r>
          </w:p>
        </w:tc>
        <w:tc>
          <w:tcPr>
            <w:tcW w:w="870" w:type="dxa"/>
            <w:noWrap w:val="0"/>
            <w:vAlign w:val="center"/>
          </w:tcPr>
          <w:p w14:paraId="7916E106">
            <w:pPr>
              <w:jc w:val="center"/>
              <w:rPr>
                <w:rFonts w:hint="eastAsia" w:ascii="宋体" w:hAnsi="宋体" w:eastAsia="宋体" w:cs="宋体"/>
                <w:b/>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2</w:t>
            </w:r>
            <w:r>
              <w:rPr>
                <w:rFonts w:hint="eastAsia" w:ascii="宋体" w:hAnsi="宋体" w:eastAsia="宋体" w:cs="宋体"/>
                <w:bCs w:val="0"/>
                <w:color w:val="auto"/>
                <w:spacing w:val="0"/>
                <w:sz w:val="18"/>
                <w:szCs w:val="18"/>
                <w:shd w:val="clear" w:color="auto" w:fill="auto"/>
                <w:lang w:val="en-US" w:eastAsia="zh-CN"/>
              </w:rPr>
              <w:t>台</w:t>
            </w:r>
          </w:p>
        </w:tc>
        <w:tc>
          <w:tcPr>
            <w:tcW w:w="2855" w:type="dxa"/>
            <w:noWrap w:val="0"/>
            <w:vAlign w:val="center"/>
          </w:tcPr>
          <w:p w14:paraId="7256C2E9">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配称重系统，可视化液位计</w:t>
            </w:r>
          </w:p>
        </w:tc>
      </w:tr>
      <w:tr w14:paraId="6E85B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3DDC21D5">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28</w:t>
            </w:r>
          </w:p>
        </w:tc>
        <w:tc>
          <w:tcPr>
            <w:tcW w:w="3434" w:type="dxa"/>
            <w:noWrap w:val="0"/>
            <w:vAlign w:val="center"/>
          </w:tcPr>
          <w:p w14:paraId="24C8B00C">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出料泵</w:t>
            </w:r>
          </w:p>
        </w:tc>
        <w:tc>
          <w:tcPr>
            <w:tcW w:w="855" w:type="dxa"/>
            <w:noWrap w:val="0"/>
            <w:vAlign w:val="center"/>
          </w:tcPr>
          <w:p w14:paraId="61DCADAF">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1A1209FF">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1台</w:t>
            </w:r>
          </w:p>
        </w:tc>
        <w:tc>
          <w:tcPr>
            <w:tcW w:w="2855" w:type="dxa"/>
            <w:noWrap w:val="0"/>
            <w:vAlign w:val="center"/>
          </w:tcPr>
          <w:p w14:paraId="44E268EE">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计量调配罐出料</w:t>
            </w:r>
          </w:p>
        </w:tc>
      </w:tr>
      <w:tr w14:paraId="0D0E1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00792690">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29</w:t>
            </w:r>
          </w:p>
        </w:tc>
        <w:tc>
          <w:tcPr>
            <w:tcW w:w="3434" w:type="dxa"/>
            <w:noWrap w:val="0"/>
            <w:vAlign w:val="center"/>
          </w:tcPr>
          <w:p w14:paraId="02C81957">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双联过滤器</w:t>
            </w:r>
          </w:p>
        </w:tc>
        <w:tc>
          <w:tcPr>
            <w:tcW w:w="855" w:type="dxa"/>
            <w:noWrap w:val="0"/>
            <w:vAlign w:val="center"/>
          </w:tcPr>
          <w:p w14:paraId="45ADF14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60L</w:t>
            </w:r>
          </w:p>
        </w:tc>
        <w:tc>
          <w:tcPr>
            <w:tcW w:w="870" w:type="dxa"/>
            <w:noWrap w:val="0"/>
            <w:vAlign w:val="center"/>
          </w:tcPr>
          <w:p w14:paraId="212834F7">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1套</w:t>
            </w:r>
          </w:p>
        </w:tc>
        <w:tc>
          <w:tcPr>
            <w:tcW w:w="2855" w:type="dxa"/>
            <w:noWrap w:val="0"/>
            <w:vAlign w:val="center"/>
          </w:tcPr>
          <w:p w14:paraId="5EF0D3E5">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计量调配后</w:t>
            </w:r>
          </w:p>
        </w:tc>
      </w:tr>
      <w:tr w14:paraId="497D0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noWrap w:val="0"/>
            <w:vAlign w:val="center"/>
          </w:tcPr>
          <w:p w14:paraId="191D278C">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30</w:t>
            </w:r>
          </w:p>
        </w:tc>
        <w:tc>
          <w:tcPr>
            <w:tcW w:w="3434" w:type="dxa"/>
            <w:noWrap w:val="0"/>
            <w:vAlign w:val="center"/>
          </w:tcPr>
          <w:p w14:paraId="3306BE7F">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真空搅拌罐</w:t>
            </w:r>
          </w:p>
        </w:tc>
        <w:tc>
          <w:tcPr>
            <w:tcW w:w="855" w:type="dxa"/>
            <w:noWrap w:val="0"/>
            <w:vAlign w:val="center"/>
          </w:tcPr>
          <w:p w14:paraId="3E28E7AD">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7</w:t>
            </w:r>
            <w:r>
              <w:rPr>
                <w:rFonts w:hint="eastAsia" w:ascii="宋体" w:hAnsi="宋体" w:eastAsia="宋体" w:cs="宋体"/>
                <w:bCs w:val="0"/>
                <w:color w:val="auto"/>
                <w:spacing w:val="0"/>
                <w:kern w:val="2"/>
                <w:sz w:val="18"/>
                <w:szCs w:val="18"/>
                <w:shd w:val="clear" w:color="auto" w:fill="auto"/>
                <w:lang w:val="en-US" w:eastAsia="zh-CN" w:bidi="ar-SA"/>
              </w:rPr>
              <w:t>000L</w:t>
            </w:r>
          </w:p>
        </w:tc>
        <w:tc>
          <w:tcPr>
            <w:tcW w:w="870" w:type="dxa"/>
            <w:noWrap w:val="0"/>
            <w:vAlign w:val="center"/>
          </w:tcPr>
          <w:p w14:paraId="7469C2A6">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w:t>
            </w:r>
            <w:r>
              <w:rPr>
                <w:rFonts w:hint="eastAsia" w:ascii="宋体" w:hAnsi="宋体" w:eastAsia="宋体" w:cs="宋体"/>
                <w:bCs w:val="0"/>
                <w:color w:val="auto"/>
                <w:spacing w:val="0"/>
                <w:sz w:val="18"/>
                <w:szCs w:val="18"/>
                <w:shd w:val="clear" w:color="auto" w:fill="auto"/>
                <w:lang w:eastAsia="zh-CN"/>
              </w:rPr>
              <w:t>台</w:t>
            </w:r>
          </w:p>
        </w:tc>
        <w:tc>
          <w:tcPr>
            <w:tcW w:w="2855" w:type="dxa"/>
            <w:noWrap w:val="0"/>
            <w:vAlign w:val="center"/>
          </w:tcPr>
          <w:p w14:paraId="16D9BC27">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预乳化，配真空泵</w:t>
            </w:r>
          </w:p>
        </w:tc>
      </w:tr>
      <w:tr w14:paraId="64EEB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noWrap w:val="0"/>
            <w:vAlign w:val="center"/>
          </w:tcPr>
          <w:p w14:paraId="26B5911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3</w:t>
            </w:r>
            <w:r>
              <w:rPr>
                <w:rFonts w:hint="eastAsia" w:ascii="宋体" w:hAnsi="宋体" w:eastAsia="宋体" w:cs="宋体"/>
                <w:bCs w:val="0"/>
                <w:color w:val="auto"/>
                <w:spacing w:val="0"/>
                <w:sz w:val="18"/>
                <w:szCs w:val="18"/>
                <w:shd w:val="clear" w:color="auto" w:fill="auto"/>
              </w:rPr>
              <w:t>1</w:t>
            </w:r>
          </w:p>
        </w:tc>
        <w:tc>
          <w:tcPr>
            <w:tcW w:w="3434" w:type="dxa"/>
            <w:noWrap w:val="0"/>
            <w:vAlign w:val="center"/>
          </w:tcPr>
          <w:p w14:paraId="29527051">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出料泵</w:t>
            </w:r>
          </w:p>
        </w:tc>
        <w:tc>
          <w:tcPr>
            <w:tcW w:w="855" w:type="dxa"/>
            <w:noWrap w:val="0"/>
            <w:vAlign w:val="center"/>
          </w:tcPr>
          <w:p w14:paraId="53400B37">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5EAE9AE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4台</w:t>
            </w:r>
          </w:p>
        </w:tc>
        <w:tc>
          <w:tcPr>
            <w:tcW w:w="2855" w:type="dxa"/>
            <w:noWrap w:val="0"/>
            <w:vAlign w:val="center"/>
          </w:tcPr>
          <w:p w14:paraId="1E5AFEC1">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真空搅拌罐出料</w:t>
            </w:r>
          </w:p>
        </w:tc>
      </w:tr>
      <w:tr w14:paraId="47E8A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noWrap w:val="0"/>
            <w:vAlign w:val="center"/>
          </w:tcPr>
          <w:p w14:paraId="31A05A42">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32</w:t>
            </w:r>
          </w:p>
        </w:tc>
        <w:tc>
          <w:tcPr>
            <w:tcW w:w="3434" w:type="dxa"/>
            <w:noWrap w:val="0"/>
            <w:vAlign w:val="center"/>
          </w:tcPr>
          <w:p w14:paraId="053FB14D">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高压均质机</w:t>
            </w:r>
          </w:p>
        </w:tc>
        <w:tc>
          <w:tcPr>
            <w:tcW w:w="855" w:type="dxa"/>
            <w:noWrap w:val="0"/>
            <w:vAlign w:val="center"/>
          </w:tcPr>
          <w:p w14:paraId="100F037A">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4FC54D7F">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6F3C536B">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 xml:space="preserve"> 压力要求不低于60MPa  </w:t>
            </w:r>
          </w:p>
        </w:tc>
      </w:tr>
      <w:tr w14:paraId="6B77D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7D49E9BB">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33</w:t>
            </w:r>
          </w:p>
        </w:tc>
        <w:tc>
          <w:tcPr>
            <w:tcW w:w="3434" w:type="dxa"/>
            <w:noWrap w:val="0"/>
            <w:vAlign w:val="center"/>
          </w:tcPr>
          <w:p w14:paraId="00CE26DE">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超高温瞬时灭菌机</w:t>
            </w:r>
            <w:r>
              <w:rPr>
                <w:rFonts w:hint="eastAsia" w:ascii="宋体" w:hAnsi="宋体" w:cs="宋体"/>
                <w:bCs w:val="0"/>
                <w:color w:val="auto"/>
                <w:spacing w:val="0"/>
                <w:sz w:val="18"/>
                <w:szCs w:val="18"/>
                <w:shd w:val="clear" w:color="auto" w:fill="auto"/>
                <w:lang w:val="en-US" w:eastAsia="zh-CN"/>
              </w:rPr>
              <w:t>（含冷却系统）</w:t>
            </w:r>
          </w:p>
        </w:tc>
        <w:tc>
          <w:tcPr>
            <w:tcW w:w="855" w:type="dxa"/>
            <w:noWrap w:val="0"/>
            <w:vAlign w:val="center"/>
          </w:tcPr>
          <w:p w14:paraId="04624AC3">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68EB49BD">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15A8DEC9">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冷却塔品牌见品牌表</w:t>
            </w:r>
          </w:p>
        </w:tc>
      </w:tr>
      <w:tr w14:paraId="2958C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6ACF5D8D">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34</w:t>
            </w:r>
          </w:p>
        </w:tc>
        <w:tc>
          <w:tcPr>
            <w:tcW w:w="3434" w:type="dxa"/>
            <w:noWrap w:val="0"/>
            <w:vAlign w:val="center"/>
          </w:tcPr>
          <w:p w14:paraId="1D79EC1D">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全自动</w:t>
            </w:r>
            <w:r>
              <w:rPr>
                <w:rFonts w:hint="eastAsia" w:ascii="宋体" w:hAnsi="宋体" w:eastAsia="宋体" w:cs="宋体"/>
                <w:bCs w:val="0"/>
                <w:color w:val="auto"/>
                <w:spacing w:val="0"/>
                <w:sz w:val="18"/>
                <w:szCs w:val="18"/>
                <w:shd w:val="clear" w:color="auto" w:fill="auto"/>
                <w:lang w:eastAsia="zh-CN"/>
              </w:rPr>
              <w:t>无菌</w:t>
            </w:r>
            <w:r>
              <w:rPr>
                <w:rFonts w:hint="eastAsia" w:ascii="宋体" w:hAnsi="宋体" w:cs="宋体"/>
                <w:bCs w:val="0"/>
                <w:color w:val="auto"/>
                <w:spacing w:val="0"/>
                <w:sz w:val="18"/>
                <w:szCs w:val="18"/>
                <w:shd w:val="clear" w:color="auto" w:fill="auto"/>
                <w:lang w:val="en-US" w:eastAsia="zh-CN"/>
              </w:rPr>
              <w:t>计量</w:t>
            </w:r>
            <w:r>
              <w:rPr>
                <w:rFonts w:hint="eastAsia" w:ascii="宋体" w:hAnsi="宋体" w:eastAsia="宋体" w:cs="宋体"/>
                <w:bCs w:val="0"/>
                <w:color w:val="auto"/>
                <w:spacing w:val="0"/>
                <w:sz w:val="18"/>
                <w:szCs w:val="18"/>
                <w:shd w:val="clear" w:color="auto" w:fill="auto"/>
                <w:lang w:eastAsia="zh-CN"/>
              </w:rPr>
              <w:t>灌装</w:t>
            </w:r>
            <w:r>
              <w:rPr>
                <w:rFonts w:hint="eastAsia" w:ascii="宋体" w:hAnsi="宋体" w:cs="宋体"/>
                <w:bCs w:val="0"/>
                <w:color w:val="auto"/>
                <w:spacing w:val="0"/>
                <w:sz w:val="18"/>
                <w:szCs w:val="18"/>
                <w:shd w:val="clear" w:color="auto" w:fill="auto"/>
                <w:lang w:val="en-US" w:eastAsia="zh-CN"/>
              </w:rPr>
              <w:t>热合</w:t>
            </w:r>
            <w:r>
              <w:rPr>
                <w:rFonts w:hint="eastAsia" w:ascii="宋体" w:hAnsi="宋体" w:eastAsia="宋体" w:cs="宋体"/>
                <w:bCs w:val="0"/>
                <w:color w:val="auto"/>
                <w:spacing w:val="0"/>
                <w:sz w:val="18"/>
                <w:szCs w:val="18"/>
                <w:shd w:val="clear" w:color="auto" w:fill="auto"/>
                <w:lang w:eastAsia="zh-CN"/>
              </w:rPr>
              <w:t>系统</w:t>
            </w:r>
            <w:r>
              <w:rPr>
                <w:rFonts w:hint="eastAsia" w:ascii="宋体" w:hAnsi="宋体" w:cs="宋体"/>
                <w:bCs w:val="0"/>
                <w:color w:val="auto"/>
                <w:spacing w:val="0"/>
                <w:sz w:val="18"/>
                <w:szCs w:val="18"/>
                <w:shd w:val="clear" w:color="auto" w:fill="auto"/>
                <w:lang w:eastAsia="zh-CN"/>
              </w:rPr>
              <w:t>（</w:t>
            </w:r>
            <w:r>
              <w:rPr>
                <w:rFonts w:hint="eastAsia" w:ascii="宋体" w:hAnsi="宋体" w:cs="宋体"/>
                <w:bCs w:val="0"/>
                <w:color w:val="auto"/>
                <w:spacing w:val="0"/>
                <w:sz w:val="18"/>
                <w:szCs w:val="18"/>
                <w:shd w:val="clear" w:color="auto" w:fill="auto"/>
                <w:lang w:val="en-US" w:eastAsia="zh-CN"/>
              </w:rPr>
              <w:t>含出料系统</w:t>
            </w:r>
            <w:r>
              <w:rPr>
                <w:rFonts w:hint="eastAsia" w:ascii="宋体" w:hAnsi="宋体" w:cs="宋体"/>
                <w:bCs w:val="0"/>
                <w:color w:val="auto"/>
                <w:spacing w:val="0"/>
                <w:sz w:val="18"/>
                <w:szCs w:val="18"/>
                <w:shd w:val="clear" w:color="auto" w:fill="auto"/>
                <w:lang w:eastAsia="zh-CN"/>
              </w:rPr>
              <w:t>）</w:t>
            </w:r>
          </w:p>
        </w:tc>
        <w:tc>
          <w:tcPr>
            <w:tcW w:w="855" w:type="dxa"/>
            <w:noWrap w:val="0"/>
            <w:vAlign w:val="center"/>
          </w:tcPr>
          <w:p w14:paraId="621684B4">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7F3B6C48">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1套</w:t>
            </w:r>
          </w:p>
        </w:tc>
        <w:tc>
          <w:tcPr>
            <w:tcW w:w="2855" w:type="dxa"/>
            <w:noWrap w:val="0"/>
            <w:vAlign w:val="center"/>
          </w:tcPr>
          <w:p w14:paraId="172CEF98">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5-9月灌装时每袋需添加一种辅料，4个灌装头</w:t>
            </w:r>
          </w:p>
        </w:tc>
      </w:tr>
      <w:tr w14:paraId="518CB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shd w:val="clear" w:color="auto" w:fill="auto"/>
            <w:noWrap w:val="0"/>
            <w:vAlign w:val="center"/>
          </w:tcPr>
          <w:p w14:paraId="6489FF3C">
            <w:pPr>
              <w:jc w:val="cente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sz w:val="18"/>
                <w:szCs w:val="18"/>
                <w:shd w:val="clear" w:color="auto" w:fill="auto"/>
                <w:lang w:val="en-US" w:eastAsia="zh-CN"/>
                <w14:textFill>
                  <w14:solidFill>
                    <w14:schemeClr w14:val="tx1"/>
                  </w14:solidFill>
                </w14:textFill>
              </w:rPr>
              <w:t>35</w:t>
            </w:r>
          </w:p>
        </w:tc>
        <w:tc>
          <w:tcPr>
            <w:tcW w:w="3434" w:type="dxa"/>
            <w:noWrap w:val="0"/>
            <w:vAlign w:val="center"/>
          </w:tcPr>
          <w:p w14:paraId="2337DC76">
            <w:pPr>
              <w:rPr>
                <w:rFonts w:hint="eastAsia"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投料料车</w:t>
            </w:r>
          </w:p>
        </w:tc>
        <w:tc>
          <w:tcPr>
            <w:tcW w:w="855" w:type="dxa"/>
            <w:noWrap w:val="0"/>
            <w:vAlign w:val="center"/>
          </w:tcPr>
          <w:p w14:paraId="50F89076">
            <w:pPr>
              <w:jc w:val="cente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600L</w:t>
            </w:r>
          </w:p>
        </w:tc>
        <w:tc>
          <w:tcPr>
            <w:tcW w:w="870" w:type="dxa"/>
            <w:noWrap w:val="0"/>
            <w:vAlign w:val="center"/>
          </w:tcPr>
          <w:p w14:paraId="66D537BB">
            <w:pPr>
              <w:jc w:val="center"/>
              <w:rPr>
                <w:rFonts w:hint="default"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pPr>
            <w:r>
              <w:rPr>
                <w:rFonts w:hint="eastAsia" w:ascii="宋体" w:hAnsi="宋体" w:cs="宋体"/>
                <w:bCs w:val="0"/>
                <w:color w:val="000000" w:themeColor="text1"/>
                <w:spacing w:val="0"/>
                <w:sz w:val="18"/>
                <w:szCs w:val="18"/>
                <w:shd w:val="clear" w:color="auto" w:fill="auto"/>
                <w:lang w:val="en-US" w:eastAsia="zh-CN"/>
                <w14:textFill>
                  <w14:solidFill>
                    <w14:schemeClr w14:val="tx1"/>
                  </w14:solidFill>
                </w14:textFill>
              </w:rPr>
              <w:t>若干台</w:t>
            </w:r>
          </w:p>
        </w:tc>
        <w:tc>
          <w:tcPr>
            <w:tcW w:w="2855" w:type="dxa"/>
            <w:noWrap w:val="0"/>
            <w:vAlign w:val="center"/>
          </w:tcPr>
          <w:p w14:paraId="2D961451">
            <w:pPr>
              <w:rPr>
                <w:rFonts w:hint="default"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与自动投料系统匹配</w:t>
            </w:r>
          </w:p>
        </w:tc>
      </w:tr>
      <w:tr w14:paraId="7754D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shd w:val="clear" w:color="auto" w:fill="auto"/>
            <w:noWrap w:val="0"/>
            <w:vAlign w:val="center"/>
          </w:tcPr>
          <w:p w14:paraId="7C0C2BA6">
            <w:pPr>
              <w:jc w:val="cente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t>36</w:t>
            </w:r>
          </w:p>
        </w:tc>
        <w:tc>
          <w:tcPr>
            <w:tcW w:w="3434" w:type="dxa"/>
            <w:noWrap w:val="0"/>
            <w:vAlign w:val="center"/>
          </w:tcPr>
          <w:p w14:paraId="50785F4D">
            <w:pPr>
              <w:rPr>
                <w:rFonts w:hint="default"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pPr>
            <w:r>
              <w:rPr>
                <w:rFonts w:hint="eastAsia" w:ascii="宋体" w:hAnsi="宋体" w:cs="宋体"/>
                <w:bCs w:val="0"/>
                <w:color w:val="000000" w:themeColor="text1"/>
                <w:spacing w:val="0"/>
                <w:sz w:val="18"/>
                <w:szCs w:val="18"/>
                <w:shd w:val="clear" w:color="auto" w:fill="auto"/>
                <w:lang w:val="en-US" w:eastAsia="zh-CN"/>
                <w14:textFill>
                  <w14:solidFill>
                    <w14:schemeClr w14:val="tx1"/>
                  </w14:solidFill>
                </w14:textFill>
              </w:rPr>
              <w:t>自动投料系统</w:t>
            </w:r>
          </w:p>
        </w:tc>
        <w:tc>
          <w:tcPr>
            <w:tcW w:w="855" w:type="dxa"/>
            <w:noWrap w:val="0"/>
            <w:vAlign w:val="center"/>
          </w:tcPr>
          <w:p w14:paraId="1B46B378">
            <w:pPr>
              <w:jc w:val="cente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p>
        </w:tc>
        <w:tc>
          <w:tcPr>
            <w:tcW w:w="870" w:type="dxa"/>
            <w:noWrap w:val="0"/>
            <w:vAlign w:val="center"/>
          </w:tcPr>
          <w:p w14:paraId="136C8D6E">
            <w:pPr>
              <w:jc w:val="center"/>
              <w:rPr>
                <w:rFonts w:hint="default"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pPr>
            <w:r>
              <w:rPr>
                <w:rFonts w:hint="eastAsia" w:ascii="宋体" w:hAnsi="宋体" w:cs="宋体"/>
                <w:bCs w:val="0"/>
                <w:color w:val="000000" w:themeColor="text1"/>
                <w:spacing w:val="0"/>
                <w:sz w:val="18"/>
                <w:szCs w:val="18"/>
                <w:shd w:val="clear" w:color="auto" w:fill="auto"/>
                <w:lang w:val="en-US" w:eastAsia="zh-CN"/>
                <w14:textFill>
                  <w14:solidFill>
                    <w14:schemeClr w14:val="tx1"/>
                  </w14:solidFill>
                </w14:textFill>
              </w:rPr>
              <w:t>1套</w:t>
            </w:r>
          </w:p>
        </w:tc>
        <w:tc>
          <w:tcPr>
            <w:tcW w:w="2855" w:type="dxa"/>
            <w:noWrap w:val="0"/>
            <w:vAlign w:val="center"/>
          </w:tcPr>
          <w:p w14:paraId="0FD2722E">
            <w:pPr>
              <w:rPr>
                <w:rFonts w:hint="default"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pPr>
          </w:p>
        </w:tc>
      </w:tr>
      <w:tr w14:paraId="3DB98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shd w:val="clear" w:color="auto" w:fill="auto"/>
            <w:noWrap w:val="0"/>
            <w:vAlign w:val="center"/>
          </w:tcPr>
          <w:p w14:paraId="4745DA82">
            <w:pPr>
              <w:jc w:val="cente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t>37</w:t>
            </w:r>
          </w:p>
        </w:tc>
        <w:tc>
          <w:tcPr>
            <w:tcW w:w="3434" w:type="dxa"/>
            <w:noWrap w:val="0"/>
            <w:vAlign w:val="center"/>
          </w:tcPr>
          <w:p w14:paraId="20341FAF">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CIP自动清洗系统</w:t>
            </w:r>
          </w:p>
        </w:tc>
        <w:tc>
          <w:tcPr>
            <w:tcW w:w="855" w:type="dxa"/>
            <w:noWrap w:val="0"/>
            <w:vAlign w:val="center"/>
          </w:tcPr>
          <w:p w14:paraId="3734361C">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057A1B3B">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1套</w:t>
            </w:r>
          </w:p>
        </w:tc>
        <w:tc>
          <w:tcPr>
            <w:tcW w:w="2855" w:type="dxa"/>
            <w:noWrap w:val="0"/>
            <w:vAlign w:val="center"/>
          </w:tcPr>
          <w:p w14:paraId="3082FEDF">
            <w:pPr>
              <w:rPr>
                <w:rFonts w:hint="eastAsia" w:ascii="宋体" w:hAnsi="宋体" w:eastAsia="宋体" w:cs="宋体"/>
                <w:bCs w:val="0"/>
                <w:color w:val="auto"/>
                <w:spacing w:val="0"/>
                <w:kern w:val="2"/>
                <w:sz w:val="18"/>
                <w:szCs w:val="18"/>
                <w:shd w:val="clear" w:color="auto" w:fill="auto"/>
                <w:lang w:val="en-US" w:eastAsia="zh-CN" w:bidi="ar-SA"/>
              </w:rPr>
            </w:pPr>
          </w:p>
        </w:tc>
      </w:tr>
      <w:tr w14:paraId="71F01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shd w:val="clear" w:color="auto" w:fill="auto"/>
            <w:noWrap w:val="0"/>
            <w:vAlign w:val="center"/>
          </w:tcPr>
          <w:p w14:paraId="3B0AC296">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38</w:t>
            </w:r>
          </w:p>
        </w:tc>
        <w:tc>
          <w:tcPr>
            <w:tcW w:w="3434" w:type="dxa"/>
            <w:noWrap w:val="0"/>
            <w:vAlign w:val="center"/>
          </w:tcPr>
          <w:p w14:paraId="2AAD02FB">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全自动洗</w:t>
            </w:r>
            <w:r>
              <w:rPr>
                <w:rFonts w:hint="eastAsia" w:ascii="宋体" w:hAnsi="宋体" w:cs="宋体"/>
                <w:bCs w:val="0"/>
                <w:color w:val="auto"/>
                <w:spacing w:val="0"/>
                <w:sz w:val="18"/>
                <w:szCs w:val="18"/>
                <w:shd w:val="clear" w:color="auto" w:fill="auto"/>
                <w:lang w:val="en-US" w:eastAsia="zh-CN"/>
              </w:rPr>
              <w:t>桶</w:t>
            </w:r>
            <w:r>
              <w:rPr>
                <w:rFonts w:hint="eastAsia" w:ascii="宋体" w:hAnsi="宋体" w:eastAsia="宋体" w:cs="宋体"/>
                <w:bCs w:val="0"/>
                <w:color w:val="auto"/>
                <w:spacing w:val="0"/>
                <w:sz w:val="18"/>
                <w:szCs w:val="18"/>
                <w:shd w:val="clear" w:color="auto" w:fill="auto"/>
                <w:lang w:val="en-US" w:eastAsia="zh-CN"/>
              </w:rPr>
              <w:t>设备</w:t>
            </w:r>
          </w:p>
        </w:tc>
        <w:tc>
          <w:tcPr>
            <w:tcW w:w="855" w:type="dxa"/>
            <w:noWrap w:val="0"/>
            <w:vAlign w:val="center"/>
          </w:tcPr>
          <w:p w14:paraId="7F506D57">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39495B67">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1套</w:t>
            </w:r>
          </w:p>
        </w:tc>
        <w:tc>
          <w:tcPr>
            <w:tcW w:w="2855" w:type="dxa"/>
            <w:noWrap w:val="0"/>
            <w:vAlign w:val="center"/>
          </w:tcPr>
          <w:p w14:paraId="6F5F0459">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兼容圆桶、方框</w:t>
            </w:r>
          </w:p>
        </w:tc>
      </w:tr>
      <w:tr w14:paraId="000A6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shd w:val="clear" w:color="auto" w:fill="auto"/>
            <w:noWrap w:val="0"/>
            <w:vAlign w:val="center"/>
          </w:tcPr>
          <w:p w14:paraId="7D1B98B7">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39</w:t>
            </w:r>
          </w:p>
        </w:tc>
        <w:tc>
          <w:tcPr>
            <w:tcW w:w="3434" w:type="dxa"/>
            <w:noWrap w:val="0"/>
            <w:vAlign w:val="center"/>
          </w:tcPr>
          <w:p w14:paraId="1A7F0EEA">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榨菜汁输送系统</w:t>
            </w:r>
          </w:p>
        </w:tc>
        <w:tc>
          <w:tcPr>
            <w:tcW w:w="855" w:type="dxa"/>
            <w:noWrap w:val="0"/>
            <w:vAlign w:val="center"/>
          </w:tcPr>
          <w:p w14:paraId="1CFD4629">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231C7CDB">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1套</w:t>
            </w:r>
          </w:p>
        </w:tc>
        <w:tc>
          <w:tcPr>
            <w:tcW w:w="2855" w:type="dxa"/>
            <w:noWrap w:val="0"/>
            <w:vAlign w:val="center"/>
          </w:tcPr>
          <w:p w14:paraId="686FCB0A">
            <w:pPr>
              <w:rPr>
                <w:rFonts w:hint="eastAsia" w:ascii="宋体" w:hAnsi="宋体" w:cs="宋体"/>
                <w:bCs w:val="0"/>
                <w:color w:val="auto"/>
                <w:spacing w:val="0"/>
                <w:kern w:val="2"/>
                <w:sz w:val="18"/>
                <w:szCs w:val="18"/>
                <w:shd w:val="clear" w:color="auto" w:fill="auto"/>
                <w:lang w:val="en-US" w:eastAsia="zh-CN" w:bidi="ar-SA"/>
              </w:rPr>
            </w:pPr>
          </w:p>
        </w:tc>
      </w:tr>
      <w:tr w14:paraId="05E00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noWrap w:val="0"/>
            <w:vAlign w:val="center"/>
          </w:tcPr>
          <w:p w14:paraId="7B3D60B4">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40</w:t>
            </w:r>
          </w:p>
        </w:tc>
        <w:tc>
          <w:tcPr>
            <w:tcW w:w="3434" w:type="dxa"/>
            <w:noWrap w:val="0"/>
            <w:vAlign w:val="center"/>
          </w:tcPr>
          <w:p w14:paraId="391560CD">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红油、香辣油、熟制菜籽油、一级菜籽油半自动计量灌装系统</w:t>
            </w:r>
          </w:p>
        </w:tc>
        <w:tc>
          <w:tcPr>
            <w:tcW w:w="855" w:type="dxa"/>
            <w:noWrap w:val="0"/>
            <w:vAlign w:val="center"/>
          </w:tcPr>
          <w:p w14:paraId="0795CB2C">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2B902239">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1套</w:t>
            </w:r>
          </w:p>
        </w:tc>
        <w:tc>
          <w:tcPr>
            <w:tcW w:w="2855" w:type="dxa"/>
            <w:noWrap w:val="0"/>
            <w:vAlign w:val="center"/>
          </w:tcPr>
          <w:p w14:paraId="40B62BBA">
            <w:pPr>
              <w:rPr>
                <w:rFonts w:hint="eastAsia" w:ascii="宋体" w:hAnsi="宋体" w:cs="宋体"/>
                <w:bCs w:val="0"/>
                <w:color w:val="auto"/>
                <w:spacing w:val="0"/>
                <w:kern w:val="2"/>
                <w:sz w:val="18"/>
                <w:szCs w:val="18"/>
                <w:shd w:val="clear" w:color="auto" w:fill="auto"/>
                <w:lang w:val="en-US" w:eastAsia="zh-CN" w:bidi="ar-SA"/>
              </w:rPr>
            </w:pPr>
          </w:p>
        </w:tc>
      </w:tr>
      <w:tr w14:paraId="552B4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noWrap w:val="0"/>
            <w:vAlign w:val="center"/>
          </w:tcPr>
          <w:p w14:paraId="243416F0">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41</w:t>
            </w:r>
          </w:p>
        </w:tc>
        <w:tc>
          <w:tcPr>
            <w:tcW w:w="3434" w:type="dxa"/>
            <w:noWrap w:val="0"/>
            <w:vAlign w:val="center"/>
          </w:tcPr>
          <w:p w14:paraId="619B9C1D">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控制系统、操作系统</w:t>
            </w:r>
          </w:p>
        </w:tc>
        <w:tc>
          <w:tcPr>
            <w:tcW w:w="855" w:type="dxa"/>
            <w:noWrap w:val="0"/>
            <w:vAlign w:val="center"/>
          </w:tcPr>
          <w:p w14:paraId="30F77A80">
            <w:pP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1D9B8016">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若干套</w:t>
            </w:r>
          </w:p>
        </w:tc>
        <w:tc>
          <w:tcPr>
            <w:tcW w:w="2855" w:type="dxa"/>
            <w:noWrap w:val="0"/>
            <w:vAlign w:val="center"/>
          </w:tcPr>
          <w:p w14:paraId="129EC561">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与本项目所有功能匹配</w:t>
            </w:r>
          </w:p>
        </w:tc>
      </w:tr>
      <w:tr w14:paraId="2334B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8621" w:type="dxa"/>
            <w:gridSpan w:val="5"/>
            <w:noWrap w:val="0"/>
            <w:vAlign w:val="center"/>
          </w:tcPr>
          <w:p w14:paraId="0FB06AB1">
            <w:pPr>
              <w:rPr>
                <w:rFonts w:hint="default" w:ascii="宋体" w:hAnsi="宋体" w:cs="宋体"/>
                <w:bCs w:val="0"/>
                <w:color w:val="auto"/>
                <w:spacing w:val="0"/>
                <w:kern w:val="2"/>
                <w:sz w:val="18"/>
                <w:szCs w:val="18"/>
                <w:shd w:val="clear" w:color="auto" w:fill="auto"/>
                <w:lang w:val="en-US" w:eastAsia="zh-CN" w:bidi="ar-SA"/>
              </w:rPr>
            </w:pPr>
            <w:r>
              <w:rPr>
                <w:rFonts w:hint="eastAsia" w:ascii="宋体" w:hAnsi="宋体" w:cs="宋体"/>
                <w:b/>
                <w:bCs/>
                <w:color w:val="auto"/>
                <w:spacing w:val="0"/>
                <w:kern w:val="2"/>
                <w:sz w:val="18"/>
                <w:szCs w:val="18"/>
                <w:shd w:val="clear" w:color="auto" w:fill="auto"/>
                <w:lang w:val="en-US" w:eastAsia="zh-CN" w:bidi="ar-SA"/>
              </w:rPr>
              <w:t>备注：本项目所有设备不仅限于上述设备，投标人按产能要求配置，上述设备仅供参照。</w:t>
            </w:r>
          </w:p>
        </w:tc>
      </w:tr>
    </w:tbl>
    <w:p w14:paraId="712A6DB0">
      <w:pPr>
        <w:pStyle w:val="7"/>
        <w:keepNext w:val="0"/>
        <w:keepLines w:val="0"/>
        <w:pageBreakBefore w:val="0"/>
        <w:numPr>
          <w:ilvl w:val="0"/>
          <w:numId w:val="0"/>
        </w:numPr>
        <w:kinsoku/>
        <w:wordWrap/>
        <w:overflowPunct/>
        <w:topLinePunct w:val="0"/>
        <w:bidi w:val="0"/>
        <w:spacing w:line="360" w:lineRule="auto"/>
        <w:ind w:left="420" w:leftChars="0" w:firstLine="360" w:firstLineChars="200"/>
        <w:textAlignment w:val="auto"/>
        <w:rPr>
          <w:rFonts w:hint="eastAsia" w:eastAsia="宋体"/>
          <w:b w:val="0"/>
          <w:bCs w:val="0"/>
          <w:color w:val="auto"/>
          <w:kern w:val="2"/>
          <w:sz w:val="18"/>
          <w:szCs w:val="18"/>
          <w:lang w:val="en-US" w:eastAsia="zh-CN" w:bidi="ar-SA"/>
        </w:rPr>
      </w:pPr>
    </w:p>
    <w:p w14:paraId="125A7237">
      <w:pPr>
        <w:pStyle w:val="6"/>
        <w:bidi w:val="0"/>
        <w:rPr>
          <w:rFonts w:hint="default"/>
          <w:lang w:val="en-US" w:eastAsia="zh-CN"/>
        </w:rPr>
      </w:pPr>
      <w:r>
        <w:rPr>
          <w:rFonts w:hint="eastAsia"/>
          <w:lang w:val="en-US" w:eastAsia="zh-CN"/>
        </w:rPr>
        <w:t>（二）油炒辣椒设备需求一览表</w:t>
      </w:r>
    </w:p>
    <w:tbl>
      <w:tblPr>
        <w:tblStyle w:val="47"/>
        <w:tblW w:w="86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2665"/>
        <w:gridCol w:w="1047"/>
        <w:gridCol w:w="1070"/>
        <w:gridCol w:w="3130"/>
      </w:tblGrid>
      <w:tr w14:paraId="78149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709" w:type="dxa"/>
            <w:noWrap w:val="0"/>
            <w:vAlign w:val="center"/>
          </w:tcPr>
          <w:p w14:paraId="6A68F526">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序号</w:t>
            </w:r>
          </w:p>
        </w:tc>
        <w:tc>
          <w:tcPr>
            <w:tcW w:w="2665" w:type="dxa"/>
            <w:noWrap w:val="0"/>
            <w:vAlign w:val="center"/>
          </w:tcPr>
          <w:p w14:paraId="32409FA0">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设备名称</w:t>
            </w:r>
          </w:p>
        </w:tc>
        <w:tc>
          <w:tcPr>
            <w:tcW w:w="1047" w:type="dxa"/>
            <w:noWrap w:val="0"/>
            <w:vAlign w:val="center"/>
          </w:tcPr>
          <w:p w14:paraId="263907DF">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规格</w:t>
            </w:r>
          </w:p>
          <w:p w14:paraId="13E4F1ED">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型号</w:t>
            </w:r>
          </w:p>
        </w:tc>
        <w:tc>
          <w:tcPr>
            <w:tcW w:w="1070" w:type="dxa"/>
            <w:noWrap w:val="0"/>
            <w:vAlign w:val="center"/>
          </w:tcPr>
          <w:p w14:paraId="0E92B99A">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数量</w:t>
            </w:r>
          </w:p>
        </w:tc>
        <w:tc>
          <w:tcPr>
            <w:tcW w:w="3130" w:type="dxa"/>
            <w:noWrap w:val="0"/>
            <w:vAlign w:val="center"/>
          </w:tcPr>
          <w:p w14:paraId="7FD7D24F">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备注</w:t>
            </w:r>
          </w:p>
        </w:tc>
      </w:tr>
      <w:tr w14:paraId="0A0D4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709" w:type="dxa"/>
            <w:shd w:val="clear" w:color="auto" w:fill="auto"/>
            <w:noWrap w:val="0"/>
            <w:vAlign w:val="center"/>
          </w:tcPr>
          <w:p w14:paraId="7FFAC19E">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w:t>
            </w:r>
          </w:p>
        </w:tc>
        <w:tc>
          <w:tcPr>
            <w:tcW w:w="2665" w:type="dxa"/>
            <w:noWrap w:val="0"/>
            <w:vAlign w:val="center"/>
          </w:tcPr>
          <w:p w14:paraId="1C47BF89">
            <w:pPr>
              <w:jc w:val="left"/>
              <w:rPr>
                <w:rFonts w:hint="default" w:ascii="宋体" w:hAnsi="宋体" w:eastAsia="宋体" w:cs="宋体"/>
                <w:bCs w:val="0"/>
                <w:spacing w:val="0"/>
                <w:sz w:val="18"/>
                <w:szCs w:val="18"/>
                <w:shd w:val="clear" w:color="auto" w:fill="auto"/>
                <w:lang w:val="en-US" w:eastAsia="zh-CN"/>
              </w:rPr>
            </w:pPr>
            <w:r>
              <w:rPr>
                <w:rFonts w:hint="eastAsia" w:ascii="宋体" w:hAnsi="宋体" w:eastAsia="宋体" w:cs="宋体"/>
                <w:bCs w:val="0"/>
                <w:spacing w:val="0"/>
                <w:sz w:val="18"/>
                <w:szCs w:val="18"/>
                <w:shd w:val="clear" w:color="auto" w:fill="auto"/>
                <w:lang w:val="en-US" w:eastAsia="zh-CN"/>
              </w:rPr>
              <w:t>一级菜籽油暂存罐</w:t>
            </w:r>
          </w:p>
        </w:tc>
        <w:tc>
          <w:tcPr>
            <w:tcW w:w="1047" w:type="dxa"/>
            <w:noWrap w:val="0"/>
            <w:vAlign w:val="center"/>
          </w:tcPr>
          <w:p w14:paraId="02CA914B">
            <w:pPr>
              <w:spacing w:line="0" w:lineRule="atLeast"/>
              <w:jc w:val="center"/>
              <w:rPr>
                <w:rFonts w:hint="default" w:ascii="宋体" w:hAnsi="宋体" w:eastAsia="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1000L</w:t>
            </w:r>
          </w:p>
        </w:tc>
        <w:tc>
          <w:tcPr>
            <w:tcW w:w="1070" w:type="dxa"/>
            <w:noWrap w:val="0"/>
            <w:vAlign w:val="center"/>
          </w:tcPr>
          <w:p w14:paraId="1C684A1F">
            <w:pPr>
              <w:spacing w:line="0" w:lineRule="atLeast"/>
              <w:jc w:val="center"/>
              <w:rPr>
                <w:rFonts w:hint="default" w:ascii="宋体" w:hAnsi="宋体" w:eastAsia="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1台</w:t>
            </w:r>
          </w:p>
        </w:tc>
        <w:tc>
          <w:tcPr>
            <w:tcW w:w="3130" w:type="dxa"/>
            <w:noWrap w:val="0"/>
            <w:vAlign w:val="center"/>
          </w:tcPr>
          <w:p w14:paraId="2EE64D23">
            <w:pPr>
              <w:spacing w:line="0" w:lineRule="atLeast"/>
              <w:jc w:val="center"/>
              <w:rPr>
                <w:rFonts w:hint="eastAsia" w:ascii="宋体" w:hAnsi="宋体" w:eastAsia="宋体" w:cs="宋体"/>
                <w:bCs w:val="0"/>
                <w:spacing w:val="0"/>
                <w:sz w:val="18"/>
                <w:szCs w:val="18"/>
                <w:shd w:val="clear" w:color="auto" w:fill="auto"/>
              </w:rPr>
            </w:pPr>
          </w:p>
        </w:tc>
      </w:tr>
      <w:tr w14:paraId="15E17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09" w:type="dxa"/>
            <w:shd w:val="clear" w:color="auto" w:fill="auto"/>
            <w:noWrap w:val="0"/>
            <w:vAlign w:val="center"/>
          </w:tcPr>
          <w:p w14:paraId="23D7F594">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w:t>
            </w:r>
          </w:p>
        </w:tc>
        <w:tc>
          <w:tcPr>
            <w:tcW w:w="2665" w:type="dxa"/>
            <w:noWrap w:val="0"/>
            <w:vAlign w:val="center"/>
          </w:tcPr>
          <w:p w14:paraId="1D7BCF4E">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菜籽</w:t>
            </w:r>
            <w:r>
              <w:rPr>
                <w:rFonts w:hint="eastAsia" w:ascii="宋体" w:hAnsi="宋体" w:eastAsia="宋体" w:cs="宋体"/>
                <w:bCs w:val="0"/>
                <w:spacing w:val="0"/>
                <w:sz w:val="18"/>
                <w:szCs w:val="18"/>
                <w:shd w:val="clear" w:color="auto" w:fill="auto"/>
                <w:lang w:eastAsia="zh-CN"/>
              </w:rPr>
              <w:t>油</w:t>
            </w:r>
            <w:r>
              <w:rPr>
                <w:rFonts w:hint="eastAsia" w:ascii="宋体" w:hAnsi="宋体" w:cs="宋体"/>
                <w:bCs w:val="0"/>
                <w:spacing w:val="0"/>
                <w:sz w:val="18"/>
                <w:szCs w:val="18"/>
                <w:shd w:val="clear" w:color="auto" w:fill="auto"/>
                <w:lang w:val="en-US" w:eastAsia="zh-CN"/>
              </w:rPr>
              <w:t>流量计</w:t>
            </w:r>
          </w:p>
        </w:tc>
        <w:tc>
          <w:tcPr>
            <w:tcW w:w="1047" w:type="dxa"/>
            <w:noWrap w:val="0"/>
            <w:vAlign w:val="center"/>
          </w:tcPr>
          <w:p w14:paraId="1B29228F">
            <w:pPr>
              <w:jc w:val="center"/>
              <w:rPr>
                <w:rFonts w:hint="eastAsia" w:ascii="宋体" w:hAnsi="宋体" w:eastAsia="宋体" w:cs="宋体"/>
                <w:bCs w:val="0"/>
                <w:spacing w:val="0"/>
                <w:kern w:val="2"/>
                <w:sz w:val="18"/>
                <w:szCs w:val="18"/>
                <w:shd w:val="clear" w:color="auto" w:fill="auto"/>
                <w:lang w:val="en-US" w:eastAsia="zh-CN" w:bidi="ar-SA"/>
              </w:rPr>
            </w:pPr>
          </w:p>
        </w:tc>
        <w:tc>
          <w:tcPr>
            <w:tcW w:w="1070" w:type="dxa"/>
            <w:noWrap w:val="0"/>
            <w:vAlign w:val="center"/>
          </w:tcPr>
          <w:p w14:paraId="3C7D78D5">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1台</w:t>
            </w:r>
          </w:p>
        </w:tc>
        <w:tc>
          <w:tcPr>
            <w:tcW w:w="3130" w:type="dxa"/>
            <w:noWrap w:val="0"/>
            <w:vAlign w:val="center"/>
          </w:tcPr>
          <w:p w14:paraId="0672635B">
            <w:pPr>
              <w:rPr>
                <w:rFonts w:hint="eastAsia" w:ascii="宋体" w:hAnsi="宋体" w:eastAsia="宋体" w:cs="宋体"/>
                <w:bCs w:val="0"/>
                <w:spacing w:val="0"/>
                <w:kern w:val="2"/>
                <w:sz w:val="18"/>
                <w:szCs w:val="18"/>
                <w:shd w:val="clear" w:color="auto" w:fill="auto"/>
                <w:lang w:val="en-US" w:eastAsia="zh-CN" w:bidi="ar-SA"/>
              </w:rPr>
            </w:pPr>
          </w:p>
        </w:tc>
      </w:tr>
      <w:tr w14:paraId="262FF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709" w:type="dxa"/>
            <w:shd w:val="clear" w:color="auto" w:fill="auto"/>
            <w:noWrap w:val="0"/>
            <w:vAlign w:val="center"/>
          </w:tcPr>
          <w:p w14:paraId="1B39C662">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3</w:t>
            </w:r>
          </w:p>
        </w:tc>
        <w:tc>
          <w:tcPr>
            <w:tcW w:w="2665" w:type="dxa"/>
            <w:noWrap w:val="0"/>
            <w:vAlign w:val="center"/>
          </w:tcPr>
          <w:p w14:paraId="5B1982AE">
            <w:pPr>
              <w:rPr>
                <w:rFonts w:hint="default" w:ascii="宋体" w:hAnsi="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香料油暂存罐</w:t>
            </w:r>
          </w:p>
        </w:tc>
        <w:tc>
          <w:tcPr>
            <w:tcW w:w="1047" w:type="dxa"/>
            <w:noWrap w:val="0"/>
            <w:vAlign w:val="center"/>
          </w:tcPr>
          <w:p w14:paraId="196C70DE">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500L</w:t>
            </w:r>
          </w:p>
        </w:tc>
        <w:tc>
          <w:tcPr>
            <w:tcW w:w="1070" w:type="dxa"/>
            <w:noWrap w:val="0"/>
            <w:vAlign w:val="center"/>
          </w:tcPr>
          <w:p w14:paraId="6A610557">
            <w:pPr>
              <w:jc w:val="center"/>
              <w:rPr>
                <w:rFonts w:hint="default" w:ascii="宋体" w:hAnsi="宋体" w:eastAsia="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1台</w:t>
            </w:r>
          </w:p>
        </w:tc>
        <w:tc>
          <w:tcPr>
            <w:tcW w:w="3130" w:type="dxa"/>
            <w:noWrap w:val="0"/>
            <w:vAlign w:val="center"/>
          </w:tcPr>
          <w:p w14:paraId="40770DFB">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配称重</w:t>
            </w:r>
          </w:p>
        </w:tc>
      </w:tr>
      <w:tr w14:paraId="3907A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709" w:type="dxa"/>
            <w:shd w:val="clear" w:color="auto" w:fill="auto"/>
            <w:noWrap w:val="0"/>
            <w:vAlign w:val="center"/>
          </w:tcPr>
          <w:p w14:paraId="45C45F11">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4</w:t>
            </w:r>
          </w:p>
        </w:tc>
        <w:tc>
          <w:tcPr>
            <w:tcW w:w="2665" w:type="dxa"/>
            <w:noWrap w:val="0"/>
            <w:vAlign w:val="center"/>
          </w:tcPr>
          <w:p w14:paraId="7AD8C1B2">
            <w:pPr>
              <w:rPr>
                <w:rFonts w:hint="default" w:ascii="宋体" w:hAnsi="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香料油定量罐</w:t>
            </w:r>
          </w:p>
        </w:tc>
        <w:tc>
          <w:tcPr>
            <w:tcW w:w="1047" w:type="dxa"/>
            <w:noWrap w:val="0"/>
            <w:vAlign w:val="center"/>
          </w:tcPr>
          <w:p w14:paraId="7667DF47">
            <w:pPr>
              <w:jc w:val="center"/>
              <w:rPr>
                <w:rFonts w:hint="eastAsia" w:ascii="宋体" w:hAnsi="宋体" w:cs="宋体"/>
                <w:bCs w:val="0"/>
                <w:spacing w:val="0"/>
                <w:kern w:val="2"/>
                <w:sz w:val="18"/>
                <w:szCs w:val="18"/>
                <w:shd w:val="clear" w:color="auto" w:fill="auto"/>
                <w:lang w:val="en-US" w:eastAsia="zh-CN" w:bidi="ar-SA"/>
              </w:rPr>
            </w:pPr>
          </w:p>
        </w:tc>
        <w:tc>
          <w:tcPr>
            <w:tcW w:w="1070" w:type="dxa"/>
            <w:noWrap w:val="0"/>
            <w:vAlign w:val="center"/>
          </w:tcPr>
          <w:p w14:paraId="10CF244A">
            <w:pPr>
              <w:jc w:val="center"/>
              <w:rPr>
                <w:rFonts w:hint="default" w:ascii="宋体" w:hAnsi="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2台</w:t>
            </w:r>
          </w:p>
        </w:tc>
        <w:tc>
          <w:tcPr>
            <w:tcW w:w="3130" w:type="dxa"/>
            <w:noWrap w:val="0"/>
            <w:vAlign w:val="center"/>
          </w:tcPr>
          <w:p w14:paraId="2E63AD79">
            <w:pPr>
              <w:rPr>
                <w:rFonts w:hint="default" w:ascii="宋体" w:hAnsi="宋体" w:eastAsia="宋体" w:cs="宋体"/>
                <w:bCs w:val="0"/>
                <w:spacing w:val="0"/>
                <w:kern w:val="2"/>
                <w:sz w:val="18"/>
                <w:szCs w:val="18"/>
                <w:shd w:val="clear" w:color="auto" w:fill="auto"/>
                <w:lang w:val="en-US" w:eastAsia="zh-CN" w:bidi="ar-SA"/>
              </w:rPr>
            </w:pPr>
          </w:p>
        </w:tc>
      </w:tr>
      <w:tr w14:paraId="39E66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09" w:type="dxa"/>
            <w:shd w:val="clear" w:color="auto" w:fill="auto"/>
            <w:noWrap w:val="0"/>
            <w:vAlign w:val="center"/>
          </w:tcPr>
          <w:p w14:paraId="6227AD76">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5</w:t>
            </w:r>
          </w:p>
        </w:tc>
        <w:tc>
          <w:tcPr>
            <w:tcW w:w="2665" w:type="dxa"/>
            <w:shd w:val="clear" w:color="auto" w:fill="auto"/>
            <w:noWrap w:val="0"/>
            <w:vAlign w:val="center"/>
          </w:tcPr>
          <w:p w14:paraId="191C213E">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自翻式炒锅</w:t>
            </w:r>
          </w:p>
        </w:tc>
        <w:tc>
          <w:tcPr>
            <w:tcW w:w="1047" w:type="dxa"/>
            <w:shd w:val="clear" w:color="auto" w:fill="auto"/>
            <w:noWrap w:val="0"/>
            <w:vAlign w:val="center"/>
          </w:tcPr>
          <w:p w14:paraId="1895E211">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650L</w:t>
            </w:r>
          </w:p>
        </w:tc>
        <w:tc>
          <w:tcPr>
            <w:tcW w:w="1070" w:type="dxa"/>
            <w:shd w:val="clear" w:color="auto" w:fill="auto"/>
            <w:noWrap w:val="0"/>
            <w:vAlign w:val="center"/>
          </w:tcPr>
          <w:p w14:paraId="7BE0658F">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2台</w:t>
            </w:r>
          </w:p>
        </w:tc>
        <w:tc>
          <w:tcPr>
            <w:tcW w:w="3130" w:type="dxa"/>
            <w:shd w:val="clear" w:color="auto" w:fill="auto"/>
            <w:noWrap w:val="0"/>
            <w:vAlign w:val="center"/>
          </w:tcPr>
          <w:p w14:paraId="5EBB42F7">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原有2台统一纳入自动化考虑，并将2台旧炒锅负责从现有生产厂搬迁至新厂并负责安装，搬迁距离35公里。</w:t>
            </w:r>
          </w:p>
        </w:tc>
      </w:tr>
      <w:tr w14:paraId="5057F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shd w:val="clear" w:color="auto" w:fill="auto"/>
            <w:noWrap w:val="0"/>
            <w:vAlign w:val="center"/>
          </w:tcPr>
          <w:p w14:paraId="4458F1AE">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6</w:t>
            </w:r>
          </w:p>
        </w:tc>
        <w:tc>
          <w:tcPr>
            <w:tcW w:w="2665" w:type="dxa"/>
            <w:shd w:val="clear" w:color="auto" w:fill="auto"/>
            <w:noWrap w:val="0"/>
            <w:vAlign w:val="center"/>
          </w:tcPr>
          <w:p w14:paraId="54D163AF">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摊凉设备</w:t>
            </w:r>
          </w:p>
        </w:tc>
        <w:tc>
          <w:tcPr>
            <w:tcW w:w="1047" w:type="dxa"/>
            <w:shd w:val="clear" w:color="auto" w:fill="auto"/>
            <w:noWrap w:val="0"/>
            <w:vAlign w:val="center"/>
          </w:tcPr>
          <w:p w14:paraId="7421BEA6">
            <w:pPr>
              <w:jc w:val="cente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3D27A00F">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1套</w:t>
            </w:r>
          </w:p>
        </w:tc>
        <w:tc>
          <w:tcPr>
            <w:tcW w:w="3130" w:type="dxa"/>
            <w:shd w:val="clear" w:color="auto" w:fill="auto"/>
            <w:noWrap w:val="0"/>
            <w:vAlign w:val="center"/>
          </w:tcPr>
          <w:p w14:paraId="38F35230">
            <w:pPr>
              <w:rPr>
                <w:rFonts w:hint="default" w:ascii="宋体" w:hAnsi="宋体" w:eastAsia="宋体" w:cs="宋体"/>
                <w:bCs w:val="0"/>
                <w:spacing w:val="0"/>
                <w:kern w:val="2"/>
                <w:sz w:val="18"/>
                <w:szCs w:val="18"/>
                <w:shd w:val="clear" w:color="auto" w:fill="auto"/>
                <w:lang w:val="en-US" w:eastAsia="zh-CN" w:bidi="ar-SA"/>
              </w:rPr>
            </w:pPr>
          </w:p>
        </w:tc>
      </w:tr>
      <w:tr w14:paraId="5DCD5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shd w:val="clear" w:color="auto" w:fill="auto"/>
            <w:noWrap w:val="0"/>
            <w:vAlign w:val="center"/>
          </w:tcPr>
          <w:p w14:paraId="0656D711">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7</w:t>
            </w:r>
          </w:p>
        </w:tc>
        <w:tc>
          <w:tcPr>
            <w:tcW w:w="2665" w:type="dxa"/>
            <w:shd w:val="clear" w:color="auto" w:fill="auto"/>
            <w:noWrap w:val="0"/>
            <w:vAlign w:val="center"/>
          </w:tcPr>
          <w:p w14:paraId="54EE0E63">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油炒辣椒</w:t>
            </w:r>
            <w:r>
              <w:rPr>
                <w:rFonts w:hint="eastAsia" w:ascii="宋体" w:hAnsi="宋体" w:eastAsia="宋体" w:cs="宋体"/>
                <w:bCs w:val="0"/>
                <w:spacing w:val="0"/>
                <w:kern w:val="2"/>
                <w:sz w:val="18"/>
                <w:szCs w:val="18"/>
                <w:shd w:val="clear" w:color="auto" w:fill="auto"/>
                <w:lang w:val="en-US" w:eastAsia="zh-CN" w:bidi="ar-SA"/>
              </w:rPr>
              <w:t>自动计量包装机</w:t>
            </w:r>
          </w:p>
        </w:tc>
        <w:tc>
          <w:tcPr>
            <w:tcW w:w="1047" w:type="dxa"/>
            <w:shd w:val="clear" w:color="auto" w:fill="auto"/>
            <w:noWrap w:val="0"/>
            <w:vAlign w:val="center"/>
          </w:tcPr>
          <w:p w14:paraId="468A37BA">
            <w:pPr>
              <w:jc w:val="cente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3A76436D">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1台</w:t>
            </w:r>
          </w:p>
        </w:tc>
        <w:tc>
          <w:tcPr>
            <w:tcW w:w="3130" w:type="dxa"/>
            <w:shd w:val="clear" w:color="auto" w:fill="auto"/>
            <w:noWrap w:val="0"/>
            <w:vAlign w:val="center"/>
          </w:tcPr>
          <w:p w14:paraId="02BEBFB1">
            <w:pPr>
              <w:rPr>
                <w:rFonts w:hint="eastAsia" w:ascii="宋体" w:hAnsi="宋体" w:eastAsia="宋体" w:cs="宋体"/>
                <w:bCs w:val="0"/>
                <w:spacing w:val="0"/>
                <w:kern w:val="2"/>
                <w:sz w:val="18"/>
                <w:szCs w:val="18"/>
                <w:shd w:val="clear" w:color="auto" w:fill="auto"/>
                <w:lang w:val="en-US" w:eastAsia="zh-CN" w:bidi="ar-SA"/>
              </w:rPr>
            </w:pPr>
          </w:p>
        </w:tc>
      </w:tr>
      <w:tr w14:paraId="7133B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shd w:val="clear" w:color="auto" w:fill="auto"/>
            <w:noWrap w:val="0"/>
            <w:vAlign w:val="center"/>
          </w:tcPr>
          <w:p w14:paraId="1CE31B7B">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8</w:t>
            </w:r>
          </w:p>
        </w:tc>
        <w:tc>
          <w:tcPr>
            <w:tcW w:w="2665" w:type="dxa"/>
            <w:shd w:val="clear" w:color="auto" w:fill="auto"/>
            <w:noWrap w:val="0"/>
            <w:vAlign w:val="center"/>
          </w:tcPr>
          <w:p w14:paraId="762EEABE">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控制系统、操作系统</w:t>
            </w:r>
          </w:p>
        </w:tc>
        <w:tc>
          <w:tcPr>
            <w:tcW w:w="1047" w:type="dxa"/>
            <w:shd w:val="clear" w:color="auto" w:fill="auto"/>
            <w:noWrap w:val="0"/>
            <w:vAlign w:val="center"/>
          </w:tcPr>
          <w:p w14:paraId="40D079D4">
            <w:pP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431A02D6">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若干套</w:t>
            </w:r>
          </w:p>
        </w:tc>
        <w:tc>
          <w:tcPr>
            <w:tcW w:w="3130" w:type="dxa"/>
            <w:shd w:val="clear" w:color="auto" w:fill="auto"/>
            <w:noWrap w:val="0"/>
            <w:vAlign w:val="center"/>
          </w:tcPr>
          <w:p w14:paraId="37D430BC">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与本项目所有功能匹配</w:t>
            </w:r>
          </w:p>
        </w:tc>
      </w:tr>
      <w:tr w14:paraId="1D70F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8621" w:type="dxa"/>
            <w:gridSpan w:val="5"/>
            <w:noWrap w:val="0"/>
            <w:vAlign w:val="center"/>
          </w:tcPr>
          <w:p w14:paraId="02A81475">
            <w:pPr>
              <w:rPr>
                <w:rFonts w:hint="default" w:ascii="宋体" w:hAnsi="宋体" w:cs="宋体"/>
                <w:bCs w:val="0"/>
                <w:spacing w:val="0"/>
                <w:kern w:val="2"/>
                <w:sz w:val="18"/>
                <w:szCs w:val="18"/>
                <w:shd w:val="clear" w:color="auto" w:fill="auto"/>
                <w:lang w:val="en-US" w:eastAsia="zh-CN" w:bidi="ar-SA"/>
              </w:rPr>
            </w:pPr>
            <w:r>
              <w:rPr>
                <w:rFonts w:hint="eastAsia" w:ascii="宋体" w:hAnsi="宋体" w:cs="宋体"/>
                <w:b/>
                <w:bCs/>
                <w:color w:val="auto"/>
                <w:spacing w:val="0"/>
                <w:kern w:val="2"/>
                <w:sz w:val="18"/>
                <w:szCs w:val="18"/>
                <w:shd w:val="clear" w:color="auto" w:fill="auto"/>
                <w:lang w:val="en-US" w:eastAsia="zh-CN" w:bidi="ar-SA"/>
              </w:rPr>
              <w:t>备注：本项目所有设备不仅限于上述设备，投标人按产能要求配置，上述设备仅供参照。</w:t>
            </w:r>
          </w:p>
        </w:tc>
      </w:tr>
    </w:tbl>
    <w:p w14:paraId="532CAEC0">
      <w:pPr>
        <w:pStyle w:val="7"/>
        <w:keepNext w:val="0"/>
        <w:keepLines w:val="0"/>
        <w:pageBreakBefore w:val="0"/>
        <w:numPr>
          <w:ilvl w:val="0"/>
          <w:numId w:val="0"/>
        </w:numPr>
        <w:kinsoku/>
        <w:wordWrap/>
        <w:overflowPunct/>
        <w:topLinePunct w:val="0"/>
        <w:bidi w:val="0"/>
        <w:spacing w:line="360" w:lineRule="auto"/>
        <w:ind w:firstLine="420" w:firstLineChars="200"/>
        <w:textAlignment w:val="auto"/>
        <w:rPr>
          <w:rFonts w:hint="eastAsia" w:eastAsia="宋体"/>
          <w:b w:val="0"/>
          <w:bCs w:val="0"/>
          <w:color w:val="FF0000"/>
          <w:kern w:val="2"/>
          <w:sz w:val="21"/>
          <w:szCs w:val="21"/>
          <w:lang w:val="en-US" w:eastAsia="zh-CN" w:bidi="ar-SA"/>
        </w:rPr>
      </w:pPr>
    </w:p>
    <w:p w14:paraId="0461F08D">
      <w:pPr>
        <w:pStyle w:val="6"/>
        <w:bidi w:val="0"/>
        <w:rPr>
          <w:rFonts w:hint="default"/>
          <w:lang w:val="en-US" w:eastAsia="zh-CN"/>
        </w:rPr>
      </w:pPr>
      <w:r>
        <w:rPr>
          <w:rFonts w:hint="eastAsia"/>
          <w:lang w:val="en-US" w:eastAsia="zh-CN"/>
        </w:rPr>
        <w:t>（三）辣椒酱调味料设备需求一览表</w:t>
      </w:r>
    </w:p>
    <w:tbl>
      <w:tblPr>
        <w:tblStyle w:val="47"/>
        <w:tblW w:w="86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2665"/>
        <w:gridCol w:w="1047"/>
        <w:gridCol w:w="1070"/>
        <w:gridCol w:w="3130"/>
      </w:tblGrid>
      <w:tr w14:paraId="6004F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709" w:type="dxa"/>
            <w:noWrap w:val="0"/>
            <w:vAlign w:val="center"/>
          </w:tcPr>
          <w:p w14:paraId="608811A5">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序号</w:t>
            </w:r>
          </w:p>
        </w:tc>
        <w:tc>
          <w:tcPr>
            <w:tcW w:w="2665" w:type="dxa"/>
            <w:noWrap w:val="0"/>
            <w:vAlign w:val="center"/>
          </w:tcPr>
          <w:p w14:paraId="34879018">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设备名称</w:t>
            </w:r>
          </w:p>
        </w:tc>
        <w:tc>
          <w:tcPr>
            <w:tcW w:w="1047" w:type="dxa"/>
            <w:noWrap w:val="0"/>
            <w:vAlign w:val="center"/>
          </w:tcPr>
          <w:p w14:paraId="54D56F9A">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规格</w:t>
            </w:r>
          </w:p>
          <w:p w14:paraId="5122DFD4">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型号</w:t>
            </w:r>
          </w:p>
        </w:tc>
        <w:tc>
          <w:tcPr>
            <w:tcW w:w="1070" w:type="dxa"/>
            <w:noWrap w:val="0"/>
            <w:vAlign w:val="center"/>
          </w:tcPr>
          <w:p w14:paraId="596AA3A1">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数量</w:t>
            </w:r>
          </w:p>
        </w:tc>
        <w:tc>
          <w:tcPr>
            <w:tcW w:w="3130" w:type="dxa"/>
            <w:noWrap w:val="0"/>
            <w:vAlign w:val="center"/>
          </w:tcPr>
          <w:p w14:paraId="2336950D">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备注</w:t>
            </w:r>
          </w:p>
        </w:tc>
      </w:tr>
      <w:tr w14:paraId="282D6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09" w:type="dxa"/>
            <w:tcBorders>
              <w:top w:val="single" w:color="auto" w:sz="4" w:space="0"/>
            </w:tcBorders>
            <w:noWrap w:val="0"/>
            <w:vAlign w:val="center"/>
          </w:tcPr>
          <w:p w14:paraId="13604855">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w:t>
            </w:r>
          </w:p>
        </w:tc>
        <w:tc>
          <w:tcPr>
            <w:tcW w:w="2665" w:type="dxa"/>
            <w:noWrap w:val="0"/>
            <w:vAlign w:val="center"/>
          </w:tcPr>
          <w:p w14:paraId="50C65788">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泡辣椒原料运送小车（或槽）</w:t>
            </w:r>
          </w:p>
        </w:tc>
        <w:tc>
          <w:tcPr>
            <w:tcW w:w="1047" w:type="dxa"/>
            <w:noWrap w:val="0"/>
            <w:vAlign w:val="center"/>
          </w:tcPr>
          <w:p w14:paraId="3B63432D">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300千克</w:t>
            </w:r>
          </w:p>
        </w:tc>
        <w:tc>
          <w:tcPr>
            <w:tcW w:w="1070" w:type="dxa"/>
            <w:noWrap w:val="0"/>
            <w:vAlign w:val="center"/>
          </w:tcPr>
          <w:p w14:paraId="055CF210">
            <w:pPr>
              <w:jc w:val="center"/>
              <w:rPr>
                <w:rFonts w:hint="default" w:ascii="宋体" w:hAnsi="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4台</w:t>
            </w:r>
          </w:p>
        </w:tc>
        <w:tc>
          <w:tcPr>
            <w:tcW w:w="3130" w:type="dxa"/>
            <w:noWrap w:val="0"/>
            <w:vAlign w:val="center"/>
          </w:tcPr>
          <w:p w14:paraId="1B168EA8">
            <w:pPr>
              <w:rPr>
                <w:rFonts w:hint="default" w:ascii="宋体" w:hAnsi="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前端对接挖机起池的泡椒，后端对接人工除杂平台</w:t>
            </w:r>
          </w:p>
        </w:tc>
      </w:tr>
      <w:tr w14:paraId="64CDC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noWrap w:val="0"/>
            <w:vAlign w:val="center"/>
          </w:tcPr>
          <w:p w14:paraId="04A63FF4">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w:t>
            </w:r>
          </w:p>
        </w:tc>
        <w:tc>
          <w:tcPr>
            <w:tcW w:w="2665" w:type="dxa"/>
            <w:noWrap w:val="0"/>
            <w:vAlign w:val="center"/>
          </w:tcPr>
          <w:p w14:paraId="4A0EABA0">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人工除杂平台</w:t>
            </w:r>
          </w:p>
        </w:tc>
        <w:tc>
          <w:tcPr>
            <w:tcW w:w="1047" w:type="dxa"/>
            <w:noWrap w:val="0"/>
            <w:vAlign w:val="center"/>
          </w:tcPr>
          <w:p w14:paraId="5AD9B7EC">
            <w:pPr>
              <w:rPr>
                <w:rFonts w:hint="eastAsia" w:ascii="宋体" w:hAnsi="宋体" w:eastAsia="宋体" w:cs="宋体"/>
                <w:bCs w:val="0"/>
                <w:spacing w:val="0"/>
                <w:kern w:val="2"/>
                <w:sz w:val="18"/>
                <w:szCs w:val="18"/>
                <w:shd w:val="clear" w:color="auto" w:fill="auto"/>
                <w:lang w:val="en-US" w:eastAsia="zh-CN" w:bidi="ar-SA"/>
              </w:rPr>
            </w:pPr>
          </w:p>
        </w:tc>
        <w:tc>
          <w:tcPr>
            <w:tcW w:w="1070" w:type="dxa"/>
            <w:noWrap w:val="0"/>
            <w:vAlign w:val="center"/>
          </w:tcPr>
          <w:p w14:paraId="4425BBDA">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1台</w:t>
            </w:r>
          </w:p>
        </w:tc>
        <w:tc>
          <w:tcPr>
            <w:tcW w:w="3130" w:type="dxa"/>
            <w:noWrap w:val="0"/>
            <w:vAlign w:val="center"/>
          </w:tcPr>
          <w:p w14:paraId="0E076F38">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不需要输送带，包含辅助上除杂平台设备</w:t>
            </w:r>
          </w:p>
        </w:tc>
      </w:tr>
      <w:tr w14:paraId="5E2E6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noWrap w:val="0"/>
            <w:vAlign w:val="center"/>
          </w:tcPr>
          <w:p w14:paraId="00804BF8">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3</w:t>
            </w:r>
          </w:p>
        </w:tc>
        <w:tc>
          <w:tcPr>
            <w:tcW w:w="2665" w:type="dxa"/>
            <w:shd w:val="clear" w:color="auto" w:fill="auto"/>
            <w:noWrap w:val="0"/>
            <w:vAlign w:val="center"/>
          </w:tcPr>
          <w:p w14:paraId="3FDD7007">
            <w:pPr>
              <w:rPr>
                <w:rFonts w:hint="eastAsia" w:ascii="宋体" w:hAnsi="宋体" w:eastAsia="宋体" w:cs="宋体"/>
                <w:bCs w:val="0"/>
                <w:spacing w:val="0"/>
                <w:kern w:val="2"/>
                <w:sz w:val="18"/>
                <w:szCs w:val="18"/>
                <w:highlight w:val="none"/>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打椒机</w:t>
            </w:r>
          </w:p>
        </w:tc>
        <w:tc>
          <w:tcPr>
            <w:tcW w:w="1047" w:type="dxa"/>
            <w:shd w:val="clear" w:color="auto" w:fill="auto"/>
            <w:noWrap w:val="0"/>
            <w:vAlign w:val="center"/>
          </w:tcPr>
          <w:p w14:paraId="4812C8B2">
            <w:pPr>
              <w:rPr>
                <w:rFonts w:hint="eastAsia" w:ascii="宋体" w:hAnsi="宋体" w:eastAsia="宋体" w:cs="宋体"/>
                <w:bCs w:val="0"/>
                <w:spacing w:val="0"/>
                <w:kern w:val="2"/>
                <w:sz w:val="18"/>
                <w:szCs w:val="18"/>
                <w:highlight w:val="none"/>
                <w:shd w:val="clear" w:color="auto" w:fill="auto"/>
                <w:lang w:val="en-US" w:eastAsia="zh-CN" w:bidi="ar-SA"/>
              </w:rPr>
            </w:pPr>
          </w:p>
        </w:tc>
        <w:tc>
          <w:tcPr>
            <w:tcW w:w="1070" w:type="dxa"/>
            <w:shd w:val="clear" w:color="auto" w:fill="auto"/>
            <w:noWrap w:val="0"/>
            <w:vAlign w:val="center"/>
          </w:tcPr>
          <w:p w14:paraId="6214A59B">
            <w:pPr>
              <w:jc w:val="center"/>
              <w:rPr>
                <w:rFonts w:hint="eastAsia" w:ascii="宋体" w:hAnsi="宋体" w:eastAsia="宋体" w:cs="宋体"/>
                <w:bCs w:val="0"/>
                <w:spacing w:val="0"/>
                <w:kern w:val="2"/>
                <w:sz w:val="18"/>
                <w:szCs w:val="18"/>
                <w:highlight w:val="none"/>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1台</w:t>
            </w:r>
          </w:p>
        </w:tc>
        <w:tc>
          <w:tcPr>
            <w:tcW w:w="3130" w:type="dxa"/>
            <w:shd w:val="clear" w:color="auto" w:fill="auto"/>
            <w:noWrap w:val="0"/>
            <w:vAlign w:val="center"/>
          </w:tcPr>
          <w:p w14:paraId="5515FF7E">
            <w:pPr>
              <w:rPr>
                <w:rFonts w:hint="default" w:ascii="宋体" w:hAnsi="宋体" w:eastAsia="宋体" w:cs="宋体"/>
                <w:bCs w:val="0"/>
                <w:spacing w:val="0"/>
                <w:kern w:val="2"/>
                <w:sz w:val="18"/>
                <w:szCs w:val="18"/>
                <w:highlight w:val="none"/>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粗粉碎，细度3-5mm；2吨/小时</w:t>
            </w:r>
          </w:p>
        </w:tc>
      </w:tr>
      <w:tr w14:paraId="2B582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noWrap w:val="0"/>
            <w:vAlign w:val="center"/>
          </w:tcPr>
          <w:p w14:paraId="4F269FA7">
            <w:pPr>
              <w:jc w:val="center"/>
              <w:rPr>
                <w:rFonts w:hint="eastAsia" w:ascii="宋体" w:hAnsi="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4</w:t>
            </w:r>
          </w:p>
        </w:tc>
        <w:tc>
          <w:tcPr>
            <w:tcW w:w="2665" w:type="dxa"/>
            <w:shd w:val="clear" w:color="auto" w:fill="auto"/>
            <w:noWrap w:val="0"/>
            <w:vAlign w:val="center"/>
          </w:tcPr>
          <w:p w14:paraId="1C60AB03">
            <w:pPr>
              <w:rPr>
                <w:rFonts w:hint="eastAsia" w:ascii="宋体" w:hAnsi="宋体" w:cs="宋体"/>
                <w:bCs w:val="0"/>
                <w:spacing w:val="0"/>
                <w:kern w:val="2"/>
                <w:sz w:val="18"/>
                <w:szCs w:val="18"/>
                <w:highlight w:val="yellow"/>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螺杆泵</w:t>
            </w:r>
          </w:p>
        </w:tc>
        <w:tc>
          <w:tcPr>
            <w:tcW w:w="1047" w:type="dxa"/>
            <w:shd w:val="clear" w:color="auto" w:fill="auto"/>
            <w:noWrap w:val="0"/>
            <w:vAlign w:val="center"/>
          </w:tcPr>
          <w:p w14:paraId="0ECEF83F">
            <w:pPr>
              <w:rPr>
                <w:rFonts w:hint="eastAsia" w:ascii="宋体" w:hAnsi="宋体" w:eastAsia="宋体" w:cs="宋体"/>
                <w:bCs w:val="0"/>
                <w:spacing w:val="0"/>
                <w:kern w:val="2"/>
                <w:sz w:val="18"/>
                <w:szCs w:val="18"/>
                <w:highlight w:val="yellow"/>
                <w:shd w:val="clear" w:color="auto" w:fill="auto"/>
                <w:lang w:val="en-US" w:eastAsia="zh-CN" w:bidi="ar-SA"/>
              </w:rPr>
            </w:pPr>
          </w:p>
        </w:tc>
        <w:tc>
          <w:tcPr>
            <w:tcW w:w="1070" w:type="dxa"/>
            <w:shd w:val="clear" w:color="auto" w:fill="auto"/>
            <w:noWrap w:val="0"/>
            <w:vAlign w:val="center"/>
          </w:tcPr>
          <w:p w14:paraId="2A0EDF59">
            <w:pPr>
              <w:jc w:val="center"/>
              <w:rPr>
                <w:rFonts w:hint="default" w:ascii="宋体" w:hAnsi="宋体" w:cs="宋体"/>
                <w:bCs w:val="0"/>
                <w:spacing w:val="0"/>
                <w:kern w:val="2"/>
                <w:sz w:val="18"/>
                <w:szCs w:val="18"/>
                <w:highlight w:val="none"/>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若干台</w:t>
            </w:r>
          </w:p>
        </w:tc>
        <w:tc>
          <w:tcPr>
            <w:tcW w:w="3130" w:type="dxa"/>
            <w:shd w:val="clear" w:color="auto" w:fill="auto"/>
            <w:noWrap w:val="0"/>
            <w:vAlign w:val="center"/>
          </w:tcPr>
          <w:p w14:paraId="4300746C">
            <w:pPr>
              <w:rPr>
                <w:rFonts w:hint="default" w:ascii="宋体" w:hAnsi="宋体" w:cs="宋体"/>
                <w:bCs w:val="0"/>
                <w:spacing w:val="0"/>
                <w:kern w:val="2"/>
                <w:sz w:val="18"/>
                <w:szCs w:val="18"/>
                <w:highlight w:val="none"/>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进出配料罐</w:t>
            </w:r>
          </w:p>
        </w:tc>
      </w:tr>
      <w:tr w14:paraId="5516E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noWrap w:val="0"/>
            <w:vAlign w:val="center"/>
          </w:tcPr>
          <w:p w14:paraId="6AF2808C">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5</w:t>
            </w:r>
          </w:p>
        </w:tc>
        <w:tc>
          <w:tcPr>
            <w:tcW w:w="2665" w:type="dxa"/>
            <w:shd w:val="clear" w:color="auto" w:fill="auto"/>
            <w:noWrap w:val="0"/>
            <w:vAlign w:val="center"/>
          </w:tcPr>
          <w:p w14:paraId="40C3E7C5">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配拌料罐</w:t>
            </w:r>
          </w:p>
        </w:tc>
        <w:tc>
          <w:tcPr>
            <w:tcW w:w="1047" w:type="dxa"/>
            <w:shd w:val="clear" w:color="auto" w:fill="auto"/>
            <w:noWrap w:val="0"/>
            <w:vAlign w:val="center"/>
          </w:tcPr>
          <w:p w14:paraId="0004B034">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6000L</w:t>
            </w:r>
          </w:p>
        </w:tc>
        <w:tc>
          <w:tcPr>
            <w:tcW w:w="1070" w:type="dxa"/>
            <w:shd w:val="clear" w:color="auto" w:fill="auto"/>
            <w:noWrap w:val="0"/>
            <w:vAlign w:val="center"/>
          </w:tcPr>
          <w:p w14:paraId="6D0BF287">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1个</w:t>
            </w:r>
          </w:p>
        </w:tc>
        <w:tc>
          <w:tcPr>
            <w:tcW w:w="3130" w:type="dxa"/>
            <w:shd w:val="clear" w:color="auto" w:fill="auto"/>
            <w:noWrap w:val="0"/>
            <w:vAlign w:val="center"/>
          </w:tcPr>
          <w:p w14:paraId="40FC08A7">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配料人工添加，罐带搅拌和加热（70℃）</w:t>
            </w:r>
          </w:p>
        </w:tc>
      </w:tr>
      <w:tr w14:paraId="5D3B5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noWrap w:val="0"/>
            <w:vAlign w:val="center"/>
          </w:tcPr>
          <w:p w14:paraId="4FA9AE60">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6</w:t>
            </w:r>
          </w:p>
        </w:tc>
        <w:tc>
          <w:tcPr>
            <w:tcW w:w="2665" w:type="dxa"/>
            <w:shd w:val="clear" w:color="auto" w:fill="auto"/>
            <w:noWrap w:val="0"/>
            <w:vAlign w:val="center"/>
          </w:tcPr>
          <w:p w14:paraId="6F4CC5F9">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泡椒粉碎机</w:t>
            </w:r>
          </w:p>
        </w:tc>
        <w:tc>
          <w:tcPr>
            <w:tcW w:w="1047" w:type="dxa"/>
            <w:shd w:val="clear" w:color="auto" w:fill="auto"/>
            <w:noWrap w:val="0"/>
            <w:vAlign w:val="center"/>
          </w:tcPr>
          <w:p w14:paraId="1FC9ED49">
            <w:pP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3124D3B2">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1台</w:t>
            </w:r>
          </w:p>
        </w:tc>
        <w:tc>
          <w:tcPr>
            <w:tcW w:w="3130" w:type="dxa"/>
            <w:shd w:val="clear" w:color="auto" w:fill="auto"/>
            <w:noWrap w:val="0"/>
            <w:vAlign w:val="center"/>
          </w:tcPr>
          <w:p w14:paraId="7E65BF31">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粉碎细度可调，</w:t>
            </w:r>
            <w:r>
              <w:rPr>
                <w:rFonts w:hint="eastAsia" w:ascii="宋体" w:hAnsi="宋体" w:cs="宋体"/>
                <w:bCs w:val="0"/>
                <w:color w:val="auto"/>
                <w:spacing w:val="0"/>
                <w:kern w:val="2"/>
                <w:sz w:val="18"/>
                <w:szCs w:val="18"/>
                <w:shd w:val="clear" w:color="auto" w:fill="auto"/>
                <w:lang w:val="en-US" w:eastAsia="zh-CN" w:bidi="ar-SA"/>
              </w:rPr>
              <w:t>10目—40目</w:t>
            </w:r>
          </w:p>
        </w:tc>
      </w:tr>
      <w:tr w14:paraId="5CAE0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shd w:val="clear" w:color="auto" w:fill="auto"/>
            <w:noWrap w:val="0"/>
            <w:vAlign w:val="center"/>
          </w:tcPr>
          <w:p w14:paraId="7C3E581E">
            <w:pPr>
              <w:jc w:val="center"/>
              <w:rPr>
                <w:rFonts w:hint="eastAsia" w:ascii="宋体" w:hAnsi="宋体" w:eastAsia="宋体" w:cs="宋体"/>
                <w:bCs w:val="0"/>
                <w:spacing w:val="0"/>
                <w:kern w:val="2"/>
                <w:sz w:val="18"/>
                <w:szCs w:val="18"/>
                <w:highlight w:val="yellow"/>
                <w:shd w:val="clear" w:color="auto" w:fill="auto"/>
                <w:lang w:val="en-US" w:eastAsia="zh-CN" w:bidi="ar-SA"/>
              </w:rPr>
            </w:pPr>
            <w:r>
              <w:rPr>
                <w:rFonts w:hint="eastAsia" w:ascii="宋体" w:hAnsi="宋体" w:cs="宋体"/>
                <w:bCs w:val="0"/>
                <w:spacing w:val="0"/>
                <w:sz w:val="18"/>
                <w:szCs w:val="18"/>
                <w:shd w:val="clear" w:color="auto" w:fill="auto"/>
                <w:lang w:val="en-US" w:eastAsia="zh-CN"/>
              </w:rPr>
              <w:t>7</w:t>
            </w:r>
          </w:p>
        </w:tc>
        <w:tc>
          <w:tcPr>
            <w:tcW w:w="2665" w:type="dxa"/>
            <w:shd w:val="clear" w:color="auto" w:fill="auto"/>
            <w:noWrap w:val="0"/>
            <w:vAlign w:val="center"/>
          </w:tcPr>
          <w:p w14:paraId="2431CFE8">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半自动计量灌装机</w:t>
            </w:r>
          </w:p>
        </w:tc>
        <w:tc>
          <w:tcPr>
            <w:tcW w:w="1047" w:type="dxa"/>
            <w:shd w:val="clear" w:color="auto" w:fill="auto"/>
            <w:noWrap w:val="0"/>
            <w:vAlign w:val="center"/>
          </w:tcPr>
          <w:p w14:paraId="580B7A0E">
            <w:pP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1BE31B79">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1套</w:t>
            </w:r>
          </w:p>
        </w:tc>
        <w:tc>
          <w:tcPr>
            <w:tcW w:w="3130" w:type="dxa"/>
            <w:shd w:val="clear" w:color="auto" w:fill="auto"/>
            <w:noWrap w:val="0"/>
            <w:vAlign w:val="center"/>
          </w:tcPr>
          <w:p w14:paraId="65B869C3">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含与之配套的相关辅助设备，灌装速度2吨/小时。</w:t>
            </w:r>
          </w:p>
        </w:tc>
      </w:tr>
      <w:tr w14:paraId="0A0FE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shd w:val="clear" w:color="auto" w:fill="auto"/>
            <w:noWrap w:val="0"/>
            <w:vAlign w:val="center"/>
          </w:tcPr>
          <w:p w14:paraId="668A1BB0">
            <w:pPr>
              <w:jc w:val="center"/>
              <w:rPr>
                <w:rFonts w:hint="eastAsia" w:ascii="宋体" w:hAnsi="宋体" w:eastAsia="宋体" w:cs="宋体"/>
                <w:bCs w:val="0"/>
                <w:spacing w:val="0"/>
                <w:sz w:val="18"/>
                <w:szCs w:val="18"/>
                <w:highlight w:val="yellow"/>
                <w:shd w:val="clear" w:color="auto" w:fill="auto"/>
                <w:lang w:val="en-US" w:eastAsia="zh-CN"/>
              </w:rPr>
            </w:pPr>
            <w:r>
              <w:rPr>
                <w:rFonts w:hint="eastAsia" w:ascii="宋体" w:hAnsi="宋体" w:cs="宋体"/>
                <w:bCs w:val="0"/>
                <w:spacing w:val="0"/>
                <w:sz w:val="18"/>
                <w:szCs w:val="18"/>
                <w:shd w:val="clear" w:color="auto" w:fill="auto"/>
                <w:lang w:val="en-US" w:eastAsia="zh-CN"/>
              </w:rPr>
              <w:t>8</w:t>
            </w:r>
          </w:p>
        </w:tc>
        <w:tc>
          <w:tcPr>
            <w:tcW w:w="2665" w:type="dxa"/>
            <w:shd w:val="clear" w:color="auto" w:fill="auto"/>
            <w:noWrap w:val="0"/>
            <w:vAlign w:val="center"/>
          </w:tcPr>
          <w:p w14:paraId="1C897154">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控制系统、操作系统</w:t>
            </w:r>
          </w:p>
        </w:tc>
        <w:tc>
          <w:tcPr>
            <w:tcW w:w="1047" w:type="dxa"/>
            <w:shd w:val="clear" w:color="auto" w:fill="auto"/>
            <w:noWrap w:val="0"/>
            <w:vAlign w:val="center"/>
          </w:tcPr>
          <w:p w14:paraId="7684D67D">
            <w:pP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35B1C160">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若干套</w:t>
            </w:r>
          </w:p>
        </w:tc>
        <w:tc>
          <w:tcPr>
            <w:tcW w:w="3130" w:type="dxa"/>
            <w:shd w:val="clear" w:color="auto" w:fill="auto"/>
            <w:noWrap w:val="0"/>
            <w:vAlign w:val="center"/>
          </w:tcPr>
          <w:p w14:paraId="129F5AB3">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与本项目所有功能匹配</w:t>
            </w:r>
          </w:p>
        </w:tc>
      </w:tr>
      <w:tr w14:paraId="2AE57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8621" w:type="dxa"/>
            <w:gridSpan w:val="5"/>
            <w:noWrap w:val="0"/>
            <w:vAlign w:val="center"/>
          </w:tcPr>
          <w:p w14:paraId="15CE46E0">
            <w:pPr>
              <w:jc w:val="left"/>
              <w:rPr>
                <w:rFonts w:hint="default" w:ascii="宋体" w:hAnsi="宋体" w:cs="宋体"/>
                <w:bCs w:val="0"/>
                <w:spacing w:val="0"/>
                <w:kern w:val="2"/>
                <w:sz w:val="18"/>
                <w:szCs w:val="18"/>
                <w:shd w:val="clear" w:color="auto" w:fill="auto"/>
                <w:lang w:val="en-US" w:eastAsia="zh-CN" w:bidi="ar-SA"/>
              </w:rPr>
            </w:pPr>
            <w:r>
              <w:rPr>
                <w:rFonts w:hint="eastAsia" w:ascii="宋体" w:hAnsi="宋体" w:cs="宋体"/>
                <w:b/>
                <w:bCs/>
                <w:color w:val="auto"/>
                <w:spacing w:val="0"/>
                <w:kern w:val="2"/>
                <w:sz w:val="18"/>
                <w:szCs w:val="18"/>
                <w:shd w:val="clear" w:color="auto" w:fill="auto"/>
                <w:lang w:val="en-US" w:eastAsia="zh-CN" w:bidi="ar-SA"/>
              </w:rPr>
              <w:t>备注：本项目所有设备不仅限于上述设备，需要增加设备及配套设施由投标人完善，上述设备仅供参照。</w:t>
            </w:r>
          </w:p>
        </w:tc>
      </w:tr>
    </w:tbl>
    <w:p w14:paraId="53C15B79">
      <w:pPr>
        <w:bidi w:val="0"/>
        <w:rPr>
          <w:rFonts w:hint="eastAsia"/>
          <w:lang w:val="en-US" w:eastAsia="zh-CN"/>
        </w:rPr>
      </w:pPr>
    </w:p>
    <w:p w14:paraId="79074B09">
      <w:pPr>
        <w:pStyle w:val="4"/>
        <w:bidi w:val="0"/>
        <w:ind w:left="0" w:leftChars="0" w:firstLine="0" w:firstLineChars="0"/>
        <w:rPr>
          <w:rFonts w:hint="eastAsia"/>
        </w:rPr>
      </w:pPr>
      <w:r>
        <w:rPr>
          <w:rFonts w:hint="eastAsia"/>
          <w:lang w:val="en-US" w:eastAsia="zh-CN"/>
        </w:rPr>
        <w:t>六</w:t>
      </w:r>
      <w:r>
        <w:rPr>
          <w:rFonts w:hint="eastAsia"/>
          <w:lang w:eastAsia="zh-CN"/>
        </w:rPr>
        <w:t>、</w:t>
      </w:r>
      <w:r>
        <w:rPr>
          <w:rFonts w:hint="eastAsia"/>
        </w:rPr>
        <w:t>整线设计要求</w:t>
      </w:r>
    </w:p>
    <w:p w14:paraId="1AD987E3">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1、此项目为交钥匙工程，</w:t>
      </w:r>
      <w:r>
        <w:rPr>
          <w:rFonts w:hint="eastAsia" w:ascii="宋体" w:hAnsi="宋体" w:eastAsia="宋体" w:cs="宋体"/>
          <w:sz w:val="21"/>
          <w:szCs w:val="21"/>
          <w:lang w:val="en-US" w:eastAsia="zh-CN"/>
        </w:rPr>
        <w:t>投标人</w:t>
      </w:r>
      <w:r>
        <w:rPr>
          <w:rFonts w:hint="eastAsia" w:ascii="宋体" w:hAnsi="宋体" w:eastAsia="宋体" w:cs="宋体"/>
          <w:sz w:val="21"/>
          <w:szCs w:val="21"/>
        </w:rPr>
        <w:t>负责整条生产线的设计、制造、安装调试（含所有附属设施设备、配套控制箱、管线、阀件）。</w:t>
      </w:r>
    </w:p>
    <w:p w14:paraId="683C8DB1">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lang w:val="en-US" w:eastAsia="zh-CN"/>
        </w:rPr>
      </w:pPr>
      <w:r>
        <w:rPr>
          <w:rFonts w:hint="eastAsia" w:ascii="宋体" w:hAnsi="宋体" w:eastAsia="宋体" w:cs="宋体"/>
          <w:sz w:val="21"/>
          <w:szCs w:val="21"/>
        </w:rPr>
        <w:t>2、设备的使用寿命按15年设计，与产品接触的设备材质为不锈钢</w:t>
      </w:r>
      <w:r>
        <w:rPr>
          <w:rFonts w:hint="eastAsia" w:ascii="宋体" w:hAnsi="宋体" w:cs="宋体"/>
          <w:color w:val="FF0000"/>
          <w:sz w:val="21"/>
          <w:szCs w:val="21"/>
          <w:lang w:val="en-US" w:eastAsia="zh-CN"/>
        </w:rPr>
        <w:t>SUS</w:t>
      </w:r>
      <w:r>
        <w:rPr>
          <w:rFonts w:hint="eastAsia" w:ascii="宋体" w:hAnsi="宋体" w:eastAsia="宋体" w:cs="宋体"/>
          <w:color w:val="FF0000"/>
          <w:sz w:val="21"/>
          <w:szCs w:val="21"/>
        </w:rPr>
        <w:t>3</w:t>
      </w:r>
      <w:r>
        <w:rPr>
          <w:rFonts w:hint="eastAsia" w:ascii="宋体" w:hAnsi="宋体" w:eastAsia="宋体" w:cs="宋体"/>
          <w:color w:val="FF0000"/>
          <w:sz w:val="21"/>
          <w:szCs w:val="21"/>
          <w:lang w:val="en-US" w:eastAsia="zh-CN"/>
        </w:rPr>
        <w:t>16L</w:t>
      </w:r>
      <w:r>
        <w:rPr>
          <w:rFonts w:hint="eastAsia" w:ascii="宋体" w:hAnsi="宋体" w:eastAsia="宋体" w:cs="宋体"/>
          <w:sz w:val="21"/>
          <w:szCs w:val="21"/>
        </w:rPr>
        <w:t>制造，连接</w:t>
      </w:r>
      <w:r>
        <w:rPr>
          <w:rFonts w:hint="eastAsia" w:ascii="宋体" w:hAnsi="宋体" w:eastAsia="宋体" w:cs="宋体"/>
          <w:color w:val="auto"/>
          <w:sz w:val="21"/>
          <w:szCs w:val="21"/>
        </w:rPr>
        <w:t>管道与阀件采用不锈钢</w:t>
      </w:r>
      <w:r>
        <w:rPr>
          <w:rFonts w:hint="eastAsia" w:ascii="宋体" w:hAnsi="宋体" w:eastAsia="宋体" w:cs="宋体"/>
          <w:color w:val="FF0000"/>
          <w:sz w:val="21"/>
          <w:szCs w:val="21"/>
        </w:rPr>
        <w:t>SUS3</w:t>
      </w:r>
      <w:r>
        <w:rPr>
          <w:rFonts w:hint="eastAsia" w:ascii="宋体" w:hAnsi="宋体" w:eastAsia="宋体" w:cs="宋体"/>
          <w:color w:val="FF0000"/>
          <w:sz w:val="21"/>
          <w:szCs w:val="21"/>
          <w:lang w:val="en-US" w:eastAsia="zh-CN"/>
        </w:rPr>
        <w:t>16L</w:t>
      </w:r>
      <w:r>
        <w:rPr>
          <w:rFonts w:hint="eastAsia" w:ascii="宋体" w:hAnsi="宋体" w:eastAsia="宋体" w:cs="宋体"/>
          <w:color w:val="auto"/>
          <w:sz w:val="21"/>
          <w:szCs w:val="21"/>
        </w:rPr>
        <w:t>，</w:t>
      </w:r>
      <w:r>
        <w:rPr>
          <w:rFonts w:hint="eastAsia" w:ascii="宋体" w:hAnsi="宋体" w:eastAsia="宋体" w:cs="宋体"/>
          <w:color w:val="auto"/>
          <w:sz w:val="21"/>
          <w:szCs w:val="21"/>
          <w:lang w:eastAsia="zh-CN"/>
        </w:rPr>
        <w:t>其中</w:t>
      </w:r>
      <w:r>
        <w:rPr>
          <w:rFonts w:hint="eastAsia" w:ascii="宋体" w:hAnsi="宋体" w:cs="宋体"/>
          <w:color w:val="auto"/>
          <w:sz w:val="21"/>
          <w:szCs w:val="21"/>
          <w:lang w:val="en-US" w:eastAsia="zh-CN"/>
        </w:rPr>
        <w:t>煮水罐</w:t>
      </w:r>
      <w:r>
        <w:rPr>
          <w:rFonts w:hint="eastAsia" w:ascii="宋体" w:hAnsi="宋体" w:eastAsia="宋体" w:cs="宋体"/>
          <w:color w:val="auto"/>
          <w:sz w:val="21"/>
          <w:szCs w:val="21"/>
          <w:lang w:eastAsia="zh-CN"/>
        </w:rPr>
        <w:t>、</w:t>
      </w:r>
      <w:r>
        <w:rPr>
          <w:rFonts w:hint="eastAsia" w:ascii="宋体" w:hAnsi="宋体" w:cs="宋体"/>
          <w:color w:val="auto"/>
          <w:sz w:val="21"/>
          <w:szCs w:val="21"/>
          <w:lang w:val="en-US" w:eastAsia="zh-CN"/>
        </w:rPr>
        <w:t>高速溶解调配罐</w:t>
      </w:r>
      <w:r>
        <w:rPr>
          <w:rFonts w:hint="eastAsia" w:ascii="宋体" w:hAnsi="宋体" w:eastAsia="宋体" w:cs="宋体"/>
          <w:color w:val="auto"/>
          <w:sz w:val="21"/>
          <w:szCs w:val="21"/>
          <w:lang w:eastAsia="zh-CN"/>
        </w:rPr>
        <w:t>、</w:t>
      </w:r>
      <w:r>
        <w:rPr>
          <w:rFonts w:hint="eastAsia" w:ascii="宋体" w:hAnsi="宋体" w:cs="宋体"/>
          <w:color w:val="auto"/>
          <w:sz w:val="21"/>
          <w:szCs w:val="21"/>
          <w:lang w:val="en-US" w:eastAsia="zh-CN"/>
        </w:rPr>
        <w:t>计量调配罐、超高温瞬时灭菌机中灭菌管</w:t>
      </w:r>
      <w:r>
        <w:rPr>
          <w:rFonts w:hint="eastAsia" w:ascii="宋体" w:hAnsi="宋体" w:eastAsia="宋体" w:cs="宋体"/>
          <w:color w:val="auto"/>
          <w:sz w:val="21"/>
          <w:szCs w:val="21"/>
          <w:lang w:val="en-US" w:eastAsia="zh-CN"/>
        </w:rPr>
        <w:t>及连接管道材质采用</w:t>
      </w:r>
      <w:r>
        <w:rPr>
          <w:rFonts w:hint="eastAsia" w:ascii="宋体" w:hAnsi="宋体" w:eastAsia="宋体" w:cs="宋体"/>
          <w:color w:val="FF0000"/>
          <w:sz w:val="21"/>
          <w:szCs w:val="21"/>
          <w:lang w:val="en-US" w:eastAsia="zh-CN"/>
        </w:rPr>
        <w:t>SUS2205</w:t>
      </w:r>
      <w:r>
        <w:rPr>
          <w:rFonts w:hint="eastAsia" w:ascii="宋体" w:hAnsi="宋体" w:eastAsia="宋体" w:cs="宋体"/>
          <w:color w:val="auto"/>
          <w:sz w:val="21"/>
          <w:szCs w:val="21"/>
          <w:lang w:val="en-US" w:eastAsia="zh-CN"/>
        </w:rPr>
        <w:t>制造（罐体内液体为盐水</w:t>
      </w:r>
      <w:r>
        <w:rPr>
          <w:rFonts w:hint="eastAsia" w:ascii="宋体" w:hAnsi="宋体" w:cs="宋体"/>
          <w:color w:val="auto"/>
          <w:sz w:val="21"/>
          <w:szCs w:val="21"/>
          <w:lang w:val="en-US" w:eastAsia="zh-CN"/>
        </w:rPr>
        <w:t>，盐水</w:t>
      </w:r>
      <w:r>
        <w:rPr>
          <w:rFonts w:hint="eastAsia" w:ascii="宋体" w:hAnsi="宋体" w:eastAsia="宋体" w:cs="宋体"/>
          <w:color w:val="auto"/>
          <w:sz w:val="21"/>
          <w:szCs w:val="21"/>
          <w:lang w:val="en-US" w:eastAsia="zh-CN"/>
        </w:rPr>
        <w:t>含盐量18%，温度100℃</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，物料输送管道内壁应作镜面抛光处理</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浸提油罐、煮水罐、计量调配罐、CIP系统、储存罐（2个）、真空搅拌罐均应配置搅拌装置，确保搅拌均匀、无沉积死角</w:t>
      </w:r>
      <w:r>
        <w:rPr>
          <w:rFonts w:hint="eastAsia" w:ascii="宋体" w:hAnsi="宋体" w:cs="宋体"/>
          <w:color w:val="auto"/>
          <w:sz w:val="21"/>
          <w:szCs w:val="21"/>
          <w:lang w:val="en-US" w:eastAsia="zh-CN"/>
        </w:rPr>
        <w:t>（包括底部）</w:t>
      </w:r>
      <w:r>
        <w:rPr>
          <w:rFonts w:hint="eastAsia" w:ascii="宋体" w:hAnsi="宋体" w:eastAsia="宋体" w:cs="宋体"/>
          <w:color w:val="auto"/>
          <w:sz w:val="21"/>
          <w:szCs w:val="21"/>
          <w:lang w:val="en-US" w:eastAsia="zh-CN"/>
        </w:rPr>
        <w:t>，且便于在线清洗（CIP）。</w:t>
      </w:r>
    </w:p>
    <w:p w14:paraId="5495F71A">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其中高速溶解调配罐专项要求：该罐体搅拌</w:t>
      </w:r>
      <w:r>
        <w:rPr>
          <w:rFonts w:hint="eastAsia" w:ascii="宋体" w:hAnsi="宋体" w:cs="宋体"/>
          <w:color w:val="auto"/>
          <w:sz w:val="21"/>
          <w:szCs w:val="21"/>
          <w:lang w:val="en-US" w:eastAsia="zh-CN"/>
        </w:rPr>
        <w:t>目前</w:t>
      </w:r>
      <w:r>
        <w:rPr>
          <w:rFonts w:hint="eastAsia" w:ascii="宋体" w:hAnsi="宋体" w:eastAsia="宋体" w:cs="宋体"/>
          <w:color w:val="auto"/>
          <w:sz w:val="21"/>
          <w:szCs w:val="21"/>
          <w:lang w:val="en-US" w:eastAsia="zh-CN"/>
        </w:rPr>
        <w:t>采用常规的剪切分散片（桨叶式）。</w:t>
      </w:r>
      <w:r>
        <w:rPr>
          <w:rFonts w:hint="eastAsia" w:ascii="宋体" w:hAnsi="宋体" w:cs="宋体"/>
          <w:color w:val="auto"/>
          <w:sz w:val="21"/>
          <w:szCs w:val="21"/>
          <w:lang w:val="en-US" w:eastAsia="zh-CN"/>
        </w:rPr>
        <w:t>投标人可另选</w:t>
      </w:r>
      <w:r>
        <w:rPr>
          <w:rFonts w:hint="eastAsia" w:ascii="宋体" w:hAnsi="宋体" w:eastAsia="宋体" w:cs="宋体"/>
          <w:color w:val="auto"/>
          <w:sz w:val="21"/>
          <w:szCs w:val="21"/>
          <w:lang w:val="en-US" w:eastAsia="zh-CN"/>
        </w:rPr>
        <w:t>用目前效能领先的高剪切定转子乳化、多级超细剪切或高速射流技术，核心转子须采用精密多层齿形结构，以实现快速、精细的粉液混合与溶解。投标人需提供能证明其技术形式优于常规剪切分散片的详细对比资料及应用业绩。</w:t>
      </w:r>
    </w:p>
    <w:p w14:paraId="796F4083">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3、浸提油罐、煮水罐、高速溶解调配罐</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计量调配罐、CIP系统罐为蒸汽夹层加热，需</w:t>
      </w:r>
      <w:r>
        <w:rPr>
          <w:rFonts w:hint="eastAsia" w:ascii="宋体" w:hAnsi="宋体" w:eastAsia="宋体" w:cs="宋体"/>
          <w:color w:val="FF0000"/>
          <w:sz w:val="21"/>
          <w:szCs w:val="21"/>
          <w:lang w:val="en-US" w:eastAsia="zh-CN"/>
        </w:rPr>
        <w:t>隔热保温</w:t>
      </w:r>
      <w:r>
        <w:rPr>
          <w:rFonts w:hint="eastAsia" w:ascii="宋体" w:hAnsi="宋体" w:eastAsia="宋体" w:cs="宋体"/>
          <w:color w:val="auto"/>
          <w:sz w:val="21"/>
          <w:szCs w:val="21"/>
          <w:lang w:val="en-US" w:eastAsia="zh-CN"/>
        </w:rPr>
        <w:t>；断生炼油锅、过渡储油罐、过渡储水罐、储存罐、真空搅拌罐需</w:t>
      </w:r>
      <w:r>
        <w:rPr>
          <w:rFonts w:hint="eastAsia" w:ascii="宋体" w:hAnsi="宋体" w:eastAsia="宋体" w:cs="宋体"/>
          <w:color w:val="FF0000"/>
          <w:sz w:val="21"/>
          <w:szCs w:val="21"/>
          <w:lang w:val="en-US" w:eastAsia="zh-CN"/>
        </w:rPr>
        <w:t>隔热防烫</w:t>
      </w:r>
      <w:r>
        <w:rPr>
          <w:rFonts w:hint="eastAsia" w:ascii="宋体" w:hAnsi="宋体" w:eastAsia="宋体" w:cs="宋体"/>
          <w:color w:val="auto"/>
          <w:sz w:val="21"/>
          <w:szCs w:val="21"/>
          <w:lang w:val="en-US" w:eastAsia="zh-CN"/>
        </w:rPr>
        <w:t>。</w:t>
      </w:r>
    </w:p>
    <w:p w14:paraId="5779AEE1">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4、所有罐体、管道、阀门的材质厚度与罐体功能匹配。</w:t>
      </w:r>
    </w:p>
    <w:p w14:paraId="5B65EC4D">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ascii="Segoe UI" w:hAnsi="Segoe UI" w:eastAsia="Segoe UI" w:cs="Segoe UI"/>
          <w:i w:val="0"/>
          <w:iCs w:val="0"/>
          <w:caps w:val="0"/>
          <w:color w:val="auto"/>
          <w:spacing w:val="0"/>
          <w:sz w:val="21"/>
          <w:szCs w:val="21"/>
          <w:shd w:val="clear" w:color="auto" w:fill="FFFFFF"/>
        </w:rPr>
      </w:pPr>
      <w:r>
        <w:rPr>
          <w:rFonts w:hint="eastAsia" w:ascii="宋体" w:hAnsi="宋体" w:cs="宋体"/>
          <w:color w:val="auto"/>
          <w:sz w:val="21"/>
          <w:szCs w:val="21"/>
          <w:lang w:val="en-US" w:eastAsia="zh-CN"/>
        </w:rPr>
        <w:t>5、</w:t>
      </w:r>
      <w:r>
        <w:rPr>
          <w:rFonts w:hint="eastAsia" w:ascii="宋体" w:hAnsi="宋体" w:eastAsia="宋体" w:cs="宋体"/>
          <w:color w:val="auto"/>
          <w:sz w:val="21"/>
          <w:szCs w:val="21"/>
          <w:lang w:val="en-US" w:eastAsia="zh-CN"/>
        </w:rPr>
        <w:t>配料、计量、投料各环节须采取有效的防尘措施，确保粉体物料不向外逸散。</w:t>
      </w:r>
    </w:p>
    <w:p w14:paraId="42443731">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6</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投标人所供设备应功能完整、技术成熟可靠，在正常工况下能安全持续运行，不得存在异常应力、振动、磨损、腐蚀或早期老化等问题。整线设备的焊接要求：焊点牢固，焊缝平整光滑；外表面焊缝经打磨抛光后，焊疤应与母材外观一致；管道内部焊缝须打磨至光滑，满足工艺卫生要求。</w:t>
      </w:r>
    </w:p>
    <w:p w14:paraId="6CA3DC89">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rPr>
      </w:pPr>
      <w:r>
        <w:rPr>
          <w:rFonts w:hint="eastAsia" w:ascii="宋体" w:hAnsi="宋体" w:cs="宋体"/>
          <w:color w:val="auto"/>
          <w:sz w:val="21"/>
          <w:szCs w:val="21"/>
          <w:lang w:val="en-US" w:eastAsia="zh-CN"/>
        </w:rPr>
        <w:t>7</w:t>
      </w:r>
      <w:r>
        <w:rPr>
          <w:rFonts w:hint="eastAsia" w:ascii="宋体" w:hAnsi="宋体" w:eastAsia="宋体" w:cs="宋体"/>
          <w:color w:val="auto"/>
          <w:sz w:val="21"/>
          <w:szCs w:val="21"/>
        </w:rPr>
        <w:t>、整线电机配防护等级不低于IP55的防腐防潮防护罩；所有轴承及密封件须耐受车间内潜在的酸（如浓度</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盐酸</w:t>
      </w:r>
      <w:r>
        <w:rPr>
          <w:rFonts w:hint="eastAsia" w:ascii="宋体" w:hAnsi="宋体" w:eastAsia="宋体" w:cs="宋体"/>
          <w:color w:val="auto"/>
          <w:sz w:val="21"/>
          <w:szCs w:val="21"/>
        </w:rPr>
        <w:t>）、碱（如5%氢氧化钠）、</w:t>
      </w:r>
      <w:r>
        <w:rPr>
          <w:rFonts w:hint="eastAsia" w:ascii="宋体" w:hAnsi="宋体" w:eastAsia="宋体" w:cs="宋体"/>
          <w:color w:val="auto"/>
          <w:sz w:val="21"/>
          <w:szCs w:val="21"/>
          <w:lang w:val="en-US" w:eastAsia="zh-CN"/>
        </w:rPr>
        <w:t>榨菜腌制液</w:t>
      </w:r>
      <w:r>
        <w:rPr>
          <w:rFonts w:hint="eastAsia" w:ascii="宋体" w:hAnsi="宋体" w:eastAsia="宋体" w:cs="宋体"/>
          <w:color w:val="auto"/>
          <w:sz w:val="21"/>
          <w:szCs w:val="21"/>
        </w:rPr>
        <w:t>等介质腐蚀；润滑点外置且设可靠的防污染结构，方便注油与维护，杜绝润滑剂接触物料；单台设备操作简便、易于检修。</w:t>
      </w:r>
    </w:p>
    <w:p w14:paraId="634B63E1">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rPr>
      </w:pPr>
      <w:r>
        <w:rPr>
          <w:rFonts w:hint="eastAsia" w:ascii="宋体" w:hAnsi="宋体" w:cs="宋体"/>
          <w:color w:val="auto"/>
          <w:sz w:val="21"/>
          <w:szCs w:val="21"/>
          <w:lang w:val="en-US" w:eastAsia="zh-CN"/>
        </w:rPr>
        <w:t>8</w:t>
      </w:r>
      <w:r>
        <w:rPr>
          <w:rFonts w:hint="eastAsia" w:ascii="宋体" w:hAnsi="宋体" w:eastAsia="宋体" w:cs="宋体"/>
          <w:color w:val="auto"/>
          <w:sz w:val="21"/>
          <w:szCs w:val="21"/>
        </w:rPr>
        <w:t>、提供所有设备相应的机械结构图、原理图、说明书、操作规程及尺寸，并要求提供整条生产线详细的设备工艺管道图。</w:t>
      </w:r>
    </w:p>
    <w:p w14:paraId="2E585BCA">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9</w:t>
      </w:r>
      <w:r>
        <w:rPr>
          <w:rFonts w:hint="eastAsia" w:ascii="宋体" w:hAnsi="宋体" w:eastAsia="宋体" w:cs="宋体"/>
          <w:color w:val="auto"/>
          <w:sz w:val="21"/>
          <w:szCs w:val="21"/>
        </w:rPr>
        <w:t>、设备整体布局与结构应合理，充分考虑便于拆洗，推荐采用卡盘式快装等免工具拆卸连接形式。所有蒸汽、物料、电线、水及清洗管道及其阀件须铺设、安装、布置美观、排列整齐，并做清晰的介质名称与流向标识。</w:t>
      </w:r>
      <w:r>
        <w:rPr>
          <w:rFonts w:hint="eastAsia" w:ascii="宋体" w:hAnsi="宋体" w:eastAsia="宋体" w:cs="宋体"/>
          <w:color w:val="auto"/>
          <w:sz w:val="21"/>
          <w:szCs w:val="21"/>
          <w:lang w:val="en-US" w:eastAsia="zh-CN"/>
        </w:rPr>
        <w:t>其中桥架采用不锈钢304网架式。</w:t>
      </w:r>
    </w:p>
    <w:p w14:paraId="2527AA84">
      <w:pPr>
        <w:keepNext w:val="0"/>
        <w:keepLines w:val="0"/>
        <w:pageBreakBefore w:val="0"/>
        <w:widowControl w:val="0"/>
        <w:kinsoku/>
        <w:wordWrap/>
        <w:overflowPunct/>
        <w:topLinePunct w:val="0"/>
        <w:autoSpaceDE/>
        <w:autoSpaceDN/>
        <w:bidi w:val="0"/>
        <w:adjustRightInd/>
        <w:snapToGrid/>
        <w:spacing w:before="156" w:beforeLines="50" w:after="156" w:afterLines="50" w:line="360" w:lineRule="auto"/>
        <w:ind w:firstLine="210" w:firstLineChars="100"/>
        <w:textAlignment w:val="auto"/>
        <w:rPr>
          <w:rFonts w:hint="eastAsia" w:ascii="宋体" w:hAnsi="宋体" w:cs="宋体"/>
          <w:b/>
          <w:bCs/>
          <w:color w:val="auto"/>
          <w:sz w:val="21"/>
          <w:szCs w:val="21"/>
          <w:lang w:val="en-US" w:eastAsia="zh-CN"/>
        </w:rPr>
      </w:pP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、配套设计CIP自动清洗系统，能自动全面清洗</w:t>
      </w:r>
      <w:r>
        <w:rPr>
          <w:rFonts w:hint="eastAsia" w:ascii="宋体" w:hAnsi="宋体" w:cs="宋体"/>
          <w:color w:val="auto"/>
          <w:sz w:val="21"/>
          <w:szCs w:val="21"/>
          <w:lang w:val="en-US" w:eastAsia="zh-CN"/>
        </w:rPr>
        <w:t>所有罐体（含室外贮油罐）及炒锅、泡椒生产车间的调配罐</w:t>
      </w:r>
      <w:r>
        <w:rPr>
          <w:rFonts w:hint="eastAsia" w:ascii="宋体" w:hAnsi="宋体" w:eastAsia="宋体" w:cs="宋体"/>
          <w:color w:val="auto"/>
          <w:sz w:val="21"/>
          <w:szCs w:val="21"/>
        </w:rPr>
        <w:t>，要求清洗完毕后所有管道无清洗液残留，符合食品卫生要求。</w:t>
      </w:r>
      <w:r>
        <w:rPr>
          <w:rFonts w:hint="eastAsia" w:ascii="宋体" w:hAnsi="宋体" w:cs="宋体"/>
          <w:b/>
          <w:bCs/>
          <w:color w:val="auto"/>
          <w:sz w:val="21"/>
          <w:szCs w:val="21"/>
          <w:lang w:val="en-US" w:eastAsia="zh-CN"/>
        </w:rPr>
        <w:t>CIP对室外油罐、断生罐、泡椒调配罐三个部位的罐体清洗连接管道采用CIP分配盘或转换盘，保证误操作时CIP的清洗水进入不到罐体内。</w:t>
      </w:r>
    </w:p>
    <w:p w14:paraId="3DCB2C57">
      <w:pPr>
        <w:keepNext w:val="0"/>
        <w:keepLines w:val="0"/>
        <w:pageBreakBefore w:val="0"/>
        <w:widowControl w:val="0"/>
        <w:kinsoku/>
        <w:wordWrap/>
        <w:overflowPunct/>
        <w:topLinePunct w:val="0"/>
        <w:autoSpaceDE/>
        <w:autoSpaceDN/>
        <w:bidi w:val="0"/>
        <w:adjustRightInd/>
        <w:snapToGrid/>
        <w:spacing w:before="156" w:beforeLines="50" w:after="156" w:afterLines="50" w:line="360" w:lineRule="auto"/>
        <w:ind w:firstLine="211" w:firstLineChars="100"/>
        <w:textAlignment w:val="auto"/>
        <w:rPr>
          <w:rFonts w:hint="default" w:ascii="宋体" w:hAnsi="宋体" w:cs="宋体"/>
          <w:b/>
          <w:bCs/>
          <w:color w:val="auto"/>
          <w:sz w:val="21"/>
          <w:szCs w:val="21"/>
          <w:lang w:val="en-US" w:eastAsia="zh-CN"/>
        </w:rPr>
      </w:pPr>
      <w:r>
        <w:rPr>
          <w:rFonts w:hint="eastAsia" w:ascii="宋体" w:hAnsi="宋体" w:cs="宋体"/>
          <w:b/>
          <w:bCs/>
          <w:color w:val="auto"/>
          <w:sz w:val="21"/>
          <w:szCs w:val="21"/>
          <w:lang w:val="en-US" w:eastAsia="zh-CN"/>
        </w:rPr>
        <w:t>11、罐体要设计排汽管道，排汽管道设计时要防止管道内壁中的污垢回流入罐体，排汽管道直立部份有清洗装置，能清洗排汽管道内壁上污垢。</w:t>
      </w:r>
    </w:p>
    <w:p w14:paraId="46E8AB67">
      <w:pPr>
        <w:keepNext w:val="0"/>
        <w:keepLines w:val="0"/>
        <w:pageBreakBefore w:val="0"/>
        <w:widowControl w:val="0"/>
        <w:kinsoku/>
        <w:wordWrap/>
        <w:overflowPunct/>
        <w:topLinePunct w:val="0"/>
        <w:autoSpaceDE/>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主要关键设备（</w:t>
      </w:r>
      <w:r>
        <w:rPr>
          <w:rFonts w:hint="eastAsia" w:ascii="宋体" w:hAnsi="宋体" w:cs="宋体"/>
          <w:color w:val="auto"/>
          <w:sz w:val="21"/>
          <w:szCs w:val="21"/>
          <w:lang w:val="en-US" w:eastAsia="zh-CN"/>
        </w:rPr>
        <w:t>自动离心机</w:t>
      </w:r>
      <w:r>
        <w:rPr>
          <w:rFonts w:hint="eastAsia" w:ascii="宋体" w:hAnsi="宋体" w:eastAsia="宋体" w:cs="宋体"/>
          <w:color w:val="auto"/>
          <w:sz w:val="21"/>
          <w:szCs w:val="21"/>
        </w:rPr>
        <w:t>、</w:t>
      </w:r>
      <w:r>
        <w:rPr>
          <w:rFonts w:hint="eastAsia" w:ascii="宋体" w:hAnsi="宋体" w:cs="宋体"/>
          <w:color w:val="auto"/>
          <w:sz w:val="21"/>
          <w:szCs w:val="21"/>
          <w:lang w:val="en-US" w:eastAsia="zh-CN"/>
        </w:rPr>
        <w:t>超</w:t>
      </w:r>
      <w:r>
        <w:rPr>
          <w:rFonts w:hint="eastAsia" w:ascii="宋体" w:hAnsi="宋体" w:eastAsia="宋体" w:cs="宋体"/>
          <w:color w:val="auto"/>
          <w:sz w:val="21"/>
          <w:szCs w:val="21"/>
        </w:rPr>
        <w:t>高温瞬时灭菌机、高压均质机）应配备满足2年质保期以上的易损件备用品，易损件在设计和选材时要考虑尽可能延长其寿命，同时要便于今后设备维护时的拆卸、更换和修理。所有重型部件均应具有便于安装和维修的起吊或搬运条件。</w:t>
      </w:r>
    </w:p>
    <w:p w14:paraId="4DE895B4">
      <w:pPr>
        <w:keepNext w:val="0"/>
        <w:keepLines w:val="0"/>
        <w:pageBreakBefore w:val="0"/>
        <w:widowControl w:val="0"/>
        <w:kinsoku/>
        <w:wordWrap/>
        <w:overflowPunct/>
        <w:topLinePunct w:val="0"/>
        <w:autoSpaceDE/>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cs="宋体"/>
          <w:color w:val="auto"/>
          <w:sz w:val="21"/>
          <w:szCs w:val="21"/>
          <w:lang w:val="en-US" w:eastAsia="zh-CN"/>
        </w:rPr>
        <w:t>3</w:t>
      </w:r>
      <w:r>
        <w:rPr>
          <w:rFonts w:hint="eastAsia" w:ascii="宋体" w:hAnsi="宋体" w:eastAsia="宋体" w:cs="宋体"/>
          <w:color w:val="auto"/>
          <w:sz w:val="21"/>
          <w:szCs w:val="21"/>
        </w:rPr>
        <w:t>、整机零部件应优先选用符合国标/行标的通用标准件，确需专用件时应注明来源并提供备件图纸。同型号、同规格零件须能完全互换安装，严禁对标准件进行任何导致互换性降低的非标加工或改制。</w:t>
      </w:r>
    </w:p>
    <w:p w14:paraId="673893AE">
      <w:pPr>
        <w:pStyle w:val="4"/>
        <w:bidi w:val="0"/>
        <w:ind w:left="0" w:leftChars="0" w:firstLine="0" w:firstLineChars="0"/>
        <w:rPr>
          <w:rFonts w:hint="eastAsia"/>
        </w:rPr>
      </w:pPr>
      <w:r>
        <w:rPr>
          <w:rFonts w:hint="eastAsia"/>
          <w:lang w:val="en-US" w:eastAsia="zh-CN"/>
        </w:rPr>
        <w:t>七、</w:t>
      </w:r>
      <w:r>
        <w:rPr>
          <w:rFonts w:hint="eastAsia"/>
        </w:rPr>
        <w:t xml:space="preserve"> 附属设备具体技术要求</w:t>
      </w:r>
    </w:p>
    <w:p w14:paraId="387D35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（一）控制柜</w:t>
      </w:r>
    </w:p>
    <w:p w14:paraId="006F3012">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1、整套电气控制系统采用PLC控制，设计先进，运行可靠，所有电机变频可调。</w:t>
      </w:r>
    </w:p>
    <w:p w14:paraId="734C69A4">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color w:val="auto"/>
          <w:sz w:val="21"/>
          <w:szCs w:val="21"/>
        </w:rPr>
        <w:t>2、控制柜要有标牌，标明设备型号、电气容量等技术参数；主控制柜和辅</w:t>
      </w:r>
      <w:r>
        <w:rPr>
          <w:rFonts w:hint="eastAsia" w:ascii="宋体" w:hAnsi="宋体" w:eastAsia="宋体" w:cs="宋体"/>
          <w:sz w:val="21"/>
          <w:szCs w:val="21"/>
        </w:rPr>
        <w:t>助控制柜布局合理，要与生产线协调、匹配。</w:t>
      </w:r>
    </w:p>
    <w:p w14:paraId="35F272B8">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3、控制柜应装设照明灯和良好的通风换气系统。</w:t>
      </w:r>
    </w:p>
    <w:p w14:paraId="11870E90">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sz w:val="21"/>
          <w:szCs w:val="21"/>
        </w:rPr>
        <w:t>4、控制柜元件固定方式要</w:t>
      </w:r>
      <w:r>
        <w:rPr>
          <w:rFonts w:hint="eastAsia" w:ascii="宋体" w:hAnsi="宋体" w:eastAsia="宋体" w:cs="宋体"/>
          <w:color w:val="auto"/>
          <w:sz w:val="21"/>
          <w:szCs w:val="21"/>
        </w:rPr>
        <w:t>合理，便于拆装；不允许采用螺丝、螺母穿孔固定方式。</w:t>
      </w:r>
    </w:p>
    <w:p w14:paraId="1224F2F4">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5、控制柜采用不锈钢制作，根据控制柜的大小,厚度1.</w:t>
      </w:r>
      <w:r>
        <w:rPr>
          <w:rFonts w:hint="eastAsia" w:ascii="宋体" w:hAnsi="宋体" w:cs="宋体"/>
          <w:color w:val="auto"/>
          <w:sz w:val="21"/>
          <w:szCs w:val="21"/>
          <w:lang w:val="en-US" w:eastAsia="zh-CN"/>
        </w:rPr>
        <w:t>2</w:t>
      </w:r>
      <w:r>
        <w:rPr>
          <w:rFonts w:hint="eastAsia" w:ascii="宋体" w:hAnsi="宋体" w:cs="宋体"/>
          <w:color w:val="auto"/>
          <w:sz w:val="21"/>
          <w:szCs w:val="21"/>
          <w:lang w:eastAsia="zh-CN"/>
        </w:rPr>
        <w:t>—</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mm。</w:t>
      </w:r>
    </w:p>
    <w:p w14:paraId="030C83A6">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6、电箱体必须有可靠的接地，电箱结构及四周空间大小要便于维修。</w:t>
      </w:r>
    </w:p>
    <w:p w14:paraId="0BEA35B1">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7、对灰尘、水汽、油污比较大的环境，箱体要有良好的密封设施。</w:t>
      </w:r>
    </w:p>
    <w:p w14:paraId="6002CB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sz w:val="21"/>
          <w:szCs w:val="21"/>
        </w:rPr>
      </w:pPr>
      <w:r>
        <w:rPr>
          <w:rFonts w:hint="eastAsia" w:ascii="宋体" w:hAnsi="宋体" w:eastAsia="宋体" w:cs="宋体"/>
          <w:b/>
          <w:sz w:val="21"/>
          <w:szCs w:val="21"/>
        </w:rPr>
        <w:t>（二）外围布线及管路</w:t>
      </w:r>
    </w:p>
    <w:p w14:paraId="23824203">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1、分立总电箱和设备的连线采用线槽或金属管连接，不得直接使用电缆。</w:t>
      </w:r>
    </w:p>
    <w:p w14:paraId="2C249D9F">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2、强弱电走线要分开线槽走线，尽量避免交叉重叠。</w:t>
      </w:r>
    </w:p>
    <w:p w14:paraId="73074713">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3、所有分离箱体，包括接线盒、辅助设施设备等应有接地设施。</w:t>
      </w:r>
    </w:p>
    <w:p w14:paraId="58006B94">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4、所有蒸汽管、物料输送管道、线管、水管以及清洗管道及其阀件要求布局合理、美观，并标识清晰（含物料流向标识）。</w:t>
      </w:r>
    </w:p>
    <w:p w14:paraId="461779A9">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5、所有蒸汽管道需加包保温层，防止出现安全事故。</w:t>
      </w:r>
    </w:p>
    <w:p w14:paraId="5EF4DC21">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6、物料输送管道内壁应作镜面抛光处理，且输送物料无停滞、残留现象。</w:t>
      </w:r>
    </w:p>
    <w:p w14:paraId="7C3F1CD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sz w:val="21"/>
          <w:szCs w:val="21"/>
        </w:rPr>
      </w:pPr>
      <w:r>
        <w:rPr>
          <w:rFonts w:hint="eastAsia" w:ascii="宋体" w:hAnsi="宋体" w:eastAsia="宋体" w:cs="宋体"/>
          <w:b/>
          <w:sz w:val="21"/>
          <w:szCs w:val="21"/>
        </w:rPr>
        <w:t>（三）操作平台</w:t>
      </w:r>
    </w:p>
    <w:p w14:paraId="4E2E19C4">
      <w:pPr>
        <w:keepNext w:val="0"/>
        <w:keepLines w:val="0"/>
        <w:pageBreakBefore w:val="0"/>
        <w:widowControl w:val="0"/>
        <w:kinsoku/>
        <w:wordWrap/>
        <w:overflowPunct/>
        <w:topLinePunct w:val="0"/>
        <w:autoSpaceDN/>
        <w:bidi w:val="0"/>
        <w:adjustRightInd/>
        <w:snapToGrid/>
        <w:spacing w:line="360" w:lineRule="auto"/>
        <w:ind w:firstLine="630" w:firstLineChars="300"/>
        <w:textAlignment w:val="auto"/>
        <w:rPr>
          <w:rFonts w:hint="eastAsia" w:ascii="宋体" w:hAnsi="宋体" w:eastAsia="宋体" w:cs="宋体"/>
          <w:color w:val="auto"/>
          <w:sz w:val="21"/>
          <w:szCs w:val="21"/>
        </w:rPr>
      </w:pPr>
      <w:r>
        <w:rPr>
          <w:rFonts w:hint="eastAsia" w:ascii="宋体" w:hAnsi="宋体" w:eastAsia="宋体" w:cs="宋体"/>
          <w:sz w:val="21"/>
          <w:szCs w:val="21"/>
          <w:lang w:val="en-US" w:eastAsia="zh-CN"/>
        </w:rPr>
        <w:t>满足所有物料机械设备投料，人、物需要操作地方</w:t>
      </w:r>
      <w:r>
        <w:rPr>
          <w:rFonts w:hint="eastAsia" w:ascii="宋体" w:hAnsi="宋体" w:eastAsia="宋体" w:cs="宋体"/>
          <w:color w:val="auto"/>
          <w:sz w:val="21"/>
          <w:szCs w:val="21"/>
          <w:lang w:val="en-US" w:eastAsia="zh-CN"/>
        </w:rPr>
        <w:t>需安装操作平台。</w:t>
      </w:r>
    </w:p>
    <w:p w14:paraId="11D93EB3">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1、全部采用不锈钢SUS304板型材加工制作。</w:t>
      </w:r>
    </w:p>
    <w:p w14:paraId="258CBB2F">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2、要求结构坚固、耐用。</w:t>
      </w:r>
    </w:p>
    <w:p w14:paraId="1D2E6BDB">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3、阶梯和操作平台表面需作压花防滑处理，且需设计防护栏杆。</w:t>
      </w:r>
    </w:p>
    <w:p w14:paraId="7F91B0E4">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4、操作平台表面设置地漏并配套工程设计排水管道，方便清洁用水的收集和集中排出。</w:t>
      </w:r>
    </w:p>
    <w:p w14:paraId="41009CE9">
      <w:pPr>
        <w:pStyle w:val="4"/>
        <w:bidi w:val="0"/>
        <w:ind w:left="0" w:leftChars="0" w:firstLine="0" w:firstLineChars="0"/>
        <w:rPr>
          <w:rFonts w:hint="eastAsia"/>
          <w:lang w:val="en-US" w:eastAsia="zh-CN"/>
        </w:rPr>
      </w:pPr>
      <w:r>
        <w:rPr>
          <w:rFonts w:hint="eastAsia"/>
          <w:lang w:val="en-US" w:eastAsia="zh-CN"/>
        </w:rPr>
        <w:t>八、主要部件品牌要求</w:t>
      </w:r>
    </w:p>
    <w:p w14:paraId="2182A319">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宋体" w:hAnsi="宋体" w:eastAsia="宋体" w:cs="宋体"/>
          <w:caps w:val="0"/>
          <w:smallCaps w:val="0"/>
          <w:sz w:val="21"/>
          <w:szCs w:val="21"/>
          <w:lang w:val="en-US" w:eastAsia="zh-CN"/>
        </w:rPr>
      </w:pPr>
      <w:r>
        <w:rPr>
          <w:rFonts w:hint="eastAsia" w:cs="Times New Roman"/>
          <w:lang w:val="en-US" w:eastAsia="zh-CN"/>
        </w:rPr>
        <w:t>卖方</w:t>
      </w:r>
      <w:r>
        <w:rPr>
          <w:rFonts w:hint="eastAsia" w:eastAsia="宋体" w:cs="Times New Roman"/>
          <w:lang w:val="en-US" w:eastAsia="zh-CN"/>
        </w:rPr>
        <w:t>本次项目所</w:t>
      </w:r>
      <w:r>
        <w:rPr>
          <w:rFonts w:hint="eastAsia" w:ascii="Times New Roman" w:hAnsi="Times New Roman" w:eastAsia="宋体" w:cs="Times New Roman"/>
          <w:lang w:val="en-US" w:eastAsia="zh-CN"/>
        </w:rPr>
        <w:t>选择的生产厂家或品牌应满足下列推荐品牌要求或选择</w:t>
      </w:r>
      <w:r>
        <w:rPr>
          <w:rFonts w:hint="eastAsia" w:ascii="Times New Roman" w:hAnsi="Times New Roman" w:eastAsia="宋体" w:cs="Times New Roman"/>
          <w:b/>
          <w:bCs/>
          <w:lang w:val="en-US" w:eastAsia="zh-CN"/>
        </w:rPr>
        <w:t>同等及以上档次</w:t>
      </w:r>
      <w:r>
        <w:rPr>
          <w:rFonts w:hint="eastAsia" w:ascii="Times New Roman" w:hAnsi="Times New Roman" w:eastAsia="宋体" w:cs="Times New Roman"/>
          <w:lang w:val="en-US" w:eastAsia="zh-CN"/>
        </w:rPr>
        <w:t>。</w:t>
      </w:r>
      <w:r>
        <w:rPr>
          <w:rFonts w:hint="eastAsia" w:cs="Times New Roman"/>
          <w:b/>
          <w:bCs/>
          <w:lang w:val="en-US" w:eastAsia="zh-CN"/>
        </w:rPr>
        <w:t>卖方</w:t>
      </w:r>
      <w:r>
        <w:rPr>
          <w:rFonts w:hint="eastAsia" w:ascii="Times New Roman" w:hAnsi="Times New Roman" w:eastAsia="宋体" w:cs="Times New Roman"/>
          <w:b/>
          <w:bCs/>
          <w:lang w:val="en-US" w:eastAsia="zh-CN"/>
        </w:rPr>
        <w:t>在投标文件中应明确品牌选择且需为唯一品牌</w:t>
      </w:r>
      <w:r>
        <w:rPr>
          <w:rFonts w:hint="eastAsia" w:ascii="Times New Roman" w:hAnsi="Times New Roman" w:eastAsia="宋体" w:cs="Times New Roman"/>
          <w:lang w:val="en-US" w:eastAsia="zh-CN"/>
        </w:rPr>
        <w:t>。若</w:t>
      </w:r>
      <w:r>
        <w:rPr>
          <w:rFonts w:hint="eastAsia" w:cs="Times New Roman"/>
          <w:lang w:val="en-US" w:eastAsia="zh-CN"/>
        </w:rPr>
        <w:t>卖方</w:t>
      </w:r>
      <w:r>
        <w:rPr>
          <w:rFonts w:hint="eastAsia" w:ascii="Times New Roman" w:hAnsi="Times New Roman" w:eastAsia="宋体" w:cs="Times New Roman"/>
          <w:lang w:val="en-US" w:eastAsia="zh-CN"/>
        </w:rPr>
        <w:t>未选用推荐品牌的，必须在技术部分中详细说明所填报品牌情况并提供有关技术参数</w:t>
      </w:r>
      <w:r>
        <w:rPr>
          <w:rFonts w:hint="eastAsia" w:eastAsia="宋体" w:cs="Times New Roman"/>
          <w:lang w:val="en-US" w:eastAsia="zh-CN"/>
        </w:rPr>
        <w:t>、性能、质量标准</w:t>
      </w:r>
      <w:r>
        <w:rPr>
          <w:rFonts w:hint="eastAsia" w:ascii="Times New Roman" w:hAnsi="Times New Roman" w:eastAsia="宋体" w:cs="Times New Roman"/>
          <w:lang w:val="en-US" w:eastAsia="zh-CN"/>
        </w:rPr>
        <w:t>对照资料，以证明该品牌属于所推荐品牌的同等及以上档次。</w:t>
      </w:r>
      <w:r>
        <w:rPr>
          <w:rFonts w:hint="eastAsia" w:eastAsia="宋体" w:cs="Times New Roman"/>
          <w:lang w:val="en-US" w:eastAsia="zh-CN"/>
        </w:rPr>
        <w:t>若中标人提供的其他品牌在</w:t>
      </w:r>
      <w:r>
        <w:rPr>
          <w:rFonts w:hint="eastAsia" w:ascii="Times New Roman" w:hAnsi="Times New Roman" w:eastAsia="宋体" w:cs="Times New Roman"/>
          <w:lang w:val="en-US" w:eastAsia="zh-CN"/>
        </w:rPr>
        <w:t>技术参数</w:t>
      </w:r>
      <w:r>
        <w:rPr>
          <w:rFonts w:hint="eastAsia" w:eastAsia="宋体" w:cs="Times New Roman"/>
          <w:lang w:val="en-US" w:eastAsia="zh-CN"/>
        </w:rPr>
        <w:t>、性能、质量标准等方面无法达到推荐品牌同等及以上标准，</w:t>
      </w:r>
      <w:r>
        <w:rPr>
          <w:rFonts w:hint="eastAsia" w:cs="Times New Roman"/>
          <w:lang w:val="en-US" w:eastAsia="zh-CN"/>
        </w:rPr>
        <w:t>买方</w:t>
      </w:r>
      <w:r>
        <w:rPr>
          <w:rFonts w:hint="eastAsia" w:eastAsia="宋体" w:cs="Times New Roman"/>
          <w:lang w:val="en-US" w:eastAsia="zh-CN"/>
        </w:rPr>
        <w:t>有权要求</w:t>
      </w:r>
      <w:r>
        <w:rPr>
          <w:rFonts w:hint="eastAsia" w:cs="Times New Roman"/>
          <w:lang w:val="en-US" w:eastAsia="zh-CN"/>
        </w:rPr>
        <w:t>卖方</w:t>
      </w:r>
      <w:r>
        <w:rPr>
          <w:rFonts w:hint="eastAsia" w:eastAsia="宋体" w:cs="Times New Roman"/>
          <w:lang w:val="en-US" w:eastAsia="zh-CN"/>
        </w:rPr>
        <w:t>提供推荐品牌用以满足采购要求</w:t>
      </w:r>
      <w:r>
        <w:rPr>
          <w:rFonts w:hint="eastAsia" w:ascii="Times New Roman" w:hAnsi="Times New Roman" w:eastAsia="宋体" w:cs="Times New Roman"/>
          <w:lang w:val="en-US" w:eastAsia="zh-CN"/>
        </w:rPr>
        <w:t>。</w:t>
      </w:r>
    </w:p>
    <w:tbl>
      <w:tblPr>
        <w:tblStyle w:val="46"/>
        <w:tblW w:w="4998" w:type="pct"/>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108"/>
        <w:gridCol w:w="3100"/>
        <w:gridCol w:w="4848"/>
      </w:tblGrid>
      <w:tr w14:paraId="0C2DC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shd w:val="clear" w:color="auto" w:fill="auto"/>
            <w:noWrap w:val="0"/>
            <w:tcMar>
              <w:top w:w="0" w:type="dxa"/>
              <w:left w:w="108" w:type="dxa"/>
              <w:bottom w:w="0" w:type="dxa"/>
              <w:right w:w="108" w:type="dxa"/>
            </w:tcMar>
            <w:vAlign w:val="center"/>
          </w:tcPr>
          <w:p w14:paraId="69F3D95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序号</w:t>
            </w:r>
          </w:p>
        </w:tc>
        <w:tc>
          <w:tcPr>
            <w:tcW w:w="1711" w:type="pct"/>
            <w:shd w:val="clear" w:color="auto" w:fill="auto"/>
            <w:noWrap w:val="0"/>
            <w:tcMar>
              <w:top w:w="0" w:type="dxa"/>
              <w:left w:w="108" w:type="dxa"/>
              <w:bottom w:w="0" w:type="dxa"/>
              <w:right w:w="108" w:type="dxa"/>
            </w:tcMar>
            <w:vAlign w:val="center"/>
          </w:tcPr>
          <w:p w14:paraId="7FFD1A3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名称</w:t>
            </w:r>
          </w:p>
        </w:tc>
        <w:tc>
          <w:tcPr>
            <w:tcW w:w="2676" w:type="pct"/>
            <w:shd w:val="clear" w:color="auto" w:fill="auto"/>
            <w:noWrap w:val="0"/>
            <w:tcMar>
              <w:top w:w="0" w:type="dxa"/>
              <w:left w:w="108" w:type="dxa"/>
              <w:bottom w:w="0" w:type="dxa"/>
              <w:right w:w="108" w:type="dxa"/>
            </w:tcMar>
            <w:vAlign w:val="center"/>
          </w:tcPr>
          <w:p w14:paraId="00800F1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推荐品牌</w:t>
            </w:r>
          </w:p>
        </w:tc>
      </w:tr>
      <w:tr w14:paraId="364EF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shd w:val="clear" w:color="auto" w:fill="auto"/>
            <w:noWrap w:val="0"/>
            <w:tcMar>
              <w:top w:w="0" w:type="dxa"/>
              <w:left w:w="108" w:type="dxa"/>
              <w:bottom w:w="0" w:type="dxa"/>
              <w:right w:w="108" w:type="dxa"/>
            </w:tcMar>
            <w:vAlign w:val="center"/>
          </w:tcPr>
          <w:p w14:paraId="59B20CB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1711" w:type="pct"/>
            <w:shd w:val="clear" w:color="auto" w:fill="auto"/>
            <w:noWrap w:val="0"/>
            <w:tcMar>
              <w:top w:w="0" w:type="dxa"/>
              <w:left w:w="108" w:type="dxa"/>
              <w:bottom w:w="0" w:type="dxa"/>
              <w:right w:w="108" w:type="dxa"/>
            </w:tcMar>
            <w:vAlign w:val="center"/>
          </w:tcPr>
          <w:p w14:paraId="0E677BF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流量计</w:t>
            </w:r>
          </w:p>
        </w:tc>
        <w:tc>
          <w:tcPr>
            <w:tcW w:w="2676" w:type="pct"/>
            <w:shd w:val="clear" w:color="auto" w:fill="auto"/>
            <w:noWrap w:val="0"/>
            <w:tcMar>
              <w:top w:w="0" w:type="dxa"/>
              <w:left w:w="108" w:type="dxa"/>
              <w:bottom w:w="0" w:type="dxa"/>
              <w:right w:w="108" w:type="dxa"/>
            </w:tcMar>
            <w:vAlign w:val="center"/>
          </w:tcPr>
          <w:p w14:paraId="59BB432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E+H、科隆、西门子、横河</w:t>
            </w:r>
          </w:p>
        </w:tc>
      </w:tr>
      <w:tr w14:paraId="37F0F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shd w:val="clear" w:color="auto" w:fill="auto"/>
            <w:noWrap w:val="0"/>
            <w:tcMar>
              <w:top w:w="0" w:type="dxa"/>
              <w:left w:w="108" w:type="dxa"/>
              <w:bottom w:w="0" w:type="dxa"/>
              <w:right w:w="108" w:type="dxa"/>
            </w:tcMar>
            <w:vAlign w:val="center"/>
          </w:tcPr>
          <w:p w14:paraId="6691DFB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1711" w:type="pct"/>
            <w:shd w:val="clear" w:color="auto" w:fill="auto"/>
            <w:noWrap w:val="0"/>
            <w:tcMar>
              <w:top w:w="0" w:type="dxa"/>
              <w:left w:w="108" w:type="dxa"/>
              <w:bottom w:w="0" w:type="dxa"/>
              <w:right w:w="108" w:type="dxa"/>
            </w:tcMar>
            <w:vAlign w:val="center"/>
          </w:tcPr>
          <w:p w14:paraId="0145C06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称重模块</w:t>
            </w:r>
          </w:p>
        </w:tc>
        <w:tc>
          <w:tcPr>
            <w:tcW w:w="2676" w:type="pct"/>
            <w:shd w:val="clear" w:color="auto" w:fill="auto"/>
            <w:noWrap w:val="0"/>
            <w:tcMar>
              <w:top w:w="0" w:type="dxa"/>
              <w:left w:w="108" w:type="dxa"/>
              <w:bottom w:w="0" w:type="dxa"/>
              <w:right w:w="108" w:type="dxa"/>
            </w:tcMar>
            <w:vAlign w:val="center"/>
          </w:tcPr>
          <w:p w14:paraId="7E32839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柯力、力诺、中航电测</w:t>
            </w:r>
          </w:p>
        </w:tc>
      </w:tr>
      <w:tr w14:paraId="41D07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5" w:hRule="atLeast"/>
          <w:jc w:val="right"/>
        </w:trPr>
        <w:tc>
          <w:tcPr>
            <w:tcW w:w="612" w:type="pct"/>
            <w:shd w:val="clear" w:color="auto" w:fill="auto"/>
            <w:noWrap w:val="0"/>
            <w:tcMar>
              <w:top w:w="0" w:type="dxa"/>
              <w:left w:w="108" w:type="dxa"/>
              <w:bottom w:w="0" w:type="dxa"/>
              <w:right w:w="108" w:type="dxa"/>
            </w:tcMar>
            <w:vAlign w:val="center"/>
          </w:tcPr>
          <w:p w14:paraId="3D58BF8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3</w:t>
            </w:r>
          </w:p>
        </w:tc>
        <w:tc>
          <w:tcPr>
            <w:tcW w:w="1711" w:type="pct"/>
            <w:shd w:val="clear" w:color="auto" w:fill="auto"/>
            <w:noWrap w:val="0"/>
            <w:tcMar>
              <w:top w:w="0" w:type="dxa"/>
              <w:left w:w="108" w:type="dxa"/>
              <w:bottom w:w="0" w:type="dxa"/>
              <w:right w:w="108" w:type="dxa"/>
            </w:tcMar>
            <w:vAlign w:val="center"/>
          </w:tcPr>
          <w:p w14:paraId="17B2866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阀门</w:t>
            </w:r>
          </w:p>
        </w:tc>
        <w:tc>
          <w:tcPr>
            <w:tcW w:w="2676" w:type="pct"/>
            <w:shd w:val="clear" w:color="auto" w:fill="auto"/>
            <w:noWrap w:val="0"/>
            <w:tcMar>
              <w:top w:w="0" w:type="dxa"/>
              <w:left w:w="108" w:type="dxa"/>
              <w:bottom w:w="0" w:type="dxa"/>
              <w:right w:w="108" w:type="dxa"/>
            </w:tcMar>
            <w:vAlign w:val="center"/>
          </w:tcPr>
          <w:p w14:paraId="6E21029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远安、四方、潥阳</w:t>
            </w:r>
          </w:p>
        </w:tc>
      </w:tr>
      <w:tr w14:paraId="04357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5" w:hRule="atLeast"/>
          <w:jc w:val="right"/>
        </w:trPr>
        <w:tc>
          <w:tcPr>
            <w:tcW w:w="612" w:type="pct"/>
            <w:shd w:val="clear" w:color="auto" w:fill="auto"/>
            <w:noWrap w:val="0"/>
            <w:tcMar>
              <w:top w:w="0" w:type="dxa"/>
              <w:left w:w="108" w:type="dxa"/>
              <w:bottom w:w="0" w:type="dxa"/>
              <w:right w:w="108" w:type="dxa"/>
            </w:tcMar>
            <w:vAlign w:val="center"/>
          </w:tcPr>
          <w:p w14:paraId="79EB829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4</w:t>
            </w:r>
          </w:p>
        </w:tc>
        <w:tc>
          <w:tcPr>
            <w:tcW w:w="1711" w:type="pct"/>
            <w:shd w:val="clear" w:color="auto" w:fill="auto"/>
            <w:noWrap w:val="0"/>
            <w:tcMar>
              <w:top w:w="0" w:type="dxa"/>
              <w:left w:w="108" w:type="dxa"/>
              <w:bottom w:w="0" w:type="dxa"/>
              <w:right w:w="108" w:type="dxa"/>
            </w:tcMar>
            <w:vAlign w:val="center"/>
          </w:tcPr>
          <w:p w14:paraId="2C5B959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蒸汽阀门</w:t>
            </w:r>
          </w:p>
        </w:tc>
        <w:tc>
          <w:tcPr>
            <w:tcW w:w="2676" w:type="pct"/>
            <w:shd w:val="clear" w:color="auto" w:fill="auto"/>
            <w:noWrap w:val="0"/>
            <w:tcMar>
              <w:top w:w="0" w:type="dxa"/>
              <w:left w:w="108" w:type="dxa"/>
              <w:bottom w:w="0" w:type="dxa"/>
              <w:right w:w="108" w:type="dxa"/>
            </w:tcMar>
            <w:vAlign w:val="center"/>
          </w:tcPr>
          <w:p w14:paraId="40D7FEA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德控、ESG、斯派莎克</w:t>
            </w:r>
          </w:p>
        </w:tc>
      </w:tr>
      <w:tr w14:paraId="27A46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shd w:val="clear" w:color="auto" w:fill="auto"/>
            <w:noWrap w:val="0"/>
            <w:tcMar>
              <w:top w:w="0" w:type="dxa"/>
              <w:left w:w="108" w:type="dxa"/>
              <w:bottom w:w="0" w:type="dxa"/>
              <w:right w:w="108" w:type="dxa"/>
            </w:tcMar>
            <w:vAlign w:val="center"/>
          </w:tcPr>
          <w:p w14:paraId="57F03BAA">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5</w:t>
            </w:r>
          </w:p>
        </w:tc>
        <w:tc>
          <w:tcPr>
            <w:tcW w:w="1711" w:type="pct"/>
            <w:shd w:val="clear" w:color="auto" w:fill="auto"/>
            <w:noWrap w:val="0"/>
            <w:tcMar>
              <w:top w:w="0" w:type="dxa"/>
              <w:left w:w="108" w:type="dxa"/>
              <w:bottom w:w="0" w:type="dxa"/>
              <w:right w:w="108" w:type="dxa"/>
            </w:tcMar>
            <w:vAlign w:val="center"/>
          </w:tcPr>
          <w:p w14:paraId="063C683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cs="宋体"/>
                <w:i w:val="0"/>
                <w:iCs w:val="0"/>
                <w:color w:val="000000" w:themeColor="text1"/>
                <w:kern w:val="0"/>
                <w:sz w:val="18"/>
                <w:szCs w:val="18"/>
                <w:u w:val="none"/>
                <w:lang w:val="en-US" w:eastAsia="zh-CN" w:bidi="ar"/>
                <w14:textFill>
                  <w14:solidFill>
                    <w14:schemeClr w14:val="tx1"/>
                  </w14:solidFill>
                </w14:textFill>
              </w:rPr>
              <w:t>PLC</w:t>
            </w:r>
          </w:p>
        </w:tc>
        <w:tc>
          <w:tcPr>
            <w:tcW w:w="2676" w:type="pct"/>
            <w:shd w:val="clear" w:color="auto" w:fill="auto"/>
            <w:noWrap w:val="0"/>
            <w:tcMar>
              <w:top w:w="0" w:type="dxa"/>
              <w:left w:w="108" w:type="dxa"/>
              <w:bottom w:w="0" w:type="dxa"/>
              <w:right w:w="108" w:type="dxa"/>
            </w:tcMar>
            <w:vAlign w:val="center"/>
          </w:tcPr>
          <w:p w14:paraId="71498DB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西门子、罗克韦尔、欧姆龙、三菱</w:t>
            </w:r>
          </w:p>
        </w:tc>
      </w:tr>
      <w:tr w14:paraId="1A7E9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1" w:hRule="atLeast"/>
          <w:jc w:val="right"/>
        </w:trPr>
        <w:tc>
          <w:tcPr>
            <w:tcW w:w="612" w:type="pct"/>
            <w:shd w:val="clear" w:color="auto" w:fill="auto"/>
            <w:noWrap w:val="0"/>
            <w:tcMar>
              <w:top w:w="0" w:type="dxa"/>
              <w:left w:w="108" w:type="dxa"/>
              <w:bottom w:w="0" w:type="dxa"/>
              <w:right w:w="108" w:type="dxa"/>
            </w:tcMar>
            <w:vAlign w:val="center"/>
          </w:tcPr>
          <w:p w14:paraId="40F3DB7C">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6</w:t>
            </w:r>
          </w:p>
        </w:tc>
        <w:tc>
          <w:tcPr>
            <w:tcW w:w="1711" w:type="pct"/>
            <w:shd w:val="clear" w:color="auto" w:fill="auto"/>
            <w:noWrap w:val="0"/>
            <w:tcMar>
              <w:top w:w="0" w:type="dxa"/>
              <w:left w:w="108" w:type="dxa"/>
              <w:bottom w:w="0" w:type="dxa"/>
              <w:right w:w="108" w:type="dxa"/>
            </w:tcMar>
            <w:vAlign w:val="center"/>
          </w:tcPr>
          <w:p w14:paraId="5B650B1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人机界面触摸屏</w:t>
            </w:r>
          </w:p>
        </w:tc>
        <w:tc>
          <w:tcPr>
            <w:tcW w:w="2676" w:type="pct"/>
            <w:shd w:val="clear" w:color="auto" w:fill="auto"/>
            <w:noWrap w:val="0"/>
            <w:tcMar>
              <w:top w:w="0" w:type="dxa"/>
              <w:left w:w="108" w:type="dxa"/>
              <w:bottom w:w="0" w:type="dxa"/>
              <w:right w:w="108" w:type="dxa"/>
            </w:tcMar>
            <w:vAlign w:val="center"/>
          </w:tcPr>
          <w:p w14:paraId="0415547B">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西门子、罗克韦尔、欧姆龙、三菱</w:t>
            </w:r>
          </w:p>
        </w:tc>
      </w:tr>
      <w:tr w14:paraId="41110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noWrap w:val="0"/>
            <w:tcMar>
              <w:top w:w="0" w:type="dxa"/>
              <w:left w:w="108" w:type="dxa"/>
              <w:bottom w:w="0" w:type="dxa"/>
              <w:right w:w="108" w:type="dxa"/>
            </w:tcMar>
            <w:vAlign w:val="center"/>
          </w:tcPr>
          <w:p w14:paraId="73632734">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7</w:t>
            </w:r>
          </w:p>
        </w:tc>
        <w:tc>
          <w:tcPr>
            <w:tcW w:w="1711" w:type="pct"/>
            <w:noWrap w:val="0"/>
            <w:tcMar>
              <w:top w:w="0" w:type="dxa"/>
              <w:left w:w="108" w:type="dxa"/>
              <w:bottom w:w="0" w:type="dxa"/>
              <w:right w:w="108" w:type="dxa"/>
            </w:tcMar>
            <w:vAlign w:val="center"/>
          </w:tcPr>
          <w:p w14:paraId="2EEF0B1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伺服电机及控制器</w:t>
            </w:r>
          </w:p>
        </w:tc>
        <w:tc>
          <w:tcPr>
            <w:tcW w:w="2676" w:type="pct"/>
            <w:noWrap w:val="0"/>
            <w:tcMar>
              <w:top w:w="0" w:type="dxa"/>
              <w:left w:w="108" w:type="dxa"/>
              <w:bottom w:w="0" w:type="dxa"/>
              <w:right w:w="108" w:type="dxa"/>
            </w:tcMar>
            <w:vAlign w:val="center"/>
          </w:tcPr>
          <w:p w14:paraId="218D968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西门子、三菱、倍福</w:t>
            </w:r>
          </w:p>
        </w:tc>
      </w:tr>
      <w:tr w14:paraId="20636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noWrap w:val="0"/>
            <w:tcMar>
              <w:top w:w="0" w:type="dxa"/>
              <w:left w:w="108" w:type="dxa"/>
              <w:bottom w:w="0" w:type="dxa"/>
              <w:right w:w="108" w:type="dxa"/>
            </w:tcMar>
            <w:vAlign w:val="center"/>
          </w:tcPr>
          <w:p w14:paraId="660120AF">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8</w:t>
            </w:r>
          </w:p>
        </w:tc>
        <w:tc>
          <w:tcPr>
            <w:tcW w:w="1711" w:type="pct"/>
            <w:noWrap w:val="0"/>
            <w:tcMar>
              <w:top w:w="0" w:type="dxa"/>
              <w:left w:w="108" w:type="dxa"/>
              <w:bottom w:w="0" w:type="dxa"/>
              <w:right w:w="108" w:type="dxa"/>
            </w:tcMar>
            <w:vAlign w:val="center"/>
          </w:tcPr>
          <w:p w14:paraId="5D869C8B">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变频器</w:t>
            </w:r>
          </w:p>
        </w:tc>
        <w:tc>
          <w:tcPr>
            <w:tcW w:w="2676" w:type="pct"/>
            <w:noWrap w:val="0"/>
            <w:tcMar>
              <w:top w:w="0" w:type="dxa"/>
              <w:left w:w="108" w:type="dxa"/>
              <w:bottom w:w="0" w:type="dxa"/>
              <w:right w:w="108" w:type="dxa"/>
            </w:tcMar>
            <w:vAlign w:val="center"/>
          </w:tcPr>
          <w:p w14:paraId="472A205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西门子、ABB、丹佛斯、三菱</w:t>
            </w:r>
          </w:p>
        </w:tc>
      </w:tr>
      <w:tr w14:paraId="2F5E6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noWrap w:val="0"/>
            <w:tcMar>
              <w:top w:w="0" w:type="dxa"/>
              <w:left w:w="108" w:type="dxa"/>
              <w:bottom w:w="0" w:type="dxa"/>
              <w:right w:w="108" w:type="dxa"/>
            </w:tcMar>
            <w:vAlign w:val="center"/>
          </w:tcPr>
          <w:p w14:paraId="78AD51F4">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9</w:t>
            </w:r>
          </w:p>
        </w:tc>
        <w:tc>
          <w:tcPr>
            <w:tcW w:w="1711" w:type="pct"/>
            <w:noWrap w:val="0"/>
            <w:tcMar>
              <w:top w:w="0" w:type="dxa"/>
              <w:left w:w="108" w:type="dxa"/>
              <w:bottom w:w="0" w:type="dxa"/>
              <w:right w:w="108" w:type="dxa"/>
            </w:tcMar>
            <w:vAlign w:val="center"/>
          </w:tcPr>
          <w:p w14:paraId="56591298">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轴承</w:t>
            </w:r>
          </w:p>
        </w:tc>
        <w:tc>
          <w:tcPr>
            <w:tcW w:w="2676" w:type="pct"/>
            <w:noWrap w:val="0"/>
            <w:tcMar>
              <w:top w:w="0" w:type="dxa"/>
              <w:left w:w="108" w:type="dxa"/>
              <w:bottom w:w="0" w:type="dxa"/>
              <w:right w:w="108" w:type="dxa"/>
            </w:tcMar>
            <w:vAlign w:val="center"/>
          </w:tcPr>
          <w:p w14:paraId="61975D6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sz w:val="18"/>
                <w:szCs w:val="18"/>
                <w:lang w:val="en-US" w:eastAsia="zh-CN" w:bidi="ar"/>
              </w:rPr>
              <w:t>SKF、FAG、NSK、THK</w:t>
            </w:r>
          </w:p>
        </w:tc>
      </w:tr>
      <w:tr w14:paraId="62516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noWrap w:val="0"/>
            <w:tcMar>
              <w:top w:w="0" w:type="dxa"/>
              <w:left w:w="108" w:type="dxa"/>
              <w:bottom w:w="0" w:type="dxa"/>
              <w:right w:w="108" w:type="dxa"/>
            </w:tcMar>
            <w:vAlign w:val="center"/>
          </w:tcPr>
          <w:p w14:paraId="0E7DFB56">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10</w:t>
            </w:r>
          </w:p>
        </w:tc>
        <w:tc>
          <w:tcPr>
            <w:tcW w:w="1711" w:type="pct"/>
            <w:noWrap w:val="0"/>
            <w:tcMar>
              <w:top w:w="0" w:type="dxa"/>
              <w:left w:w="108" w:type="dxa"/>
              <w:bottom w:w="0" w:type="dxa"/>
              <w:right w:w="108" w:type="dxa"/>
            </w:tcMar>
            <w:vAlign w:val="center"/>
          </w:tcPr>
          <w:p w14:paraId="279E4C1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低压元器件</w:t>
            </w:r>
          </w:p>
        </w:tc>
        <w:tc>
          <w:tcPr>
            <w:tcW w:w="2676" w:type="pct"/>
            <w:noWrap w:val="0"/>
            <w:tcMar>
              <w:top w:w="0" w:type="dxa"/>
              <w:left w:w="108" w:type="dxa"/>
              <w:bottom w:w="0" w:type="dxa"/>
              <w:right w:w="108" w:type="dxa"/>
            </w:tcMar>
            <w:vAlign w:val="center"/>
          </w:tcPr>
          <w:p w14:paraId="18D6778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西门子、施耐德、ABB</w:t>
            </w:r>
          </w:p>
        </w:tc>
      </w:tr>
      <w:tr w14:paraId="15ABD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noWrap w:val="0"/>
            <w:tcMar>
              <w:top w:w="0" w:type="dxa"/>
              <w:left w:w="108" w:type="dxa"/>
              <w:bottom w:w="0" w:type="dxa"/>
              <w:right w:w="108" w:type="dxa"/>
            </w:tcMar>
            <w:vAlign w:val="center"/>
          </w:tcPr>
          <w:p w14:paraId="1BF043C1">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11</w:t>
            </w:r>
          </w:p>
        </w:tc>
        <w:tc>
          <w:tcPr>
            <w:tcW w:w="1711" w:type="pct"/>
            <w:noWrap w:val="0"/>
            <w:tcMar>
              <w:top w:w="0" w:type="dxa"/>
              <w:left w:w="108" w:type="dxa"/>
              <w:bottom w:w="0" w:type="dxa"/>
              <w:right w:w="108" w:type="dxa"/>
            </w:tcMar>
            <w:vAlign w:val="center"/>
          </w:tcPr>
          <w:p w14:paraId="0082D3F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接触器、继电器</w:t>
            </w:r>
          </w:p>
        </w:tc>
        <w:tc>
          <w:tcPr>
            <w:tcW w:w="2676" w:type="pct"/>
            <w:noWrap w:val="0"/>
            <w:tcMar>
              <w:top w:w="0" w:type="dxa"/>
              <w:left w:w="108" w:type="dxa"/>
              <w:bottom w:w="0" w:type="dxa"/>
              <w:right w:w="108" w:type="dxa"/>
            </w:tcMar>
            <w:vAlign w:val="center"/>
          </w:tcPr>
          <w:p w14:paraId="0D73CED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西门子、施耐德、ABB、欧姆龙</w:t>
            </w:r>
          </w:p>
        </w:tc>
      </w:tr>
      <w:tr w14:paraId="05EB7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noWrap w:val="0"/>
            <w:tcMar>
              <w:top w:w="0" w:type="dxa"/>
              <w:left w:w="108" w:type="dxa"/>
              <w:bottom w:w="0" w:type="dxa"/>
              <w:right w:w="108" w:type="dxa"/>
            </w:tcMar>
            <w:vAlign w:val="center"/>
          </w:tcPr>
          <w:p w14:paraId="4FA453A9">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12</w:t>
            </w:r>
          </w:p>
        </w:tc>
        <w:tc>
          <w:tcPr>
            <w:tcW w:w="1711" w:type="pct"/>
            <w:noWrap w:val="0"/>
            <w:tcMar>
              <w:top w:w="0" w:type="dxa"/>
              <w:left w:w="108" w:type="dxa"/>
              <w:bottom w:w="0" w:type="dxa"/>
              <w:right w:w="108" w:type="dxa"/>
            </w:tcMar>
            <w:vAlign w:val="center"/>
          </w:tcPr>
          <w:p w14:paraId="7E0254A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接线端子</w:t>
            </w:r>
          </w:p>
        </w:tc>
        <w:tc>
          <w:tcPr>
            <w:tcW w:w="2676" w:type="pct"/>
            <w:noWrap w:val="0"/>
            <w:tcMar>
              <w:top w:w="0" w:type="dxa"/>
              <w:left w:w="108" w:type="dxa"/>
              <w:bottom w:w="0" w:type="dxa"/>
              <w:right w:w="108" w:type="dxa"/>
            </w:tcMar>
            <w:vAlign w:val="center"/>
          </w:tcPr>
          <w:p w14:paraId="0EC8869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菲尼克斯、魏德米勒、万可</w:t>
            </w:r>
          </w:p>
        </w:tc>
      </w:tr>
      <w:tr w14:paraId="39FD1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noWrap w:val="0"/>
            <w:vAlign w:val="top"/>
          </w:tcPr>
          <w:p w14:paraId="2E6A0966">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13</w:t>
            </w:r>
          </w:p>
        </w:tc>
        <w:tc>
          <w:tcPr>
            <w:tcW w:w="1711" w:type="pct"/>
            <w:noWrap w:val="0"/>
            <w:vAlign w:val="center"/>
          </w:tcPr>
          <w:p w14:paraId="303A1A9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检测传感器</w:t>
            </w:r>
          </w:p>
        </w:tc>
        <w:tc>
          <w:tcPr>
            <w:tcW w:w="2676" w:type="pct"/>
            <w:noWrap w:val="0"/>
            <w:vAlign w:val="center"/>
          </w:tcPr>
          <w:p w14:paraId="33BA9D1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 xml:space="preserve">西门子、SICK、LEUZE、欧姆龙 </w:t>
            </w:r>
          </w:p>
        </w:tc>
      </w:tr>
      <w:tr w14:paraId="1438E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noWrap w:val="0"/>
            <w:vAlign w:val="top"/>
          </w:tcPr>
          <w:p w14:paraId="04A325E2">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14</w:t>
            </w:r>
          </w:p>
        </w:tc>
        <w:tc>
          <w:tcPr>
            <w:tcW w:w="1711" w:type="pct"/>
            <w:noWrap w:val="0"/>
            <w:vAlign w:val="center"/>
          </w:tcPr>
          <w:p w14:paraId="39DC9D6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cs="宋体"/>
                <w:i w:val="0"/>
                <w:iCs w:val="0"/>
                <w:color w:val="000000" w:themeColor="text1"/>
                <w:kern w:val="0"/>
                <w:sz w:val="18"/>
                <w:szCs w:val="18"/>
                <w:u w:val="none"/>
                <w:lang w:val="en-US" w:eastAsia="zh-CN" w:bidi="ar"/>
                <w14:textFill>
                  <w14:solidFill>
                    <w14:schemeClr w14:val="tx1"/>
                  </w14:solidFill>
                </w14:textFill>
              </w:rPr>
              <w:t>电机、</w:t>
            </w: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减速机</w:t>
            </w:r>
          </w:p>
        </w:tc>
        <w:tc>
          <w:tcPr>
            <w:tcW w:w="2676" w:type="pct"/>
            <w:noWrap w:val="0"/>
            <w:vAlign w:val="center"/>
          </w:tcPr>
          <w:p w14:paraId="614FE3F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SEW、弗兰德、住友、伦茨、诺德</w:t>
            </w:r>
          </w:p>
        </w:tc>
      </w:tr>
      <w:tr w14:paraId="26065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5" w:hRule="atLeast"/>
          <w:jc w:val="right"/>
        </w:trPr>
        <w:tc>
          <w:tcPr>
            <w:tcW w:w="612" w:type="pct"/>
            <w:noWrap w:val="0"/>
            <w:vAlign w:val="top"/>
          </w:tcPr>
          <w:p w14:paraId="238D6047">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15</w:t>
            </w:r>
          </w:p>
        </w:tc>
        <w:tc>
          <w:tcPr>
            <w:tcW w:w="1711" w:type="pct"/>
            <w:noWrap w:val="0"/>
            <w:vAlign w:val="center"/>
          </w:tcPr>
          <w:p w14:paraId="11E4098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气动元件</w:t>
            </w:r>
          </w:p>
        </w:tc>
        <w:tc>
          <w:tcPr>
            <w:tcW w:w="2676" w:type="pct"/>
            <w:noWrap w:val="0"/>
            <w:vAlign w:val="center"/>
          </w:tcPr>
          <w:p w14:paraId="4362BA4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color w:val="000000" w:themeColor="text1"/>
                <w:kern w:val="0"/>
                <w:sz w:val="18"/>
                <w:szCs w:val="18"/>
                <w14:textFill>
                  <w14:solidFill>
                    <w14:schemeClr w14:val="tx1"/>
                  </w14:solidFill>
                </w14:textFill>
              </w:rPr>
              <w:t>Festo、ASCO、VERSA、SMC</w:t>
            </w:r>
          </w:p>
        </w:tc>
      </w:tr>
      <w:tr w14:paraId="1E647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noWrap w:val="0"/>
            <w:vAlign w:val="top"/>
          </w:tcPr>
          <w:p w14:paraId="112070B0">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16</w:t>
            </w:r>
          </w:p>
        </w:tc>
        <w:tc>
          <w:tcPr>
            <w:tcW w:w="1711" w:type="pct"/>
            <w:noWrap w:val="0"/>
            <w:vAlign w:val="center"/>
          </w:tcPr>
          <w:p w14:paraId="5073C708">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机器人</w:t>
            </w:r>
          </w:p>
        </w:tc>
        <w:tc>
          <w:tcPr>
            <w:tcW w:w="2676" w:type="pct"/>
            <w:noWrap w:val="0"/>
            <w:vAlign w:val="center"/>
          </w:tcPr>
          <w:p w14:paraId="5BFCF5FA">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color w:val="000000" w:themeColor="text1"/>
                <w:kern w:val="0"/>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ABB、KUKA、FANUC</w:t>
            </w:r>
          </w:p>
        </w:tc>
      </w:tr>
      <w:tr w14:paraId="756D2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noWrap w:val="0"/>
            <w:vAlign w:val="top"/>
          </w:tcPr>
          <w:p w14:paraId="185D468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FF"/>
                <w:sz w:val="18"/>
                <w:szCs w:val="18"/>
                <w:lang w:val="en-US" w:eastAsia="zh-CN"/>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17</w:t>
            </w:r>
          </w:p>
        </w:tc>
        <w:tc>
          <w:tcPr>
            <w:tcW w:w="1711" w:type="pct"/>
            <w:noWrap w:val="0"/>
            <w:vAlign w:val="center"/>
          </w:tcPr>
          <w:p w14:paraId="0336B3D0">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FF"/>
                <w:kern w:val="0"/>
                <w:sz w:val="18"/>
                <w:szCs w:val="18"/>
                <w:u w:val="none"/>
                <w:lang w:val="en-US" w:eastAsia="zh-CN" w:bidi="ar"/>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冷却塔</w:t>
            </w:r>
          </w:p>
        </w:tc>
        <w:tc>
          <w:tcPr>
            <w:tcW w:w="2676" w:type="pct"/>
            <w:noWrap w:val="0"/>
            <w:vAlign w:val="center"/>
          </w:tcPr>
          <w:p w14:paraId="36B9D14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FF"/>
                <w:kern w:val="0"/>
                <w:sz w:val="18"/>
                <w:szCs w:val="18"/>
                <w:u w:val="none"/>
                <w:lang w:val="en-US" w:eastAsia="zh-CN" w:bidi="ar"/>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良机、海鸥、览讯、宏明</w:t>
            </w:r>
          </w:p>
        </w:tc>
      </w:tr>
      <w:tr w14:paraId="48513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2" w:type="pct"/>
            <w:noWrap w:val="0"/>
            <w:vAlign w:val="top"/>
          </w:tcPr>
          <w:p w14:paraId="123778D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18</w:t>
            </w:r>
          </w:p>
        </w:tc>
        <w:tc>
          <w:tcPr>
            <w:tcW w:w="1711" w:type="pct"/>
            <w:noWrap w:val="0"/>
            <w:vAlign w:val="center"/>
          </w:tcPr>
          <w:p w14:paraId="1CF35E5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其它</w:t>
            </w:r>
          </w:p>
        </w:tc>
        <w:tc>
          <w:tcPr>
            <w:tcW w:w="2676" w:type="pct"/>
            <w:noWrap w:val="0"/>
            <w:vAlign w:val="center"/>
          </w:tcPr>
          <w:p w14:paraId="278D1B9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整体按国内一线品牌要求</w:t>
            </w:r>
          </w:p>
        </w:tc>
      </w:tr>
    </w:tbl>
    <w:p w14:paraId="3C28409D">
      <w:pPr>
        <w:rPr>
          <w:rFonts w:hint="eastAsia"/>
          <w:lang w:val="en-US" w:eastAsia="zh-CN"/>
        </w:rPr>
      </w:pPr>
      <w:r>
        <w:rPr>
          <w:rFonts w:hint="eastAsia"/>
          <w:lang w:val="en-US" w:eastAsia="zh-CN"/>
        </w:rPr>
        <w:t xml:space="preserve">  </w:t>
      </w:r>
    </w:p>
    <w:p w14:paraId="0996697C">
      <w:pPr>
        <w:pStyle w:val="2"/>
        <w:rPr>
          <w:rFonts w:hint="default"/>
          <w:lang w:val="en-US" w:eastAsia="zh-CN"/>
        </w:rPr>
      </w:pPr>
      <w:r>
        <w:rPr>
          <w:rFonts w:hint="eastAsia"/>
          <w:lang w:val="en-US" w:eastAsia="zh-CN"/>
        </w:rPr>
        <w:t>注：表中未注明设备或设备部件品牌（如油炒辣椒、乳化料、泡椒的计量和包装机等）均要求为国内一线大厂品牌，由投标人在标书中注明。</w:t>
      </w:r>
    </w:p>
    <w:p w14:paraId="552B0A08">
      <w:pPr>
        <w:pStyle w:val="2"/>
        <w:rPr>
          <w:rFonts w:hint="eastAsia"/>
          <w:lang w:val="en-US" w:eastAsia="zh-CN"/>
        </w:rPr>
      </w:pPr>
    </w:p>
    <w:p w14:paraId="44E19557">
      <w:pPr>
        <w:rPr>
          <w:rFonts w:hint="eastAsia"/>
          <w:lang w:val="en-US" w:eastAsia="zh-CN"/>
        </w:rPr>
      </w:pPr>
    </w:p>
    <w:p w14:paraId="7F52CF7B">
      <w:pPr>
        <w:pStyle w:val="2"/>
        <w:rPr>
          <w:rFonts w:hint="default"/>
          <w:lang w:val="en-US" w:eastAsia="zh-CN"/>
        </w:rPr>
      </w:pPr>
    </w:p>
    <w:p w14:paraId="4067DD6F">
      <w:pPr>
        <w:pStyle w:val="4"/>
        <w:bidi w:val="0"/>
        <w:ind w:left="0" w:leftChars="0" w:firstLine="0" w:firstLineChars="0"/>
        <w:rPr>
          <w:rFonts w:hint="eastAsia"/>
          <w:lang w:val="en-US" w:eastAsia="zh-CN"/>
        </w:rPr>
      </w:pPr>
      <w:r>
        <w:rPr>
          <w:rFonts w:hint="eastAsia"/>
          <w:lang w:val="en-US" w:eastAsia="zh-CN"/>
        </w:rPr>
        <w:t>九、信息化要求</w:t>
      </w:r>
    </w:p>
    <w:p w14:paraId="2E00A8E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总则：</w:t>
      </w:r>
      <w:r>
        <w:rPr>
          <w:rFonts w:hint="eastAsia" w:ascii="宋体" w:hAnsi="宋体" w:cs="宋体"/>
          <w:sz w:val="21"/>
          <w:szCs w:val="21"/>
          <w:lang w:val="en-US" w:eastAsia="zh-CN"/>
        </w:rPr>
        <w:t>乳化辅料生产线按自动化、智能化产线定位。本次招标除产线设备外，投标人还需建设产线的数据采集与监视控制系统，通过该系统可实现招标人对现场设备的统一监视和控制，且通过该系统可便于后期与招标人建设的MES系统对接，实现生产计划管理、生产执行管理、配方管理、物料管理、质量管理、设备运维和生产统计等功能。投标人负责</w:t>
      </w:r>
      <w:r>
        <w:rPr>
          <w:rFonts w:hint="eastAsia" w:ascii="宋体" w:hAnsi="宋体" w:eastAsia="宋体" w:cs="宋体"/>
          <w:sz w:val="21"/>
          <w:szCs w:val="21"/>
        </w:rPr>
        <w:t>把各种设备及</w:t>
      </w:r>
      <w:r>
        <w:rPr>
          <w:rFonts w:hint="eastAsia" w:ascii="宋体" w:hAnsi="宋体" w:cs="宋体"/>
          <w:sz w:val="21"/>
          <w:szCs w:val="21"/>
          <w:lang w:val="en-US" w:eastAsia="zh-CN"/>
        </w:rPr>
        <w:t>其监视控制</w:t>
      </w:r>
      <w:r>
        <w:rPr>
          <w:rFonts w:hint="eastAsia" w:ascii="宋体" w:hAnsi="宋体" w:eastAsia="宋体" w:cs="宋体"/>
          <w:sz w:val="21"/>
          <w:szCs w:val="21"/>
        </w:rPr>
        <w:t>系统无缝地集成成为一个协同工作的信息系统，实现设备的互联互通，建设统一的设备接入管控平台。</w:t>
      </w:r>
    </w:p>
    <w:p w14:paraId="6200F63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1、系统设计符合以下原则：</w:t>
      </w:r>
    </w:p>
    <w:p w14:paraId="430FCB1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整体性原则：系统规划应注重设计的系统性、整体性、全面性。</w:t>
      </w:r>
    </w:p>
    <w:p w14:paraId="254480A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集成性原则：集成后的系统是一个开放的系统。该系统不仅具有良好的可扩充性和灵活性，而且具有很强的兼容性，可移植性，可集成度高。</w:t>
      </w:r>
    </w:p>
    <w:p w14:paraId="4FE6DEB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可靠性原则：选用高可靠的产品与技术，充分考虑在系统程序异常时的支持能力和容错能力，确保整个系统的安全与可靠。</w:t>
      </w:r>
    </w:p>
    <w:p w14:paraId="3447335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实用性原则：本系统在设计过程中，在考虑系统的先进性的基础上，应充分考虑系统的实用性。</w:t>
      </w:r>
    </w:p>
    <w:p w14:paraId="08D0482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采集的数据主要包含设备状态、运行速度、质量关键指标、安全关键指标等，数据的固定周期采样和基于变化采样可灵活配置</w:t>
      </w:r>
      <w:r>
        <w:rPr>
          <w:rFonts w:hint="eastAsia" w:ascii="宋体" w:hAnsi="宋体" w:cs="宋体"/>
          <w:sz w:val="21"/>
          <w:szCs w:val="21"/>
          <w:lang w:eastAsia="zh-CN"/>
        </w:rPr>
        <w:t>。</w:t>
      </w:r>
    </w:p>
    <w:p w14:paraId="611E9AB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规范化和标准性原则：系统规划设计应采用和遵循国际标准化组织的工业标准，强化信息化规划的规范性，统一技术架构、信息资源标准、接口标准，规范核心业务流程。</w:t>
      </w:r>
    </w:p>
    <w:p w14:paraId="2596F3A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可扩展性原则：充分考虑每个功能模块的可扩展性，为将来系统功能的扩展留有接口， 在系统架构、服务器能力设计上也预留未来扩展的能力。</w:t>
      </w:r>
    </w:p>
    <w:p w14:paraId="61CDFAC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安全性原则：在信息安全方面为本系统提供全面、完整的安全保护、符合信息安全要求，实现本系统的安全平稳运行。</w:t>
      </w:r>
    </w:p>
    <w:p w14:paraId="2CAF861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经济性原则：在保证性能及方案先进性的同时，根据项目的规模特点，优化总体结构。 系统模块设计、系统集成、硬件配置和方案实施应既适用又经济，在能够实现数字化工厂/智能工厂的基础上，使整个信息系统的投资最小化。同时考虑和相关信息系统的集成,充分利用已有功能，避免多个系统的功能重复。</w:t>
      </w:r>
    </w:p>
    <w:p w14:paraId="62544E0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2、系统设计要点：</w:t>
      </w:r>
    </w:p>
    <w:p w14:paraId="49156DD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1）建设符合ISA-88标准的批次过程控制系统，具备图形化配方的功能，</w:t>
      </w:r>
      <w:r>
        <w:rPr>
          <w:rFonts w:hint="eastAsia" w:ascii="宋体" w:hAnsi="宋体" w:cs="宋体"/>
          <w:sz w:val="21"/>
          <w:szCs w:val="21"/>
          <w:lang w:val="en-US" w:eastAsia="zh-CN"/>
        </w:rPr>
        <w:t>投标人</w:t>
      </w:r>
      <w:r>
        <w:rPr>
          <w:rFonts w:hint="eastAsia" w:ascii="宋体" w:hAnsi="宋体" w:eastAsia="宋体" w:cs="宋体"/>
          <w:sz w:val="21"/>
          <w:szCs w:val="21"/>
        </w:rPr>
        <w:t>需采用该软件搭建基础标准模块，以满足后期</w:t>
      </w:r>
      <w:r>
        <w:rPr>
          <w:rFonts w:hint="eastAsia" w:ascii="宋体" w:hAnsi="宋体" w:cs="宋体"/>
          <w:sz w:val="21"/>
          <w:szCs w:val="21"/>
          <w:lang w:val="en-US" w:eastAsia="zh-CN"/>
        </w:rPr>
        <w:t>招标人</w:t>
      </w:r>
      <w:r>
        <w:rPr>
          <w:rFonts w:hint="eastAsia" w:ascii="宋体" w:hAnsi="宋体" w:eastAsia="宋体" w:cs="宋体"/>
          <w:sz w:val="21"/>
          <w:szCs w:val="21"/>
        </w:rPr>
        <w:t>工艺研发人员通过该软件的图形化配方功能修改配方，而无需</w:t>
      </w:r>
      <w:r>
        <w:rPr>
          <w:rFonts w:hint="eastAsia" w:ascii="宋体" w:hAnsi="宋体" w:cs="宋体"/>
          <w:sz w:val="21"/>
          <w:szCs w:val="21"/>
          <w:lang w:val="en-US" w:eastAsia="zh-CN"/>
        </w:rPr>
        <w:t>招标人</w:t>
      </w:r>
      <w:r>
        <w:rPr>
          <w:rFonts w:hint="eastAsia" w:ascii="宋体" w:hAnsi="宋体" w:eastAsia="宋体" w:cs="宋体"/>
          <w:sz w:val="21"/>
          <w:szCs w:val="21"/>
        </w:rPr>
        <w:t>自控人员修改PLC程序</w:t>
      </w:r>
      <w:r>
        <w:rPr>
          <w:rFonts w:hint="eastAsia" w:ascii="宋体" w:hAnsi="宋体" w:cs="宋体"/>
          <w:sz w:val="21"/>
          <w:szCs w:val="21"/>
          <w:lang w:eastAsia="zh-CN"/>
        </w:rPr>
        <w:t>。</w:t>
      </w:r>
    </w:p>
    <w:p w14:paraId="4F958D1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2）除实现系统标准监控功能外，还需自带工单管理功能，具备标准的API接口，可以接收MES</w:t>
      </w:r>
      <w:r>
        <w:rPr>
          <w:rFonts w:hint="eastAsia" w:ascii="宋体" w:hAnsi="宋体" w:cs="宋体"/>
          <w:sz w:val="21"/>
          <w:szCs w:val="21"/>
          <w:lang w:val="en-US" w:eastAsia="zh-CN"/>
        </w:rPr>
        <w:t>系统</w:t>
      </w:r>
      <w:r>
        <w:rPr>
          <w:rFonts w:hint="eastAsia" w:ascii="宋体" w:hAnsi="宋体" w:eastAsia="宋体" w:cs="宋体"/>
          <w:sz w:val="21"/>
          <w:szCs w:val="21"/>
        </w:rPr>
        <w:t>一次性带参数下发工单，由软件平台依据工艺研发人员通过该软件的图形化配方功能组合的配方，结合收到的工单品类，工艺参数，进行生产过程的连续控制</w:t>
      </w:r>
      <w:r>
        <w:rPr>
          <w:rFonts w:hint="eastAsia" w:ascii="宋体" w:hAnsi="宋体" w:cs="宋体"/>
          <w:sz w:val="21"/>
          <w:szCs w:val="21"/>
          <w:lang w:eastAsia="zh-CN"/>
        </w:rPr>
        <w:t>。</w:t>
      </w:r>
    </w:p>
    <w:p w14:paraId="24F0922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3）系统需自带批次步骤记录报表功能，在记录生产过程的各项下发参数、实际操作参数信息的基础上，结合工单信息生成批次报表，并具备查询功能，便于MES系统上线前的现场数据查询。同时生产记录数据可以通过标准接口标准的API接口传输给MES系统，为以后MES系统的综合统计提供数据基础。</w:t>
      </w:r>
    </w:p>
    <w:p w14:paraId="59856E5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4"/>
          <w:szCs w:val="24"/>
        </w:rPr>
      </w:pPr>
      <w:r>
        <w:rPr>
          <w:rFonts w:hint="eastAsia" w:ascii="宋体" w:hAnsi="宋体" w:eastAsia="宋体" w:cs="宋体"/>
          <w:sz w:val="21"/>
          <w:szCs w:val="21"/>
        </w:rPr>
        <w:t>4）系统需自带过程回放功能，便于生产管理人员在与操作界面一样的界面形式上随时回放任意生产批次，就像媒体播放器一样，用于查</w:t>
      </w:r>
      <w:r>
        <w:rPr>
          <w:rFonts w:hint="eastAsia" w:ascii="宋体" w:hAnsi="宋体" w:eastAsia="宋体" w:cs="宋体"/>
          <w:sz w:val="24"/>
          <w:szCs w:val="24"/>
        </w:rPr>
        <w:t>找问题批次和黄金批次之用。</w:t>
      </w:r>
    </w:p>
    <w:p w14:paraId="26C192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数据采集与控制</w:t>
      </w:r>
    </w:p>
    <w:tbl>
      <w:tblPr>
        <w:tblStyle w:val="4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1"/>
        <w:gridCol w:w="1710"/>
        <w:gridCol w:w="6231"/>
      </w:tblGrid>
      <w:tr w14:paraId="5EE09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581" w:type="dxa"/>
            <w:noWrap w:val="0"/>
            <w:vAlign w:val="top"/>
          </w:tcPr>
          <w:p w14:paraId="50CEE6A0">
            <w:pPr>
              <w:jc w:val="center"/>
              <w:rPr>
                <w:sz w:val="18"/>
                <w:szCs w:val="18"/>
              </w:rPr>
            </w:pPr>
            <w:r>
              <w:rPr>
                <w:rFonts w:hint="eastAsia"/>
                <w:sz w:val="18"/>
                <w:szCs w:val="18"/>
              </w:rPr>
              <w:t>序号</w:t>
            </w:r>
          </w:p>
        </w:tc>
        <w:tc>
          <w:tcPr>
            <w:tcW w:w="1710" w:type="dxa"/>
            <w:noWrap w:val="0"/>
            <w:vAlign w:val="top"/>
          </w:tcPr>
          <w:p w14:paraId="7374C4D4">
            <w:pPr>
              <w:ind w:firstLine="540" w:firstLineChars="300"/>
              <w:jc w:val="center"/>
              <w:rPr>
                <w:sz w:val="18"/>
                <w:szCs w:val="18"/>
              </w:rPr>
            </w:pPr>
            <w:r>
              <w:rPr>
                <w:sz w:val="18"/>
                <w:szCs w:val="18"/>
              </w:rPr>
              <w:t>工</w:t>
            </w:r>
            <w:r>
              <w:rPr>
                <w:rFonts w:hint="eastAsia"/>
                <w:sz w:val="18"/>
                <w:szCs w:val="18"/>
                <w:lang w:val="en-US" w:eastAsia="zh-CN"/>
              </w:rPr>
              <w:t xml:space="preserve"> </w:t>
            </w:r>
            <w:r>
              <w:rPr>
                <w:sz w:val="18"/>
                <w:szCs w:val="18"/>
              </w:rPr>
              <w:t>序</w:t>
            </w:r>
          </w:p>
        </w:tc>
        <w:tc>
          <w:tcPr>
            <w:tcW w:w="6231" w:type="dxa"/>
            <w:noWrap w:val="0"/>
            <w:vAlign w:val="top"/>
          </w:tcPr>
          <w:p w14:paraId="11E97A4E">
            <w:pPr>
              <w:ind w:firstLine="2160" w:firstLineChars="1200"/>
              <w:jc w:val="center"/>
              <w:rPr>
                <w:rFonts w:hint="default" w:eastAsia="宋体"/>
                <w:sz w:val="18"/>
                <w:szCs w:val="18"/>
                <w:lang w:val="en-US" w:eastAsia="zh-CN"/>
              </w:rPr>
            </w:pPr>
            <w:r>
              <w:rPr>
                <w:rFonts w:hint="eastAsia"/>
                <w:sz w:val="18"/>
                <w:szCs w:val="18"/>
                <w:lang w:val="en-US" w:eastAsia="zh-CN"/>
              </w:rPr>
              <w:t>数据采集和控制要求</w:t>
            </w:r>
          </w:p>
        </w:tc>
      </w:tr>
      <w:tr w14:paraId="4638A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170AB620">
            <w:pPr>
              <w:rPr>
                <w:sz w:val="18"/>
                <w:szCs w:val="18"/>
              </w:rPr>
            </w:pPr>
            <w:r>
              <w:rPr>
                <w:rFonts w:hint="eastAsia"/>
                <w:sz w:val="18"/>
                <w:szCs w:val="18"/>
              </w:rPr>
              <w:t>1</w:t>
            </w:r>
          </w:p>
        </w:tc>
        <w:tc>
          <w:tcPr>
            <w:tcW w:w="1710" w:type="dxa"/>
            <w:noWrap w:val="0"/>
            <w:vAlign w:val="top"/>
          </w:tcPr>
          <w:p w14:paraId="37D491BB">
            <w:pPr>
              <w:rPr>
                <w:sz w:val="18"/>
                <w:szCs w:val="18"/>
              </w:rPr>
            </w:pPr>
            <w:r>
              <w:rPr>
                <w:sz w:val="18"/>
                <w:szCs w:val="18"/>
              </w:rPr>
              <w:t>辣椒粉、香料粉拆包投料</w:t>
            </w:r>
          </w:p>
        </w:tc>
        <w:tc>
          <w:tcPr>
            <w:tcW w:w="6231" w:type="dxa"/>
            <w:noWrap w:val="0"/>
            <w:vAlign w:val="top"/>
          </w:tcPr>
          <w:p w14:paraId="4A3E66D1">
            <w:pPr>
              <w:rPr>
                <w:sz w:val="18"/>
                <w:szCs w:val="18"/>
              </w:rPr>
            </w:pPr>
            <w:r>
              <w:rPr>
                <w:sz w:val="18"/>
                <w:szCs w:val="18"/>
              </w:rPr>
              <w:t>包括但不限于称重重量、设备运行</w:t>
            </w:r>
            <w:r>
              <w:rPr>
                <w:rFonts w:hint="eastAsia"/>
                <w:sz w:val="18"/>
                <w:szCs w:val="18"/>
              </w:rPr>
              <w:t>状态</w:t>
            </w:r>
            <w:r>
              <w:rPr>
                <w:sz w:val="18"/>
                <w:szCs w:val="18"/>
              </w:rPr>
              <w:t>、门到位、料位、急停、密封盖板状态、手</w:t>
            </w:r>
            <w:r>
              <w:rPr>
                <w:rFonts w:hint="eastAsia"/>
                <w:sz w:val="18"/>
                <w:szCs w:val="18"/>
              </w:rPr>
              <w:t>自模式、</w:t>
            </w:r>
            <w:r>
              <w:rPr>
                <w:sz w:val="18"/>
                <w:szCs w:val="18"/>
              </w:rPr>
              <w:t>声光报警、工序步序联锁、投料量闭环控制、配方重量阈值、扫码防错联锁、批次数据上传等。</w:t>
            </w:r>
          </w:p>
        </w:tc>
      </w:tr>
      <w:tr w14:paraId="095D4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4BB5C01D">
            <w:pPr>
              <w:rPr>
                <w:rFonts w:hint="eastAsia"/>
                <w:sz w:val="18"/>
                <w:szCs w:val="18"/>
              </w:rPr>
            </w:pPr>
            <w:r>
              <w:rPr>
                <w:rFonts w:hint="eastAsia"/>
                <w:sz w:val="18"/>
                <w:szCs w:val="18"/>
              </w:rPr>
              <w:t>2</w:t>
            </w:r>
          </w:p>
        </w:tc>
        <w:tc>
          <w:tcPr>
            <w:tcW w:w="1710" w:type="dxa"/>
            <w:noWrap w:val="0"/>
            <w:vAlign w:val="top"/>
          </w:tcPr>
          <w:p w14:paraId="069620F2">
            <w:pPr>
              <w:rPr>
                <w:rFonts w:hint="eastAsia" w:eastAsia="宋体"/>
                <w:sz w:val="18"/>
                <w:szCs w:val="18"/>
                <w:lang w:val="en-US" w:eastAsia="zh-CN"/>
              </w:rPr>
            </w:pPr>
            <w:r>
              <w:rPr>
                <w:rFonts w:hint="eastAsia"/>
                <w:sz w:val="18"/>
                <w:szCs w:val="18"/>
              </w:rPr>
              <w:t>管</w:t>
            </w:r>
            <w:r>
              <w:rPr>
                <w:sz w:val="18"/>
                <w:szCs w:val="18"/>
              </w:rPr>
              <w:t>道输送</w:t>
            </w:r>
          </w:p>
        </w:tc>
        <w:tc>
          <w:tcPr>
            <w:tcW w:w="6231" w:type="dxa"/>
            <w:noWrap w:val="0"/>
            <w:vAlign w:val="top"/>
          </w:tcPr>
          <w:p w14:paraId="24924849">
            <w:pPr>
              <w:rPr>
                <w:sz w:val="18"/>
                <w:szCs w:val="18"/>
              </w:rPr>
            </w:pPr>
            <w:r>
              <w:rPr>
                <w:sz w:val="18"/>
                <w:szCs w:val="18"/>
              </w:rPr>
              <w:t>包括但不限于流量、累计量、管路压力、温度、泵运行 / 故障、输送泵启停、</w:t>
            </w:r>
            <w:r>
              <w:rPr>
                <w:rFonts w:hint="eastAsia"/>
                <w:sz w:val="18"/>
                <w:szCs w:val="18"/>
              </w:rPr>
              <w:t>手</w:t>
            </w:r>
            <w:r>
              <w:rPr>
                <w:sz w:val="18"/>
                <w:szCs w:val="18"/>
              </w:rPr>
              <w:t>自模式、急停、油路</w:t>
            </w:r>
            <w:r>
              <w:rPr>
                <w:rFonts w:hint="eastAsia"/>
                <w:sz w:val="18"/>
                <w:szCs w:val="18"/>
              </w:rPr>
              <w:t>阀</w:t>
            </w:r>
            <w:r>
              <w:rPr>
                <w:sz w:val="18"/>
                <w:szCs w:val="18"/>
              </w:rPr>
              <w:t>门状态与控制、阀门到位、手自模式、急断、声光报警等。</w:t>
            </w:r>
          </w:p>
        </w:tc>
      </w:tr>
      <w:tr w14:paraId="5EBBC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175BC875">
            <w:pPr>
              <w:rPr>
                <w:rFonts w:hint="eastAsia"/>
                <w:sz w:val="18"/>
                <w:szCs w:val="18"/>
              </w:rPr>
            </w:pPr>
            <w:r>
              <w:rPr>
                <w:rFonts w:hint="eastAsia"/>
                <w:sz w:val="18"/>
                <w:szCs w:val="18"/>
              </w:rPr>
              <w:t>3</w:t>
            </w:r>
          </w:p>
        </w:tc>
        <w:tc>
          <w:tcPr>
            <w:tcW w:w="1710" w:type="dxa"/>
            <w:noWrap w:val="0"/>
            <w:vAlign w:val="top"/>
          </w:tcPr>
          <w:p w14:paraId="3066C5C6">
            <w:pPr>
              <w:rPr>
                <w:sz w:val="18"/>
                <w:szCs w:val="18"/>
              </w:rPr>
            </w:pPr>
            <w:r>
              <w:rPr>
                <w:rFonts w:hint="eastAsia"/>
                <w:sz w:val="18"/>
                <w:szCs w:val="18"/>
              </w:rPr>
              <w:t>油类加热（断生）</w:t>
            </w:r>
            <w:r>
              <w:rPr>
                <w:sz w:val="18"/>
                <w:szCs w:val="18"/>
              </w:rPr>
              <w:t>罐</w:t>
            </w:r>
          </w:p>
        </w:tc>
        <w:tc>
          <w:tcPr>
            <w:tcW w:w="6231" w:type="dxa"/>
            <w:noWrap w:val="0"/>
            <w:vAlign w:val="top"/>
          </w:tcPr>
          <w:p w14:paraId="4C3FB732">
            <w:pPr>
              <w:rPr>
                <w:sz w:val="18"/>
                <w:szCs w:val="18"/>
              </w:rPr>
            </w:pPr>
            <w:r>
              <w:rPr>
                <w:sz w:val="18"/>
                <w:szCs w:val="18"/>
              </w:rPr>
              <w:t>包括但不限于实时温度、罐内液位、罐内压力、高低液位报警与保护、罐盖阀门未闭合的保护与控制、升温时长、恒温保持、静置时间</w:t>
            </w:r>
            <w:r>
              <w:rPr>
                <w:rFonts w:hint="eastAsia"/>
                <w:sz w:val="18"/>
                <w:szCs w:val="18"/>
              </w:rPr>
              <w:t>统</w:t>
            </w:r>
            <w:r>
              <w:rPr>
                <w:sz w:val="18"/>
                <w:szCs w:val="18"/>
              </w:rPr>
              <w:t>计，超时报警等。</w:t>
            </w:r>
          </w:p>
        </w:tc>
      </w:tr>
      <w:tr w14:paraId="056A4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08CE9272">
            <w:pPr>
              <w:rPr>
                <w:rFonts w:hint="eastAsia"/>
                <w:sz w:val="18"/>
                <w:szCs w:val="18"/>
              </w:rPr>
            </w:pPr>
            <w:r>
              <w:rPr>
                <w:rFonts w:hint="eastAsia"/>
                <w:sz w:val="18"/>
                <w:szCs w:val="18"/>
              </w:rPr>
              <w:t>4</w:t>
            </w:r>
          </w:p>
        </w:tc>
        <w:tc>
          <w:tcPr>
            <w:tcW w:w="1710" w:type="dxa"/>
            <w:noWrap w:val="0"/>
            <w:vAlign w:val="top"/>
          </w:tcPr>
          <w:p w14:paraId="36D6A0BF">
            <w:pPr>
              <w:rPr>
                <w:sz w:val="18"/>
                <w:szCs w:val="18"/>
              </w:rPr>
            </w:pPr>
            <w:r>
              <w:rPr>
                <w:sz w:val="18"/>
                <w:szCs w:val="18"/>
              </w:rPr>
              <w:t>浸提罐、</w:t>
            </w:r>
            <w:r>
              <w:rPr>
                <w:rFonts w:hint="eastAsia"/>
                <w:sz w:val="18"/>
                <w:szCs w:val="18"/>
                <w:lang w:val="en-US" w:eastAsia="zh-CN"/>
              </w:rPr>
              <w:t>计量调配</w:t>
            </w:r>
            <w:r>
              <w:rPr>
                <w:sz w:val="18"/>
                <w:szCs w:val="18"/>
              </w:rPr>
              <w:t>罐、</w:t>
            </w:r>
            <w:r>
              <w:rPr>
                <w:rFonts w:hint="eastAsia"/>
                <w:sz w:val="18"/>
                <w:szCs w:val="18"/>
                <w:lang w:val="en-US" w:eastAsia="zh-CN"/>
              </w:rPr>
              <w:t>高速溶解调配</w:t>
            </w:r>
            <w:r>
              <w:rPr>
                <w:sz w:val="18"/>
                <w:szCs w:val="18"/>
              </w:rPr>
              <w:t>罐、</w:t>
            </w:r>
            <w:r>
              <w:rPr>
                <w:rFonts w:hint="eastAsia"/>
                <w:sz w:val="18"/>
                <w:szCs w:val="18"/>
                <w:lang w:val="en-US" w:eastAsia="zh-CN"/>
              </w:rPr>
              <w:t>真空搅拌</w:t>
            </w:r>
            <w:r>
              <w:rPr>
                <w:sz w:val="18"/>
                <w:szCs w:val="18"/>
              </w:rPr>
              <w:t>罐等罐体设备</w:t>
            </w:r>
          </w:p>
        </w:tc>
        <w:tc>
          <w:tcPr>
            <w:tcW w:w="6231" w:type="dxa"/>
            <w:noWrap w:val="0"/>
            <w:vAlign w:val="top"/>
          </w:tcPr>
          <w:p w14:paraId="3DA033E9">
            <w:pPr>
              <w:rPr>
                <w:rFonts w:hint="eastAsia"/>
                <w:sz w:val="18"/>
                <w:szCs w:val="18"/>
              </w:rPr>
            </w:pPr>
            <w:r>
              <w:rPr>
                <w:sz w:val="18"/>
                <w:szCs w:val="18"/>
              </w:rPr>
              <w:t>罐内温度、罐内液位、罐内压力、循环介质温度 / 流量；搅拌 / 循环泵运行及故障、各进出料阀 /</w:t>
            </w:r>
            <w:r>
              <w:rPr>
                <w:b/>
                <w:sz w:val="18"/>
                <w:szCs w:val="18"/>
              </w:rPr>
              <w:t xml:space="preserve"> </w:t>
            </w:r>
            <w:r>
              <w:rPr>
                <w:sz w:val="18"/>
                <w:szCs w:val="18"/>
              </w:rPr>
              <w:t>加热阀阀位反馈、高低液位、罐盖锁紧、</w:t>
            </w:r>
            <w:r>
              <w:rPr>
                <w:rFonts w:hint="eastAsia"/>
                <w:sz w:val="18"/>
                <w:szCs w:val="18"/>
              </w:rPr>
              <w:t>手</w:t>
            </w:r>
            <w:r>
              <w:rPr>
                <w:sz w:val="18"/>
                <w:szCs w:val="18"/>
              </w:rPr>
              <w:t>自模式、急停、泄漏 / 超压报警信号。</w:t>
            </w:r>
          </w:p>
          <w:p w14:paraId="211E13A8">
            <w:pPr>
              <w:rPr>
                <w:sz w:val="18"/>
                <w:szCs w:val="18"/>
              </w:rPr>
            </w:pPr>
            <w:r>
              <w:rPr>
                <w:sz w:val="18"/>
                <w:szCs w:val="18"/>
              </w:rPr>
              <w:t>搅拌启停、循环泵启停、溶剂进料阀、浸提液出料阀、回流阀、加热 / 冷却阀开关控制；超温超压、低液位自动切断加热及进料；按配方设定恒温、浸提时间；步骤化 S88 管控，条件满足方可流转下一工序；数据同步 MES。</w:t>
            </w:r>
          </w:p>
        </w:tc>
      </w:tr>
      <w:tr w14:paraId="0B359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5623515C">
            <w:pPr>
              <w:rPr>
                <w:rFonts w:hint="eastAsia"/>
                <w:sz w:val="18"/>
                <w:szCs w:val="18"/>
              </w:rPr>
            </w:pPr>
            <w:r>
              <w:rPr>
                <w:rFonts w:hint="eastAsia"/>
                <w:sz w:val="18"/>
                <w:szCs w:val="18"/>
              </w:rPr>
              <w:t>5</w:t>
            </w:r>
          </w:p>
        </w:tc>
        <w:tc>
          <w:tcPr>
            <w:tcW w:w="1710" w:type="dxa"/>
            <w:noWrap w:val="0"/>
            <w:vAlign w:val="top"/>
          </w:tcPr>
          <w:p w14:paraId="1CB04A78">
            <w:pPr>
              <w:rPr>
                <w:sz w:val="18"/>
                <w:szCs w:val="18"/>
              </w:rPr>
            </w:pPr>
            <w:r>
              <w:rPr>
                <w:sz w:val="18"/>
                <w:szCs w:val="18"/>
              </w:rPr>
              <w:t>自动计量包装机</w:t>
            </w:r>
          </w:p>
        </w:tc>
        <w:tc>
          <w:tcPr>
            <w:tcW w:w="6231" w:type="dxa"/>
            <w:noWrap w:val="0"/>
            <w:vAlign w:val="top"/>
          </w:tcPr>
          <w:p w14:paraId="73689CB2">
            <w:pPr>
              <w:rPr>
                <w:sz w:val="18"/>
                <w:szCs w:val="18"/>
              </w:rPr>
            </w:pPr>
            <w:r>
              <w:rPr>
                <w:sz w:val="18"/>
                <w:szCs w:val="18"/>
              </w:rPr>
              <w:t>实时包装净重、设定目标重量、称重偏差值、设备运行 / 故障、夹袋到位、封口完成、缺袋 / 无料、急停、手自模式、单包重量、累计产量、包装节拍、工序运行状态、重量超限报警记录</w:t>
            </w:r>
            <w:r>
              <w:rPr>
                <w:rFonts w:hint="eastAsia"/>
                <w:sz w:val="18"/>
                <w:szCs w:val="18"/>
              </w:rPr>
              <w:t>、</w:t>
            </w:r>
            <w:r>
              <w:rPr>
                <w:sz w:val="18"/>
                <w:szCs w:val="18"/>
              </w:rPr>
              <w:t>启停。</w:t>
            </w:r>
          </w:p>
        </w:tc>
      </w:tr>
      <w:tr w14:paraId="44BDF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3E345561">
            <w:pPr>
              <w:rPr>
                <w:rFonts w:hint="eastAsia"/>
                <w:sz w:val="18"/>
                <w:szCs w:val="18"/>
              </w:rPr>
            </w:pPr>
            <w:r>
              <w:rPr>
                <w:rFonts w:hint="eastAsia"/>
                <w:sz w:val="18"/>
                <w:szCs w:val="18"/>
              </w:rPr>
              <w:t>6</w:t>
            </w:r>
          </w:p>
        </w:tc>
        <w:tc>
          <w:tcPr>
            <w:tcW w:w="1710" w:type="dxa"/>
            <w:noWrap w:val="0"/>
            <w:vAlign w:val="top"/>
          </w:tcPr>
          <w:p w14:paraId="2EF1BB05">
            <w:pPr>
              <w:rPr>
                <w:sz w:val="18"/>
                <w:szCs w:val="18"/>
              </w:rPr>
            </w:pPr>
            <w:r>
              <w:rPr>
                <w:sz w:val="18"/>
                <w:szCs w:val="18"/>
              </w:rPr>
              <w:t>自动计量灌装系统</w:t>
            </w:r>
          </w:p>
        </w:tc>
        <w:tc>
          <w:tcPr>
            <w:tcW w:w="6231" w:type="dxa"/>
            <w:noWrap w:val="0"/>
            <w:vAlign w:val="top"/>
          </w:tcPr>
          <w:p w14:paraId="3EA78932">
            <w:pPr>
              <w:rPr>
                <w:sz w:val="18"/>
                <w:szCs w:val="18"/>
              </w:rPr>
            </w:pPr>
            <w:r>
              <w:rPr>
                <w:sz w:val="18"/>
                <w:szCs w:val="18"/>
              </w:rPr>
              <w:t>采集灌装瞬时流量、累计灌装量、灌装称重数值、管路压力、介质温度、灌装输送泵、计量泵运行及故障状态；进料阀、灌装阀、回流阀、排气阀等阀门开 / 关到位反馈；容器到位、夹具夹紧、无桶缺料、灌装完成检测信号；</w:t>
            </w:r>
            <w:r>
              <w:rPr>
                <w:rFonts w:hint="eastAsia"/>
                <w:sz w:val="18"/>
                <w:szCs w:val="18"/>
              </w:rPr>
              <w:t>手</w:t>
            </w:r>
            <w:r>
              <w:rPr>
                <w:sz w:val="18"/>
                <w:szCs w:val="18"/>
              </w:rPr>
              <w:t>自模式、设备急停、过滤器堵塞、系统故障报警等状态信号。系统远程控制灌装泵、输送泵启停；实现进料阀、灌装阀、回流阀、排气阀等电磁阀、气动阀门的开关联动控制，匹配灌装步序自动切换。</w:t>
            </w:r>
          </w:p>
        </w:tc>
      </w:tr>
      <w:tr w14:paraId="5B55F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1721499F">
            <w:pPr>
              <w:rPr>
                <w:rFonts w:hint="eastAsia"/>
                <w:sz w:val="18"/>
                <w:szCs w:val="18"/>
              </w:rPr>
            </w:pPr>
          </w:p>
          <w:p w14:paraId="1800C379">
            <w:pPr>
              <w:rPr>
                <w:rFonts w:hint="eastAsia"/>
                <w:sz w:val="18"/>
                <w:szCs w:val="18"/>
              </w:rPr>
            </w:pPr>
          </w:p>
          <w:p w14:paraId="68515DD6">
            <w:pPr>
              <w:rPr>
                <w:rFonts w:hint="eastAsia"/>
                <w:sz w:val="18"/>
                <w:szCs w:val="18"/>
              </w:rPr>
            </w:pPr>
          </w:p>
          <w:p w14:paraId="7EE0439D">
            <w:pPr>
              <w:rPr>
                <w:rFonts w:hint="eastAsia"/>
                <w:sz w:val="18"/>
                <w:szCs w:val="18"/>
              </w:rPr>
            </w:pPr>
            <w:r>
              <w:rPr>
                <w:rFonts w:hint="eastAsia"/>
                <w:sz w:val="18"/>
                <w:szCs w:val="18"/>
              </w:rPr>
              <w:t>7</w:t>
            </w:r>
          </w:p>
        </w:tc>
        <w:tc>
          <w:tcPr>
            <w:tcW w:w="1710" w:type="dxa"/>
            <w:noWrap w:val="0"/>
            <w:vAlign w:val="top"/>
          </w:tcPr>
          <w:p w14:paraId="57D32646">
            <w:pPr>
              <w:rPr>
                <w:sz w:val="18"/>
                <w:szCs w:val="18"/>
              </w:rPr>
            </w:pPr>
          </w:p>
          <w:p w14:paraId="3C816141">
            <w:pPr>
              <w:rPr>
                <w:sz w:val="18"/>
                <w:szCs w:val="18"/>
              </w:rPr>
            </w:pPr>
          </w:p>
          <w:p w14:paraId="186F0E53">
            <w:pPr>
              <w:rPr>
                <w:sz w:val="18"/>
                <w:szCs w:val="18"/>
              </w:rPr>
            </w:pPr>
          </w:p>
          <w:p w14:paraId="54677C34">
            <w:pPr>
              <w:rPr>
                <w:sz w:val="18"/>
                <w:szCs w:val="18"/>
              </w:rPr>
            </w:pPr>
            <w:r>
              <w:rPr>
                <w:sz w:val="18"/>
                <w:szCs w:val="18"/>
              </w:rPr>
              <w:t>CIP系统</w:t>
            </w:r>
            <w:r>
              <w:rPr>
                <w:rFonts w:hint="eastAsia"/>
                <w:sz w:val="18"/>
                <w:szCs w:val="18"/>
              </w:rPr>
              <w:t xml:space="preserve"> </w:t>
            </w:r>
          </w:p>
        </w:tc>
        <w:tc>
          <w:tcPr>
            <w:tcW w:w="6231" w:type="dxa"/>
            <w:noWrap w:val="0"/>
            <w:vAlign w:val="top"/>
          </w:tcPr>
          <w:p w14:paraId="0CCC4574">
            <w:pPr>
              <w:rPr>
                <w:rFonts w:hint="eastAsia"/>
                <w:sz w:val="18"/>
                <w:szCs w:val="18"/>
              </w:rPr>
            </w:pPr>
            <w:r>
              <w:rPr>
                <w:sz w:val="18"/>
                <w:szCs w:val="18"/>
              </w:rPr>
              <w:t>清洗罐温度、清洗液液位、管路压力、酸碱液浓度、瞬时流量、累计清洗用量、回水温度。CIP 循环泵、回流泵运行 / 故障反馈；各清洗进料阀、回流阀、排污阀、切换阀阀位到位信号；酸碱罐高低液位、过滤器堵塞报警；</w:t>
            </w:r>
            <w:r>
              <w:rPr>
                <w:rFonts w:hint="eastAsia"/>
                <w:sz w:val="18"/>
                <w:szCs w:val="18"/>
              </w:rPr>
              <w:t>手</w:t>
            </w:r>
            <w:r>
              <w:rPr>
                <w:sz w:val="18"/>
                <w:szCs w:val="18"/>
              </w:rPr>
              <w:t>自模式、急停、设备故障、清洗完成反馈信号。清洗工序步序状态、清洗时长、循环时间、排污时间；酸碱配比参数、清洗介质类型；异常报警、阀门动作状态；所有数据绑定批次，历史存储并上传 MES。</w:t>
            </w:r>
          </w:p>
          <w:p w14:paraId="3D7878B1">
            <w:pPr>
              <w:rPr>
                <w:sz w:val="18"/>
                <w:szCs w:val="18"/>
              </w:rPr>
            </w:pPr>
            <w:r>
              <w:rPr>
                <w:sz w:val="18"/>
                <w:szCs w:val="18"/>
              </w:rPr>
              <w:t>远程联锁控制 CIP 循环泵、输送泵启停；统一管控清洗管路切换阀、进料阀、回流阀、排污阀、排空气阀自动开关。</w:t>
            </w:r>
          </w:p>
        </w:tc>
      </w:tr>
      <w:tr w14:paraId="04D57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09ED7D29">
            <w:pPr>
              <w:rPr>
                <w:rFonts w:hint="eastAsia"/>
                <w:sz w:val="18"/>
                <w:szCs w:val="18"/>
              </w:rPr>
            </w:pPr>
            <w:r>
              <w:rPr>
                <w:rFonts w:hint="eastAsia"/>
                <w:sz w:val="18"/>
                <w:szCs w:val="18"/>
              </w:rPr>
              <w:t>8</w:t>
            </w:r>
          </w:p>
        </w:tc>
        <w:tc>
          <w:tcPr>
            <w:tcW w:w="1710" w:type="dxa"/>
            <w:noWrap w:val="0"/>
            <w:vAlign w:val="top"/>
          </w:tcPr>
          <w:p w14:paraId="3F818B95">
            <w:pPr>
              <w:rPr>
                <w:sz w:val="18"/>
                <w:szCs w:val="18"/>
              </w:rPr>
            </w:pPr>
            <w:r>
              <w:rPr>
                <w:sz w:val="18"/>
                <w:szCs w:val="18"/>
              </w:rPr>
              <w:t>整线</w:t>
            </w:r>
          </w:p>
        </w:tc>
        <w:tc>
          <w:tcPr>
            <w:tcW w:w="6231" w:type="dxa"/>
            <w:noWrap w:val="0"/>
            <w:vAlign w:val="top"/>
          </w:tcPr>
          <w:p w14:paraId="44AAB5E4">
            <w:pPr>
              <w:rPr>
                <w:rFonts w:hint="eastAsia"/>
                <w:sz w:val="18"/>
                <w:szCs w:val="18"/>
              </w:rPr>
            </w:pPr>
            <w:r>
              <w:rPr>
                <w:sz w:val="18"/>
                <w:szCs w:val="18"/>
              </w:rPr>
              <w:t>所有设备的运行状态、运行时间、故障报警、手自模式、支持带参数下发的控制等。</w:t>
            </w:r>
          </w:p>
          <w:p w14:paraId="514EA0E0">
            <w:pPr>
              <w:rPr>
                <w:sz w:val="18"/>
                <w:szCs w:val="18"/>
              </w:rPr>
            </w:pPr>
            <w:r>
              <w:rPr>
                <w:rFonts w:hint="eastAsia"/>
                <w:sz w:val="18"/>
                <w:szCs w:val="18"/>
              </w:rPr>
              <w:t>关键设备的能耗采集；整线能耗采集。</w:t>
            </w:r>
          </w:p>
        </w:tc>
      </w:tr>
    </w:tbl>
    <w:p w14:paraId="15A703B7">
      <w:pPr>
        <w:rPr>
          <w:rFonts w:hint="eastAsia" w:ascii="宋体" w:hAnsi="宋体" w:eastAsia="宋体" w:cs="宋体"/>
          <w:sz w:val="18"/>
          <w:szCs w:val="18"/>
          <w:lang w:val="en-US" w:eastAsia="zh-CN"/>
        </w:rPr>
      </w:pPr>
    </w:p>
    <w:p w14:paraId="537EED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cs="宋体"/>
          <w:sz w:val="24"/>
          <w:szCs w:val="24"/>
          <w:lang w:val="en-US" w:eastAsia="zh-CN"/>
        </w:rPr>
        <w:t>4、</w:t>
      </w:r>
      <w:r>
        <w:rPr>
          <w:rFonts w:hint="eastAsia" w:ascii="宋体" w:hAnsi="宋体" w:eastAsia="宋体" w:cs="宋体"/>
          <w:sz w:val="24"/>
          <w:szCs w:val="24"/>
          <w:lang w:val="en-US" w:eastAsia="zh-CN"/>
        </w:rPr>
        <w:t>硬件配置要求</w:t>
      </w:r>
    </w:p>
    <w:p w14:paraId="1F4FB12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r>
        <w:rPr>
          <w:rFonts w:hint="eastAsia" w:ascii="宋体" w:hAnsi="宋体" w:cs="宋体"/>
          <w:sz w:val="21"/>
          <w:szCs w:val="21"/>
          <w:lang w:val="en-US" w:eastAsia="zh-CN"/>
        </w:rPr>
        <w:t>监视和控制系统硬件配置根据需要由投标人自行进行配置，但投标人提供配置不低于以下要求：</w:t>
      </w:r>
      <w:r>
        <w:rPr>
          <w:rFonts w:hint="eastAsia" w:ascii="宋体" w:hAnsi="宋体" w:eastAsia="宋体" w:cs="宋体"/>
          <w:sz w:val="21"/>
          <w:szCs w:val="21"/>
          <w:lang w:val="en-US" w:eastAsia="zh-CN"/>
        </w:rPr>
        <w:t xml:space="preserve">  </w:t>
      </w:r>
    </w:p>
    <w:p w14:paraId="1C9CF58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r>
        <w:rPr>
          <w:rFonts w:hint="eastAsia" w:ascii="宋体" w:hAnsi="宋体" w:cs="宋体"/>
          <w:sz w:val="21"/>
          <w:szCs w:val="21"/>
          <w:lang w:val="en-US" w:eastAsia="zh-CN"/>
        </w:rPr>
        <w:t>（1）</w:t>
      </w:r>
      <w:r>
        <w:rPr>
          <w:rFonts w:hint="default" w:ascii="宋体" w:hAnsi="宋体" w:eastAsia="宋体" w:cs="宋体"/>
          <w:sz w:val="21"/>
          <w:szCs w:val="21"/>
          <w:lang w:val="en-US" w:eastAsia="zh-CN"/>
        </w:rPr>
        <w:t>服务器 1台：CPU I7-8700或以上，2T  HDD，32G 内存，网卡。（配Windows11操作系统，SQL server2022）</w:t>
      </w:r>
    </w:p>
    <w:p w14:paraId="64613DA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r>
        <w:rPr>
          <w:rFonts w:hint="eastAsia" w:ascii="宋体" w:hAnsi="宋体" w:cs="宋体"/>
          <w:sz w:val="21"/>
          <w:szCs w:val="21"/>
          <w:lang w:val="en-US" w:eastAsia="zh-CN"/>
        </w:rPr>
        <w:t>（2）</w:t>
      </w:r>
      <w:r>
        <w:rPr>
          <w:rFonts w:hint="default" w:ascii="宋体" w:hAnsi="宋体" w:eastAsia="宋体" w:cs="宋体"/>
          <w:sz w:val="21"/>
          <w:szCs w:val="21"/>
          <w:lang w:val="en-US" w:eastAsia="zh-CN"/>
        </w:rPr>
        <w:t>操作站 2台：CPU intel I5或以上，1T HDD，16G内存，网卡。（配Windows11操作系统）</w:t>
      </w:r>
    </w:p>
    <w:p w14:paraId="566DA57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r>
        <w:rPr>
          <w:rFonts w:hint="eastAsia" w:ascii="宋体" w:hAnsi="宋体" w:cs="宋体"/>
          <w:sz w:val="21"/>
          <w:szCs w:val="21"/>
          <w:lang w:val="en-US" w:eastAsia="zh-CN"/>
        </w:rPr>
        <w:t>（3）中控室在一楼夹层位置，具体位置见平面图。</w:t>
      </w:r>
    </w:p>
    <w:p w14:paraId="7C07358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p>
    <w:p w14:paraId="783BB4B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p>
    <w:p w14:paraId="44D363D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p>
    <w:p w14:paraId="2AAC7DD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p>
    <w:p w14:paraId="42B05D0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p>
    <w:p w14:paraId="0D85CD0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p>
    <w:p w14:paraId="2CFECA5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p>
    <w:p w14:paraId="64276AA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p>
    <w:p w14:paraId="266C39E4">
      <w:bookmarkStart w:id="1004" w:name="_Toc536620100"/>
      <w:bookmarkStart w:id="1005" w:name="_Toc536797121"/>
      <w:bookmarkStart w:id="1006" w:name="_Toc534185826"/>
      <w:bookmarkStart w:id="1007" w:name="_Toc536797255"/>
      <w:bookmarkStart w:id="1008" w:name="_Toc536621880"/>
      <w:bookmarkStart w:id="1009" w:name="_Toc536796986"/>
      <w:bookmarkStart w:id="1010" w:name="_Toc536619968"/>
      <w:bookmarkStart w:id="1011" w:name="_Toc13210772"/>
      <w:bookmarkStart w:id="1012" w:name="_Toc536796850"/>
      <w:bookmarkStart w:id="1013" w:name="_Toc536628344"/>
      <w:bookmarkStart w:id="1014" w:name="_Toc13211206"/>
      <w:bookmarkStart w:id="1015" w:name="_Toc536797390"/>
      <w:bookmarkStart w:id="1016" w:name="_Toc13211764"/>
      <w:r>
        <w:br w:type="page"/>
      </w:r>
      <w:bookmarkEnd w:id="1004"/>
      <w:bookmarkEnd w:id="1005"/>
      <w:bookmarkEnd w:id="1006"/>
      <w:bookmarkEnd w:id="1007"/>
      <w:bookmarkEnd w:id="1008"/>
      <w:bookmarkEnd w:id="1009"/>
      <w:bookmarkEnd w:id="1010"/>
      <w:bookmarkEnd w:id="1011"/>
      <w:bookmarkEnd w:id="1012"/>
      <w:bookmarkEnd w:id="1013"/>
      <w:bookmarkEnd w:id="1014"/>
      <w:bookmarkEnd w:id="1015"/>
      <w:bookmarkEnd w:id="1016"/>
    </w:p>
    <w:p w14:paraId="1FA3451B">
      <w:pPr>
        <w:pStyle w:val="3"/>
        <w:spacing w:line="360" w:lineRule="auto"/>
        <w:jc w:val="center"/>
        <w:rPr>
          <w:rFonts w:ascii="宋体" w:hAnsi="宋体"/>
        </w:rPr>
      </w:pPr>
      <w:bookmarkStart w:id="1017" w:name="招标文件07章技术标准和要求"/>
      <w:bookmarkEnd w:id="1017"/>
      <w:bookmarkStart w:id="1018" w:name="_Toc287607865"/>
      <w:bookmarkStart w:id="1019" w:name="_Toc534185829"/>
      <w:bookmarkStart w:id="1020" w:name="_Toc15301"/>
      <w:bookmarkStart w:id="1021" w:name="_Toc509218852"/>
      <w:bookmarkStart w:id="1022" w:name="_Toc15337"/>
      <w:bookmarkStart w:id="1023" w:name="_Toc287620812"/>
      <w:bookmarkStart w:id="1024" w:name="_Toc430530528"/>
      <w:r>
        <w:rPr>
          <w:rFonts w:hint="eastAsia" w:ascii="宋体" w:hAnsi="宋体"/>
        </w:rPr>
        <w:t>第六章  投标文件格式</w:t>
      </w:r>
      <w:bookmarkEnd w:id="1018"/>
      <w:bookmarkEnd w:id="1019"/>
      <w:bookmarkEnd w:id="1020"/>
      <w:bookmarkEnd w:id="1021"/>
      <w:bookmarkEnd w:id="1022"/>
      <w:bookmarkEnd w:id="1023"/>
      <w:bookmarkEnd w:id="1024"/>
    </w:p>
    <w:p w14:paraId="38D7692B">
      <w:pPr>
        <w:spacing w:line="360" w:lineRule="auto"/>
        <w:rPr>
          <w:rFonts w:ascii="宋体" w:hAnsi="宋体"/>
          <w:sz w:val="32"/>
          <w:szCs w:val="32"/>
        </w:rPr>
      </w:pPr>
    </w:p>
    <w:p w14:paraId="6D90D2D4">
      <w:pPr>
        <w:spacing w:line="360" w:lineRule="auto"/>
        <w:jc w:val="center"/>
        <w:rPr>
          <w:rFonts w:ascii="宋体" w:hAnsi="宋体"/>
          <w:sz w:val="36"/>
          <w:szCs w:val="36"/>
        </w:rPr>
      </w:pPr>
      <w:r>
        <w:rPr>
          <w:rFonts w:ascii="宋体" w:hAnsi="宋体"/>
          <w:szCs w:val="20"/>
        </w:rPr>
        <w:br w:type="page"/>
      </w:r>
      <w:bookmarkStart w:id="1025" w:name="_Toc224103493"/>
      <w:r>
        <w:rPr>
          <w:rFonts w:hint="eastAsia" w:ascii="宋体" w:hAnsi="宋体"/>
          <w:sz w:val="36"/>
          <w:szCs w:val="36"/>
        </w:rPr>
        <w:t>目  录</w:t>
      </w:r>
      <w:bookmarkEnd w:id="1025"/>
    </w:p>
    <w:p w14:paraId="58032613">
      <w:pPr>
        <w:spacing w:line="360" w:lineRule="auto"/>
        <w:jc w:val="center"/>
        <w:rPr>
          <w:rFonts w:ascii="宋体" w:hAnsi="宋体"/>
          <w:szCs w:val="20"/>
        </w:rPr>
      </w:pPr>
    </w:p>
    <w:p w14:paraId="3149BA25">
      <w:pPr>
        <w:spacing w:line="360" w:lineRule="auto"/>
        <w:rPr>
          <w:rFonts w:ascii="宋体" w:hAnsi="宋体"/>
          <w:b/>
        </w:rPr>
      </w:pPr>
      <w:r>
        <w:rPr>
          <w:rFonts w:hint="eastAsia" w:ascii="宋体" w:hAnsi="宋体"/>
          <w:b/>
        </w:rPr>
        <w:t>一</w:t>
      </w:r>
      <w:r>
        <w:rPr>
          <w:rFonts w:ascii="宋体" w:hAnsi="宋体"/>
          <w:b/>
        </w:rPr>
        <w:t>、投标函部分</w:t>
      </w:r>
    </w:p>
    <w:p w14:paraId="0EB635ED">
      <w:pPr>
        <w:spacing w:line="360" w:lineRule="auto"/>
        <w:ind w:firstLine="420" w:firstLineChars="200"/>
        <w:rPr>
          <w:rFonts w:ascii="宋体" w:hAnsi="宋体"/>
        </w:rPr>
      </w:pPr>
      <w:r>
        <w:rPr>
          <w:rFonts w:ascii="宋体" w:hAnsi="宋体"/>
        </w:rPr>
        <w:t>（一）投标函</w:t>
      </w:r>
    </w:p>
    <w:p w14:paraId="511675C9">
      <w:pPr>
        <w:spacing w:line="360" w:lineRule="auto"/>
        <w:ind w:firstLine="420" w:firstLineChars="200"/>
        <w:rPr>
          <w:rFonts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r>
        <w:rPr>
          <w:rFonts w:ascii="宋体" w:hAnsi="宋体"/>
        </w:rPr>
        <w:t>（如有）</w:t>
      </w:r>
    </w:p>
    <w:p w14:paraId="4E539FEA">
      <w:pPr>
        <w:spacing w:line="360" w:lineRule="auto"/>
        <w:ind w:firstLine="420" w:firstLineChars="200"/>
        <w:rPr>
          <w:rFonts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597CBB4A">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15027E3D">
      <w:pPr>
        <w:spacing w:line="360" w:lineRule="auto"/>
        <w:ind w:firstLine="420" w:firstLineChars="200"/>
        <w:rPr>
          <w:rFonts w:hint="eastAsia" w:ascii="宋体" w:hAnsi="宋体"/>
        </w:rPr>
      </w:pPr>
      <w:r>
        <w:rPr>
          <w:rFonts w:hint="eastAsia" w:ascii="宋体" w:hAnsi="宋体"/>
        </w:rPr>
        <w:t>（一）商务偏差表</w:t>
      </w:r>
    </w:p>
    <w:p w14:paraId="1E6425BA">
      <w:pPr>
        <w:spacing w:line="360" w:lineRule="auto"/>
        <w:ind w:firstLine="420" w:firstLineChars="200"/>
        <w:rPr>
          <w:rFonts w:hint="eastAsia" w:ascii="宋体" w:hAnsi="宋体"/>
        </w:rPr>
      </w:pPr>
      <w:r>
        <w:rPr>
          <w:rFonts w:hint="eastAsia" w:ascii="宋体" w:hAnsi="宋体"/>
        </w:rPr>
        <w:t>（二）类似项目业绩情况表</w:t>
      </w:r>
    </w:p>
    <w:p w14:paraId="65701DAE">
      <w:pPr>
        <w:spacing w:line="360" w:lineRule="auto"/>
        <w:ind w:firstLine="420" w:firstLineChars="200"/>
        <w:rPr>
          <w:rFonts w:hint="default" w:ascii="宋体" w:hAnsi="宋体"/>
          <w:color w:val="000000" w:themeColor="text1"/>
          <w:lang w:val="en-US" w:eastAsia="zh-CN"/>
          <w14:textFill>
            <w14:solidFill>
              <w14:schemeClr w14:val="tx1"/>
            </w14:solidFill>
          </w14:textFill>
        </w:rPr>
      </w:pPr>
      <w:r>
        <w:rPr>
          <w:rFonts w:hint="eastAsia" w:ascii="宋体" w:hAnsi="宋体"/>
          <w:color w:val="000000" w:themeColor="text1"/>
          <w:lang w:eastAsia="zh-CN"/>
          <w14:textFill>
            <w14:solidFill>
              <w14:schemeClr w14:val="tx1"/>
            </w14:solidFill>
          </w14:textFill>
        </w:rPr>
        <w:t>（</w:t>
      </w:r>
      <w:r>
        <w:rPr>
          <w:rFonts w:hint="eastAsia" w:ascii="宋体" w:hAnsi="宋体"/>
          <w:color w:val="000000" w:themeColor="text1"/>
          <w:lang w:val="en-US" w:eastAsia="zh-CN"/>
          <w14:textFill>
            <w14:solidFill>
              <w14:schemeClr w14:val="tx1"/>
            </w14:solidFill>
          </w14:textFill>
        </w:rPr>
        <w:t>三</w:t>
      </w:r>
      <w:r>
        <w:rPr>
          <w:rFonts w:hint="eastAsia" w:ascii="宋体" w:hAnsi="宋体"/>
          <w:color w:val="000000" w:themeColor="text1"/>
          <w:lang w:eastAsia="zh-CN"/>
          <w14:textFill>
            <w14:solidFill>
              <w14:schemeClr w14:val="tx1"/>
            </w14:solidFill>
          </w14:textFill>
        </w:rPr>
        <w:t>）</w:t>
      </w:r>
      <w:r>
        <w:rPr>
          <w:rFonts w:hint="eastAsia" w:ascii="宋体" w:hAnsi="宋体"/>
          <w:color w:val="000000" w:themeColor="text1"/>
          <w:lang w:val="en-US" w:eastAsia="zh-CN"/>
          <w14:textFill>
            <w14:solidFill>
              <w14:schemeClr w14:val="tx1"/>
            </w14:solidFill>
          </w14:textFill>
        </w:rPr>
        <w:t>主要部件品牌响应表</w:t>
      </w:r>
    </w:p>
    <w:p w14:paraId="622388C5">
      <w:pPr>
        <w:spacing w:line="360" w:lineRule="auto"/>
        <w:ind w:firstLine="420" w:firstLineChars="200"/>
        <w:rPr>
          <w:rFonts w:hint="eastAsia" w:ascii="宋体" w:hAnsi="宋体" w:eastAsia="宋体"/>
          <w:color w:val="000000" w:themeColor="text1"/>
          <w:lang w:eastAsia="zh-CN"/>
          <w14:textFill>
            <w14:solidFill>
              <w14:schemeClr w14:val="tx1"/>
            </w14:solidFill>
          </w14:textFill>
        </w:rPr>
      </w:pPr>
      <w:r>
        <w:rPr>
          <w:rFonts w:hint="eastAsia" w:ascii="宋体" w:hAnsi="宋体"/>
          <w:color w:val="000000" w:themeColor="text1"/>
          <w14:textFill>
            <w14:solidFill>
              <w14:schemeClr w14:val="tx1"/>
            </w14:solidFill>
          </w14:textFill>
        </w:rPr>
        <w:t>（</w:t>
      </w:r>
      <w:r>
        <w:rPr>
          <w:rFonts w:hint="eastAsia" w:ascii="宋体" w:hAnsi="宋体"/>
          <w:color w:val="000000" w:themeColor="text1"/>
          <w:lang w:val="en-US" w:eastAsia="zh-CN"/>
          <w14:textFill>
            <w14:solidFill>
              <w14:schemeClr w14:val="tx1"/>
            </w14:solidFill>
          </w14:textFill>
        </w:rPr>
        <w:t>四</w:t>
      </w:r>
      <w:r>
        <w:rPr>
          <w:rFonts w:hint="eastAsia" w:ascii="宋体" w:hAnsi="宋体"/>
          <w:color w:val="000000" w:themeColor="text1"/>
          <w14:textFill>
            <w14:solidFill>
              <w14:schemeClr w14:val="tx1"/>
            </w14:solidFill>
          </w14:textFill>
        </w:rPr>
        <w:t>）其他资料</w:t>
      </w:r>
      <w:r>
        <w:rPr>
          <w:rFonts w:hint="eastAsia" w:ascii="宋体" w:hAnsi="宋体"/>
          <w:color w:val="000000" w:themeColor="text1"/>
          <w:lang w:eastAsia="zh-CN"/>
          <w14:textFill>
            <w14:solidFill>
              <w14:schemeClr w14:val="tx1"/>
            </w14:solidFill>
          </w14:textFill>
        </w:rPr>
        <w:t>（</w:t>
      </w:r>
      <w:r>
        <w:rPr>
          <w:rFonts w:hint="eastAsia" w:ascii="宋体" w:hAnsi="宋体"/>
          <w:color w:val="000000" w:themeColor="text1"/>
          <w:lang w:val="en-US" w:eastAsia="zh-CN"/>
          <w14:textFill>
            <w14:solidFill>
              <w14:schemeClr w14:val="tx1"/>
            </w14:solidFill>
          </w14:textFill>
        </w:rPr>
        <w:t>如有</w:t>
      </w:r>
      <w:r>
        <w:rPr>
          <w:rFonts w:hint="eastAsia" w:ascii="宋体" w:hAnsi="宋体"/>
          <w:color w:val="000000" w:themeColor="text1"/>
          <w:lang w:eastAsia="zh-CN"/>
          <w14:textFill>
            <w14:solidFill>
              <w14:schemeClr w14:val="tx1"/>
            </w14:solidFill>
          </w14:textFill>
        </w:rPr>
        <w:t>）</w:t>
      </w:r>
    </w:p>
    <w:p w14:paraId="71147AB9">
      <w:pPr>
        <w:spacing w:line="360" w:lineRule="auto"/>
        <w:rPr>
          <w:rFonts w:ascii="宋体" w:hAnsi="宋体"/>
          <w:b/>
        </w:rPr>
      </w:pPr>
      <w:r>
        <w:rPr>
          <w:rFonts w:hint="eastAsia" w:ascii="宋体" w:hAnsi="宋体"/>
          <w:b/>
        </w:rPr>
        <w:t>三</w:t>
      </w:r>
      <w:r>
        <w:rPr>
          <w:rFonts w:ascii="宋体" w:hAnsi="宋体"/>
          <w:b/>
        </w:rPr>
        <w:t>、技术部分</w:t>
      </w:r>
    </w:p>
    <w:p w14:paraId="2B0869EC">
      <w:pPr>
        <w:spacing w:line="360" w:lineRule="auto"/>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4E802B7B">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370ACD6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0CE66EB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）承诺</w:t>
      </w:r>
    </w:p>
    <w:p w14:paraId="2E915100">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411ABB1F">
      <w:pPr>
        <w:spacing w:line="360" w:lineRule="auto"/>
        <w:ind w:firstLine="420" w:firstLineChars="200"/>
      </w:pPr>
    </w:p>
    <w:p w14:paraId="0340D4AE">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1026" w:name="_Toc224103494"/>
      <w:bookmarkStart w:id="1027" w:name="_Toc430530529"/>
      <w:bookmarkStart w:id="1028" w:name="_Toc287620813"/>
      <w:bookmarkStart w:id="1029" w:name="_Toc277082642"/>
      <w:bookmarkStart w:id="1030" w:name="_Toc287607866"/>
    </w:p>
    <w:p w14:paraId="38C29A4F">
      <w:pPr>
        <w:pStyle w:val="4"/>
        <w:spacing w:line="360" w:lineRule="auto"/>
        <w:jc w:val="center"/>
        <w:rPr>
          <w:rFonts w:ascii="宋体" w:hAnsi="宋体"/>
          <w:b w:val="0"/>
          <w:bCs w:val="0"/>
          <w:sz w:val="44"/>
          <w:szCs w:val="44"/>
        </w:rPr>
      </w:pPr>
      <w:bookmarkStart w:id="1031" w:name="_Toc2677"/>
      <w:r>
        <w:rPr>
          <w:rFonts w:hint="eastAsia" w:ascii="宋体" w:hAnsi="宋体"/>
          <w:b w:val="0"/>
          <w:bCs w:val="0"/>
          <w:sz w:val="44"/>
          <w:szCs w:val="44"/>
        </w:rPr>
        <w:t>一、投标函部分</w:t>
      </w:r>
      <w:bookmarkEnd w:id="1026"/>
      <w:bookmarkEnd w:id="1027"/>
      <w:bookmarkEnd w:id="1028"/>
      <w:bookmarkEnd w:id="1029"/>
      <w:bookmarkEnd w:id="1030"/>
      <w:bookmarkEnd w:id="1031"/>
    </w:p>
    <w:p w14:paraId="379DF653">
      <w:pPr>
        <w:tabs>
          <w:tab w:val="left" w:pos="2580"/>
          <w:tab w:val="left" w:pos="5940"/>
        </w:tabs>
        <w:autoSpaceDE w:val="0"/>
        <w:autoSpaceDN w:val="0"/>
        <w:adjustRightInd w:val="0"/>
        <w:snapToGrid w:val="0"/>
        <w:spacing w:line="360" w:lineRule="auto"/>
        <w:jc w:val="left"/>
        <w:rPr>
          <w:rFonts w:ascii="宋体" w:hAnsi="宋体"/>
          <w:kern w:val="0"/>
          <w:sz w:val="28"/>
          <w:szCs w:val="28"/>
        </w:rPr>
      </w:pPr>
      <w:r>
        <w:rPr>
          <w:rFonts w:ascii="宋体" w:hAnsi="宋体"/>
          <w:kern w:val="0"/>
          <w:sz w:val="28"/>
          <w:szCs w:val="28"/>
        </w:rPr>
        <w:br w:type="page"/>
      </w:r>
    </w:p>
    <w:p w14:paraId="32765185">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6846F96B">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6DC05C5">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2974D8ED">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E90311A">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116F4C0E">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D76D715">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2B884870">
      <w:pPr>
        <w:autoSpaceDE w:val="0"/>
        <w:autoSpaceDN w:val="0"/>
        <w:adjustRightInd w:val="0"/>
        <w:snapToGrid w:val="0"/>
        <w:spacing w:line="360" w:lineRule="auto"/>
        <w:jc w:val="left"/>
        <w:rPr>
          <w:rFonts w:ascii="宋体" w:hAnsi="宋体"/>
          <w:kern w:val="0"/>
          <w:sz w:val="16"/>
          <w:szCs w:val="16"/>
        </w:rPr>
      </w:pPr>
    </w:p>
    <w:p w14:paraId="090DB393">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5C38EB20">
      <w:pPr>
        <w:autoSpaceDE w:val="0"/>
        <w:autoSpaceDN w:val="0"/>
        <w:adjustRightInd w:val="0"/>
        <w:snapToGrid w:val="0"/>
        <w:spacing w:line="360" w:lineRule="auto"/>
        <w:jc w:val="left"/>
        <w:rPr>
          <w:rFonts w:ascii="宋体" w:hAnsi="宋体"/>
          <w:b/>
          <w:kern w:val="0"/>
          <w:sz w:val="20"/>
          <w:szCs w:val="20"/>
        </w:rPr>
      </w:pPr>
    </w:p>
    <w:p w14:paraId="15396EBE">
      <w:pPr>
        <w:autoSpaceDE w:val="0"/>
        <w:autoSpaceDN w:val="0"/>
        <w:adjustRightInd w:val="0"/>
        <w:snapToGrid w:val="0"/>
        <w:spacing w:line="360" w:lineRule="auto"/>
        <w:jc w:val="left"/>
        <w:rPr>
          <w:rFonts w:ascii="宋体" w:hAnsi="宋体"/>
          <w:b/>
          <w:kern w:val="0"/>
          <w:sz w:val="20"/>
          <w:szCs w:val="20"/>
        </w:rPr>
      </w:pPr>
    </w:p>
    <w:p w14:paraId="50F4AA5F">
      <w:pPr>
        <w:autoSpaceDE w:val="0"/>
        <w:autoSpaceDN w:val="0"/>
        <w:adjustRightInd w:val="0"/>
        <w:snapToGrid w:val="0"/>
        <w:spacing w:line="360" w:lineRule="auto"/>
        <w:jc w:val="left"/>
        <w:rPr>
          <w:rFonts w:ascii="宋体" w:hAnsi="宋体"/>
          <w:b/>
          <w:kern w:val="0"/>
          <w:sz w:val="20"/>
          <w:szCs w:val="20"/>
        </w:rPr>
      </w:pPr>
    </w:p>
    <w:p w14:paraId="0A04F9BB">
      <w:pPr>
        <w:autoSpaceDE w:val="0"/>
        <w:autoSpaceDN w:val="0"/>
        <w:adjustRightInd w:val="0"/>
        <w:snapToGrid w:val="0"/>
        <w:spacing w:line="360" w:lineRule="auto"/>
        <w:jc w:val="left"/>
        <w:rPr>
          <w:rFonts w:ascii="宋体" w:hAnsi="宋体"/>
          <w:b/>
          <w:kern w:val="0"/>
          <w:sz w:val="20"/>
          <w:szCs w:val="20"/>
        </w:rPr>
      </w:pPr>
    </w:p>
    <w:p w14:paraId="0F5921BC">
      <w:pPr>
        <w:autoSpaceDE w:val="0"/>
        <w:autoSpaceDN w:val="0"/>
        <w:adjustRightInd w:val="0"/>
        <w:snapToGrid w:val="0"/>
        <w:spacing w:line="360" w:lineRule="auto"/>
        <w:jc w:val="left"/>
        <w:rPr>
          <w:rFonts w:ascii="宋体" w:hAnsi="宋体"/>
          <w:b/>
          <w:kern w:val="0"/>
          <w:sz w:val="20"/>
          <w:szCs w:val="20"/>
        </w:rPr>
      </w:pPr>
    </w:p>
    <w:p w14:paraId="3775ACE6">
      <w:pPr>
        <w:autoSpaceDE w:val="0"/>
        <w:autoSpaceDN w:val="0"/>
        <w:adjustRightInd w:val="0"/>
        <w:snapToGrid w:val="0"/>
        <w:spacing w:line="360" w:lineRule="auto"/>
        <w:jc w:val="left"/>
        <w:rPr>
          <w:rFonts w:ascii="宋体" w:hAnsi="宋体"/>
          <w:b/>
          <w:kern w:val="0"/>
          <w:sz w:val="20"/>
          <w:szCs w:val="20"/>
        </w:rPr>
      </w:pPr>
    </w:p>
    <w:p w14:paraId="18A6466E">
      <w:pPr>
        <w:autoSpaceDE w:val="0"/>
        <w:autoSpaceDN w:val="0"/>
        <w:adjustRightInd w:val="0"/>
        <w:snapToGrid w:val="0"/>
        <w:spacing w:line="360" w:lineRule="auto"/>
        <w:jc w:val="left"/>
        <w:rPr>
          <w:rFonts w:ascii="宋体" w:hAnsi="宋体"/>
          <w:b/>
          <w:kern w:val="0"/>
          <w:sz w:val="20"/>
          <w:szCs w:val="20"/>
        </w:rPr>
      </w:pPr>
    </w:p>
    <w:p w14:paraId="751B1E1B">
      <w:pPr>
        <w:autoSpaceDE w:val="0"/>
        <w:autoSpaceDN w:val="0"/>
        <w:adjustRightInd w:val="0"/>
        <w:snapToGrid w:val="0"/>
        <w:spacing w:line="360" w:lineRule="auto"/>
        <w:jc w:val="left"/>
        <w:rPr>
          <w:rFonts w:ascii="宋体" w:hAnsi="宋体"/>
          <w:b/>
          <w:kern w:val="0"/>
          <w:sz w:val="20"/>
          <w:szCs w:val="20"/>
        </w:rPr>
      </w:pPr>
    </w:p>
    <w:p w14:paraId="47AF9260">
      <w:pPr>
        <w:autoSpaceDE w:val="0"/>
        <w:autoSpaceDN w:val="0"/>
        <w:adjustRightInd w:val="0"/>
        <w:snapToGrid w:val="0"/>
        <w:spacing w:line="360" w:lineRule="auto"/>
        <w:jc w:val="left"/>
        <w:rPr>
          <w:rFonts w:ascii="宋体" w:hAnsi="宋体"/>
          <w:b/>
          <w:kern w:val="0"/>
          <w:sz w:val="20"/>
          <w:szCs w:val="20"/>
        </w:rPr>
      </w:pPr>
    </w:p>
    <w:p w14:paraId="3DAC57AF">
      <w:pPr>
        <w:autoSpaceDE w:val="0"/>
        <w:autoSpaceDN w:val="0"/>
        <w:adjustRightInd w:val="0"/>
        <w:snapToGrid w:val="0"/>
        <w:spacing w:line="360" w:lineRule="auto"/>
        <w:jc w:val="left"/>
        <w:rPr>
          <w:rFonts w:ascii="宋体" w:hAnsi="宋体"/>
          <w:b/>
          <w:kern w:val="0"/>
          <w:sz w:val="20"/>
          <w:szCs w:val="20"/>
        </w:rPr>
      </w:pPr>
    </w:p>
    <w:p w14:paraId="61E6CF06">
      <w:pPr>
        <w:autoSpaceDE w:val="0"/>
        <w:autoSpaceDN w:val="0"/>
        <w:adjustRightInd w:val="0"/>
        <w:snapToGrid w:val="0"/>
        <w:spacing w:line="360" w:lineRule="auto"/>
        <w:jc w:val="left"/>
        <w:rPr>
          <w:rFonts w:ascii="宋体" w:hAnsi="宋体"/>
          <w:b/>
          <w:kern w:val="0"/>
          <w:sz w:val="20"/>
          <w:szCs w:val="20"/>
        </w:rPr>
      </w:pPr>
    </w:p>
    <w:p w14:paraId="5685E5D5">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1EA5C6AD">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222E35F8">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5D1D9B79">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4911D9A4">
      <w:pPr>
        <w:autoSpaceDE w:val="0"/>
        <w:autoSpaceDN w:val="0"/>
        <w:adjustRightInd w:val="0"/>
        <w:snapToGrid w:val="0"/>
        <w:spacing w:line="360" w:lineRule="auto"/>
        <w:jc w:val="left"/>
        <w:rPr>
          <w:rFonts w:ascii="宋体" w:hAnsi="宋体"/>
          <w:kern w:val="0"/>
          <w:sz w:val="24"/>
          <w:szCs w:val="21"/>
        </w:rPr>
      </w:pPr>
    </w:p>
    <w:p w14:paraId="5ADB4B99">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2DC2B907">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（二）</w:t>
      </w:r>
      <w:r>
        <w:rPr>
          <w:rFonts w:hint="eastAsia" w:ascii="宋体" w:hAnsi="宋体"/>
          <w:kern w:val="0"/>
          <w:sz w:val="24"/>
        </w:rPr>
        <w:t>分项报价表</w:t>
      </w:r>
    </w:p>
    <w:p w14:paraId="1EEC3F04">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（三）</w:t>
      </w:r>
      <w:r>
        <w:rPr>
          <w:rFonts w:hint="eastAsia" w:ascii="宋体" w:hAnsi="宋体"/>
          <w:kern w:val="0"/>
          <w:sz w:val="24"/>
          <w:lang w:val="en-US" w:eastAsia="zh-CN"/>
        </w:rPr>
        <w:t>投标报价合理性说明</w:t>
      </w:r>
      <w:r>
        <w:rPr>
          <w:rFonts w:hint="eastAsia" w:ascii="宋体" w:hAnsi="宋体"/>
          <w:kern w:val="0"/>
          <w:sz w:val="24"/>
        </w:rPr>
        <w:t>（如有）</w:t>
      </w:r>
    </w:p>
    <w:p w14:paraId="5C1D852B">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（四）</w:t>
      </w:r>
      <w:r>
        <w:rPr>
          <w:rFonts w:hint="eastAsia" w:ascii="宋体" w:hAnsi="宋体"/>
          <w:kern w:val="0"/>
          <w:sz w:val="24"/>
        </w:rPr>
        <w:t>法定代表人身份证明或授权委托书</w:t>
      </w:r>
    </w:p>
    <w:p w14:paraId="74BDE5FA">
      <w:pPr>
        <w:pStyle w:val="6"/>
        <w:spacing w:before="0" w:after="0" w:line="240" w:lineRule="auto"/>
        <w:jc w:val="center"/>
        <w:rPr>
          <w:rFonts w:ascii="宋体" w:hAnsi="宋体"/>
          <w:b w:val="0"/>
        </w:rPr>
      </w:pPr>
      <w:bookmarkStart w:id="1032" w:name="_Toc509218854"/>
      <w:bookmarkStart w:id="1033" w:name="_Toc534185831"/>
      <w:bookmarkStart w:id="1034" w:name="_Toc287620814"/>
      <w:bookmarkStart w:id="1035" w:name="_Toc430530530"/>
      <w:bookmarkStart w:id="1036" w:name="_Toc224103495"/>
      <w:bookmarkStart w:id="1037" w:name="_Toc277082643"/>
      <w:bookmarkStart w:id="1038" w:name="_Toc287607867"/>
      <w:r>
        <w:rPr>
          <w:rFonts w:ascii="宋体" w:hAnsi="宋体"/>
        </w:rPr>
        <w:br w:type="page"/>
      </w:r>
      <w:bookmarkStart w:id="1039" w:name="_Toc25300"/>
      <w:r>
        <w:rPr>
          <w:rFonts w:hint="eastAsia" w:ascii="宋体" w:hAnsi="宋体"/>
          <w:b w:val="0"/>
          <w:bCs w:val="0"/>
        </w:rPr>
        <w:t>（一）投标函</w:t>
      </w:r>
      <w:bookmarkEnd w:id="1032"/>
      <w:bookmarkEnd w:id="1033"/>
      <w:bookmarkEnd w:id="1034"/>
      <w:bookmarkEnd w:id="1035"/>
      <w:bookmarkEnd w:id="1036"/>
      <w:bookmarkEnd w:id="1037"/>
      <w:bookmarkEnd w:id="1038"/>
      <w:bookmarkEnd w:id="1039"/>
    </w:p>
    <w:p w14:paraId="2D0A78E8">
      <w:pPr>
        <w:tabs>
          <w:tab w:val="left" w:pos="2640"/>
        </w:tabs>
        <w:autoSpaceDE w:val="0"/>
        <w:autoSpaceDN w:val="0"/>
        <w:adjustRightInd w:val="0"/>
        <w:spacing w:line="400" w:lineRule="exact"/>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181CC848">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4325F2BD">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cs="宋体"/>
          <w:color w:val="000000" w:themeColor="text1"/>
          <w:szCs w:val="21"/>
          <w:highlight w:val="none"/>
          <w14:textFill>
            <w14:solidFill>
              <w14:schemeClr w14:val="tx1"/>
            </w14:solidFill>
          </w14:textFill>
        </w:rPr>
      </w:pPr>
      <w:r>
        <w:rPr>
          <w:rFonts w:hint="eastAsia" w:ascii="宋体" w:hAnsi="宋体" w:cs="宋体"/>
          <w:szCs w:val="21"/>
          <w:highlight w:val="none"/>
        </w:rPr>
        <w:t>投标报价为人民币（大写）</w:t>
      </w:r>
      <w:r>
        <w:rPr>
          <w:rFonts w:hint="eastAsia" w:ascii="宋体" w:hAnsi="宋体" w:cs="宋体"/>
          <w:szCs w:val="21"/>
          <w:highlight w:val="none"/>
          <w:u w:val="single"/>
        </w:rPr>
        <w:t xml:space="preserve">        </w:t>
      </w:r>
      <w:r>
        <w:rPr>
          <w:rFonts w:hint="eastAsia" w:ascii="宋体" w:hAnsi="宋体" w:cs="宋体"/>
          <w:szCs w:val="21"/>
          <w:highlight w:val="none"/>
        </w:rPr>
        <w:t>（¥</w:t>
      </w:r>
      <w:r>
        <w:rPr>
          <w:rFonts w:hint="eastAsia" w:ascii="宋体" w:hAnsi="宋体" w:cs="宋体"/>
          <w:szCs w:val="21"/>
          <w:highlight w:val="none"/>
          <w:u w:val="single"/>
        </w:rPr>
        <w:t xml:space="preserve">        </w:t>
      </w:r>
      <w:r>
        <w:rPr>
          <w:rFonts w:hint="eastAsia" w:ascii="宋体" w:hAnsi="宋体" w:cs="宋体"/>
          <w:szCs w:val="21"/>
          <w:highlight w:val="none"/>
        </w:rPr>
        <w:t>），</w:t>
      </w:r>
      <w:r>
        <w:rPr>
          <w:highlight w:val="none"/>
        </w:rPr>
        <w:t>增</w:t>
      </w:r>
      <w:r>
        <w:rPr>
          <w:color w:val="000000" w:themeColor="text1"/>
          <w:highlight w:val="none"/>
          <w14:textFill>
            <w14:solidFill>
              <w14:schemeClr w14:val="tx1"/>
            </w14:solidFill>
          </w14:textFill>
        </w:rPr>
        <w:t>值税</w:t>
      </w:r>
      <w:r>
        <w:rPr>
          <w:color w:val="000000" w:themeColor="text1"/>
          <w:spacing w:val="-3"/>
          <w:highlight w:val="none"/>
          <w14:textFill>
            <w14:solidFill>
              <w14:schemeClr w14:val="tx1"/>
            </w14:solidFill>
          </w14:textFill>
        </w:rPr>
        <w:t>税</w:t>
      </w:r>
      <w:r>
        <w:rPr>
          <w:color w:val="000000" w:themeColor="text1"/>
          <w:highlight w:val="none"/>
          <w14:textFill>
            <w14:solidFill>
              <w14:schemeClr w14:val="tx1"/>
            </w14:solidFill>
          </w14:textFill>
        </w:rPr>
        <w:t>率</w:t>
      </w:r>
      <w:r>
        <w:rPr>
          <w:color w:val="000000" w:themeColor="text1"/>
          <w:spacing w:val="-1"/>
          <w:highlight w:val="none"/>
          <w14:textFill>
            <w14:solidFill>
              <w14:schemeClr w14:val="tx1"/>
            </w14:solidFill>
          </w14:textFill>
        </w:rPr>
        <w:t>为</w:t>
      </w:r>
      <w:r>
        <w:rPr>
          <w:rFonts w:eastAsia="Times New Roman"/>
          <w:color w:val="000000" w:themeColor="text1"/>
          <w:highlight w:val="none"/>
          <w:u w:val="single"/>
          <w14:textFill>
            <w14:solidFill>
              <w14:schemeClr w14:val="tx1"/>
            </w14:solidFill>
          </w14:textFill>
        </w:rPr>
        <w:t xml:space="preserve"> </w:t>
      </w:r>
      <w:r>
        <w:rPr>
          <w:rFonts w:hint="eastAsia" w:eastAsia="宋体"/>
          <w:color w:val="000000" w:themeColor="text1"/>
          <w:highlight w:val="none"/>
          <w:u w:val="single"/>
          <w:lang w:val="en-US" w:eastAsia="zh-CN"/>
          <w14:textFill>
            <w14:solidFill>
              <w14:schemeClr w14:val="tx1"/>
            </w14:solidFill>
          </w14:textFill>
        </w:rPr>
        <w:t>13%</w:t>
      </w:r>
      <w:r>
        <w:rPr>
          <w:rFonts w:hint="eastAsia"/>
          <w:color w:val="000000" w:themeColor="text1"/>
          <w:spacing w:val="-36"/>
          <w:sz w:val="28"/>
          <w:highlight w:val="none"/>
          <w:u w:val="single"/>
          <w14:textFill>
            <w14:solidFill>
              <w14:schemeClr w14:val="tx1"/>
            </w14:solidFill>
          </w14:textFill>
        </w:rPr>
        <w:t xml:space="preserve">  </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pacing w:val="0"/>
          <w:w w:val="100"/>
          <w:sz w:val="21"/>
          <w:szCs w:val="21"/>
          <w:highlight w:val="none"/>
          <w:u w:val="none"/>
          <w:lang w:val="en-US" w:eastAsia="zh-CN"/>
          <w14:textFill>
            <w14:solidFill>
              <w14:schemeClr w14:val="tx1"/>
            </w14:solidFill>
          </w14:textFill>
        </w:rPr>
        <w:t>承担包含</w:t>
      </w:r>
      <w:r>
        <w:rPr>
          <w:rFonts w:hint="eastAsia" w:ascii="宋体" w:hAnsi="宋体" w:cs="宋体"/>
          <w:caps w:val="0"/>
          <w:smallCaps w:val="0"/>
          <w:color w:val="000000" w:themeColor="text1"/>
          <w:spacing w:val="0"/>
          <w:w w:val="100"/>
          <w:sz w:val="21"/>
          <w:szCs w:val="21"/>
          <w:highlight w:val="none"/>
          <w:u w:val="none"/>
          <w:lang w:val="en-US" w:eastAsia="zh-CN"/>
          <w14:textFill>
            <w14:solidFill>
              <w14:schemeClr w14:val="tx1"/>
            </w14:solidFill>
          </w14:textFill>
        </w:rPr>
        <w:t>设计、</w:t>
      </w:r>
      <w:r>
        <w:rPr>
          <w:rFonts w:hint="eastAsia" w:ascii="宋体" w:hAnsi="宋体" w:eastAsia="宋体" w:cs="宋体"/>
          <w:caps w:val="0"/>
          <w:smallCaps w:val="0"/>
          <w:snapToGrid w:val="0"/>
          <w:color w:val="000000" w:themeColor="text1"/>
          <w:kern w:val="0"/>
          <w:szCs w:val="21"/>
          <w:highlight w:val="none"/>
          <w:lang w:val="en-US" w:eastAsia="zh-CN"/>
          <w14:textFill>
            <w14:solidFill>
              <w14:schemeClr w14:val="tx1"/>
            </w14:solidFill>
          </w14:textFill>
        </w:rPr>
        <w:t>制造、供货、安装、调试、验收、办证及在质量保证期服务等一切招标文件约定的内容</w:t>
      </w:r>
      <w:r>
        <w:rPr>
          <w:rFonts w:hint="eastAsia" w:ascii="宋体" w:hAnsi="宋体" w:cs="宋体"/>
          <w:caps w:val="0"/>
          <w:smallCaps w:val="0"/>
          <w:snapToGrid w:val="0"/>
          <w:color w:val="000000" w:themeColor="text1"/>
          <w:kern w:val="0"/>
          <w:szCs w:val="21"/>
          <w:highlight w:val="none"/>
          <w:lang w:val="en-US" w:eastAsia="zh-CN"/>
          <w14:textFill>
            <w14:solidFill>
              <w14:schemeClr w14:val="tx1"/>
            </w14:solidFill>
          </w14:textFill>
        </w:rPr>
        <w:t>。</w:t>
      </w:r>
    </w:p>
    <w:p w14:paraId="6ED570B5">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Cs w:val="21"/>
          <w:highlight w:val="none"/>
        </w:rPr>
      </w:pPr>
      <w:r>
        <w:rPr>
          <w:rFonts w:hint="eastAsia" w:ascii="宋体" w:hAnsi="宋体" w:eastAsia="宋体" w:cs="宋体"/>
          <w:caps w:val="0"/>
          <w:smallCaps w:val="0"/>
          <w:snapToGrid w:val="0"/>
          <w:color w:val="000000" w:themeColor="text1"/>
          <w:kern w:val="0"/>
          <w:szCs w:val="21"/>
          <w:highlight w:val="none"/>
          <w14:textFill>
            <w14:solidFill>
              <w14:schemeClr w14:val="tx1"/>
            </w14:solidFill>
          </w14:textFill>
        </w:rPr>
        <w:t>委托代理人为：</w:t>
      </w:r>
      <w:r>
        <w:rPr>
          <w:rFonts w:hint="eastAsia" w:ascii="宋体" w:hAnsi="宋体" w:eastAsia="宋体" w:cs="宋体"/>
          <w:caps w:val="0"/>
          <w:smallCaps w:val="0"/>
          <w:snapToGrid w:val="0"/>
          <w:color w:val="000000" w:themeColor="text1"/>
          <w:kern w:val="0"/>
          <w:szCs w:val="21"/>
          <w:highlight w:val="none"/>
          <w:u w:val="single"/>
          <w14:textFill>
            <w14:solidFill>
              <w14:schemeClr w14:val="tx1"/>
            </w14:solidFill>
          </w14:textFill>
        </w:rPr>
        <w:t xml:space="preserve">        </w:t>
      </w:r>
      <w:r>
        <w:rPr>
          <w:rFonts w:hint="eastAsia" w:ascii="宋体" w:hAnsi="宋体" w:eastAsia="宋体" w:cs="宋体"/>
          <w:caps w:val="0"/>
          <w:smallCaps w:val="0"/>
          <w:snapToGrid w:val="0"/>
          <w:color w:val="000000" w:themeColor="text1"/>
          <w:kern w:val="0"/>
          <w:szCs w:val="21"/>
          <w:highlight w:val="none"/>
          <w:lang w:eastAsia="zh-CN"/>
          <w14:textFill>
            <w14:solidFill>
              <w14:schemeClr w14:val="tx1"/>
            </w14:solidFill>
          </w14:textFill>
        </w:rPr>
        <w:t>，</w:t>
      </w:r>
      <w:r>
        <w:rPr>
          <w:rFonts w:hint="eastAsia" w:ascii="宋体" w:hAnsi="宋体" w:eastAsia="宋体" w:cs="宋体"/>
          <w:caps w:val="0"/>
          <w:smallCaps w:val="0"/>
          <w:snapToGrid w:val="0"/>
          <w:color w:val="000000" w:themeColor="text1"/>
          <w:kern w:val="0"/>
          <w:szCs w:val="21"/>
          <w:highlight w:val="none"/>
          <w:lang w:val="en-US" w:eastAsia="zh-CN"/>
          <w14:textFill>
            <w14:solidFill>
              <w14:schemeClr w14:val="tx1"/>
            </w14:solidFill>
          </w14:textFill>
        </w:rPr>
        <w:t>身份证号码：</w:t>
      </w:r>
      <w:r>
        <w:rPr>
          <w:rFonts w:hint="eastAsia" w:ascii="宋体" w:hAnsi="宋体" w:eastAsia="宋体" w:cs="宋体"/>
          <w:caps w:val="0"/>
          <w:smallCaps w:val="0"/>
          <w:snapToGrid w:val="0"/>
          <w:color w:val="000000" w:themeColor="text1"/>
          <w:kern w:val="0"/>
          <w:szCs w:val="21"/>
          <w:highlight w:val="none"/>
          <w:u w:val="single"/>
          <w:lang w:val="en-US" w:eastAsia="zh-CN"/>
          <w14:textFill>
            <w14:solidFill>
              <w14:schemeClr w14:val="tx1"/>
            </w14:solidFill>
          </w14:textFill>
        </w:rPr>
        <w:t xml:space="preserve">           </w:t>
      </w:r>
      <w:r>
        <w:rPr>
          <w:rFonts w:hint="eastAsia" w:ascii="宋体" w:hAnsi="宋体" w:eastAsia="宋体" w:cs="宋体"/>
          <w:caps w:val="0"/>
          <w:smallCaps w:val="0"/>
          <w:snapToGrid w:val="0"/>
          <w:color w:val="000000" w:themeColor="text1"/>
          <w:kern w:val="0"/>
          <w:szCs w:val="21"/>
          <w:highlight w:val="none"/>
          <w:u w:val="none"/>
          <w:lang w:val="en-US" w:eastAsia="zh-CN"/>
          <w14:textFill>
            <w14:solidFill>
              <w14:schemeClr w14:val="tx1"/>
            </w14:solidFill>
          </w14:textFill>
        </w:rPr>
        <w:t>，</w:t>
      </w:r>
      <w:r>
        <w:rPr>
          <w:rFonts w:hint="eastAsia" w:ascii="宋体" w:hAnsi="宋体"/>
          <w:snapToGrid w:val="0"/>
          <w:color w:val="000000" w:themeColor="text1"/>
          <w:kern w:val="0"/>
          <w:szCs w:val="21"/>
          <w:highlight w:val="none"/>
          <w14:textFill>
            <w14:solidFill>
              <w14:schemeClr w14:val="tx1"/>
            </w14:solidFill>
          </w14:textFill>
        </w:rPr>
        <w:t>交货地点</w:t>
      </w:r>
      <w:r>
        <w:rPr>
          <w:rFonts w:hint="eastAsia" w:ascii="宋体" w:hAnsi="宋体"/>
          <w:snapToGrid w:val="0"/>
          <w:color w:val="000000" w:themeColor="text1"/>
          <w:kern w:val="0"/>
          <w:szCs w:val="21"/>
          <w:highlight w:val="none"/>
          <w:lang w:eastAsia="zh-CN"/>
          <w14:textFill>
            <w14:solidFill>
              <w14:schemeClr w14:val="tx1"/>
            </w14:solidFill>
          </w14:textFill>
        </w:rPr>
        <w:t>：</w:t>
      </w:r>
      <w:r>
        <w:rPr>
          <w:rFonts w:hint="eastAsia" w:ascii="宋体" w:hAnsi="宋体"/>
          <w:snapToGrid w:val="0"/>
          <w:color w:val="000000" w:themeColor="text1"/>
          <w:kern w:val="0"/>
          <w:szCs w:val="21"/>
          <w:highlight w:val="none"/>
          <w:u w:val="single"/>
          <w14:textFill>
            <w14:solidFill>
              <w14:schemeClr w14:val="tx1"/>
            </w14:solidFill>
          </w14:textFill>
        </w:rPr>
        <w:t>符合招标文件的要求</w:t>
      </w:r>
      <w:r>
        <w:rPr>
          <w:rFonts w:ascii="宋体" w:hAnsi="宋体"/>
          <w:snapToGrid w:val="0"/>
          <w:kern w:val="0"/>
          <w:szCs w:val="21"/>
          <w:highlight w:val="none"/>
        </w:rPr>
        <w:t>，按合同约定</w:t>
      </w:r>
      <w:r>
        <w:rPr>
          <w:rFonts w:hint="eastAsia" w:ascii="宋体" w:hAnsi="宋体"/>
          <w:snapToGrid w:val="0"/>
          <w:kern w:val="0"/>
          <w:szCs w:val="21"/>
          <w:highlight w:val="none"/>
        </w:rPr>
        <w:t>履行义务</w:t>
      </w:r>
      <w:r>
        <w:rPr>
          <w:rFonts w:ascii="宋体" w:hAnsi="宋体"/>
          <w:snapToGrid w:val="0"/>
          <w:kern w:val="0"/>
          <w:szCs w:val="21"/>
          <w:highlight w:val="none"/>
        </w:rPr>
        <w:t>。</w:t>
      </w:r>
    </w:p>
    <w:p w14:paraId="7FF75A66">
      <w:pPr>
        <w:keepNext w:val="0"/>
        <w:keepLines w:val="0"/>
        <w:pageBreakBefore w:val="0"/>
        <w:widowControl w:val="0"/>
        <w:numPr>
          <w:ilvl w:val="0"/>
          <w:numId w:val="7"/>
        </w:numPr>
        <w:kinsoku/>
        <w:wordWrap/>
        <w:overflowPunct/>
        <w:topLinePunct w:val="0"/>
        <w:autoSpaceDE w:val="0"/>
        <w:autoSpaceDN w:val="0"/>
        <w:bidi w:val="0"/>
        <w:adjustRightInd w:val="0"/>
        <w:spacing w:line="400" w:lineRule="exact"/>
        <w:ind w:firstLine="420" w:firstLineChars="200"/>
        <w:textAlignment w:val="auto"/>
        <w:rPr>
          <w:highlight w:val="none"/>
        </w:rPr>
      </w:pPr>
      <w:r>
        <w:rPr>
          <w:highlight w:val="none"/>
        </w:rPr>
        <w:t>我方响应招标文件的全部要求。</w:t>
      </w:r>
    </w:p>
    <w:p w14:paraId="46FCC746">
      <w:pPr>
        <w:keepNext w:val="0"/>
        <w:keepLines w:val="0"/>
        <w:pageBreakBefore w:val="0"/>
        <w:widowControl w:val="0"/>
        <w:tabs>
          <w:tab w:val="left" w:pos="1620"/>
        </w:tabs>
        <w:kinsoku/>
        <w:wordWrap/>
        <w:overflowPunct/>
        <w:topLinePunct w:val="0"/>
        <w:bidi w:val="0"/>
        <w:adjustRightInd w:val="0"/>
        <w:snapToGrid w:val="0"/>
        <w:spacing w:line="400" w:lineRule="exact"/>
        <w:ind w:firstLine="420" w:firstLineChars="200"/>
        <w:jc w:val="left"/>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（1）其中</w:t>
      </w:r>
      <w:r>
        <w:rPr>
          <w:rFonts w:hint="eastAsia" w:ascii="宋体" w:hAnsi="宋体" w:eastAsia="宋体"/>
          <w:snapToGrid w:val="0"/>
          <w:kern w:val="0"/>
          <w:szCs w:val="21"/>
          <w:highlight w:val="none"/>
          <w:u w:val="none"/>
          <w:lang w:val="en-US" w:eastAsia="zh-CN"/>
        </w:rPr>
        <w:t>合同</w:t>
      </w:r>
      <w:r>
        <w:rPr>
          <w:rFonts w:hint="eastAsia" w:ascii="宋体" w:hAnsi="宋体"/>
          <w:snapToGrid w:val="0"/>
          <w:kern w:val="0"/>
          <w:szCs w:val="21"/>
          <w:highlight w:val="none"/>
          <w:u w:val="none"/>
        </w:rPr>
        <w:t>工期</w:t>
      </w:r>
      <w:r>
        <w:rPr>
          <w:rFonts w:hint="eastAsia" w:ascii="宋体" w:hAnsi="宋体"/>
          <w:snapToGrid w:val="0"/>
          <w:kern w:val="0"/>
          <w:szCs w:val="21"/>
          <w:highlight w:val="none"/>
          <w:u w:val="single"/>
          <w:lang w:val="en-US" w:eastAsia="zh-CN"/>
        </w:rPr>
        <w:t xml:space="preserve">       </w:t>
      </w:r>
      <w:r>
        <w:rPr>
          <w:rFonts w:hint="eastAsia" w:ascii="宋体" w:hAnsi="宋体"/>
          <w:snapToGrid w:val="0"/>
          <w:kern w:val="0"/>
          <w:szCs w:val="21"/>
          <w:highlight w:val="none"/>
          <w:u w:val="none"/>
        </w:rPr>
        <w:t>日历天，含设备安装调试工期</w:t>
      </w:r>
      <w:r>
        <w:rPr>
          <w:rFonts w:hint="eastAsia" w:ascii="宋体" w:hAnsi="宋体"/>
          <w:snapToGrid w:val="0"/>
          <w:kern w:val="0"/>
          <w:szCs w:val="21"/>
          <w:highlight w:val="none"/>
          <w:u w:val="single"/>
          <w:lang w:val="en-US" w:eastAsia="zh-CN"/>
        </w:rPr>
        <w:t xml:space="preserve">     </w:t>
      </w:r>
      <w:r>
        <w:rPr>
          <w:rFonts w:hint="eastAsia" w:ascii="宋体" w:hAnsi="宋体"/>
          <w:snapToGrid w:val="0"/>
          <w:kern w:val="0"/>
          <w:szCs w:val="21"/>
          <w:highlight w:val="none"/>
          <w:u w:val="none"/>
        </w:rPr>
        <w:t>日历天</w:t>
      </w:r>
      <w:r>
        <w:rPr>
          <w:rFonts w:hint="eastAsia" w:ascii="宋体" w:hAnsi="宋体" w:eastAsia="宋体" w:cs="宋体"/>
          <w:caps w:val="0"/>
          <w:smallCaps w:val="0"/>
          <w:color w:val="000000"/>
          <w:sz w:val="21"/>
          <w:szCs w:val="21"/>
          <w:highlight w:val="none"/>
          <w:lang w:val="en-US" w:eastAsia="zh-CN"/>
        </w:rPr>
        <w:t>。</w:t>
      </w:r>
    </w:p>
    <w:p w14:paraId="7060DA3B">
      <w:pPr>
        <w:keepNext w:val="0"/>
        <w:keepLines w:val="0"/>
        <w:pageBreakBefore w:val="0"/>
        <w:widowControl w:val="0"/>
        <w:numPr>
          <w:ilvl w:val="0"/>
          <w:numId w:val="0"/>
        </w:numPr>
        <w:kinsoku/>
        <w:wordWrap/>
        <w:overflowPunct/>
        <w:topLinePunct w:val="0"/>
        <w:autoSpaceDE w:val="0"/>
        <w:autoSpaceDN w:val="0"/>
        <w:bidi w:val="0"/>
        <w:adjustRightInd w:val="0"/>
        <w:spacing w:line="400" w:lineRule="exact"/>
        <w:ind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（2）质量保质期：所有设备自验收合格并交付业主使用时起</w:t>
      </w:r>
      <w:r>
        <w:rPr>
          <w:rFonts w:hint="eastAsia" w:ascii="宋体" w:hAnsi="宋体" w:eastAsia="宋体" w:cs="宋体"/>
          <w:caps w:val="0"/>
          <w:smallCaps w:val="0"/>
          <w:color w:val="000000"/>
          <w:kern w:val="2"/>
          <w:sz w:val="21"/>
          <w:szCs w:val="21"/>
          <w:highlight w:val="none"/>
          <w:u w:val="single"/>
          <w:lang w:val="en-US" w:eastAsia="zh-CN" w:bidi="ar-SA"/>
        </w:rPr>
        <w:t xml:space="preserve">  </w:t>
      </w:r>
      <w:r>
        <w:rPr>
          <w:rFonts w:hint="eastAsia" w:ascii="宋体" w:hAnsi="宋体" w:cs="宋体"/>
          <w:caps w:val="0"/>
          <w:smallCaps w:val="0"/>
          <w:color w:val="000000"/>
          <w:kern w:val="2"/>
          <w:sz w:val="21"/>
          <w:szCs w:val="21"/>
          <w:highlight w:val="none"/>
          <w:u w:val="single"/>
          <w:lang w:val="en-US" w:eastAsia="zh-CN" w:bidi="ar-SA"/>
        </w:rPr>
        <w:t xml:space="preserve">  </w:t>
      </w:r>
      <w:r>
        <w:rPr>
          <w:rFonts w:hint="eastAsia" w:ascii="宋体" w:hAnsi="宋体" w:eastAsia="宋体" w:cs="宋体"/>
          <w:caps w:val="0"/>
          <w:smallCaps w:val="0"/>
          <w:color w:val="000000"/>
          <w:kern w:val="2"/>
          <w:sz w:val="21"/>
          <w:szCs w:val="21"/>
          <w:highlight w:val="none"/>
          <w:u w:val="single"/>
          <w:lang w:val="en-US" w:eastAsia="zh-CN" w:bidi="ar-SA"/>
        </w:rPr>
        <w:t xml:space="preserve">  </w:t>
      </w:r>
      <w:r>
        <w:rPr>
          <w:rFonts w:hint="eastAsia" w:ascii="宋体" w:hAnsi="宋体" w:eastAsia="宋体" w:cs="宋体"/>
          <w:caps w:val="0"/>
          <w:smallCaps w:val="0"/>
          <w:color w:val="000000"/>
          <w:kern w:val="2"/>
          <w:sz w:val="21"/>
          <w:szCs w:val="21"/>
          <w:highlight w:val="none"/>
          <w:lang w:val="en-US" w:eastAsia="zh-CN" w:bidi="ar-SA"/>
        </w:rPr>
        <w:t>个月。</w:t>
      </w:r>
    </w:p>
    <w:p w14:paraId="394E98B4">
      <w:pPr>
        <w:keepNext w:val="0"/>
        <w:keepLines w:val="0"/>
        <w:pageBreakBefore w:val="0"/>
        <w:widowControl w:val="0"/>
        <w:numPr>
          <w:ilvl w:val="0"/>
          <w:numId w:val="0"/>
        </w:numPr>
        <w:kinsoku/>
        <w:wordWrap/>
        <w:overflowPunct/>
        <w:topLinePunct w:val="0"/>
        <w:autoSpaceDE w:val="0"/>
        <w:autoSpaceDN w:val="0"/>
        <w:bidi w:val="0"/>
        <w:adjustRightInd w:val="0"/>
        <w:spacing w:line="400" w:lineRule="exact"/>
        <w:ind w:firstLine="420" w:firstLineChars="200"/>
        <w:textAlignment w:val="auto"/>
        <w:rPr>
          <w:rFonts w:hint="eastAsia" w:ascii="宋体" w:hAnsi="宋体" w:cs="宋体"/>
          <w:caps w:val="0"/>
          <w:smallCaps w:val="0"/>
          <w:snapToGrid w:val="0"/>
          <w:color w:val="auto"/>
          <w:kern w:val="0"/>
          <w:sz w:val="21"/>
          <w:szCs w:val="21"/>
          <w:highlight w:val="none"/>
          <w:u w:val="none"/>
          <w:lang w:val="en-US" w:eastAsia="zh-CN"/>
        </w:rPr>
      </w:pPr>
      <w:r>
        <w:rPr>
          <w:rFonts w:hint="eastAsia" w:ascii="宋体" w:hAnsi="宋体" w:cs="宋体"/>
          <w:caps w:val="0"/>
          <w:smallCaps w:val="0"/>
          <w:color w:val="auto"/>
          <w:kern w:val="2"/>
          <w:sz w:val="21"/>
          <w:szCs w:val="21"/>
          <w:highlight w:val="none"/>
          <w:lang w:val="en-US" w:eastAsia="zh-CN" w:bidi="ar-SA"/>
        </w:rPr>
        <w:t>（3）</w:t>
      </w:r>
      <w:r>
        <w:rPr>
          <w:rFonts w:hint="eastAsia" w:ascii="宋体" w:hAnsi="宋体" w:cs="宋体"/>
          <w:caps w:val="0"/>
          <w:smallCaps w:val="0"/>
          <w:snapToGrid w:val="0"/>
          <w:color w:val="auto"/>
          <w:kern w:val="0"/>
          <w:sz w:val="21"/>
          <w:szCs w:val="21"/>
          <w:highlight w:val="none"/>
          <w:lang w:val="en-US" w:eastAsia="zh-CN"/>
        </w:rPr>
        <w:t>预付款：中标后同意按招标文件的付款方式，且中标后预付款支付比例为签约合同价的</w:t>
      </w:r>
      <w:r>
        <w:rPr>
          <w:rFonts w:hint="eastAsia" w:ascii="宋体" w:hAnsi="宋体" w:cs="宋体"/>
          <w:caps w:val="0"/>
          <w:smallCaps w:val="0"/>
          <w:snapToGrid w:val="0"/>
          <w:color w:val="auto"/>
          <w:kern w:val="0"/>
          <w:sz w:val="21"/>
          <w:szCs w:val="21"/>
          <w:highlight w:val="none"/>
          <w:u w:val="single"/>
          <w:lang w:val="en-US" w:eastAsia="zh-CN"/>
        </w:rPr>
        <w:t xml:space="preserve"> 30 </w:t>
      </w:r>
      <w:r>
        <w:rPr>
          <w:rFonts w:hint="eastAsia" w:ascii="宋体" w:hAnsi="宋体" w:cs="宋体"/>
          <w:caps w:val="0"/>
          <w:smallCaps w:val="0"/>
          <w:snapToGrid w:val="0"/>
          <w:color w:val="auto"/>
          <w:kern w:val="0"/>
          <w:sz w:val="21"/>
          <w:szCs w:val="21"/>
          <w:highlight w:val="none"/>
          <w:u w:val="none"/>
          <w:lang w:val="en-US" w:eastAsia="zh-CN"/>
        </w:rPr>
        <w:t>%；</w:t>
      </w:r>
    </w:p>
    <w:p w14:paraId="1BBEDBD1">
      <w:pPr>
        <w:keepNext w:val="0"/>
        <w:keepLines w:val="0"/>
        <w:pageBreakBefore w:val="0"/>
        <w:widowControl w:val="0"/>
        <w:numPr>
          <w:ilvl w:val="0"/>
          <w:numId w:val="0"/>
        </w:numPr>
        <w:kinsoku/>
        <w:wordWrap/>
        <w:overflowPunct/>
        <w:topLinePunct w:val="0"/>
        <w:autoSpaceDE w:val="0"/>
        <w:autoSpaceDN w:val="0"/>
        <w:bidi w:val="0"/>
        <w:adjustRightInd w:val="0"/>
        <w:spacing w:line="400" w:lineRule="exact"/>
        <w:ind w:firstLine="420" w:firstLineChars="200"/>
        <w:textAlignment w:val="auto"/>
      </w:pPr>
      <w:r>
        <w:rPr>
          <w:rFonts w:hint="eastAsia" w:ascii="宋体" w:hAnsi="宋体" w:cs="宋体"/>
          <w:caps w:val="0"/>
          <w:smallCaps w:val="0"/>
          <w:snapToGrid w:val="0"/>
          <w:color w:val="auto"/>
          <w:kern w:val="0"/>
          <w:sz w:val="21"/>
          <w:szCs w:val="21"/>
          <w:highlight w:val="none"/>
          <w:u w:val="none"/>
          <w:lang w:val="en-US" w:eastAsia="zh-CN"/>
        </w:rPr>
        <w:t>(4)</w:t>
      </w:r>
      <w:r>
        <w:rPr>
          <w:rFonts w:hint="eastAsia" w:ascii="宋体" w:hAnsi="宋体" w:eastAsia="宋体" w:cs="宋体"/>
          <w:caps w:val="0"/>
          <w:smallCaps w:val="0"/>
          <w:snapToGrid w:val="0"/>
          <w:color w:val="auto"/>
          <w:kern w:val="0"/>
          <w:sz w:val="21"/>
          <w:szCs w:val="21"/>
          <w:highlight w:val="none"/>
          <w:lang w:val="en-US" w:eastAsia="zh-CN"/>
        </w:rPr>
        <w:t>我方投标中所有设备、部件品牌</w:t>
      </w:r>
      <w:r>
        <w:rPr>
          <w:rFonts w:hint="eastAsia" w:ascii="宋体" w:hAnsi="宋体" w:eastAsia="宋体" w:cs="宋体"/>
          <w:i w:val="0"/>
          <w:iCs w:val="0"/>
          <w:caps w:val="0"/>
          <w:smallCaps w:val="0"/>
          <w:snapToGrid w:val="0"/>
          <w:color w:val="auto"/>
          <w:kern w:val="0"/>
          <w:sz w:val="21"/>
          <w:szCs w:val="21"/>
          <w:highlight w:val="none"/>
          <w:u w:val="single"/>
          <w:lang w:val="en-US" w:eastAsia="zh-CN"/>
        </w:rPr>
        <w:t xml:space="preserve">  </w:t>
      </w:r>
      <w:r>
        <w:rPr>
          <w:rFonts w:hint="eastAsia" w:ascii="宋体" w:hAnsi="宋体" w:eastAsia="宋体" w:cs="宋体"/>
          <w:snapToGrid w:val="0"/>
          <w:color w:val="auto"/>
          <w:kern w:val="0"/>
          <w:szCs w:val="21"/>
          <w:highlight w:val="none"/>
          <w:u w:val="single"/>
        </w:rPr>
        <w:t>□</w:t>
      </w:r>
      <w:r>
        <w:rPr>
          <w:rFonts w:hint="eastAsia" w:ascii="宋体" w:hAnsi="宋体" w:eastAsia="宋体" w:cs="宋体"/>
          <w:i w:val="0"/>
          <w:iCs w:val="0"/>
          <w:caps w:val="0"/>
          <w:smallCaps w:val="0"/>
          <w:snapToGrid w:val="0"/>
          <w:color w:val="auto"/>
          <w:kern w:val="0"/>
          <w:sz w:val="21"/>
          <w:szCs w:val="21"/>
          <w:highlight w:val="none"/>
          <w:u w:val="single"/>
          <w:lang w:val="en-US" w:eastAsia="zh-CN"/>
        </w:rPr>
        <w:t>都满足或</w:t>
      </w:r>
      <w:r>
        <w:rPr>
          <w:rFonts w:hint="eastAsia" w:ascii="宋体" w:hAnsi="宋体" w:eastAsia="宋体" w:cs="宋体"/>
          <w:snapToGrid w:val="0"/>
          <w:color w:val="auto"/>
          <w:kern w:val="0"/>
          <w:szCs w:val="21"/>
          <w:highlight w:val="none"/>
          <w:u w:val="single"/>
        </w:rPr>
        <w:t>□</w:t>
      </w:r>
      <w:r>
        <w:rPr>
          <w:rFonts w:hint="eastAsia" w:ascii="宋体" w:hAnsi="宋体" w:eastAsia="宋体" w:cs="宋体"/>
          <w:i w:val="0"/>
          <w:iCs w:val="0"/>
          <w:caps w:val="0"/>
          <w:smallCaps w:val="0"/>
          <w:snapToGrid w:val="0"/>
          <w:color w:val="auto"/>
          <w:kern w:val="0"/>
          <w:sz w:val="21"/>
          <w:szCs w:val="21"/>
          <w:highlight w:val="none"/>
          <w:u w:val="single"/>
          <w:lang w:val="en-US" w:eastAsia="zh-CN"/>
        </w:rPr>
        <w:t>未满足）</w:t>
      </w:r>
      <w:r>
        <w:rPr>
          <w:rFonts w:hint="eastAsia" w:ascii="宋体" w:hAnsi="宋体" w:eastAsia="宋体" w:cs="宋体"/>
          <w:caps w:val="0"/>
          <w:smallCaps w:val="0"/>
          <w:snapToGrid w:val="0"/>
          <w:color w:val="auto"/>
          <w:kern w:val="0"/>
          <w:sz w:val="21"/>
          <w:szCs w:val="21"/>
          <w:highlight w:val="none"/>
          <w:lang w:val="en-US" w:eastAsia="zh-CN"/>
        </w:rPr>
        <w:t>第五章“</w:t>
      </w:r>
      <w:r>
        <w:rPr>
          <w:rFonts w:hint="eastAsia" w:ascii="宋体" w:hAnsi="宋体" w:cs="宋体"/>
          <w:caps w:val="0"/>
          <w:smallCaps w:val="0"/>
          <w:snapToGrid w:val="0"/>
          <w:color w:val="auto"/>
          <w:kern w:val="0"/>
          <w:sz w:val="21"/>
          <w:szCs w:val="21"/>
          <w:highlight w:val="none"/>
          <w:lang w:val="en-US" w:eastAsia="zh-CN"/>
        </w:rPr>
        <w:t>供货</w:t>
      </w:r>
      <w:r>
        <w:rPr>
          <w:rFonts w:hint="eastAsia" w:ascii="宋体" w:hAnsi="宋体" w:eastAsia="宋体" w:cs="宋体"/>
          <w:caps w:val="0"/>
          <w:smallCaps w:val="0"/>
          <w:snapToGrid w:val="0"/>
          <w:color w:val="auto"/>
          <w:kern w:val="0"/>
          <w:sz w:val="21"/>
          <w:szCs w:val="21"/>
          <w:highlight w:val="none"/>
          <w:lang w:val="en-US" w:eastAsia="zh-CN"/>
        </w:rPr>
        <w:t>要求”的所有设备、部件推荐品牌之一</w:t>
      </w:r>
    </w:p>
    <w:p w14:paraId="149B7334">
      <w:pPr>
        <w:keepNext w:val="0"/>
        <w:keepLines w:val="0"/>
        <w:pageBreakBefore w:val="0"/>
        <w:widowControl w:val="0"/>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4A337975">
      <w:pPr>
        <w:keepNext w:val="0"/>
        <w:keepLines w:val="0"/>
        <w:pageBreakBefore w:val="0"/>
        <w:widowControl w:val="0"/>
        <w:tabs>
          <w:tab w:val="left" w:pos="2730"/>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2CF23264">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47152225">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2802334A">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（2）在签订合同时不向你方提出附加条件；</w:t>
      </w:r>
    </w:p>
    <w:p w14:paraId="5B042B53">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（3）按照招标文件要求提交履约保证金；</w:t>
      </w:r>
    </w:p>
    <w:p w14:paraId="3964C3D3">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（4）在合同约定的期限内完成合同规定的全部义务。</w:t>
      </w:r>
    </w:p>
    <w:p w14:paraId="4BB59D2A">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4112F128">
      <w:pPr>
        <w:pStyle w:val="2"/>
      </w:pPr>
    </w:p>
    <w:p w14:paraId="7152F450">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7A7E0FE">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7A1C6C69">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25D46504">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358463BB">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4029F7D0">
      <w:pPr>
        <w:pStyle w:val="6"/>
        <w:spacing w:before="0" w:after="0" w:line="240" w:lineRule="auto"/>
        <w:jc w:val="both"/>
        <w:rPr>
          <w:rFonts w:ascii="宋体" w:hAnsi="宋体"/>
          <w:b w:val="0"/>
          <w:bCs w:val="0"/>
          <w:szCs w:val="20"/>
        </w:rPr>
      </w:pPr>
      <w:bookmarkStart w:id="1040" w:name="_Toc287607868"/>
      <w:bookmarkStart w:id="1041" w:name="_Toc430530531"/>
      <w:bookmarkStart w:id="1042" w:name="_Toc224103496"/>
      <w:bookmarkStart w:id="1043" w:name="_Toc287620815"/>
      <w:bookmarkStart w:id="1044" w:name="_Toc277082644"/>
      <w:r>
        <w:rPr>
          <w:rFonts w:ascii="宋体" w:hAnsi="宋体"/>
          <w:sz w:val="28"/>
        </w:rPr>
        <w:br w:type="page"/>
      </w:r>
      <w:bookmarkStart w:id="1045" w:name="_Toc534185832"/>
      <w:bookmarkStart w:id="1046" w:name="_Toc509218855"/>
      <w:bookmarkStart w:id="1047" w:name="_Toc223"/>
      <w:r>
        <w:rPr>
          <w:rFonts w:ascii="宋体" w:hAnsi="宋体"/>
          <w:b w:val="0"/>
          <w:bCs w:val="0"/>
        </w:rPr>
        <w:t>（二）</w:t>
      </w:r>
      <w:bookmarkEnd w:id="1040"/>
      <w:bookmarkEnd w:id="1041"/>
      <w:bookmarkEnd w:id="1042"/>
      <w:bookmarkEnd w:id="1043"/>
      <w:bookmarkEnd w:id="1044"/>
      <w:bookmarkEnd w:id="1045"/>
      <w:bookmarkEnd w:id="1046"/>
      <w:r>
        <w:rPr>
          <w:rFonts w:hint="eastAsia" w:ascii="宋体" w:hAnsi="宋体"/>
          <w:b w:val="0"/>
          <w:bCs w:val="0"/>
          <w:szCs w:val="20"/>
        </w:rPr>
        <w:t>分项报价表</w:t>
      </w:r>
      <w:bookmarkEnd w:id="1047"/>
    </w:p>
    <w:p w14:paraId="5ED8EB18"/>
    <w:p w14:paraId="2759D11E">
      <w:pPr>
        <w:pStyle w:val="328"/>
        <w:tabs>
          <w:tab w:val="left" w:pos="805"/>
        </w:tabs>
        <w:spacing w:before="43"/>
        <w:ind w:left="540" w:firstLine="0"/>
        <w:jc w:val="left"/>
        <w:rPr>
          <w:szCs w:val="21"/>
        </w:rPr>
      </w:pPr>
      <w:r>
        <w:rPr>
          <w:rFonts w:hint="eastAsia"/>
          <w:spacing w:val="-3"/>
          <w:szCs w:val="21"/>
        </w:rPr>
        <w:t>1. 分项报价表说明</w:t>
      </w:r>
    </w:p>
    <w:p w14:paraId="3F13090B">
      <w:pPr>
        <w:pStyle w:val="328"/>
        <w:tabs>
          <w:tab w:val="left" w:pos="805"/>
        </w:tabs>
        <w:spacing w:before="151"/>
        <w:ind w:left="540" w:firstLine="0"/>
        <w:jc w:val="left"/>
        <w:rPr>
          <w:szCs w:val="21"/>
        </w:rPr>
      </w:pPr>
      <w:r>
        <w:rPr>
          <w:rFonts w:hint="eastAsia"/>
          <w:spacing w:val="-3"/>
          <w:szCs w:val="21"/>
        </w:rPr>
        <w:t>2. 投标货物分项报价表</w:t>
      </w:r>
    </w:p>
    <w:p w14:paraId="3736755D">
      <w:pPr>
        <w:pStyle w:val="2"/>
        <w:spacing w:before="7"/>
        <w:rPr>
          <w:rFonts w:ascii="宋体" w:hAnsi="宋体" w:cs="宋体"/>
          <w:szCs w:val="21"/>
        </w:rPr>
      </w:pPr>
    </w:p>
    <w:p w14:paraId="49F19BF4">
      <w:pPr>
        <w:pStyle w:val="2"/>
        <w:spacing w:before="37" w:after="57"/>
        <w:ind w:right="274"/>
        <w:jc w:val="center"/>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02A392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CE2657C">
            <w:pPr>
              <w:pStyle w:val="310"/>
              <w:spacing w:line="332" w:lineRule="exact"/>
              <w:ind w:left="115" w:right="108"/>
              <w:jc w:val="center"/>
              <w:rPr>
                <w:bCs/>
                <w:szCs w:val="21"/>
              </w:rPr>
            </w:pPr>
            <w:r>
              <w:rPr>
                <w:rFonts w:hint="eastAsia"/>
                <w:bCs/>
                <w:szCs w:val="21"/>
              </w:rPr>
              <w:t>序号</w:t>
            </w:r>
          </w:p>
        </w:tc>
        <w:tc>
          <w:tcPr>
            <w:tcW w:w="1677" w:type="dxa"/>
            <w:tcBorders>
              <w:right w:val="single" w:color="000000" w:sz="6" w:space="0"/>
            </w:tcBorders>
            <w:vAlign w:val="center"/>
          </w:tcPr>
          <w:p w14:paraId="5B2581D2">
            <w:pPr>
              <w:pStyle w:val="310"/>
              <w:spacing w:line="332" w:lineRule="exact"/>
              <w:jc w:val="center"/>
              <w:rPr>
                <w:bCs/>
                <w:szCs w:val="21"/>
              </w:rPr>
            </w:pPr>
            <w:r>
              <w:rPr>
                <w:rFonts w:hint="eastAsia"/>
                <w:bCs/>
                <w:szCs w:val="21"/>
              </w:rPr>
              <w:t>分项名称</w:t>
            </w:r>
          </w:p>
        </w:tc>
        <w:tc>
          <w:tcPr>
            <w:tcW w:w="1282" w:type="dxa"/>
            <w:tcBorders>
              <w:left w:val="single" w:color="000000" w:sz="6" w:space="0"/>
            </w:tcBorders>
            <w:vAlign w:val="center"/>
          </w:tcPr>
          <w:p w14:paraId="5B1C90AE">
            <w:pPr>
              <w:pStyle w:val="310"/>
              <w:spacing w:line="332" w:lineRule="exact"/>
              <w:jc w:val="center"/>
              <w:rPr>
                <w:bCs/>
                <w:szCs w:val="21"/>
              </w:rPr>
            </w:pPr>
            <w:r>
              <w:rPr>
                <w:spacing w:val="-10"/>
                <w:szCs w:val="21"/>
              </w:rPr>
              <w:t>规格和型号</w:t>
            </w:r>
          </w:p>
        </w:tc>
        <w:tc>
          <w:tcPr>
            <w:tcW w:w="1977" w:type="dxa"/>
            <w:tcBorders>
              <w:left w:val="single" w:color="000000" w:sz="6" w:space="0"/>
            </w:tcBorders>
            <w:vAlign w:val="center"/>
          </w:tcPr>
          <w:p w14:paraId="3A7637DB">
            <w:pPr>
              <w:pStyle w:val="310"/>
              <w:spacing w:line="332" w:lineRule="exact"/>
              <w:jc w:val="center"/>
              <w:rPr>
                <w:bCs/>
                <w:szCs w:val="21"/>
              </w:rPr>
            </w:pPr>
            <w:r>
              <w:rPr>
                <w:rFonts w:hint="eastAsia"/>
                <w:spacing w:val="-10"/>
                <w:szCs w:val="21"/>
              </w:rPr>
              <w:t>品牌或</w:t>
            </w:r>
            <w:r>
              <w:rPr>
                <w:spacing w:val="-10"/>
                <w:szCs w:val="21"/>
              </w:rPr>
              <w:t>制造厂名称</w:t>
            </w:r>
          </w:p>
        </w:tc>
        <w:tc>
          <w:tcPr>
            <w:tcW w:w="873" w:type="dxa"/>
            <w:vAlign w:val="center"/>
          </w:tcPr>
          <w:p w14:paraId="4B64D115">
            <w:pPr>
              <w:pStyle w:val="310"/>
              <w:spacing w:line="332" w:lineRule="exact"/>
              <w:jc w:val="center"/>
              <w:rPr>
                <w:bCs/>
                <w:szCs w:val="21"/>
              </w:rPr>
            </w:pPr>
            <w:r>
              <w:rPr>
                <w:rFonts w:hint="eastAsia"/>
                <w:bCs/>
                <w:szCs w:val="21"/>
              </w:rPr>
              <w:t>数量</w:t>
            </w:r>
          </w:p>
        </w:tc>
        <w:tc>
          <w:tcPr>
            <w:tcW w:w="886" w:type="dxa"/>
            <w:vAlign w:val="center"/>
          </w:tcPr>
          <w:p w14:paraId="125F8D45">
            <w:pPr>
              <w:pStyle w:val="310"/>
              <w:spacing w:line="332" w:lineRule="exact"/>
              <w:jc w:val="center"/>
              <w:rPr>
                <w:bCs/>
                <w:szCs w:val="21"/>
              </w:rPr>
            </w:pPr>
            <w:r>
              <w:rPr>
                <w:rFonts w:hint="eastAsia"/>
                <w:bCs/>
                <w:szCs w:val="21"/>
              </w:rPr>
              <w:t>单价</w:t>
            </w:r>
          </w:p>
        </w:tc>
        <w:tc>
          <w:tcPr>
            <w:tcW w:w="955" w:type="dxa"/>
            <w:vAlign w:val="center"/>
          </w:tcPr>
          <w:p w14:paraId="5DE8CB82">
            <w:pPr>
              <w:pStyle w:val="310"/>
              <w:spacing w:line="332" w:lineRule="exact"/>
              <w:jc w:val="center"/>
              <w:rPr>
                <w:bCs/>
                <w:szCs w:val="21"/>
              </w:rPr>
            </w:pPr>
            <w:r>
              <w:rPr>
                <w:rFonts w:hint="eastAsia"/>
                <w:bCs/>
                <w:szCs w:val="21"/>
              </w:rPr>
              <w:t>合价</w:t>
            </w:r>
          </w:p>
        </w:tc>
        <w:tc>
          <w:tcPr>
            <w:tcW w:w="935" w:type="dxa"/>
            <w:vAlign w:val="center"/>
          </w:tcPr>
          <w:p w14:paraId="70BFE898">
            <w:pPr>
              <w:pStyle w:val="310"/>
              <w:spacing w:line="332" w:lineRule="exact"/>
              <w:jc w:val="center"/>
              <w:rPr>
                <w:bCs/>
                <w:szCs w:val="21"/>
              </w:rPr>
            </w:pPr>
            <w:r>
              <w:rPr>
                <w:rFonts w:hint="eastAsia"/>
                <w:bCs/>
                <w:szCs w:val="21"/>
              </w:rPr>
              <w:t>备注</w:t>
            </w:r>
          </w:p>
        </w:tc>
      </w:tr>
      <w:tr w14:paraId="11D4AD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5E8093D">
            <w:pPr>
              <w:pStyle w:val="310"/>
              <w:spacing w:before="75"/>
              <w:ind w:left="7"/>
              <w:jc w:val="center"/>
              <w:rPr>
                <w:bCs/>
                <w:szCs w:val="21"/>
              </w:rPr>
            </w:pPr>
            <w:r>
              <w:rPr>
                <w:rFonts w:hint="eastAsia"/>
                <w:bCs/>
                <w:szCs w:val="21"/>
              </w:rPr>
              <w:t>1</w:t>
            </w:r>
          </w:p>
        </w:tc>
        <w:tc>
          <w:tcPr>
            <w:tcW w:w="1677" w:type="dxa"/>
            <w:tcBorders>
              <w:right w:val="single" w:color="000000" w:sz="6" w:space="0"/>
            </w:tcBorders>
          </w:tcPr>
          <w:p w14:paraId="46BA11B2">
            <w:pPr>
              <w:pStyle w:val="310"/>
              <w:rPr>
                <w:bCs/>
                <w:szCs w:val="21"/>
              </w:rPr>
            </w:pPr>
          </w:p>
        </w:tc>
        <w:tc>
          <w:tcPr>
            <w:tcW w:w="1282" w:type="dxa"/>
            <w:tcBorders>
              <w:left w:val="single" w:color="000000" w:sz="6" w:space="0"/>
            </w:tcBorders>
          </w:tcPr>
          <w:p w14:paraId="342484E1">
            <w:pPr>
              <w:pStyle w:val="310"/>
              <w:rPr>
                <w:bCs/>
                <w:szCs w:val="21"/>
              </w:rPr>
            </w:pPr>
          </w:p>
        </w:tc>
        <w:tc>
          <w:tcPr>
            <w:tcW w:w="1977" w:type="dxa"/>
            <w:tcBorders>
              <w:left w:val="single" w:color="000000" w:sz="6" w:space="0"/>
            </w:tcBorders>
          </w:tcPr>
          <w:p w14:paraId="25F2DD4F">
            <w:pPr>
              <w:pStyle w:val="310"/>
              <w:rPr>
                <w:bCs/>
                <w:szCs w:val="21"/>
              </w:rPr>
            </w:pPr>
          </w:p>
        </w:tc>
        <w:tc>
          <w:tcPr>
            <w:tcW w:w="873" w:type="dxa"/>
          </w:tcPr>
          <w:p w14:paraId="61799D49">
            <w:pPr>
              <w:pStyle w:val="310"/>
              <w:rPr>
                <w:bCs/>
                <w:szCs w:val="21"/>
              </w:rPr>
            </w:pPr>
          </w:p>
        </w:tc>
        <w:tc>
          <w:tcPr>
            <w:tcW w:w="886" w:type="dxa"/>
          </w:tcPr>
          <w:p w14:paraId="1C1EA972">
            <w:pPr>
              <w:pStyle w:val="310"/>
              <w:rPr>
                <w:bCs/>
                <w:szCs w:val="21"/>
              </w:rPr>
            </w:pPr>
          </w:p>
        </w:tc>
        <w:tc>
          <w:tcPr>
            <w:tcW w:w="955" w:type="dxa"/>
          </w:tcPr>
          <w:p w14:paraId="119BDEA9">
            <w:pPr>
              <w:pStyle w:val="310"/>
              <w:rPr>
                <w:bCs/>
                <w:szCs w:val="21"/>
              </w:rPr>
            </w:pPr>
          </w:p>
        </w:tc>
        <w:tc>
          <w:tcPr>
            <w:tcW w:w="935" w:type="dxa"/>
          </w:tcPr>
          <w:p w14:paraId="08C2C73A">
            <w:pPr>
              <w:pStyle w:val="310"/>
              <w:rPr>
                <w:bCs/>
                <w:szCs w:val="21"/>
              </w:rPr>
            </w:pPr>
          </w:p>
        </w:tc>
      </w:tr>
      <w:tr w14:paraId="02D465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09C37C2">
            <w:pPr>
              <w:pStyle w:val="310"/>
              <w:spacing w:before="75"/>
              <w:ind w:left="7"/>
              <w:jc w:val="center"/>
              <w:rPr>
                <w:bCs/>
                <w:szCs w:val="21"/>
              </w:rPr>
            </w:pPr>
            <w:r>
              <w:rPr>
                <w:rFonts w:hint="eastAsia"/>
                <w:bCs/>
                <w:szCs w:val="21"/>
              </w:rPr>
              <w:t>2</w:t>
            </w:r>
          </w:p>
        </w:tc>
        <w:tc>
          <w:tcPr>
            <w:tcW w:w="1677" w:type="dxa"/>
            <w:tcBorders>
              <w:right w:val="single" w:color="000000" w:sz="6" w:space="0"/>
            </w:tcBorders>
          </w:tcPr>
          <w:p w14:paraId="42DA9D87">
            <w:pPr>
              <w:pStyle w:val="310"/>
              <w:rPr>
                <w:bCs/>
                <w:szCs w:val="21"/>
              </w:rPr>
            </w:pPr>
          </w:p>
        </w:tc>
        <w:tc>
          <w:tcPr>
            <w:tcW w:w="1282" w:type="dxa"/>
            <w:tcBorders>
              <w:left w:val="single" w:color="000000" w:sz="6" w:space="0"/>
            </w:tcBorders>
          </w:tcPr>
          <w:p w14:paraId="214EDA35">
            <w:pPr>
              <w:pStyle w:val="310"/>
              <w:rPr>
                <w:bCs/>
                <w:szCs w:val="21"/>
              </w:rPr>
            </w:pPr>
          </w:p>
        </w:tc>
        <w:tc>
          <w:tcPr>
            <w:tcW w:w="1977" w:type="dxa"/>
            <w:tcBorders>
              <w:left w:val="single" w:color="000000" w:sz="6" w:space="0"/>
            </w:tcBorders>
          </w:tcPr>
          <w:p w14:paraId="21305E52">
            <w:pPr>
              <w:pStyle w:val="310"/>
              <w:rPr>
                <w:bCs/>
                <w:szCs w:val="21"/>
              </w:rPr>
            </w:pPr>
          </w:p>
        </w:tc>
        <w:tc>
          <w:tcPr>
            <w:tcW w:w="873" w:type="dxa"/>
          </w:tcPr>
          <w:p w14:paraId="7EE0D894">
            <w:pPr>
              <w:pStyle w:val="310"/>
              <w:rPr>
                <w:bCs/>
                <w:szCs w:val="21"/>
              </w:rPr>
            </w:pPr>
          </w:p>
        </w:tc>
        <w:tc>
          <w:tcPr>
            <w:tcW w:w="886" w:type="dxa"/>
          </w:tcPr>
          <w:p w14:paraId="40B6D74D">
            <w:pPr>
              <w:pStyle w:val="310"/>
              <w:rPr>
                <w:bCs/>
                <w:szCs w:val="21"/>
              </w:rPr>
            </w:pPr>
          </w:p>
        </w:tc>
        <w:tc>
          <w:tcPr>
            <w:tcW w:w="955" w:type="dxa"/>
          </w:tcPr>
          <w:p w14:paraId="42CEAFBB">
            <w:pPr>
              <w:pStyle w:val="310"/>
              <w:rPr>
                <w:bCs/>
                <w:szCs w:val="21"/>
              </w:rPr>
            </w:pPr>
          </w:p>
        </w:tc>
        <w:tc>
          <w:tcPr>
            <w:tcW w:w="935" w:type="dxa"/>
          </w:tcPr>
          <w:p w14:paraId="05A08B78">
            <w:pPr>
              <w:pStyle w:val="310"/>
              <w:rPr>
                <w:bCs/>
                <w:szCs w:val="21"/>
              </w:rPr>
            </w:pPr>
          </w:p>
        </w:tc>
      </w:tr>
      <w:tr w14:paraId="150113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F4F55FD">
            <w:pPr>
              <w:pStyle w:val="310"/>
              <w:spacing w:before="75"/>
              <w:ind w:left="7"/>
              <w:jc w:val="center"/>
              <w:rPr>
                <w:bCs/>
                <w:szCs w:val="21"/>
              </w:rPr>
            </w:pPr>
            <w:r>
              <w:rPr>
                <w:rFonts w:hint="eastAsia"/>
                <w:bCs/>
                <w:szCs w:val="21"/>
              </w:rPr>
              <w:t>3</w:t>
            </w:r>
          </w:p>
        </w:tc>
        <w:tc>
          <w:tcPr>
            <w:tcW w:w="1677" w:type="dxa"/>
            <w:tcBorders>
              <w:right w:val="single" w:color="000000" w:sz="6" w:space="0"/>
            </w:tcBorders>
          </w:tcPr>
          <w:p w14:paraId="29219BFC">
            <w:pPr>
              <w:pStyle w:val="310"/>
              <w:rPr>
                <w:bCs/>
                <w:szCs w:val="21"/>
              </w:rPr>
            </w:pPr>
          </w:p>
        </w:tc>
        <w:tc>
          <w:tcPr>
            <w:tcW w:w="1282" w:type="dxa"/>
            <w:tcBorders>
              <w:left w:val="single" w:color="000000" w:sz="6" w:space="0"/>
            </w:tcBorders>
          </w:tcPr>
          <w:p w14:paraId="547DF143">
            <w:pPr>
              <w:pStyle w:val="310"/>
              <w:rPr>
                <w:bCs/>
                <w:szCs w:val="21"/>
              </w:rPr>
            </w:pPr>
          </w:p>
        </w:tc>
        <w:tc>
          <w:tcPr>
            <w:tcW w:w="1977" w:type="dxa"/>
            <w:tcBorders>
              <w:left w:val="single" w:color="000000" w:sz="6" w:space="0"/>
            </w:tcBorders>
          </w:tcPr>
          <w:p w14:paraId="3B0A9935">
            <w:pPr>
              <w:pStyle w:val="310"/>
              <w:rPr>
                <w:bCs/>
                <w:szCs w:val="21"/>
              </w:rPr>
            </w:pPr>
          </w:p>
        </w:tc>
        <w:tc>
          <w:tcPr>
            <w:tcW w:w="873" w:type="dxa"/>
          </w:tcPr>
          <w:p w14:paraId="50D9FCF1">
            <w:pPr>
              <w:pStyle w:val="310"/>
              <w:rPr>
                <w:bCs/>
                <w:szCs w:val="21"/>
              </w:rPr>
            </w:pPr>
          </w:p>
        </w:tc>
        <w:tc>
          <w:tcPr>
            <w:tcW w:w="886" w:type="dxa"/>
          </w:tcPr>
          <w:p w14:paraId="77B75C0B">
            <w:pPr>
              <w:pStyle w:val="310"/>
              <w:rPr>
                <w:bCs/>
                <w:szCs w:val="21"/>
              </w:rPr>
            </w:pPr>
          </w:p>
        </w:tc>
        <w:tc>
          <w:tcPr>
            <w:tcW w:w="955" w:type="dxa"/>
          </w:tcPr>
          <w:p w14:paraId="23361875">
            <w:pPr>
              <w:pStyle w:val="310"/>
              <w:rPr>
                <w:bCs/>
                <w:szCs w:val="21"/>
              </w:rPr>
            </w:pPr>
          </w:p>
        </w:tc>
        <w:tc>
          <w:tcPr>
            <w:tcW w:w="935" w:type="dxa"/>
          </w:tcPr>
          <w:p w14:paraId="42F0B30C">
            <w:pPr>
              <w:pStyle w:val="310"/>
              <w:rPr>
                <w:bCs/>
                <w:szCs w:val="21"/>
              </w:rPr>
            </w:pPr>
          </w:p>
        </w:tc>
      </w:tr>
      <w:tr w14:paraId="23804D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24BD778">
            <w:pPr>
              <w:pStyle w:val="310"/>
              <w:spacing w:before="75"/>
              <w:ind w:left="7"/>
              <w:jc w:val="center"/>
              <w:rPr>
                <w:bCs/>
                <w:szCs w:val="21"/>
              </w:rPr>
            </w:pPr>
            <w:r>
              <w:rPr>
                <w:rFonts w:hint="eastAsia"/>
                <w:bCs/>
                <w:szCs w:val="21"/>
              </w:rPr>
              <w:t>4</w:t>
            </w:r>
          </w:p>
        </w:tc>
        <w:tc>
          <w:tcPr>
            <w:tcW w:w="1677" w:type="dxa"/>
            <w:tcBorders>
              <w:right w:val="single" w:color="000000" w:sz="6" w:space="0"/>
            </w:tcBorders>
          </w:tcPr>
          <w:p w14:paraId="0ECD203A">
            <w:pPr>
              <w:pStyle w:val="310"/>
              <w:rPr>
                <w:bCs/>
                <w:szCs w:val="21"/>
              </w:rPr>
            </w:pPr>
          </w:p>
        </w:tc>
        <w:tc>
          <w:tcPr>
            <w:tcW w:w="1282" w:type="dxa"/>
            <w:tcBorders>
              <w:left w:val="single" w:color="000000" w:sz="6" w:space="0"/>
            </w:tcBorders>
          </w:tcPr>
          <w:p w14:paraId="4EF44B6D">
            <w:pPr>
              <w:pStyle w:val="310"/>
              <w:rPr>
                <w:bCs/>
                <w:szCs w:val="21"/>
              </w:rPr>
            </w:pPr>
          </w:p>
        </w:tc>
        <w:tc>
          <w:tcPr>
            <w:tcW w:w="1977" w:type="dxa"/>
            <w:tcBorders>
              <w:left w:val="single" w:color="000000" w:sz="6" w:space="0"/>
            </w:tcBorders>
          </w:tcPr>
          <w:p w14:paraId="4B351A67">
            <w:pPr>
              <w:pStyle w:val="310"/>
              <w:rPr>
                <w:bCs/>
                <w:szCs w:val="21"/>
              </w:rPr>
            </w:pPr>
          </w:p>
        </w:tc>
        <w:tc>
          <w:tcPr>
            <w:tcW w:w="873" w:type="dxa"/>
          </w:tcPr>
          <w:p w14:paraId="2DFCFB12">
            <w:pPr>
              <w:pStyle w:val="310"/>
              <w:rPr>
                <w:bCs/>
                <w:szCs w:val="21"/>
              </w:rPr>
            </w:pPr>
          </w:p>
        </w:tc>
        <w:tc>
          <w:tcPr>
            <w:tcW w:w="886" w:type="dxa"/>
          </w:tcPr>
          <w:p w14:paraId="4CAD5D86">
            <w:pPr>
              <w:pStyle w:val="310"/>
              <w:rPr>
                <w:bCs/>
                <w:szCs w:val="21"/>
              </w:rPr>
            </w:pPr>
          </w:p>
        </w:tc>
        <w:tc>
          <w:tcPr>
            <w:tcW w:w="955" w:type="dxa"/>
          </w:tcPr>
          <w:p w14:paraId="6C7E6F2D">
            <w:pPr>
              <w:pStyle w:val="310"/>
              <w:rPr>
                <w:bCs/>
                <w:szCs w:val="21"/>
              </w:rPr>
            </w:pPr>
          </w:p>
        </w:tc>
        <w:tc>
          <w:tcPr>
            <w:tcW w:w="935" w:type="dxa"/>
          </w:tcPr>
          <w:p w14:paraId="5C0CB0EF">
            <w:pPr>
              <w:pStyle w:val="310"/>
              <w:rPr>
                <w:bCs/>
                <w:szCs w:val="21"/>
              </w:rPr>
            </w:pPr>
          </w:p>
        </w:tc>
      </w:tr>
      <w:tr w14:paraId="248B91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F457877">
            <w:pPr>
              <w:pStyle w:val="310"/>
              <w:spacing w:before="75"/>
              <w:ind w:left="7"/>
              <w:jc w:val="center"/>
              <w:rPr>
                <w:bCs/>
                <w:szCs w:val="21"/>
              </w:rPr>
            </w:pPr>
            <w:r>
              <w:rPr>
                <w:rFonts w:hint="eastAsia"/>
                <w:bCs/>
                <w:szCs w:val="21"/>
              </w:rPr>
              <w:t>5</w:t>
            </w:r>
          </w:p>
        </w:tc>
        <w:tc>
          <w:tcPr>
            <w:tcW w:w="1677" w:type="dxa"/>
            <w:tcBorders>
              <w:right w:val="single" w:color="000000" w:sz="6" w:space="0"/>
            </w:tcBorders>
          </w:tcPr>
          <w:p w14:paraId="54EC4CB6">
            <w:pPr>
              <w:pStyle w:val="310"/>
              <w:rPr>
                <w:bCs/>
                <w:szCs w:val="21"/>
              </w:rPr>
            </w:pPr>
          </w:p>
        </w:tc>
        <w:tc>
          <w:tcPr>
            <w:tcW w:w="1282" w:type="dxa"/>
            <w:tcBorders>
              <w:left w:val="single" w:color="000000" w:sz="6" w:space="0"/>
            </w:tcBorders>
          </w:tcPr>
          <w:p w14:paraId="3EEE7618">
            <w:pPr>
              <w:pStyle w:val="310"/>
              <w:rPr>
                <w:bCs/>
                <w:szCs w:val="21"/>
              </w:rPr>
            </w:pPr>
          </w:p>
        </w:tc>
        <w:tc>
          <w:tcPr>
            <w:tcW w:w="1977" w:type="dxa"/>
            <w:tcBorders>
              <w:left w:val="single" w:color="000000" w:sz="6" w:space="0"/>
            </w:tcBorders>
          </w:tcPr>
          <w:p w14:paraId="251E55A8">
            <w:pPr>
              <w:pStyle w:val="310"/>
              <w:rPr>
                <w:bCs/>
                <w:szCs w:val="21"/>
              </w:rPr>
            </w:pPr>
          </w:p>
        </w:tc>
        <w:tc>
          <w:tcPr>
            <w:tcW w:w="873" w:type="dxa"/>
          </w:tcPr>
          <w:p w14:paraId="7CCD317A">
            <w:pPr>
              <w:pStyle w:val="310"/>
              <w:rPr>
                <w:bCs/>
                <w:szCs w:val="21"/>
              </w:rPr>
            </w:pPr>
          </w:p>
        </w:tc>
        <w:tc>
          <w:tcPr>
            <w:tcW w:w="886" w:type="dxa"/>
          </w:tcPr>
          <w:p w14:paraId="5E718B61">
            <w:pPr>
              <w:pStyle w:val="310"/>
              <w:rPr>
                <w:bCs/>
                <w:szCs w:val="21"/>
              </w:rPr>
            </w:pPr>
          </w:p>
        </w:tc>
        <w:tc>
          <w:tcPr>
            <w:tcW w:w="955" w:type="dxa"/>
          </w:tcPr>
          <w:p w14:paraId="09478A50">
            <w:pPr>
              <w:pStyle w:val="310"/>
              <w:rPr>
                <w:bCs/>
                <w:szCs w:val="21"/>
              </w:rPr>
            </w:pPr>
          </w:p>
        </w:tc>
        <w:tc>
          <w:tcPr>
            <w:tcW w:w="935" w:type="dxa"/>
          </w:tcPr>
          <w:p w14:paraId="1CF7E80B">
            <w:pPr>
              <w:pStyle w:val="310"/>
              <w:rPr>
                <w:bCs/>
                <w:szCs w:val="21"/>
              </w:rPr>
            </w:pPr>
          </w:p>
        </w:tc>
      </w:tr>
      <w:tr w14:paraId="399214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77B6C179">
            <w:pPr>
              <w:pStyle w:val="310"/>
              <w:spacing w:before="75"/>
              <w:ind w:left="120" w:right="108"/>
              <w:jc w:val="center"/>
              <w:rPr>
                <w:bCs/>
                <w:i/>
                <w:szCs w:val="21"/>
              </w:rPr>
            </w:pPr>
            <w:r>
              <w:rPr>
                <w:rFonts w:hint="eastAsia"/>
                <w:bCs/>
                <w:iCs/>
                <w:w w:val="115"/>
                <w:szCs w:val="21"/>
              </w:rPr>
              <w:t>…</w:t>
            </w:r>
          </w:p>
        </w:tc>
        <w:tc>
          <w:tcPr>
            <w:tcW w:w="1677" w:type="dxa"/>
            <w:tcBorders>
              <w:right w:val="single" w:color="000000" w:sz="6" w:space="0"/>
            </w:tcBorders>
          </w:tcPr>
          <w:p w14:paraId="6BA6CB5F">
            <w:pPr>
              <w:pStyle w:val="310"/>
              <w:spacing w:before="75"/>
              <w:ind w:left="339" w:right="328"/>
              <w:jc w:val="center"/>
              <w:rPr>
                <w:bCs/>
                <w:i/>
                <w:szCs w:val="21"/>
              </w:rPr>
            </w:pPr>
            <w:r>
              <w:rPr>
                <w:rFonts w:hint="eastAsia"/>
                <w:bCs/>
                <w:iCs/>
                <w:w w:val="115"/>
                <w:szCs w:val="21"/>
              </w:rPr>
              <w:t>……</w:t>
            </w:r>
          </w:p>
        </w:tc>
        <w:tc>
          <w:tcPr>
            <w:tcW w:w="1282" w:type="dxa"/>
            <w:tcBorders>
              <w:left w:val="single" w:color="000000" w:sz="6" w:space="0"/>
            </w:tcBorders>
          </w:tcPr>
          <w:p w14:paraId="1F746D7B">
            <w:pPr>
              <w:pStyle w:val="310"/>
              <w:rPr>
                <w:bCs/>
                <w:szCs w:val="21"/>
              </w:rPr>
            </w:pPr>
          </w:p>
        </w:tc>
        <w:tc>
          <w:tcPr>
            <w:tcW w:w="1977" w:type="dxa"/>
            <w:tcBorders>
              <w:left w:val="single" w:color="000000" w:sz="6" w:space="0"/>
            </w:tcBorders>
          </w:tcPr>
          <w:p w14:paraId="067B5E75">
            <w:pPr>
              <w:pStyle w:val="310"/>
              <w:rPr>
                <w:bCs/>
                <w:szCs w:val="21"/>
              </w:rPr>
            </w:pPr>
          </w:p>
        </w:tc>
        <w:tc>
          <w:tcPr>
            <w:tcW w:w="873" w:type="dxa"/>
          </w:tcPr>
          <w:p w14:paraId="6F6755BC">
            <w:pPr>
              <w:pStyle w:val="310"/>
              <w:rPr>
                <w:bCs/>
                <w:szCs w:val="21"/>
              </w:rPr>
            </w:pPr>
          </w:p>
        </w:tc>
        <w:tc>
          <w:tcPr>
            <w:tcW w:w="886" w:type="dxa"/>
          </w:tcPr>
          <w:p w14:paraId="402039C2">
            <w:pPr>
              <w:pStyle w:val="310"/>
              <w:rPr>
                <w:bCs/>
                <w:szCs w:val="21"/>
              </w:rPr>
            </w:pPr>
          </w:p>
        </w:tc>
        <w:tc>
          <w:tcPr>
            <w:tcW w:w="955" w:type="dxa"/>
          </w:tcPr>
          <w:p w14:paraId="36F38109">
            <w:pPr>
              <w:pStyle w:val="310"/>
              <w:rPr>
                <w:bCs/>
                <w:szCs w:val="21"/>
              </w:rPr>
            </w:pPr>
          </w:p>
        </w:tc>
        <w:tc>
          <w:tcPr>
            <w:tcW w:w="935" w:type="dxa"/>
          </w:tcPr>
          <w:p w14:paraId="1994F10B">
            <w:pPr>
              <w:pStyle w:val="310"/>
              <w:rPr>
                <w:bCs/>
                <w:szCs w:val="21"/>
              </w:rPr>
            </w:pPr>
          </w:p>
        </w:tc>
      </w:tr>
      <w:tr w14:paraId="5BF964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27DFF813">
            <w:pPr>
              <w:pStyle w:val="310"/>
              <w:spacing w:line="329" w:lineRule="exact"/>
              <w:jc w:val="center"/>
              <w:rPr>
                <w:bCs/>
                <w:szCs w:val="21"/>
              </w:rPr>
            </w:pPr>
            <w:r>
              <w:rPr>
                <w:rFonts w:hint="eastAsia"/>
                <w:bCs/>
                <w:szCs w:val="21"/>
              </w:rPr>
              <w:t>投标总报价</w:t>
            </w:r>
          </w:p>
        </w:tc>
        <w:tc>
          <w:tcPr>
            <w:tcW w:w="955" w:type="dxa"/>
            <w:vAlign w:val="center"/>
          </w:tcPr>
          <w:p w14:paraId="7F176D27">
            <w:pPr>
              <w:pStyle w:val="310"/>
              <w:jc w:val="center"/>
              <w:rPr>
                <w:bCs/>
                <w:szCs w:val="21"/>
              </w:rPr>
            </w:pPr>
          </w:p>
        </w:tc>
        <w:tc>
          <w:tcPr>
            <w:tcW w:w="935" w:type="dxa"/>
            <w:vAlign w:val="center"/>
          </w:tcPr>
          <w:p w14:paraId="2EA8FA54">
            <w:pPr>
              <w:pStyle w:val="310"/>
              <w:jc w:val="center"/>
              <w:rPr>
                <w:bCs/>
                <w:szCs w:val="21"/>
              </w:rPr>
            </w:pPr>
          </w:p>
        </w:tc>
      </w:tr>
    </w:tbl>
    <w:p w14:paraId="607ABE30">
      <w:pPr>
        <w:spacing w:line="360" w:lineRule="auto"/>
        <w:rPr>
          <w:rFonts w:ascii="宋体" w:hAnsi="宋体"/>
          <w:snapToGrid w:val="0"/>
          <w:w w:val="99"/>
        </w:rPr>
      </w:pPr>
    </w:p>
    <w:p w14:paraId="4D9EF170">
      <w:pPr>
        <w:pStyle w:val="2"/>
      </w:pPr>
    </w:p>
    <w:p w14:paraId="111E2129">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bookmarkStart w:id="1048"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5BBCB05E">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F220E4F">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9FA441A">
      <w:pPr>
        <w:pStyle w:val="328"/>
        <w:tabs>
          <w:tab w:val="left" w:pos="805"/>
        </w:tabs>
        <w:spacing w:before="151"/>
        <w:ind w:left="540" w:firstLine="0"/>
        <w:jc w:val="left"/>
        <w:rPr>
          <w:spacing w:val="-3"/>
          <w:szCs w:val="21"/>
        </w:rPr>
      </w:pPr>
    </w:p>
    <w:bookmarkEnd w:id="1048"/>
    <w:p w14:paraId="600FDA22">
      <w:pPr>
        <w:pStyle w:val="328"/>
        <w:tabs>
          <w:tab w:val="left" w:pos="805"/>
        </w:tabs>
        <w:spacing w:before="151"/>
        <w:ind w:left="0" w:leftChars="0" w:firstLine="0" w:firstLineChars="0"/>
        <w:jc w:val="left"/>
        <w:rPr>
          <w:spacing w:val="-3"/>
          <w:szCs w:val="21"/>
        </w:rPr>
      </w:pPr>
      <w:r>
        <w:rPr>
          <w:rFonts w:hint="eastAsia"/>
          <w:szCs w:val="21"/>
          <w:lang w:val="en-US" w:eastAsia="zh-CN"/>
        </w:rPr>
        <w:t>3</w:t>
      </w:r>
      <w:r>
        <w:rPr>
          <w:rFonts w:hint="eastAsia"/>
          <w:spacing w:val="-3"/>
          <w:szCs w:val="21"/>
        </w:rPr>
        <w:t>. 专用工具清单及报价表（</w:t>
      </w:r>
      <w:r>
        <w:rPr>
          <w:rFonts w:hint="eastAsia"/>
          <w:b/>
          <w:bCs/>
          <w:spacing w:val="-3"/>
          <w:szCs w:val="21"/>
        </w:rPr>
        <w:t>含入投标总价</w:t>
      </w:r>
      <w:r>
        <w:rPr>
          <w:rFonts w:hint="eastAsia"/>
          <w:spacing w:val="-3"/>
          <w:szCs w:val="21"/>
        </w:rPr>
        <w:t>）</w:t>
      </w:r>
    </w:p>
    <w:p w14:paraId="3E7829C2">
      <w:pPr>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546"/>
        <w:gridCol w:w="2188"/>
        <w:gridCol w:w="882"/>
        <w:gridCol w:w="1417"/>
        <w:gridCol w:w="1416"/>
      </w:tblGrid>
      <w:tr w14:paraId="552AF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2B6B684D">
            <w:pPr>
              <w:jc w:val="center"/>
              <w:rPr>
                <w:rFonts w:ascii="宋体" w:hAnsi="宋体"/>
                <w:spacing w:val="-10"/>
                <w:szCs w:val="21"/>
              </w:rPr>
            </w:pPr>
            <w:r>
              <w:rPr>
                <w:rFonts w:ascii="宋体" w:hAnsi="宋体"/>
                <w:spacing w:val="-10"/>
                <w:szCs w:val="21"/>
              </w:rPr>
              <w:t>序号</w:t>
            </w:r>
          </w:p>
        </w:tc>
        <w:tc>
          <w:tcPr>
            <w:tcW w:w="1260" w:type="dxa"/>
            <w:vAlign w:val="center"/>
          </w:tcPr>
          <w:p w14:paraId="15E47945">
            <w:pPr>
              <w:jc w:val="center"/>
              <w:rPr>
                <w:rFonts w:ascii="宋体" w:hAnsi="宋体"/>
                <w:spacing w:val="-10"/>
                <w:szCs w:val="21"/>
              </w:rPr>
            </w:pPr>
            <w:r>
              <w:rPr>
                <w:rFonts w:ascii="宋体" w:hAnsi="宋体"/>
                <w:spacing w:val="-10"/>
                <w:szCs w:val="21"/>
              </w:rPr>
              <w:t>名称</w:t>
            </w:r>
          </w:p>
        </w:tc>
        <w:tc>
          <w:tcPr>
            <w:tcW w:w="1546" w:type="dxa"/>
            <w:vAlign w:val="center"/>
          </w:tcPr>
          <w:p w14:paraId="687AE3D3">
            <w:pPr>
              <w:jc w:val="center"/>
              <w:rPr>
                <w:rFonts w:ascii="宋体" w:hAnsi="宋体"/>
                <w:spacing w:val="-10"/>
                <w:szCs w:val="21"/>
              </w:rPr>
            </w:pPr>
            <w:r>
              <w:rPr>
                <w:rFonts w:ascii="宋体" w:hAnsi="宋体"/>
                <w:spacing w:val="-10"/>
                <w:szCs w:val="21"/>
              </w:rPr>
              <w:t>规格和型号</w:t>
            </w:r>
          </w:p>
        </w:tc>
        <w:tc>
          <w:tcPr>
            <w:tcW w:w="2188" w:type="dxa"/>
            <w:vAlign w:val="center"/>
          </w:tcPr>
          <w:p w14:paraId="0AE250AF">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882" w:type="dxa"/>
            <w:vAlign w:val="center"/>
          </w:tcPr>
          <w:p w14:paraId="2531AEA3">
            <w:pPr>
              <w:jc w:val="center"/>
              <w:rPr>
                <w:rFonts w:ascii="宋体" w:hAnsi="宋体"/>
                <w:spacing w:val="-10"/>
                <w:szCs w:val="21"/>
              </w:rPr>
            </w:pPr>
            <w:r>
              <w:rPr>
                <w:rFonts w:ascii="宋体" w:hAnsi="宋体"/>
                <w:spacing w:val="-10"/>
                <w:szCs w:val="21"/>
              </w:rPr>
              <w:t>数量</w:t>
            </w:r>
          </w:p>
        </w:tc>
        <w:tc>
          <w:tcPr>
            <w:tcW w:w="1417" w:type="dxa"/>
            <w:vAlign w:val="center"/>
          </w:tcPr>
          <w:p w14:paraId="72D564E7">
            <w:pPr>
              <w:jc w:val="center"/>
              <w:rPr>
                <w:rFonts w:ascii="宋体" w:hAnsi="宋体"/>
                <w:spacing w:val="-10"/>
                <w:szCs w:val="21"/>
              </w:rPr>
            </w:pPr>
            <w:r>
              <w:rPr>
                <w:rFonts w:ascii="宋体" w:hAnsi="宋体"/>
                <w:spacing w:val="-10"/>
                <w:szCs w:val="21"/>
              </w:rPr>
              <w:t>单价</w:t>
            </w:r>
          </w:p>
        </w:tc>
        <w:tc>
          <w:tcPr>
            <w:tcW w:w="1416" w:type="dxa"/>
            <w:vAlign w:val="center"/>
          </w:tcPr>
          <w:p w14:paraId="057B2911">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0798A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A2FCC91">
            <w:pPr>
              <w:spacing w:line="336" w:lineRule="auto"/>
              <w:jc w:val="center"/>
              <w:rPr>
                <w:rFonts w:ascii="宋体" w:hAnsi="宋体"/>
                <w:szCs w:val="21"/>
              </w:rPr>
            </w:pPr>
            <w:r>
              <w:rPr>
                <w:rFonts w:ascii="宋体" w:hAnsi="宋体"/>
                <w:szCs w:val="21"/>
              </w:rPr>
              <w:t>1</w:t>
            </w:r>
          </w:p>
        </w:tc>
        <w:tc>
          <w:tcPr>
            <w:tcW w:w="1260" w:type="dxa"/>
          </w:tcPr>
          <w:p w14:paraId="0A1E6CFE">
            <w:pPr>
              <w:spacing w:line="336" w:lineRule="auto"/>
              <w:rPr>
                <w:rFonts w:ascii="宋体" w:hAnsi="宋体"/>
                <w:szCs w:val="21"/>
              </w:rPr>
            </w:pPr>
          </w:p>
        </w:tc>
        <w:tc>
          <w:tcPr>
            <w:tcW w:w="1546" w:type="dxa"/>
          </w:tcPr>
          <w:p w14:paraId="12F516D2">
            <w:pPr>
              <w:spacing w:line="336" w:lineRule="auto"/>
              <w:rPr>
                <w:rFonts w:ascii="宋体" w:hAnsi="宋体"/>
                <w:szCs w:val="21"/>
              </w:rPr>
            </w:pPr>
          </w:p>
        </w:tc>
        <w:tc>
          <w:tcPr>
            <w:tcW w:w="2188" w:type="dxa"/>
          </w:tcPr>
          <w:p w14:paraId="07ED4B5E">
            <w:pPr>
              <w:spacing w:line="336" w:lineRule="auto"/>
              <w:rPr>
                <w:rFonts w:ascii="宋体" w:hAnsi="宋体"/>
                <w:szCs w:val="21"/>
              </w:rPr>
            </w:pPr>
          </w:p>
        </w:tc>
        <w:tc>
          <w:tcPr>
            <w:tcW w:w="882" w:type="dxa"/>
          </w:tcPr>
          <w:p w14:paraId="005F6E89">
            <w:pPr>
              <w:spacing w:line="336" w:lineRule="auto"/>
              <w:rPr>
                <w:rFonts w:ascii="宋体" w:hAnsi="宋体"/>
                <w:szCs w:val="21"/>
              </w:rPr>
            </w:pPr>
          </w:p>
        </w:tc>
        <w:tc>
          <w:tcPr>
            <w:tcW w:w="1417" w:type="dxa"/>
          </w:tcPr>
          <w:p w14:paraId="5ACC714B">
            <w:pPr>
              <w:spacing w:line="336" w:lineRule="auto"/>
              <w:rPr>
                <w:rFonts w:ascii="宋体" w:hAnsi="宋体"/>
                <w:szCs w:val="21"/>
              </w:rPr>
            </w:pPr>
          </w:p>
        </w:tc>
        <w:tc>
          <w:tcPr>
            <w:tcW w:w="1416" w:type="dxa"/>
          </w:tcPr>
          <w:p w14:paraId="2C5B4D05">
            <w:pPr>
              <w:spacing w:line="336" w:lineRule="auto"/>
              <w:rPr>
                <w:rFonts w:ascii="宋体" w:hAnsi="宋体"/>
                <w:szCs w:val="21"/>
              </w:rPr>
            </w:pPr>
          </w:p>
        </w:tc>
      </w:tr>
      <w:tr w14:paraId="1C2A1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561FBD71">
            <w:pPr>
              <w:spacing w:line="336" w:lineRule="auto"/>
              <w:jc w:val="center"/>
              <w:rPr>
                <w:rFonts w:ascii="宋体" w:hAnsi="宋体"/>
                <w:szCs w:val="21"/>
              </w:rPr>
            </w:pPr>
            <w:r>
              <w:rPr>
                <w:rFonts w:ascii="宋体" w:hAnsi="宋体"/>
                <w:szCs w:val="21"/>
              </w:rPr>
              <w:t>2</w:t>
            </w:r>
          </w:p>
        </w:tc>
        <w:tc>
          <w:tcPr>
            <w:tcW w:w="1260" w:type="dxa"/>
          </w:tcPr>
          <w:p w14:paraId="05F3A379">
            <w:pPr>
              <w:spacing w:line="336" w:lineRule="auto"/>
              <w:rPr>
                <w:rFonts w:ascii="宋体" w:hAnsi="宋体"/>
                <w:szCs w:val="21"/>
              </w:rPr>
            </w:pPr>
          </w:p>
        </w:tc>
        <w:tc>
          <w:tcPr>
            <w:tcW w:w="1546" w:type="dxa"/>
          </w:tcPr>
          <w:p w14:paraId="15F5D62F">
            <w:pPr>
              <w:spacing w:line="336" w:lineRule="auto"/>
              <w:rPr>
                <w:rFonts w:ascii="宋体" w:hAnsi="宋体"/>
                <w:szCs w:val="21"/>
              </w:rPr>
            </w:pPr>
          </w:p>
        </w:tc>
        <w:tc>
          <w:tcPr>
            <w:tcW w:w="2188" w:type="dxa"/>
          </w:tcPr>
          <w:p w14:paraId="67338A90">
            <w:pPr>
              <w:spacing w:line="336" w:lineRule="auto"/>
              <w:rPr>
                <w:rFonts w:ascii="宋体" w:hAnsi="宋体"/>
                <w:szCs w:val="21"/>
              </w:rPr>
            </w:pPr>
          </w:p>
        </w:tc>
        <w:tc>
          <w:tcPr>
            <w:tcW w:w="882" w:type="dxa"/>
          </w:tcPr>
          <w:p w14:paraId="629CEE38">
            <w:pPr>
              <w:spacing w:line="336" w:lineRule="auto"/>
              <w:rPr>
                <w:rFonts w:ascii="宋体" w:hAnsi="宋体"/>
                <w:szCs w:val="21"/>
              </w:rPr>
            </w:pPr>
          </w:p>
        </w:tc>
        <w:tc>
          <w:tcPr>
            <w:tcW w:w="1417" w:type="dxa"/>
          </w:tcPr>
          <w:p w14:paraId="4BA1941A">
            <w:pPr>
              <w:spacing w:line="336" w:lineRule="auto"/>
              <w:rPr>
                <w:rFonts w:ascii="宋体" w:hAnsi="宋体"/>
                <w:szCs w:val="21"/>
              </w:rPr>
            </w:pPr>
          </w:p>
        </w:tc>
        <w:tc>
          <w:tcPr>
            <w:tcW w:w="1416" w:type="dxa"/>
          </w:tcPr>
          <w:p w14:paraId="4B1FF6F5">
            <w:pPr>
              <w:spacing w:line="336" w:lineRule="auto"/>
              <w:rPr>
                <w:rFonts w:ascii="宋体" w:hAnsi="宋体"/>
                <w:szCs w:val="21"/>
              </w:rPr>
            </w:pPr>
          </w:p>
        </w:tc>
      </w:tr>
      <w:tr w14:paraId="50BD5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47375966">
            <w:pPr>
              <w:spacing w:line="336" w:lineRule="auto"/>
              <w:jc w:val="center"/>
              <w:rPr>
                <w:rFonts w:ascii="宋体" w:hAnsi="宋体"/>
                <w:szCs w:val="21"/>
              </w:rPr>
            </w:pPr>
            <w:r>
              <w:rPr>
                <w:rFonts w:ascii="宋体" w:hAnsi="宋体"/>
                <w:szCs w:val="21"/>
              </w:rPr>
              <w:t>3</w:t>
            </w:r>
          </w:p>
        </w:tc>
        <w:tc>
          <w:tcPr>
            <w:tcW w:w="1260" w:type="dxa"/>
          </w:tcPr>
          <w:p w14:paraId="139F8B4D">
            <w:pPr>
              <w:spacing w:line="336" w:lineRule="auto"/>
              <w:rPr>
                <w:rFonts w:ascii="宋体" w:hAnsi="宋体"/>
                <w:szCs w:val="21"/>
              </w:rPr>
            </w:pPr>
          </w:p>
        </w:tc>
        <w:tc>
          <w:tcPr>
            <w:tcW w:w="1546" w:type="dxa"/>
          </w:tcPr>
          <w:p w14:paraId="2D34B365">
            <w:pPr>
              <w:spacing w:line="336" w:lineRule="auto"/>
              <w:rPr>
                <w:rFonts w:ascii="宋体" w:hAnsi="宋体"/>
                <w:szCs w:val="21"/>
              </w:rPr>
            </w:pPr>
          </w:p>
        </w:tc>
        <w:tc>
          <w:tcPr>
            <w:tcW w:w="2188" w:type="dxa"/>
          </w:tcPr>
          <w:p w14:paraId="53C4370E">
            <w:pPr>
              <w:spacing w:line="336" w:lineRule="auto"/>
              <w:rPr>
                <w:rFonts w:ascii="宋体" w:hAnsi="宋体"/>
                <w:szCs w:val="21"/>
              </w:rPr>
            </w:pPr>
          </w:p>
        </w:tc>
        <w:tc>
          <w:tcPr>
            <w:tcW w:w="882" w:type="dxa"/>
          </w:tcPr>
          <w:p w14:paraId="21AF32C3">
            <w:pPr>
              <w:spacing w:line="336" w:lineRule="auto"/>
              <w:rPr>
                <w:rFonts w:ascii="宋体" w:hAnsi="宋体"/>
                <w:szCs w:val="21"/>
              </w:rPr>
            </w:pPr>
          </w:p>
        </w:tc>
        <w:tc>
          <w:tcPr>
            <w:tcW w:w="1417" w:type="dxa"/>
          </w:tcPr>
          <w:p w14:paraId="52B1AF2F">
            <w:pPr>
              <w:spacing w:line="336" w:lineRule="auto"/>
              <w:rPr>
                <w:rFonts w:ascii="宋体" w:hAnsi="宋体"/>
                <w:szCs w:val="21"/>
              </w:rPr>
            </w:pPr>
          </w:p>
        </w:tc>
        <w:tc>
          <w:tcPr>
            <w:tcW w:w="1416" w:type="dxa"/>
          </w:tcPr>
          <w:p w14:paraId="04F22E0A">
            <w:pPr>
              <w:spacing w:line="336" w:lineRule="auto"/>
              <w:rPr>
                <w:rFonts w:ascii="宋体" w:hAnsi="宋体"/>
                <w:szCs w:val="21"/>
              </w:rPr>
            </w:pPr>
          </w:p>
        </w:tc>
      </w:tr>
      <w:tr w14:paraId="42133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1019CA5D">
            <w:pPr>
              <w:spacing w:line="336" w:lineRule="auto"/>
              <w:jc w:val="center"/>
              <w:rPr>
                <w:rFonts w:ascii="宋体" w:hAnsi="宋体"/>
                <w:szCs w:val="21"/>
              </w:rPr>
            </w:pPr>
            <w:r>
              <w:rPr>
                <w:rFonts w:hint="eastAsia" w:ascii="宋体" w:hAnsi="宋体"/>
                <w:szCs w:val="21"/>
              </w:rPr>
              <w:t>…</w:t>
            </w:r>
          </w:p>
        </w:tc>
        <w:tc>
          <w:tcPr>
            <w:tcW w:w="1260" w:type="dxa"/>
          </w:tcPr>
          <w:p w14:paraId="2A697830">
            <w:pPr>
              <w:spacing w:line="336" w:lineRule="auto"/>
              <w:rPr>
                <w:rFonts w:ascii="宋体" w:hAnsi="宋体"/>
                <w:szCs w:val="21"/>
              </w:rPr>
            </w:pPr>
          </w:p>
        </w:tc>
        <w:tc>
          <w:tcPr>
            <w:tcW w:w="1546" w:type="dxa"/>
          </w:tcPr>
          <w:p w14:paraId="2D632B98">
            <w:pPr>
              <w:spacing w:line="336" w:lineRule="auto"/>
              <w:rPr>
                <w:rFonts w:ascii="宋体" w:hAnsi="宋体"/>
                <w:szCs w:val="21"/>
              </w:rPr>
            </w:pPr>
          </w:p>
        </w:tc>
        <w:tc>
          <w:tcPr>
            <w:tcW w:w="2188" w:type="dxa"/>
          </w:tcPr>
          <w:p w14:paraId="4C812ED2">
            <w:pPr>
              <w:spacing w:line="336" w:lineRule="auto"/>
              <w:rPr>
                <w:rFonts w:ascii="宋体" w:hAnsi="宋体"/>
                <w:szCs w:val="21"/>
              </w:rPr>
            </w:pPr>
          </w:p>
        </w:tc>
        <w:tc>
          <w:tcPr>
            <w:tcW w:w="882" w:type="dxa"/>
          </w:tcPr>
          <w:p w14:paraId="66DFE23C">
            <w:pPr>
              <w:spacing w:line="336" w:lineRule="auto"/>
              <w:rPr>
                <w:rFonts w:ascii="宋体" w:hAnsi="宋体"/>
                <w:szCs w:val="21"/>
              </w:rPr>
            </w:pPr>
          </w:p>
        </w:tc>
        <w:tc>
          <w:tcPr>
            <w:tcW w:w="1417" w:type="dxa"/>
          </w:tcPr>
          <w:p w14:paraId="27102BAC">
            <w:pPr>
              <w:spacing w:line="336" w:lineRule="auto"/>
              <w:rPr>
                <w:rFonts w:ascii="宋体" w:hAnsi="宋体"/>
                <w:szCs w:val="21"/>
              </w:rPr>
            </w:pPr>
          </w:p>
        </w:tc>
        <w:tc>
          <w:tcPr>
            <w:tcW w:w="1416" w:type="dxa"/>
          </w:tcPr>
          <w:p w14:paraId="4543E7B4">
            <w:pPr>
              <w:spacing w:line="336" w:lineRule="auto"/>
              <w:rPr>
                <w:rFonts w:ascii="宋体" w:hAnsi="宋体"/>
                <w:szCs w:val="21"/>
              </w:rPr>
            </w:pPr>
          </w:p>
        </w:tc>
      </w:tr>
    </w:tbl>
    <w:p w14:paraId="1D211D35"/>
    <w:p w14:paraId="3412FEDC">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706CC33C">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62E8005F">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37CF72F">
      <w:pPr>
        <w:pStyle w:val="328"/>
        <w:tabs>
          <w:tab w:val="left" w:pos="805"/>
        </w:tabs>
        <w:spacing w:before="151"/>
        <w:ind w:left="540" w:firstLine="0"/>
        <w:jc w:val="left"/>
        <w:rPr>
          <w:spacing w:val="-3"/>
          <w:szCs w:val="21"/>
        </w:rPr>
      </w:pPr>
    </w:p>
    <w:p w14:paraId="7D5425CC">
      <w:r>
        <w:br w:type="page"/>
      </w:r>
    </w:p>
    <w:p w14:paraId="48333DEF">
      <w:pPr>
        <w:pStyle w:val="328"/>
        <w:tabs>
          <w:tab w:val="left" w:pos="805"/>
        </w:tabs>
        <w:spacing w:before="151"/>
        <w:ind w:left="0" w:leftChars="0" w:firstLine="0" w:firstLineChars="0"/>
        <w:jc w:val="left"/>
        <w:rPr>
          <w:spacing w:val="-3"/>
          <w:szCs w:val="21"/>
        </w:rPr>
      </w:pPr>
      <w:r>
        <w:rPr>
          <w:rFonts w:hint="eastAsia"/>
          <w:szCs w:val="21"/>
          <w:lang w:val="en-US" w:eastAsia="zh-CN"/>
        </w:rPr>
        <w:t>4</w:t>
      </w:r>
      <w:r>
        <w:rPr>
          <w:rFonts w:hint="eastAsia"/>
          <w:spacing w:val="-3"/>
          <w:szCs w:val="21"/>
        </w:rPr>
        <w:t>. 货物</w:t>
      </w:r>
      <w:r>
        <w:rPr>
          <w:rFonts w:hint="eastAsia"/>
          <w:spacing w:val="-3"/>
          <w:szCs w:val="21"/>
          <w:lang w:eastAsia="zh-CN"/>
        </w:rPr>
        <w:t>质量保证期</w:t>
      </w:r>
      <w:r>
        <w:rPr>
          <w:rFonts w:hint="eastAsia"/>
          <w:spacing w:val="-3"/>
          <w:szCs w:val="21"/>
        </w:rPr>
        <w:t>内的备品备件清单及报价表（</w:t>
      </w:r>
      <w:r>
        <w:rPr>
          <w:rFonts w:hint="eastAsia"/>
          <w:b/>
          <w:bCs/>
          <w:spacing w:val="-3"/>
          <w:szCs w:val="21"/>
        </w:rPr>
        <w:t>含入投标总价</w:t>
      </w:r>
      <w:r>
        <w:rPr>
          <w:rFonts w:hint="eastAsia"/>
          <w:spacing w:val="-3"/>
          <w:szCs w:val="21"/>
        </w:rPr>
        <w:t>）</w:t>
      </w:r>
    </w:p>
    <w:p w14:paraId="7F4219F3">
      <w:pPr>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2200"/>
        <w:gridCol w:w="741"/>
        <w:gridCol w:w="1417"/>
        <w:gridCol w:w="1416"/>
      </w:tblGrid>
      <w:tr w14:paraId="13299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6C6A9AC8">
            <w:pPr>
              <w:jc w:val="center"/>
              <w:rPr>
                <w:rFonts w:ascii="宋体" w:hAnsi="宋体"/>
                <w:spacing w:val="-10"/>
                <w:szCs w:val="21"/>
              </w:rPr>
            </w:pPr>
            <w:r>
              <w:rPr>
                <w:rFonts w:ascii="宋体" w:hAnsi="宋体"/>
                <w:spacing w:val="-10"/>
                <w:szCs w:val="21"/>
              </w:rPr>
              <w:t>序号</w:t>
            </w:r>
          </w:p>
        </w:tc>
        <w:tc>
          <w:tcPr>
            <w:tcW w:w="1260" w:type="dxa"/>
            <w:vAlign w:val="center"/>
          </w:tcPr>
          <w:p w14:paraId="7A20E81D">
            <w:pPr>
              <w:jc w:val="center"/>
              <w:rPr>
                <w:rFonts w:ascii="宋体" w:hAnsi="宋体"/>
                <w:spacing w:val="-10"/>
                <w:szCs w:val="21"/>
              </w:rPr>
            </w:pPr>
            <w:r>
              <w:rPr>
                <w:rFonts w:ascii="宋体" w:hAnsi="宋体"/>
                <w:spacing w:val="-10"/>
                <w:szCs w:val="21"/>
              </w:rPr>
              <w:t>名称</w:t>
            </w:r>
          </w:p>
        </w:tc>
        <w:tc>
          <w:tcPr>
            <w:tcW w:w="1675" w:type="dxa"/>
            <w:vAlign w:val="center"/>
          </w:tcPr>
          <w:p w14:paraId="70951780">
            <w:pPr>
              <w:jc w:val="center"/>
              <w:rPr>
                <w:rFonts w:ascii="宋体" w:hAnsi="宋体"/>
                <w:spacing w:val="-10"/>
                <w:szCs w:val="21"/>
              </w:rPr>
            </w:pPr>
            <w:r>
              <w:rPr>
                <w:rFonts w:ascii="宋体" w:hAnsi="宋体"/>
                <w:spacing w:val="-10"/>
                <w:szCs w:val="21"/>
              </w:rPr>
              <w:t>规格和型号</w:t>
            </w:r>
          </w:p>
        </w:tc>
        <w:tc>
          <w:tcPr>
            <w:tcW w:w="2200" w:type="dxa"/>
            <w:vAlign w:val="center"/>
          </w:tcPr>
          <w:p w14:paraId="408925C7">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741" w:type="dxa"/>
            <w:vAlign w:val="center"/>
          </w:tcPr>
          <w:p w14:paraId="023E740A">
            <w:pPr>
              <w:jc w:val="center"/>
              <w:rPr>
                <w:rFonts w:ascii="宋体" w:hAnsi="宋体"/>
                <w:spacing w:val="-10"/>
                <w:szCs w:val="21"/>
              </w:rPr>
            </w:pPr>
            <w:r>
              <w:rPr>
                <w:rFonts w:ascii="宋体" w:hAnsi="宋体"/>
                <w:spacing w:val="-10"/>
                <w:szCs w:val="21"/>
              </w:rPr>
              <w:t>数量</w:t>
            </w:r>
          </w:p>
        </w:tc>
        <w:tc>
          <w:tcPr>
            <w:tcW w:w="1417" w:type="dxa"/>
            <w:vAlign w:val="center"/>
          </w:tcPr>
          <w:p w14:paraId="762791D8">
            <w:pPr>
              <w:jc w:val="center"/>
              <w:rPr>
                <w:rFonts w:ascii="宋体" w:hAnsi="宋体"/>
                <w:spacing w:val="-10"/>
                <w:szCs w:val="21"/>
              </w:rPr>
            </w:pPr>
            <w:r>
              <w:rPr>
                <w:rFonts w:ascii="宋体" w:hAnsi="宋体"/>
                <w:spacing w:val="-10"/>
                <w:szCs w:val="21"/>
              </w:rPr>
              <w:t>单价</w:t>
            </w:r>
          </w:p>
        </w:tc>
        <w:tc>
          <w:tcPr>
            <w:tcW w:w="1416" w:type="dxa"/>
            <w:vAlign w:val="center"/>
          </w:tcPr>
          <w:p w14:paraId="549CA8ED">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7548E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17DC24C">
            <w:pPr>
              <w:spacing w:line="336" w:lineRule="auto"/>
              <w:jc w:val="center"/>
              <w:rPr>
                <w:rFonts w:ascii="宋体" w:hAnsi="宋体"/>
                <w:szCs w:val="21"/>
              </w:rPr>
            </w:pPr>
            <w:r>
              <w:rPr>
                <w:rFonts w:ascii="宋体" w:hAnsi="宋体"/>
                <w:szCs w:val="21"/>
              </w:rPr>
              <w:t>1</w:t>
            </w:r>
          </w:p>
        </w:tc>
        <w:tc>
          <w:tcPr>
            <w:tcW w:w="1260" w:type="dxa"/>
          </w:tcPr>
          <w:p w14:paraId="1B66FB56">
            <w:pPr>
              <w:spacing w:line="336" w:lineRule="auto"/>
              <w:rPr>
                <w:rFonts w:ascii="宋体" w:hAnsi="宋体"/>
                <w:szCs w:val="21"/>
              </w:rPr>
            </w:pPr>
          </w:p>
        </w:tc>
        <w:tc>
          <w:tcPr>
            <w:tcW w:w="1675" w:type="dxa"/>
          </w:tcPr>
          <w:p w14:paraId="12CE9B19">
            <w:pPr>
              <w:spacing w:line="336" w:lineRule="auto"/>
              <w:rPr>
                <w:rFonts w:ascii="宋体" w:hAnsi="宋体"/>
                <w:szCs w:val="21"/>
              </w:rPr>
            </w:pPr>
          </w:p>
        </w:tc>
        <w:tc>
          <w:tcPr>
            <w:tcW w:w="2200" w:type="dxa"/>
          </w:tcPr>
          <w:p w14:paraId="2D518DC9">
            <w:pPr>
              <w:spacing w:line="336" w:lineRule="auto"/>
              <w:rPr>
                <w:rFonts w:ascii="宋体" w:hAnsi="宋体"/>
                <w:szCs w:val="21"/>
              </w:rPr>
            </w:pPr>
          </w:p>
        </w:tc>
        <w:tc>
          <w:tcPr>
            <w:tcW w:w="741" w:type="dxa"/>
          </w:tcPr>
          <w:p w14:paraId="0FF7B157">
            <w:pPr>
              <w:spacing w:line="336" w:lineRule="auto"/>
              <w:rPr>
                <w:rFonts w:ascii="宋体" w:hAnsi="宋体"/>
                <w:szCs w:val="21"/>
              </w:rPr>
            </w:pPr>
          </w:p>
        </w:tc>
        <w:tc>
          <w:tcPr>
            <w:tcW w:w="1417" w:type="dxa"/>
          </w:tcPr>
          <w:p w14:paraId="47AE3683">
            <w:pPr>
              <w:spacing w:line="336" w:lineRule="auto"/>
              <w:rPr>
                <w:rFonts w:ascii="宋体" w:hAnsi="宋体"/>
                <w:szCs w:val="21"/>
              </w:rPr>
            </w:pPr>
          </w:p>
        </w:tc>
        <w:tc>
          <w:tcPr>
            <w:tcW w:w="1416" w:type="dxa"/>
          </w:tcPr>
          <w:p w14:paraId="4C8929F5">
            <w:pPr>
              <w:spacing w:line="336" w:lineRule="auto"/>
              <w:rPr>
                <w:rFonts w:ascii="宋体" w:hAnsi="宋体"/>
                <w:szCs w:val="21"/>
              </w:rPr>
            </w:pPr>
          </w:p>
        </w:tc>
      </w:tr>
      <w:tr w14:paraId="6FA71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238593A">
            <w:pPr>
              <w:spacing w:line="336" w:lineRule="auto"/>
              <w:jc w:val="center"/>
              <w:rPr>
                <w:rFonts w:ascii="宋体" w:hAnsi="宋体"/>
                <w:szCs w:val="21"/>
              </w:rPr>
            </w:pPr>
            <w:r>
              <w:rPr>
                <w:rFonts w:ascii="宋体" w:hAnsi="宋体"/>
                <w:szCs w:val="21"/>
              </w:rPr>
              <w:t>2</w:t>
            </w:r>
          </w:p>
        </w:tc>
        <w:tc>
          <w:tcPr>
            <w:tcW w:w="1260" w:type="dxa"/>
          </w:tcPr>
          <w:p w14:paraId="76E0D007">
            <w:pPr>
              <w:spacing w:line="336" w:lineRule="auto"/>
              <w:rPr>
                <w:rFonts w:ascii="宋体" w:hAnsi="宋体"/>
                <w:szCs w:val="21"/>
              </w:rPr>
            </w:pPr>
          </w:p>
        </w:tc>
        <w:tc>
          <w:tcPr>
            <w:tcW w:w="1675" w:type="dxa"/>
          </w:tcPr>
          <w:p w14:paraId="619D6E06">
            <w:pPr>
              <w:spacing w:line="336" w:lineRule="auto"/>
              <w:rPr>
                <w:rFonts w:ascii="宋体" w:hAnsi="宋体"/>
                <w:szCs w:val="21"/>
              </w:rPr>
            </w:pPr>
          </w:p>
        </w:tc>
        <w:tc>
          <w:tcPr>
            <w:tcW w:w="2200" w:type="dxa"/>
          </w:tcPr>
          <w:p w14:paraId="7CCB4E7A">
            <w:pPr>
              <w:spacing w:line="336" w:lineRule="auto"/>
              <w:rPr>
                <w:rFonts w:ascii="宋体" w:hAnsi="宋体"/>
                <w:szCs w:val="21"/>
              </w:rPr>
            </w:pPr>
          </w:p>
        </w:tc>
        <w:tc>
          <w:tcPr>
            <w:tcW w:w="741" w:type="dxa"/>
          </w:tcPr>
          <w:p w14:paraId="7E4BD6D0">
            <w:pPr>
              <w:spacing w:line="336" w:lineRule="auto"/>
              <w:rPr>
                <w:rFonts w:ascii="宋体" w:hAnsi="宋体"/>
                <w:szCs w:val="21"/>
              </w:rPr>
            </w:pPr>
          </w:p>
        </w:tc>
        <w:tc>
          <w:tcPr>
            <w:tcW w:w="1417" w:type="dxa"/>
          </w:tcPr>
          <w:p w14:paraId="416A1DA5">
            <w:pPr>
              <w:spacing w:line="336" w:lineRule="auto"/>
              <w:rPr>
                <w:rFonts w:ascii="宋体" w:hAnsi="宋体"/>
                <w:szCs w:val="21"/>
              </w:rPr>
            </w:pPr>
          </w:p>
        </w:tc>
        <w:tc>
          <w:tcPr>
            <w:tcW w:w="1416" w:type="dxa"/>
          </w:tcPr>
          <w:p w14:paraId="16F9367C">
            <w:pPr>
              <w:spacing w:line="336" w:lineRule="auto"/>
              <w:rPr>
                <w:rFonts w:ascii="宋体" w:hAnsi="宋体"/>
                <w:szCs w:val="21"/>
              </w:rPr>
            </w:pPr>
          </w:p>
        </w:tc>
      </w:tr>
      <w:tr w14:paraId="482A9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1183D85">
            <w:pPr>
              <w:spacing w:line="336" w:lineRule="auto"/>
              <w:jc w:val="center"/>
              <w:rPr>
                <w:rFonts w:ascii="宋体" w:hAnsi="宋体"/>
                <w:szCs w:val="21"/>
              </w:rPr>
            </w:pPr>
            <w:r>
              <w:rPr>
                <w:rFonts w:ascii="宋体" w:hAnsi="宋体"/>
                <w:szCs w:val="21"/>
              </w:rPr>
              <w:t>3</w:t>
            </w:r>
          </w:p>
        </w:tc>
        <w:tc>
          <w:tcPr>
            <w:tcW w:w="1260" w:type="dxa"/>
          </w:tcPr>
          <w:p w14:paraId="3F28CBC9">
            <w:pPr>
              <w:spacing w:line="336" w:lineRule="auto"/>
              <w:rPr>
                <w:rFonts w:ascii="宋体" w:hAnsi="宋体"/>
                <w:szCs w:val="21"/>
              </w:rPr>
            </w:pPr>
          </w:p>
        </w:tc>
        <w:tc>
          <w:tcPr>
            <w:tcW w:w="1675" w:type="dxa"/>
          </w:tcPr>
          <w:p w14:paraId="0F390E9A">
            <w:pPr>
              <w:spacing w:line="336" w:lineRule="auto"/>
              <w:rPr>
                <w:rFonts w:ascii="宋体" w:hAnsi="宋体"/>
                <w:szCs w:val="21"/>
              </w:rPr>
            </w:pPr>
          </w:p>
        </w:tc>
        <w:tc>
          <w:tcPr>
            <w:tcW w:w="2200" w:type="dxa"/>
          </w:tcPr>
          <w:p w14:paraId="00209347">
            <w:pPr>
              <w:spacing w:line="336" w:lineRule="auto"/>
              <w:rPr>
                <w:rFonts w:ascii="宋体" w:hAnsi="宋体"/>
                <w:szCs w:val="21"/>
              </w:rPr>
            </w:pPr>
          </w:p>
        </w:tc>
        <w:tc>
          <w:tcPr>
            <w:tcW w:w="741" w:type="dxa"/>
          </w:tcPr>
          <w:p w14:paraId="63B42EC5">
            <w:pPr>
              <w:spacing w:line="336" w:lineRule="auto"/>
              <w:rPr>
                <w:rFonts w:ascii="宋体" w:hAnsi="宋体"/>
                <w:szCs w:val="21"/>
              </w:rPr>
            </w:pPr>
          </w:p>
        </w:tc>
        <w:tc>
          <w:tcPr>
            <w:tcW w:w="1417" w:type="dxa"/>
          </w:tcPr>
          <w:p w14:paraId="7235E0B3">
            <w:pPr>
              <w:spacing w:line="336" w:lineRule="auto"/>
              <w:rPr>
                <w:rFonts w:ascii="宋体" w:hAnsi="宋体"/>
                <w:szCs w:val="21"/>
              </w:rPr>
            </w:pPr>
          </w:p>
        </w:tc>
        <w:tc>
          <w:tcPr>
            <w:tcW w:w="1416" w:type="dxa"/>
          </w:tcPr>
          <w:p w14:paraId="498C03F7">
            <w:pPr>
              <w:spacing w:line="336" w:lineRule="auto"/>
              <w:rPr>
                <w:rFonts w:ascii="宋体" w:hAnsi="宋体"/>
                <w:szCs w:val="21"/>
              </w:rPr>
            </w:pPr>
          </w:p>
        </w:tc>
      </w:tr>
      <w:tr w14:paraId="2DD97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1B8B608">
            <w:pPr>
              <w:spacing w:line="336" w:lineRule="auto"/>
              <w:jc w:val="center"/>
              <w:rPr>
                <w:rFonts w:ascii="宋体" w:hAnsi="宋体"/>
                <w:szCs w:val="21"/>
              </w:rPr>
            </w:pPr>
            <w:r>
              <w:rPr>
                <w:rFonts w:hint="eastAsia" w:ascii="宋体" w:hAnsi="宋体"/>
                <w:szCs w:val="21"/>
              </w:rPr>
              <w:t>…</w:t>
            </w:r>
          </w:p>
        </w:tc>
        <w:tc>
          <w:tcPr>
            <w:tcW w:w="1260" w:type="dxa"/>
          </w:tcPr>
          <w:p w14:paraId="6EB77FE5">
            <w:pPr>
              <w:spacing w:line="336" w:lineRule="auto"/>
              <w:rPr>
                <w:rFonts w:ascii="宋体" w:hAnsi="宋体"/>
                <w:szCs w:val="21"/>
              </w:rPr>
            </w:pPr>
          </w:p>
        </w:tc>
        <w:tc>
          <w:tcPr>
            <w:tcW w:w="1675" w:type="dxa"/>
          </w:tcPr>
          <w:p w14:paraId="3FCD4492">
            <w:pPr>
              <w:spacing w:line="336" w:lineRule="auto"/>
              <w:rPr>
                <w:rFonts w:ascii="宋体" w:hAnsi="宋体"/>
                <w:szCs w:val="21"/>
              </w:rPr>
            </w:pPr>
          </w:p>
        </w:tc>
        <w:tc>
          <w:tcPr>
            <w:tcW w:w="2200" w:type="dxa"/>
          </w:tcPr>
          <w:p w14:paraId="472F755E">
            <w:pPr>
              <w:spacing w:line="336" w:lineRule="auto"/>
              <w:rPr>
                <w:rFonts w:ascii="宋体" w:hAnsi="宋体"/>
                <w:szCs w:val="21"/>
              </w:rPr>
            </w:pPr>
          </w:p>
        </w:tc>
        <w:tc>
          <w:tcPr>
            <w:tcW w:w="741" w:type="dxa"/>
          </w:tcPr>
          <w:p w14:paraId="28FEFB3F">
            <w:pPr>
              <w:spacing w:line="336" w:lineRule="auto"/>
              <w:rPr>
                <w:rFonts w:ascii="宋体" w:hAnsi="宋体"/>
                <w:szCs w:val="21"/>
              </w:rPr>
            </w:pPr>
          </w:p>
        </w:tc>
        <w:tc>
          <w:tcPr>
            <w:tcW w:w="1417" w:type="dxa"/>
          </w:tcPr>
          <w:p w14:paraId="3E6B75FF">
            <w:pPr>
              <w:spacing w:line="336" w:lineRule="auto"/>
              <w:rPr>
                <w:rFonts w:ascii="宋体" w:hAnsi="宋体"/>
                <w:szCs w:val="21"/>
              </w:rPr>
            </w:pPr>
          </w:p>
        </w:tc>
        <w:tc>
          <w:tcPr>
            <w:tcW w:w="1416" w:type="dxa"/>
          </w:tcPr>
          <w:p w14:paraId="21EEC3A5">
            <w:pPr>
              <w:spacing w:line="336" w:lineRule="auto"/>
              <w:rPr>
                <w:rFonts w:ascii="宋体" w:hAnsi="宋体"/>
                <w:szCs w:val="21"/>
              </w:rPr>
            </w:pPr>
          </w:p>
        </w:tc>
      </w:tr>
    </w:tbl>
    <w:p w14:paraId="29188013"/>
    <w:p w14:paraId="36EE86E8">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ED53C8F">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6148214B">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1FCB8596">
      <w:pPr>
        <w:pStyle w:val="328"/>
        <w:tabs>
          <w:tab w:val="left" w:pos="805"/>
        </w:tabs>
        <w:spacing w:before="151"/>
        <w:ind w:left="540" w:firstLine="0"/>
        <w:jc w:val="left"/>
        <w:rPr>
          <w:spacing w:val="-3"/>
          <w:szCs w:val="21"/>
        </w:rPr>
      </w:pPr>
    </w:p>
    <w:p w14:paraId="2FEFE8A5">
      <w:pPr>
        <w:pStyle w:val="328"/>
        <w:tabs>
          <w:tab w:val="left" w:pos="805"/>
        </w:tabs>
        <w:spacing w:before="151"/>
        <w:ind w:left="0" w:leftChars="0" w:firstLine="0" w:firstLineChars="0"/>
        <w:jc w:val="left"/>
        <w:rPr>
          <w:spacing w:val="-3"/>
          <w:szCs w:val="21"/>
        </w:rPr>
      </w:pPr>
      <w:r>
        <w:rPr>
          <w:rFonts w:hint="eastAsia"/>
          <w:szCs w:val="21"/>
          <w:lang w:val="en-US" w:eastAsia="zh-CN"/>
        </w:rPr>
        <w:t>5</w:t>
      </w:r>
      <w:r>
        <w:rPr>
          <w:rFonts w:hint="eastAsia"/>
          <w:spacing w:val="-3"/>
          <w:szCs w:val="21"/>
        </w:rPr>
        <w:t>. 货物</w:t>
      </w:r>
      <w:r>
        <w:rPr>
          <w:rFonts w:hint="eastAsia"/>
          <w:spacing w:val="-3"/>
          <w:szCs w:val="21"/>
          <w:lang w:eastAsia="zh-CN"/>
        </w:rPr>
        <w:t>质量保证期</w:t>
      </w:r>
      <w:r>
        <w:rPr>
          <w:rFonts w:hint="eastAsia"/>
          <w:spacing w:val="-3"/>
          <w:szCs w:val="21"/>
        </w:rPr>
        <w:t>外的备品备件清单及报价表（</w:t>
      </w:r>
      <w:r>
        <w:rPr>
          <w:rFonts w:hint="eastAsia"/>
          <w:b/>
          <w:bCs/>
          <w:spacing w:val="-3"/>
          <w:szCs w:val="21"/>
        </w:rPr>
        <w:t>不含入投标总价</w:t>
      </w:r>
      <w:r>
        <w:rPr>
          <w:rFonts w:hint="eastAsia"/>
          <w:spacing w:val="-3"/>
          <w:szCs w:val="21"/>
        </w:rPr>
        <w:t>）</w:t>
      </w:r>
    </w:p>
    <w:p w14:paraId="1F538C63">
      <w:pPr>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66907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630F38F4">
            <w:pPr>
              <w:jc w:val="center"/>
              <w:rPr>
                <w:rFonts w:ascii="宋体" w:hAnsi="宋体"/>
                <w:spacing w:val="-10"/>
                <w:szCs w:val="21"/>
              </w:rPr>
            </w:pPr>
            <w:r>
              <w:rPr>
                <w:rFonts w:ascii="宋体" w:hAnsi="宋体"/>
                <w:spacing w:val="-10"/>
                <w:szCs w:val="21"/>
              </w:rPr>
              <w:t>序号</w:t>
            </w:r>
          </w:p>
        </w:tc>
        <w:tc>
          <w:tcPr>
            <w:tcW w:w="1260" w:type="dxa"/>
            <w:vAlign w:val="center"/>
          </w:tcPr>
          <w:p w14:paraId="4A040F1B">
            <w:pPr>
              <w:jc w:val="center"/>
              <w:rPr>
                <w:rFonts w:ascii="宋体" w:hAnsi="宋体"/>
                <w:spacing w:val="-10"/>
                <w:szCs w:val="21"/>
              </w:rPr>
            </w:pPr>
            <w:r>
              <w:rPr>
                <w:rFonts w:ascii="宋体" w:hAnsi="宋体"/>
                <w:spacing w:val="-10"/>
                <w:szCs w:val="21"/>
              </w:rPr>
              <w:t>名称</w:t>
            </w:r>
          </w:p>
        </w:tc>
        <w:tc>
          <w:tcPr>
            <w:tcW w:w="1675" w:type="dxa"/>
            <w:vAlign w:val="center"/>
          </w:tcPr>
          <w:p w14:paraId="2CF0BE8A">
            <w:pPr>
              <w:jc w:val="center"/>
              <w:rPr>
                <w:rFonts w:ascii="宋体" w:hAnsi="宋体"/>
                <w:spacing w:val="-10"/>
                <w:szCs w:val="21"/>
              </w:rPr>
            </w:pPr>
            <w:r>
              <w:rPr>
                <w:rFonts w:ascii="宋体" w:hAnsi="宋体"/>
                <w:spacing w:val="-10"/>
                <w:szCs w:val="21"/>
              </w:rPr>
              <w:t>规格和型号</w:t>
            </w:r>
          </w:p>
        </w:tc>
        <w:tc>
          <w:tcPr>
            <w:tcW w:w="1891" w:type="dxa"/>
            <w:vAlign w:val="center"/>
          </w:tcPr>
          <w:p w14:paraId="2BFA7DA2">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1050" w:type="dxa"/>
            <w:vAlign w:val="center"/>
          </w:tcPr>
          <w:p w14:paraId="4306D0DA">
            <w:pPr>
              <w:jc w:val="center"/>
              <w:rPr>
                <w:rFonts w:ascii="宋体" w:hAnsi="宋体"/>
                <w:spacing w:val="-10"/>
                <w:szCs w:val="21"/>
              </w:rPr>
            </w:pPr>
            <w:r>
              <w:rPr>
                <w:rFonts w:ascii="宋体" w:hAnsi="宋体"/>
                <w:spacing w:val="-10"/>
                <w:szCs w:val="21"/>
              </w:rPr>
              <w:t>数量</w:t>
            </w:r>
          </w:p>
        </w:tc>
        <w:tc>
          <w:tcPr>
            <w:tcW w:w="1417" w:type="dxa"/>
            <w:vAlign w:val="center"/>
          </w:tcPr>
          <w:p w14:paraId="6BB97BE7">
            <w:pPr>
              <w:jc w:val="center"/>
              <w:rPr>
                <w:rFonts w:ascii="宋体" w:hAnsi="宋体"/>
                <w:spacing w:val="-10"/>
                <w:szCs w:val="21"/>
              </w:rPr>
            </w:pPr>
            <w:r>
              <w:rPr>
                <w:rFonts w:ascii="宋体" w:hAnsi="宋体"/>
                <w:spacing w:val="-10"/>
                <w:szCs w:val="21"/>
              </w:rPr>
              <w:t>单价</w:t>
            </w:r>
          </w:p>
        </w:tc>
        <w:tc>
          <w:tcPr>
            <w:tcW w:w="1416" w:type="dxa"/>
            <w:vAlign w:val="center"/>
          </w:tcPr>
          <w:p w14:paraId="7890CCB2">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2618A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6B9532C0">
            <w:pPr>
              <w:spacing w:line="336" w:lineRule="auto"/>
              <w:jc w:val="center"/>
              <w:rPr>
                <w:rFonts w:ascii="宋体" w:hAnsi="宋体"/>
                <w:szCs w:val="21"/>
              </w:rPr>
            </w:pPr>
            <w:r>
              <w:rPr>
                <w:rFonts w:ascii="宋体" w:hAnsi="宋体"/>
                <w:szCs w:val="21"/>
              </w:rPr>
              <w:t>1</w:t>
            </w:r>
          </w:p>
        </w:tc>
        <w:tc>
          <w:tcPr>
            <w:tcW w:w="1260" w:type="dxa"/>
          </w:tcPr>
          <w:p w14:paraId="2B995CF9">
            <w:pPr>
              <w:spacing w:line="336" w:lineRule="auto"/>
              <w:rPr>
                <w:rFonts w:ascii="宋体" w:hAnsi="宋体"/>
                <w:szCs w:val="21"/>
              </w:rPr>
            </w:pPr>
          </w:p>
        </w:tc>
        <w:tc>
          <w:tcPr>
            <w:tcW w:w="1675" w:type="dxa"/>
          </w:tcPr>
          <w:p w14:paraId="693E1382">
            <w:pPr>
              <w:spacing w:line="336" w:lineRule="auto"/>
              <w:rPr>
                <w:rFonts w:ascii="宋体" w:hAnsi="宋体"/>
                <w:szCs w:val="21"/>
              </w:rPr>
            </w:pPr>
          </w:p>
        </w:tc>
        <w:tc>
          <w:tcPr>
            <w:tcW w:w="1891" w:type="dxa"/>
          </w:tcPr>
          <w:p w14:paraId="67B8EBCA">
            <w:pPr>
              <w:spacing w:line="336" w:lineRule="auto"/>
              <w:rPr>
                <w:rFonts w:ascii="宋体" w:hAnsi="宋体"/>
                <w:szCs w:val="21"/>
              </w:rPr>
            </w:pPr>
          </w:p>
        </w:tc>
        <w:tc>
          <w:tcPr>
            <w:tcW w:w="1050" w:type="dxa"/>
          </w:tcPr>
          <w:p w14:paraId="10016437">
            <w:pPr>
              <w:spacing w:line="336" w:lineRule="auto"/>
              <w:rPr>
                <w:rFonts w:ascii="宋体" w:hAnsi="宋体"/>
                <w:szCs w:val="21"/>
              </w:rPr>
            </w:pPr>
          </w:p>
        </w:tc>
        <w:tc>
          <w:tcPr>
            <w:tcW w:w="1417" w:type="dxa"/>
          </w:tcPr>
          <w:p w14:paraId="5AC0A519">
            <w:pPr>
              <w:spacing w:line="336" w:lineRule="auto"/>
              <w:rPr>
                <w:rFonts w:ascii="宋体" w:hAnsi="宋体"/>
                <w:szCs w:val="21"/>
              </w:rPr>
            </w:pPr>
          </w:p>
        </w:tc>
        <w:tc>
          <w:tcPr>
            <w:tcW w:w="1416" w:type="dxa"/>
          </w:tcPr>
          <w:p w14:paraId="7D741230">
            <w:pPr>
              <w:spacing w:line="336" w:lineRule="auto"/>
              <w:rPr>
                <w:rFonts w:ascii="宋体" w:hAnsi="宋体"/>
                <w:szCs w:val="21"/>
              </w:rPr>
            </w:pPr>
          </w:p>
        </w:tc>
      </w:tr>
      <w:tr w14:paraId="4B0E1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64FBFCD2">
            <w:pPr>
              <w:spacing w:line="336" w:lineRule="auto"/>
              <w:jc w:val="center"/>
              <w:rPr>
                <w:rFonts w:ascii="宋体" w:hAnsi="宋体"/>
                <w:szCs w:val="21"/>
              </w:rPr>
            </w:pPr>
            <w:r>
              <w:rPr>
                <w:rFonts w:ascii="宋体" w:hAnsi="宋体"/>
                <w:szCs w:val="21"/>
              </w:rPr>
              <w:t>2</w:t>
            </w:r>
          </w:p>
        </w:tc>
        <w:tc>
          <w:tcPr>
            <w:tcW w:w="1260" w:type="dxa"/>
          </w:tcPr>
          <w:p w14:paraId="5FCB0965">
            <w:pPr>
              <w:spacing w:line="336" w:lineRule="auto"/>
              <w:rPr>
                <w:rFonts w:ascii="宋体" w:hAnsi="宋体"/>
                <w:szCs w:val="21"/>
              </w:rPr>
            </w:pPr>
          </w:p>
        </w:tc>
        <w:tc>
          <w:tcPr>
            <w:tcW w:w="1675" w:type="dxa"/>
          </w:tcPr>
          <w:p w14:paraId="5DD808DD">
            <w:pPr>
              <w:spacing w:line="336" w:lineRule="auto"/>
              <w:rPr>
                <w:rFonts w:ascii="宋体" w:hAnsi="宋体"/>
                <w:szCs w:val="21"/>
              </w:rPr>
            </w:pPr>
          </w:p>
        </w:tc>
        <w:tc>
          <w:tcPr>
            <w:tcW w:w="1891" w:type="dxa"/>
          </w:tcPr>
          <w:p w14:paraId="5A8AA71D">
            <w:pPr>
              <w:spacing w:line="336" w:lineRule="auto"/>
              <w:rPr>
                <w:rFonts w:ascii="宋体" w:hAnsi="宋体"/>
                <w:szCs w:val="21"/>
              </w:rPr>
            </w:pPr>
          </w:p>
        </w:tc>
        <w:tc>
          <w:tcPr>
            <w:tcW w:w="1050" w:type="dxa"/>
          </w:tcPr>
          <w:p w14:paraId="4C8C4CD4">
            <w:pPr>
              <w:spacing w:line="336" w:lineRule="auto"/>
              <w:rPr>
                <w:rFonts w:ascii="宋体" w:hAnsi="宋体"/>
                <w:szCs w:val="21"/>
              </w:rPr>
            </w:pPr>
          </w:p>
        </w:tc>
        <w:tc>
          <w:tcPr>
            <w:tcW w:w="1417" w:type="dxa"/>
          </w:tcPr>
          <w:p w14:paraId="2E47AC25">
            <w:pPr>
              <w:spacing w:line="336" w:lineRule="auto"/>
              <w:rPr>
                <w:rFonts w:ascii="宋体" w:hAnsi="宋体"/>
                <w:szCs w:val="21"/>
              </w:rPr>
            </w:pPr>
          </w:p>
        </w:tc>
        <w:tc>
          <w:tcPr>
            <w:tcW w:w="1416" w:type="dxa"/>
          </w:tcPr>
          <w:p w14:paraId="638E01F5">
            <w:pPr>
              <w:spacing w:line="336" w:lineRule="auto"/>
              <w:rPr>
                <w:rFonts w:ascii="宋体" w:hAnsi="宋体"/>
                <w:szCs w:val="21"/>
              </w:rPr>
            </w:pPr>
          </w:p>
        </w:tc>
      </w:tr>
      <w:tr w14:paraId="2A041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5276126B">
            <w:pPr>
              <w:spacing w:line="336" w:lineRule="auto"/>
              <w:jc w:val="center"/>
              <w:rPr>
                <w:rFonts w:ascii="宋体" w:hAnsi="宋体"/>
                <w:szCs w:val="21"/>
              </w:rPr>
            </w:pPr>
            <w:r>
              <w:rPr>
                <w:rFonts w:ascii="宋体" w:hAnsi="宋体"/>
                <w:szCs w:val="21"/>
              </w:rPr>
              <w:t>3</w:t>
            </w:r>
          </w:p>
        </w:tc>
        <w:tc>
          <w:tcPr>
            <w:tcW w:w="1260" w:type="dxa"/>
          </w:tcPr>
          <w:p w14:paraId="7134AC6E">
            <w:pPr>
              <w:spacing w:line="336" w:lineRule="auto"/>
              <w:rPr>
                <w:rFonts w:ascii="宋体" w:hAnsi="宋体"/>
                <w:szCs w:val="21"/>
              </w:rPr>
            </w:pPr>
          </w:p>
        </w:tc>
        <w:tc>
          <w:tcPr>
            <w:tcW w:w="1675" w:type="dxa"/>
          </w:tcPr>
          <w:p w14:paraId="2596DF2E">
            <w:pPr>
              <w:spacing w:line="336" w:lineRule="auto"/>
              <w:rPr>
                <w:rFonts w:ascii="宋体" w:hAnsi="宋体"/>
                <w:szCs w:val="21"/>
              </w:rPr>
            </w:pPr>
          </w:p>
        </w:tc>
        <w:tc>
          <w:tcPr>
            <w:tcW w:w="1891" w:type="dxa"/>
          </w:tcPr>
          <w:p w14:paraId="0BE39998">
            <w:pPr>
              <w:spacing w:line="336" w:lineRule="auto"/>
              <w:rPr>
                <w:rFonts w:ascii="宋体" w:hAnsi="宋体"/>
                <w:szCs w:val="21"/>
              </w:rPr>
            </w:pPr>
          </w:p>
        </w:tc>
        <w:tc>
          <w:tcPr>
            <w:tcW w:w="1050" w:type="dxa"/>
          </w:tcPr>
          <w:p w14:paraId="63AB6A7B">
            <w:pPr>
              <w:spacing w:line="336" w:lineRule="auto"/>
              <w:rPr>
                <w:rFonts w:ascii="宋体" w:hAnsi="宋体"/>
                <w:szCs w:val="21"/>
              </w:rPr>
            </w:pPr>
          </w:p>
        </w:tc>
        <w:tc>
          <w:tcPr>
            <w:tcW w:w="1417" w:type="dxa"/>
          </w:tcPr>
          <w:p w14:paraId="747BC9F7">
            <w:pPr>
              <w:spacing w:line="336" w:lineRule="auto"/>
              <w:rPr>
                <w:rFonts w:ascii="宋体" w:hAnsi="宋体"/>
                <w:szCs w:val="21"/>
              </w:rPr>
            </w:pPr>
          </w:p>
        </w:tc>
        <w:tc>
          <w:tcPr>
            <w:tcW w:w="1416" w:type="dxa"/>
          </w:tcPr>
          <w:p w14:paraId="0DD9650A">
            <w:pPr>
              <w:spacing w:line="336" w:lineRule="auto"/>
              <w:rPr>
                <w:rFonts w:ascii="宋体" w:hAnsi="宋体"/>
                <w:szCs w:val="21"/>
              </w:rPr>
            </w:pPr>
          </w:p>
        </w:tc>
      </w:tr>
      <w:tr w14:paraId="2AD54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6FD886F">
            <w:pPr>
              <w:spacing w:line="336" w:lineRule="auto"/>
              <w:jc w:val="center"/>
              <w:rPr>
                <w:rFonts w:ascii="宋体" w:hAnsi="宋体"/>
                <w:szCs w:val="21"/>
              </w:rPr>
            </w:pPr>
            <w:r>
              <w:rPr>
                <w:rFonts w:hint="eastAsia" w:ascii="宋体" w:hAnsi="宋体"/>
                <w:szCs w:val="21"/>
              </w:rPr>
              <w:t>…</w:t>
            </w:r>
          </w:p>
        </w:tc>
        <w:tc>
          <w:tcPr>
            <w:tcW w:w="1260" w:type="dxa"/>
          </w:tcPr>
          <w:p w14:paraId="6BBB9F70">
            <w:pPr>
              <w:spacing w:line="336" w:lineRule="auto"/>
              <w:rPr>
                <w:rFonts w:ascii="宋体" w:hAnsi="宋体"/>
                <w:szCs w:val="21"/>
              </w:rPr>
            </w:pPr>
          </w:p>
        </w:tc>
        <w:tc>
          <w:tcPr>
            <w:tcW w:w="1675" w:type="dxa"/>
          </w:tcPr>
          <w:p w14:paraId="6D0D6E6F">
            <w:pPr>
              <w:spacing w:line="336" w:lineRule="auto"/>
              <w:rPr>
                <w:rFonts w:ascii="宋体" w:hAnsi="宋体"/>
                <w:szCs w:val="21"/>
              </w:rPr>
            </w:pPr>
          </w:p>
        </w:tc>
        <w:tc>
          <w:tcPr>
            <w:tcW w:w="1891" w:type="dxa"/>
          </w:tcPr>
          <w:p w14:paraId="76875845">
            <w:pPr>
              <w:spacing w:line="336" w:lineRule="auto"/>
              <w:rPr>
                <w:rFonts w:ascii="宋体" w:hAnsi="宋体"/>
                <w:szCs w:val="21"/>
              </w:rPr>
            </w:pPr>
          </w:p>
        </w:tc>
        <w:tc>
          <w:tcPr>
            <w:tcW w:w="1050" w:type="dxa"/>
          </w:tcPr>
          <w:p w14:paraId="49281E9A">
            <w:pPr>
              <w:spacing w:line="336" w:lineRule="auto"/>
              <w:rPr>
                <w:rFonts w:ascii="宋体" w:hAnsi="宋体"/>
                <w:szCs w:val="21"/>
              </w:rPr>
            </w:pPr>
          </w:p>
        </w:tc>
        <w:tc>
          <w:tcPr>
            <w:tcW w:w="1417" w:type="dxa"/>
          </w:tcPr>
          <w:p w14:paraId="278F64D1">
            <w:pPr>
              <w:spacing w:line="336" w:lineRule="auto"/>
              <w:rPr>
                <w:rFonts w:ascii="宋体" w:hAnsi="宋体"/>
                <w:szCs w:val="21"/>
              </w:rPr>
            </w:pPr>
          </w:p>
        </w:tc>
        <w:tc>
          <w:tcPr>
            <w:tcW w:w="1416" w:type="dxa"/>
          </w:tcPr>
          <w:p w14:paraId="40CE8846">
            <w:pPr>
              <w:spacing w:line="336" w:lineRule="auto"/>
              <w:rPr>
                <w:rFonts w:ascii="宋体" w:hAnsi="宋体"/>
                <w:szCs w:val="21"/>
              </w:rPr>
            </w:pPr>
          </w:p>
        </w:tc>
      </w:tr>
    </w:tbl>
    <w:p w14:paraId="14ADC5E5"/>
    <w:p w14:paraId="28C073ED">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502B7462">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3A4C04C5">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2DF0267A">
      <w:pPr>
        <w:pStyle w:val="328"/>
        <w:tabs>
          <w:tab w:val="left" w:pos="805"/>
        </w:tabs>
        <w:spacing w:before="151"/>
        <w:ind w:left="540" w:firstLine="0"/>
        <w:jc w:val="left"/>
        <w:rPr>
          <w:spacing w:val="-3"/>
          <w:szCs w:val="21"/>
        </w:rPr>
      </w:pPr>
    </w:p>
    <w:p w14:paraId="7BB263DD">
      <w:pPr>
        <w:bidi w:val="0"/>
      </w:pPr>
      <w:r>
        <w:br w:type="page"/>
      </w:r>
      <w:bookmarkStart w:id="1049" w:name="_Toc287620816"/>
      <w:bookmarkStart w:id="1050" w:name="_Toc287607869"/>
      <w:bookmarkStart w:id="1051" w:name="_Toc430530532"/>
      <w:bookmarkStart w:id="1052" w:name="_Toc277082645"/>
      <w:bookmarkStart w:id="1053" w:name="_Toc224103497"/>
    </w:p>
    <w:p w14:paraId="0C82F7D5">
      <w:pPr>
        <w:pStyle w:val="6"/>
        <w:spacing w:before="0" w:after="0" w:line="240" w:lineRule="auto"/>
        <w:jc w:val="center"/>
        <w:rPr>
          <w:rFonts w:ascii="宋体" w:hAnsi="宋体"/>
          <w:snapToGrid w:val="0"/>
          <w:kern w:val="0"/>
          <w:szCs w:val="21"/>
        </w:rPr>
      </w:pPr>
      <w:bookmarkStart w:id="1054" w:name="_Toc3306"/>
      <w:r>
        <w:rPr>
          <w:rFonts w:ascii="宋体" w:hAnsi="宋体"/>
          <w:b w:val="0"/>
          <w:bCs w:val="0"/>
          <w:sz w:val="32"/>
          <w:szCs w:val="24"/>
        </w:rPr>
        <w:t>（</w:t>
      </w:r>
      <w:r>
        <w:rPr>
          <w:rFonts w:hint="eastAsia" w:ascii="宋体" w:hAnsi="宋体"/>
          <w:b w:val="0"/>
          <w:bCs w:val="0"/>
          <w:sz w:val="32"/>
          <w:szCs w:val="24"/>
          <w:lang w:val="en-US" w:eastAsia="zh-CN"/>
        </w:rPr>
        <w:t>三</w:t>
      </w:r>
      <w:r>
        <w:rPr>
          <w:rFonts w:ascii="宋体" w:hAnsi="宋体"/>
          <w:b w:val="0"/>
          <w:bCs w:val="0"/>
          <w:sz w:val="32"/>
          <w:szCs w:val="24"/>
        </w:rPr>
        <w:t>）</w:t>
      </w:r>
      <w:r>
        <w:rPr>
          <w:rFonts w:hint="eastAsia" w:ascii="宋体" w:hAnsi="宋体"/>
          <w:b w:val="0"/>
          <w:bCs w:val="0"/>
          <w:sz w:val="30"/>
          <w:szCs w:val="30"/>
        </w:rPr>
        <w:t>法定代表人身份证明或授权委托书</w:t>
      </w:r>
      <w:bookmarkEnd w:id="1049"/>
      <w:bookmarkEnd w:id="1050"/>
      <w:bookmarkEnd w:id="1051"/>
      <w:bookmarkEnd w:id="1052"/>
      <w:bookmarkEnd w:id="1053"/>
      <w:bookmarkEnd w:id="1054"/>
    </w:p>
    <w:p w14:paraId="6202E2E6">
      <w:pPr>
        <w:spacing w:line="480" w:lineRule="auto"/>
        <w:jc w:val="center"/>
        <w:rPr>
          <w:rFonts w:ascii="宋体" w:hAnsi="宋体"/>
          <w:sz w:val="28"/>
        </w:rPr>
      </w:pPr>
      <w:r>
        <w:rPr>
          <w:rFonts w:hint="eastAsia" w:ascii="宋体" w:hAnsi="宋体"/>
          <w:sz w:val="28"/>
        </w:rPr>
        <w:t>法定代表人身份证明</w:t>
      </w:r>
    </w:p>
    <w:p w14:paraId="1BC7EBE5">
      <w:pPr>
        <w:spacing w:line="480" w:lineRule="auto"/>
        <w:jc w:val="center"/>
        <w:rPr>
          <w:rFonts w:ascii="宋体" w:hAnsi="宋体"/>
        </w:rPr>
      </w:pPr>
    </w:p>
    <w:p w14:paraId="38351347">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C076B21">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0DA0F95">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1602237">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7585E09E">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5FC65432">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40C15E99">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0D27AD0E">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030F5DD6">
      <w:pPr>
        <w:autoSpaceDE w:val="0"/>
        <w:autoSpaceDN w:val="0"/>
        <w:adjustRightInd w:val="0"/>
        <w:snapToGrid w:val="0"/>
        <w:spacing w:line="360" w:lineRule="auto"/>
        <w:jc w:val="left"/>
        <w:rPr>
          <w:rFonts w:ascii="宋体" w:hAnsi="宋体"/>
          <w:szCs w:val="21"/>
        </w:rPr>
      </w:pPr>
    </w:p>
    <w:p w14:paraId="0FA974EE">
      <w:pPr>
        <w:pStyle w:val="2"/>
        <w:spacing w:after="0" w:line="360" w:lineRule="auto"/>
        <w:rPr>
          <w:rFonts w:ascii="宋体" w:hAnsi="宋体"/>
          <w:szCs w:val="21"/>
        </w:rPr>
      </w:pPr>
    </w:p>
    <w:p w14:paraId="047DDDAF">
      <w:pPr>
        <w:pStyle w:val="2"/>
        <w:spacing w:after="0" w:line="360" w:lineRule="auto"/>
        <w:rPr>
          <w:rFonts w:ascii="宋体" w:hAnsi="宋体"/>
          <w:szCs w:val="21"/>
        </w:rPr>
      </w:pPr>
    </w:p>
    <w:p w14:paraId="703FB743">
      <w:pPr>
        <w:pStyle w:val="2"/>
        <w:spacing w:after="0" w:line="360" w:lineRule="auto"/>
        <w:rPr>
          <w:rFonts w:ascii="宋体" w:hAnsi="宋体"/>
          <w:szCs w:val="21"/>
        </w:rPr>
      </w:pPr>
    </w:p>
    <w:p w14:paraId="617D9C94">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1A9E4FCE">
      <w:pPr>
        <w:autoSpaceDE w:val="0"/>
        <w:autoSpaceDN w:val="0"/>
        <w:adjustRightInd w:val="0"/>
        <w:snapToGrid w:val="0"/>
        <w:spacing w:line="480" w:lineRule="auto"/>
        <w:jc w:val="left"/>
        <w:rPr>
          <w:rFonts w:ascii="宋体" w:hAnsi="宋体"/>
          <w:kern w:val="0"/>
          <w:sz w:val="20"/>
          <w:szCs w:val="20"/>
        </w:rPr>
      </w:pPr>
    </w:p>
    <w:p w14:paraId="68C4436D">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79F1492">
      <w:pPr>
        <w:autoSpaceDE w:val="0"/>
        <w:autoSpaceDN w:val="0"/>
        <w:adjustRightInd w:val="0"/>
        <w:snapToGrid w:val="0"/>
        <w:spacing w:line="360" w:lineRule="auto"/>
        <w:jc w:val="left"/>
        <w:rPr>
          <w:rFonts w:ascii="宋体" w:hAnsi="宋体"/>
          <w:kern w:val="0"/>
        </w:rPr>
      </w:pPr>
    </w:p>
    <w:p w14:paraId="1FBD9E3C">
      <w:pPr>
        <w:autoSpaceDE w:val="0"/>
        <w:autoSpaceDN w:val="0"/>
        <w:adjustRightInd w:val="0"/>
        <w:snapToGrid w:val="0"/>
        <w:spacing w:line="360" w:lineRule="auto"/>
        <w:jc w:val="left"/>
        <w:rPr>
          <w:rFonts w:ascii="宋体" w:hAnsi="宋体"/>
          <w:kern w:val="0"/>
        </w:rPr>
      </w:pPr>
    </w:p>
    <w:p w14:paraId="7F27282F">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39118EC9">
      <w:pPr>
        <w:spacing w:line="360" w:lineRule="auto"/>
        <w:ind w:firstLine="420" w:firstLineChars="200"/>
        <w:rPr>
          <w:rFonts w:ascii="宋体" w:hAnsi="宋体"/>
        </w:rPr>
      </w:pPr>
    </w:p>
    <w:p w14:paraId="0E1B3B55">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148CC131">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555B2985">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BA2923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3B7E0BDD">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1E7976FD">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02A0B4C9">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47A00804">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6E1938B">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A64CA40">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02CDC78E">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8BE07CE">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72C17DD2">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5D2C497">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57935977">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0E89D3C7">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05EEE187">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4F8F910">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32EBFAEE">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399BCAB0">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8DA4583">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6D5F1A73">
      <w:pPr>
        <w:tabs>
          <w:tab w:val="left" w:pos="5760"/>
        </w:tabs>
        <w:autoSpaceDE w:val="0"/>
        <w:autoSpaceDN w:val="0"/>
        <w:adjustRightInd w:val="0"/>
        <w:spacing w:line="360" w:lineRule="auto"/>
        <w:rPr>
          <w:rFonts w:ascii="宋体" w:hAnsi="宋体"/>
          <w:kern w:val="0"/>
        </w:rPr>
      </w:pPr>
    </w:p>
    <w:p w14:paraId="232EB661">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3A758B75">
      <w:pPr>
        <w:tabs>
          <w:tab w:val="left" w:pos="1680"/>
          <w:tab w:val="left" w:pos="4215"/>
          <w:tab w:val="left" w:pos="4305"/>
          <w:tab w:val="left" w:pos="8000"/>
        </w:tabs>
        <w:autoSpaceDE w:val="0"/>
        <w:autoSpaceDN w:val="0"/>
        <w:adjustRightInd w:val="0"/>
        <w:snapToGrid w:val="0"/>
        <w:spacing w:line="360" w:lineRule="auto"/>
        <w:ind w:firstLine="420" w:firstLineChars="200"/>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r>
        <w:br w:type="page"/>
      </w:r>
    </w:p>
    <w:p w14:paraId="3477546B">
      <w:pPr>
        <w:tabs>
          <w:tab w:val="left" w:pos="2580"/>
          <w:tab w:val="left" w:pos="5940"/>
        </w:tabs>
        <w:autoSpaceDE w:val="0"/>
        <w:autoSpaceDN w:val="0"/>
        <w:adjustRightInd w:val="0"/>
        <w:snapToGrid w:val="0"/>
        <w:spacing w:line="360" w:lineRule="auto"/>
        <w:jc w:val="left"/>
        <w:rPr>
          <w:rFonts w:ascii="宋体" w:hAnsi="宋体"/>
        </w:rPr>
      </w:pPr>
      <w:bookmarkStart w:id="1055" w:name="_Toc287607872"/>
      <w:bookmarkStart w:id="1056" w:name="_Toc430530534"/>
      <w:bookmarkStart w:id="1057" w:name="_Toc287620819"/>
      <w:bookmarkStart w:id="1058" w:name="_Toc224103500"/>
    </w:p>
    <w:p w14:paraId="0FEC8AAB">
      <w:pPr>
        <w:pStyle w:val="4"/>
        <w:spacing w:line="360" w:lineRule="auto"/>
        <w:jc w:val="center"/>
        <w:rPr>
          <w:rFonts w:ascii="宋体" w:hAnsi="宋体"/>
          <w:b w:val="0"/>
          <w:bCs w:val="0"/>
          <w:sz w:val="44"/>
          <w:szCs w:val="44"/>
        </w:rPr>
      </w:pPr>
      <w:bookmarkStart w:id="1059" w:name="_Toc6669"/>
      <w:r>
        <w:rPr>
          <w:rFonts w:hint="eastAsia" w:ascii="宋体" w:hAnsi="宋体"/>
          <w:b w:val="0"/>
          <w:bCs w:val="0"/>
          <w:sz w:val="44"/>
          <w:szCs w:val="44"/>
        </w:rPr>
        <w:t>二、商务部分</w:t>
      </w:r>
      <w:bookmarkEnd w:id="1055"/>
      <w:bookmarkEnd w:id="1056"/>
      <w:bookmarkEnd w:id="1057"/>
      <w:bookmarkEnd w:id="1058"/>
      <w:bookmarkEnd w:id="1059"/>
    </w:p>
    <w:p w14:paraId="27F28145">
      <w:pPr>
        <w:pStyle w:val="2"/>
        <w:rPr>
          <w:i/>
          <w:iCs/>
        </w:rPr>
      </w:pPr>
    </w:p>
    <w:p w14:paraId="584B6FF4"/>
    <w:p w14:paraId="1BA1A22A">
      <w:pPr>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113EA180">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9EE2C7B">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273F9539">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47F5733">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5D449FD">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544FEE1">
      <w:pPr>
        <w:autoSpaceDE w:val="0"/>
        <w:autoSpaceDN w:val="0"/>
        <w:adjustRightInd w:val="0"/>
        <w:snapToGrid w:val="0"/>
        <w:spacing w:line="360" w:lineRule="auto"/>
        <w:jc w:val="left"/>
        <w:rPr>
          <w:rFonts w:ascii="宋体" w:hAnsi="宋体"/>
          <w:kern w:val="0"/>
          <w:sz w:val="16"/>
          <w:szCs w:val="16"/>
        </w:rPr>
      </w:pPr>
    </w:p>
    <w:p w14:paraId="2CF42FB8">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商务部分</w:t>
      </w:r>
    </w:p>
    <w:p w14:paraId="5CB9C31F">
      <w:pPr>
        <w:autoSpaceDE w:val="0"/>
        <w:autoSpaceDN w:val="0"/>
        <w:adjustRightInd w:val="0"/>
        <w:snapToGrid w:val="0"/>
        <w:spacing w:line="360" w:lineRule="auto"/>
        <w:jc w:val="left"/>
        <w:rPr>
          <w:rFonts w:ascii="宋体" w:hAnsi="宋体"/>
          <w:b/>
          <w:kern w:val="0"/>
          <w:sz w:val="20"/>
          <w:szCs w:val="20"/>
        </w:rPr>
      </w:pPr>
    </w:p>
    <w:p w14:paraId="07833F80">
      <w:pPr>
        <w:autoSpaceDE w:val="0"/>
        <w:autoSpaceDN w:val="0"/>
        <w:adjustRightInd w:val="0"/>
        <w:snapToGrid w:val="0"/>
        <w:spacing w:line="360" w:lineRule="auto"/>
        <w:jc w:val="left"/>
        <w:rPr>
          <w:rFonts w:ascii="宋体" w:hAnsi="宋体"/>
          <w:b/>
          <w:kern w:val="0"/>
          <w:sz w:val="20"/>
          <w:szCs w:val="20"/>
        </w:rPr>
      </w:pPr>
    </w:p>
    <w:p w14:paraId="4CD865F1">
      <w:pPr>
        <w:autoSpaceDE w:val="0"/>
        <w:autoSpaceDN w:val="0"/>
        <w:adjustRightInd w:val="0"/>
        <w:snapToGrid w:val="0"/>
        <w:spacing w:line="360" w:lineRule="auto"/>
        <w:jc w:val="left"/>
        <w:rPr>
          <w:rFonts w:ascii="宋体" w:hAnsi="宋体"/>
          <w:b/>
          <w:kern w:val="0"/>
          <w:sz w:val="20"/>
          <w:szCs w:val="20"/>
        </w:rPr>
      </w:pPr>
    </w:p>
    <w:p w14:paraId="1198539B">
      <w:pPr>
        <w:autoSpaceDE w:val="0"/>
        <w:autoSpaceDN w:val="0"/>
        <w:adjustRightInd w:val="0"/>
        <w:snapToGrid w:val="0"/>
        <w:spacing w:line="360" w:lineRule="auto"/>
        <w:jc w:val="left"/>
        <w:rPr>
          <w:rFonts w:ascii="宋体" w:hAnsi="宋体"/>
          <w:b/>
          <w:kern w:val="0"/>
          <w:sz w:val="20"/>
          <w:szCs w:val="20"/>
        </w:rPr>
      </w:pPr>
    </w:p>
    <w:p w14:paraId="07477567">
      <w:pPr>
        <w:autoSpaceDE w:val="0"/>
        <w:autoSpaceDN w:val="0"/>
        <w:adjustRightInd w:val="0"/>
        <w:snapToGrid w:val="0"/>
        <w:spacing w:line="360" w:lineRule="auto"/>
        <w:jc w:val="left"/>
        <w:rPr>
          <w:rFonts w:ascii="宋体" w:hAnsi="宋体"/>
          <w:b/>
          <w:kern w:val="0"/>
          <w:sz w:val="20"/>
          <w:szCs w:val="20"/>
        </w:rPr>
      </w:pPr>
    </w:p>
    <w:p w14:paraId="573A2EB8">
      <w:pPr>
        <w:autoSpaceDE w:val="0"/>
        <w:autoSpaceDN w:val="0"/>
        <w:adjustRightInd w:val="0"/>
        <w:snapToGrid w:val="0"/>
        <w:spacing w:line="360" w:lineRule="auto"/>
        <w:jc w:val="left"/>
        <w:rPr>
          <w:rFonts w:ascii="宋体" w:hAnsi="宋体"/>
          <w:b/>
          <w:kern w:val="0"/>
          <w:sz w:val="20"/>
          <w:szCs w:val="20"/>
        </w:rPr>
      </w:pPr>
    </w:p>
    <w:p w14:paraId="69C6654B">
      <w:pPr>
        <w:autoSpaceDE w:val="0"/>
        <w:autoSpaceDN w:val="0"/>
        <w:adjustRightInd w:val="0"/>
        <w:snapToGrid w:val="0"/>
        <w:spacing w:line="360" w:lineRule="auto"/>
        <w:jc w:val="left"/>
        <w:rPr>
          <w:rFonts w:ascii="宋体" w:hAnsi="宋体"/>
          <w:b/>
          <w:kern w:val="0"/>
          <w:sz w:val="20"/>
          <w:szCs w:val="20"/>
        </w:rPr>
      </w:pPr>
    </w:p>
    <w:p w14:paraId="172AFCA1">
      <w:pPr>
        <w:autoSpaceDE w:val="0"/>
        <w:autoSpaceDN w:val="0"/>
        <w:adjustRightInd w:val="0"/>
        <w:snapToGrid w:val="0"/>
        <w:spacing w:line="360" w:lineRule="auto"/>
        <w:jc w:val="left"/>
        <w:rPr>
          <w:rFonts w:ascii="宋体" w:hAnsi="宋体"/>
          <w:b/>
          <w:kern w:val="0"/>
          <w:sz w:val="20"/>
          <w:szCs w:val="20"/>
        </w:rPr>
      </w:pPr>
    </w:p>
    <w:p w14:paraId="5086B8E3">
      <w:pPr>
        <w:autoSpaceDE w:val="0"/>
        <w:autoSpaceDN w:val="0"/>
        <w:adjustRightInd w:val="0"/>
        <w:snapToGrid w:val="0"/>
        <w:spacing w:line="360" w:lineRule="auto"/>
        <w:jc w:val="left"/>
        <w:rPr>
          <w:rFonts w:ascii="宋体" w:hAnsi="宋体"/>
          <w:b/>
          <w:kern w:val="0"/>
          <w:sz w:val="20"/>
          <w:szCs w:val="20"/>
        </w:rPr>
      </w:pPr>
    </w:p>
    <w:p w14:paraId="460B6BBD">
      <w:pPr>
        <w:autoSpaceDE w:val="0"/>
        <w:autoSpaceDN w:val="0"/>
        <w:adjustRightInd w:val="0"/>
        <w:snapToGrid w:val="0"/>
        <w:spacing w:line="360" w:lineRule="auto"/>
        <w:jc w:val="left"/>
        <w:rPr>
          <w:rFonts w:ascii="宋体" w:hAnsi="宋体"/>
          <w:b/>
          <w:kern w:val="0"/>
          <w:sz w:val="20"/>
          <w:szCs w:val="20"/>
        </w:rPr>
      </w:pPr>
    </w:p>
    <w:p w14:paraId="30C34B31">
      <w:pPr>
        <w:autoSpaceDE w:val="0"/>
        <w:autoSpaceDN w:val="0"/>
        <w:adjustRightInd w:val="0"/>
        <w:snapToGrid w:val="0"/>
        <w:spacing w:line="360" w:lineRule="auto"/>
        <w:jc w:val="left"/>
        <w:rPr>
          <w:rFonts w:ascii="宋体" w:hAnsi="宋体"/>
          <w:b/>
          <w:kern w:val="0"/>
          <w:sz w:val="20"/>
          <w:szCs w:val="20"/>
        </w:rPr>
      </w:pPr>
    </w:p>
    <w:p w14:paraId="19D38EAB">
      <w:pPr>
        <w:autoSpaceDE w:val="0"/>
        <w:autoSpaceDN w:val="0"/>
        <w:adjustRightInd w:val="0"/>
        <w:snapToGrid w:val="0"/>
        <w:spacing w:line="360" w:lineRule="auto"/>
        <w:jc w:val="left"/>
        <w:rPr>
          <w:rFonts w:ascii="宋体" w:hAnsi="宋体"/>
          <w:b/>
          <w:kern w:val="0"/>
          <w:sz w:val="20"/>
          <w:szCs w:val="20"/>
        </w:rPr>
      </w:pPr>
    </w:p>
    <w:p w14:paraId="4F8F5DFF">
      <w:pPr>
        <w:autoSpaceDE w:val="0"/>
        <w:autoSpaceDN w:val="0"/>
        <w:adjustRightInd w:val="0"/>
        <w:snapToGrid w:val="0"/>
        <w:spacing w:line="360" w:lineRule="auto"/>
        <w:jc w:val="left"/>
        <w:rPr>
          <w:rFonts w:ascii="宋体" w:hAnsi="宋体"/>
          <w:b/>
          <w:kern w:val="0"/>
          <w:sz w:val="20"/>
          <w:szCs w:val="20"/>
        </w:rPr>
      </w:pPr>
    </w:p>
    <w:p w14:paraId="1DD4F1B2">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36B631D1">
      <w:pPr>
        <w:tabs>
          <w:tab w:val="left" w:pos="6080"/>
          <w:tab w:val="left" w:pos="6640"/>
        </w:tabs>
        <w:autoSpaceDE w:val="0"/>
        <w:autoSpaceDN w:val="0"/>
        <w:adjustRightInd w:val="0"/>
        <w:snapToGrid w:val="0"/>
        <w:spacing w:after="120"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2AA98A6">
      <w:pPr>
        <w:tabs>
          <w:tab w:val="left" w:pos="3280"/>
          <w:tab w:val="left" w:pos="4680"/>
          <w:tab w:val="left" w:pos="608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64AAD4A9">
      <w:pPr>
        <w:autoSpaceDE w:val="0"/>
        <w:autoSpaceDN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4F3A50ED">
      <w:pPr>
        <w:autoSpaceDE w:val="0"/>
        <w:autoSpaceDN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5CEB6F4B">
      <w:pPr>
        <w:autoSpaceDE w:val="0"/>
        <w:autoSpaceDN w:val="0"/>
        <w:adjustRightInd w:val="0"/>
        <w:snapToGrid w:val="0"/>
        <w:spacing w:line="360" w:lineRule="auto"/>
        <w:jc w:val="left"/>
        <w:rPr>
          <w:rFonts w:ascii="宋体" w:hAnsi="宋体"/>
          <w:kern w:val="0"/>
          <w:szCs w:val="21"/>
        </w:rPr>
      </w:pPr>
    </w:p>
    <w:p w14:paraId="46550F03">
      <w:pPr>
        <w:autoSpaceDE w:val="0"/>
        <w:autoSpaceDN w:val="0"/>
        <w:adjustRightInd w:val="0"/>
        <w:snapToGrid w:val="0"/>
        <w:spacing w:line="360" w:lineRule="auto"/>
        <w:jc w:val="left"/>
        <w:rPr>
          <w:rFonts w:ascii="宋体" w:hAnsi="宋体"/>
          <w:kern w:val="0"/>
          <w:szCs w:val="21"/>
        </w:rPr>
      </w:pPr>
    </w:p>
    <w:p w14:paraId="2BFD39F2">
      <w:pPr>
        <w:pageBreakBefore w:val="0"/>
        <w:numPr>
          <w:ilvl w:val="0"/>
          <w:numId w:val="8"/>
        </w:numPr>
        <w:kinsoku/>
        <w:topLinePunct w:val="0"/>
        <w:autoSpaceDE w:val="0"/>
        <w:autoSpaceDN w:val="0"/>
        <w:bidi w:val="0"/>
        <w:adjustRightInd w:val="0"/>
        <w:snapToGrid w:val="0"/>
        <w:spacing w:line="360" w:lineRule="auto"/>
        <w:ind w:firstLine="420"/>
        <w:rPr>
          <w:rFonts w:hint="eastAsia" w:ascii="宋体" w:hAnsi="宋体" w:eastAsia="宋体" w:cs="宋体"/>
          <w:caps w:val="0"/>
          <w:smallCaps w:val="0"/>
          <w:color w:val="auto"/>
          <w:highlight w:val="none"/>
          <w:lang w:eastAsia="zh-CN"/>
        </w:rPr>
      </w:pPr>
      <w:r>
        <w:rPr>
          <w:rFonts w:hint="eastAsia" w:ascii="宋体" w:hAnsi="宋体" w:cs="宋体"/>
          <w:caps w:val="0"/>
          <w:smallCaps w:val="0"/>
          <w:color w:val="auto"/>
          <w:highlight w:val="none"/>
          <w:lang w:val="en-US" w:eastAsia="zh-CN"/>
        </w:rPr>
        <w:t>商务偏差</w:t>
      </w:r>
      <w:r>
        <w:rPr>
          <w:rFonts w:hint="eastAsia" w:ascii="宋体" w:hAnsi="宋体" w:eastAsia="宋体" w:cs="宋体"/>
          <w:caps w:val="0"/>
          <w:smallCaps w:val="0"/>
          <w:color w:val="auto"/>
          <w:highlight w:val="none"/>
          <w:lang w:eastAsia="zh-CN"/>
        </w:rPr>
        <w:t>表</w:t>
      </w:r>
    </w:p>
    <w:p w14:paraId="76C481C9">
      <w:pPr>
        <w:pageBreakBefore w:val="0"/>
        <w:numPr>
          <w:ilvl w:val="0"/>
          <w:numId w:val="8"/>
        </w:numPr>
        <w:kinsoku/>
        <w:topLinePunct w:val="0"/>
        <w:autoSpaceDE w:val="0"/>
        <w:autoSpaceDN w:val="0"/>
        <w:bidi w:val="0"/>
        <w:adjustRightInd w:val="0"/>
        <w:snapToGrid w:val="0"/>
        <w:spacing w:line="360" w:lineRule="auto"/>
        <w:ind w:firstLine="420"/>
      </w:pPr>
      <w:r>
        <w:rPr>
          <w:rFonts w:hint="eastAsia" w:ascii="宋体" w:hAnsi="宋体" w:eastAsia="宋体" w:cs="宋体"/>
          <w:caps w:val="0"/>
          <w:smallCaps w:val="0"/>
          <w:color w:val="auto"/>
          <w:highlight w:val="none"/>
          <w:lang w:eastAsia="zh-CN"/>
        </w:rPr>
        <w:t>类似项目</w:t>
      </w:r>
      <w:r>
        <w:rPr>
          <w:rFonts w:hint="eastAsia" w:ascii="宋体" w:hAnsi="宋体" w:eastAsia="宋体" w:cs="宋体"/>
          <w:caps w:val="0"/>
          <w:smallCaps w:val="0"/>
          <w:color w:val="auto"/>
          <w:highlight w:val="none"/>
          <w:lang w:val="en-US" w:eastAsia="zh-CN"/>
        </w:rPr>
        <w:t>业绩</w:t>
      </w:r>
      <w:r>
        <w:rPr>
          <w:rFonts w:hint="eastAsia" w:ascii="宋体" w:hAnsi="宋体" w:eastAsia="宋体" w:cs="宋体"/>
          <w:caps w:val="0"/>
          <w:smallCaps w:val="0"/>
          <w:color w:val="auto"/>
          <w:highlight w:val="none"/>
          <w:lang w:eastAsia="zh-CN"/>
        </w:rPr>
        <w:t>情况表</w:t>
      </w:r>
    </w:p>
    <w:p w14:paraId="1274B4CC">
      <w:pPr>
        <w:pageBreakBefore w:val="0"/>
        <w:numPr>
          <w:ilvl w:val="0"/>
          <w:numId w:val="8"/>
        </w:numPr>
        <w:kinsoku/>
        <w:topLinePunct w:val="0"/>
        <w:autoSpaceDE w:val="0"/>
        <w:autoSpaceDN w:val="0"/>
        <w:bidi w:val="0"/>
        <w:adjustRightInd w:val="0"/>
        <w:snapToGrid w:val="0"/>
        <w:spacing w:line="360" w:lineRule="auto"/>
        <w:ind w:firstLine="420"/>
        <w:rPr>
          <w:rFonts w:hint="default" w:ascii="宋体" w:hAnsi="宋体" w:eastAsia="宋体" w:cs="宋体"/>
          <w:caps w:val="0"/>
          <w:smallCaps w:val="0"/>
          <w:color w:val="000000" w:themeColor="text1"/>
          <w:highlight w:val="none"/>
          <w:lang w:val="en-US" w:eastAsia="zh-CN"/>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主要部件品牌响应表</w:t>
      </w:r>
    </w:p>
    <w:p w14:paraId="7484A397">
      <w:pPr>
        <w:pageBreakBefore w:val="0"/>
        <w:numPr>
          <w:ilvl w:val="0"/>
          <w:numId w:val="8"/>
        </w:numPr>
        <w:kinsoku/>
        <w:topLinePunct w:val="0"/>
        <w:autoSpaceDE w:val="0"/>
        <w:autoSpaceDN w:val="0"/>
        <w:bidi w:val="0"/>
        <w:adjustRightInd w:val="0"/>
        <w:snapToGrid w:val="0"/>
        <w:spacing w:line="360" w:lineRule="auto"/>
        <w:ind w:firstLine="420"/>
      </w:pPr>
      <w:r>
        <w:rPr>
          <w:rFonts w:hint="eastAsia" w:ascii="宋体" w:hAnsi="宋体" w:cs="宋体"/>
          <w:lang w:val="en-US" w:eastAsia="zh-CN"/>
        </w:rPr>
        <w:t>其他资料（如有）</w:t>
      </w:r>
    </w:p>
    <w:p w14:paraId="4A19BA89">
      <w:pPr>
        <w:widowControl/>
        <w:jc w:val="left"/>
        <w:rPr>
          <w:rFonts w:ascii="宋体" w:hAnsi="宋体"/>
          <w:iCs/>
          <w:kern w:val="0"/>
          <w:szCs w:val="21"/>
        </w:rPr>
      </w:pPr>
      <w:r>
        <w:rPr>
          <w:rFonts w:ascii="宋体" w:hAnsi="宋体"/>
          <w:iCs/>
          <w:kern w:val="0"/>
          <w:szCs w:val="21"/>
        </w:rPr>
        <w:br w:type="page"/>
      </w:r>
    </w:p>
    <w:p w14:paraId="2C5B38F3">
      <w:pPr>
        <w:pStyle w:val="6"/>
        <w:bidi w:val="0"/>
        <w:jc w:val="center"/>
        <w:rPr>
          <w:sz w:val="32"/>
          <w:szCs w:val="24"/>
        </w:rPr>
      </w:pPr>
      <w:bookmarkStart w:id="1060" w:name="_Toc7856"/>
      <w:r>
        <w:rPr>
          <w:rFonts w:hint="eastAsia"/>
          <w:sz w:val="32"/>
          <w:szCs w:val="24"/>
          <w:lang w:val="en-US" w:eastAsia="zh-CN"/>
        </w:rPr>
        <w:t>（一）商务</w:t>
      </w:r>
      <w:r>
        <w:rPr>
          <w:rFonts w:hint="eastAsia"/>
          <w:sz w:val="32"/>
          <w:szCs w:val="24"/>
        </w:rPr>
        <w:t>偏差表</w:t>
      </w:r>
      <w:bookmarkEnd w:id="1060"/>
    </w:p>
    <w:p w14:paraId="25A19E5E"/>
    <w:p w14:paraId="5B207180">
      <w:pPr>
        <w:spacing w:line="360" w:lineRule="auto"/>
        <w:ind w:firstLine="420" w:firstLineChars="200"/>
        <w:rPr>
          <w:rFonts w:ascii="宋体" w:hAnsi="宋体"/>
          <w:szCs w:val="21"/>
        </w:rPr>
      </w:pPr>
      <w:r>
        <w:rPr>
          <w:rFonts w:hint="eastAsia" w:ascii="宋体" w:hAnsi="宋体"/>
          <w:szCs w:val="21"/>
        </w:rPr>
        <w:t>招标项目名称：</w:t>
      </w:r>
    </w:p>
    <w:tbl>
      <w:tblPr>
        <w:tblStyle w:val="46"/>
        <w:tblW w:w="90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7"/>
        <w:gridCol w:w="2434"/>
        <w:gridCol w:w="2560"/>
        <w:gridCol w:w="1145"/>
        <w:gridCol w:w="2410"/>
      </w:tblGrid>
      <w:tr w14:paraId="459DA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07" w:type="dxa"/>
            <w:vAlign w:val="center"/>
          </w:tcPr>
          <w:p w14:paraId="3CFB67DB">
            <w:pPr>
              <w:jc w:val="center"/>
              <w:rPr>
                <w:rFonts w:ascii="宋体" w:hAnsi="宋体"/>
                <w:szCs w:val="21"/>
              </w:rPr>
            </w:pPr>
            <w:r>
              <w:rPr>
                <w:rFonts w:hint="eastAsia" w:ascii="宋体" w:hAnsi="宋体"/>
                <w:szCs w:val="21"/>
              </w:rPr>
              <w:t>序号</w:t>
            </w:r>
          </w:p>
        </w:tc>
        <w:tc>
          <w:tcPr>
            <w:tcW w:w="2434" w:type="dxa"/>
            <w:vAlign w:val="center"/>
          </w:tcPr>
          <w:p w14:paraId="1D967967">
            <w:pPr>
              <w:jc w:val="center"/>
              <w:rPr>
                <w:rFonts w:hint="default" w:ascii="宋体" w:hAnsi="宋体"/>
                <w:szCs w:val="21"/>
                <w:lang w:val="en-US"/>
              </w:rPr>
            </w:pPr>
            <w:r>
              <w:rPr>
                <w:rFonts w:hint="eastAsia" w:ascii="宋体" w:hAnsi="宋体"/>
                <w:szCs w:val="21"/>
                <w:lang w:val="en-US" w:eastAsia="zh-CN"/>
              </w:rPr>
              <w:t>招标文件要求</w:t>
            </w:r>
          </w:p>
        </w:tc>
        <w:tc>
          <w:tcPr>
            <w:tcW w:w="2560" w:type="dxa"/>
            <w:vAlign w:val="center"/>
          </w:tcPr>
          <w:p w14:paraId="1D493113">
            <w:pPr>
              <w:jc w:val="center"/>
              <w:rPr>
                <w:rFonts w:hint="default" w:ascii="宋体" w:hAnsi="宋体"/>
                <w:szCs w:val="21"/>
                <w:lang w:val="en-US" w:eastAsia="zh-CN"/>
              </w:rPr>
            </w:pPr>
            <w:r>
              <w:rPr>
                <w:rFonts w:hint="eastAsia" w:ascii="宋体" w:hAnsi="宋体"/>
                <w:szCs w:val="21"/>
                <w:lang w:val="en-US" w:eastAsia="zh-CN"/>
              </w:rPr>
              <w:t>投标文件应答</w:t>
            </w:r>
          </w:p>
        </w:tc>
        <w:tc>
          <w:tcPr>
            <w:tcW w:w="1145" w:type="dxa"/>
            <w:vAlign w:val="center"/>
          </w:tcPr>
          <w:p w14:paraId="58D42C96">
            <w:pPr>
              <w:jc w:val="center"/>
              <w:rPr>
                <w:rFonts w:hint="default" w:ascii="宋体" w:hAnsi="宋体" w:eastAsia="宋体"/>
                <w:szCs w:val="21"/>
                <w:lang w:val="en-US" w:eastAsia="zh-CN"/>
              </w:rPr>
            </w:pPr>
            <w:r>
              <w:rPr>
                <w:rFonts w:hint="eastAsia" w:ascii="宋体" w:hAnsi="宋体"/>
                <w:szCs w:val="21"/>
                <w:lang w:val="en-US" w:eastAsia="zh-CN"/>
              </w:rPr>
              <w:t>有无偏差（正偏差、无偏差）</w:t>
            </w:r>
          </w:p>
        </w:tc>
        <w:tc>
          <w:tcPr>
            <w:tcW w:w="2410" w:type="dxa"/>
            <w:vAlign w:val="center"/>
          </w:tcPr>
          <w:p w14:paraId="5244FE42">
            <w:pPr>
              <w:jc w:val="center"/>
              <w:rPr>
                <w:rFonts w:ascii="宋体" w:hAnsi="宋体"/>
                <w:szCs w:val="21"/>
              </w:rPr>
            </w:pPr>
            <w:r>
              <w:rPr>
                <w:rFonts w:hint="eastAsia" w:ascii="宋体" w:hAnsi="宋体"/>
                <w:szCs w:val="21"/>
              </w:rPr>
              <w:t>偏差说明</w:t>
            </w:r>
          </w:p>
        </w:tc>
      </w:tr>
      <w:tr w14:paraId="70450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7" w:hRule="atLeast"/>
          <w:jc w:val="center"/>
        </w:trPr>
        <w:tc>
          <w:tcPr>
            <w:tcW w:w="507" w:type="dxa"/>
            <w:vAlign w:val="center"/>
          </w:tcPr>
          <w:p w14:paraId="71CA4F55">
            <w:pPr>
              <w:spacing w:line="360" w:lineRule="auto"/>
              <w:rPr>
                <w:rFonts w:hint="eastAsia" w:ascii="宋体" w:hAnsi="宋体" w:eastAsia="宋体"/>
                <w:szCs w:val="21"/>
                <w:lang w:val="en-US" w:eastAsia="zh-CN"/>
              </w:rPr>
            </w:pPr>
            <w:r>
              <w:rPr>
                <w:rFonts w:hint="eastAsia" w:ascii="宋体" w:hAnsi="宋体"/>
                <w:szCs w:val="21"/>
                <w:lang w:val="en-US" w:eastAsia="zh-CN"/>
              </w:rPr>
              <w:t>1</w:t>
            </w:r>
          </w:p>
        </w:tc>
        <w:tc>
          <w:tcPr>
            <w:tcW w:w="2434" w:type="dxa"/>
            <w:vAlign w:val="center"/>
          </w:tcPr>
          <w:p w14:paraId="5F48C57D">
            <w:pPr>
              <w:pageBreakBefore w:val="0"/>
              <w:tabs>
                <w:tab w:val="left" w:pos="1620"/>
              </w:tabs>
              <w:kinsoku/>
              <w:wordWrap/>
              <w:overflowPunct/>
              <w:topLinePunct w:val="0"/>
              <w:bidi w:val="0"/>
              <w:adjustRightInd w:val="0"/>
              <w:snapToGrid w:val="0"/>
              <w:spacing w:line="360" w:lineRule="auto"/>
              <w:jc w:val="left"/>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2.</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 xml:space="preserve"> 质量保证期：  </w:t>
            </w:r>
          </w:p>
          <w:p w14:paraId="1178DBA1">
            <w:pPr>
              <w:pStyle w:val="2"/>
              <w:pageBreakBefore w:val="0"/>
              <w:topLinePunct w:val="0"/>
              <w:bidi w:val="0"/>
              <w:spacing w:line="360" w:lineRule="auto"/>
              <w:ind w:firstLine="420" w:firstLineChars="200"/>
              <w:rPr>
                <w:rFonts w:hint="eastAsia" w:ascii="宋体" w:hAnsi="宋体" w:eastAsia="宋体" w:cs="宋体"/>
                <w:caps w:val="0"/>
                <w:smallCaps w:val="0"/>
                <w:color w:val="000000"/>
                <w:highlight w:val="none"/>
                <w:lang w:val="en-US" w:eastAsia="zh-CN"/>
              </w:rPr>
            </w:pPr>
            <w:r>
              <w:rPr>
                <w:rFonts w:hint="eastAsia" w:ascii="宋体" w:hAnsi="宋体" w:eastAsia="宋体" w:cs="宋体"/>
                <w:caps w:val="0"/>
                <w:smallCaps w:val="0"/>
                <w:color w:val="000000"/>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000000"/>
                <w:kern w:val="2"/>
                <w:sz w:val="21"/>
                <w:szCs w:val="21"/>
                <w:highlight w:val="none"/>
                <w:u w:val="single"/>
                <w:lang w:val="en-US" w:eastAsia="zh-CN" w:bidi="ar-SA"/>
              </w:rPr>
              <w:t>24</w:t>
            </w:r>
            <w:r>
              <w:rPr>
                <w:rFonts w:hint="eastAsia" w:ascii="宋体" w:hAnsi="宋体" w:eastAsia="宋体" w:cs="宋体"/>
                <w:caps w:val="0"/>
                <w:smallCaps w:val="0"/>
                <w:color w:val="000000"/>
                <w:kern w:val="2"/>
                <w:sz w:val="21"/>
                <w:szCs w:val="21"/>
                <w:highlight w:val="none"/>
                <w:lang w:val="en-US" w:eastAsia="zh-CN" w:bidi="ar-SA"/>
              </w:rPr>
              <w:t>个月，但投标人可选择延长质保期。</w:t>
            </w:r>
          </w:p>
          <w:p w14:paraId="41F9E1DA">
            <w:pPr>
              <w:spacing w:line="360" w:lineRule="auto"/>
              <w:rPr>
                <w:rFonts w:ascii="宋体" w:hAnsi="宋体"/>
                <w:szCs w:val="21"/>
              </w:rPr>
            </w:pPr>
          </w:p>
        </w:tc>
        <w:tc>
          <w:tcPr>
            <w:tcW w:w="2560" w:type="dxa"/>
            <w:vAlign w:val="center"/>
          </w:tcPr>
          <w:p w14:paraId="23FD6F9A">
            <w:pPr>
              <w:pageBreakBefore w:val="0"/>
              <w:kinsoku/>
              <w:overflowPunct/>
              <w:topLinePunct w:val="0"/>
              <w:bidi w:val="0"/>
              <w:spacing w:line="360" w:lineRule="auto"/>
              <w:rPr>
                <w:rFonts w:hint="eastAsia" w:ascii="宋体" w:hAnsi="宋体" w:eastAsia="宋体" w:cs="宋体"/>
                <w:b w:val="0"/>
                <w:bCs w:val="0"/>
                <w:snapToGrid w:val="0"/>
                <w:color w:val="auto"/>
                <w:kern w:val="0"/>
                <w:szCs w:val="21"/>
                <w:highlight w:val="none"/>
                <w:lang w:val="en-US" w:eastAsia="zh-CN"/>
              </w:rPr>
            </w:pPr>
            <w:r>
              <w:rPr>
                <w:rFonts w:hint="eastAsia" w:ascii="宋体" w:hAnsi="宋体" w:eastAsia="宋体" w:cs="宋体"/>
                <w:b w:val="0"/>
                <w:bCs w:val="0"/>
                <w:snapToGrid w:val="0"/>
                <w:color w:val="auto"/>
                <w:kern w:val="0"/>
                <w:szCs w:val="21"/>
                <w:highlight w:val="none"/>
                <w:lang w:val="en-US" w:eastAsia="zh-CN"/>
              </w:rPr>
              <w:t>2.</w:t>
            </w:r>
            <w:r>
              <w:rPr>
                <w:rFonts w:hint="eastAsia" w:ascii="宋体" w:hAnsi="宋体" w:cs="宋体"/>
                <w:b w:val="0"/>
                <w:bCs w:val="0"/>
                <w:snapToGrid w:val="0"/>
                <w:color w:val="auto"/>
                <w:kern w:val="0"/>
                <w:szCs w:val="21"/>
                <w:highlight w:val="none"/>
                <w:lang w:val="en-US" w:eastAsia="zh-CN"/>
              </w:rPr>
              <w:t>7</w:t>
            </w:r>
            <w:r>
              <w:rPr>
                <w:rFonts w:hint="eastAsia" w:ascii="宋体" w:hAnsi="宋体" w:eastAsia="宋体" w:cs="宋体"/>
                <w:b w:val="0"/>
                <w:bCs w:val="0"/>
                <w:snapToGrid w:val="0"/>
                <w:color w:val="auto"/>
                <w:kern w:val="0"/>
                <w:szCs w:val="21"/>
                <w:highlight w:val="none"/>
                <w:lang w:val="en-US" w:eastAsia="zh-CN"/>
              </w:rPr>
              <w:t xml:space="preserve"> 质量保证期 </w:t>
            </w:r>
          </w:p>
          <w:p w14:paraId="699D1DE7">
            <w:pPr>
              <w:spacing w:line="360" w:lineRule="auto"/>
              <w:rPr>
                <w:rFonts w:ascii="宋体" w:hAnsi="宋体"/>
                <w:szCs w:val="21"/>
              </w:rPr>
            </w:pPr>
            <w:r>
              <w:rPr>
                <w:rFonts w:hint="eastAsia" w:ascii="宋体" w:hAnsi="宋体" w:eastAsia="宋体" w:cs="宋体"/>
                <w:caps w:val="0"/>
                <w:smallCaps w:val="0"/>
                <w:color w:val="auto"/>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auto"/>
                <w:kern w:val="2"/>
                <w:sz w:val="21"/>
                <w:szCs w:val="21"/>
                <w:highlight w:val="none"/>
                <w:u w:val="single"/>
                <w:lang w:val="en-US" w:eastAsia="zh-CN" w:bidi="ar-SA"/>
              </w:rPr>
              <w:t xml:space="preserve">     </w:t>
            </w:r>
            <w:r>
              <w:rPr>
                <w:rFonts w:hint="eastAsia" w:ascii="宋体" w:hAnsi="宋体" w:eastAsia="宋体" w:cs="宋体"/>
                <w:caps w:val="0"/>
                <w:smallCaps w:val="0"/>
                <w:color w:val="auto"/>
                <w:kern w:val="2"/>
                <w:sz w:val="21"/>
                <w:szCs w:val="21"/>
                <w:highlight w:val="none"/>
                <w:lang w:val="en-US" w:eastAsia="zh-CN" w:bidi="ar-SA"/>
              </w:rPr>
              <w:t>个月。</w:t>
            </w:r>
          </w:p>
        </w:tc>
        <w:tc>
          <w:tcPr>
            <w:tcW w:w="1145" w:type="dxa"/>
            <w:vAlign w:val="center"/>
          </w:tcPr>
          <w:p w14:paraId="6219AAC2">
            <w:pPr>
              <w:spacing w:line="360" w:lineRule="auto"/>
              <w:rPr>
                <w:rFonts w:ascii="宋体" w:hAnsi="宋体"/>
                <w:szCs w:val="21"/>
              </w:rPr>
            </w:pPr>
          </w:p>
        </w:tc>
        <w:tc>
          <w:tcPr>
            <w:tcW w:w="2410" w:type="dxa"/>
            <w:vAlign w:val="center"/>
          </w:tcPr>
          <w:p w14:paraId="0E219EF7">
            <w:pPr>
              <w:spacing w:line="360" w:lineRule="auto"/>
              <w:rPr>
                <w:rFonts w:ascii="宋体" w:hAnsi="宋体"/>
                <w:szCs w:val="21"/>
              </w:rPr>
            </w:pPr>
          </w:p>
        </w:tc>
      </w:tr>
    </w:tbl>
    <w:p w14:paraId="18EE77A0">
      <w:pPr>
        <w:spacing w:line="360" w:lineRule="auto"/>
        <w:rPr>
          <w:rFonts w:hint="eastAsia" w:ascii="宋体" w:hAnsi="宋体"/>
          <w:szCs w:val="21"/>
        </w:rPr>
      </w:pPr>
    </w:p>
    <w:p w14:paraId="04D77712">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A8F1067">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1162350">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B25CEE8">
      <w:pPr>
        <w:autoSpaceDE w:val="0"/>
        <w:autoSpaceDN w:val="0"/>
        <w:adjustRightInd w:val="0"/>
        <w:snapToGrid w:val="0"/>
        <w:spacing w:line="360" w:lineRule="auto"/>
        <w:ind w:firstLine="420" w:firstLineChars="200"/>
        <w:jc w:val="left"/>
        <w:rPr>
          <w:rFonts w:ascii="宋体" w:hAnsi="宋体" w:cs="宋体"/>
        </w:rPr>
      </w:pPr>
    </w:p>
    <w:p w14:paraId="53E5F760">
      <w:pPr>
        <w:bidi w:val="0"/>
        <w:rPr>
          <w:rFonts w:hint="eastAsia"/>
          <w:lang w:val="en-US" w:eastAsia="zh-CN"/>
        </w:rPr>
      </w:pPr>
    </w:p>
    <w:p w14:paraId="6793900D">
      <w:pPr>
        <w:bidi w:val="0"/>
        <w:rPr>
          <w:rFonts w:hint="eastAsia"/>
          <w:lang w:val="en-US" w:eastAsia="zh-CN"/>
        </w:rPr>
      </w:pPr>
    </w:p>
    <w:p w14:paraId="1C64C696">
      <w:pPr>
        <w:bidi w:val="0"/>
        <w:rPr>
          <w:rFonts w:hint="eastAsia"/>
          <w:lang w:val="en-US" w:eastAsia="zh-CN"/>
        </w:rPr>
      </w:pPr>
    </w:p>
    <w:p w14:paraId="63B8B2C8">
      <w:pPr>
        <w:bidi w:val="0"/>
        <w:rPr>
          <w:rFonts w:hint="eastAsia"/>
          <w:lang w:val="en-US" w:eastAsia="zh-CN"/>
        </w:rPr>
      </w:pPr>
    </w:p>
    <w:p w14:paraId="02A07367">
      <w:pPr>
        <w:bidi w:val="0"/>
        <w:rPr>
          <w:rFonts w:hint="eastAsia"/>
          <w:lang w:val="en-US" w:eastAsia="zh-CN"/>
        </w:rPr>
      </w:pPr>
    </w:p>
    <w:p w14:paraId="71E5AC5D">
      <w:pPr>
        <w:bidi w:val="0"/>
        <w:rPr>
          <w:rFonts w:hint="eastAsia"/>
          <w:lang w:val="en-US" w:eastAsia="zh-CN"/>
        </w:rPr>
      </w:pPr>
    </w:p>
    <w:p w14:paraId="0AC8BC2E">
      <w:pPr>
        <w:bidi w:val="0"/>
        <w:rPr>
          <w:rFonts w:hint="eastAsia"/>
          <w:lang w:val="en-US" w:eastAsia="zh-CN"/>
        </w:rPr>
      </w:pPr>
    </w:p>
    <w:p w14:paraId="581AD77E">
      <w:pPr>
        <w:bidi w:val="0"/>
        <w:rPr>
          <w:rFonts w:hint="eastAsia"/>
          <w:lang w:val="en-US" w:eastAsia="zh-CN"/>
        </w:rPr>
      </w:pPr>
    </w:p>
    <w:p w14:paraId="60A5FFE5">
      <w:pPr>
        <w:bidi w:val="0"/>
        <w:rPr>
          <w:rFonts w:hint="eastAsia"/>
          <w:lang w:val="en-US" w:eastAsia="zh-CN"/>
        </w:rPr>
      </w:pPr>
    </w:p>
    <w:p w14:paraId="18A12C84">
      <w:pPr>
        <w:bidi w:val="0"/>
        <w:rPr>
          <w:rFonts w:hint="eastAsia"/>
          <w:lang w:val="en-US" w:eastAsia="zh-CN"/>
        </w:rPr>
      </w:pPr>
    </w:p>
    <w:p w14:paraId="26AE00DE">
      <w:pPr>
        <w:bidi w:val="0"/>
        <w:rPr>
          <w:rFonts w:hint="eastAsia"/>
          <w:lang w:val="en-US" w:eastAsia="zh-CN"/>
        </w:rPr>
      </w:pPr>
    </w:p>
    <w:p w14:paraId="0D59CB66">
      <w:pPr>
        <w:bidi w:val="0"/>
        <w:rPr>
          <w:rFonts w:hint="eastAsia"/>
          <w:lang w:val="en-US" w:eastAsia="zh-CN"/>
        </w:rPr>
      </w:pPr>
    </w:p>
    <w:p w14:paraId="01514D7B">
      <w:pPr>
        <w:bidi w:val="0"/>
        <w:rPr>
          <w:rFonts w:hint="eastAsia"/>
          <w:lang w:val="en-US" w:eastAsia="zh-CN"/>
        </w:rPr>
      </w:pPr>
    </w:p>
    <w:p w14:paraId="1063995A">
      <w:pPr>
        <w:bidi w:val="0"/>
        <w:rPr>
          <w:rFonts w:hint="eastAsia"/>
          <w:lang w:val="en-US" w:eastAsia="zh-CN"/>
        </w:rPr>
      </w:pPr>
    </w:p>
    <w:p w14:paraId="5335D28F">
      <w:pPr>
        <w:bidi w:val="0"/>
        <w:rPr>
          <w:rFonts w:hint="eastAsia"/>
          <w:lang w:val="en-US" w:eastAsia="zh-CN"/>
        </w:rPr>
      </w:pPr>
    </w:p>
    <w:p w14:paraId="05532DD8">
      <w:pPr>
        <w:bidi w:val="0"/>
        <w:rPr>
          <w:rFonts w:hint="eastAsia"/>
          <w:lang w:val="en-US" w:eastAsia="zh-CN"/>
        </w:rPr>
      </w:pPr>
    </w:p>
    <w:p w14:paraId="5DBD0139">
      <w:pPr>
        <w:bidi w:val="0"/>
        <w:rPr>
          <w:rFonts w:hint="eastAsia"/>
          <w:lang w:val="en-US" w:eastAsia="zh-CN"/>
        </w:rPr>
      </w:pPr>
    </w:p>
    <w:p w14:paraId="0D02D58A">
      <w:pPr>
        <w:bidi w:val="0"/>
        <w:rPr>
          <w:rFonts w:hint="eastAsia"/>
          <w:lang w:val="en-US" w:eastAsia="zh-CN"/>
        </w:rPr>
      </w:pPr>
    </w:p>
    <w:p w14:paraId="7F956A82">
      <w:pPr>
        <w:bidi w:val="0"/>
        <w:rPr>
          <w:rFonts w:hint="eastAsia"/>
          <w:lang w:val="en-US" w:eastAsia="zh-CN"/>
        </w:rPr>
      </w:pPr>
    </w:p>
    <w:p w14:paraId="048F796E">
      <w:pPr>
        <w:bidi w:val="0"/>
        <w:rPr>
          <w:rFonts w:hint="eastAsia"/>
          <w:lang w:val="en-US" w:eastAsia="zh-CN"/>
        </w:rPr>
      </w:pPr>
    </w:p>
    <w:p w14:paraId="73251106">
      <w:pPr>
        <w:bidi w:val="0"/>
        <w:rPr>
          <w:rFonts w:hint="eastAsia"/>
          <w:lang w:val="en-US" w:eastAsia="zh-CN"/>
        </w:rPr>
      </w:pPr>
    </w:p>
    <w:p w14:paraId="5C3E1A92">
      <w:pPr>
        <w:bidi w:val="0"/>
        <w:rPr>
          <w:rFonts w:hint="eastAsia"/>
          <w:lang w:val="en-US" w:eastAsia="zh-CN"/>
        </w:rPr>
      </w:pPr>
    </w:p>
    <w:p w14:paraId="7B9018B5">
      <w:pPr>
        <w:bidi w:val="0"/>
        <w:rPr>
          <w:rFonts w:hint="eastAsia"/>
          <w:lang w:val="en-US" w:eastAsia="zh-CN"/>
        </w:rPr>
      </w:pPr>
    </w:p>
    <w:p w14:paraId="3D86C2AB">
      <w:pPr>
        <w:bidi w:val="0"/>
        <w:rPr>
          <w:rFonts w:hint="eastAsia"/>
          <w:lang w:val="en-US" w:eastAsia="zh-CN"/>
        </w:rPr>
      </w:pPr>
    </w:p>
    <w:p w14:paraId="1A265E90">
      <w:pPr>
        <w:bidi w:val="0"/>
        <w:rPr>
          <w:rFonts w:hint="eastAsia"/>
          <w:lang w:val="en-US" w:eastAsia="zh-CN"/>
        </w:rPr>
      </w:pPr>
    </w:p>
    <w:p w14:paraId="0D0459FF">
      <w:pPr>
        <w:bidi w:val="0"/>
        <w:rPr>
          <w:rFonts w:hint="eastAsia"/>
          <w:lang w:val="en-US" w:eastAsia="zh-CN"/>
        </w:rPr>
      </w:pPr>
    </w:p>
    <w:p w14:paraId="121BA525">
      <w:pPr>
        <w:rPr>
          <w:rFonts w:hint="eastAsia"/>
          <w:lang w:val="en-US" w:eastAsia="zh-CN"/>
        </w:rPr>
      </w:pPr>
      <w:bookmarkStart w:id="1061" w:name="_Toc30229"/>
      <w:r>
        <w:rPr>
          <w:rFonts w:hint="eastAsia"/>
          <w:lang w:val="en-US" w:eastAsia="zh-CN"/>
        </w:rPr>
        <w:br w:type="page"/>
      </w:r>
    </w:p>
    <w:p w14:paraId="19A5BDC1">
      <w:pPr>
        <w:pStyle w:val="6"/>
        <w:bidi w:val="0"/>
        <w:jc w:val="center"/>
        <w:rPr>
          <w:rFonts w:hint="eastAsia"/>
          <w:sz w:val="32"/>
          <w:szCs w:val="24"/>
          <w:lang w:val="en-US" w:eastAsia="zh-CN"/>
        </w:rPr>
      </w:pPr>
      <w:r>
        <w:rPr>
          <w:rFonts w:hint="eastAsia"/>
          <w:sz w:val="32"/>
          <w:szCs w:val="24"/>
          <w:lang w:val="en-US" w:eastAsia="zh-CN"/>
        </w:rPr>
        <w:t>（二）类似项目业绩情况表</w:t>
      </w:r>
      <w:bookmarkEnd w:id="1061"/>
    </w:p>
    <w:tbl>
      <w:tblPr>
        <w:tblStyle w:val="46"/>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47"/>
        <w:gridCol w:w="878"/>
        <w:gridCol w:w="878"/>
        <w:gridCol w:w="1043"/>
        <w:gridCol w:w="878"/>
        <w:gridCol w:w="878"/>
        <w:gridCol w:w="1209"/>
        <w:gridCol w:w="2202"/>
        <w:gridCol w:w="547"/>
      </w:tblGrid>
      <w:tr w14:paraId="663D5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547" w:type="dxa"/>
            <w:tcBorders>
              <w:top w:val="single" w:color="000000" w:sz="4" w:space="0"/>
              <w:left w:val="single" w:color="000000" w:sz="4" w:space="0"/>
              <w:bottom w:val="single" w:color="000000" w:sz="4" w:space="0"/>
              <w:right w:val="single" w:color="000000" w:sz="4" w:space="0"/>
            </w:tcBorders>
            <w:noWrap/>
            <w:vAlign w:val="center"/>
          </w:tcPr>
          <w:p w14:paraId="701A9E85">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序号</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5105CAF2">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项目名称</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2E23D20A">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买方名称</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44E7C421">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买方联系人</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7B353960">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买方电话</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721603CD">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i w:val="0"/>
                <w:iCs w:val="0"/>
                <w:caps w:val="0"/>
                <w:smallCaps w:val="0"/>
                <w:color w:val="auto"/>
                <w:kern w:val="0"/>
                <w:sz w:val="21"/>
                <w:szCs w:val="21"/>
                <w:highlight w:val="none"/>
                <w:u w:val="none"/>
                <w:lang w:val="en-US" w:eastAsia="zh-CN" w:bidi="ar"/>
              </w:rPr>
              <w:t>合同金额</w:t>
            </w:r>
          </w:p>
        </w:tc>
        <w:tc>
          <w:tcPr>
            <w:tcW w:w="1209" w:type="dxa"/>
            <w:tcBorders>
              <w:top w:val="single" w:color="000000" w:sz="4" w:space="0"/>
              <w:left w:val="single" w:color="000000" w:sz="4" w:space="0"/>
              <w:bottom w:val="single" w:color="000000" w:sz="4" w:space="0"/>
              <w:right w:val="single" w:color="000000" w:sz="4" w:space="0"/>
            </w:tcBorders>
            <w:noWrap/>
            <w:vAlign w:val="center"/>
          </w:tcPr>
          <w:p w14:paraId="50445071">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color w:val="auto"/>
                <w:szCs w:val="21"/>
                <w:highlight w:val="none"/>
                <w:u w:val="none"/>
              </w:rPr>
              <w:t>合同签订时间</w:t>
            </w:r>
          </w:p>
        </w:tc>
        <w:tc>
          <w:tcPr>
            <w:tcW w:w="2202" w:type="dxa"/>
            <w:tcBorders>
              <w:top w:val="single" w:color="000000" w:sz="4" w:space="0"/>
              <w:left w:val="single" w:color="000000" w:sz="4" w:space="0"/>
              <w:bottom w:val="single" w:color="000000" w:sz="4" w:space="0"/>
              <w:right w:val="single" w:color="000000" w:sz="4" w:space="0"/>
            </w:tcBorders>
            <w:noWrap/>
            <w:vAlign w:val="center"/>
          </w:tcPr>
          <w:p w14:paraId="2A9D9701">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项目概况及投标人履约情况</w:t>
            </w:r>
          </w:p>
        </w:tc>
        <w:tc>
          <w:tcPr>
            <w:tcW w:w="547" w:type="dxa"/>
            <w:tcBorders>
              <w:top w:val="single" w:color="000000" w:sz="4" w:space="0"/>
              <w:left w:val="single" w:color="000000" w:sz="4" w:space="0"/>
              <w:bottom w:val="single" w:color="000000" w:sz="4" w:space="0"/>
              <w:right w:val="single" w:color="000000" w:sz="4" w:space="0"/>
            </w:tcBorders>
            <w:noWrap/>
            <w:vAlign w:val="center"/>
          </w:tcPr>
          <w:p w14:paraId="63D92982">
            <w:pPr>
              <w:keepNext w:val="0"/>
              <w:keepLines w:val="0"/>
              <w:pageBreakBefore w:val="0"/>
              <w:widowControl/>
              <w:suppressLineNumbers w:val="0"/>
              <w:topLinePunct w:val="0"/>
              <w:bidi w:val="0"/>
              <w:spacing w:line="360" w:lineRule="auto"/>
              <w:jc w:val="left"/>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备注</w:t>
            </w:r>
          </w:p>
        </w:tc>
      </w:tr>
      <w:tr w14:paraId="6118E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547" w:type="dxa"/>
            <w:tcBorders>
              <w:top w:val="single" w:color="000000" w:sz="4" w:space="0"/>
              <w:left w:val="single" w:color="000000" w:sz="4" w:space="0"/>
              <w:bottom w:val="single" w:color="000000" w:sz="4" w:space="0"/>
              <w:right w:val="single" w:color="000000" w:sz="4" w:space="0"/>
            </w:tcBorders>
            <w:noWrap/>
            <w:vAlign w:val="center"/>
          </w:tcPr>
          <w:p w14:paraId="55B91288">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1</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19644BC4">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40854342">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27BE2B9F">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15F7DCC1">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5CA07FF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09" w:type="dxa"/>
            <w:tcBorders>
              <w:top w:val="single" w:color="000000" w:sz="4" w:space="0"/>
              <w:left w:val="single" w:color="000000" w:sz="4" w:space="0"/>
              <w:bottom w:val="single" w:color="000000" w:sz="4" w:space="0"/>
              <w:right w:val="single" w:color="000000" w:sz="4" w:space="0"/>
            </w:tcBorders>
            <w:noWrap/>
            <w:vAlign w:val="center"/>
          </w:tcPr>
          <w:p w14:paraId="5DFFD56E">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2202" w:type="dxa"/>
            <w:tcBorders>
              <w:top w:val="single" w:color="000000" w:sz="4" w:space="0"/>
              <w:left w:val="single" w:color="000000" w:sz="4" w:space="0"/>
              <w:bottom w:val="single" w:color="000000" w:sz="4" w:space="0"/>
              <w:right w:val="single" w:color="000000" w:sz="4" w:space="0"/>
            </w:tcBorders>
            <w:noWrap/>
            <w:vAlign w:val="center"/>
          </w:tcPr>
          <w:p w14:paraId="0114E53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47" w:type="dxa"/>
            <w:tcBorders>
              <w:top w:val="single" w:color="000000" w:sz="4" w:space="0"/>
              <w:left w:val="single" w:color="000000" w:sz="4" w:space="0"/>
              <w:bottom w:val="single" w:color="000000" w:sz="4" w:space="0"/>
              <w:right w:val="single" w:color="000000" w:sz="4" w:space="0"/>
            </w:tcBorders>
            <w:noWrap/>
            <w:vAlign w:val="center"/>
          </w:tcPr>
          <w:p w14:paraId="423E5845">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422D1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7" w:type="dxa"/>
            <w:tcBorders>
              <w:top w:val="single" w:color="000000" w:sz="4" w:space="0"/>
              <w:left w:val="single" w:color="000000" w:sz="4" w:space="0"/>
              <w:bottom w:val="single" w:color="000000" w:sz="4" w:space="0"/>
              <w:right w:val="single" w:color="000000" w:sz="4" w:space="0"/>
            </w:tcBorders>
            <w:noWrap/>
            <w:vAlign w:val="center"/>
          </w:tcPr>
          <w:p w14:paraId="50012A2D">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2</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6CAD8E5D">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2A44B9DE">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277A84C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6D6A282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31CC3AE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09" w:type="dxa"/>
            <w:tcBorders>
              <w:top w:val="single" w:color="000000" w:sz="4" w:space="0"/>
              <w:left w:val="single" w:color="000000" w:sz="4" w:space="0"/>
              <w:bottom w:val="single" w:color="000000" w:sz="4" w:space="0"/>
              <w:right w:val="single" w:color="000000" w:sz="4" w:space="0"/>
            </w:tcBorders>
            <w:noWrap/>
            <w:vAlign w:val="center"/>
          </w:tcPr>
          <w:p w14:paraId="0788565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2202" w:type="dxa"/>
            <w:tcBorders>
              <w:top w:val="single" w:color="000000" w:sz="4" w:space="0"/>
              <w:left w:val="single" w:color="000000" w:sz="4" w:space="0"/>
              <w:bottom w:val="single" w:color="000000" w:sz="4" w:space="0"/>
              <w:right w:val="single" w:color="000000" w:sz="4" w:space="0"/>
            </w:tcBorders>
            <w:noWrap/>
            <w:vAlign w:val="center"/>
          </w:tcPr>
          <w:p w14:paraId="0405D43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47" w:type="dxa"/>
            <w:tcBorders>
              <w:top w:val="single" w:color="000000" w:sz="4" w:space="0"/>
              <w:left w:val="single" w:color="000000" w:sz="4" w:space="0"/>
              <w:bottom w:val="single" w:color="000000" w:sz="4" w:space="0"/>
              <w:right w:val="single" w:color="000000" w:sz="4" w:space="0"/>
            </w:tcBorders>
            <w:noWrap/>
            <w:vAlign w:val="center"/>
          </w:tcPr>
          <w:p w14:paraId="7169483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719E6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8" w:hRule="atLeast"/>
        </w:trPr>
        <w:tc>
          <w:tcPr>
            <w:tcW w:w="547" w:type="dxa"/>
            <w:tcBorders>
              <w:top w:val="single" w:color="000000" w:sz="4" w:space="0"/>
              <w:left w:val="single" w:color="000000" w:sz="4" w:space="0"/>
              <w:bottom w:val="single" w:color="000000" w:sz="4" w:space="0"/>
              <w:right w:val="single" w:color="000000" w:sz="4" w:space="0"/>
            </w:tcBorders>
            <w:noWrap/>
            <w:vAlign w:val="center"/>
          </w:tcPr>
          <w:p w14:paraId="52BA9487">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3</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66A77B6A">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1C76423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1D56DFCB">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482E9F09">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0A086766">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09" w:type="dxa"/>
            <w:tcBorders>
              <w:top w:val="single" w:color="000000" w:sz="4" w:space="0"/>
              <w:left w:val="single" w:color="000000" w:sz="4" w:space="0"/>
              <w:bottom w:val="single" w:color="000000" w:sz="4" w:space="0"/>
              <w:right w:val="single" w:color="000000" w:sz="4" w:space="0"/>
            </w:tcBorders>
            <w:noWrap/>
            <w:vAlign w:val="center"/>
          </w:tcPr>
          <w:p w14:paraId="3658DAE9">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2202" w:type="dxa"/>
            <w:tcBorders>
              <w:top w:val="single" w:color="000000" w:sz="4" w:space="0"/>
              <w:left w:val="single" w:color="000000" w:sz="4" w:space="0"/>
              <w:bottom w:val="single" w:color="000000" w:sz="4" w:space="0"/>
              <w:right w:val="single" w:color="000000" w:sz="4" w:space="0"/>
            </w:tcBorders>
            <w:noWrap/>
            <w:vAlign w:val="center"/>
          </w:tcPr>
          <w:p w14:paraId="041B2710">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47" w:type="dxa"/>
            <w:tcBorders>
              <w:top w:val="single" w:color="000000" w:sz="4" w:space="0"/>
              <w:left w:val="single" w:color="000000" w:sz="4" w:space="0"/>
              <w:bottom w:val="single" w:color="000000" w:sz="4" w:space="0"/>
              <w:right w:val="single" w:color="000000" w:sz="4" w:space="0"/>
            </w:tcBorders>
            <w:noWrap/>
            <w:vAlign w:val="center"/>
          </w:tcPr>
          <w:p w14:paraId="56D0024E">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59F22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 w:hRule="atLeast"/>
        </w:trPr>
        <w:tc>
          <w:tcPr>
            <w:tcW w:w="547" w:type="dxa"/>
            <w:tcBorders>
              <w:top w:val="single" w:color="000000" w:sz="4" w:space="0"/>
              <w:left w:val="single" w:color="000000" w:sz="4" w:space="0"/>
              <w:bottom w:val="single" w:color="000000" w:sz="4" w:space="0"/>
              <w:right w:val="single" w:color="000000" w:sz="4" w:space="0"/>
            </w:tcBorders>
            <w:noWrap/>
            <w:vAlign w:val="center"/>
          </w:tcPr>
          <w:p w14:paraId="44A496D4">
            <w:pPr>
              <w:pageBreakBefore w:val="0"/>
              <w:topLinePunct w:val="0"/>
              <w:bidi w:val="0"/>
              <w:spacing w:line="360" w:lineRule="auto"/>
              <w:rPr>
                <w:rFonts w:hint="default"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6306C7C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4E75F09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29899B36">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2CB7D97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7B4CBF45">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09" w:type="dxa"/>
            <w:tcBorders>
              <w:top w:val="single" w:color="000000" w:sz="4" w:space="0"/>
              <w:left w:val="single" w:color="000000" w:sz="4" w:space="0"/>
              <w:bottom w:val="single" w:color="000000" w:sz="4" w:space="0"/>
              <w:right w:val="single" w:color="000000" w:sz="4" w:space="0"/>
            </w:tcBorders>
            <w:noWrap/>
            <w:vAlign w:val="center"/>
          </w:tcPr>
          <w:p w14:paraId="25AA3265">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2202" w:type="dxa"/>
            <w:tcBorders>
              <w:top w:val="single" w:color="000000" w:sz="4" w:space="0"/>
              <w:left w:val="single" w:color="000000" w:sz="4" w:space="0"/>
              <w:bottom w:val="single" w:color="000000" w:sz="4" w:space="0"/>
              <w:right w:val="single" w:color="000000" w:sz="4" w:space="0"/>
            </w:tcBorders>
            <w:noWrap/>
            <w:vAlign w:val="center"/>
          </w:tcPr>
          <w:p w14:paraId="59F38850">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47" w:type="dxa"/>
            <w:tcBorders>
              <w:top w:val="single" w:color="000000" w:sz="4" w:space="0"/>
              <w:left w:val="single" w:color="000000" w:sz="4" w:space="0"/>
              <w:bottom w:val="single" w:color="000000" w:sz="4" w:space="0"/>
              <w:right w:val="single" w:color="000000" w:sz="4" w:space="0"/>
            </w:tcBorders>
            <w:noWrap/>
            <w:vAlign w:val="center"/>
          </w:tcPr>
          <w:p w14:paraId="2027A1F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bl>
    <w:p w14:paraId="54B6DC75">
      <w:pPr>
        <w:spacing w:line="360" w:lineRule="auto"/>
        <w:jc w:val="right"/>
        <w:rPr>
          <w:rFonts w:hint="eastAsia" w:ascii="宋体" w:hAnsi="宋体"/>
          <w:szCs w:val="21"/>
        </w:rPr>
      </w:pPr>
    </w:p>
    <w:p w14:paraId="394D7DE2">
      <w:pPr>
        <w:spacing w:line="360" w:lineRule="auto"/>
        <w:jc w:val="right"/>
        <w:rPr>
          <w:rFonts w:hint="eastAsia" w:ascii="宋体" w:hAnsi="宋体"/>
          <w:szCs w:val="21"/>
        </w:rPr>
      </w:pPr>
    </w:p>
    <w:p w14:paraId="10117D8A">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65B7D5B">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1E0ADA38">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2A4561B">
      <w:pPr>
        <w:tabs>
          <w:tab w:val="left" w:pos="631"/>
          <w:tab w:val="left" w:pos="1471"/>
          <w:tab w:val="left" w:pos="2311"/>
        </w:tabs>
        <w:autoSpaceDE w:val="0"/>
        <w:autoSpaceDN w:val="0"/>
        <w:spacing w:before="37"/>
        <w:ind w:right="597"/>
        <w:jc w:val="right"/>
        <w:rPr>
          <w:rFonts w:ascii="宋体" w:hAnsi="宋体" w:cs="宋体"/>
          <w:kern w:val="0"/>
          <w:szCs w:val="21"/>
        </w:rPr>
      </w:pPr>
    </w:p>
    <w:p w14:paraId="2A1B43AF">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r>
        <w:rPr>
          <w:rFonts w:hint="eastAsia" w:ascii="宋体" w:hAnsi="宋体"/>
          <w:color w:val="000000" w:themeColor="text1"/>
          <w:lang w:val="en-US" w:eastAsia="zh-CN"/>
          <w14:textFill>
            <w14:solidFill>
              <w14:schemeClr w14:val="tx1"/>
            </w14:solidFill>
          </w14:textFill>
        </w:rPr>
        <w:t>注：</w:t>
      </w: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条第3款业绩要求的规定提供。</w:t>
      </w:r>
    </w:p>
    <w:p w14:paraId="19FACEAF">
      <w:pPr>
        <w:rPr>
          <w:rFonts w:hint="eastAsia" w:ascii="宋体" w:hAnsi="宋体" w:eastAsia="宋体" w:cs="宋体"/>
          <w:color w:val="auto"/>
          <w:sz w:val="21"/>
          <w:szCs w:val="21"/>
          <w:highlight w:val="none"/>
        </w:rPr>
      </w:pPr>
    </w:p>
    <w:p w14:paraId="685C47A4">
      <w:pPr>
        <w:pStyle w:val="2"/>
        <w:rPr>
          <w:rFonts w:hint="eastAsia"/>
        </w:rPr>
        <w:sectPr>
          <w:pgSz w:w="11906" w:h="16838"/>
          <w:pgMar w:top="771" w:right="1474" w:bottom="1418" w:left="1588" w:header="851" w:footer="992" w:gutter="0"/>
          <w:pgBorders>
            <w:top w:val="none" w:sz="0" w:space="0"/>
            <w:left w:val="none" w:sz="0" w:space="0"/>
            <w:bottom w:val="none" w:sz="0" w:space="0"/>
            <w:right w:val="none" w:sz="0" w:space="0"/>
          </w:pgBorders>
          <w:pgNumType w:fmt="decimal"/>
          <w:cols w:space="720" w:num="1"/>
          <w:docGrid w:linePitch="312" w:charSpace="0"/>
        </w:sectPr>
      </w:pPr>
    </w:p>
    <w:p w14:paraId="43AEE32D">
      <w:pPr>
        <w:pStyle w:val="6"/>
        <w:shd w:val="clear"/>
        <w:bidi w:val="0"/>
        <w:jc w:val="center"/>
        <w:rPr>
          <w:rFonts w:hint="eastAsia"/>
          <w:color w:val="auto"/>
          <w:sz w:val="32"/>
          <w:szCs w:val="24"/>
          <w:highlight w:val="none"/>
          <w:lang w:val="en-US" w:eastAsia="zh-CN"/>
        </w:rPr>
      </w:pPr>
      <w:bookmarkStart w:id="1062" w:name="_Toc17326"/>
      <w:r>
        <w:rPr>
          <w:rFonts w:hint="eastAsia"/>
          <w:color w:val="auto"/>
          <w:sz w:val="32"/>
          <w:szCs w:val="24"/>
          <w:lang w:val="en-US" w:eastAsia="zh-CN"/>
        </w:rPr>
        <w:t>（三）</w:t>
      </w:r>
      <w:r>
        <w:rPr>
          <w:rFonts w:hint="eastAsia"/>
          <w:color w:val="auto"/>
          <w:sz w:val="32"/>
          <w:szCs w:val="24"/>
          <w:highlight w:val="none"/>
          <w:lang w:val="en-US" w:eastAsia="zh-CN"/>
        </w:rPr>
        <w:t>主要部件品牌响应表</w:t>
      </w:r>
    </w:p>
    <w:p w14:paraId="1C2E1A84">
      <w:pPr>
        <w:pageBreakBefore w:val="0"/>
        <w:kinsoku/>
        <w:topLinePunct w:val="0"/>
        <w:bidi w:val="0"/>
        <w:spacing w:line="360" w:lineRule="auto"/>
        <w:rPr>
          <w:rFonts w:hint="eastAsia"/>
          <w:lang w:val="en-US" w:eastAsia="zh-CN"/>
        </w:rPr>
      </w:pPr>
      <w:r>
        <w:rPr>
          <w:rFonts w:hint="eastAsia" w:ascii="宋体" w:hAnsi="宋体"/>
          <w:szCs w:val="21"/>
        </w:rPr>
        <w:t>招标项目名称：</w:t>
      </w:r>
      <w:r>
        <w:rPr>
          <w:rFonts w:hint="eastAsia" w:ascii="宋体" w:hAnsi="宋体"/>
          <w:szCs w:val="21"/>
          <w:lang w:val="en-US" w:eastAsia="zh-CN"/>
        </w:rPr>
        <w:t xml:space="preserve"> </w:t>
      </w:r>
    </w:p>
    <w:tbl>
      <w:tblPr>
        <w:tblStyle w:val="46"/>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084"/>
        <w:gridCol w:w="1293"/>
        <w:gridCol w:w="2785"/>
        <w:gridCol w:w="2845"/>
        <w:gridCol w:w="1667"/>
      </w:tblGrid>
      <w:tr w14:paraId="4A17F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shd w:val="clear" w:color="auto" w:fill="auto"/>
            <w:noWrap w:val="0"/>
            <w:tcMar>
              <w:top w:w="0" w:type="dxa"/>
              <w:left w:w="108" w:type="dxa"/>
              <w:bottom w:w="0" w:type="dxa"/>
              <w:right w:w="108" w:type="dxa"/>
            </w:tcMar>
            <w:vAlign w:val="center"/>
          </w:tcPr>
          <w:p w14:paraId="198B899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序号</w:t>
            </w:r>
          </w:p>
        </w:tc>
        <w:tc>
          <w:tcPr>
            <w:tcW w:w="668" w:type="pct"/>
            <w:shd w:val="clear" w:color="auto" w:fill="auto"/>
            <w:noWrap w:val="0"/>
            <w:tcMar>
              <w:top w:w="0" w:type="dxa"/>
              <w:left w:w="108" w:type="dxa"/>
              <w:bottom w:w="0" w:type="dxa"/>
              <w:right w:w="108" w:type="dxa"/>
            </w:tcMar>
            <w:vAlign w:val="center"/>
          </w:tcPr>
          <w:p w14:paraId="1180AAE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名称</w:t>
            </w:r>
          </w:p>
        </w:tc>
        <w:tc>
          <w:tcPr>
            <w:tcW w:w="1439" w:type="pct"/>
            <w:shd w:val="clear" w:color="auto" w:fill="auto"/>
            <w:noWrap w:val="0"/>
            <w:tcMar>
              <w:top w:w="0" w:type="dxa"/>
              <w:left w:w="108" w:type="dxa"/>
              <w:bottom w:w="0" w:type="dxa"/>
              <w:right w:w="108" w:type="dxa"/>
            </w:tcMar>
            <w:vAlign w:val="center"/>
          </w:tcPr>
          <w:p w14:paraId="3FA9B7D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推荐品牌</w:t>
            </w:r>
          </w:p>
        </w:tc>
        <w:tc>
          <w:tcPr>
            <w:tcW w:w="1470" w:type="pct"/>
            <w:shd w:val="clear" w:color="auto" w:fill="auto"/>
            <w:noWrap w:val="0"/>
            <w:tcMar>
              <w:top w:w="0" w:type="dxa"/>
              <w:left w:w="108" w:type="dxa"/>
              <w:bottom w:w="0" w:type="dxa"/>
              <w:right w:w="108" w:type="dxa"/>
            </w:tcMar>
            <w:vAlign w:val="center"/>
          </w:tcPr>
          <w:p w14:paraId="03A0DD3F">
            <w:pPr>
              <w:pStyle w:val="331"/>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投标响应品牌</w:t>
            </w:r>
          </w:p>
          <w:p w14:paraId="35523D61">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b/>
                <w:bCs/>
                <w:color w:val="FF0000"/>
                <w:sz w:val="21"/>
                <w:szCs w:val="21"/>
                <w:lang w:val="en-US" w:eastAsia="zh-CN"/>
              </w:rPr>
              <w:t>（投标人填写</w:t>
            </w:r>
            <w:r>
              <w:rPr>
                <w:rFonts w:hint="eastAsia" w:ascii="宋体" w:hAnsi="宋体" w:cs="宋体"/>
                <w:b/>
                <w:bCs/>
                <w:color w:val="FF0000"/>
                <w:sz w:val="21"/>
                <w:szCs w:val="21"/>
                <w:lang w:val="en-US" w:eastAsia="zh-CN"/>
              </w:rPr>
              <w:t>唯一品牌</w:t>
            </w:r>
            <w:r>
              <w:rPr>
                <w:rFonts w:hint="eastAsia" w:ascii="宋体" w:hAnsi="宋体" w:eastAsia="宋体" w:cs="宋体"/>
                <w:b/>
                <w:bCs/>
                <w:color w:val="FF0000"/>
                <w:sz w:val="21"/>
                <w:szCs w:val="21"/>
                <w:lang w:val="en-US" w:eastAsia="zh-CN"/>
              </w:rPr>
              <w:t>）</w:t>
            </w:r>
          </w:p>
        </w:tc>
        <w:tc>
          <w:tcPr>
            <w:tcW w:w="861" w:type="pct"/>
            <w:shd w:val="clear" w:color="auto" w:fill="auto"/>
            <w:noWrap w:val="0"/>
            <w:tcMar>
              <w:top w:w="0" w:type="dxa"/>
              <w:left w:w="108" w:type="dxa"/>
              <w:bottom w:w="0" w:type="dxa"/>
              <w:right w:w="108" w:type="dxa"/>
            </w:tcMar>
            <w:vAlign w:val="center"/>
          </w:tcPr>
          <w:p w14:paraId="769371C0">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备注</w:t>
            </w:r>
          </w:p>
        </w:tc>
      </w:tr>
      <w:tr w14:paraId="4BA91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shd w:val="clear" w:color="auto" w:fill="auto"/>
            <w:noWrap w:val="0"/>
            <w:tcMar>
              <w:top w:w="0" w:type="dxa"/>
              <w:left w:w="108" w:type="dxa"/>
              <w:bottom w:w="0" w:type="dxa"/>
              <w:right w:w="108" w:type="dxa"/>
            </w:tcMar>
            <w:vAlign w:val="center"/>
          </w:tcPr>
          <w:p w14:paraId="12DD96D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668" w:type="pct"/>
            <w:shd w:val="clear" w:color="auto" w:fill="auto"/>
            <w:noWrap w:val="0"/>
            <w:tcMar>
              <w:top w:w="0" w:type="dxa"/>
              <w:left w:w="108" w:type="dxa"/>
              <w:bottom w:w="0" w:type="dxa"/>
              <w:right w:w="108" w:type="dxa"/>
            </w:tcMar>
            <w:vAlign w:val="center"/>
          </w:tcPr>
          <w:p w14:paraId="3986674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流量计</w:t>
            </w:r>
          </w:p>
        </w:tc>
        <w:tc>
          <w:tcPr>
            <w:tcW w:w="1439" w:type="pct"/>
            <w:shd w:val="clear" w:color="auto" w:fill="auto"/>
            <w:noWrap w:val="0"/>
            <w:tcMar>
              <w:top w:w="0" w:type="dxa"/>
              <w:left w:w="108" w:type="dxa"/>
              <w:bottom w:w="0" w:type="dxa"/>
              <w:right w:w="108" w:type="dxa"/>
            </w:tcMar>
            <w:vAlign w:val="center"/>
          </w:tcPr>
          <w:p w14:paraId="0339380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E+H、科隆、西门子、横河</w:t>
            </w:r>
          </w:p>
        </w:tc>
        <w:tc>
          <w:tcPr>
            <w:tcW w:w="1470" w:type="pct"/>
            <w:shd w:val="clear" w:color="auto" w:fill="auto"/>
            <w:noWrap w:val="0"/>
            <w:tcMar>
              <w:top w:w="0" w:type="dxa"/>
              <w:left w:w="108" w:type="dxa"/>
              <w:bottom w:w="0" w:type="dxa"/>
              <w:right w:w="108" w:type="dxa"/>
            </w:tcMar>
            <w:vAlign w:val="center"/>
          </w:tcPr>
          <w:p w14:paraId="3EC21E1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c>
          <w:tcPr>
            <w:tcW w:w="861" w:type="pct"/>
            <w:shd w:val="clear" w:color="auto" w:fill="auto"/>
            <w:noWrap w:val="0"/>
            <w:tcMar>
              <w:top w:w="0" w:type="dxa"/>
              <w:left w:w="108" w:type="dxa"/>
              <w:bottom w:w="0" w:type="dxa"/>
              <w:right w:w="108" w:type="dxa"/>
            </w:tcMar>
            <w:vAlign w:val="center"/>
          </w:tcPr>
          <w:p w14:paraId="75848AB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r>
      <w:tr w14:paraId="6412D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shd w:val="clear" w:color="auto" w:fill="auto"/>
            <w:noWrap w:val="0"/>
            <w:tcMar>
              <w:top w:w="0" w:type="dxa"/>
              <w:left w:w="108" w:type="dxa"/>
              <w:bottom w:w="0" w:type="dxa"/>
              <w:right w:w="108" w:type="dxa"/>
            </w:tcMar>
            <w:vAlign w:val="center"/>
          </w:tcPr>
          <w:p w14:paraId="1F8D278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668" w:type="pct"/>
            <w:shd w:val="clear" w:color="auto" w:fill="auto"/>
            <w:noWrap w:val="0"/>
            <w:tcMar>
              <w:top w:w="0" w:type="dxa"/>
              <w:left w:w="108" w:type="dxa"/>
              <w:bottom w:w="0" w:type="dxa"/>
              <w:right w:w="108" w:type="dxa"/>
            </w:tcMar>
            <w:vAlign w:val="center"/>
          </w:tcPr>
          <w:p w14:paraId="052CFC7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称重模块</w:t>
            </w:r>
          </w:p>
        </w:tc>
        <w:tc>
          <w:tcPr>
            <w:tcW w:w="1439" w:type="pct"/>
            <w:shd w:val="clear" w:color="auto" w:fill="auto"/>
            <w:noWrap w:val="0"/>
            <w:tcMar>
              <w:top w:w="0" w:type="dxa"/>
              <w:left w:w="108" w:type="dxa"/>
              <w:bottom w:w="0" w:type="dxa"/>
              <w:right w:w="108" w:type="dxa"/>
            </w:tcMar>
            <w:vAlign w:val="center"/>
          </w:tcPr>
          <w:p w14:paraId="4048ADF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柯力、力诺、中航电测</w:t>
            </w:r>
          </w:p>
        </w:tc>
        <w:tc>
          <w:tcPr>
            <w:tcW w:w="1470" w:type="pct"/>
            <w:shd w:val="clear" w:color="auto" w:fill="auto"/>
            <w:noWrap w:val="0"/>
            <w:tcMar>
              <w:top w:w="0" w:type="dxa"/>
              <w:left w:w="108" w:type="dxa"/>
              <w:bottom w:w="0" w:type="dxa"/>
              <w:right w:w="108" w:type="dxa"/>
            </w:tcMar>
            <w:vAlign w:val="center"/>
          </w:tcPr>
          <w:p w14:paraId="3D9ABB9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c>
          <w:tcPr>
            <w:tcW w:w="861" w:type="pct"/>
            <w:shd w:val="clear" w:color="auto" w:fill="auto"/>
            <w:noWrap w:val="0"/>
            <w:tcMar>
              <w:top w:w="0" w:type="dxa"/>
              <w:left w:w="108" w:type="dxa"/>
              <w:bottom w:w="0" w:type="dxa"/>
              <w:right w:w="108" w:type="dxa"/>
            </w:tcMar>
            <w:vAlign w:val="center"/>
          </w:tcPr>
          <w:p w14:paraId="13C1C78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r>
      <w:tr w14:paraId="4B98A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5" w:hRule="atLeast"/>
        </w:trPr>
        <w:tc>
          <w:tcPr>
            <w:tcW w:w="560" w:type="pct"/>
            <w:shd w:val="clear" w:color="auto" w:fill="auto"/>
            <w:noWrap w:val="0"/>
            <w:tcMar>
              <w:top w:w="0" w:type="dxa"/>
              <w:left w:w="108" w:type="dxa"/>
              <w:bottom w:w="0" w:type="dxa"/>
              <w:right w:w="108" w:type="dxa"/>
            </w:tcMar>
            <w:vAlign w:val="center"/>
          </w:tcPr>
          <w:p w14:paraId="27AD48C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3</w:t>
            </w:r>
          </w:p>
        </w:tc>
        <w:tc>
          <w:tcPr>
            <w:tcW w:w="668" w:type="pct"/>
            <w:shd w:val="clear" w:color="auto" w:fill="auto"/>
            <w:noWrap w:val="0"/>
            <w:tcMar>
              <w:top w:w="0" w:type="dxa"/>
              <w:left w:w="108" w:type="dxa"/>
              <w:bottom w:w="0" w:type="dxa"/>
              <w:right w:w="108" w:type="dxa"/>
            </w:tcMar>
            <w:vAlign w:val="center"/>
          </w:tcPr>
          <w:p w14:paraId="1B3FF84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阀门</w:t>
            </w:r>
          </w:p>
        </w:tc>
        <w:tc>
          <w:tcPr>
            <w:tcW w:w="1439" w:type="pct"/>
            <w:shd w:val="clear" w:color="auto" w:fill="auto"/>
            <w:noWrap w:val="0"/>
            <w:tcMar>
              <w:top w:w="0" w:type="dxa"/>
              <w:left w:w="108" w:type="dxa"/>
              <w:bottom w:w="0" w:type="dxa"/>
              <w:right w:w="108" w:type="dxa"/>
            </w:tcMar>
            <w:vAlign w:val="center"/>
          </w:tcPr>
          <w:p w14:paraId="5BBA248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远安、四方、潥阳</w:t>
            </w:r>
          </w:p>
        </w:tc>
        <w:tc>
          <w:tcPr>
            <w:tcW w:w="1470" w:type="pct"/>
            <w:shd w:val="clear" w:color="auto" w:fill="auto"/>
            <w:noWrap w:val="0"/>
            <w:tcMar>
              <w:top w:w="0" w:type="dxa"/>
              <w:left w:w="108" w:type="dxa"/>
              <w:bottom w:w="0" w:type="dxa"/>
              <w:right w:w="108" w:type="dxa"/>
            </w:tcMar>
            <w:vAlign w:val="center"/>
          </w:tcPr>
          <w:p w14:paraId="5D95865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c>
          <w:tcPr>
            <w:tcW w:w="861" w:type="pct"/>
            <w:shd w:val="clear" w:color="auto" w:fill="auto"/>
            <w:noWrap w:val="0"/>
            <w:tcMar>
              <w:top w:w="0" w:type="dxa"/>
              <w:left w:w="108" w:type="dxa"/>
              <w:bottom w:w="0" w:type="dxa"/>
              <w:right w:w="108" w:type="dxa"/>
            </w:tcMar>
            <w:vAlign w:val="center"/>
          </w:tcPr>
          <w:p w14:paraId="4EB10C8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r>
      <w:tr w14:paraId="28DB7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5" w:hRule="atLeast"/>
        </w:trPr>
        <w:tc>
          <w:tcPr>
            <w:tcW w:w="560" w:type="pct"/>
            <w:shd w:val="clear" w:color="auto" w:fill="auto"/>
            <w:noWrap w:val="0"/>
            <w:tcMar>
              <w:top w:w="0" w:type="dxa"/>
              <w:left w:w="108" w:type="dxa"/>
              <w:bottom w:w="0" w:type="dxa"/>
              <w:right w:w="108" w:type="dxa"/>
            </w:tcMar>
            <w:vAlign w:val="center"/>
          </w:tcPr>
          <w:p w14:paraId="30217A1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4</w:t>
            </w:r>
          </w:p>
        </w:tc>
        <w:tc>
          <w:tcPr>
            <w:tcW w:w="668" w:type="pct"/>
            <w:shd w:val="clear" w:color="auto" w:fill="auto"/>
            <w:noWrap w:val="0"/>
            <w:tcMar>
              <w:top w:w="0" w:type="dxa"/>
              <w:left w:w="108" w:type="dxa"/>
              <w:bottom w:w="0" w:type="dxa"/>
              <w:right w:w="108" w:type="dxa"/>
            </w:tcMar>
            <w:vAlign w:val="center"/>
          </w:tcPr>
          <w:p w14:paraId="6BD9D56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蒸汽阀门</w:t>
            </w:r>
          </w:p>
        </w:tc>
        <w:tc>
          <w:tcPr>
            <w:tcW w:w="1439" w:type="pct"/>
            <w:shd w:val="clear" w:color="auto" w:fill="auto"/>
            <w:noWrap w:val="0"/>
            <w:tcMar>
              <w:top w:w="0" w:type="dxa"/>
              <w:left w:w="108" w:type="dxa"/>
              <w:bottom w:w="0" w:type="dxa"/>
              <w:right w:w="108" w:type="dxa"/>
            </w:tcMar>
            <w:vAlign w:val="center"/>
          </w:tcPr>
          <w:p w14:paraId="7256EA7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德控、ESG、斯派莎克</w:t>
            </w:r>
          </w:p>
        </w:tc>
        <w:tc>
          <w:tcPr>
            <w:tcW w:w="1470" w:type="pct"/>
            <w:shd w:val="clear" w:color="auto" w:fill="auto"/>
            <w:noWrap w:val="0"/>
            <w:tcMar>
              <w:top w:w="0" w:type="dxa"/>
              <w:left w:w="108" w:type="dxa"/>
              <w:bottom w:w="0" w:type="dxa"/>
              <w:right w:w="108" w:type="dxa"/>
            </w:tcMar>
            <w:vAlign w:val="center"/>
          </w:tcPr>
          <w:p w14:paraId="09BC03B8">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c>
          <w:tcPr>
            <w:tcW w:w="861" w:type="pct"/>
            <w:shd w:val="clear" w:color="auto" w:fill="auto"/>
            <w:noWrap w:val="0"/>
            <w:tcMar>
              <w:top w:w="0" w:type="dxa"/>
              <w:left w:w="108" w:type="dxa"/>
              <w:bottom w:w="0" w:type="dxa"/>
              <w:right w:w="108" w:type="dxa"/>
            </w:tcMar>
            <w:vAlign w:val="center"/>
          </w:tcPr>
          <w:p w14:paraId="3BD4F67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r>
      <w:tr w14:paraId="25A46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shd w:val="clear" w:color="auto" w:fill="auto"/>
            <w:noWrap w:val="0"/>
            <w:tcMar>
              <w:top w:w="0" w:type="dxa"/>
              <w:left w:w="108" w:type="dxa"/>
              <w:bottom w:w="0" w:type="dxa"/>
              <w:right w:w="108" w:type="dxa"/>
            </w:tcMar>
            <w:vAlign w:val="center"/>
          </w:tcPr>
          <w:p w14:paraId="44A5C104">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5</w:t>
            </w:r>
          </w:p>
        </w:tc>
        <w:tc>
          <w:tcPr>
            <w:tcW w:w="668" w:type="pct"/>
            <w:shd w:val="clear" w:color="auto" w:fill="auto"/>
            <w:noWrap w:val="0"/>
            <w:tcMar>
              <w:top w:w="0" w:type="dxa"/>
              <w:left w:w="108" w:type="dxa"/>
              <w:bottom w:w="0" w:type="dxa"/>
              <w:right w:w="108" w:type="dxa"/>
            </w:tcMar>
            <w:vAlign w:val="center"/>
          </w:tcPr>
          <w:p w14:paraId="1683D49B">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cs="宋体"/>
                <w:i w:val="0"/>
                <w:iCs w:val="0"/>
                <w:color w:val="000000" w:themeColor="text1"/>
                <w:kern w:val="0"/>
                <w:sz w:val="18"/>
                <w:szCs w:val="18"/>
                <w:u w:val="none"/>
                <w:lang w:val="en-US" w:eastAsia="zh-CN" w:bidi="ar"/>
                <w14:textFill>
                  <w14:solidFill>
                    <w14:schemeClr w14:val="tx1"/>
                  </w14:solidFill>
                </w14:textFill>
              </w:rPr>
              <w:t>PLC</w:t>
            </w:r>
          </w:p>
        </w:tc>
        <w:tc>
          <w:tcPr>
            <w:tcW w:w="1439" w:type="pct"/>
            <w:shd w:val="clear" w:color="auto" w:fill="auto"/>
            <w:noWrap w:val="0"/>
            <w:tcMar>
              <w:top w:w="0" w:type="dxa"/>
              <w:left w:w="108" w:type="dxa"/>
              <w:bottom w:w="0" w:type="dxa"/>
              <w:right w:w="108" w:type="dxa"/>
            </w:tcMar>
            <w:vAlign w:val="center"/>
          </w:tcPr>
          <w:p w14:paraId="2E09B73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西门子、罗克韦尔、欧姆龙、三菱</w:t>
            </w:r>
          </w:p>
        </w:tc>
        <w:tc>
          <w:tcPr>
            <w:tcW w:w="1470" w:type="pct"/>
            <w:shd w:val="clear" w:color="auto" w:fill="auto"/>
            <w:noWrap w:val="0"/>
            <w:tcMar>
              <w:top w:w="0" w:type="dxa"/>
              <w:left w:w="108" w:type="dxa"/>
              <w:bottom w:w="0" w:type="dxa"/>
              <w:right w:w="108" w:type="dxa"/>
            </w:tcMar>
            <w:vAlign w:val="center"/>
          </w:tcPr>
          <w:p w14:paraId="507976A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861" w:type="pct"/>
            <w:shd w:val="clear" w:color="auto" w:fill="auto"/>
            <w:noWrap w:val="0"/>
            <w:tcMar>
              <w:top w:w="0" w:type="dxa"/>
              <w:left w:w="108" w:type="dxa"/>
              <w:bottom w:w="0" w:type="dxa"/>
              <w:right w:w="108" w:type="dxa"/>
            </w:tcMar>
            <w:vAlign w:val="center"/>
          </w:tcPr>
          <w:p w14:paraId="1461F5C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038D4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1" w:hRule="atLeast"/>
        </w:trPr>
        <w:tc>
          <w:tcPr>
            <w:tcW w:w="560" w:type="pct"/>
            <w:shd w:val="clear" w:color="auto" w:fill="auto"/>
            <w:noWrap w:val="0"/>
            <w:tcMar>
              <w:top w:w="0" w:type="dxa"/>
              <w:left w:w="108" w:type="dxa"/>
              <w:bottom w:w="0" w:type="dxa"/>
              <w:right w:w="108" w:type="dxa"/>
            </w:tcMar>
            <w:vAlign w:val="center"/>
          </w:tcPr>
          <w:p w14:paraId="37F547AD">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6</w:t>
            </w:r>
          </w:p>
        </w:tc>
        <w:tc>
          <w:tcPr>
            <w:tcW w:w="668" w:type="pct"/>
            <w:shd w:val="clear" w:color="auto" w:fill="auto"/>
            <w:noWrap w:val="0"/>
            <w:tcMar>
              <w:top w:w="0" w:type="dxa"/>
              <w:left w:w="108" w:type="dxa"/>
              <w:bottom w:w="0" w:type="dxa"/>
              <w:right w:w="108" w:type="dxa"/>
            </w:tcMar>
            <w:vAlign w:val="center"/>
          </w:tcPr>
          <w:p w14:paraId="4EA8BFB0">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人机界面触摸屏</w:t>
            </w:r>
          </w:p>
        </w:tc>
        <w:tc>
          <w:tcPr>
            <w:tcW w:w="1439" w:type="pct"/>
            <w:shd w:val="clear" w:color="auto" w:fill="auto"/>
            <w:noWrap w:val="0"/>
            <w:tcMar>
              <w:top w:w="0" w:type="dxa"/>
              <w:left w:w="108" w:type="dxa"/>
              <w:bottom w:w="0" w:type="dxa"/>
              <w:right w:w="108" w:type="dxa"/>
            </w:tcMar>
            <w:vAlign w:val="center"/>
          </w:tcPr>
          <w:p w14:paraId="5EB2801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西门子、罗克韦尔、欧姆龙、三菱</w:t>
            </w:r>
          </w:p>
        </w:tc>
        <w:tc>
          <w:tcPr>
            <w:tcW w:w="1470" w:type="pct"/>
            <w:shd w:val="clear" w:color="auto" w:fill="auto"/>
            <w:noWrap w:val="0"/>
            <w:tcMar>
              <w:top w:w="0" w:type="dxa"/>
              <w:left w:w="108" w:type="dxa"/>
              <w:bottom w:w="0" w:type="dxa"/>
              <w:right w:w="108" w:type="dxa"/>
            </w:tcMar>
            <w:vAlign w:val="center"/>
          </w:tcPr>
          <w:p w14:paraId="0363052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861" w:type="pct"/>
            <w:shd w:val="clear" w:color="auto" w:fill="auto"/>
            <w:noWrap w:val="0"/>
            <w:tcMar>
              <w:top w:w="0" w:type="dxa"/>
              <w:left w:w="108" w:type="dxa"/>
              <w:bottom w:w="0" w:type="dxa"/>
              <w:right w:w="108" w:type="dxa"/>
            </w:tcMar>
            <w:vAlign w:val="center"/>
          </w:tcPr>
          <w:p w14:paraId="7EC51AC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6D34F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noWrap w:val="0"/>
            <w:tcMar>
              <w:top w:w="0" w:type="dxa"/>
              <w:left w:w="108" w:type="dxa"/>
              <w:bottom w:w="0" w:type="dxa"/>
              <w:right w:w="108" w:type="dxa"/>
            </w:tcMar>
            <w:vAlign w:val="center"/>
          </w:tcPr>
          <w:p w14:paraId="6F4A85D2">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7</w:t>
            </w:r>
          </w:p>
        </w:tc>
        <w:tc>
          <w:tcPr>
            <w:tcW w:w="668" w:type="pct"/>
            <w:noWrap w:val="0"/>
            <w:tcMar>
              <w:top w:w="0" w:type="dxa"/>
              <w:left w:w="108" w:type="dxa"/>
              <w:bottom w:w="0" w:type="dxa"/>
              <w:right w:w="108" w:type="dxa"/>
            </w:tcMar>
            <w:vAlign w:val="center"/>
          </w:tcPr>
          <w:p w14:paraId="5A78926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伺服电机及控制器</w:t>
            </w:r>
          </w:p>
        </w:tc>
        <w:tc>
          <w:tcPr>
            <w:tcW w:w="1439" w:type="pct"/>
            <w:noWrap w:val="0"/>
            <w:tcMar>
              <w:top w:w="0" w:type="dxa"/>
              <w:left w:w="108" w:type="dxa"/>
              <w:bottom w:w="0" w:type="dxa"/>
              <w:right w:w="108" w:type="dxa"/>
            </w:tcMar>
            <w:vAlign w:val="center"/>
          </w:tcPr>
          <w:p w14:paraId="0522628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西门子、三菱、倍福</w:t>
            </w:r>
          </w:p>
        </w:tc>
        <w:tc>
          <w:tcPr>
            <w:tcW w:w="1470" w:type="pct"/>
            <w:noWrap w:val="0"/>
            <w:tcMar>
              <w:top w:w="0" w:type="dxa"/>
              <w:left w:w="108" w:type="dxa"/>
              <w:bottom w:w="0" w:type="dxa"/>
              <w:right w:w="108" w:type="dxa"/>
            </w:tcMar>
            <w:vAlign w:val="center"/>
          </w:tcPr>
          <w:p w14:paraId="4FBF950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861" w:type="pct"/>
            <w:noWrap w:val="0"/>
            <w:tcMar>
              <w:top w:w="0" w:type="dxa"/>
              <w:left w:w="108" w:type="dxa"/>
              <w:bottom w:w="0" w:type="dxa"/>
              <w:right w:w="108" w:type="dxa"/>
            </w:tcMar>
            <w:vAlign w:val="center"/>
          </w:tcPr>
          <w:p w14:paraId="41A8F9BB">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5E62C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noWrap w:val="0"/>
            <w:tcMar>
              <w:top w:w="0" w:type="dxa"/>
              <w:left w:w="108" w:type="dxa"/>
              <w:bottom w:w="0" w:type="dxa"/>
              <w:right w:w="108" w:type="dxa"/>
            </w:tcMar>
            <w:vAlign w:val="center"/>
          </w:tcPr>
          <w:p w14:paraId="778F7995">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8</w:t>
            </w:r>
          </w:p>
        </w:tc>
        <w:tc>
          <w:tcPr>
            <w:tcW w:w="668" w:type="pct"/>
            <w:noWrap w:val="0"/>
            <w:tcMar>
              <w:top w:w="0" w:type="dxa"/>
              <w:left w:w="108" w:type="dxa"/>
              <w:bottom w:w="0" w:type="dxa"/>
              <w:right w:w="108" w:type="dxa"/>
            </w:tcMar>
            <w:vAlign w:val="center"/>
          </w:tcPr>
          <w:p w14:paraId="60F73F0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变频器</w:t>
            </w:r>
          </w:p>
        </w:tc>
        <w:tc>
          <w:tcPr>
            <w:tcW w:w="1439" w:type="pct"/>
            <w:noWrap w:val="0"/>
            <w:tcMar>
              <w:top w:w="0" w:type="dxa"/>
              <w:left w:w="108" w:type="dxa"/>
              <w:bottom w:w="0" w:type="dxa"/>
              <w:right w:w="108" w:type="dxa"/>
            </w:tcMar>
            <w:vAlign w:val="center"/>
          </w:tcPr>
          <w:p w14:paraId="1CA0C33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西门子、ABB、丹佛斯、三菱</w:t>
            </w:r>
          </w:p>
        </w:tc>
        <w:tc>
          <w:tcPr>
            <w:tcW w:w="1470" w:type="pct"/>
            <w:noWrap w:val="0"/>
            <w:tcMar>
              <w:top w:w="0" w:type="dxa"/>
              <w:left w:w="108" w:type="dxa"/>
              <w:bottom w:w="0" w:type="dxa"/>
              <w:right w:w="108" w:type="dxa"/>
            </w:tcMar>
            <w:vAlign w:val="center"/>
          </w:tcPr>
          <w:p w14:paraId="0BA6DB8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861" w:type="pct"/>
            <w:noWrap w:val="0"/>
            <w:tcMar>
              <w:top w:w="0" w:type="dxa"/>
              <w:left w:w="108" w:type="dxa"/>
              <w:bottom w:w="0" w:type="dxa"/>
              <w:right w:w="108" w:type="dxa"/>
            </w:tcMar>
            <w:vAlign w:val="center"/>
          </w:tcPr>
          <w:p w14:paraId="44FCA39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550F3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noWrap w:val="0"/>
            <w:tcMar>
              <w:top w:w="0" w:type="dxa"/>
              <w:left w:w="108" w:type="dxa"/>
              <w:bottom w:w="0" w:type="dxa"/>
              <w:right w:w="108" w:type="dxa"/>
            </w:tcMar>
            <w:vAlign w:val="center"/>
          </w:tcPr>
          <w:p w14:paraId="134CB6BF">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9</w:t>
            </w:r>
          </w:p>
        </w:tc>
        <w:tc>
          <w:tcPr>
            <w:tcW w:w="668" w:type="pct"/>
            <w:noWrap w:val="0"/>
            <w:tcMar>
              <w:top w:w="0" w:type="dxa"/>
              <w:left w:w="108" w:type="dxa"/>
              <w:bottom w:w="0" w:type="dxa"/>
              <w:right w:w="108" w:type="dxa"/>
            </w:tcMar>
            <w:vAlign w:val="center"/>
          </w:tcPr>
          <w:p w14:paraId="7B52546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轴承</w:t>
            </w:r>
          </w:p>
        </w:tc>
        <w:tc>
          <w:tcPr>
            <w:tcW w:w="1439" w:type="pct"/>
            <w:noWrap w:val="0"/>
            <w:tcMar>
              <w:top w:w="0" w:type="dxa"/>
              <w:left w:w="108" w:type="dxa"/>
              <w:bottom w:w="0" w:type="dxa"/>
              <w:right w:w="108" w:type="dxa"/>
            </w:tcMar>
            <w:vAlign w:val="center"/>
          </w:tcPr>
          <w:p w14:paraId="3C51CB7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sz w:val="18"/>
                <w:szCs w:val="18"/>
                <w:lang w:val="en-US" w:eastAsia="zh-CN" w:bidi="ar"/>
              </w:rPr>
              <w:t>SKF、FAG、NSK、THK</w:t>
            </w:r>
          </w:p>
        </w:tc>
        <w:tc>
          <w:tcPr>
            <w:tcW w:w="1470" w:type="pct"/>
            <w:noWrap w:val="0"/>
            <w:tcMar>
              <w:top w:w="0" w:type="dxa"/>
              <w:left w:w="108" w:type="dxa"/>
              <w:bottom w:w="0" w:type="dxa"/>
              <w:right w:w="108" w:type="dxa"/>
            </w:tcMar>
            <w:vAlign w:val="center"/>
          </w:tcPr>
          <w:p w14:paraId="20871E08">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sz w:val="18"/>
                <w:szCs w:val="18"/>
                <w:lang w:val="en-US" w:eastAsia="zh-CN" w:bidi="ar"/>
              </w:rPr>
            </w:pPr>
          </w:p>
        </w:tc>
        <w:tc>
          <w:tcPr>
            <w:tcW w:w="861" w:type="pct"/>
            <w:noWrap w:val="0"/>
            <w:tcMar>
              <w:top w:w="0" w:type="dxa"/>
              <w:left w:w="108" w:type="dxa"/>
              <w:bottom w:w="0" w:type="dxa"/>
              <w:right w:w="108" w:type="dxa"/>
            </w:tcMar>
            <w:vAlign w:val="center"/>
          </w:tcPr>
          <w:p w14:paraId="60537122">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sz w:val="18"/>
                <w:szCs w:val="18"/>
                <w:lang w:val="en-US" w:eastAsia="zh-CN" w:bidi="ar"/>
              </w:rPr>
            </w:pPr>
          </w:p>
        </w:tc>
      </w:tr>
      <w:tr w14:paraId="67068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noWrap w:val="0"/>
            <w:tcMar>
              <w:top w:w="0" w:type="dxa"/>
              <w:left w:w="108" w:type="dxa"/>
              <w:bottom w:w="0" w:type="dxa"/>
              <w:right w:w="108" w:type="dxa"/>
            </w:tcMar>
            <w:vAlign w:val="center"/>
          </w:tcPr>
          <w:p w14:paraId="08A60204">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10</w:t>
            </w:r>
          </w:p>
        </w:tc>
        <w:tc>
          <w:tcPr>
            <w:tcW w:w="668" w:type="pct"/>
            <w:noWrap w:val="0"/>
            <w:tcMar>
              <w:top w:w="0" w:type="dxa"/>
              <w:left w:w="108" w:type="dxa"/>
              <w:bottom w:w="0" w:type="dxa"/>
              <w:right w:w="108" w:type="dxa"/>
            </w:tcMar>
            <w:vAlign w:val="center"/>
          </w:tcPr>
          <w:p w14:paraId="3A19B45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低压元器件</w:t>
            </w:r>
          </w:p>
        </w:tc>
        <w:tc>
          <w:tcPr>
            <w:tcW w:w="1439" w:type="pct"/>
            <w:noWrap w:val="0"/>
            <w:tcMar>
              <w:top w:w="0" w:type="dxa"/>
              <w:left w:w="108" w:type="dxa"/>
              <w:bottom w:w="0" w:type="dxa"/>
              <w:right w:w="108" w:type="dxa"/>
            </w:tcMar>
            <w:vAlign w:val="center"/>
          </w:tcPr>
          <w:p w14:paraId="52155A7A">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西门子、施耐德、ABB</w:t>
            </w:r>
          </w:p>
        </w:tc>
        <w:tc>
          <w:tcPr>
            <w:tcW w:w="1470" w:type="pct"/>
            <w:noWrap w:val="0"/>
            <w:tcMar>
              <w:top w:w="0" w:type="dxa"/>
              <w:left w:w="108" w:type="dxa"/>
              <w:bottom w:w="0" w:type="dxa"/>
              <w:right w:w="108" w:type="dxa"/>
            </w:tcMar>
            <w:vAlign w:val="center"/>
          </w:tcPr>
          <w:p w14:paraId="6239777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861" w:type="pct"/>
            <w:noWrap w:val="0"/>
            <w:tcMar>
              <w:top w:w="0" w:type="dxa"/>
              <w:left w:w="108" w:type="dxa"/>
              <w:bottom w:w="0" w:type="dxa"/>
              <w:right w:w="108" w:type="dxa"/>
            </w:tcMar>
            <w:vAlign w:val="center"/>
          </w:tcPr>
          <w:p w14:paraId="28F1E6D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6300B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noWrap w:val="0"/>
            <w:tcMar>
              <w:top w:w="0" w:type="dxa"/>
              <w:left w:w="108" w:type="dxa"/>
              <w:bottom w:w="0" w:type="dxa"/>
              <w:right w:w="108" w:type="dxa"/>
            </w:tcMar>
            <w:vAlign w:val="center"/>
          </w:tcPr>
          <w:p w14:paraId="78044CEA">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11</w:t>
            </w:r>
          </w:p>
        </w:tc>
        <w:tc>
          <w:tcPr>
            <w:tcW w:w="668" w:type="pct"/>
            <w:noWrap w:val="0"/>
            <w:tcMar>
              <w:top w:w="0" w:type="dxa"/>
              <w:left w:w="108" w:type="dxa"/>
              <w:bottom w:w="0" w:type="dxa"/>
              <w:right w:w="108" w:type="dxa"/>
            </w:tcMar>
            <w:vAlign w:val="center"/>
          </w:tcPr>
          <w:p w14:paraId="6DFB427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接触器、继电器</w:t>
            </w:r>
          </w:p>
        </w:tc>
        <w:tc>
          <w:tcPr>
            <w:tcW w:w="1439" w:type="pct"/>
            <w:noWrap w:val="0"/>
            <w:tcMar>
              <w:top w:w="0" w:type="dxa"/>
              <w:left w:w="108" w:type="dxa"/>
              <w:bottom w:w="0" w:type="dxa"/>
              <w:right w:w="108" w:type="dxa"/>
            </w:tcMar>
            <w:vAlign w:val="center"/>
          </w:tcPr>
          <w:p w14:paraId="39943A3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西门子、施耐德、ABB、欧姆龙</w:t>
            </w:r>
          </w:p>
        </w:tc>
        <w:tc>
          <w:tcPr>
            <w:tcW w:w="1470" w:type="pct"/>
            <w:noWrap w:val="0"/>
            <w:tcMar>
              <w:top w:w="0" w:type="dxa"/>
              <w:left w:w="108" w:type="dxa"/>
              <w:bottom w:w="0" w:type="dxa"/>
              <w:right w:w="108" w:type="dxa"/>
            </w:tcMar>
            <w:vAlign w:val="center"/>
          </w:tcPr>
          <w:p w14:paraId="1BB68A5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861" w:type="pct"/>
            <w:noWrap w:val="0"/>
            <w:tcMar>
              <w:top w:w="0" w:type="dxa"/>
              <w:left w:w="108" w:type="dxa"/>
              <w:bottom w:w="0" w:type="dxa"/>
              <w:right w:w="108" w:type="dxa"/>
            </w:tcMar>
            <w:vAlign w:val="center"/>
          </w:tcPr>
          <w:p w14:paraId="5BD16ED0">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10B9F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noWrap w:val="0"/>
            <w:tcMar>
              <w:top w:w="0" w:type="dxa"/>
              <w:left w:w="108" w:type="dxa"/>
              <w:bottom w:w="0" w:type="dxa"/>
              <w:right w:w="108" w:type="dxa"/>
            </w:tcMar>
            <w:vAlign w:val="center"/>
          </w:tcPr>
          <w:p w14:paraId="10860BDE">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12</w:t>
            </w:r>
          </w:p>
        </w:tc>
        <w:tc>
          <w:tcPr>
            <w:tcW w:w="668" w:type="pct"/>
            <w:noWrap w:val="0"/>
            <w:tcMar>
              <w:top w:w="0" w:type="dxa"/>
              <w:left w:w="108" w:type="dxa"/>
              <w:bottom w:w="0" w:type="dxa"/>
              <w:right w:w="108" w:type="dxa"/>
            </w:tcMar>
            <w:vAlign w:val="center"/>
          </w:tcPr>
          <w:p w14:paraId="70C5486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接线端子</w:t>
            </w:r>
          </w:p>
        </w:tc>
        <w:tc>
          <w:tcPr>
            <w:tcW w:w="1439" w:type="pct"/>
            <w:noWrap w:val="0"/>
            <w:tcMar>
              <w:top w:w="0" w:type="dxa"/>
              <w:left w:w="108" w:type="dxa"/>
              <w:bottom w:w="0" w:type="dxa"/>
              <w:right w:w="108" w:type="dxa"/>
            </w:tcMar>
            <w:vAlign w:val="center"/>
          </w:tcPr>
          <w:p w14:paraId="1B1A3C1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菲尼克斯、魏德米勒、万可</w:t>
            </w:r>
          </w:p>
        </w:tc>
        <w:tc>
          <w:tcPr>
            <w:tcW w:w="1470" w:type="pct"/>
            <w:noWrap w:val="0"/>
            <w:tcMar>
              <w:top w:w="0" w:type="dxa"/>
              <w:left w:w="108" w:type="dxa"/>
              <w:bottom w:w="0" w:type="dxa"/>
              <w:right w:w="108" w:type="dxa"/>
            </w:tcMar>
            <w:vAlign w:val="center"/>
          </w:tcPr>
          <w:p w14:paraId="4990DDB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861" w:type="pct"/>
            <w:noWrap w:val="0"/>
            <w:tcMar>
              <w:top w:w="0" w:type="dxa"/>
              <w:left w:w="108" w:type="dxa"/>
              <w:bottom w:w="0" w:type="dxa"/>
              <w:right w:w="108" w:type="dxa"/>
            </w:tcMar>
            <w:vAlign w:val="center"/>
          </w:tcPr>
          <w:p w14:paraId="603A8D72">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6F242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noWrap w:val="0"/>
            <w:vAlign w:val="top"/>
          </w:tcPr>
          <w:p w14:paraId="0F763EA6">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13</w:t>
            </w:r>
          </w:p>
        </w:tc>
        <w:tc>
          <w:tcPr>
            <w:tcW w:w="668" w:type="pct"/>
            <w:noWrap w:val="0"/>
            <w:vAlign w:val="center"/>
          </w:tcPr>
          <w:p w14:paraId="6744D1D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检测传感器</w:t>
            </w:r>
          </w:p>
        </w:tc>
        <w:tc>
          <w:tcPr>
            <w:tcW w:w="1439" w:type="pct"/>
            <w:noWrap w:val="0"/>
            <w:vAlign w:val="center"/>
          </w:tcPr>
          <w:p w14:paraId="23071FD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 xml:space="preserve">西门子、SICK、LEUZE、欧姆龙 </w:t>
            </w:r>
          </w:p>
        </w:tc>
        <w:tc>
          <w:tcPr>
            <w:tcW w:w="1470" w:type="pct"/>
            <w:noWrap w:val="0"/>
            <w:vAlign w:val="center"/>
          </w:tcPr>
          <w:p w14:paraId="66ED931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kern w:val="0"/>
                <w:sz w:val="18"/>
                <w:szCs w:val="18"/>
                <w:u w:val="none"/>
                <w:lang w:val="en-US" w:eastAsia="zh-CN" w:bidi="ar"/>
              </w:rPr>
            </w:pPr>
          </w:p>
        </w:tc>
        <w:tc>
          <w:tcPr>
            <w:tcW w:w="861" w:type="pct"/>
            <w:noWrap w:val="0"/>
            <w:vAlign w:val="center"/>
          </w:tcPr>
          <w:p w14:paraId="521BD6A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kern w:val="0"/>
                <w:sz w:val="18"/>
                <w:szCs w:val="18"/>
                <w:u w:val="none"/>
                <w:lang w:val="en-US" w:eastAsia="zh-CN" w:bidi="ar"/>
              </w:rPr>
            </w:pPr>
          </w:p>
        </w:tc>
      </w:tr>
      <w:tr w14:paraId="5FFB7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noWrap w:val="0"/>
            <w:vAlign w:val="top"/>
          </w:tcPr>
          <w:p w14:paraId="290ED13C">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14</w:t>
            </w:r>
          </w:p>
        </w:tc>
        <w:tc>
          <w:tcPr>
            <w:tcW w:w="668" w:type="pct"/>
            <w:noWrap w:val="0"/>
            <w:vAlign w:val="center"/>
          </w:tcPr>
          <w:p w14:paraId="5B4ADF9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cs="宋体"/>
                <w:i w:val="0"/>
                <w:iCs w:val="0"/>
                <w:color w:val="000000" w:themeColor="text1"/>
                <w:kern w:val="0"/>
                <w:sz w:val="18"/>
                <w:szCs w:val="18"/>
                <w:u w:val="none"/>
                <w:lang w:val="en-US" w:eastAsia="zh-CN" w:bidi="ar"/>
                <w14:textFill>
                  <w14:solidFill>
                    <w14:schemeClr w14:val="tx1"/>
                  </w14:solidFill>
                </w14:textFill>
              </w:rPr>
              <w:t>电机、</w:t>
            </w: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减速机</w:t>
            </w:r>
          </w:p>
        </w:tc>
        <w:tc>
          <w:tcPr>
            <w:tcW w:w="1439" w:type="pct"/>
            <w:noWrap w:val="0"/>
            <w:vAlign w:val="center"/>
          </w:tcPr>
          <w:p w14:paraId="01B730B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SEW、弗兰德、住友、伦茨、诺德</w:t>
            </w:r>
          </w:p>
        </w:tc>
        <w:tc>
          <w:tcPr>
            <w:tcW w:w="1470" w:type="pct"/>
            <w:noWrap w:val="0"/>
            <w:vAlign w:val="center"/>
          </w:tcPr>
          <w:p w14:paraId="2B03271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c>
          <w:tcPr>
            <w:tcW w:w="861" w:type="pct"/>
            <w:noWrap w:val="0"/>
            <w:vAlign w:val="center"/>
          </w:tcPr>
          <w:p w14:paraId="15E8247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r>
      <w:tr w14:paraId="5AD3F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5" w:hRule="atLeast"/>
        </w:trPr>
        <w:tc>
          <w:tcPr>
            <w:tcW w:w="560" w:type="pct"/>
            <w:noWrap w:val="0"/>
            <w:vAlign w:val="top"/>
          </w:tcPr>
          <w:p w14:paraId="0F75BE91">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15</w:t>
            </w:r>
          </w:p>
        </w:tc>
        <w:tc>
          <w:tcPr>
            <w:tcW w:w="668" w:type="pct"/>
            <w:noWrap w:val="0"/>
            <w:vAlign w:val="center"/>
          </w:tcPr>
          <w:p w14:paraId="3EA25C0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气动元件</w:t>
            </w:r>
          </w:p>
        </w:tc>
        <w:tc>
          <w:tcPr>
            <w:tcW w:w="1439" w:type="pct"/>
            <w:noWrap w:val="0"/>
            <w:vAlign w:val="center"/>
          </w:tcPr>
          <w:p w14:paraId="1B4E9B2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color w:val="000000" w:themeColor="text1"/>
                <w:kern w:val="0"/>
                <w:sz w:val="18"/>
                <w:szCs w:val="18"/>
                <w14:textFill>
                  <w14:solidFill>
                    <w14:schemeClr w14:val="tx1"/>
                  </w14:solidFill>
                </w14:textFill>
              </w:rPr>
              <w:t>Festo、ASCO、VERSA、SMC</w:t>
            </w:r>
          </w:p>
        </w:tc>
        <w:tc>
          <w:tcPr>
            <w:tcW w:w="1470" w:type="pct"/>
            <w:noWrap w:val="0"/>
            <w:vAlign w:val="center"/>
          </w:tcPr>
          <w:p w14:paraId="6054C7A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color w:val="000000" w:themeColor="text1"/>
                <w:kern w:val="0"/>
                <w:sz w:val="18"/>
                <w:szCs w:val="18"/>
                <w14:textFill>
                  <w14:solidFill>
                    <w14:schemeClr w14:val="tx1"/>
                  </w14:solidFill>
                </w14:textFill>
              </w:rPr>
            </w:pPr>
          </w:p>
        </w:tc>
        <w:tc>
          <w:tcPr>
            <w:tcW w:w="861" w:type="pct"/>
            <w:noWrap w:val="0"/>
            <w:vAlign w:val="center"/>
          </w:tcPr>
          <w:p w14:paraId="58334150">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color w:val="000000" w:themeColor="text1"/>
                <w:kern w:val="0"/>
                <w:sz w:val="18"/>
                <w:szCs w:val="18"/>
                <w14:textFill>
                  <w14:solidFill>
                    <w14:schemeClr w14:val="tx1"/>
                  </w14:solidFill>
                </w14:textFill>
              </w:rPr>
            </w:pPr>
          </w:p>
        </w:tc>
      </w:tr>
      <w:tr w14:paraId="5320A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noWrap w:val="0"/>
            <w:vAlign w:val="top"/>
          </w:tcPr>
          <w:p w14:paraId="2F565F64">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16</w:t>
            </w:r>
          </w:p>
        </w:tc>
        <w:tc>
          <w:tcPr>
            <w:tcW w:w="668" w:type="pct"/>
            <w:noWrap w:val="0"/>
            <w:vAlign w:val="center"/>
          </w:tcPr>
          <w:p w14:paraId="6780C79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机器人</w:t>
            </w:r>
          </w:p>
        </w:tc>
        <w:tc>
          <w:tcPr>
            <w:tcW w:w="1439" w:type="pct"/>
            <w:noWrap w:val="0"/>
            <w:vAlign w:val="center"/>
          </w:tcPr>
          <w:p w14:paraId="78174A02">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color w:val="000000" w:themeColor="text1"/>
                <w:kern w:val="0"/>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ABB、KUKA、FANUC</w:t>
            </w:r>
          </w:p>
        </w:tc>
        <w:tc>
          <w:tcPr>
            <w:tcW w:w="1470" w:type="pct"/>
            <w:noWrap w:val="0"/>
            <w:vAlign w:val="center"/>
          </w:tcPr>
          <w:p w14:paraId="72FFB5C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c>
          <w:tcPr>
            <w:tcW w:w="861" w:type="pct"/>
            <w:noWrap w:val="0"/>
            <w:vAlign w:val="center"/>
          </w:tcPr>
          <w:p w14:paraId="55066B2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r>
      <w:tr w14:paraId="12780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noWrap w:val="0"/>
            <w:vAlign w:val="top"/>
          </w:tcPr>
          <w:p w14:paraId="366AFB5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FF"/>
                <w:sz w:val="18"/>
                <w:szCs w:val="18"/>
                <w:lang w:val="en-US" w:eastAsia="zh-CN"/>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17</w:t>
            </w:r>
          </w:p>
        </w:tc>
        <w:tc>
          <w:tcPr>
            <w:tcW w:w="668" w:type="pct"/>
            <w:noWrap w:val="0"/>
            <w:vAlign w:val="center"/>
          </w:tcPr>
          <w:p w14:paraId="74341BD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FF"/>
                <w:kern w:val="0"/>
                <w:sz w:val="18"/>
                <w:szCs w:val="18"/>
                <w:u w:val="none"/>
                <w:lang w:val="en-US" w:eastAsia="zh-CN" w:bidi="ar"/>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冷却塔</w:t>
            </w:r>
          </w:p>
        </w:tc>
        <w:tc>
          <w:tcPr>
            <w:tcW w:w="1439" w:type="pct"/>
            <w:noWrap w:val="0"/>
            <w:vAlign w:val="center"/>
          </w:tcPr>
          <w:p w14:paraId="009B364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FF"/>
                <w:kern w:val="0"/>
                <w:sz w:val="18"/>
                <w:szCs w:val="18"/>
                <w:u w:val="none"/>
                <w:lang w:val="en-US" w:eastAsia="zh-CN" w:bidi="ar"/>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良机、海鸥、览讯、宏明</w:t>
            </w:r>
          </w:p>
        </w:tc>
        <w:tc>
          <w:tcPr>
            <w:tcW w:w="1470" w:type="pct"/>
            <w:noWrap w:val="0"/>
            <w:vAlign w:val="center"/>
          </w:tcPr>
          <w:p w14:paraId="399FAC8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c>
          <w:tcPr>
            <w:tcW w:w="861" w:type="pct"/>
            <w:noWrap w:val="0"/>
            <w:vAlign w:val="center"/>
          </w:tcPr>
          <w:p w14:paraId="68DBB02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r>
      <w:tr w14:paraId="52E69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560" w:type="pct"/>
            <w:noWrap w:val="0"/>
            <w:vAlign w:val="top"/>
          </w:tcPr>
          <w:p w14:paraId="358C406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18</w:t>
            </w:r>
          </w:p>
        </w:tc>
        <w:tc>
          <w:tcPr>
            <w:tcW w:w="668" w:type="pct"/>
            <w:noWrap w:val="0"/>
            <w:vAlign w:val="center"/>
          </w:tcPr>
          <w:p w14:paraId="3134EF10">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其它</w:t>
            </w:r>
          </w:p>
        </w:tc>
        <w:tc>
          <w:tcPr>
            <w:tcW w:w="1439" w:type="pct"/>
            <w:noWrap w:val="0"/>
            <w:vAlign w:val="center"/>
          </w:tcPr>
          <w:p w14:paraId="0076390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整体按国内一线品牌要求</w:t>
            </w:r>
          </w:p>
        </w:tc>
        <w:tc>
          <w:tcPr>
            <w:tcW w:w="1470" w:type="pct"/>
            <w:noWrap w:val="0"/>
            <w:vAlign w:val="center"/>
          </w:tcPr>
          <w:p w14:paraId="35AA42B8">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c>
          <w:tcPr>
            <w:tcW w:w="861" w:type="pct"/>
            <w:noWrap w:val="0"/>
            <w:vAlign w:val="center"/>
          </w:tcPr>
          <w:p w14:paraId="642FEF1A">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r>
    </w:tbl>
    <w:p w14:paraId="18028A77">
      <w:pPr>
        <w:pageBreakBefore w:val="0"/>
        <w:kinsoku/>
        <w:topLinePunct w:val="0"/>
        <w:bidi w:val="0"/>
        <w:spacing w:line="360" w:lineRule="auto"/>
        <w:jc w:val="both"/>
        <w:rPr>
          <w:rFonts w:hint="eastAsia"/>
          <w:lang w:val="en-US" w:eastAsia="zh-CN"/>
        </w:rPr>
      </w:pPr>
    </w:p>
    <w:p w14:paraId="652E0ED0">
      <w:pPr>
        <w:pageBreakBefore w:val="0"/>
        <w:kinsoku/>
        <w:topLinePunct w:val="0"/>
        <w:bidi w:val="0"/>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注：若投标人未选用推荐品牌的，必须在</w:t>
      </w:r>
      <w:r>
        <w:rPr>
          <w:rFonts w:hint="eastAsia" w:ascii="宋体" w:hAnsi="宋体"/>
          <w:b/>
          <w:bCs/>
          <w:color w:val="auto"/>
          <w:szCs w:val="21"/>
          <w:highlight w:val="none"/>
          <w:lang w:val="en-US" w:eastAsia="zh-CN"/>
        </w:rPr>
        <w:t>技术部分</w:t>
      </w:r>
      <w:r>
        <w:rPr>
          <w:rFonts w:hint="eastAsia" w:ascii="宋体" w:hAnsi="宋体"/>
          <w:color w:val="auto"/>
          <w:szCs w:val="21"/>
          <w:highlight w:val="none"/>
          <w:lang w:val="en-US" w:eastAsia="zh-CN"/>
        </w:rPr>
        <w:t>中详细说明所填报品牌情况并提供有关技术参数、性能、质量标准对照资料，以证明该品牌属于所推荐品牌的同等及以上档次。</w:t>
      </w:r>
    </w:p>
    <w:p w14:paraId="5C3E5E89">
      <w:pPr>
        <w:pageBreakBefore w:val="0"/>
        <w:kinsoku/>
        <w:topLinePunct w:val="0"/>
        <w:bidi w:val="0"/>
        <w:spacing w:line="360" w:lineRule="auto"/>
        <w:rPr>
          <w:rFonts w:hint="eastAsia" w:ascii="宋体" w:hAnsi="宋体" w:eastAsia="宋体"/>
          <w:color w:val="0000FF"/>
          <w:szCs w:val="21"/>
          <w:highlight w:val="yellow"/>
          <w:lang w:val="en-US" w:eastAsia="zh-CN"/>
        </w:rPr>
      </w:pPr>
    </w:p>
    <w:p w14:paraId="216DD5A4">
      <w:pPr>
        <w:pStyle w:val="2"/>
        <w:rPr>
          <w:rFonts w:hint="default"/>
          <w:lang w:val="en-US" w:eastAsia="zh-CN"/>
        </w:rPr>
      </w:pPr>
    </w:p>
    <w:p w14:paraId="6BF78A50">
      <w:pPr>
        <w:bidi w:val="0"/>
        <w:rPr>
          <w:rFonts w:hint="eastAsia"/>
          <w:lang w:val="en-US" w:eastAsia="zh-CN"/>
        </w:rPr>
      </w:pPr>
    </w:p>
    <w:p w14:paraId="0E97F220">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7AD80DC8">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3A17139">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408E6D2">
      <w:pPr>
        <w:rPr>
          <w:rFonts w:ascii="宋体" w:hAnsi="宋体" w:cs="宋体"/>
          <w:kern w:val="0"/>
          <w:szCs w:val="21"/>
        </w:rPr>
      </w:pPr>
      <w:r>
        <w:rPr>
          <w:rFonts w:ascii="宋体" w:hAnsi="宋体" w:cs="宋体"/>
          <w:kern w:val="0"/>
          <w:szCs w:val="21"/>
        </w:rPr>
        <w:br w:type="page"/>
      </w:r>
    </w:p>
    <w:p w14:paraId="3A19941C">
      <w:pPr>
        <w:pStyle w:val="2"/>
        <w:rPr>
          <w:rFonts w:hint="eastAsia"/>
          <w:lang w:val="en-US" w:eastAsia="zh-CN"/>
        </w:rPr>
      </w:pPr>
    </w:p>
    <w:p w14:paraId="1337BD67">
      <w:pPr>
        <w:pStyle w:val="6"/>
        <w:bidi w:val="0"/>
        <w:jc w:val="center"/>
        <w:rPr>
          <w:rFonts w:hint="eastAsia"/>
          <w:lang w:val="en-US" w:eastAsia="zh-CN"/>
        </w:rPr>
      </w:pPr>
      <w:r>
        <w:rPr>
          <w:rFonts w:hint="eastAsia"/>
          <w:lang w:val="en-US" w:eastAsia="zh-CN"/>
        </w:rPr>
        <w:t>（四）其他资料（如有）</w:t>
      </w:r>
      <w:bookmarkEnd w:id="1062"/>
    </w:p>
    <w:p w14:paraId="53B22D11">
      <w:pPr>
        <w:autoSpaceDE w:val="0"/>
        <w:autoSpaceDN w:val="0"/>
        <w:adjustRightInd w:val="0"/>
        <w:snapToGrid w:val="0"/>
        <w:spacing w:line="360" w:lineRule="auto"/>
        <w:ind w:firstLine="420" w:firstLineChars="200"/>
        <w:jc w:val="left"/>
        <w:rPr>
          <w:rFonts w:ascii="宋体" w:hAnsi="宋体"/>
          <w:iCs/>
          <w:kern w:val="0"/>
          <w:szCs w:val="21"/>
        </w:rPr>
      </w:pPr>
      <w:r>
        <w:rPr>
          <w:rFonts w:hint="eastAsia" w:ascii="宋体" w:hAnsi="宋体"/>
          <w:b w:val="0"/>
          <w:bCs w:val="0"/>
          <w:color w:val="auto"/>
          <w:sz w:val="21"/>
          <w:szCs w:val="21"/>
          <w:highlight w:val="none"/>
          <w:lang w:val="en-US" w:eastAsia="zh-CN"/>
        </w:rPr>
        <w:t>注：提供第三章评标办法前附表商务部分要求提供的证明材料，格式自拟。</w:t>
      </w:r>
    </w:p>
    <w:p w14:paraId="2A096EF8">
      <w:pPr>
        <w:widowControl/>
        <w:jc w:val="left"/>
        <w:rPr>
          <w:rFonts w:ascii="宋体" w:hAnsi="宋体"/>
          <w:iCs/>
          <w:kern w:val="0"/>
          <w:szCs w:val="21"/>
        </w:rPr>
      </w:pPr>
      <w:r>
        <w:rPr>
          <w:rFonts w:ascii="宋体" w:hAnsi="宋体"/>
          <w:iCs/>
          <w:kern w:val="0"/>
          <w:szCs w:val="21"/>
        </w:rPr>
        <w:br w:type="page"/>
      </w:r>
    </w:p>
    <w:p w14:paraId="2A12BFF1">
      <w:pPr>
        <w:pStyle w:val="4"/>
        <w:spacing w:line="360" w:lineRule="auto"/>
        <w:jc w:val="center"/>
        <w:rPr>
          <w:rFonts w:ascii="宋体" w:hAnsi="宋体"/>
          <w:b w:val="0"/>
          <w:bCs w:val="0"/>
          <w:sz w:val="44"/>
          <w:szCs w:val="44"/>
        </w:rPr>
      </w:pPr>
      <w:bookmarkStart w:id="1063" w:name="_Toc224103502"/>
      <w:bookmarkStart w:id="1064" w:name="_Toc430530536"/>
      <w:bookmarkStart w:id="1065" w:name="_Toc5240"/>
      <w:bookmarkStart w:id="1066" w:name="_Toc287620821"/>
      <w:bookmarkStart w:id="1067" w:name="_Toc287607874"/>
      <w:r>
        <w:rPr>
          <w:rFonts w:hint="eastAsia" w:ascii="宋体" w:hAnsi="宋体"/>
          <w:b w:val="0"/>
          <w:bCs w:val="0"/>
          <w:sz w:val="44"/>
          <w:szCs w:val="44"/>
        </w:rPr>
        <w:t>三、技术部分</w:t>
      </w:r>
      <w:bookmarkEnd w:id="1063"/>
      <w:bookmarkEnd w:id="1064"/>
      <w:bookmarkEnd w:id="1065"/>
    </w:p>
    <w:bookmarkEnd w:id="1066"/>
    <w:bookmarkEnd w:id="1067"/>
    <w:p w14:paraId="7523C2DE">
      <w:pPr>
        <w:autoSpaceDE w:val="0"/>
        <w:autoSpaceDN w:val="0"/>
        <w:adjustRightInd w:val="0"/>
        <w:snapToGrid w:val="0"/>
        <w:spacing w:line="360" w:lineRule="auto"/>
        <w:ind w:firstLine="472" w:firstLineChars="196"/>
        <w:jc w:val="center"/>
        <w:rPr>
          <w:rFonts w:ascii="宋体" w:hAnsi="宋体"/>
          <w:b/>
          <w:snapToGrid w:val="0"/>
          <w:kern w:val="0"/>
          <w:sz w:val="24"/>
        </w:rPr>
      </w:pPr>
      <w:r>
        <w:rPr>
          <w:rFonts w:hint="eastAsia" w:ascii="宋体" w:hAnsi="宋体"/>
          <w:b/>
          <w:snapToGrid w:val="0"/>
          <w:kern w:val="0"/>
          <w:sz w:val="24"/>
          <w:lang w:eastAsia="zh-CN"/>
        </w:rPr>
        <w:t>（</w:t>
      </w:r>
      <w:r>
        <w:rPr>
          <w:rFonts w:hint="eastAsia" w:ascii="宋体" w:hAnsi="宋体"/>
          <w:b/>
          <w:snapToGrid w:val="0"/>
          <w:kern w:val="0"/>
          <w:sz w:val="24"/>
        </w:rPr>
        <w:t>投标人应根据招标文件的要求编制技术部分。</w:t>
      </w:r>
      <w:r>
        <w:rPr>
          <w:rFonts w:hint="eastAsia" w:ascii="宋体" w:hAnsi="宋体"/>
          <w:b/>
          <w:snapToGrid w:val="0"/>
          <w:kern w:val="0"/>
          <w:sz w:val="24"/>
          <w:lang w:val="en-US" w:eastAsia="zh-CN"/>
        </w:rPr>
        <w:t>格式自拟</w:t>
      </w:r>
      <w:r>
        <w:rPr>
          <w:rFonts w:hint="eastAsia" w:ascii="宋体" w:hAnsi="宋体"/>
          <w:b/>
          <w:snapToGrid w:val="0"/>
          <w:kern w:val="0"/>
          <w:sz w:val="24"/>
          <w:lang w:eastAsia="zh-CN"/>
        </w:rPr>
        <w:t>）</w:t>
      </w:r>
      <w:r>
        <mc:AlternateContent>
          <mc:Choice Requires="wps">
            <w:drawing>
              <wp:anchor distT="0" distB="0" distL="114300" distR="114300" simplePos="0" relativeHeight="251661312"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1"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49168411"/>
                        </w:txbxContent>
                      </wps:txbx>
                      <wps:bodyPr wrap="square" upright="1"/>
                    </wps:wsp>
                  </a:graphicData>
                </a:graphic>
              </wp:anchor>
            </w:drawing>
          </mc:Choice>
          <mc:Fallback>
            <w:pict>
              <v:rect id="矩形 113" o:spid="_x0000_s1026" o:spt="1" style="position:absolute;left:0pt;margin-left:200.1pt;margin-top:686.4pt;height:54.6pt;width:63.6pt;z-index:251661312;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DA3V3MwQEAAHkDAAAOAAAAAAAAAAEAIAAAACkBAABkcnMvZTJv&#10;RG9jLnhtbFBLBQYAAAAABgAGAFkBAABcBQAAAAA=&#10;">
                <v:fill on="t" focussize="0,0"/>
                <v:stroke on="f"/>
                <v:imagedata o:title=""/>
                <o:lock v:ext="edit" aspectratio="f"/>
                <v:textbox>
                  <w:txbxContent>
                    <w:p w14:paraId="49168411"/>
                  </w:txbxContent>
                </v:textbox>
              </v:rect>
            </w:pict>
          </mc:Fallback>
        </mc:AlternateContent>
      </w:r>
    </w:p>
    <w:p w14:paraId="12E2CA90">
      <w:pPr>
        <w:autoSpaceDE w:val="0"/>
        <w:autoSpaceDN w:val="0"/>
        <w:adjustRightInd w:val="0"/>
        <w:snapToGrid w:val="0"/>
        <w:spacing w:line="360" w:lineRule="auto"/>
        <w:ind w:firstLine="411" w:firstLineChars="196"/>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28823AF0"/>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28823AF0"/>
                  </w:txbxContent>
                </v:textbox>
              </v:rect>
            </w:pict>
          </mc:Fallback>
        </mc:AlternateContent>
      </w:r>
    </w:p>
    <w:p w14:paraId="07D3B5A8">
      <w:pPr>
        <w:autoSpaceDE w:val="0"/>
        <w:autoSpaceDN w:val="0"/>
        <w:adjustRightInd w:val="0"/>
        <w:snapToGrid w:val="0"/>
        <w:spacing w:line="360" w:lineRule="auto"/>
        <w:jc w:val="center"/>
        <w:rPr>
          <w:rFonts w:ascii="宋体" w:hAnsi="宋体"/>
          <w:kern w:val="0"/>
          <w:sz w:val="24"/>
        </w:rPr>
      </w:pPr>
      <w:r>
        <w:rPr>
          <w:rFonts w:ascii="宋体" w:hAnsi="宋体"/>
          <w:kern w:val="0"/>
          <w:sz w:val="24"/>
        </w:rPr>
        <w:br w:type="page"/>
      </w:r>
    </w:p>
    <w:p w14:paraId="73B8CB78">
      <w:pPr>
        <w:autoSpaceDE w:val="0"/>
        <w:autoSpaceDN w:val="0"/>
        <w:adjustRightInd w:val="0"/>
        <w:snapToGrid w:val="0"/>
        <w:spacing w:line="360" w:lineRule="auto"/>
        <w:jc w:val="left"/>
        <w:rPr>
          <w:rFonts w:ascii="宋体" w:hAnsi="宋体"/>
          <w:kern w:val="0"/>
          <w:sz w:val="24"/>
          <w:szCs w:val="21"/>
        </w:rPr>
      </w:pPr>
    </w:p>
    <w:p w14:paraId="03792CF8">
      <w:pPr>
        <w:autoSpaceDE w:val="0"/>
        <w:autoSpaceDN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51F24B49">
      <w:pPr>
        <w:autoSpaceDE w:val="0"/>
        <w:autoSpaceDN w:val="0"/>
        <w:adjustRightInd w:val="0"/>
        <w:snapToGrid w:val="0"/>
        <w:spacing w:line="360" w:lineRule="auto"/>
        <w:jc w:val="left"/>
        <w:rPr>
          <w:rFonts w:ascii="宋体" w:hAnsi="宋体"/>
          <w:kern w:val="0"/>
          <w:sz w:val="32"/>
          <w:szCs w:val="32"/>
        </w:rPr>
      </w:pPr>
    </w:p>
    <w:p w14:paraId="624A4FCC">
      <w:pPr>
        <w:autoSpaceDE w:val="0"/>
        <w:autoSpaceDN w:val="0"/>
        <w:adjustRightInd w:val="0"/>
        <w:snapToGrid w:val="0"/>
        <w:spacing w:line="360" w:lineRule="auto"/>
        <w:jc w:val="center"/>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注：</w:t>
      </w:r>
      <w:r>
        <w:rPr>
          <w:rFonts w:ascii="宋体" w:hAnsi="宋体"/>
          <w:kern w:val="0"/>
          <w:szCs w:val="21"/>
        </w:rPr>
        <w:t>目录由投标人自行编制</w:t>
      </w:r>
      <w:r>
        <w:rPr>
          <w:rFonts w:hint="eastAsia" w:ascii="宋体" w:hAnsi="宋体"/>
          <w:kern w:val="0"/>
          <w:szCs w:val="21"/>
          <w:lang w:eastAsia="zh-CN"/>
        </w:rPr>
        <w:t>，</w:t>
      </w:r>
      <w:r>
        <w:rPr>
          <w:rFonts w:hint="eastAsia" w:ascii="宋体" w:hAnsi="宋体"/>
          <w:kern w:val="0"/>
          <w:szCs w:val="21"/>
          <w:lang w:val="en-US" w:eastAsia="zh-CN"/>
        </w:rPr>
        <w:t>格式自拟</w:t>
      </w:r>
      <w:r>
        <w:rPr>
          <w:rFonts w:hint="eastAsia" w:ascii="宋体" w:hAnsi="宋体"/>
          <w:kern w:val="0"/>
          <w:szCs w:val="21"/>
          <w:lang w:eastAsia="zh-CN"/>
        </w:rPr>
        <w:t>）</w:t>
      </w:r>
    </w:p>
    <w:p w14:paraId="659E15D5">
      <w:pPr>
        <w:tabs>
          <w:tab w:val="left" w:pos="1700"/>
        </w:tabs>
        <w:autoSpaceDE w:val="0"/>
        <w:autoSpaceDN w:val="0"/>
        <w:adjustRightInd w:val="0"/>
        <w:snapToGrid w:val="0"/>
        <w:spacing w:line="360" w:lineRule="auto"/>
        <w:ind w:firstLine="840" w:firstLineChars="400"/>
        <w:jc w:val="left"/>
        <w:rPr>
          <w:rFonts w:ascii="宋体" w:hAnsi="宋体"/>
          <w:sz w:val="36"/>
          <w:szCs w:val="36"/>
        </w:rPr>
      </w:pPr>
      <w:r>
        <w:br w:type="page"/>
      </w:r>
      <w:r>
        <w:rPr>
          <w:rFonts w:ascii="宋体" w:hAnsi="宋体"/>
          <w:kern w:val="0"/>
          <w:sz w:val="24"/>
        </w:rPr>
        <w:t xml:space="preserve"> </w:t>
      </w:r>
    </w:p>
    <w:p w14:paraId="11EB647D">
      <w:pPr>
        <w:pStyle w:val="4"/>
        <w:spacing w:line="360" w:lineRule="auto"/>
        <w:jc w:val="center"/>
        <w:rPr>
          <w:rFonts w:ascii="宋体" w:hAnsi="宋体"/>
          <w:b w:val="0"/>
          <w:bCs w:val="0"/>
          <w:sz w:val="44"/>
          <w:szCs w:val="44"/>
        </w:rPr>
      </w:pPr>
      <w:bookmarkStart w:id="1068" w:name="_Toc287620829"/>
      <w:bookmarkStart w:id="1069" w:name="_Toc430530545"/>
      <w:bookmarkStart w:id="1070" w:name="_Toc224103510"/>
      <w:bookmarkStart w:id="1071" w:name="_Toc277082656"/>
      <w:bookmarkStart w:id="1072" w:name="_Toc287607882"/>
      <w:bookmarkStart w:id="1073" w:name="_Toc5766"/>
      <w:r>
        <w:rPr>
          <w:rFonts w:hint="eastAsia" w:ascii="宋体" w:hAnsi="宋体"/>
          <w:b w:val="0"/>
          <w:bCs w:val="0"/>
          <w:sz w:val="44"/>
          <w:szCs w:val="44"/>
        </w:rPr>
        <w:t>四、</w:t>
      </w:r>
      <w:bookmarkEnd w:id="1068"/>
      <w:bookmarkEnd w:id="1069"/>
      <w:bookmarkEnd w:id="1070"/>
      <w:bookmarkEnd w:id="1071"/>
      <w:bookmarkEnd w:id="1072"/>
      <w:r>
        <w:rPr>
          <w:rFonts w:hint="eastAsia" w:ascii="宋体" w:hAnsi="宋体"/>
          <w:b w:val="0"/>
          <w:bCs w:val="0"/>
          <w:sz w:val="44"/>
          <w:szCs w:val="44"/>
        </w:rPr>
        <w:t>资格审查部分</w:t>
      </w:r>
      <w:bookmarkEnd w:id="1073"/>
    </w:p>
    <w:p w14:paraId="54296048">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43530859">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0BDB1E6F">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4CA211E0">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07EDD15E">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6AA6C5DA">
      <w:pPr>
        <w:autoSpaceDE w:val="0"/>
        <w:autoSpaceDN w:val="0"/>
        <w:adjustRightInd w:val="0"/>
        <w:snapToGrid w:val="0"/>
        <w:spacing w:line="360" w:lineRule="auto"/>
        <w:jc w:val="left"/>
        <w:rPr>
          <w:rFonts w:ascii="宋体" w:hAnsi="宋体"/>
          <w:kern w:val="0"/>
          <w:sz w:val="16"/>
          <w:szCs w:val="16"/>
        </w:rPr>
      </w:pPr>
    </w:p>
    <w:p w14:paraId="58D13F02">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40EFF11B">
      <w:pPr>
        <w:autoSpaceDE w:val="0"/>
        <w:autoSpaceDN w:val="0"/>
        <w:adjustRightInd w:val="0"/>
        <w:snapToGrid w:val="0"/>
        <w:spacing w:line="360" w:lineRule="auto"/>
        <w:jc w:val="left"/>
        <w:rPr>
          <w:rFonts w:ascii="宋体" w:hAnsi="宋体" w:cs="MingLiU"/>
          <w:kern w:val="0"/>
          <w:sz w:val="20"/>
          <w:szCs w:val="20"/>
        </w:rPr>
      </w:pPr>
    </w:p>
    <w:p w14:paraId="57DA922D">
      <w:pPr>
        <w:adjustRightInd w:val="0"/>
        <w:snapToGrid w:val="0"/>
        <w:spacing w:line="264" w:lineRule="auto"/>
        <w:rPr>
          <w:rFonts w:ascii="宋体" w:hAnsi="宋体"/>
          <w:szCs w:val="21"/>
        </w:rPr>
      </w:pPr>
    </w:p>
    <w:p w14:paraId="2EDCF473">
      <w:pPr>
        <w:autoSpaceDE w:val="0"/>
        <w:autoSpaceDN w:val="0"/>
        <w:adjustRightInd w:val="0"/>
        <w:snapToGrid w:val="0"/>
        <w:spacing w:line="360" w:lineRule="auto"/>
        <w:jc w:val="left"/>
        <w:rPr>
          <w:rFonts w:ascii="宋体" w:hAnsi="宋体" w:cs="MingLiU"/>
          <w:kern w:val="0"/>
          <w:sz w:val="20"/>
          <w:szCs w:val="20"/>
        </w:rPr>
      </w:pPr>
    </w:p>
    <w:p w14:paraId="7CD25B33">
      <w:pPr>
        <w:autoSpaceDE w:val="0"/>
        <w:autoSpaceDN w:val="0"/>
        <w:adjustRightInd w:val="0"/>
        <w:snapToGrid w:val="0"/>
        <w:spacing w:line="360" w:lineRule="auto"/>
        <w:jc w:val="left"/>
        <w:rPr>
          <w:rFonts w:ascii="宋体" w:hAnsi="宋体" w:cs="MingLiU"/>
          <w:kern w:val="0"/>
          <w:sz w:val="20"/>
          <w:szCs w:val="20"/>
        </w:rPr>
      </w:pPr>
    </w:p>
    <w:p w14:paraId="5B4A5201">
      <w:pPr>
        <w:autoSpaceDE w:val="0"/>
        <w:autoSpaceDN w:val="0"/>
        <w:adjustRightInd w:val="0"/>
        <w:snapToGrid w:val="0"/>
        <w:spacing w:line="360" w:lineRule="auto"/>
        <w:jc w:val="left"/>
        <w:rPr>
          <w:rFonts w:ascii="宋体" w:hAnsi="宋体" w:cs="MingLiU"/>
          <w:kern w:val="0"/>
          <w:sz w:val="20"/>
          <w:szCs w:val="20"/>
        </w:rPr>
      </w:pPr>
    </w:p>
    <w:p w14:paraId="5E7032EB">
      <w:pPr>
        <w:autoSpaceDE w:val="0"/>
        <w:autoSpaceDN w:val="0"/>
        <w:adjustRightInd w:val="0"/>
        <w:snapToGrid w:val="0"/>
        <w:spacing w:line="360" w:lineRule="auto"/>
        <w:jc w:val="left"/>
        <w:rPr>
          <w:rFonts w:ascii="宋体" w:hAnsi="宋体" w:cs="MingLiU"/>
          <w:kern w:val="0"/>
          <w:sz w:val="20"/>
          <w:szCs w:val="20"/>
        </w:rPr>
      </w:pPr>
    </w:p>
    <w:p w14:paraId="5357763B">
      <w:pPr>
        <w:autoSpaceDE w:val="0"/>
        <w:autoSpaceDN w:val="0"/>
        <w:adjustRightInd w:val="0"/>
        <w:snapToGrid w:val="0"/>
        <w:spacing w:line="360" w:lineRule="auto"/>
        <w:jc w:val="left"/>
        <w:rPr>
          <w:rFonts w:ascii="宋体" w:hAnsi="宋体" w:cs="MingLiU"/>
          <w:kern w:val="0"/>
          <w:sz w:val="20"/>
          <w:szCs w:val="20"/>
        </w:rPr>
      </w:pPr>
    </w:p>
    <w:p w14:paraId="27756342">
      <w:pPr>
        <w:autoSpaceDE w:val="0"/>
        <w:autoSpaceDN w:val="0"/>
        <w:adjustRightInd w:val="0"/>
        <w:snapToGrid w:val="0"/>
        <w:spacing w:line="360" w:lineRule="auto"/>
        <w:jc w:val="left"/>
        <w:rPr>
          <w:rFonts w:ascii="宋体" w:hAnsi="宋体" w:cs="MingLiU"/>
          <w:kern w:val="0"/>
          <w:sz w:val="20"/>
          <w:szCs w:val="20"/>
        </w:rPr>
      </w:pPr>
    </w:p>
    <w:p w14:paraId="23AB7549">
      <w:pPr>
        <w:autoSpaceDE w:val="0"/>
        <w:autoSpaceDN w:val="0"/>
        <w:adjustRightInd w:val="0"/>
        <w:snapToGrid w:val="0"/>
        <w:spacing w:line="360" w:lineRule="auto"/>
        <w:jc w:val="left"/>
        <w:rPr>
          <w:rFonts w:ascii="宋体" w:hAnsi="宋体" w:cs="MingLiU"/>
          <w:kern w:val="0"/>
          <w:sz w:val="20"/>
          <w:szCs w:val="20"/>
        </w:rPr>
      </w:pPr>
    </w:p>
    <w:p w14:paraId="4D9B3611">
      <w:pPr>
        <w:autoSpaceDE w:val="0"/>
        <w:autoSpaceDN w:val="0"/>
        <w:adjustRightInd w:val="0"/>
        <w:snapToGrid w:val="0"/>
        <w:spacing w:line="360" w:lineRule="auto"/>
        <w:jc w:val="left"/>
        <w:rPr>
          <w:rFonts w:ascii="宋体" w:hAnsi="宋体" w:cs="MingLiU"/>
          <w:kern w:val="0"/>
          <w:sz w:val="20"/>
          <w:szCs w:val="20"/>
        </w:rPr>
      </w:pPr>
    </w:p>
    <w:p w14:paraId="612672EB">
      <w:pPr>
        <w:autoSpaceDE w:val="0"/>
        <w:autoSpaceDN w:val="0"/>
        <w:adjustRightInd w:val="0"/>
        <w:snapToGrid w:val="0"/>
        <w:spacing w:line="360" w:lineRule="auto"/>
        <w:jc w:val="left"/>
        <w:rPr>
          <w:rFonts w:ascii="宋体" w:hAnsi="宋体" w:cs="MingLiU"/>
          <w:kern w:val="0"/>
          <w:sz w:val="20"/>
          <w:szCs w:val="20"/>
        </w:rPr>
      </w:pPr>
    </w:p>
    <w:p w14:paraId="024C9557">
      <w:pPr>
        <w:autoSpaceDE w:val="0"/>
        <w:autoSpaceDN w:val="0"/>
        <w:adjustRightInd w:val="0"/>
        <w:snapToGrid w:val="0"/>
        <w:spacing w:line="360" w:lineRule="auto"/>
        <w:jc w:val="left"/>
        <w:rPr>
          <w:rFonts w:ascii="宋体" w:hAnsi="宋体" w:cs="MingLiU"/>
          <w:kern w:val="0"/>
          <w:sz w:val="20"/>
          <w:szCs w:val="20"/>
        </w:rPr>
      </w:pPr>
    </w:p>
    <w:p w14:paraId="35B15746">
      <w:pPr>
        <w:autoSpaceDE w:val="0"/>
        <w:autoSpaceDN w:val="0"/>
        <w:adjustRightInd w:val="0"/>
        <w:snapToGrid w:val="0"/>
        <w:spacing w:line="360" w:lineRule="auto"/>
        <w:jc w:val="left"/>
        <w:rPr>
          <w:rFonts w:ascii="宋体" w:hAnsi="宋体" w:cs="MingLiU"/>
          <w:kern w:val="0"/>
          <w:sz w:val="20"/>
          <w:szCs w:val="20"/>
        </w:rPr>
      </w:pPr>
    </w:p>
    <w:p w14:paraId="3C3D4382">
      <w:pPr>
        <w:autoSpaceDE w:val="0"/>
        <w:autoSpaceDN w:val="0"/>
        <w:adjustRightInd w:val="0"/>
        <w:snapToGrid w:val="0"/>
        <w:spacing w:line="360" w:lineRule="auto"/>
        <w:jc w:val="left"/>
        <w:rPr>
          <w:rFonts w:ascii="宋体" w:hAnsi="宋体" w:cs="MingLiU"/>
          <w:kern w:val="0"/>
          <w:sz w:val="20"/>
          <w:szCs w:val="20"/>
        </w:rPr>
      </w:pPr>
    </w:p>
    <w:p w14:paraId="665DA9C7">
      <w:pPr>
        <w:autoSpaceDE w:val="0"/>
        <w:autoSpaceDN w:val="0"/>
        <w:adjustRightInd w:val="0"/>
        <w:snapToGrid w:val="0"/>
        <w:spacing w:line="360" w:lineRule="auto"/>
        <w:jc w:val="left"/>
        <w:rPr>
          <w:rFonts w:ascii="宋体" w:hAnsi="宋体" w:cs="MingLiU"/>
          <w:kern w:val="0"/>
          <w:sz w:val="20"/>
          <w:szCs w:val="20"/>
        </w:rPr>
      </w:pPr>
    </w:p>
    <w:p w14:paraId="7D089343">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29405D5">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CEB685A">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7A5F685F">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14:paraId="75DEBF6C">
      <w:pPr>
        <w:autoSpaceDE w:val="0"/>
        <w:autoSpaceDN w:val="0"/>
        <w:adjustRightInd w:val="0"/>
        <w:snapToGrid w:val="0"/>
        <w:jc w:val="center"/>
        <w:rPr>
          <w:rFonts w:ascii="宋体" w:hAnsi="宋体"/>
          <w:kern w:val="0"/>
          <w:sz w:val="36"/>
          <w:szCs w:val="36"/>
        </w:rPr>
      </w:pPr>
      <w:r>
        <w:rPr>
          <w:rFonts w:hint="eastAsia" w:ascii="宋体" w:hAnsi="宋体"/>
          <w:kern w:val="0"/>
          <w:sz w:val="36"/>
          <w:szCs w:val="36"/>
        </w:rPr>
        <w:t>目  录</w:t>
      </w:r>
    </w:p>
    <w:p w14:paraId="3D10B185">
      <w:pPr>
        <w:spacing w:line="360" w:lineRule="auto"/>
        <w:jc w:val="center"/>
        <w:rPr>
          <w:rFonts w:ascii="宋体" w:hAnsi="宋体"/>
          <w:b/>
          <w:kern w:val="0"/>
          <w:sz w:val="32"/>
          <w:szCs w:val="32"/>
        </w:rPr>
      </w:pPr>
    </w:p>
    <w:p w14:paraId="2F5BD2A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38334CDB">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047F135D">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（三）承诺</w:t>
      </w:r>
    </w:p>
    <w:p w14:paraId="18AC0E99">
      <w:pPr>
        <w:autoSpaceDE w:val="0"/>
        <w:autoSpaceDN w:val="0"/>
        <w:adjustRightInd w:val="0"/>
        <w:snapToGrid w:val="0"/>
        <w:spacing w:line="360" w:lineRule="auto"/>
        <w:ind w:firstLine="420"/>
        <w:rPr>
          <w:rFonts w:ascii="宋体" w:hAnsi="宋体"/>
          <w:szCs w:val="21"/>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51DC9FDE">
      <w:pPr>
        <w:spacing w:line="360" w:lineRule="auto"/>
        <w:ind w:firstLine="420" w:firstLineChars="200"/>
      </w:pPr>
    </w:p>
    <w:p w14:paraId="092D193F">
      <w:pPr>
        <w:spacing w:line="360" w:lineRule="auto"/>
        <w:jc w:val="center"/>
        <w:rPr>
          <w:rFonts w:ascii="宋体" w:hAnsi="宋体"/>
          <w:b/>
          <w:kern w:val="0"/>
          <w:sz w:val="32"/>
          <w:szCs w:val="32"/>
        </w:rPr>
      </w:pPr>
    </w:p>
    <w:p w14:paraId="3B40A628">
      <w:pPr>
        <w:spacing w:line="360" w:lineRule="auto"/>
        <w:jc w:val="center"/>
        <w:rPr>
          <w:rFonts w:ascii="宋体" w:hAnsi="宋体"/>
          <w:b/>
          <w:kern w:val="0"/>
          <w:sz w:val="32"/>
          <w:szCs w:val="32"/>
        </w:rPr>
      </w:pPr>
    </w:p>
    <w:p w14:paraId="400FC748">
      <w:pPr>
        <w:pStyle w:val="6"/>
        <w:spacing w:before="0" w:after="0" w:line="240" w:lineRule="auto"/>
        <w:jc w:val="center"/>
        <w:rPr>
          <w:rFonts w:ascii="宋体" w:hAnsi="宋体"/>
          <w:sz w:val="30"/>
          <w:szCs w:val="30"/>
        </w:rPr>
      </w:pPr>
      <w:r>
        <w:rPr>
          <w:rFonts w:ascii="宋体" w:hAnsi="宋体"/>
        </w:rPr>
        <w:br w:type="page"/>
      </w:r>
      <w:bookmarkStart w:id="1074" w:name="_Toc287607883"/>
      <w:bookmarkStart w:id="1075" w:name="_Toc277082657"/>
      <w:bookmarkStart w:id="1076" w:name="_Toc224103511"/>
      <w:bookmarkStart w:id="1077" w:name="_Toc287620830"/>
      <w:bookmarkStart w:id="1078" w:name="_Toc3975"/>
      <w:bookmarkStart w:id="1079" w:name="_Toc430530546"/>
      <w:r>
        <w:rPr>
          <w:rFonts w:hint="eastAsia" w:ascii="宋体" w:hAnsi="宋体"/>
          <w:b w:val="0"/>
          <w:bCs w:val="0"/>
          <w:sz w:val="30"/>
          <w:szCs w:val="30"/>
        </w:rPr>
        <w:t>（一）法定代表人身份证明或授权委托书</w:t>
      </w:r>
      <w:bookmarkEnd w:id="1074"/>
      <w:bookmarkEnd w:id="1075"/>
      <w:bookmarkEnd w:id="1076"/>
      <w:bookmarkEnd w:id="1077"/>
      <w:bookmarkEnd w:id="1078"/>
      <w:bookmarkEnd w:id="1079"/>
    </w:p>
    <w:p w14:paraId="7779A7AE">
      <w:pPr>
        <w:spacing w:line="480" w:lineRule="auto"/>
        <w:jc w:val="center"/>
        <w:rPr>
          <w:rFonts w:ascii="宋体" w:hAnsi="宋体"/>
          <w:sz w:val="28"/>
        </w:rPr>
      </w:pPr>
    </w:p>
    <w:p w14:paraId="40EFFC5B">
      <w:pPr>
        <w:spacing w:line="480" w:lineRule="auto"/>
        <w:jc w:val="center"/>
        <w:rPr>
          <w:rFonts w:ascii="宋体" w:hAnsi="宋体"/>
          <w:sz w:val="28"/>
        </w:rPr>
      </w:pPr>
      <w:r>
        <w:rPr>
          <w:rFonts w:hint="eastAsia" w:ascii="宋体" w:hAnsi="宋体"/>
          <w:sz w:val="28"/>
        </w:rPr>
        <w:t>法定代表人身份证明</w:t>
      </w:r>
    </w:p>
    <w:p w14:paraId="51C0C950">
      <w:pPr>
        <w:spacing w:line="480" w:lineRule="auto"/>
        <w:jc w:val="center"/>
        <w:rPr>
          <w:rFonts w:ascii="宋体" w:hAnsi="宋体"/>
        </w:rPr>
      </w:pPr>
    </w:p>
    <w:p w14:paraId="5DAEEF68">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FA219A3">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4D73BBBF">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89FE39C">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54DE6225">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769DB54D">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24060E14">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6BCF623A">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5B17E2D1">
      <w:pPr>
        <w:autoSpaceDE w:val="0"/>
        <w:autoSpaceDN w:val="0"/>
        <w:adjustRightInd w:val="0"/>
        <w:snapToGrid w:val="0"/>
        <w:spacing w:line="360" w:lineRule="auto"/>
        <w:jc w:val="left"/>
        <w:rPr>
          <w:rFonts w:ascii="宋体" w:hAnsi="宋体"/>
          <w:szCs w:val="21"/>
        </w:rPr>
      </w:pPr>
    </w:p>
    <w:p w14:paraId="3B5E3E3C">
      <w:pPr>
        <w:pStyle w:val="2"/>
        <w:spacing w:after="0" w:line="360" w:lineRule="auto"/>
        <w:rPr>
          <w:rFonts w:ascii="宋体" w:hAnsi="宋体"/>
          <w:szCs w:val="21"/>
        </w:rPr>
      </w:pPr>
    </w:p>
    <w:p w14:paraId="3D8948FA">
      <w:pPr>
        <w:pStyle w:val="2"/>
        <w:spacing w:after="0" w:line="360" w:lineRule="auto"/>
        <w:rPr>
          <w:rFonts w:ascii="宋体" w:hAnsi="宋体"/>
          <w:szCs w:val="21"/>
        </w:rPr>
      </w:pPr>
    </w:p>
    <w:p w14:paraId="523C65D3">
      <w:pPr>
        <w:pStyle w:val="2"/>
        <w:spacing w:after="0" w:line="360" w:lineRule="auto"/>
        <w:rPr>
          <w:rFonts w:ascii="宋体" w:hAnsi="宋体"/>
          <w:szCs w:val="21"/>
        </w:rPr>
      </w:pPr>
    </w:p>
    <w:p w14:paraId="10008AF5">
      <w:pPr>
        <w:pStyle w:val="2"/>
        <w:spacing w:after="0" w:line="360" w:lineRule="auto"/>
        <w:rPr>
          <w:rFonts w:ascii="宋体" w:hAnsi="宋体"/>
          <w:szCs w:val="21"/>
        </w:rPr>
      </w:pPr>
    </w:p>
    <w:p w14:paraId="5DD1C700">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3F7608F6">
      <w:pPr>
        <w:autoSpaceDE w:val="0"/>
        <w:autoSpaceDN w:val="0"/>
        <w:adjustRightInd w:val="0"/>
        <w:snapToGrid w:val="0"/>
        <w:spacing w:line="480" w:lineRule="auto"/>
        <w:jc w:val="left"/>
        <w:rPr>
          <w:rFonts w:ascii="宋体" w:hAnsi="宋体"/>
          <w:kern w:val="0"/>
          <w:sz w:val="20"/>
          <w:szCs w:val="20"/>
        </w:rPr>
      </w:pPr>
    </w:p>
    <w:p w14:paraId="38CD5C02">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CC253BB">
      <w:pPr>
        <w:autoSpaceDE w:val="0"/>
        <w:autoSpaceDN w:val="0"/>
        <w:adjustRightInd w:val="0"/>
        <w:snapToGrid w:val="0"/>
        <w:spacing w:line="360" w:lineRule="auto"/>
        <w:jc w:val="left"/>
        <w:rPr>
          <w:rFonts w:ascii="宋体" w:hAnsi="宋体"/>
          <w:kern w:val="0"/>
        </w:rPr>
      </w:pPr>
    </w:p>
    <w:p w14:paraId="02E7B632">
      <w:pPr>
        <w:autoSpaceDE w:val="0"/>
        <w:autoSpaceDN w:val="0"/>
        <w:adjustRightInd w:val="0"/>
        <w:snapToGrid w:val="0"/>
        <w:spacing w:line="360" w:lineRule="auto"/>
        <w:jc w:val="left"/>
        <w:rPr>
          <w:rFonts w:ascii="宋体" w:hAnsi="宋体"/>
          <w:kern w:val="0"/>
        </w:rPr>
      </w:pPr>
    </w:p>
    <w:p w14:paraId="07973848">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1FBCB639">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7C307ED8">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6FF01306">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1AF43339">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47B0B9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64DE1186">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0CAFF80A">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67915F49">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5869D786">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503CD2CF">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4228699">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47D60E7A">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ACC4AAF">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58399E0A">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3B081C83">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255E78CD">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7E89F901">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68A3808">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7A23E47">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06C4359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0C1461F6">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0EFD9BD">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7605CB18">
      <w:pPr>
        <w:tabs>
          <w:tab w:val="left" w:pos="5760"/>
        </w:tabs>
        <w:autoSpaceDE w:val="0"/>
        <w:autoSpaceDN w:val="0"/>
        <w:adjustRightInd w:val="0"/>
        <w:spacing w:line="360" w:lineRule="auto"/>
        <w:ind w:firstLine="420" w:firstLineChars="200"/>
        <w:rPr>
          <w:rFonts w:ascii="宋体" w:hAnsi="宋体"/>
          <w:kern w:val="0"/>
        </w:rPr>
      </w:pPr>
    </w:p>
    <w:p w14:paraId="3F511C7E">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55BA648C">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209290DA">
      <w:pPr>
        <w:autoSpaceDE w:val="0"/>
        <w:autoSpaceDN w:val="0"/>
        <w:adjustRightInd w:val="0"/>
        <w:snapToGrid w:val="0"/>
        <w:jc w:val="center"/>
        <w:rPr>
          <w:rFonts w:ascii="宋体" w:hAnsi="宋体"/>
        </w:rPr>
      </w:pPr>
      <w:r>
        <w:rPr>
          <w:rFonts w:ascii="宋体" w:hAnsi="宋体"/>
        </w:rPr>
        <w:br w:type="page"/>
      </w:r>
    </w:p>
    <w:p w14:paraId="45FF9D24">
      <w:pPr>
        <w:pStyle w:val="6"/>
        <w:spacing w:before="0" w:after="0" w:line="240" w:lineRule="auto"/>
        <w:jc w:val="center"/>
        <w:rPr>
          <w:rFonts w:ascii="宋体" w:hAnsi="宋体"/>
          <w:b w:val="0"/>
          <w:bCs w:val="0"/>
          <w:sz w:val="32"/>
          <w:szCs w:val="24"/>
        </w:rPr>
      </w:pPr>
      <w:bookmarkStart w:id="1080" w:name="_Toc20916"/>
      <w:bookmarkStart w:id="1081" w:name="_Toc224103512"/>
      <w:bookmarkStart w:id="1082" w:name="_Toc277082658"/>
      <w:bookmarkStart w:id="1083" w:name="_Toc430530547"/>
      <w:bookmarkStart w:id="1084" w:name="_Toc287620831"/>
      <w:bookmarkStart w:id="1085" w:name="_Toc287607884"/>
      <w:r>
        <w:rPr>
          <w:rFonts w:hint="eastAsia" w:ascii="宋体" w:hAnsi="宋体"/>
          <w:b w:val="0"/>
          <w:bCs w:val="0"/>
          <w:sz w:val="32"/>
          <w:szCs w:val="24"/>
        </w:rPr>
        <w:t>（二）</w:t>
      </w:r>
      <w:r>
        <w:rPr>
          <w:rFonts w:hint="eastAsia" w:ascii="宋体" w:hAnsi="宋体"/>
          <w:b w:val="0"/>
          <w:bCs w:val="0"/>
          <w:snapToGrid w:val="0"/>
          <w:sz w:val="32"/>
          <w:szCs w:val="24"/>
        </w:rPr>
        <w:t>制造商资格声明</w:t>
      </w:r>
      <w:bookmarkEnd w:id="1080"/>
    </w:p>
    <w:p w14:paraId="28E036DE">
      <w:pPr>
        <w:pStyle w:val="2"/>
      </w:pPr>
    </w:p>
    <w:p w14:paraId="1136165C">
      <w:pPr>
        <w:spacing w:before="149"/>
        <w:ind w:left="3280" w:right="3393"/>
        <w:jc w:val="center"/>
        <w:rPr>
          <w:sz w:val="28"/>
        </w:rPr>
      </w:pPr>
      <w:r>
        <w:rPr>
          <w:sz w:val="28"/>
        </w:rPr>
        <w:t>制造商资格声明</w:t>
      </w:r>
    </w:p>
    <w:p w14:paraId="55F5C9A2">
      <w:pPr>
        <w:spacing w:line="360" w:lineRule="auto"/>
        <w:ind w:firstLine="420"/>
        <w:rPr>
          <w:rFonts w:ascii="宋体" w:hAnsi="宋体"/>
          <w:szCs w:val="21"/>
        </w:rPr>
      </w:pPr>
    </w:p>
    <w:p w14:paraId="4DBA7E17">
      <w:pPr>
        <w:spacing w:line="360" w:lineRule="auto"/>
        <w:ind w:firstLine="420" w:firstLineChars="200"/>
        <w:rPr>
          <w:rFonts w:ascii="宋体" w:hAnsi="宋体"/>
          <w:kern w:val="0"/>
          <w:szCs w:val="21"/>
          <w:u w:val="single"/>
        </w:rPr>
      </w:pPr>
      <w:r>
        <w:rPr>
          <w:rFonts w:hint="eastAsia" w:ascii="宋体" w:hAnsi="宋体"/>
          <w:szCs w:val="21"/>
        </w:rPr>
        <w:t>1.制造商基本情况</w:t>
      </w:r>
    </w:p>
    <w:p w14:paraId="74D8DED9">
      <w:pPr>
        <w:spacing w:line="360" w:lineRule="auto"/>
        <w:ind w:firstLine="420" w:firstLineChars="200"/>
        <w:rPr>
          <w:rFonts w:ascii="宋体" w:hAnsi="宋体"/>
          <w:szCs w:val="21"/>
        </w:rPr>
      </w:pPr>
      <w:r>
        <w:rPr>
          <w:rFonts w:hint="eastAsia" w:ascii="宋体" w:hAnsi="宋体"/>
          <w:szCs w:val="21"/>
        </w:rPr>
        <w:t>制造商名称：</w:t>
      </w:r>
      <w:r>
        <w:rPr>
          <w:rFonts w:hint="eastAsia" w:ascii="宋体" w:hAnsi="宋体"/>
          <w:szCs w:val="21"/>
          <w:u w:val="single"/>
        </w:rPr>
        <w:t xml:space="preserve">                                  </w:t>
      </w:r>
      <w:r>
        <w:rPr>
          <w:rFonts w:hint="eastAsia" w:ascii="宋体" w:hAnsi="宋体"/>
          <w:szCs w:val="21"/>
        </w:rPr>
        <w:t>；</w:t>
      </w:r>
    </w:p>
    <w:p w14:paraId="26505B35">
      <w:pPr>
        <w:spacing w:line="360" w:lineRule="auto"/>
        <w:ind w:firstLine="420" w:firstLineChars="200"/>
        <w:rPr>
          <w:rFonts w:ascii="宋体" w:hAnsi="宋体"/>
          <w:szCs w:val="21"/>
        </w:rPr>
      </w:pPr>
      <w:r>
        <w:rPr>
          <w:rFonts w:hint="eastAsia" w:ascii="宋体" w:hAnsi="宋体"/>
          <w:szCs w:val="21"/>
        </w:rPr>
        <w:t>制造商地址：</w:t>
      </w:r>
      <w:r>
        <w:rPr>
          <w:rFonts w:hint="eastAsia" w:ascii="宋体" w:hAnsi="宋体"/>
          <w:szCs w:val="21"/>
          <w:u w:val="single"/>
        </w:rPr>
        <w:t xml:space="preserve">                                  </w:t>
      </w:r>
      <w:r>
        <w:rPr>
          <w:rFonts w:hint="eastAsia" w:ascii="宋体" w:hAnsi="宋体"/>
          <w:szCs w:val="21"/>
        </w:rPr>
        <w:t>；</w:t>
      </w:r>
    </w:p>
    <w:p w14:paraId="66F3B471">
      <w:pPr>
        <w:spacing w:line="360" w:lineRule="auto"/>
        <w:ind w:firstLine="420" w:firstLineChars="200"/>
        <w:rPr>
          <w:rFonts w:ascii="宋体" w:hAnsi="宋体"/>
          <w:szCs w:val="21"/>
        </w:rPr>
      </w:pPr>
      <w:r>
        <w:rPr>
          <w:rFonts w:hint="eastAsia" w:ascii="宋体" w:hAnsi="宋体"/>
          <w:szCs w:val="21"/>
        </w:rPr>
        <w:t>成立和/或注册日期：</w:t>
      </w:r>
      <w:r>
        <w:rPr>
          <w:rFonts w:hint="eastAsia" w:ascii="宋体" w:hAnsi="宋体"/>
          <w:szCs w:val="21"/>
          <w:u w:val="single"/>
        </w:rPr>
        <w:t xml:space="preserve">                           </w:t>
      </w:r>
      <w:r>
        <w:rPr>
          <w:rFonts w:hint="eastAsia" w:ascii="宋体" w:hAnsi="宋体"/>
          <w:szCs w:val="21"/>
        </w:rPr>
        <w:t>；</w:t>
      </w:r>
    </w:p>
    <w:p w14:paraId="201D8896">
      <w:pPr>
        <w:spacing w:line="360" w:lineRule="auto"/>
        <w:ind w:firstLine="420" w:firstLineChars="200"/>
        <w:rPr>
          <w:rFonts w:ascii="宋体" w:hAnsi="宋体"/>
          <w:szCs w:val="21"/>
        </w:rPr>
      </w:pPr>
      <w:r>
        <w:rPr>
          <w:rFonts w:hint="eastAsia" w:ascii="宋体" w:hAnsi="宋体"/>
          <w:szCs w:val="21"/>
        </w:rPr>
        <w:t>注册资金：</w:t>
      </w:r>
      <w:r>
        <w:rPr>
          <w:rFonts w:hint="eastAsia" w:ascii="宋体" w:hAnsi="宋体"/>
          <w:szCs w:val="21"/>
          <w:u w:val="single"/>
        </w:rPr>
        <w:t xml:space="preserve">                                    </w:t>
      </w:r>
      <w:r>
        <w:rPr>
          <w:rFonts w:hint="eastAsia" w:ascii="宋体" w:hAnsi="宋体"/>
          <w:szCs w:val="21"/>
        </w:rPr>
        <w:t>；</w:t>
      </w:r>
    </w:p>
    <w:p w14:paraId="5FB44CF5">
      <w:pPr>
        <w:spacing w:line="360" w:lineRule="auto"/>
        <w:ind w:firstLine="420" w:firstLineChars="200"/>
        <w:rPr>
          <w:rFonts w:ascii="宋体" w:hAnsi="宋体"/>
          <w:szCs w:val="21"/>
        </w:rPr>
      </w:pPr>
      <w:r>
        <w:rPr>
          <w:rFonts w:hint="eastAsia" w:ascii="宋体" w:hAnsi="宋体"/>
          <w:szCs w:val="21"/>
        </w:rPr>
        <w:t>近期资产负债表（从</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月至</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月止 ）</w:t>
      </w:r>
    </w:p>
    <w:p w14:paraId="19A1CEC7">
      <w:pPr>
        <w:numPr>
          <w:ilvl w:val="255"/>
          <w:numId w:val="0"/>
        </w:numPr>
        <w:autoSpaceDE w:val="0"/>
        <w:autoSpaceDN w:val="0"/>
        <w:spacing w:line="360" w:lineRule="auto"/>
        <w:ind w:firstLine="420" w:firstLineChars="200"/>
        <w:rPr>
          <w:rFonts w:ascii="宋体" w:hAnsi="宋体"/>
          <w:szCs w:val="21"/>
          <w:u w:val="single"/>
        </w:rPr>
      </w:pPr>
      <w:r>
        <w:rPr>
          <w:rFonts w:hint="eastAsia" w:ascii="宋体" w:hAnsi="宋体"/>
          <w:kern w:val="0"/>
          <w:szCs w:val="21"/>
        </w:rPr>
        <w:t>a.固定资产</w:t>
      </w:r>
      <w:r>
        <w:rPr>
          <w:rFonts w:hint="eastAsia" w:ascii="宋体" w:hAnsi="宋体"/>
          <w:szCs w:val="21"/>
        </w:rPr>
        <w:t>：</w:t>
      </w:r>
      <w:r>
        <w:rPr>
          <w:rFonts w:hint="eastAsia" w:ascii="宋体" w:hAnsi="宋体"/>
          <w:szCs w:val="21"/>
          <w:u w:val="single"/>
        </w:rPr>
        <w:t xml:space="preserve">                                  </w:t>
      </w:r>
      <w:r>
        <w:rPr>
          <w:rFonts w:hint="eastAsia" w:ascii="宋体" w:hAnsi="宋体"/>
          <w:szCs w:val="21"/>
        </w:rPr>
        <w:t>；</w:t>
      </w:r>
    </w:p>
    <w:p w14:paraId="409D74C4">
      <w:pPr>
        <w:numPr>
          <w:ilvl w:val="255"/>
          <w:numId w:val="0"/>
        </w:numPr>
        <w:autoSpaceDE w:val="0"/>
        <w:autoSpaceDN w:val="0"/>
        <w:spacing w:line="360" w:lineRule="auto"/>
        <w:ind w:firstLine="420" w:firstLineChars="200"/>
        <w:rPr>
          <w:rFonts w:ascii="宋体" w:hAnsi="宋体"/>
          <w:szCs w:val="21"/>
        </w:rPr>
      </w:pPr>
      <w:r>
        <w:rPr>
          <w:rFonts w:hint="eastAsia" w:ascii="宋体" w:hAnsi="宋体"/>
          <w:kern w:val="0"/>
          <w:szCs w:val="21"/>
        </w:rPr>
        <w:t>b.流动资产：</w:t>
      </w:r>
      <w:r>
        <w:rPr>
          <w:rFonts w:hint="eastAsia" w:ascii="宋体" w:hAnsi="宋体"/>
          <w:szCs w:val="21"/>
          <w:u w:val="single"/>
        </w:rPr>
        <w:t xml:space="preserve">                                  </w:t>
      </w:r>
      <w:r>
        <w:rPr>
          <w:rFonts w:hint="eastAsia" w:ascii="宋体" w:hAnsi="宋体"/>
          <w:szCs w:val="21"/>
        </w:rPr>
        <w:t>；</w:t>
      </w:r>
    </w:p>
    <w:p w14:paraId="48F8035E">
      <w:pPr>
        <w:spacing w:line="360" w:lineRule="auto"/>
        <w:ind w:firstLine="420" w:firstLineChars="200"/>
        <w:rPr>
          <w:rFonts w:ascii="宋体" w:hAnsi="宋体"/>
          <w:szCs w:val="21"/>
        </w:rPr>
      </w:pPr>
      <w:r>
        <w:rPr>
          <w:rFonts w:hint="eastAsia" w:ascii="宋体" w:hAnsi="宋体"/>
          <w:kern w:val="0"/>
          <w:szCs w:val="21"/>
        </w:rPr>
        <w:t>c.资产负债率：</w:t>
      </w:r>
      <w:r>
        <w:rPr>
          <w:rFonts w:hint="eastAsia" w:ascii="宋体" w:hAnsi="宋体"/>
          <w:szCs w:val="21"/>
          <w:u w:val="single"/>
        </w:rPr>
        <w:t xml:space="preserve">                                </w:t>
      </w:r>
      <w:r>
        <w:rPr>
          <w:rFonts w:hint="eastAsia" w:ascii="宋体" w:hAnsi="宋体"/>
          <w:szCs w:val="21"/>
        </w:rPr>
        <w:t>。</w:t>
      </w:r>
    </w:p>
    <w:p w14:paraId="6C7120CD">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2.制造商生产经营情况</w:t>
      </w:r>
    </w:p>
    <w:p w14:paraId="1EFA8AB4">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（1）近 3 年的年营业额：</w:t>
      </w:r>
      <w:r>
        <w:rPr>
          <w:rFonts w:hint="eastAsia" w:ascii="宋体" w:hAnsi="宋体"/>
          <w:szCs w:val="21"/>
          <w:u w:val="single"/>
        </w:rPr>
        <w:t xml:space="preserve">                              </w:t>
      </w:r>
      <w:r>
        <w:rPr>
          <w:rFonts w:hint="eastAsia" w:ascii="宋体" w:hAnsi="宋体"/>
          <w:szCs w:val="21"/>
        </w:rPr>
        <w:t>；</w:t>
      </w:r>
    </w:p>
    <w:p w14:paraId="076E5229">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（2）投标产品年生产能力：</w:t>
      </w:r>
      <w:r>
        <w:rPr>
          <w:rFonts w:hint="eastAsia" w:ascii="宋体" w:hAnsi="宋体"/>
          <w:szCs w:val="21"/>
          <w:u w:val="single"/>
        </w:rPr>
        <w:t xml:space="preserve">                             </w:t>
      </w:r>
      <w:r>
        <w:rPr>
          <w:rFonts w:hint="eastAsia" w:ascii="宋体" w:hAnsi="宋体"/>
          <w:szCs w:val="21"/>
        </w:rPr>
        <w:t>；</w:t>
      </w:r>
    </w:p>
    <w:p w14:paraId="17516D5F">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（3）投标产品年销售业绩：</w:t>
      </w:r>
      <w:r>
        <w:rPr>
          <w:rFonts w:hint="eastAsia" w:ascii="宋体" w:hAnsi="宋体"/>
          <w:szCs w:val="21"/>
          <w:u w:val="single"/>
        </w:rPr>
        <w:t xml:space="preserve">                             </w:t>
      </w:r>
      <w:r>
        <w:rPr>
          <w:rFonts w:hint="eastAsia" w:ascii="宋体" w:hAnsi="宋体"/>
          <w:szCs w:val="21"/>
        </w:rPr>
        <w:t>；</w:t>
      </w:r>
    </w:p>
    <w:p w14:paraId="7EDFCD90">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a.主要客户名称：</w:t>
      </w:r>
      <w:r>
        <w:rPr>
          <w:rFonts w:hint="eastAsia" w:ascii="宋体" w:hAnsi="宋体"/>
          <w:szCs w:val="21"/>
          <w:u w:val="single"/>
        </w:rPr>
        <w:t xml:space="preserve">                            </w:t>
      </w:r>
      <w:r>
        <w:rPr>
          <w:rFonts w:hint="eastAsia" w:ascii="宋体" w:hAnsi="宋体"/>
          <w:szCs w:val="21"/>
        </w:rPr>
        <w:t>；</w:t>
      </w:r>
    </w:p>
    <w:p w14:paraId="162B9D9D">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b.主要客户联系方式：</w:t>
      </w:r>
      <w:r>
        <w:rPr>
          <w:rFonts w:hint="eastAsia" w:ascii="宋体" w:hAnsi="宋体"/>
          <w:szCs w:val="21"/>
          <w:u w:val="single"/>
        </w:rPr>
        <w:t xml:space="preserve">                        </w:t>
      </w:r>
      <w:r>
        <w:rPr>
          <w:rFonts w:hint="eastAsia" w:ascii="宋体" w:hAnsi="宋体"/>
          <w:szCs w:val="21"/>
        </w:rPr>
        <w:t>；</w:t>
      </w:r>
    </w:p>
    <w:p w14:paraId="7F0A9557">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c.合同名称及合同号：</w:t>
      </w:r>
      <w:r>
        <w:rPr>
          <w:rFonts w:hint="eastAsia" w:ascii="宋体" w:hAnsi="宋体"/>
          <w:szCs w:val="21"/>
          <w:u w:val="single"/>
        </w:rPr>
        <w:t xml:space="preserve">                        </w:t>
      </w:r>
      <w:r>
        <w:rPr>
          <w:rFonts w:hint="eastAsia" w:ascii="宋体" w:hAnsi="宋体"/>
          <w:szCs w:val="21"/>
        </w:rPr>
        <w:t>。</w:t>
      </w:r>
    </w:p>
    <w:p w14:paraId="04ADC5E3">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兹证明上述声明是真实、正确的，并提供了全部能提供的资料和数据，我们同意遵照贵方要求出示有关证明文件。</w:t>
      </w:r>
    </w:p>
    <w:p w14:paraId="3882A474">
      <w:pPr>
        <w:autoSpaceDE w:val="0"/>
        <w:autoSpaceDN w:val="0"/>
        <w:adjustRightInd w:val="0"/>
        <w:spacing w:line="360" w:lineRule="auto"/>
        <w:ind w:firstLine="420" w:firstLineChars="200"/>
        <w:rPr>
          <w:rFonts w:ascii="宋体" w:hAnsi="宋体"/>
          <w:kern w:val="0"/>
          <w:szCs w:val="21"/>
        </w:rPr>
      </w:pPr>
    </w:p>
    <w:p w14:paraId="44964176">
      <w:pPr>
        <w:pStyle w:val="2"/>
      </w:pPr>
    </w:p>
    <w:p w14:paraId="25DC90BB">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盖单位公章：</w:t>
      </w:r>
      <w:r>
        <w:rPr>
          <w:rFonts w:hint="eastAsia" w:ascii="宋体" w:hAnsi="宋体"/>
          <w:szCs w:val="21"/>
          <w:u w:val="single"/>
        </w:rPr>
        <w:t xml:space="preserve">                                      </w:t>
      </w:r>
    </w:p>
    <w:p w14:paraId="53886993">
      <w:pPr>
        <w:autoSpaceDE w:val="0"/>
        <w:autoSpaceDN w:val="0"/>
        <w:adjustRightInd w:val="0"/>
        <w:spacing w:line="360" w:lineRule="auto"/>
        <w:ind w:firstLine="420" w:firstLineChars="200"/>
        <w:rPr>
          <w:rFonts w:ascii="宋体" w:hAnsi="宋体"/>
          <w:kern w:val="0"/>
          <w:szCs w:val="21"/>
        </w:rPr>
      </w:pPr>
      <w:r>
        <w:rPr>
          <w:rFonts w:hint="eastAsia" w:ascii="宋体" w:hAnsi="宋体" w:cs="宋体"/>
          <w:szCs w:val="21"/>
        </w:rPr>
        <w:t>法定代表人或授权委托人（签字）：</w:t>
      </w:r>
      <w:r>
        <w:rPr>
          <w:rFonts w:hint="eastAsia" w:ascii="宋体" w:hAnsi="宋体"/>
          <w:szCs w:val="21"/>
          <w:u w:val="single"/>
        </w:rPr>
        <w:t xml:space="preserve">                  </w:t>
      </w:r>
    </w:p>
    <w:p w14:paraId="6E18F8E1">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传       真 ：</w:t>
      </w:r>
      <w:r>
        <w:rPr>
          <w:rFonts w:hint="eastAsia" w:ascii="宋体" w:hAnsi="宋体"/>
          <w:szCs w:val="21"/>
          <w:u w:val="single"/>
        </w:rPr>
        <w:t xml:space="preserve">                                    </w:t>
      </w:r>
    </w:p>
    <w:p w14:paraId="6FE96CB3">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电       话：</w:t>
      </w:r>
      <w:r>
        <w:rPr>
          <w:rFonts w:hint="eastAsia" w:ascii="宋体" w:hAnsi="宋体"/>
          <w:szCs w:val="21"/>
          <w:u w:val="single"/>
        </w:rPr>
        <w:t xml:space="preserve">                                     </w:t>
      </w:r>
    </w:p>
    <w:p w14:paraId="6BA626D1">
      <w:pPr>
        <w:spacing w:line="360" w:lineRule="auto"/>
        <w:ind w:firstLine="420" w:firstLineChars="200"/>
        <w:rPr>
          <w:rFonts w:ascii="宋体" w:hAnsi="宋体"/>
          <w:kern w:val="0"/>
          <w:szCs w:val="21"/>
        </w:rPr>
      </w:pPr>
      <w:r>
        <w:rPr>
          <w:rFonts w:hint="eastAsia" w:ascii="宋体" w:hAnsi="宋体"/>
          <w:kern w:val="0"/>
          <w:szCs w:val="21"/>
        </w:rPr>
        <w:t>电 子 邮 件：</w:t>
      </w:r>
      <w:r>
        <w:rPr>
          <w:rFonts w:hint="eastAsia" w:ascii="宋体" w:hAnsi="宋体"/>
          <w:szCs w:val="21"/>
          <w:u w:val="single"/>
        </w:rPr>
        <w:t xml:space="preserve">                                     </w:t>
      </w:r>
    </w:p>
    <w:p w14:paraId="2C55E644">
      <w:pPr>
        <w:spacing w:line="360" w:lineRule="auto"/>
        <w:ind w:firstLine="420" w:firstLineChars="200"/>
      </w:pPr>
      <w:r>
        <w:rPr>
          <w:rFonts w:hint="eastAsia" w:ascii="宋体" w:hAnsi="宋体"/>
          <w:kern w:val="0"/>
          <w:szCs w:val="21"/>
        </w:rPr>
        <w:t>签 字 日 期：</w:t>
      </w:r>
      <w:r>
        <w:rPr>
          <w:rFonts w:hint="eastAsia" w:ascii="宋体" w:hAnsi="宋体"/>
          <w:szCs w:val="21"/>
          <w:u w:val="single"/>
        </w:rPr>
        <w:t xml:space="preserve">                                  </w:t>
      </w:r>
      <w:r>
        <w:rPr>
          <w:rFonts w:hint="eastAsia" w:ascii="宋体" w:hAnsi="宋体"/>
          <w:sz w:val="24"/>
          <w:u w:val="single"/>
        </w:rPr>
        <w:t xml:space="preserve">   </w:t>
      </w:r>
    </w:p>
    <w:p w14:paraId="7DDBFB2F">
      <w:r>
        <w:rPr>
          <w:rFonts w:hint="eastAsia"/>
        </w:rPr>
        <w:br w:type="page"/>
      </w:r>
    </w:p>
    <w:p w14:paraId="6E13716B"/>
    <w:bookmarkEnd w:id="1081"/>
    <w:bookmarkEnd w:id="1082"/>
    <w:bookmarkEnd w:id="1083"/>
    <w:bookmarkEnd w:id="1084"/>
    <w:bookmarkEnd w:id="1085"/>
    <w:p w14:paraId="4349E71D">
      <w:pPr>
        <w:pStyle w:val="6"/>
        <w:spacing w:before="0" w:line="360" w:lineRule="auto"/>
        <w:jc w:val="center"/>
        <w:rPr>
          <w:rFonts w:ascii="宋体" w:hAnsi="宋体"/>
          <w:b w:val="0"/>
          <w:sz w:val="32"/>
          <w:szCs w:val="24"/>
        </w:rPr>
      </w:pPr>
      <w:bookmarkStart w:id="1086" w:name="_Toc287607893"/>
      <w:bookmarkStart w:id="1087" w:name="_Toc509218866"/>
      <w:bookmarkStart w:id="1088" w:name="_Toc287620839"/>
      <w:bookmarkStart w:id="1089" w:name="_Toc277082663"/>
      <w:bookmarkStart w:id="1090" w:name="_Toc534185843"/>
      <w:bookmarkStart w:id="1091" w:name="_Toc430530552"/>
      <w:bookmarkStart w:id="1092" w:name="_Toc224103520"/>
      <w:bookmarkStart w:id="1093" w:name="_Toc17295"/>
      <w:r>
        <w:rPr>
          <w:rFonts w:ascii="宋体" w:hAnsi="宋体"/>
          <w:b w:val="0"/>
          <w:sz w:val="32"/>
          <w:szCs w:val="24"/>
        </w:rPr>
        <w:t>（</w:t>
      </w:r>
      <w:r>
        <w:rPr>
          <w:rFonts w:hint="eastAsia" w:ascii="宋体" w:hAnsi="宋体"/>
          <w:b w:val="0"/>
          <w:sz w:val="32"/>
          <w:szCs w:val="24"/>
          <w:lang w:val="en-US" w:eastAsia="zh-CN"/>
        </w:rPr>
        <w:t>三</w:t>
      </w:r>
      <w:r>
        <w:rPr>
          <w:rFonts w:ascii="宋体" w:hAnsi="宋体"/>
          <w:b w:val="0"/>
          <w:sz w:val="32"/>
          <w:szCs w:val="24"/>
        </w:rPr>
        <w:t>）</w:t>
      </w:r>
      <w:bookmarkEnd w:id="1086"/>
      <w:bookmarkEnd w:id="1087"/>
      <w:bookmarkEnd w:id="1088"/>
      <w:bookmarkEnd w:id="1089"/>
      <w:bookmarkEnd w:id="1090"/>
      <w:bookmarkEnd w:id="1091"/>
      <w:bookmarkEnd w:id="1092"/>
      <w:r>
        <w:rPr>
          <w:rFonts w:hint="eastAsia" w:ascii="宋体" w:hAnsi="宋体"/>
          <w:b w:val="0"/>
          <w:sz w:val="32"/>
          <w:szCs w:val="24"/>
        </w:rPr>
        <w:t>承诺</w:t>
      </w:r>
      <w:bookmarkEnd w:id="1093"/>
    </w:p>
    <w:p w14:paraId="5568AA7F">
      <w:pPr>
        <w:snapToGrid w:val="0"/>
        <w:spacing w:line="400" w:lineRule="exact"/>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0B21AEB1">
      <w:pPr>
        <w:snapToGrid w:val="0"/>
        <w:spacing w:line="40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070CBA0A">
      <w:pPr>
        <w:snapToGrid w:val="0"/>
        <w:spacing w:line="400" w:lineRule="exact"/>
        <w:ind w:firstLine="420" w:firstLineChars="200"/>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591B4FF2">
      <w:pPr>
        <w:snapToGrid w:val="0"/>
        <w:spacing w:line="400" w:lineRule="exact"/>
        <w:ind w:firstLine="420" w:firstLineChars="200"/>
        <w:jc w:val="left"/>
        <w:rPr>
          <w:rFonts w:ascii="宋体" w:hAnsi="宋体"/>
          <w:szCs w:val="21"/>
        </w:rPr>
      </w:pPr>
      <w:r>
        <w:rPr>
          <w:rFonts w:hint="eastAsia" w:ascii="宋体" w:hAnsi="宋体"/>
          <w:szCs w:val="21"/>
        </w:rPr>
        <w:t>（1）被人民法院列入失信被执行人名单且在被执行期内；</w:t>
      </w:r>
    </w:p>
    <w:p w14:paraId="42217D02">
      <w:pPr>
        <w:snapToGrid w:val="0"/>
        <w:spacing w:line="400" w:lineRule="exact"/>
        <w:ind w:firstLine="420" w:firstLineChars="200"/>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466E311F">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2D60BE16">
      <w:pPr>
        <w:snapToGrid w:val="0"/>
        <w:spacing w:line="400" w:lineRule="exact"/>
        <w:ind w:firstLine="420" w:firstLineChars="200"/>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53327867">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19BE311A">
      <w:pPr>
        <w:snapToGrid w:val="0"/>
        <w:spacing w:line="400" w:lineRule="exact"/>
        <w:ind w:firstLine="420" w:firstLineChars="200"/>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02E4740D">
      <w:pPr>
        <w:snapToGrid w:val="0"/>
        <w:spacing w:line="400" w:lineRule="exact"/>
        <w:ind w:firstLine="420" w:firstLineChars="200"/>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070EC095">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3495D259">
      <w:pPr>
        <w:snapToGrid w:val="0"/>
        <w:spacing w:line="400" w:lineRule="exact"/>
        <w:ind w:firstLine="420" w:firstLineChars="200"/>
        <w:rPr>
          <w:rFonts w:hint="eastAsia" w:ascii="宋体" w:hAnsi="宋体"/>
          <w:color w:val="auto"/>
          <w:szCs w:val="21"/>
        </w:rPr>
      </w:pPr>
      <w:r>
        <w:rPr>
          <w:rFonts w:hint="eastAsia" w:ascii="宋体" w:hAnsi="宋体"/>
          <w:color w:val="auto"/>
          <w:szCs w:val="21"/>
          <w:lang w:val="en-US" w:eastAsia="zh-CN"/>
        </w:rPr>
        <w:t>7</w:t>
      </w:r>
      <w:r>
        <w:rPr>
          <w:rFonts w:hint="eastAsia" w:ascii="宋体" w:hAnsi="宋体"/>
          <w:color w:val="auto"/>
          <w:szCs w:val="21"/>
        </w:rPr>
        <w:t>、我公司中标后按照招标人要求配置相关技术人员，并在签订合同时提供技术人员相关资格证书（如有）、</w:t>
      </w:r>
      <w:r>
        <w:rPr>
          <w:rFonts w:hint="eastAsia"/>
          <w:color w:val="auto"/>
        </w:rPr>
        <w:t>我公司或我公司委托的第三方人力外包服务公司为其缴纳的养老保险证明材料</w:t>
      </w:r>
      <w:r>
        <w:rPr>
          <w:rFonts w:hint="eastAsia" w:ascii="宋体" w:hAnsi="宋体"/>
          <w:color w:val="auto"/>
          <w:szCs w:val="21"/>
        </w:rPr>
        <w:t>。</w:t>
      </w:r>
    </w:p>
    <w:p w14:paraId="3A007BF0">
      <w:pPr>
        <w:pageBreakBefore w:val="0"/>
        <w:kinsoku/>
        <w:topLinePunct w:val="0"/>
        <w:bidi w:val="0"/>
        <w:snapToGrid w:val="0"/>
        <w:spacing w:line="360" w:lineRule="auto"/>
        <w:ind w:firstLine="420" w:firstLineChars="200"/>
        <w:rPr>
          <w:rFonts w:hint="eastAsia" w:ascii="宋体" w:hAnsi="宋体"/>
          <w:color w:val="auto"/>
          <w:szCs w:val="21"/>
        </w:rPr>
      </w:pPr>
      <w:r>
        <w:rPr>
          <w:rFonts w:hint="eastAsia" w:ascii="宋体" w:hAnsi="宋体"/>
          <w:color w:val="auto"/>
          <w:szCs w:val="21"/>
          <w:lang w:val="en-US" w:eastAsia="zh-CN"/>
        </w:rPr>
        <w:t>8、</w:t>
      </w:r>
      <w:r>
        <w:rPr>
          <w:rFonts w:hint="eastAsia" w:ascii="宋体" w:hAnsi="宋体"/>
          <w:color w:val="auto"/>
          <w:szCs w:val="21"/>
        </w:rPr>
        <w:t>我公司接受招标文件中关于“不平衡报价”的相关</w:t>
      </w:r>
      <w:r>
        <w:rPr>
          <w:rFonts w:hint="eastAsia" w:ascii="宋体" w:hAnsi="宋体"/>
          <w:color w:val="auto"/>
          <w:szCs w:val="21"/>
          <w:lang w:val="en-US" w:eastAsia="zh-CN"/>
        </w:rPr>
        <w:t>要求</w:t>
      </w:r>
      <w:r>
        <w:rPr>
          <w:rFonts w:hint="eastAsia" w:ascii="宋体" w:hAnsi="宋体"/>
          <w:color w:val="auto"/>
          <w:szCs w:val="21"/>
        </w:rPr>
        <w:t>（如有）。</w:t>
      </w:r>
    </w:p>
    <w:p w14:paraId="5DC9BBB4">
      <w:pPr>
        <w:pageBreakBefore w:val="0"/>
        <w:kinsoku/>
        <w:topLinePunct w:val="0"/>
        <w:bidi w:val="0"/>
        <w:snapToGrid w:val="0"/>
        <w:spacing w:line="360" w:lineRule="auto"/>
        <w:ind w:firstLine="420" w:firstLineChars="200"/>
        <w:rPr>
          <w:rFonts w:hint="eastAsia" w:ascii="宋体" w:hAnsi="宋体"/>
          <w:color w:val="auto"/>
          <w:szCs w:val="21"/>
        </w:rPr>
      </w:pPr>
      <w:r>
        <w:rPr>
          <w:rFonts w:hint="eastAsia" w:ascii="宋体" w:hAnsi="宋体"/>
          <w:color w:val="auto"/>
          <w:szCs w:val="21"/>
          <w:lang w:val="en-US" w:eastAsia="zh-CN"/>
        </w:rPr>
        <w:t>9</w:t>
      </w:r>
      <w:r>
        <w:rPr>
          <w:rFonts w:hint="eastAsia" w:ascii="宋体" w:hAnsi="宋体"/>
          <w:color w:val="auto"/>
          <w:szCs w:val="21"/>
        </w:rPr>
        <w:t>、我公司接受招标文件中关于“不允许负数报价”的相关要求（如有）。</w:t>
      </w:r>
    </w:p>
    <w:p w14:paraId="1329831C">
      <w:pPr>
        <w:pageBreakBefore w:val="0"/>
        <w:kinsoku/>
        <w:topLinePunct w:val="0"/>
        <w:bidi w:val="0"/>
        <w:snapToGrid w:val="0"/>
        <w:spacing w:line="360" w:lineRule="auto"/>
        <w:ind w:firstLine="420" w:firstLineChars="200"/>
        <w:rPr>
          <w:rFonts w:hint="eastAsia" w:ascii="宋体" w:hAnsi="宋体"/>
          <w:color w:val="auto"/>
          <w:szCs w:val="21"/>
        </w:rPr>
      </w:pPr>
      <w:r>
        <w:rPr>
          <w:rFonts w:hint="eastAsia" w:ascii="宋体" w:hAnsi="宋体"/>
          <w:color w:val="auto"/>
          <w:szCs w:val="21"/>
          <w:lang w:val="en-US" w:eastAsia="zh-CN"/>
        </w:rPr>
        <w:t>10</w:t>
      </w:r>
      <w:r>
        <w:rPr>
          <w:rFonts w:hint="eastAsia" w:ascii="宋体" w:hAnsi="宋体"/>
          <w:color w:val="auto"/>
          <w:szCs w:val="21"/>
        </w:rPr>
        <w:t>、我公司接受招标文件中关于“不允许</w:t>
      </w:r>
      <w:r>
        <w:rPr>
          <w:rFonts w:hint="eastAsia" w:ascii="宋体" w:hAnsi="宋体"/>
          <w:color w:val="auto"/>
          <w:szCs w:val="21"/>
          <w:lang w:val="en-US" w:eastAsia="zh-CN"/>
        </w:rPr>
        <w:t>零</w:t>
      </w:r>
      <w:r>
        <w:rPr>
          <w:rFonts w:hint="eastAsia" w:ascii="宋体" w:hAnsi="宋体"/>
          <w:color w:val="auto"/>
          <w:szCs w:val="21"/>
        </w:rPr>
        <w:t>报价”的相关要求（如有）。</w:t>
      </w:r>
    </w:p>
    <w:p w14:paraId="744552C7">
      <w:pPr>
        <w:pageBreakBefore w:val="0"/>
        <w:kinsoku/>
        <w:topLinePunct w:val="0"/>
        <w:bidi w:val="0"/>
        <w:snapToGrid w:val="0"/>
        <w:spacing w:line="360" w:lineRule="auto"/>
        <w:ind w:firstLine="420" w:firstLineChars="200"/>
      </w:pPr>
      <w:r>
        <w:rPr>
          <w:rFonts w:hint="eastAsia" w:ascii="宋体" w:hAnsi="宋体" w:cs="宋体"/>
          <w:lang w:val="en-US" w:eastAsia="zh-CN"/>
        </w:rPr>
        <w:t>11</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szCs w:val="21"/>
          <w:u w:val="single"/>
        </w:rPr>
        <w:t>我公司中标后设备及零部件的品牌严格按照投标文件中所提供的唯一品牌执行，不以各种理由提出变更品牌要求（招标人提出的变更除外）。</w:t>
      </w:r>
    </w:p>
    <w:p w14:paraId="68650102">
      <w:pPr>
        <w:pStyle w:val="2"/>
      </w:pPr>
    </w:p>
    <w:p w14:paraId="2305081D">
      <w:pPr>
        <w:tabs>
          <w:tab w:val="left" w:pos="4200"/>
          <w:tab w:val="left" w:pos="462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91661FD">
      <w:pPr>
        <w:tabs>
          <w:tab w:val="left" w:pos="630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3A72EDC1">
      <w:pPr>
        <w:snapToGrid w:val="0"/>
        <w:spacing w:line="40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369252E9">
      <w:pPr>
        <w:widowControl/>
        <w:jc w:val="left"/>
      </w:pPr>
      <w:r>
        <w:br w:type="page"/>
      </w:r>
    </w:p>
    <w:p w14:paraId="2CC420A0"/>
    <w:p w14:paraId="48D3E149">
      <w:pPr>
        <w:pStyle w:val="6"/>
        <w:spacing w:before="0" w:line="360" w:lineRule="auto"/>
        <w:jc w:val="center"/>
        <w:rPr>
          <w:rFonts w:ascii="宋体" w:hAnsi="宋体"/>
          <w:sz w:val="32"/>
          <w:szCs w:val="24"/>
        </w:rPr>
      </w:pPr>
      <w:bookmarkStart w:id="1094" w:name="_Toc17672"/>
      <w:r>
        <w:rPr>
          <w:rFonts w:hint="eastAsia" w:ascii="宋体" w:hAnsi="宋体"/>
          <w:b w:val="0"/>
          <w:sz w:val="32"/>
          <w:szCs w:val="24"/>
        </w:rPr>
        <w:t>（</w:t>
      </w:r>
      <w:r>
        <w:rPr>
          <w:rFonts w:hint="eastAsia" w:ascii="宋体" w:hAnsi="宋体"/>
          <w:b w:val="0"/>
          <w:sz w:val="32"/>
          <w:szCs w:val="24"/>
          <w:lang w:val="en-US" w:eastAsia="zh-CN"/>
        </w:rPr>
        <w:t>四</w:t>
      </w:r>
      <w:r>
        <w:rPr>
          <w:rFonts w:hint="eastAsia" w:ascii="宋体" w:hAnsi="宋体"/>
          <w:b w:val="0"/>
          <w:sz w:val="32"/>
          <w:szCs w:val="24"/>
        </w:rPr>
        <w:t>）其他资料</w:t>
      </w:r>
      <w:bookmarkEnd w:id="1094"/>
    </w:p>
    <w:bookmarkEnd w:id="612"/>
    <w:bookmarkEnd w:id="613"/>
    <w:bookmarkEnd w:id="614"/>
    <w:p w14:paraId="37A84B80">
      <w:pPr>
        <w:spacing w:line="360" w:lineRule="auto"/>
        <w:ind w:firstLine="420" w:firstLineChars="200"/>
        <w:rPr>
          <w:rFonts w:ascii="宋体" w:hAnsi="宋体"/>
          <w:szCs w:val="21"/>
        </w:rPr>
      </w:pPr>
      <w:r>
        <w:rPr>
          <w:rFonts w:hint="eastAsia" w:ascii="宋体" w:hAnsi="宋体"/>
          <w:szCs w:val="21"/>
        </w:rPr>
        <w:t>1. 投标保证金</w:t>
      </w:r>
    </w:p>
    <w:p w14:paraId="16FF4005">
      <w:pPr>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529E1E84">
      <w:pPr>
        <w:spacing w:line="360" w:lineRule="auto"/>
        <w:ind w:firstLine="420" w:firstLineChars="200"/>
        <w:rPr>
          <w:rFonts w:ascii="宋体" w:hAnsi="宋体"/>
          <w:szCs w:val="21"/>
        </w:rPr>
      </w:pPr>
      <w:r>
        <w:rPr>
          <w:rFonts w:hint="eastAsia" w:ascii="宋体" w:hAnsi="宋体"/>
          <w:szCs w:val="21"/>
        </w:rPr>
        <w:t>（1）企业基本账户开户证明文件。</w:t>
      </w:r>
    </w:p>
    <w:p w14:paraId="3871FF6C">
      <w:pPr>
        <w:rPr>
          <w:rFonts w:ascii="宋体" w:hAnsi="宋体"/>
          <w:i/>
          <w:szCs w:val="21"/>
        </w:rPr>
      </w:pPr>
      <w:r>
        <w:rPr>
          <w:rFonts w:hint="eastAsia" w:ascii="宋体" w:hAnsi="宋体"/>
          <w:i/>
          <w:szCs w:val="21"/>
        </w:rPr>
        <w:br w:type="page"/>
      </w:r>
    </w:p>
    <w:p w14:paraId="20147080">
      <w:pPr>
        <w:spacing w:line="360" w:lineRule="auto"/>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 xml:space="preserve">. </w:t>
      </w:r>
      <w:r>
        <w:rPr>
          <w:rFonts w:hint="eastAsia" w:ascii="宋体" w:hAnsi="宋体"/>
          <w:b w:val="0"/>
          <w:lang w:val="en-US" w:eastAsia="zh-CN"/>
        </w:rPr>
        <w:t>按照招标文件第二章投标人须知前附表第1.4.1项、第3.4款要求提供的资料。</w:t>
      </w:r>
    </w:p>
    <w:p w14:paraId="2EDEF994">
      <w:pPr>
        <w:spacing w:line="360" w:lineRule="auto"/>
        <w:ind w:firstLine="420" w:firstLineChars="200"/>
      </w:pPr>
      <w:r>
        <w:rPr>
          <w:rFonts w:ascii="宋体" w:hAnsi="宋体"/>
          <w:szCs w:val="21"/>
        </w:rPr>
        <w:t>……</w:t>
      </w:r>
    </w:p>
    <w:p w14:paraId="79A5D165">
      <w:pPr>
        <w:spacing w:line="360" w:lineRule="auto"/>
        <w:ind w:firstLine="0" w:firstLineChars="0"/>
      </w:pPr>
    </w:p>
    <w:sectPr>
      <w:pgSz w:w="11906" w:h="16838"/>
      <w:pgMar w:top="1304" w:right="1134" w:bottom="1304" w:left="1304" w:header="851" w:footer="992" w:gutter="0"/>
      <w:pgBorders>
        <w:top w:val="none" w:sz="0" w:space="0"/>
        <w:left w:val="none" w:sz="0" w:space="0"/>
        <w:bottom w:val="none" w:sz="0" w:space="0"/>
        <w:right w:val="none" w:sz="0" w:space="0"/>
      </w:pgBorders>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FE16675D-1960-4F4B-9F46-70AC9882CB49}"/>
  </w:font>
  <w:font w:name="黑体">
    <w:panose1 w:val="02010609060101010101"/>
    <w:charset w:val="86"/>
    <w:family w:val="auto"/>
    <w:pitch w:val="default"/>
    <w:sig w:usb0="800002BF" w:usb1="38CF7CFA" w:usb2="00000016" w:usb3="00000000" w:csb0="00040001" w:csb1="00000000"/>
    <w:embedRegular r:id="rId2" w:fontKey="{01F4DDDB-0DF2-4F11-BFE9-7EF239A75F5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AE3D51FC-C53F-4DA4-ADCA-59818575023E}"/>
  </w:font>
  <w:font w:name="方正仿宋_GB2312">
    <w:panose1 w:val="02000000000000000000"/>
    <w:charset w:val="86"/>
    <w:family w:val="auto"/>
    <w:pitch w:val="default"/>
    <w:sig w:usb0="A00002BF" w:usb1="184F6CFA" w:usb2="00000012" w:usb3="00000000" w:csb0="00040001" w:csb1="00000000"/>
    <w:embedRegular r:id="rId4" w:fontKey="{2A201526-122A-474D-8B58-963402266865}"/>
  </w:font>
  <w:font w:name="Cambria">
    <w:panose1 w:val="02040503050406030204"/>
    <w:charset w:val="00"/>
    <w:family w:val="roman"/>
    <w:pitch w:val="default"/>
    <w:sig w:usb0="E00006FF" w:usb1="420024FF" w:usb2="02000000" w:usb3="00000000" w:csb0="2000019F"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embedRegular r:id="rId5" w:fontKey="{42B0491E-81DC-47D7-8EC1-C0EE5DBA479F}"/>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10609000101010101"/>
    <w:charset w:val="88"/>
    <w:family w:val="modern"/>
    <w:pitch w:val="default"/>
    <w:sig w:usb0="00000000" w:usb1="00000000" w:usb2="00000016" w:usb3="00000000" w:csb0="00100001" w:csb1="00000000"/>
    <w:embedRegular r:id="rId6" w:fontKey="{4CD34719-5459-44F2-A794-4245BE14CF3E}"/>
  </w:font>
  <w:font w:name="PMingLiU-ExtB">
    <w:panose1 w:val="02020500000000000000"/>
    <w:charset w:val="88"/>
    <w:family w:val="auto"/>
    <w:pitch w:val="default"/>
    <w:sig w:usb0="8000002F" w:usb1="02000008" w:usb2="00000000" w:usb3="00000000" w:csb0="00100001" w:csb1="00000000"/>
  </w:font>
  <w:font w:name="Segoe UI">
    <w:panose1 w:val="020B0502040204020203"/>
    <w:charset w:val="00"/>
    <w:family w:val="auto"/>
    <w:pitch w:val="default"/>
    <w:sig w:usb0="E4002EFF" w:usb1="C000E47F" w:usb2="00000009" w:usb3="00000000" w:csb0="200001FF" w:csb1="00000000"/>
    <w:embedRegular r:id="rId7" w:fontKey="{1D6B0373-7BEC-4FFA-A832-CFD8563FD56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B22809">
    <w:pPr>
      <w:pStyle w:val="3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721F73">
    <w:pPr>
      <w:pStyle w:val="30"/>
      <w:framePr w:wrap="around" w:vAnchor="text" w:hAnchor="margin" w:xAlign="center" w:y="1"/>
      <w:rPr>
        <w:rStyle w:val="51"/>
      </w:rPr>
    </w:pPr>
    <w:r>
      <w:fldChar w:fldCharType="begin"/>
    </w:r>
    <w:r>
      <w:rPr>
        <w:rStyle w:val="51"/>
      </w:rPr>
      <w:instrText xml:space="preserve">PAGE  </w:instrText>
    </w:r>
    <w:r>
      <w:fldChar w:fldCharType="separate"/>
    </w:r>
    <w:r>
      <w:rPr>
        <w:rStyle w:val="51"/>
      </w:rPr>
      <w:t>- 4 -</w:t>
    </w:r>
    <w:r>
      <w:fldChar w:fldCharType="end"/>
    </w:r>
  </w:p>
  <w:p w14:paraId="73FD848F">
    <w:pPr>
      <w:pStyle w:val="3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A59C4">
    <w:pPr>
      <w:pStyle w:val="30"/>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D0FE2D">
    <w:pPr>
      <w:pStyle w:val="30"/>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30CE2A9A">
    <w:pPr>
      <w:pStyle w:val="3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198EA5">
    <w:pPr>
      <w:pStyle w:val="30"/>
      <w:jc w:val="both"/>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D2A16F">
                          <w:pPr>
                            <w:pStyle w:val="30"/>
                          </w:pPr>
                          <w:r>
                            <w:fldChar w:fldCharType="begin"/>
                          </w:r>
                          <w:r>
                            <w:instrText xml:space="preserve"> PAGE  \* MERGEFORMAT </w:instrText>
                          </w:r>
                          <w:r>
                            <w:fldChar w:fldCharType="separate"/>
                          </w:r>
                          <w:r>
                            <w:t>- 36 -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14:paraId="0ED2A16F">
                    <w:pPr>
                      <w:pStyle w:val="30"/>
                    </w:pPr>
                    <w:r>
                      <w:fldChar w:fldCharType="begin"/>
                    </w:r>
                    <w:r>
                      <w:instrText xml:space="preserve"> PAGE  \* MERGEFORMAT </w:instrText>
                    </w:r>
                    <w:r>
                      <w:fldChar w:fldCharType="separate"/>
                    </w:r>
                    <w:r>
                      <w:t>- 36 -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8F8B1">
    <w:pPr>
      <w:pStyle w:val="31"/>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688D62">
    <w:pPr>
      <w:pStyle w:val="31"/>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7BAB8">
    <w:pPr>
      <w:rPr>
        <w:rFonts w:hint="eastAsia" w:ascii="方正仿宋_GB2312" w:eastAsia="方正仿宋_GB2312"/>
        <w:b/>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CDAC92"/>
    <w:multiLevelType w:val="singleLevel"/>
    <w:tmpl w:val="80CDAC92"/>
    <w:lvl w:ilvl="0" w:tentative="0">
      <w:start w:val="2"/>
      <w:numFmt w:val="decimal"/>
      <w:suff w:val="space"/>
      <w:lvlText w:val="%1."/>
      <w:lvlJc w:val="left"/>
    </w:lvl>
  </w:abstractNum>
  <w:abstractNum w:abstractNumId="1">
    <w:nsid w:val="831EB3F5"/>
    <w:multiLevelType w:val="singleLevel"/>
    <w:tmpl w:val="831EB3F5"/>
    <w:lvl w:ilvl="0" w:tentative="0">
      <w:start w:val="2"/>
      <w:numFmt w:val="decimal"/>
      <w:suff w:val="space"/>
      <w:lvlText w:val="%1."/>
      <w:lvlJc w:val="left"/>
    </w:lvl>
  </w:abstractNum>
  <w:abstractNum w:abstractNumId="2">
    <w:nsid w:val="B1836AA4"/>
    <w:multiLevelType w:val="singleLevel"/>
    <w:tmpl w:val="B1836AA4"/>
    <w:lvl w:ilvl="0" w:tentative="0">
      <w:start w:val="1"/>
      <w:numFmt w:val="decimal"/>
      <w:suff w:val="nothing"/>
      <w:lvlText w:val="（%1）"/>
      <w:lvlJc w:val="left"/>
    </w:lvl>
  </w:abstractNum>
  <w:abstractNum w:abstractNumId="3">
    <w:nsid w:val="C9ABC02D"/>
    <w:multiLevelType w:val="singleLevel"/>
    <w:tmpl w:val="C9ABC02D"/>
    <w:lvl w:ilvl="0" w:tentative="0">
      <w:start w:val="1"/>
      <w:numFmt w:val="bullet"/>
      <w:lvlText w:val=""/>
      <w:lvlJc w:val="left"/>
      <w:pPr>
        <w:ind w:left="720" w:hanging="360"/>
      </w:pPr>
      <w:rPr>
        <w:rFonts w:hint="default" w:ascii="Symbol" w:hAnsi="Symbol" w:cs="Symbol"/>
        <w:sz w:val="20"/>
      </w:rPr>
    </w:lvl>
  </w:abstractNum>
  <w:abstractNum w:abstractNumId="4">
    <w:nsid w:val="E64C8D2D"/>
    <w:multiLevelType w:val="singleLevel"/>
    <w:tmpl w:val="E64C8D2D"/>
    <w:lvl w:ilvl="0" w:tentative="0">
      <w:start w:val="1"/>
      <w:numFmt w:val="bullet"/>
      <w:lvlText w:val=""/>
      <w:lvlJc w:val="left"/>
      <w:pPr>
        <w:ind w:left="720" w:hanging="360"/>
      </w:pPr>
      <w:rPr>
        <w:rFonts w:hint="default" w:ascii="Symbol" w:hAnsi="Symbol" w:cs="Symbol"/>
        <w:sz w:val="20"/>
      </w:rPr>
    </w:lvl>
  </w:abstractNum>
  <w:abstractNum w:abstractNumId="5">
    <w:nsid w:val="29160752"/>
    <w:multiLevelType w:val="singleLevel"/>
    <w:tmpl w:val="29160752"/>
    <w:lvl w:ilvl="0" w:tentative="0">
      <w:start w:val="1"/>
      <w:numFmt w:val="bullet"/>
      <w:lvlText w:val=""/>
      <w:lvlJc w:val="left"/>
      <w:pPr>
        <w:ind w:left="720" w:hanging="360"/>
      </w:pPr>
      <w:rPr>
        <w:rFonts w:hint="default" w:ascii="Symbol" w:hAnsi="Symbol" w:cs="Symbol"/>
        <w:sz w:val="20"/>
      </w:rPr>
    </w:lvl>
  </w:abstractNum>
  <w:abstractNum w:abstractNumId="6">
    <w:nsid w:val="4574C362"/>
    <w:multiLevelType w:val="singleLevel"/>
    <w:tmpl w:val="4574C362"/>
    <w:lvl w:ilvl="0" w:tentative="0">
      <w:start w:val="2"/>
      <w:numFmt w:val="decimal"/>
      <w:suff w:val="space"/>
      <w:lvlText w:val="%1."/>
      <w:lvlJc w:val="left"/>
    </w:lvl>
  </w:abstractNum>
  <w:abstractNum w:abstractNumId="7">
    <w:nsid w:val="56A9ABD3"/>
    <w:multiLevelType w:val="singleLevel"/>
    <w:tmpl w:val="56A9ABD3"/>
    <w:lvl w:ilvl="0" w:tentative="0">
      <w:start w:val="1"/>
      <w:numFmt w:val="chineseCounting"/>
      <w:suff w:val="nothing"/>
      <w:lvlText w:val="（%1）"/>
      <w:lvlJc w:val="left"/>
      <w:rPr>
        <w:rFonts w:hint="eastAsia"/>
      </w:rPr>
    </w:lvl>
  </w:abstractNum>
  <w:num w:numId="1">
    <w:abstractNumId w:val="1"/>
  </w:num>
  <w:num w:numId="2">
    <w:abstractNumId w:val="2"/>
  </w:num>
  <w:num w:numId="3">
    <w:abstractNumId w:val="6"/>
  </w:num>
  <w:num w:numId="4">
    <w:abstractNumId w:val="3"/>
  </w:num>
  <w:num w:numId="5">
    <w:abstractNumId w:val="5"/>
  </w:num>
  <w:num w:numId="6">
    <w:abstractNumId w:val="4"/>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0C65A2"/>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6685C"/>
    <w:rsid w:val="00276A4F"/>
    <w:rsid w:val="0027778B"/>
    <w:rsid w:val="002C4449"/>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746B1"/>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138C"/>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16BE5"/>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5799B"/>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01019"/>
    <w:rsid w:val="00C2648E"/>
    <w:rsid w:val="00C30AAA"/>
    <w:rsid w:val="00C40503"/>
    <w:rsid w:val="00C62291"/>
    <w:rsid w:val="00C63CD2"/>
    <w:rsid w:val="00C64760"/>
    <w:rsid w:val="00C65B74"/>
    <w:rsid w:val="00C77930"/>
    <w:rsid w:val="00C81479"/>
    <w:rsid w:val="00C8393F"/>
    <w:rsid w:val="00C90517"/>
    <w:rsid w:val="00C93492"/>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431B9"/>
    <w:rsid w:val="00F55A69"/>
    <w:rsid w:val="00F676F0"/>
    <w:rsid w:val="00F753F0"/>
    <w:rsid w:val="00F9257E"/>
    <w:rsid w:val="00FA261D"/>
    <w:rsid w:val="00FB621B"/>
    <w:rsid w:val="00FC0F13"/>
    <w:rsid w:val="00FF4D4B"/>
    <w:rsid w:val="01193612"/>
    <w:rsid w:val="012F2443"/>
    <w:rsid w:val="01322DC6"/>
    <w:rsid w:val="015A3691"/>
    <w:rsid w:val="01635C49"/>
    <w:rsid w:val="016F5A53"/>
    <w:rsid w:val="01A77992"/>
    <w:rsid w:val="01B110AA"/>
    <w:rsid w:val="01C81635"/>
    <w:rsid w:val="01C95207"/>
    <w:rsid w:val="01E13429"/>
    <w:rsid w:val="01F217B3"/>
    <w:rsid w:val="020110AA"/>
    <w:rsid w:val="022C260F"/>
    <w:rsid w:val="022E08A9"/>
    <w:rsid w:val="023113AD"/>
    <w:rsid w:val="02456512"/>
    <w:rsid w:val="027B37D5"/>
    <w:rsid w:val="028103EF"/>
    <w:rsid w:val="02883974"/>
    <w:rsid w:val="028B7029"/>
    <w:rsid w:val="028D5673"/>
    <w:rsid w:val="02990DDB"/>
    <w:rsid w:val="02A05901"/>
    <w:rsid w:val="02A708AB"/>
    <w:rsid w:val="02C73591"/>
    <w:rsid w:val="02DE2995"/>
    <w:rsid w:val="02EC21A0"/>
    <w:rsid w:val="03035A75"/>
    <w:rsid w:val="031511C4"/>
    <w:rsid w:val="031F3187"/>
    <w:rsid w:val="03345AEF"/>
    <w:rsid w:val="03570B9C"/>
    <w:rsid w:val="035717DD"/>
    <w:rsid w:val="03E5141C"/>
    <w:rsid w:val="03E70DB3"/>
    <w:rsid w:val="03E84C6D"/>
    <w:rsid w:val="03F3436D"/>
    <w:rsid w:val="03F94E0A"/>
    <w:rsid w:val="04272627"/>
    <w:rsid w:val="045B70AB"/>
    <w:rsid w:val="04912ACD"/>
    <w:rsid w:val="04966335"/>
    <w:rsid w:val="0497589E"/>
    <w:rsid w:val="04A22F2C"/>
    <w:rsid w:val="04BB3A14"/>
    <w:rsid w:val="04DE3380"/>
    <w:rsid w:val="051B58A3"/>
    <w:rsid w:val="052971A9"/>
    <w:rsid w:val="05594E63"/>
    <w:rsid w:val="057228FE"/>
    <w:rsid w:val="05CA642C"/>
    <w:rsid w:val="05D47FCA"/>
    <w:rsid w:val="05E57574"/>
    <w:rsid w:val="05E75EEA"/>
    <w:rsid w:val="05F6352F"/>
    <w:rsid w:val="060F6AC5"/>
    <w:rsid w:val="061E65E2"/>
    <w:rsid w:val="06205B52"/>
    <w:rsid w:val="0627193B"/>
    <w:rsid w:val="062F07EF"/>
    <w:rsid w:val="06345E06"/>
    <w:rsid w:val="06350682"/>
    <w:rsid w:val="065110EC"/>
    <w:rsid w:val="065A0C2F"/>
    <w:rsid w:val="069F7723"/>
    <w:rsid w:val="06A72AC5"/>
    <w:rsid w:val="06AD5BE2"/>
    <w:rsid w:val="06BD087A"/>
    <w:rsid w:val="06D04E5F"/>
    <w:rsid w:val="06E94E42"/>
    <w:rsid w:val="07484B91"/>
    <w:rsid w:val="076D1CAF"/>
    <w:rsid w:val="077F78EC"/>
    <w:rsid w:val="082062BB"/>
    <w:rsid w:val="08385335"/>
    <w:rsid w:val="088B2566"/>
    <w:rsid w:val="08B34944"/>
    <w:rsid w:val="090C33A6"/>
    <w:rsid w:val="09376339"/>
    <w:rsid w:val="09514FE3"/>
    <w:rsid w:val="09B27B50"/>
    <w:rsid w:val="09D848E1"/>
    <w:rsid w:val="09F40CC1"/>
    <w:rsid w:val="09FF1FA9"/>
    <w:rsid w:val="0A157CFC"/>
    <w:rsid w:val="0A4E2240"/>
    <w:rsid w:val="0A5B7E05"/>
    <w:rsid w:val="0A7B04A7"/>
    <w:rsid w:val="0AF1029B"/>
    <w:rsid w:val="0AF85654"/>
    <w:rsid w:val="0B491894"/>
    <w:rsid w:val="0B555A50"/>
    <w:rsid w:val="0B5C2086"/>
    <w:rsid w:val="0B7E4269"/>
    <w:rsid w:val="0B815649"/>
    <w:rsid w:val="0B837613"/>
    <w:rsid w:val="0BA64D82"/>
    <w:rsid w:val="0BC856E1"/>
    <w:rsid w:val="0BC86AE6"/>
    <w:rsid w:val="0C004A91"/>
    <w:rsid w:val="0C4F281C"/>
    <w:rsid w:val="0C7B653C"/>
    <w:rsid w:val="0C83617B"/>
    <w:rsid w:val="0C847092"/>
    <w:rsid w:val="0C8F3D96"/>
    <w:rsid w:val="0C9D2956"/>
    <w:rsid w:val="0CAC4948"/>
    <w:rsid w:val="0CB35CD6"/>
    <w:rsid w:val="0CD143AE"/>
    <w:rsid w:val="0CEA7655"/>
    <w:rsid w:val="0CF87B8D"/>
    <w:rsid w:val="0D1939F5"/>
    <w:rsid w:val="0D921FDA"/>
    <w:rsid w:val="0DA171B2"/>
    <w:rsid w:val="0DA93533"/>
    <w:rsid w:val="0DC02887"/>
    <w:rsid w:val="0DC43F13"/>
    <w:rsid w:val="0DD94183"/>
    <w:rsid w:val="0DDF48EE"/>
    <w:rsid w:val="0DE1695E"/>
    <w:rsid w:val="0DEF54F6"/>
    <w:rsid w:val="0DFE262D"/>
    <w:rsid w:val="0E303356"/>
    <w:rsid w:val="0E7E7E86"/>
    <w:rsid w:val="0E8649CF"/>
    <w:rsid w:val="0E924011"/>
    <w:rsid w:val="0E925DBF"/>
    <w:rsid w:val="0E942CAA"/>
    <w:rsid w:val="0EB577E3"/>
    <w:rsid w:val="0EB72359"/>
    <w:rsid w:val="0EC51CF1"/>
    <w:rsid w:val="0ECA7307"/>
    <w:rsid w:val="0EE049EE"/>
    <w:rsid w:val="0F2E01F5"/>
    <w:rsid w:val="0F414AFC"/>
    <w:rsid w:val="0F580DB7"/>
    <w:rsid w:val="0F6F2DD9"/>
    <w:rsid w:val="0F704352"/>
    <w:rsid w:val="0F773AEC"/>
    <w:rsid w:val="0F9C5147"/>
    <w:rsid w:val="0FC03B56"/>
    <w:rsid w:val="0FF25A15"/>
    <w:rsid w:val="10156CA8"/>
    <w:rsid w:val="10221450"/>
    <w:rsid w:val="10341C70"/>
    <w:rsid w:val="10687C1A"/>
    <w:rsid w:val="10CA5CE4"/>
    <w:rsid w:val="10CC380A"/>
    <w:rsid w:val="10D12BCF"/>
    <w:rsid w:val="110B2037"/>
    <w:rsid w:val="111E449D"/>
    <w:rsid w:val="112E0988"/>
    <w:rsid w:val="114C5119"/>
    <w:rsid w:val="11580041"/>
    <w:rsid w:val="11DA57CC"/>
    <w:rsid w:val="12056664"/>
    <w:rsid w:val="120A013B"/>
    <w:rsid w:val="122D652B"/>
    <w:rsid w:val="12380A2C"/>
    <w:rsid w:val="125C296C"/>
    <w:rsid w:val="127A7296"/>
    <w:rsid w:val="12A44467"/>
    <w:rsid w:val="12B44D3C"/>
    <w:rsid w:val="12C56763"/>
    <w:rsid w:val="12DA3FF8"/>
    <w:rsid w:val="130F2D87"/>
    <w:rsid w:val="131D659F"/>
    <w:rsid w:val="132F28D0"/>
    <w:rsid w:val="135B2C24"/>
    <w:rsid w:val="13685340"/>
    <w:rsid w:val="13A50E77"/>
    <w:rsid w:val="13B80D85"/>
    <w:rsid w:val="13D36C5E"/>
    <w:rsid w:val="143A4F2F"/>
    <w:rsid w:val="145A737F"/>
    <w:rsid w:val="14DB07DA"/>
    <w:rsid w:val="14E74E71"/>
    <w:rsid w:val="155A4791"/>
    <w:rsid w:val="15804642"/>
    <w:rsid w:val="158741A4"/>
    <w:rsid w:val="159B7958"/>
    <w:rsid w:val="15AF556A"/>
    <w:rsid w:val="15CC6AEE"/>
    <w:rsid w:val="15E97757"/>
    <w:rsid w:val="162163A6"/>
    <w:rsid w:val="16313B46"/>
    <w:rsid w:val="16824B5F"/>
    <w:rsid w:val="169C4016"/>
    <w:rsid w:val="16A82D9A"/>
    <w:rsid w:val="16D83A00"/>
    <w:rsid w:val="16F97947"/>
    <w:rsid w:val="17215F32"/>
    <w:rsid w:val="17540E83"/>
    <w:rsid w:val="17795D6E"/>
    <w:rsid w:val="17A60298"/>
    <w:rsid w:val="17D244D2"/>
    <w:rsid w:val="181847BE"/>
    <w:rsid w:val="18257CB9"/>
    <w:rsid w:val="185D4193"/>
    <w:rsid w:val="1878399C"/>
    <w:rsid w:val="18911017"/>
    <w:rsid w:val="189B5F55"/>
    <w:rsid w:val="18C80D5B"/>
    <w:rsid w:val="18CB25F9"/>
    <w:rsid w:val="18D36912"/>
    <w:rsid w:val="18D851B5"/>
    <w:rsid w:val="18FE477D"/>
    <w:rsid w:val="19165CA2"/>
    <w:rsid w:val="19194749"/>
    <w:rsid w:val="1921046B"/>
    <w:rsid w:val="19217B6C"/>
    <w:rsid w:val="19382CF5"/>
    <w:rsid w:val="195645B9"/>
    <w:rsid w:val="19660093"/>
    <w:rsid w:val="196B73B1"/>
    <w:rsid w:val="1975219A"/>
    <w:rsid w:val="198F308C"/>
    <w:rsid w:val="19B233B5"/>
    <w:rsid w:val="19C86B39"/>
    <w:rsid w:val="19F24ED7"/>
    <w:rsid w:val="1A027EB1"/>
    <w:rsid w:val="1A590CEE"/>
    <w:rsid w:val="1A617197"/>
    <w:rsid w:val="1A6E76E0"/>
    <w:rsid w:val="1A735D7E"/>
    <w:rsid w:val="1A7D44BD"/>
    <w:rsid w:val="1ACC4407"/>
    <w:rsid w:val="1B4B3F1D"/>
    <w:rsid w:val="1BD21EF1"/>
    <w:rsid w:val="1BD96DDB"/>
    <w:rsid w:val="1BDF604F"/>
    <w:rsid w:val="1BEE3BE6"/>
    <w:rsid w:val="1BF363BA"/>
    <w:rsid w:val="1C312A6E"/>
    <w:rsid w:val="1C497438"/>
    <w:rsid w:val="1C70222D"/>
    <w:rsid w:val="1C782A98"/>
    <w:rsid w:val="1CC161ED"/>
    <w:rsid w:val="1CFC7225"/>
    <w:rsid w:val="1D0B3546"/>
    <w:rsid w:val="1D191439"/>
    <w:rsid w:val="1D306ECF"/>
    <w:rsid w:val="1D61177E"/>
    <w:rsid w:val="1D774288"/>
    <w:rsid w:val="1D8B23C9"/>
    <w:rsid w:val="1D984A56"/>
    <w:rsid w:val="1DAF6046"/>
    <w:rsid w:val="1DC83B88"/>
    <w:rsid w:val="1DCA10D2"/>
    <w:rsid w:val="1DE2466D"/>
    <w:rsid w:val="1DE877AA"/>
    <w:rsid w:val="1DF450EB"/>
    <w:rsid w:val="1E16738A"/>
    <w:rsid w:val="1E6A3D0A"/>
    <w:rsid w:val="1E6F03CE"/>
    <w:rsid w:val="1E7B061E"/>
    <w:rsid w:val="1E8A0861"/>
    <w:rsid w:val="1E990AA4"/>
    <w:rsid w:val="1E9F255E"/>
    <w:rsid w:val="1EA26D96"/>
    <w:rsid w:val="1EC02718"/>
    <w:rsid w:val="1F2E2E47"/>
    <w:rsid w:val="1F502EE4"/>
    <w:rsid w:val="1F5F78B2"/>
    <w:rsid w:val="1F664E2A"/>
    <w:rsid w:val="1F8B4890"/>
    <w:rsid w:val="1F8C12C5"/>
    <w:rsid w:val="1FB913FE"/>
    <w:rsid w:val="1FCC18A8"/>
    <w:rsid w:val="1FFC578E"/>
    <w:rsid w:val="20106CB2"/>
    <w:rsid w:val="20322F5E"/>
    <w:rsid w:val="20346CD6"/>
    <w:rsid w:val="204260C0"/>
    <w:rsid w:val="204A7F1B"/>
    <w:rsid w:val="206F5F60"/>
    <w:rsid w:val="208F121F"/>
    <w:rsid w:val="20905657"/>
    <w:rsid w:val="20A200E4"/>
    <w:rsid w:val="20CA3197"/>
    <w:rsid w:val="20DC0855"/>
    <w:rsid w:val="20EF2BFD"/>
    <w:rsid w:val="212154AC"/>
    <w:rsid w:val="212C42E3"/>
    <w:rsid w:val="212E7357"/>
    <w:rsid w:val="2131158A"/>
    <w:rsid w:val="213671B0"/>
    <w:rsid w:val="21B23644"/>
    <w:rsid w:val="21B238E2"/>
    <w:rsid w:val="21D325D9"/>
    <w:rsid w:val="21DA1AFF"/>
    <w:rsid w:val="21EA0DD6"/>
    <w:rsid w:val="21F91F85"/>
    <w:rsid w:val="21FD729B"/>
    <w:rsid w:val="21FE57EE"/>
    <w:rsid w:val="22123047"/>
    <w:rsid w:val="22160D89"/>
    <w:rsid w:val="222334A6"/>
    <w:rsid w:val="22514A82"/>
    <w:rsid w:val="22525D60"/>
    <w:rsid w:val="22596CA7"/>
    <w:rsid w:val="2298179E"/>
    <w:rsid w:val="22A04AF7"/>
    <w:rsid w:val="22F22A1F"/>
    <w:rsid w:val="2333183B"/>
    <w:rsid w:val="235F406A"/>
    <w:rsid w:val="23692D78"/>
    <w:rsid w:val="23750201"/>
    <w:rsid w:val="238D5065"/>
    <w:rsid w:val="239536C7"/>
    <w:rsid w:val="23A67EEB"/>
    <w:rsid w:val="24127D33"/>
    <w:rsid w:val="241412AC"/>
    <w:rsid w:val="242A28CA"/>
    <w:rsid w:val="24763D61"/>
    <w:rsid w:val="24C56E87"/>
    <w:rsid w:val="24DB2419"/>
    <w:rsid w:val="24FC4195"/>
    <w:rsid w:val="25A034AF"/>
    <w:rsid w:val="25ED1E01"/>
    <w:rsid w:val="2614570C"/>
    <w:rsid w:val="26154EB4"/>
    <w:rsid w:val="26155D5F"/>
    <w:rsid w:val="262F1AF6"/>
    <w:rsid w:val="26315D03"/>
    <w:rsid w:val="267C48AD"/>
    <w:rsid w:val="26DF48A5"/>
    <w:rsid w:val="26E74AA2"/>
    <w:rsid w:val="26F96584"/>
    <w:rsid w:val="273677D8"/>
    <w:rsid w:val="27440052"/>
    <w:rsid w:val="27573779"/>
    <w:rsid w:val="27914D3A"/>
    <w:rsid w:val="27BC4918"/>
    <w:rsid w:val="27E44650"/>
    <w:rsid w:val="27EF1067"/>
    <w:rsid w:val="27FD20A3"/>
    <w:rsid w:val="28620AEE"/>
    <w:rsid w:val="29086F52"/>
    <w:rsid w:val="290F02E0"/>
    <w:rsid w:val="292A5EE5"/>
    <w:rsid w:val="292D69B8"/>
    <w:rsid w:val="29630A8C"/>
    <w:rsid w:val="298151C5"/>
    <w:rsid w:val="299038ED"/>
    <w:rsid w:val="29AA0E8A"/>
    <w:rsid w:val="29B42C36"/>
    <w:rsid w:val="29EB3ABC"/>
    <w:rsid w:val="29EF3C6E"/>
    <w:rsid w:val="29F63D05"/>
    <w:rsid w:val="29F97C59"/>
    <w:rsid w:val="2A187669"/>
    <w:rsid w:val="2A1F3D52"/>
    <w:rsid w:val="2A347881"/>
    <w:rsid w:val="2A8B5325"/>
    <w:rsid w:val="2A967A76"/>
    <w:rsid w:val="2A9E122B"/>
    <w:rsid w:val="2AA131BA"/>
    <w:rsid w:val="2AAC3B3E"/>
    <w:rsid w:val="2AB721F8"/>
    <w:rsid w:val="2AC944BF"/>
    <w:rsid w:val="2AD87602"/>
    <w:rsid w:val="2AEC50EA"/>
    <w:rsid w:val="2B1306F4"/>
    <w:rsid w:val="2B28694F"/>
    <w:rsid w:val="2B2A01B3"/>
    <w:rsid w:val="2B2C517A"/>
    <w:rsid w:val="2B2F6A18"/>
    <w:rsid w:val="2B742122"/>
    <w:rsid w:val="2B8A6344"/>
    <w:rsid w:val="2B92624A"/>
    <w:rsid w:val="2C550700"/>
    <w:rsid w:val="2C8F634D"/>
    <w:rsid w:val="2CC75C84"/>
    <w:rsid w:val="2CDC7D66"/>
    <w:rsid w:val="2CDE275D"/>
    <w:rsid w:val="2CFC24CD"/>
    <w:rsid w:val="2D076515"/>
    <w:rsid w:val="2D123224"/>
    <w:rsid w:val="2D1D0424"/>
    <w:rsid w:val="2D546C0A"/>
    <w:rsid w:val="2D5503F3"/>
    <w:rsid w:val="2D557841"/>
    <w:rsid w:val="2D5C5ABE"/>
    <w:rsid w:val="2D6329A9"/>
    <w:rsid w:val="2D7C6340"/>
    <w:rsid w:val="2D914CD1"/>
    <w:rsid w:val="2D92328E"/>
    <w:rsid w:val="2DDE5EB6"/>
    <w:rsid w:val="2E5A3DAC"/>
    <w:rsid w:val="2E5C4BB2"/>
    <w:rsid w:val="2E61338C"/>
    <w:rsid w:val="2E690493"/>
    <w:rsid w:val="2EEF7D78"/>
    <w:rsid w:val="2EF1598B"/>
    <w:rsid w:val="2F195A15"/>
    <w:rsid w:val="2F917CA1"/>
    <w:rsid w:val="2FA84FEB"/>
    <w:rsid w:val="2FD45DE0"/>
    <w:rsid w:val="2FEA3EE3"/>
    <w:rsid w:val="2FEA40E9"/>
    <w:rsid w:val="30063D65"/>
    <w:rsid w:val="30310B95"/>
    <w:rsid w:val="30316D8E"/>
    <w:rsid w:val="30442F65"/>
    <w:rsid w:val="304A60A2"/>
    <w:rsid w:val="30662A7F"/>
    <w:rsid w:val="306B6744"/>
    <w:rsid w:val="3079709D"/>
    <w:rsid w:val="30CB71E3"/>
    <w:rsid w:val="30E107B8"/>
    <w:rsid w:val="30E65F3A"/>
    <w:rsid w:val="30EB4792"/>
    <w:rsid w:val="30EF0D5E"/>
    <w:rsid w:val="30FF126C"/>
    <w:rsid w:val="3106646D"/>
    <w:rsid w:val="312C77BF"/>
    <w:rsid w:val="313B7382"/>
    <w:rsid w:val="31532D34"/>
    <w:rsid w:val="319B6BB5"/>
    <w:rsid w:val="31B123A3"/>
    <w:rsid w:val="31E760F3"/>
    <w:rsid w:val="32116E77"/>
    <w:rsid w:val="32121986"/>
    <w:rsid w:val="32350BEC"/>
    <w:rsid w:val="323D5EBE"/>
    <w:rsid w:val="324E3C27"/>
    <w:rsid w:val="325D20BC"/>
    <w:rsid w:val="3281744D"/>
    <w:rsid w:val="329830F5"/>
    <w:rsid w:val="329E6B50"/>
    <w:rsid w:val="32B43E83"/>
    <w:rsid w:val="32C0283D"/>
    <w:rsid w:val="331210F9"/>
    <w:rsid w:val="3344327C"/>
    <w:rsid w:val="3344432F"/>
    <w:rsid w:val="335F1782"/>
    <w:rsid w:val="336631F3"/>
    <w:rsid w:val="33745910"/>
    <w:rsid w:val="33922B54"/>
    <w:rsid w:val="33A124A6"/>
    <w:rsid w:val="340F73E6"/>
    <w:rsid w:val="344F3C87"/>
    <w:rsid w:val="34667C71"/>
    <w:rsid w:val="34704B27"/>
    <w:rsid w:val="348C3F96"/>
    <w:rsid w:val="34B00BC9"/>
    <w:rsid w:val="34B21B2F"/>
    <w:rsid w:val="35082F60"/>
    <w:rsid w:val="353E2187"/>
    <w:rsid w:val="3550415A"/>
    <w:rsid w:val="356924AC"/>
    <w:rsid w:val="35705772"/>
    <w:rsid w:val="35906305"/>
    <w:rsid w:val="35AF19C0"/>
    <w:rsid w:val="35E33F92"/>
    <w:rsid w:val="35FF74E1"/>
    <w:rsid w:val="360A3F1B"/>
    <w:rsid w:val="3619454C"/>
    <w:rsid w:val="36223EF0"/>
    <w:rsid w:val="36541A5A"/>
    <w:rsid w:val="368816E9"/>
    <w:rsid w:val="368D7B3B"/>
    <w:rsid w:val="369D33CF"/>
    <w:rsid w:val="36C06910"/>
    <w:rsid w:val="36CC2296"/>
    <w:rsid w:val="36D16BD5"/>
    <w:rsid w:val="36F76061"/>
    <w:rsid w:val="373B6744"/>
    <w:rsid w:val="37906A23"/>
    <w:rsid w:val="379C49A8"/>
    <w:rsid w:val="37C71731"/>
    <w:rsid w:val="37EA0581"/>
    <w:rsid w:val="37FA03AE"/>
    <w:rsid w:val="380B6117"/>
    <w:rsid w:val="380C5DDE"/>
    <w:rsid w:val="384350CA"/>
    <w:rsid w:val="38481119"/>
    <w:rsid w:val="385D19D4"/>
    <w:rsid w:val="387243E8"/>
    <w:rsid w:val="388E6F15"/>
    <w:rsid w:val="38A76B41"/>
    <w:rsid w:val="38C11124"/>
    <w:rsid w:val="38EA6292"/>
    <w:rsid w:val="38EC7CF6"/>
    <w:rsid w:val="38FE4B69"/>
    <w:rsid w:val="39867229"/>
    <w:rsid w:val="398750C3"/>
    <w:rsid w:val="39986EE6"/>
    <w:rsid w:val="39AB195F"/>
    <w:rsid w:val="39B06F76"/>
    <w:rsid w:val="39D72453"/>
    <w:rsid w:val="3A39340F"/>
    <w:rsid w:val="3A891563"/>
    <w:rsid w:val="3A891C5C"/>
    <w:rsid w:val="3AA12D62"/>
    <w:rsid w:val="3AAD24E0"/>
    <w:rsid w:val="3AB42A96"/>
    <w:rsid w:val="3ABD5DEE"/>
    <w:rsid w:val="3AE64F19"/>
    <w:rsid w:val="3AEC01CF"/>
    <w:rsid w:val="3AF24E44"/>
    <w:rsid w:val="3B143421"/>
    <w:rsid w:val="3B1A20AF"/>
    <w:rsid w:val="3B3D72F6"/>
    <w:rsid w:val="3B575151"/>
    <w:rsid w:val="3B693CB7"/>
    <w:rsid w:val="3B6E20F8"/>
    <w:rsid w:val="3B800348"/>
    <w:rsid w:val="3BDD601C"/>
    <w:rsid w:val="3BE47317"/>
    <w:rsid w:val="3C027E20"/>
    <w:rsid w:val="3C335C3C"/>
    <w:rsid w:val="3C4E2D2D"/>
    <w:rsid w:val="3C5D6240"/>
    <w:rsid w:val="3C642299"/>
    <w:rsid w:val="3C6436E5"/>
    <w:rsid w:val="3C650EB6"/>
    <w:rsid w:val="3C7362BC"/>
    <w:rsid w:val="3C7F4BBF"/>
    <w:rsid w:val="3C88242C"/>
    <w:rsid w:val="3C8C0310"/>
    <w:rsid w:val="3CE77152"/>
    <w:rsid w:val="3D023F8C"/>
    <w:rsid w:val="3D070FA9"/>
    <w:rsid w:val="3D1362F8"/>
    <w:rsid w:val="3D235CB1"/>
    <w:rsid w:val="3D6D517E"/>
    <w:rsid w:val="3D7C49F9"/>
    <w:rsid w:val="3D7E6D76"/>
    <w:rsid w:val="3D9B6C3A"/>
    <w:rsid w:val="3D9D3CB5"/>
    <w:rsid w:val="3DAA602C"/>
    <w:rsid w:val="3DB54DD9"/>
    <w:rsid w:val="3DCA1748"/>
    <w:rsid w:val="3DCA78C6"/>
    <w:rsid w:val="3DD220B1"/>
    <w:rsid w:val="3DD64ECE"/>
    <w:rsid w:val="3E3F16E6"/>
    <w:rsid w:val="3E5527E2"/>
    <w:rsid w:val="3E7251A4"/>
    <w:rsid w:val="3E7A3FF6"/>
    <w:rsid w:val="3E980CCF"/>
    <w:rsid w:val="3EAE6026"/>
    <w:rsid w:val="3ECD4126"/>
    <w:rsid w:val="3F0331D2"/>
    <w:rsid w:val="3F1075FA"/>
    <w:rsid w:val="3F121648"/>
    <w:rsid w:val="3F1C742A"/>
    <w:rsid w:val="3F2B55C2"/>
    <w:rsid w:val="3F4C58DE"/>
    <w:rsid w:val="3F6C7DE3"/>
    <w:rsid w:val="3F940D9B"/>
    <w:rsid w:val="3FA36C10"/>
    <w:rsid w:val="3FA96941"/>
    <w:rsid w:val="3FF30E47"/>
    <w:rsid w:val="40047C86"/>
    <w:rsid w:val="40077B0C"/>
    <w:rsid w:val="404C3770"/>
    <w:rsid w:val="4057049F"/>
    <w:rsid w:val="4067161E"/>
    <w:rsid w:val="409969B6"/>
    <w:rsid w:val="40F6622A"/>
    <w:rsid w:val="40F7590D"/>
    <w:rsid w:val="4101448A"/>
    <w:rsid w:val="410E3E35"/>
    <w:rsid w:val="413E57AF"/>
    <w:rsid w:val="41517A84"/>
    <w:rsid w:val="41547289"/>
    <w:rsid w:val="41770CEE"/>
    <w:rsid w:val="418039B2"/>
    <w:rsid w:val="41967399"/>
    <w:rsid w:val="419D0727"/>
    <w:rsid w:val="41B1652B"/>
    <w:rsid w:val="41B60AB3"/>
    <w:rsid w:val="42156510"/>
    <w:rsid w:val="421D0D8B"/>
    <w:rsid w:val="421E0E6C"/>
    <w:rsid w:val="422B0BB3"/>
    <w:rsid w:val="42B10760"/>
    <w:rsid w:val="43000F6E"/>
    <w:rsid w:val="43394E32"/>
    <w:rsid w:val="433C7611"/>
    <w:rsid w:val="4387343D"/>
    <w:rsid w:val="43A81B10"/>
    <w:rsid w:val="43AC6A00"/>
    <w:rsid w:val="43B34222"/>
    <w:rsid w:val="43EA39CC"/>
    <w:rsid w:val="440B6F69"/>
    <w:rsid w:val="443F5AC6"/>
    <w:rsid w:val="4450382F"/>
    <w:rsid w:val="445515B4"/>
    <w:rsid w:val="445D27B9"/>
    <w:rsid w:val="44717ACA"/>
    <w:rsid w:val="44775260"/>
    <w:rsid w:val="447A0492"/>
    <w:rsid w:val="44916C4F"/>
    <w:rsid w:val="44970DE1"/>
    <w:rsid w:val="44A60EAD"/>
    <w:rsid w:val="44CB3B1B"/>
    <w:rsid w:val="44EB2DBE"/>
    <w:rsid w:val="45061A4C"/>
    <w:rsid w:val="452F3E3B"/>
    <w:rsid w:val="45684BA8"/>
    <w:rsid w:val="45730A88"/>
    <w:rsid w:val="45815AAA"/>
    <w:rsid w:val="45CC1560"/>
    <w:rsid w:val="4609698F"/>
    <w:rsid w:val="466B6511"/>
    <w:rsid w:val="46774774"/>
    <w:rsid w:val="468C5173"/>
    <w:rsid w:val="46995D20"/>
    <w:rsid w:val="46AB5D46"/>
    <w:rsid w:val="46C027C2"/>
    <w:rsid w:val="46C807D6"/>
    <w:rsid w:val="46E26BDC"/>
    <w:rsid w:val="46EC35B7"/>
    <w:rsid w:val="4703102D"/>
    <w:rsid w:val="47071E2A"/>
    <w:rsid w:val="471B5D08"/>
    <w:rsid w:val="47246C2E"/>
    <w:rsid w:val="47257281"/>
    <w:rsid w:val="474F4272"/>
    <w:rsid w:val="475573AE"/>
    <w:rsid w:val="475C24EB"/>
    <w:rsid w:val="47767CB6"/>
    <w:rsid w:val="477B5067"/>
    <w:rsid w:val="479510FE"/>
    <w:rsid w:val="47981173"/>
    <w:rsid w:val="47A53DD6"/>
    <w:rsid w:val="47C13CC8"/>
    <w:rsid w:val="47DD238F"/>
    <w:rsid w:val="47E50732"/>
    <w:rsid w:val="47FD3CCE"/>
    <w:rsid w:val="483031FD"/>
    <w:rsid w:val="486419EF"/>
    <w:rsid w:val="48651873"/>
    <w:rsid w:val="48952158"/>
    <w:rsid w:val="489D01C2"/>
    <w:rsid w:val="48A1490F"/>
    <w:rsid w:val="48A45D34"/>
    <w:rsid w:val="48D55CE4"/>
    <w:rsid w:val="48D93AD6"/>
    <w:rsid w:val="48FB2C0D"/>
    <w:rsid w:val="49150616"/>
    <w:rsid w:val="49592592"/>
    <w:rsid w:val="49777AB0"/>
    <w:rsid w:val="49F66C27"/>
    <w:rsid w:val="4A105FBA"/>
    <w:rsid w:val="4A2465DA"/>
    <w:rsid w:val="4A2C089A"/>
    <w:rsid w:val="4A552F45"/>
    <w:rsid w:val="4A7E72B3"/>
    <w:rsid w:val="4A9D66AE"/>
    <w:rsid w:val="4AC67A0D"/>
    <w:rsid w:val="4ADC01F8"/>
    <w:rsid w:val="4AE47F69"/>
    <w:rsid w:val="4B1122E1"/>
    <w:rsid w:val="4B254837"/>
    <w:rsid w:val="4B334812"/>
    <w:rsid w:val="4B441C14"/>
    <w:rsid w:val="4B4441D0"/>
    <w:rsid w:val="4BB01057"/>
    <w:rsid w:val="4BBF56D2"/>
    <w:rsid w:val="4BC92119"/>
    <w:rsid w:val="4BD56D10"/>
    <w:rsid w:val="4C0554CB"/>
    <w:rsid w:val="4CCE79E7"/>
    <w:rsid w:val="4CF03284"/>
    <w:rsid w:val="4CFB4554"/>
    <w:rsid w:val="4D562E83"/>
    <w:rsid w:val="4D7F3CDB"/>
    <w:rsid w:val="4D926C66"/>
    <w:rsid w:val="4DB017E2"/>
    <w:rsid w:val="4DBA61BD"/>
    <w:rsid w:val="4DE41E5A"/>
    <w:rsid w:val="4E100B12"/>
    <w:rsid w:val="4E5A0963"/>
    <w:rsid w:val="4E617866"/>
    <w:rsid w:val="4E802F63"/>
    <w:rsid w:val="4E824F2D"/>
    <w:rsid w:val="4EA35EC7"/>
    <w:rsid w:val="4EF7784F"/>
    <w:rsid w:val="4F0B08A0"/>
    <w:rsid w:val="4F1931A5"/>
    <w:rsid w:val="4F304989"/>
    <w:rsid w:val="4F691C49"/>
    <w:rsid w:val="4FA2515B"/>
    <w:rsid w:val="4FB43616"/>
    <w:rsid w:val="4FB94960"/>
    <w:rsid w:val="4FC82E13"/>
    <w:rsid w:val="4FC87D9C"/>
    <w:rsid w:val="4FCA09F6"/>
    <w:rsid w:val="4FEB6B02"/>
    <w:rsid w:val="50615016"/>
    <w:rsid w:val="509468A1"/>
    <w:rsid w:val="50AB003F"/>
    <w:rsid w:val="50AF30B3"/>
    <w:rsid w:val="50BD139F"/>
    <w:rsid w:val="50CA639A"/>
    <w:rsid w:val="51246B4D"/>
    <w:rsid w:val="5127467D"/>
    <w:rsid w:val="5133515D"/>
    <w:rsid w:val="5177293F"/>
    <w:rsid w:val="517A57D7"/>
    <w:rsid w:val="517D19DC"/>
    <w:rsid w:val="5194787E"/>
    <w:rsid w:val="51A0535D"/>
    <w:rsid w:val="51B43FDF"/>
    <w:rsid w:val="51CC46D4"/>
    <w:rsid w:val="51FF0643"/>
    <w:rsid w:val="5204276D"/>
    <w:rsid w:val="52171E30"/>
    <w:rsid w:val="521A43FF"/>
    <w:rsid w:val="521D586D"/>
    <w:rsid w:val="523F73F7"/>
    <w:rsid w:val="52537E9E"/>
    <w:rsid w:val="525F7160"/>
    <w:rsid w:val="52610E93"/>
    <w:rsid w:val="52900B84"/>
    <w:rsid w:val="52A24E00"/>
    <w:rsid w:val="52BB1ED3"/>
    <w:rsid w:val="52EB040F"/>
    <w:rsid w:val="530F1FC1"/>
    <w:rsid w:val="531708CA"/>
    <w:rsid w:val="533C1422"/>
    <w:rsid w:val="537D7C7B"/>
    <w:rsid w:val="5382528E"/>
    <w:rsid w:val="53966D85"/>
    <w:rsid w:val="53CB1F21"/>
    <w:rsid w:val="53D13424"/>
    <w:rsid w:val="54175273"/>
    <w:rsid w:val="543E18F6"/>
    <w:rsid w:val="54727ACA"/>
    <w:rsid w:val="5486329D"/>
    <w:rsid w:val="548D0A04"/>
    <w:rsid w:val="54A66DEA"/>
    <w:rsid w:val="54AD6A7C"/>
    <w:rsid w:val="54BC6CBF"/>
    <w:rsid w:val="54C719D2"/>
    <w:rsid w:val="54D666DD"/>
    <w:rsid w:val="54DD5342"/>
    <w:rsid w:val="54F71AA5"/>
    <w:rsid w:val="555550AA"/>
    <w:rsid w:val="56002D2F"/>
    <w:rsid w:val="564718DC"/>
    <w:rsid w:val="56553E52"/>
    <w:rsid w:val="566235A3"/>
    <w:rsid w:val="56876E58"/>
    <w:rsid w:val="56BC511E"/>
    <w:rsid w:val="56CB0A2B"/>
    <w:rsid w:val="56F03BE4"/>
    <w:rsid w:val="57004B9A"/>
    <w:rsid w:val="57023D9C"/>
    <w:rsid w:val="570E1302"/>
    <w:rsid w:val="5728063B"/>
    <w:rsid w:val="572B1EDA"/>
    <w:rsid w:val="57315C98"/>
    <w:rsid w:val="575B27BF"/>
    <w:rsid w:val="57835872"/>
    <w:rsid w:val="57A027F7"/>
    <w:rsid w:val="57BD5228"/>
    <w:rsid w:val="57E57A41"/>
    <w:rsid w:val="57FA4D4A"/>
    <w:rsid w:val="580D791A"/>
    <w:rsid w:val="58470566"/>
    <w:rsid w:val="585123DA"/>
    <w:rsid w:val="58916E37"/>
    <w:rsid w:val="58B96B20"/>
    <w:rsid w:val="58D73B5D"/>
    <w:rsid w:val="58DF11CE"/>
    <w:rsid w:val="58DF4D2A"/>
    <w:rsid w:val="58F9403E"/>
    <w:rsid w:val="590029F6"/>
    <w:rsid w:val="59132290"/>
    <w:rsid w:val="59441031"/>
    <w:rsid w:val="594F433C"/>
    <w:rsid w:val="595869A0"/>
    <w:rsid w:val="59775A81"/>
    <w:rsid w:val="59B937CD"/>
    <w:rsid w:val="59D40607"/>
    <w:rsid w:val="59ED3476"/>
    <w:rsid w:val="5A0927BC"/>
    <w:rsid w:val="5A4070F7"/>
    <w:rsid w:val="5A9D6C4B"/>
    <w:rsid w:val="5AFF7905"/>
    <w:rsid w:val="5B3A49DA"/>
    <w:rsid w:val="5B3E042E"/>
    <w:rsid w:val="5B7B2807"/>
    <w:rsid w:val="5B9A2F3F"/>
    <w:rsid w:val="5BD24811"/>
    <w:rsid w:val="5BEC7116"/>
    <w:rsid w:val="5C17056B"/>
    <w:rsid w:val="5C3A2A4E"/>
    <w:rsid w:val="5C450C11"/>
    <w:rsid w:val="5C785664"/>
    <w:rsid w:val="5C900E0D"/>
    <w:rsid w:val="5CDB6DB4"/>
    <w:rsid w:val="5D055D7B"/>
    <w:rsid w:val="5D075F7D"/>
    <w:rsid w:val="5D0C4BC1"/>
    <w:rsid w:val="5D115A6B"/>
    <w:rsid w:val="5D280E87"/>
    <w:rsid w:val="5D5B54A7"/>
    <w:rsid w:val="5D953CD4"/>
    <w:rsid w:val="5DC6470A"/>
    <w:rsid w:val="5DCF1811"/>
    <w:rsid w:val="5DD251DB"/>
    <w:rsid w:val="5DE9492A"/>
    <w:rsid w:val="5DFC0941"/>
    <w:rsid w:val="5E385608"/>
    <w:rsid w:val="5E5D237F"/>
    <w:rsid w:val="5EBF6480"/>
    <w:rsid w:val="5EC21376"/>
    <w:rsid w:val="5EC92704"/>
    <w:rsid w:val="5ECA6A83"/>
    <w:rsid w:val="5EF37781"/>
    <w:rsid w:val="5F1D47FE"/>
    <w:rsid w:val="5F1D6A97"/>
    <w:rsid w:val="5F3548A5"/>
    <w:rsid w:val="5F592507"/>
    <w:rsid w:val="5F9525E6"/>
    <w:rsid w:val="5FB32C8F"/>
    <w:rsid w:val="5FE07D05"/>
    <w:rsid w:val="5FEB2206"/>
    <w:rsid w:val="5FF404D5"/>
    <w:rsid w:val="60076B58"/>
    <w:rsid w:val="602F2A3B"/>
    <w:rsid w:val="60363DC9"/>
    <w:rsid w:val="604F09E7"/>
    <w:rsid w:val="606326E4"/>
    <w:rsid w:val="60642632"/>
    <w:rsid w:val="61016185"/>
    <w:rsid w:val="61453A27"/>
    <w:rsid w:val="614651F3"/>
    <w:rsid w:val="61543A87"/>
    <w:rsid w:val="61631193"/>
    <w:rsid w:val="616D6CFD"/>
    <w:rsid w:val="6170330B"/>
    <w:rsid w:val="618D18C2"/>
    <w:rsid w:val="619E175B"/>
    <w:rsid w:val="61A1723E"/>
    <w:rsid w:val="61E11B13"/>
    <w:rsid w:val="62105334"/>
    <w:rsid w:val="623937F7"/>
    <w:rsid w:val="62620EA5"/>
    <w:rsid w:val="626403BB"/>
    <w:rsid w:val="62983ECF"/>
    <w:rsid w:val="629E7A04"/>
    <w:rsid w:val="62C25F77"/>
    <w:rsid w:val="62C45A4C"/>
    <w:rsid w:val="631321A0"/>
    <w:rsid w:val="63B70D7D"/>
    <w:rsid w:val="642E4744"/>
    <w:rsid w:val="64561E9B"/>
    <w:rsid w:val="64A75E62"/>
    <w:rsid w:val="651E735D"/>
    <w:rsid w:val="652735EC"/>
    <w:rsid w:val="652A5785"/>
    <w:rsid w:val="65364EFD"/>
    <w:rsid w:val="654E5711"/>
    <w:rsid w:val="65621EDC"/>
    <w:rsid w:val="6570195B"/>
    <w:rsid w:val="65790CE9"/>
    <w:rsid w:val="65B36BB3"/>
    <w:rsid w:val="65FD3F7D"/>
    <w:rsid w:val="66445773"/>
    <w:rsid w:val="66521231"/>
    <w:rsid w:val="66741E8A"/>
    <w:rsid w:val="667C62AE"/>
    <w:rsid w:val="66826C25"/>
    <w:rsid w:val="66DE6B36"/>
    <w:rsid w:val="66F5025D"/>
    <w:rsid w:val="67136C12"/>
    <w:rsid w:val="67242F8B"/>
    <w:rsid w:val="67626E36"/>
    <w:rsid w:val="67B76083"/>
    <w:rsid w:val="67C24194"/>
    <w:rsid w:val="67CA6313"/>
    <w:rsid w:val="67CC0B6F"/>
    <w:rsid w:val="67D363A2"/>
    <w:rsid w:val="67D509EC"/>
    <w:rsid w:val="67DB7ACB"/>
    <w:rsid w:val="67DE3425"/>
    <w:rsid w:val="680B5B3B"/>
    <w:rsid w:val="68180E35"/>
    <w:rsid w:val="681922FA"/>
    <w:rsid w:val="6828661F"/>
    <w:rsid w:val="68443284"/>
    <w:rsid w:val="684469A6"/>
    <w:rsid w:val="685C47AD"/>
    <w:rsid w:val="687436E1"/>
    <w:rsid w:val="68757780"/>
    <w:rsid w:val="687B4773"/>
    <w:rsid w:val="68840844"/>
    <w:rsid w:val="68B61B95"/>
    <w:rsid w:val="68EC674F"/>
    <w:rsid w:val="691F0795"/>
    <w:rsid w:val="692073C4"/>
    <w:rsid w:val="692B7D65"/>
    <w:rsid w:val="696F232C"/>
    <w:rsid w:val="69796AD5"/>
    <w:rsid w:val="697C4C17"/>
    <w:rsid w:val="698314F7"/>
    <w:rsid w:val="698A5DA7"/>
    <w:rsid w:val="69A24DB9"/>
    <w:rsid w:val="69B23579"/>
    <w:rsid w:val="69BE41E9"/>
    <w:rsid w:val="69C77C24"/>
    <w:rsid w:val="69CC12FA"/>
    <w:rsid w:val="69D106BF"/>
    <w:rsid w:val="69D361E5"/>
    <w:rsid w:val="69DD52B6"/>
    <w:rsid w:val="69EE301F"/>
    <w:rsid w:val="69F00E56"/>
    <w:rsid w:val="6A033600"/>
    <w:rsid w:val="6A486BD3"/>
    <w:rsid w:val="6A647785"/>
    <w:rsid w:val="6AD16EFB"/>
    <w:rsid w:val="6B00125C"/>
    <w:rsid w:val="6B086362"/>
    <w:rsid w:val="6B222BED"/>
    <w:rsid w:val="6B301D81"/>
    <w:rsid w:val="6B841E75"/>
    <w:rsid w:val="6BA134D1"/>
    <w:rsid w:val="6BFC78E7"/>
    <w:rsid w:val="6C1C5B30"/>
    <w:rsid w:val="6C262F44"/>
    <w:rsid w:val="6C605737"/>
    <w:rsid w:val="6C862716"/>
    <w:rsid w:val="6CB06D3E"/>
    <w:rsid w:val="6D287521"/>
    <w:rsid w:val="6D340194"/>
    <w:rsid w:val="6D4A2C62"/>
    <w:rsid w:val="6D4C3D11"/>
    <w:rsid w:val="6D5269CD"/>
    <w:rsid w:val="6D5C4743"/>
    <w:rsid w:val="6D6D5995"/>
    <w:rsid w:val="6DB4632D"/>
    <w:rsid w:val="6DDD3398"/>
    <w:rsid w:val="6E4B5505"/>
    <w:rsid w:val="6E5C32AB"/>
    <w:rsid w:val="6E804461"/>
    <w:rsid w:val="6EA62CA1"/>
    <w:rsid w:val="6EB505AF"/>
    <w:rsid w:val="6EDC3D8E"/>
    <w:rsid w:val="6EF82C2B"/>
    <w:rsid w:val="6EF966EE"/>
    <w:rsid w:val="6F312633"/>
    <w:rsid w:val="6F737553"/>
    <w:rsid w:val="6FB4408F"/>
    <w:rsid w:val="70115CB9"/>
    <w:rsid w:val="702B57EE"/>
    <w:rsid w:val="70423904"/>
    <w:rsid w:val="708E1553"/>
    <w:rsid w:val="709656FC"/>
    <w:rsid w:val="709C4221"/>
    <w:rsid w:val="70AE52B6"/>
    <w:rsid w:val="70C328F3"/>
    <w:rsid w:val="70ED5389"/>
    <w:rsid w:val="70F74C7B"/>
    <w:rsid w:val="714B6C63"/>
    <w:rsid w:val="71775FF0"/>
    <w:rsid w:val="718C1A9B"/>
    <w:rsid w:val="719621B0"/>
    <w:rsid w:val="71B2527A"/>
    <w:rsid w:val="725E295D"/>
    <w:rsid w:val="72604CD6"/>
    <w:rsid w:val="72640322"/>
    <w:rsid w:val="727C6062"/>
    <w:rsid w:val="72E025CA"/>
    <w:rsid w:val="72E72D01"/>
    <w:rsid w:val="72EF6671"/>
    <w:rsid w:val="72EF7E69"/>
    <w:rsid w:val="72FB3654"/>
    <w:rsid w:val="731930F2"/>
    <w:rsid w:val="73522870"/>
    <w:rsid w:val="73661887"/>
    <w:rsid w:val="73AC26D2"/>
    <w:rsid w:val="73BE02D8"/>
    <w:rsid w:val="73FB2F08"/>
    <w:rsid w:val="74100048"/>
    <w:rsid w:val="7438794A"/>
    <w:rsid w:val="744E128A"/>
    <w:rsid w:val="74626AE3"/>
    <w:rsid w:val="748C72D1"/>
    <w:rsid w:val="74E03C1D"/>
    <w:rsid w:val="750B2761"/>
    <w:rsid w:val="75226272"/>
    <w:rsid w:val="757260E7"/>
    <w:rsid w:val="759F7DF7"/>
    <w:rsid w:val="75A373B3"/>
    <w:rsid w:val="75DE5894"/>
    <w:rsid w:val="760A12D0"/>
    <w:rsid w:val="7614205F"/>
    <w:rsid w:val="76155B22"/>
    <w:rsid w:val="76497DCA"/>
    <w:rsid w:val="76AC1737"/>
    <w:rsid w:val="76C46BC7"/>
    <w:rsid w:val="76FF4ABD"/>
    <w:rsid w:val="775B3F43"/>
    <w:rsid w:val="77826FA5"/>
    <w:rsid w:val="77B971CE"/>
    <w:rsid w:val="77D36B91"/>
    <w:rsid w:val="77F263D0"/>
    <w:rsid w:val="782555FC"/>
    <w:rsid w:val="782D552E"/>
    <w:rsid w:val="78462278"/>
    <w:rsid w:val="7858337E"/>
    <w:rsid w:val="786803C7"/>
    <w:rsid w:val="787C42EA"/>
    <w:rsid w:val="78C8581A"/>
    <w:rsid w:val="792415E1"/>
    <w:rsid w:val="79605415"/>
    <w:rsid w:val="796330A7"/>
    <w:rsid w:val="797846B3"/>
    <w:rsid w:val="79B31B8F"/>
    <w:rsid w:val="79D57D57"/>
    <w:rsid w:val="79FF3378"/>
    <w:rsid w:val="7A023A3D"/>
    <w:rsid w:val="7A122D59"/>
    <w:rsid w:val="7A6E503C"/>
    <w:rsid w:val="7A796935"/>
    <w:rsid w:val="7A8453E9"/>
    <w:rsid w:val="7A9207BD"/>
    <w:rsid w:val="7AC255FA"/>
    <w:rsid w:val="7AE10808"/>
    <w:rsid w:val="7AE30252"/>
    <w:rsid w:val="7AFD1314"/>
    <w:rsid w:val="7B1A5686"/>
    <w:rsid w:val="7B543277"/>
    <w:rsid w:val="7B705F89"/>
    <w:rsid w:val="7B75534E"/>
    <w:rsid w:val="7BA63759"/>
    <w:rsid w:val="7BB06386"/>
    <w:rsid w:val="7BDC476E"/>
    <w:rsid w:val="7BDE0A0C"/>
    <w:rsid w:val="7BDE1658"/>
    <w:rsid w:val="7C1521AD"/>
    <w:rsid w:val="7D0A4866"/>
    <w:rsid w:val="7D10781E"/>
    <w:rsid w:val="7DB12845"/>
    <w:rsid w:val="7DD42564"/>
    <w:rsid w:val="7DE5079C"/>
    <w:rsid w:val="7E353EC7"/>
    <w:rsid w:val="7E520A23"/>
    <w:rsid w:val="7E857F9E"/>
    <w:rsid w:val="7EB3006D"/>
    <w:rsid w:val="7EC40767"/>
    <w:rsid w:val="7EF173E1"/>
    <w:rsid w:val="7F3B68AE"/>
    <w:rsid w:val="7F5576EC"/>
    <w:rsid w:val="7F8477C4"/>
    <w:rsid w:val="7F932247"/>
    <w:rsid w:val="7F9B10FB"/>
    <w:rsid w:val="7FA56791"/>
    <w:rsid w:val="7FBE0AA1"/>
    <w:rsid w:val="7FBF2B32"/>
    <w:rsid w:val="7FD2355F"/>
    <w:rsid w:val="7FF966D2"/>
    <w:rsid w:val="7FFF16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4">
    <w:name w:val="heading 2"/>
    <w:basedOn w:val="5"/>
    <w:next w:val="1"/>
    <w:link w:val="62"/>
    <w:qFormat/>
    <w:uiPriority w:val="9"/>
    <w:pPr>
      <w:ind w:firstLine="0" w:firstLineChars="0"/>
      <w:outlineLvl w:val="1"/>
    </w:pPr>
    <w:rPr>
      <w:color w:val="auto"/>
      <w:sz w:val="28"/>
      <w:szCs w:val="21"/>
    </w:rPr>
  </w:style>
  <w:style w:type="paragraph" w:styleId="6">
    <w:name w:val="heading 3"/>
    <w:basedOn w:val="7"/>
    <w:next w:val="1"/>
    <w:link w:val="63"/>
    <w:qFormat/>
    <w:uiPriority w:val="0"/>
    <w:pPr>
      <w:spacing w:after="0" w:line="360" w:lineRule="auto"/>
      <w:ind w:left="0" w:leftChars="0" w:firstLine="0" w:firstLineChars="0"/>
      <w:outlineLvl w:val="2"/>
    </w:pPr>
    <w:rPr>
      <w:rFonts w:ascii="Times New Roman" w:hAnsi="Times New Roman" w:eastAsia="宋体"/>
      <w:b/>
      <w:bCs/>
      <w:color w:val="auto"/>
      <w:sz w:val="24"/>
      <w:szCs w:val="21"/>
    </w:rPr>
  </w:style>
  <w:style w:type="paragraph" w:styleId="5">
    <w:name w:val="heading 4"/>
    <w:basedOn w:val="1"/>
    <w:next w:val="1"/>
    <w:link w:val="64"/>
    <w:qFormat/>
    <w:uiPriority w:val="0"/>
    <w:pPr>
      <w:widowControl/>
      <w:spacing w:line="360" w:lineRule="auto"/>
      <w:ind w:firstLine="482" w:firstLineChars="200"/>
      <w:jc w:val="left"/>
      <w:outlineLvl w:val="3"/>
    </w:pPr>
    <w:rPr>
      <w:rFonts w:ascii="宋体" w:hAnsi="宋体" w:cs="宋体"/>
      <w:b/>
      <w:bCs/>
      <w:kern w:val="0"/>
      <w:sz w:val="24"/>
    </w:rPr>
  </w:style>
  <w:style w:type="paragraph" w:styleId="9">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10">
    <w:name w:val="heading 6"/>
    <w:basedOn w:val="11"/>
    <w:next w:val="1"/>
    <w:link w:val="66"/>
    <w:qFormat/>
    <w:uiPriority w:val="0"/>
    <w:pPr>
      <w:keepNext/>
      <w:keepLines/>
      <w:ind w:firstLine="200" w:firstLineChars="200"/>
      <w:outlineLvl w:val="5"/>
    </w:pPr>
    <w:rPr>
      <w:rFonts w:hAnsi="Arial"/>
    </w:rPr>
  </w:style>
  <w:style w:type="paragraph" w:styleId="12">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方正仿宋_GB2312"/>
      <w:kern w:val="0"/>
      <w:sz w:val="30"/>
      <w:szCs w:val="20"/>
    </w:rPr>
  </w:style>
  <w:style w:type="paragraph" w:styleId="13">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方正仿宋_GB2312"/>
      <w:kern w:val="0"/>
      <w:sz w:val="30"/>
      <w:szCs w:val="20"/>
    </w:rPr>
  </w:style>
  <w:style w:type="paragraph" w:styleId="14">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方正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70"/>
    <w:qFormat/>
    <w:uiPriority w:val="0"/>
    <w:pPr>
      <w:spacing w:after="120"/>
    </w:pPr>
  </w:style>
  <w:style w:type="paragraph" w:styleId="7">
    <w:name w:val="Body Text First Indent 2"/>
    <w:basedOn w:val="8"/>
    <w:qFormat/>
    <w:uiPriority w:val="0"/>
    <w:pPr>
      <w:spacing w:after="120"/>
      <w:ind w:left="420" w:leftChars="200" w:firstLine="420"/>
    </w:pPr>
    <w:rPr>
      <w:szCs w:val="20"/>
    </w:rPr>
  </w:style>
  <w:style w:type="paragraph" w:styleId="8">
    <w:name w:val="Body Text Indent"/>
    <w:basedOn w:val="1"/>
    <w:link w:val="74"/>
    <w:qFormat/>
    <w:uiPriority w:val="0"/>
    <w:pPr>
      <w:ind w:firstLine="407" w:firstLineChars="200"/>
    </w:pPr>
  </w:style>
  <w:style w:type="paragraph" w:styleId="11">
    <w:name w:val="Normal Indent"/>
    <w:basedOn w:val="1"/>
    <w:qFormat/>
    <w:uiPriority w:val="0"/>
    <w:pPr>
      <w:adjustRightInd w:val="0"/>
      <w:spacing w:line="480" w:lineRule="atLeast"/>
      <w:ind w:firstLine="600"/>
      <w:textAlignment w:val="baseline"/>
    </w:pPr>
    <w:rPr>
      <w:rFonts w:eastAsia="方正仿宋_GB2312"/>
      <w:kern w:val="0"/>
      <w:sz w:val="30"/>
      <w:szCs w:val="20"/>
    </w:rPr>
  </w:style>
  <w:style w:type="paragraph" w:styleId="15">
    <w:name w:val="toc 7"/>
    <w:basedOn w:val="1"/>
    <w:next w:val="1"/>
    <w:qFormat/>
    <w:uiPriority w:val="39"/>
    <w:pPr>
      <w:ind w:left="1260"/>
      <w:jc w:val="left"/>
    </w:pPr>
    <w:rPr>
      <w:sz w:val="18"/>
      <w:szCs w:val="18"/>
    </w:rPr>
  </w:style>
  <w:style w:type="paragraph" w:styleId="16">
    <w:name w:val="caption"/>
    <w:basedOn w:val="1"/>
    <w:next w:val="1"/>
    <w:qFormat/>
    <w:uiPriority w:val="0"/>
    <w:rPr>
      <w:rFonts w:ascii="Cambria" w:hAnsi="Cambria" w:eastAsia="黑体"/>
      <w:sz w:val="20"/>
      <w:szCs w:val="20"/>
    </w:rPr>
  </w:style>
  <w:style w:type="paragraph" w:styleId="17">
    <w:name w:val="Document Map"/>
    <w:basedOn w:val="1"/>
    <w:link w:val="71"/>
    <w:qFormat/>
    <w:uiPriority w:val="0"/>
    <w:pPr>
      <w:shd w:val="clear" w:color="auto" w:fill="000080"/>
    </w:pPr>
  </w:style>
  <w:style w:type="paragraph" w:styleId="18">
    <w:name w:val="annotation text"/>
    <w:basedOn w:val="1"/>
    <w:link w:val="72"/>
    <w:qFormat/>
    <w:uiPriority w:val="0"/>
    <w:pPr>
      <w:jc w:val="left"/>
    </w:pPr>
  </w:style>
  <w:style w:type="paragraph" w:styleId="19">
    <w:name w:val="Body Text 3"/>
    <w:basedOn w:val="1"/>
    <w:link w:val="73"/>
    <w:qFormat/>
    <w:uiPriority w:val="0"/>
    <w:pPr>
      <w:spacing w:after="120"/>
    </w:pPr>
    <w:rPr>
      <w:sz w:val="16"/>
      <w:szCs w:val="16"/>
    </w:rPr>
  </w:style>
  <w:style w:type="paragraph" w:styleId="20">
    <w:name w:val="Block Text"/>
    <w:basedOn w:val="1"/>
    <w:qFormat/>
    <w:uiPriority w:val="0"/>
    <w:pPr>
      <w:autoSpaceDE w:val="0"/>
      <w:autoSpaceDN w:val="0"/>
      <w:adjustRightInd w:val="0"/>
      <w:spacing w:line="1270" w:lineRule="exact"/>
      <w:ind w:left="2160" w:right="-20" w:hanging="2160" w:hangingChars="300"/>
      <w:jc w:val="left"/>
    </w:pPr>
    <w:rPr>
      <w:rFonts w:eastAsia="方正仿宋_GB2312"/>
      <w:sz w:val="72"/>
    </w:rPr>
  </w:style>
  <w:style w:type="paragraph" w:styleId="21">
    <w:name w:val="index 4"/>
    <w:basedOn w:val="1"/>
    <w:next w:val="1"/>
    <w:qFormat/>
    <w:uiPriority w:val="0"/>
    <w:pPr>
      <w:ind w:left="600" w:leftChars="600"/>
    </w:pPr>
  </w:style>
  <w:style w:type="paragraph" w:styleId="22">
    <w:name w:val="toc 5"/>
    <w:basedOn w:val="1"/>
    <w:next w:val="1"/>
    <w:qFormat/>
    <w:uiPriority w:val="39"/>
    <w:pPr>
      <w:ind w:left="840"/>
      <w:jc w:val="left"/>
    </w:pPr>
    <w:rPr>
      <w:sz w:val="18"/>
      <w:szCs w:val="18"/>
    </w:rPr>
  </w:style>
  <w:style w:type="paragraph" w:styleId="23">
    <w:name w:val="toc 3"/>
    <w:basedOn w:val="6"/>
    <w:next w:val="1"/>
    <w:qFormat/>
    <w:uiPriority w:val="39"/>
    <w:pPr>
      <w:keepNext w:val="0"/>
      <w:keepLines w:val="0"/>
      <w:spacing w:before="0" w:after="0" w:line="240" w:lineRule="auto"/>
      <w:ind w:left="420"/>
      <w:jc w:val="left"/>
      <w:outlineLvl w:val="9"/>
    </w:pPr>
    <w:rPr>
      <w:i/>
      <w:iCs/>
      <w:sz w:val="20"/>
      <w:szCs w:val="20"/>
    </w:rPr>
  </w:style>
  <w:style w:type="paragraph" w:styleId="24">
    <w:name w:val="Plain Text"/>
    <w:basedOn w:val="1"/>
    <w:link w:val="75"/>
    <w:qFormat/>
    <w:uiPriority w:val="0"/>
    <w:rPr>
      <w:rFonts w:ascii="宋体" w:hAnsi="Courier New" w:cs="Courier New"/>
      <w:szCs w:val="21"/>
    </w:rPr>
  </w:style>
  <w:style w:type="paragraph" w:styleId="25">
    <w:name w:val="toc 8"/>
    <w:basedOn w:val="1"/>
    <w:next w:val="1"/>
    <w:qFormat/>
    <w:uiPriority w:val="39"/>
    <w:pPr>
      <w:ind w:left="1470"/>
      <w:jc w:val="left"/>
    </w:pPr>
    <w:rPr>
      <w:sz w:val="18"/>
      <w:szCs w:val="18"/>
    </w:rPr>
  </w:style>
  <w:style w:type="paragraph" w:styleId="26">
    <w:name w:val="Date"/>
    <w:basedOn w:val="1"/>
    <w:next w:val="1"/>
    <w:link w:val="76"/>
    <w:qFormat/>
    <w:uiPriority w:val="99"/>
    <w:pPr>
      <w:ind w:left="100" w:leftChars="2500"/>
    </w:pPr>
  </w:style>
  <w:style w:type="paragraph" w:styleId="27">
    <w:name w:val="Body Text Indent 2"/>
    <w:basedOn w:val="1"/>
    <w:link w:val="77"/>
    <w:qFormat/>
    <w:uiPriority w:val="0"/>
    <w:pPr>
      <w:widowControl/>
      <w:spacing w:line="480" w:lineRule="auto"/>
      <w:ind w:firstLine="560"/>
      <w:jc w:val="left"/>
    </w:pPr>
    <w:rPr>
      <w:kern w:val="0"/>
      <w:sz w:val="28"/>
    </w:rPr>
  </w:style>
  <w:style w:type="paragraph" w:styleId="28">
    <w:name w:val="endnote text"/>
    <w:basedOn w:val="1"/>
    <w:link w:val="78"/>
    <w:qFormat/>
    <w:uiPriority w:val="0"/>
    <w:pPr>
      <w:widowControl/>
      <w:snapToGrid w:val="0"/>
      <w:jc w:val="left"/>
    </w:pPr>
    <w:rPr>
      <w:rFonts w:ascii="Arial" w:hAnsi="Arial" w:cs="Arial"/>
      <w:kern w:val="0"/>
      <w:sz w:val="20"/>
      <w:lang w:eastAsia="en-US"/>
    </w:rPr>
  </w:style>
  <w:style w:type="paragraph" w:styleId="29">
    <w:name w:val="Balloon Text"/>
    <w:basedOn w:val="1"/>
    <w:link w:val="79"/>
    <w:qFormat/>
    <w:uiPriority w:val="99"/>
    <w:rPr>
      <w:sz w:val="18"/>
      <w:szCs w:val="18"/>
    </w:rPr>
  </w:style>
  <w:style w:type="paragraph" w:styleId="30">
    <w:name w:val="footer"/>
    <w:basedOn w:val="1"/>
    <w:link w:val="80"/>
    <w:qFormat/>
    <w:uiPriority w:val="99"/>
    <w:pPr>
      <w:tabs>
        <w:tab w:val="center" w:pos="4153"/>
        <w:tab w:val="right" w:pos="8306"/>
      </w:tabs>
      <w:snapToGrid w:val="0"/>
      <w:jc w:val="left"/>
    </w:pPr>
    <w:rPr>
      <w:sz w:val="18"/>
      <w:szCs w:val="18"/>
    </w:rPr>
  </w:style>
  <w:style w:type="paragraph" w:styleId="31">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2">
    <w:name w:val="toc 1"/>
    <w:basedOn w:val="3"/>
    <w:next w:val="1"/>
    <w:qFormat/>
    <w:uiPriority w:val="39"/>
    <w:pPr>
      <w:keepNext w:val="0"/>
      <w:keepLines w:val="0"/>
      <w:spacing w:before="120" w:after="120" w:line="240" w:lineRule="auto"/>
      <w:jc w:val="left"/>
      <w:outlineLvl w:val="9"/>
    </w:pPr>
    <w:rPr>
      <w:caps/>
      <w:kern w:val="2"/>
      <w:sz w:val="20"/>
      <w:szCs w:val="20"/>
    </w:rPr>
  </w:style>
  <w:style w:type="paragraph" w:styleId="33">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4">
    <w:name w:val="Subtitle"/>
    <w:basedOn w:val="1"/>
    <w:link w:val="82"/>
    <w:qFormat/>
    <w:uiPriority w:val="0"/>
    <w:pPr>
      <w:widowControl/>
      <w:jc w:val="center"/>
    </w:pPr>
    <w:rPr>
      <w:kern w:val="0"/>
      <w:sz w:val="20"/>
      <w:u w:val="single"/>
      <w:lang w:eastAsia="en-US"/>
    </w:rPr>
  </w:style>
  <w:style w:type="paragraph" w:styleId="35">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6">
    <w:name w:val="toc 6"/>
    <w:basedOn w:val="1"/>
    <w:next w:val="1"/>
    <w:qFormat/>
    <w:uiPriority w:val="39"/>
    <w:pPr>
      <w:ind w:left="1050"/>
      <w:jc w:val="left"/>
    </w:pPr>
    <w:rPr>
      <w:sz w:val="18"/>
      <w:szCs w:val="18"/>
    </w:rPr>
  </w:style>
  <w:style w:type="paragraph" w:styleId="37">
    <w:name w:val="Body Text Indent 3"/>
    <w:basedOn w:val="1"/>
    <w:link w:val="84"/>
    <w:qFormat/>
    <w:uiPriority w:val="0"/>
    <w:pPr>
      <w:spacing w:line="360" w:lineRule="auto"/>
      <w:ind w:firstLine="280" w:firstLineChars="100"/>
    </w:pPr>
    <w:rPr>
      <w:rFonts w:ascii="宋体" w:hAnsi="宋体"/>
      <w:sz w:val="28"/>
      <w:szCs w:val="28"/>
    </w:rPr>
  </w:style>
  <w:style w:type="paragraph" w:styleId="38">
    <w:name w:val="toc 2"/>
    <w:basedOn w:val="4"/>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9">
    <w:name w:val="toc 9"/>
    <w:basedOn w:val="1"/>
    <w:next w:val="1"/>
    <w:qFormat/>
    <w:uiPriority w:val="39"/>
    <w:pPr>
      <w:ind w:left="1680"/>
      <w:jc w:val="left"/>
    </w:pPr>
    <w:rPr>
      <w:sz w:val="18"/>
      <w:szCs w:val="18"/>
    </w:rPr>
  </w:style>
  <w:style w:type="paragraph" w:styleId="40">
    <w:name w:val="Body Text 2"/>
    <w:basedOn w:val="1"/>
    <w:link w:val="85"/>
    <w:qFormat/>
    <w:uiPriority w:val="0"/>
    <w:rPr>
      <w:i/>
      <w:iCs/>
      <w:sz w:val="26"/>
    </w:rPr>
  </w:style>
  <w:style w:type="paragraph" w:styleId="41">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2">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3">
    <w:name w:val="index 1"/>
    <w:basedOn w:val="1"/>
    <w:next w:val="1"/>
    <w:qFormat/>
    <w:uiPriority w:val="0"/>
    <w:pPr>
      <w:spacing w:line="220" w:lineRule="exact"/>
      <w:jc w:val="center"/>
    </w:pPr>
    <w:rPr>
      <w:rFonts w:ascii="方正仿宋_GB2312" w:eastAsia="方正仿宋_GB2312"/>
      <w:szCs w:val="21"/>
    </w:rPr>
  </w:style>
  <w:style w:type="paragraph" w:styleId="44">
    <w:name w:val="Title"/>
    <w:basedOn w:val="1"/>
    <w:link w:val="87"/>
    <w:qFormat/>
    <w:uiPriority w:val="0"/>
    <w:pPr>
      <w:widowControl/>
      <w:jc w:val="center"/>
    </w:pPr>
    <w:rPr>
      <w:kern w:val="0"/>
      <w:sz w:val="20"/>
      <w:u w:val="single"/>
      <w:lang w:eastAsia="en-US"/>
    </w:rPr>
  </w:style>
  <w:style w:type="paragraph" w:styleId="45">
    <w:name w:val="annotation subject"/>
    <w:basedOn w:val="18"/>
    <w:next w:val="18"/>
    <w:link w:val="88"/>
    <w:qFormat/>
    <w:uiPriority w:val="99"/>
    <w:rPr>
      <w:b/>
      <w:bCs/>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3"/>
    <w:qFormat/>
    <w:uiPriority w:val="9"/>
    <w:rPr>
      <w:rFonts w:ascii="Times New Roman" w:hAnsi="Times New Roman" w:eastAsia="宋体" w:cs="Times New Roman"/>
      <w:b/>
      <w:bCs/>
      <w:kern w:val="44"/>
      <w:sz w:val="44"/>
      <w:szCs w:val="44"/>
    </w:rPr>
  </w:style>
  <w:style w:type="character" w:customStyle="1" w:styleId="62">
    <w:name w:val="标题 2 字符"/>
    <w:link w:val="4"/>
    <w:qFormat/>
    <w:uiPriority w:val="9"/>
    <w:rPr>
      <w:rFonts w:ascii="宋体" w:hAnsi="宋体" w:eastAsia="宋体" w:cs="宋体"/>
      <w:b/>
      <w:bCs/>
      <w:color w:val="auto"/>
      <w:kern w:val="0"/>
      <w:sz w:val="28"/>
      <w:szCs w:val="21"/>
      <w:lang w:val="en-US" w:eastAsia="zh-CN" w:bidi="ar-SA"/>
    </w:rPr>
  </w:style>
  <w:style w:type="character" w:customStyle="1" w:styleId="63">
    <w:name w:val="标题 3 字符"/>
    <w:link w:val="6"/>
    <w:qFormat/>
    <w:uiPriority w:val="0"/>
    <w:rPr>
      <w:rFonts w:ascii="Times New Roman" w:hAnsi="Times New Roman" w:eastAsia="宋体" w:cs="Times New Roman"/>
      <w:b/>
      <w:bCs/>
      <w:color w:val="auto"/>
      <w:kern w:val="2"/>
      <w:sz w:val="24"/>
      <w:szCs w:val="21"/>
      <w:lang w:val="en-US" w:eastAsia="zh-CN" w:bidi="ar-SA"/>
    </w:rPr>
  </w:style>
  <w:style w:type="character" w:customStyle="1" w:styleId="64">
    <w:name w:val="标题 4 字符"/>
    <w:link w:val="5"/>
    <w:qFormat/>
    <w:uiPriority w:val="0"/>
    <w:rPr>
      <w:rFonts w:ascii="宋体" w:hAnsi="宋体" w:eastAsia="宋体" w:cs="宋体"/>
      <w:b/>
      <w:bCs/>
      <w:kern w:val="0"/>
      <w:sz w:val="24"/>
      <w:szCs w:val="24"/>
      <w:lang w:val="en-US" w:eastAsia="zh-CN" w:bidi="ar-SA"/>
    </w:rPr>
  </w:style>
  <w:style w:type="character" w:customStyle="1" w:styleId="65">
    <w:name w:val="标题 5 字符"/>
    <w:basedOn w:val="48"/>
    <w:link w:val="9"/>
    <w:qFormat/>
    <w:uiPriority w:val="0"/>
    <w:rPr>
      <w:rFonts w:ascii="宋体" w:hAnsi="宋体" w:eastAsia="宋体" w:cs="宋体"/>
      <w:b/>
      <w:bCs/>
      <w:kern w:val="0"/>
      <w:sz w:val="20"/>
      <w:szCs w:val="20"/>
    </w:rPr>
  </w:style>
  <w:style w:type="character" w:customStyle="1" w:styleId="66">
    <w:name w:val="标题 6 字符"/>
    <w:basedOn w:val="48"/>
    <w:link w:val="10"/>
    <w:qFormat/>
    <w:uiPriority w:val="0"/>
    <w:rPr>
      <w:rFonts w:ascii="Times New Roman" w:hAnsi="Arial" w:eastAsia="方正仿宋_GB2312" w:cs="Times New Roman"/>
      <w:kern w:val="0"/>
      <w:sz w:val="30"/>
      <w:szCs w:val="20"/>
    </w:rPr>
  </w:style>
  <w:style w:type="character" w:customStyle="1" w:styleId="67">
    <w:name w:val="标题 7 字符"/>
    <w:basedOn w:val="48"/>
    <w:link w:val="12"/>
    <w:qFormat/>
    <w:uiPriority w:val="0"/>
    <w:rPr>
      <w:rFonts w:ascii="Times New Roman" w:hAnsi="Times New Roman" w:eastAsia="方正仿宋_GB2312" w:cs="Times New Roman"/>
      <w:kern w:val="0"/>
      <w:sz w:val="30"/>
      <w:szCs w:val="20"/>
    </w:rPr>
  </w:style>
  <w:style w:type="character" w:customStyle="1" w:styleId="68">
    <w:name w:val="标题 8 字符"/>
    <w:basedOn w:val="48"/>
    <w:link w:val="13"/>
    <w:qFormat/>
    <w:uiPriority w:val="0"/>
    <w:rPr>
      <w:rFonts w:ascii="Times New Roman" w:hAnsi="Arial" w:eastAsia="方正仿宋_GB2312" w:cs="Times New Roman"/>
      <w:kern w:val="0"/>
      <w:sz w:val="30"/>
      <w:szCs w:val="20"/>
    </w:rPr>
  </w:style>
  <w:style w:type="character" w:customStyle="1" w:styleId="69">
    <w:name w:val="标题 9 字符"/>
    <w:basedOn w:val="48"/>
    <w:link w:val="14"/>
    <w:qFormat/>
    <w:uiPriority w:val="0"/>
    <w:rPr>
      <w:rFonts w:ascii="Times New Roman" w:hAnsi="Times New Roman" w:eastAsia="方正仿宋_GB2312" w:cs="Times New Roman"/>
      <w:kern w:val="0"/>
      <w:sz w:val="30"/>
      <w:szCs w:val="20"/>
    </w:rPr>
  </w:style>
  <w:style w:type="character" w:customStyle="1" w:styleId="70">
    <w:name w:val="正文文本 字符"/>
    <w:basedOn w:val="48"/>
    <w:link w:val="2"/>
    <w:qFormat/>
    <w:uiPriority w:val="0"/>
    <w:rPr>
      <w:rFonts w:ascii="Times New Roman" w:hAnsi="Times New Roman" w:eastAsia="宋体" w:cs="Times New Roman"/>
      <w:szCs w:val="24"/>
    </w:rPr>
  </w:style>
  <w:style w:type="character" w:customStyle="1" w:styleId="71">
    <w:name w:val="文档结构图 字符"/>
    <w:basedOn w:val="48"/>
    <w:link w:val="17"/>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8"/>
    <w:qFormat/>
    <w:uiPriority w:val="0"/>
    <w:rPr>
      <w:rFonts w:ascii="Times New Roman" w:hAnsi="Times New Roman" w:eastAsia="宋体" w:cs="Times New Roman"/>
      <w:szCs w:val="24"/>
    </w:rPr>
  </w:style>
  <w:style w:type="character" w:customStyle="1" w:styleId="73">
    <w:name w:val="正文文本 3 字符"/>
    <w:basedOn w:val="48"/>
    <w:link w:val="19"/>
    <w:qFormat/>
    <w:uiPriority w:val="0"/>
    <w:rPr>
      <w:rFonts w:ascii="Times New Roman" w:hAnsi="Times New Roman" w:eastAsia="宋体" w:cs="Times New Roman"/>
      <w:sz w:val="16"/>
      <w:szCs w:val="16"/>
    </w:rPr>
  </w:style>
  <w:style w:type="character" w:customStyle="1" w:styleId="74">
    <w:name w:val="正文文本缩进 字符"/>
    <w:basedOn w:val="48"/>
    <w:link w:val="8"/>
    <w:qFormat/>
    <w:uiPriority w:val="0"/>
    <w:rPr>
      <w:rFonts w:ascii="Times New Roman" w:hAnsi="Times New Roman" w:eastAsia="宋体" w:cs="Times New Roman"/>
      <w:szCs w:val="24"/>
    </w:rPr>
  </w:style>
  <w:style w:type="character" w:customStyle="1" w:styleId="75">
    <w:name w:val="纯文本 字符"/>
    <w:basedOn w:val="48"/>
    <w:link w:val="24"/>
    <w:qFormat/>
    <w:uiPriority w:val="0"/>
    <w:rPr>
      <w:rFonts w:ascii="宋体" w:hAnsi="Courier New" w:eastAsia="宋体" w:cs="Courier New"/>
      <w:szCs w:val="21"/>
    </w:rPr>
  </w:style>
  <w:style w:type="character" w:customStyle="1" w:styleId="76">
    <w:name w:val="日期 字符"/>
    <w:basedOn w:val="48"/>
    <w:link w:val="26"/>
    <w:qFormat/>
    <w:uiPriority w:val="99"/>
    <w:rPr>
      <w:rFonts w:ascii="Times New Roman" w:hAnsi="Times New Roman" w:eastAsia="宋体" w:cs="Times New Roman"/>
      <w:szCs w:val="24"/>
    </w:rPr>
  </w:style>
  <w:style w:type="character" w:customStyle="1" w:styleId="77">
    <w:name w:val="正文文本缩进 2 字符"/>
    <w:basedOn w:val="48"/>
    <w:link w:val="27"/>
    <w:qFormat/>
    <w:uiPriority w:val="0"/>
    <w:rPr>
      <w:rFonts w:ascii="Times New Roman" w:hAnsi="Times New Roman" w:eastAsia="宋体" w:cs="Times New Roman"/>
      <w:kern w:val="0"/>
      <w:sz w:val="28"/>
      <w:szCs w:val="24"/>
    </w:rPr>
  </w:style>
  <w:style w:type="character" w:customStyle="1" w:styleId="78">
    <w:name w:val="尾注文本 字符"/>
    <w:basedOn w:val="48"/>
    <w:link w:val="28"/>
    <w:qFormat/>
    <w:uiPriority w:val="0"/>
    <w:rPr>
      <w:rFonts w:ascii="Arial" w:hAnsi="Arial" w:eastAsia="宋体" w:cs="Arial"/>
      <w:kern w:val="0"/>
      <w:sz w:val="20"/>
      <w:szCs w:val="24"/>
      <w:lang w:eastAsia="en-US"/>
    </w:rPr>
  </w:style>
  <w:style w:type="character" w:customStyle="1" w:styleId="79">
    <w:name w:val="批注框文本 字符"/>
    <w:basedOn w:val="48"/>
    <w:link w:val="29"/>
    <w:qFormat/>
    <w:uiPriority w:val="99"/>
    <w:rPr>
      <w:rFonts w:ascii="Times New Roman" w:hAnsi="Times New Roman" w:eastAsia="宋体" w:cs="Times New Roman"/>
      <w:sz w:val="18"/>
      <w:szCs w:val="18"/>
    </w:rPr>
  </w:style>
  <w:style w:type="character" w:customStyle="1" w:styleId="80">
    <w:name w:val="页脚 字符"/>
    <w:basedOn w:val="48"/>
    <w:link w:val="30"/>
    <w:qFormat/>
    <w:uiPriority w:val="99"/>
    <w:rPr>
      <w:rFonts w:ascii="Times New Roman" w:hAnsi="Times New Roman" w:eastAsia="宋体" w:cs="Times New Roman"/>
      <w:sz w:val="18"/>
      <w:szCs w:val="18"/>
    </w:rPr>
  </w:style>
  <w:style w:type="character" w:customStyle="1" w:styleId="81">
    <w:name w:val="页眉 字符"/>
    <w:basedOn w:val="48"/>
    <w:link w:val="31"/>
    <w:qFormat/>
    <w:uiPriority w:val="99"/>
    <w:rPr>
      <w:rFonts w:ascii="Times New Roman" w:hAnsi="Times New Roman" w:eastAsia="宋体" w:cs="Times New Roman"/>
      <w:sz w:val="18"/>
      <w:szCs w:val="18"/>
    </w:rPr>
  </w:style>
  <w:style w:type="character" w:customStyle="1" w:styleId="82">
    <w:name w:val="副标题 字符"/>
    <w:basedOn w:val="48"/>
    <w:link w:val="34"/>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5"/>
    <w:qFormat/>
    <w:uiPriority w:val="0"/>
    <w:rPr>
      <w:rFonts w:ascii="Arial" w:hAnsi="Arial" w:eastAsia="宋体" w:cs="Arial"/>
      <w:kern w:val="0"/>
      <w:sz w:val="18"/>
      <w:szCs w:val="18"/>
      <w:lang w:eastAsia="en-US"/>
    </w:rPr>
  </w:style>
  <w:style w:type="character" w:customStyle="1" w:styleId="84">
    <w:name w:val="正文文本缩进 3 字符"/>
    <w:basedOn w:val="48"/>
    <w:link w:val="37"/>
    <w:qFormat/>
    <w:uiPriority w:val="0"/>
    <w:rPr>
      <w:rFonts w:ascii="宋体" w:hAnsi="宋体" w:eastAsia="宋体" w:cs="Times New Roman"/>
      <w:sz w:val="28"/>
      <w:szCs w:val="28"/>
    </w:rPr>
  </w:style>
  <w:style w:type="character" w:customStyle="1" w:styleId="85">
    <w:name w:val="正文文本 2 字符"/>
    <w:basedOn w:val="48"/>
    <w:link w:val="40"/>
    <w:qFormat/>
    <w:uiPriority w:val="0"/>
    <w:rPr>
      <w:rFonts w:ascii="Times New Roman" w:hAnsi="Times New Roman" w:eastAsia="宋体" w:cs="Times New Roman"/>
      <w:i/>
      <w:iCs/>
      <w:sz w:val="26"/>
      <w:szCs w:val="24"/>
    </w:rPr>
  </w:style>
  <w:style w:type="character" w:customStyle="1" w:styleId="86">
    <w:name w:val="HTML 预设格式 字符"/>
    <w:basedOn w:val="48"/>
    <w:link w:val="41"/>
    <w:qFormat/>
    <w:uiPriority w:val="0"/>
    <w:rPr>
      <w:rFonts w:ascii="宋体" w:hAnsi="宋体" w:eastAsia="宋体" w:cs="宋体"/>
      <w:color w:val="000000"/>
      <w:kern w:val="0"/>
      <w:sz w:val="24"/>
      <w:szCs w:val="24"/>
    </w:rPr>
  </w:style>
  <w:style w:type="character" w:customStyle="1" w:styleId="87">
    <w:name w:val="标题 字符"/>
    <w:basedOn w:val="48"/>
    <w:link w:val="44"/>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5"/>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7"/>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微软雅黑" w:hAnsi="宋体" w:eastAsia="微软雅黑"/>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7"/>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6"/>
    <w:next w:val="1"/>
    <w:qFormat/>
    <w:uiPriority w:val="0"/>
    <w:pPr>
      <w:spacing w:before="0" w:after="0" w:line="400" w:lineRule="exact"/>
    </w:pPr>
    <w:rPr>
      <w:rFonts w:eastAsia="黑体" w:cs="宋体"/>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3"/>
    <w:next w:val="1"/>
    <w:unhideWhenUsed/>
    <w:qFormat/>
    <w:uiPriority w:val="0"/>
    <w:pPr>
      <w:outlineLvl w:val="9"/>
    </w:pPr>
    <w:rPr>
      <w:rFonts w:ascii="Calibri" w:hAnsi="Calibri"/>
    </w:rPr>
  </w:style>
  <w:style w:type="paragraph" w:customStyle="1" w:styleId="100">
    <w:name w:val="样式1"/>
    <w:basedOn w:val="1"/>
    <w:next w:val="5"/>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方正仿宋_GB2312" w:hAnsi="宋体" w:eastAsia="方正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7"/>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Times New Roman" w:hAnsi="Times New Roman"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4"/>
    <w:next w:val="21"/>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6"/>
    <w:qFormat/>
    <w:uiPriority w:val="0"/>
    <w:pPr>
      <w:keepNext w:val="0"/>
      <w:keepLines w:val="0"/>
      <w:tabs>
        <w:tab w:val="left" w:pos="0"/>
        <w:tab w:val="left" w:pos="210"/>
        <w:tab w:val="left" w:pos="420"/>
        <w:tab w:val="left" w:pos="1260"/>
      </w:tabs>
      <w:adjustRightInd w:val="0"/>
      <w:spacing w:before="0" w:after="0" w:line="240" w:lineRule="auto"/>
      <w:jc w:val="left"/>
    </w:pPr>
    <w:rPr>
      <w:rFonts w:ascii="方正仿宋_GB2312" w:hAnsi="Calibri" w:eastAsia="方正仿宋_GB2312"/>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7"/>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方正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3"/>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6"/>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7"/>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4"/>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方正仿宋_GB2312" w:hAnsi="Calibri" w:eastAsia="方正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方正仿宋_GB2312" w:eastAsia="方正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方正仿宋_GB2312" w:eastAsia="方正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方正仿宋_GB2312" w:eastAsia="方正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方正仿宋_GB2312" w:eastAsia="方正仿宋_GB2312" w:cs="MingLiU"/>
      <w:b/>
      <w:sz w:val="24"/>
      <w:szCs w:val="28"/>
    </w:rPr>
  </w:style>
  <w:style w:type="character" w:customStyle="1" w:styleId="214">
    <w:name w:val="标题 2 Char"/>
    <w:qFormat/>
    <w:uiPriority w:val="0"/>
    <w:rPr>
      <w:rFonts w:ascii="方正仿宋_GB2312" w:hAnsi="Calibri" w:eastAsia="方正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方正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方正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方正仿宋_GB2312" w:eastAsia="方正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方正仿宋_GB2312" w:eastAsia="方正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方正仿宋_GB2312" w:eastAsia="方正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方正仿宋_GB2312" w:eastAsia="方正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方正仿宋_GB2312" w:hAnsi="Calibri" w:eastAsia="方正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方正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方正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方正仿宋_GB2312" w:eastAsia="方正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Times New Roman" w:hAnsi="Times New Roman"/>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 w:type="paragraph" w:customStyle="1" w:styleId="331">
    <w:name w:val="列出段落2"/>
    <w:basedOn w:val="1"/>
    <w:qFormat/>
    <w:uiPriority w:val="0"/>
    <w:pPr>
      <w:spacing w:line="360" w:lineRule="auto"/>
      <w:ind w:left="0" w:leftChars="0" w:right="0" w:rightChars="0" w:firstLine="420" w:firstLineChars="200"/>
    </w:pPr>
    <w:rPr>
      <w:rFonts w:eastAsia="宋体"/>
    </w:rPr>
  </w:style>
  <w:style w:type="character" w:customStyle="1" w:styleId="332">
    <w:name w:val="font11"/>
    <w:basedOn w:val="48"/>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132</Pages>
  <Words>20494</Words>
  <Characters>21813</Characters>
  <Lines>935</Lines>
  <Paragraphs>263</Paragraphs>
  <TotalTime>2</TotalTime>
  <ScaleCrop>false</ScaleCrop>
  <LinksUpToDate>false</LinksUpToDate>
  <CharactersWithSpaces>22710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2026-06-10T06:51:13Z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493374959DF9489ABF95DE62CE4D0E93_13</vt:lpwstr>
  </property>
  <property fmtid="{D5CDD505-2E9C-101B-9397-08002B2CF9AE}" pid="4" name="KSOTemplateDocerSaveRecord">
    <vt:lpwstr>eyJoZGlkIjoiODViY2JkMjU3NGYzZTEwMzZmMGFkZWViYmNkYWU3NDIiLCJ1c2VySWQiOiI1MDg2MjI3ODgifQ==</vt:lpwstr>
  </property>
</Properties>
</file>