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DD2F39">
      <w:pPr>
        <w:pStyle w:val="8"/>
        <w:ind w:firstLine="0" w:firstLineChars="0"/>
        <w:rPr>
          <w:rFonts w:ascii="方正黑体_GBK" w:hAnsi="方正黑体_GBK" w:eastAsia="方正黑体_GBK" w:cs="方正黑体_GBK"/>
          <w:sz w:val="32"/>
          <w:szCs w:val="32"/>
        </w:rPr>
      </w:pPr>
    </w:p>
    <w:p w14:paraId="40520BED">
      <w:pPr>
        <w:spacing w:line="595" w:lineRule="exact"/>
        <w:rPr>
          <w:rFonts w:ascii="Times New Roman" w:hAnsi="Times New Roman" w:eastAsia="方正小标宋_GBK"/>
          <w:spacing w:val="-20"/>
          <w:sz w:val="72"/>
          <w:szCs w:val="72"/>
        </w:rPr>
      </w:pPr>
    </w:p>
    <w:p w14:paraId="1ECF1FCE">
      <w:pPr>
        <w:spacing w:line="595" w:lineRule="exact"/>
        <w:jc w:val="center"/>
        <w:rPr>
          <w:rFonts w:ascii="Times New Roman" w:hAnsi="Times New Roman" w:eastAsia="方正小标宋_GBK"/>
          <w:spacing w:val="-20"/>
          <w:sz w:val="72"/>
          <w:szCs w:val="72"/>
        </w:rPr>
      </w:pPr>
    </w:p>
    <w:p w14:paraId="53630042">
      <w:pPr>
        <w:jc w:val="center"/>
        <w:outlineLvl w:val="0"/>
        <w:rPr>
          <w:rFonts w:hint="eastAsia" w:ascii="Times New Roman" w:hAnsi="Times New Roman" w:eastAsia="方正小标宋_GBK"/>
          <w:spacing w:val="-20"/>
          <w:sz w:val="36"/>
          <w:szCs w:val="36"/>
        </w:rPr>
      </w:pPr>
      <w:bookmarkStart w:id="0" w:name="_Toc8985"/>
      <w:r>
        <w:rPr>
          <w:rFonts w:hint="eastAsia" w:ascii="Times New Roman" w:hAnsi="Times New Roman" w:eastAsia="方正小标宋_GBK"/>
          <w:spacing w:val="-20"/>
          <w:sz w:val="36"/>
          <w:szCs w:val="36"/>
        </w:rPr>
        <w:t>乌江涪陵榨菜绿色智能化生产基地(二期)招标代理中介服务</w:t>
      </w:r>
    </w:p>
    <w:p w14:paraId="1266AC65">
      <w:pPr>
        <w:jc w:val="center"/>
        <w:outlineLvl w:val="0"/>
        <w:rPr>
          <w:rFonts w:ascii="Times New Roman" w:hAnsi="Times New Roman" w:eastAsia="方正小标宋_GBK"/>
          <w:spacing w:val="-20"/>
          <w:sz w:val="48"/>
          <w:szCs w:val="48"/>
        </w:rPr>
      </w:pPr>
    </w:p>
    <w:p w14:paraId="6C412534">
      <w:pPr>
        <w:jc w:val="center"/>
        <w:outlineLvl w:val="0"/>
        <w:rPr>
          <w:rFonts w:ascii="Times New Roman" w:hAnsi="Times New Roman" w:eastAsia="方正小标宋_GBK"/>
          <w:spacing w:val="-20"/>
          <w:sz w:val="48"/>
          <w:szCs w:val="48"/>
        </w:rPr>
      </w:pPr>
    </w:p>
    <w:p w14:paraId="18D2DC38">
      <w:pPr>
        <w:jc w:val="center"/>
        <w:outlineLvl w:val="0"/>
        <w:rPr>
          <w:rFonts w:ascii="Times New Roman" w:hAnsi="Times New Roman" w:eastAsia="方正小标宋_GBK"/>
          <w:spacing w:val="-20"/>
          <w:sz w:val="48"/>
          <w:szCs w:val="48"/>
        </w:rPr>
      </w:pPr>
    </w:p>
    <w:p w14:paraId="2E89CFFC">
      <w:pPr>
        <w:jc w:val="center"/>
        <w:outlineLvl w:val="0"/>
        <w:rPr>
          <w:rFonts w:ascii="Times New Roman" w:hAnsi="Times New Roman" w:eastAsia="方正小标宋_GBK"/>
          <w:spacing w:val="-20"/>
          <w:sz w:val="48"/>
          <w:szCs w:val="48"/>
        </w:rPr>
      </w:pPr>
    </w:p>
    <w:p w14:paraId="6881C3E6">
      <w:pPr>
        <w:jc w:val="center"/>
        <w:outlineLvl w:val="0"/>
        <w:rPr>
          <w:rFonts w:ascii="Times New Roman" w:hAnsi="Times New Roman" w:eastAsia="方正小标宋_GBK"/>
          <w:spacing w:val="-20"/>
          <w:sz w:val="52"/>
          <w:szCs w:val="52"/>
        </w:rPr>
      </w:pPr>
      <w:r>
        <w:rPr>
          <w:rFonts w:ascii="Times New Roman" w:hAnsi="Times New Roman" w:eastAsia="方正小标宋_GBK"/>
          <w:spacing w:val="-20"/>
          <w:sz w:val="48"/>
          <w:szCs w:val="48"/>
        </w:rPr>
        <w:t>竞争性比选文件</w:t>
      </w:r>
      <w:bookmarkEnd w:id="0"/>
    </w:p>
    <w:p w14:paraId="170B18D8">
      <w:pPr>
        <w:spacing w:line="595" w:lineRule="exact"/>
        <w:rPr>
          <w:rFonts w:ascii="Times New Roman" w:hAnsi="Times New Roman" w:eastAsia="方正小标宋_GBK"/>
          <w:sz w:val="48"/>
          <w:szCs w:val="48"/>
        </w:rPr>
      </w:pPr>
    </w:p>
    <w:p w14:paraId="2C863D1D">
      <w:pPr>
        <w:spacing w:line="595" w:lineRule="exact"/>
        <w:rPr>
          <w:rFonts w:ascii="Times New Roman" w:hAnsi="Times New Roman"/>
          <w:sz w:val="28"/>
          <w:szCs w:val="28"/>
        </w:rPr>
      </w:pPr>
    </w:p>
    <w:p w14:paraId="7DEA5910">
      <w:pPr>
        <w:spacing w:line="595" w:lineRule="exact"/>
        <w:rPr>
          <w:rFonts w:ascii="Times New Roman" w:hAnsi="Times New Roman"/>
          <w:sz w:val="28"/>
          <w:szCs w:val="28"/>
        </w:rPr>
      </w:pPr>
    </w:p>
    <w:p w14:paraId="21182F9E">
      <w:pPr>
        <w:spacing w:line="595" w:lineRule="exact"/>
        <w:rPr>
          <w:rFonts w:ascii="Times New Roman" w:hAnsi="Times New Roman"/>
          <w:sz w:val="28"/>
          <w:szCs w:val="28"/>
        </w:rPr>
      </w:pPr>
    </w:p>
    <w:p w14:paraId="4D4DB6E1">
      <w:pPr>
        <w:spacing w:line="360" w:lineRule="auto"/>
        <w:jc w:val="center"/>
        <w:rPr>
          <w:rFonts w:ascii="Times New Roman" w:hAnsi="Times New Roman" w:eastAsia="方正仿宋_GB2312"/>
          <w:bCs/>
          <w:spacing w:val="8"/>
          <w:kern w:val="0"/>
          <w:sz w:val="32"/>
          <w:szCs w:val="32"/>
        </w:rPr>
      </w:pPr>
    </w:p>
    <w:p w14:paraId="57D215D2">
      <w:pPr>
        <w:spacing w:line="360" w:lineRule="auto"/>
        <w:jc w:val="center"/>
        <w:rPr>
          <w:rFonts w:ascii="Times New Roman" w:hAnsi="Times New Roman" w:eastAsia="方正仿宋_GB2312"/>
          <w:bCs/>
          <w:spacing w:val="8"/>
          <w:kern w:val="0"/>
          <w:sz w:val="32"/>
          <w:szCs w:val="32"/>
        </w:rPr>
      </w:pPr>
    </w:p>
    <w:p w14:paraId="67D37D04">
      <w:pPr>
        <w:spacing w:line="360" w:lineRule="auto"/>
        <w:jc w:val="center"/>
        <w:rPr>
          <w:rFonts w:ascii="Times New Roman" w:hAnsi="Times New Roman" w:eastAsia="方正仿宋_GB2312"/>
          <w:bCs/>
          <w:spacing w:val="8"/>
          <w:kern w:val="0"/>
          <w:sz w:val="32"/>
          <w:szCs w:val="32"/>
        </w:rPr>
      </w:pPr>
      <w:r>
        <w:rPr>
          <w:rFonts w:hint="eastAsia" w:ascii="Times New Roman" w:hAnsi="Times New Roman" w:eastAsia="方正仿宋_GB2312"/>
          <w:bCs/>
          <w:spacing w:val="8"/>
          <w:kern w:val="0"/>
          <w:sz w:val="32"/>
          <w:szCs w:val="32"/>
        </w:rPr>
        <w:t>重庆市涪陵榨菜集团股份有限公司</w:t>
      </w:r>
    </w:p>
    <w:p w14:paraId="7D36B5D9">
      <w:pPr>
        <w:tabs>
          <w:tab w:val="left" w:pos="3200"/>
          <w:tab w:val="left" w:pos="4320"/>
          <w:tab w:val="left" w:pos="5420"/>
        </w:tabs>
        <w:autoSpaceDE w:val="0"/>
        <w:autoSpaceDN w:val="0"/>
        <w:adjustRightInd w:val="0"/>
        <w:snapToGrid w:val="0"/>
        <w:spacing w:line="360" w:lineRule="auto"/>
        <w:ind w:firstLine="174" w:firstLineChars="52"/>
        <w:jc w:val="center"/>
        <w:rPr>
          <w:rFonts w:ascii="Times New Roman" w:hAnsi="Times New Roman" w:eastAsia="方正小标宋_GBK"/>
          <w:sz w:val="44"/>
          <w:szCs w:val="44"/>
        </w:rPr>
      </w:pPr>
      <w:r>
        <w:rPr>
          <w:rFonts w:ascii="Times New Roman" w:hAnsi="Times New Roman" w:eastAsia="方正仿宋_GB2312"/>
          <w:bCs/>
          <w:spacing w:val="8"/>
          <w:sz w:val="32"/>
          <w:szCs w:val="32"/>
        </w:rPr>
        <w:t>202</w:t>
      </w:r>
      <w:r>
        <w:rPr>
          <w:rFonts w:hint="eastAsia" w:ascii="Times New Roman" w:hAnsi="Times New Roman" w:eastAsia="方正仿宋_GB2312"/>
          <w:bCs/>
          <w:spacing w:val="8"/>
          <w:sz w:val="32"/>
          <w:szCs w:val="32"/>
        </w:rPr>
        <w:t>6</w:t>
      </w:r>
      <w:r>
        <w:rPr>
          <w:rFonts w:ascii="Times New Roman" w:hAnsi="Times New Roman" w:eastAsia="方正仿宋_GB2312"/>
          <w:bCs/>
          <w:spacing w:val="8"/>
          <w:sz w:val="32"/>
          <w:szCs w:val="32"/>
        </w:rPr>
        <w:t>年</w:t>
      </w:r>
      <w:r>
        <w:rPr>
          <w:rFonts w:hint="eastAsia" w:ascii="Times New Roman" w:hAnsi="Times New Roman" w:eastAsia="方正仿宋_GB2312"/>
          <w:bCs/>
          <w:spacing w:val="8"/>
          <w:sz w:val="32"/>
          <w:szCs w:val="32"/>
        </w:rPr>
        <w:t>06</w:t>
      </w:r>
      <w:r>
        <w:rPr>
          <w:rFonts w:ascii="Times New Roman" w:hAnsi="Times New Roman" w:eastAsia="方正仿宋_GB2312"/>
          <w:bCs/>
          <w:spacing w:val="8"/>
          <w:sz w:val="32"/>
          <w:szCs w:val="32"/>
        </w:rPr>
        <w:t>月</w:t>
      </w:r>
      <w:r>
        <w:rPr>
          <w:rFonts w:ascii="Times New Roman" w:hAnsi="Times New Roman" w:eastAsia="方正小标宋_GBK"/>
          <w:sz w:val="44"/>
          <w:szCs w:val="44"/>
        </w:rPr>
        <w:br w:type="page"/>
      </w:r>
    </w:p>
    <w:p w14:paraId="656DD7F5">
      <w:pPr>
        <w:pStyle w:val="7"/>
        <w:ind w:firstLine="640"/>
        <w:rPr>
          <w:sz w:val="28"/>
          <w:szCs w:val="22"/>
        </w:rPr>
      </w:pPr>
    </w:p>
    <w:p w14:paraId="1E04AFF6">
      <w:pPr>
        <w:spacing w:line="595" w:lineRule="exact"/>
        <w:jc w:val="center"/>
        <w:outlineLvl w:val="0"/>
        <w:rPr>
          <w:rFonts w:ascii="Times New Roman" w:hAnsi="Times New Roman" w:eastAsia="方正小标宋_GBK"/>
          <w:sz w:val="40"/>
          <w:szCs w:val="40"/>
        </w:rPr>
      </w:pPr>
      <w:bookmarkStart w:id="1" w:name="_Toc10562"/>
      <w:r>
        <w:rPr>
          <w:rFonts w:ascii="Times New Roman" w:hAnsi="Times New Roman" w:eastAsia="方正小标宋_GBK"/>
          <w:sz w:val="40"/>
          <w:szCs w:val="40"/>
        </w:rPr>
        <w:t>目   录</w:t>
      </w:r>
      <w:bookmarkEnd w:id="1"/>
    </w:p>
    <w:p w14:paraId="497A821D">
      <w:pPr>
        <w:spacing w:line="595" w:lineRule="exact"/>
        <w:jc w:val="center"/>
        <w:rPr>
          <w:rFonts w:ascii="Times New Roman" w:hAnsi="Times New Roman" w:eastAsia="黑体"/>
          <w:sz w:val="36"/>
          <w:szCs w:val="36"/>
        </w:rPr>
      </w:pPr>
    </w:p>
    <w:p w14:paraId="2A1E298A">
      <w:pPr>
        <w:spacing w:line="595" w:lineRule="exact"/>
        <w:ind w:firstLine="480" w:firstLineChars="200"/>
        <w:rPr>
          <w:rFonts w:ascii="Times New Roman" w:hAnsi="Times New Roman" w:eastAsia="方正黑体_GBK"/>
          <w:sz w:val="24"/>
          <w:szCs w:val="24"/>
        </w:rPr>
      </w:pPr>
    </w:p>
    <w:p w14:paraId="66AC71BB">
      <w:pPr>
        <w:numPr>
          <w:ilvl w:val="0"/>
          <w:numId w:val="1"/>
        </w:numPr>
        <w:spacing w:line="595" w:lineRule="exact"/>
        <w:ind w:firstLine="480" w:firstLineChars="200"/>
        <w:rPr>
          <w:rFonts w:ascii="Times New Roman" w:hAnsi="Times New Roman" w:eastAsia="方正黑体_GBK"/>
          <w:sz w:val="24"/>
          <w:szCs w:val="24"/>
        </w:rPr>
      </w:pPr>
      <w:r>
        <w:rPr>
          <w:rFonts w:ascii="Times New Roman" w:hAnsi="Times New Roman" w:eastAsia="方正黑体_GBK"/>
          <w:sz w:val="24"/>
          <w:szCs w:val="24"/>
        </w:rPr>
        <w:t>比选公告</w:t>
      </w:r>
    </w:p>
    <w:p w14:paraId="251792B2">
      <w:pPr>
        <w:spacing w:line="595" w:lineRule="exact"/>
        <w:ind w:firstLine="480" w:firstLineChars="200"/>
        <w:rPr>
          <w:rFonts w:ascii="Times New Roman" w:hAnsi="Times New Roman" w:eastAsia="方正黑体_GBK"/>
          <w:sz w:val="24"/>
          <w:szCs w:val="24"/>
        </w:rPr>
      </w:pPr>
      <w:r>
        <w:rPr>
          <w:rFonts w:hint="eastAsia" w:ascii="Times New Roman" w:hAnsi="Times New Roman" w:eastAsia="方正黑体_GBK"/>
          <w:sz w:val="24"/>
          <w:szCs w:val="24"/>
        </w:rPr>
        <w:t>第二章</w:t>
      </w:r>
      <w:r>
        <w:rPr>
          <w:rFonts w:ascii="Times New Roman" w:hAnsi="Times New Roman" w:eastAsia="方正黑体_GBK"/>
          <w:sz w:val="24"/>
          <w:szCs w:val="24"/>
        </w:rPr>
        <w:t xml:space="preserve"> 比选须知及评分标准</w:t>
      </w:r>
    </w:p>
    <w:p w14:paraId="4D3F4F12">
      <w:pPr>
        <w:spacing w:line="595" w:lineRule="exact"/>
        <w:ind w:firstLine="480" w:firstLineChars="200"/>
        <w:rPr>
          <w:rFonts w:ascii="Times New Roman" w:hAnsi="Times New Roman" w:eastAsia="方正黑体_GBK"/>
          <w:sz w:val="24"/>
          <w:szCs w:val="24"/>
        </w:rPr>
      </w:pPr>
      <w:r>
        <w:rPr>
          <w:rFonts w:ascii="Times New Roman" w:hAnsi="Times New Roman" w:eastAsia="方正黑体_GBK"/>
          <w:sz w:val="24"/>
          <w:szCs w:val="24"/>
        </w:rPr>
        <w:t>第</w:t>
      </w:r>
      <w:r>
        <w:rPr>
          <w:rFonts w:hint="eastAsia" w:ascii="Times New Roman" w:hAnsi="Times New Roman" w:eastAsia="方正黑体_GBK"/>
          <w:sz w:val="24"/>
          <w:szCs w:val="24"/>
        </w:rPr>
        <w:t>三</w:t>
      </w:r>
      <w:r>
        <w:rPr>
          <w:rFonts w:ascii="Times New Roman" w:hAnsi="Times New Roman" w:eastAsia="方正黑体_GBK"/>
          <w:sz w:val="24"/>
          <w:szCs w:val="24"/>
        </w:rPr>
        <w:t xml:space="preserve">章 </w:t>
      </w:r>
      <w:r>
        <w:rPr>
          <w:rFonts w:hint="eastAsia" w:ascii="Times New Roman" w:hAnsi="Times New Roman" w:eastAsia="方正黑体_GBK"/>
          <w:sz w:val="24"/>
          <w:szCs w:val="24"/>
        </w:rPr>
        <w:t>竞选文件</w:t>
      </w:r>
      <w:r>
        <w:rPr>
          <w:rFonts w:ascii="Times New Roman" w:hAnsi="Times New Roman" w:eastAsia="方正黑体_GBK"/>
          <w:sz w:val="24"/>
          <w:szCs w:val="24"/>
        </w:rPr>
        <w:t>要求</w:t>
      </w:r>
    </w:p>
    <w:p w14:paraId="6B0E3137">
      <w:pPr>
        <w:rPr>
          <w:rFonts w:ascii="Times New Roman" w:hAnsi="Times New Roman" w:eastAsia="方正小标宋_GBK"/>
          <w:sz w:val="36"/>
          <w:szCs w:val="36"/>
        </w:rPr>
      </w:pPr>
      <w:bookmarkStart w:id="2" w:name="_Toc478234248"/>
      <w:bookmarkStart w:id="3" w:name="_Toc9647"/>
      <w:r>
        <w:rPr>
          <w:rFonts w:ascii="Times New Roman" w:hAnsi="Times New Roman" w:eastAsia="方正小标宋_GBK"/>
          <w:sz w:val="36"/>
          <w:szCs w:val="36"/>
        </w:rPr>
        <w:br w:type="page"/>
      </w:r>
    </w:p>
    <w:p w14:paraId="794108A6">
      <w:pPr>
        <w:spacing w:line="595" w:lineRule="exact"/>
        <w:jc w:val="center"/>
        <w:outlineLvl w:val="0"/>
        <w:rPr>
          <w:rFonts w:ascii="Times New Roman" w:hAnsi="Times New Roman" w:eastAsia="方正小标宋_GBK"/>
          <w:sz w:val="40"/>
          <w:szCs w:val="40"/>
        </w:rPr>
      </w:pPr>
      <w:r>
        <w:rPr>
          <w:rFonts w:ascii="Times New Roman" w:hAnsi="Times New Roman" w:eastAsia="方正小标宋_GBK"/>
          <w:sz w:val="40"/>
          <w:szCs w:val="40"/>
        </w:rPr>
        <w:t xml:space="preserve">第一章  </w:t>
      </w:r>
      <w:bookmarkEnd w:id="2"/>
      <w:r>
        <w:rPr>
          <w:rFonts w:ascii="Times New Roman" w:hAnsi="Times New Roman" w:eastAsia="方正小标宋_GBK"/>
          <w:sz w:val="40"/>
          <w:szCs w:val="40"/>
        </w:rPr>
        <w:t>比选公告</w:t>
      </w:r>
      <w:bookmarkEnd w:id="3"/>
    </w:p>
    <w:p w14:paraId="28737F59">
      <w:pPr>
        <w:snapToGrid w:val="0"/>
        <w:spacing w:line="600" w:lineRule="exact"/>
        <w:ind w:firstLine="640" w:firstLineChars="200"/>
        <w:jc w:val="center"/>
        <w:rPr>
          <w:rFonts w:ascii="Times New Roman" w:hAnsi="Times New Roman" w:eastAsia="方正仿宋_GB2312"/>
          <w:sz w:val="32"/>
          <w:szCs w:val="32"/>
        </w:rPr>
      </w:pPr>
      <w:bookmarkStart w:id="42" w:name="_GoBack"/>
      <w:r>
        <w:rPr>
          <w:rFonts w:hint="eastAsia" w:ascii="Times New Roman" w:hAnsi="Times New Roman" w:eastAsia="方正仿宋_GB2312"/>
          <w:sz w:val="32"/>
          <w:szCs w:val="32"/>
        </w:rPr>
        <w:t>乌江涪陵榨菜绿色智能化生产基地(二期)招标代理中介服务比选公告</w:t>
      </w:r>
    </w:p>
    <w:bookmarkEnd w:id="42"/>
    <w:p w14:paraId="3863C52A">
      <w:pPr>
        <w:pStyle w:val="3"/>
        <w:spacing w:before="100" w:after="100" w:line="360" w:lineRule="auto"/>
        <w:rPr>
          <w:rFonts w:ascii="宋体" w:hAnsi="宋体" w:eastAsia="宋体" w:cs="宋体"/>
          <w:color w:val="000000"/>
          <w:sz w:val="24"/>
        </w:rPr>
      </w:pPr>
      <w:r>
        <w:rPr>
          <w:rFonts w:hint="eastAsia" w:ascii="宋体" w:hAnsi="宋体" w:eastAsia="宋体" w:cs="宋体"/>
          <w:color w:val="000000"/>
          <w:sz w:val="24"/>
        </w:rPr>
        <w:t>一、 招标条件</w:t>
      </w:r>
    </w:p>
    <w:p w14:paraId="271D609A">
      <w:pPr>
        <w:tabs>
          <w:tab w:val="left" w:pos="3390"/>
          <w:tab w:val="left" w:pos="3420"/>
          <w:tab w:val="left" w:pos="6120"/>
          <w:tab w:val="left" w:pos="7540"/>
          <w:tab w:val="left" w:pos="8320"/>
        </w:tabs>
        <w:autoSpaceDE w:val="0"/>
        <w:autoSpaceDN w:val="0"/>
        <w:adjustRightInd w:val="0"/>
        <w:snapToGrid w:val="0"/>
        <w:spacing w:line="360" w:lineRule="auto"/>
        <w:ind w:firstLine="480" w:firstLineChars="200"/>
        <w:rPr>
          <w:rFonts w:ascii="宋体" w:hAnsi="宋体" w:cs="宋体"/>
          <w:bCs/>
          <w:color w:val="000000"/>
          <w:sz w:val="24"/>
        </w:rPr>
      </w:pPr>
      <w:r>
        <w:rPr>
          <w:rFonts w:hint="eastAsia" w:ascii="宋体" w:hAnsi="宋体" w:cs="宋体"/>
          <w:bCs/>
          <w:color w:val="000000"/>
          <w:sz w:val="24"/>
        </w:rPr>
        <w:t>本招标项目乌江涪陵榨菜绿色智能化生产基地(二期)已由</w:t>
      </w:r>
      <w:r>
        <w:rPr>
          <w:rFonts w:hint="eastAsia" w:ascii="宋体" w:hAnsi="宋体" w:cs="宋体"/>
          <w:bCs/>
          <w:color w:val="000000"/>
          <w:sz w:val="24"/>
          <w:u w:val="single"/>
        </w:rPr>
        <w:t xml:space="preserve">  重庆市涪陵区发展和改革委员会以重庆市企业投资项目备案证（项目代码：2501-500102-04-01-144081)</w:t>
      </w:r>
      <w:r>
        <w:rPr>
          <w:rFonts w:hint="eastAsia" w:ascii="宋体" w:hAnsi="宋体" w:cs="宋体"/>
          <w:bCs/>
          <w:color w:val="000000"/>
          <w:sz w:val="24"/>
        </w:rPr>
        <w:t>批准建设，项目业主为</w:t>
      </w:r>
      <w:r>
        <w:rPr>
          <w:rFonts w:hint="eastAsia" w:ascii="宋体" w:hAnsi="宋体" w:cs="宋体"/>
          <w:bCs/>
          <w:color w:val="000000"/>
          <w:sz w:val="24"/>
          <w:u w:val="single"/>
        </w:rPr>
        <w:t>重庆市涪陵榨菜集团股份有限公司</w:t>
      </w:r>
      <w:r>
        <w:rPr>
          <w:rFonts w:hint="eastAsia" w:ascii="宋体" w:hAnsi="宋体" w:cs="宋体"/>
          <w:bCs/>
          <w:color w:val="000000"/>
          <w:sz w:val="24"/>
        </w:rPr>
        <w:t>，建设资金来自</w:t>
      </w:r>
      <w:r>
        <w:rPr>
          <w:rFonts w:hint="eastAsia" w:ascii="宋体" w:hAnsi="宋体" w:cs="宋体"/>
          <w:bCs/>
          <w:color w:val="000000"/>
          <w:sz w:val="24"/>
          <w:u w:val="single"/>
        </w:rPr>
        <w:t>企业自筹</w:t>
      </w:r>
      <w:r>
        <w:rPr>
          <w:rFonts w:hint="eastAsia" w:ascii="宋体" w:hAnsi="宋体" w:cs="宋体"/>
          <w:bCs/>
          <w:color w:val="000000"/>
          <w:sz w:val="24"/>
        </w:rPr>
        <w:t>，项目出资比例为</w:t>
      </w:r>
      <w:r>
        <w:rPr>
          <w:rFonts w:hint="eastAsia" w:ascii="宋体" w:hAnsi="宋体" w:cs="宋体"/>
          <w:bCs/>
          <w:color w:val="000000"/>
          <w:sz w:val="24"/>
          <w:u w:val="single"/>
        </w:rPr>
        <w:t>100%</w:t>
      </w:r>
      <w:r>
        <w:rPr>
          <w:rFonts w:hint="eastAsia" w:ascii="宋体" w:hAnsi="宋体" w:cs="宋体"/>
          <w:bCs/>
          <w:color w:val="000000"/>
          <w:sz w:val="24"/>
        </w:rPr>
        <w:t>，比选人为</w:t>
      </w:r>
      <w:r>
        <w:rPr>
          <w:rFonts w:hint="eastAsia" w:ascii="宋体" w:hAnsi="宋体" w:cs="宋体"/>
          <w:bCs/>
          <w:color w:val="000000"/>
          <w:sz w:val="24"/>
          <w:u w:val="single"/>
        </w:rPr>
        <w:t>重庆市涪陵榨菜集团股份有限公司</w:t>
      </w:r>
      <w:r>
        <w:rPr>
          <w:rFonts w:hint="eastAsia" w:ascii="宋体" w:hAnsi="宋体" w:cs="宋体"/>
          <w:bCs/>
          <w:color w:val="000000"/>
          <w:sz w:val="24"/>
        </w:rPr>
        <w:t>。项目已具备招标条件，现对</w:t>
      </w:r>
      <w:r>
        <w:rPr>
          <w:rFonts w:hint="eastAsia" w:ascii="宋体" w:hAnsi="宋体" w:cs="宋体"/>
          <w:bCs/>
          <w:color w:val="000000"/>
          <w:sz w:val="24"/>
          <w:u w:val="single"/>
        </w:rPr>
        <w:t>乌江涪陵榨菜绿色智能化生产基地(二期)招标代理中介服务</w:t>
      </w:r>
      <w:r>
        <w:rPr>
          <w:rFonts w:hint="eastAsia" w:ascii="宋体" w:hAnsi="宋体" w:cs="宋体"/>
          <w:bCs/>
          <w:color w:val="000000"/>
          <w:sz w:val="24"/>
        </w:rPr>
        <w:t>进行公开比选。</w:t>
      </w:r>
    </w:p>
    <w:p w14:paraId="38525E08">
      <w:pPr>
        <w:spacing w:line="360" w:lineRule="auto"/>
        <w:rPr>
          <w:rFonts w:ascii="宋体" w:hAnsi="宋体" w:cs="宋体"/>
          <w:b/>
          <w:color w:val="000000"/>
          <w:sz w:val="24"/>
        </w:rPr>
      </w:pPr>
      <w:r>
        <w:rPr>
          <w:rFonts w:hint="eastAsia" w:ascii="宋体" w:hAnsi="宋体" w:cs="宋体"/>
          <w:b/>
          <w:color w:val="000000"/>
          <w:sz w:val="24"/>
        </w:rPr>
        <w:t>二、项目概况、招标范围</w:t>
      </w:r>
    </w:p>
    <w:p w14:paraId="0B8785DF">
      <w:pPr>
        <w:spacing w:line="360" w:lineRule="auto"/>
        <w:ind w:firstLine="240" w:firstLineChars="100"/>
        <w:rPr>
          <w:rFonts w:ascii="宋体" w:hAnsi="宋体" w:cs="宋体"/>
          <w:bCs/>
          <w:color w:val="000000"/>
          <w:sz w:val="24"/>
          <w:u w:val="single"/>
        </w:rPr>
      </w:pPr>
      <w:r>
        <w:rPr>
          <w:rFonts w:hint="eastAsia" w:ascii="宋体" w:hAnsi="宋体" w:cs="宋体"/>
          <w:bCs/>
          <w:color w:val="000000"/>
          <w:sz w:val="24"/>
        </w:rPr>
        <w:t>（一）比选人：</w:t>
      </w:r>
      <w:r>
        <w:rPr>
          <w:rFonts w:hint="eastAsia" w:ascii="宋体" w:hAnsi="宋体" w:cs="宋体"/>
          <w:bCs/>
          <w:color w:val="000000"/>
          <w:sz w:val="24"/>
          <w:u w:val="single"/>
        </w:rPr>
        <w:t>重庆市涪陵榨菜集团股份有限公司</w:t>
      </w:r>
    </w:p>
    <w:p w14:paraId="4A7D4C28">
      <w:pPr>
        <w:spacing w:line="360" w:lineRule="auto"/>
        <w:ind w:firstLine="240" w:firstLineChars="100"/>
        <w:rPr>
          <w:rFonts w:ascii="宋体" w:hAnsi="宋体" w:cs="宋体"/>
          <w:bCs/>
          <w:color w:val="000000"/>
          <w:sz w:val="24"/>
          <w:u w:val="single"/>
        </w:rPr>
      </w:pPr>
      <w:r>
        <w:rPr>
          <w:rFonts w:hint="eastAsia" w:ascii="宋体" w:hAnsi="宋体" w:cs="宋体"/>
          <w:bCs/>
          <w:color w:val="000000"/>
          <w:sz w:val="24"/>
        </w:rPr>
        <w:t>（二）项目地点：</w:t>
      </w:r>
      <w:r>
        <w:rPr>
          <w:rFonts w:hint="eastAsia" w:ascii="宋体" w:hAnsi="宋体" w:cs="宋体"/>
          <w:bCs/>
          <w:color w:val="000000"/>
          <w:sz w:val="24"/>
          <w:u w:val="single"/>
        </w:rPr>
        <w:t xml:space="preserve"> 重庆市涪陵区人和片区</w:t>
      </w:r>
      <w:r>
        <w:rPr>
          <w:rFonts w:hint="eastAsia" w:ascii="宋体" w:hAnsi="宋体" w:cs="宋体"/>
          <w:bCs/>
          <w:color w:val="000000"/>
          <w:sz w:val="24"/>
        </w:rPr>
        <w:t xml:space="preserve">   </w:t>
      </w:r>
    </w:p>
    <w:p w14:paraId="1BB13E1B">
      <w:pPr>
        <w:spacing w:line="360" w:lineRule="auto"/>
        <w:ind w:firstLine="240" w:firstLineChars="100"/>
        <w:rPr>
          <w:rFonts w:ascii="宋体" w:hAnsi="宋体" w:cs="宋体"/>
          <w:bCs/>
          <w:color w:val="000000"/>
          <w:sz w:val="24"/>
          <w:u w:val="single"/>
        </w:rPr>
      </w:pPr>
      <w:r>
        <w:rPr>
          <w:rFonts w:hint="eastAsia" w:ascii="宋体" w:hAnsi="宋体" w:cs="宋体"/>
          <w:bCs/>
          <w:color w:val="000000"/>
          <w:sz w:val="24"/>
        </w:rPr>
        <w:t>（三）工程名称：</w:t>
      </w:r>
      <w:r>
        <w:rPr>
          <w:rFonts w:hint="eastAsia" w:ascii="宋体" w:hAnsi="宋体" w:cs="宋体"/>
          <w:bCs/>
          <w:color w:val="000000"/>
          <w:sz w:val="24"/>
          <w:u w:val="single"/>
        </w:rPr>
        <w:t>乌江涪陵榨菜绿色智能化生产基地(二期)</w:t>
      </w:r>
    </w:p>
    <w:p w14:paraId="7C42B76F">
      <w:pPr>
        <w:spacing w:line="360" w:lineRule="auto"/>
        <w:ind w:firstLine="240" w:firstLineChars="100"/>
        <w:rPr>
          <w:rFonts w:ascii="宋体" w:hAnsi="宋体" w:cs="宋体"/>
          <w:bCs/>
          <w:color w:val="000000"/>
          <w:sz w:val="24"/>
          <w:u w:val="single"/>
        </w:rPr>
      </w:pPr>
      <w:r>
        <w:rPr>
          <w:rFonts w:hint="eastAsia" w:ascii="宋体" w:hAnsi="宋体" w:cs="宋体"/>
          <w:bCs/>
          <w:color w:val="000000"/>
          <w:sz w:val="24"/>
        </w:rPr>
        <w:t>（四）招标范围：</w:t>
      </w:r>
      <w:r>
        <w:rPr>
          <w:rFonts w:hint="eastAsia" w:ascii="宋体" w:hAnsi="宋体" w:cs="宋体"/>
          <w:bCs/>
          <w:color w:val="000000"/>
          <w:sz w:val="24"/>
          <w:u w:val="single"/>
        </w:rPr>
        <w:t>乌江涪陵榨菜绿色智能化生产基地(二期)的工程招标代理中介服务</w:t>
      </w:r>
    </w:p>
    <w:p w14:paraId="28C4EE12">
      <w:pPr>
        <w:spacing w:line="360" w:lineRule="auto"/>
        <w:ind w:firstLine="240" w:firstLineChars="100"/>
        <w:rPr>
          <w:rFonts w:ascii="宋体" w:hAnsi="宋体" w:cs="宋体"/>
          <w:bCs/>
          <w:color w:val="000000"/>
          <w:sz w:val="24"/>
          <w:u w:val="single"/>
        </w:rPr>
      </w:pPr>
      <w:r>
        <w:rPr>
          <w:rFonts w:hint="eastAsia" w:ascii="宋体" w:hAnsi="宋体" w:cs="宋体"/>
          <w:color w:val="000000"/>
          <w:sz w:val="24"/>
        </w:rPr>
        <w:t>（五）委托代理估价：</w:t>
      </w:r>
      <w:r>
        <w:rPr>
          <w:rFonts w:hint="eastAsia" w:ascii="宋体" w:hAnsi="宋体" w:cs="宋体"/>
          <w:bCs/>
          <w:color w:val="000000"/>
          <w:sz w:val="24"/>
          <w:u w:val="single"/>
        </w:rPr>
        <w:t>乌江涪陵榨菜绿色智能化生产基地(二期)合同估算金额27500万元。</w:t>
      </w:r>
    </w:p>
    <w:p w14:paraId="38838FC6">
      <w:pPr>
        <w:spacing w:line="360" w:lineRule="auto"/>
        <w:ind w:firstLine="240" w:firstLineChars="100"/>
        <w:rPr>
          <w:rFonts w:ascii="宋体" w:hAnsi="宋体" w:cs="宋体"/>
          <w:bCs/>
          <w:color w:val="000000"/>
          <w:sz w:val="24"/>
          <w:u w:val="single"/>
        </w:rPr>
      </w:pPr>
      <w:r>
        <w:rPr>
          <w:rFonts w:hint="eastAsia" w:ascii="宋体" w:hAnsi="宋体" w:cs="宋体"/>
          <w:bCs/>
          <w:color w:val="000000"/>
          <w:sz w:val="24"/>
          <w:u w:val="single"/>
        </w:rPr>
        <w:t>（六）本项目招标代理服务费最高限价：17万元。</w:t>
      </w:r>
    </w:p>
    <w:p w14:paraId="14A8D15F">
      <w:pPr>
        <w:pStyle w:val="3"/>
        <w:spacing w:before="100" w:after="100" w:line="360" w:lineRule="auto"/>
        <w:rPr>
          <w:rFonts w:ascii="宋体" w:hAnsi="宋体" w:eastAsia="宋体" w:cs="宋体"/>
          <w:color w:val="000000"/>
          <w:sz w:val="24"/>
        </w:rPr>
      </w:pPr>
      <w:bookmarkStart w:id="4" w:name="_Toc287607730"/>
      <w:bookmarkStart w:id="5" w:name="_Toc287620669"/>
      <w:bookmarkStart w:id="6" w:name="_Toc31956"/>
      <w:bookmarkStart w:id="7" w:name="_Toc224103301"/>
      <w:bookmarkStart w:id="8" w:name="_Toc430530418"/>
      <w:bookmarkStart w:id="9" w:name="_Toc200359429"/>
      <w:bookmarkStart w:id="10" w:name="_Toc277082538"/>
      <w:bookmarkStart w:id="11" w:name="_Toc200359240"/>
      <w:bookmarkStart w:id="12" w:name="_Toc509218694"/>
      <w:r>
        <w:rPr>
          <w:rFonts w:hint="eastAsia" w:ascii="宋体" w:hAnsi="宋体" w:eastAsia="宋体" w:cs="宋体"/>
          <w:color w:val="000000"/>
          <w:sz w:val="24"/>
        </w:rPr>
        <w:t>三、竞选人资质条件、能力和信誉要求</w:t>
      </w:r>
      <w:bookmarkEnd w:id="4"/>
      <w:bookmarkEnd w:id="5"/>
      <w:bookmarkEnd w:id="6"/>
      <w:bookmarkEnd w:id="7"/>
      <w:bookmarkEnd w:id="8"/>
      <w:bookmarkEnd w:id="9"/>
      <w:bookmarkEnd w:id="10"/>
      <w:bookmarkEnd w:id="11"/>
      <w:bookmarkEnd w:id="12"/>
      <w:r>
        <w:rPr>
          <w:rFonts w:hint="eastAsia" w:ascii="宋体" w:hAnsi="宋体" w:eastAsia="宋体" w:cs="宋体"/>
          <w:color w:val="000000"/>
          <w:sz w:val="24"/>
        </w:rPr>
        <w:t>和报价</w:t>
      </w:r>
    </w:p>
    <w:p w14:paraId="16317B0F">
      <w:pPr>
        <w:tabs>
          <w:tab w:val="left" w:pos="3840"/>
          <w:tab w:val="left" w:pos="5300"/>
        </w:tabs>
        <w:autoSpaceDE w:val="0"/>
        <w:autoSpaceDN w:val="0"/>
        <w:adjustRightInd w:val="0"/>
        <w:snapToGrid w:val="0"/>
        <w:spacing w:line="360" w:lineRule="auto"/>
        <w:ind w:firstLine="240" w:firstLineChars="100"/>
        <w:jc w:val="left"/>
        <w:rPr>
          <w:rFonts w:ascii="宋体" w:hAnsi="宋体" w:cs="宋体"/>
          <w:bCs/>
          <w:color w:val="000000"/>
          <w:sz w:val="24"/>
        </w:rPr>
      </w:pPr>
      <w:r>
        <w:rPr>
          <w:rFonts w:hint="eastAsia" w:ascii="宋体" w:hAnsi="宋体" w:cs="宋体"/>
          <w:bCs/>
          <w:color w:val="000000"/>
          <w:sz w:val="24"/>
        </w:rPr>
        <w:t>（一）本次招标要求竞选人须具备以下条件：</w:t>
      </w:r>
    </w:p>
    <w:p w14:paraId="63E8DA0E">
      <w:pPr>
        <w:autoSpaceDE w:val="0"/>
        <w:autoSpaceDN w:val="0"/>
        <w:adjustRightInd w:val="0"/>
        <w:snapToGrid w:val="0"/>
        <w:spacing w:line="360" w:lineRule="auto"/>
        <w:ind w:firstLine="480" w:firstLineChars="200"/>
        <w:rPr>
          <w:rFonts w:ascii="宋体" w:hAnsi="宋体" w:cs="宋体"/>
          <w:bCs/>
          <w:color w:val="000000"/>
          <w:sz w:val="24"/>
        </w:rPr>
      </w:pPr>
      <w:r>
        <w:rPr>
          <w:rFonts w:hint="eastAsia" w:ascii="宋体" w:hAnsi="宋体" w:cs="宋体"/>
          <w:bCs/>
          <w:color w:val="000000"/>
          <w:sz w:val="24"/>
        </w:rPr>
        <w:t>1、 有效的营业执照（经营范围中必须包含招投标代理服务）；</w:t>
      </w:r>
    </w:p>
    <w:p w14:paraId="64C2BC02">
      <w:pPr>
        <w:tabs>
          <w:tab w:val="left" w:pos="3840"/>
          <w:tab w:val="left" w:pos="5300"/>
        </w:tabs>
        <w:autoSpaceDE w:val="0"/>
        <w:autoSpaceDN w:val="0"/>
        <w:adjustRightInd w:val="0"/>
        <w:snapToGrid w:val="0"/>
        <w:spacing w:line="360" w:lineRule="auto"/>
        <w:ind w:firstLine="480" w:firstLineChars="200"/>
        <w:jc w:val="left"/>
        <w:rPr>
          <w:rFonts w:ascii="宋体" w:hAnsi="宋体" w:cs="宋体"/>
          <w:bCs/>
          <w:color w:val="000000"/>
          <w:sz w:val="24"/>
        </w:rPr>
      </w:pPr>
      <w:r>
        <w:rPr>
          <w:rFonts w:hint="eastAsia" w:ascii="宋体" w:hAnsi="宋体" w:cs="宋体"/>
          <w:bCs/>
          <w:color w:val="000000"/>
          <w:sz w:val="24"/>
        </w:rPr>
        <w:t>2、 业绩要求：竞选人近三年，自2023年1月1日起至竞选截止日止承揽过1个工程施工项目的招标代理（包含但不限于施工招标或EPC总承包施工招标），单个业绩的</w:t>
      </w:r>
      <w:r>
        <w:rPr>
          <w:rFonts w:hint="eastAsia" w:ascii="宋体" w:hAnsi="宋体" w:cs="宋体"/>
          <w:bCs/>
          <w:color w:val="000000"/>
          <w:sz w:val="24"/>
          <w:u w:val="single"/>
        </w:rPr>
        <w:t>合同估算金额</w:t>
      </w:r>
      <w:r>
        <w:rPr>
          <w:rFonts w:hint="eastAsia" w:ascii="宋体" w:hAnsi="宋体" w:cs="宋体"/>
          <w:bCs/>
          <w:color w:val="000000"/>
          <w:sz w:val="24"/>
        </w:rPr>
        <w:t>不少于25000万元；</w:t>
      </w:r>
    </w:p>
    <w:p w14:paraId="3BB4CDC8">
      <w:pPr>
        <w:tabs>
          <w:tab w:val="left" w:pos="3840"/>
          <w:tab w:val="left" w:pos="5300"/>
        </w:tabs>
        <w:autoSpaceDE w:val="0"/>
        <w:autoSpaceDN w:val="0"/>
        <w:adjustRightInd w:val="0"/>
        <w:snapToGrid w:val="0"/>
        <w:spacing w:line="360" w:lineRule="auto"/>
        <w:ind w:firstLine="480" w:firstLineChars="200"/>
        <w:jc w:val="left"/>
        <w:rPr>
          <w:rFonts w:ascii="宋体" w:hAnsi="宋体" w:cs="宋体"/>
          <w:bCs/>
          <w:color w:val="000000"/>
          <w:sz w:val="24"/>
        </w:rPr>
      </w:pPr>
      <w:r>
        <w:rPr>
          <w:rFonts w:hint="eastAsia" w:ascii="宋体" w:hAnsi="宋体" w:cs="宋体"/>
          <w:bCs/>
          <w:color w:val="000000"/>
          <w:sz w:val="24"/>
        </w:rPr>
        <w:t>提供：与业主签约的合同（含框架协议合同），以及在全国公共服务平台上发布的可查询的招标公告网页截图，截图数量不限且清晰可见，须包含但不限于网站名称、网址、项目名称、估算金额、联系方式等，截图的其余信息不作为评审依据。</w:t>
      </w:r>
    </w:p>
    <w:p w14:paraId="4D131F26">
      <w:pPr>
        <w:tabs>
          <w:tab w:val="left" w:pos="3840"/>
          <w:tab w:val="left" w:pos="5300"/>
        </w:tabs>
        <w:autoSpaceDE w:val="0"/>
        <w:autoSpaceDN w:val="0"/>
        <w:adjustRightInd w:val="0"/>
        <w:snapToGrid w:val="0"/>
        <w:spacing w:line="360" w:lineRule="auto"/>
        <w:ind w:firstLine="240" w:firstLineChars="100"/>
        <w:jc w:val="left"/>
        <w:rPr>
          <w:rFonts w:ascii="宋体" w:hAnsi="宋体" w:cs="宋体"/>
          <w:bCs/>
          <w:color w:val="000000"/>
          <w:sz w:val="24"/>
        </w:rPr>
      </w:pPr>
      <w:r>
        <w:rPr>
          <w:rFonts w:hint="eastAsia" w:ascii="宋体" w:hAnsi="宋体" w:cs="宋体"/>
          <w:bCs/>
          <w:color w:val="000000"/>
          <w:sz w:val="24"/>
        </w:rPr>
        <w:t>3、无信用中国（https://www.creditchina.gov.cn/xinxigongshi/）“失信被执行人”、“重大税收违法失信主体名单”、“经营活动异常名录”记录，提供竞选截止日前10日内，</w:t>
      </w:r>
      <w:r>
        <w:rPr>
          <w:rFonts w:hint="eastAsia" w:asciiTheme="minorEastAsia" w:hAnsiTheme="minorEastAsia"/>
          <w:sz w:val="24"/>
        </w:rPr>
        <w:t>信用中国公共信用信息报告</w:t>
      </w:r>
      <w:r>
        <w:rPr>
          <w:rFonts w:hint="eastAsia" w:ascii="宋体" w:hAnsi="宋体" w:cs="宋体"/>
          <w:bCs/>
          <w:color w:val="000000"/>
          <w:sz w:val="24"/>
        </w:rPr>
        <w:t>并加盖单位公章。</w:t>
      </w:r>
    </w:p>
    <w:p w14:paraId="70E3575C">
      <w:pPr>
        <w:tabs>
          <w:tab w:val="left" w:pos="3840"/>
          <w:tab w:val="left" w:pos="5300"/>
        </w:tabs>
        <w:autoSpaceDE w:val="0"/>
        <w:autoSpaceDN w:val="0"/>
        <w:adjustRightInd w:val="0"/>
        <w:snapToGrid w:val="0"/>
        <w:spacing w:line="360" w:lineRule="auto"/>
        <w:ind w:firstLine="240" w:firstLineChars="100"/>
        <w:jc w:val="left"/>
        <w:rPr>
          <w:rFonts w:ascii="宋体" w:hAnsi="宋体" w:cs="宋体"/>
          <w:bCs/>
          <w:color w:val="000000"/>
          <w:sz w:val="24"/>
        </w:rPr>
      </w:pPr>
      <w:r>
        <w:rPr>
          <w:rFonts w:hint="eastAsia" w:ascii="宋体" w:hAnsi="宋体" w:cs="宋体"/>
          <w:bCs/>
          <w:color w:val="000000"/>
          <w:sz w:val="24"/>
        </w:rPr>
        <w:t>（二）招标代理方案：竞选人基本情况介绍、工作方案（服务能力、质量效果和服务承诺）、项目团队构成、项目团队主要成员。</w:t>
      </w:r>
    </w:p>
    <w:p w14:paraId="475773C6">
      <w:pPr>
        <w:spacing w:line="360" w:lineRule="auto"/>
        <w:ind w:firstLine="240" w:firstLineChars="100"/>
        <w:rPr>
          <w:rFonts w:ascii="宋体" w:hAnsi="宋体" w:cs="宋体"/>
          <w:sz w:val="24"/>
        </w:rPr>
      </w:pPr>
      <w:r>
        <w:rPr>
          <w:rFonts w:hint="eastAsia" w:ascii="宋体" w:hAnsi="宋体" w:cs="宋体"/>
          <w:sz w:val="24"/>
        </w:rPr>
        <w:t>（三）招标代理服务费的报价：本次招标代理服务费实行总价包干，包括但不限于项目前期咨询，编制和发布比选文件费，专家费，报告编制费，税金（税率6%），杂费等所有费用，以及非委托人原因造成的流标，重新招标费用等一切费用包干使用。</w:t>
      </w:r>
    </w:p>
    <w:p w14:paraId="58563612">
      <w:pPr>
        <w:pStyle w:val="3"/>
        <w:spacing w:before="100" w:after="100" w:line="360" w:lineRule="auto"/>
        <w:rPr>
          <w:rFonts w:hint="default"/>
          <w:lang w:val="en-US"/>
        </w:rPr>
      </w:pPr>
      <w:r>
        <w:rPr>
          <w:rFonts w:hint="eastAsia" w:ascii="宋体" w:hAnsi="宋体" w:eastAsia="宋体" w:cs="宋体"/>
          <w:color w:val="000000"/>
          <w:sz w:val="24"/>
        </w:rPr>
        <w:t>四、竞选文件的</w:t>
      </w:r>
      <w:r>
        <w:rPr>
          <w:rFonts w:hint="eastAsia" w:ascii="宋体" w:hAnsi="宋体" w:eastAsia="宋体" w:cs="宋体"/>
          <w:color w:val="000000"/>
          <w:sz w:val="24"/>
          <w:lang w:val="en-US" w:eastAsia="zh-CN"/>
        </w:rPr>
        <w:t>有关说明</w:t>
      </w:r>
    </w:p>
    <w:p w14:paraId="564384AE">
      <w:pPr>
        <w:pStyle w:val="2"/>
        <w:keepNext w:val="0"/>
        <w:keepLines w:val="0"/>
        <w:pageBreakBefore w:val="0"/>
        <w:widowControl w:val="0"/>
        <w:kinsoku/>
        <w:wordWrap w:val="0"/>
        <w:overflowPunct/>
        <w:topLinePunct w:val="0"/>
        <w:autoSpaceDE/>
        <w:autoSpaceDN/>
        <w:bidi w:val="0"/>
        <w:adjustRightInd/>
        <w:snapToGrid/>
        <w:spacing w:before="240" w:line="360" w:lineRule="auto"/>
        <w:ind w:firstLine="240" w:firstLineChars="100"/>
        <w:jc w:val="left"/>
        <w:textAlignment w:val="auto"/>
        <w:rPr>
          <w:rFonts w:hint="eastAsia" w:ascii="宋体" w:hAnsi="宋体" w:cs="宋体"/>
          <w:color w:val="000000"/>
          <w:sz w:val="24"/>
        </w:rPr>
      </w:pPr>
      <w:bookmarkStart w:id="13" w:name="_Hlk166162427"/>
      <w:r>
        <w:rPr>
          <w:rFonts w:hint="eastAsia" w:ascii="宋体" w:hAnsi="宋体" w:cs="宋体"/>
          <w:color w:val="000000"/>
          <w:sz w:val="24"/>
        </w:rPr>
        <w:t>（一）凡有意参加竞争性比选的供应商，请在乌江涪陵榨菜官网（https://www.flzc.com/）网上下载本项目竞争性比选文件以及澄清等报价前公布的所有项目资料，无论供应商下载或领取与否，均视为已知晓所有实质性要求内容。</w:t>
      </w:r>
    </w:p>
    <w:p w14:paraId="0809082E">
      <w:pPr>
        <w:pStyle w:val="2"/>
        <w:keepNext w:val="0"/>
        <w:keepLines w:val="0"/>
        <w:pageBreakBefore w:val="0"/>
        <w:widowControl w:val="0"/>
        <w:kinsoku/>
        <w:wordWrap w:val="0"/>
        <w:overflowPunct/>
        <w:topLinePunct w:val="0"/>
        <w:autoSpaceDE/>
        <w:autoSpaceDN/>
        <w:bidi w:val="0"/>
        <w:adjustRightInd/>
        <w:snapToGrid/>
        <w:spacing w:before="240" w:line="360" w:lineRule="auto"/>
        <w:ind w:firstLine="240" w:firstLineChars="100"/>
        <w:jc w:val="left"/>
        <w:textAlignment w:val="auto"/>
        <w:rPr>
          <w:rFonts w:hint="eastAsia" w:ascii="宋体" w:hAnsi="宋体" w:cs="宋体"/>
          <w:color w:val="000000"/>
          <w:sz w:val="24"/>
        </w:rPr>
      </w:pPr>
      <w:r>
        <w:rPr>
          <w:rFonts w:hint="eastAsia" w:ascii="宋体" w:hAnsi="宋体" w:cs="宋体"/>
          <w:color w:val="000000"/>
          <w:sz w:val="24"/>
          <w:lang w:eastAsia="zh-CN"/>
        </w:rPr>
        <w:t>（</w:t>
      </w:r>
      <w:r>
        <w:rPr>
          <w:rFonts w:hint="eastAsia" w:ascii="宋体" w:hAnsi="宋体" w:cs="宋体"/>
          <w:color w:val="000000"/>
          <w:sz w:val="24"/>
          <w:lang w:val="en-US" w:eastAsia="zh-CN"/>
        </w:rPr>
        <w:t>二</w:t>
      </w:r>
      <w:r>
        <w:rPr>
          <w:rFonts w:hint="eastAsia" w:ascii="宋体" w:hAnsi="宋体" w:cs="宋体"/>
          <w:color w:val="000000"/>
          <w:sz w:val="24"/>
          <w:lang w:eastAsia="zh-CN"/>
        </w:rPr>
        <w:t>）</w:t>
      </w:r>
      <w:r>
        <w:rPr>
          <w:rFonts w:hint="eastAsia" w:ascii="宋体" w:hAnsi="宋体" w:cs="宋体"/>
          <w:color w:val="000000"/>
          <w:sz w:val="24"/>
        </w:rPr>
        <w:t>比选文件公告期限：2026年6月</w:t>
      </w:r>
      <w:r>
        <w:rPr>
          <w:rFonts w:hint="eastAsia" w:ascii="宋体" w:hAnsi="宋体" w:cs="宋体"/>
          <w:color w:val="000000"/>
          <w:sz w:val="24"/>
          <w:lang w:val="en-US" w:eastAsia="zh-CN"/>
        </w:rPr>
        <w:t>9</w:t>
      </w:r>
      <w:r>
        <w:rPr>
          <w:rFonts w:hint="eastAsia" w:ascii="宋体" w:hAnsi="宋体" w:cs="宋体"/>
          <w:color w:val="000000"/>
          <w:sz w:val="24"/>
        </w:rPr>
        <w:t>日-6月</w:t>
      </w:r>
      <w:r>
        <w:rPr>
          <w:rFonts w:hint="eastAsia" w:ascii="宋体" w:hAnsi="宋体" w:cs="宋体"/>
          <w:color w:val="000000"/>
          <w:sz w:val="24"/>
          <w:lang w:val="en-US" w:eastAsia="zh-CN"/>
        </w:rPr>
        <w:t>11</w:t>
      </w:r>
      <w:r>
        <w:rPr>
          <w:rFonts w:hint="eastAsia" w:ascii="宋体" w:hAnsi="宋体" w:cs="宋体"/>
          <w:color w:val="000000"/>
          <w:sz w:val="24"/>
        </w:rPr>
        <w:t>日。</w:t>
      </w:r>
    </w:p>
    <w:p w14:paraId="3191889C">
      <w:pPr>
        <w:pStyle w:val="2"/>
        <w:spacing w:before="240"/>
        <w:ind w:firstLine="240" w:firstLineChars="100"/>
        <w:jc w:val="left"/>
        <w:rPr>
          <w:rFonts w:ascii="宋体" w:hAnsi="宋体" w:cs="宋体"/>
          <w:color w:val="000000"/>
          <w:sz w:val="24"/>
        </w:rPr>
      </w:pPr>
      <w:r>
        <w:rPr>
          <w:rFonts w:hint="eastAsia" w:ascii="宋体" w:hAnsi="宋体" w:cs="宋体"/>
          <w:color w:val="000000"/>
          <w:sz w:val="24"/>
        </w:rPr>
        <w:t>（</w:t>
      </w:r>
      <w:r>
        <w:rPr>
          <w:rFonts w:hint="eastAsia" w:ascii="宋体" w:hAnsi="宋体" w:cs="宋体"/>
          <w:color w:val="000000"/>
          <w:sz w:val="24"/>
          <w:lang w:val="en-US" w:eastAsia="zh-CN"/>
        </w:rPr>
        <w:t>三</w:t>
      </w:r>
      <w:r>
        <w:rPr>
          <w:rFonts w:hint="eastAsia" w:ascii="宋体" w:hAnsi="宋体" w:cs="宋体"/>
          <w:color w:val="000000"/>
          <w:sz w:val="24"/>
        </w:rPr>
        <w:t>）竞选文件递交截止时间：</w:t>
      </w:r>
      <w:r>
        <w:rPr>
          <w:rFonts w:ascii="宋体" w:hAnsi="宋体" w:cs="宋体"/>
          <w:color w:val="000000"/>
          <w:sz w:val="24"/>
        </w:rPr>
        <w:t>2026</w:t>
      </w:r>
      <w:r>
        <w:rPr>
          <w:rFonts w:hint="eastAsia" w:ascii="宋体" w:hAnsi="宋体" w:cs="宋体"/>
          <w:color w:val="000000"/>
          <w:sz w:val="24"/>
        </w:rPr>
        <w:t>年</w:t>
      </w:r>
      <w:r>
        <w:rPr>
          <w:rFonts w:ascii="宋体" w:hAnsi="宋体" w:cs="宋体"/>
          <w:color w:val="000000"/>
          <w:sz w:val="24"/>
        </w:rPr>
        <w:t>6</w:t>
      </w:r>
      <w:r>
        <w:rPr>
          <w:rFonts w:hint="eastAsia" w:ascii="宋体" w:hAnsi="宋体" w:cs="宋体"/>
          <w:color w:val="000000"/>
          <w:sz w:val="24"/>
        </w:rPr>
        <w:t>月</w:t>
      </w:r>
      <w:r>
        <w:rPr>
          <w:rFonts w:hint="eastAsia" w:ascii="宋体" w:hAnsi="宋体" w:cs="宋体"/>
          <w:color w:val="000000"/>
          <w:sz w:val="24"/>
          <w:lang w:val="en-US" w:eastAsia="zh-CN"/>
        </w:rPr>
        <w:t>12</w:t>
      </w:r>
      <w:r>
        <w:rPr>
          <w:rFonts w:hint="eastAsia" w:ascii="宋体" w:hAnsi="宋体" w:cs="宋体"/>
          <w:color w:val="000000"/>
          <w:sz w:val="24"/>
        </w:rPr>
        <w:t>日北京时间</w:t>
      </w:r>
      <w:r>
        <w:rPr>
          <w:rFonts w:ascii="宋体" w:hAnsi="宋体" w:cs="宋体"/>
          <w:color w:val="000000"/>
          <w:sz w:val="24"/>
        </w:rPr>
        <w:t>11:00</w:t>
      </w:r>
      <w:r>
        <w:rPr>
          <w:rFonts w:hint="eastAsia" w:ascii="宋体" w:hAnsi="宋体" w:cs="宋体"/>
          <w:color w:val="000000"/>
          <w:sz w:val="24"/>
        </w:rPr>
        <w:t>。</w:t>
      </w:r>
    </w:p>
    <w:p w14:paraId="0CCE7C3D">
      <w:pPr>
        <w:pStyle w:val="2"/>
        <w:spacing w:before="240"/>
        <w:ind w:firstLine="240" w:firstLineChars="100"/>
        <w:jc w:val="left"/>
        <w:rPr>
          <w:rFonts w:ascii="宋体" w:hAnsi="宋体" w:cs="宋体"/>
          <w:color w:val="000000"/>
          <w:sz w:val="24"/>
        </w:rPr>
      </w:pPr>
      <w:r>
        <w:rPr>
          <w:rFonts w:hint="eastAsia" w:ascii="宋体" w:hAnsi="宋体" w:cs="宋体"/>
          <w:color w:val="000000"/>
          <w:sz w:val="24"/>
        </w:rPr>
        <w:t>（</w:t>
      </w:r>
      <w:r>
        <w:rPr>
          <w:rFonts w:hint="eastAsia" w:ascii="宋体" w:hAnsi="宋体" w:cs="宋体"/>
          <w:color w:val="000000"/>
          <w:sz w:val="24"/>
          <w:lang w:val="en-US" w:eastAsia="zh-CN"/>
        </w:rPr>
        <w:t>四</w:t>
      </w:r>
      <w:r>
        <w:rPr>
          <w:rFonts w:hint="eastAsia" w:ascii="宋体" w:hAnsi="宋体" w:cs="宋体"/>
          <w:color w:val="000000"/>
          <w:sz w:val="24"/>
        </w:rPr>
        <w:t>）竞选文件递交格式及要求：按本比选文件第二章和第三章相关要求执行。</w:t>
      </w:r>
    </w:p>
    <w:p w14:paraId="524148AF">
      <w:pPr>
        <w:pStyle w:val="2"/>
        <w:spacing w:before="240"/>
        <w:ind w:firstLine="240" w:firstLineChars="100"/>
        <w:jc w:val="left"/>
        <w:rPr>
          <w:rFonts w:ascii="宋体" w:hAnsi="宋体" w:cs="宋体"/>
          <w:color w:val="000000"/>
          <w:sz w:val="24"/>
        </w:rPr>
      </w:pPr>
      <w:r>
        <w:rPr>
          <w:rFonts w:hint="eastAsia" w:ascii="宋体" w:hAnsi="宋体" w:cs="宋体"/>
          <w:color w:val="000000"/>
          <w:sz w:val="24"/>
        </w:rPr>
        <w:t>（</w:t>
      </w:r>
      <w:r>
        <w:rPr>
          <w:rFonts w:hint="eastAsia" w:ascii="宋体" w:hAnsi="宋体" w:cs="宋体"/>
          <w:color w:val="000000"/>
          <w:sz w:val="24"/>
          <w:lang w:val="en-US" w:eastAsia="zh-CN"/>
        </w:rPr>
        <w:t>五</w:t>
      </w:r>
      <w:r>
        <w:rPr>
          <w:rFonts w:hint="eastAsia" w:ascii="宋体" w:hAnsi="宋体" w:cs="宋体"/>
          <w:color w:val="000000"/>
          <w:sz w:val="24"/>
        </w:rPr>
        <w:t>）开标时间：</w:t>
      </w:r>
      <w:r>
        <w:rPr>
          <w:rFonts w:ascii="宋体" w:hAnsi="宋体" w:cs="宋体"/>
          <w:color w:val="000000"/>
          <w:sz w:val="24"/>
        </w:rPr>
        <w:t>2026</w:t>
      </w:r>
      <w:r>
        <w:rPr>
          <w:rFonts w:hint="eastAsia" w:ascii="宋体" w:hAnsi="宋体" w:cs="宋体"/>
          <w:color w:val="000000"/>
          <w:sz w:val="24"/>
        </w:rPr>
        <w:t>年</w:t>
      </w:r>
      <w:r>
        <w:rPr>
          <w:rFonts w:ascii="宋体" w:hAnsi="宋体" w:cs="宋体"/>
          <w:color w:val="000000"/>
          <w:sz w:val="24"/>
        </w:rPr>
        <w:t>6</w:t>
      </w:r>
      <w:r>
        <w:rPr>
          <w:rFonts w:hint="eastAsia" w:ascii="宋体" w:hAnsi="宋体" w:cs="宋体"/>
          <w:color w:val="000000"/>
          <w:sz w:val="24"/>
        </w:rPr>
        <w:t>月</w:t>
      </w:r>
      <w:r>
        <w:rPr>
          <w:rFonts w:hint="eastAsia" w:ascii="宋体" w:hAnsi="宋体" w:cs="宋体"/>
          <w:color w:val="000000"/>
          <w:sz w:val="24"/>
          <w:lang w:val="en-US" w:eastAsia="zh-CN"/>
        </w:rPr>
        <w:t>12</w:t>
      </w:r>
      <w:r>
        <w:rPr>
          <w:rFonts w:hint="eastAsia" w:ascii="宋体" w:hAnsi="宋体" w:cs="宋体"/>
          <w:color w:val="000000"/>
          <w:sz w:val="24"/>
        </w:rPr>
        <w:t>日北京时间</w:t>
      </w:r>
      <w:r>
        <w:rPr>
          <w:rFonts w:ascii="宋体" w:hAnsi="宋体" w:cs="宋体"/>
          <w:color w:val="000000"/>
          <w:sz w:val="24"/>
        </w:rPr>
        <w:t>11:00</w:t>
      </w:r>
      <w:r>
        <w:rPr>
          <w:rFonts w:hint="eastAsia" w:ascii="宋体" w:hAnsi="宋体" w:cs="宋体"/>
          <w:color w:val="000000"/>
          <w:sz w:val="24"/>
        </w:rPr>
        <w:t>（以实际开标时间为准）。</w:t>
      </w:r>
    </w:p>
    <w:p w14:paraId="5B7BA03D">
      <w:pPr>
        <w:pStyle w:val="2"/>
        <w:spacing w:before="240"/>
        <w:ind w:firstLine="240" w:firstLineChars="100"/>
        <w:jc w:val="left"/>
        <w:rPr>
          <w:rFonts w:ascii="宋体" w:hAnsi="宋体" w:cs="宋体"/>
          <w:color w:val="000000"/>
          <w:sz w:val="24"/>
        </w:rPr>
      </w:pPr>
      <w:r>
        <w:rPr>
          <w:rFonts w:hint="eastAsia" w:ascii="宋体" w:hAnsi="宋体" w:cs="宋体"/>
          <w:color w:val="000000"/>
          <w:sz w:val="24"/>
        </w:rPr>
        <w:t>（</w:t>
      </w:r>
      <w:r>
        <w:rPr>
          <w:rFonts w:hint="eastAsia" w:ascii="宋体" w:hAnsi="宋体" w:cs="宋体"/>
          <w:color w:val="000000"/>
          <w:sz w:val="24"/>
          <w:lang w:val="en-US" w:eastAsia="zh-CN"/>
        </w:rPr>
        <w:t>六</w:t>
      </w:r>
      <w:r>
        <w:rPr>
          <w:rFonts w:hint="eastAsia" w:ascii="宋体" w:hAnsi="宋体" w:cs="宋体"/>
          <w:color w:val="000000"/>
          <w:sz w:val="24"/>
        </w:rPr>
        <w:t>）开标地点：重庆市涪陵榨菜集团股份有限公司当日指定会议室。</w:t>
      </w:r>
      <w:bookmarkEnd w:id="13"/>
    </w:p>
    <w:p w14:paraId="213759AD">
      <w:pPr>
        <w:pStyle w:val="2"/>
        <w:spacing w:before="240"/>
        <w:ind w:firstLine="240" w:firstLineChars="100"/>
        <w:jc w:val="left"/>
        <w:rPr>
          <w:rFonts w:ascii="宋体" w:hAnsi="宋体" w:cs="宋体"/>
          <w:color w:val="000000"/>
          <w:sz w:val="24"/>
        </w:rPr>
      </w:pPr>
      <w:r>
        <w:rPr>
          <w:rFonts w:hint="eastAsia" w:ascii="宋体" w:hAnsi="宋体" w:cs="宋体"/>
          <w:color w:val="000000"/>
          <w:sz w:val="24"/>
        </w:rPr>
        <w:t>（</w:t>
      </w:r>
      <w:r>
        <w:rPr>
          <w:rFonts w:hint="eastAsia" w:ascii="宋体" w:hAnsi="宋体" w:cs="宋体"/>
          <w:color w:val="000000"/>
          <w:sz w:val="24"/>
          <w:lang w:val="en-US" w:eastAsia="zh-CN"/>
        </w:rPr>
        <w:t>七</w:t>
      </w:r>
      <w:r>
        <w:rPr>
          <w:rFonts w:hint="eastAsia" w:ascii="宋体" w:hAnsi="宋体" w:cs="宋体"/>
          <w:color w:val="000000"/>
          <w:sz w:val="24"/>
        </w:rPr>
        <w:t>）竞选保证金的金额：3000元整（人民币）。</w:t>
      </w:r>
    </w:p>
    <w:p w14:paraId="7EBB3D27">
      <w:pPr>
        <w:pStyle w:val="2"/>
        <w:spacing w:before="240"/>
        <w:ind w:firstLine="240" w:firstLineChars="100"/>
        <w:jc w:val="left"/>
        <w:rPr>
          <w:rFonts w:ascii="宋体" w:hAnsi="宋体" w:cs="宋体"/>
          <w:color w:val="000000"/>
          <w:sz w:val="24"/>
        </w:rPr>
      </w:pPr>
      <w:r>
        <w:rPr>
          <w:rFonts w:hint="eastAsia" w:ascii="宋体" w:hAnsi="宋体" w:cs="宋体"/>
          <w:color w:val="000000"/>
          <w:sz w:val="24"/>
        </w:rPr>
        <w:t>户名：重庆市涪陵榨菜集团股份有限公司</w:t>
      </w:r>
    </w:p>
    <w:p w14:paraId="328EE9E1">
      <w:pPr>
        <w:pStyle w:val="2"/>
        <w:spacing w:before="240"/>
        <w:ind w:firstLine="240" w:firstLineChars="100"/>
        <w:jc w:val="left"/>
        <w:rPr>
          <w:rFonts w:ascii="宋体" w:hAnsi="宋体" w:cs="宋体"/>
          <w:color w:val="000000"/>
          <w:sz w:val="24"/>
        </w:rPr>
      </w:pPr>
      <w:r>
        <w:rPr>
          <w:rFonts w:hint="eastAsia" w:ascii="宋体" w:hAnsi="宋体" w:cs="宋体"/>
          <w:color w:val="000000"/>
          <w:sz w:val="24"/>
        </w:rPr>
        <w:t>开户行：中信银行重庆涪陵支行</w:t>
      </w:r>
    </w:p>
    <w:p w14:paraId="462710BD">
      <w:pPr>
        <w:pStyle w:val="2"/>
        <w:spacing w:before="240"/>
        <w:ind w:firstLine="240" w:firstLineChars="100"/>
        <w:jc w:val="left"/>
        <w:rPr>
          <w:rFonts w:ascii="宋体" w:hAnsi="宋体" w:cs="宋体"/>
          <w:color w:val="000000"/>
          <w:sz w:val="24"/>
        </w:rPr>
      </w:pPr>
      <w:r>
        <w:rPr>
          <w:rFonts w:hint="eastAsia" w:ascii="宋体" w:hAnsi="宋体" w:cs="宋体"/>
          <w:color w:val="000000"/>
          <w:sz w:val="24"/>
        </w:rPr>
        <w:t>账 号：7422010182100003830</w:t>
      </w:r>
    </w:p>
    <w:p w14:paraId="7576D73D">
      <w:pPr>
        <w:pStyle w:val="2"/>
        <w:spacing w:before="240"/>
        <w:ind w:firstLine="240" w:firstLineChars="100"/>
        <w:jc w:val="left"/>
        <w:rPr>
          <w:rFonts w:ascii="宋体" w:hAnsi="宋体" w:cs="宋体"/>
          <w:color w:val="000000"/>
          <w:sz w:val="24"/>
        </w:rPr>
      </w:pPr>
      <w:r>
        <w:rPr>
          <w:rFonts w:hint="eastAsia" w:ascii="宋体" w:hAnsi="宋体" w:cs="宋体"/>
          <w:color w:val="000000"/>
          <w:sz w:val="24"/>
        </w:rPr>
        <w:t>（</w:t>
      </w:r>
      <w:r>
        <w:rPr>
          <w:rFonts w:hint="eastAsia" w:ascii="宋体" w:hAnsi="宋体" w:cs="宋体"/>
          <w:color w:val="000000"/>
          <w:sz w:val="24"/>
          <w:lang w:val="en-US" w:eastAsia="zh-CN"/>
        </w:rPr>
        <w:t>八</w:t>
      </w:r>
      <w:r>
        <w:rPr>
          <w:rFonts w:hint="eastAsia" w:ascii="宋体" w:hAnsi="宋体" w:cs="宋体"/>
          <w:color w:val="000000"/>
          <w:sz w:val="24"/>
        </w:rPr>
        <w:t>）联系方式</w:t>
      </w:r>
    </w:p>
    <w:p w14:paraId="1CA914AA">
      <w:pPr>
        <w:spacing w:line="360" w:lineRule="auto"/>
        <w:ind w:firstLine="480" w:firstLineChars="200"/>
        <w:rPr>
          <w:rFonts w:ascii="宋体" w:hAnsi="宋体" w:cs="宋体"/>
          <w:color w:val="000000"/>
          <w:sz w:val="24"/>
        </w:rPr>
      </w:pPr>
      <w:r>
        <w:rPr>
          <w:rFonts w:hint="eastAsia" w:ascii="宋体" w:hAnsi="宋体" w:cs="宋体"/>
          <w:color w:val="000000"/>
          <w:sz w:val="24"/>
        </w:rPr>
        <w:t>联系人及方式：徐老师 13101153571</w:t>
      </w:r>
    </w:p>
    <w:p w14:paraId="2BBE8159">
      <w:pPr>
        <w:pStyle w:val="6"/>
        <w:widowControl/>
        <w:spacing w:beforeAutospacing="0" w:afterAutospacing="0" w:line="368" w:lineRule="atLeast"/>
        <w:ind w:firstLine="640" w:firstLineChars="200"/>
        <w:rPr>
          <w:rFonts w:ascii="Times New Roman" w:hAnsi="Times New Roman" w:eastAsia="方正仿宋_GB2312"/>
          <w:kern w:val="2"/>
          <w:sz w:val="32"/>
          <w:szCs w:val="32"/>
        </w:rPr>
      </w:pPr>
      <w:bookmarkStart w:id="14" w:name="OLE_LINK4"/>
      <w:bookmarkEnd w:id="14"/>
      <w:bookmarkStart w:id="15" w:name="OLE_LINK3"/>
      <w:bookmarkEnd w:id="15"/>
    </w:p>
    <w:p w14:paraId="326EC028">
      <w:pPr>
        <w:rPr>
          <w:rFonts w:ascii="Times New Roman" w:hAnsi="Times New Roman" w:eastAsia="方正小标宋_GBK"/>
          <w:sz w:val="44"/>
          <w:szCs w:val="44"/>
        </w:rPr>
      </w:pPr>
      <w:bookmarkStart w:id="16" w:name="_Toc31535"/>
      <w:r>
        <w:rPr>
          <w:rFonts w:ascii="Times New Roman" w:hAnsi="Times New Roman" w:eastAsia="方正小标宋_GBK"/>
          <w:sz w:val="44"/>
          <w:szCs w:val="44"/>
        </w:rPr>
        <w:br w:type="page"/>
      </w:r>
    </w:p>
    <w:bookmarkEnd w:id="16"/>
    <w:p w14:paraId="2CD7DA77">
      <w:pPr>
        <w:spacing w:line="595" w:lineRule="exact"/>
        <w:ind w:firstLine="880" w:firstLineChars="200"/>
        <w:jc w:val="center"/>
        <w:outlineLvl w:val="0"/>
        <w:rPr>
          <w:rFonts w:ascii="Times New Roman" w:hAnsi="Times New Roman" w:eastAsia="黑体"/>
          <w:sz w:val="32"/>
          <w:szCs w:val="32"/>
        </w:rPr>
      </w:pPr>
      <w:bookmarkStart w:id="17" w:name="_Toc23382"/>
      <w:r>
        <w:rPr>
          <w:rFonts w:ascii="Times New Roman" w:hAnsi="Times New Roman" w:eastAsia="方正小标宋_GBK"/>
          <w:sz w:val="44"/>
          <w:szCs w:val="44"/>
        </w:rPr>
        <w:t>第</w:t>
      </w:r>
      <w:r>
        <w:rPr>
          <w:rFonts w:hint="eastAsia" w:ascii="Times New Roman" w:hAnsi="Times New Roman" w:eastAsia="方正小标宋_GBK"/>
          <w:sz w:val="44"/>
          <w:szCs w:val="44"/>
        </w:rPr>
        <w:t>二</w:t>
      </w:r>
      <w:r>
        <w:rPr>
          <w:rFonts w:ascii="Times New Roman" w:hAnsi="Times New Roman" w:eastAsia="方正小标宋_GBK"/>
          <w:sz w:val="44"/>
          <w:szCs w:val="44"/>
        </w:rPr>
        <w:t>章 比选须知及评分标准</w:t>
      </w:r>
      <w:bookmarkEnd w:id="17"/>
    </w:p>
    <w:p w14:paraId="24B931A0">
      <w:pPr>
        <w:spacing w:line="595" w:lineRule="exact"/>
        <w:ind w:firstLine="640" w:firstLineChars="200"/>
        <w:outlineLvl w:val="0"/>
        <w:rPr>
          <w:rFonts w:ascii="Times New Roman" w:hAnsi="Times New Roman" w:eastAsia="黑体"/>
          <w:sz w:val="32"/>
          <w:szCs w:val="32"/>
        </w:rPr>
      </w:pPr>
      <w:bookmarkStart w:id="18" w:name="_Toc1086"/>
      <w:r>
        <w:rPr>
          <w:rFonts w:ascii="Times New Roman" w:hAnsi="Times New Roman" w:eastAsia="黑体"/>
          <w:sz w:val="32"/>
          <w:szCs w:val="32"/>
        </w:rPr>
        <w:t>一、比选须知</w:t>
      </w:r>
      <w:bookmarkEnd w:id="18"/>
    </w:p>
    <w:tbl>
      <w:tblPr>
        <w:tblStyle w:val="9"/>
        <w:tblW w:w="95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867"/>
        <w:gridCol w:w="1512"/>
        <w:gridCol w:w="7144"/>
      </w:tblGrid>
      <w:tr w14:paraId="127A9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83" w:hRule="atLeast"/>
          <w:jc w:val="center"/>
        </w:trPr>
        <w:tc>
          <w:tcPr>
            <w:tcW w:w="867" w:type="dxa"/>
            <w:vAlign w:val="center"/>
          </w:tcPr>
          <w:p w14:paraId="692601A6">
            <w:pPr>
              <w:spacing w:line="360" w:lineRule="exact"/>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条款号</w:t>
            </w:r>
          </w:p>
        </w:tc>
        <w:tc>
          <w:tcPr>
            <w:tcW w:w="1512" w:type="dxa"/>
            <w:vAlign w:val="center"/>
          </w:tcPr>
          <w:p w14:paraId="15996CD4">
            <w:pPr>
              <w:spacing w:line="360" w:lineRule="exact"/>
              <w:ind w:firstLine="254" w:firstLineChars="121"/>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条款名称</w:t>
            </w:r>
          </w:p>
        </w:tc>
        <w:tc>
          <w:tcPr>
            <w:tcW w:w="7144" w:type="dxa"/>
            <w:vAlign w:val="center"/>
          </w:tcPr>
          <w:p w14:paraId="3C8A57A4">
            <w:pPr>
              <w:spacing w:line="360" w:lineRule="exact"/>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内      容</w:t>
            </w:r>
          </w:p>
        </w:tc>
      </w:tr>
      <w:tr w14:paraId="00A418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3" w:hRule="atLeast"/>
          <w:jc w:val="center"/>
        </w:trPr>
        <w:tc>
          <w:tcPr>
            <w:tcW w:w="867" w:type="dxa"/>
            <w:vAlign w:val="center"/>
          </w:tcPr>
          <w:p w14:paraId="30CC692E">
            <w:pPr>
              <w:spacing w:line="360" w:lineRule="exact"/>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1</w:t>
            </w:r>
          </w:p>
        </w:tc>
        <w:tc>
          <w:tcPr>
            <w:tcW w:w="1512" w:type="dxa"/>
            <w:vAlign w:val="center"/>
          </w:tcPr>
          <w:p w14:paraId="39F77D27">
            <w:pPr>
              <w:spacing w:line="360" w:lineRule="exact"/>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bCs/>
                <w:szCs w:val="21"/>
              </w:rPr>
              <w:t>比选人</w:t>
            </w:r>
          </w:p>
        </w:tc>
        <w:tc>
          <w:tcPr>
            <w:tcW w:w="7144" w:type="dxa"/>
            <w:vAlign w:val="center"/>
          </w:tcPr>
          <w:p w14:paraId="6B00698A">
            <w:pPr>
              <w:numPr>
                <w:ilvl w:val="0"/>
                <w:numId w:val="2"/>
              </w:numPr>
              <w:spacing w:line="360" w:lineRule="exact"/>
              <w:jc w:val="left"/>
              <w:rPr>
                <w:rFonts w:asciiTheme="minorEastAsia" w:hAnsiTheme="minorEastAsia" w:eastAsiaTheme="minorEastAsia" w:cstheme="minorEastAsia"/>
                <w:bCs/>
                <w:szCs w:val="21"/>
              </w:rPr>
            </w:pPr>
            <w:bookmarkStart w:id="19" w:name="_Toc477450749"/>
            <w:bookmarkStart w:id="20" w:name="_Toc478234255"/>
            <w:bookmarkStart w:id="21" w:name="_Toc477187761"/>
            <w:r>
              <w:rPr>
                <w:rFonts w:hint="eastAsia" w:asciiTheme="minorEastAsia" w:hAnsiTheme="minorEastAsia" w:eastAsiaTheme="minorEastAsia" w:cstheme="minorEastAsia"/>
                <w:bCs/>
                <w:szCs w:val="21"/>
              </w:rPr>
              <w:t>比选人：</w:t>
            </w:r>
            <w:bookmarkEnd w:id="19"/>
            <w:bookmarkEnd w:id="20"/>
            <w:bookmarkEnd w:id="21"/>
            <w:r>
              <w:rPr>
                <w:rFonts w:hint="eastAsia" w:asciiTheme="minorEastAsia" w:hAnsiTheme="minorEastAsia" w:eastAsiaTheme="minorEastAsia" w:cstheme="minorEastAsia"/>
                <w:bCs/>
                <w:szCs w:val="21"/>
              </w:rPr>
              <w:t>重庆市涪陵榨菜集团股份有限公司</w:t>
            </w:r>
          </w:p>
          <w:p w14:paraId="653F949A">
            <w:pPr>
              <w:numPr>
                <w:ilvl w:val="0"/>
                <w:numId w:val="2"/>
              </w:numPr>
              <w:spacing w:line="360" w:lineRule="exact"/>
              <w:jc w:val="left"/>
              <w:rPr>
                <w:rFonts w:asciiTheme="minorEastAsia" w:hAnsiTheme="minorEastAsia" w:eastAsiaTheme="minorEastAsia" w:cstheme="minorEastAsia"/>
                <w:bCs/>
                <w:szCs w:val="21"/>
              </w:rPr>
            </w:pPr>
            <w:bookmarkStart w:id="22" w:name="_Toc477187762"/>
            <w:bookmarkStart w:id="23" w:name="_Toc477450750"/>
            <w:bookmarkStart w:id="24" w:name="_Toc478234256"/>
            <w:r>
              <w:rPr>
                <w:rFonts w:hint="eastAsia" w:asciiTheme="minorEastAsia" w:hAnsiTheme="minorEastAsia" w:eastAsiaTheme="minorEastAsia" w:cstheme="minorEastAsia"/>
                <w:bCs/>
                <w:szCs w:val="21"/>
              </w:rPr>
              <w:t>地址：</w:t>
            </w:r>
            <w:bookmarkEnd w:id="22"/>
            <w:bookmarkEnd w:id="23"/>
            <w:bookmarkEnd w:id="24"/>
            <w:r>
              <w:rPr>
                <w:rFonts w:hint="eastAsia" w:asciiTheme="minorEastAsia" w:hAnsiTheme="minorEastAsia" w:eastAsiaTheme="minorEastAsia" w:cstheme="minorEastAsia"/>
                <w:bCs/>
                <w:szCs w:val="21"/>
              </w:rPr>
              <w:t>重庆市涪陵区江北街道办事处二渡村一组</w:t>
            </w:r>
          </w:p>
        </w:tc>
      </w:tr>
      <w:tr w14:paraId="21B65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jc w:val="center"/>
        </w:trPr>
        <w:tc>
          <w:tcPr>
            <w:tcW w:w="867" w:type="dxa"/>
            <w:vAlign w:val="center"/>
          </w:tcPr>
          <w:p w14:paraId="31523F2A">
            <w:pPr>
              <w:spacing w:line="360" w:lineRule="exact"/>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2</w:t>
            </w:r>
          </w:p>
        </w:tc>
        <w:tc>
          <w:tcPr>
            <w:tcW w:w="1512" w:type="dxa"/>
            <w:vAlign w:val="center"/>
          </w:tcPr>
          <w:p w14:paraId="375F37C8">
            <w:pPr>
              <w:spacing w:line="360" w:lineRule="exact"/>
              <w:jc w:val="center"/>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项目名称</w:t>
            </w:r>
          </w:p>
        </w:tc>
        <w:tc>
          <w:tcPr>
            <w:tcW w:w="7144" w:type="dxa"/>
            <w:vAlign w:val="center"/>
          </w:tcPr>
          <w:p w14:paraId="2DB7BF92">
            <w:pPr>
              <w:spacing w:line="360" w:lineRule="exact"/>
              <w:jc w:val="left"/>
              <w:rPr>
                <w:rFonts w:asciiTheme="minorEastAsia" w:hAnsiTheme="minorEastAsia" w:eastAsiaTheme="minorEastAsia" w:cstheme="minorEastAsia"/>
                <w:bCs/>
                <w:szCs w:val="21"/>
              </w:rPr>
            </w:pPr>
            <w:r>
              <w:rPr>
                <w:rFonts w:hint="eastAsia" w:asciiTheme="minorEastAsia" w:hAnsiTheme="minorEastAsia" w:eastAsiaTheme="minorEastAsia" w:cstheme="minorEastAsia"/>
                <w:szCs w:val="21"/>
              </w:rPr>
              <w:t>乌江涪陵榨菜绿色智能化生产基地(二期)招标代理中介服务</w:t>
            </w:r>
          </w:p>
        </w:tc>
      </w:tr>
      <w:tr w14:paraId="4C6DC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27" w:hRule="atLeast"/>
          <w:jc w:val="center"/>
        </w:trPr>
        <w:tc>
          <w:tcPr>
            <w:tcW w:w="867" w:type="dxa"/>
            <w:vAlign w:val="center"/>
          </w:tcPr>
          <w:p w14:paraId="4B409FF3">
            <w:pPr>
              <w:spacing w:line="360" w:lineRule="exact"/>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3</w:t>
            </w:r>
          </w:p>
        </w:tc>
        <w:tc>
          <w:tcPr>
            <w:tcW w:w="1512" w:type="dxa"/>
            <w:vAlign w:val="center"/>
          </w:tcPr>
          <w:p w14:paraId="5A0E7495">
            <w:pPr>
              <w:spacing w:line="360" w:lineRule="exact"/>
              <w:jc w:val="center"/>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最高限价及竞选报价</w:t>
            </w:r>
          </w:p>
        </w:tc>
        <w:tc>
          <w:tcPr>
            <w:tcW w:w="7144" w:type="dxa"/>
            <w:vAlign w:val="center"/>
          </w:tcPr>
          <w:p w14:paraId="14467722">
            <w:pPr>
              <w:spacing w:line="360" w:lineRule="exact"/>
              <w:jc w:val="lef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最高限价：17万元。</w:t>
            </w:r>
          </w:p>
          <w:p w14:paraId="479B6D1E">
            <w:pPr>
              <w:spacing w:line="360" w:lineRule="exact"/>
              <w:jc w:val="lef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竞选报价：本次招标代理服务费实行总价包干，包括但不限于项目前期咨询，编制和发布招标文件费，专家费，报告编制费，税金（税率6%），杂费等所有费用，以及非委托人原因造成的流标，重新招标费用等一切费用包干使用。</w:t>
            </w:r>
          </w:p>
        </w:tc>
      </w:tr>
      <w:tr w14:paraId="36B6E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23" w:hRule="atLeast"/>
          <w:jc w:val="center"/>
        </w:trPr>
        <w:tc>
          <w:tcPr>
            <w:tcW w:w="867" w:type="dxa"/>
            <w:vAlign w:val="center"/>
          </w:tcPr>
          <w:p w14:paraId="446EBE4F">
            <w:pPr>
              <w:spacing w:line="360" w:lineRule="exact"/>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4</w:t>
            </w:r>
          </w:p>
        </w:tc>
        <w:tc>
          <w:tcPr>
            <w:tcW w:w="1512" w:type="dxa"/>
            <w:vAlign w:val="center"/>
          </w:tcPr>
          <w:p w14:paraId="1581B42B">
            <w:pPr>
              <w:spacing w:line="360" w:lineRule="exact"/>
              <w:jc w:val="center"/>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竞选人资质</w:t>
            </w:r>
          </w:p>
        </w:tc>
        <w:tc>
          <w:tcPr>
            <w:tcW w:w="7144" w:type="dxa"/>
            <w:vAlign w:val="center"/>
          </w:tcPr>
          <w:p w14:paraId="5C2BFDC8">
            <w:pPr>
              <w:spacing w:line="360" w:lineRule="exact"/>
              <w:jc w:val="lef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1、 有效的营业执照（经营范围中必须包含招投标代理服务）；</w:t>
            </w:r>
          </w:p>
          <w:p w14:paraId="672E2190">
            <w:pPr>
              <w:spacing w:line="360" w:lineRule="exact"/>
              <w:jc w:val="lef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2、 业绩要求：竞选人近三年，自2023年1月1日起至竞选截止日止承揽过1个工程施工项目的招标代理（包含但不限于施工招标或EPC总承包施工招标），单个业绩的合同估算金额不少于25000万元；</w:t>
            </w:r>
          </w:p>
          <w:p w14:paraId="0E07A00A">
            <w:pPr>
              <w:spacing w:line="360" w:lineRule="exact"/>
              <w:jc w:val="lef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提供：与业主签约的合同（含框架协议合同），以及在全国公共服务平台上发布的可查询的招标公告网页截图，截图数量不限且清晰可见，须包含但不限于网站名称、网址、项目名称、估算金额、联系方式等，截图的其余信息不作为评审依据。</w:t>
            </w:r>
          </w:p>
          <w:p w14:paraId="51822376">
            <w:pPr>
              <w:spacing w:line="360" w:lineRule="exact"/>
              <w:jc w:val="left"/>
              <w:rPr>
                <w:rFonts w:asciiTheme="minorEastAsia" w:hAnsiTheme="minorEastAsia" w:eastAsiaTheme="minorEastAsia" w:cstheme="minorEastAsia"/>
                <w:szCs w:val="21"/>
              </w:rPr>
            </w:pPr>
            <w:r>
              <w:rPr>
                <w:rFonts w:hint="eastAsia" w:asciiTheme="minorEastAsia" w:hAnsiTheme="minorEastAsia" w:eastAsiaTheme="minorEastAsia" w:cstheme="minorEastAsia"/>
                <w:bCs/>
                <w:szCs w:val="21"/>
              </w:rPr>
              <w:t>3、无信用中国（https://www.creditchina.gov.cn/xinxigongshi/）“失信被执行人”、“重大税收违法失信主体名单”、“经营活动异常名录”记录，提供竞选截止日前10日内，信用中国公共信用信息报告并加盖单位公章。</w:t>
            </w:r>
          </w:p>
        </w:tc>
      </w:tr>
      <w:tr w14:paraId="26682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83" w:hRule="atLeast"/>
          <w:jc w:val="center"/>
        </w:trPr>
        <w:tc>
          <w:tcPr>
            <w:tcW w:w="867" w:type="dxa"/>
            <w:vAlign w:val="center"/>
          </w:tcPr>
          <w:p w14:paraId="27C1E53A">
            <w:pPr>
              <w:spacing w:line="360" w:lineRule="exact"/>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5</w:t>
            </w:r>
          </w:p>
        </w:tc>
        <w:tc>
          <w:tcPr>
            <w:tcW w:w="1512" w:type="dxa"/>
            <w:vAlign w:val="center"/>
          </w:tcPr>
          <w:p w14:paraId="22A886C1">
            <w:pPr>
              <w:spacing w:line="360" w:lineRule="exact"/>
              <w:jc w:val="center"/>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竞选保证金</w:t>
            </w:r>
          </w:p>
        </w:tc>
        <w:tc>
          <w:tcPr>
            <w:tcW w:w="7144" w:type="dxa"/>
            <w:vAlign w:val="center"/>
          </w:tcPr>
          <w:p w14:paraId="26829602">
            <w:pPr>
              <w:spacing w:line="360" w:lineRule="exac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1. 竞选保证金交款形式及要求：竞选人从企业的基本账户（开户行）在竞选截止时间前通过转账支票直接划付或以电汇方式直接划付至指定的竞选保证金账户。若竞选截止时间延期，则竞选保证金提交的截止时间和竞选截止时间应当保持一致。不满足上述要求的竞选保证金视为无效。</w:t>
            </w:r>
          </w:p>
          <w:p w14:paraId="08CE16F1">
            <w:pPr>
              <w:spacing w:line="360" w:lineRule="exac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竞选人自行考虑汇入时间风险，如同城汇入、异地汇入、跨行汇入的时间要求。</w:t>
            </w:r>
          </w:p>
          <w:p w14:paraId="05F68D73">
            <w:pPr>
              <w:spacing w:line="360" w:lineRule="exac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2. 以转账支票或电汇形式提交竞选保证金的金额：3000元整（人民币）。</w:t>
            </w:r>
          </w:p>
          <w:p w14:paraId="55D58B90">
            <w:pPr>
              <w:spacing w:line="360" w:lineRule="exac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3. 竞选保证金账户及账号：</w:t>
            </w:r>
          </w:p>
          <w:p w14:paraId="6F462708">
            <w:pPr>
              <w:spacing w:line="360" w:lineRule="exac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户名：重庆市涪陵榨菜集团股份有限公司</w:t>
            </w:r>
          </w:p>
          <w:p w14:paraId="5BD12A0C">
            <w:pPr>
              <w:spacing w:line="360" w:lineRule="exac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开户行：中信银行重庆涪陵支行</w:t>
            </w:r>
          </w:p>
          <w:p w14:paraId="7FA1CCD1">
            <w:pPr>
              <w:spacing w:line="360" w:lineRule="exac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账 号：7422010182100003830</w:t>
            </w:r>
          </w:p>
          <w:p w14:paraId="2ECE2CD1">
            <w:pPr>
              <w:spacing w:line="360" w:lineRule="exac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4. 竞选人必须在付款凭证备注栏中注明是“</w:t>
            </w:r>
            <w:r>
              <w:rPr>
                <w:rFonts w:hint="eastAsia" w:asciiTheme="minorEastAsia" w:hAnsiTheme="minorEastAsia" w:eastAsiaTheme="minorEastAsia" w:cstheme="minorEastAsia"/>
                <w:szCs w:val="21"/>
              </w:rPr>
              <w:t>涪陵榨菜二期</w:t>
            </w:r>
            <w:r>
              <w:rPr>
                <w:rFonts w:hint="eastAsia" w:asciiTheme="minorEastAsia" w:hAnsiTheme="minorEastAsia" w:eastAsiaTheme="minorEastAsia" w:cstheme="minorEastAsia"/>
                <w:bCs/>
                <w:szCs w:val="21"/>
              </w:rPr>
              <w:t>项目保证金”。</w:t>
            </w:r>
          </w:p>
          <w:p w14:paraId="348306BB">
            <w:pPr>
              <w:spacing w:line="360" w:lineRule="exac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5. 竞选保证金有效期与投标有效期一致。</w:t>
            </w:r>
          </w:p>
          <w:p w14:paraId="4CD0EA51">
            <w:pPr>
              <w:spacing w:line="360" w:lineRule="exac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二、竞选保证金的退还</w:t>
            </w:r>
          </w:p>
          <w:p w14:paraId="244055CC">
            <w:pPr>
              <w:spacing w:line="360" w:lineRule="exact"/>
              <w:rPr>
                <w:rFonts w:asciiTheme="minorEastAsia" w:hAnsiTheme="minorEastAsia" w:eastAsiaTheme="minorEastAsia" w:cstheme="minorEastAsia"/>
                <w:bCs/>
                <w:szCs w:val="21"/>
              </w:rPr>
            </w:pPr>
            <w:r>
              <w:rPr>
                <w:rFonts w:asciiTheme="minorEastAsia" w:hAnsiTheme="minorEastAsia" w:eastAsiaTheme="minorEastAsia" w:cstheme="minorEastAsia"/>
                <w:bCs/>
                <w:szCs w:val="21"/>
              </w:rPr>
              <w:t>1</w:t>
            </w:r>
            <w:r>
              <w:rPr>
                <w:rFonts w:hint="eastAsia" w:asciiTheme="minorEastAsia" w:hAnsiTheme="minorEastAsia" w:eastAsiaTheme="minorEastAsia" w:cstheme="minorEastAsia"/>
                <w:bCs/>
                <w:szCs w:val="21"/>
              </w:rPr>
              <w:t>、比选人应当在中选通知书发出后5日内，向除中选人以外的竞选人，退还竞选保证金。</w:t>
            </w:r>
          </w:p>
          <w:p w14:paraId="1646BAA3">
            <w:pPr>
              <w:spacing w:line="360" w:lineRule="exac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2、比选人应当在比选人与中选人签订合同后5日内，向中选人退还竞选保证金。</w:t>
            </w:r>
          </w:p>
          <w:p w14:paraId="4FBEAB26">
            <w:pPr>
              <w:spacing w:line="360" w:lineRule="exact"/>
            </w:pPr>
            <w:r>
              <w:rPr>
                <w:rFonts w:asciiTheme="minorEastAsia" w:hAnsiTheme="minorEastAsia" w:eastAsiaTheme="minorEastAsia" w:cstheme="minorEastAsia"/>
                <w:bCs/>
                <w:szCs w:val="21"/>
              </w:rPr>
              <w:t>3</w:t>
            </w:r>
            <w:r>
              <w:rPr>
                <w:rFonts w:hint="eastAsia" w:asciiTheme="minorEastAsia" w:hAnsiTheme="minorEastAsia" w:eastAsiaTheme="minorEastAsia" w:cstheme="minorEastAsia"/>
                <w:bCs/>
                <w:szCs w:val="21"/>
              </w:rPr>
              <w:t>、关于保证金相关情况的问题咨询，联系电话</w:t>
            </w:r>
            <w:r>
              <w:rPr>
                <w:rFonts w:hint="eastAsia" w:asciiTheme="minorEastAsia" w:hAnsiTheme="minorEastAsia" w:eastAsiaTheme="minorEastAsia" w:cstheme="minorEastAsia"/>
                <w:bCs/>
                <w:szCs w:val="21"/>
                <w:lang w:val="en-US" w:eastAsia="zh-CN"/>
              </w:rPr>
              <w:t>13101153571</w:t>
            </w:r>
            <w:r>
              <w:rPr>
                <w:rFonts w:hint="eastAsia" w:asciiTheme="minorEastAsia" w:hAnsiTheme="minorEastAsia" w:eastAsiaTheme="minorEastAsia" w:cstheme="minorEastAsia"/>
                <w:bCs/>
                <w:szCs w:val="21"/>
              </w:rPr>
              <w:t>。</w:t>
            </w:r>
          </w:p>
        </w:tc>
      </w:tr>
      <w:tr w14:paraId="6CC14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83" w:hRule="atLeast"/>
          <w:jc w:val="center"/>
        </w:trPr>
        <w:tc>
          <w:tcPr>
            <w:tcW w:w="867" w:type="dxa"/>
            <w:vAlign w:val="center"/>
          </w:tcPr>
          <w:p w14:paraId="53C1E739">
            <w:pPr>
              <w:spacing w:line="360" w:lineRule="exact"/>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6</w:t>
            </w:r>
          </w:p>
        </w:tc>
        <w:tc>
          <w:tcPr>
            <w:tcW w:w="1512" w:type="dxa"/>
            <w:shd w:val="clear" w:color="auto" w:fill="auto"/>
            <w:vAlign w:val="center"/>
          </w:tcPr>
          <w:p w14:paraId="3833C140">
            <w:pPr>
              <w:snapToGrid w:val="0"/>
              <w:spacing w:line="400" w:lineRule="exact"/>
              <w:jc w:val="center"/>
              <w:rPr>
                <w:rFonts w:ascii="宋体" w:hAnsi="宋体"/>
                <w:kern w:val="0"/>
                <w:szCs w:val="21"/>
              </w:rPr>
            </w:pPr>
            <w:r>
              <w:rPr>
                <w:rFonts w:hint="eastAsia" w:ascii="宋体" w:hAnsi="宋体"/>
                <w:kern w:val="0"/>
                <w:szCs w:val="21"/>
              </w:rPr>
              <w:t>竞选</w:t>
            </w:r>
            <w:r>
              <w:rPr>
                <w:rFonts w:ascii="宋体" w:hAnsi="宋体"/>
                <w:kern w:val="0"/>
                <w:szCs w:val="21"/>
              </w:rPr>
              <w:t>有效期</w:t>
            </w:r>
          </w:p>
        </w:tc>
        <w:tc>
          <w:tcPr>
            <w:tcW w:w="7144" w:type="dxa"/>
            <w:shd w:val="clear" w:color="auto" w:fill="auto"/>
            <w:vAlign w:val="center"/>
          </w:tcPr>
          <w:p w14:paraId="2B86E515">
            <w:pPr>
              <w:snapToGrid w:val="0"/>
              <w:spacing w:line="400" w:lineRule="exact"/>
              <w:rPr>
                <w:rFonts w:ascii="宋体" w:hAnsi="宋体"/>
                <w:szCs w:val="21"/>
              </w:rPr>
            </w:pPr>
            <w:r>
              <w:rPr>
                <w:rFonts w:ascii="宋体" w:hAnsi="宋体"/>
                <w:szCs w:val="21"/>
                <w:u w:val="single"/>
              </w:rPr>
              <w:t xml:space="preserve"> </w:t>
            </w:r>
            <w:r>
              <w:rPr>
                <w:rFonts w:hint="eastAsia" w:ascii="宋体" w:hAnsi="宋体"/>
                <w:szCs w:val="21"/>
                <w:u w:val="single"/>
              </w:rPr>
              <w:t>30</w:t>
            </w:r>
            <w:r>
              <w:rPr>
                <w:rFonts w:ascii="宋体" w:hAnsi="宋体"/>
                <w:szCs w:val="21"/>
                <w:u w:val="single"/>
              </w:rPr>
              <w:t xml:space="preserve"> </w:t>
            </w:r>
            <w:r>
              <w:rPr>
                <w:rFonts w:ascii="宋体" w:hAnsi="宋体"/>
                <w:szCs w:val="21"/>
              </w:rPr>
              <w:t>日历天（从提交</w:t>
            </w:r>
            <w:r>
              <w:rPr>
                <w:rFonts w:hint="eastAsia" w:ascii="宋体" w:hAnsi="宋体"/>
                <w:szCs w:val="21"/>
              </w:rPr>
              <w:t>竞选</w:t>
            </w:r>
            <w:r>
              <w:rPr>
                <w:rFonts w:ascii="宋体" w:hAnsi="宋体"/>
                <w:szCs w:val="21"/>
              </w:rPr>
              <w:t>文件截止日起计算）</w:t>
            </w:r>
          </w:p>
        </w:tc>
      </w:tr>
      <w:tr w14:paraId="2A4E8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83" w:hRule="atLeast"/>
          <w:jc w:val="center"/>
        </w:trPr>
        <w:tc>
          <w:tcPr>
            <w:tcW w:w="867" w:type="dxa"/>
            <w:vAlign w:val="center"/>
          </w:tcPr>
          <w:p w14:paraId="6007E96C">
            <w:pPr>
              <w:spacing w:line="360" w:lineRule="exact"/>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7</w:t>
            </w:r>
          </w:p>
        </w:tc>
        <w:tc>
          <w:tcPr>
            <w:tcW w:w="1512" w:type="dxa"/>
            <w:vAlign w:val="center"/>
          </w:tcPr>
          <w:p w14:paraId="073AA6D2">
            <w:pPr>
              <w:spacing w:line="360" w:lineRule="exact"/>
              <w:jc w:val="center"/>
              <w:rPr>
                <w:rFonts w:asciiTheme="minorEastAsia" w:hAnsiTheme="minorEastAsia" w:eastAsiaTheme="minorEastAsia" w:cstheme="minorEastAsia"/>
                <w:bCs/>
                <w:color w:val="auto"/>
                <w:szCs w:val="21"/>
              </w:rPr>
            </w:pPr>
            <w:r>
              <w:rPr>
                <w:rFonts w:hint="eastAsia" w:asciiTheme="minorEastAsia" w:hAnsiTheme="minorEastAsia" w:eastAsiaTheme="minorEastAsia" w:cstheme="minorEastAsia"/>
                <w:bCs/>
                <w:color w:val="auto"/>
                <w:szCs w:val="21"/>
              </w:rPr>
              <w:t>竞选文件</w:t>
            </w:r>
          </w:p>
          <w:p w14:paraId="7B1DF660">
            <w:pPr>
              <w:spacing w:line="360" w:lineRule="exact"/>
              <w:jc w:val="center"/>
              <w:rPr>
                <w:rFonts w:asciiTheme="minorEastAsia" w:hAnsiTheme="minorEastAsia" w:eastAsiaTheme="minorEastAsia" w:cstheme="minorEastAsia"/>
                <w:bCs/>
                <w:color w:val="auto"/>
                <w:szCs w:val="21"/>
              </w:rPr>
            </w:pPr>
            <w:bookmarkStart w:id="25" w:name="_Toc478234264"/>
            <w:r>
              <w:rPr>
                <w:rFonts w:hint="eastAsia" w:asciiTheme="minorEastAsia" w:hAnsiTheme="minorEastAsia" w:eastAsiaTheme="minorEastAsia" w:cstheme="minorEastAsia"/>
                <w:bCs/>
                <w:color w:val="auto"/>
                <w:szCs w:val="21"/>
              </w:rPr>
              <w:t>递交</w:t>
            </w:r>
            <w:bookmarkEnd w:id="25"/>
            <w:r>
              <w:rPr>
                <w:rFonts w:hint="eastAsia" w:asciiTheme="minorEastAsia" w:hAnsiTheme="minorEastAsia" w:eastAsiaTheme="minorEastAsia" w:cstheme="minorEastAsia"/>
                <w:bCs/>
                <w:color w:val="auto"/>
                <w:szCs w:val="21"/>
              </w:rPr>
              <w:t>及开标</w:t>
            </w:r>
          </w:p>
        </w:tc>
        <w:tc>
          <w:tcPr>
            <w:tcW w:w="7144" w:type="dxa"/>
            <w:vAlign w:val="center"/>
          </w:tcPr>
          <w:p w14:paraId="45C51135">
            <w:pPr>
              <w:spacing w:line="360" w:lineRule="exact"/>
              <w:rPr>
                <w:rFonts w:asciiTheme="minorEastAsia" w:hAnsiTheme="minorEastAsia" w:eastAsiaTheme="minorEastAsia" w:cstheme="minorEastAsia"/>
                <w:bCs/>
                <w:color w:val="auto"/>
                <w:szCs w:val="21"/>
              </w:rPr>
            </w:pPr>
            <w:r>
              <w:rPr>
                <w:rFonts w:hint="eastAsia" w:asciiTheme="minorEastAsia" w:hAnsiTheme="minorEastAsia" w:eastAsiaTheme="minorEastAsia" w:cstheme="minorEastAsia"/>
                <w:bCs/>
                <w:color w:val="auto"/>
                <w:szCs w:val="21"/>
              </w:rPr>
              <w:t>1、竞选文件递交截止时间：2026年06月</w:t>
            </w:r>
            <w:r>
              <w:rPr>
                <w:rFonts w:hint="eastAsia" w:asciiTheme="minorEastAsia" w:hAnsiTheme="minorEastAsia" w:eastAsiaTheme="minorEastAsia" w:cstheme="minorEastAsia"/>
                <w:bCs/>
                <w:color w:val="auto"/>
                <w:szCs w:val="21"/>
                <w:lang w:val="en-US" w:eastAsia="zh-CN"/>
              </w:rPr>
              <w:t>12</w:t>
            </w:r>
            <w:r>
              <w:rPr>
                <w:rFonts w:hint="eastAsia" w:asciiTheme="minorEastAsia" w:hAnsiTheme="minorEastAsia" w:eastAsiaTheme="minorEastAsia" w:cstheme="minorEastAsia"/>
                <w:bCs/>
                <w:color w:val="auto"/>
                <w:szCs w:val="21"/>
              </w:rPr>
              <w:t>日上午11:00。</w:t>
            </w:r>
          </w:p>
          <w:p w14:paraId="6A804CE3">
            <w:pPr>
              <w:spacing w:line="360" w:lineRule="exact"/>
              <w:rPr>
                <w:rFonts w:asciiTheme="minorEastAsia" w:hAnsiTheme="minorEastAsia" w:eastAsiaTheme="minorEastAsia" w:cstheme="minorEastAsia"/>
                <w:bCs/>
                <w:color w:val="auto"/>
                <w:szCs w:val="21"/>
              </w:rPr>
            </w:pPr>
            <w:r>
              <w:rPr>
                <w:rFonts w:hint="eastAsia" w:asciiTheme="minorEastAsia" w:hAnsiTheme="minorEastAsia" w:eastAsiaTheme="minorEastAsia" w:cstheme="minorEastAsia"/>
                <w:bCs/>
                <w:color w:val="auto"/>
                <w:szCs w:val="21"/>
              </w:rPr>
              <w:t>2、竞选文件递交方式：现场递交。</w:t>
            </w:r>
          </w:p>
          <w:p w14:paraId="5D34BB12">
            <w:pPr>
              <w:spacing w:line="360" w:lineRule="exact"/>
              <w:rPr>
                <w:rFonts w:asciiTheme="minorEastAsia" w:hAnsiTheme="minorEastAsia" w:eastAsiaTheme="minorEastAsia" w:cstheme="minorEastAsia"/>
                <w:bCs/>
                <w:color w:val="auto"/>
                <w:szCs w:val="21"/>
              </w:rPr>
            </w:pPr>
            <w:r>
              <w:rPr>
                <w:rFonts w:hint="eastAsia" w:asciiTheme="minorEastAsia" w:hAnsiTheme="minorEastAsia" w:eastAsiaTheme="minorEastAsia" w:cstheme="minorEastAsia"/>
                <w:bCs/>
                <w:color w:val="auto"/>
                <w:szCs w:val="21"/>
              </w:rPr>
              <w:t>3、递交地址：重庆市涪陵榨菜集团股份有限公司当日指定会议室。</w:t>
            </w:r>
          </w:p>
          <w:p w14:paraId="6CF4A09A">
            <w:pPr>
              <w:spacing w:line="360" w:lineRule="exact"/>
              <w:rPr>
                <w:rFonts w:asciiTheme="minorEastAsia" w:hAnsiTheme="minorEastAsia" w:eastAsiaTheme="minorEastAsia" w:cstheme="minorEastAsia"/>
                <w:bCs/>
                <w:color w:val="auto"/>
                <w:szCs w:val="21"/>
              </w:rPr>
            </w:pPr>
            <w:r>
              <w:rPr>
                <w:rFonts w:asciiTheme="minorEastAsia" w:hAnsiTheme="minorEastAsia" w:eastAsiaTheme="minorEastAsia" w:cstheme="minorEastAsia"/>
                <w:bCs/>
                <w:color w:val="auto"/>
                <w:szCs w:val="21"/>
              </w:rPr>
              <w:t>4</w:t>
            </w:r>
            <w:r>
              <w:rPr>
                <w:rFonts w:hint="eastAsia" w:asciiTheme="minorEastAsia" w:hAnsiTheme="minorEastAsia" w:eastAsiaTheme="minorEastAsia" w:cstheme="minorEastAsia"/>
                <w:bCs/>
                <w:color w:val="auto"/>
                <w:szCs w:val="21"/>
              </w:rPr>
              <w:t>、开标时间：2026年06月</w:t>
            </w:r>
            <w:r>
              <w:rPr>
                <w:rFonts w:hint="eastAsia" w:asciiTheme="minorEastAsia" w:hAnsiTheme="minorEastAsia" w:eastAsiaTheme="minorEastAsia" w:cstheme="minorEastAsia"/>
                <w:bCs/>
                <w:color w:val="auto"/>
                <w:szCs w:val="21"/>
                <w:lang w:val="en-US" w:eastAsia="zh-CN"/>
              </w:rPr>
              <w:t>12</w:t>
            </w:r>
            <w:r>
              <w:rPr>
                <w:rFonts w:hint="eastAsia" w:asciiTheme="minorEastAsia" w:hAnsiTheme="minorEastAsia" w:eastAsiaTheme="minorEastAsia" w:cstheme="minorEastAsia"/>
                <w:bCs/>
                <w:color w:val="auto"/>
                <w:szCs w:val="21"/>
              </w:rPr>
              <w:t>日北京时间11:00（以实际开标时间为准）。</w:t>
            </w:r>
          </w:p>
          <w:p w14:paraId="6452453F">
            <w:pPr>
              <w:spacing w:line="360" w:lineRule="exact"/>
              <w:rPr>
                <w:color w:val="auto"/>
              </w:rPr>
            </w:pPr>
            <w:r>
              <w:rPr>
                <w:rFonts w:asciiTheme="minorEastAsia" w:hAnsiTheme="minorEastAsia" w:eastAsiaTheme="minorEastAsia" w:cstheme="minorEastAsia"/>
                <w:bCs/>
                <w:color w:val="auto"/>
                <w:szCs w:val="21"/>
              </w:rPr>
              <w:t>5</w:t>
            </w:r>
            <w:r>
              <w:rPr>
                <w:rFonts w:hint="eastAsia" w:asciiTheme="minorEastAsia" w:hAnsiTheme="minorEastAsia" w:eastAsiaTheme="minorEastAsia" w:cstheme="minorEastAsia"/>
                <w:bCs/>
                <w:color w:val="auto"/>
                <w:szCs w:val="21"/>
              </w:rPr>
              <w:t>、开标地点：重庆市涪陵榨菜集团股份有限公司当日指定会议室。</w:t>
            </w:r>
          </w:p>
        </w:tc>
      </w:tr>
      <w:tr w14:paraId="79EB4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867" w:type="dxa"/>
            <w:vAlign w:val="center"/>
          </w:tcPr>
          <w:p w14:paraId="6BCC7B63">
            <w:pPr>
              <w:spacing w:line="360" w:lineRule="exact"/>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8</w:t>
            </w:r>
          </w:p>
        </w:tc>
        <w:tc>
          <w:tcPr>
            <w:tcW w:w="1512" w:type="dxa"/>
            <w:vAlign w:val="center"/>
          </w:tcPr>
          <w:p w14:paraId="7F44F887">
            <w:pPr>
              <w:spacing w:line="360" w:lineRule="exact"/>
              <w:jc w:val="center"/>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竞选文件数量</w:t>
            </w:r>
          </w:p>
        </w:tc>
        <w:tc>
          <w:tcPr>
            <w:tcW w:w="7144" w:type="dxa"/>
            <w:vAlign w:val="center"/>
          </w:tcPr>
          <w:p w14:paraId="6FB776D9">
            <w:pPr>
              <w:spacing w:line="360" w:lineRule="exact"/>
              <w:jc w:val="left"/>
              <w:rPr>
                <w:rFonts w:asciiTheme="minorEastAsia" w:hAnsiTheme="minorEastAsia" w:eastAsiaTheme="minorEastAsia" w:cstheme="minorEastAsia"/>
                <w:bCs/>
                <w:szCs w:val="21"/>
              </w:rPr>
            </w:pPr>
            <w:bookmarkStart w:id="26" w:name="_Toc477187777"/>
            <w:bookmarkStart w:id="27" w:name="_Toc478234266"/>
            <w:bookmarkStart w:id="28" w:name="_Toc477450765"/>
            <w:r>
              <w:rPr>
                <w:rFonts w:hint="eastAsia" w:asciiTheme="minorEastAsia" w:hAnsiTheme="minorEastAsia" w:eastAsiaTheme="minorEastAsia" w:cstheme="minorEastAsia"/>
                <w:bCs/>
                <w:szCs w:val="21"/>
              </w:rPr>
              <w:t>一式两份，正本1份</w:t>
            </w:r>
            <w:bookmarkEnd w:id="26"/>
            <w:bookmarkEnd w:id="27"/>
            <w:bookmarkEnd w:id="28"/>
            <w:r>
              <w:rPr>
                <w:rFonts w:hint="eastAsia" w:asciiTheme="minorEastAsia" w:hAnsiTheme="minorEastAsia" w:eastAsiaTheme="minorEastAsia" w:cstheme="minorEastAsia"/>
                <w:bCs/>
                <w:szCs w:val="21"/>
              </w:rPr>
              <w:t>，副本1份（副本为正本完整扫描件）。</w:t>
            </w:r>
          </w:p>
        </w:tc>
      </w:tr>
      <w:tr w14:paraId="60459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42" w:hRule="atLeast"/>
          <w:jc w:val="center"/>
        </w:trPr>
        <w:tc>
          <w:tcPr>
            <w:tcW w:w="867" w:type="dxa"/>
            <w:vAlign w:val="center"/>
          </w:tcPr>
          <w:p w14:paraId="33BCDE71">
            <w:pPr>
              <w:spacing w:line="360" w:lineRule="exact"/>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9</w:t>
            </w:r>
          </w:p>
        </w:tc>
        <w:tc>
          <w:tcPr>
            <w:tcW w:w="1512" w:type="dxa"/>
            <w:vAlign w:val="center"/>
          </w:tcPr>
          <w:p w14:paraId="53DBA471">
            <w:pPr>
              <w:spacing w:line="360" w:lineRule="exact"/>
              <w:jc w:val="center"/>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竞选文件</w:t>
            </w:r>
          </w:p>
          <w:p w14:paraId="1C2BD6EE">
            <w:pPr>
              <w:spacing w:line="360" w:lineRule="exact"/>
              <w:jc w:val="center"/>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内容及格式</w:t>
            </w:r>
          </w:p>
        </w:tc>
        <w:tc>
          <w:tcPr>
            <w:tcW w:w="7144" w:type="dxa"/>
            <w:vAlign w:val="center"/>
          </w:tcPr>
          <w:p w14:paraId="42013823">
            <w:pPr>
              <w:pStyle w:val="12"/>
              <w:widowControl/>
              <w:spacing w:line="360" w:lineRule="exact"/>
              <w:ind w:firstLine="0" w:firstLineChars="0"/>
              <w:rPr>
                <w:rFonts w:asciiTheme="minorEastAsia" w:hAnsiTheme="minorEastAsia" w:eastAsiaTheme="minorEastAsia" w:cstheme="minorEastAsia"/>
                <w:kern w:val="0"/>
                <w:szCs w:val="21"/>
              </w:rPr>
            </w:pPr>
            <w:r>
              <w:rPr>
                <w:rFonts w:hint="eastAsia" w:asciiTheme="minorEastAsia" w:hAnsiTheme="minorEastAsia" w:eastAsiaTheme="minorEastAsia" w:cstheme="minorEastAsia"/>
                <w:bCs/>
                <w:szCs w:val="21"/>
              </w:rPr>
              <w:t>按本比选文件第三章要求执行。</w:t>
            </w:r>
          </w:p>
        </w:tc>
      </w:tr>
      <w:tr w14:paraId="6D070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003" w:hRule="atLeast"/>
          <w:jc w:val="center"/>
        </w:trPr>
        <w:tc>
          <w:tcPr>
            <w:tcW w:w="867" w:type="dxa"/>
            <w:vAlign w:val="center"/>
          </w:tcPr>
          <w:p w14:paraId="6915D71D">
            <w:pPr>
              <w:spacing w:line="360" w:lineRule="exact"/>
              <w:jc w:val="center"/>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10</w:t>
            </w:r>
          </w:p>
        </w:tc>
        <w:tc>
          <w:tcPr>
            <w:tcW w:w="1512" w:type="dxa"/>
            <w:vAlign w:val="center"/>
          </w:tcPr>
          <w:p w14:paraId="5FE893CF">
            <w:pPr>
              <w:spacing w:line="360" w:lineRule="exact"/>
              <w:jc w:val="center"/>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竞选文件</w:t>
            </w:r>
          </w:p>
          <w:p w14:paraId="1C7894B1">
            <w:pPr>
              <w:spacing w:line="360" w:lineRule="exact"/>
              <w:jc w:val="center"/>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密封</w:t>
            </w:r>
          </w:p>
        </w:tc>
        <w:tc>
          <w:tcPr>
            <w:tcW w:w="7144" w:type="dxa"/>
            <w:vAlign w:val="center"/>
          </w:tcPr>
          <w:p w14:paraId="09478C1C">
            <w:pPr>
              <w:spacing w:line="360" w:lineRule="exact"/>
              <w:jc w:val="left"/>
              <w:rPr>
                <w:rFonts w:asciiTheme="minorEastAsia" w:hAnsiTheme="minorEastAsia" w:eastAsiaTheme="minorEastAsia" w:cstheme="minorEastAsia"/>
                <w:bCs/>
                <w:szCs w:val="21"/>
              </w:rPr>
            </w:pPr>
            <w:bookmarkStart w:id="29" w:name="_Toc478234277"/>
            <w:bookmarkStart w:id="30" w:name="_Toc477187783"/>
            <w:bookmarkStart w:id="31" w:name="_Toc477450771"/>
            <w:r>
              <w:rPr>
                <w:rFonts w:hint="eastAsia" w:asciiTheme="minorEastAsia" w:hAnsiTheme="minorEastAsia" w:eastAsiaTheme="minorEastAsia" w:cstheme="minorEastAsia"/>
                <w:bCs/>
                <w:szCs w:val="21"/>
              </w:rPr>
              <w:t>竞选文件应装订成册装入大袋中密封，大袋密封套上写明如下内容：</w:t>
            </w:r>
            <w:bookmarkEnd w:id="29"/>
          </w:p>
          <w:p w14:paraId="2F477299">
            <w:pPr>
              <w:spacing w:line="360" w:lineRule="exact"/>
              <w:jc w:val="left"/>
              <w:rPr>
                <w:rFonts w:asciiTheme="minorEastAsia" w:hAnsiTheme="minorEastAsia" w:eastAsiaTheme="minorEastAsia" w:cstheme="minorEastAsia"/>
                <w:bCs/>
                <w:szCs w:val="21"/>
              </w:rPr>
            </w:pPr>
            <w:bookmarkStart w:id="32" w:name="_Toc478234279"/>
            <w:r>
              <w:rPr>
                <w:rFonts w:hint="eastAsia" w:asciiTheme="minorEastAsia" w:hAnsiTheme="minorEastAsia" w:eastAsiaTheme="minorEastAsia" w:cstheme="minorEastAsia"/>
                <w:bCs/>
                <w:szCs w:val="21"/>
              </w:rPr>
              <w:t>竞选人：竞选人名称（加盖单位公章）</w:t>
            </w:r>
            <w:bookmarkEnd w:id="32"/>
          </w:p>
          <w:p w14:paraId="42208D41">
            <w:pPr>
              <w:spacing w:line="360" w:lineRule="exact"/>
              <w:jc w:val="left"/>
              <w:rPr>
                <w:rFonts w:asciiTheme="minorEastAsia" w:hAnsiTheme="minorEastAsia" w:eastAsiaTheme="minorEastAsia" w:cstheme="minorEastAsia"/>
                <w:bCs/>
                <w:szCs w:val="21"/>
              </w:rPr>
            </w:pPr>
            <w:bookmarkStart w:id="33" w:name="_Toc478234280"/>
            <w:r>
              <w:rPr>
                <w:rFonts w:hint="eastAsia" w:asciiTheme="minorEastAsia" w:hAnsiTheme="minorEastAsia" w:eastAsiaTheme="minorEastAsia" w:cstheme="minorEastAsia"/>
                <w:bCs/>
                <w:szCs w:val="21"/>
              </w:rPr>
              <w:t>项目名称：</w:t>
            </w:r>
            <w:bookmarkEnd w:id="30"/>
            <w:bookmarkEnd w:id="31"/>
            <w:bookmarkEnd w:id="33"/>
            <w:r>
              <w:rPr>
                <w:rFonts w:hint="eastAsia" w:asciiTheme="minorEastAsia" w:hAnsiTheme="minorEastAsia" w:eastAsiaTheme="minorEastAsia" w:cstheme="minorEastAsia"/>
                <w:bCs/>
                <w:szCs w:val="21"/>
              </w:rPr>
              <w:t>乌江涪陵榨菜绿色智能化生产基地(二期)</w:t>
            </w:r>
            <w:r>
              <w:rPr>
                <w:rFonts w:hint="eastAsia" w:asciiTheme="minorEastAsia" w:hAnsiTheme="minorEastAsia" w:eastAsiaTheme="minorEastAsia" w:cstheme="minorEastAsia"/>
                <w:szCs w:val="21"/>
              </w:rPr>
              <w:t>招标代理中介服务</w:t>
            </w:r>
          </w:p>
        </w:tc>
      </w:tr>
      <w:tr w14:paraId="1FDBA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936" w:hRule="atLeast"/>
          <w:jc w:val="center"/>
        </w:trPr>
        <w:tc>
          <w:tcPr>
            <w:tcW w:w="867" w:type="dxa"/>
            <w:vAlign w:val="center"/>
          </w:tcPr>
          <w:p w14:paraId="68E1372A">
            <w:pPr>
              <w:spacing w:line="360" w:lineRule="exact"/>
              <w:jc w:val="center"/>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11</w:t>
            </w:r>
          </w:p>
        </w:tc>
        <w:tc>
          <w:tcPr>
            <w:tcW w:w="1512" w:type="dxa"/>
            <w:vAlign w:val="center"/>
          </w:tcPr>
          <w:p w14:paraId="7C79EAB1">
            <w:pPr>
              <w:spacing w:line="360" w:lineRule="exact"/>
              <w:jc w:val="center"/>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评选方法</w:t>
            </w:r>
          </w:p>
        </w:tc>
        <w:tc>
          <w:tcPr>
            <w:tcW w:w="7144" w:type="dxa"/>
            <w:vAlign w:val="center"/>
          </w:tcPr>
          <w:p w14:paraId="354E2AA6">
            <w:pPr>
              <w:spacing w:line="360" w:lineRule="exact"/>
              <w:jc w:val="lef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采用综合评分法。</w:t>
            </w:r>
          </w:p>
          <w:p w14:paraId="61DEE938">
            <w:pPr>
              <w:spacing w:line="360" w:lineRule="exact"/>
              <w:jc w:val="lef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（一）资格初审：采购人组织评审小组对报名机构提交的资料进行资格评审，筛选出符合条件的机构。</w:t>
            </w:r>
          </w:p>
          <w:p w14:paraId="1F1B5CC1">
            <w:pPr>
              <w:spacing w:line="360" w:lineRule="exact"/>
              <w:jc w:val="lef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（二）综合评审：对通过初步评审机构，由评审小组根据明确的评审标准进行综合评审。</w:t>
            </w:r>
          </w:p>
          <w:p w14:paraId="25CFA50B">
            <w:pPr>
              <w:spacing w:line="360" w:lineRule="exact"/>
              <w:jc w:val="left"/>
            </w:pPr>
            <w:r>
              <w:rPr>
                <w:rFonts w:hint="eastAsia" w:asciiTheme="minorEastAsia" w:hAnsiTheme="minorEastAsia" w:eastAsiaTheme="minorEastAsia" w:cstheme="minorEastAsia"/>
                <w:bCs/>
                <w:szCs w:val="21"/>
              </w:rPr>
              <w:t>（三）综合评分排名第1名者为中选人，如出现总评分并列第1名，以报价低者为中选人。</w:t>
            </w:r>
          </w:p>
        </w:tc>
      </w:tr>
      <w:tr w14:paraId="2AD30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19" w:hRule="atLeast"/>
          <w:jc w:val="center"/>
        </w:trPr>
        <w:tc>
          <w:tcPr>
            <w:tcW w:w="867" w:type="dxa"/>
            <w:vAlign w:val="center"/>
          </w:tcPr>
          <w:p w14:paraId="22D76863">
            <w:pPr>
              <w:spacing w:line="360" w:lineRule="exact"/>
              <w:jc w:val="center"/>
              <w:rPr>
                <w:rFonts w:asciiTheme="minorEastAsia" w:hAnsiTheme="minorEastAsia" w:eastAsiaTheme="minorEastAsia" w:cstheme="minorEastAsia"/>
                <w:bCs/>
                <w:szCs w:val="21"/>
              </w:rPr>
            </w:pPr>
            <w:bookmarkStart w:id="34" w:name="_Toc478234298"/>
            <w:r>
              <w:rPr>
                <w:rFonts w:hint="eastAsia" w:asciiTheme="minorEastAsia" w:hAnsiTheme="minorEastAsia" w:eastAsiaTheme="minorEastAsia" w:cstheme="minorEastAsia"/>
                <w:bCs/>
                <w:szCs w:val="21"/>
              </w:rPr>
              <w:t>12</w:t>
            </w:r>
          </w:p>
        </w:tc>
        <w:tc>
          <w:tcPr>
            <w:tcW w:w="1512" w:type="dxa"/>
            <w:vAlign w:val="center"/>
          </w:tcPr>
          <w:p w14:paraId="6CA5F057">
            <w:pPr>
              <w:spacing w:line="360" w:lineRule="exact"/>
              <w:jc w:val="center"/>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中选人变更</w:t>
            </w:r>
          </w:p>
        </w:tc>
        <w:tc>
          <w:tcPr>
            <w:tcW w:w="7144" w:type="dxa"/>
            <w:vAlign w:val="center"/>
          </w:tcPr>
          <w:p w14:paraId="37D11A30">
            <w:pPr>
              <w:spacing w:line="360" w:lineRule="exact"/>
              <w:jc w:val="lef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出现下列情况之一，比选人可按照评分由高至低的顺序，确定评分排名下一位的竞选人为中选人，也可重新开展评选工作：</w:t>
            </w:r>
          </w:p>
          <w:p w14:paraId="2523FDEF">
            <w:pPr>
              <w:spacing w:line="360" w:lineRule="exact"/>
              <w:jc w:val="lef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1.中选人拒绝与比选人签订合同的。</w:t>
            </w:r>
          </w:p>
          <w:p w14:paraId="52E90B80">
            <w:pPr>
              <w:spacing w:line="360" w:lineRule="exact"/>
              <w:jc w:val="lef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2.签订合同后，中选人未按合同约定提供相关服务。</w:t>
            </w:r>
          </w:p>
        </w:tc>
      </w:tr>
      <w:tr w14:paraId="36B20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5" w:hRule="atLeast"/>
          <w:jc w:val="center"/>
        </w:trPr>
        <w:tc>
          <w:tcPr>
            <w:tcW w:w="867" w:type="dxa"/>
            <w:vAlign w:val="center"/>
          </w:tcPr>
          <w:p w14:paraId="1031CE2D">
            <w:pPr>
              <w:spacing w:line="360" w:lineRule="exact"/>
              <w:jc w:val="center"/>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13</w:t>
            </w:r>
          </w:p>
        </w:tc>
        <w:tc>
          <w:tcPr>
            <w:tcW w:w="1512" w:type="dxa"/>
            <w:vAlign w:val="center"/>
          </w:tcPr>
          <w:p w14:paraId="2CCC87DF">
            <w:pPr>
              <w:spacing w:line="360" w:lineRule="exact"/>
              <w:jc w:val="center"/>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评选委员会</w:t>
            </w:r>
          </w:p>
        </w:tc>
        <w:tc>
          <w:tcPr>
            <w:tcW w:w="7144" w:type="dxa"/>
            <w:vAlign w:val="center"/>
          </w:tcPr>
          <w:p w14:paraId="71BE2902">
            <w:pPr>
              <w:spacing w:line="360" w:lineRule="exact"/>
              <w:jc w:val="left"/>
              <w:rPr>
                <w:rFonts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由比选人组建评选委员会。</w:t>
            </w:r>
          </w:p>
        </w:tc>
      </w:tr>
      <w:tr w14:paraId="57234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5" w:hRule="atLeast"/>
          <w:jc w:val="center"/>
        </w:trPr>
        <w:tc>
          <w:tcPr>
            <w:tcW w:w="867" w:type="dxa"/>
            <w:vAlign w:val="center"/>
          </w:tcPr>
          <w:p w14:paraId="2A830482">
            <w:pPr>
              <w:spacing w:line="360" w:lineRule="exact"/>
              <w:jc w:val="center"/>
              <w:rPr>
                <w:rFonts w:hint="default" w:asciiTheme="minorEastAsia" w:hAnsiTheme="minorEastAsia" w:eastAsiaTheme="minorEastAsia" w:cstheme="minorEastAsia"/>
                <w:bCs/>
                <w:szCs w:val="21"/>
                <w:lang w:val="en-US" w:eastAsia="zh-CN"/>
              </w:rPr>
            </w:pPr>
            <w:r>
              <w:rPr>
                <w:rFonts w:hint="eastAsia" w:asciiTheme="minorEastAsia" w:hAnsiTheme="minorEastAsia" w:eastAsiaTheme="minorEastAsia" w:cstheme="minorEastAsia"/>
                <w:bCs/>
                <w:szCs w:val="21"/>
                <w:lang w:val="en-US" w:eastAsia="zh-CN"/>
              </w:rPr>
              <w:t>14</w:t>
            </w:r>
          </w:p>
        </w:tc>
        <w:tc>
          <w:tcPr>
            <w:tcW w:w="1512" w:type="dxa"/>
            <w:vAlign w:val="center"/>
          </w:tcPr>
          <w:p w14:paraId="5D3F7CDA">
            <w:pPr>
              <w:spacing w:line="360" w:lineRule="exact"/>
              <w:jc w:val="center"/>
              <w:rPr>
                <w:rFonts w:hint="default" w:asciiTheme="minorEastAsia" w:hAnsiTheme="minorEastAsia" w:eastAsiaTheme="minorEastAsia" w:cstheme="minorEastAsia"/>
                <w:bCs/>
                <w:szCs w:val="21"/>
                <w:lang w:val="en-US" w:eastAsia="zh-CN"/>
              </w:rPr>
            </w:pPr>
            <w:r>
              <w:rPr>
                <w:rFonts w:hint="eastAsia" w:asciiTheme="minorEastAsia" w:hAnsiTheme="minorEastAsia" w:eastAsiaTheme="minorEastAsia" w:cstheme="minorEastAsia"/>
                <w:bCs/>
                <w:szCs w:val="21"/>
                <w:lang w:val="en-US" w:eastAsia="zh-CN"/>
              </w:rPr>
              <w:t>服务期限</w:t>
            </w:r>
          </w:p>
        </w:tc>
        <w:tc>
          <w:tcPr>
            <w:tcW w:w="7144" w:type="dxa"/>
            <w:vAlign w:val="center"/>
          </w:tcPr>
          <w:p w14:paraId="5C22091E">
            <w:pPr>
              <w:spacing w:line="360" w:lineRule="exact"/>
              <w:jc w:val="left"/>
              <w:rPr>
                <w:rFonts w:hint="eastAsia"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自签订招标代理合同之日起，至本项目所有招标手续完毕并移交档案资料之日止。</w:t>
            </w:r>
          </w:p>
        </w:tc>
      </w:tr>
      <w:tr w14:paraId="1E098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5" w:hRule="atLeast"/>
          <w:jc w:val="center"/>
        </w:trPr>
        <w:tc>
          <w:tcPr>
            <w:tcW w:w="867" w:type="dxa"/>
            <w:vAlign w:val="center"/>
          </w:tcPr>
          <w:p w14:paraId="660AECAA">
            <w:pPr>
              <w:spacing w:line="360" w:lineRule="exact"/>
              <w:jc w:val="center"/>
              <w:rPr>
                <w:rFonts w:hint="default" w:asciiTheme="minorEastAsia" w:hAnsiTheme="minorEastAsia" w:eastAsiaTheme="minorEastAsia" w:cstheme="minorEastAsia"/>
                <w:bCs/>
                <w:szCs w:val="21"/>
                <w:lang w:val="en-US" w:eastAsia="zh-CN"/>
              </w:rPr>
            </w:pPr>
            <w:r>
              <w:rPr>
                <w:rFonts w:hint="eastAsia" w:asciiTheme="minorEastAsia" w:hAnsiTheme="minorEastAsia" w:eastAsiaTheme="minorEastAsia" w:cstheme="minorEastAsia"/>
                <w:bCs/>
                <w:szCs w:val="21"/>
                <w:lang w:val="en-US" w:eastAsia="zh-CN"/>
              </w:rPr>
              <w:t>15</w:t>
            </w:r>
          </w:p>
        </w:tc>
        <w:tc>
          <w:tcPr>
            <w:tcW w:w="1512" w:type="dxa"/>
            <w:vAlign w:val="center"/>
          </w:tcPr>
          <w:p w14:paraId="4A63B552">
            <w:pPr>
              <w:spacing w:line="360" w:lineRule="exact"/>
              <w:jc w:val="center"/>
              <w:rPr>
                <w:rFonts w:hint="default" w:asciiTheme="minorEastAsia" w:hAnsiTheme="minorEastAsia" w:eastAsiaTheme="minorEastAsia" w:cstheme="minorEastAsia"/>
                <w:bCs/>
                <w:szCs w:val="21"/>
                <w:lang w:val="en-US" w:eastAsia="zh-CN"/>
              </w:rPr>
            </w:pPr>
            <w:r>
              <w:rPr>
                <w:rFonts w:hint="eastAsia" w:asciiTheme="minorEastAsia" w:hAnsiTheme="minorEastAsia" w:eastAsiaTheme="minorEastAsia" w:cstheme="minorEastAsia"/>
                <w:bCs/>
                <w:szCs w:val="21"/>
                <w:lang w:val="en-US" w:eastAsia="zh-CN"/>
              </w:rPr>
              <w:t>其他</w:t>
            </w:r>
          </w:p>
        </w:tc>
        <w:tc>
          <w:tcPr>
            <w:tcW w:w="7144" w:type="dxa"/>
            <w:vAlign w:val="center"/>
          </w:tcPr>
          <w:p w14:paraId="0607A414">
            <w:pPr>
              <w:spacing w:line="360" w:lineRule="exact"/>
              <w:jc w:val="left"/>
              <w:rPr>
                <w:rFonts w:hint="eastAsia" w:asciiTheme="minorEastAsia" w:hAnsiTheme="minorEastAsia" w:eastAsiaTheme="minorEastAsia" w:cstheme="minorEastAsia"/>
                <w:bCs/>
                <w:szCs w:val="21"/>
              </w:rPr>
            </w:pPr>
            <w:r>
              <w:rPr>
                <w:rFonts w:hint="eastAsia" w:asciiTheme="minorEastAsia" w:hAnsiTheme="minorEastAsia" w:eastAsiaTheme="minorEastAsia" w:cstheme="minorEastAsia"/>
                <w:bCs/>
                <w:szCs w:val="21"/>
              </w:rPr>
              <w:t>本项目</w:t>
            </w:r>
            <w:r>
              <w:rPr>
                <w:rFonts w:hint="eastAsia" w:asciiTheme="minorEastAsia" w:hAnsiTheme="minorEastAsia" w:eastAsiaTheme="minorEastAsia" w:cstheme="minorEastAsia"/>
                <w:bCs/>
                <w:szCs w:val="21"/>
                <w:lang w:val="en-US" w:eastAsia="zh-CN"/>
              </w:rPr>
              <w:t>为企业自行采购项目，</w:t>
            </w:r>
            <w:r>
              <w:rPr>
                <w:rFonts w:hint="eastAsia" w:asciiTheme="minorEastAsia" w:hAnsiTheme="minorEastAsia" w:eastAsiaTheme="minorEastAsia" w:cstheme="minorEastAsia"/>
                <w:bCs/>
                <w:szCs w:val="21"/>
              </w:rPr>
              <w:t>若</w:t>
            </w:r>
            <w:r>
              <w:rPr>
                <w:rFonts w:hint="eastAsia" w:asciiTheme="minorEastAsia" w:hAnsiTheme="minorEastAsia" w:eastAsiaTheme="minorEastAsia" w:cstheme="minorEastAsia"/>
                <w:bCs/>
                <w:szCs w:val="21"/>
                <w:lang w:val="en-US" w:eastAsia="zh-CN"/>
              </w:rPr>
              <w:t>投标</w:t>
            </w:r>
            <w:r>
              <w:rPr>
                <w:rFonts w:hint="eastAsia" w:asciiTheme="minorEastAsia" w:hAnsiTheme="minorEastAsia" w:eastAsiaTheme="minorEastAsia" w:cstheme="minorEastAsia"/>
                <w:bCs/>
                <w:szCs w:val="21"/>
              </w:rPr>
              <w:t>家数不足3家时，</w:t>
            </w:r>
            <w:r>
              <w:rPr>
                <w:rFonts w:hint="eastAsia" w:asciiTheme="minorEastAsia" w:hAnsiTheme="minorEastAsia" w:eastAsiaTheme="minorEastAsia" w:cstheme="minorEastAsia"/>
                <w:bCs/>
                <w:szCs w:val="21"/>
                <w:lang w:val="en-US" w:eastAsia="zh-CN"/>
              </w:rPr>
              <w:t>可以继续</w:t>
            </w:r>
            <w:r>
              <w:rPr>
                <w:rFonts w:hint="eastAsia" w:asciiTheme="minorEastAsia" w:hAnsiTheme="minorEastAsia" w:eastAsiaTheme="minorEastAsia" w:cstheme="minorEastAsia"/>
                <w:bCs/>
                <w:szCs w:val="21"/>
              </w:rPr>
              <w:t>按照</w:t>
            </w:r>
            <w:r>
              <w:rPr>
                <w:rFonts w:hint="eastAsia" w:asciiTheme="minorEastAsia" w:hAnsiTheme="minorEastAsia" w:eastAsiaTheme="minorEastAsia" w:cstheme="minorEastAsia"/>
                <w:bCs/>
                <w:szCs w:val="21"/>
                <w:lang w:val="en-US" w:eastAsia="zh-CN"/>
              </w:rPr>
              <w:t>评选方法</w:t>
            </w:r>
            <w:r>
              <w:rPr>
                <w:rFonts w:hint="eastAsia" w:asciiTheme="minorEastAsia" w:hAnsiTheme="minorEastAsia" w:eastAsiaTheme="minorEastAsia" w:cstheme="minorEastAsia"/>
                <w:bCs/>
                <w:szCs w:val="21"/>
              </w:rPr>
              <w:t>确定中选机构。</w:t>
            </w:r>
          </w:p>
        </w:tc>
      </w:tr>
      <w:bookmarkEnd w:id="34"/>
    </w:tbl>
    <w:p w14:paraId="2C5B1F57">
      <w:pPr>
        <w:spacing w:line="594" w:lineRule="exact"/>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二、评分标准</w:t>
      </w:r>
    </w:p>
    <w:tbl>
      <w:tblPr>
        <w:tblStyle w:val="9"/>
        <w:tblW w:w="95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3"/>
        <w:gridCol w:w="1428"/>
        <w:gridCol w:w="1019"/>
        <w:gridCol w:w="5452"/>
        <w:gridCol w:w="911"/>
      </w:tblGrid>
      <w:tr w14:paraId="2C524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3" w:type="dxa"/>
            <w:tcBorders>
              <w:top w:val="single" w:color="auto" w:sz="4" w:space="0"/>
              <w:left w:val="single" w:color="auto" w:sz="4" w:space="0"/>
              <w:bottom w:val="single" w:color="auto" w:sz="4" w:space="0"/>
              <w:right w:val="single" w:color="auto" w:sz="4" w:space="0"/>
            </w:tcBorders>
            <w:shd w:val="clear" w:color="auto" w:fill="auto"/>
            <w:vAlign w:val="center"/>
          </w:tcPr>
          <w:p w14:paraId="4DD52F69">
            <w:pPr>
              <w:autoSpaceDE w:val="0"/>
              <w:spacing w:line="500" w:lineRule="exact"/>
              <w:jc w:val="center"/>
              <w:rPr>
                <w:rFonts w:asciiTheme="minorEastAsia" w:hAnsiTheme="minorEastAsia" w:eastAsiaTheme="minorEastAsia" w:cstheme="minorEastAsia"/>
                <w:b/>
                <w:szCs w:val="21"/>
              </w:rPr>
            </w:pPr>
            <w:bookmarkStart w:id="35" w:name="_Toc8223"/>
            <w:r>
              <w:rPr>
                <w:rFonts w:hint="eastAsia" w:asciiTheme="minorEastAsia" w:hAnsiTheme="minorEastAsia" w:eastAsiaTheme="minorEastAsia" w:cstheme="minorEastAsia"/>
                <w:b/>
                <w:szCs w:val="21"/>
                <w:lang w:bidi="ar"/>
              </w:rPr>
              <w:t>序号</w:t>
            </w:r>
          </w:p>
        </w:tc>
        <w:tc>
          <w:tcPr>
            <w:tcW w:w="1428" w:type="dxa"/>
            <w:tcBorders>
              <w:top w:val="single" w:color="auto" w:sz="4" w:space="0"/>
              <w:left w:val="single" w:color="auto" w:sz="4" w:space="0"/>
              <w:bottom w:val="single" w:color="auto" w:sz="4" w:space="0"/>
              <w:right w:val="single" w:color="auto" w:sz="4" w:space="0"/>
            </w:tcBorders>
            <w:shd w:val="clear" w:color="auto" w:fill="auto"/>
            <w:vAlign w:val="center"/>
          </w:tcPr>
          <w:p w14:paraId="699DE457">
            <w:pPr>
              <w:autoSpaceDE w:val="0"/>
              <w:spacing w:line="500" w:lineRule="exact"/>
              <w:jc w:val="center"/>
              <w:rPr>
                <w:rFonts w:asciiTheme="minorEastAsia" w:hAnsiTheme="minorEastAsia" w:eastAsiaTheme="minorEastAsia" w:cstheme="minorEastAsia"/>
                <w:b/>
                <w:szCs w:val="21"/>
              </w:rPr>
            </w:pPr>
            <w:r>
              <w:rPr>
                <w:rFonts w:hint="eastAsia" w:asciiTheme="minorEastAsia" w:hAnsiTheme="minorEastAsia" w:eastAsiaTheme="minorEastAsia" w:cstheme="minorEastAsia"/>
                <w:b/>
                <w:szCs w:val="21"/>
                <w:lang w:bidi="ar"/>
              </w:rPr>
              <w:t>评分因素</w:t>
            </w:r>
          </w:p>
          <w:p w14:paraId="5BE6410A">
            <w:pPr>
              <w:autoSpaceDE w:val="0"/>
              <w:spacing w:line="500" w:lineRule="exact"/>
              <w:jc w:val="center"/>
              <w:rPr>
                <w:rFonts w:asciiTheme="minorEastAsia" w:hAnsiTheme="minorEastAsia" w:eastAsiaTheme="minorEastAsia" w:cstheme="minorEastAsia"/>
                <w:b/>
                <w:szCs w:val="21"/>
              </w:rPr>
            </w:pPr>
            <w:r>
              <w:rPr>
                <w:rFonts w:hint="eastAsia" w:asciiTheme="minorEastAsia" w:hAnsiTheme="minorEastAsia" w:eastAsiaTheme="minorEastAsia" w:cstheme="minorEastAsia"/>
                <w:b/>
                <w:szCs w:val="21"/>
                <w:lang w:bidi="ar"/>
              </w:rPr>
              <w:t>及权值</w:t>
            </w:r>
          </w:p>
        </w:tc>
        <w:tc>
          <w:tcPr>
            <w:tcW w:w="1019" w:type="dxa"/>
            <w:tcBorders>
              <w:top w:val="single" w:color="auto" w:sz="4" w:space="0"/>
              <w:left w:val="nil"/>
              <w:bottom w:val="single" w:color="auto" w:sz="4" w:space="0"/>
              <w:right w:val="single" w:color="auto" w:sz="4" w:space="0"/>
            </w:tcBorders>
            <w:shd w:val="clear" w:color="auto" w:fill="auto"/>
            <w:vAlign w:val="center"/>
          </w:tcPr>
          <w:p w14:paraId="552A780B">
            <w:pPr>
              <w:autoSpaceDE w:val="0"/>
              <w:spacing w:line="500" w:lineRule="exact"/>
              <w:jc w:val="center"/>
              <w:rPr>
                <w:rFonts w:asciiTheme="minorEastAsia" w:hAnsiTheme="minorEastAsia" w:eastAsiaTheme="minorEastAsia" w:cstheme="minorEastAsia"/>
                <w:b/>
                <w:szCs w:val="21"/>
              </w:rPr>
            </w:pPr>
            <w:r>
              <w:rPr>
                <w:rFonts w:hint="eastAsia" w:asciiTheme="minorEastAsia" w:hAnsiTheme="minorEastAsia" w:eastAsiaTheme="minorEastAsia" w:cstheme="minorEastAsia"/>
                <w:b/>
                <w:szCs w:val="21"/>
                <w:lang w:bidi="ar"/>
              </w:rPr>
              <w:t>分值（分）</w:t>
            </w:r>
          </w:p>
        </w:tc>
        <w:tc>
          <w:tcPr>
            <w:tcW w:w="5452" w:type="dxa"/>
            <w:tcBorders>
              <w:top w:val="single" w:color="auto" w:sz="4" w:space="0"/>
              <w:left w:val="nil"/>
              <w:bottom w:val="single" w:color="auto" w:sz="4" w:space="0"/>
              <w:right w:val="single" w:color="auto" w:sz="4" w:space="0"/>
            </w:tcBorders>
            <w:shd w:val="clear" w:color="auto" w:fill="auto"/>
            <w:vAlign w:val="center"/>
          </w:tcPr>
          <w:p w14:paraId="53F183AD">
            <w:pPr>
              <w:autoSpaceDE w:val="0"/>
              <w:spacing w:line="500" w:lineRule="exact"/>
              <w:jc w:val="center"/>
              <w:rPr>
                <w:rFonts w:asciiTheme="minorEastAsia" w:hAnsiTheme="minorEastAsia" w:eastAsiaTheme="minorEastAsia" w:cstheme="minorEastAsia"/>
                <w:b/>
                <w:szCs w:val="21"/>
              </w:rPr>
            </w:pPr>
            <w:r>
              <w:rPr>
                <w:rFonts w:hint="eastAsia" w:asciiTheme="minorEastAsia" w:hAnsiTheme="minorEastAsia" w:eastAsiaTheme="minorEastAsia" w:cstheme="minorEastAsia"/>
                <w:b/>
                <w:szCs w:val="21"/>
                <w:lang w:bidi="ar"/>
              </w:rPr>
              <w:t>评分标准</w:t>
            </w:r>
          </w:p>
        </w:tc>
        <w:tc>
          <w:tcPr>
            <w:tcW w:w="911" w:type="dxa"/>
            <w:tcBorders>
              <w:top w:val="single" w:color="auto" w:sz="4" w:space="0"/>
              <w:left w:val="nil"/>
              <w:bottom w:val="single" w:color="auto" w:sz="4" w:space="0"/>
              <w:right w:val="single" w:color="auto" w:sz="4" w:space="0"/>
            </w:tcBorders>
            <w:shd w:val="clear" w:color="auto" w:fill="auto"/>
            <w:vAlign w:val="center"/>
          </w:tcPr>
          <w:p w14:paraId="34CEAD87">
            <w:pPr>
              <w:autoSpaceDE w:val="0"/>
              <w:spacing w:line="500" w:lineRule="exact"/>
              <w:jc w:val="center"/>
              <w:rPr>
                <w:rFonts w:asciiTheme="minorEastAsia" w:hAnsiTheme="minorEastAsia" w:eastAsiaTheme="minorEastAsia" w:cstheme="minorEastAsia"/>
                <w:b/>
                <w:szCs w:val="21"/>
              </w:rPr>
            </w:pPr>
            <w:r>
              <w:rPr>
                <w:rFonts w:hint="eastAsia" w:asciiTheme="minorEastAsia" w:hAnsiTheme="minorEastAsia" w:eastAsiaTheme="minorEastAsia" w:cstheme="minorEastAsia"/>
                <w:b/>
                <w:szCs w:val="21"/>
                <w:lang w:bidi="ar"/>
              </w:rPr>
              <w:t>说明</w:t>
            </w:r>
          </w:p>
        </w:tc>
      </w:tr>
      <w:tr w14:paraId="3E2D4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3" w:type="dxa"/>
            <w:vMerge w:val="restart"/>
            <w:tcBorders>
              <w:top w:val="single" w:color="auto" w:sz="4" w:space="0"/>
              <w:left w:val="single" w:color="auto" w:sz="4" w:space="0"/>
              <w:right w:val="single" w:color="auto" w:sz="4" w:space="0"/>
            </w:tcBorders>
            <w:shd w:val="clear" w:color="auto" w:fill="auto"/>
            <w:vAlign w:val="center"/>
          </w:tcPr>
          <w:p w14:paraId="4B471DEC">
            <w:pPr>
              <w:spacing w:line="500" w:lineRule="exact"/>
              <w:ind w:firstLine="210" w:firstLineChars="100"/>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lang w:bidi="ar"/>
              </w:rPr>
              <w:t>1</w:t>
            </w:r>
          </w:p>
        </w:tc>
        <w:tc>
          <w:tcPr>
            <w:tcW w:w="1428" w:type="dxa"/>
            <w:vMerge w:val="restart"/>
            <w:tcBorders>
              <w:top w:val="single" w:color="auto" w:sz="4" w:space="0"/>
              <w:left w:val="single" w:color="auto" w:sz="4" w:space="0"/>
              <w:right w:val="single" w:color="auto" w:sz="4" w:space="0"/>
            </w:tcBorders>
            <w:shd w:val="clear" w:color="auto" w:fill="auto"/>
            <w:vAlign w:val="center"/>
          </w:tcPr>
          <w:p w14:paraId="63038BE8">
            <w:pPr>
              <w:spacing w:line="500" w:lineRule="exact"/>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lang w:bidi="ar"/>
              </w:rPr>
              <w:t>技术（40%）</w:t>
            </w:r>
          </w:p>
        </w:tc>
        <w:tc>
          <w:tcPr>
            <w:tcW w:w="1019" w:type="dxa"/>
            <w:tcBorders>
              <w:top w:val="single" w:color="auto" w:sz="4" w:space="0"/>
              <w:left w:val="nil"/>
              <w:bottom w:val="single" w:color="auto" w:sz="4" w:space="0"/>
              <w:right w:val="single" w:color="auto" w:sz="4" w:space="0"/>
            </w:tcBorders>
            <w:shd w:val="clear" w:color="auto" w:fill="auto"/>
            <w:vAlign w:val="center"/>
          </w:tcPr>
          <w:p w14:paraId="56163451">
            <w:pPr>
              <w:autoSpaceDE w:val="0"/>
              <w:spacing w:line="500" w:lineRule="exact"/>
              <w:rPr>
                <w:rFonts w:asciiTheme="minorEastAsia" w:hAnsiTheme="minorEastAsia" w:eastAsiaTheme="minorEastAsia" w:cstheme="minorEastAsia"/>
                <w:b w:val="0"/>
                <w:bCs w:val="0"/>
                <w:szCs w:val="21"/>
              </w:rPr>
            </w:pPr>
            <w:r>
              <w:rPr>
                <w:rStyle w:val="11"/>
                <w:rFonts w:hint="eastAsia" w:asciiTheme="minorEastAsia" w:hAnsiTheme="minorEastAsia" w:eastAsiaTheme="minorEastAsia" w:cstheme="minorEastAsia"/>
                <w:b w:val="0"/>
                <w:bCs w:val="0"/>
                <w:color w:val="0F1115"/>
                <w:szCs w:val="21"/>
                <w:shd w:val="clear" w:color="auto" w:fill="FFFFFF"/>
              </w:rPr>
              <w:t>技术服务方案（</w:t>
            </w:r>
            <w:r>
              <w:rPr>
                <w:rStyle w:val="11"/>
                <w:rFonts w:hint="eastAsia" w:asciiTheme="minorEastAsia" w:hAnsiTheme="minorEastAsia" w:eastAsiaTheme="minorEastAsia" w:cstheme="minorEastAsia"/>
                <w:b w:val="0"/>
                <w:bCs w:val="0"/>
                <w:color w:val="0F1115"/>
                <w:szCs w:val="21"/>
                <w:shd w:val="clear" w:color="auto" w:fill="FFFFFF"/>
                <w:lang w:val="en-US" w:eastAsia="zh-CN"/>
              </w:rPr>
              <w:t>35</w:t>
            </w:r>
            <w:r>
              <w:rPr>
                <w:rStyle w:val="11"/>
                <w:rFonts w:hint="eastAsia" w:asciiTheme="minorEastAsia" w:hAnsiTheme="minorEastAsia" w:eastAsiaTheme="minorEastAsia" w:cstheme="minorEastAsia"/>
                <w:b w:val="0"/>
                <w:bCs w:val="0"/>
                <w:color w:val="0F1115"/>
                <w:szCs w:val="21"/>
                <w:shd w:val="clear" w:color="auto" w:fill="FFFFFF"/>
              </w:rPr>
              <w:t>分）</w:t>
            </w:r>
          </w:p>
        </w:tc>
        <w:tc>
          <w:tcPr>
            <w:tcW w:w="5452" w:type="dxa"/>
            <w:tcBorders>
              <w:top w:val="single" w:color="auto" w:sz="4" w:space="0"/>
              <w:left w:val="nil"/>
              <w:bottom w:val="single" w:color="auto" w:sz="4" w:space="0"/>
              <w:right w:val="single" w:color="auto" w:sz="4" w:space="0"/>
            </w:tcBorders>
            <w:shd w:val="clear" w:color="auto" w:fill="auto"/>
            <w:vAlign w:val="center"/>
          </w:tcPr>
          <w:p w14:paraId="43A95292">
            <w:pPr>
              <w:autoSpaceDE w:val="0"/>
              <w:spacing w:line="500" w:lineRule="exact"/>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针对以下几点，详细描述招标代理过程中的服务方案及相应能力：</w:t>
            </w:r>
          </w:p>
          <w:p w14:paraId="1DA69CDD">
            <w:pPr>
              <w:autoSpaceDE w:val="0"/>
              <w:spacing w:line="500" w:lineRule="exact"/>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1.招标服务承诺（</w:t>
            </w:r>
            <w:r>
              <w:rPr>
                <w:rFonts w:hint="eastAsia" w:asciiTheme="minorEastAsia" w:hAnsiTheme="minorEastAsia" w:eastAsiaTheme="minorEastAsia" w:cstheme="minorEastAsia"/>
                <w:szCs w:val="21"/>
                <w:lang w:val="en-US" w:eastAsia="zh-CN"/>
              </w:rPr>
              <w:t>2</w:t>
            </w:r>
            <w:r>
              <w:rPr>
                <w:rFonts w:hint="eastAsia" w:asciiTheme="minorEastAsia" w:hAnsiTheme="minorEastAsia" w:eastAsiaTheme="minorEastAsia" w:cstheme="minorEastAsia"/>
                <w:szCs w:val="21"/>
              </w:rPr>
              <w:t>分）</w:t>
            </w:r>
          </w:p>
          <w:p w14:paraId="4B3F86DA">
            <w:pPr>
              <w:autoSpaceDE w:val="0"/>
              <w:spacing w:line="500" w:lineRule="exact"/>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2.执业经验（3分）</w:t>
            </w:r>
          </w:p>
          <w:p w14:paraId="1315E1DE">
            <w:pPr>
              <w:autoSpaceDE w:val="0"/>
              <w:spacing w:line="500" w:lineRule="exact"/>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3.服务能力（3分）</w:t>
            </w:r>
          </w:p>
          <w:p w14:paraId="66EAD62E">
            <w:pPr>
              <w:autoSpaceDE w:val="0"/>
              <w:spacing w:line="500" w:lineRule="exact"/>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4.服务保障措施（3分）</w:t>
            </w:r>
          </w:p>
          <w:p w14:paraId="0B7884DE">
            <w:pPr>
              <w:autoSpaceDE w:val="0"/>
              <w:spacing w:line="500" w:lineRule="exact"/>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5.质疑和投诉的管理（3分）</w:t>
            </w:r>
          </w:p>
          <w:p w14:paraId="6F051388">
            <w:pPr>
              <w:autoSpaceDE w:val="0"/>
              <w:spacing w:line="500" w:lineRule="exact"/>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6.招标代理服务范围和工作内容（3分）</w:t>
            </w:r>
          </w:p>
          <w:p w14:paraId="34A51EC0">
            <w:pPr>
              <w:autoSpaceDE w:val="0"/>
              <w:spacing w:line="500" w:lineRule="exact"/>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7.招标代理工作的主要依据（3分）</w:t>
            </w:r>
          </w:p>
          <w:p w14:paraId="21EFB281">
            <w:pPr>
              <w:autoSpaceDE w:val="0"/>
              <w:spacing w:line="500" w:lineRule="exact"/>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8.质量控制措施（3分）</w:t>
            </w:r>
          </w:p>
          <w:p w14:paraId="486A7E12">
            <w:pPr>
              <w:autoSpaceDE w:val="0"/>
              <w:spacing w:line="500" w:lineRule="exact"/>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9.风险控制措施（</w:t>
            </w:r>
            <w:r>
              <w:rPr>
                <w:rFonts w:hint="eastAsia" w:asciiTheme="minorEastAsia" w:hAnsiTheme="minorEastAsia" w:eastAsiaTheme="minorEastAsia" w:cstheme="minorEastAsia"/>
                <w:szCs w:val="21"/>
                <w:lang w:val="en-US" w:eastAsia="zh-CN"/>
              </w:rPr>
              <w:t>3</w:t>
            </w:r>
            <w:r>
              <w:rPr>
                <w:rFonts w:hint="eastAsia" w:asciiTheme="minorEastAsia" w:hAnsiTheme="minorEastAsia" w:eastAsiaTheme="minorEastAsia" w:cstheme="minorEastAsia"/>
                <w:szCs w:val="21"/>
              </w:rPr>
              <w:t>分）</w:t>
            </w:r>
          </w:p>
          <w:p w14:paraId="64555E6F">
            <w:pPr>
              <w:autoSpaceDE w:val="0"/>
              <w:spacing w:line="500" w:lineRule="exact"/>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10.进度控制（</w:t>
            </w:r>
            <w:r>
              <w:rPr>
                <w:rFonts w:hint="eastAsia" w:asciiTheme="minorEastAsia" w:hAnsiTheme="minorEastAsia" w:eastAsiaTheme="minorEastAsia" w:cstheme="minorEastAsia"/>
                <w:szCs w:val="21"/>
                <w:lang w:val="en-US" w:eastAsia="zh-CN"/>
              </w:rPr>
              <w:t>3</w:t>
            </w:r>
            <w:r>
              <w:rPr>
                <w:rFonts w:hint="eastAsia" w:asciiTheme="minorEastAsia" w:hAnsiTheme="minorEastAsia" w:eastAsiaTheme="minorEastAsia" w:cstheme="minorEastAsia"/>
                <w:szCs w:val="21"/>
              </w:rPr>
              <w:t>分）</w:t>
            </w:r>
          </w:p>
          <w:p w14:paraId="26ACB991">
            <w:pPr>
              <w:autoSpaceDE w:val="0"/>
              <w:spacing w:line="500" w:lineRule="exact"/>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rPr>
              <w:t>11.招标代理工作效率（</w:t>
            </w:r>
            <w:r>
              <w:rPr>
                <w:rFonts w:hint="eastAsia" w:asciiTheme="minorEastAsia" w:hAnsiTheme="minorEastAsia" w:eastAsiaTheme="minorEastAsia" w:cstheme="minorEastAsia"/>
                <w:szCs w:val="21"/>
                <w:lang w:val="en-US" w:eastAsia="zh-CN"/>
              </w:rPr>
              <w:t>3</w:t>
            </w:r>
            <w:r>
              <w:rPr>
                <w:rFonts w:hint="eastAsia" w:asciiTheme="minorEastAsia" w:hAnsiTheme="minorEastAsia" w:eastAsiaTheme="minorEastAsia" w:cstheme="minorEastAsia"/>
                <w:szCs w:val="21"/>
              </w:rPr>
              <w:t>分）</w:t>
            </w:r>
          </w:p>
          <w:p w14:paraId="5D27AD84">
            <w:pPr>
              <w:autoSpaceDE w:val="0"/>
              <w:spacing w:line="500" w:lineRule="exact"/>
              <w:rPr>
                <w:rFonts w:hint="eastAsia" w:eastAsia="宋体"/>
                <w:lang w:eastAsia="zh-CN"/>
              </w:rPr>
            </w:pPr>
            <w:r>
              <w:rPr>
                <w:rFonts w:hint="eastAsia" w:asciiTheme="minorEastAsia" w:hAnsiTheme="minorEastAsia" w:eastAsiaTheme="minorEastAsia" w:cstheme="minorEastAsia"/>
                <w:szCs w:val="21"/>
              </w:rPr>
              <w:t>12.合理化建议（</w:t>
            </w:r>
            <w:r>
              <w:rPr>
                <w:rFonts w:hint="eastAsia" w:asciiTheme="minorEastAsia" w:hAnsiTheme="minorEastAsia" w:eastAsiaTheme="minorEastAsia" w:cstheme="minorEastAsia"/>
                <w:szCs w:val="21"/>
                <w:lang w:val="en-US" w:eastAsia="zh-CN"/>
              </w:rPr>
              <w:t>3</w:t>
            </w:r>
            <w:r>
              <w:rPr>
                <w:rFonts w:hint="eastAsia" w:asciiTheme="minorEastAsia" w:hAnsiTheme="minorEastAsia" w:eastAsiaTheme="minorEastAsia" w:cstheme="minorEastAsia"/>
                <w:szCs w:val="21"/>
              </w:rPr>
              <w:t>分）</w:t>
            </w:r>
          </w:p>
        </w:tc>
        <w:tc>
          <w:tcPr>
            <w:tcW w:w="911" w:type="dxa"/>
            <w:tcBorders>
              <w:top w:val="single" w:color="auto" w:sz="4" w:space="0"/>
              <w:left w:val="nil"/>
              <w:bottom w:val="single" w:color="auto" w:sz="4" w:space="0"/>
              <w:right w:val="single" w:color="auto" w:sz="4" w:space="0"/>
            </w:tcBorders>
            <w:shd w:val="clear" w:color="auto" w:fill="auto"/>
            <w:vAlign w:val="center"/>
          </w:tcPr>
          <w:p w14:paraId="4BA268DC">
            <w:pPr>
              <w:autoSpaceDE w:val="0"/>
              <w:spacing w:line="500" w:lineRule="exact"/>
              <w:jc w:val="left"/>
              <w:rPr>
                <w:rFonts w:asciiTheme="minorEastAsia" w:hAnsiTheme="minorEastAsia" w:eastAsiaTheme="minorEastAsia" w:cstheme="minorEastAsia"/>
                <w:szCs w:val="21"/>
              </w:rPr>
            </w:pPr>
          </w:p>
        </w:tc>
      </w:tr>
      <w:tr w14:paraId="22E0A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3" w:type="dxa"/>
            <w:vMerge w:val="continue"/>
            <w:tcBorders>
              <w:left w:val="single" w:color="auto" w:sz="4" w:space="0"/>
              <w:bottom w:val="single" w:color="auto" w:sz="4" w:space="0"/>
              <w:right w:val="single" w:color="auto" w:sz="4" w:space="0"/>
            </w:tcBorders>
            <w:shd w:val="clear" w:color="auto" w:fill="auto"/>
            <w:vAlign w:val="center"/>
          </w:tcPr>
          <w:p w14:paraId="12D4B764">
            <w:pPr>
              <w:spacing w:line="500" w:lineRule="exact"/>
              <w:ind w:firstLine="210" w:firstLineChars="100"/>
              <w:jc w:val="center"/>
              <w:rPr>
                <w:rFonts w:hint="eastAsia" w:asciiTheme="minorEastAsia" w:hAnsiTheme="minorEastAsia" w:eastAsiaTheme="minorEastAsia" w:cstheme="minorEastAsia"/>
                <w:szCs w:val="21"/>
                <w:lang w:bidi="ar"/>
              </w:rPr>
            </w:pPr>
          </w:p>
        </w:tc>
        <w:tc>
          <w:tcPr>
            <w:tcW w:w="1428" w:type="dxa"/>
            <w:vMerge w:val="continue"/>
            <w:tcBorders>
              <w:left w:val="single" w:color="auto" w:sz="4" w:space="0"/>
              <w:bottom w:val="single" w:color="auto" w:sz="4" w:space="0"/>
              <w:right w:val="single" w:color="auto" w:sz="4" w:space="0"/>
            </w:tcBorders>
            <w:shd w:val="clear" w:color="auto" w:fill="auto"/>
            <w:vAlign w:val="center"/>
          </w:tcPr>
          <w:p w14:paraId="39FECD1D">
            <w:pPr>
              <w:spacing w:line="500" w:lineRule="exact"/>
              <w:jc w:val="center"/>
              <w:rPr>
                <w:rFonts w:hint="eastAsia" w:asciiTheme="minorEastAsia" w:hAnsiTheme="minorEastAsia" w:eastAsiaTheme="minorEastAsia" w:cstheme="minorEastAsia"/>
                <w:szCs w:val="21"/>
                <w:lang w:bidi="ar"/>
              </w:rPr>
            </w:pPr>
          </w:p>
        </w:tc>
        <w:tc>
          <w:tcPr>
            <w:tcW w:w="1019" w:type="dxa"/>
            <w:tcBorders>
              <w:top w:val="single" w:color="auto" w:sz="4" w:space="0"/>
              <w:left w:val="nil"/>
              <w:bottom w:val="single" w:color="auto" w:sz="4" w:space="0"/>
              <w:right w:val="single" w:color="auto" w:sz="4" w:space="0"/>
            </w:tcBorders>
            <w:shd w:val="clear" w:color="auto" w:fill="auto"/>
            <w:vAlign w:val="center"/>
          </w:tcPr>
          <w:p w14:paraId="452E6454">
            <w:pPr>
              <w:autoSpaceDE w:val="0"/>
              <w:spacing w:line="500" w:lineRule="exact"/>
              <w:rPr>
                <w:rStyle w:val="11"/>
                <w:rFonts w:hint="default" w:asciiTheme="minorEastAsia" w:hAnsiTheme="minorEastAsia" w:eastAsiaTheme="minorEastAsia" w:cstheme="minorEastAsia"/>
                <w:b w:val="0"/>
                <w:bCs w:val="0"/>
                <w:color w:val="0F1115"/>
                <w:szCs w:val="21"/>
                <w:shd w:val="clear" w:color="auto" w:fill="FFFFFF"/>
                <w:lang w:val="en-US" w:eastAsia="zh-CN"/>
              </w:rPr>
            </w:pPr>
            <w:r>
              <w:rPr>
                <w:rStyle w:val="11"/>
                <w:rFonts w:hint="eastAsia" w:asciiTheme="minorEastAsia" w:hAnsiTheme="minorEastAsia" w:eastAsiaTheme="minorEastAsia" w:cstheme="minorEastAsia"/>
                <w:b w:val="0"/>
                <w:bCs w:val="0"/>
                <w:color w:val="0F1115"/>
                <w:szCs w:val="21"/>
                <w:shd w:val="clear" w:color="auto" w:fill="FFFFFF"/>
                <w:lang w:val="en-US" w:eastAsia="zh-CN"/>
              </w:rPr>
              <w:t>现场答辩（5分）</w:t>
            </w:r>
          </w:p>
        </w:tc>
        <w:tc>
          <w:tcPr>
            <w:tcW w:w="5452" w:type="dxa"/>
            <w:tcBorders>
              <w:top w:val="single" w:color="auto" w:sz="4" w:space="0"/>
              <w:left w:val="nil"/>
              <w:bottom w:val="single" w:color="auto" w:sz="4" w:space="0"/>
              <w:right w:val="single" w:color="auto" w:sz="4" w:space="0"/>
            </w:tcBorders>
            <w:shd w:val="clear" w:color="auto" w:fill="auto"/>
            <w:vAlign w:val="center"/>
          </w:tcPr>
          <w:p w14:paraId="51A73C0D">
            <w:pPr>
              <w:pStyle w:val="2"/>
              <w:rPr>
                <w:rFonts w:hint="default" w:eastAsia="宋体"/>
                <w:lang w:val="en-US" w:eastAsia="zh-CN"/>
              </w:rPr>
            </w:pPr>
            <w:r>
              <w:rPr>
                <w:rFonts w:hint="eastAsia"/>
                <w:lang w:val="en-US" w:eastAsia="zh-CN"/>
              </w:rPr>
              <w:t>竞选人拟派1名答辩人员至现场。答辩要点：根据比选人的要求进行答辩（5分）</w:t>
            </w:r>
          </w:p>
        </w:tc>
        <w:tc>
          <w:tcPr>
            <w:tcW w:w="911" w:type="dxa"/>
            <w:tcBorders>
              <w:top w:val="single" w:color="auto" w:sz="4" w:space="0"/>
              <w:left w:val="nil"/>
              <w:bottom w:val="single" w:color="auto" w:sz="4" w:space="0"/>
              <w:right w:val="single" w:color="auto" w:sz="4" w:space="0"/>
            </w:tcBorders>
            <w:shd w:val="clear" w:color="auto" w:fill="auto"/>
            <w:vAlign w:val="center"/>
          </w:tcPr>
          <w:p w14:paraId="68538B79">
            <w:pPr>
              <w:autoSpaceDE w:val="0"/>
              <w:spacing w:line="500" w:lineRule="exact"/>
              <w:jc w:val="left"/>
              <w:rPr>
                <w:rFonts w:asciiTheme="minorEastAsia" w:hAnsiTheme="minorEastAsia" w:eastAsiaTheme="minorEastAsia" w:cstheme="minorEastAsia"/>
                <w:szCs w:val="21"/>
              </w:rPr>
            </w:pPr>
          </w:p>
        </w:tc>
      </w:tr>
      <w:tr w14:paraId="464AE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1" w:hRule="atLeast"/>
          <w:jc w:val="center"/>
        </w:trPr>
        <w:tc>
          <w:tcPr>
            <w:tcW w:w="713" w:type="dxa"/>
            <w:vMerge w:val="restart"/>
            <w:tcBorders>
              <w:top w:val="single" w:color="auto" w:sz="4" w:space="0"/>
              <w:left w:val="single" w:color="auto" w:sz="4" w:space="0"/>
              <w:right w:val="single" w:color="auto" w:sz="4" w:space="0"/>
            </w:tcBorders>
            <w:shd w:val="clear" w:color="auto" w:fill="auto"/>
            <w:vAlign w:val="center"/>
          </w:tcPr>
          <w:p w14:paraId="564E8784">
            <w:pPr>
              <w:spacing w:line="500" w:lineRule="exact"/>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lang w:bidi="ar"/>
              </w:rPr>
              <w:t>2</w:t>
            </w:r>
          </w:p>
        </w:tc>
        <w:tc>
          <w:tcPr>
            <w:tcW w:w="1428" w:type="dxa"/>
            <w:vMerge w:val="restart"/>
            <w:tcBorders>
              <w:top w:val="single" w:color="auto" w:sz="4" w:space="0"/>
              <w:left w:val="single" w:color="auto" w:sz="4" w:space="0"/>
              <w:right w:val="single" w:color="auto" w:sz="4" w:space="0"/>
            </w:tcBorders>
            <w:shd w:val="clear" w:color="auto" w:fill="auto"/>
            <w:vAlign w:val="center"/>
          </w:tcPr>
          <w:p w14:paraId="0794C537">
            <w:pPr>
              <w:spacing w:line="500" w:lineRule="exact"/>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lang w:bidi="ar"/>
              </w:rPr>
              <w:t>商务（30%）</w:t>
            </w:r>
          </w:p>
        </w:tc>
        <w:tc>
          <w:tcPr>
            <w:tcW w:w="1019" w:type="dxa"/>
            <w:tcBorders>
              <w:top w:val="single" w:color="auto" w:sz="4" w:space="0"/>
              <w:left w:val="nil"/>
              <w:right w:val="single" w:color="auto" w:sz="4" w:space="0"/>
            </w:tcBorders>
            <w:shd w:val="clear" w:color="auto" w:fill="auto"/>
            <w:vAlign w:val="center"/>
          </w:tcPr>
          <w:p w14:paraId="05679180">
            <w:pPr>
              <w:spacing w:line="500" w:lineRule="exact"/>
              <w:jc w:val="center"/>
              <w:rPr>
                <w:rFonts w:asciiTheme="minorEastAsia" w:hAnsiTheme="minorEastAsia" w:eastAsiaTheme="minorEastAsia" w:cstheme="minorEastAsia"/>
                <w:szCs w:val="21"/>
                <w:lang w:bidi="ar"/>
              </w:rPr>
            </w:pPr>
            <w:r>
              <w:rPr>
                <w:rFonts w:hint="eastAsia" w:asciiTheme="minorEastAsia" w:hAnsiTheme="minorEastAsia" w:eastAsiaTheme="minorEastAsia" w:cstheme="minorEastAsia"/>
                <w:szCs w:val="21"/>
                <w:lang w:bidi="ar"/>
              </w:rPr>
              <w:t>竞选人业绩（</w:t>
            </w:r>
            <w:r>
              <w:rPr>
                <w:rFonts w:asciiTheme="minorEastAsia" w:hAnsiTheme="minorEastAsia" w:eastAsiaTheme="minorEastAsia" w:cstheme="minorEastAsia"/>
                <w:szCs w:val="21"/>
                <w:lang w:bidi="ar"/>
              </w:rPr>
              <w:t>12</w:t>
            </w:r>
            <w:r>
              <w:rPr>
                <w:rFonts w:hint="eastAsia" w:asciiTheme="minorEastAsia" w:hAnsiTheme="minorEastAsia" w:eastAsiaTheme="minorEastAsia" w:cstheme="minorEastAsia"/>
                <w:szCs w:val="21"/>
                <w:lang w:bidi="ar"/>
              </w:rPr>
              <w:t>分）</w:t>
            </w:r>
          </w:p>
        </w:tc>
        <w:tc>
          <w:tcPr>
            <w:tcW w:w="5452" w:type="dxa"/>
            <w:tcBorders>
              <w:top w:val="single" w:color="auto" w:sz="4" w:space="0"/>
              <w:left w:val="nil"/>
              <w:right w:val="single" w:color="auto" w:sz="4" w:space="0"/>
            </w:tcBorders>
            <w:shd w:val="clear" w:color="auto" w:fill="auto"/>
            <w:vAlign w:val="center"/>
          </w:tcPr>
          <w:p w14:paraId="1D6D266B">
            <w:pPr>
              <w:autoSpaceDE w:val="0"/>
              <w:spacing w:line="500" w:lineRule="exact"/>
              <w:rPr>
                <w:rFonts w:asciiTheme="minorEastAsia" w:hAnsiTheme="minorEastAsia" w:eastAsiaTheme="minorEastAsia" w:cstheme="minorEastAsia"/>
                <w:bCs/>
                <w:szCs w:val="21"/>
              </w:rPr>
            </w:pPr>
            <w:r>
              <w:rPr>
                <w:rFonts w:hint="eastAsia" w:asciiTheme="minorEastAsia" w:hAnsiTheme="minorEastAsia" w:eastAsiaTheme="minorEastAsia" w:cstheme="minorEastAsia"/>
                <w:szCs w:val="21"/>
              </w:rPr>
              <w:t>1、在满足资格业绩基础上，竞选人近三年，自2023年1月1日起至竞选截止日止承揽过1个工程施工项目的招标代理（包含但不限于施工招标或EPC总承包施工招标），单个业绩的合同估算金额不少于25000万元；</w:t>
            </w:r>
            <w:r>
              <w:rPr>
                <w:rFonts w:hint="eastAsia" w:asciiTheme="minorEastAsia" w:hAnsiTheme="minorEastAsia" w:eastAsiaTheme="minorEastAsia" w:cstheme="minorEastAsia"/>
                <w:bCs/>
                <w:szCs w:val="21"/>
                <w:lang w:bidi="ar"/>
              </w:rPr>
              <w:t>每个合同得3分，满分9分</w:t>
            </w:r>
            <w:r>
              <w:rPr>
                <w:rFonts w:hint="eastAsia" w:asciiTheme="minorEastAsia" w:hAnsiTheme="minorEastAsia" w:eastAsiaTheme="minorEastAsia" w:cstheme="minorEastAsia"/>
                <w:bCs/>
                <w:szCs w:val="21"/>
              </w:rPr>
              <w:t>。</w:t>
            </w:r>
          </w:p>
          <w:p w14:paraId="59705F23">
            <w:pPr>
              <w:autoSpaceDE w:val="0"/>
              <w:spacing w:line="500" w:lineRule="exact"/>
              <w:rPr>
                <w:rFonts w:asciiTheme="minorEastAsia" w:hAnsiTheme="minorEastAsia" w:eastAsiaTheme="minorEastAsia" w:cstheme="minorEastAsia"/>
                <w:bCs/>
                <w:szCs w:val="21"/>
                <w:lang w:bidi="ar"/>
              </w:rPr>
            </w:pPr>
            <w:r>
              <w:rPr>
                <w:rFonts w:hint="eastAsia" w:asciiTheme="minorEastAsia" w:hAnsiTheme="minorEastAsia" w:eastAsiaTheme="minorEastAsia" w:cstheme="minorEastAsia"/>
                <w:bCs/>
                <w:szCs w:val="21"/>
              </w:rPr>
              <w:t>2、</w:t>
            </w:r>
            <w:r>
              <w:rPr>
                <w:rFonts w:hint="eastAsia" w:asciiTheme="minorEastAsia" w:hAnsiTheme="minorEastAsia" w:eastAsiaTheme="minorEastAsia" w:cstheme="minorEastAsia"/>
                <w:szCs w:val="21"/>
              </w:rPr>
              <w:t>在满足资格业绩基础上，竞选人近三年，自2023年1月1日起至竞选截止日止承揽过1个工程施工项目的招标代理（包含但不限于施工招标或EPC总承包施工招标），单个业绩的合同估算金额不少于10000万元；</w:t>
            </w:r>
            <w:r>
              <w:rPr>
                <w:rFonts w:hint="eastAsia" w:asciiTheme="minorEastAsia" w:hAnsiTheme="minorEastAsia" w:eastAsiaTheme="minorEastAsia" w:cstheme="minorEastAsia"/>
                <w:bCs/>
                <w:szCs w:val="21"/>
                <w:lang w:bidi="ar"/>
              </w:rPr>
              <w:t>每个合同得0.5分，满分3分。</w:t>
            </w:r>
          </w:p>
          <w:p w14:paraId="041730DB">
            <w:pPr>
              <w:autoSpaceDE w:val="0"/>
              <w:spacing w:line="500" w:lineRule="exact"/>
              <w:rPr>
                <w:rFonts w:asciiTheme="minorEastAsia" w:hAnsiTheme="minorEastAsia" w:eastAsiaTheme="minorEastAsia" w:cstheme="minorEastAsia"/>
                <w:bCs/>
                <w:szCs w:val="21"/>
                <w:lang w:bidi="ar"/>
              </w:rPr>
            </w:pPr>
            <w:r>
              <w:rPr>
                <w:rFonts w:hint="eastAsia" w:asciiTheme="minorEastAsia" w:hAnsiTheme="minorEastAsia" w:eastAsiaTheme="minorEastAsia" w:cstheme="minorEastAsia"/>
                <w:bCs/>
                <w:szCs w:val="21"/>
                <w:lang w:bidi="ar"/>
              </w:rPr>
              <w:t>提供：与业主签约的合同（含框架协议合同），以及在全国公共服务平台上发布的可查询的招标公告网页截图，截图数量不限且清晰可见，须包含但不限于网站名称、网址、项目名称、估算金额、联系方式等，截图的其余信息不作为评审依据。若业绩为总公司业绩，还须提供总公司出具的情况说明，并加盖总公司印章。</w:t>
            </w:r>
          </w:p>
        </w:tc>
        <w:tc>
          <w:tcPr>
            <w:tcW w:w="911" w:type="dxa"/>
            <w:tcBorders>
              <w:top w:val="single" w:color="auto" w:sz="4" w:space="0"/>
              <w:left w:val="nil"/>
              <w:bottom w:val="single" w:color="auto" w:sz="4" w:space="0"/>
              <w:right w:val="single" w:color="auto" w:sz="4" w:space="0"/>
            </w:tcBorders>
            <w:shd w:val="clear" w:color="auto" w:fill="auto"/>
            <w:vAlign w:val="center"/>
          </w:tcPr>
          <w:p w14:paraId="09E85ABF">
            <w:pPr>
              <w:autoSpaceDE w:val="0"/>
              <w:spacing w:line="500" w:lineRule="exact"/>
              <w:jc w:val="left"/>
              <w:rPr>
                <w:rFonts w:asciiTheme="minorEastAsia" w:hAnsiTheme="minorEastAsia" w:eastAsiaTheme="minorEastAsia" w:cstheme="minorEastAsia"/>
                <w:szCs w:val="21"/>
              </w:rPr>
            </w:pPr>
          </w:p>
        </w:tc>
      </w:tr>
      <w:tr w14:paraId="7AC78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 w:hRule="atLeast"/>
          <w:jc w:val="center"/>
        </w:trPr>
        <w:tc>
          <w:tcPr>
            <w:tcW w:w="713" w:type="dxa"/>
            <w:vMerge w:val="continue"/>
            <w:tcBorders>
              <w:left w:val="single" w:color="auto" w:sz="4" w:space="0"/>
              <w:right w:val="single" w:color="auto" w:sz="4" w:space="0"/>
            </w:tcBorders>
            <w:shd w:val="clear" w:color="auto" w:fill="auto"/>
            <w:vAlign w:val="center"/>
          </w:tcPr>
          <w:p w14:paraId="0C9132A9">
            <w:pPr>
              <w:spacing w:line="500" w:lineRule="exact"/>
              <w:ind w:firstLine="210" w:firstLineChars="100"/>
              <w:jc w:val="center"/>
              <w:rPr>
                <w:rFonts w:asciiTheme="minorEastAsia" w:hAnsiTheme="minorEastAsia" w:eastAsiaTheme="minorEastAsia" w:cstheme="minorEastAsia"/>
                <w:szCs w:val="21"/>
                <w:lang w:bidi="ar"/>
              </w:rPr>
            </w:pPr>
          </w:p>
        </w:tc>
        <w:tc>
          <w:tcPr>
            <w:tcW w:w="1428" w:type="dxa"/>
            <w:vMerge w:val="continue"/>
            <w:tcBorders>
              <w:left w:val="single" w:color="auto" w:sz="4" w:space="0"/>
              <w:right w:val="single" w:color="auto" w:sz="4" w:space="0"/>
            </w:tcBorders>
            <w:shd w:val="clear" w:color="auto" w:fill="auto"/>
            <w:vAlign w:val="center"/>
          </w:tcPr>
          <w:p w14:paraId="0F65C1C7">
            <w:pPr>
              <w:spacing w:line="500" w:lineRule="exact"/>
              <w:jc w:val="center"/>
              <w:rPr>
                <w:rFonts w:asciiTheme="minorEastAsia" w:hAnsiTheme="minorEastAsia" w:eastAsiaTheme="minorEastAsia" w:cstheme="minorEastAsia"/>
                <w:szCs w:val="21"/>
                <w:lang w:bidi="ar"/>
              </w:rPr>
            </w:pPr>
          </w:p>
        </w:tc>
        <w:tc>
          <w:tcPr>
            <w:tcW w:w="1019" w:type="dxa"/>
            <w:tcBorders>
              <w:top w:val="single" w:color="auto" w:sz="4" w:space="0"/>
              <w:left w:val="nil"/>
              <w:bottom w:val="single" w:color="auto" w:sz="4" w:space="0"/>
              <w:right w:val="single" w:color="auto" w:sz="4" w:space="0"/>
            </w:tcBorders>
            <w:shd w:val="clear" w:color="auto" w:fill="auto"/>
            <w:vAlign w:val="center"/>
          </w:tcPr>
          <w:p w14:paraId="3B1D3B37">
            <w:pPr>
              <w:spacing w:line="500" w:lineRule="exact"/>
              <w:jc w:val="center"/>
              <w:rPr>
                <w:rFonts w:asciiTheme="minorEastAsia" w:hAnsiTheme="minorEastAsia" w:eastAsiaTheme="minorEastAsia" w:cstheme="minorEastAsia"/>
                <w:szCs w:val="21"/>
                <w:lang w:bidi="ar"/>
              </w:rPr>
            </w:pPr>
            <w:r>
              <w:rPr>
                <w:rFonts w:hint="eastAsia" w:asciiTheme="minorEastAsia" w:hAnsiTheme="minorEastAsia" w:eastAsiaTheme="minorEastAsia" w:cstheme="minorEastAsia"/>
                <w:szCs w:val="21"/>
                <w:lang w:bidi="ar"/>
              </w:rPr>
              <w:t>团队人员（</w:t>
            </w:r>
            <w:r>
              <w:rPr>
                <w:rFonts w:asciiTheme="minorEastAsia" w:hAnsiTheme="minorEastAsia" w:eastAsiaTheme="minorEastAsia" w:cstheme="minorEastAsia"/>
                <w:szCs w:val="21"/>
                <w:lang w:bidi="ar"/>
              </w:rPr>
              <w:t>10</w:t>
            </w:r>
            <w:r>
              <w:rPr>
                <w:rFonts w:hint="eastAsia" w:asciiTheme="minorEastAsia" w:hAnsiTheme="minorEastAsia" w:eastAsiaTheme="minorEastAsia" w:cstheme="minorEastAsia"/>
                <w:szCs w:val="21"/>
                <w:lang w:bidi="ar"/>
              </w:rPr>
              <w:t>分）</w:t>
            </w:r>
          </w:p>
        </w:tc>
        <w:tc>
          <w:tcPr>
            <w:tcW w:w="5452" w:type="dxa"/>
            <w:tcBorders>
              <w:top w:val="single" w:color="auto" w:sz="4" w:space="0"/>
              <w:left w:val="nil"/>
              <w:bottom w:val="single" w:color="auto" w:sz="4" w:space="0"/>
              <w:right w:val="single" w:color="auto" w:sz="4" w:space="0"/>
            </w:tcBorders>
            <w:shd w:val="clear" w:color="auto" w:fill="auto"/>
            <w:vAlign w:val="center"/>
          </w:tcPr>
          <w:p w14:paraId="08FB4D4A">
            <w:pPr>
              <w:autoSpaceDE w:val="0"/>
              <w:spacing w:line="500" w:lineRule="exact"/>
            </w:pPr>
            <w:r>
              <w:rPr>
                <w:rFonts w:hint="eastAsia"/>
              </w:rPr>
              <w:t>竞选人团队中配备有具备高级及以上职称、招标师资格、注册执业资格的相应人员。每提供</w:t>
            </w:r>
            <w:r>
              <w:t>1个</w:t>
            </w:r>
            <w:r>
              <w:rPr>
                <w:rFonts w:hint="eastAsia"/>
              </w:rPr>
              <w:t>高级及以上职称证书的，得</w:t>
            </w:r>
            <w:r>
              <w:t>0.3</w:t>
            </w:r>
            <w:r>
              <w:rPr>
                <w:rFonts w:hint="eastAsia"/>
              </w:rPr>
              <w:t>分，最多得</w:t>
            </w:r>
            <w:r>
              <w:t>3</w:t>
            </w:r>
            <w:r>
              <w:rPr>
                <w:rFonts w:hint="eastAsia"/>
              </w:rPr>
              <w:t>分；每提供</w:t>
            </w:r>
            <w:r>
              <w:t>1个</w:t>
            </w:r>
            <w:r>
              <w:rPr>
                <w:rFonts w:hint="eastAsia"/>
              </w:rPr>
              <w:t>招标师资格证书的，得</w:t>
            </w:r>
            <w:r>
              <w:t>1分，最多得5分；</w:t>
            </w:r>
            <w:r>
              <w:rPr>
                <w:rFonts w:hint="eastAsia"/>
              </w:rPr>
              <w:t>每提供</w:t>
            </w:r>
            <w:r>
              <w:t>1个</w:t>
            </w:r>
            <w:r>
              <w:rPr>
                <w:rFonts w:hint="eastAsia"/>
              </w:rPr>
              <w:t>注册执业资格证书的，得</w:t>
            </w:r>
            <w:r>
              <w:t>2</w:t>
            </w:r>
            <w:r>
              <w:rPr>
                <w:rFonts w:hint="eastAsia"/>
              </w:rPr>
              <w:t>分，最多得</w:t>
            </w:r>
            <w:r>
              <w:t>2</w:t>
            </w:r>
            <w:r>
              <w:rPr>
                <w:rFonts w:hint="eastAsia"/>
              </w:rPr>
              <w:t>分。</w:t>
            </w:r>
          </w:p>
          <w:p w14:paraId="153EF231">
            <w:pPr>
              <w:autoSpaceDE w:val="0"/>
              <w:spacing w:line="500" w:lineRule="exact"/>
            </w:pPr>
            <w:r>
              <w:t>提供：</w:t>
            </w:r>
            <w:r>
              <w:rPr>
                <w:rFonts w:hint="eastAsia" w:asciiTheme="minorEastAsia" w:hAnsiTheme="minorEastAsia" w:eastAsiaTheme="minorEastAsia" w:cstheme="minorEastAsia"/>
                <w:szCs w:val="21"/>
              </w:rPr>
              <w:t>具有上述资格的团队人员</w:t>
            </w:r>
            <w:r>
              <w:t>有效的身份证、职称证</w:t>
            </w:r>
            <w:r>
              <w:rPr>
                <w:rFonts w:hint="eastAsia" w:asciiTheme="minorEastAsia" w:hAnsiTheme="minorEastAsia" w:eastAsiaTheme="minorEastAsia" w:cstheme="minorEastAsia"/>
                <w:szCs w:val="21"/>
              </w:rPr>
              <w:t>（或资格证书）</w:t>
            </w:r>
            <w:r>
              <w:t>及</w:t>
            </w:r>
            <w:r>
              <w:rPr>
                <w:rFonts w:hint="eastAsia" w:asciiTheme="minorEastAsia" w:hAnsiTheme="minorEastAsia" w:eastAsiaTheme="minorEastAsia" w:cstheme="minorEastAsia"/>
                <w:szCs w:val="21"/>
              </w:rPr>
              <w:t>竞选</w:t>
            </w:r>
            <w:r>
              <w:t>人本单位为其缴纳的</w:t>
            </w:r>
            <w:bookmarkStart w:id="36" w:name="OLE_LINK2"/>
            <w:bookmarkStart w:id="37" w:name="OLE_LINK1"/>
            <w:r>
              <w:t>养老保险证明</w:t>
            </w:r>
            <w:bookmarkEnd w:id="36"/>
            <w:bookmarkEnd w:id="37"/>
            <w:r>
              <w:t>材料。</w:t>
            </w:r>
          </w:p>
        </w:tc>
        <w:tc>
          <w:tcPr>
            <w:tcW w:w="911" w:type="dxa"/>
            <w:tcBorders>
              <w:top w:val="single" w:color="auto" w:sz="4" w:space="0"/>
              <w:left w:val="nil"/>
              <w:bottom w:val="single" w:color="auto" w:sz="4" w:space="0"/>
              <w:right w:val="single" w:color="auto" w:sz="4" w:space="0"/>
            </w:tcBorders>
            <w:shd w:val="clear" w:color="auto" w:fill="auto"/>
            <w:vAlign w:val="center"/>
          </w:tcPr>
          <w:p w14:paraId="0B6B3C83">
            <w:pPr>
              <w:autoSpaceDE w:val="0"/>
              <w:spacing w:line="500" w:lineRule="exact"/>
              <w:jc w:val="left"/>
              <w:rPr>
                <w:rFonts w:asciiTheme="minorEastAsia" w:hAnsiTheme="minorEastAsia" w:eastAsiaTheme="minorEastAsia" w:cstheme="minorEastAsia"/>
                <w:szCs w:val="21"/>
              </w:rPr>
            </w:pPr>
          </w:p>
        </w:tc>
      </w:tr>
      <w:tr w14:paraId="74B62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 w:hRule="atLeast"/>
          <w:jc w:val="center"/>
        </w:trPr>
        <w:tc>
          <w:tcPr>
            <w:tcW w:w="713" w:type="dxa"/>
            <w:vMerge w:val="continue"/>
            <w:tcBorders>
              <w:left w:val="single" w:color="auto" w:sz="4" w:space="0"/>
              <w:right w:val="single" w:color="auto" w:sz="4" w:space="0"/>
            </w:tcBorders>
            <w:shd w:val="clear" w:color="auto" w:fill="auto"/>
            <w:vAlign w:val="center"/>
          </w:tcPr>
          <w:p w14:paraId="10DA828E">
            <w:pPr>
              <w:spacing w:line="500" w:lineRule="exact"/>
              <w:ind w:firstLine="210" w:firstLineChars="100"/>
              <w:jc w:val="center"/>
              <w:rPr>
                <w:rFonts w:asciiTheme="minorEastAsia" w:hAnsiTheme="minorEastAsia" w:eastAsiaTheme="minorEastAsia" w:cstheme="minorEastAsia"/>
                <w:szCs w:val="21"/>
                <w:lang w:bidi="ar"/>
              </w:rPr>
            </w:pPr>
          </w:p>
        </w:tc>
        <w:tc>
          <w:tcPr>
            <w:tcW w:w="1428" w:type="dxa"/>
            <w:vMerge w:val="continue"/>
            <w:tcBorders>
              <w:left w:val="single" w:color="auto" w:sz="4" w:space="0"/>
              <w:right w:val="single" w:color="auto" w:sz="4" w:space="0"/>
            </w:tcBorders>
            <w:shd w:val="clear" w:color="auto" w:fill="auto"/>
            <w:vAlign w:val="center"/>
          </w:tcPr>
          <w:p w14:paraId="628ED454">
            <w:pPr>
              <w:spacing w:line="500" w:lineRule="exact"/>
              <w:jc w:val="center"/>
              <w:rPr>
                <w:rFonts w:asciiTheme="minorEastAsia" w:hAnsiTheme="minorEastAsia" w:eastAsiaTheme="minorEastAsia" w:cstheme="minorEastAsia"/>
                <w:szCs w:val="21"/>
                <w:lang w:bidi="ar"/>
              </w:rPr>
            </w:pPr>
          </w:p>
        </w:tc>
        <w:tc>
          <w:tcPr>
            <w:tcW w:w="1019" w:type="dxa"/>
            <w:tcBorders>
              <w:top w:val="single" w:color="auto" w:sz="4" w:space="0"/>
              <w:left w:val="nil"/>
              <w:bottom w:val="single" w:color="auto" w:sz="4" w:space="0"/>
              <w:right w:val="single" w:color="auto" w:sz="4" w:space="0"/>
            </w:tcBorders>
            <w:shd w:val="clear" w:color="auto" w:fill="auto"/>
            <w:vAlign w:val="center"/>
          </w:tcPr>
          <w:p w14:paraId="28298D3E">
            <w:pPr>
              <w:spacing w:line="500" w:lineRule="exact"/>
              <w:jc w:val="center"/>
              <w:rPr>
                <w:rFonts w:asciiTheme="minorEastAsia" w:hAnsiTheme="minorEastAsia" w:eastAsiaTheme="minorEastAsia" w:cstheme="minorEastAsia"/>
                <w:szCs w:val="21"/>
                <w:lang w:bidi="ar"/>
              </w:rPr>
            </w:pPr>
            <w:r>
              <w:rPr>
                <w:rFonts w:hint="eastAsia" w:asciiTheme="minorEastAsia" w:hAnsiTheme="minorEastAsia" w:eastAsiaTheme="minorEastAsia" w:cstheme="minorEastAsia"/>
                <w:szCs w:val="21"/>
                <w:lang w:bidi="ar"/>
              </w:rPr>
              <w:t>荣誉奖项（</w:t>
            </w:r>
            <w:r>
              <w:rPr>
                <w:rFonts w:asciiTheme="minorEastAsia" w:hAnsiTheme="minorEastAsia" w:eastAsiaTheme="minorEastAsia" w:cstheme="minorEastAsia"/>
                <w:szCs w:val="21"/>
                <w:lang w:bidi="ar"/>
              </w:rPr>
              <w:t>5</w:t>
            </w:r>
            <w:r>
              <w:rPr>
                <w:rFonts w:hint="eastAsia" w:asciiTheme="minorEastAsia" w:hAnsiTheme="minorEastAsia" w:eastAsiaTheme="minorEastAsia" w:cstheme="minorEastAsia"/>
                <w:szCs w:val="21"/>
                <w:lang w:bidi="ar"/>
              </w:rPr>
              <w:t>分）</w:t>
            </w:r>
          </w:p>
        </w:tc>
        <w:tc>
          <w:tcPr>
            <w:tcW w:w="5452" w:type="dxa"/>
            <w:tcBorders>
              <w:top w:val="single" w:color="auto" w:sz="4" w:space="0"/>
              <w:left w:val="nil"/>
              <w:bottom w:val="single" w:color="auto" w:sz="4" w:space="0"/>
              <w:right w:val="single" w:color="auto" w:sz="4" w:space="0"/>
            </w:tcBorders>
            <w:shd w:val="clear" w:color="auto" w:fill="auto"/>
            <w:vAlign w:val="center"/>
          </w:tcPr>
          <w:p w14:paraId="795942B0">
            <w:pPr>
              <w:autoSpaceDE w:val="0"/>
              <w:spacing w:line="500" w:lineRule="exact"/>
            </w:pPr>
            <w:r>
              <w:t>1</w:t>
            </w:r>
            <w:r>
              <w:rPr>
                <w:rFonts w:hint="eastAsia"/>
              </w:rPr>
              <w:t>、提供协会类组织颁发的荣誉证书或奖项证书的，每提供</w:t>
            </w:r>
            <w:r>
              <w:t>1个</w:t>
            </w:r>
            <w:r>
              <w:rPr>
                <w:rFonts w:hint="eastAsia"/>
              </w:rPr>
              <w:t>得</w:t>
            </w:r>
            <w:r>
              <w:t>1</w:t>
            </w:r>
            <w:r>
              <w:rPr>
                <w:rFonts w:hint="eastAsia"/>
              </w:rPr>
              <w:t>分，最多得</w:t>
            </w:r>
            <w:r>
              <w:t>3分</w:t>
            </w:r>
            <w:r>
              <w:rPr>
                <w:rFonts w:hint="eastAsia"/>
              </w:rPr>
              <w:t>。</w:t>
            </w:r>
          </w:p>
          <w:p w14:paraId="1E8F8419">
            <w:pPr>
              <w:autoSpaceDE w:val="0"/>
              <w:spacing w:line="500" w:lineRule="exact"/>
            </w:pPr>
            <w:r>
              <w:t>2</w:t>
            </w:r>
            <w:r>
              <w:rPr>
                <w:rFonts w:hint="eastAsia"/>
              </w:rPr>
              <w:t>、提供其他</w:t>
            </w:r>
            <w:r>
              <w:rPr>
                <w:rFonts w:hint="eastAsia" w:asciiTheme="minorEastAsia" w:hAnsiTheme="minorEastAsia" w:eastAsiaTheme="minorEastAsia" w:cstheme="minorEastAsia"/>
                <w:szCs w:val="21"/>
              </w:rPr>
              <w:t>部门（或单位或组织）</w:t>
            </w:r>
            <w:r>
              <w:rPr>
                <w:rFonts w:hint="eastAsia"/>
              </w:rPr>
              <w:t>颁发的荣誉证书或奖项证书的，每提供</w:t>
            </w:r>
            <w:r>
              <w:t>1个得1分，最多得2</w:t>
            </w:r>
            <w:r>
              <w:rPr>
                <w:rFonts w:hint="eastAsia"/>
              </w:rPr>
              <w:t>分。</w:t>
            </w:r>
          </w:p>
        </w:tc>
        <w:tc>
          <w:tcPr>
            <w:tcW w:w="911" w:type="dxa"/>
            <w:tcBorders>
              <w:top w:val="single" w:color="auto" w:sz="4" w:space="0"/>
              <w:left w:val="nil"/>
              <w:bottom w:val="single" w:color="auto" w:sz="4" w:space="0"/>
              <w:right w:val="single" w:color="auto" w:sz="4" w:space="0"/>
            </w:tcBorders>
            <w:shd w:val="clear" w:color="auto" w:fill="auto"/>
            <w:vAlign w:val="center"/>
          </w:tcPr>
          <w:p w14:paraId="11032513">
            <w:pPr>
              <w:autoSpaceDE w:val="0"/>
              <w:spacing w:line="500" w:lineRule="exact"/>
              <w:jc w:val="left"/>
              <w:rPr>
                <w:rFonts w:asciiTheme="minorEastAsia" w:hAnsiTheme="minorEastAsia" w:eastAsiaTheme="minorEastAsia" w:cstheme="minorEastAsia"/>
                <w:szCs w:val="21"/>
              </w:rPr>
            </w:pPr>
          </w:p>
        </w:tc>
      </w:tr>
      <w:tr w14:paraId="4E2FE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 w:hRule="atLeast"/>
          <w:jc w:val="center"/>
        </w:trPr>
        <w:tc>
          <w:tcPr>
            <w:tcW w:w="713" w:type="dxa"/>
            <w:vMerge w:val="continue"/>
            <w:tcBorders>
              <w:left w:val="single" w:color="auto" w:sz="4" w:space="0"/>
              <w:bottom w:val="single" w:color="auto" w:sz="4" w:space="0"/>
              <w:right w:val="single" w:color="auto" w:sz="4" w:space="0"/>
            </w:tcBorders>
            <w:shd w:val="clear" w:color="auto" w:fill="auto"/>
            <w:vAlign w:val="center"/>
          </w:tcPr>
          <w:p w14:paraId="4F6AE889">
            <w:pPr>
              <w:spacing w:line="500" w:lineRule="exact"/>
              <w:ind w:firstLine="210" w:firstLineChars="100"/>
              <w:jc w:val="center"/>
              <w:rPr>
                <w:rFonts w:asciiTheme="minorEastAsia" w:hAnsiTheme="minorEastAsia" w:eastAsiaTheme="minorEastAsia" w:cstheme="minorEastAsia"/>
                <w:szCs w:val="21"/>
                <w:lang w:bidi="ar"/>
              </w:rPr>
            </w:pPr>
          </w:p>
        </w:tc>
        <w:tc>
          <w:tcPr>
            <w:tcW w:w="1428" w:type="dxa"/>
            <w:vMerge w:val="continue"/>
            <w:tcBorders>
              <w:left w:val="single" w:color="auto" w:sz="4" w:space="0"/>
              <w:bottom w:val="single" w:color="auto" w:sz="4" w:space="0"/>
              <w:right w:val="single" w:color="auto" w:sz="4" w:space="0"/>
            </w:tcBorders>
            <w:shd w:val="clear" w:color="auto" w:fill="auto"/>
            <w:vAlign w:val="center"/>
          </w:tcPr>
          <w:p w14:paraId="44A9B925">
            <w:pPr>
              <w:spacing w:line="500" w:lineRule="exact"/>
              <w:jc w:val="center"/>
              <w:rPr>
                <w:rFonts w:asciiTheme="minorEastAsia" w:hAnsiTheme="minorEastAsia" w:eastAsiaTheme="minorEastAsia" w:cstheme="minorEastAsia"/>
                <w:szCs w:val="21"/>
                <w:lang w:bidi="ar"/>
              </w:rPr>
            </w:pPr>
          </w:p>
        </w:tc>
        <w:tc>
          <w:tcPr>
            <w:tcW w:w="1019" w:type="dxa"/>
            <w:tcBorders>
              <w:top w:val="single" w:color="auto" w:sz="4" w:space="0"/>
              <w:left w:val="nil"/>
              <w:bottom w:val="single" w:color="auto" w:sz="4" w:space="0"/>
              <w:right w:val="single" w:color="auto" w:sz="4" w:space="0"/>
            </w:tcBorders>
            <w:shd w:val="clear" w:color="auto" w:fill="auto"/>
            <w:vAlign w:val="center"/>
          </w:tcPr>
          <w:p w14:paraId="164C9B1B">
            <w:pPr>
              <w:spacing w:line="500" w:lineRule="exact"/>
              <w:jc w:val="center"/>
              <w:rPr>
                <w:rFonts w:asciiTheme="minorEastAsia" w:hAnsiTheme="minorEastAsia" w:eastAsiaTheme="minorEastAsia" w:cstheme="minorEastAsia"/>
                <w:szCs w:val="21"/>
                <w:lang w:bidi="ar"/>
              </w:rPr>
            </w:pPr>
            <w:r>
              <w:rPr>
                <w:rFonts w:hint="eastAsia" w:asciiTheme="minorEastAsia" w:hAnsiTheme="minorEastAsia" w:eastAsiaTheme="minorEastAsia" w:cstheme="minorEastAsia"/>
                <w:szCs w:val="21"/>
                <w:lang w:bidi="ar"/>
              </w:rPr>
              <w:t>信用评级（</w:t>
            </w:r>
            <w:r>
              <w:rPr>
                <w:rFonts w:asciiTheme="minorEastAsia" w:hAnsiTheme="minorEastAsia" w:eastAsiaTheme="minorEastAsia" w:cstheme="minorEastAsia"/>
                <w:szCs w:val="21"/>
                <w:lang w:bidi="ar"/>
              </w:rPr>
              <w:t>3</w:t>
            </w:r>
            <w:r>
              <w:rPr>
                <w:rFonts w:hint="eastAsia" w:asciiTheme="minorEastAsia" w:hAnsiTheme="minorEastAsia" w:eastAsiaTheme="minorEastAsia" w:cstheme="minorEastAsia"/>
                <w:szCs w:val="21"/>
                <w:lang w:bidi="ar"/>
              </w:rPr>
              <w:t>分）</w:t>
            </w:r>
          </w:p>
        </w:tc>
        <w:tc>
          <w:tcPr>
            <w:tcW w:w="5452" w:type="dxa"/>
            <w:tcBorders>
              <w:top w:val="single" w:color="auto" w:sz="4" w:space="0"/>
              <w:left w:val="nil"/>
              <w:bottom w:val="single" w:color="auto" w:sz="4" w:space="0"/>
              <w:right w:val="single" w:color="auto" w:sz="4" w:space="0"/>
            </w:tcBorders>
            <w:shd w:val="clear" w:color="auto" w:fill="auto"/>
            <w:vAlign w:val="center"/>
          </w:tcPr>
          <w:p w14:paraId="36128585">
            <w:pPr>
              <w:autoSpaceDE w:val="0"/>
              <w:spacing w:line="500" w:lineRule="exact"/>
            </w:pPr>
            <w:r>
              <w:rPr>
                <w:rFonts w:hint="eastAsia"/>
              </w:rPr>
              <w:t>竞选人企业信用评价等级为</w:t>
            </w:r>
            <w:r>
              <w:t>AAA</w:t>
            </w:r>
            <w:r>
              <w:rPr>
                <w:rFonts w:hint="eastAsia"/>
              </w:rPr>
              <w:t>级的，得</w:t>
            </w:r>
            <w:r>
              <w:t>3</w:t>
            </w:r>
            <w:r>
              <w:rPr>
                <w:rFonts w:hint="eastAsia"/>
              </w:rPr>
              <w:t>分；其余等级的，得</w:t>
            </w:r>
            <w:r>
              <w:t>1</w:t>
            </w:r>
            <w:r>
              <w:rPr>
                <w:rFonts w:hint="eastAsia"/>
              </w:rPr>
              <w:t>分。提供有效的企业信用评价等级证书。</w:t>
            </w:r>
          </w:p>
        </w:tc>
        <w:tc>
          <w:tcPr>
            <w:tcW w:w="911" w:type="dxa"/>
            <w:tcBorders>
              <w:top w:val="single" w:color="auto" w:sz="4" w:space="0"/>
              <w:left w:val="nil"/>
              <w:bottom w:val="single" w:color="auto" w:sz="4" w:space="0"/>
              <w:right w:val="single" w:color="auto" w:sz="4" w:space="0"/>
            </w:tcBorders>
            <w:shd w:val="clear" w:color="auto" w:fill="auto"/>
            <w:vAlign w:val="center"/>
          </w:tcPr>
          <w:p w14:paraId="5E206CE9">
            <w:pPr>
              <w:autoSpaceDE w:val="0"/>
              <w:spacing w:line="500" w:lineRule="exact"/>
              <w:jc w:val="left"/>
              <w:rPr>
                <w:rFonts w:asciiTheme="minorEastAsia" w:hAnsiTheme="minorEastAsia" w:eastAsiaTheme="minorEastAsia" w:cstheme="minorEastAsia"/>
                <w:szCs w:val="21"/>
              </w:rPr>
            </w:pPr>
          </w:p>
        </w:tc>
      </w:tr>
      <w:tr w14:paraId="4ABE7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 w:hRule="atLeast"/>
          <w:jc w:val="center"/>
        </w:trPr>
        <w:tc>
          <w:tcPr>
            <w:tcW w:w="713" w:type="dxa"/>
            <w:tcBorders>
              <w:top w:val="single" w:color="auto" w:sz="4" w:space="0"/>
              <w:left w:val="single" w:color="auto" w:sz="4" w:space="0"/>
              <w:bottom w:val="single" w:color="auto" w:sz="4" w:space="0"/>
              <w:right w:val="single" w:color="auto" w:sz="4" w:space="0"/>
            </w:tcBorders>
            <w:shd w:val="clear" w:color="auto" w:fill="auto"/>
            <w:vAlign w:val="center"/>
          </w:tcPr>
          <w:p w14:paraId="4EDC26A6">
            <w:pPr>
              <w:spacing w:line="500" w:lineRule="exact"/>
              <w:ind w:firstLine="210" w:firstLineChars="100"/>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lang w:bidi="ar"/>
              </w:rPr>
              <w:t>3</w:t>
            </w:r>
          </w:p>
        </w:tc>
        <w:tc>
          <w:tcPr>
            <w:tcW w:w="1428" w:type="dxa"/>
            <w:tcBorders>
              <w:top w:val="single" w:color="auto" w:sz="4" w:space="0"/>
              <w:left w:val="single" w:color="auto" w:sz="4" w:space="0"/>
              <w:bottom w:val="single" w:color="auto" w:sz="4" w:space="0"/>
              <w:right w:val="single" w:color="auto" w:sz="4" w:space="0"/>
            </w:tcBorders>
            <w:shd w:val="clear" w:color="auto" w:fill="auto"/>
            <w:vAlign w:val="center"/>
          </w:tcPr>
          <w:p w14:paraId="183BEB0C">
            <w:pPr>
              <w:spacing w:line="500" w:lineRule="exact"/>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lang w:bidi="ar"/>
              </w:rPr>
              <w:t>报价（30%）</w:t>
            </w:r>
          </w:p>
        </w:tc>
        <w:tc>
          <w:tcPr>
            <w:tcW w:w="1019" w:type="dxa"/>
            <w:tcBorders>
              <w:top w:val="single" w:color="auto" w:sz="4" w:space="0"/>
              <w:left w:val="nil"/>
              <w:bottom w:val="single" w:color="auto" w:sz="4" w:space="0"/>
              <w:right w:val="single" w:color="auto" w:sz="4" w:space="0"/>
            </w:tcBorders>
            <w:shd w:val="clear" w:color="auto" w:fill="auto"/>
            <w:vAlign w:val="center"/>
          </w:tcPr>
          <w:p w14:paraId="19BC0C9B">
            <w:pPr>
              <w:spacing w:line="500" w:lineRule="exact"/>
              <w:jc w:val="center"/>
              <w:rPr>
                <w:rFonts w:asciiTheme="minorEastAsia" w:hAnsiTheme="minorEastAsia" w:eastAsiaTheme="minorEastAsia" w:cstheme="minorEastAsia"/>
                <w:szCs w:val="21"/>
              </w:rPr>
            </w:pPr>
            <w:r>
              <w:rPr>
                <w:rFonts w:hint="eastAsia" w:asciiTheme="minorEastAsia" w:hAnsiTheme="minorEastAsia" w:eastAsiaTheme="minorEastAsia" w:cstheme="minorEastAsia"/>
                <w:szCs w:val="21"/>
                <w:lang w:bidi="ar"/>
              </w:rPr>
              <w:t>30分</w:t>
            </w:r>
          </w:p>
        </w:tc>
        <w:tc>
          <w:tcPr>
            <w:tcW w:w="5452" w:type="dxa"/>
            <w:tcBorders>
              <w:top w:val="single" w:color="auto" w:sz="4" w:space="0"/>
              <w:left w:val="nil"/>
              <w:bottom w:val="single" w:color="auto" w:sz="4" w:space="0"/>
              <w:right w:val="single" w:color="auto" w:sz="4" w:space="0"/>
            </w:tcBorders>
            <w:shd w:val="clear" w:color="auto" w:fill="auto"/>
            <w:vAlign w:val="center"/>
          </w:tcPr>
          <w:p w14:paraId="561543B1">
            <w:pPr>
              <w:autoSpaceDE w:val="0"/>
              <w:spacing w:line="500" w:lineRule="exact"/>
              <w:rPr>
                <w:rFonts w:asciiTheme="minorEastAsia" w:hAnsiTheme="minorEastAsia" w:eastAsiaTheme="minorEastAsia" w:cstheme="minorEastAsia"/>
                <w:szCs w:val="21"/>
              </w:rPr>
            </w:pPr>
            <w:r>
              <w:rPr>
                <w:rStyle w:val="11"/>
                <w:rFonts w:hint="eastAsia" w:asciiTheme="minorEastAsia" w:hAnsiTheme="minorEastAsia" w:eastAsiaTheme="minorEastAsia" w:cstheme="minorEastAsia"/>
                <w:color w:val="0F1115"/>
                <w:szCs w:val="21"/>
                <w:shd w:val="clear" w:color="auto" w:fill="FFFFFF"/>
              </w:rPr>
              <w:t>报价得分（30）</w:t>
            </w:r>
            <w:r>
              <w:rPr>
                <w:rFonts w:hint="eastAsia" w:asciiTheme="minorEastAsia" w:hAnsiTheme="minorEastAsia" w:eastAsiaTheme="minorEastAsia" w:cstheme="minorEastAsia"/>
                <w:bCs/>
                <w:szCs w:val="21"/>
                <w:lang w:bidi="ar"/>
              </w:rPr>
              <w:t>评标采用基准价法：所有有效报价的算术平均值为基准价，基准价计算结果保留两位小数。报价等于基准价得满分30分；每高于基准价1%扣0.2分，每低于基准价1%扣0.1分，最多扣3分。公式示例：报价得分=30－（报价－基准价）÷基准价×K(K为扣分系数)。</w:t>
            </w:r>
          </w:p>
        </w:tc>
        <w:tc>
          <w:tcPr>
            <w:tcW w:w="911" w:type="dxa"/>
            <w:tcBorders>
              <w:top w:val="single" w:color="auto" w:sz="4" w:space="0"/>
              <w:left w:val="nil"/>
              <w:bottom w:val="single" w:color="auto" w:sz="4" w:space="0"/>
              <w:right w:val="single" w:color="auto" w:sz="4" w:space="0"/>
            </w:tcBorders>
            <w:shd w:val="clear" w:color="auto" w:fill="auto"/>
            <w:vAlign w:val="center"/>
          </w:tcPr>
          <w:p w14:paraId="57ADBAD5">
            <w:pPr>
              <w:autoSpaceDE w:val="0"/>
              <w:spacing w:line="500" w:lineRule="exact"/>
              <w:jc w:val="left"/>
              <w:rPr>
                <w:rFonts w:asciiTheme="minorEastAsia" w:hAnsiTheme="minorEastAsia" w:eastAsiaTheme="minorEastAsia" w:cstheme="minorEastAsia"/>
                <w:szCs w:val="21"/>
              </w:rPr>
            </w:pPr>
          </w:p>
        </w:tc>
      </w:tr>
      <w:bookmarkEnd w:id="35"/>
    </w:tbl>
    <w:p w14:paraId="2DAA79A0">
      <w:pPr>
        <w:spacing w:line="594" w:lineRule="exact"/>
        <w:jc w:val="center"/>
        <w:rPr>
          <w:rFonts w:ascii="方正小标宋_GBK" w:hAnsi="方正小标宋_GBK" w:eastAsia="方正小标宋_GBK" w:cs="方正小标宋_GBK"/>
          <w:sz w:val="44"/>
          <w:szCs w:val="44"/>
        </w:rPr>
        <w:sectPr>
          <w:footerReference r:id="rId3" w:type="default"/>
          <w:footerReference r:id="rId4" w:type="even"/>
          <w:pgSz w:w="11906" w:h="16838"/>
          <w:pgMar w:top="1984" w:right="1446" w:bottom="1644" w:left="1446" w:header="851" w:footer="992" w:gutter="0"/>
          <w:pgNumType w:fmt="numberInDash" w:start="1"/>
          <w:cols w:space="425" w:num="1"/>
          <w:docGrid w:type="lines" w:linePitch="312" w:charSpace="0"/>
        </w:sectPr>
      </w:pPr>
      <w:bookmarkStart w:id="38" w:name="_Toc28832"/>
    </w:p>
    <w:p w14:paraId="019379BA">
      <w:pPr>
        <w:spacing w:line="594"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第三章 竞选文件格式</w:t>
      </w:r>
      <w:bookmarkEnd w:id="38"/>
    </w:p>
    <w:p w14:paraId="18D1676F">
      <w:pPr>
        <w:pStyle w:val="13"/>
        <w:spacing w:line="594" w:lineRule="exact"/>
        <w:rPr>
          <w:rFonts w:ascii="Times New Roman" w:hAnsi="Times New Roman" w:cs="Times New Roman"/>
        </w:rPr>
      </w:pPr>
    </w:p>
    <w:p w14:paraId="601A002B">
      <w:pPr>
        <w:spacing w:line="594" w:lineRule="exact"/>
        <w:ind w:firstLine="640" w:firstLineChars="200"/>
        <w:rPr>
          <w:rFonts w:ascii="Times New Roman" w:hAnsi="Times New Roman" w:eastAsia="方正黑体_GBK"/>
          <w:color w:val="000000"/>
          <w:sz w:val="32"/>
          <w:szCs w:val="32"/>
        </w:rPr>
      </w:pPr>
      <w:r>
        <w:rPr>
          <w:rFonts w:ascii="Times New Roman" w:hAnsi="Times New Roman" w:eastAsia="方正黑体_GBK"/>
          <w:color w:val="000000"/>
          <w:sz w:val="32"/>
          <w:szCs w:val="32"/>
        </w:rPr>
        <w:t>一、</w:t>
      </w:r>
      <w:r>
        <w:rPr>
          <w:rFonts w:hint="eastAsia" w:ascii="Times New Roman" w:hAnsi="Times New Roman" w:eastAsia="方正黑体_GBK"/>
          <w:color w:val="000000"/>
          <w:sz w:val="32"/>
          <w:szCs w:val="32"/>
        </w:rPr>
        <w:t>竞选函</w:t>
      </w:r>
      <w:r>
        <w:rPr>
          <w:rFonts w:ascii="Times New Roman" w:hAnsi="Times New Roman" w:eastAsia="方正黑体_GBK"/>
          <w:color w:val="000000"/>
          <w:sz w:val="32"/>
          <w:szCs w:val="32"/>
        </w:rPr>
        <w:t>（格式）</w:t>
      </w:r>
    </w:p>
    <w:p w14:paraId="7DED2C6B">
      <w:pPr>
        <w:snapToGrid w:val="0"/>
        <w:spacing w:line="594" w:lineRule="exact"/>
        <w:ind w:firstLine="640" w:firstLineChars="200"/>
        <w:rPr>
          <w:rFonts w:ascii="Times New Roman" w:hAnsi="Times New Roman" w:eastAsia="方正黑体_GBK"/>
          <w:color w:val="000000"/>
          <w:sz w:val="32"/>
          <w:szCs w:val="32"/>
        </w:rPr>
      </w:pPr>
      <w:r>
        <w:rPr>
          <w:rFonts w:ascii="Times New Roman" w:hAnsi="Times New Roman" w:eastAsia="方正黑体_GBK"/>
          <w:color w:val="000000"/>
          <w:sz w:val="32"/>
          <w:szCs w:val="32"/>
        </w:rPr>
        <w:t>二、技术部分</w:t>
      </w:r>
      <w:r>
        <w:rPr>
          <w:rFonts w:hint="eastAsia" w:ascii="Times New Roman" w:hAnsi="Times New Roman" w:eastAsia="方正黑体_GBK"/>
          <w:color w:val="000000"/>
          <w:sz w:val="32"/>
          <w:szCs w:val="32"/>
        </w:rPr>
        <w:t>（格式自拟）</w:t>
      </w:r>
    </w:p>
    <w:p w14:paraId="09F26B8F">
      <w:pPr>
        <w:snapToGrid w:val="0"/>
        <w:spacing w:line="594" w:lineRule="exact"/>
        <w:ind w:firstLine="640" w:firstLineChars="200"/>
        <w:rPr>
          <w:rFonts w:ascii="Times New Roman" w:hAnsi="Times New Roman" w:eastAsia="方正黑体_GBK"/>
          <w:color w:val="000000"/>
          <w:sz w:val="32"/>
          <w:szCs w:val="32"/>
        </w:rPr>
      </w:pPr>
      <w:r>
        <w:rPr>
          <w:rFonts w:ascii="Times New Roman" w:hAnsi="Times New Roman" w:eastAsia="方正黑体_GBK"/>
          <w:color w:val="000000"/>
          <w:sz w:val="32"/>
          <w:szCs w:val="32"/>
        </w:rPr>
        <w:t>三、商务部分</w:t>
      </w:r>
      <w:r>
        <w:rPr>
          <w:rFonts w:hint="eastAsia" w:ascii="Times New Roman" w:hAnsi="Times New Roman" w:eastAsia="方正黑体_GBK"/>
          <w:color w:val="000000"/>
          <w:sz w:val="32"/>
          <w:szCs w:val="32"/>
        </w:rPr>
        <w:t>（格式自拟）</w:t>
      </w:r>
    </w:p>
    <w:p w14:paraId="38252E8E">
      <w:pPr>
        <w:spacing w:line="594" w:lineRule="exact"/>
        <w:ind w:firstLine="640" w:firstLineChars="200"/>
        <w:rPr>
          <w:rFonts w:ascii="Times New Roman" w:hAnsi="Times New Roman" w:eastAsia="方正黑体_GBK"/>
          <w:color w:val="000000"/>
          <w:sz w:val="32"/>
          <w:szCs w:val="32"/>
        </w:rPr>
      </w:pPr>
      <w:r>
        <w:rPr>
          <w:rFonts w:ascii="Times New Roman" w:hAnsi="Times New Roman" w:eastAsia="方正黑体_GBK"/>
          <w:color w:val="000000"/>
          <w:sz w:val="32"/>
          <w:szCs w:val="32"/>
        </w:rPr>
        <w:t>四、资格条件</w:t>
      </w:r>
    </w:p>
    <w:p w14:paraId="60F0F2E7">
      <w:pPr>
        <w:snapToGrid w:val="0"/>
        <w:spacing w:line="594" w:lineRule="exact"/>
        <w:ind w:firstLine="640" w:firstLineChars="200"/>
        <w:rPr>
          <w:rFonts w:ascii="Times New Roman" w:hAnsi="Times New Roman" w:eastAsia="方正仿宋_GB2312"/>
          <w:color w:val="000000"/>
          <w:sz w:val="32"/>
          <w:szCs w:val="32"/>
        </w:rPr>
      </w:pPr>
      <w:r>
        <w:rPr>
          <w:rFonts w:hint="eastAsia" w:ascii="Times New Roman" w:hAnsi="Times New Roman" w:eastAsia="方正仿宋_GB2312"/>
          <w:color w:val="000000"/>
          <w:sz w:val="32"/>
          <w:szCs w:val="32"/>
        </w:rPr>
        <w:t>（一）</w:t>
      </w:r>
      <w:r>
        <w:rPr>
          <w:rFonts w:ascii="Times New Roman" w:hAnsi="Times New Roman" w:eastAsia="方正仿宋_GB2312"/>
          <w:color w:val="000000"/>
          <w:sz w:val="32"/>
          <w:szCs w:val="32"/>
        </w:rPr>
        <w:t>营业执照（副本）复印件</w:t>
      </w:r>
    </w:p>
    <w:p w14:paraId="0698F4FC">
      <w:pPr>
        <w:snapToGrid w:val="0"/>
        <w:spacing w:line="594" w:lineRule="exact"/>
        <w:ind w:firstLine="640" w:firstLineChars="200"/>
        <w:rPr>
          <w:rFonts w:ascii="Times New Roman" w:hAnsi="Times New Roman" w:eastAsia="方正仿宋_GB2312"/>
          <w:color w:val="000000"/>
          <w:sz w:val="32"/>
          <w:szCs w:val="32"/>
        </w:rPr>
      </w:pPr>
      <w:r>
        <w:rPr>
          <w:rFonts w:ascii="Times New Roman" w:hAnsi="Times New Roman" w:eastAsia="方正仿宋_GB2312"/>
          <w:color w:val="000000"/>
          <w:sz w:val="32"/>
          <w:szCs w:val="32"/>
        </w:rPr>
        <w:t>（</w:t>
      </w:r>
      <w:r>
        <w:rPr>
          <w:rFonts w:hint="eastAsia" w:ascii="Times New Roman" w:hAnsi="Times New Roman" w:eastAsia="方正仿宋_GB2312"/>
          <w:color w:val="000000"/>
          <w:sz w:val="32"/>
          <w:szCs w:val="32"/>
        </w:rPr>
        <w:t>二</w:t>
      </w:r>
      <w:r>
        <w:rPr>
          <w:rFonts w:ascii="Times New Roman" w:hAnsi="Times New Roman" w:eastAsia="方正仿宋_GB2312"/>
          <w:color w:val="000000"/>
          <w:sz w:val="32"/>
          <w:szCs w:val="32"/>
        </w:rPr>
        <w:t>）</w:t>
      </w:r>
      <w:r>
        <w:rPr>
          <w:rFonts w:hint="eastAsia" w:ascii="Times New Roman" w:hAnsi="Times New Roman" w:eastAsia="方正仿宋_GB2312"/>
          <w:color w:val="000000"/>
          <w:sz w:val="32"/>
          <w:szCs w:val="32"/>
        </w:rPr>
        <w:t>法定代表人身份证明（格式）</w:t>
      </w:r>
    </w:p>
    <w:p w14:paraId="4ABFDB2F">
      <w:pPr>
        <w:snapToGrid w:val="0"/>
        <w:spacing w:line="594" w:lineRule="exact"/>
        <w:ind w:firstLine="640" w:firstLineChars="200"/>
        <w:rPr>
          <w:rFonts w:ascii="Times New Roman" w:hAnsi="Times New Roman" w:eastAsia="方正仿宋_GB2312"/>
          <w:color w:val="000000"/>
          <w:sz w:val="32"/>
          <w:szCs w:val="32"/>
        </w:rPr>
      </w:pPr>
      <w:r>
        <w:rPr>
          <w:rFonts w:hint="eastAsia" w:ascii="Times New Roman" w:hAnsi="Times New Roman" w:eastAsia="方正仿宋_GB2312"/>
          <w:color w:val="000000"/>
          <w:sz w:val="32"/>
          <w:szCs w:val="32"/>
        </w:rPr>
        <w:t>（三）授权委托书（格式）</w:t>
      </w:r>
    </w:p>
    <w:p w14:paraId="26EF6117">
      <w:pPr>
        <w:snapToGrid w:val="0"/>
        <w:spacing w:line="594" w:lineRule="exact"/>
        <w:ind w:firstLine="640" w:firstLineChars="200"/>
        <w:rPr>
          <w:rFonts w:ascii="Times New Roman" w:hAnsi="Times New Roman" w:eastAsia="方正仿宋_GB2312"/>
          <w:color w:val="000000"/>
          <w:sz w:val="32"/>
          <w:szCs w:val="32"/>
        </w:rPr>
      </w:pPr>
      <w:r>
        <w:rPr>
          <w:rFonts w:hint="eastAsia" w:ascii="Times New Roman" w:hAnsi="Times New Roman" w:eastAsia="方正仿宋_GB2312"/>
          <w:color w:val="000000"/>
          <w:sz w:val="32"/>
          <w:szCs w:val="32"/>
        </w:rPr>
        <w:t>（四）竞选保证金</w:t>
      </w:r>
    </w:p>
    <w:p w14:paraId="1CB046BB">
      <w:pPr>
        <w:snapToGrid w:val="0"/>
        <w:spacing w:line="594" w:lineRule="exact"/>
        <w:ind w:firstLine="640" w:firstLineChars="200"/>
        <w:rPr>
          <w:rFonts w:ascii="Times New Roman" w:hAnsi="Times New Roman" w:eastAsia="方正仿宋_GB2312"/>
          <w:color w:val="000000"/>
          <w:sz w:val="32"/>
          <w:szCs w:val="32"/>
        </w:rPr>
      </w:pPr>
      <w:r>
        <w:rPr>
          <w:rFonts w:hint="eastAsia" w:ascii="Times New Roman" w:hAnsi="Times New Roman" w:eastAsia="方正仿宋_GB2312"/>
          <w:color w:val="000000"/>
          <w:sz w:val="32"/>
          <w:szCs w:val="32"/>
        </w:rPr>
        <w:t>（五）资格业绩证明资料</w:t>
      </w:r>
    </w:p>
    <w:p w14:paraId="7CBAC8E4">
      <w:pPr>
        <w:snapToGrid w:val="0"/>
        <w:spacing w:line="594" w:lineRule="exact"/>
        <w:ind w:firstLine="640" w:firstLineChars="200"/>
        <w:rPr>
          <w:rFonts w:ascii="Times New Roman" w:hAnsi="Times New Roman" w:eastAsia="方正仿宋_GB2312"/>
          <w:color w:val="000000"/>
          <w:sz w:val="32"/>
          <w:szCs w:val="32"/>
        </w:rPr>
      </w:pPr>
      <w:r>
        <w:rPr>
          <w:rFonts w:hint="eastAsia" w:ascii="Times New Roman" w:hAnsi="Times New Roman" w:eastAsia="方正仿宋_GB2312"/>
          <w:color w:val="000000"/>
          <w:sz w:val="32"/>
          <w:szCs w:val="32"/>
        </w:rPr>
        <w:t>（六）信用中国查询记录</w:t>
      </w:r>
    </w:p>
    <w:p w14:paraId="0DE24CA6">
      <w:pPr>
        <w:rPr>
          <w:rFonts w:ascii="Times New Roman" w:hAnsi="Times New Roman" w:eastAsia="方正仿宋_GB2312"/>
          <w:sz w:val="32"/>
          <w:szCs w:val="32"/>
        </w:rPr>
      </w:pPr>
      <w:bookmarkStart w:id="39" w:name="_Toc6881"/>
      <w:r>
        <w:rPr>
          <w:rFonts w:ascii="Times New Roman" w:hAnsi="Times New Roman" w:eastAsia="方正仿宋_GB2312"/>
          <w:sz w:val="32"/>
          <w:szCs w:val="32"/>
        </w:rPr>
        <w:br w:type="page"/>
      </w:r>
    </w:p>
    <w:p w14:paraId="5665D78A">
      <w:pPr>
        <w:tabs>
          <w:tab w:val="left" w:pos="6300"/>
        </w:tabs>
        <w:snapToGrid w:val="0"/>
        <w:spacing w:line="595" w:lineRule="exact"/>
        <w:outlineLvl w:val="0"/>
        <w:rPr>
          <w:rFonts w:ascii="Times New Roman" w:hAnsi="Times New Roman" w:eastAsia="方正仿宋_GB2312"/>
          <w:sz w:val="32"/>
          <w:szCs w:val="32"/>
        </w:rPr>
      </w:pPr>
      <w:r>
        <w:rPr>
          <w:rFonts w:hint="eastAsia" w:ascii="方正黑体_GBK" w:hAnsi="方正黑体_GBK" w:eastAsia="方正黑体_GBK" w:cs="方正黑体_GBK"/>
          <w:sz w:val="32"/>
          <w:szCs w:val="32"/>
        </w:rPr>
        <w:t>附件1</w:t>
      </w:r>
      <w:bookmarkEnd w:id="39"/>
    </w:p>
    <w:p w14:paraId="00A09C05">
      <w:pPr>
        <w:pStyle w:val="4"/>
        <w:jc w:val="center"/>
        <w:rPr>
          <w:rFonts w:ascii="宋体" w:hAnsi="宋体" w:eastAsia="宋体" w:cs="宋体"/>
          <w:sz w:val="40"/>
          <w:szCs w:val="56"/>
        </w:rPr>
      </w:pPr>
      <w:bookmarkStart w:id="40" w:name="OLE_LINK5"/>
      <w:r>
        <w:rPr>
          <w:rFonts w:hint="eastAsia" w:ascii="宋体" w:hAnsi="宋体" w:eastAsia="宋体" w:cs="宋体"/>
          <w:b/>
          <w:sz w:val="40"/>
          <w:szCs w:val="56"/>
        </w:rPr>
        <w:t>竞选函</w:t>
      </w:r>
    </w:p>
    <w:p w14:paraId="0FDE4A99">
      <w:pPr>
        <w:spacing w:line="360" w:lineRule="auto"/>
        <w:jc w:val="left"/>
        <w:rPr>
          <w:rFonts w:ascii="宋体" w:hAnsi="宋体" w:cs="宋体"/>
          <w:color w:val="000000"/>
          <w:sz w:val="24"/>
        </w:rPr>
      </w:pPr>
    </w:p>
    <w:p w14:paraId="6A17EE2B">
      <w:pPr>
        <w:spacing w:line="360" w:lineRule="auto"/>
        <w:jc w:val="left"/>
        <w:rPr>
          <w:rFonts w:ascii="宋体" w:hAnsi="宋体" w:cs="宋体"/>
          <w:color w:val="000000"/>
          <w:sz w:val="24"/>
        </w:rPr>
      </w:pPr>
      <w:r>
        <w:rPr>
          <w:rFonts w:hint="eastAsia" w:ascii="宋体" w:hAnsi="宋体" w:cs="宋体"/>
          <w:color w:val="000000"/>
          <w:sz w:val="24"/>
        </w:rPr>
        <w:t>重庆市涪陵榨菜集团股份有限公司：</w:t>
      </w:r>
    </w:p>
    <w:p w14:paraId="35E0F0E4">
      <w:pPr>
        <w:spacing w:line="360" w:lineRule="auto"/>
        <w:ind w:firstLine="480" w:firstLineChars="200"/>
        <w:jc w:val="left"/>
        <w:rPr>
          <w:rFonts w:ascii="宋体" w:hAnsi="宋体" w:cs="宋体"/>
          <w:color w:val="000000"/>
          <w:sz w:val="24"/>
        </w:rPr>
      </w:pPr>
      <w:r>
        <w:rPr>
          <w:rFonts w:hint="eastAsia" w:ascii="宋体" w:hAnsi="宋体" w:cs="宋体"/>
          <w:color w:val="000000"/>
          <w:sz w:val="24"/>
        </w:rPr>
        <w:t>1、 我方已仔细研究了</w:t>
      </w:r>
      <w:r>
        <w:rPr>
          <w:rFonts w:hint="eastAsia" w:ascii="宋体" w:hAnsi="宋体" w:cs="宋体"/>
          <w:color w:val="000000"/>
          <w:sz w:val="24"/>
          <w:u w:val="single"/>
        </w:rPr>
        <w:t>乌江涪陵榨菜绿色智能化生产基地(二期)招标代理中介服务招标</w:t>
      </w:r>
      <w:r>
        <w:rPr>
          <w:rFonts w:hint="eastAsia" w:ascii="宋体" w:hAnsi="宋体" w:cs="宋体"/>
          <w:color w:val="000000"/>
          <w:sz w:val="24"/>
        </w:rPr>
        <w:t>公告的全部内容，愿意以人民币（大写）</w:t>
      </w:r>
      <w:r>
        <w:rPr>
          <w:rFonts w:hint="eastAsia" w:ascii="宋体" w:hAnsi="宋体" w:cs="宋体"/>
          <w:color w:val="000000"/>
          <w:sz w:val="24"/>
          <w:u w:val="single"/>
        </w:rPr>
        <w:t xml:space="preserve">     </w:t>
      </w:r>
      <w:r>
        <w:rPr>
          <w:rFonts w:hint="eastAsia" w:ascii="宋体" w:hAnsi="宋体" w:cs="宋体"/>
          <w:color w:val="000000"/>
          <w:sz w:val="24"/>
        </w:rPr>
        <w:t>（¥</w:t>
      </w:r>
      <w:r>
        <w:rPr>
          <w:rFonts w:hint="eastAsia" w:ascii="宋体" w:hAnsi="宋体" w:cs="宋体"/>
          <w:color w:val="000000"/>
          <w:sz w:val="24"/>
          <w:u w:val="single"/>
        </w:rPr>
        <w:t xml:space="preserve">    </w:t>
      </w:r>
      <w:r>
        <w:rPr>
          <w:rFonts w:hint="eastAsia" w:ascii="宋体" w:hAnsi="宋体" w:cs="宋体"/>
          <w:color w:val="000000"/>
          <w:sz w:val="24"/>
        </w:rPr>
        <w:t>）的竞选总报价进行报价，该工程项目负责人为</w:t>
      </w:r>
      <w:r>
        <w:rPr>
          <w:rFonts w:hint="eastAsia" w:ascii="宋体" w:hAnsi="宋体" w:cs="宋体"/>
          <w:color w:val="000000"/>
          <w:sz w:val="24"/>
          <w:u w:val="single"/>
        </w:rPr>
        <w:t xml:space="preserve">                     </w:t>
      </w:r>
      <w:r>
        <w:rPr>
          <w:rFonts w:hint="eastAsia" w:ascii="宋体" w:hAnsi="宋体" w:cs="宋体"/>
          <w:color w:val="000000"/>
          <w:sz w:val="24"/>
        </w:rPr>
        <w:t>，身份证号码为</w:t>
      </w:r>
      <w:r>
        <w:rPr>
          <w:rFonts w:hint="eastAsia" w:ascii="宋体" w:hAnsi="宋体" w:cs="宋体"/>
          <w:color w:val="000000"/>
          <w:sz w:val="24"/>
          <w:u w:val="single"/>
        </w:rPr>
        <w:t xml:space="preserve">       </w:t>
      </w:r>
      <w:r>
        <w:rPr>
          <w:rFonts w:hint="eastAsia" w:ascii="宋体" w:hAnsi="宋体" w:cs="宋体"/>
          <w:color w:val="000000"/>
          <w:sz w:val="24"/>
        </w:rPr>
        <w:t xml:space="preserve"> 。</w:t>
      </w:r>
    </w:p>
    <w:p w14:paraId="011F340E">
      <w:pPr>
        <w:spacing w:line="360" w:lineRule="auto"/>
        <w:ind w:firstLine="480" w:firstLineChars="200"/>
        <w:jc w:val="left"/>
        <w:rPr>
          <w:rFonts w:ascii="宋体" w:hAnsi="宋体" w:cs="宋体"/>
          <w:color w:val="000000"/>
          <w:sz w:val="24"/>
        </w:rPr>
      </w:pPr>
      <w:r>
        <w:rPr>
          <w:rFonts w:hint="eastAsia" w:ascii="宋体" w:hAnsi="宋体" w:cs="宋体"/>
          <w:color w:val="000000"/>
          <w:sz w:val="24"/>
        </w:rPr>
        <w:t>2、 我方承诺响应比选文件规定的竞选有效期，在竞选有效期内不修改、撤销竞选文件。</w:t>
      </w:r>
    </w:p>
    <w:p w14:paraId="6B3828FE">
      <w:pPr>
        <w:spacing w:line="360" w:lineRule="auto"/>
        <w:ind w:firstLine="480" w:firstLineChars="200"/>
        <w:jc w:val="left"/>
        <w:rPr>
          <w:rFonts w:ascii="宋体" w:hAnsi="宋体" w:cs="宋体"/>
          <w:color w:val="000000"/>
          <w:sz w:val="24"/>
        </w:rPr>
      </w:pPr>
      <w:r>
        <w:rPr>
          <w:rFonts w:hint="eastAsia" w:ascii="宋体" w:hAnsi="宋体" w:cs="宋体"/>
          <w:color w:val="000000"/>
          <w:sz w:val="24"/>
        </w:rPr>
        <w:t>3、 如我方中选</w:t>
      </w:r>
    </w:p>
    <w:p w14:paraId="3ABD78D5">
      <w:pPr>
        <w:spacing w:line="360" w:lineRule="auto"/>
        <w:ind w:firstLine="240" w:firstLineChars="100"/>
        <w:jc w:val="left"/>
        <w:rPr>
          <w:rFonts w:ascii="宋体" w:hAnsi="宋体" w:cs="宋体"/>
          <w:color w:val="000000"/>
          <w:sz w:val="24"/>
        </w:rPr>
      </w:pPr>
      <w:r>
        <w:rPr>
          <w:rFonts w:hint="eastAsia" w:ascii="宋体" w:hAnsi="宋体" w:cs="宋体"/>
          <w:color w:val="000000"/>
          <w:sz w:val="24"/>
        </w:rPr>
        <w:t>（1）我方承诺在收到中选通知书后，在中选通知书规定的期限内与你方签订合同。</w:t>
      </w:r>
    </w:p>
    <w:p w14:paraId="1F82BBEB">
      <w:pPr>
        <w:spacing w:line="360" w:lineRule="auto"/>
        <w:ind w:firstLine="240" w:firstLineChars="100"/>
        <w:jc w:val="left"/>
        <w:rPr>
          <w:rFonts w:ascii="宋体" w:hAnsi="宋体" w:cs="宋体"/>
          <w:color w:val="000000"/>
          <w:sz w:val="24"/>
        </w:rPr>
      </w:pPr>
      <w:r>
        <w:rPr>
          <w:rFonts w:hint="eastAsia" w:ascii="宋体" w:hAnsi="宋体" w:cs="宋体"/>
          <w:color w:val="000000"/>
          <w:sz w:val="24"/>
        </w:rPr>
        <w:t>（2）随同本竞选函递交的竞选函附录属于合同文件的组成部分。</w:t>
      </w:r>
    </w:p>
    <w:p w14:paraId="7FC380DA">
      <w:pPr>
        <w:spacing w:line="360" w:lineRule="auto"/>
        <w:ind w:firstLine="480" w:firstLineChars="200"/>
        <w:jc w:val="left"/>
        <w:rPr>
          <w:rFonts w:ascii="宋体" w:hAnsi="宋体" w:cs="宋体"/>
          <w:color w:val="000000"/>
          <w:sz w:val="24"/>
        </w:rPr>
      </w:pPr>
      <w:r>
        <w:rPr>
          <w:rFonts w:hint="eastAsia" w:ascii="宋体" w:hAnsi="宋体" w:cs="宋体"/>
          <w:color w:val="000000"/>
          <w:sz w:val="24"/>
        </w:rPr>
        <w:t>4、 我方在此声明，所递交的竞选文件及有关资料内容完整、真实和准确。同时我方承诺接受比选文件及附件、澄清及修改通知中所有的内容。</w:t>
      </w:r>
    </w:p>
    <w:p w14:paraId="00FC511E">
      <w:pPr>
        <w:spacing w:line="360" w:lineRule="auto"/>
        <w:ind w:firstLine="480" w:firstLineChars="200"/>
        <w:jc w:val="left"/>
        <w:rPr>
          <w:rFonts w:ascii="宋体" w:hAnsi="宋体" w:cs="宋体"/>
          <w:color w:val="000000"/>
          <w:sz w:val="24"/>
        </w:rPr>
      </w:pPr>
    </w:p>
    <w:p w14:paraId="09253B57">
      <w:pPr>
        <w:spacing w:line="360" w:lineRule="auto"/>
        <w:ind w:firstLine="480" w:firstLineChars="200"/>
        <w:jc w:val="left"/>
        <w:rPr>
          <w:rFonts w:ascii="宋体" w:hAnsi="宋体" w:cs="宋体"/>
          <w:color w:val="000000"/>
          <w:sz w:val="24"/>
        </w:rPr>
      </w:pPr>
      <w:r>
        <w:rPr>
          <w:rFonts w:hint="eastAsia" w:ascii="宋体" w:hAnsi="宋体" w:cs="宋体"/>
          <w:color w:val="000000"/>
          <w:sz w:val="24"/>
        </w:rPr>
        <w:t xml:space="preserve">竞  选  人：                　　　　 （盖单位公章） </w:t>
      </w:r>
    </w:p>
    <w:p w14:paraId="70B0CF78">
      <w:pPr>
        <w:spacing w:line="360" w:lineRule="auto"/>
        <w:ind w:firstLine="480" w:firstLineChars="200"/>
        <w:jc w:val="left"/>
        <w:rPr>
          <w:rFonts w:ascii="宋体" w:hAnsi="宋体" w:cs="宋体"/>
          <w:color w:val="000000"/>
          <w:sz w:val="24"/>
        </w:rPr>
      </w:pPr>
      <w:r>
        <w:rPr>
          <w:rFonts w:hint="eastAsia" w:ascii="宋体" w:hAnsi="宋体" w:cs="宋体"/>
          <w:color w:val="000000"/>
          <w:sz w:val="24"/>
        </w:rPr>
        <w:t>法定代表人或其委托代理人：           （签名或盖章）</w:t>
      </w:r>
    </w:p>
    <w:p w14:paraId="52900FAB">
      <w:pPr>
        <w:spacing w:line="360" w:lineRule="auto"/>
        <w:ind w:firstLine="480" w:firstLineChars="200"/>
        <w:jc w:val="left"/>
        <w:rPr>
          <w:rFonts w:ascii="宋体" w:hAnsi="宋体" w:cs="宋体"/>
          <w:color w:val="000000"/>
          <w:sz w:val="24"/>
        </w:rPr>
      </w:pPr>
      <w:r>
        <w:rPr>
          <w:rFonts w:hint="eastAsia" w:ascii="宋体" w:hAnsi="宋体" w:cs="宋体"/>
          <w:color w:val="000000"/>
          <w:sz w:val="24"/>
        </w:rPr>
        <w:t xml:space="preserve">地    址：                                                                            </w:t>
      </w:r>
    </w:p>
    <w:p w14:paraId="099D16D7">
      <w:pPr>
        <w:spacing w:line="360" w:lineRule="auto"/>
        <w:ind w:firstLine="480" w:firstLineChars="200"/>
        <w:jc w:val="left"/>
        <w:rPr>
          <w:rFonts w:ascii="宋体" w:hAnsi="宋体" w:cs="宋体"/>
          <w:color w:val="000000"/>
          <w:sz w:val="24"/>
        </w:rPr>
      </w:pPr>
      <w:r>
        <w:rPr>
          <w:rFonts w:hint="eastAsia" w:ascii="宋体" w:hAnsi="宋体" w:cs="宋体"/>
          <w:color w:val="000000"/>
          <w:sz w:val="24"/>
        </w:rPr>
        <w:t xml:space="preserve">网    址：                                                                            </w:t>
      </w:r>
    </w:p>
    <w:p w14:paraId="076083B7">
      <w:pPr>
        <w:spacing w:line="360" w:lineRule="auto"/>
        <w:ind w:firstLine="480" w:firstLineChars="200"/>
        <w:jc w:val="left"/>
        <w:rPr>
          <w:rFonts w:ascii="宋体" w:hAnsi="宋体" w:cs="宋体"/>
          <w:color w:val="000000"/>
          <w:sz w:val="24"/>
        </w:rPr>
      </w:pPr>
      <w:r>
        <w:rPr>
          <w:rFonts w:hint="eastAsia" w:ascii="宋体" w:hAnsi="宋体" w:cs="宋体"/>
          <w:color w:val="000000"/>
          <w:sz w:val="24"/>
        </w:rPr>
        <w:t xml:space="preserve">单位电话（座机）：                  委托代理人电话（手机）：                      </w:t>
      </w:r>
    </w:p>
    <w:p w14:paraId="76A63461">
      <w:pPr>
        <w:spacing w:line="360" w:lineRule="auto"/>
        <w:ind w:firstLine="480" w:firstLineChars="200"/>
        <w:jc w:val="left"/>
        <w:rPr>
          <w:rFonts w:ascii="宋体" w:hAnsi="宋体" w:cs="宋体"/>
          <w:color w:val="000000"/>
          <w:sz w:val="24"/>
        </w:rPr>
      </w:pPr>
      <w:r>
        <w:rPr>
          <w:rFonts w:hint="eastAsia" w:ascii="宋体" w:hAnsi="宋体" w:cs="宋体"/>
          <w:color w:val="000000"/>
          <w:sz w:val="24"/>
        </w:rPr>
        <w:t xml:space="preserve">传    真：                                                                            </w:t>
      </w:r>
    </w:p>
    <w:p w14:paraId="3B9EF74D">
      <w:pPr>
        <w:spacing w:line="360" w:lineRule="auto"/>
        <w:ind w:firstLine="480" w:firstLineChars="200"/>
        <w:jc w:val="left"/>
        <w:rPr>
          <w:rFonts w:ascii="宋体" w:hAnsi="宋体" w:cs="宋体"/>
          <w:color w:val="000000"/>
          <w:sz w:val="24"/>
        </w:rPr>
      </w:pPr>
      <w:r>
        <w:rPr>
          <w:rFonts w:hint="eastAsia" w:ascii="宋体" w:hAnsi="宋体" w:cs="宋体"/>
          <w:color w:val="000000"/>
          <w:sz w:val="24"/>
        </w:rPr>
        <w:t xml:space="preserve">邮政编码：                                                                            </w:t>
      </w:r>
    </w:p>
    <w:p w14:paraId="132CA3CC">
      <w:pPr>
        <w:tabs>
          <w:tab w:val="left" w:pos="6300"/>
        </w:tabs>
        <w:snapToGrid w:val="0"/>
        <w:spacing w:line="595" w:lineRule="exact"/>
        <w:ind w:firstLine="2640" w:firstLineChars="1100"/>
        <w:rPr>
          <w:rFonts w:ascii="Times New Roman" w:hAnsi="Times New Roman" w:eastAsia="方正仿宋_GB2312"/>
          <w:sz w:val="32"/>
          <w:szCs w:val="32"/>
        </w:rPr>
      </w:pPr>
      <w:r>
        <w:rPr>
          <w:rFonts w:hint="eastAsia" w:ascii="宋体" w:hAnsi="宋体" w:cs="宋体"/>
          <w:color w:val="000000"/>
          <w:sz w:val="24"/>
        </w:rPr>
        <w:t xml:space="preserve">     年    月    日</w:t>
      </w:r>
    </w:p>
    <w:bookmarkEnd w:id="40"/>
    <w:p w14:paraId="16C1DFF5">
      <w:pPr>
        <w:tabs>
          <w:tab w:val="left" w:pos="6300"/>
        </w:tabs>
        <w:snapToGrid w:val="0"/>
        <w:spacing w:line="595" w:lineRule="exact"/>
        <w:ind w:firstLine="5440" w:firstLineChars="1700"/>
        <w:rPr>
          <w:rFonts w:ascii="Times New Roman" w:hAnsi="Times New Roman" w:eastAsia="方正仿宋_GB2312"/>
          <w:sz w:val="32"/>
          <w:szCs w:val="32"/>
        </w:rPr>
      </w:pPr>
    </w:p>
    <w:p w14:paraId="7CBE20CA">
      <w:pPr>
        <w:rPr>
          <w:rFonts w:ascii="Times New Roman" w:hAnsi="Times New Roman" w:eastAsia="方正仿宋_GB2312"/>
          <w:sz w:val="32"/>
          <w:szCs w:val="32"/>
        </w:rPr>
      </w:pPr>
      <w:bookmarkStart w:id="41" w:name="_Toc28739"/>
      <w:r>
        <w:rPr>
          <w:rFonts w:ascii="Times New Roman" w:hAnsi="Times New Roman" w:eastAsia="方正仿宋_GB2312"/>
          <w:sz w:val="32"/>
          <w:szCs w:val="32"/>
        </w:rPr>
        <w:br w:type="page"/>
      </w:r>
    </w:p>
    <w:p w14:paraId="5B2895E7">
      <w:pPr>
        <w:tabs>
          <w:tab w:val="left" w:pos="6300"/>
        </w:tabs>
        <w:snapToGrid w:val="0"/>
        <w:spacing w:line="595" w:lineRule="exact"/>
        <w:outlineLvl w:val="0"/>
        <w:rPr>
          <w:rFonts w:ascii="Times New Roman" w:hAnsi="Times New Roman" w:eastAsia="方正仿宋_GB2312"/>
          <w:sz w:val="32"/>
          <w:szCs w:val="32"/>
        </w:rPr>
      </w:pPr>
      <w:r>
        <w:rPr>
          <w:rFonts w:hint="eastAsia" w:ascii="方正黑体_GBK" w:hAnsi="方正黑体_GBK" w:eastAsia="方正黑体_GBK" w:cs="方正黑体_GBK"/>
          <w:sz w:val="32"/>
          <w:szCs w:val="32"/>
        </w:rPr>
        <w:t>附件2</w:t>
      </w:r>
      <w:bookmarkEnd w:id="41"/>
    </w:p>
    <w:p w14:paraId="756F2FE3">
      <w:pPr>
        <w:jc w:val="left"/>
        <w:rPr>
          <w:rFonts w:ascii="宋体" w:hAnsi="宋体"/>
          <w:sz w:val="28"/>
        </w:rPr>
      </w:pPr>
      <w:r>
        <w:rPr>
          <w:rFonts w:hint="eastAsia" w:ascii="宋体" w:hAnsi="宋体"/>
          <w:sz w:val="28"/>
        </w:rPr>
        <w:t>营业执照</w:t>
      </w:r>
    </w:p>
    <w:p w14:paraId="1B2B2978">
      <w:pPr>
        <w:jc w:val="left"/>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br w:type="page"/>
      </w:r>
    </w:p>
    <w:p w14:paraId="6B6E1A36">
      <w:pPr>
        <w:tabs>
          <w:tab w:val="left" w:pos="6300"/>
        </w:tabs>
        <w:snapToGrid w:val="0"/>
        <w:spacing w:line="595" w:lineRule="exact"/>
        <w:jc w:val="left"/>
        <w:outlineLvl w:val="0"/>
        <w:rPr>
          <w:rFonts w:ascii="宋体" w:hAnsi="宋体"/>
          <w:sz w:val="28"/>
        </w:rPr>
      </w:pPr>
      <w:r>
        <w:rPr>
          <w:rFonts w:hint="eastAsia" w:ascii="方正黑体_GBK" w:hAnsi="方正黑体_GBK" w:eastAsia="方正黑体_GBK" w:cs="方正黑体_GBK"/>
          <w:sz w:val="32"/>
          <w:szCs w:val="32"/>
        </w:rPr>
        <w:t>附件3</w:t>
      </w:r>
    </w:p>
    <w:p w14:paraId="38AD1E04">
      <w:pPr>
        <w:spacing w:line="480" w:lineRule="auto"/>
        <w:jc w:val="center"/>
        <w:rPr>
          <w:rFonts w:ascii="宋体" w:hAnsi="宋体"/>
          <w:sz w:val="28"/>
        </w:rPr>
      </w:pPr>
      <w:r>
        <w:rPr>
          <w:rFonts w:hint="eastAsia" w:ascii="宋体" w:hAnsi="宋体"/>
          <w:sz w:val="28"/>
        </w:rPr>
        <w:t>法定代表人身份证明</w:t>
      </w:r>
    </w:p>
    <w:p w14:paraId="412859B8">
      <w:pPr>
        <w:spacing w:line="480" w:lineRule="auto"/>
        <w:jc w:val="center"/>
        <w:rPr>
          <w:rFonts w:ascii="宋体" w:hAnsi="宋体"/>
        </w:rPr>
      </w:pPr>
    </w:p>
    <w:p w14:paraId="21D1A42A">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hint="eastAsia" w:ascii="宋体" w:hAnsi="宋体"/>
          <w:kern w:val="0"/>
          <w:szCs w:val="21"/>
        </w:rPr>
        <w:t>竞选人</w:t>
      </w:r>
      <w:r>
        <w:rPr>
          <w:rFonts w:ascii="宋体" w:hAnsi="宋体"/>
          <w:kern w:val="0"/>
          <w:szCs w:val="21"/>
        </w:rPr>
        <w:t>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59CC792E">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5EF70C5B">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835E8E9">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46BB07D1">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586CB8CE">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u w:val="single"/>
        </w:rPr>
        <w:t>竞选人</w:t>
      </w:r>
      <w:r>
        <w:rPr>
          <w:rFonts w:ascii="宋体" w:hAnsi="宋体"/>
          <w:kern w:val="0"/>
          <w:szCs w:val="21"/>
          <w:u w:val="single"/>
        </w:rPr>
        <w:t>名称）</w:t>
      </w:r>
      <w:r>
        <w:rPr>
          <w:rFonts w:ascii="宋体" w:hAnsi="宋体"/>
          <w:kern w:val="0"/>
          <w:szCs w:val="21"/>
        </w:rPr>
        <w:t>的法定代表人。</w:t>
      </w:r>
    </w:p>
    <w:p w14:paraId="3DA16B04">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33BC1F0C">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14:paraId="2C4490E0">
      <w:pPr>
        <w:autoSpaceDE w:val="0"/>
        <w:autoSpaceDN w:val="0"/>
        <w:adjustRightInd w:val="0"/>
        <w:snapToGrid w:val="0"/>
        <w:spacing w:line="360" w:lineRule="auto"/>
        <w:jc w:val="left"/>
        <w:rPr>
          <w:rFonts w:ascii="宋体" w:hAnsi="宋体"/>
          <w:szCs w:val="21"/>
        </w:rPr>
      </w:pPr>
    </w:p>
    <w:p w14:paraId="0038D5E9">
      <w:pPr>
        <w:pStyle w:val="2"/>
        <w:spacing w:after="0" w:line="360" w:lineRule="auto"/>
        <w:rPr>
          <w:rFonts w:ascii="宋体" w:hAnsi="宋体"/>
          <w:szCs w:val="21"/>
        </w:rPr>
      </w:pPr>
    </w:p>
    <w:p w14:paraId="4CB3AFD4">
      <w:pPr>
        <w:pStyle w:val="2"/>
        <w:spacing w:after="0" w:line="360" w:lineRule="auto"/>
        <w:rPr>
          <w:rFonts w:ascii="宋体" w:hAnsi="宋体"/>
          <w:szCs w:val="21"/>
        </w:rPr>
      </w:pPr>
    </w:p>
    <w:p w14:paraId="3C876AC4">
      <w:pPr>
        <w:pStyle w:val="2"/>
        <w:spacing w:after="0" w:line="360" w:lineRule="auto"/>
        <w:rPr>
          <w:rFonts w:ascii="宋体" w:hAnsi="宋体"/>
          <w:szCs w:val="21"/>
        </w:rPr>
      </w:pPr>
    </w:p>
    <w:p w14:paraId="44BEF3E6">
      <w:pPr>
        <w:pStyle w:val="2"/>
        <w:spacing w:after="0" w:line="360" w:lineRule="auto"/>
        <w:rPr>
          <w:rFonts w:ascii="宋体" w:hAnsi="宋体"/>
          <w:szCs w:val="21"/>
        </w:rPr>
      </w:pPr>
    </w:p>
    <w:p w14:paraId="3473FAAD">
      <w:pPr>
        <w:pStyle w:val="2"/>
        <w:spacing w:after="0" w:line="360" w:lineRule="auto"/>
        <w:rPr>
          <w:rFonts w:ascii="宋体" w:hAnsi="宋体"/>
          <w:szCs w:val="21"/>
        </w:rPr>
      </w:pPr>
    </w:p>
    <w:p w14:paraId="53609BF4">
      <w:pPr>
        <w:autoSpaceDE w:val="0"/>
        <w:autoSpaceDN w:val="0"/>
        <w:adjustRightInd w:val="0"/>
        <w:snapToGrid w:val="0"/>
        <w:spacing w:line="480" w:lineRule="auto"/>
        <w:ind w:firstLine="420" w:firstLineChars="200"/>
        <w:jc w:val="right"/>
        <w:rPr>
          <w:rFonts w:ascii="宋体" w:hAnsi="宋体"/>
          <w:kern w:val="0"/>
          <w:szCs w:val="21"/>
        </w:rPr>
      </w:pPr>
      <w:r>
        <w:rPr>
          <w:rFonts w:hint="eastAsia" w:ascii="宋体" w:hAnsi="宋体"/>
          <w:kern w:val="0"/>
          <w:szCs w:val="21"/>
        </w:rPr>
        <w:t>竞选人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w:t>
      </w:r>
      <w:r>
        <w:rPr>
          <w:rFonts w:hint="eastAsia" w:ascii="宋体" w:hAnsi="宋体"/>
          <w:kern w:val="0"/>
          <w:szCs w:val="21"/>
        </w:rPr>
        <w:t>单位公章</w:t>
      </w:r>
      <w:r>
        <w:rPr>
          <w:rFonts w:ascii="宋体" w:hAnsi="宋体"/>
          <w:kern w:val="0"/>
          <w:szCs w:val="21"/>
        </w:rPr>
        <w:t>）</w:t>
      </w:r>
    </w:p>
    <w:p w14:paraId="650CD717">
      <w:pPr>
        <w:autoSpaceDE w:val="0"/>
        <w:autoSpaceDN w:val="0"/>
        <w:adjustRightInd w:val="0"/>
        <w:snapToGrid w:val="0"/>
        <w:spacing w:line="480" w:lineRule="auto"/>
        <w:jc w:val="left"/>
        <w:rPr>
          <w:rFonts w:ascii="宋体" w:hAnsi="宋体"/>
          <w:kern w:val="0"/>
          <w:sz w:val="20"/>
          <w:szCs w:val="20"/>
        </w:rPr>
      </w:pPr>
    </w:p>
    <w:p w14:paraId="525EABCC">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DDAC64D">
      <w:pPr>
        <w:autoSpaceDE w:val="0"/>
        <w:autoSpaceDN w:val="0"/>
        <w:adjustRightInd w:val="0"/>
        <w:snapToGrid w:val="0"/>
        <w:spacing w:line="360" w:lineRule="auto"/>
        <w:jc w:val="left"/>
        <w:rPr>
          <w:rFonts w:ascii="宋体" w:hAnsi="宋体"/>
          <w:kern w:val="0"/>
        </w:rPr>
      </w:pPr>
    </w:p>
    <w:p w14:paraId="42B4E9E6">
      <w:pPr>
        <w:autoSpaceDE w:val="0"/>
        <w:autoSpaceDN w:val="0"/>
        <w:adjustRightInd w:val="0"/>
        <w:snapToGrid w:val="0"/>
        <w:spacing w:line="360" w:lineRule="auto"/>
        <w:jc w:val="left"/>
        <w:rPr>
          <w:rFonts w:ascii="宋体" w:hAnsi="宋体"/>
          <w:kern w:val="0"/>
        </w:rPr>
      </w:pPr>
    </w:p>
    <w:p w14:paraId="40CFF33A">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640875E4">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p>
    <w:p w14:paraId="03609A9C">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b/>
          <w:kern w:val="0"/>
          <w:sz w:val="28"/>
          <w:szCs w:val="28"/>
        </w:rPr>
        <w:br w:type="page"/>
      </w:r>
      <w:r>
        <w:rPr>
          <w:rFonts w:ascii="宋体" w:hAnsi="宋体"/>
          <w:snapToGrid w:val="0"/>
          <w:kern w:val="0"/>
          <w:sz w:val="32"/>
          <w:szCs w:val="32"/>
        </w:rPr>
        <w:t>授权委托书</w:t>
      </w:r>
    </w:p>
    <w:p w14:paraId="7464FFDC">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hint="eastAsia" w:ascii="宋体" w:hAnsi="宋体"/>
          <w:spacing w:val="-1"/>
          <w:kern w:val="0"/>
          <w:szCs w:val="21"/>
          <w:u w:val="single"/>
        </w:rPr>
        <w:t>竞选人</w:t>
      </w:r>
      <w:r>
        <w:rPr>
          <w:rFonts w:ascii="宋体" w:hAnsi="宋体"/>
          <w:kern w:val="0"/>
          <w:szCs w:val="21"/>
          <w:u w:val="single"/>
        </w:rPr>
        <w:t>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hint="eastAsia" w:ascii="宋体" w:hAnsi="宋体"/>
          <w:kern w:val="0"/>
          <w:szCs w:val="21"/>
        </w:rPr>
        <w:t>竞选</w:t>
      </w:r>
      <w:r>
        <w:rPr>
          <w:rFonts w:ascii="宋体" w:hAnsi="宋体"/>
          <w:kern w:val="0"/>
          <w:szCs w:val="21"/>
        </w:rPr>
        <w:t>文件、签订合同和处理有关事宜， 其法律后果由我方承担。</w:t>
      </w:r>
    </w:p>
    <w:p w14:paraId="25E0A6E7">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7D15755B">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28C66F36">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5CAEFAD5">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w:t>
      </w:r>
      <w:r>
        <w:rPr>
          <w:rFonts w:hint="eastAsia" w:ascii="宋体" w:hAnsi="宋体"/>
          <w:spacing w:val="-1"/>
          <w:kern w:val="0"/>
          <w:szCs w:val="21"/>
        </w:rPr>
        <w:t>单位公章</w:t>
      </w:r>
      <w:r>
        <w:rPr>
          <w:rFonts w:ascii="宋体" w:hAnsi="宋体"/>
          <w:kern w:val="0"/>
          <w:szCs w:val="21"/>
        </w:rPr>
        <w:t>）</w:t>
      </w:r>
    </w:p>
    <w:p w14:paraId="7AE0A2EB">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57FA6773">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09077F4C">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14:paraId="7A8169E7">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5C2B599E">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205F88D1">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03505512">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4364FC50">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53DBA562">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7F41E15E">
      <w:pPr>
        <w:tabs>
          <w:tab w:val="left" w:pos="6825"/>
        </w:tabs>
        <w:autoSpaceDE w:val="0"/>
        <w:autoSpaceDN w:val="0"/>
        <w:adjustRightInd w:val="0"/>
        <w:snapToGrid w:val="0"/>
        <w:spacing w:line="480" w:lineRule="auto"/>
        <w:ind w:firstLine="420" w:firstLineChars="200"/>
        <w:jc w:val="left"/>
        <w:rPr>
          <w:rFonts w:ascii="宋体" w:hAnsi="宋体"/>
          <w:kern w:val="0"/>
          <w:szCs w:val="21"/>
        </w:rPr>
      </w:pPr>
    </w:p>
    <w:p w14:paraId="55B3BCF6">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35A6A929">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34BE54A5">
      <w:pPr>
        <w:tabs>
          <w:tab w:val="left" w:pos="5760"/>
        </w:tabs>
        <w:autoSpaceDE w:val="0"/>
        <w:autoSpaceDN w:val="0"/>
        <w:adjustRightInd w:val="0"/>
        <w:spacing w:line="360" w:lineRule="auto"/>
        <w:ind w:firstLine="420" w:firstLineChars="200"/>
        <w:rPr>
          <w:rFonts w:ascii="宋体" w:hAnsi="宋体"/>
          <w:kern w:val="0"/>
        </w:rPr>
      </w:pPr>
    </w:p>
    <w:p w14:paraId="0699761E">
      <w:pPr>
        <w:tabs>
          <w:tab w:val="left" w:pos="1680"/>
          <w:tab w:val="left" w:pos="4215"/>
          <w:tab w:val="left" w:pos="4305"/>
          <w:tab w:val="left" w:pos="8000"/>
        </w:tabs>
        <w:autoSpaceDE w:val="0"/>
        <w:autoSpaceDN w:val="0"/>
        <w:adjustRightInd w:val="0"/>
        <w:snapToGrid w:val="0"/>
        <w:spacing w:line="360" w:lineRule="auto"/>
        <w:ind w:firstLine="420" w:firstLineChars="200"/>
        <w:jc w:val="left"/>
        <w:rPr>
          <w:rFonts w:ascii="宋体" w:hAnsi="宋体"/>
          <w:kern w:val="0"/>
          <w:szCs w:val="21"/>
        </w:rPr>
      </w:pPr>
      <w:r>
        <w:rPr>
          <w:rFonts w:ascii="宋体" w:hAnsi="宋体"/>
          <w:kern w:val="0"/>
          <w:szCs w:val="21"/>
        </w:rPr>
        <w:t>注：1、法定代表人参加</w:t>
      </w:r>
      <w:r>
        <w:rPr>
          <w:rFonts w:hint="eastAsia" w:ascii="宋体" w:hAnsi="宋体"/>
          <w:kern w:val="0"/>
          <w:szCs w:val="21"/>
        </w:rPr>
        <w:t>本次比选</w:t>
      </w:r>
      <w:r>
        <w:rPr>
          <w:rFonts w:ascii="宋体" w:hAnsi="宋体"/>
          <w:kern w:val="0"/>
          <w:szCs w:val="21"/>
        </w:rPr>
        <w:t>活动并签署文件的不需要授权委托书，只需提供法定代表人身份证明；非法定代表人参加</w:t>
      </w:r>
      <w:r>
        <w:rPr>
          <w:rFonts w:hint="eastAsia" w:ascii="宋体" w:hAnsi="宋体"/>
          <w:kern w:val="0"/>
          <w:szCs w:val="21"/>
        </w:rPr>
        <w:t>本次比选</w:t>
      </w:r>
      <w:r>
        <w:rPr>
          <w:rFonts w:ascii="宋体" w:hAnsi="宋体"/>
          <w:kern w:val="0"/>
          <w:szCs w:val="21"/>
        </w:rPr>
        <w:t>活动及签署文件的除提供法定代表人身份证明外还须提供授权委托书。</w:t>
      </w:r>
    </w:p>
    <w:p w14:paraId="684CEDFD">
      <w:pPr>
        <w:tabs>
          <w:tab w:val="left" w:pos="1680"/>
          <w:tab w:val="left" w:pos="4215"/>
          <w:tab w:val="left" w:pos="4305"/>
          <w:tab w:val="left" w:pos="8000"/>
        </w:tabs>
        <w:autoSpaceDE w:val="0"/>
        <w:autoSpaceDN w:val="0"/>
        <w:adjustRightInd w:val="0"/>
        <w:snapToGrid w:val="0"/>
        <w:spacing w:line="360" w:lineRule="auto"/>
        <w:ind w:firstLine="420" w:firstLineChars="200"/>
        <w:rPr>
          <w:rFonts w:ascii="Times New Roman" w:hAnsi="Times New Roman" w:eastAsia="方正仿宋_GB2312"/>
          <w:sz w:val="32"/>
          <w:szCs w:val="32"/>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6D4C6A7E">
      <w:pPr>
        <w:tabs>
          <w:tab w:val="left" w:pos="6300"/>
        </w:tabs>
        <w:snapToGrid w:val="0"/>
        <w:spacing w:line="595" w:lineRule="exact"/>
        <w:outlineLvl w:val="0"/>
        <w:rPr>
          <w:rFonts w:ascii="方正黑体_GBK" w:hAnsi="方正黑体_GBK" w:eastAsia="方正黑体_GBK" w:cs="方正黑体_GBK"/>
          <w:sz w:val="32"/>
          <w:szCs w:val="32"/>
        </w:rPr>
      </w:pPr>
    </w:p>
    <w:p w14:paraId="50340753">
      <w:pPr>
        <w:tabs>
          <w:tab w:val="left" w:pos="6300"/>
        </w:tabs>
        <w:snapToGrid w:val="0"/>
        <w:spacing w:line="595" w:lineRule="exact"/>
        <w:outlineLvl w:val="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w:t>
      </w:r>
      <w:r>
        <w:rPr>
          <w:rFonts w:ascii="方正黑体_GBK" w:hAnsi="方正黑体_GBK" w:eastAsia="方正黑体_GBK" w:cs="方正黑体_GBK"/>
          <w:sz w:val="32"/>
          <w:szCs w:val="32"/>
        </w:rPr>
        <w:t>4</w:t>
      </w:r>
    </w:p>
    <w:p w14:paraId="6CF08269">
      <w:pPr>
        <w:pStyle w:val="2"/>
        <w:rPr>
          <w:rFonts w:eastAsia="方正仿宋_GB2312"/>
          <w:sz w:val="32"/>
          <w:szCs w:val="32"/>
        </w:rPr>
      </w:pPr>
    </w:p>
    <w:p w14:paraId="3AF49BE6">
      <w:pPr>
        <w:tabs>
          <w:tab w:val="left" w:pos="1680"/>
          <w:tab w:val="left" w:pos="4215"/>
          <w:tab w:val="left" w:pos="4305"/>
          <w:tab w:val="left" w:pos="8000"/>
        </w:tabs>
        <w:autoSpaceDE w:val="0"/>
        <w:autoSpaceDN w:val="0"/>
        <w:adjustRightInd w:val="0"/>
        <w:snapToGrid w:val="0"/>
        <w:spacing w:line="360" w:lineRule="auto"/>
        <w:ind w:firstLine="420" w:firstLineChars="200"/>
        <w:jc w:val="left"/>
        <w:rPr>
          <w:rFonts w:ascii="宋体" w:hAnsi="宋体"/>
          <w:kern w:val="0"/>
          <w:szCs w:val="21"/>
        </w:rPr>
      </w:pPr>
      <w:r>
        <w:rPr>
          <w:rFonts w:ascii="宋体" w:hAnsi="宋体"/>
          <w:kern w:val="0"/>
          <w:szCs w:val="21"/>
        </w:rPr>
        <w:t xml:space="preserve">     </w:t>
      </w:r>
      <w:r>
        <w:rPr>
          <w:rFonts w:hint="eastAsia" w:ascii="宋体" w:hAnsi="宋体"/>
          <w:kern w:val="0"/>
          <w:szCs w:val="21"/>
        </w:rPr>
        <w:t>竞选保证金（以电汇形式交纳）</w:t>
      </w:r>
    </w:p>
    <w:p w14:paraId="4EFC2797">
      <w:pPr>
        <w:tabs>
          <w:tab w:val="left" w:pos="1680"/>
          <w:tab w:val="left" w:pos="4215"/>
          <w:tab w:val="left" w:pos="4305"/>
          <w:tab w:val="left" w:pos="8000"/>
        </w:tabs>
        <w:autoSpaceDE w:val="0"/>
        <w:autoSpaceDN w:val="0"/>
        <w:adjustRightInd w:val="0"/>
        <w:snapToGrid w:val="0"/>
        <w:spacing w:line="360" w:lineRule="auto"/>
        <w:ind w:firstLine="420" w:firstLineChars="200"/>
        <w:jc w:val="left"/>
        <w:rPr>
          <w:rFonts w:ascii="宋体" w:hAnsi="宋体"/>
          <w:kern w:val="0"/>
          <w:szCs w:val="21"/>
        </w:rPr>
      </w:pPr>
      <w:r>
        <w:rPr>
          <w:rFonts w:hint="eastAsia" w:ascii="宋体" w:hAnsi="宋体"/>
          <w:kern w:val="0"/>
          <w:szCs w:val="21"/>
        </w:rPr>
        <w:t>（</w:t>
      </w:r>
      <w:r>
        <w:rPr>
          <w:rFonts w:ascii="宋体" w:hAnsi="宋体"/>
          <w:kern w:val="0"/>
          <w:szCs w:val="21"/>
        </w:rPr>
        <w:t>1）企业基本账户开户证明文件。</w:t>
      </w:r>
    </w:p>
    <w:p w14:paraId="3E5A7380">
      <w:pPr>
        <w:pStyle w:val="2"/>
        <w:ind w:firstLine="420" w:firstLineChars="200"/>
      </w:pPr>
      <w:r>
        <w:rPr>
          <w:rFonts w:hint="eastAsia"/>
        </w:rPr>
        <w:t>（2）保证金回执单据</w:t>
      </w:r>
    </w:p>
    <w:p w14:paraId="50F2A050">
      <w:r>
        <w:rPr>
          <w:rFonts w:hint="eastAsia"/>
        </w:rPr>
        <w:br w:type="page"/>
      </w:r>
    </w:p>
    <w:p w14:paraId="1B18E0EF">
      <w:pPr>
        <w:tabs>
          <w:tab w:val="left" w:pos="6300"/>
        </w:tabs>
        <w:snapToGrid w:val="0"/>
        <w:spacing w:line="595" w:lineRule="exact"/>
        <w:outlineLvl w:val="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w:t>
      </w:r>
      <w:r>
        <w:rPr>
          <w:rFonts w:ascii="方正黑体_GBK" w:hAnsi="方正黑体_GBK" w:eastAsia="方正黑体_GBK" w:cs="方正黑体_GBK"/>
          <w:sz w:val="32"/>
          <w:szCs w:val="32"/>
        </w:rPr>
        <w:t>5</w:t>
      </w:r>
    </w:p>
    <w:p w14:paraId="67B052E0">
      <w:pPr>
        <w:pStyle w:val="2"/>
      </w:pPr>
      <w:r>
        <w:rPr>
          <w:rFonts w:hint="eastAsia"/>
        </w:rPr>
        <w:t>资格业绩证明资料</w:t>
      </w:r>
    </w:p>
    <w:p w14:paraId="4E0B5800">
      <w:r>
        <w:rPr>
          <w:rFonts w:hint="eastAsia"/>
        </w:rPr>
        <w:br w:type="page"/>
      </w:r>
    </w:p>
    <w:p w14:paraId="58F01446">
      <w:pPr>
        <w:tabs>
          <w:tab w:val="left" w:pos="6300"/>
        </w:tabs>
        <w:snapToGrid w:val="0"/>
        <w:spacing w:line="595" w:lineRule="exact"/>
        <w:outlineLvl w:val="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w:t>
      </w:r>
      <w:r>
        <w:rPr>
          <w:rFonts w:ascii="方正黑体_GBK" w:hAnsi="方正黑体_GBK" w:eastAsia="方正黑体_GBK" w:cs="方正黑体_GBK"/>
          <w:sz w:val="32"/>
          <w:szCs w:val="32"/>
        </w:rPr>
        <w:t>6</w:t>
      </w:r>
    </w:p>
    <w:p w14:paraId="2B61646C">
      <w:pPr>
        <w:pStyle w:val="2"/>
      </w:pPr>
    </w:p>
    <w:p w14:paraId="63C48F47">
      <w:pPr>
        <w:pStyle w:val="2"/>
      </w:pPr>
      <w:r>
        <w:rPr>
          <w:rFonts w:hint="eastAsia"/>
        </w:rPr>
        <w:t>信用中国查询记录</w:t>
      </w:r>
    </w:p>
    <w:p w14:paraId="28DF2A02"/>
    <w:sectPr>
      <w:pgSz w:w="11906" w:h="16838"/>
      <w:pgMar w:top="1984" w:right="1446" w:bottom="1644" w:left="1446"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F81C2C4-91D9-4E5B-AFD7-C6023205AFF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42908885-340F-453F-AC19-CC9F4044B6C5}"/>
  </w:font>
  <w:font w:name="方正小标宋_GBK">
    <w:panose1 w:val="02000000000000000000"/>
    <w:charset w:val="86"/>
    <w:family w:val="script"/>
    <w:pitch w:val="default"/>
    <w:sig w:usb0="A00002BF" w:usb1="38CF7CFA" w:usb2="00082016" w:usb3="00000000" w:csb0="00040001" w:csb1="00000000"/>
    <w:embedRegular r:id="rId3" w:fontKey="{CB61FA88-B375-4D93-AF17-4A7C5BD11F66}"/>
  </w:font>
  <w:font w:name="方正仿宋_GB2312">
    <w:panose1 w:val="02000000000000000000"/>
    <w:charset w:val="86"/>
    <w:family w:val="auto"/>
    <w:pitch w:val="default"/>
    <w:sig w:usb0="A00002BF" w:usb1="184F6CFA" w:usb2="00000012" w:usb3="00000000" w:csb0="00040001" w:csb1="00000000"/>
    <w:embedRegular r:id="rId4" w:fontKey="{BD38671F-E1FA-406E-B035-68298680E324}"/>
  </w:font>
  <w:font w:name="方正黑体_GBK">
    <w:altName w:val="微软雅黑"/>
    <w:panose1 w:val="00000000000000000000"/>
    <w:charset w:val="86"/>
    <w:family w:val="auto"/>
    <w:pitch w:val="default"/>
    <w:sig w:usb0="00000000" w:usb1="00000000" w:usb2="00000000" w:usb3="00000000" w:csb0="00040000" w:csb1="00000000"/>
    <w:embedRegular r:id="rId5" w:fontKey="{300E817E-872B-4F1D-A8D7-BF1A5C73974B}"/>
  </w:font>
  <w:font w:name="微软雅黑">
    <w:panose1 w:val="020B0503020204020204"/>
    <w:charset w:val="86"/>
    <w:family w:val="auto"/>
    <w:pitch w:val="default"/>
    <w:sig w:usb0="80000287" w:usb1="2ACF3C50" w:usb2="00000016" w:usb3="00000000" w:csb0="0004001F" w:csb1="00000000"/>
  </w:font>
  <w:font w:name="KSOFEC83043A">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83AC4">
    <w:pPr>
      <w:pStyle w:val="5"/>
      <w:jc w:val="right"/>
      <w:rPr>
        <w:rFonts w:ascii="宋体"/>
        <w:sz w:val="28"/>
        <w:szCs w:val="28"/>
      </w:rPr>
    </w:pP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sz w:val="28"/>
        <w:szCs w:val="28"/>
        <w:lang w:val="zh-CN"/>
      </w:rPr>
      <w:t>-</w:t>
    </w:r>
    <w:r>
      <w:rPr>
        <w:rFonts w:ascii="宋体" w:hAnsi="宋体"/>
        <w:sz w:val="28"/>
        <w:szCs w:val="28"/>
      </w:rPr>
      <w:t xml:space="preserve"> 1 -</w:t>
    </w:r>
    <w:r>
      <w:rPr>
        <w:rFonts w:ascii="宋体" w:hAnsi="宋体"/>
        <w:sz w:val="28"/>
        <w:szCs w:val="2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73AF7D">
    <w:pPr>
      <w:pStyle w:val="5"/>
    </w:pP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sz w:val="28"/>
        <w:szCs w:val="28"/>
        <w:lang w:val="zh-CN"/>
      </w:rPr>
      <w:t>-</w:t>
    </w:r>
    <w:r>
      <w:rPr>
        <w:rFonts w:ascii="宋体" w:hAnsi="宋体"/>
        <w:sz w:val="28"/>
        <w:szCs w:val="28"/>
      </w:rPr>
      <w:t xml:space="preserve"> 8 -</w:t>
    </w:r>
    <w:r>
      <w:rPr>
        <w:rFonts w:ascii="宋体" w:hAnsi="宋体"/>
        <w:sz w:val="28"/>
        <w:szCs w:val="28"/>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310E81"/>
    <w:multiLevelType w:val="singleLevel"/>
    <w:tmpl w:val="83310E81"/>
    <w:lvl w:ilvl="0" w:tentative="0">
      <w:start w:val="1"/>
      <w:numFmt w:val="chineseCounting"/>
      <w:suff w:val="nothing"/>
      <w:lvlText w:val="（%1）"/>
      <w:lvlJc w:val="left"/>
      <w:rPr>
        <w:rFonts w:hint="eastAsia"/>
      </w:rPr>
    </w:lvl>
  </w:abstractNum>
  <w:abstractNum w:abstractNumId="1">
    <w:nsid w:val="2683B985"/>
    <w:multiLevelType w:val="singleLevel"/>
    <w:tmpl w:val="2683B985"/>
    <w:lvl w:ilvl="0" w:tentative="0">
      <w:start w:val="1"/>
      <w:numFmt w:val="chineseCounting"/>
      <w:suff w:val="space"/>
      <w:lvlText w:val="第%1章"/>
      <w:lvlJc w:val="left"/>
      <w:rPr>
        <w:rFonts w:hint="eastAsia"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A9849B5"/>
    <w:rsid w:val="5B827668"/>
    <w:rsid w:val="71F838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2"/>
    <w:basedOn w:val="1"/>
    <w:next w:val="1"/>
    <w:qFormat/>
    <w:uiPriority w:val="99"/>
    <w:pPr>
      <w:keepNext/>
      <w:keepLines/>
      <w:spacing w:before="260" w:after="260" w:line="413" w:lineRule="auto"/>
      <w:outlineLvl w:val="1"/>
    </w:pPr>
    <w:rPr>
      <w:rFonts w:ascii="Arial" w:hAnsi="Arial" w:eastAsia="黑体"/>
      <w:b/>
      <w:sz w:val="32"/>
    </w:rPr>
  </w:style>
  <w:style w:type="paragraph" w:styleId="4">
    <w:name w:val="heading 3"/>
    <w:basedOn w:val="1"/>
    <w:next w:val="2"/>
    <w:qFormat/>
    <w:uiPriority w:val="0"/>
    <w:pPr>
      <w:keepNext/>
      <w:keepLines/>
      <w:outlineLvl w:val="2"/>
    </w:pPr>
    <w:rPr>
      <w:rFonts w:eastAsia="方正小标宋_GBK"/>
      <w:bCs/>
      <w:szCs w:val="32"/>
    </w:rPr>
  </w:style>
  <w:style w:type="character" w:default="1" w:styleId="10">
    <w:name w:val="Default Paragraph Font"/>
    <w:semiHidden/>
    <w:uiPriority w:val="0"/>
  </w:style>
  <w:style w:type="table" w:default="1" w:styleId="9">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0"/>
    <w:pPr>
      <w:spacing w:after="120"/>
    </w:pPr>
    <w:rPr>
      <w:rFonts w:ascii="Times New Roman" w:hAnsi="Times New Roman"/>
    </w:rPr>
  </w:style>
  <w:style w:type="paragraph" w:styleId="5">
    <w:name w:val="footer"/>
    <w:basedOn w:val="1"/>
    <w:qFormat/>
    <w:uiPriority w:val="99"/>
    <w:pPr>
      <w:tabs>
        <w:tab w:val="center" w:pos="4153"/>
        <w:tab w:val="right" w:pos="8306"/>
      </w:tabs>
      <w:snapToGrid w:val="0"/>
      <w:jc w:val="left"/>
    </w:pPr>
    <w:rPr>
      <w:sz w:val="18"/>
      <w:szCs w:val="18"/>
    </w:rPr>
  </w:style>
  <w:style w:type="paragraph" w:styleId="6">
    <w:name w:val="Normal (Web)"/>
    <w:basedOn w:val="1"/>
    <w:qFormat/>
    <w:uiPriority w:val="0"/>
    <w:pPr>
      <w:spacing w:beforeAutospacing="1" w:afterAutospacing="1"/>
      <w:jc w:val="left"/>
    </w:pPr>
    <w:rPr>
      <w:kern w:val="0"/>
      <w:sz w:val="24"/>
    </w:rPr>
  </w:style>
  <w:style w:type="paragraph" w:styleId="7">
    <w:name w:val="Body Text First Indent 2"/>
    <w:basedOn w:val="1"/>
    <w:next w:val="8"/>
    <w:qFormat/>
    <w:uiPriority w:val="0"/>
    <w:pPr>
      <w:spacing w:after="120"/>
      <w:ind w:left="420" w:leftChars="200" w:firstLine="420" w:firstLineChars="200"/>
    </w:pPr>
    <w:rPr>
      <w:rFonts w:ascii="Times New Roman" w:hAnsi="Times New Roman" w:eastAsia="方正仿宋_GB2312"/>
      <w:sz w:val="32"/>
    </w:rPr>
  </w:style>
  <w:style w:type="paragraph" w:customStyle="1" w:styleId="8">
    <w:name w:val="样式 正文首行缩进 2 + 首行缩进:  2 字符"/>
    <w:basedOn w:val="1"/>
    <w:next w:val="1"/>
    <w:qFormat/>
    <w:uiPriority w:val="0"/>
    <w:pPr>
      <w:ind w:firstLine="480" w:firstLineChars="200"/>
    </w:pPr>
    <w:rPr>
      <w:rFonts w:cs="宋体"/>
      <w:sz w:val="24"/>
      <w:szCs w:val="20"/>
    </w:rPr>
  </w:style>
  <w:style w:type="character" w:styleId="11">
    <w:name w:val="Strong"/>
    <w:basedOn w:val="10"/>
    <w:qFormat/>
    <w:uiPriority w:val="0"/>
    <w:rPr>
      <w:b/>
      <w:bCs/>
    </w:rPr>
  </w:style>
  <w:style w:type="paragraph" w:customStyle="1" w:styleId="12">
    <w:name w:val="列出段落1"/>
    <w:basedOn w:val="1"/>
    <w:qFormat/>
    <w:uiPriority w:val="0"/>
    <w:pPr>
      <w:ind w:firstLine="420" w:firstLineChars="200"/>
    </w:pPr>
    <w:rPr>
      <w:szCs w:val="22"/>
    </w:rPr>
  </w:style>
  <w:style w:type="paragraph" w:customStyle="1" w:styleId="13">
    <w:name w:val="正文 A"/>
    <w:qFormat/>
    <w:uiPriority w:val="0"/>
    <w:rPr>
      <w:rFonts w:ascii="宋体" w:hAnsi="宋体" w:eastAsia="宋体" w:cs="宋体"/>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17</Pages>
  <Words>4953</Words>
  <Characters>5295</Characters>
  <Lines>0</Lines>
  <Paragraphs>0</Paragraphs>
  <TotalTime>0</TotalTime>
  <ScaleCrop>false</ScaleCrop>
  <LinksUpToDate>false</LinksUpToDate>
  <CharactersWithSpaces>6305</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2026-06-08T08:41:00Z</dcterms:created>
  <dc:creator>huawei</dc:creator>
  <cp:lastModifiedBy>车侑蓝</cp:lastModifiedBy>
  <dcterms:modified xsi:type="dcterms:W3CDTF">2026-06-09T03:56:23Z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eyJoZGlkIjoiODViY2JkMjU3NGYzZTEwMzZmMGFkZWViYmNkYWU3NDIiLCJ1c2VySWQiOiI1MDg2MjI3ODgifQ==</vt:lpwstr>
  </property>
  <property fmtid="{D5CDD505-2E9C-101B-9397-08002B2CF9AE}" pid="4" name="ICV">
    <vt:lpwstr>D4C82B4809814EA486068D4257652B1E_12</vt:lpwstr>
  </property>
</Properties>
</file>