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81E324">
      <w:pPr>
        <w:pStyle w:val="149"/>
        <w:bidi w:val="0"/>
      </w:pPr>
      <w:bookmarkStart w:id="0" w:name="_Toc287620665"/>
    </w:p>
    <w:p w14:paraId="246FA5AD">
      <w:pPr>
        <w:pageBreakBefore w:val="0"/>
        <w:kinsoku/>
        <w:overflowPunct/>
        <w:topLinePunct w:val="0"/>
        <w:autoSpaceDE w:val="0"/>
        <w:autoSpaceDN w:val="0"/>
        <w:bidi w:val="0"/>
        <w:adjustRightInd w:val="0"/>
        <w:snapToGrid w:val="0"/>
        <w:spacing w:line="360" w:lineRule="auto"/>
        <w:jc w:val="center"/>
        <w:rPr>
          <w:rFonts w:ascii="宋体" w:hAnsi="宋体"/>
          <w:kern w:val="0"/>
          <w:sz w:val="32"/>
          <w:szCs w:val="32"/>
        </w:rPr>
      </w:pPr>
      <w:r>
        <w:rPr>
          <w:rFonts w:hint="eastAsia" w:ascii="宋体" w:hAnsi="宋体"/>
          <w:b/>
          <w:bCs/>
          <w:snapToGrid w:val="0"/>
          <w:color w:val="auto"/>
          <w:kern w:val="0"/>
          <w:sz w:val="32"/>
          <w:szCs w:val="32"/>
          <w:highlight w:val="none"/>
          <w:u w:val="none"/>
        </w:rPr>
        <w:t>乌江涪陵榨菜绿色智能化生产基地</w:t>
      </w:r>
      <w:r>
        <w:rPr>
          <w:rFonts w:hint="eastAsia" w:ascii="宋体" w:hAnsi="宋体"/>
          <w:b/>
          <w:bCs/>
          <w:snapToGrid w:val="0"/>
          <w:color w:val="auto"/>
          <w:kern w:val="0"/>
          <w:sz w:val="32"/>
          <w:szCs w:val="32"/>
          <w:highlight w:val="none"/>
          <w:u w:val="none"/>
          <w:lang w:eastAsia="zh-CN"/>
        </w:rPr>
        <w:t>（</w:t>
      </w:r>
      <w:r>
        <w:rPr>
          <w:rFonts w:hint="eastAsia" w:ascii="宋体" w:hAnsi="宋体"/>
          <w:b/>
          <w:bCs/>
          <w:snapToGrid w:val="0"/>
          <w:color w:val="auto"/>
          <w:kern w:val="0"/>
          <w:sz w:val="32"/>
          <w:szCs w:val="32"/>
          <w:highlight w:val="none"/>
          <w:u w:val="none"/>
          <w:lang w:val="en-US" w:eastAsia="zh-CN"/>
        </w:rPr>
        <w:t>一期</w:t>
      </w:r>
      <w:r>
        <w:rPr>
          <w:rFonts w:hint="eastAsia" w:ascii="宋体" w:hAnsi="宋体"/>
          <w:b/>
          <w:bCs/>
          <w:snapToGrid w:val="0"/>
          <w:color w:val="auto"/>
          <w:kern w:val="0"/>
          <w:sz w:val="32"/>
          <w:szCs w:val="32"/>
          <w:highlight w:val="none"/>
          <w:u w:val="none"/>
          <w:lang w:eastAsia="zh-CN"/>
        </w:rPr>
        <w:t>）5</w:t>
      </w:r>
      <w:r>
        <w:rPr>
          <w:rFonts w:hint="eastAsia" w:ascii="宋体" w:hAnsi="宋体"/>
          <w:b/>
          <w:bCs/>
          <w:snapToGrid w:val="0"/>
          <w:color w:val="auto"/>
          <w:kern w:val="0"/>
          <w:sz w:val="32"/>
          <w:szCs w:val="32"/>
          <w:highlight w:val="none"/>
          <w:u w:val="none"/>
          <w:lang w:val="en-US" w:eastAsia="zh-CN"/>
        </w:rPr>
        <w:t>号</w:t>
      </w:r>
      <w:r>
        <w:rPr>
          <w:rFonts w:hint="eastAsia" w:ascii="宋体" w:hAnsi="宋体"/>
          <w:b/>
          <w:bCs/>
          <w:snapToGrid w:val="0"/>
          <w:color w:val="auto"/>
          <w:kern w:val="0"/>
          <w:sz w:val="32"/>
          <w:szCs w:val="32"/>
          <w:highlight w:val="none"/>
          <w:u w:val="none"/>
          <w:lang w:eastAsia="zh-CN"/>
        </w:rPr>
        <w:t>车间原料清洁化加工非标设备</w:t>
      </w:r>
      <w:r>
        <w:rPr>
          <w:rFonts w:hint="eastAsia" w:ascii="宋体" w:hAnsi="宋体"/>
          <w:b/>
          <w:bCs/>
          <w:snapToGrid w:val="0"/>
          <w:color w:val="auto"/>
          <w:kern w:val="0"/>
          <w:sz w:val="32"/>
          <w:szCs w:val="32"/>
          <w:highlight w:val="none"/>
          <w:u w:val="none"/>
        </w:rPr>
        <w:t>采购及安装</w:t>
      </w:r>
    </w:p>
    <w:p w14:paraId="02D50CDD">
      <w:pPr>
        <w:autoSpaceDE w:val="0"/>
        <w:autoSpaceDN w:val="0"/>
        <w:adjustRightInd w:val="0"/>
        <w:snapToGrid w:val="0"/>
        <w:spacing w:line="360" w:lineRule="auto"/>
        <w:jc w:val="left"/>
        <w:rPr>
          <w:rFonts w:ascii="宋体" w:hAnsi="宋体"/>
          <w:kern w:val="0"/>
          <w:sz w:val="20"/>
          <w:szCs w:val="20"/>
        </w:rPr>
      </w:pPr>
    </w:p>
    <w:p w14:paraId="1D513427">
      <w:pPr>
        <w:autoSpaceDE w:val="0"/>
        <w:autoSpaceDN w:val="0"/>
        <w:adjustRightInd w:val="0"/>
        <w:snapToGrid w:val="0"/>
        <w:spacing w:line="360" w:lineRule="auto"/>
        <w:jc w:val="left"/>
        <w:rPr>
          <w:rFonts w:ascii="宋体" w:hAnsi="宋体"/>
          <w:kern w:val="0"/>
          <w:sz w:val="20"/>
          <w:szCs w:val="20"/>
        </w:rPr>
      </w:pPr>
    </w:p>
    <w:p w14:paraId="5481D3DF">
      <w:pPr>
        <w:autoSpaceDE w:val="0"/>
        <w:autoSpaceDN w:val="0"/>
        <w:adjustRightInd w:val="0"/>
        <w:snapToGrid w:val="0"/>
        <w:spacing w:line="360" w:lineRule="auto"/>
        <w:jc w:val="left"/>
        <w:rPr>
          <w:rFonts w:ascii="宋体" w:hAnsi="宋体"/>
          <w:kern w:val="0"/>
          <w:sz w:val="20"/>
          <w:szCs w:val="20"/>
        </w:rPr>
      </w:pPr>
    </w:p>
    <w:p w14:paraId="0552A0F9">
      <w:pPr>
        <w:autoSpaceDE w:val="0"/>
        <w:autoSpaceDN w:val="0"/>
        <w:adjustRightInd w:val="0"/>
        <w:snapToGrid w:val="0"/>
        <w:spacing w:line="360" w:lineRule="auto"/>
        <w:jc w:val="left"/>
        <w:rPr>
          <w:rFonts w:ascii="宋体" w:hAnsi="宋体"/>
          <w:kern w:val="0"/>
          <w:sz w:val="20"/>
          <w:szCs w:val="20"/>
        </w:rPr>
      </w:pPr>
    </w:p>
    <w:p w14:paraId="43B93517">
      <w:pPr>
        <w:autoSpaceDE w:val="0"/>
        <w:autoSpaceDN w:val="0"/>
        <w:adjustRightInd w:val="0"/>
        <w:snapToGrid w:val="0"/>
        <w:spacing w:line="360" w:lineRule="auto"/>
        <w:jc w:val="left"/>
        <w:rPr>
          <w:rFonts w:ascii="宋体" w:hAnsi="宋体"/>
          <w:kern w:val="0"/>
          <w:sz w:val="20"/>
          <w:szCs w:val="20"/>
        </w:rPr>
      </w:pPr>
    </w:p>
    <w:p w14:paraId="1314E32B">
      <w:pPr>
        <w:autoSpaceDE w:val="0"/>
        <w:autoSpaceDN w:val="0"/>
        <w:adjustRightInd w:val="0"/>
        <w:snapToGrid w:val="0"/>
        <w:spacing w:line="360" w:lineRule="auto"/>
        <w:jc w:val="left"/>
        <w:rPr>
          <w:rFonts w:ascii="宋体" w:hAnsi="宋体"/>
          <w:kern w:val="0"/>
          <w:sz w:val="20"/>
          <w:szCs w:val="20"/>
        </w:rPr>
      </w:pPr>
    </w:p>
    <w:p w14:paraId="63AADE42">
      <w:pPr>
        <w:autoSpaceDE w:val="0"/>
        <w:autoSpaceDN w:val="0"/>
        <w:adjustRightInd w:val="0"/>
        <w:snapToGrid w:val="0"/>
        <w:spacing w:line="360" w:lineRule="auto"/>
        <w:jc w:val="center"/>
        <w:rPr>
          <w:rFonts w:ascii="宋体" w:hAnsi="宋体"/>
          <w:kern w:val="0"/>
          <w:sz w:val="72"/>
          <w:szCs w:val="72"/>
        </w:rPr>
      </w:pPr>
      <w:r>
        <w:rPr>
          <w:rFonts w:ascii="宋体" w:hAnsi="宋体"/>
          <w:kern w:val="0"/>
          <w:sz w:val="72"/>
          <w:szCs w:val="72"/>
        </w:rPr>
        <w:t>招标文件</w:t>
      </w:r>
    </w:p>
    <w:p w14:paraId="4D18C344">
      <w:pPr>
        <w:autoSpaceDE w:val="0"/>
        <w:autoSpaceDN w:val="0"/>
        <w:adjustRightInd w:val="0"/>
        <w:snapToGrid w:val="0"/>
        <w:spacing w:line="360" w:lineRule="auto"/>
        <w:jc w:val="left"/>
        <w:rPr>
          <w:rFonts w:ascii="宋体" w:hAnsi="宋体"/>
          <w:kern w:val="0"/>
          <w:sz w:val="10"/>
          <w:szCs w:val="10"/>
        </w:rPr>
      </w:pPr>
    </w:p>
    <w:p w14:paraId="35FB066E">
      <w:pPr>
        <w:autoSpaceDE w:val="0"/>
        <w:autoSpaceDN w:val="0"/>
        <w:adjustRightInd w:val="0"/>
        <w:snapToGrid w:val="0"/>
        <w:spacing w:line="360" w:lineRule="auto"/>
        <w:jc w:val="left"/>
        <w:rPr>
          <w:rFonts w:ascii="宋体" w:hAnsi="宋体"/>
          <w:kern w:val="0"/>
          <w:sz w:val="20"/>
          <w:szCs w:val="20"/>
        </w:rPr>
      </w:pPr>
    </w:p>
    <w:p w14:paraId="4C542066">
      <w:pPr>
        <w:autoSpaceDE w:val="0"/>
        <w:autoSpaceDN w:val="0"/>
        <w:adjustRightInd w:val="0"/>
        <w:snapToGrid w:val="0"/>
        <w:spacing w:line="360" w:lineRule="auto"/>
        <w:jc w:val="left"/>
        <w:rPr>
          <w:rFonts w:ascii="宋体" w:hAnsi="宋体"/>
          <w:kern w:val="0"/>
          <w:sz w:val="20"/>
          <w:szCs w:val="20"/>
        </w:rPr>
      </w:pPr>
    </w:p>
    <w:p w14:paraId="63C24DA4">
      <w:pPr>
        <w:autoSpaceDE w:val="0"/>
        <w:autoSpaceDN w:val="0"/>
        <w:adjustRightInd w:val="0"/>
        <w:snapToGrid w:val="0"/>
        <w:spacing w:line="360" w:lineRule="auto"/>
        <w:jc w:val="left"/>
        <w:rPr>
          <w:rFonts w:ascii="宋体" w:hAnsi="宋体"/>
          <w:kern w:val="0"/>
          <w:sz w:val="20"/>
          <w:szCs w:val="20"/>
        </w:rPr>
      </w:pPr>
    </w:p>
    <w:p w14:paraId="2B35F794">
      <w:pPr>
        <w:autoSpaceDE w:val="0"/>
        <w:autoSpaceDN w:val="0"/>
        <w:adjustRightInd w:val="0"/>
        <w:snapToGrid w:val="0"/>
        <w:spacing w:line="360" w:lineRule="auto"/>
        <w:jc w:val="left"/>
        <w:rPr>
          <w:rFonts w:ascii="宋体" w:hAnsi="宋体"/>
          <w:kern w:val="0"/>
          <w:sz w:val="20"/>
          <w:szCs w:val="20"/>
        </w:rPr>
      </w:pPr>
    </w:p>
    <w:p w14:paraId="2A45C4CB">
      <w:pPr>
        <w:autoSpaceDE w:val="0"/>
        <w:autoSpaceDN w:val="0"/>
        <w:adjustRightInd w:val="0"/>
        <w:snapToGrid w:val="0"/>
        <w:spacing w:line="360" w:lineRule="auto"/>
        <w:jc w:val="left"/>
        <w:rPr>
          <w:rFonts w:ascii="宋体" w:hAnsi="宋体"/>
          <w:kern w:val="0"/>
          <w:sz w:val="20"/>
          <w:szCs w:val="20"/>
        </w:rPr>
      </w:pPr>
    </w:p>
    <w:p w14:paraId="6A9FBA53">
      <w:pPr>
        <w:autoSpaceDE w:val="0"/>
        <w:autoSpaceDN w:val="0"/>
        <w:adjustRightInd w:val="0"/>
        <w:snapToGrid w:val="0"/>
        <w:spacing w:line="360" w:lineRule="auto"/>
        <w:jc w:val="left"/>
        <w:rPr>
          <w:rFonts w:ascii="宋体" w:hAnsi="宋体"/>
          <w:kern w:val="0"/>
          <w:sz w:val="20"/>
          <w:szCs w:val="20"/>
        </w:rPr>
      </w:pPr>
    </w:p>
    <w:p w14:paraId="1779E8E7">
      <w:pPr>
        <w:autoSpaceDE w:val="0"/>
        <w:autoSpaceDN w:val="0"/>
        <w:adjustRightInd w:val="0"/>
        <w:snapToGrid w:val="0"/>
        <w:spacing w:line="360" w:lineRule="auto"/>
        <w:jc w:val="left"/>
        <w:rPr>
          <w:rFonts w:ascii="宋体" w:hAnsi="宋体"/>
          <w:kern w:val="0"/>
          <w:sz w:val="20"/>
          <w:szCs w:val="20"/>
        </w:rPr>
      </w:pPr>
    </w:p>
    <w:p w14:paraId="21DA6417">
      <w:pPr>
        <w:autoSpaceDE w:val="0"/>
        <w:autoSpaceDN w:val="0"/>
        <w:adjustRightInd w:val="0"/>
        <w:snapToGrid w:val="0"/>
        <w:spacing w:line="360" w:lineRule="auto"/>
        <w:rPr>
          <w:rFonts w:ascii="宋体" w:hAnsi="宋体"/>
          <w:kern w:val="0"/>
          <w:sz w:val="20"/>
          <w:szCs w:val="20"/>
        </w:rPr>
      </w:pPr>
    </w:p>
    <w:p w14:paraId="1ED631FE">
      <w:pPr>
        <w:autoSpaceDE w:val="0"/>
        <w:autoSpaceDN w:val="0"/>
        <w:adjustRightInd w:val="0"/>
        <w:snapToGrid w:val="0"/>
        <w:spacing w:line="360" w:lineRule="auto"/>
        <w:jc w:val="left"/>
        <w:rPr>
          <w:rFonts w:ascii="宋体" w:hAnsi="宋体"/>
          <w:kern w:val="0"/>
          <w:sz w:val="20"/>
          <w:szCs w:val="20"/>
        </w:rPr>
      </w:pPr>
    </w:p>
    <w:p w14:paraId="3FB97607">
      <w:pPr>
        <w:autoSpaceDE w:val="0"/>
        <w:autoSpaceDN w:val="0"/>
        <w:adjustRightInd w:val="0"/>
        <w:snapToGrid w:val="0"/>
        <w:spacing w:line="360" w:lineRule="auto"/>
        <w:rPr>
          <w:rFonts w:ascii="宋体" w:hAnsi="宋体"/>
          <w:kern w:val="0"/>
          <w:sz w:val="20"/>
          <w:szCs w:val="20"/>
        </w:rPr>
      </w:pPr>
    </w:p>
    <w:p w14:paraId="2D53C656">
      <w:pPr>
        <w:autoSpaceDE w:val="0"/>
        <w:autoSpaceDN w:val="0"/>
        <w:adjustRightInd w:val="0"/>
        <w:snapToGrid w:val="0"/>
        <w:spacing w:line="360" w:lineRule="auto"/>
        <w:rPr>
          <w:rFonts w:ascii="宋体" w:hAnsi="宋体"/>
          <w:kern w:val="0"/>
          <w:sz w:val="20"/>
          <w:szCs w:val="20"/>
        </w:rPr>
      </w:pPr>
    </w:p>
    <w:p w14:paraId="48D48DB9">
      <w:pPr>
        <w:autoSpaceDE w:val="0"/>
        <w:autoSpaceDN w:val="0"/>
        <w:adjustRightInd w:val="0"/>
        <w:snapToGrid w:val="0"/>
        <w:spacing w:line="360" w:lineRule="auto"/>
        <w:rPr>
          <w:rFonts w:ascii="宋体" w:hAnsi="宋体"/>
          <w:kern w:val="0"/>
          <w:sz w:val="20"/>
          <w:szCs w:val="20"/>
        </w:rPr>
      </w:pPr>
    </w:p>
    <w:p w14:paraId="1B9FEC2C">
      <w:pPr>
        <w:tabs>
          <w:tab w:val="left" w:pos="6219"/>
        </w:tabs>
        <w:autoSpaceDE w:val="0"/>
        <w:autoSpaceDN w:val="0"/>
        <w:adjustRightInd w:val="0"/>
        <w:snapToGrid w:val="0"/>
        <w:spacing w:line="360" w:lineRule="auto"/>
        <w:jc w:val="center"/>
        <w:rPr>
          <w:rFonts w:ascii="宋体" w:hAnsi="宋体"/>
          <w:bCs/>
          <w:w w:val="99"/>
          <w:kern w:val="0"/>
          <w:sz w:val="28"/>
          <w:szCs w:val="28"/>
        </w:rPr>
      </w:pPr>
      <w:r>
        <w:rPr>
          <w:rFonts w:ascii="宋体" w:hAnsi="宋体"/>
          <w:bCs/>
          <w:w w:val="99"/>
          <w:kern w:val="0"/>
          <w:sz w:val="28"/>
          <w:szCs w:val="28"/>
        </w:rPr>
        <w:t>招</w:t>
      </w:r>
      <w:r>
        <w:rPr>
          <w:rFonts w:hint="eastAsia" w:ascii="宋体" w:hAnsi="宋体"/>
          <w:bCs/>
          <w:w w:val="99"/>
          <w:kern w:val="0"/>
          <w:sz w:val="28"/>
          <w:szCs w:val="28"/>
        </w:rPr>
        <w:t xml:space="preserve">   </w:t>
      </w:r>
      <w:r>
        <w:rPr>
          <w:rFonts w:ascii="宋体" w:hAnsi="宋体"/>
          <w:bCs/>
          <w:w w:val="99"/>
          <w:kern w:val="0"/>
          <w:sz w:val="28"/>
          <w:szCs w:val="28"/>
        </w:rPr>
        <w:t>标</w:t>
      </w:r>
      <w:r>
        <w:rPr>
          <w:rFonts w:hint="eastAsia" w:ascii="宋体" w:hAnsi="宋体"/>
          <w:bCs/>
          <w:w w:val="99"/>
          <w:kern w:val="0"/>
          <w:sz w:val="28"/>
          <w:szCs w:val="28"/>
        </w:rPr>
        <w:t xml:space="preserve">   </w:t>
      </w:r>
      <w:r>
        <w:rPr>
          <w:rFonts w:ascii="宋体" w:hAnsi="宋体"/>
          <w:bCs/>
          <w:w w:val="99"/>
          <w:kern w:val="0"/>
          <w:sz w:val="28"/>
          <w:szCs w:val="28"/>
        </w:rPr>
        <w:t>人：</w:t>
      </w:r>
      <w:r>
        <w:rPr>
          <w:rFonts w:hint="eastAsia" w:ascii="宋体" w:hAnsi="宋体"/>
          <w:bCs/>
          <w:w w:val="99"/>
          <w:kern w:val="0"/>
          <w:sz w:val="28"/>
          <w:szCs w:val="28"/>
          <w:u w:val="single"/>
          <w:lang w:val="en-US" w:eastAsia="zh-CN"/>
        </w:rPr>
        <w:t>重庆市涪陵榨菜集团股份有限公司</w:t>
      </w:r>
      <w:r>
        <w:rPr>
          <w:rFonts w:ascii="宋体" w:hAnsi="宋体"/>
          <w:bCs/>
          <w:kern w:val="0"/>
          <w:sz w:val="28"/>
          <w:szCs w:val="28"/>
          <w:u w:val="single"/>
        </w:rPr>
        <w:t xml:space="preserve">   </w:t>
      </w:r>
      <w:r>
        <w:rPr>
          <w:rFonts w:ascii="宋体" w:hAnsi="宋体"/>
          <w:bCs/>
          <w:w w:val="99"/>
          <w:kern w:val="0"/>
          <w:sz w:val="28"/>
          <w:szCs w:val="28"/>
        </w:rPr>
        <w:t>（盖单位法人章）</w:t>
      </w:r>
    </w:p>
    <w:p w14:paraId="70FB91F3">
      <w:pPr>
        <w:autoSpaceDE w:val="0"/>
        <w:autoSpaceDN w:val="0"/>
        <w:adjustRightInd w:val="0"/>
        <w:snapToGrid w:val="0"/>
        <w:spacing w:line="360" w:lineRule="auto"/>
        <w:jc w:val="center"/>
        <w:rPr>
          <w:rFonts w:ascii="宋体" w:hAnsi="宋体"/>
          <w:bCs/>
          <w:kern w:val="0"/>
          <w:sz w:val="20"/>
          <w:szCs w:val="20"/>
        </w:rPr>
      </w:pPr>
    </w:p>
    <w:p w14:paraId="34E4D9B2">
      <w:pPr>
        <w:autoSpaceDE w:val="0"/>
        <w:autoSpaceDN w:val="0"/>
        <w:adjustRightInd w:val="0"/>
        <w:snapToGrid w:val="0"/>
        <w:spacing w:line="360" w:lineRule="auto"/>
        <w:jc w:val="center"/>
        <w:rPr>
          <w:rFonts w:hint="eastAsia" w:ascii="宋体" w:hAnsi="宋体"/>
          <w:bCs/>
          <w:kern w:val="0"/>
          <w:sz w:val="28"/>
          <w:szCs w:val="28"/>
          <w:lang w:val="en-US" w:eastAsia="zh-CN"/>
        </w:rPr>
      </w:pPr>
    </w:p>
    <w:p w14:paraId="641092B8">
      <w:pPr>
        <w:autoSpaceDE w:val="0"/>
        <w:autoSpaceDN w:val="0"/>
        <w:adjustRightInd w:val="0"/>
        <w:snapToGrid w:val="0"/>
        <w:spacing w:line="360" w:lineRule="auto"/>
        <w:jc w:val="center"/>
        <w:rPr>
          <w:rFonts w:hint="default" w:ascii="宋体" w:hAnsi="宋体" w:eastAsia="宋体"/>
          <w:bCs/>
          <w:kern w:val="0"/>
          <w:sz w:val="28"/>
          <w:szCs w:val="28"/>
          <w:lang w:val="en-US" w:eastAsia="zh-CN"/>
        </w:rPr>
      </w:pPr>
      <w:r>
        <w:rPr>
          <w:rFonts w:hint="eastAsia" w:ascii="宋体" w:hAnsi="宋体"/>
          <w:bCs/>
          <w:kern w:val="0"/>
          <w:sz w:val="28"/>
          <w:szCs w:val="28"/>
          <w:lang w:val="en-US" w:eastAsia="zh-CN"/>
        </w:rPr>
        <w:t>2026年5月</w:t>
      </w:r>
    </w:p>
    <w:p w14:paraId="2736FAAA">
      <w:pPr>
        <w:autoSpaceDE w:val="0"/>
        <w:autoSpaceDN w:val="0"/>
        <w:adjustRightInd w:val="0"/>
        <w:snapToGrid w:val="0"/>
        <w:spacing w:line="360" w:lineRule="auto"/>
        <w:jc w:val="center"/>
        <w:rPr>
          <w:rFonts w:ascii="宋体" w:hAnsi="宋体"/>
          <w:bCs/>
          <w:kern w:val="0"/>
          <w:sz w:val="28"/>
          <w:szCs w:val="28"/>
        </w:rPr>
      </w:pPr>
    </w:p>
    <w:p w14:paraId="37D02DD1">
      <w:pPr>
        <w:autoSpaceDE w:val="0"/>
        <w:autoSpaceDN w:val="0"/>
        <w:adjustRightInd w:val="0"/>
        <w:snapToGrid w:val="0"/>
        <w:spacing w:line="360" w:lineRule="auto"/>
        <w:rPr>
          <w:rFonts w:ascii="宋体" w:hAnsi="宋体"/>
          <w:bCs/>
          <w:kern w:val="0"/>
          <w:sz w:val="20"/>
          <w:szCs w:val="20"/>
        </w:rPr>
      </w:pPr>
    </w:p>
    <w:p w14:paraId="5D09006F">
      <w:pPr>
        <w:tabs>
          <w:tab w:val="left" w:pos="6252"/>
        </w:tabs>
        <w:autoSpaceDE w:val="0"/>
        <w:autoSpaceDN w:val="0"/>
        <w:adjustRightInd w:val="0"/>
        <w:snapToGrid w:val="0"/>
        <w:spacing w:line="360" w:lineRule="auto"/>
        <w:jc w:val="center"/>
        <w:rPr>
          <w:rFonts w:ascii="宋体" w:hAnsi="宋体"/>
          <w:bCs/>
          <w:spacing w:val="8"/>
          <w:kern w:val="0"/>
          <w:sz w:val="28"/>
          <w:szCs w:val="28"/>
        </w:rPr>
      </w:pPr>
    </w:p>
    <w:p w14:paraId="23D22401">
      <w:pPr>
        <w:pStyle w:val="2"/>
        <w:spacing w:line="360" w:lineRule="auto"/>
        <w:rPr>
          <w:rFonts w:ascii="宋体" w:hAnsi="宋体"/>
          <w:w w:val="99"/>
          <w:kern w:val="0"/>
          <w:sz w:val="24"/>
        </w:rPr>
        <w:sectPr>
          <w:headerReference r:id="rId3" w:type="default"/>
          <w:footerReference r:id="rId4" w:type="default"/>
          <w:pgSz w:w="11907" w:h="16840"/>
          <w:pgMar w:top="1304" w:right="1134" w:bottom="1304" w:left="1304" w:header="851" w:footer="992" w:gutter="0"/>
          <w:pgBorders>
            <w:top w:val="none" w:sz="0" w:space="0"/>
            <w:left w:val="none" w:sz="0" w:space="0"/>
            <w:bottom w:val="none" w:sz="0" w:space="0"/>
            <w:right w:val="none" w:sz="0" w:space="0"/>
          </w:pgBorders>
          <w:pgNumType w:fmt="numberInDash" w:start="1"/>
          <w:cols w:space="720" w:num="1"/>
          <w:docGrid w:linePitch="312" w:charSpace="0"/>
        </w:sectPr>
      </w:pPr>
    </w:p>
    <w:p w14:paraId="1B023F54">
      <w:pPr>
        <w:jc w:val="center"/>
        <w:rPr>
          <w:rFonts w:ascii="宋体" w:hAnsi="宋体"/>
          <w:sz w:val="44"/>
          <w:szCs w:val="44"/>
        </w:rPr>
      </w:pPr>
      <w:bookmarkStart w:id="1" w:name="_Toc23843"/>
      <w:r>
        <w:rPr>
          <w:rFonts w:ascii="宋体" w:hAnsi="宋体"/>
          <w:sz w:val="44"/>
          <w:szCs w:val="44"/>
          <w:lang w:val="zh-CN"/>
        </w:rPr>
        <w:t>目</w:t>
      </w:r>
      <w:r>
        <w:rPr>
          <w:rFonts w:hint="eastAsia" w:ascii="宋体" w:hAnsi="宋体"/>
          <w:sz w:val="44"/>
          <w:szCs w:val="44"/>
          <w:lang w:val="zh-CN"/>
        </w:rPr>
        <w:t xml:space="preserve"> </w:t>
      </w:r>
      <w:r>
        <w:rPr>
          <w:rFonts w:ascii="宋体" w:hAnsi="宋体"/>
          <w:sz w:val="44"/>
          <w:szCs w:val="44"/>
          <w:lang w:val="zh-CN"/>
        </w:rPr>
        <w:t>录</w:t>
      </w:r>
      <w:bookmarkEnd w:id="1"/>
    </w:p>
    <w:p w14:paraId="674B7002">
      <w:pPr>
        <w:pStyle w:val="31"/>
        <w:tabs>
          <w:tab w:val="right" w:leader="dot" w:pos="9469"/>
        </w:tabs>
        <w:spacing w:line="360" w:lineRule="auto"/>
        <w:rPr>
          <w:i w:val="0"/>
          <w:iCs w:val="0"/>
          <w:sz w:val="24"/>
          <w:szCs w:val="24"/>
        </w:rPr>
      </w:pPr>
      <w:r>
        <w:rPr>
          <w:rFonts w:hint="eastAsia" w:ascii="宋体" w:hAnsi="宋体" w:cs="宋体"/>
          <w:i w:val="0"/>
          <w:iCs w:val="0"/>
          <w:sz w:val="24"/>
          <w:szCs w:val="24"/>
        </w:rPr>
        <w:fldChar w:fldCharType="begin"/>
      </w:r>
      <w:r>
        <w:rPr>
          <w:rFonts w:hint="eastAsia" w:ascii="宋体" w:hAnsi="宋体" w:cs="宋体"/>
          <w:i w:val="0"/>
          <w:iCs w:val="0"/>
          <w:sz w:val="24"/>
          <w:szCs w:val="24"/>
        </w:rPr>
        <w:instrText xml:space="preserve"> TOC \o "1-3" \h \z \u </w:instrText>
      </w:r>
      <w:r>
        <w:rPr>
          <w:rFonts w:hint="eastAsia" w:ascii="宋体" w:hAnsi="宋体" w:cs="宋体"/>
          <w:i w:val="0"/>
          <w:iCs w:val="0"/>
          <w:sz w:val="24"/>
          <w:szCs w:val="24"/>
        </w:rPr>
        <w:fldChar w:fldCharType="separate"/>
      </w:r>
      <w:r>
        <w:rPr>
          <w:rFonts w:hint="eastAsia" w:ascii="宋体" w:hAnsi="宋体" w:cs="宋体"/>
          <w:bCs/>
          <w:i w:val="0"/>
          <w:iCs w:val="0"/>
          <w:sz w:val="24"/>
          <w:szCs w:val="24"/>
          <w:lang w:val="zh-CN"/>
        </w:rPr>
        <w:fldChar w:fldCharType="begin"/>
      </w:r>
      <w:r>
        <w:rPr>
          <w:rFonts w:hint="eastAsia" w:ascii="宋体" w:hAnsi="宋体" w:cs="宋体"/>
          <w:bCs/>
          <w:i w:val="0"/>
          <w:iCs w:val="0"/>
          <w:sz w:val="24"/>
          <w:szCs w:val="24"/>
          <w:lang w:val="zh-CN"/>
        </w:rPr>
        <w:instrText xml:space="preserve"> HYPERLINK \l _Toc18555 </w:instrText>
      </w:r>
      <w:r>
        <w:rPr>
          <w:rFonts w:hint="eastAsia" w:ascii="宋体" w:hAnsi="宋体" w:cs="宋体"/>
          <w:bCs/>
          <w:i w:val="0"/>
          <w:iCs w:val="0"/>
          <w:sz w:val="24"/>
          <w:szCs w:val="24"/>
          <w:lang w:val="zh-CN"/>
        </w:rPr>
        <w:fldChar w:fldCharType="separate"/>
      </w:r>
      <w:r>
        <w:rPr>
          <w:rFonts w:ascii="宋体" w:hAnsi="宋体"/>
          <w:i w:val="0"/>
          <w:iCs w:val="0"/>
          <w:snapToGrid w:val="0"/>
          <w:kern w:val="0"/>
          <w:sz w:val="24"/>
          <w:szCs w:val="24"/>
        </w:rPr>
        <w:t>第一章  招标公告</w:t>
      </w:r>
      <w:r>
        <w:rPr>
          <w:i w:val="0"/>
          <w:iCs w:val="0"/>
          <w:sz w:val="24"/>
          <w:szCs w:val="24"/>
        </w:rPr>
        <w:tab/>
      </w:r>
      <w:r>
        <w:rPr>
          <w:rFonts w:hint="eastAsia"/>
          <w:i w:val="0"/>
          <w:iCs w:val="0"/>
          <w:sz w:val="24"/>
          <w:szCs w:val="24"/>
          <w:lang w:val="en-US" w:eastAsia="zh-CN"/>
        </w:rPr>
        <w:t>2</w:t>
      </w:r>
      <w:r>
        <w:rPr>
          <w:rFonts w:hint="eastAsia" w:ascii="宋体" w:hAnsi="宋体" w:cs="宋体"/>
          <w:bCs/>
          <w:i w:val="0"/>
          <w:iCs w:val="0"/>
          <w:sz w:val="24"/>
          <w:szCs w:val="24"/>
          <w:lang w:val="zh-CN"/>
        </w:rPr>
        <w:fldChar w:fldCharType="end"/>
      </w:r>
    </w:p>
    <w:p w14:paraId="60C532F3">
      <w:pPr>
        <w:pStyle w:val="31"/>
        <w:tabs>
          <w:tab w:val="right" w:leader="dot" w:pos="9469"/>
        </w:tabs>
        <w:spacing w:line="360" w:lineRule="auto"/>
        <w:rPr>
          <w:i w:val="0"/>
          <w:iCs w:val="0"/>
          <w:sz w:val="24"/>
          <w:szCs w:val="24"/>
        </w:rPr>
      </w:pPr>
      <w:r>
        <w:rPr>
          <w:rFonts w:hint="eastAsia" w:ascii="宋体" w:hAnsi="宋体" w:cs="宋体"/>
          <w:bCs/>
          <w:i w:val="0"/>
          <w:iCs w:val="0"/>
          <w:sz w:val="24"/>
          <w:szCs w:val="24"/>
          <w:lang w:val="zh-CN"/>
        </w:rPr>
        <w:fldChar w:fldCharType="begin"/>
      </w:r>
      <w:r>
        <w:rPr>
          <w:rFonts w:hint="eastAsia" w:ascii="宋体" w:hAnsi="宋体" w:cs="宋体"/>
          <w:bCs/>
          <w:i w:val="0"/>
          <w:iCs w:val="0"/>
          <w:sz w:val="24"/>
          <w:szCs w:val="24"/>
          <w:lang w:val="zh-CN"/>
        </w:rPr>
        <w:instrText xml:space="preserve"> HYPERLINK \l _Toc12230 </w:instrText>
      </w:r>
      <w:r>
        <w:rPr>
          <w:rFonts w:hint="eastAsia" w:ascii="宋体" w:hAnsi="宋体" w:cs="宋体"/>
          <w:bCs/>
          <w:i w:val="0"/>
          <w:iCs w:val="0"/>
          <w:sz w:val="24"/>
          <w:szCs w:val="24"/>
          <w:lang w:val="zh-CN"/>
        </w:rPr>
        <w:fldChar w:fldCharType="separate"/>
      </w:r>
      <w:r>
        <w:rPr>
          <w:i w:val="0"/>
          <w:iCs w:val="0"/>
          <w:sz w:val="24"/>
          <w:szCs w:val="24"/>
        </w:rPr>
        <w:t>第二章  投标人须知</w:t>
      </w:r>
      <w:r>
        <w:rPr>
          <w:i w:val="0"/>
          <w:iCs w:val="0"/>
          <w:sz w:val="24"/>
          <w:szCs w:val="24"/>
        </w:rPr>
        <w:tab/>
      </w:r>
      <w:r>
        <w:rPr>
          <w:rFonts w:hint="eastAsia"/>
          <w:i w:val="0"/>
          <w:iCs w:val="0"/>
          <w:sz w:val="24"/>
          <w:szCs w:val="24"/>
          <w:lang w:val="en-US" w:eastAsia="zh-CN"/>
        </w:rPr>
        <w:t>5</w:t>
      </w:r>
      <w:r>
        <w:rPr>
          <w:rFonts w:hint="eastAsia" w:ascii="宋体" w:hAnsi="宋体" w:cs="宋体"/>
          <w:bCs/>
          <w:i w:val="0"/>
          <w:iCs w:val="0"/>
          <w:sz w:val="24"/>
          <w:szCs w:val="24"/>
          <w:lang w:val="zh-CN"/>
        </w:rPr>
        <w:fldChar w:fldCharType="end"/>
      </w:r>
    </w:p>
    <w:p w14:paraId="569038EC">
      <w:pPr>
        <w:pStyle w:val="31"/>
        <w:tabs>
          <w:tab w:val="right" w:leader="dot" w:pos="9469"/>
        </w:tabs>
        <w:spacing w:line="360" w:lineRule="auto"/>
        <w:rPr>
          <w:rFonts w:hint="eastAsia" w:eastAsia="宋体"/>
          <w:i w:val="0"/>
          <w:iCs w:val="0"/>
          <w:sz w:val="24"/>
          <w:szCs w:val="24"/>
          <w:lang w:val="en-US" w:eastAsia="zh-CN"/>
        </w:rPr>
      </w:pPr>
      <w:r>
        <w:rPr>
          <w:rFonts w:hint="eastAsia" w:ascii="宋体" w:hAnsi="宋体" w:cs="宋体"/>
          <w:bCs/>
          <w:i w:val="0"/>
          <w:iCs w:val="0"/>
          <w:sz w:val="24"/>
          <w:szCs w:val="24"/>
          <w:lang w:val="zh-CN"/>
        </w:rPr>
        <w:fldChar w:fldCharType="begin"/>
      </w:r>
      <w:r>
        <w:rPr>
          <w:rFonts w:hint="eastAsia" w:ascii="宋体" w:hAnsi="宋体" w:cs="宋体"/>
          <w:bCs/>
          <w:i w:val="0"/>
          <w:iCs w:val="0"/>
          <w:sz w:val="24"/>
          <w:szCs w:val="24"/>
          <w:lang w:val="zh-CN"/>
        </w:rPr>
        <w:instrText xml:space="preserve"> HYPERLINK \l _Toc20567 </w:instrText>
      </w:r>
      <w:r>
        <w:rPr>
          <w:rFonts w:hint="eastAsia" w:ascii="宋体" w:hAnsi="宋体" w:cs="宋体"/>
          <w:bCs/>
          <w:i w:val="0"/>
          <w:iCs w:val="0"/>
          <w:sz w:val="24"/>
          <w:szCs w:val="24"/>
          <w:lang w:val="zh-CN"/>
        </w:rPr>
        <w:fldChar w:fldCharType="separate"/>
      </w:r>
      <w:r>
        <w:rPr>
          <w:rFonts w:ascii="宋体" w:hAnsi="宋体"/>
          <w:i w:val="0"/>
          <w:iCs w:val="0"/>
          <w:sz w:val="24"/>
          <w:szCs w:val="24"/>
        </w:rPr>
        <w:t xml:space="preserve">第三章 </w:t>
      </w:r>
      <w:r>
        <w:rPr>
          <w:rFonts w:hint="eastAsia" w:ascii="宋体" w:hAnsi="宋体"/>
          <w:i w:val="0"/>
          <w:iCs w:val="0"/>
          <w:sz w:val="24"/>
          <w:szCs w:val="24"/>
        </w:rPr>
        <w:t xml:space="preserve"> </w:t>
      </w:r>
      <w:r>
        <w:rPr>
          <w:rFonts w:ascii="宋体" w:hAnsi="宋体"/>
          <w:i w:val="0"/>
          <w:iCs w:val="0"/>
          <w:sz w:val="24"/>
          <w:szCs w:val="24"/>
        </w:rPr>
        <w:t>评标办法（综合评估法）</w:t>
      </w:r>
      <w:r>
        <w:rPr>
          <w:i w:val="0"/>
          <w:iCs w:val="0"/>
          <w:sz w:val="24"/>
          <w:szCs w:val="24"/>
        </w:rPr>
        <w:tab/>
      </w:r>
      <w:r>
        <w:rPr>
          <w:rFonts w:hint="eastAsia"/>
          <w:i w:val="0"/>
          <w:iCs w:val="0"/>
          <w:sz w:val="24"/>
          <w:szCs w:val="24"/>
          <w:lang w:val="en-US" w:eastAsia="zh-CN"/>
        </w:rPr>
        <w:t>3</w:t>
      </w:r>
      <w:r>
        <w:rPr>
          <w:rFonts w:hint="eastAsia" w:ascii="宋体" w:hAnsi="宋体" w:cs="宋体"/>
          <w:bCs/>
          <w:i w:val="0"/>
          <w:iCs w:val="0"/>
          <w:sz w:val="24"/>
          <w:szCs w:val="24"/>
          <w:lang w:val="zh-CN"/>
        </w:rPr>
        <w:fldChar w:fldCharType="end"/>
      </w:r>
      <w:r>
        <w:rPr>
          <w:rFonts w:hint="eastAsia" w:ascii="宋体" w:hAnsi="宋体" w:cs="宋体"/>
          <w:bCs/>
          <w:i w:val="0"/>
          <w:iCs w:val="0"/>
          <w:sz w:val="24"/>
          <w:szCs w:val="24"/>
          <w:lang w:val="en-US" w:eastAsia="zh-CN"/>
        </w:rPr>
        <w:t>5</w:t>
      </w:r>
    </w:p>
    <w:p w14:paraId="06CDA0CB">
      <w:pPr>
        <w:pStyle w:val="31"/>
        <w:tabs>
          <w:tab w:val="right" w:leader="dot" w:pos="9469"/>
        </w:tabs>
        <w:spacing w:line="360" w:lineRule="auto"/>
        <w:rPr>
          <w:rFonts w:hint="eastAsia" w:eastAsia="宋体"/>
          <w:i w:val="0"/>
          <w:iCs w:val="0"/>
          <w:sz w:val="24"/>
          <w:szCs w:val="24"/>
          <w:lang w:val="en-US" w:eastAsia="zh-CN"/>
        </w:rPr>
      </w:pPr>
      <w:r>
        <w:rPr>
          <w:rFonts w:hint="eastAsia" w:ascii="宋体" w:hAnsi="宋体" w:cs="宋体"/>
          <w:bCs/>
          <w:i w:val="0"/>
          <w:iCs w:val="0"/>
          <w:sz w:val="24"/>
          <w:szCs w:val="24"/>
          <w:lang w:val="zh-CN"/>
        </w:rPr>
        <w:fldChar w:fldCharType="begin"/>
      </w:r>
      <w:r>
        <w:rPr>
          <w:rFonts w:hint="eastAsia" w:ascii="宋体" w:hAnsi="宋体" w:cs="宋体"/>
          <w:bCs/>
          <w:i w:val="0"/>
          <w:iCs w:val="0"/>
          <w:sz w:val="24"/>
          <w:szCs w:val="24"/>
          <w:lang w:val="zh-CN"/>
        </w:rPr>
        <w:instrText xml:space="preserve"> HYPERLINK \l _Toc26660 </w:instrText>
      </w:r>
      <w:r>
        <w:rPr>
          <w:rFonts w:hint="eastAsia" w:ascii="宋体" w:hAnsi="宋体" w:cs="宋体"/>
          <w:bCs/>
          <w:i w:val="0"/>
          <w:iCs w:val="0"/>
          <w:sz w:val="24"/>
          <w:szCs w:val="24"/>
          <w:lang w:val="zh-CN"/>
        </w:rPr>
        <w:fldChar w:fldCharType="separate"/>
      </w:r>
      <w:r>
        <w:rPr>
          <w:rFonts w:hint="eastAsia" w:ascii="宋体" w:hAnsi="宋体"/>
          <w:i w:val="0"/>
          <w:iCs w:val="0"/>
          <w:kern w:val="0"/>
          <w:sz w:val="24"/>
          <w:szCs w:val="24"/>
        </w:rPr>
        <w:t>第四章  合同条款及格式</w:t>
      </w:r>
      <w:r>
        <w:rPr>
          <w:i w:val="0"/>
          <w:iCs w:val="0"/>
          <w:sz w:val="24"/>
          <w:szCs w:val="24"/>
        </w:rPr>
        <w:tab/>
      </w:r>
      <w:r>
        <w:rPr>
          <w:rFonts w:hint="eastAsia"/>
          <w:i w:val="0"/>
          <w:iCs w:val="0"/>
          <w:sz w:val="24"/>
          <w:szCs w:val="24"/>
          <w:lang w:val="en-US" w:eastAsia="zh-CN"/>
        </w:rPr>
        <w:t>4</w:t>
      </w:r>
      <w:r>
        <w:rPr>
          <w:rFonts w:hint="eastAsia" w:ascii="宋体" w:hAnsi="宋体" w:cs="宋体"/>
          <w:bCs/>
          <w:i w:val="0"/>
          <w:iCs w:val="0"/>
          <w:sz w:val="24"/>
          <w:szCs w:val="24"/>
          <w:lang w:val="zh-CN"/>
        </w:rPr>
        <w:fldChar w:fldCharType="end"/>
      </w:r>
      <w:r>
        <w:rPr>
          <w:rFonts w:hint="eastAsia" w:ascii="宋体" w:hAnsi="宋体" w:cs="宋体"/>
          <w:bCs/>
          <w:i w:val="0"/>
          <w:iCs w:val="0"/>
          <w:sz w:val="24"/>
          <w:szCs w:val="24"/>
          <w:lang w:val="en-US" w:eastAsia="zh-CN"/>
        </w:rPr>
        <w:t>6</w:t>
      </w:r>
    </w:p>
    <w:p w14:paraId="7834555F">
      <w:pPr>
        <w:pStyle w:val="31"/>
        <w:tabs>
          <w:tab w:val="right" w:leader="dot" w:pos="9469"/>
        </w:tabs>
        <w:spacing w:line="360" w:lineRule="auto"/>
        <w:rPr>
          <w:rFonts w:hint="eastAsia" w:eastAsia="宋体"/>
          <w:i w:val="0"/>
          <w:iCs w:val="0"/>
          <w:sz w:val="24"/>
          <w:szCs w:val="24"/>
          <w:lang w:val="en-US" w:eastAsia="zh-CN"/>
        </w:rPr>
      </w:pPr>
      <w:r>
        <w:rPr>
          <w:rFonts w:hint="eastAsia" w:ascii="宋体" w:hAnsi="宋体" w:cs="宋体"/>
          <w:bCs/>
          <w:i w:val="0"/>
          <w:iCs w:val="0"/>
          <w:sz w:val="24"/>
          <w:szCs w:val="24"/>
          <w:lang w:val="zh-CN"/>
        </w:rPr>
        <w:fldChar w:fldCharType="begin"/>
      </w:r>
      <w:r>
        <w:rPr>
          <w:rFonts w:hint="eastAsia" w:ascii="宋体" w:hAnsi="宋体" w:cs="宋体"/>
          <w:bCs/>
          <w:i w:val="0"/>
          <w:iCs w:val="0"/>
          <w:sz w:val="24"/>
          <w:szCs w:val="24"/>
          <w:lang w:val="zh-CN"/>
        </w:rPr>
        <w:instrText xml:space="preserve"> HYPERLINK \l _Toc8160 </w:instrText>
      </w:r>
      <w:r>
        <w:rPr>
          <w:rFonts w:hint="eastAsia" w:ascii="宋体" w:hAnsi="宋体" w:cs="宋体"/>
          <w:bCs/>
          <w:i w:val="0"/>
          <w:iCs w:val="0"/>
          <w:sz w:val="24"/>
          <w:szCs w:val="24"/>
          <w:lang w:val="zh-CN"/>
        </w:rPr>
        <w:fldChar w:fldCharType="separate"/>
      </w:r>
      <w:r>
        <w:rPr>
          <w:rFonts w:hint="eastAsia" w:ascii="宋体" w:hAnsi="宋体"/>
          <w:i w:val="0"/>
          <w:iCs w:val="0"/>
          <w:sz w:val="24"/>
          <w:szCs w:val="24"/>
        </w:rPr>
        <w:t>第五章  供货要求</w:t>
      </w:r>
      <w:r>
        <w:rPr>
          <w:i w:val="0"/>
          <w:iCs w:val="0"/>
          <w:sz w:val="24"/>
          <w:szCs w:val="24"/>
        </w:rPr>
        <w:tab/>
      </w:r>
      <w:r>
        <w:rPr>
          <w:rFonts w:hint="eastAsia"/>
          <w:i w:val="0"/>
          <w:iCs w:val="0"/>
          <w:sz w:val="24"/>
          <w:szCs w:val="24"/>
          <w:lang w:val="en-US" w:eastAsia="zh-CN"/>
        </w:rPr>
        <w:t>7</w:t>
      </w:r>
      <w:r>
        <w:rPr>
          <w:rFonts w:hint="eastAsia" w:ascii="宋体" w:hAnsi="宋体" w:cs="宋体"/>
          <w:bCs/>
          <w:i w:val="0"/>
          <w:iCs w:val="0"/>
          <w:sz w:val="24"/>
          <w:szCs w:val="24"/>
          <w:lang w:val="zh-CN"/>
        </w:rPr>
        <w:fldChar w:fldCharType="end"/>
      </w:r>
      <w:r>
        <w:rPr>
          <w:rFonts w:hint="eastAsia" w:ascii="宋体" w:hAnsi="宋体" w:cs="宋体"/>
          <w:bCs/>
          <w:i w:val="0"/>
          <w:iCs w:val="0"/>
          <w:sz w:val="24"/>
          <w:szCs w:val="24"/>
          <w:lang w:val="en-US" w:eastAsia="zh-CN"/>
        </w:rPr>
        <w:t>6</w:t>
      </w:r>
    </w:p>
    <w:p w14:paraId="08E280C4">
      <w:pPr>
        <w:pStyle w:val="31"/>
        <w:tabs>
          <w:tab w:val="right" w:leader="dot" w:pos="9469"/>
        </w:tabs>
        <w:spacing w:line="360" w:lineRule="auto"/>
        <w:rPr>
          <w:rFonts w:hint="eastAsia" w:eastAsia="宋体"/>
          <w:i w:val="0"/>
          <w:iCs w:val="0"/>
          <w:sz w:val="24"/>
          <w:szCs w:val="24"/>
          <w:lang w:val="en-US" w:eastAsia="zh-CN"/>
        </w:rPr>
      </w:pPr>
      <w:r>
        <w:rPr>
          <w:rFonts w:hint="eastAsia" w:ascii="宋体" w:hAnsi="宋体" w:cs="宋体"/>
          <w:bCs/>
          <w:i w:val="0"/>
          <w:iCs w:val="0"/>
          <w:sz w:val="24"/>
          <w:szCs w:val="24"/>
          <w:lang w:val="zh-CN"/>
        </w:rPr>
        <w:fldChar w:fldCharType="begin"/>
      </w:r>
      <w:r>
        <w:rPr>
          <w:rFonts w:hint="eastAsia" w:ascii="宋体" w:hAnsi="宋体" w:cs="宋体"/>
          <w:bCs/>
          <w:i w:val="0"/>
          <w:iCs w:val="0"/>
          <w:sz w:val="24"/>
          <w:szCs w:val="24"/>
          <w:lang w:val="zh-CN"/>
        </w:rPr>
        <w:instrText xml:space="preserve"> HYPERLINK \l _Toc29194 </w:instrText>
      </w:r>
      <w:r>
        <w:rPr>
          <w:rFonts w:hint="eastAsia" w:ascii="宋体" w:hAnsi="宋体" w:cs="宋体"/>
          <w:bCs/>
          <w:i w:val="0"/>
          <w:iCs w:val="0"/>
          <w:sz w:val="24"/>
          <w:szCs w:val="24"/>
          <w:lang w:val="zh-CN"/>
        </w:rPr>
        <w:fldChar w:fldCharType="separate"/>
      </w:r>
      <w:r>
        <w:rPr>
          <w:rFonts w:hint="eastAsia" w:ascii="宋体" w:hAnsi="宋体"/>
          <w:i w:val="0"/>
          <w:iCs w:val="0"/>
          <w:sz w:val="24"/>
          <w:szCs w:val="24"/>
        </w:rPr>
        <w:t>第六章  投标文件格式</w:t>
      </w:r>
      <w:r>
        <w:rPr>
          <w:i w:val="0"/>
          <w:iCs w:val="0"/>
          <w:sz w:val="24"/>
          <w:szCs w:val="24"/>
        </w:rPr>
        <w:tab/>
      </w:r>
      <w:r>
        <w:rPr>
          <w:rFonts w:hint="eastAsia"/>
          <w:i w:val="0"/>
          <w:iCs w:val="0"/>
          <w:sz w:val="24"/>
          <w:szCs w:val="24"/>
          <w:lang w:val="en-US" w:eastAsia="zh-CN"/>
        </w:rPr>
        <w:t>9</w:t>
      </w:r>
      <w:r>
        <w:rPr>
          <w:rFonts w:hint="eastAsia" w:ascii="宋体" w:hAnsi="宋体" w:cs="宋体"/>
          <w:bCs/>
          <w:i w:val="0"/>
          <w:iCs w:val="0"/>
          <w:sz w:val="24"/>
          <w:szCs w:val="24"/>
          <w:lang w:val="zh-CN"/>
        </w:rPr>
        <w:fldChar w:fldCharType="end"/>
      </w:r>
      <w:r>
        <w:rPr>
          <w:rFonts w:hint="eastAsia" w:ascii="宋体" w:hAnsi="宋体" w:cs="宋体"/>
          <w:bCs/>
          <w:i w:val="0"/>
          <w:iCs w:val="0"/>
          <w:sz w:val="24"/>
          <w:szCs w:val="24"/>
          <w:lang w:val="en-US" w:eastAsia="zh-CN"/>
        </w:rPr>
        <w:t>2</w:t>
      </w:r>
    </w:p>
    <w:p w14:paraId="50E9463A">
      <w:pPr>
        <w:pStyle w:val="22"/>
        <w:tabs>
          <w:tab w:val="right" w:leader="dot" w:pos="9469"/>
        </w:tabs>
        <w:spacing w:line="360" w:lineRule="auto"/>
        <w:rPr>
          <w:sz w:val="24"/>
          <w:szCs w:val="24"/>
        </w:rPr>
      </w:pPr>
    </w:p>
    <w:p w14:paraId="2FEB19B8">
      <w:pPr>
        <w:spacing w:line="360" w:lineRule="auto"/>
        <w:rPr>
          <w:rFonts w:ascii="宋体" w:hAnsi="宋体"/>
          <w:i w:val="0"/>
          <w:iCs w:val="0"/>
          <w:sz w:val="28"/>
          <w:szCs w:val="36"/>
        </w:rPr>
      </w:pPr>
      <w:r>
        <w:rPr>
          <w:rFonts w:hint="eastAsia" w:ascii="宋体" w:hAnsi="宋体" w:cs="宋体"/>
          <w:bCs/>
          <w:i w:val="0"/>
          <w:iCs w:val="0"/>
          <w:sz w:val="28"/>
          <w:szCs w:val="24"/>
          <w:lang w:val="zh-CN"/>
        </w:rPr>
        <w:fldChar w:fldCharType="end"/>
      </w:r>
    </w:p>
    <w:bookmarkEnd w:id="0"/>
    <w:p w14:paraId="414C6FD3">
      <w:pPr>
        <w:spacing w:line="20" w:lineRule="exact"/>
        <w:rPr>
          <w:rFonts w:ascii="宋体" w:hAnsi="宋体"/>
          <w:i w:val="0"/>
          <w:iCs w:val="0"/>
        </w:rPr>
      </w:pPr>
      <w:bookmarkStart w:id="2" w:name="_Toc430530414"/>
    </w:p>
    <w:p w14:paraId="54B3B748">
      <w:pPr>
        <w:spacing w:line="20" w:lineRule="exact"/>
        <w:jc w:val="left"/>
        <w:rPr>
          <w:rFonts w:ascii="宋体" w:hAnsi="宋体"/>
          <w:i w:val="0"/>
          <w:iCs w:val="0"/>
        </w:rPr>
        <w:sectPr>
          <w:footerReference r:id="rId5" w:type="default"/>
          <w:pgSz w:w="11907" w:h="16840"/>
          <w:pgMar w:top="1304" w:right="1134" w:bottom="1304" w:left="1304" w:header="851" w:footer="992" w:gutter="0"/>
          <w:pgBorders>
            <w:top w:val="none" w:sz="0" w:space="0"/>
            <w:left w:val="none" w:sz="0" w:space="0"/>
            <w:bottom w:val="none" w:sz="0" w:space="0"/>
            <w:right w:val="none" w:sz="0" w:space="0"/>
          </w:pgBorders>
          <w:pgNumType w:fmt="numberInDash" w:start="1"/>
          <w:cols w:space="720" w:num="1"/>
          <w:docGrid w:linePitch="312" w:charSpace="0"/>
        </w:sectPr>
      </w:pPr>
    </w:p>
    <w:bookmarkEnd w:id="2"/>
    <w:p w14:paraId="7895CD36">
      <w:pPr>
        <w:spacing w:line="360" w:lineRule="auto"/>
        <w:rPr>
          <w:rFonts w:ascii="宋体" w:hAnsi="宋体"/>
        </w:rPr>
      </w:pPr>
    </w:p>
    <w:p w14:paraId="154C5F87">
      <w:pPr>
        <w:pStyle w:val="2"/>
        <w:spacing w:line="360" w:lineRule="auto"/>
        <w:jc w:val="center"/>
        <w:rPr>
          <w:rFonts w:ascii="宋体" w:hAnsi="宋体"/>
          <w:snapToGrid w:val="0"/>
          <w:kern w:val="0"/>
        </w:rPr>
      </w:pPr>
      <w:bookmarkStart w:id="3" w:name="_Toc224103298"/>
      <w:bookmarkStart w:id="4" w:name="_Toc430530415"/>
      <w:bookmarkStart w:id="5" w:name="_Toc287620666"/>
      <w:bookmarkStart w:id="6" w:name="_Toc18555"/>
      <w:bookmarkStart w:id="7" w:name="_Toc277082535"/>
      <w:bookmarkStart w:id="8" w:name="_Toc509218691"/>
      <w:bookmarkStart w:id="9" w:name="_Toc287607727"/>
      <w:r>
        <w:rPr>
          <w:rFonts w:ascii="宋体" w:hAnsi="宋体"/>
          <w:snapToGrid w:val="0"/>
          <w:kern w:val="0"/>
        </w:rPr>
        <w:t>第一章  招标公告</w:t>
      </w:r>
      <w:bookmarkEnd w:id="3"/>
      <w:bookmarkEnd w:id="4"/>
      <w:bookmarkEnd w:id="5"/>
      <w:bookmarkEnd w:id="6"/>
      <w:bookmarkEnd w:id="7"/>
      <w:bookmarkEnd w:id="8"/>
      <w:bookmarkEnd w:id="9"/>
    </w:p>
    <w:p w14:paraId="794EE9E8">
      <w:pPr>
        <w:autoSpaceDE w:val="0"/>
        <w:autoSpaceDN w:val="0"/>
        <w:adjustRightInd w:val="0"/>
        <w:snapToGrid w:val="0"/>
        <w:spacing w:line="360" w:lineRule="auto"/>
        <w:jc w:val="center"/>
        <w:rPr>
          <w:rFonts w:ascii="宋体" w:hAnsi="宋体"/>
          <w:snapToGrid w:val="0"/>
          <w:kern w:val="0"/>
          <w:sz w:val="28"/>
          <w:szCs w:val="28"/>
        </w:rPr>
      </w:pPr>
      <w:r>
        <w:rPr>
          <w:rFonts w:hint="eastAsia" w:ascii="宋体" w:hAnsi="宋体"/>
          <w:snapToGrid w:val="0"/>
          <w:kern w:val="0"/>
          <w:sz w:val="28"/>
          <w:szCs w:val="28"/>
          <w:u w:val="single"/>
        </w:rPr>
        <w:t>乌江涪陵榨菜绿色智能化生产基地</w:t>
      </w:r>
      <w:r>
        <w:rPr>
          <w:rFonts w:hint="eastAsia" w:ascii="宋体" w:hAnsi="宋体"/>
          <w:snapToGrid w:val="0"/>
          <w:kern w:val="0"/>
          <w:sz w:val="28"/>
          <w:szCs w:val="28"/>
          <w:u w:val="single"/>
          <w:lang w:eastAsia="zh-CN"/>
        </w:rPr>
        <w:t>（</w:t>
      </w:r>
      <w:r>
        <w:rPr>
          <w:rFonts w:hint="eastAsia" w:ascii="宋体" w:hAnsi="宋体"/>
          <w:snapToGrid w:val="0"/>
          <w:kern w:val="0"/>
          <w:sz w:val="28"/>
          <w:szCs w:val="28"/>
          <w:u w:val="single"/>
          <w:lang w:val="en-US" w:eastAsia="zh-CN"/>
        </w:rPr>
        <w:t>一期</w:t>
      </w:r>
      <w:r>
        <w:rPr>
          <w:rFonts w:hint="eastAsia" w:ascii="宋体" w:hAnsi="宋体"/>
          <w:snapToGrid w:val="0"/>
          <w:kern w:val="0"/>
          <w:sz w:val="28"/>
          <w:szCs w:val="28"/>
          <w:u w:val="single"/>
          <w:lang w:eastAsia="zh-CN"/>
        </w:rPr>
        <w:t>）5</w:t>
      </w:r>
      <w:r>
        <w:rPr>
          <w:rFonts w:hint="eastAsia" w:ascii="宋体" w:hAnsi="宋体"/>
          <w:snapToGrid w:val="0"/>
          <w:kern w:val="0"/>
          <w:sz w:val="28"/>
          <w:szCs w:val="28"/>
          <w:u w:val="single"/>
          <w:lang w:val="en-US" w:eastAsia="zh-CN"/>
        </w:rPr>
        <w:t>号</w:t>
      </w:r>
      <w:r>
        <w:rPr>
          <w:rFonts w:hint="eastAsia" w:ascii="宋体" w:hAnsi="宋体"/>
          <w:snapToGrid w:val="0"/>
          <w:kern w:val="0"/>
          <w:sz w:val="28"/>
          <w:szCs w:val="28"/>
          <w:u w:val="single"/>
          <w:lang w:eastAsia="zh-CN"/>
        </w:rPr>
        <w:t>车间原料清洁化加工</w:t>
      </w:r>
      <w:r>
        <w:rPr>
          <w:rFonts w:hint="eastAsia" w:ascii="宋体" w:hAnsi="宋体"/>
          <w:b/>
          <w:bCs/>
          <w:snapToGrid w:val="0"/>
          <w:kern w:val="0"/>
          <w:sz w:val="28"/>
          <w:szCs w:val="28"/>
          <w:u w:val="single"/>
          <w:lang w:eastAsia="zh-CN"/>
        </w:rPr>
        <w:t>非标</w:t>
      </w:r>
      <w:r>
        <w:rPr>
          <w:rFonts w:hint="eastAsia" w:ascii="宋体" w:hAnsi="宋体"/>
          <w:snapToGrid w:val="0"/>
          <w:kern w:val="0"/>
          <w:sz w:val="28"/>
          <w:szCs w:val="28"/>
          <w:u w:val="single"/>
          <w:lang w:eastAsia="zh-CN"/>
        </w:rPr>
        <w:t>设备</w:t>
      </w:r>
      <w:r>
        <w:rPr>
          <w:rFonts w:hint="eastAsia" w:ascii="宋体" w:hAnsi="宋体"/>
          <w:snapToGrid w:val="0"/>
          <w:kern w:val="0"/>
          <w:sz w:val="28"/>
          <w:szCs w:val="28"/>
          <w:u w:val="single"/>
        </w:rPr>
        <w:t>采购及安装</w:t>
      </w:r>
      <w:r>
        <w:rPr>
          <w:rFonts w:ascii="宋体" w:hAnsi="宋体"/>
          <w:snapToGrid w:val="0"/>
          <w:kern w:val="0"/>
          <w:sz w:val="28"/>
          <w:szCs w:val="28"/>
        </w:rPr>
        <w:t>招标公告</w:t>
      </w:r>
    </w:p>
    <w:p w14:paraId="09D2F1DC">
      <w:pPr>
        <w:pStyle w:val="3"/>
        <w:spacing w:before="100" w:after="100" w:line="460" w:lineRule="exact"/>
        <w:rPr>
          <w:rFonts w:ascii="宋体" w:hAnsi="宋体"/>
          <w:snapToGrid w:val="0"/>
          <w:sz w:val="28"/>
          <w:szCs w:val="28"/>
        </w:rPr>
      </w:pPr>
      <w:bookmarkStart w:id="10" w:name="_Toc277082536"/>
      <w:bookmarkStart w:id="11" w:name="_Toc287620667"/>
      <w:bookmarkStart w:id="12" w:name="_Toc430530416"/>
      <w:bookmarkStart w:id="13" w:name="_Toc200359238"/>
      <w:bookmarkStart w:id="14" w:name="_Toc287607728"/>
      <w:bookmarkStart w:id="15" w:name="_Toc509218692"/>
      <w:bookmarkStart w:id="16" w:name="_Toc224103299"/>
      <w:bookmarkStart w:id="17" w:name="_Toc2952"/>
      <w:bookmarkStart w:id="18" w:name="_Toc200359427"/>
      <w:r>
        <w:rPr>
          <w:rFonts w:ascii="宋体" w:hAnsi="宋体"/>
          <w:snapToGrid w:val="0"/>
          <w:sz w:val="28"/>
          <w:szCs w:val="28"/>
        </w:rPr>
        <w:t xml:space="preserve">1. </w:t>
      </w:r>
      <w:r>
        <w:rPr>
          <w:rFonts w:hint="eastAsia" w:ascii="宋体" w:hAnsi="宋体"/>
          <w:snapToGrid w:val="0"/>
          <w:sz w:val="28"/>
          <w:szCs w:val="28"/>
        </w:rPr>
        <w:t xml:space="preserve"> </w:t>
      </w:r>
      <w:r>
        <w:rPr>
          <w:rFonts w:ascii="宋体" w:hAnsi="宋体"/>
          <w:snapToGrid w:val="0"/>
          <w:sz w:val="28"/>
          <w:szCs w:val="28"/>
        </w:rPr>
        <w:t>招标条件</w:t>
      </w:r>
      <w:bookmarkEnd w:id="10"/>
      <w:bookmarkEnd w:id="11"/>
      <w:bookmarkEnd w:id="12"/>
      <w:bookmarkEnd w:id="13"/>
      <w:bookmarkEnd w:id="14"/>
      <w:bookmarkEnd w:id="15"/>
      <w:bookmarkEnd w:id="16"/>
      <w:bookmarkEnd w:id="17"/>
      <w:bookmarkEnd w:id="18"/>
    </w:p>
    <w:p w14:paraId="67183E72">
      <w:pPr>
        <w:tabs>
          <w:tab w:val="left" w:pos="3315"/>
          <w:tab w:val="left" w:pos="3390"/>
          <w:tab w:val="left" w:pos="6120"/>
          <w:tab w:val="left" w:pos="8850"/>
        </w:tabs>
        <w:autoSpaceDE w:val="0"/>
        <w:autoSpaceDN w:val="0"/>
        <w:adjustRightInd w:val="0"/>
        <w:snapToGrid w:val="0"/>
        <w:spacing w:line="460" w:lineRule="exact"/>
        <w:ind w:firstLine="420"/>
        <w:jc w:val="left"/>
        <w:rPr>
          <w:rFonts w:ascii="宋体" w:hAnsi="宋体"/>
          <w:snapToGrid w:val="0"/>
          <w:color w:val="000000" w:themeColor="text1"/>
          <w:kern w:val="0"/>
          <w:szCs w:val="21"/>
          <w14:textFill>
            <w14:solidFill>
              <w14:schemeClr w14:val="tx1"/>
            </w14:solidFill>
          </w14:textFill>
        </w:rPr>
      </w:pPr>
      <w:bookmarkStart w:id="19" w:name="_Toc200359239"/>
      <w:bookmarkStart w:id="20" w:name="_Toc287620668"/>
      <w:bookmarkStart w:id="21" w:name="_Toc224103300"/>
      <w:bookmarkStart w:id="22" w:name="_Toc200359428"/>
      <w:bookmarkStart w:id="23" w:name="_Toc287607729"/>
      <w:bookmarkStart w:id="24" w:name="_Toc4228"/>
      <w:bookmarkStart w:id="25" w:name="_Toc277082537"/>
      <w:bookmarkStart w:id="26" w:name="_Toc509218693"/>
      <w:bookmarkStart w:id="27" w:name="_Toc430530417"/>
      <w:r>
        <w:rPr>
          <w:rFonts w:hint="eastAsia" w:ascii="宋体" w:hAnsi="宋体" w:eastAsia="宋体" w:cs="宋体"/>
          <w:snapToGrid w:val="0"/>
          <w:color w:val="000000" w:themeColor="text1"/>
          <w:kern w:val="0"/>
          <w:szCs w:val="21"/>
          <w:highlight w:val="none"/>
          <w14:textFill>
            <w14:solidFill>
              <w14:schemeClr w14:val="tx1"/>
            </w14:solidFill>
          </w14:textFill>
        </w:rPr>
        <w:t>本次招标项目是</w:t>
      </w:r>
      <w:r>
        <w:rPr>
          <w:rFonts w:hint="eastAsia" w:ascii="宋体" w:hAnsi="宋体" w:eastAsia="宋体" w:cs="宋体"/>
          <w:snapToGrid w:val="0"/>
          <w:color w:val="000000" w:themeColor="text1"/>
          <w:kern w:val="0"/>
          <w:szCs w:val="21"/>
          <w:highlight w:val="none"/>
          <w:u w:val="single"/>
          <w:lang w:val="en-US" w:eastAsia="zh-CN"/>
          <w14:textFill>
            <w14:solidFill>
              <w14:schemeClr w14:val="tx1"/>
            </w14:solidFill>
          </w14:textFill>
        </w:rPr>
        <w:t>乌江涪陵榨菜绿色智能化生产基地（一期）5号车间原料清洁化加工非标设备采购及安装</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snapToGrid w:val="0"/>
          <w:color w:val="000000" w:themeColor="text1"/>
          <w:kern w:val="0"/>
          <w:szCs w:val="21"/>
          <w14:textFill>
            <w14:solidFill>
              <w14:schemeClr w14:val="tx1"/>
            </w14:solidFill>
          </w14:textFill>
        </w:rPr>
        <w:t>招标项目</w:t>
      </w:r>
      <w:r>
        <w:rPr>
          <w:rFonts w:ascii="宋体" w:hAnsi="宋体"/>
          <w:snapToGrid w:val="0"/>
          <w:color w:val="000000" w:themeColor="text1"/>
          <w:kern w:val="0"/>
          <w:szCs w:val="21"/>
          <w14:textFill>
            <w14:solidFill>
              <w14:schemeClr w14:val="tx1"/>
            </w14:solidFill>
          </w14:textFill>
        </w:rPr>
        <w:t>资金来自</w:t>
      </w:r>
      <w:r>
        <w:rPr>
          <w:rFonts w:hint="eastAsia" w:ascii="宋体" w:hAnsi="宋体"/>
          <w:snapToGrid w:val="0"/>
          <w:color w:val="000000" w:themeColor="text1"/>
          <w:kern w:val="0"/>
          <w:szCs w:val="21"/>
          <w:highlight w:val="none"/>
          <w:u w:val="single"/>
          <w14:textFill>
            <w14:solidFill>
              <w14:schemeClr w14:val="tx1"/>
            </w14:solidFill>
          </w14:textFill>
        </w:rPr>
        <w:t>企业自筹</w:t>
      </w:r>
      <w:r>
        <w:rPr>
          <w:rFonts w:ascii="宋体" w:hAnsi="宋体"/>
          <w:snapToGrid w:val="0"/>
          <w:color w:val="000000" w:themeColor="text1"/>
          <w:kern w:val="0"/>
          <w:szCs w:val="21"/>
          <w14:textFill>
            <w14:solidFill>
              <w14:schemeClr w14:val="tx1"/>
            </w14:solidFill>
          </w14:textFill>
        </w:rPr>
        <w:t>，项目出资比例为</w:t>
      </w:r>
      <w:r>
        <w:rPr>
          <w:rFonts w:hint="eastAsia" w:ascii="宋体" w:hAnsi="宋体"/>
          <w:snapToGrid w:val="0"/>
          <w:color w:val="000000" w:themeColor="text1"/>
          <w:kern w:val="0"/>
          <w:szCs w:val="21"/>
          <w:highlight w:val="none"/>
          <w:u w:val="single"/>
          <w14:textFill>
            <w14:solidFill>
              <w14:schemeClr w14:val="tx1"/>
            </w14:solidFill>
          </w14:textFill>
        </w:rPr>
        <w:t>100%</w:t>
      </w:r>
      <w:r>
        <w:rPr>
          <w:rFonts w:hint="eastAsia" w:ascii="宋体" w:hAnsi="宋体"/>
          <w:snapToGrid w:val="0"/>
          <w:color w:val="000000" w:themeColor="text1"/>
          <w:kern w:val="0"/>
          <w:szCs w:val="21"/>
          <w:lang w:eastAsia="zh-CN"/>
          <w14:textFill>
            <w14:solidFill>
              <w14:schemeClr w14:val="tx1"/>
            </w14:solidFill>
          </w14:textFill>
        </w:rPr>
        <w:t>。</w:t>
      </w:r>
      <w:r>
        <w:rPr>
          <w:rFonts w:ascii="宋体" w:hAnsi="宋体"/>
          <w:snapToGrid w:val="0"/>
          <w:color w:val="000000" w:themeColor="text1"/>
          <w:kern w:val="0"/>
          <w:szCs w:val="21"/>
          <w14:textFill>
            <w14:solidFill>
              <w14:schemeClr w14:val="tx1"/>
            </w14:solidFill>
          </w14:textFill>
        </w:rPr>
        <w:t>招标人</w:t>
      </w:r>
      <w:r>
        <w:rPr>
          <w:rFonts w:ascii="宋体" w:hAnsi="宋体"/>
          <w:snapToGrid w:val="0"/>
          <w:color w:val="000000" w:themeColor="text1"/>
          <w:kern w:val="0"/>
          <w:position w:val="-2"/>
          <w:szCs w:val="21"/>
          <w14:textFill>
            <w14:solidFill>
              <w14:schemeClr w14:val="tx1"/>
            </w14:solidFill>
          </w14:textFill>
        </w:rPr>
        <w:t>为</w:t>
      </w:r>
      <w:r>
        <w:rPr>
          <w:rFonts w:hint="eastAsia" w:ascii="宋体" w:hAnsi="宋体"/>
          <w:snapToGrid w:val="0"/>
          <w:color w:val="000000" w:themeColor="text1"/>
          <w:kern w:val="0"/>
          <w:szCs w:val="21"/>
          <w:u w:val="single"/>
          <w14:textFill>
            <w14:solidFill>
              <w14:schemeClr w14:val="tx1"/>
            </w14:solidFill>
          </w14:textFill>
        </w:rPr>
        <w:t>重庆市涪陵榨菜集团股份有限公司</w:t>
      </w:r>
      <w:r>
        <w:rPr>
          <w:rFonts w:ascii="宋体" w:hAnsi="宋体"/>
          <w:snapToGrid w:val="0"/>
          <w:color w:val="000000" w:themeColor="text1"/>
          <w:kern w:val="0"/>
          <w:position w:val="-2"/>
          <w:szCs w:val="21"/>
          <w14:textFill>
            <w14:solidFill>
              <w14:schemeClr w14:val="tx1"/>
            </w14:solidFill>
          </w14:textFill>
        </w:rPr>
        <w:t>。项目已具备招标条件，</w:t>
      </w:r>
      <w:r>
        <w:rPr>
          <w:rFonts w:ascii="宋体" w:hAnsi="宋体"/>
          <w:snapToGrid w:val="0"/>
          <w:color w:val="000000" w:themeColor="text1"/>
          <w:kern w:val="0"/>
          <w:position w:val="-2"/>
          <w:szCs w:val="21"/>
          <w:u w:val="none"/>
          <w14:textFill>
            <w14:solidFill>
              <w14:schemeClr w14:val="tx1"/>
            </w14:solidFill>
          </w14:textFill>
        </w:rPr>
        <w:t>现对</w:t>
      </w:r>
      <w:r>
        <w:rPr>
          <w:rFonts w:hint="eastAsia" w:ascii="宋体" w:hAnsi="宋体"/>
          <w:snapToGrid w:val="0"/>
          <w:color w:val="000000" w:themeColor="text1"/>
          <w:kern w:val="0"/>
          <w:position w:val="-2"/>
          <w:szCs w:val="21"/>
          <w:u w:val="none"/>
          <w14:textFill>
            <w14:solidFill>
              <w14:schemeClr w14:val="tx1"/>
            </w14:solidFill>
          </w14:textFill>
        </w:rPr>
        <w:t>该项目</w:t>
      </w:r>
      <w:r>
        <w:rPr>
          <w:rFonts w:ascii="宋体" w:hAnsi="宋体"/>
          <w:snapToGrid w:val="0"/>
          <w:color w:val="000000" w:themeColor="text1"/>
          <w:kern w:val="0"/>
          <w:position w:val="-2"/>
          <w:szCs w:val="21"/>
          <w:u w:val="none"/>
          <w14:textFill>
            <w14:solidFill>
              <w14:schemeClr w14:val="tx1"/>
            </w14:solidFill>
          </w14:textFill>
        </w:rPr>
        <w:t>进行公开招标</w:t>
      </w:r>
      <w:r>
        <w:rPr>
          <w:rFonts w:hint="eastAsia" w:ascii="宋体" w:hAnsi="宋体"/>
          <w:snapToGrid w:val="0"/>
          <w:color w:val="000000" w:themeColor="text1"/>
          <w:kern w:val="0"/>
          <w:position w:val="-2"/>
          <w:szCs w:val="21"/>
          <w:u w:val="none"/>
          <w:lang w:eastAsia="zh-CN"/>
          <w14:textFill>
            <w14:solidFill>
              <w14:schemeClr w14:val="tx1"/>
            </w14:solidFill>
          </w14:textFill>
        </w:rPr>
        <w:t>，</w:t>
      </w:r>
      <w:r>
        <w:rPr>
          <w:rFonts w:hint="eastAsia" w:ascii="宋体" w:hAnsi="宋体"/>
          <w:snapToGrid w:val="0"/>
          <w:color w:val="000000" w:themeColor="text1"/>
          <w:kern w:val="0"/>
          <w:position w:val="-2"/>
          <w:szCs w:val="21"/>
          <w:u w:val="none"/>
          <w:lang w:val="en-US" w:eastAsia="zh-CN"/>
          <w14:textFill>
            <w14:solidFill>
              <w14:schemeClr w14:val="tx1"/>
            </w14:solidFill>
          </w14:textFill>
        </w:rPr>
        <w:t>评标办法采用</w:t>
      </w:r>
      <w:r>
        <w:rPr>
          <w:rFonts w:hint="eastAsia" w:ascii="宋体" w:hAnsi="宋体"/>
          <w:snapToGrid w:val="0"/>
          <w:color w:val="000000" w:themeColor="text1"/>
          <w:kern w:val="0"/>
          <w:position w:val="-2"/>
          <w:szCs w:val="21"/>
          <w:u w:val="none"/>
          <w14:textFill>
            <w14:solidFill>
              <w14:schemeClr w14:val="tx1"/>
            </w14:solidFill>
          </w14:textFill>
        </w:rPr>
        <w:t>综合评估法</w:t>
      </w:r>
      <w:r>
        <w:rPr>
          <w:rFonts w:hint="eastAsia" w:ascii="宋体" w:hAnsi="宋体"/>
          <w:snapToGrid w:val="0"/>
          <w:color w:val="000000" w:themeColor="text1"/>
          <w:kern w:val="0"/>
          <w:position w:val="-2"/>
          <w:szCs w:val="21"/>
          <w14:textFill>
            <w14:solidFill>
              <w14:schemeClr w14:val="tx1"/>
            </w14:solidFill>
          </w14:textFill>
        </w:rPr>
        <w:t>。</w:t>
      </w:r>
    </w:p>
    <w:p w14:paraId="053D6BEF">
      <w:pPr>
        <w:pStyle w:val="3"/>
        <w:spacing w:before="100" w:after="100" w:line="460" w:lineRule="exact"/>
        <w:rPr>
          <w:rFonts w:ascii="宋体" w:hAnsi="宋体"/>
          <w:snapToGrid w:val="0"/>
          <w:sz w:val="28"/>
          <w:szCs w:val="28"/>
        </w:rPr>
      </w:pPr>
      <w:r>
        <w:rPr>
          <w:rFonts w:ascii="宋体" w:hAnsi="宋体"/>
          <w:snapToGrid w:val="0"/>
          <w:sz w:val="28"/>
          <w:szCs w:val="28"/>
        </w:rPr>
        <w:t>2.</w:t>
      </w:r>
      <w:r>
        <w:rPr>
          <w:rFonts w:hint="eastAsia" w:ascii="宋体" w:hAnsi="宋体"/>
          <w:snapToGrid w:val="0"/>
          <w:sz w:val="28"/>
          <w:szCs w:val="28"/>
        </w:rPr>
        <w:t xml:space="preserve"> </w:t>
      </w:r>
      <w:r>
        <w:rPr>
          <w:rFonts w:ascii="宋体" w:hAnsi="宋体"/>
          <w:snapToGrid w:val="0"/>
          <w:sz w:val="28"/>
          <w:szCs w:val="28"/>
        </w:rPr>
        <w:t xml:space="preserve"> 项目概况与招标范围</w:t>
      </w:r>
      <w:bookmarkEnd w:id="19"/>
      <w:bookmarkEnd w:id="20"/>
      <w:bookmarkEnd w:id="21"/>
      <w:bookmarkEnd w:id="22"/>
      <w:bookmarkEnd w:id="23"/>
      <w:bookmarkEnd w:id="24"/>
      <w:bookmarkEnd w:id="25"/>
      <w:bookmarkEnd w:id="26"/>
      <w:bookmarkEnd w:id="27"/>
    </w:p>
    <w:p w14:paraId="739F7BBD">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u w:val="single"/>
        </w:rPr>
      </w:pPr>
      <w:r>
        <w:rPr>
          <w:rFonts w:hint="eastAsia" w:ascii="宋体" w:hAnsi="宋体"/>
          <w:snapToGrid w:val="0"/>
          <w:kern w:val="0"/>
          <w:szCs w:val="21"/>
        </w:rPr>
        <w:t>2.1 建设地点：</w:t>
      </w:r>
      <w:r>
        <w:rPr>
          <w:rFonts w:hint="eastAsia" w:ascii="宋体" w:hAnsi="宋体"/>
          <w:snapToGrid w:val="0"/>
          <w:color w:val="auto"/>
          <w:kern w:val="0"/>
          <w:szCs w:val="21"/>
          <w:highlight w:val="none"/>
          <w:u w:val="single"/>
        </w:rPr>
        <w:t>重庆市涪陵区马鞍街道人和社区</w:t>
      </w:r>
    </w:p>
    <w:p w14:paraId="7072EBEF">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kern w:val="0"/>
          <w:szCs w:val="21"/>
        </w:rPr>
      </w:pPr>
      <w:r>
        <w:rPr>
          <w:rFonts w:hint="eastAsia" w:ascii="宋体" w:hAnsi="宋体"/>
          <w:snapToGrid w:val="0"/>
          <w:kern w:val="0"/>
          <w:szCs w:val="21"/>
        </w:rPr>
        <w:t>2.2 项目概况与建设规模：</w:t>
      </w:r>
    </w:p>
    <w:p w14:paraId="7EFA23E8">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u w:val="single"/>
          <w:lang w:val="en-US" w:eastAsia="zh-CN"/>
        </w:rPr>
        <w:t>本项目</w:t>
      </w:r>
      <w:r>
        <w:rPr>
          <w:rFonts w:hint="eastAsia" w:ascii="宋体" w:hAnsi="宋体"/>
          <w:snapToGrid w:val="0"/>
          <w:color w:val="auto"/>
          <w:kern w:val="0"/>
          <w:sz w:val="21"/>
          <w:szCs w:val="21"/>
          <w:highlight w:val="none"/>
          <w:u w:val="single"/>
        </w:rPr>
        <w:t>乌江涪陵榨菜绿色智能化生产基地(一期)</w:t>
      </w:r>
      <w:r>
        <w:rPr>
          <w:rFonts w:hint="eastAsia" w:ascii="宋体" w:hAnsi="宋体"/>
          <w:snapToGrid w:val="0"/>
          <w:color w:val="auto"/>
          <w:kern w:val="0"/>
          <w:sz w:val="21"/>
          <w:szCs w:val="21"/>
          <w:highlight w:val="none"/>
          <w:u w:val="single"/>
          <w:lang w:val="en-US" w:eastAsia="zh-CN"/>
        </w:rPr>
        <w:t>5号车间</w:t>
      </w:r>
      <w:r>
        <w:rPr>
          <w:rFonts w:hint="eastAsia" w:ascii="宋体" w:hAnsi="宋体"/>
          <w:snapToGrid w:val="0"/>
          <w:kern w:val="0"/>
          <w:szCs w:val="21"/>
          <w:u w:val="single"/>
          <w:lang w:val="en-US" w:eastAsia="zh-CN"/>
        </w:rPr>
        <w:t>拟采购一套</w:t>
      </w:r>
      <w:r>
        <w:rPr>
          <w:rFonts w:hint="eastAsia" w:ascii="宋体" w:hAnsi="宋体"/>
          <w:snapToGrid w:val="0"/>
          <w:color w:val="auto"/>
          <w:kern w:val="0"/>
          <w:sz w:val="21"/>
          <w:szCs w:val="21"/>
          <w:highlight w:val="none"/>
          <w:u w:val="single"/>
          <w:lang w:val="en-US" w:eastAsia="zh-CN"/>
        </w:rPr>
        <w:t>榨菜原料清洁化加工非标设备，榨菜窖池数量338个，容量约4.5万立方米。</w:t>
      </w:r>
      <w:r>
        <w:rPr>
          <w:rFonts w:hint="eastAsia" w:ascii="宋体" w:hAnsi="宋体" w:cs="宋体"/>
          <w:caps w:val="0"/>
          <w:smallCaps w:val="0"/>
          <w:color w:val="auto"/>
          <w:sz w:val="21"/>
          <w:szCs w:val="21"/>
          <w:highlight w:val="none"/>
          <w:u w:val="single"/>
          <w:lang w:val="en-US" w:eastAsia="zh-CN"/>
        </w:rPr>
        <w:t>青菜头通过</w:t>
      </w:r>
      <w:r>
        <w:rPr>
          <w:rFonts w:hint="eastAsia" w:ascii="宋体" w:hAnsi="宋体" w:cs="宋体"/>
          <w:caps w:val="0"/>
          <w:smallCaps w:val="0"/>
          <w:color w:val="auto"/>
          <w:sz w:val="21"/>
          <w:szCs w:val="21"/>
          <w:highlight w:val="none"/>
          <w:u w:val="single"/>
          <w:lang w:eastAsia="zh-CN"/>
        </w:rPr>
        <w:t>原料清洁化加工非标设备</w:t>
      </w:r>
      <w:r>
        <w:rPr>
          <w:rFonts w:hint="eastAsia" w:ascii="宋体" w:hAnsi="宋体" w:cs="宋体"/>
          <w:caps w:val="0"/>
          <w:smallCaps w:val="0"/>
          <w:color w:val="auto"/>
          <w:sz w:val="21"/>
          <w:szCs w:val="21"/>
          <w:highlight w:val="none"/>
          <w:u w:val="single"/>
          <w:lang w:val="en-US" w:eastAsia="zh-CN"/>
        </w:rPr>
        <w:t>清洗筛分后输送入车间，再用电动自卸货车转运入池腌制。窖池腌制封池采用水袋模式，本次采购100个窖池的封池水袋。本车间榨菜原料（青菜头）收购加工能力为150t/h，菜原料（盐菜块）收购加工能力为120t/h。设备须满足连续稳定运行要求</w:t>
      </w:r>
      <w:r>
        <w:rPr>
          <w:rFonts w:hint="eastAsia" w:ascii="宋体" w:hAnsi="宋体" w:cs="宋体"/>
          <w:caps w:val="0"/>
          <w:smallCaps w:val="0"/>
          <w:color w:val="auto"/>
          <w:sz w:val="21"/>
          <w:szCs w:val="21"/>
          <w:highlight w:val="none"/>
          <w:u w:val="single"/>
          <w:lang w:eastAsia="zh-CN"/>
        </w:rPr>
        <w:t>。</w:t>
      </w:r>
    </w:p>
    <w:p w14:paraId="67216A30">
      <w:pPr>
        <w:tabs>
          <w:tab w:val="left" w:pos="3840"/>
          <w:tab w:val="left" w:pos="5300"/>
        </w:tabs>
        <w:autoSpaceDE w:val="0"/>
        <w:autoSpaceDN w:val="0"/>
        <w:adjustRightInd w:val="0"/>
        <w:snapToGrid w:val="0"/>
        <w:spacing w:line="460" w:lineRule="exact"/>
        <w:ind w:firstLine="420" w:firstLineChars="200"/>
        <w:jc w:val="left"/>
        <w:rPr>
          <w:rFonts w:ascii="宋体" w:hAnsi="宋体"/>
          <w:snapToGrid w:val="0"/>
          <w:kern w:val="0"/>
          <w:szCs w:val="21"/>
        </w:rPr>
      </w:pPr>
      <w:r>
        <w:rPr>
          <w:rFonts w:hint="eastAsia" w:ascii="宋体" w:hAnsi="宋体"/>
          <w:snapToGrid w:val="0"/>
          <w:kern w:val="0"/>
          <w:szCs w:val="21"/>
        </w:rPr>
        <w:t>2.3 本次招标项目货物采购估算金额：</w:t>
      </w:r>
      <w:r>
        <w:rPr>
          <w:rFonts w:hint="eastAsia" w:ascii="宋体" w:hAnsi="宋体"/>
          <w:snapToGrid w:val="0"/>
          <w:kern w:val="0"/>
          <w:szCs w:val="21"/>
          <w:u w:val="single"/>
        </w:rPr>
        <w:t xml:space="preserve"> </w:t>
      </w:r>
      <w:r>
        <w:rPr>
          <w:rFonts w:hint="eastAsia" w:ascii="宋体" w:hAnsi="宋体"/>
          <w:snapToGrid w:val="0"/>
          <w:kern w:val="0"/>
          <w:szCs w:val="21"/>
          <w:u w:val="single"/>
          <w:lang w:val="en-US" w:eastAsia="zh-CN"/>
        </w:rPr>
        <w:t>1200万元</w:t>
      </w:r>
      <w:r>
        <w:rPr>
          <w:rFonts w:hint="eastAsia" w:ascii="宋体" w:hAnsi="宋体"/>
          <w:snapToGrid w:val="0"/>
          <w:kern w:val="0"/>
          <w:szCs w:val="21"/>
          <w:u w:val="single"/>
        </w:rPr>
        <w:t xml:space="preserve"> </w:t>
      </w:r>
    </w:p>
    <w:p w14:paraId="38BD65F9">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kern w:val="0"/>
          <w:szCs w:val="21"/>
        </w:rPr>
      </w:pPr>
      <w:r>
        <w:rPr>
          <w:rFonts w:hint="eastAsia" w:ascii="宋体" w:hAnsi="宋体"/>
          <w:snapToGrid w:val="0"/>
          <w:kern w:val="0"/>
          <w:szCs w:val="21"/>
        </w:rPr>
        <w:t>2.4 招标范围：</w:t>
      </w:r>
    </w:p>
    <w:p w14:paraId="54C4BEA5">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购置一套非标榨菜原料清洁化加工系统设备</w:t>
      </w:r>
      <w:r>
        <w:rPr>
          <w:rFonts w:hint="eastAsia" w:ascii="宋体" w:hAnsi="宋体"/>
          <w:snapToGrid w:val="0"/>
          <w:color w:val="auto"/>
          <w:kern w:val="0"/>
          <w:sz w:val="21"/>
          <w:szCs w:val="21"/>
          <w:highlight w:val="none"/>
          <w:u w:val="none"/>
          <w:lang w:eastAsia="zh-CN"/>
        </w:rPr>
        <w:t>及</w:t>
      </w:r>
      <w:r>
        <w:rPr>
          <w:rFonts w:hint="eastAsia" w:ascii="宋体" w:hAnsi="宋体"/>
          <w:snapToGrid w:val="0"/>
          <w:color w:val="auto"/>
          <w:kern w:val="0"/>
          <w:sz w:val="21"/>
          <w:szCs w:val="21"/>
          <w:highlight w:val="none"/>
          <w:u w:val="none"/>
          <w:lang w:val="en-US" w:eastAsia="zh-CN"/>
        </w:rPr>
        <w:t>其配套设备</w:t>
      </w:r>
      <w:r>
        <w:rPr>
          <w:rFonts w:hint="eastAsia" w:ascii="宋体" w:hAnsi="宋体"/>
          <w:snapToGrid w:val="0"/>
          <w:color w:val="auto"/>
          <w:kern w:val="0"/>
          <w:sz w:val="21"/>
          <w:szCs w:val="21"/>
          <w:highlight w:val="none"/>
          <w:u w:val="none"/>
          <w:lang w:eastAsia="zh-CN"/>
        </w:rPr>
        <w:t>，</w:t>
      </w:r>
      <w:r>
        <w:rPr>
          <w:rFonts w:hint="eastAsia" w:ascii="宋体" w:hAnsi="宋体"/>
          <w:snapToGrid w:val="0"/>
          <w:color w:val="auto"/>
          <w:kern w:val="0"/>
          <w:sz w:val="21"/>
          <w:szCs w:val="21"/>
          <w:highlight w:val="none"/>
          <w:u w:val="none"/>
          <w:lang w:val="en-US" w:eastAsia="zh-CN"/>
        </w:rPr>
        <w:t>实现青菜头的清洁化收购与加工，具体包括但不限于以下内容：</w:t>
      </w:r>
    </w:p>
    <w:p w14:paraId="0A9AB0EA">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（1）</w:t>
      </w:r>
      <w:r>
        <w:rPr>
          <w:rFonts w:hint="eastAsia" w:ascii="宋体" w:hAnsi="宋体"/>
          <w:snapToGrid w:val="0"/>
          <w:color w:val="auto"/>
          <w:kern w:val="0"/>
          <w:sz w:val="21"/>
          <w:szCs w:val="21"/>
          <w:highlight w:val="none"/>
          <w:u w:val="none"/>
          <w:lang w:val="en-US" w:eastAsia="zh-CN"/>
        </w:rPr>
        <w:t>榨菜原料清洁化加工：称重卸车、缓冲水池初清洗、筛分除渣、二次清洗、输送系统、转运车接料系统等设施设备。</w:t>
      </w:r>
    </w:p>
    <w:p w14:paraId="774832EC">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（2）</w:t>
      </w:r>
      <w:r>
        <w:rPr>
          <w:rFonts w:hint="eastAsia" w:ascii="宋体" w:hAnsi="宋体"/>
          <w:snapToGrid w:val="0"/>
          <w:color w:val="auto"/>
          <w:kern w:val="0"/>
          <w:sz w:val="21"/>
          <w:szCs w:val="21"/>
          <w:highlight w:val="none"/>
          <w:u w:val="none"/>
          <w:lang w:val="en-US" w:eastAsia="zh-CN"/>
        </w:rPr>
        <w:t>辅助设备：封池水袋、叉车。</w:t>
      </w:r>
    </w:p>
    <w:p w14:paraId="14B2F6B9">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（3）</w:t>
      </w:r>
      <w:r>
        <w:rPr>
          <w:rFonts w:hint="eastAsia" w:ascii="宋体" w:hAnsi="宋体"/>
          <w:snapToGrid w:val="0"/>
          <w:color w:val="auto"/>
          <w:kern w:val="0"/>
          <w:sz w:val="21"/>
          <w:szCs w:val="21"/>
          <w:highlight w:val="none"/>
          <w:u w:val="none"/>
          <w:lang w:val="en-US" w:eastAsia="zh-CN"/>
        </w:rPr>
        <w:t>视频监控系统：设备区域全覆盖。</w:t>
      </w:r>
    </w:p>
    <w:p w14:paraId="47079EFD">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（4）</w:t>
      </w:r>
      <w:r>
        <w:rPr>
          <w:rFonts w:hint="eastAsia" w:ascii="宋体" w:hAnsi="宋体"/>
          <w:snapToGrid w:val="0"/>
          <w:color w:val="auto"/>
          <w:kern w:val="0"/>
          <w:sz w:val="21"/>
          <w:szCs w:val="21"/>
          <w:highlight w:val="none"/>
          <w:u w:val="none"/>
          <w:lang w:val="en-US" w:eastAsia="zh-CN"/>
        </w:rPr>
        <w:t>土建部分：磅房、设备基础(含水池、水渠、地坑等)、预埋件、孔洞及孔洞封堵、管沟（如有）等。</w:t>
      </w:r>
    </w:p>
    <w:p w14:paraId="49B55D0E">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（5）</w:t>
      </w:r>
      <w:r>
        <w:rPr>
          <w:rFonts w:hint="eastAsia" w:ascii="宋体" w:hAnsi="宋体"/>
          <w:snapToGrid w:val="0"/>
          <w:color w:val="auto"/>
          <w:kern w:val="0"/>
          <w:sz w:val="21"/>
          <w:szCs w:val="21"/>
          <w:highlight w:val="none"/>
          <w:u w:val="none"/>
          <w:lang w:val="en-US" w:eastAsia="zh-CN"/>
        </w:rPr>
        <w:t>投标人负责项目的设计、安装、调试、</w:t>
      </w:r>
      <w:r>
        <w:rPr>
          <w:rFonts w:hint="default" w:ascii="宋体" w:hAnsi="宋体"/>
          <w:snapToGrid w:val="0"/>
          <w:color w:val="auto"/>
          <w:kern w:val="0"/>
          <w:sz w:val="21"/>
          <w:szCs w:val="21"/>
          <w:highlight w:val="none"/>
          <w:u w:val="none"/>
          <w:lang w:val="en-US" w:eastAsia="zh-CN"/>
        </w:rPr>
        <w:t>运输</w:t>
      </w:r>
      <w:r>
        <w:rPr>
          <w:rFonts w:hint="eastAsia" w:ascii="宋体" w:hAnsi="宋体"/>
          <w:snapToGrid w:val="0"/>
          <w:color w:val="auto"/>
          <w:kern w:val="0"/>
          <w:sz w:val="21"/>
          <w:szCs w:val="21"/>
          <w:highlight w:val="none"/>
          <w:u w:val="none"/>
          <w:lang w:val="en-US" w:eastAsia="zh-CN"/>
        </w:rPr>
        <w:t>（含包装、装卸、保险、二次或多次转运）、存储、人员培训、设备试运行、设备性能测试、设备验收、设备移交、竣工图移交、设备资料移交和售后服务等事项。</w:t>
      </w:r>
    </w:p>
    <w:p w14:paraId="55CEE55F">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（6）</w:t>
      </w:r>
      <w:r>
        <w:rPr>
          <w:rFonts w:hint="eastAsia" w:ascii="宋体" w:hAnsi="宋体"/>
          <w:snapToGrid w:val="0"/>
          <w:color w:val="auto"/>
          <w:kern w:val="0"/>
          <w:sz w:val="21"/>
          <w:szCs w:val="21"/>
          <w:highlight w:val="none"/>
          <w:u w:val="none"/>
          <w:lang w:val="en-US" w:eastAsia="zh-CN"/>
        </w:rPr>
        <w:t xml:space="preserve">投标人最终向招标人交付一个符合设计容量、关键技术参数、安全环保要求且具备稳定运行条件的完整榨菜原料清洁化加工非标设备（不含电动自卸货车），所有设备为全新未使用过的。且第五章“供货要求”未注明由招标人负责的但5#车间原料加工系统运行不可缺的设备和功能均属于投标人供货施工范围。 </w:t>
      </w:r>
    </w:p>
    <w:p w14:paraId="29EAD447">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（7）</w:t>
      </w:r>
      <w:r>
        <w:rPr>
          <w:rFonts w:hint="eastAsia" w:ascii="宋体" w:hAnsi="宋体"/>
          <w:snapToGrid w:val="0"/>
          <w:color w:val="auto"/>
          <w:kern w:val="0"/>
          <w:sz w:val="21"/>
          <w:szCs w:val="21"/>
          <w:highlight w:val="none"/>
          <w:u w:val="none"/>
          <w:lang w:val="en-US" w:eastAsia="zh-CN"/>
        </w:rPr>
        <w:t>具体详见第五章供货要求。</w:t>
      </w:r>
    </w:p>
    <w:p w14:paraId="2ACA923F">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snapToGrid w:val="0"/>
          <w:color w:val="auto"/>
          <w:kern w:val="0"/>
          <w:sz w:val="21"/>
          <w:szCs w:val="21"/>
          <w:highlight w:val="none"/>
          <w:u w:val="none"/>
          <w:lang w:val="en-US" w:eastAsia="zh-CN"/>
        </w:rPr>
      </w:pPr>
      <w:r>
        <w:rPr>
          <w:rFonts w:hint="eastAsia" w:ascii="宋体" w:hAnsi="宋体"/>
          <w:snapToGrid w:val="0"/>
          <w:kern w:val="0"/>
          <w:szCs w:val="21"/>
        </w:rPr>
        <w:t>2.5 交货地点：</w:t>
      </w:r>
      <w:r>
        <w:rPr>
          <w:rFonts w:hint="eastAsia" w:ascii="宋体" w:hAnsi="宋体"/>
          <w:snapToGrid w:val="0"/>
          <w:kern w:val="0"/>
          <w:szCs w:val="21"/>
          <w:u w:val="single"/>
        </w:rPr>
        <w:t xml:space="preserve"> </w:t>
      </w:r>
      <w:r>
        <w:rPr>
          <w:rFonts w:hint="eastAsia" w:ascii="宋体" w:hAnsi="宋体"/>
          <w:snapToGrid w:val="0"/>
          <w:color w:val="auto"/>
          <w:kern w:val="0"/>
          <w:sz w:val="21"/>
          <w:szCs w:val="21"/>
          <w:highlight w:val="none"/>
          <w:u w:val="single"/>
          <w:lang w:val="en-US" w:eastAsia="zh-CN"/>
        </w:rPr>
        <w:t>乌江涪陵榨菜绿色智能化生产基地(一期)5号车间</w:t>
      </w:r>
      <w:r>
        <w:rPr>
          <w:rFonts w:hint="eastAsia" w:ascii="宋体" w:hAnsi="宋体"/>
          <w:snapToGrid w:val="0"/>
          <w:color w:val="auto"/>
          <w:kern w:val="0"/>
          <w:sz w:val="21"/>
          <w:szCs w:val="21"/>
          <w:highlight w:val="none"/>
          <w:u w:val="none"/>
          <w:lang w:val="en-US" w:eastAsia="zh-CN"/>
        </w:rPr>
        <w:t xml:space="preserve"> </w:t>
      </w:r>
    </w:p>
    <w:p w14:paraId="790EA87F">
      <w:pPr>
        <w:tabs>
          <w:tab w:val="left" w:pos="3840"/>
          <w:tab w:val="left" w:pos="5300"/>
        </w:tabs>
        <w:autoSpaceDE w:val="0"/>
        <w:autoSpaceDN w:val="0"/>
        <w:adjustRightInd w:val="0"/>
        <w:snapToGrid w:val="0"/>
        <w:spacing w:line="460" w:lineRule="exact"/>
        <w:ind w:firstLine="420" w:firstLineChars="200"/>
        <w:jc w:val="left"/>
        <w:rPr>
          <w:rFonts w:hint="default" w:ascii="宋体" w:hAnsi="宋体"/>
          <w:snapToGrid w:val="0"/>
          <w:color w:val="auto"/>
          <w:kern w:val="0"/>
          <w:szCs w:val="21"/>
          <w:lang w:val="en-US"/>
        </w:rPr>
      </w:pPr>
      <w:r>
        <w:rPr>
          <w:rFonts w:hint="eastAsia" w:ascii="宋体" w:hAnsi="宋体"/>
          <w:snapToGrid w:val="0"/>
          <w:kern w:val="0"/>
          <w:szCs w:val="21"/>
        </w:rPr>
        <w:t xml:space="preserve">2.6 </w:t>
      </w:r>
      <w:bookmarkStart w:id="28" w:name="_Hlk64626254"/>
      <w:r>
        <w:rPr>
          <w:rFonts w:hint="eastAsia" w:ascii="宋体" w:hAnsi="宋体"/>
          <w:snapToGrid w:val="0"/>
          <w:kern w:val="0"/>
          <w:szCs w:val="21"/>
        </w:rPr>
        <w:t>交货</w:t>
      </w:r>
      <w:r>
        <w:rPr>
          <w:rFonts w:hint="eastAsia" w:ascii="宋体" w:hAnsi="宋体"/>
          <w:snapToGrid w:val="0"/>
          <w:color w:val="auto"/>
          <w:kern w:val="0"/>
          <w:szCs w:val="21"/>
        </w:rPr>
        <w:t>期：</w:t>
      </w:r>
      <w:r>
        <w:rPr>
          <w:rFonts w:hint="eastAsia" w:ascii="宋体" w:hAnsi="宋体" w:eastAsia="宋体" w:cs="宋体"/>
          <w:snapToGrid w:val="0"/>
          <w:color w:val="auto"/>
          <w:kern w:val="0"/>
          <w:szCs w:val="21"/>
          <w:highlight w:val="none"/>
          <w:u w:val="single"/>
          <w:lang w:val="en-US" w:eastAsia="zh-CN"/>
        </w:rPr>
        <w:t>160</w:t>
      </w:r>
      <w:r>
        <w:rPr>
          <w:rFonts w:hint="eastAsia" w:ascii="宋体" w:hAnsi="宋体" w:eastAsia="宋体" w:cs="宋体"/>
          <w:snapToGrid w:val="0"/>
          <w:color w:val="auto"/>
          <w:kern w:val="0"/>
          <w:szCs w:val="21"/>
          <w:highlight w:val="none"/>
          <w:u w:val="single"/>
        </w:rPr>
        <w:t xml:space="preserve"> 日历天</w:t>
      </w:r>
      <w:r>
        <w:rPr>
          <w:rFonts w:hint="eastAsia" w:ascii="宋体" w:hAnsi="宋体" w:eastAsia="宋体" w:cs="宋体"/>
          <w:snapToGrid w:val="0"/>
          <w:color w:val="auto"/>
          <w:kern w:val="0"/>
          <w:szCs w:val="21"/>
          <w:highlight w:val="none"/>
          <w:u w:val="single"/>
          <w:lang w:eastAsia="zh-CN"/>
        </w:rPr>
        <w:t>（</w:t>
      </w:r>
      <w:r>
        <w:rPr>
          <w:rFonts w:hint="eastAsia" w:ascii="宋体" w:hAnsi="宋体" w:eastAsia="宋体" w:cs="宋体"/>
          <w:snapToGrid w:val="0"/>
          <w:color w:val="auto"/>
          <w:kern w:val="0"/>
          <w:szCs w:val="21"/>
          <w:highlight w:val="none"/>
          <w:u w:val="single"/>
          <w:lang w:val="en-US" w:eastAsia="zh-CN"/>
        </w:rPr>
        <w:t>含设备安装调试工期40日历天</w:t>
      </w:r>
      <w:r>
        <w:rPr>
          <w:rFonts w:hint="eastAsia" w:ascii="宋体" w:hAnsi="宋体" w:eastAsia="宋体" w:cs="宋体"/>
          <w:snapToGrid w:val="0"/>
          <w:color w:val="auto"/>
          <w:kern w:val="0"/>
          <w:szCs w:val="21"/>
          <w:highlight w:val="none"/>
          <w:u w:val="single"/>
          <w:lang w:eastAsia="zh-CN"/>
        </w:rPr>
        <w:t>）</w:t>
      </w:r>
      <w:r>
        <w:rPr>
          <w:rFonts w:hint="eastAsia" w:ascii="宋体" w:hAnsi="宋体"/>
          <w:snapToGrid w:val="0"/>
          <w:color w:val="auto"/>
          <w:kern w:val="0"/>
          <w:szCs w:val="21"/>
          <w:highlight w:val="yellow"/>
          <w:u w:val="none"/>
        </w:rPr>
        <w:t>，</w:t>
      </w:r>
      <w:r>
        <w:rPr>
          <w:rFonts w:hint="eastAsia" w:ascii="宋体" w:hAnsi="宋体" w:eastAsia="宋体" w:cs="宋体"/>
          <w:snapToGrid w:val="0"/>
          <w:color w:val="auto"/>
          <w:kern w:val="0"/>
          <w:szCs w:val="21"/>
          <w:highlight w:val="yellow"/>
          <w:u w:val="single"/>
          <w:lang w:val="en-US" w:eastAsia="zh-CN"/>
        </w:rPr>
        <w:t>合同签订之日起</w:t>
      </w:r>
      <w:r>
        <w:rPr>
          <w:rFonts w:hint="eastAsia" w:ascii="宋体" w:hAnsi="宋体" w:cs="宋体"/>
          <w:snapToGrid w:val="0"/>
          <w:color w:val="auto"/>
          <w:kern w:val="0"/>
          <w:szCs w:val="21"/>
          <w:highlight w:val="yellow"/>
          <w:u w:val="single"/>
          <w:lang w:val="en-US" w:eastAsia="zh-CN"/>
        </w:rPr>
        <w:t>计算。</w:t>
      </w:r>
    </w:p>
    <w:bookmarkEnd w:id="28"/>
    <w:p w14:paraId="28CB7DF6">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460" w:lineRule="exact"/>
        <w:ind w:firstLine="420" w:firstLineChars="200"/>
        <w:jc w:val="left"/>
        <w:textAlignment w:val="auto"/>
        <w:rPr>
          <w:rFonts w:hint="eastAsia" w:ascii="宋体" w:hAnsi="宋体" w:eastAsia="宋体" w:cs="宋体"/>
          <w:caps w:val="0"/>
          <w:smallCaps w:val="0"/>
          <w:color w:val="auto"/>
          <w:sz w:val="21"/>
          <w:szCs w:val="21"/>
          <w:highlight w:val="none"/>
          <w:lang w:val="en-US" w:eastAsia="zh-CN"/>
        </w:rPr>
      </w:pPr>
      <w:bookmarkStart w:id="29" w:name="_Toc200359429"/>
      <w:bookmarkStart w:id="30" w:name="_Toc224103301"/>
      <w:bookmarkStart w:id="31" w:name="_Toc430530418"/>
      <w:bookmarkStart w:id="32" w:name="_Toc287620669"/>
      <w:bookmarkStart w:id="33" w:name="_Toc277082538"/>
      <w:bookmarkStart w:id="34" w:name="_Toc287607730"/>
      <w:bookmarkStart w:id="35" w:name="_Toc200359240"/>
      <w:bookmarkStart w:id="36" w:name="_Toc509218694"/>
      <w:r>
        <w:rPr>
          <w:rFonts w:hint="eastAsia" w:ascii="宋体" w:hAnsi="宋体" w:eastAsia="宋体"/>
          <w:snapToGrid w:val="0"/>
          <w:color w:val="auto"/>
          <w:kern w:val="0"/>
          <w:szCs w:val="21"/>
          <w:lang w:val="en-US" w:eastAsia="zh-CN"/>
        </w:rPr>
        <w:t>2.7 质量保证期：</w:t>
      </w:r>
      <w:r>
        <w:rPr>
          <w:rFonts w:hint="eastAsia" w:ascii="宋体" w:hAnsi="宋体" w:eastAsia="宋体" w:cs="宋体"/>
          <w:caps w:val="0"/>
          <w:smallCaps w:val="0"/>
          <w:color w:val="auto"/>
          <w:sz w:val="21"/>
          <w:szCs w:val="21"/>
          <w:lang w:val="en-US" w:eastAsia="zh-CN"/>
        </w:rPr>
        <w:t>所有设备验收合格</w:t>
      </w:r>
      <w:r>
        <w:rPr>
          <w:rFonts w:hint="eastAsia" w:ascii="宋体" w:hAnsi="宋体" w:eastAsia="宋体" w:cs="宋体"/>
          <w:caps w:val="0"/>
          <w:smallCaps w:val="0"/>
          <w:color w:val="auto"/>
          <w:kern w:val="2"/>
          <w:sz w:val="21"/>
          <w:szCs w:val="21"/>
          <w:highlight w:val="none"/>
          <w:lang w:val="en-US" w:eastAsia="zh-CN" w:bidi="ar-SA"/>
        </w:rPr>
        <w:t>并交付业主使用</w:t>
      </w:r>
      <w:r>
        <w:rPr>
          <w:rFonts w:hint="eastAsia" w:ascii="宋体" w:hAnsi="宋体" w:eastAsia="宋体" w:cs="宋体"/>
          <w:caps w:val="0"/>
          <w:smallCaps w:val="0"/>
          <w:color w:val="auto"/>
          <w:sz w:val="21"/>
          <w:szCs w:val="21"/>
          <w:lang w:val="en-US" w:eastAsia="zh-CN"/>
        </w:rPr>
        <w:t>之日起</w:t>
      </w:r>
      <w:r>
        <w:rPr>
          <w:rFonts w:hint="eastAsia" w:ascii="宋体" w:hAnsi="宋体" w:eastAsia="宋体" w:cs="宋体"/>
          <w:caps w:val="0"/>
          <w:smallCaps w:val="0"/>
          <w:color w:val="auto"/>
          <w:sz w:val="21"/>
          <w:szCs w:val="21"/>
          <w:u w:val="single"/>
          <w:lang w:val="en-US" w:eastAsia="zh-CN"/>
        </w:rPr>
        <w:t>24</w:t>
      </w:r>
      <w:r>
        <w:rPr>
          <w:rFonts w:hint="eastAsia" w:ascii="宋体" w:hAnsi="宋体" w:eastAsia="宋体" w:cs="宋体"/>
          <w:caps w:val="0"/>
          <w:smallCaps w:val="0"/>
          <w:color w:val="auto"/>
          <w:sz w:val="21"/>
          <w:szCs w:val="21"/>
          <w:lang w:val="en-US" w:eastAsia="zh-CN"/>
        </w:rPr>
        <w:t>个月</w:t>
      </w:r>
      <w:r>
        <w:rPr>
          <w:rFonts w:hint="eastAsia" w:ascii="宋体" w:hAnsi="宋体" w:cs="宋体"/>
          <w:caps w:val="0"/>
          <w:smallCaps w:val="0"/>
          <w:color w:val="auto"/>
          <w:sz w:val="21"/>
          <w:szCs w:val="21"/>
          <w:lang w:val="en-US" w:eastAsia="zh-CN"/>
        </w:rPr>
        <w:t>，</w:t>
      </w:r>
      <w:r>
        <w:rPr>
          <w:rFonts w:hint="eastAsia" w:ascii="宋体" w:hAnsi="宋体" w:eastAsia="宋体"/>
          <w:b/>
          <w:bCs/>
          <w:snapToGrid w:val="0"/>
          <w:color w:val="auto"/>
          <w:kern w:val="0"/>
          <w:sz w:val="21"/>
          <w:szCs w:val="21"/>
          <w:highlight w:val="none"/>
          <w:lang w:val="en-US" w:eastAsia="zh-CN"/>
        </w:rPr>
        <w:t>投标人可选择延长质保期</w:t>
      </w:r>
      <w:r>
        <w:rPr>
          <w:rFonts w:hint="eastAsia" w:ascii="宋体" w:hAnsi="宋体" w:eastAsia="宋体" w:cs="宋体"/>
          <w:caps w:val="0"/>
          <w:smallCaps w:val="0"/>
          <w:color w:val="auto"/>
          <w:kern w:val="2"/>
          <w:sz w:val="21"/>
          <w:szCs w:val="21"/>
          <w:highlight w:val="none"/>
          <w:lang w:val="en-US" w:eastAsia="zh-CN" w:bidi="ar-SA"/>
        </w:rPr>
        <w:t>。</w:t>
      </w:r>
    </w:p>
    <w:p w14:paraId="49E70A6C">
      <w:pPr>
        <w:pStyle w:val="3"/>
        <w:spacing w:before="100" w:after="100" w:line="460" w:lineRule="exact"/>
        <w:rPr>
          <w:rFonts w:ascii="宋体" w:hAnsi="宋体"/>
          <w:snapToGrid w:val="0"/>
          <w:color w:val="auto"/>
          <w:sz w:val="28"/>
          <w:szCs w:val="28"/>
        </w:rPr>
      </w:pPr>
      <w:bookmarkStart w:id="37" w:name="_Toc30043"/>
      <w:r>
        <w:rPr>
          <w:rFonts w:ascii="宋体" w:hAnsi="宋体"/>
          <w:snapToGrid w:val="0"/>
          <w:color w:val="auto"/>
          <w:sz w:val="28"/>
          <w:szCs w:val="28"/>
        </w:rPr>
        <w:t xml:space="preserve">3. </w:t>
      </w:r>
      <w:r>
        <w:rPr>
          <w:rFonts w:hint="eastAsia" w:ascii="宋体" w:hAnsi="宋体"/>
          <w:snapToGrid w:val="0"/>
          <w:color w:val="auto"/>
          <w:sz w:val="28"/>
          <w:szCs w:val="28"/>
        </w:rPr>
        <w:t xml:space="preserve"> </w:t>
      </w:r>
      <w:r>
        <w:rPr>
          <w:rFonts w:ascii="宋体" w:hAnsi="宋体"/>
          <w:snapToGrid w:val="0"/>
          <w:color w:val="auto"/>
          <w:sz w:val="28"/>
          <w:szCs w:val="28"/>
        </w:rPr>
        <w:t>投标人资格要求</w:t>
      </w:r>
      <w:bookmarkEnd w:id="29"/>
      <w:bookmarkEnd w:id="30"/>
      <w:bookmarkEnd w:id="31"/>
      <w:bookmarkEnd w:id="32"/>
      <w:bookmarkEnd w:id="33"/>
      <w:bookmarkEnd w:id="34"/>
      <w:bookmarkEnd w:id="35"/>
      <w:bookmarkEnd w:id="36"/>
      <w:bookmarkEnd w:id="37"/>
    </w:p>
    <w:p w14:paraId="19A0D387">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auto"/>
          <w:kern w:val="0"/>
          <w:szCs w:val="21"/>
          <w:highlight w:val="none"/>
        </w:rPr>
      </w:pPr>
      <w:bookmarkStart w:id="38" w:name="_Toc277082539"/>
      <w:bookmarkStart w:id="39" w:name="_Toc200359241"/>
      <w:bookmarkStart w:id="40" w:name="_Toc287607731"/>
      <w:bookmarkStart w:id="41" w:name="_Toc224103302"/>
      <w:bookmarkStart w:id="42" w:name="_Toc200359430"/>
      <w:bookmarkStart w:id="43" w:name="_Toc430530419"/>
      <w:bookmarkStart w:id="44" w:name="_Toc287620670"/>
      <w:bookmarkStart w:id="45" w:name="_Toc509218695"/>
      <w:r>
        <w:rPr>
          <w:rFonts w:hint="eastAsia" w:ascii="宋体" w:hAnsi="宋体" w:eastAsia="宋体" w:cs="宋体"/>
          <w:snapToGrid w:val="0"/>
          <w:color w:val="auto"/>
          <w:kern w:val="0"/>
          <w:szCs w:val="21"/>
          <w:highlight w:val="none"/>
        </w:rPr>
        <w:t>3.1本次招标要求投标人具备的资质条件：详见招标文件第二章投标人须知前附表第1.4.1项内容；</w:t>
      </w:r>
    </w:p>
    <w:p w14:paraId="1AE380ED">
      <w:pPr>
        <w:pageBreakBefore w:val="0"/>
        <w:tabs>
          <w:tab w:val="left" w:pos="3840"/>
          <w:tab w:val="left" w:pos="530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auto"/>
          <w:kern w:val="0"/>
          <w:szCs w:val="21"/>
          <w:highlight w:val="none"/>
        </w:rPr>
      </w:pPr>
      <w:r>
        <w:rPr>
          <w:rFonts w:hint="eastAsia" w:ascii="宋体" w:hAnsi="宋体" w:eastAsia="宋体" w:cs="宋体"/>
          <w:snapToGrid w:val="0"/>
          <w:color w:val="auto"/>
          <w:kern w:val="0"/>
          <w:szCs w:val="21"/>
          <w:highlight w:val="none"/>
        </w:rPr>
        <w:t>3.2 投标人还应在人员、业绩、设备、资金等方面具有相应的施工能力，详见招标文件第二章投标人须知前附表第1.4.1项内容。</w:t>
      </w:r>
    </w:p>
    <w:p w14:paraId="232BAE73">
      <w:pPr>
        <w:pageBreakBefore w:val="0"/>
        <w:tabs>
          <w:tab w:val="left" w:pos="2060"/>
          <w:tab w:val="left" w:pos="8205"/>
        </w:tabs>
        <w:kinsoku/>
        <w:topLinePunct w:val="0"/>
        <w:autoSpaceDE w:val="0"/>
        <w:autoSpaceDN w:val="0"/>
        <w:bidi w:val="0"/>
        <w:adjustRightInd w:val="0"/>
        <w:snapToGrid w:val="0"/>
        <w:spacing w:line="360" w:lineRule="auto"/>
        <w:ind w:firstLine="405" w:firstLineChars="193"/>
        <w:jc w:val="left"/>
        <w:rPr>
          <w:rFonts w:hint="eastAsia" w:ascii="宋体" w:hAnsi="宋体" w:eastAsia="宋体" w:cs="宋体"/>
          <w:snapToGrid w:val="0"/>
          <w:color w:val="auto"/>
          <w:kern w:val="0"/>
          <w:szCs w:val="21"/>
          <w:highlight w:val="none"/>
        </w:rPr>
      </w:pPr>
      <w:r>
        <w:rPr>
          <w:rFonts w:hint="eastAsia" w:ascii="宋体" w:hAnsi="宋体" w:eastAsia="宋体" w:cs="宋体"/>
          <w:snapToGrid w:val="0"/>
          <w:color w:val="auto"/>
          <w:kern w:val="0"/>
          <w:szCs w:val="21"/>
          <w:highlight w:val="none"/>
        </w:rPr>
        <w:t>3.</w:t>
      </w:r>
      <w:r>
        <w:rPr>
          <w:rFonts w:hint="eastAsia" w:ascii="宋体" w:hAnsi="宋体" w:eastAsia="宋体" w:cs="宋体"/>
          <w:snapToGrid w:val="0"/>
          <w:color w:val="auto"/>
          <w:kern w:val="0"/>
          <w:szCs w:val="21"/>
          <w:highlight w:val="none"/>
          <w:lang w:val="en-US" w:eastAsia="zh-CN"/>
        </w:rPr>
        <w:t>3</w:t>
      </w:r>
      <w:r>
        <w:rPr>
          <w:rFonts w:hint="eastAsia" w:ascii="宋体" w:hAnsi="宋体" w:eastAsia="宋体" w:cs="宋体"/>
          <w:snapToGrid w:val="0"/>
          <w:color w:val="auto"/>
          <w:kern w:val="0"/>
          <w:szCs w:val="21"/>
          <w:highlight w:val="none"/>
        </w:rPr>
        <w:t xml:space="preserve">  本次招标不接受联合体投标。</w:t>
      </w:r>
    </w:p>
    <w:p w14:paraId="18270A11">
      <w:pPr>
        <w:pStyle w:val="3"/>
        <w:spacing w:before="100" w:after="100" w:line="460" w:lineRule="exact"/>
        <w:rPr>
          <w:rFonts w:ascii="宋体" w:hAnsi="宋体"/>
          <w:snapToGrid w:val="0"/>
          <w:sz w:val="28"/>
          <w:szCs w:val="28"/>
        </w:rPr>
      </w:pPr>
      <w:bookmarkStart w:id="46" w:name="_Toc4326"/>
      <w:r>
        <w:rPr>
          <w:rFonts w:hint="eastAsia" w:ascii="宋体" w:hAnsi="宋体"/>
          <w:snapToGrid w:val="0"/>
          <w:sz w:val="28"/>
          <w:szCs w:val="28"/>
        </w:rPr>
        <w:t>4</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招标文件的获取</w:t>
      </w:r>
      <w:bookmarkEnd w:id="38"/>
      <w:bookmarkEnd w:id="39"/>
      <w:bookmarkEnd w:id="40"/>
      <w:bookmarkEnd w:id="41"/>
      <w:bookmarkEnd w:id="42"/>
      <w:bookmarkEnd w:id="43"/>
      <w:bookmarkEnd w:id="44"/>
      <w:bookmarkEnd w:id="45"/>
      <w:bookmarkEnd w:id="46"/>
    </w:p>
    <w:p w14:paraId="1C848096">
      <w:pPr>
        <w:pageBreakBefore w:val="0"/>
        <w:tabs>
          <w:tab w:val="left" w:pos="1620"/>
        </w:tabs>
        <w:kinsoku/>
        <w:topLinePunct w:val="0"/>
        <w:bidi w:val="0"/>
        <w:adjustRightInd w:val="0"/>
        <w:snapToGrid w:val="0"/>
        <w:spacing w:line="360" w:lineRule="auto"/>
        <w:ind w:firstLine="420" w:firstLineChars="200"/>
        <w:jc w:val="left"/>
        <w:rPr>
          <w:rFonts w:hint="eastAsia" w:ascii="宋体" w:hAnsi="宋体" w:eastAsia="宋体" w:cs="宋体"/>
          <w:color w:val="auto"/>
          <w:spacing w:val="-6"/>
          <w:szCs w:val="21"/>
          <w:highlight w:val="none"/>
        </w:rPr>
      </w:pPr>
      <w:bookmarkStart w:id="47" w:name="_Toc287607732"/>
      <w:bookmarkStart w:id="48" w:name="_Toc509218696"/>
      <w:bookmarkStart w:id="49" w:name="_Toc277082540"/>
      <w:bookmarkStart w:id="50" w:name="_Toc224103303"/>
      <w:bookmarkStart w:id="51" w:name="_Toc200359242"/>
      <w:bookmarkStart w:id="52" w:name="_Toc200359431"/>
      <w:bookmarkStart w:id="53" w:name="_Toc287620671"/>
      <w:bookmarkStart w:id="54" w:name="_Toc430530420"/>
      <w:r>
        <w:rPr>
          <w:rFonts w:hint="eastAsia" w:ascii="宋体" w:hAnsi="宋体" w:eastAsia="宋体" w:cs="宋体"/>
          <w:color w:val="auto"/>
          <w:szCs w:val="21"/>
          <w:highlight w:val="none"/>
        </w:rPr>
        <w:t>4.1 本项目招标不需报名，开标前直接投标，凡有意参加投标者，</w:t>
      </w:r>
      <w:r>
        <w:rPr>
          <w:rFonts w:hint="eastAsia" w:ascii="宋体" w:hAnsi="宋体" w:eastAsia="宋体" w:cs="宋体"/>
          <w:snapToGrid w:val="0"/>
          <w:color w:val="auto"/>
          <w:kern w:val="0"/>
          <w:szCs w:val="21"/>
          <w:highlight w:val="none"/>
        </w:rPr>
        <w:t>投标人在投标前可在</w:t>
      </w:r>
      <w:r>
        <w:rPr>
          <w:rFonts w:hint="eastAsia" w:ascii="宋体" w:hAnsi="宋体"/>
          <w:b/>
          <w:bCs/>
          <w:snapToGrid w:val="0"/>
          <w:color w:val="000000" w:themeColor="text1"/>
          <w:kern w:val="0"/>
          <w:szCs w:val="21"/>
          <w:lang w:val="en-US" w:eastAsia="zh-CN"/>
          <w14:textFill>
            <w14:solidFill>
              <w14:schemeClr w14:val="tx1"/>
            </w14:solidFill>
          </w14:textFill>
        </w:rPr>
        <w:t>乌江涪陵榨菜官网（https://www.flzc.com/）</w:t>
      </w:r>
      <w:r>
        <w:rPr>
          <w:rFonts w:hint="eastAsia" w:ascii="宋体" w:hAnsi="宋体" w:eastAsia="宋体" w:cs="宋体"/>
          <w:snapToGrid w:val="0"/>
          <w:color w:val="auto"/>
          <w:kern w:val="0"/>
          <w:szCs w:val="21"/>
          <w:highlight w:val="none"/>
        </w:rPr>
        <w:t>下载招标文件</w:t>
      </w:r>
      <w:r>
        <w:rPr>
          <w:rFonts w:hint="eastAsia" w:ascii="宋体" w:hAnsi="宋体" w:eastAsia="宋体" w:cs="宋体"/>
          <w:snapToGrid w:val="0"/>
          <w:color w:val="auto"/>
          <w:kern w:val="0"/>
          <w:szCs w:val="21"/>
          <w:highlight w:val="none"/>
          <w:lang w:val="en-US" w:eastAsia="zh-CN"/>
        </w:rPr>
        <w:t>及</w:t>
      </w:r>
      <w:r>
        <w:rPr>
          <w:rFonts w:hint="eastAsia" w:ascii="宋体" w:hAnsi="宋体" w:eastAsia="宋体" w:cs="宋体"/>
          <w:snapToGrid w:val="0"/>
          <w:color w:val="auto"/>
          <w:kern w:val="0"/>
          <w:szCs w:val="21"/>
          <w:highlight w:val="none"/>
        </w:rPr>
        <w:t>相关资料</w:t>
      </w:r>
      <w:r>
        <w:rPr>
          <w:rFonts w:hint="eastAsia" w:ascii="宋体" w:hAnsi="宋体" w:eastAsia="宋体" w:cs="宋体"/>
          <w:color w:val="auto"/>
          <w:spacing w:val="-6"/>
          <w:szCs w:val="21"/>
          <w:highlight w:val="none"/>
        </w:rPr>
        <w:t>，投标人应随时关注本招标项目所有相关信息，不论投标人下载与否，都视为投标人收到以上资料并全部知晓有关招标过程和事宜，由此产生的一切后果由投标人自负。</w:t>
      </w:r>
    </w:p>
    <w:p w14:paraId="3525EA62">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firstLineChars="200"/>
        <w:jc w:val="left"/>
        <w:textAlignment w:val="auto"/>
        <w:outlineLvl w:val="9"/>
        <w:rPr>
          <w:rFonts w:ascii="宋体" w:hAnsi="宋体"/>
          <w:b/>
          <w:bCs/>
          <w:snapToGrid w:val="0"/>
          <w:color w:val="auto"/>
          <w:kern w:val="0"/>
          <w:sz w:val="24"/>
          <w:szCs w:val="24"/>
          <w:u w:val="single"/>
        </w:rPr>
      </w:pPr>
      <w:r>
        <w:rPr>
          <w:rFonts w:hint="eastAsia" w:ascii="宋体" w:hAnsi="宋体" w:eastAsia="宋体" w:cs="宋体"/>
          <w:snapToGrid w:val="0"/>
          <w:color w:val="auto"/>
          <w:kern w:val="0"/>
          <w:szCs w:val="21"/>
          <w:highlight w:val="none"/>
        </w:rPr>
        <w:t xml:space="preserve">4.2  </w:t>
      </w:r>
      <w:r>
        <w:rPr>
          <w:rFonts w:hint="eastAsia" w:ascii="宋体" w:hAnsi="宋体"/>
          <w:snapToGrid w:val="0"/>
          <w:color w:val="auto"/>
          <w:kern w:val="0"/>
          <w:szCs w:val="21"/>
        </w:rPr>
        <w:t>投标人在收到招标文件后，应仔细检查招标文件的所有内容，如有残缺或文字表述不清，图纸尺寸标注不明以及存在错、碰、漏、缺、概念模糊和有可能出现歧义或理解上的偏差的内容等</w:t>
      </w:r>
      <w:r>
        <w:rPr>
          <w:rFonts w:hint="eastAsia" w:ascii="宋体" w:hAnsi="宋体"/>
          <w:snapToGrid w:val="0"/>
          <w:color w:val="auto"/>
          <w:kern w:val="0"/>
          <w:szCs w:val="21"/>
          <w:lang w:val="en-US" w:eastAsia="zh-CN"/>
        </w:rPr>
        <w:t>应</w:t>
      </w:r>
      <w:r>
        <w:rPr>
          <w:rFonts w:hint="eastAsia" w:ascii="宋体" w:hAnsi="宋体"/>
          <w:snapToGrid w:val="0"/>
          <w:color w:val="auto"/>
          <w:kern w:val="0"/>
          <w:szCs w:val="21"/>
        </w:rPr>
        <w:t>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5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31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eastAsia="宋体" w:cs="宋体"/>
          <w:color w:val="auto"/>
          <w:sz w:val="21"/>
          <w:szCs w:val="21"/>
          <w:highlight w:val="none"/>
        </w:rPr>
        <w:t>前</w:t>
      </w:r>
      <w:r>
        <w:rPr>
          <w:rFonts w:hint="eastAsia" w:ascii="宋体" w:hAnsi="宋体"/>
          <w:snapToGrid w:val="0"/>
          <w:color w:val="auto"/>
          <w:kern w:val="0"/>
          <w:szCs w:val="21"/>
        </w:rPr>
        <w:t>在</w:t>
      </w:r>
      <w:r>
        <w:rPr>
          <w:rFonts w:hint="eastAsia" w:ascii="宋体" w:hAnsi="宋体"/>
          <w:snapToGrid w:val="0"/>
          <w:color w:val="auto"/>
          <w:kern w:val="0"/>
          <w:szCs w:val="21"/>
          <w:lang w:val="en-US" w:eastAsia="zh-CN"/>
        </w:rPr>
        <w:t>通过本章节联系方式</w:t>
      </w:r>
      <w:r>
        <w:rPr>
          <w:rFonts w:hint="eastAsia" w:ascii="宋体" w:hAnsi="宋体"/>
          <w:snapToGrid w:val="0"/>
          <w:color w:val="auto"/>
          <w:kern w:val="0"/>
          <w:szCs w:val="21"/>
        </w:rPr>
        <w:t>提出疑问</w:t>
      </w:r>
      <w:r>
        <w:rPr>
          <w:rFonts w:hint="eastAsia" w:ascii="宋体" w:hAnsi="宋体"/>
          <w:snapToGrid w:val="0"/>
          <w:color w:val="auto"/>
          <w:kern w:val="0"/>
          <w:szCs w:val="21"/>
          <w:lang w:val="en-US" w:eastAsia="zh-CN"/>
        </w:rPr>
        <w:t>或者完善书面提问文件发送到邮箱</w:t>
      </w:r>
      <w:r>
        <w:rPr>
          <w:rFonts w:hint="eastAsia" w:ascii="宋体" w:hAnsi="宋体"/>
          <w:b/>
          <w:bCs/>
          <w:snapToGrid w:val="0"/>
          <w:color w:val="auto"/>
          <w:kern w:val="0"/>
          <w:sz w:val="24"/>
          <w:szCs w:val="24"/>
          <w:u w:val="single"/>
          <w:lang w:val="en-US" w:eastAsia="zh-CN"/>
        </w:rPr>
        <w:t>yuanyuan@flzc.com</w:t>
      </w:r>
      <w:r>
        <w:rPr>
          <w:rFonts w:hint="eastAsia" w:ascii="宋体" w:hAnsi="宋体"/>
          <w:b/>
          <w:bCs/>
          <w:snapToGrid w:val="0"/>
          <w:color w:val="auto"/>
          <w:kern w:val="0"/>
          <w:sz w:val="24"/>
          <w:szCs w:val="24"/>
          <w:u w:val="single"/>
        </w:rPr>
        <w:t>。</w:t>
      </w:r>
    </w:p>
    <w:p w14:paraId="4646D261">
      <w:pPr>
        <w:keepNext w:val="0"/>
        <w:keepLines w:val="0"/>
        <w:pageBreakBefore w:val="0"/>
        <w:widowControl/>
        <w:tabs>
          <w:tab w:val="left" w:pos="2420"/>
          <w:tab w:val="left" w:pos="5445"/>
        </w:tabs>
        <w:kinsoku/>
        <w:wordWrap w:val="0"/>
        <w:overflowPunct/>
        <w:topLinePunct w:val="0"/>
        <w:autoSpaceDE w:val="0"/>
        <w:autoSpaceDN w:val="0"/>
        <w:bidi w:val="0"/>
        <w:adjustRightInd w:val="0"/>
        <w:snapToGrid w:val="0"/>
        <w:spacing w:line="360" w:lineRule="auto"/>
        <w:ind w:firstLine="420"/>
        <w:jc w:val="left"/>
        <w:textAlignment w:val="auto"/>
        <w:outlineLvl w:val="9"/>
        <w:rPr>
          <w:rFonts w:ascii="宋体" w:hAnsi="宋体"/>
          <w:snapToGrid w:val="0"/>
          <w:color w:val="000000" w:themeColor="text1"/>
          <w:kern w:val="0"/>
          <w:szCs w:val="21"/>
          <w14:textFill>
            <w14:solidFill>
              <w14:schemeClr w14:val="tx1"/>
            </w14:solidFill>
          </w14:textFill>
        </w:rPr>
      </w:pPr>
      <w:r>
        <w:rPr>
          <w:rFonts w:hint="eastAsia" w:ascii="宋体" w:hAnsi="宋体" w:eastAsia="宋体" w:cs="宋体"/>
          <w:snapToGrid w:val="0"/>
          <w:color w:val="auto"/>
          <w:kern w:val="0"/>
          <w:szCs w:val="21"/>
          <w:highlight w:val="none"/>
        </w:rPr>
        <w:t xml:space="preserve">4.3  </w:t>
      </w:r>
      <w:r>
        <w:rPr>
          <w:rFonts w:hint="eastAsia" w:ascii="宋体" w:hAnsi="宋体"/>
          <w:snapToGrid w:val="0"/>
          <w:color w:val="auto"/>
          <w:kern w:val="0"/>
          <w:szCs w:val="21"/>
        </w:rPr>
        <w:t>招标人应在</w:t>
      </w:r>
      <w:r>
        <w:rPr>
          <w:rFonts w:hint="eastAsia" w:ascii="宋体" w:hAnsi="宋体" w:eastAsia="宋体" w:cs="宋体"/>
          <w:caps w:val="0"/>
          <w:smallCaps w:val="0"/>
          <w:color w:val="auto"/>
          <w:sz w:val="21"/>
          <w:szCs w:val="21"/>
          <w:highlight w:val="none"/>
          <w:u w:val="single"/>
        </w:rPr>
        <w:t>20</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cs="宋体"/>
          <w:caps w:val="0"/>
          <w:smallCaps w:val="0"/>
          <w:color w:val="auto"/>
          <w:sz w:val="21"/>
          <w:szCs w:val="21"/>
          <w:highlight w:val="none"/>
          <w:u w:val="single"/>
          <w:lang w:val="en-US" w:eastAsia="zh-CN"/>
        </w:rPr>
        <w:t>6</w:t>
      </w:r>
      <w:r>
        <w:rPr>
          <w:rFonts w:hint="eastAsia" w:ascii="宋体" w:hAnsi="宋体" w:eastAsia="宋体" w:cs="宋体"/>
          <w:caps w:val="0"/>
          <w:smallCaps w:val="0"/>
          <w:color w:val="auto"/>
          <w:sz w:val="21"/>
          <w:szCs w:val="21"/>
          <w:highlight w:val="none"/>
        </w:rPr>
        <w:t>年</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 xml:space="preserve">6 </w:t>
      </w:r>
      <w:r>
        <w:rPr>
          <w:rFonts w:hint="eastAsia" w:ascii="宋体" w:hAnsi="宋体" w:eastAsia="宋体" w:cs="宋体"/>
          <w:caps w:val="0"/>
          <w:smallCaps w:val="0"/>
          <w:color w:val="auto"/>
          <w:sz w:val="21"/>
          <w:szCs w:val="21"/>
          <w:highlight w:val="none"/>
        </w:rPr>
        <w:t>月</w:t>
      </w:r>
      <w:r>
        <w:rPr>
          <w:rFonts w:hint="eastAsia" w:ascii="宋体" w:hAnsi="宋体" w:cs="宋体"/>
          <w:caps w:val="0"/>
          <w:smallCaps w:val="0"/>
          <w:color w:val="auto"/>
          <w:sz w:val="21"/>
          <w:szCs w:val="21"/>
          <w:highlight w:val="none"/>
          <w:u w:val="single"/>
          <w:lang w:val="en-US" w:eastAsia="zh-CN"/>
        </w:rPr>
        <w:t xml:space="preserve"> 2 </w:t>
      </w:r>
      <w:r>
        <w:rPr>
          <w:rFonts w:hint="eastAsia" w:ascii="宋体" w:hAnsi="宋体" w:eastAsia="宋体" w:cs="宋体"/>
          <w:caps w:val="0"/>
          <w:smallCaps w:val="0"/>
          <w:color w:val="auto"/>
          <w:sz w:val="21"/>
          <w:szCs w:val="21"/>
          <w:highlight w:val="none"/>
        </w:rPr>
        <w:t>日</w:t>
      </w:r>
      <w:r>
        <w:rPr>
          <w:rFonts w:hint="eastAsia" w:ascii="宋体" w:hAnsi="宋体" w:eastAsia="宋体" w:cs="宋体"/>
          <w:caps w:val="0"/>
          <w:smallCaps w:val="0"/>
          <w:color w:val="auto"/>
          <w:sz w:val="21"/>
          <w:szCs w:val="21"/>
          <w:highlight w:val="none"/>
          <w:u w:val="single"/>
        </w:rPr>
        <w:t xml:space="preserve"> </w:t>
      </w:r>
      <w:r>
        <w:rPr>
          <w:rFonts w:hint="eastAsia" w:ascii="宋体" w:hAnsi="宋体" w:cs="宋体"/>
          <w:caps w:val="0"/>
          <w:smallCaps w:val="0"/>
          <w:color w:val="auto"/>
          <w:sz w:val="21"/>
          <w:szCs w:val="21"/>
          <w:highlight w:val="none"/>
          <w:u w:val="single"/>
          <w:lang w:val="en-US" w:eastAsia="zh-CN"/>
        </w:rPr>
        <w:t>18</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 w:val="21"/>
          <w:szCs w:val="21"/>
          <w:highlight w:val="none"/>
        </w:rPr>
        <w:t>时</w:t>
      </w:r>
      <w:r>
        <w:rPr>
          <w:rFonts w:hint="eastAsia" w:ascii="宋体" w:hAnsi="宋体"/>
          <w:snapToGrid w:val="0"/>
          <w:color w:val="auto"/>
          <w:kern w:val="0"/>
          <w:szCs w:val="21"/>
        </w:rPr>
        <w:t>在</w:t>
      </w:r>
      <w:r>
        <w:rPr>
          <w:rFonts w:hint="eastAsia" w:ascii="宋体" w:hAnsi="宋体"/>
          <w:b/>
          <w:bCs/>
          <w:snapToGrid w:val="0"/>
          <w:kern w:val="0"/>
          <w:szCs w:val="21"/>
          <w:u w:val="single"/>
          <w:lang w:val="en-US" w:eastAsia="zh-CN"/>
        </w:rPr>
        <w:t>乌江涪陵榨菜集团官网（https://www.flzc.com/）</w:t>
      </w:r>
      <w:r>
        <w:rPr>
          <w:rFonts w:hint="eastAsia" w:ascii="宋体" w:hAnsi="宋体"/>
          <w:snapToGrid w:val="0"/>
          <w:color w:val="auto"/>
          <w:kern w:val="0"/>
          <w:szCs w:val="21"/>
        </w:rPr>
        <w:t>发布澄清或修改。</w:t>
      </w:r>
    </w:p>
    <w:p w14:paraId="3557856B">
      <w:pPr>
        <w:pStyle w:val="3"/>
        <w:spacing w:before="100" w:after="100" w:line="460" w:lineRule="exact"/>
        <w:rPr>
          <w:rFonts w:ascii="宋体" w:hAnsi="宋体"/>
          <w:snapToGrid w:val="0"/>
          <w:sz w:val="28"/>
          <w:szCs w:val="28"/>
        </w:rPr>
      </w:pPr>
      <w:bookmarkStart w:id="55" w:name="_Toc12228"/>
      <w:r>
        <w:rPr>
          <w:rFonts w:hint="eastAsia" w:ascii="宋体" w:hAnsi="宋体"/>
          <w:snapToGrid w:val="0"/>
          <w:sz w:val="28"/>
          <w:szCs w:val="28"/>
        </w:rPr>
        <w:t>5</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投标文件的递交</w:t>
      </w:r>
      <w:bookmarkEnd w:id="47"/>
      <w:bookmarkEnd w:id="48"/>
      <w:bookmarkEnd w:id="49"/>
      <w:bookmarkEnd w:id="50"/>
      <w:bookmarkEnd w:id="51"/>
      <w:bookmarkEnd w:id="52"/>
      <w:bookmarkEnd w:id="53"/>
      <w:bookmarkEnd w:id="54"/>
      <w:bookmarkEnd w:id="55"/>
    </w:p>
    <w:p w14:paraId="21CA1AEF">
      <w:pPr>
        <w:keepNext w:val="0"/>
        <w:keepLines w:val="0"/>
        <w:pageBreakBefore w:val="0"/>
        <w:widowControl w:val="0"/>
        <w:tabs>
          <w:tab w:val="left" w:pos="2000"/>
          <w:tab w:val="left" w:pos="5580"/>
          <w:tab w:val="left" w:pos="6220"/>
          <w:tab w:val="left" w:pos="6840"/>
          <w:tab w:val="left" w:pos="7460"/>
          <w:tab w:val="left" w:pos="8100"/>
        </w:tabs>
        <w:kinsoku/>
        <w:wordWrap/>
        <w:overflowPunct/>
        <w:topLinePunct w:val="0"/>
        <w:autoSpaceDE w:val="0"/>
        <w:autoSpaceDN w:val="0"/>
        <w:bidi w:val="0"/>
        <w:adjustRightInd w:val="0"/>
        <w:snapToGrid w:val="0"/>
        <w:spacing w:line="360" w:lineRule="auto"/>
        <w:ind w:firstLine="420" w:firstLineChars="200"/>
        <w:textAlignment w:val="auto"/>
        <w:rPr>
          <w:rFonts w:ascii="宋体" w:hAnsi="宋体"/>
          <w:i w:val="0"/>
          <w:iCs w:val="0"/>
          <w:snapToGrid w:val="0"/>
          <w:color w:val="auto"/>
          <w:kern w:val="0"/>
          <w:szCs w:val="21"/>
        </w:rPr>
      </w:pPr>
      <w:r>
        <w:rPr>
          <w:rFonts w:hint="eastAsia" w:ascii="宋体" w:hAnsi="宋体"/>
          <w:snapToGrid w:val="0"/>
          <w:color w:val="000000" w:themeColor="text1"/>
          <w:kern w:val="0"/>
          <w:szCs w:val="21"/>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 xml:space="preserve">.1  </w:t>
      </w:r>
      <w:r>
        <w:rPr>
          <w:rFonts w:hint="eastAsia" w:ascii="宋体" w:hAnsi="宋体"/>
          <w:snapToGrid w:val="0"/>
          <w:color w:val="000000" w:themeColor="text1"/>
          <w:kern w:val="0"/>
          <w:szCs w:val="21"/>
          <w:lang w:val="en-US" w:eastAsia="zh-CN"/>
          <w14:textFill>
            <w14:solidFill>
              <w14:schemeClr w14:val="tx1"/>
            </w14:solidFill>
          </w14:textFill>
        </w:rPr>
        <w:t>本项目</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cs="宋体"/>
          <w:snapToGrid w:val="0"/>
          <w:color w:val="000000" w:themeColor="text1"/>
          <w:kern w:val="0"/>
          <w:szCs w:val="21"/>
          <w:lang w:val="en-US" w:eastAsia="zh-CN"/>
          <w14:textFill>
            <w14:solidFill>
              <w14:schemeClr w14:val="tx1"/>
            </w14:solidFill>
          </w14:textFill>
        </w:rPr>
        <w:t>为</w:t>
      </w:r>
      <w:r>
        <w:rPr>
          <w:rFonts w:hint="eastAsia" w:ascii="宋体" w:hAnsi="宋体" w:cs="宋体"/>
          <w:snapToGrid w:val="0"/>
          <w:color w:val="000000" w:themeColor="text1"/>
          <w:kern w:val="0"/>
          <w:szCs w:val="21"/>
          <w:u w:val="single"/>
          <w:lang w:val="en-US" w:eastAsia="zh-CN"/>
          <w14:textFill>
            <w14:solidFill>
              <w14:schemeClr w14:val="tx1"/>
            </w14:solidFill>
          </w14:textFill>
        </w:rPr>
        <w:t>2026</w:t>
      </w:r>
      <w:r>
        <w:rPr>
          <w:rFonts w:hint="eastAsia" w:ascii="宋体" w:hAnsi="宋体" w:cs="宋体"/>
          <w:snapToGrid w:val="0"/>
          <w:color w:val="000000" w:themeColor="text1"/>
          <w:kern w:val="0"/>
          <w:szCs w:val="21"/>
          <w:lang w:val="en-US" w:eastAsia="zh-CN"/>
          <w14:textFill>
            <w14:solidFill>
              <w14:schemeClr w14:val="tx1"/>
            </w14:solidFill>
          </w14:textFill>
        </w:rPr>
        <w:t>年</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6 </w:t>
      </w:r>
      <w:r>
        <w:rPr>
          <w:rFonts w:hint="eastAsia" w:ascii="宋体" w:hAnsi="宋体" w:cs="宋体"/>
          <w:snapToGrid w:val="0"/>
          <w:color w:val="000000" w:themeColor="text1"/>
          <w:kern w:val="0"/>
          <w:szCs w:val="21"/>
          <w:lang w:val="en-US" w:eastAsia="zh-CN"/>
          <w14:textFill>
            <w14:solidFill>
              <w14:schemeClr w14:val="tx1"/>
            </w14:solidFill>
          </w14:textFill>
        </w:rPr>
        <w:t>月</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15 </w:t>
      </w:r>
      <w:r>
        <w:rPr>
          <w:rFonts w:hint="eastAsia" w:ascii="宋体" w:hAnsi="宋体" w:cs="宋体"/>
          <w:snapToGrid w:val="0"/>
          <w:color w:val="000000" w:themeColor="text1"/>
          <w:kern w:val="0"/>
          <w:szCs w:val="21"/>
          <w:lang w:val="en-US" w:eastAsia="zh-CN"/>
          <w14:textFill>
            <w14:solidFill>
              <w14:schemeClr w14:val="tx1"/>
            </w14:solidFill>
          </w14:textFill>
        </w:rPr>
        <w:t>日</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10 </w:t>
      </w:r>
      <w:r>
        <w:rPr>
          <w:rFonts w:hint="eastAsia" w:ascii="宋体" w:hAnsi="宋体" w:cs="宋体"/>
          <w:snapToGrid w:val="0"/>
          <w:color w:val="000000" w:themeColor="text1"/>
          <w:kern w:val="0"/>
          <w:szCs w:val="21"/>
          <w:lang w:val="en-US" w:eastAsia="zh-CN"/>
          <w14:textFill>
            <w14:solidFill>
              <w14:schemeClr w14:val="tx1"/>
            </w14:solidFill>
          </w14:textFill>
        </w:rPr>
        <w:t>时</w:t>
      </w:r>
      <w:r>
        <w:rPr>
          <w:rFonts w:hint="eastAsia" w:ascii="宋体" w:hAnsi="宋体" w:cs="宋体"/>
          <w:snapToGrid w:val="0"/>
          <w:color w:val="000000" w:themeColor="text1"/>
          <w:kern w:val="0"/>
          <w:szCs w:val="21"/>
          <w:u w:val="single"/>
          <w:lang w:val="en-US" w:eastAsia="zh-CN"/>
          <w14:textFill>
            <w14:solidFill>
              <w14:schemeClr w14:val="tx1"/>
            </w14:solidFill>
          </w14:textFill>
        </w:rPr>
        <w:t xml:space="preserve"> 00 </w:t>
      </w:r>
      <w:r>
        <w:rPr>
          <w:rFonts w:hint="eastAsia" w:ascii="宋体" w:hAnsi="宋体" w:cs="宋体"/>
          <w:snapToGrid w:val="0"/>
          <w:color w:val="000000" w:themeColor="text1"/>
          <w:kern w:val="0"/>
          <w:szCs w:val="21"/>
          <w:lang w:val="en-US" w:eastAsia="zh-CN"/>
          <w14:textFill>
            <w14:solidFill>
              <w14:schemeClr w14:val="tx1"/>
            </w14:solidFill>
          </w14:textFill>
        </w:rPr>
        <w:t>分（北京时间）。</w:t>
      </w:r>
      <w:r>
        <w:rPr>
          <w:rFonts w:hint="eastAsia" w:ascii="宋体" w:hAnsi="宋体" w:eastAsia="宋体" w:cs="宋体"/>
          <w:snapToGrid w:val="0"/>
          <w:color w:val="000000" w:themeColor="text1"/>
          <w:kern w:val="0"/>
          <w:szCs w:val="21"/>
          <w:highlight w:val="none"/>
          <w14:textFill>
            <w14:solidFill>
              <w14:schemeClr w14:val="tx1"/>
            </w14:solidFill>
          </w14:textFill>
        </w:rPr>
        <w:t>投标人应当在投标截止时间前，</w:t>
      </w:r>
      <w:r>
        <w:rPr>
          <w:rFonts w:hint="eastAsia" w:ascii="宋体" w:hAnsi="宋体" w:eastAsia="宋体" w:cs="宋体"/>
          <w:color w:val="000000" w:themeColor="text1"/>
          <w:szCs w:val="21"/>
          <w:highlight w:val="none"/>
          <w14:textFill>
            <w14:solidFill>
              <w14:schemeClr w14:val="tx1"/>
            </w14:solidFill>
          </w14:textFill>
        </w:rPr>
        <w:t>由投标人将纸质投标文件【投标文件须装订成册，原则应编制目录，逐页标注页码（原则上装订成一册）；正本一份，副本</w:t>
      </w:r>
      <w:r>
        <w:rPr>
          <w:rFonts w:hint="eastAsia" w:ascii="宋体" w:hAnsi="宋体" w:cs="宋体"/>
          <w:color w:val="000000" w:themeColor="text1"/>
          <w:szCs w:val="21"/>
          <w:highlight w:val="none"/>
          <w:lang w:val="en-US" w:eastAsia="zh-CN"/>
          <w14:textFill>
            <w14:solidFill>
              <w14:schemeClr w14:val="tx1"/>
            </w14:solidFill>
          </w14:textFill>
        </w:rPr>
        <w:t>二</w:t>
      </w:r>
      <w:r>
        <w:rPr>
          <w:rFonts w:hint="eastAsia" w:ascii="宋体" w:hAnsi="宋体" w:eastAsia="宋体" w:cs="宋体"/>
          <w:color w:val="000000" w:themeColor="text1"/>
          <w:szCs w:val="21"/>
          <w:highlight w:val="none"/>
          <w14:textFill>
            <w14:solidFill>
              <w14:schemeClr w14:val="tx1"/>
            </w14:solidFill>
          </w14:textFill>
        </w:rPr>
        <w:t>份，正本文件内签字和盖章须为原件，</w:t>
      </w:r>
      <w:r>
        <w:rPr>
          <w:rFonts w:hint="eastAsia" w:ascii="宋体" w:hAnsi="宋体" w:eastAsia="宋体" w:cs="宋体"/>
          <w:i w:val="0"/>
          <w:iCs w:val="0"/>
          <w:color w:val="auto"/>
          <w:szCs w:val="21"/>
          <w:highlight w:val="none"/>
        </w:rPr>
        <w:t>副本可为正本的复印件】书面递交到</w:t>
      </w:r>
      <w:r>
        <w:rPr>
          <w:rFonts w:hint="eastAsia" w:ascii="宋体" w:hAnsi="宋体" w:eastAsia="宋体" w:cs="宋体"/>
          <w:b/>
          <w:bCs/>
          <w:i w:val="0"/>
          <w:iCs w:val="0"/>
          <w:snapToGrid w:val="0"/>
          <w:color w:val="auto"/>
          <w:kern w:val="0"/>
          <w:szCs w:val="21"/>
          <w:highlight w:val="none"/>
          <w:u w:val="single"/>
          <w:lang w:val="zh-CN"/>
        </w:rPr>
        <w:t>重庆市涪陵榨菜集团股份有限公司当日指定会议室（涪陵区江北街道办事处二渡村1组）。</w:t>
      </w:r>
      <w:r>
        <w:rPr>
          <w:rFonts w:hint="eastAsia" w:ascii="宋体" w:hAnsi="宋体" w:eastAsia="宋体" w:cs="宋体"/>
          <w:i w:val="0"/>
          <w:iCs w:val="0"/>
          <w:color w:val="auto"/>
          <w:szCs w:val="21"/>
          <w:highlight w:val="none"/>
        </w:rPr>
        <w:t>联系人</w:t>
      </w:r>
      <w:r>
        <w:rPr>
          <w:rFonts w:hint="eastAsia" w:ascii="宋体" w:hAnsi="宋体" w:eastAsia="宋体" w:cs="宋体"/>
          <w:i w:val="0"/>
          <w:iCs w:val="0"/>
          <w:color w:val="auto"/>
          <w:szCs w:val="21"/>
          <w:highlight w:val="none"/>
          <w:u w:val="single"/>
        </w:rPr>
        <w:t xml:space="preserve"> 徐老师</w:t>
      </w:r>
      <w:r>
        <w:rPr>
          <w:rFonts w:hint="eastAsia" w:ascii="宋体" w:hAnsi="宋体" w:eastAsia="宋体" w:cs="宋体"/>
          <w:i w:val="0"/>
          <w:iCs w:val="0"/>
          <w:color w:val="auto"/>
          <w:szCs w:val="21"/>
          <w:highlight w:val="none"/>
        </w:rPr>
        <w:t xml:space="preserve"> 联系电话：</w:t>
      </w:r>
      <w:r>
        <w:rPr>
          <w:rFonts w:hint="eastAsia" w:ascii="宋体" w:hAnsi="宋体" w:eastAsia="宋体" w:cs="宋体"/>
          <w:color w:val="000000" w:themeColor="text1"/>
          <w:szCs w:val="21"/>
          <w:highlight w:val="none"/>
          <w14:textFill>
            <w14:solidFill>
              <w14:schemeClr w14:val="tx1"/>
            </w14:solidFill>
          </w14:textFill>
        </w:rPr>
        <w:t xml:space="preserve"> </w:t>
      </w:r>
      <w:r>
        <w:rPr>
          <w:rFonts w:hint="eastAsia" w:ascii="宋体" w:hAnsi="宋体" w:cs="宋体"/>
          <w:color w:val="000000" w:themeColor="text1"/>
          <w:szCs w:val="21"/>
          <w:highlight w:val="none"/>
          <w:u w:val="single"/>
          <w:lang w:val="en-US" w:eastAsia="zh-CN"/>
          <w14:textFill>
            <w14:solidFill>
              <w14:schemeClr w14:val="tx1"/>
            </w14:solidFill>
          </w14:textFill>
        </w:rPr>
        <w:t>13101153571/</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i w:val="0"/>
          <w:iCs w:val="0"/>
          <w:color w:val="auto"/>
          <w:szCs w:val="21"/>
          <w:highlight w:val="none"/>
        </w:rPr>
        <w:t>,本项目不接受电子的投标文件和邮件，中标人中标后需提交与纸质投标文件一致的电子版投标文件。</w:t>
      </w:r>
    </w:p>
    <w:p w14:paraId="6D583F11">
      <w:pPr>
        <w:pageBreakBefore w:val="0"/>
        <w:kinsoku/>
        <w:topLinePunct w:val="0"/>
        <w:autoSpaceDE w:val="0"/>
        <w:autoSpaceDN w:val="0"/>
        <w:bidi w:val="0"/>
        <w:adjustRightInd w:val="0"/>
        <w:snapToGrid w:val="0"/>
        <w:spacing w:line="360" w:lineRule="auto"/>
        <w:ind w:firstLine="420" w:firstLineChars="200"/>
        <w:rPr>
          <w:rFonts w:hint="eastAsia" w:ascii="宋体" w:hAnsi="宋体"/>
          <w:snapToGrid w:val="0"/>
          <w:kern w:val="0"/>
          <w:szCs w:val="21"/>
        </w:rPr>
      </w:pPr>
      <w:bookmarkStart w:id="56" w:name="_Toc224103304"/>
      <w:bookmarkStart w:id="57" w:name="_Toc509218697"/>
      <w:bookmarkStart w:id="58" w:name="_Toc430530421"/>
      <w:bookmarkStart w:id="59" w:name="_Toc200359432"/>
      <w:bookmarkStart w:id="60" w:name="_Toc200359243"/>
      <w:bookmarkStart w:id="61" w:name="_Toc20378"/>
      <w:bookmarkStart w:id="62" w:name="_Toc287620672"/>
      <w:bookmarkStart w:id="63" w:name="_Toc287607733"/>
      <w:bookmarkStart w:id="64" w:name="_Toc277082541"/>
      <w:r>
        <w:rPr>
          <w:rFonts w:hint="eastAsia" w:ascii="宋体" w:hAnsi="宋体"/>
          <w:snapToGrid w:val="0"/>
          <w:kern w:val="0"/>
          <w:szCs w:val="21"/>
        </w:rPr>
        <w:t>5</w:t>
      </w:r>
      <w:r>
        <w:rPr>
          <w:rFonts w:ascii="宋体" w:hAnsi="宋体"/>
          <w:snapToGrid w:val="0"/>
          <w:kern w:val="0"/>
          <w:szCs w:val="21"/>
        </w:rPr>
        <w:t xml:space="preserve">.2 </w:t>
      </w:r>
      <w:r>
        <w:rPr>
          <w:rFonts w:hint="eastAsia" w:ascii="宋体" w:hAnsi="宋体"/>
          <w:snapToGrid w:val="0"/>
          <w:kern w:val="0"/>
          <w:szCs w:val="21"/>
          <w:lang w:val="en-US" w:eastAsia="zh-CN"/>
        </w:rPr>
        <w:t>投标文件递交地点：投标截止时间前将纸质投标文件递交到</w:t>
      </w:r>
      <w:r>
        <w:rPr>
          <w:rFonts w:hint="eastAsia" w:ascii="宋体" w:hAnsi="宋体" w:eastAsia="宋体" w:cs="宋体"/>
          <w:b/>
          <w:bCs/>
          <w:i/>
          <w:iCs/>
          <w:snapToGrid w:val="0"/>
          <w:color w:val="FF0000"/>
          <w:kern w:val="0"/>
          <w:szCs w:val="21"/>
          <w:highlight w:val="none"/>
          <w:u w:val="single"/>
          <w:lang w:val="zh-CN"/>
        </w:rPr>
        <w:t>重庆市涪陵榨菜集团股份有限公司当日指定会议室（涪陵区江北街道办事处二渡村1组）</w:t>
      </w:r>
      <w:r>
        <w:rPr>
          <w:rFonts w:hint="eastAsia" w:ascii="宋体" w:hAnsi="宋体"/>
          <w:snapToGrid w:val="0"/>
          <w:kern w:val="0"/>
          <w:szCs w:val="21"/>
        </w:rPr>
        <w:t>。</w:t>
      </w:r>
    </w:p>
    <w:p w14:paraId="7E9E343E">
      <w:pPr>
        <w:autoSpaceDE w:val="0"/>
        <w:autoSpaceDN w:val="0"/>
        <w:adjustRightInd w:val="0"/>
        <w:snapToGrid w:val="0"/>
        <w:spacing w:line="450" w:lineRule="exact"/>
        <w:ind w:firstLine="420" w:firstLineChars="200"/>
        <w:rPr>
          <w:rFonts w:hint="eastAsia" w:ascii="宋体" w:hAnsi="宋体"/>
          <w:snapToGrid w:val="0"/>
          <w:kern w:val="0"/>
          <w:szCs w:val="21"/>
          <w:lang w:val="en-US" w:eastAsia="zh-CN"/>
        </w:rPr>
      </w:pPr>
      <w:r>
        <w:rPr>
          <w:rFonts w:hint="eastAsia" w:ascii="宋体" w:hAnsi="宋体"/>
          <w:snapToGrid w:val="0"/>
          <w:kern w:val="0"/>
          <w:szCs w:val="21"/>
        </w:rPr>
        <w:t>5</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rFonts w:hint="eastAsia" w:ascii="宋体" w:hAnsi="宋体"/>
          <w:snapToGrid w:val="0"/>
          <w:kern w:val="0"/>
          <w:szCs w:val="21"/>
          <w:lang w:val="en-US" w:eastAsia="zh-CN"/>
        </w:rPr>
        <w:t>逾期送达的或者未送达指定地点的投标文件，招标人不予受理。</w:t>
      </w:r>
    </w:p>
    <w:p w14:paraId="563AD546">
      <w:pPr>
        <w:autoSpaceDE w:val="0"/>
        <w:autoSpaceDN w:val="0"/>
        <w:adjustRightInd w:val="0"/>
        <w:snapToGrid w:val="0"/>
        <w:spacing w:line="450" w:lineRule="exact"/>
        <w:ind w:firstLine="422" w:firstLineChars="200"/>
        <w:rPr>
          <w:rFonts w:hint="eastAsia" w:ascii="宋体" w:hAnsi="宋体"/>
          <w:b/>
          <w:bCs/>
          <w:snapToGrid w:val="0"/>
          <w:color w:val="0000FF"/>
          <w:kern w:val="0"/>
          <w:szCs w:val="21"/>
          <w:lang w:val="en-US" w:eastAsia="zh-CN"/>
        </w:rPr>
      </w:pPr>
      <w:r>
        <w:rPr>
          <w:rFonts w:hint="eastAsia" w:ascii="宋体" w:hAnsi="宋体"/>
          <w:b/>
          <w:bCs/>
          <w:snapToGrid w:val="0"/>
          <w:color w:val="0000FF"/>
          <w:kern w:val="0"/>
          <w:szCs w:val="21"/>
          <w:lang w:val="en-US" w:eastAsia="zh-CN"/>
        </w:rPr>
        <w:t>5.4 各投标人需派技术人员在开标当天就该项目作技术讲解，每一投标人讲解时间控制在20分钟内。</w:t>
      </w:r>
    </w:p>
    <w:p w14:paraId="53228F92">
      <w:pPr>
        <w:pStyle w:val="3"/>
        <w:spacing w:before="100" w:after="100" w:line="460" w:lineRule="exact"/>
        <w:rPr>
          <w:rFonts w:ascii="宋体" w:hAnsi="宋体"/>
          <w:snapToGrid w:val="0"/>
          <w:sz w:val="28"/>
          <w:szCs w:val="28"/>
        </w:rPr>
      </w:pPr>
      <w:r>
        <w:rPr>
          <w:rFonts w:hint="eastAsia" w:ascii="宋体" w:hAnsi="宋体"/>
          <w:snapToGrid w:val="0"/>
          <w:sz w:val="28"/>
          <w:szCs w:val="28"/>
        </w:rPr>
        <w:t>6</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发布公告的媒介</w:t>
      </w:r>
      <w:bookmarkEnd w:id="56"/>
      <w:bookmarkEnd w:id="57"/>
      <w:bookmarkEnd w:id="58"/>
      <w:bookmarkEnd w:id="59"/>
      <w:bookmarkEnd w:id="60"/>
      <w:bookmarkEnd w:id="61"/>
      <w:bookmarkEnd w:id="62"/>
      <w:bookmarkEnd w:id="63"/>
      <w:bookmarkEnd w:id="64"/>
    </w:p>
    <w:p w14:paraId="6F530F92">
      <w:pPr>
        <w:tabs>
          <w:tab w:val="left" w:pos="4950"/>
        </w:tabs>
        <w:autoSpaceDE w:val="0"/>
        <w:autoSpaceDN w:val="0"/>
        <w:adjustRightInd w:val="0"/>
        <w:snapToGrid w:val="0"/>
        <w:spacing w:line="450" w:lineRule="exact"/>
        <w:ind w:firstLine="420" w:firstLineChars="200"/>
        <w:rPr>
          <w:rFonts w:ascii="宋体" w:hAnsi="宋体"/>
          <w:snapToGrid w:val="0"/>
          <w:color w:val="000000" w:themeColor="text1"/>
          <w:kern w:val="0"/>
          <w:szCs w:val="21"/>
          <w14:textFill>
            <w14:solidFill>
              <w14:schemeClr w14:val="tx1"/>
            </w14:solidFill>
          </w14:textFill>
        </w:rPr>
      </w:pPr>
      <w:bookmarkStart w:id="65" w:name="_Toc430530422"/>
      <w:bookmarkStart w:id="66" w:name="_Toc509218698"/>
      <w:bookmarkStart w:id="67" w:name="_Toc277082542"/>
      <w:bookmarkStart w:id="68" w:name="_Toc287607734"/>
      <w:bookmarkStart w:id="69" w:name="_Toc287620673"/>
      <w:bookmarkStart w:id="70" w:name="_Toc224103305"/>
      <w:r>
        <w:rPr>
          <w:rFonts w:ascii="宋体" w:hAnsi="宋体"/>
          <w:snapToGrid w:val="0"/>
          <w:color w:val="000000" w:themeColor="text1"/>
          <w:kern w:val="0"/>
          <w:szCs w:val="21"/>
          <w14:textFill>
            <w14:solidFill>
              <w14:schemeClr w14:val="tx1"/>
            </w14:solidFill>
          </w14:textFill>
        </w:rPr>
        <w:t>本次招标公告在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上发布。</w:t>
      </w:r>
    </w:p>
    <w:p w14:paraId="6BBE1E39">
      <w:pPr>
        <w:pStyle w:val="3"/>
        <w:spacing w:before="100" w:after="100" w:line="460" w:lineRule="exact"/>
        <w:rPr>
          <w:rFonts w:ascii="宋体" w:hAnsi="宋体"/>
          <w:snapToGrid w:val="0"/>
          <w:sz w:val="28"/>
          <w:szCs w:val="28"/>
        </w:rPr>
      </w:pPr>
      <w:bookmarkStart w:id="71" w:name="_Toc18419"/>
      <w:r>
        <w:rPr>
          <w:rFonts w:hint="eastAsia" w:ascii="宋体" w:hAnsi="宋体"/>
          <w:snapToGrid w:val="0"/>
          <w:sz w:val="28"/>
          <w:szCs w:val="28"/>
        </w:rPr>
        <w:t>7</w:t>
      </w:r>
      <w:r>
        <w:rPr>
          <w:rFonts w:ascii="宋体" w:hAnsi="宋体"/>
          <w:snapToGrid w:val="0"/>
          <w:sz w:val="28"/>
          <w:szCs w:val="28"/>
        </w:rPr>
        <w:t xml:space="preserve">. </w:t>
      </w:r>
      <w:r>
        <w:rPr>
          <w:rFonts w:hint="eastAsia" w:ascii="宋体" w:hAnsi="宋体"/>
          <w:snapToGrid w:val="0"/>
          <w:sz w:val="28"/>
          <w:szCs w:val="28"/>
        </w:rPr>
        <w:t xml:space="preserve"> </w:t>
      </w:r>
      <w:r>
        <w:rPr>
          <w:rFonts w:ascii="宋体" w:hAnsi="宋体"/>
          <w:snapToGrid w:val="0"/>
          <w:sz w:val="28"/>
          <w:szCs w:val="28"/>
        </w:rPr>
        <w:t>联系方式</w:t>
      </w:r>
      <w:bookmarkEnd w:id="65"/>
      <w:bookmarkEnd w:id="66"/>
      <w:bookmarkEnd w:id="67"/>
      <w:bookmarkEnd w:id="68"/>
      <w:bookmarkEnd w:id="69"/>
      <w:bookmarkEnd w:id="70"/>
      <w:bookmarkEnd w:id="71"/>
    </w:p>
    <w:p w14:paraId="0DAFCB97">
      <w:pPr>
        <w:pageBreakBefore w:val="0"/>
        <w:tabs>
          <w:tab w:val="left" w:pos="5140"/>
          <w:tab w:val="left" w:pos="85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招 标 人：</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重庆市涪陵榨菜集团股份有限公司</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049D7F77">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地    址：</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重庆市涪陵区江北街道二渡村一组</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26C4F152">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snapToGrid w:val="0"/>
          <w:color w:val="000000" w:themeColor="text1"/>
          <w:kern w:val="0"/>
          <w:szCs w:val="2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lang w:val="en-US" w:eastAsia="zh-CN"/>
          <w14:textFill>
            <w14:solidFill>
              <w14:schemeClr w14:val="tx1"/>
            </w14:solidFill>
          </w14:textFill>
        </w:rPr>
        <w:t>项目负责人</w:t>
      </w:r>
      <w:r>
        <w:rPr>
          <w:rFonts w:hint="eastAsia" w:ascii="宋体" w:hAnsi="宋体" w:eastAsia="宋体" w:cs="宋体"/>
          <w:snapToGrid w:val="0"/>
          <w:color w:val="000000" w:themeColor="text1"/>
          <w:kern w:val="0"/>
          <w:szCs w:val="21"/>
          <w:highlight w:val="none"/>
          <w14:textFill>
            <w14:solidFill>
              <w14:schemeClr w14:val="tx1"/>
            </w14:solidFill>
          </w14:textFill>
        </w:rPr>
        <w:t>：</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徐老师</w:t>
      </w:r>
      <w:r>
        <w:rPr>
          <w:rFonts w:hint="eastAsia" w:ascii="宋体" w:hAnsi="宋体" w:eastAsia="宋体" w:cs="宋体"/>
          <w:snapToGrid w:val="0"/>
          <w:color w:val="000000" w:themeColor="text1"/>
          <w:kern w:val="0"/>
          <w:szCs w:val="21"/>
          <w:highlight w:val="none"/>
          <w14:textFill>
            <w14:solidFill>
              <w14:schemeClr w14:val="tx1"/>
            </w14:solidFill>
          </w14:textFill>
        </w:rPr>
        <w:t xml:space="preserve">                           </w:t>
      </w:r>
    </w:p>
    <w:p w14:paraId="6B630B08">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left"/>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snapToGrid w:val="0"/>
          <w:color w:val="000000" w:themeColor="text1"/>
          <w:kern w:val="0"/>
          <w:szCs w:val="21"/>
          <w:highlight w:val="none"/>
          <w14:textFill>
            <w14:solidFill>
              <w14:schemeClr w14:val="tx1"/>
            </w14:solidFill>
          </w14:textFill>
        </w:rPr>
        <w:t>电    话：</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/13101153571</w:t>
      </w:r>
      <w:r>
        <w:rPr>
          <w:rFonts w:hint="eastAsia" w:ascii="宋体" w:hAnsi="宋体" w:eastAsia="宋体" w:cs="宋体"/>
          <w:snapToGrid w:val="0"/>
          <w:color w:val="000000" w:themeColor="text1"/>
          <w:kern w:val="0"/>
          <w:szCs w:val="21"/>
          <w:highlight w:val="none"/>
          <w:u w:val="single"/>
          <w14:textFill>
            <w14:solidFill>
              <w14:schemeClr w14:val="tx1"/>
            </w14:solidFill>
          </w14:textFill>
        </w:rPr>
        <w:t xml:space="preserve"> </w:t>
      </w:r>
    </w:p>
    <w:p w14:paraId="2A676D63">
      <w:pPr>
        <w:pageBreakBefore w:val="0"/>
        <w:tabs>
          <w:tab w:val="left" w:pos="5140"/>
          <w:tab w:val="left" w:pos="8420"/>
        </w:tabs>
        <w:kinsoku/>
        <w:topLinePunct w:val="0"/>
        <w:autoSpaceDE w:val="0"/>
        <w:autoSpaceDN w:val="0"/>
        <w:bidi w:val="0"/>
        <w:adjustRightInd w:val="0"/>
        <w:snapToGrid w:val="0"/>
        <w:spacing w:line="360" w:lineRule="auto"/>
        <w:ind w:firstLine="420" w:firstLineChars="200"/>
        <w:jc w:val="right"/>
        <w:rPr>
          <w:rFonts w:hint="default" w:ascii="宋体" w:hAnsi="宋体" w:eastAsia="宋体" w:cs="宋体"/>
          <w:color w:val="000000" w:themeColor="text1"/>
          <w:highlight w:val="none"/>
          <w:lang w:val="en-US" w:eastAsia="zh-CN"/>
          <w14:textFill>
            <w14:solidFill>
              <w14:schemeClr w14:val="tx1"/>
            </w14:solidFill>
          </w14:textFill>
        </w:rPr>
      </w:pPr>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2026年5月27</w:t>
      </w:r>
      <w:bookmarkStart w:id="1081" w:name="_GoBack"/>
      <w:bookmarkEnd w:id="1081"/>
      <w:r>
        <w:rPr>
          <w:rFonts w:hint="eastAsia" w:ascii="宋体" w:hAnsi="宋体" w:cs="宋体"/>
          <w:snapToGrid w:val="0"/>
          <w:color w:val="000000" w:themeColor="text1"/>
          <w:kern w:val="0"/>
          <w:szCs w:val="21"/>
          <w:highlight w:val="none"/>
          <w:u w:val="single"/>
          <w:lang w:val="en-US" w:eastAsia="zh-CN"/>
          <w14:textFill>
            <w14:solidFill>
              <w14:schemeClr w14:val="tx1"/>
            </w14:solidFill>
          </w14:textFill>
        </w:rPr>
        <w:t>日</w:t>
      </w:r>
    </w:p>
    <w:p w14:paraId="1097EF41">
      <w:pPr>
        <w:autoSpaceDE w:val="0"/>
        <w:autoSpaceDN w:val="0"/>
        <w:adjustRightInd w:val="0"/>
        <w:snapToGrid w:val="0"/>
        <w:spacing w:line="440" w:lineRule="exact"/>
        <w:ind w:firstLine="3906" w:firstLineChars="1860"/>
        <w:jc w:val="right"/>
        <w:rPr>
          <w:rFonts w:ascii="宋体" w:hAnsi="宋体"/>
          <w:snapToGrid w:val="0"/>
          <w:kern w:val="0"/>
          <w:szCs w:val="21"/>
          <w:u w:val="single"/>
        </w:rPr>
      </w:pPr>
    </w:p>
    <w:p w14:paraId="2909F559">
      <w:pPr>
        <w:pStyle w:val="17"/>
        <w:rPr>
          <w:snapToGrid w:val="0"/>
        </w:rPr>
      </w:pPr>
      <w:r>
        <w:rPr>
          <w:snapToGrid w:val="0"/>
        </w:rPr>
        <w:br w:type="page"/>
      </w:r>
    </w:p>
    <w:p w14:paraId="7983CB23">
      <w:pPr>
        <w:pStyle w:val="2"/>
        <w:bidi w:val="0"/>
        <w:jc w:val="center"/>
      </w:pPr>
      <w:bookmarkStart w:id="72" w:name="_Toc287607744"/>
      <w:bookmarkStart w:id="73" w:name="_Toc12230"/>
      <w:bookmarkStart w:id="74" w:name="_Toc224103315"/>
      <w:bookmarkStart w:id="75" w:name="_Toc287620683"/>
      <w:bookmarkStart w:id="76" w:name="_Toc430530432"/>
      <w:r>
        <w:t>第二章  投标人须知</w:t>
      </w:r>
      <w:bookmarkEnd w:id="72"/>
      <w:bookmarkEnd w:id="73"/>
      <w:bookmarkEnd w:id="74"/>
      <w:bookmarkEnd w:id="75"/>
      <w:bookmarkEnd w:id="76"/>
      <w:bookmarkStart w:id="77" w:name="_Toc287607745"/>
      <w:bookmarkStart w:id="78" w:name="_Toc287620684"/>
      <w:bookmarkStart w:id="79" w:name="_Toc277082551"/>
      <w:bookmarkStart w:id="80" w:name="_Toc224103316"/>
      <w:bookmarkStart w:id="81" w:name="_Toc430530433"/>
    </w:p>
    <w:p w14:paraId="4A4C6D8B">
      <w:pPr>
        <w:pStyle w:val="3"/>
        <w:spacing w:before="100" w:after="100" w:line="360" w:lineRule="auto"/>
        <w:rPr>
          <w:rFonts w:ascii="宋体" w:hAnsi="宋体"/>
        </w:rPr>
      </w:pPr>
      <w:bookmarkStart w:id="82" w:name="_Toc15459"/>
      <w:bookmarkStart w:id="83" w:name="_Toc509218708"/>
      <w:r>
        <w:rPr>
          <w:rFonts w:hint="eastAsia" w:ascii="宋体" w:hAnsi="宋体"/>
        </w:rPr>
        <w:t>投标人须知前附表</w:t>
      </w:r>
      <w:bookmarkEnd w:id="77"/>
      <w:bookmarkEnd w:id="78"/>
      <w:bookmarkEnd w:id="79"/>
      <w:bookmarkEnd w:id="80"/>
      <w:bookmarkEnd w:id="81"/>
      <w:bookmarkEnd w:id="82"/>
      <w:bookmarkEnd w:id="83"/>
    </w:p>
    <w:p w14:paraId="7AE1FA50">
      <w:pPr>
        <w:spacing w:line="360" w:lineRule="auto"/>
        <w:ind w:firstLine="420" w:firstLineChars="200"/>
        <w:rPr>
          <w:rFonts w:ascii="宋体" w:hAnsi="宋体"/>
          <w:szCs w:val="21"/>
        </w:rPr>
      </w:pPr>
      <w:r>
        <w:rPr>
          <w:rFonts w:ascii="宋体" w:hAnsi="宋体"/>
          <w:szCs w:val="21"/>
        </w:rPr>
        <w:t>正文内容不允许修改。</w:t>
      </w:r>
      <w:r>
        <w:rPr>
          <w:rFonts w:ascii="宋体" w:hAnsi="宋体"/>
          <w:b/>
          <w:bCs/>
          <w:szCs w:val="21"/>
        </w:rPr>
        <w:t>若投标人须知前附表与正文不一致的地方，以投标人须知前附表为准</w:t>
      </w:r>
      <w:r>
        <w:rPr>
          <w:rFonts w:ascii="宋体" w:hAnsi="宋体"/>
          <w:szCs w:val="21"/>
        </w:rPr>
        <w:t>。</w:t>
      </w:r>
    </w:p>
    <w:tbl>
      <w:tblPr>
        <w:tblStyle w:val="46"/>
        <w:tblW w:w="9469"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1225"/>
        <w:gridCol w:w="1754"/>
        <w:gridCol w:w="6490"/>
      </w:tblGrid>
      <w:tr w14:paraId="16A742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25" w:type="dxa"/>
            <w:vAlign w:val="center"/>
          </w:tcPr>
          <w:p w14:paraId="1E6F6E1A">
            <w:pPr>
              <w:snapToGrid w:val="0"/>
              <w:spacing w:line="400" w:lineRule="exact"/>
              <w:jc w:val="center"/>
              <w:rPr>
                <w:rFonts w:ascii="宋体" w:hAnsi="宋体"/>
                <w:b/>
                <w:kern w:val="0"/>
                <w:szCs w:val="21"/>
              </w:rPr>
            </w:pPr>
            <w:r>
              <w:rPr>
                <w:rFonts w:ascii="宋体" w:hAnsi="宋体"/>
                <w:b/>
                <w:kern w:val="0"/>
                <w:szCs w:val="21"/>
              </w:rPr>
              <w:t>条 款 号</w:t>
            </w:r>
          </w:p>
        </w:tc>
        <w:tc>
          <w:tcPr>
            <w:tcW w:w="1754" w:type="dxa"/>
            <w:vAlign w:val="center"/>
          </w:tcPr>
          <w:p w14:paraId="22C665D5">
            <w:pPr>
              <w:snapToGrid w:val="0"/>
              <w:spacing w:line="400" w:lineRule="exact"/>
              <w:jc w:val="center"/>
              <w:rPr>
                <w:rFonts w:ascii="宋体" w:hAnsi="宋体"/>
                <w:b/>
                <w:kern w:val="0"/>
                <w:szCs w:val="21"/>
              </w:rPr>
            </w:pPr>
            <w:r>
              <w:rPr>
                <w:rFonts w:ascii="宋体" w:hAnsi="宋体"/>
                <w:b/>
                <w:kern w:val="0"/>
                <w:szCs w:val="21"/>
              </w:rPr>
              <w:t>条款名称</w:t>
            </w:r>
          </w:p>
        </w:tc>
        <w:tc>
          <w:tcPr>
            <w:tcW w:w="6490" w:type="dxa"/>
            <w:vAlign w:val="center"/>
          </w:tcPr>
          <w:p w14:paraId="43B85D02">
            <w:pPr>
              <w:snapToGrid w:val="0"/>
              <w:spacing w:line="400" w:lineRule="exact"/>
              <w:jc w:val="center"/>
              <w:rPr>
                <w:rFonts w:ascii="宋体" w:hAnsi="宋体"/>
                <w:b/>
                <w:kern w:val="0"/>
                <w:szCs w:val="21"/>
              </w:rPr>
            </w:pPr>
            <w:r>
              <w:rPr>
                <w:rFonts w:ascii="宋体" w:hAnsi="宋体"/>
                <w:b/>
                <w:kern w:val="0"/>
                <w:szCs w:val="21"/>
              </w:rPr>
              <w:t>编  列  内  容</w:t>
            </w:r>
          </w:p>
        </w:tc>
      </w:tr>
      <w:tr w14:paraId="28600F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F56D90F">
            <w:pPr>
              <w:snapToGrid w:val="0"/>
              <w:spacing w:line="400" w:lineRule="exact"/>
              <w:jc w:val="center"/>
              <w:rPr>
                <w:rFonts w:ascii="宋体" w:hAnsi="宋体"/>
                <w:kern w:val="0"/>
                <w:szCs w:val="21"/>
              </w:rPr>
            </w:pPr>
            <w:r>
              <w:rPr>
                <w:rFonts w:ascii="宋体" w:hAnsi="宋体"/>
                <w:kern w:val="0"/>
                <w:szCs w:val="21"/>
              </w:rPr>
              <w:t>1.1.2</w:t>
            </w:r>
          </w:p>
        </w:tc>
        <w:tc>
          <w:tcPr>
            <w:tcW w:w="1754" w:type="dxa"/>
            <w:vAlign w:val="center"/>
          </w:tcPr>
          <w:p w14:paraId="516B5084">
            <w:pPr>
              <w:snapToGrid w:val="0"/>
              <w:spacing w:line="400" w:lineRule="exact"/>
              <w:jc w:val="center"/>
              <w:rPr>
                <w:rFonts w:ascii="宋体" w:hAnsi="宋体"/>
                <w:kern w:val="0"/>
                <w:szCs w:val="21"/>
              </w:rPr>
            </w:pPr>
            <w:r>
              <w:rPr>
                <w:rFonts w:ascii="宋体" w:hAnsi="宋体"/>
                <w:kern w:val="0"/>
                <w:szCs w:val="21"/>
              </w:rPr>
              <w:t>招标人</w:t>
            </w:r>
          </w:p>
        </w:tc>
        <w:tc>
          <w:tcPr>
            <w:tcW w:w="6490" w:type="dxa"/>
            <w:vAlign w:val="center"/>
          </w:tcPr>
          <w:p w14:paraId="13D9A2FB">
            <w:pPr>
              <w:snapToGrid w:val="0"/>
              <w:spacing w:line="400" w:lineRule="exact"/>
              <w:rPr>
                <w:rFonts w:ascii="宋体" w:hAnsi="宋体"/>
                <w:kern w:val="0"/>
                <w:szCs w:val="21"/>
              </w:rPr>
            </w:pPr>
            <w:r>
              <w:rPr>
                <w:rFonts w:ascii="宋体" w:hAnsi="宋体"/>
                <w:kern w:val="0"/>
                <w:szCs w:val="21"/>
              </w:rPr>
              <w:t>名称：</w:t>
            </w:r>
            <w:r>
              <w:rPr>
                <w:rFonts w:hint="eastAsia" w:ascii="宋体" w:hAnsi="宋体" w:eastAsia="宋体" w:cs="Times New Roman"/>
                <w:color w:val="auto"/>
                <w:kern w:val="0"/>
                <w:szCs w:val="21"/>
                <w:u w:val="single"/>
              </w:rPr>
              <w:t>重庆市涪陵榨菜集团股份有限公司</w:t>
            </w:r>
          </w:p>
          <w:p w14:paraId="38B4919F">
            <w:pPr>
              <w:snapToGrid w:val="0"/>
              <w:spacing w:line="400" w:lineRule="exact"/>
              <w:rPr>
                <w:rFonts w:hint="eastAsia" w:ascii="宋体" w:hAnsi="宋体" w:eastAsia="宋体" w:cs="Times New Roman"/>
                <w:color w:val="auto"/>
                <w:kern w:val="0"/>
                <w:szCs w:val="21"/>
                <w:u w:val="single"/>
              </w:rPr>
            </w:pPr>
            <w:r>
              <w:rPr>
                <w:rFonts w:ascii="宋体" w:hAnsi="宋体"/>
                <w:kern w:val="0"/>
                <w:szCs w:val="21"/>
              </w:rPr>
              <w:t>地址：</w:t>
            </w:r>
            <w:r>
              <w:rPr>
                <w:rFonts w:hint="eastAsia" w:ascii="宋体" w:hAnsi="宋体" w:eastAsia="宋体" w:cs="Times New Roman"/>
                <w:color w:val="auto"/>
                <w:kern w:val="0"/>
                <w:szCs w:val="21"/>
                <w:u w:val="single"/>
              </w:rPr>
              <w:t>重庆市涪陵区江北街道二渡村一组</w:t>
            </w:r>
          </w:p>
          <w:p w14:paraId="3ED26405">
            <w:pPr>
              <w:snapToGrid w:val="0"/>
              <w:spacing w:line="400" w:lineRule="exact"/>
              <w:rPr>
                <w:rFonts w:hint="eastAsia" w:ascii="宋体" w:hAnsi="宋体" w:eastAsia="宋体" w:cs="Times New Roman"/>
                <w:color w:val="auto"/>
                <w:kern w:val="0"/>
                <w:szCs w:val="21"/>
                <w:u w:val="single"/>
              </w:rPr>
            </w:pPr>
            <w:r>
              <w:rPr>
                <w:rFonts w:hint="eastAsia" w:ascii="宋体" w:hAnsi="宋体" w:eastAsia="宋体" w:cs="Times New Roman"/>
                <w:color w:val="auto"/>
                <w:kern w:val="0"/>
                <w:szCs w:val="21"/>
                <w:u w:val="none"/>
                <w:lang w:val="en-US" w:eastAsia="zh-CN"/>
              </w:rPr>
              <w:t>项目负责人</w:t>
            </w:r>
            <w:r>
              <w:rPr>
                <w:rFonts w:hint="eastAsia" w:ascii="宋体" w:hAnsi="宋体" w:eastAsia="宋体" w:cs="Times New Roman"/>
                <w:color w:val="auto"/>
                <w:kern w:val="0"/>
                <w:szCs w:val="21"/>
                <w:u w:val="none"/>
              </w:rPr>
              <w:t>：</w:t>
            </w:r>
            <w:r>
              <w:rPr>
                <w:rFonts w:hint="eastAsia" w:ascii="宋体" w:hAnsi="宋体" w:eastAsia="宋体" w:cs="Times New Roman"/>
                <w:color w:val="auto"/>
                <w:kern w:val="0"/>
                <w:szCs w:val="21"/>
                <w:u w:val="single"/>
              </w:rPr>
              <w:t>徐老师</w:t>
            </w:r>
          </w:p>
          <w:p w14:paraId="4BC986C9">
            <w:pPr>
              <w:snapToGrid w:val="0"/>
              <w:spacing w:line="400" w:lineRule="exact"/>
              <w:rPr>
                <w:rFonts w:ascii="宋体" w:hAnsi="宋体"/>
                <w:kern w:val="0"/>
                <w:szCs w:val="21"/>
              </w:rPr>
            </w:pPr>
            <w:r>
              <w:rPr>
                <w:rFonts w:hint="eastAsia" w:ascii="宋体" w:hAnsi="宋体" w:eastAsia="宋体" w:cs="Times New Roman"/>
                <w:color w:val="auto"/>
                <w:kern w:val="0"/>
                <w:szCs w:val="21"/>
                <w:u w:val="none"/>
              </w:rPr>
              <w:t>电话：</w:t>
            </w:r>
            <w:r>
              <w:rPr>
                <w:rFonts w:hint="eastAsia" w:ascii="宋体" w:hAnsi="宋体" w:eastAsia="宋体" w:cs="宋体"/>
                <w:color w:val="000000" w:themeColor="text1"/>
                <w:szCs w:val="21"/>
                <w:highlight w:val="none"/>
                <w14:textFill>
                  <w14:solidFill>
                    <w14:schemeClr w14:val="tx1"/>
                  </w14:solidFill>
                </w14:textFill>
              </w:rPr>
              <w:t xml:space="preserve"> </w:t>
            </w:r>
            <w:r>
              <w:rPr>
                <w:rFonts w:hint="eastAsia" w:ascii="宋体" w:hAnsi="宋体" w:cs="宋体"/>
                <w:color w:val="000000" w:themeColor="text1"/>
                <w:szCs w:val="21"/>
                <w:highlight w:val="none"/>
                <w:u w:val="single"/>
                <w:lang w:val="en-US" w:eastAsia="zh-CN"/>
                <w14:textFill>
                  <w14:solidFill>
                    <w14:schemeClr w14:val="tx1"/>
                  </w14:solidFill>
                </w14:textFill>
              </w:rPr>
              <w:t>13101153571/</w:t>
            </w:r>
            <w:r>
              <w:rPr>
                <w:rFonts w:hint="eastAsia" w:ascii="宋体" w:hAnsi="宋体" w:eastAsia="宋体" w:cs="宋体"/>
                <w:color w:val="000000" w:themeColor="text1"/>
                <w:szCs w:val="21"/>
                <w:highlight w:val="none"/>
                <w:u w:val="single"/>
                <w14:textFill>
                  <w14:solidFill>
                    <w14:schemeClr w14:val="tx1"/>
                  </w14:solidFill>
                </w14:textFill>
              </w:rPr>
              <w:t>13212467016</w:t>
            </w:r>
            <w:r>
              <w:rPr>
                <w:rFonts w:hint="eastAsia" w:ascii="宋体" w:hAnsi="宋体" w:eastAsia="宋体" w:cs="宋体"/>
                <w:i w:val="0"/>
                <w:iCs w:val="0"/>
                <w:color w:val="auto"/>
                <w:szCs w:val="21"/>
                <w:highlight w:val="none"/>
              </w:rPr>
              <w:t>,</w:t>
            </w:r>
          </w:p>
        </w:tc>
      </w:tr>
      <w:tr w14:paraId="4D5A00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190302B">
            <w:pPr>
              <w:snapToGrid w:val="0"/>
              <w:spacing w:line="400" w:lineRule="exact"/>
              <w:jc w:val="center"/>
              <w:rPr>
                <w:rFonts w:ascii="宋体" w:hAnsi="宋体"/>
                <w:kern w:val="0"/>
                <w:szCs w:val="21"/>
              </w:rPr>
            </w:pPr>
            <w:r>
              <w:rPr>
                <w:rFonts w:ascii="宋体" w:hAnsi="宋体"/>
                <w:kern w:val="0"/>
                <w:szCs w:val="21"/>
              </w:rPr>
              <w:t>1.1.3</w:t>
            </w:r>
          </w:p>
        </w:tc>
        <w:tc>
          <w:tcPr>
            <w:tcW w:w="1754" w:type="dxa"/>
            <w:vAlign w:val="center"/>
          </w:tcPr>
          <w:p w14:paraId="641FD245">
            <w:pPr>
              <w:snapToGrid w:val="0"/>
              <w:spacing w:line="400" w:lineRule="exact"/>
              <w:jc w:val="center"/>
              <w:rPr>
                <w:rFonts w:ascii="宋体" w:hAnsi="宋体"/>
                <w:kern w:val="0"/>
                <w:szCs w:val="21"/>
              </w:rPr>
            </w:pPr>
            <w:r>
              <w:rPr>
                <w:rFonts w:ascii="宋体" w:hAnsi="宋体"/>
                <w:kern w:val="0"/>
                <w:szCs w:val="21"/>
              </w:rPr>
              <w:t>招标代理机构</w:t>
            </w:r>
          </w:p>
        </w:tc>
        <w:tc>
          <w:tcPr>
            <w:tcW w:w="6490" w:type="dxa"/>
            <w:vAlign w:val="center"/>
          </w:tcPr>
          <w:p w14:paraId="3513A64E">
            <w:pPr>
              <w:snapToGrid w:val="0"/>
              <w:spacing w:line="400" w:lineRule="exact"/>
              <w:ind w:firstLine="420" w:firstLineChars="200"/>
              <w:rPr>
                <w:rFonts w:hint="eastAsia" w:ascii="宋体" w:hAnsi="宋体" w:eastAsia="宋体"/>
                <w:kern w:val="0"/>
                <w:szCs w:val="21"/>
                <w:lang w:eastAsia="zh-CN"/>
              </w:rPr>
            </w:pPr>
            <w:r>
              <w:rPr>
                <w:rFonts w:hint="eastAsia" w:ascii="宋体" w:hAnsi="宋体"/>
                <w:kern w:val="0"/>
                <w:szCs w:val="21"/>
                <w:lang w:val="en-US" w:eastAsia="zh-CN"/>
              </w:rPr>
              <w:t>/</w:t>
            </w:r>
          </w:p>
        </w:tc>
      </w:tr>
      <w:tr w14:paraId="79DB52C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F795C2E">
            <w:pPr>
              <w:snapToGrid w:val="0"/>
              <w:spacing w:line="400" w:lineRule="exact"/>
              <w:jc w:val="center"/>
              <w:rPr>
                <w:rFonts w:ascii="宋体" w:hAnsi="宋体"/>
                <w:kern w:val="0"/>
                <w:szCs w:val="21"/>
              </w:rPr>
            </w:pPr>
            <w:r>
              <w:rPr>
                <w:rFonts w:ascii="宋体" w:hAnsi="宋体"/>
                <w:kern w:val="0"/>
                <w:szCs w:val="21"/>
              </w:rPr>
              <w:t>1.1.4</w:t>
            </w:r>
          </w:p>
        </w:tc>
        <w:tc>
          <w:tcPr>
            <w:tcW w:w="1754" w:type="dxa"/>
            <w:vAlign w:val="center"/>
          </w:tcPr>
          <w:p w14:paraId="4F6E52AA">
            <w:pPr>
              <w:snapToGrid w:val="0"/>
              <w:spacing w:line="400" w:lineRule="exact"/>
              <w:jc w:val="center"/>
              <w:rPr>
                <w:rFonts w:hint="eastAsia" w:ascii="宋体" w:hAnsi="宋体"/>
                <w:kern w:val="2"/>
                <w:szCs w:val="21"/>
                <w:u w:val="single"/>
              </w:rPr>
            </w:pPr>
            <w:r>
              <w:rPr>
                <w:rFonts w:hint="eastAsia" w:ascii="宋体" w:hAnsi="宋体"/>
                <w:kern w:val="0"/>
                <w:szCs w:val="21"/>
              </w:rPr>
              <w:t>招标</w:t>
            </w:r>
            <w:r>
              <w:rPr>
                <w:rFonts w:ascii="宋体" w:hAnsi="宋体"/>
                <w:kern w:val="0"/>
                <w:szCs w:val="21"/>
              </w:rPr>
              <w:t>项目名称</w:t>
            </w:r>
          </w:p>
        </w:tc>
        <w:tc>
          <w:tcPr>
            <w:tcW w:w="6490" w:type="dxa"/>
            <w:vAlign w:val="center"/>
          </w:tcPr>
          <w:p w14:paraId="15F23EDC">
            <w:pPr>
              <w:snapToGrid w:val="0"/>
              <w:spacing w:line="400" w:lineRule="exact"/>
              <w:ind w:firstLine="420" w:firstLineChars="200"/>
              <w:jc w:val="left"/>
              <w:rPr>
                <w:rFonts w:ascii="宋体" w:hAnsi="宋体"/>
                <w:szCs w:val="21"/>
              </w:rPr>
            </w:pPr>
            <w:r>
              <w:rPr>
                <w:rFonts w:hint="eastAsia" w:ascii="宋体" w:hAnsi="宋体"/>
                <w:color w:val="auto"/>
                <w:szCs w:val="21"/>
                <w:highlight w:val="none"/>
                <w:u w:val="single"/>
              </w:rPr>
              <w:t>乌江涪陵榨菜绿色智能化生产基地(一期)</w:t>
            </w:r>
            <w:r>
              <w:rPr>
                <w:rFonts w:hint="eastAsia" w:ascii="宋体" w:hAnsi="宋体"/>
                <w:color w:val="auto"/>
                <w:szCs w:val="21"/>
                <w:highlight w:val="none"/>
                <w:u w:val="single"/>
                <w:lang w:eastAsia="zh-CN"/>
              </w:rPr>
              <w:t>5</w:t>
            </w:r>
            <w:r>
              <w:rPr>
                <w:rFonts w:hint="eastAsia" w:ascii="宋体" w:hAnsi="宋体"/>
                <w:color w:val="auto"/>
                <w:szCs w:val="21"/>
                <w:highlight w:val="none"/>
                <w:u w:val="single"/>
                <w:lang w:val="en-US" w:eastAsia="zh-CN"/>
              </w:rPr>
              <w:t>号</w:t>
            </w:r>
            <w:r>
              <w:rPr>
                <w:rFonts w:hint="eastAsia" w:ascii="宋体" w:hAnsi="宋体"/>
                <w:color w:val="auto"/>
                <w:szCs w:val="21"/>
                <w:highlight w:val="none"/>
                <w:u w:val="single"/>
                <w:lang w:eastAsia="zh-CN"/>
              </w:rPr>
              <w:t>车间原料清洁化加工非标设备</w:t>
            </w:r>
            <w:r>
              <w:rPr>
                <w:rFonts w:hint="eastAsia" w:ascii="宋体" w:hAnsi="宋体"/>
                <w:color w:val="auto"/>
                <w:szCs w:val="21"/>
                <w:highlight w:val="none"/>
                <w:u w:val="single"/>
              </w:rPr>
              <w:t>采购及安装</w:t>
            </w:r>
          </w:p>
        </w:tc>
      </w:tr>
      <w:tr w14:paraId="552DBE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99BA66F">
            <w:pPr>
              <w:snapToGrid w:val="0"/>
              <w:spacing w:line="400" w:lineRule="exact"/>
              <w:jc w:val="center"/>
              <w:rPr>
                <w:rFonts w:ascii="宋体" w:hAnsi="宋体"/>
                <w:kern w:val="0"/>
                <w:szCs w:val="21"/>
              </w:rPr>
            </w:pPr>
            <w:r>
              <w:rPr>
                <w:rFonts w:ascii="宋体" w:hAnsi="宋体"/>
                <w:kern w:val="0"/>
                <w:szCs w:val="21"/>
              </w:rPr>
              <w:t>1.2.1</w:t>
            </w:r>
          </w:p>
        </w:tc>
        <w:tc>
          <w:tcPr>
            <w:tcW w:w="1754" w:type="dxa"/>
            <w:vAlign w:val="center"/>
          </w:tcPr>
          <w:p w14:paraId="371A5785">
            <w:pPr>
              <w:snapToGrid w:val="0"/>
              <w:spacing w:line="400" w:lineRule="exact"/>
              <w:jc w:val="center"/>
              <w:rPr>
                <w:rFonts w:ascii="宋体" w:hAnsi="宋体"/>
                <w:kern w:val="0"/>
                <w:szCs w:val="21"/>
              </w:rPr>
            </w:pPr>
            <w:r>
              <w:rPr>
                <w:rFonts w:ascii="宋体" w:hAnsi="宋体"/>
                <w:kern w:val="0"/>
                <w:szCs w:val="21"/>
              </w:rPr>
              <w:t>资金来源</w:t>
            </w:r>
            <w:r>
              <w:rPr>
                <w:rFonts w:hint="eastAsia" w:ascii="宋体" w:hAnsi="宋体"/>
                <w:kern w:val="0"/>
                <w:szCs w:val="21"/>
              </w:rPr>
              <w:t>及比例</w:t>
            </w:r>
          </w:p>
        </w:tc>
        <w:tc>
          <w:tcPr>
            <w:tcW w:w="6490" w:type="dxa"/>
            <w:vAlign w:val="center"/>
          </w:tcPr>
          <w:p w14:paraId="6CEC1059">
            <w:pPr>
              <w:tabs>
                <w:tab w:val="left" w:pos="3840"/>
                <w:tab w:val="left" w:pos="5300"/>
              </w:tabs>
              <w:autoSpaceDE w:val="0"/>
              <w:autoSpaceDN w:val="0"/>
              <w:adjustRightInd w:val="0"/>
              <w:snapToGrid w:val="0"/>
              <w:spacing w:line="460" w:lineRule="exact"/>
              <w:ind w:firstLine="420" w:firstLineChars="200"/>
              <w:rPr>
                <w:rFonts w:ascii="宋体" w:hAnsi="宋体"/>
                <w:snapToGrid w:val="0"/>
                <w:kern w:val="0"/>
                <w:szCs w:val="21"/>
              </w:rPr>
            </w:pPr>
            <w:r>
              <w:rPr>
                <w:rFonts w:hint="eastAsia" w:ascii="宋体" w:hAnsi="宋体"/>
                <w:snapToGrid w:val="0"/>
                <w:color w:val="auto"/>
                <w:kern w:val="0"/>
                <w:szCs w:val="21"/>
                <w:highlight w:val="none"/>
                <w:u w:val="single"/>
              </w:rPr>
              <w:t>企业自筹</w:t>
            </w:r>
            <w:r>
              <w:rPr>
                <w:rFonts w:hint="eastAsia" w:ascii="宋体" w:hAnsi="宋体"/>
                <w:snapToGrid w:val="0"/>
                <w:color w:val="auto"/>
                <w:kern w:val="0"/>
                <w:szCs w:val="21"/>
                <w:highlight w:val="none"/>
                <w:u w:val="single"/>
                <w:lang w:eastAsia="zh-CN"/>
              </w:rPr>
              <w:t>，</w:t>
            </w:r>
            <w:r>
              <w:rPr>
                <w:rFonts w:hint="eastAsia" w:ascii="宋体" w:hAnsi="宋体"/>
                <w:snapToGrid w:val="0"/>
                <w:color w:val="auto"/>
                <w:kern w:val="0"/>
                <w:szCs w:val="21"/>
                <w:highlight w:val="none"/>
                <w:u w:val="single"/>
                <w:lang w:val="en-US" w:eastAsia="zh-CN"/>
              </w:rPr>
              <w:t>100%</w:t>
            </w:r>
            <w:r>
              <w:rPr>
                <w:rFonts w:hint="eastAsia" w:ascii="宋体" w:hAnsi="宋体"/>
                <w:kern w:val="2"/>
                <w:szCs w:val="21"/>
                <w:u w:val="single"/>
                <w:lang w:val="en-US" w:eastAsia="zh-CN"/>
              </w:rPr>
              <w:t xml:space="preserve"> </w:t>
            </w:r>
          </w:p>
        </w:tc>
      </w:tr>
      <w:tr w14:paraId="552661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D8D75EF">
            <w:pPr>
              <w:snapToGrid w:val="0"/>
              <w:spacing w:line="400" w:lineRule="exact"/>
              <w:jc w:val="center"/>
              <w:rPr>
                <w:rFonts w:ascii="宋体" w:hAnsi="宋体"/>
                <w:kern w:val="0"/>
                <w:szCs w:val="21"/>
              </w:rPr>
            </w:pPr>
            <w:r>
              <w:rPr>
                <w:rFonts w:ascii="宋体" w:hAnsi="宋体"/>
                <w:kern w:val="0"/>
                <w:szCs w:val="21"/>
              </w:rPr>
              <w:t>1.2.2</w:t>
            </w:r>
          </w:p>
        </w:tc>
        <w:tc>
          <w:tcPr>
            <w:tcW w:w="1754" w:type="dxa"/>
            <w:vAlign w:val="center"/>
          </w:tcPr>
          <w:p w14:paraId="1E4AB9BB">
            <w:pPr>
              <w:snapToGrid w:val="0"/>
              <w:spacing w:line="400" w:lineRule="exact"/>
              <w:jc w:val="center"/>
              <w:rPr>
                <w:rFonts w:ascii="宋体" w:hAnsi="宋体"/>
                <w:kern w:val="0"/>
                <w:szCs w:val="21"/>
              </w:rPr>
            </w:pPr>
            <w:r>
              <w:rPr>
                <w:rFonts w:ascii="宋体" w:hAnsi="宋体"/>
                <w:kern w:val="0"/>
                <w:szCs w:val="21"/>
              </w:rPr>
              <w:t>资金落实情况</w:t>
            </w:r>
          </w:p>
        </w:tc>
        <w:tc>
          <w:tcPr>
            <w:tcW w:w="6490" w:type="dxa"/>
            <w:vAlign w:val="center"/>
          </w:tcPr>
          <w:p w14:paraId="0AD95D8D">
            <w:pPr>
              <w:snapToGrid w:val="0"/>
              <w:spacing w:line="400" w:lineRule="exact"/>
              <w:ind w:firstLine="420" w:firstLineChars="200"/>
              <w:jc w:val="left"/>
              <w:rPr>
                <w:rFonts w:ascii="宋体" w:hAnsi="宋体"/>
                <w:szCs w:val="21"/>
                <w:u w:val="single"/>
              </w:rPr>
            </w:pPr>
            <w:r>
              <w:rPr>
                <w:rFonts w:hint="eastAsia" w:ascii="宋体" w:hAnsi="宋体"/>
                <w:szCs w:val="21"/>
                <w:u w:val="single"/>
              </w:rPr>
              <w:t>已落实</w:t>
            </w:r>
          </w:p>
        </w:tc>
      </w:tr>
      <w:tr w14:paraId="64F27C1B">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BA023FA">
            <w:pPr>
              <w:snapToGrid w:val="0"/>
              <w:spacing w:line="400" w:lineRule="exact"/>
              <w:jc w:val="center"/>
              <w:rPr>
                <w:rFonts w:ascii="宋体" w:hAnsi="宋体"/>
                <w:kern w:val="0"/>
                <w:szCs w:val="21"/>
              </w:rPr>
            </w:pPr>
            <w:r>
              <w:rPr>
                <w:rFonts w:hint="eastAsia" w:ascii="宋体" w:hAnsi="宋体"/>
                <w:kern w:val="0"/>
                <w:szCs w:val="21"/>
              </w:rPr>
              <w:t>1.3.1</w:t>
            </w:r>
          </w:p>
        </w:tc>
        <w:tc>
          <w:tcPr>
            <w:tcW w:w="1754" w:type="dxa"/>
            <w:vAlign w:val="center"/>
          </w:tcPr>
          <w:p w14:paraId="7E8EF04C">
            <w:pPr>
              <w:snapToGrid w:val="0"/>
              <w:spacing w:line="400" w:lineRule="exact"/>
              <w:jc w:val="center"/>
              <w:rPr>
                <w:rFonts w:ascii="宋体" w:hAnsi="宋体"/>
                <w:kern w:val="0"/>
                <w:szCs w:val="21"/>
              </w:rPr>
            </w:pPr>
            <w:r>
              <w:rPr>
                <w:rFonts w:ascii="宋体" w:hAnsi="宋体"/>
                <w:kern w:val="0"/>
                <w:szCs w:val="21"/>
              </w:rPr>
              <w:t>招标范围</w:t>
            </w:r>
          </w:p>
        </w:tc>
        <w:tc>
          <w:tcPr>
            <w:tcW w:w="6490" w:type="dxa"/>
            <w:vAlign w:val="center"/>
          </w:tcPr>
          <w:p w14:paraId="7C47BDD3">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购置一套非标榨菜原料清洁化加工系统设备</w:t>
            </w:r>
            <w:r>
              <w:rPr>
                <w:rFonts w:hint="eastAsia" w:ascii="宋体" w:hAnsi="宋体"/>
                <w:snapToGrid w:val="0"/>
                <w:color w:val="auto"/>
                <w:kern w:val="0"/>
                <w:sz w:val="21"/>
                <w:szCs w:val="21"/>
                <w:highlight w:val="none"/>
                <w:u w:val="none"/>
                <w:lang w:eastAsia="zh-CN"/>
              </w:rPr>
              <w:t>及</w:t>
            </w:r>
            <w:r>
              <w:rPr>
                <w:rFonts w:hint="eastAsia" w:ascii="宋体" w:hAnsi="宋体"/>
                <w:snapToGrid w:val="0"/>
                <w:color w:val="auto"/>
                <w:kern w:val="0"/>
                <w:sz w:val="21"/>
                <w:szCs w:val="21"/>
                <w:highlight w:val="none"/>
                <w:u w:val="none"/>
                <w:lang w:val="en-US" w:eastAsia="zh-CN"/>
              </w:rPr>
              <w:t>其配套设备</w:t>
            </w:r>
            <w:r>
              <w:rPr>
                <w:rFonts w:hint="eastAsia" w:ascii="宋体" w:hAnsi="宋体"/>
                <w:snapToGrid w:val="0"/>
                <w:color w:val="auto"/>
                <w:kern w:val="0"/>
                <w:sz w:val="21"/>
                <w:szCs w:val="21"/>
                <w:highlight w:val="none"/>
                <w:u w:val="none"/>
                <w:lang w:eastAsia="zh-CN"/>
              </w:rPr>
              <w:t>，</w:t>
            </w:r>
            <w:r>
              <w:rPr>
                <w:rFonts w:hint="eastAsia" w:ascii="宋体" w:hAnsi="宋体"/>
                <w:snapToGrid w:val="0"/>
                <w:color w:val="auto"/>
                <w:kern w:val="0"/>
                <w:sz w:val="21"/>
                <w:szCs w:val="21"/>
                <w:highlight w:val="none"/>
                <w:u w:val="none"/>
                <w:lang w:val="en-US" w:eastAsia="zh-CN"/>
              </w:rPr>
              <w:t>实现青菜头的清洁化收购与加工，具体包括但不限于以下内容：</w:t>
            </w:r>
          </w:p>
          <w:p w14:paraId="259C9CBC">
            <w:pPr>
              <w:keepNext w:val="0"/>
              <w:keepLines w:val="0"/>
              <w:pageBreakBefore w:val="0"/>
              <w:widowControl w:val="0"/>
              <w:numPr>
                <w:ilvl w:val="0"/>
                <w:numId w:val="1"/>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榨菜原料清洁化加工：称重卸车、缓冲水池初清洗、筛分除渣、二次清洗、输送系统、转运车接料系统等设施设备。</w:t>
            </w:r>
          </w:p>
          <w:p w14:paraId="3A570214">
            <w:pPr>
              <w:keepNext w:val="0"/>
              <w:keepLines w:val="0"/>
              <w:pageBreakBefore w:val="0"/>
              <w:widowControl w:val="0"/>
              <w:numPr>
                <w:ilvl w:val="0"/>
                <w:numId w:val="1"/>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辅助设备：封池水袋、叉车。</w:t>
            </w:r>
          </w:p>
          <w:p w14:paraId="4AA61675">
            <w:pPr>
              <w:keepNext w:val="0"/>
              <w:keepLines w:val="0"/>
              <w:pageBreakBefore w:val="0"/>
              <w:widowControl w:val="0"/>
              <w:numPr>
                <w:ilvl w:val="0"/>
                <w:numId w:val="1"/>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视频监控系统：设备区域全覆盖。</w:t>
            </w:r>
          </w:p>
          <w:p w14:paraId="7BFB8951">
            <w:pPr>
              <w:keepNext w:val="0"/>
              <w:keepLines w:val="0"/>
              <w:pageBreakBefore w:val="0"/>
              <w:widowControl w:val="0"/>
              <w:numPr>
                <w:ilvl w:val="0"/>
                <w:numId w:val="1"/>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土建部分：磅房、设备基础(含水池、水渠、地坑等)、预埋件、孔洞及孔洞封堵、管沟（如有）等。</w:t>
            </w:r>
          </w:p>
          <w:p w14:paraId="0EC1A0DA">
            <w:pPr>
              <w:keepNext w:val="0"/>
              <w:keepLines w:val="0"/>
              <w:pageBreakBefore w:val="0"/>
              <w:widowControl w:val="0"/>
              <w:numPr>
                <w:ilvl w:val="0"/>
                <w:numId w:val="1"/>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投标人负责项目的设计、安装、调试、</w:t>
            </w:r>
            <w:r>
              <w:rPr>
                <w:rFonts w:hint="default" w:ascii="宋体" w:hAnsi="宋体"/>
                <w:snapToGrid w:val="0"/>
                <w:color w:val="auto"/>
                <w:kern w:val="0"/>
                <w:sz w:val="21"/>
                <w:szCs w:val="21"/>
                <w:highlight w:val="none"/>
                <w:u w:val="none"/>
                <w:lang w:val="en-US" w:eastAsia="zh-CN"/>
              </w:rPr>
              <w:t>运输</w:t>
            </w:r>
            <w:r>
              <w:rPr>
                <w:rFonts w:hint="eastAsia" w:ascii="宋体" w:hAnsi="宋体"/>
                <w:snapToGrid w:val="0"/>
                <w:color w:val="auto"/>
                <w:kern w:val="0"/>
                <w:sz w:val="21"/>
                <w:szCs w:val="21"/>
                <w:highlight w:val="none"/>
                <w:u w:val="none"/>
                <w:lang w:val="en-US" w:eastAsia="zh-CN"/>
              </w:rPr>
              <w:t>（含包装、装卸、保险、二次或多次转运）、存储、人员培训、设备试运行、设备性能测试、设备验收、设备移交、竣工图移交、设备资料移交和售后服务等事项。</w:t>
            </w:r>
          </w:p>
          <w:p w14:paraId="4DFFEBA3">
            <w:pPr>
              <w:keepNext w:val="0"/>
              <w:keepLines w:val="0"/>
              <w:pageBreakBefore w:val="0"/>
              <w:widowControl w:val="0"/>
              <w:numPr>
                <w:ilvl w:val="0"/>
                <w:numId w:val="1"/>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 xml:space="preserve">投标人最终向招标人交付一个符合设计容量、关键技术参数、安全环保要求且具备稳定运行条件的完整榨菜原料清洁化加工非标设备（不含电动自卸货车），所有设备为全新未使用过的。且第五章“供货要求”未注明由招标人负责的但5#车间原料加工系统运行不可缺的设备和功能均属于投标人供货施工范围。 </w:t>
            </w:r>
          </w:p>
          <w:p w14:paraId="2A1725D5">
            <w:pPr>
              <w:keepNext w:val="0"/>
              <w:keepLines w:val="0"/>
              <w:pageBreakBefore w:val="0"/>
              <w:widowControl w:val="0"/>
              <w:numPr>
                <w:ilvl w:val="0"/>
                <w:numId w:val="1"/>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具体详见第五章供货要求。</w:t>
            </w:r>
          </w:p>
          <w:p w14:paraId="22803F78">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ascii="宋体" w:hAnsi="宋体"/>
                <w:i/>
                <w:szCs w:val="21"/>
              </w:rPr>
            </w:pPr>
          </w:p>
        </w:tc>
      </w:tr>
      <w:tr w14:paraId="7C5F296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D41373">
            <w:pPr>
              <w:snapToGrid w:val="0"/>
              <w:spacing w:line="400" w:lineRule="exact"/>
              <w:jc w:val="center"/>
              <w:rPr>
                <w:rFonts w:ascii="宋体" w:hAnsi="宋体"/>
                <w:kern w:val="0"/>
                <w:szCs w:val="21"/>
              </w:rPr>
            </w:pPr>
            <w:r>
              <w:rPr>
                <w:rFonts w:ascii="宋体" w:hAnsi="宋体"/>
                <w:kern w:val="0"/>
                <w:szCs w:val="21"/>
              </w:rPr>
              <w:t>1.3.2</w:t>
            </w:r>
          </w:p>
        </w:tc>
        <w:tc>
          <w:tcPr>
            <w:tcW w:w="1754" w:type="dxa"/>
            <w:vAlign w:val="center"/>
          </w:tcPr>
          <w:p w14:paraId="7AB07371">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交货期</w:t>
            </w:r>
            <w:r>
              <w:rPr>
                <w:rFonts w:hint="eastAsia" w:ascii="宋体" w:hAnsi="宋体"/>
                <w:kern w:val="0"/>
                <w:szCs w:val="21"/>
                <w:lang w:eastAsia="zh-CN"/>
              </w:rPr>
              <w:t>、质量保证期</w:t>
            </w:r>
          </w:p>
        </w:tc>
        <w:tc>
          <w:tcPr>
            <w:tcW w:w="6490" w:type="dxa"/>
            <w:vAlign w:val="center"/>
          </w:tcPr>
          <w:p w14:paraId="2F2E49C4">
            <w:pPr>
              <w:tabs>
                <w:tab w:val="left" w:pos="3840"/>
                <w:tab w:val="left" w:pos="5300"/>
              </w:tabs>
              <w:autoSpaceDE w:val="0"/>
              <w:autoSpaceDN w:val="0"/>
              <w:adjustRightInd w:val="0"/>
              <w:snapToGrid w:val="0"/>
              <w:spacing w:line="460" w:lineRule="exact"/>
              <w:ind w:firstLine="420" w:firstLineChars="200"/>
              <w:jc w:val="left"/>
              <w:rPr>
                <w:rFonts w:hint="eastAsia" w:ascii="宋体" w:hAnsi="宋体" w:cs="宋体"/>
                <w:snapToGrid w:val="0"/>
                <w:color w:val="auto"/>
                <w:kern w:val="0"/>
                <w:szCs w:val="21"/>
                <w:highlight w:val="yellow"/>
                <w:u w:val="single"/>
                <w:lang w:val="en-US" w:eastAsia="zh-CN"/>
              </w:rPr>
            </w:pPr>
            <w:r>
              <w:rPr>
                <w:rFonts w:hint="eastAsia" w:ascii="宋体" w:hAnsi="宋体"/>
                <w:snapToGrid w:val="0"/>
                <w:kern w:val="0"/>
                <w:szCs w:val="21"/>
              </w:rPr>
              <w:t>交货期：</w:t>
            </w:r>
            <w:r>
              <w:rPr>
                <w:rFonts w:hint="eastAsia" w:ascii="宋体" w:hAnsi="宋体" w:eastAsia="宋体" w:cs="宋体"/>
                <w:snapToGrid w:val="0"/>
                <w:color w:val="auto"/>
                <w:kern w:val="0"/>
                <w:szCs w:val="21"/>
                <w:highlight w:val="none"/>
                <w:u w:val="single"/>
                <w:lang w:val="en-US" w:eastAsia="zh-CN"/>
              </w:rPr>
              <w:t>160</w:t>
            </w:r>
            <w:r>
              <w:rPr>
                <w:rFonts w:hint="eastAsia" w:ascii="宋体" w:hAnsi="宋体" w:eastAsia="宋体" w:cs="宋体"/>
                <w:snapToGrid w:val="0"/>
                <w:color w:val="auto"/>
                <w:kern w:val="0"/>
                <w:szCs w:val="21"/>
                <w:highlight w:val="none"/>
                <w:u w:val="single"/>
              </w:rPr>
              <w:t xml:space="preserve"> 日历天</w:t>
            </w:r>
            <w:r>
              <w:rPr>
                <w:rFonts w:hint="eastAsia" w:ascii="宋体" w:hAnsi="宋体" w:eastAsia="宋体" w:cs="宋体"/>
                <w:snapToGrid w:val="0"/>
                <w:color w:val="auto"/>
                <w:kern w:val="0"/>
                <w:szCs w:val="21"/>
                <w:highlight w:val="none"/>
                <w:u w:val="single"/>
                <w:lang w:eastAsia="zh-CN"/>
              </w:rPr>
              <w:t>（</w:t>
            </w:r>
            <w:r>
              <w:rPr>
                <w:rFonts w:hint="eastAsia" w:ascii="宋体" w:hAnsi="宋体" w:eastAsia="宋体" w:cs="宋体"/>
                <w:snapToGrid w:val="0"/>
                <w:color w:val="auto"/>
                <w:kern w:val="0"/>
                <w:szCs w:val="21"/>
                <w:highlight w:val="none"/>
                <w:u w:val="single"/>
                <w:lang w:val="en-US" w:eastAsia="zh-CN"/>
              </w:rPr>
              <w:t>含设备安装调试工期40日历天</w:t>
            </w:r>
            <w:r>
              <w:rPr>
                <w:rFonts w:hint="eastAsia" w:ascii="宋体" w:hAnsi="宋体" w:eastAsia="宋体" w:cs="宋体"/>
                <w:snapToGrid w:val="0"/>
                <w:color w:val="auto"/>
                <w:kern w:val="0"/>
                <w:szCs w:val="21"/>
                <w:highlight w:val="none"/>
                <w:u w:val="single"/>
                <w:lang w:eastAsia="zh-CN"/>
              </w:rPr>
              <w:t>）</w:t>
            </w:r>
            <w:r>
              <w:rPr>
                <w:rFonts w:hint="eastAsia" w:ascii="宋体" w:hAnsi="宋体"/>
                <w:snapToGrid w:val="0"/>
                <w:color w:val="auto"/>
                <w:kern w:val="0"/>
                <w:szCs w:val="21"/>
                <w:u w:val="none"/>
              </w:rPr>
              <w:t>，</w:t>
            </w:r>
            <w:r>
              <w:rPr>
                <w:rFonts w:hint="eastAsia" w:ascii="宋体" w:hAnsi="宋体" w:eastAsia="宋体" w:cs="宋体"/>
                <w:snapToGrid w:val="0"/>
                <w:color w:val="auto"/>
                <w:kern w:val="0"/>
                <w:szCs w:val="21"/>
                <w:highlight w:val="yellow"/>
                <w:u w:val="single"/>
                <w:lang w:val="en-US" w:eastAsia="zh-CN"/>
              </w:rPr>
              <w:t>合同签订之日起</w:t>
            </w:r>
            <w:r>
              <w:rPr>
                <w:rFonts w:hint="eastAsia" w:ascii="宋体" w:hAnsi="宋体" w:cs="宋体"/>
                <w:snapToGrid w:val="0"/>
                <w:color w:val="auto"/>
                <w:kern w:val="0"/>
                <w:szCs w:val="21"/>
                <w:highlight w:val="yellow"/>
                <w:u w:val="single"/>
                <w:lang w:val="en-US" w:eastAsia="zh-CN"/>
              </w:rPr>
              <w:t>计算。</w:t>
            </w:r>
          </w:p>
          <w:p w14:paraId="0B2BD81B">
            <w:pPr>
              <w:tabs>
                <w:tab w:val="left" w:pos="3840"/>
                <w:tab w:val="left" w:pos="5300"/>
              </w:tabs>
              <w:autoSpaceDE w:val="0"/>
              <w:autoSpaceDN w:val="0"/>
              <w:adjustRightInd w:val="0"/>
              <w:snapToGrid w:val="0"/>
              <w:spacing w:line="460" w:lineRule="exact"/>
              <w:ind w:firstLine="420" w:firstLineChars="200"/>
              <w:jc w:val="left"/>
            </w:pPr>
            <w:r>
              <w:rPr>
                <w:rFonts w:hint="eastAsia" w:ascii="宋体" w:hAnsi="宋体" w:eastAsia="宋体" w:cs="Times New Roman"/>
                <w:snapToGrid w:val="0"/>
                <w:color w:val="auto"/>
                <w:kern w:val="0"/>
                <w:sz w:val="21"/>
                <w:szCs w:val="21"/>
                <w:highlight w:val="none"/>
                <w:u w:val="none"/>
                <w:lang w:val="en-US" w:eastAsia="zh-CN" w:bidi="ar-SA"/>
              </w:rPr>
              <w:t>质量保证期：所有设备自验收合格并交付业主使用之日起24个月，投标人可选择延长质保期。</w:t>
            </w:r>
          </w:p>
        </w:tc>
      </w:tr>
      <w:tr w14:paraId="60C7D07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EC868C">
            <w:pPr>
              <w:snapToGrid w:val="0"/>
              <w:spacing w:line="400" w:lineRule="exact"/>
              <w:jc w:val="center"/>
              <w:rPr>
                <w:rFonts w:ascii="宋体" w:hAnsi="宋体"/>
                <w:kern w:val="0"/>
                <w:szCs w:val="21"/>
              </w:rPr>
            </w:pPr>
            <w:r>
              <w:rPr>
                <w:rFonts w:ascii="宋体" w:hAnsi="宋体"/>
                <w:kern w:val="0"/>
                <w:szCs w:val="21"/>
              </w:rPr>
              <w:t>1.3.3</w:t>
            </w:r>
          </w:p>
        </w:tc>
        <w:tc>
          <w:tcPr>
            <w:tcW w:w="1754" w:type="dxa"/>
            <w:vAlign w:val="center"/>
          </w:tcPr>
          <w:p w14:paraId="4BBA2005">
            <w:pPr>
              <w:snapToGrid w:val="0"/>
              <w:spacing w:line="400" w:lineRule="exact"/>
              <w:jc w:val="center"/>
              <w:rPr>
                <w:rFonts w:ascii="宋体" w:hAnsi="宋体"/>
                <w:kern w:val="0"/>
                <w:szCs w:val="21"/>
              </w:rPr>
            </w:pPr>
            <w:r>
              <w:rPr>
                <w:rFonts w:hint="eastAsia" w:ascii="宋体" w:hAnsi="宋体"/>
                <w:kern w:val="0"/>
                <w:szCs w:val="21"/>
              </w:rPr>
              <w:t>交货地点</w:t>
            </w:r>
          </w:p>
        </w:tc>
        <w:tc>
          <w:tcPr>
            <w:tcW w:w="6490" w:type="dxa"/>
            <w:vAlign w:val="center"/>
          </w:tcPr>
          <w:p w14:paraId="3706ADE1">
            <w:pPr>
              <w:tabs>
                <w:tab w:val="left" w:pos="3840"/>
                <w:tab w:val="left" w:pos="5300"/>
              </w:tabs>
              <w:autoSpaceDE w:val="0"/>
              <w:autoSpaceDN w:val="0"/>
              <w:adjustRightInd w:val="0"/>
              <w:snapToGrid w:val="0"/>
              <w:spacing w:line="460" w:lineRule="exact"/>
              <w:ind w:firstLine="420" w:firstLineChars="200"/>
              <w:jc w:val="left"/>
              <w:rPr>
                <w:rFonts w:ascii="宋体" w:hAnsi="宋体"/>
                <w:szCs w:val="21"/>
              </w:rPr>
            </w:pPr>
            <w:r>
              <w:rPr>
                <w:rFonts w:hint="eastAsia" w:ascii="宋体" w:hAnsi="宋体"/>
                <w:snapToGrid w:val="0"/>
                <w:color w:val="auto"/>
                <w:kern w:val="0"/>
                <w:sz w:val="21"/>
                <w:szCs w:val="21"/>
                <w:highlight w:val="none"/>
                <w:u w:val="none"/>
                <w:lang w:val="en-US" w:eastAsia="zh-CN"/>
              </w:rPr>
              <w:t xml:space="preserve">乌江涪陵榨菜绿色智能化生产基地(一期)5号车间 </w:t>
            </w:r>
          </w:p>
        </w:tc>
      </w:tr>
      <w:tr w14:paraId="1E498C8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CA04542">
            <w:pPr>
              <w:snapToGrid w:val="0"/>
              <w:spacing w:line="400" w:lineRule="exact"/>
              <w:jc w:val="center"/>
              <w:rPr>
                <w:rFonts w:ascii="宋体" w:hAnsi="宋体"/>
                <w:kern w:val="0"/>
                <w:szCs w:val="21"/>
              </w:rPr>
            </w:pPr>
            <w:r>
              <w:rPr>
                <w:rFonts w:ascii="宋体" w:hAnsi="宋体"/>
                <w:kern w:val="0"/>
                <w:szCs w:val="21"/>
              </w:rPr>
              <w:t>1.3.</w:t>
            </w:r>
            <w:r>
              <w:rPr>
                <w:rFonts w:hint="eastAsia" w:ascii="宋体" w:hAnsi="宋体"/>
                <w:kern w:val="0"/>
                <w:szCs w:val="21"/>
              </w:rPr>
              <w:t>4</w:t>
            </w:r>
          </w:p>
        </w:tc>
        <w:tc>
          <w:tcPr>
            <w:tcW w:w="1754" w:type="dxa"/>
            <w:vAlign w:val="center"/>
          </w:tcPr>
          <w:p w14:paraId="3A9EAEC0">
            <w:pPr>
              <w:snapToGrid w:val="0"/>
              <w:spacing w:line="400" w:lineRule="exact"/>
              <w:jc w:val="center"/>
              <w:rPr>
                <w:rFonts w:hint="eastAsia" w:ascii="宋体" w:hAnsi="宋体"/>
                <w:kern w:val="0"/>
                <w:szCs w:val="21"/>
              </w:rPr>
            </w:pPr>
            <w:r>
              <w:rPr>
                <w:rFonts w:hint="eastAsia" w:ascii="宋体" w:hAnsi="宋体"/>
                <w:kern w:val="0"/>
                <w:szCs w:val="21"/>
              </w:rPr>
              <w:t>质量标准</w:t>
            </w:r>
          </w:p>
          <w:p w14:paraId="552675B1">
            <w:pPr>
              <w:snapToGrid w:val="0"/>
              <w:spacing w:line="400" w:lineRule="exact"/>
              <w:jc w:val="center"/>
              <w:rPr>
                <w:rFonts w:ascii="宋体" w:hAnsi="宋体"/>
                <w:kern w:val="0"/>
                <w:szCs w:val="21"/>
              </w:rPr>
            </w:pPr>
            <w:r>
              <w:rPr>
                <w:rFonts w:hint="eastAsia" w:ascii="宋体" w:hAnsi="宋体"/>
                <w:kern w:val="0"/>
                <w:szCs w:val="21"/>
                <w:lang w:val="en-US" w:eastAsia="zh-CN"/>
              </w:rPr>
              <w:t>和</w:t>
            </w:r>
            <w:r>
              <w:rPr>
                <w:rFonts w:hint="eastAsia" w:ascii="宋体" w:hAnsi="宋体"/>
                <w:kern w:val="0"/>
                <w:szCs w:val="21"/>
              </w:rPr>
              <w:t>技术性能</w:t>
            </w:r>
          </w:p>
        </w:tc>
        <w:tc>
          <w:tcPr>
            <w:tcW w:w="6490" w:type="dxa"/>
            <w:vAlign w:val="center"/>
          </w:tcPr>
          <w:p w14:paraId="5C6D0E38">
            <w:pPr>
              <w:snapToGrid w:val="0"/>
              <w:spacing w:line="360" w:lineRule="auto"/>
              <w:ind w:firstLine="420" w:firstLineChars="200"/>
              <w:jc w:val="left"/>
              <w:rPr>
                <w:rFonts w:ascii="宋体" w:hAnsi="宋体" w:cs="宋体"/>
              </w:rPr>
            </w:pPr>
            <w:r>
              <w:rPr>
                <w:rFonts w:hint="eastAsia" w:ascii="宋体" w:hAnsi="宋体"/>
                <w:szCs w:val="21"/>
              </w:rPr>
              <w:t>符合强制性质量标准，符合</w:t>
            </w:r>
            <w:r>
              <w:rPr>
                <w:rFonts w:ascii="宋体" w:hAnsi="宋体"/>
                <w:szCs w:val="21"/>
              </w:rPr>
              <w:t>国家和重庆市现行有关施工质量验收规范要求，</w:t>
            </w:r>
            <w:r>
              <w:rPr>
                <w:rFonts w:hint="eastAsia" w:ascii="宋体" w:hAnsi="宋体"/>
                <w:szCs w:val="21"/>
              </w:rPr>
              <w:t>并达到</w:t>
            </w:r>
            <w:r>
              <w:rPr>
                <w:rFonts w:ascii="宋体" w:hAnsi="宋体"/>
                <w:szCs w:val="21"/>
              </w:rPr>
              <w:t>合格标准；</w:t>
            </w:r>
            <w:r>
              <w:rPr>
                <w:rFonts w:hint="eastAsia" w:ascii="宋体" w:hAnsi="宋体"/>
                <w:szCs w:val="21"/>
              </w:rPr>
              <w:t>同时还必须满足以下要求：</w:t>
            </w:r>
          </w:p>
          <w:p w14:paraId="1A001054">
            <w:pPr>
              <w:snapToGrid w:val="0"/>
              <w:spacing w:line="400" w:lineRule="exact"/>
              <w:ind w:firstLine="422" w:firstLineChars="200"/>
              <w:rPr>
                <w:rFonts w:ascii="宋体" w:hAnsi="宋体"/>
                <w:i/>
                <w:szCs w:val="21"/>
              </w:rPr>
            </w:pPr>
            <w:r>
              <w:rPr>
                <w:rFonts w:hint="eastAsia"/>
                <w:b/>
                <w:bCs/>
                <w:u w:val="single"/>
              </w:rPr>
              <w:t>详见第五章供货要求中的条款</w:t>
            </w:r>
            <w:r>
              <w:rPr>
                <w:rFonts w:hint="eastAsia"/>
                <w:b/>
                <w:bCs/>
              </w:rPr>
              <w:t>。</w:t>
            </w:r>
          </w:p>
        </w:tc>
      </w:tr>
      <w:tr w14:paraId="3C84B6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25" w:type="dxa"/>
            <w:vAlign w:val="center"/>
          </w:tcPr>
          <w:p w14:paraId="6C813B7A">
            <w:pPr>
              <w:snapToGrid w:val="0"/>
              <w:spacing w:line="400" w:lineRule="exact"/>
              <w:jc w:val="center"/>
              <w:rPr>
                <w:rFonts w:ascii="宋体" w:hAnsi="宋体"/>
                <w:kern w:val="0"/>
                <w:szCs w:val="21"/>
              </w:rPr>
            </w:pPr>
          </w:p>
          <w:p w14:paraId="20C710BF">
            <w:pPr>
              <w:snapToGrid w:val="0"/>
              <w:spacing w:line="400" w:lineRule="exact"/>
              <w:jc w:val="center"/>
              <w:rPr>
                <w:rFonts w:ascii="宋体" w:hAnsi="宋体"/>
                <w:kern w:val="0"/>
                <w:szCs w:val="21"/>
              </w:rPr>
            </w:pPr>
          </w:p>
          <w:p w14:paraId="23C2994B">
            <w:pPr>
              <w:snapToGrid w:val="0"/>
              <w:spacing w:line="400" w:lineRule="exact"/>
              <w:jc w:val="center"/>
              <w:rPr>
                <w:rFonts w:ascii="宋体" w:hAnsi="宋体"/>
                <w:kern w:val="0"/>
                <w:szCs w:val="21"/>
              </w:rPr>
            </w:pPr>
          </w:p>
          <w:p w14:paraId="28C3F6B4">
            <w:pPr>
              <w:snapToGrid w:val="0"/>
              <w:spacing w:line="400" w:lineRule="exact"/>
              <w:jc w:val="center"/>
              <w:rPr>
                <w:rFonts w:ascii="宋体" w:hAnsi="宋体"/>
                <w:kern w:val="0"/>
                <w:szCs w:val="21"/>
              </w:rPr>
            </w:pPr>
          </w:p>
          <w:p w14:paraId="4E0D3374">
            <w:pPr>
              <w:snapToGrid w:val="0"/>
              <w:spacing w:line="400" w:lineRule="exact"/>
              <w:jc w:val="center"/>
              <w:rPr>
                <w:rFonts w:ascii="宋体" w:hAnsi="宋体"/>
                <w:kern w:val="0"/>
                <w:szCs w:val="21"/>
              </w:rPr>
            </w:pPr>
          </w:p>
          <w:p w14:paraId="6DAD6A52">
            <w:pPr>
              <w:snapToGrid w:val="0"/>
              <w:spacing w:line="400" w:lineRule="exact"/>
              <w:jc w:val="center"/>
              <w:rPr>
                <w:rFonts w:ascii="宋体" w:hAnsi="宋体"/>
                <w:kern w:val="0"/>
                <w:szCs w:val="21"/>
              </w:rPr>
            </w:pPr>
          </w:p>
          <w:p w14:paraId="18FDB91F">
            <w:pPr>
              <w:snapToGrid w:val="0"/>
              <w:spacing w:line="400" w:lineRule="exact"/>
              <w:jc w:val="center"/>
              <w:rPr>
                <w:rFonts w:ascii="宋体" w:hAnsi="宋体"/>
                <w:kern w:val="0"/>
                <w:szCs w:val="21"/>
              </w:rPr>
            </w:pPr>
          </w:p>
          <w:p w14:paraId="0AE801A9">
            <w:pPr>
              <w:snapToGrid w:val="0"/>
              <w:spacing w:line="400" w:lineRule="exact"/>
              <w:jc w:val="center"/>
              <w:rPr>
                <w:rFonts w:ascii="宋体" w:hAnsi="宋体"/>
                <w:kern w:val="0"/>
                <w:szCs w:val="21"/>
              </w:rPr>
            </w:pPr>
          </w:p>
          <w:p w14:paraId="76E94090">
            <w:pPr>
              <w:snapToGrid w:val="0"/>
              <w:spacing w:line="400" w:lineRule="exact"/>
              <w:jc w:val="center"/>
              <w:rPr>
                <w:rFonts w:ascii="宋体" w:hAnsi="宋体"/>
                <w:kern w:val="0"/>
                <w:szCs w:val="21"/>
              </w:rPr>
            </w:pPr>
          </w:p>
          <w:p w14:paraId="2199EF5C">
            <w:pPr>
              <w:snapToGrid w:val="0"/>
              <w:spacing w:line="400" w:lineRule="exact"/>
              <w:jc w:val="center"/>
              <w:rPr>
                <w:rFonts w:ascii="宋体" w:hAnsi="宋体"/>
                <w:kern w:val="0"/>
                <w:szCs w:val="21"/>
              </w:rPr>
            </w:pPr>
          </w:p>
          <w:p w14:paraId="561C0769">
            <w:pPr>
              <w:snapToGrid w:val="0"/>
              <w:spacing w:line="400" w:lineRule="exact"/>
              <w:jc w:val="center"/>
              <w:rPr>
                <w:rFonts w:ascii="宋体" w:hAnsi="宋体"/>
                <w:kern w:val="0"/>
                <w:szCs w:val="21"/>
              </w:rPr>
            </w:pPr>
          </w:p>
          <w:p w14:paraId="14B2AF18">
            <w:pPr>
              <w:snapToGrid w:val="0"/>
              <w:spacing w:line="400" w:lineRule="exact"/>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5B73CC2C">
            <w:pPr>
              <w:snapToGrid w:val="0"/>
              <w:spacing w:line="400" w:lineRule="exact"/>
              <w:jc w:val="center"/>
              <w:rPr>
                <w:rFonts w:ascii="宋体" w:hAnsi="宋体"/>
                <w:kern w:val="0"/>
                <w:szCs w:val="21"/>
              </w:rPr>
            </w:pPr>
          </w:p>
          <w:p w14:paraId="58ECAB95">
            <w:pPr>
              <w:snapToGrid w:val="0"/>
              <w:spacing w:line="400" w:lineRule="exact"/>
              <w:jc w:val="center"/>
              <w:rPr>
                <w:rFonts w:ascii="宋体" w:hAnsi="宋体"/>
                <w:kern w:val="0"/>
                <w:szCs w:val="21"/>
              </w:rPr>
            </w:pPr>
          </w:p>
          <w:p w14:paraId="3CBDC949">
            <w:pPr>
              <w:snapToGrid w:val="0"/>
              <w:spacing w:line="400" w:lineRule="exact"/>
              <w:jc w:val="both"/>
              <w:rPr>
                <w:rFonts w:ascii="宋体" w:hAnsi="宋体"/>
                <w:kern w:val="0"/>
                <w:szCs w:val="21"/>
              </w:rPr>
            </w:pPr>
          </w:p>
          <w:p w14:paraId="6FA36C0B">
            <w:pPr>
              <w:snapToGrid w:val="0"/>
              <w:spacing w:line="400" w:lineRule="exact"/>
              <w:jc w:val="center"/>
              <w:rPr>
                <w:rFonts w:ascii="宋体" w:hAnsi="宋体"/>
                <w:kern w:val="0"/>
                <w:szCs w:val="21"/>
              </w:rPr>
            </w:pPr>
          </w:p>
          <w:p w14:paraId="746BC12C">
            <w:pPr>
              <w:snapToGrid w:val="0"/>
              <w:spacing w:line="400" w:lineRule="exact"/>
              <w:jc w:val="center"/>
              <w:rPr>
                <w:rFonts w:ascii="宋体" w:hAnsi="宋体"/>
                <w:kern w:val="0"/>
                <w:szCs w:val="21"/>
              </w:rPr>
            </w:pPr>
          </w:p>
          <w:p w14:paraId="79A8F04F">
            <w:pPr>
              <w:snapToGrid w:val="0"/>
              <w:spacing w:line="400" w:lineRule="exact"/>
              <w:jc w:val="center"/>
              <w:rPr>
                <w:rFonts w:ascii="宋体" w:hAnsi="宋体"/>
                <w:kern w:val="0"/>
                <w:szCs w:val="21"/>
              </w:rPr>
            </w:pPr>
          </w:p>
          <w:p w14:paraId="1451B1AE">
            <w:pPr>
              <w:snapToGrid w:val="0"/>
              <w:spacing w:line="400" w:lineRule="exact"/>
              <w:jc w:val="center"/>
              <w:rPr>
                <w:rFonts w:ascii="宋体" w:hAnsi="宋体"/>
                <w:kern w:val="0"/>
                <w:szCs w:val="21"/>
              </w:rPr>
            </w:pPr>
          </w:p>
          <w:p w14:paraId="3CEC4685">
            <w:pPr>
              <w:snapToGrid w:val="0"/>
              <w:spacing w:line="400" w:lineRule="exact"/>
              <w:jc w:val="center"/>
              <w:rPr>
                <w:rFonts w:ascii="宋体" w:hAnsi="宋体"/>
                <w:kern w:val="0"/>
                <w:szCs w:val="21"/>
              </w:rPr>
            </w:pPr>
          </w:p>
          <w:p w14:paraId="4A05EC32">
            <w:pPr>
              <w:snapToGrid w:val="0"/>
              <w:spacing w:line="400" w:lineRule="exact"/>
              <w:jc w:val="center"/>
              <w:rPr>
                <w:rFonts w:ascii="宋体" w:hAnsi="宋体"/>
                <w:kern w:val="0"/>
                <w:szCs w:val="21"/>
              </w:rPr>
            </w:pPr>
          </w:p>
          <w:p w14:paraId="09A5B788">
            <w:pPr>
              <w:snapToGrid w:val="0"/>
              <w:spacing w:line="400" w:lineRule="exact"/>
              <w:jc w:val="center"/>
              <w:rPr>
                <w:rFonts w:ascii="宋体" w:hAnsi="宋体"/>
                <w:kern w:val="0"/>
                <w:szCs w:val="21"/>
              </w:rPr>
            </w:pPr>
          </w:p>
          <w:p w14:paraId="2E96AC70">
            <w:pPr>
              <w:snapToGrid w:val="0"/>
              <w:spacing w:line="400" w:lineRule="exact"/>
              <w:jc w:val="center"/>
              <w:rPr>
                <w:rFonts w:ascii="宋体" w:hAnsi="宋体"/>
                <w:kern w:val="0"/>
                <w:szCs w:val="21"/>
              </w:rPr>
            </w:pPr>
          </w:p>
          <w:p w14:paraId="7A38A061">
            <w:pPr>
              <w:snapToGrid w:val="0"/>
              <w:spacing w:line="400" w:lineRule="exact"/>
              <w:jc w:val="center"/>
              <w:rPr>
                <w:rFonts w:ascii="宋体" w:hAnsi="宋体"/>
                <w:kern w:val="0"/>
                <w:szCs w:val="21"/>
              </w:rPr>
            </w:pPr>
          </w:p>
          <w:p w14:paraId="39AE968B">
            <w:pPr>
              <w:snapToGrid w:val="0"/>
              <w:spacing w:line="400" w:lineRule="exact"/>
              <w:jc w:val="center"/>
              <w:rPr>
                <w:rFonts w:ascii="宋体" w:hAnsi="宋体"/>
                <w:kern w:val="0"/>
                <w:szCs w:val="21"/>
              </w:rPr>
            </w:pPr>
          </w:p>
          <w:p w14:paraId="1D610F8F">
            <w:pPr>
              <w:snapToGrid w:val="0"/>
              <w:spacing w:line="400" w:lineRule="exact"/>
              <w:jc w:val="center"/>
              <w:rPr>
                <w:rFonts w:ascii="宋体" w:hAnsi="宋体"/>
                <w:kern w:val="0"/>
                <w:szCs w:val="21"/>
              </w:rPr>
            </w:pPr>
          </w:p>
          <w:p w14:paraId="7391E0A8">
            <w:pPr>
              <w:snapToGrid w:val="0"/>
              <w:spacing w:line="400" w:lineRule="exact"/>
              <w:jc w:val="center"/>
              <w:rPr>
                <w:rFonts w:ascii="宋体" w:hAnsi="宋体"/>
                <w:kern w:val="0"/>
                <w:szCs w:val="21"/>
              </w:rPr>
            </w:pPr>
          </w:p>
          <w:p w14:paraId="53030FA8">
            <w:pPr>
              <w:snapToGrid w:val="0"/>
              <w:spacing w:line="400" w:lineRule="exact"/>
              <w:jc w:val="center"/>
              <w:rPr>
                <w:rFonts w:ascii="宋体" w:hAnsi="宋体"/>
                <w:kern w:val="0"/>
                <w:szCs w:val="21"/>
              </w:rPr>
            </w:pPr>
          </w:p>
          <w:p w14:paraId="09895435">
            <w:pPr>
              <w:snapToGrid w:val="0"/>
              <w:spacing w:line="400" w:lineRule="exact"/>
              <w:jc w:val="center"/>
              <w:rPr>
                <w:rFonts w:ascii="宋体" w:hAnsi="宋体"/>
                <w:kern w:val="0"/>
                <w:szCs w:val="21"/>
              </w:rPr>
            </w:pPr>
          </w:p>
          <w:p w14:paraId="3DFD6077">
            <w:pPr>
              <w:snapToGrid w:val="0"/>
              <w:spacing w:line="400" w:lineRule="exact"/>
              <w:jc w:val="center"/>
              <w:rPr>
                <w:rFonts w:ascii="宋体" w:hAnsi="宋体"/>
                <w:kern w:val="0"/>
                <w:szCs w:val="21"/>
              </w:rPr>
            </w:pPr>
          </w:p>
          <w:p w14:paraId="446EF299">
            <w:pPr>
              <w:snapToGrid w:val="0"/>
              <w:spacing w:line="400" w:lineRule="exact"/>
              <w:jc w:val="center"/>
              <w:rPr>
                <w:rFonts w:ascii="宋体" w:hAnsi="宋体"/>
                <w:kern w:val="0"/>
                <w:szCs w:val="21"/>
              </w:rPr>
            </w:pPr>
          </w:p>
          <w:p w14:paraId="3709440C">
            <w:pPr>
              <w:snapToGrid w:val="0"/>
              <w:spacing w:line="400" w:lineRule="exact"/>
              <w:jc w:val="both"/>
              <w:rPr>
                <w:rFonts w:ascii="宋体" w:hAnsi="宋体"/>
                <w:kern w:val="0"/>
                <w:szCs w:val="21"/>
              </w:rPr>
            </w:pPr>
          </w:p>
          <w:p w14:paraId="3EC42716">
            <w:pPr>
              <w:snapToGrid w:val="0"/>
              <w:spacing w:line="400" w:lineRule="exact"/>
              <w:jc w:val="center"/>
              <w:rPr>
                <w:rFonts w:ascii="宋体" w:hAnsi="宋体"/>
                <w:kern w:val="0"/>
                <w:szCs w:val="21"/>
              </w:rPr>
            </w:pPr>
          </w:p>
          <w:p w14:paraId="749588BE">
            <w:pPr>
              <w:snapToGrid w:val="0"/>
              <w:spacing w:line="400" w:lineRule="exact"/>
              <w:jc w:val="center"/>
              <w:rPr>
                <w:rFonts w:ascii="宋体" w:hAnsi="宋体"/>
                <w:kern w:val="0"/>
                <w:szCs w:val="21"/>
              </w:rPr>
            </w:pPr>
          </w:p>
          <w:p w14:paraId="47EB1D4A">
            <w:pPr>
              <w:snapToGrid w:val="0"/>
              <w:spacing w:line="400" w:lineRule="exact"/>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66793850">
            <w:pPr>
              <w:snapToGrid w:val="0"/>
              <w:spacing w:line="400" w:lineRule="exact"/>
              <w:jc w:val="center"/>
              <w:rPr>
                <w:rFonts w:ascii="宋体" w:hAnsi="宋体"/>
                <w:kern w:val="0"/>
                <w:szCs w:val="21"/>
              </w:rPr>
            </w:pPr>
          </w:p>
          <w:p w14:paraId="1C350D85">
            <w:pPr>
              <w:snapToGrid w:val="0"/>
              <w:spacing w:line="400" w:lineRule="exact"/>
              <w:jc w:val="center"/>
              <w:rPr>
                <w:rFonts w:ascii="宋体" w:hAnsi="宋体"/>
                <w:kern w:val="0"/>
                <w:szCs w:val="21"/>
              </w:rPr>
            </w:pPr>
          </w:p>
          <w:p w14:paraId="20D4BCB7">
            <w:pPr>
              <w:snapToGrid w:val="0"/>
              <w:spacing w:line="400" w:lineRule="exact"/>
              <w:jc w:val="center"/>
              <w:rPr>
                <w:rFonts w:ascii="宋体" w:hAnsi="宋体"/>
                <w:kern w:val="0"/>
                <w:szCs w:val="21"/>
              </w:rPr>
            </w:pPr>
          </w:p>
          <w:p w14:paraId="1B47632E">
            <w:pPr>
              <w:snapToGrid w:val="0"/>
              <w:spacing w:line="400" w:lineRule="exact"/>
              <w:jc w:val="center"/>
              <w:rPr>
                <w:rFonts w:ascii="宋体" w:hAnsi="宋体"/>
                <w:kern w:val="0"/>
                <w:szCs w:val="21"/>
              </w:rPr>
            </w:pPr>
          </w:p>
          <w:p w14:paraId="303C2F39">
            <w:pPr>
              <w:snapToGrid w:val="0"/>
              <w:spacing w:line="400" w:lineRule="exact"/>
              <w:jc w:val="center"/>
              <w:rPr>
                <w:rFonts w:ascii="宋体" w:hAnsi="宋体"/>
                <w:kern w:val="0"/>
                <w:szCs w:val="21"/>
              </w:rPr>
            </w:pPr>
          </w:p>
          <w:p w14:paraId="0A2F3295">
            <w:pPr>
              <w:snapToGrid w:val="0"/>
              <w:spacing w:line="400" w:lineRule="exact"/>
              <w:jc w:val="center"/>
              <w:rPr>
                <w:rFonts w:ascii="宋体" w:hAnsi="宋体"/>
                <w:kern w:val="0"/>
                <w:szCs w:val="21"/>
              </w:rPr>
            </w:pPr>
          </w:p>
          <w:p w14:paraId="144DF693">
            <w:pPr>
              <w:pStyle w:val="17"/>
            </w:pPr>
          </w:p>
          <w:p w14:paraId="0AC9DB4A">
            <w:pPr>
              <w:snapToGrid w:val="0"/>
              <w:spacing w:line="400" w:lineRule="exact"/>
              <w:jc w:val="center"/>
              <w:rPr>
                <w:rFonts w:ascii="宋体" w:hAnsi="宋体"/>
                <w:kern w:val="0"/>
                <w:szCs w:val="21"/>
              </w:rPr>
            </w:pPr>
          </w:p>
          <w:p w14:paraId="26219CC5">
            <w:pPr>
              <w:snapToGrid w:val="0"/>
              <w:spacing w:line="400" w:lineRule="exact"/>
              <w:jc w:val="center"/>
              <w:rPr>
                <w:rFonts w:hint="eastAsia" w:ascii="宋体" w:hAnsi="宋体"/>
                <w:kern w:val="0"/>
                <w:szCs w:val="21"/>
              </w:rPr>
            </w:pPr>
          </w:p>
          <w:p w14:paraId="700BF1C5">
            <w:pPr>
              <w:pStyle w:val="17"/>
              <w:rPr>
                <w:rFonts w:hint="eastAsia"/>
              </w:rPr>
            </w:pPr>
          </w:p>
          <w:p w14:paraId="14D2F000">
            <w:pPr>
              <w:rPr>
                <w:rFonts w:hint="eastAsia"/>
              </w:rPr>
            </w:pPr>
          </w:p>
          <w:p w14:paraId="495FFE40">
            <w:pPr>
              <w:pStyle w:val="17"/>
              <w:rPr>
                <w:rFonts w:hint="eastAsia"/>
              </w:rPr>
            </w:pPr>
          </w:p>
          <w:p w14:paraId="01EC837E">
            <w:pPr>
              <w:rPr>
                <w:rFonts w:hint="eastAsia"/>
              </w:rPr>
            </w:pPr>
          </w:p>
          <w:p w14:paraId="6C5543D0">
            <w:pPr>
              <w:pStyle w:val="17"/>
              <w:rPr>
                <w:rFonts w:hint="eastAsia"/>
              </w:rPr>
            </w:pPr>
          </w:p>
          <w:p w14:paraId="59EFECBF">
            <w:pPr>
              <w:rPr>
                <w:rFonts w:hint="eastAsia"/>
              </w:rPr>
            </w:pPr>
          </w:p>
          <w:p w14:paraId="0147160D">
            <w:pPr>
              <w:pStyle w:val="17"/>
              <w:rPr>
                <w:rFonts w:hint="eastAsia"/>
              </w:rPr>
            </w:pPr>
          </w:p>
          <w:p w14:paraId="78533215">
            <w:pPr>
              <w:rPr>
                <w:rFonts w:hint="eastAsia"/>
              </w:rPr>
            </w:pPr>
          </w:p>
          <w:p w14:paraId="01E91B22">
            <w:pPr>
              <w:pStyle w:val="17"/>
              <w:rPr>
                <w:rFonts w:hint="eastAsia"/>
              </w:rPr>
            </w:pPr>
          </w:p>
          <w:p w14:paraId="7D3EA956">
            <w:pPr>
              <w:rPr>
                <w:rFonts w:hint="eastAsia"/>
              </w:rPr>
            </w:pPr>
          </w:p>
          <w:p w14:paraId="7BFEE9D6">
            <w:pPr>
              <w:pStyle w:val="17"/>
              <w:rPr>
                <w:rFonts w:hint="eastAsia"/>
              </w:rPr>
            </w:pPr>
          </w:p>
          <w:p w14:paraId="2FB311AE">
            <w:pPr>
              <w:rPr>
                <w:rFonts w:hint="eastAsia"/>
              </w:rPr>
            </w:pPr>
          </w:p>
          <w:p w14:paraId="2DD62845">
            <w:pPr>
              <w:pStyle w:val="17"/>
              <w:rPr>
                <w:rFonts w:hint="eastAsia"/>
              </w:rPr>
            </w:pPr>
          </w:p>
          <w:p w14:paraId="0B6A9FB3">
            <w:pPr>
              <w:rPr>
                <w:rFonts w:hint="eastAsia"/>
              </w:rPr>
            </w:pPr>
          </w:p>
          <w:p w14:paraId="4876DEF9">
            <w:pPr>
              <w:pStyle w:val="17"/>
              <w:rPr>
                <w:rFonts w:hint="eastAsia"/>
              </w:rPr>
            </w:pPr>
          </w:p>
          <w:p w14:paraId="06C92CCA">
            <w:pPr>
              <w:rPr>
                <w:rFonts w:hint="eastAsia"/>
              </w:rPr>
            </w:pPr>
          </w:p>
          <w:p w14:paraId="7FD78FCD">
            <w:pPr>
              <w:pStyle w:val="17"/>
              <w:rPr>
                <w:rFonts w:hint="eastAsia"/>
              </w:rPr>
            </w:pPr>
          </w:p>
          <w:p w14:paraId="383B23E0">
            <w:pPr>
              <w:rPr>
                <w:rFonts w:hint="eastAsia"/>
              </w:rPr>
            </w:pPr>
          </w:p>
          <w:p w14:paraId="50347D57">
            <w:pPr>
              <w:pStyle w:val="17"/>
              <w:rPr>
                <w:rFonts w:hint="eastAsia"/>
              </w:rPr>
            </w:pPr>
          </w:p>
          <w:p w14:paraId="283BA184">
            <w:pPr>
              <w:rPr>
                <w:rFonts w:hint="eastAsia"/>
              </w:rPr>
            </w:pPr>
          </w:p>
          <w:p w14:paraId="4FF7D160">
            <w:pPr>
              <w:pStyle w:val="17"/>
              <w:rPr>
                <w:rFonts w:hint="eastAsia" w:ascii="宋体" w:hAnsi="宋体"/>
                <w:kern w:val="0"/>
                <w:szCs w:val="21"/>
              </w:rPr>
            </w:pPr>
          </w:p>
          <w:p w14:paraId="53BFFCCB">
            <w:pPr>
              <w:rPr>
                <w:rFonts w:hint="eastAsia" w:ascii="宋体" w:hAnsi="宋体"/>
                <w:kern w:val="0"/>
                <w:szCs w:val="21"/>
              </w:rPr>
            </w:pPr>
          </w:p>
          <w:p w14:paraId="18E0AC72">
            <w:pPr>
              <w:pStyle w:val="17"/>
              <w:rPr>
                <w:rFonts w:hint="eastAsia" w:ascii="宋体" w:hAnsi="宋体"/>
                <w:kern w:val="0"/>
                <w:szCs w:val="21"/>
              </w:rPr>
            </w:pPr>
          </w:p>
          <w:p w14:paraId="6428C6B3">
            <w:pPr>
              <w:rPr>
                <w:rFonts w:hint="eastAsia"/>
              </w:rPr>
            </w:pPr>
          </w:p>
          <w:p w14:paraId="598FF60B">
            <w:pPr>
              <w:rPr>
                <w:rFonts w:hint="eastAsia"/>
              </w:rPr>
            </w:pPr>
          </w:p>
          <w:p w14:paraId="0B33E859">
            <w:pPr>
              <w:snapToGrid w:val="0"/>
              <w:spacing w:line="400" w:lineRule="exact"/>
              <w:jc w:val="center"/>
              <w:rPr>
                <w:rFonts w:ascii="宋体" w:hAnsi="宋体"/>
                <w:kern w:val="0"/>
                <w:szCs w:val="21"/>
              </w:rPr>
            </w:pPr>
            <w:r>
              <w:rPr>
                <w:rFonts w:hint="eastAsia" w:ascii="宋体" w:hAnsi="宋体"/>
                <w:kern w:val="0"/>
                <w:szCs w:val="21"/>
              </w:rPr>
              <w:t>1</w:t>
            </w:r>
            <w:r>
              <w:rPr>
                <w:rFonts w:ascii="宋体" w:hAnsi="宋体"/>
                <w:kern w:val="0"/>
                <w:szCs w:val="21"/>
              </w:rPr>
              <w:t>.4.1</w:t>
            </w:r>
          </w:p>
          <w:p w14:paraId="571BB8A0">
            <w:pPr>
              <w:snapToGrid w:val="0"/>
              <w:spacing w:line="400" w:lineRule="exact"/>
              <w:jc w:val="center"/>
              <w:rPr>
                <w:rFonts w:ascii="宋体" w:hAnsi="宋体"/>
                <w:kern w:val="0"/>
                <w:szCs w:val="21"/>
              </w:rPr>
            </w:pPr>
          </w:p>
          <w:p w14:paraId="095E3016">
            <w:pPr>
              <w:snapToGrid w:val="0"/>
              <w:spacing w:line="400" w:lineRule="exact"/>
              <w:jc w:val="both"/>
              <w:rPr>
                <w:rFonts w:ascii="宋体" w:hAnsi="宋体"/>
                <w:kern w:val="0"/>
                <w:szCs w:val="21"/>
              </w:rPr>
            </w:pPr>
          </w:p>
        </w:tc>
        <w:tc>
          <w:tcPr>
            <w:tcW w:w="1754" w:type="dxa"/>
            <w:vAlign w:val="center"/>
          </w:tcPr>
          <w:p w14:paraId="32021267">
            <w:pPr>
              <w:snapToGrid w:val="0"/>
              <w:spacing w:line="400" w:lineRule="exact"/>
              <w:jc w:val="center"/>
              <w:rPr>
                <w:rFonts w:hint="eastAsia" w:ascii="宋体" w:hAnsi="宋体" w:eastAsia="宋体" w:cs="宋体"/>
                <w:kern w:val="0"/>
                <w:sz w:val="21"/>
                <w:szCs w:val="21"/>
              </w:rPr>
            </w:pPr>
          </w:p>
          <w:p w14:paraId="1D0269EB">
            <w:pPr>
              <w:snapToGrid w:val="0"/>
              <w:spacing w:line="400" w:lineRule="exact"/>
              <w:jc w:val="both"/>
              <w:rPr>
                <w:rFonts w:hint="eastAsia" w:ascii="宋体" w:hAnsi="宋体" w:eastAsia="宋体" w:cs="宋体"/>
                <w:kern w:val="0"/>
                <w:sz w:val="21"/>
                <w:szCs w:val="21"/>
              </w:rPr>
            </w:pPr>
          </w:p>
          <w:p w14:paraId="682F306E">
            <w:pPr>
              <w:snapToGrid w:val="0"/>
              <w:spacing w:line="400" w:lineRule="exact"/>
              <w:jc w:val="center"/>
              <w:rPr>
                <w:rFonts w:hint="eastAsia" w:ascii="宋体" w:hAnsi="宋体" w:eastAsia="宋体" w:cs="宋体"/>
                <w:kern w:val="0"/>
                <w:sz w:val="21"/>
                <w:szCs w:val="21"/>
              </w:rPr>
            </w:pPr>
          </w:p>
          <w:p w14:paraId="3AF1A03A">
            <w:pPr>
              <w:snapToGrid w:val="0"/>
              <w:spacing w:line="400" w:lineRule="exact"/>
              <w:jc w:val="center"/>
              <w:rPr>
                <w:rFonts w:hint="eastAsia" w:ascii="宋体" w:hAnsi="宋体" w:eastAsia="宋体" w:cs="宋体"/>
                <w:kern w:val="0"/>
                <w:sz w:val="21"/>
                <w:szCs w:val="21"/>
              </w:rPr>
            </w:pPr>
          </w:p>
          <w:p w14:paraId="069C6968">
            <w:pPr>
              <w:snapToGrid w:val="0"/>
              <w:spacing w:line="400" w:lineRule="exact"/>
              <w:jc w:val="center"/>
              <w:rPr>
                <w:rFonts w:hint="eastAsia" w:ascii="宋体" w:hAnsi="宋体" w:eastAsia="宋体" w:cs="宋体"/>
                <w:kern w:val="0"/>
                <w:sz w:val="21"/>
                <w:szCs w:val="21"/>
              </w:rPr>
            </w:pPr>
          </w:p>
          <w:p w14:paraId="7A9E58F9">
            <w:pPr>
              <w:snapToGrid w:val="0"/>
              <w:spacing w:line="400" w:lineRule="exact"/>
              <w:jc w:val="center"/>
              <w:rPr>
                <w:rFonts w:hint="eastAsia" w:ascii="宋体" w:hAnsi="宋体" w:eastAsia="宋体" w:cs="宋体"/>
                <w:kern w:val="0"/>
                <w:sz w:val="21"/>
                <w:szCs w:val="21"/>
              </w:rPr>
            </w:pPr>
          </w:p>
          <w:p w14:paraId="62BF8578">
            <w:pPr>
              <w:snapToGrid w:val="0"/>
              <w:spacing w:line="400" w:lineRule="exact"/>
              <w:jc w:val="both"/>
              <w:rPr>
                <w:rFonts w:hint="eastAsia" w:ascii="宋体" w:hAnsi="宋体" w:eastAsia="宋体" w:cs="宋体"/>
                <w:kern w:val="0"/>
                <w:sz w:val="21"/>
                <w:szCs w:val="21"/>
              </w:rPr>
            </w:pPr>
          </w:p>
          <w:p w14:paraId="78196A57">
            <w:pPr>
              <w:snapToGrid w:val="0"/>
              <w:spacing w:line="400" w:lineRule="exact"/>
              <w:jc w:val="center"/>
              <w:rPr>
                <w:rFonts w:hint="eastAsia" w:ascii="宋体" w:hAnsi="宋体" w:eastAsia="宋体" w:cs="宋体"/>
                <w:kern w:val="0"/>
                <w:sz w:val="21"/>
                <w:szCs w:val="21"/>
              </w:rPr>
            </w:pPr>
          </w:p>
          <w:p w14:paraId="456A5794">
            <w:pPr>
              <w:snapToGrid w:val="0"/>
              <w:spacing w:line="400" w:lineRule="exact"/>
              <w:jc w:val="center"/>
              <w:rPr>
                <w:rFonts w:hint="eastAsia" w:ascii="宋体" w:hAnsi="宋体" w:eastAsia="宋体" w:cs="宋体"/>
                <w:kern w:val="0"/>
                <w:sz w:val="21"/>
                <w:szCs w:val="21"/>
              </w:rPr>
            </w:pPr>
          </w:p>
          <w:p w14:paraId="5695BD46">
            <w:pPr>
              <w:snapToGrid w:val="0"/>
              <w:spacing w:line="400" w:lineRule="exact"/>
              <w:jc w:val="center"/>
              <w:rPr>
                <w:rFonts w:hint="eastAsia" w:ascii="宋体" w:hAnsi="宋体" w:eastAsia="宋体" w:cs="宋体"/>
                <w:kern w:val="0"/>
                <w:sz w:val="21"/>
                <w:szCs w:val="21"/>
              </w:rPr>
            </w:pPr>
          </w:p>
          <w:p w14:paraId="4D43C19F">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0C5DCA7D">
            <w:pPr>
              <w:snapToGrid w:val="0"/>
              <w:spacing w:line="400" w:lineRule="exact"/>
              <w:jc w:val="center"/>
              <w:rPr>
                <w:rFonts w:hint="eastAsia" w:ascii="宋体" w:hAnsi="宋体" w:eastAsia="宋体" w:cs="宋体"/>
                <w:kern w:val="0"/>
                <w:sz w:val="21"/>
                <w:szCs w:val="21"/>
              </w:rPr>
            </w:pPr>
          </w:p>
          <w:p w14:paraId="7FD3AFD0">
            <w:pPr>
              <w:snapToGrid w:val="0"/>
              <w:spacing w:line="400" w:lineRule="exact"/>
              <w:jc w:val="center"/>
              <w:rPr>
                <w:rFonts w:hint="eastAsia" w:ascii="宋体" w:hAnsi="宋体" w:eastAsia="宋体" w:cs="宋体"/>
                <w:kern w:val="0"/>
                <w:sz w:val="21"/>
                <w:szCs w:val="21"/>
              </w:rPr>
            </w:pPr>
          </w:p>
          <w:p w14:paraId="05C5FD36">
            <w:pPr>
              <w:snapToGrid w:val="0"/>
              <w:spacing w:line="400" w:lineRule="exact"/>
              <w:jc w:val="center"/>
              <w:rPr>
                <w:rFonts w:hint="eastAsia" w:ascii="宋体" w:hAnsi="宋体" w:eastAsia="宋体" w:cs="宋体"/>
                <w:kern w:val="0"/>
                <w:sz w:val="21"/>
                <w:szCs w:val="21"/>
              </w:rPr>
            </w:pPr>
          </w:p>
          <w:p w14:paraId="75945099">
            <w:pPr>
              <w:snapToGrid w:val="0"/>
              <w:spacing w:line="400" w:lineRule="exact"/>
              <w:jc w:val="center"/>
              <w:rPr>
                <w:rFonts w:hint="eastAsia" w:ascii="宋体" w:hAnsi="宋体" w:eastAsia="宋体" w:cs="宋体"/>
                <w:kern w:val="0"/>
                <w:sz w:val="21"/>
                <w:szCs w:val="21"/>
              </w:rPr>
            </w:pPr>
          </w:p>
          <w:p w14:paraId="7872516C">
            <w:pPr>
              <w:snapToGrid w:val="0"/>
              <w:spacing w:line="400" w:lineRule="exact"/>
              <w:jc w:val="center"/>
              <w:rPr>
                <w:rFonts w:hint="eastAsia" w:ascii="宋体" w:hAnsi="宋体" w:eastAsia="宋体" w:cs="宋体"/>
                <w:kern w:val="0"/>
                <w:sz w:val="21"/>
                <w:szCs w:val="21"/>
              </w:rPr>
            </w:pPr>
          </w:p>
          <w:p w14:paraId="3F7E4F07">
            <w:pPr>
              <w:snapToGrid w:val="0"/>
              <w:spacing w:line="400" w:lineRule="exact"/>
              <w:jc w:val="center"/>
              <w:rPr>
                <w:rFonts w:hint="eastAsia" w:ascii="宋体" w:hAnsi="宋体" w:eastAsia="宋体" w:cs="宋体"/>
                <w:kern w:val="0"/>
                <w:sz w:val="21"/>
                <w:szCs w:val="21"/>
              </w:rPr>
            </w:pPr>
          </w:p>
          <w:p w14:paraId="06D55BA4">
            <w:pPr>
              <w:snapToGrid w:val="0"/>
              <w:spacing w:line="400" w:lineRule="exact"/>
              <w:jc w:val="center"/>
              <w:rPr>
                <w:rFonts w:hint="eastAsia" w:ascii="宋体" w:hAnsi="宋体" w:eastAsia="宋体" w:cs="宋体"/>
                <w:kern w:val="0"/>
                <w:sz w:val="21"/>
                <w:szCs w:val="21"/>
              </w:rPr>
            </w:pPr>
          </w:p>
          <w:p w14:paraId="1984076C">
            <w:pPr>
              <w:snapToGrid w:val="0"/>
              <w:spacing w:line="400" w:lineRule="exact"/>
              <w:jc w:val="center"/>
              <w:rPr>
                <w:rFonts w:hint="eastAsia" w:ascii="宋体" w:hAnsi="宋体" w:eastAsia="宋体" w:cs="宋体"/>
                <w:kern w:val="0"/>
                <w:sz w:val="21"/>
                <w:szCs w:val="21"/>
              </w:rPr>
            </w:pPr>
          </w:p>
          <w:p w14:paraId="50E45AB2">
            <w:pPr>
              <w:snapToGrid w:val="0"/>
              <w:spacing w:line="400" w:lineRule="exact"/>
              <w:jc w:val="center"/>
              <w:rPr>
                <w:rFonts w:hint="eastAsia" w:ascii="宋体" w:hAnsi="宋体" w:eastAsia="宋体" w:cs="宋体"/>
                <w:kern w:val="0"/>
                <w:sz w:val="21"/>
                <w:szCs w:val="21"/>
              </w:rPr>
            </w:pPr>
          </w:p>
          <w:p w14:paraId="7761EE0B">
            <w:pPr>
              <w:snapToGrid w:val="0"/>
              <w:spacing w:line="400" w:lineRule="exact"/>
              <w:jc w:val="center"/>
              <w:rPr>
                <w:rFonts w:hint="eastAsia" w:ascii="宋体" w:hAnsi="宋体" w:eastAsia="宋体" w:cs="宋体"/>
                <w:kern w:val="0"/>
                <w:sz w:val="21"/>
                <w:szCs w:val="21"/>
              </w:rPr>
            </w:pPr>
          </w:p>
          <w:p w14:paraId="625CD8B3">
            <w:pPr>
              <w:snapToGrid w:val="0"/>
              <w:spacing w:line="400" w:lineRule="exact"/>
              <w:jc w:val="center"/>
              <w:rPr>
                <w:rFonts w:hint="eastAsia" w:ascii="宋体" w:hAnsi="宋体" w:eastAsia="宋体" w:cs="宋体"/>
                <w:kern w:val="0"/>
                <w:sz w:val="21"/>
                <w:szCs w:val="21"/>
              </w:rPr>
            </w:pPr>
          </w:p>
          <w:p w14:paraId="1A3A3F74">
            <w:pPr>
              <w:snapToGrid w:val="0"/>
              <w:spacing w:line="400" w:lineRule="exact"/>
              <w:jc w:val="center"/>
              <w:rPr>
                <w:rFonts w:hint="eastAsia" w:ascii="宋体" w:hAnsi="宋体" w:eastAsia="宋体" w:cs="宋体"/>
                <w:kern w:val="0"/>
                <w:sz w:val="21"/>
                <w:szCs w:val="21"/>
              </w:rPr>
            </w:pPr>
          </w:p>
          <w:p w14:paraId="68612308">
            <w:pPr>
              <w:snapToGrid w:val="0"/>
              <w:spacing w:line="400" w:lineRule="exact"/>
              <w:jc w:val="center"/>
              <w:rPr>
                <w:rFonts w:hint="eastAsia" w:ascii="宋体" w:hAnsi="宋体" w:eastAsia="宋体" w:cs="宋体"/>
                <w:kern w:val="0"/>
                <w:sz w:val="21"/>
                <w:szCs w:val="21"/>
              </w:rPr>
            </w:pPr>
          </w:p>
          <w:p w14:paraId="138AA187">
            <w:pPr>
              <w:snapToGrid w:val="0"/>
              <w:spacing w:line="400" w:lineRule="exact"/>
              <w:jc w:val="center"/>
              <w:rPr>
                <w:rFonts w:hint="eastAsia" w:ascii="宋体" w:hAnsi="宋体" w:eastAsia="宋体" w:cs="宋体"/>
                <w:kern w:val="0"/>
                <w:sz w:val="21"/>
                <w:szCs w:val="21"/>
              </w:rPr>
            </w:pPr>
          </w:p>
          <w:p w14:paraId="27E0CF20">
            <w:pPr>
              <w:snapToGrid w:val="0"/>
              <w:spacing w:line="400" w:lineRule="exact"/>
              <w:jc w:val="center"/>
              <w:rPr>
                <w:rFonts w:hint="eastAsia" w:ascii="宋体" w:hAnsi="宋体" w:eastAsia="宋体" w:cs="宋体"/>
                <w:kern w:val="0"/>
                <w:sz w:val="21"/>
                <w:szCs w:val="21"/>
              </w:rPr>
            </w:pPr>
          </w:p>
          <w:p w14:paraId="552EBAD7">
            <w:pPr>
              <w:snapToGrid w:val="0"/>
              <w:spacing w:line="400" w:lineRule="exact"/>
              <w:jc w:val="center"/>
              <w:rPr>
                <w:rFonts w:hint="eastAsia" w:ascii="宋体" w:hAnsi="宋体" w:eastAsia="宋体" w:cs="宋体"/>
                <w:kern w:val="0"/>
                <w:sz w:val="21"/>
                <w:szCs w:val="21"/>
              </w:rPr>
            </w:pPr>
          </w:p>
          <w:p w14:paraId="2A89C16D">
            <w:pPr>
              <w:snapToGrid w:val="0"/>
              <w:spacing w:line="400" w:lineRule="exact"/>
              <w:jc w:val="center"/>
              <w:rPr>
                <w:rFonts w:hint="eastAsia" w:ascii="宋体" w:hAnsi="宋体" w:eastAsia="宋体" w:cs="宋体"/>
                <w:kern w:val="0"/>
                <w:sz w:val="21"/>
                <w:szCs w:val="21"/>
              </w:rPr>
            </w:pPr>
          </w:p>
          <w:p w14:paraId="5CA95B78">
            <w:pPr>
              <w:snapToGrid w:val="0"/>
              <w:spacing w:line="400" w:lineRule="exact"/>
              <w:jc w:val="center"/>
              <w:rPr>
                <w:rFonts w:hint="eastAsia" w:ascii="宋体" w:hAnsi="宋体" w:eastAsia="宋体" w:cs="宋体"/>
                <w:kern w:val="0"/>
                <w:sz w:val="21"/>
                <w:szCs w:val="21"/>
              </w:rPr>
            </w:pPr>
          </w:p>
          <w:p w14:paraId="248D0A9C">
            <w:pPr>
              <w:snapToGrid w:val="0"/>
              <w:spacing w:line="400" w:lineRule="exact"/>
              <w:jc w:val="center"/>
              <w:rPr>
                <w:rFonts w:hint="eastAsia" w:ascii="宋体" w:hAnsi="宋体" w:eastAsia="宋体" w:cs="宋体"/>
                <w:kern w:val="0"/>
                <w:sz w:val="21"/>
                <w:szCs w:val="21"/>
              </w:rPr>
            </w:pPr>
          </w:p>
          <w:p w14:paraId="6ABAA083">
            <w:pPr>
              <w:snapToGrid w:val="0"/>
              <w:spacing w:line="400" w:lineRule="exact"/>
              <w:jc w:val="both"/>
              <w:rPr>
                <w:rFonts w:hint="eastAsia" w:ascii="宋体" w:hAnsi="宋体" w:eastAsia="宋体" w:cs="宋体"/>
                <w:kern w:val="0"/>
                <w:sz w:val="21"/>
                <w:szCs w:val="21"/>
              </w:rPr>
            </w:pPr>
          </w:p>
          <w:p w14:paraId="4F25E824">
            <w:pPr>
              <w:snapToGrid w:val="0"/>
              <w:spacing w:line="400" w:lineRule="exact"/>
              <w:jc w:val="center"/>
              <w:rPr>
                <w:rFonts w:hint="eastAsia" w:ascii="宋体" w:hAnsi="宋体" w:eastAsia="宋体" w:cs="宋体"/>
                <w:kern w:val="0"/>
                <w:sz w:val="21"/>
                <w:szCs w:val="21"/>
              </w:rPr>
            </w:pPr>
          </w:p>
          <w:p w14:paraId="72C8F4AA">
            <w:pPr>
              <w:snapToGrid w:val="0"/>
              <w:spacing w:line="400" w:lineRule="exact"/>
              <w:jc w:val="center"/>
              <w:rPr>
                <w:rFonts w:hint="eastAsia" w:ascii="宋体" w:hAnsi="宋体" w:eastAsia="宋体" w:cs="宋体"/>
                <w:kern w:val="0"/>
                <w:sz w:val="21"/>
                <w:szCs w:val="21"/>
              </w:rPr>
            </w:pPr>
          </w:p>
          <w:p w14:paraId="38F96103">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39945D2B">
            <w:pPr>
              <w:snapToGrid w:val="0"/>
              <w:spacing w:line="400" w:lineRule="exact"/>
              <w:jc w:val="center"/>
              <w:rPr>
                <w:rFonts w:hint="eastAsia" w:ascii="宋体" w:hAnsi="宋体" w:eastAsia="宋体" w:cs="宋体"/>
                <w:kern w:val="0"/>
                <w:sz w:val="21"/>
                <w:szCs w:val="21"/>
              </w:rPr>
            </w:pPr>
          </w:p>
          <w:p w14:paraId="4DA2C5B9">
            <w:pPr>
              <w:snapToGrid w:val="0"/>
              <w:spacing w:line="400" w:lineRule="exact"/>
              <w:jc w:val="center"/>
              <w:rPr>
                <w:rFonts w:hint="eastAsia" w:ascii="宋体" w:hAnsi="宋体" w:eastAsia="宋体" w:cs="宋体"/>
                <w:kern w:val="0"/>
                <w:sz w:val="21"/>
                <w:szCs w:val="21"/>
              </w:rPr>
            </w:pPr>
          </w:p>
          <w:p w14:paraId="218A88A0">
            <w:pPr>
              <w:snapToGrid w:val="0"/>
              <w:spacing w:line="400" w:lineRule="exact"/>
              <w:jc w:val="center"/>
              <w:rPr>
                <w:rFonts w:hint="eastAsia" w:ascii="宋体" w:hAnsi="宋体" w:eastAsia="宋体" w:cs="宋体"/>
                <w:kern w:val="0"/>
                <w:sz w:val="21"/>
                <w:szCs w:val="21"/>
              </w:rPr>
            </w:pPr>
          </w:p>
          <w:p w14:paraId="4320989B">
            <w:pPr>
              <w:snapToGrid w:val="0"/>
              <w:spacing w:line="400" w:lineRule="exact"/>
              <w:jc w:val="center"/>
              <w:rPr>
                <w:rFonts w:hint="eastAsia" w:ascii="宋体" w:hAnsi="宋体" w:eastAsia="宋体" w:cs="宋体"/>
                <w:kern w:val="0"/>
                <w:sz w:val="21"/>
                <w:szCs w:val="21"/>
              </w:rPr>
            </w:pPr>
          </w:p>
          <w:p w14:paraId="467B30AE">
            <w:pPr>
              <w:snapToGrid w:val="0"/>
              <w:spacing w:line="400" w:lineRule="exact"/>
              <w:jc w:val="center"/>
              <w:rPr>
                <w:rFonts w:hint="eastAsia" w:ascii="宋体" w:hAnsi="宋体" w:eastAsia="宋体" w:cs="宋体"/>
                <w:kern w:val="0"/>
                <w:sz w:val="21"/>
                <w:szCs w:val="21"/>
              </w:rPr>
            </w:pPr>
          </w:p>
          <w:p w14:paraId="435E0839">
            <w:pPr>
              <w:pStyle w:val="17"/>
              <w:rPr>
                <w:rFonts w:hint="eastAsia"/>
              </w:rPr>
            </w:pPr>
          </w:p>
          <w:p w14:paraId="2090139F">
            <w:pPr>
              <w:snapToGrid w:val="0"/>
              <w:spacing w:line="400" w:lineRule="exact"/>
              <w:jc w:val="both"/>
              <w:rPr>
                <w:rFonts w:hint="eastAsia" w:ascii="宋体" w:hAnsi="宋体" w:eastAsia="宋体" w:cs="宋体"/>
                <w:kern w:val="0"/>
                <w:sz w:val="21"/>
                <w:szCs w:val="21"/>
              </w:rPr>
            </w:pPr>
          </w:p>
          <w:p w14:paraId="2CCDFBDF">
            <w:pPr>
              <w:snapToGrid w:val="0"/>
              <w:spacing w:line="400" w:lineRule="exact"/>
              <w:jc w:val="center"/>
              <w:rPr>
                <w:rFonts w:hint="eastAsia" w:ascii="宋体" w:hAnsi="宋体" w:eastAsia="宋体" w:cs="宋体"/>
                <w:kern w:val="0"/>
                <w:sz w:val="21"/>
                <w:szCs w:val="21"/>
              </w:rPr>
            </w:pPr>
          </w:p>
          <w:p w14:paraId="1E1D8A70">
            <w:pPr>
              <w:snapToGrid w:val="0"/>
              <w:spacing w:line="400" w:lineRule="exact"/>
              <w:jc w:val="center"/>
              <w:rPr>
                <w:rFonts w:hint="eastAsia" w:ascii="宋体" w:hAnsi="宋体" w:eastAsia="宋体" w:cs="宋体"/>
                <w:kern w:val="0"/>
                <w:sz w:val="21"/>
                <w:szCs w:val="21"/>
              </w:rPr>
            </w:pPr>
          </w:p>
          <w:p w14:paraId="4DB7E4A8">
            <w:pPr>
              <w:snapToGrid w:val="0"/>
              <w:spacing w:line="400" w:lineRule="exact"/>
              <w:jc w:val="center"/>
              <w:rPr>
                <w:rFonts w:hint="eastAsia" w:ascii="宋体" w:hAnsi="宋体" w:eastAsia="宋体" w:cs="宋体"/>
                <w:kern w:val="0"/>
                <w:sz w:val="21"/>
                <w:szCs w:val="21"/>
              </w:rPr>
            </w:pPr>
          </w:p>
          <w:p w14:paraId="47A7A182">
            <w:pPr>
              <w:snapToGrid w:val="0"/>
              <w:spacing w:line="400" w:lineRule="exact"/>
              <w:jc w:val="center"/>
              <w:rPr>
                <w:rFonts w:hint="eastAsia" w:ascii="宋体" w:hAnsi="宋体" w:eastAsia="宋体" w:cs="宋体"/>
                <w:kern w:val="0"/>
                <w:sz w:val="21"/>
                <w:szCs w:val="21"/>
              </w:rPr>
            </w:pPr>
          </w:p>
          <w:p w14:paraId="1A72DBD4">
            <w:pPr>
              <w:pStyle w:val="17"/>
              <w:rPr>
                <w:rFonts w:hint="eastAsia" w:ascii="宋体" w:hAnsi="宋体" w:eastAsia="宋体" w:cs="宋体"/>
                <w:kern w:val="0"/>
                <w:sz w:val="21"/>
                <w:szCs w:val="21"/>
              </w:rPr>
            </w:pPr>
          </w:p>
          <w:p w14:paraId="32A08368">
            <w:pPr>
              <w:rPr>
                <w:rFonts w:hint="eastAsia" w:ascii="宋体" w:hAnsi="宋体" w:eastAsia="宋体" w:cs="宋体"/>
                <w:kern w:val="0"/>
                <w:sz w:val="21"/>
                <w:szCs w:val="21"/>
              </w:rPr>
            </w:pPr>
          </w:p>
          <w:p w14:paraId="122E1825">
            <w:pPr>
              <w:pStyle w:val="17"/>
              <w:rPr>
                <w:rFonts w:hint="eastAsia" w:ascii="宋体" w:hAnsi="宋体" w:eastAsia="宋体" w:cs="宋体"/>
                <w:kern w:val="0"/>
                <w:sz w:val="21"/>
                <w:szCs w:val="21"/>
              </w:rPr>
            </w:pPr>
          </w:p>
          <w:p w14:paraId="1072D591">
            <w:pPr>
              <w:rPr>
                <w:rFonts w:hint="eastAsia" w:ascii="宋体" w:hAnsi="宋体" w:eastAsia="宋体" w:cs="宋体"/>
                <w:kern w:val="0"/>
                <w:sz w:val="21"/>
                <w:szCs w:val="21"/>
              </w:rPr>
            </w:pPr>
          </w:p>
          <w:p w14:paraId="367A87DC">
            <w:pPr>
              <w:pStyle w:val="17"/>
              <w:rPr>
                <w:rFonts w:hint="eastAsia" w:ascii="宋体" w:hAnsi="宋体" w:eastAsia="宋体" w:cs="宋体"/>
                <w:kern w:val="0"/>
                <w:sz w:val="21"/>
                <w:szCs w:val="21"/>
              </w:rPr>
            </w:pPr>
          </w:p>
          <w:p w14:paraId="44BA7338">
            <w:pPr>
              <w:rPr>
                <w:rFonts w:hint="eastAsia" w:ascii="宋体" w:hAnsi="宋体" w:eastAsia="宋体" w:cs="宋体"/>
                <w:kern w:val="0"/>
                <w:sz w:val="21"/>
                <w:szCs w:val="21"/>
              </w:rPr>
            </w:pPr>
          </w:p>
          <w:p w14:paraId="133F3196">
            <w:pPr>
              <w:pStyle w:val="17"/>
              <w:rPr>
                <w:rFonts w:hint="eastAsia" w:ascii="宋体" w:hAnsi="宋体" w:eastAsia="宋体" w:cs="宋体"/>
                <w:kern w:val="0"/>
                <w:sz w:val="21"/>
                <w:szCs w:val="21"/>
              </w:rPr>
            </w:pPr>
          </w:p>
          <w:p w14:paraId="10D06134">
            <w:pPr>
              <w:rPr>
                <w:rFonts w:hint="eastAsia" w:ascii="宋体" w:hAnsi="宋体" w:eastAsia="宋体" w:cs="宋体"/>
                <w:kern w:val="0"/>
                <w:sz w:val="21"/>
                <w:szCs w:val="21"/>
              </w:rPr>
            </w:pPr>
          </w:p>
          <w:p w14:paraId="01FEBFC4">
            <w:pPr>
              <w:pStyle w:val="17"/>
              <w:rPr>
                <w:rFonts w:hint="eastAsia" w:ascii="宋体" w:hAnsi="宋体" w:eastAsia="宋体" w:cs="宋体"/>
                <w:kern w:val="0"/>
                <w:sz w:val="21"/>
                <w:szCs w:val="21"/>
              </w:rPr>
            </w:pPr>
          </w:p>
          <w:p w14:paraId="3E61FD4A">
            <w:pPr>
              <w:rPr>
                <w:rFonts w:hint="eastAsia" w:ascii="宋体" w:hAnsi="宋体" w:eastAsia="宋体" w:cs="宋体"/>
                <w:kern w:val="0"/>
                <w:sz w:val="21"/>
                <w:szCs w:val="21"/>
              </w:rPr>
            </w:pPr>
          </w:p>
          <w:p w14:paraId="62B5C317">
            <w:pPr>
              <w:pStyle w:val="17"/>
              <w:rPr>
                <w:rFonts w:hint="eastAsia" w:ascii="宋体" w:hAnsi="宋体" w:eastAsia="宋体" w:cs="宋体"/>
                <w:kern w:val="0"/>
                <w:sz w:val="21"/>
                <w:szCs w:val="21"/>
              </w:rPr>
            </w:pPr>
          </w:p>
          <w:p w14:paraId="2A919B30">
            <w:pPr>
              <w:rPr>
                <w:rFonts w:hint="eastAsia" w:ascii="宋体" w:hAnsi="宋体" w:eastAsia="宋体" w:cs="宋体"/>
                <w:kern w:val="0"/>
                <w:sz w:val="21"/>
                <w:szCs w:val="21"/>
              </w:rPr>
            </w:pPr>
          </w:p>
          <w:p w14:paraId="10E48CEB">
            <w:pPr>
              <w:pStyle w:val="17"/>
              <w:rPr>
                <w:rFonts w:hint="eastAsia" w:ascii="宋体" w:hAnsi="宋体" w:eastAsia="宋体" w:cs="宋体"/>
                <w:kern w:val="0"/>
                <w:sz w:val="21"/>
                <w:szCs w:val="21"/>
              </w:rPr>
            </w:pPr>
          </w:p>
          <w:p w14:paraId="6A4A91A8">
            <w:pPr>
              <w:rPr>
                <w:rFonts w:hint="eastAsia" w:ascii="宋体" w:hAnsi="宋体" w:eastAsia="宋体" w:cs="宋体"/>
                <w:kern w:val="0"/>
                <w:sz w:val="21"/>
                <w:szCs w:val="21"/>
              </w:rPr>
            </w:pPr>
          </w:p>
          <w:p w14:paraId="798582C9">
            <w:pPr>
              <w:pStyle w:val="17"/>
              <w:rPr>
                <w:rFonts w:hint="eastAsia" w:ascii="宋体" w:hAnsi="宋体" w:eastAsia="宋体" w:cs="宋体"/>
                <w:kern w:val="0"/>
                <w:sz w:val="21"/>
                <w:szCs w:val="21"/>
              </w:rPr>
            </w:pPr>
          </w:p>
          <w:p w14:paraId="5C77341E">
            <w:pPr>
              <w:rPr>
                <w:rFonts w:hint="eastAsia" w:ascii="宋体" w:hAnsi="宋体" w:eastAsia="宋体" w:cs="宋体"/>
                <w:kern w:val="0"/>
                <w:sz w:val="21"/>
                <w:szCs w:val="21"/>
              </w:rPr>
            </w:pPr>
          </w:p>
          <w:p w14:paraId="24B2F980">
            <w:pPr>
              <w:pStyle w:val="17"/>
              <w:rPr>
                <w:rFonts w:hint="eastAsia"/>
              </w:rPr>
            </w:pPr>
          </w:p>
          <w:p w14:paraId="40768C10">
            <w:pPr>
              <w:rPr>
                <w:rFonts w:hint="eastAsia"/>
              </w:rPr>
            </w:pPr>
          </w:p>
          <w:p w14:paraId="07D06795">
            <w:pPr>
              <w:snapToGrid w:val="0"/>
              <w:spacing w:line="4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投标人资质条件、能力和信誉</w:t>
            </w:r>
          </w:p>
          <w:p w14:paraId="4112A8E1">
            <w:pPr>
              <w:snapToGrid w:val="0"/>
              <w:spacing w:line="400" w:lineRule="exact"/>
              <w:jc w:val="both"/>
              <w:rPr>
                <w:rFonts w:hint="eastAsia" w:ascii="宋体" w:hAnsi="宋体" w:eastAsia="宋体" w:cs="宋体"/>
                <w:kern w:val="0"/>
                <w:sz w:val="21"/>
                <w:szCs w:val="21"/>
              </w:rPr>
            </w:pPr>
          </w:p>
        </w:tc>
        <w:tc>
          <w:tcPr>
            <w:tcW w:w="6490" w:type="dxa"/>
            <w:vAlign w:val="center"/>
          </w:tcPr>
          <w:p w14:paraId="79383A89">
            <w:pPr>
              <w:tabs>
                <w:tab w:val="left" w:pos="3840"/>
                <w:tab w:val="left" w:pos="5300"/>
              </w:tabs>
              <w:autoSpaceDE w:val="0"/>
              <w:autoSpaceDN w:val="0"/>
              <w:adjustRightInd w:val="0"/>
              <w:snapToGrid w:val="0"/>
              <w:spacing w:line="460" w:lineRule="exact"/>
              <w:ind w:firstLine="420" w:firstLineChars="200"/>
              <w:jc w:val="left"/>
              <w:rPr>
                <w:rFonts w:ascii="宋体" w:hAnsi="宋体" w:cs="宋体"/>
                <w:szCs w:val="21"/>
                <w:shd w:val="clear" w:color="auto" w:fill="FFFFFF"/>
              </w:rPr>
            </w:pPr>
            <w:bookmarkStart w:id="84" w:name="OLE_LINK1"/>
            <w:r>
              <w:rPr>
                <w:rFonts w:hint="eastAsia" w:ascii="宋体" w:hAnsi="宋体" w:cs="宋体"/>
                <w:szCs w:val="21"/>
              </w:rPr>
              <w:t>本次货物采购招标实行资格后审，</w:t>
            </w:r>
            <w:r>
              <w:rPr>
                <w:rFonts w:hint="eastAsia" w:ascii="宋体" w:hAnsi="宋体" w:cs="宋体"/>
                <w:snapToGrid w:val="0"/>
                <w:kern w:val="0"/>
                <w:szCs w:val="21"/>
              </w:rPr>
              <w:t>投标人应以</w:t>
            </w:r>
            <w:r>
              <w:rPr>
                <w:rFonts w:hint="eastAsia" w:ascii="宋体" w:hAnsi="宋体" w:cs="宋体"/>
                <w:b/>
                <w:bCs/>
                <w:snapToGrid w:val="0"/>
                <w:kern w:val="0"/>
                <w:szCs w:val="21"/>
              </w:rPr>
              <w:t>制造商</w:t>
            </w:r>
            <w:r>
              <w:rPr>
                <w:rFonts w:hint="eastAsia" w:ascii="宋体" w:hAnsi="宋体" w:cs="宋体"/>
                <w:snapToGrid w:val="0"/>
                <w:kern w:val="0"/>
                <w:szCs w:val="21"/>
              </w:rPr>
              <w:t>身份参加投标：</w:t>
            </w:r>
          </w:p>
          <w:bookmarkEnd w:id="84"/>
          <w:p w14:paraId="33E3EC44">
            <w:pPr>
              <w:autoSpaceDE w:val="0"/>
              <w:autoSpaceDN w:val="0"/>
              <w:adjustRightInd w:val="0"/>
              <w:snapToGrid w:val="0"/>
              <w:spacing w:line="400" w:lineRule="exact"/>
              <w:ind w:firstLine="422" w:firstLineChars="200"/>
              <w:rPr>
                <w:rFonts w:hint="eastAsia" w:ascii="宋体" w:hAnsi="宋体" w:eastAsia="宋体" w:cs="宋体"/>
                <w:b/>
                <w:sz w:val="21"/>
                <w:szCs w:val="21"/>
              </w:rPr>
            </w:pPr>
            <w:r>
              <w:rPr>
                <w:rFonts w:hint="eastAsia" w:ascii="宋体" w:hAnsi="宋体" w:eastAsia="宋体" w:cs="宋体"/>
                <w:b/>
                <w:sz w:val="21"/>
                <w:szCs w:val="21"/>
              </w:rPr>
              <w:t>1.</w:t>
            </w:r>
            <w:r>
              <w:rPr>
                <w:rFonts w:hint="eastAsia" w:ascii="宋体" w:hAnsi="宋体" w:eastAsia="宋体" w:cs="宋体"/>
                <w:b/>
                <w:sz w:val="21"/>
                <w:szCs w:val="21"/>
                <w:lang w:eastAsia="zh-CN"/>
              </w:rPr>
              <w:t>独立法人资格</w:t>
            </w:r>
            <w:r>
              <w:rPr>
                <w:rFonts w:hint="eastAsia" w:ascii="宋体" w:hAnsi="宋体" w:eastAsia="宋体" w:cs="宋体"/>
                <w:b/>
                <w:sz w:val="21"/>
                <w:szCs w:val="21"/>
              </w:rPr>
              <w:t>和资质要求</w:t>
            </w:r>
          </w:p>
          <w:p w14:paraId="7FE9AD3D">
            <w:pPr>
              <w:autoSpaceDE w:val="0"/>
              <w:autoSpaceDN w:val="0"/>
              <w:adjustRightInd w:val="0"/>
              <w:snapToGrid w:val="0"/>
              <w:spacing w:line="400" w:lineRule="exact"/>
              <w:ind w:firstLine="422" w:firstLineChars="200"/>
              <w:rPr>
                <w:rFonts w:hint="eastAsia" w:ascii="宋体" w:hAnsi="宋体" w:eastAsia="宋体" w:cs="宋体"/>
                <w:b/>
                <w:bCs/>
                <w:iCs/>
                <w:sz w:val="21"/>
                <w:szCs w:val="21"/>
              </w:rPr>
            </w:pPr>
            <w:r>
              <w:rPr>
                <w:rFonts w:hint="eastAsia" w:ascii="宋体" w:hAnsi="宋体" w:eastAsia="宋体" w:cs="宋体"/>
                <w:b/>
                <w:bCs/>
                <w:snapToGrid w:val="0"/>
                <w:kern w:val="0"/>
                <w:sz w:val="21"/>
                <w:szCs w:val="21"/>
              </w:rPr>
              <w:t xml:space="preserve">1.1 </w:t>
            </w:r>
            <w:r>
              <w:rPr>
                <w:rFonts w:hint="eastAsia" w:ascii="宋体" w:hAnsi="宋体" w:eastAsia="宋体" w:cs="宋体"/>
                <w:b/>
                <w:bCs/>
                <w:iCs/>
                <w:sz w:val="21"/>
                <w:szCs w:val="21"/>
              </w:rPr>
              <w:t>投标人为制造商应符合以下要求：</w:t>
            </w:r>
          </w:p>
          <w:p w14:paraId="0E7F2B81">
            <w:pPr>
              <w:autoSpaceDE w:val="0"/>
              <w:autoSpaceDN w:val="0"/>
              <w:adjustRightInd w:val="0"/>
              <w:snapToGrid w:val="0"/>
              <w:spacing w:line="400" w:lineRule="exact"/>
              <w:ind w:firstLine="420" w:firstLineChars="200"/>
              <w:rPr>
                <w:rFonts w:hint="eastAsia" w:ascii="宋体" w:hAnsi="宋体" w:eastAsia="宋体" w:cs="宋体"/>
                <w:color w:val="auto"/>
                <w:sz w:val="21"/>
                <w:szCs w:val="21"/>
              </w:rPr>
            </w:pPr>
            <w:r>
              <w:rPr>
                <w:rFonts w:hint="eastAsia" w:ascii="宋体" w:hAnsi="宋体" w:eastAsia="宋体" w:cs="宋体"/>
                <w:sz w:val="21"/>
                <w:szCs w:val="21"/>
              </w:rPr>
              <w:t>（1）具备</w:t>
            </w:r>
            <w:r>
              <w:rPr>
                <w:rFonts w:hint="eastAsia" w:ascii="宋体" w:hAnsi="宋体" w:eastAsia="宋体" w:cs="宋体"/>
                <w:sz w:val="21"/>
                <w:szCs w:val="21"/>
                <w:lang w:val="en-US" w:eastAsia="zh-CN"/>
              </w:rPr>
              <w:t>独立法</w:t>
            </w:r>
            <w:r>
              <w:rPr>
                <w:rFonts w:hint="eastAsia" w:ascii="宋体" w:hAnsi="宋体" w:eastAsia="宋体" w:cs="宋体"/>
                <w:color w:val="auto"/>
                <w:sz w:val="21"/>
                <w:szCs w:val="21"/>
                <w:lang w:val="en-US" w:eastAsia="zh-CN"/>
              </w:rPr>
              <w:t>人资格</w:t>
            </w:r>
            <w:r>
              <w:rPr>
                <w:rFonts w:hint="eastAsia" w:ascii="宋体" w:hAnsi="宋体" w:eastAsia="宋体" w:cs="宋体"/>
                <w:color w:val="auto"/>
                <w:sz w:val="21"/>
                <w:szCs w:val="21"/>
              </w:rPr>
              <w:t>；</w:t>
            </w:r>
          </w:p>
          <w:p w14:paraId="480083B1">
            <w:pPr>
              <w:autoSpaceDE w:val="0"/>
              <w:autoSpaceDN w:val="0"/>
              <w:adjustRightInd w:val="0"/>
              <w:snapToGrid w:val="0"/>
              <w:spacing w:line="400" w:lineRule="exact"/>
              <w:ind w:firstLine="422" w:firstLineChars="200"/>
              <w:rPr>
                <w:rFonts w:ascii="宋体" w:hAnsi="宋体" w:cs="宋体"/>
                <w:b/>
                <w:bCs/>
                <w:color w:val="0000FF"/>
                <w:szCs w:val="21"/>
              </w:rPr>
            </w:pPr>
            <w:r>
              <w:rPr>
                <w:rFonts w:hint="eastAsia" w:ascii="宋体" w:hAnsi="宋体" w:cs="宋体"/>
                <w:b/>
                <w:bCs/>
                <w:color w:val="0000FF"/>
                <w:szCs w:val="21"/>
              </w:rPr>
              <w:t>提供：有效的营业执照以及制造商资格声明（格式见第六章投标文件格式）。</w:t>
            </w:r>
          </w:p>
          <w:p w14:paraId="56C900F4">
            <w:pPr>
              <w:autoSpaceDE w:val="0"/>
              <w:autoSpaceDN w:val="0"/>
              <w:adjustRightInd w:val="0"/>
              <w:snapToGrid w:val="0"/>
              <w:spacing w:line="400" w:lineRule="exact"/>
              <w:ind w:firstLine="420" w:firstLineChars="200"/>
              <w:rPr>
                <w:rFonts w:ascii="宋体" w:hAnsi="宋体" w:cs="宋体"/>
                <w:snapToGrid w:val="0"/>
                <w:kern w:val="0"/>
                <w:szCs w:val="21"/>
              </w:rPr>
            </w:pPr>
            <w:r>
              <w:rPr>
                <w:rFonts w:hint="eastAsia" w:ascii="宋体" w:hAnsi="宋体" w:cs="宋体"/>
                <w:szCs w:val="21"/>
              </w:rPr>
              <w:t>注：不得将营业执照记载的经营范围作为评审因素。</w:t>
            </w:r>
          </w:p>
          <w:p w14:paraId="54D491B8">
            <w:pPr>
              <w:autoSpaceDE w:val="0"/>
              <w:autoSpaceDN w:val="0"/>
              <w:adjustRightInd w:val="0"/>
              <w:snapToGrid w:val="0"/>
              <w:spacing w:line="400" w:lineRule="exact"/>
              <w:ind w:firstLine="422" w:firstLineChars="200"/>
              <w:rPr>
                <w:rFonts w:hint="eastAsia" w:ascii="宋体" w:hAnsi="宋体" w:eastAsia="宋体" w:cs="宋体"/>
                <w:b/>
                <w:sz w:val="21"/>
                <w:szCs w:val="21"/>
              </w:rPr>
            </w:pPr>
            <w:r>
              <w:rPr>
                <w:rFonts w:hint="eastAsia" w:ascii="宋体" w:hAnsi="宋体" w:eastAsia="宋体" w:cs="宋体"/>
                <w:b/>
                <w:sz w:val="21"/>
                <w:szCs w:val="21"/>
              </w:rPr>
              <w:t>2.财务要求</w:t>
            </w:r>
          </w:p>
          <w:p w14:paraId="7AE44842">
            <w:pPr>
              <w:snapToGrid w:val="0"/>
              <w:spacing w:line="400" w:lineRule="exact"/>
              <w:ind w:firstLine="420" w:firstLineChars="200"/>
              <w:rPr>
                <w:rFonts w:hint="eastAsia" w:ascii="宋体" w:hAnsi="宋体" w:eastAsia="宋体" w:cs="宋体"/>
                <w:kern w:val="0"/>
                <w:sz w:val="21"/>
                <w:szCs w:val="21"/>
                <w:lang w:eastAsia="zh-CN"/>
              </w:rPr>
            </w:pPr>
            <w:r>
              <w:rPr>
                <w:rFonts w:hint="eastAsia" w:ascii="宋体" w:hAnsi="宋体" w:cs="宋体"/>
                <w:kern w:val="0"/>
                <w:sz w:val="21"/>
                <w:szCs w:val="21"/>
                <w:u w:val="single"/>
                <w:lang w:val="en-US" w:eastAsia="zh-CN"/>
              </w:rPr>
              <w:t>无</w:t>
            </w:r>
          </w:p>
          <w:p w14:paraId="11371DED">
            <w:pPr>
              <w:autoSpaceDE w:val="0"/>
              <w:autoSpaceDN w:val="0"/>
              <w:adjustRightInd w:val="0"/>
              <w:snapToGrid w:val="0"/>
              <w:spacing w:line="400" w:lineRule="exact"/>
              <w:ind w:firstLine="422" w:firstLineChars="200"/>
              <w:rPr>
                <w:rFonts w:hint="eastAsia" w:ascii="宋体" w:hAnsi="宋体" w:eastAsia="宋体" w:cs="宋体"/>
                <w:b/>
                <w:sz w:val="21"/>
                <w:szCs w:val="21"/>
              </w:rPr>
            </w:pPr>
            <w:r>
              <w:rPr>
                <w:rFonts w:hint="eastAsia" w:ascii="宋体" w:hAnsi="宋体" w:eastAsia="宋体" w:cs="宋体"/>
                <w:b/>
                <w:sz w:val="21"/>
                <w:szCs w:val="21"/>
              </w:rPr>
              <w:t>3.业绩要求</w:t>
            </w:r>
          </w:p>
          <w:p w14:paraId="5E56DAB3">
            <w:pPr>
              <w:autoSpaceDE w:val="0"/>
              <w:autoSpaceDN w:val="0"/>
              <w:adjustRightInd w:val="0"/>
              <w:snapToGrid w:val="0"/>
              <w:spacing w:line="400" w:lineRule="exact"/>
              <w:ind w:firstLine="420" w:firstLineChars="200"/>
              <w:rPr>
                <w:rFonts w:hint="eastAsia" w:ascii="宋体" w:hAnsi="宋体" w:eastAsia="宋体" w:cs="宋体"/>
                <w:sz w:val="21"/>
                <w:szCs w:val="21"/>
                <w:lang w:eastAsia="zh-CN"/>
              </w:rPr>
            </w:pPr>
            <w:r>
              <w:rPr>
                <w:rFonts w:hint="eastAsia" w:ascii="宋体" w:hAnsi="宋体" w:eastAsia="宋体" w:cs="宋体"/>
                <w:sz w:val="21"/>
                <w:szCs w:val="21"/>
                <w:highlight w:val="none"/>
              </w:rPr>
              <w:t>自</w:t>
            </w:r>
            <w:r>
              <w:rPr>
                <w:rFonts w:hint="eastAsia" w:ascii="宋体" w:hAnsi="宋体" w:eastAsia="宋体" w:cs="宋体"/>
                <w:sz w:val="21"/>
                <w:szCs w:val="21"/>
                <w:highlight w:val="none"/>
                <w:u w:val="single"/>
              </w:rPr>
              <w:t xml:space="preserve"> </w:t>
            </w:r>
            <w:r>
              <w:rPr>
                <w:rFonts w:hint="eastAsia" w:ascii="宋体" w:hAnsi="宋体" w:cs="宋体"/>
                <w:sz w:val="21"/>
                <w:szCs w:val="21"/>
                <w:highlight w:val="none"/>
                <w:u w:val="single"/>
                <w:lang w:val="en-US" w:eastAsia="zh-CN"/>
              </w:rPr>
              <w:t>2023</w:t>
            </w:r>
            <w:r>
              <w:rPr>
                <w:rFonts w:hint="eastAsia" w:ascii="宋体" w:hAnsi="宋体" w:eastAsia="宋体" w:cs="宋体"/>
                <w:sz w:val="21"/>
                <w:szCs w:val="21"/>
                <w:highlight w:val="none"/>
                <w:u w:val="single"/>
              </w:rPr>
              <w:t xml:space="preserve"> 年1月1日</w:t>
            </w:r>
            <w:r>
              <w:rPr>
                <w:rFonts w:hint="eastAsia" w:ascii="宋体" w:hAnsi="宋体" w:eastAsia="宋体" w:cs="宋体"/>
                <w:sz w:val="21"/>
                <w:szCs w:val="21"/>
                <w:highlight w:val="none"/>
              </w:rPr>
              <w:t>起至投标截止日止（</w:t>
            </w:r>
            <w:r>
              <w:rPr>
                <w:rFonts w:hint="eastAsia" w:ascii="宋体" w:hAnsi="宋体" w:cs="宋体"/>
                <w:szCs w:val="21"/>
                <w:highlight w:val="none"/>
                <w:u w:val="none"/>
              </w:rPr>
              <w:t>以合同签订时间为准</w:t>
            </w:r>
            <w:r>
              <w:rPr>
                <w:rFonts w:hint="eastAsia" w:ascii="宋体" w:hAnsi="宋体" w:eastAsia="宋体" w:cs="宋体"/>
                <w:sz w:val="21"/>
                <w:szCs w:val="21"/>
                <w:highlight w:val="none"/>
              </w:rPr>
              <w:t>）</w:t>
            </w:r>
            <w:r>
              <w:rPr>
                <w:rFonts w:hint="eastAsia" w:ascii="宋体" w:hAnsi="宋体" w:eastAsia="宋体" w:cs="宋体"/>
                <w:sz w:val="21"/>
                <w:szCs w:val="21"/>
                <w:highlight w:val="none"/>
                <w:lang w:eastAsia="zh-CN"/>
              </w:rPr>
              <w:t>，</w:t>
            </w:r>
            <w:r>
              <w:rPr>
                <w:rFonts w:hint="eastAsia" w:ascii="宋体" w:hAnsi="宋体" w:cs="宋体"/>
                <w:sz w:val="21"/>
                <w:szCs w:val="21"/>
                <w:highlight w:val="none"/>
                <w:lang w:val="en-US" w:eastAsia="zh-CN"/>
              </w:rPr>
              <w:t>签署</w:t>
            </w:r>
            <w:r>
              <w:rPr>
                <w:rFonts w:hint="eastAsia" w:ascii="宋体" w:hAnsi="宋体" w:eastAsia="宋体" w:cs="宋体"/>
                <w:sz w:val="21"/>
                <w:szCs w:val="21"/>
                <w:highlight w:val="none"/>
                <w:lang w:val="en-US" w:eastAsia="zh-CN"/>
              </w:rPr>
              <w:t>过</w:t>
            </w:r>
            <w:r>
              <w:rPr>
                <w:rFonts w:hint="eastAsia" w:ascii="宋体" w:hAnsi="宋体" w:eastAsia="宋体" w:cs="宋体"/>
                <w:sz w:val="21"/>
                <w:szCs w:val="21"/>
                <w:highlight w:val="none"/>
              </w:rPr>
              <w:t>1个</w:t>
            </w:r>
            <w:r>
              <w:rPr>
                <w:rFonts w:hint="eastAsia" w:ascii="宋体" w:hAnsi="宋体" w:eastAsia="宋体" w:cs="宋体"/>
                <w:sz w:val="21"/>
                <w:szCs w:val="21"/>
                <w:highlight w:val="none"/>
                <w:u w:val="single"/>
                <w:lang w:eastAsia="zh-CN"/>
              </w:rPr>
              <w:t xml:space="preserve"> </w:t>
            </w:r>
            <w:r>
              <w:rPr>
                <w:rFonts w:hint="eastAsia" w:ascii="宋体" w:hAnsi="宋体" w:cs="宋体"/>
                <w:sz w:val="21"/>
                <w:szCs w:val="21"/>
                <w:highlight w:val="none"/>
                <w:u w:val="single"/>
                <w:lang w:val="en-US" w:eastAsia="zh-CN"/>
              </w:rPr>
              <w:t>食品、果蔬、药品行业设备</w:t>
            </w:r>
            <w:r>
              <w:rPr>
                <w:rFonts w:hint="eastAsia" w:ascii="宋体" w:hAnsi="宋体" w:eastAsia="宋体" w:cs="宋体"/>
                <w:sz w:val="21"/>
                <w:szCs w:val="21"/>
                <w:highlight w:val="none"/>
                <w:u w:val="single"/>
                <w:lang w:val="en-US" w:eastAsia="zh-CN"/>
              </w:rPr>
              <w:t>供货</w:t>
            </w:r>
            <w:r>
              <w:rPr>
                <w:rFonts w:hint="eastAsia" w:ascii="宋体" w:hAnsi="宋体" w:eastAsia="宋体" w:cs="宋体"/>
                <w:sz w:val="21"/>
                <w:szCs w:val="21"/>
                <w:highlight w:val="none"/>
                <w:u w:val="single"/>
              </w:rPr>
              <w:t>业绩</w:t>
            </w:r>
            <w:r>
              <w:rPr>
                <w:rFonts w:hint="eastAsia" w:ascii="宋体" w:hAnsi="宋体" w:cs="宋体"/>
                <w:sz w:val="21"/>
                <w:szCs w:val="21"/>
                <w:highlight w:val="none"/>
                <w:u w:val="none"/>
                <w:lang w:eastAsia="zh-CN"/>
              </w:rPr>
              <w:t>，</w:t>
            </w:r>
            <w:r>
              <w:rPr>
                <w:rFonts w:hint="eastAsia" w:ascii="宋体" w:hAnsi="宋体" w:eastAsia="宋体" w:cs="宋体"/>
                <w:caps w:val="0"/>
                <w:smallCaps w:val="0"/>
                <w:color w:val="auto"/>
                <w:sz w:val="21"/>
                <w:szCs w:val="21"/>
                <w:highlight w:val="none"/>
                <w:u w:val="single"/>
              </w:rPr>
              <w:t>合同金额</w:t>
            </w:r>
            <w:r>
              <w:rPr>
                <w:rFonts w:hint="eastAsia" w:ascii="宋体" w:hAnsi="宋体" w:eastAsia="宋体" w:cs="宋体"/>
                <w:caps w:val="0"/>
                <w:smallCaps w:val="0"/>
                <w:color w:val="auto"/>
                <w:sz w:val="21"/>
                <w:szCs w:val="21"/>
                <w:highlight w:val="none"/>
                <w:u w:val="single"/>
                <w:lang w:val="en-US" w:eastAsia="zh-CN"/>
              </w:rPr>
              <w:t>不低于</w:t>
            </w:r>
            <w:r>
              <w:rPr>
                <w:rFonts w:hint="eastAsia" w:ascii="宋体" w:hAnsi="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val="en-US" w:eastAsia="zh-CN"/>
              </w:rPr>
              <w:t>00</w:t>
            </w:r>
            <w:r>
              <w:rPr>
                <w:rFonts w:hint="eastAsia" w:ascii="宋体" w:hAnsi="宋体" w:eastAsia="宋体" w:cs="宋体"/>
                <w:caps w:val="0"/>
                <w:smallCaps w:val="0"/>
                <w:color w:val="auto"/>
                <w:sz w:val="21"/>
                <w:szCs w:val="21"/>
                <w:highlight w:val="none"/>
                <w:u w:val="single"/>
              </w:rPr>
              <w:t>万元人民币</w:t>
            </w:r>
            <w:r>
              <w:rPr>
                <w:rFonts w:hint="eastAsia" w:ascii="宋体" w:hAnsi="宋体" w:cs="宋体"/>
                <w:caps w:val="0"/>
                <w:smallCaps w:val="0"/>
                <w:color w:val="auto"/>
                <w:sz w:val="21"/>
                <w:szCs w:val="21"/>
                <w:highlight w:val="none"/>
                <w:u w:val="single"/>
                <w:lang w:eastAsia="zh-CN"/>
              </w:rPr>
              <w:t>。</w:t>
            </w:r>
          </w:p>
          <w:p w14:paraId="1E9EFEA4">
            <w:pPr>
              <w:autoSpaceDE w:val="0"/>
              <w:autoSpaceDN w:val="0"/>
              <w:adjustRightInd w:val="0"/>
              <w:snapToGrid w:val="0"/>
              <w:spacing w:line="400" w:lineRule="exact"/>
              <w:ind w:firstLine="417" w:firstLineChars="198"/>
              <w:rPr>
                <w:rFonts w:hint="eastAsia" w:ascii="宋体" w:hAnsi="宋体" w:eastAsia="宋体" w:cs="宋体"/>
                <w:b/>
                <w:bCs/>
                <w:color w:val="0000FF"/>
                <w:sz w:val="21"/>
                <w:szCs w:val="21"/>
              </w:rPr>
            </w:pPr>
            <w:r>
              <w:rPr>
                <w:rFonts w:hint="eastAsia" w:ascii="宋体" w:hAnsi="宋体" w:eastAsia="宋体" w:cs="宋体"/>
                <w:b/>
                <w:bCs/>
                <w:color w:val="0000FF"/>
                <w:sz w:val="21"/>
                <w:szCs w:val="21"/>
              </w:rPr>
              <w:t>提供</w:t>
            </w:r>
            <w:r>
              <w:rPr>
                <w:rFonts w:hint="eastAsia" w:ascii="宋体" w:hAnsi="宋体" w:eastAsia="宋体" w:cs="宋体"/>
                <w:b/>
                <w:bCs/>
                <w:color w:val="0000FF"/>
                <w:sz w:val="21"/>
                <w:szCs w:val="21"/>
                <w:lang w:eastAsia="zh-CN"/>
              </w:rPr>
              <w:t>：</w:t>
            </w:r>
            <w:r>
              <w:rPr>
                <w:rFonts w:hint="eastAsia" w:ascii="宋体" w:hAnsi="宋体" w:eastAsia="宋体" w:cs="宋体"/>
                <w:b/>
                <w:bCs/>
                <w:color w:val="0000FF"/>
                <w:sz w:val="21"/>
                <w:szCs w:val="21"/>
              </w:rPr>
              <w:t>该业绩的合同文件</w:t>
            </w:r>
            <w:r>
              <w:rPr>
                <w:rFonts w:hint="eastAsia" w:ascii="宋体" w:hAnsi="宋体" w:eastAsia="宋体" w:cs="宋体"/>
                <w:b/>
                <w:bCs/>
                <w:color w:val="0000FF"/>
                <w:kern w:val="0"/>
                <w:sz w:val="21"/>
                <w:szCs w:val="21"/>
              </w:rPr>
              <w:t>（合同文件</w:t>
            </w:r>
            <w:r>
              <w:rPr>
                <w:rFonts w:hint="eastAsia" w:ascii="宋体" w:hAnsi="宋体" w:eastAsia="宋体" w:cs="宋体"/>
                <w:b/>
                <w:bCs/>
                <w:color w:val="0000FF"/>
                <w:kern w:val="0"/>
                <w:sz w:val="21"/>
                <w:szCs w:val="21"/>
                <w:lang w:val="en-US" w:eastAsia="zh-CN"/>
              </w:rPr>
              <w:t>须</w:t>
            </w:r>
            <w:r>
              <w:rPr>
                <w:rFonts w:hint="eastAsia" w:ascii="宋体" w:hAnsi="宋体" w:eastAsia="宋体" w:cs="宋体"/>
                <w:b/>
                <w:bCs/>
                <w:color w:val="0000FF"/>
                <w:kern w:val="0"/>
                <w:sz w:val="21"/>
                <w:szCs w:val="21"/>
              </w:rPr>
              <w:t>提供首页、签章页</w:t>
            </w:r>
            <w:r>
              <w:rPr>
                <w:rFonts w:hint="eastAsia" w:ascii="宋体" w:hAnsi="宋体" w:eastAsia="宋体" w:cs="宋体"/>
                <w:b/>
                <w:bCs/>
                <w:color w:val="0000FF"/>
                <w:kern w:val="0"/>
                <w:sz w:val="21"/>
                <w:szCs w:val="21"/>
                <w:lang w:val="en-US" w:eastAsia="zh-CN"/>
              </w:rPr>
              <w:t>以及</w:t>
            </w:r>
            <w:r>
              <w:rPr>
                <w:rFonts w:hint="eastAsia" w:ascii="宋体" w:hAnsi="宋体" w:eastAsia="宋体" w:cs="宋体"/>
                <w:b/>
                <w:bCs/>
                <w:color w:val="0000FF"/>
                <w:kern w:val="0"/>
                <w:sz w:val="21"/>
                <w:szCs w:val="21"/>
              </w:rPr>
              <w:t>体现</w:t>
            </w:r>
            <w:r>
              <w:rPr>
                <w:rFonts w:hint="eastAsia" w:ascii="宋体" w:hAnsi="宋体" w:eastAsia="宋体" w:cs="宋体"/>
                <w:b/>
                <w:bCs/>
                <w:color w:val="0000FF"/>
                <w:kern w:val="0"/>
                <w:sz w:val="21"/>
                <w:szCs w:val="21"/>
                <w:lang w:val="en-US" w:eastAsia="zh-CN"/>
              </w:rPr>
              <w:t>上述业绩指标的关键页</w:t>
            </w:r>
            <w:r>
              <w:rPr>
                <w:rFonts w:hint="eastAsia" w:ascii="宋体" w:hAnsi="宋体" w:cs="宋体"/>
                <w:b/>
                <w:bCs/>
                <w:color w:val="0000FF"/>
                <w:kern w:val="0"/>
                <w:sz w:val="21"/>
                <w:szCs w:val="21"/>
                <w:lang w:val="en-US" w:eastAsia="zh-CN"/>
              </w:rPr>
              <w:t>）</w:t>
            </w:r>
            <w:r>
              <w:rPr>
                <w:rFonts w:hint="eastAsia" w:ascii="宋体" w:hAnsi="宋体" w:cs="宋体"/>
                <w:b/>
                <w:bCs/>
                <w:color w:val="0000FF"/>
                <w:kern w:val="0"/>
                <w:sz w:val="21"/>
                <w:szCs w:val="21"/>
                <w:lang w:eastAsia="zh-CN"/>
              </w:rPr>
              <w:t>。</w:t>
            </w:r>
            <w:r>
              <w:rPr>
                <w:rFonts w:hint="eastAsia" w:ascii="宋体" w:hAnsi="宋体" w:eastAsia="宋体" w:cs="宋体"/>
                <w:b/>
                <w:bCs/>
                <w:color w:val="0000FF"/>
                <w:sz w:val="21"/>
                <w:szCs w:val="21"/>
                <w:highlight w:val="none"/>
              </w:rPr>
              <w:t>若</w:t>
            </w:r>
            <w:r>
              <w:rPr>
                <w:rFonts w:hint="eastAsia" w:ascii="宋体" w:hAnsi="宋体" w:eastAsia="宋体" w:cs="宋体"/>
                <w:b/>
                <w:bCs/>
                <w:color w:val="0000FF"/>
                <w:sz w:val="21"/>
                <w:szCs w:val="21"/>
                <w:highlight w:val="none"/>
                <w:lang w:val="en-US" w:eastAsia="zh-CN"/>
              </w:rPr>
              <w:t>提供的业绩证明材料不能</w:t>
            </w:r>
            <w:r>
              <w:rPr>
                <w:rFonts w:hint="eastAsia" w:ascii="宋体" w:hAnsi="宋体" w:eastAsia="宋体" w:cs="宋体"/>
                <w:b/>
                <w:bCs/>
                <w:color w:val="0000FF"/>
                <w:sz w:val="21"/>
                <w:szCs w:val="21"/>
                <w:highlight w:val="none"/>
              </w:rPr>
              <w:t>体现</w:t>
            </w:r>
            <w:r>
              <w:rPr>
                <w:rFonts w:hint="eastAsia" w:ascii="宋体" w:hAnsi="宋体" w:eastAsia="宋体" w:cs="宋体"/>
                <w:b/>
                <w:bCs/>
                <w:color w:val="0000FF"/>
                <w:sz w:val="21"/>
                <w:szCs w:val="21"/>
                <w:highlight w:val="none"/>
                <w:lang w:val="en-US" w:eastAsia="zh-CN"/>
              </w:rPr>
              <w:t>上述业绩指标</w:t>
            </w:r>
            <w:r>
              <w:rPr>
                <w:rFonts w:hint="eastAsia" w:ascii="宋体" w:hAnsi="宋体" w:eastAsia="宋体" w:cs="宋体"/>
                <w:b/>
                <w:bCs/>
                <w:color w:val="0000FF"/>
                <w:sz w:val="21"/>
                <w:szCs w:val="21"/>
                <w:highlight w:val="none"/>
              </w:rPr>
              <w:t>的，应补充提供</w:t>
            </w:r>
            <w:r>
              <w:rPr>
                <w:rFonts w:hint="eastAsia" w:ascii="宋体" w:hAnsi="宋体" w:eastAsia="宋体" w:cs="宋体"/>
                <w:b/>
                <w:bCs/>
                <w:color w:val="0000FF"/>
                <w:sz w:val="21"/>
                <w:szCs w:val="21"/>
                <w:highlight w:val="none"/>
                <w:u w:val="none"/>
                <w:lang w:val="en-US" w:eastAsia="zh-CN"/>
              </w:rPr>
              <w:t>采购单位</w:t>
            </w:r>
            <w:r>
              <w:rPr>
                <w:rFonts w:hint="eastAsia" w:ascii="宋体" w:hAnsi="宋体" w:eastAsia="宋体" w:cs="宋体"/>
                <w:b/>
                <w:bCs/>
                <w:color w:val="0000FF"/>
                <w:sz w:val="21"/>
                <w:szCs w:val="21"/>
                <w:highlight w:val="none"/>
                <w:u w:val="none"/>
                <w:lang w:eastAsia="zh-CN"/>
              </w:rPr>
              <w:t>证明</w:t>
            </w:r>
            <w:r>
              <w:rPr>
                <w:rFonts w:hint="eastAsia" w:ascii="宋体" w:hAnsi="宋体" w:eastAsia="宋体" w:cs="宋体"/>
                <w:b/>
                <w:bCs/>
                <w:color w:val="0000FF"/>
                <w:sz w:val="21"/>
                <w:szCs w:val="21"/>
                <w:highlight w:val="none"/>
                <w:u w:val="none"/>
                <w:lang w:val="en-US" w:eastAsia="zh-CN"/>
              </w:rPr>
              <w:t>。</w:t>
            </w:r>
          </w:p>
          <w:p w14:paraId="3B5DBA87">
            <w:pPr>
              <w:autoSpaceDE w:val="0"/>
              <w:autoSpaceDN w:val="0"/>
              <w:adjustRightInd w:val="0"/>
              <w:snapToGrid w:val="0"/>
              <w:spacing w:line="400" w:lineRule="exact"/>
              <w:ind w:firstLine="415" w:firstLineChars="198"/>
              <w:rPr>
                <w:rFonts w:hint="eastAsia" w:ascii="宋体" w:hAnsi="宋体" w:eastAsia="宋体" w:cs="宋体"/>
                <w:sz w:val="21"/>
                <w:szCs w:val="21"/>
              </w:rPr>
            </w:pPr>
            <w:r>
              <w:rPr>
                <w:rFonts w:hint="eastAsia" w:ascii="宋体" w:hAnsi="宋体" w:eastAsia="宋体" w:cs="宋体"/>
                <w:sz w:val="21"/>
                <w:szCs w:val="21"/>
                <w:lang w:val="en-US" w:eastAsia="zh-CN"/>
              </w:rPr>
              <w:t>注：</w:t>
            </w:r>
            <w:r>
              <w:rPr>
                <w:rFonts w:hint="eastAsia" w:ascii="宋体" w:hAnsi="宋体" w:eastAsia="宋体" w:cs="宋体"/>
                <w:sz w:val="21"/>
                <w:szCs w:val="21"/>
              </w:rPr>
              <w:t>投标人提供业绩为联合体业绩的，其在该业绩中的工作分工应与本项目承担的工作一致。</w:t>
            </w:r>
          </w:p>
          <w:p w14:paraId="453BD6E2">
            <w:pPr>
              <w:adjustRightInd w:val="0"/>
              <w:snapToGrid w:val="0"/>
              <w:spacing w:line="400" w:lineRule="exact"/>
              <w:ind w:firstLine="422" w:firstLineChars="200"/>
              <w:rPr>
                <w:rFonts w:hint="eastAsia" w:ascii="宋体" w:hAnsi="宋体" w:eastAsia="宋体" w:cs="宋体"/>
                <w:b/>
                <w:sz w:val="21"/>
                <w:szCs w:val="21"/>
              </w:rPr>
            </w:pPr>
            <w:r>
              <w:rPr>
                <w:rFonts w:hint="eastAsia" w:ascii="宋体" w:hAnsi="宋体" w:eastAsia="宋体" w:cs="宋体"/>
                <w:b/>
                <w:sz w:val="21"/>
                <w:szCs w:val="21"/>
              </w:rPr>
              <w:t>4.投标截止日投标资格情况</w:t>
            </w:r>
          </w:p>
          <w:p w14:paraId="6F6A7353">
            <w:pPr>
              <w:snapToGrid w:val="0"/>
              <w:spacing w:line="4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投标人不得存在下列情形之一：</w:t>
            </w:r>
          </w:p>
          <w:p w14:paraId="0996407B">
            <w:pPr>
              <w:snapToGrid w:val="0"/>
              <w:spacing w:line="4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（1）被人民法院列入失信被执行人名单且在被执行期内；</w:t>
            </w:r>
          </w:p>
          <w:p w14:paraId="021617B8">
            <w:pPr>
              <w:snapToGrid w:val="0"/>
              <w:spacing w:line="400" w:lineRule="exact"/>
              <w:ind w:firstLine="420" w:firstLineChars="200"/>
              <w:rPr>
                <w:rFonts w:hint="eastAsia" w:ascii="宋体" w:hAnsi="宋体" w:eastAsia="宋体" w:cs="宋体"/>
                <w:sz w:val="21"/>
                <w:szCs w:val="21"/>
                <w:lang w:eastAsia="zh-CN"/>
              </w:rPr>
            </w:pPr>
            <w:r>
              <w:rPr>
                <w:rFonts w:hint="eastAsia" w:ascii="宋体" w:hAnsi="宋体" w:eastAsia="宋体" w:cs="宋体"/>
                <w:sz w:val="21"/>
                <w:szCs w:val="21"/>
              </w:rPr>
              <w:t>（</w:t>
            </w:r>
            <w:r>
              <w:rPr>
                <w:rFonts w:hint="eastAsia" w:ascii="宋体" w:hAnsi="宋体" w:cs="宋体"/>
                <w:sz w:val="21"/>
                <w:szCs w:val="21"/>
                <w:lang w:val="en-US" w:eastAsia="zh-CN"/>
              </w:rPr>
              <w:t>2</w:t>
            </w:r>
            <w:r>
              <w:rPr>
                <w:rFonts w:hint="eastAsia" w:ascii="宋体" w:hAnsi="宋体" w:eastAsia="宋体" w:cs="宋体"/>
                <w:sz w:val="21"/>
                <w:szCs w:val="21"/>
              </w:rPr>
              <w:t>）被国家、重庆市（含市或任意区县）有关行政部门处以暂停投标资格行政处罚或暂停在渝承揽新业务，且在暂停期限内</w:t>
            </w:r>
            <w:r>
              <w:rPr>
                <w:rFonts w:hint="eastAsia" w:ascii="宋体" w:hAnsi="宋体" w:cs="宋体"/>
                <w:sz w:val="21"/>
                <w:szCs w:val="21"/>
                <w:lang w:eastAsia="zh-CN"/>
              </w:rPr>
              <w:t>；</w:t>
            </w:r>
          </w:p>
          <w:p w14:paraId="42056166">
            <w:pPr>
              <w:snapToGrid w:val="0"/>
              <w:spacing w:line="400" w:lineRule="exact"/>
              <w:ind w:firstLine="420" w:firstLineChars="200"/>
              <w:rPr>
                <w:rFonts w:hint="eastAsia" w:ascii="宋体" w:hAnsi="宋体" w:eastAsia="宋体" w:cs="宋体"/>
                <w:sz w:val="21"/>
                <w:szCs w:val="21"/>
              </w:rPr>
            </w:pPr>
            <w:r>
              <w:rPr>
                <w:rFonts w:hint="eastAsia" w:ascii="宋体" w:hAnsi="宋体" w:eastAsia="宋体" w:cs="宋体"/>
                <w:lang w:eastAsia="zh-CN"/>
              </w:rPr>
              <w:t>（</w:t>
            </w:r>
            <w:r>
              <w:rPr>
                <w:rFonts w:hint="eastAsia" w:ascii="宋体" w:hAnsi="宋体" w:eastAsia="宋体" w:cs="宋体"/>
                <w:lang w:val="en-US" w:eastAsia="zh-CN"/>
              </w:rPr>
              <w:t>3</w:t>
            </w:r>
            <w:r>
              <w:rPr>
                <w:rFonts w:hint="eastAsia" w:ascii="宋体" w:hAnsi="宋体" w:eastAsia="宋体" w:cs="宋体"/>
                <w:lang w:eastAsia="zh-CN"/>
              </w:rPr>
              <w:t>）</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7909A675">
            <w:pPr>
              <w:snapToGrid w:val="0"/>
              <w:spacing w:line="400" w:lineRule="exact"/>
              <w:ind w:firstLine="422" w:firstLineChars="200"/>
              <w:rPr>
                <w:rFonts w:hint="eastAsia" w:ascii="宋体" w:hAnsi="宋体" w:eastAsia="宋体" w:cs="宋体"/>
                <w:b/>
                <w:bCs/>
                <w:color w:val="0000FF"/>
                <w:sz w:val="21"/>
                <w:szCs w:val="21"/>
              </w:rPr>
            </w:pPr>
            <w:r>
              <w:rPr>
                <w:rFonts w:hint="eastAsia" w:ascii="宋体" w:hAnsi="宋体" w:eastAsia="宋体" w:cs="宋体"/>
                <w:b/>
                <w:bCs/>
                <w:color w:val="0000FF"/>
                <w:sz w:val="21"/>
                <w:szCs w:val="21"/>
              </w:rPr>
              <w:t>提供</w:t>
            </w:r>
            <w:r>
              <w:rPr>
                <w:rFonts w:hint="eastAsia" w:ascii="宋体" w:hAnsi="宋体" w:eastAsia="宋体" w:cs="宋体"/>
                <w:b/>
                <w:bCs/>
                <w:color w:val="0000FF"/>
                <w:sz w:val="21"/>
                <w:szCs w:val="21"/>
                <w:lang w:eastAsia="zh-CN"/>
              </w:rPr>
              <w:t>：</w:t>
            </w:r>
            <w:r>
              <w:rPr>
                <w:rFonts w:hint="eastAsia" w:ascii="宋体" w:hAnsi="宋体" w:eastAsia="宋体" w:cs="宋体"/>
                <w:b/>
                <w:bCs/>
                <w:color w:val="0000FF"/>
                <w:sz w:val="21"/>
                <w:szCs w:val="21"/>
              </w:rPr>
              <w:t>承诺（格式见第六章投标文件格式）。</w:t>
            </w:r>
          </w:p>
          <w:p w14:paraId="2E8007F4">
            <w:pPr>
              <w:autoSpaceDE w:val="0"/>
              <w:autoSpaceDN w:val="0"/>
              <w:adjustRightInd w:val="0"/>
              <w:snapToGrid w:val="0"/>
              <w:spacing w:line="400" w:lineRule="exact"/>
              <w:ind w:firstLine="422" w:firstLineChars="200"/>
              <w:rPr>
                <w:rFonts w:hint="eastAsia" w:ascii="宋体" w:hAnsi="宋体" w:eastAsia="宋体" w:cs="宋体"/>
                <w:sz w:val="21"/>
                <w:szCs w:val="21"/>
              </w:rPr>
            </w:pPr>
            <w:r>
              <w:rPr>
                <w:rFonts w:hint="eastAsia" w:ascii="宋体" w:hAnsi="宋体" w:eastAsia="宋体" w:cs="宋体"/>
                <w:b/>
                <w:sz w:val="21"/>
                <w:szCs w:val="21"/>
              </w:rPr>
              <w:t>5.其他要求</w:t>
            </w:r>
          </w:p>
          <w:p w14:paraId="763B7AF6">
            <w:pPr>
              <w:autoSpaceDE w:val="0"/>
              <w:autoSpaceDN w:val="0"/>
              <w:adjustRightInd w:val="0"/>
              <w:snapToGrid w:val="0"/>
              <w:spacing w:line="400" w:lineRule="exact"/>
              <w:ind w:firstLine="420" w:firstLineChars="200"/>
              <w:rPr>
                <w:rFonts w:hint="eastAsia" w:ascii="宋体" w:hAnsi="宋体" w:eastAsia="宋体" w:cs="宋体"/>
                <w:bCs/>
                <w:sz w:val="21"/>
                <w:szCs w:val="21"/>
                <w:lang w:val="en-US" w:eastAsia="zh-CN"/>
              </w:rPr>
            </w:pP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1</w:t>
            </w:r>
            <w:r>
              <w:rPr>
                <w:rFonts w:hint="eastAsia" w:ascii="宋体" w:hAnsi="宋体" w:eastAsia="宋体" w:cs="宋体"/>
                <w:bCs/>
                <w:sz w:val="21"/>
                <w:szCs w:val="21"/>
                <w:lang w:eastAsia="zh-CN"/>
              </w:rPr>
              <w:t>）</w:t>
            </w:r>
            <w:r>
              <w:rPr>
                <w:rFonts w:hint="eastAsia" w:ascii="宋体" w:hAnsi="宋体" w:eastAsia="宋体" w:cs="宋体"/>
                <w:bCs/>
                <w:sz w:val="21"/>
                <w:szCs w:val="21"/>
                <w:lang w:val="en-US" w:eastAsia="zh-CN"/>
              </w:rPr>
              <w:t>质量保证期</w:t>
            </w:r>
          </w:p>
          <w:p w14:paraId="14DCBE15">
            <w:pPr>
              <w:autoSpaceDE w:val="0"/>
              <w:autoSpaceDN w:val="0"/>
              <w:adjustRightInd w:val="0"/>
              <w:snapToGrid w:val="0"/>
              <w:spacing w:line="400" w:lineRule="exact"/>
              <w:ind w:firstLine="420" w:firstLineChars="200"/>
              <w:rPr>
                <w:rFonts w:hint="eastAsia" w:ascii="宋体" w:hAnsi="宋体" w:eastAsia="宋体" w:cs="宋体"/>
                <w:b w:val="0"/>
                <w:bCs/>
                <w:sz w:val="21"/>
                <w:szCs w:val="21"/>
                <w:u w:val="none"/>
                <w:lang w:val="en-US" w:eastAsia="zh-CN"/>
              </w:rPr>
            </w:pPr>
            <w:r>
              <w:rPr>
                <w:rFonts w:hint="eastAsia" w:ascii="宋体" w:hAnsi="宋体" w:eastAsia="宋体" w:cs="宋体"/>
                <w:b w:val="0"/>
                <w:bCs/>
                <w:sz w:val="21"/>
                <w:szCs w:val="21"/>
                <w:lang w:val="en-US" w:eastAsia="zh-CN"/>
              </w:rPr>
              <w:t>本项目投标货物的质量保证期为：</w:t>
            </w:r>
            <w:r>
              <w:rPr>
                <w:rFonts w:hint="eastAsia" w:ascii="宋体" w:hAnsi="宋体" w:eastAsia="宋体" w:cs="宋体"/>
                <w:b/>
                <w:bCs w:val="0"/>
                <w:sz w:val="21"/>
                <w:szCs w:val="21"/>
                <w:u w:val="single"/>
                <w:lang w:val="en-US" w:eastAsia="zh-CN"/>
              </w:rPr>
              <w:t xml:space="preserve"> </w:t>
            </w:r>
            <w:r>
              <w:rPr>
                <w:rFonts w:hint="eastAsia" w:ascii="宋体" w:hAnsi="宋体" w:cs="宋体"/>
                <w:b/>
                <w:bCs w:val="0"/>
                <w:sz w:val="21"/>
                <w:szCs w:val="21"/>
                <w:u w:val="single"/>
                <w:lang w:val="en-US" w:eastAsia="zh-CN"/>
              </w:rPr>
              <w:t xml:space="preserve">24 </w:t>
            </w:r>
            <w:r>
              <w:rPr>
                <w:rFonts w:hint="eastAsia" w:ascii="宋体" w:hAnsi="宋体" w:eastAsia="宋体" w:cs="宋体"/>
                <w:b w:val="0"/>
                <w:bCs/>
                <w:sz w:val="21"/>
                <w:szCs w:val="21"/>
                <w:u w:val="none"/>
                <w:lang w:val="en-US" w:eastAsia="zh-CN"/>
              </w:rPr>
              <w:t>个月</w:t>
            </w:r>
            <w:r>
              <w:rPr>
                <w:rFonts w:hint="eastAsia" w:ascii="宋体" w:hAnsi="宋体" w:cs="宋体"/>
                <w:b w:val="0"/>
                <w:bCs/>
                <w:sz w:val="21"/>
                <w:szCs w:val="21"/>
                <w:u w:val="none"/>
                <w:lang w:val="en-US" w:eastAsia="zh-CN"/>
              </w:rPr>
              <w:t>,</w:t>
            </w:r>
            <w:r>
              <w:rPr>
                <w:rFonts w:hint="eastAsia" w:ascii="宋体" w:hAnsi="宋体" w:cs="宋体"/>
                <w:b/>
                <w:szCs w:val="21"/>
              </w:rPr>
              <w:t>投标人可延长质量保证期</w:t>
            </w:r>
            <w:r>
              <w:rPr>
                <w:rFonts w:hint="eastAsia" w:ascii="宋体" w:hAnsi="宋体" w:eastAsia="宋体" w:cs="宋体"/>
                <w:b w:val="0"/>
                <w:bCs/>
                <w:sz w:val="21"/>
                <w:szCs w:val="21"/>
                <w:u w:val="none"/>
                <w:lang w:val="en-US" w:eastAsia="zh-CN"/>
              </w:rPr>
              <w:t>。质量保证期内服务包括：</w:t>
            </w:r>
            <w:r>
              <w:rPr>
                <w:rFonts w:hint="eastAsia" w:ascii="宋体" w:hAnsi="宋体" w:eastAsia="宋体" w:cs="宋体"/>
                <w:b/>
                <w:bCs w:val="0"/>
                <w:sz w:val="21"/>
                <w:szCs w:val="21"/>
                <w:u w:val="single"/>
                <w:lang w:val="en-US" w:eastAsia="zh-CN"/>
              </w:rPr>
              <w:t>详见第四章合同条款及格式。</w:t>
            </w:r>
          </w:p>
          <w:p w14:paraId="69157C82">
            <w:pPr>
              <w:autoSpaceDE w:val="0"/>
              <w:autoSpaceDN w:val="0"/>
              <w:adjustRightInd w:val="0"/>
              <w:snapToGrid w:val="0"/>
              <w:spacing w:line="400" w:lineRule="exact"/>
              <w:ind w:firstLine="422" w:firstLineChars="200"/>
              <w:rPr>
                <w:rFonts w:hint="eastAsia" w:ascii="宋体" w:hAnsi="宋体" w:eastAsia="宋体" w:cs="宋体"/>
                <w:b/>
                <w:bCs w:val="0"/>
                <w:color w:val="0000FF"/>
                <w:sz w:val="21"/>
                <w:szCs w:val="21"/>
                <w:lang w:eastAsia="zh-CN"/>
              </w:rPr>
            </w:pPr>
            <w:r>
              <w:rPr>
                <w:rFonts w:hint="eastAsia" w:ascii="宋体" w:hAnsi="宋体" w:eastAsia="宋体" w:cs="宋体"/>
                <w:b/>
                <w:bCs w:val="0"/>
                <w:color w:val="0000FF"/>
                <w:sz w:val="21"/>
                <w:szCs w:val="21"/>
                <w:u w:val="none"/>
                <w:lang w:val="en-US" w:eastAsia="zh-CN"/>
              </w:rPr>
              <w:t>提供：</w:t>
            </w:r>
            <w:r>
              <w:rPr>
                <w:rFonts w:hint="eastAsia" w:ascii="宋体" w:hAnsi="宋体" w:eastAsia="宋体" w:cs="宋体"/>
                <w:b/>
                <w:bCs w:val="0"/>
                <w:color w:val="0000FF"/>
                <w:sz w:val="21"/>
                <w:szCs w:val="21"/>
              </w:rPr>
              <w:t>承诺（格式见第六章投标文件格式）</w:t>
            </w:r>
            <w:r>
              <w:rPr>
                <w:rFonts w:hint="eastAsia" w:ascii="宋体" w:hAnsi="宋体" w:eastAsia="宋体" w:cs="宋体"/>
                <w:b/>
                <w:bCs w:val="0"/>
                <w:color w:val="0000FF"/>
                <w:sz w:val="21"/>
                <w:szCs w:val="21"/>
                <w:lang w:eastAsia="zh-CN"/>
              </w:rPr>
              <w:t>。</w:t>
            </w:r>
          </w:p>
          <w:p w14:paraId="11FCF10A">
            <w:pPr>
              <w:autoSpaceDE w:val="0"/>
              <w:autoSpaceDN w:val="0"/>
              <w:adjustRightInd w:val="0"/>
              <w:snapToGrid w:val="0"/>
              <w:spacing w:line="400" w:lineRule="exact"/>
              <w:ind w:firstLine="420" w:firstLineChars="200"/>
              <w:rPr>
                <w:rFonts w:hint="eastAsia" w:ascii="宋体" w:hAnsi="宋体" w:eastAsia="宋体" w:cs="宋体"/>
                <w:sz w:val="21"/>
                <w:szCs w:val="21"/>
                <w:u w:val="single"/>
                <w:lang w:val="en-US" w:eastAsia="zh-CN"/>
              </w:rPr>
            </w:pP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2</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供货要求</w:t>
            </w:r>
          </w:p>
          <w:p w14:paraId="144D531A">
            <w:pPr>
              <w:autoSpaceDE w:val="0"/>
              <w:autoSpaceDN w:val="0"/>
              <w:adjustRightInd w:val="0"/>
              <w:snapToGrid w:val="0"/>
              <w:spacing w:line="400" w:lineRule="exact"/>
              <w:ind w:firstLine="420" w:firstLineChars="200"/>
              <w:rPr>
                <w:rFonts w:hint="eastAsia" w:ascii="宋体" w:hAnsi="宋体" w:eastAsia="宋体" w:cs="宋体"/>
                <w:sz w:val="21"/>
                <w:szCs w:val="21"/>
                <w:u w:val="single"/>
                <w:lang w:eastAsia="zh-CN"/>
              </w:rPr>
            </w:pPr>
            <w:r>
              <w:rPr>
                <w:rFonts w:hint="eastAsia" w:ascii="宋体" w:hAnsi="宋体" w:eastAsia="宋体" w:cs="宋体"/>
                <w:sz w:val="21"/>
                <w:szCs w:val="21"/>
                <w:u w:val="none"/>
              </w:rPr>
              <w:t>投标人提供的货物和服务必须完全满足招标文件第五章供货要求中的所有要求。中标后，招标人随时有权核验相关资料和检测产品，如果发现中标人提供的货物或服务不符合招标文件要求的，将视为中标人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ascii="宋体" w:hAnsi="宋体" w:eastAsia="宋体" w:cs="宋体"/>
                <w:sz w:val="21"/>
                <w:szCs w:val="21"/>
                <w:u w:val="none"/>
                <w:lang w:eastAsia="zh-CN"/>
              </w:rPr>
              <w:t>。</w:t>
            </w:r>
          </w:p>
          <w:p w14:paraId="1248D7A9">
            <w:pPr>
              <w:autoSpaceDE w:val="0"/>
              <w:autoSpaceDN w:val="0"/>
              <w:adjustRightInd w:val="0"/>
              <w:snapToGrid w:val="0"/>
              <w:spacing w:line="400" w:lineRule="exact"/>
              <w:ind w:firstLine="422" w:firstLineChars="200"/>
              <w:rPr>
                <w:rFonts w:hint="eastAsia" w:ascii="宋体" w:hAnsi="宋体" w:eastAsia="宋体" w:cs="宋体"/>
                <w:b/>
                <w:bCs/>
                <w:color w:val="0000FF"/>
                <w:sz w:val="21"/>
                <w:szCs w:val="21"/>
                <w:u w:val="none"/>
                <w:lang w:val="en-US" w:eastAsia="zh-CN"/>
              </w:rPr>
            </w:pPr>
            <w:r>
              <w:rPr>
                <w:rFonts w:hint="eastAsia" w:ascii="宋体" w:hAnsi="宋体" w:eastAsia="宋体" w:cs="宋体"/>
                <w:b/>
                <w:bCs/>
                <w:color w:val="0000FF"/>
                <w:sz w:val="21"/>
                <w:szCs w:val="21"/>
                <w:u w:val="none"/>
                <w:lang w:val="en-US" w:eastAsia="zh-CN"/>
              </w:rPr>
              <w:t>提供：</w:t>
            </w:r>
            <w:r>
              <w:rPr>
                <w:rFonts w:hint="eastAsia" w:ascii="宋体" w:hAnsi="宋体" w:eastAsia="宋体" w:cs="宋体"/>
                <w:b/>
                <w:bCs/>
                <w:color w:val="0000FF"/>
                <w:sz w:val="21"/>
                <w:szCs w:val="21"/>
              </w:rPr>
              <w:t>承诺（格式见第六章投标文件格式）</w:t>
            </w:r>
            <w:r>
              <w:rPr>
                <w:rFonts w:hint="eastAsia" w:ascii="宋体" w:hAnsi="宋体" w:eastAsia="宋体" w:cs="宋体"/>
                <w:b/>
                <w:bCs/>
                <w:color w:val="0000FF"/>
                <w:sz w:val="21"/>
                <w:szCs w:val="21"/>
                <w:u w:val="none"/>
                <w:lang w:val="en-US" w:eastAsia="zh-CN"/>
              </w:rPr>
              <w:t>。</w:t>
            </w:r>
          </w:p>
          <w:p w14:paraId="38D008DB">
            <w:pPr>
              <w:autoSpaceDE w:val="0"/>
              <w:autoSpaceDN w:val="0"/>
              <w:adjustRightInd w:val="0"/>
              <w:snapToGrid w:val="0"/>
              <w:spacing w:line="400" w:lineRule="exact"/>
              <w:ind w:firstLine="420" w:firstLineChars="200"/>
              <w:rPr>
                <w:rFonts w:hint="eastAsia" w:ascii="宋体" w:hAnsi="宋体" w:eastAsia="宋体" w:cs="宋体"/>
                <w:kern w:val="0"/>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3</w:t>
            </w:r>
            <w:r>
              <w:rPr>
                <w:rFonts w:hint="eastAsia" w:ascii="宋体" w:hAnsi="宋体" w:eastAsia="宋体" w:cs="宋体"/>
                <w:bCs/>
                <w:sz w:val="21"/>
                <w:szCs w:val="21"/>
              </w:rPr>
              <w:t>）</w:t>
            </w:r>
            <w:r>
              <w:rPr>
                <w:rFonts w:hint="eastAsia" w:ascii="宋体" w:hAnsi="宋体" w:eastAsia="宋体" w:cs="宋体"/>
                <w:kern w:val="0"/>
                <w:sz w:val="21"/>
                <w:szCs w:val="21"/>
                <w:lang w:val="en-US" w:eastAsia="zh-CN"/>
              </w:rPr>
              <w:t>法定代表人或</w:t>
            </w:r>
            <w:r>
              <w:rPr>
                <w:rFonts w:hint="eastAsia" w:ascii="宋体" w:hAnsi="宋体" w:eastAsia="宋体" w:cs="宋体"/>
                <w:kern w:val="0"/>
                <w:sz w:val="21"/>
                <w:szCs w:val="21"/>
              </w:rPr>
              <w:t>委托代理人</w:t>
            </w:r>
          </w:p>
          <w:p w14:paraId="4A5A6A96">
            <w:pPr>
              <w:autoSpaceDE w:val="0"/>
              <w:autoSpaceDN w:val="0"/>
              <w:adjustRightInd w:val="0"/>
              <w:snapToGrid w:val="0"/>
              <w:spacing w:line="400" w:lineRule="exact"/>
              <w:ind w:firstLine="420" w:firstLineChars="200"/>
              <w:rPr>
                <w:rFonts w:hint="eastAsia" w:ascii="宋体" w:hAnsi="宋体" w:eastAsia="宋体" w:cs="宋体"/>
                <w:kern w:val="0"/>
                <w:sz w:val="21"/>
                <w:szCs w:val="21"/>
                <w:highlight w:val="none"/>
                <w:lang w:val="en-US" w:eastAsia="zh-CN"/>
              </w:rPr>
            </w:pPr>
            <w:r>
              <w:rPr>
                <w:rFonts w:hint="eastAsia" w:ascii="宋体" w:hAnsi="宋体" w:eastAsia="宋体" w:cs="宋体"/>
                <w:kern w:val="0"/>
                <w:sz w:val="21"/>
                <w:szCs w:val="21"/>
                <w:highlight w:val="none"/>
                <w:lang w:val="en-US" w:eastAsia="zh-CN"/>
              </w:rPr>
              <w:t>法定代表人或</w:t>
            </w:r>
            <w:r>
              <w:rPr>
                <w:rFonts w:hint="eastAsia" w:ascii="宋体" w:hAnsi="宋体" w:eastAsia="宋体" w:cs="宋体"/>
                <w:i w:val="0"/>
                <w:iCs/>
                <w:color w:val="auto"/>
                <w:kern w:val="0"/>
                <w:sz w:val="21"/>
                <w:szCs w:val="21"/>
                <w:highlight w:val="none"/>
              </w:rPr>
              <w:t>委托代理人</w:t>
            </w:r>
            <w:r>
              <w:rPr>
                <w:rFonts w:hint="eastAsia" w:ascii="宋体" w:hAnsi="宋体" w:eastAsia="宋体" w:cs="宋体"/>
                <w:i w:val="0"/>
                <w:iCs/>
                <w:color w:val="auto"/>
                <w:kern w:val="0"/>
                <w:sz w:val="21"/>
                <w:szCs w:val="21"/>
                <w:highlight w:val="none"/>
                <w:lang w:val="en-US" w:eastAsia="zh-CN"/>
              </w:rPr>
              <w:t>代表</w:t>
            </w:r>
            <w:r>
              <w:rPr>
                <w:rFonts w:hint="eastAsia" w:ascii="宋体" w:hAnsi="宋体" w:eastAsia="宋体" w:cs="宋体"/>
                <w:i w:val="0"/>
                <w:iCs/>
                <w:color w:val="auto"/>
                <w:kern w:val="0"/>
                <w:sz w:val="21"/>
                <w:szCs w:val="21"/>
                <w:highlight w:val="none"/>
              </w:rPr>
              <w:t>投标人签署、澄清、说明、补正、递交、撤回、修改本项目投标文件、签订合同和处理有关事宜，其法律后果由投标人承担。</w:t>
            </w:r>
            <w:r>
              <w:rPr>
                <w:rFonts w:hint="eastAsia" w:ascii="宋体" w:hAnsi="宋体" w:eastAsia="宋体" w:cs="宋体"/>
                <w:kern w:val="0"/>
                <w:sz w:val="21"/>
                <w:szCs w:val="21"/>
              </w:rPr>
              <w:t>委托代理人</w:t>
            </w:r>
            <w:r>
              <w:rPr>
                <w:rFonts w:hint="eastAsia" w:ascii="宋体" w:hAnsi="宋体" w:eastAsia="宋体" w:cs="宋体"/>
                <w:kern w:val="0"/>
                <w:sz w:val="21"/>
                <w:szCs w:val="21"/>
                <w:lang w:val="en-US" w:eastAsia="zh-CN"/>
              </w:rPr>
              <w:t>须是</w:t>
            </w:r>
            <w:r>
              <w:rPr>
                <w:rFonts w:hint="eastAsia" w:ascii="宋体" w:hAnsi="宋体" w:eastAsia="宋体" w:cs="宋体"/>
                <w:kern w:val="0"/>
                <w:sz w:val="21"/>
                <w:szCs w:val="21"/>
              </w:rPr>
              <w:t>投标单位人员</w:t>
            </w:r>
            <w:r>
              <w:rPr>
                <w:rFonts w:hint="eastAsia" w:ascii="宋体" w:hAnsi="宋体" w:eastAsia="宋体" w:cs="宋体"/>
                <w:kern w:val="0"/>
                <w:sz w:val="21"/>
                <w:szCs w:val="21"/>
                <w:lang w:eastAsia="zh-CN"/>
              </w:rPr>
              <w:t>。</w:t>
            </w:r>
          </w:p>
          <w:p w14:paraId="3E92E1A1">
            <w:pPr>
              <w:autoSpaceDE w:val="0"/>
              <w:autoSpaceDN w:val="0"/>
              <w:adjustRightInd w:val="0"/>
              <w:snapToGrid w:val="0"/>
              <w:spacing w:line="400" w:lineRule="exact"/>
              <w:ind w:firstLine="422" w:firstLineChars="200"/>
              <w:rPr>
                <w:rFonts w:hint="eastAsia" w:ascii="宋体" w:hAnsi="宋体" w:eastAsia="宋体" w:cs="宋体"/>
                <w:kern w:val="0"/>
                <w:sz w:val="21"/>
                <w:szCs w:val="21"/>
              </w:rPr>
            </w:pPr>
            <w:r>
              <w:rPr>
                <w:rFonts w:hint="eastAsia" w:ascii="宋体" w:hAnsi="宋体" w:eastAsia="宋体" w:cs="宋体"/>
                <w:b/>
                <w:bCs/>
                <w:color w:val="0000FF"/>
                <w:kern w:val="0"/>
                <w:sz w:val="21"/>
                <w:szCs w:val="21"/>
                <w:highlight w:val="none"/>
                <w:lang w:val="en-US" w:eastAsia="zh-CN"/>
              </w:rPr>
              <w:t>提供：</w:t>
            </w:r>
            <w:r>
              <w:rPr>
                <w:rFonts w:hint="eastAsia" w:ascii="宋体" w:hAnsi="宋体" w:eastAsia="宋体" w:cs="宋体"/>
                <w:b/>
                <w:bCs/>
                <w:color w:val="0000FF"/>
                <w:kern w:val="0"/>
                <w:sz w:val="21"/>
                <w:szCs w:val="21"/>
                <w:highlight w:val="none"/>
              </w:rPr>
              <w:t>法定代表人身份证明</w:t>
            </w:r>
            <w:r>
              <w:rPr>
                <w:rFonts w:hint="eastAsia" w:ascii="宋体" w:hAnsi="宋体" w:eastAsia="宋体" w:cs="宋体"/>
                <w:b/>
                <w:bCs/>
                <w:color w:val="0000FF"/>
                <w:sz w:val="21"/>
                <w:szCs w:val="21"/>
                <w:highlight w:val="none"/>
              </w:rPr>
              <w:t>（格式见第</w:t>
            </w:r>
            <w:r>
              <w:rPr>
                <w:rFonts w:hint="eastAsia" w:ascii="宋体" w:hAnsi="宋体" w:eastAsia="宋体" w:cs="宋体"/>
                <w:b/>
                <w:bCs/>
                <w:color w:val="0000FF"/>
                <w:sz w:val="21"/>
                <w:szCs w:val="21"/>
                <w:highlight w:val="none"/>
                <w:lang w:val="en-US" w:eastAsia="zh-CN"/>
              </w:rPr>
              <w:t>六</w:t>
            </w:r>
            <w:r>
              <w:rPr>
                <w:rFonts w:hint="eastAsia" w:ascii="宋体" w:hAnsi="宋体" w:eastAsia="宋体" w:cs="宋体"/>
                <w:b/>
                <w:bCs/>
                <w:color w:val="0000FF"/>
                <w:sz w:val="21"/>
                <w:szCs w:val="21"/>
                <w:highlight w:val="none"/>
              </w:rPr>
              <w:t>章投标文件格式）</w:t>
            </w:r>
            <w:r>
              <w:rPr>
                <w:rFonts w:hint="eastAsia" w:ascii="宋体" w:hAnsi="宋体" w:eastAsia="宋体" w:cs="宋体"/>
                <w:b/>
                <w:bCs/>
                <w:color w:val="0000FF"/>
                <w:kern w:val="0"/>
                <w:sz w:val="21"/>
                <w:szCs w:val="21"/>
                <w:highlight w:val="none"/>
                <w:lang w:eastAsia="zh-CN"/>
              </w:rPr>
              <w:t>。</w:t>
            </w:r>
            <w:r>
              <w:rPr>
                <w:rFonts w:hint="eastAsia" w:ascii="宋体" w:hAnsi="宋体" w:eastAsia="宋体" w:cs="宋体"/>
                <w:b/>
                <w:bCs/>
                <w:color w:val="0000FF"/>
                <w:kern w:val="0"/>
                <w:sz w:val="21"/>
                <w:szCs w:val="21"/>
                <w:highlight w:val="none"/>
                <w:lang w:val="en-US" w:eastAsia="zh-CN"/>
              </w:rPr>
              <w:t>法定代表人委托代理人投标的，还须提供</w:t>
            </w:r>
            <w:r>
              <w:rPr>
                <w:rFonts w:hint="eastAsia" w:ascii="宋体" w:hAnsi="宋体" w:eastAsia="宋体" w:cs="宋体"/>
                <w:b/>
                <w:bCs/>
                <w:color w:val="0000FF"/>
                <w:kern w:val="0"/>
                <w:sz w:val="21"/>
                <w:szCs w:val="21"/>
                <w:highlight w:val="none"/>
              </w:rPr>
              <w:t>授权委托书</w:t>
            </w:r>
            <w:r>
              <w:rPr>
                <w:rFonts w:hint="eastAsia" w:ascii="宋体" w:hAnsi="宋体" w:eastAsia="宋体" w:cs="宋体"/>
                <w:b/>
                <w:bCs/>
                <w:color w:val="0000FF"/>
                <w:sz w:val="21"/>
                <w:szCs w:val="21"/>
                <w:highlight w:val="none"/>
              </w:rPr>
              <w:t>（格式见第</w:t>
            </w:r>
            <w:r>
              <w:rPr>
                <w:rFonts w:hint="eastAsia" w:ascii="宋体" w:hAnsi="宋体" w:eastAsia="宋体" w:cs="宋体"/>
                <w:b/>
                <w:bCs/>
                <w:color w:val="0000FF"/>
                <w:sz w:val="21"/>
                <w:szCs w:val="21"/>
                <w:highlight w:val="none"/>
                <w:lang w:val="en-US" w:eastAsia="zh-CN"/>
              </w:rPr>
              <w:t>六</w:t>
            </w:r>
            <w:r>
              <w:rPr>
                <w:rFonts w:hint="eastAsia" w:ascii="宋体" w:hAnsi="宋体" w:eastAsia="宋体" w:cs="宋体"/>
                <w:b/>
                <w:bCs/>
                <w:color w:val="0000FF"/>
                <w:sz w:val="21"/>
                <w:szCs w:val="21"/>
                <w:highlight w:val="none"/>
              </w:rPr>
              <w:t>章投标文件格式）</w:t>
            </w:r>
            <w:r>
              <w:rPr>
                <w:rFonts w:hint="eastAsia" w:ascii="宋体" w:hAnsi="宋体" w:eastAsia="宋体" w:cs="宋体"/>
                <w:b/>
                <w:bCs/>
                <w:color w:val="0000FF"/>
                <w:kern w:val="0"/>
                <w:sz w:val="21"/>
                <w:szCs w:val="21"/>
                <w:highlight w:val="none"/>
                <w:lang w:eastAsia="zh-CN"/>
              </w:rPr>
              <w:t>、</w:t>
            </w:r>
            <w:r>
              <w:rPr>
                <w:rFonts w:hint="eastAsia" w:ascii="宋体" w:hAnsi="宋体" w:eastAsia="宋体" w:cs="宋体"/>
                <w:b/>
                <w:bCs/>
                <w:color w:val="0000FF"/>
                <w:kern w:val="0"/>
                <w:sz w:val="21"/>
                <w:szCs w:val="21"/>
                <w:highlight w:val="none"/>
              </w:rPr>
              <w:t>投标人为该委托代理人缴纳的养老保险证明</w:t>
            </w:r>
            <w:r>
              <w:rPr>
                <w:rFonts w:hint="eastAsia" w:ascii="宋体" w:hAnsi="宋体" w:eastAsia="宋体" w:cs="宋体"/>
                <w:b/>
                <w:bCs/>
                <w:color w:val="0000FF"/>
                <w:kern w:val="0"/>
                <w:sz w:val="21"/>
                <w:szCs w:val="21"/>
                <w:highlight w:val="none"/>
                <w:lang w:val="en-US" w:eastAsia="zh-CN"/>
              </w:rPr>
              <w:t>材料</w:t>
            </w:r>
            <w:r>
              <w:rPr>
                <w:rFonts w:hint="eastAsia" w:ascii="宋体" w:hAnsi="宋体" w:eastAsia="宋体" w:cs="宋体"/>
                <w:b/>
                <w:bCs/>
                <w:color w:val="0000FF"/>
                <w:kern w:val="0"/>
                <w:sz w:val="21"/>
                <w:szCs w:val="21"/>
              </w:rPr>
              <w:t>。</w:t>
            </w:r>
          </w:p>
          <w:p w14:paraId="45A1E1A8">
            <w:pPr>
              <w:autoSpaceDE w:val="0"/>
              <w:autoSpaceDN w:val="0"/>
              <w:adjustRightInd w:val="0"/>
              <w:snapToGrid w:val="0"/>
              <w:spacing w:line="400" w:lineRule="exact"/>
              <w:ind w:firstLine="415" w:firstLineChars="198"/>
              <w:rPr>
                <w:rFonts w:hint="eastAsia" w:ascii="宋体" w:hAnsi="宋体" w:eastAsia="宋体" w:cs="宋体"/>
                <w:bCs/>
                <w:sz w:val="21"/>
                <w:szCs w:val="21"/>
              </w:rPr>
            </w:pPr>
            <w:r>
              <w:rPr>
                <w:rFonts w:hint="eastAsia" w:ascii="宋体" w:hAnsi="宋体" w:eastAsia="宋体" w:cs="宋体"/>
                <w:bCs/>
                <w:sz w:val="21"/>
                <w:szCs w:val="21"/>
              </w:rPr>
              <w:t>（</w:t>
            </w:r>
            <w:r>
              <w:rPr>
                <w:rFonts w:hint="eastAsia" w:ascii="宋体" w:hAnsi="宋体" w:cs="宋体"/>
                <w:bCs/>
                <w:sz w:val="21"/>
                <w:szCs w:val="21"/>
                <w:lang w:val="en-US" w:eastAsia="zh-CN"/>
              </w:rPr>
              <w:t>4</w:t>
            </w:r>
            <w:r>
              <w:rPr>
                <w:rFonts w:hint="eastAsia" w:ascii="宋体" w:hAnsi="宋体" w:eastAsia="宋体" w:cs="宋体"/>
                <w:bCs/>
                <w:sz w:val="21"/>
                <w:szCs w:val="21"/>
              </w:rPr>
              <w:t>）</w:t>
            </w:r>
            <w:r>
              <w:rPr>
                <w:rFonts w:hint="eastAsia" w:ascii="宋体" w:hAnsi="宋体" w:eastAsia="宋体" w:cs="宋体"/>
                <w:snapToGrid w:val="0"/>
                <w:kern w:val="0"/>
                <w:sz w:val="21"/>
                <w:szCs w:val="21"/>
                <w:highlight w:val="none"/>
                <w:lang w:val="en-US" w:eastAsia="zh-CN"/>
              </w:rPr>
              <w:t>投标文件真实性</w:t>
            </w:r>
          </w:p>
          <w:p w14:paraId="50569E92">
            <w:pPr>
              <w:autoSpaceDE w:val="0"/>
              <w:autoSpaceDN w:val="0"/>
              <w:adjustRightInd w:val="0"/>
              <w:snapToGrid w:val="0"/>
              <w:spacing w:line="400" w:lineRule="exact"/>
              <w:ind w:firstLine="415" w:firstLineChars="198"/>
              <w:rPr>
                <w:rFonts w:hint="eastAsia" w:ascii="宋体" w:hAnsi="宋体" w:eastAsia="宋体" w:cs="宋体"/>
                <w:bCs/>
                <w:sz w:val="21"/>
                <w:szCs w:val="21"/>
              </w:rPr>
            </w:pPr>
            <w:r>
              <w:rPr>
                <w:rFonts w:hint="eastAsia" w:ascii="宋体" w:hAnsi="宋体" w:eastAsia="宋体" w:cs="宋体"/>
                <w:bCs/>
                <w:sz w:val="21"/>
                <w:szCs w:val="21"/>
              </w:rPr>
              <w:t>投标文件中的所有内容真实有效，不存在弄虚作假情形。</w:t>
            </w:r>
          </w:p>
          <w:p w14:paraId="36FB2664">
            <w:pPr>
              <w:autoSpaceDE w:val="0"/>
              <w:autoSpaceDN w:val="0"/>
              <w:adjustRightInd w:val="0"/>
              <w:snapToGrid w:val="0"/>
              <w:spacing w:line="400" w:lineRule="exact"/>
              <w:ind w:firstLine="417" w:firstLineChars="198"/>
              <w:rPr>
                <w:rFonts w:hint="eastAsia" w:ascii="宋体" w:hAnsi="宋体" w:eastAsia="宋体" w:cs="宋体"/>
                <w:b/>
                <w:bCs w:val="0"/>
                <w:color w:val="0000FF"/>
                <w:sz w:val="21"/>
                <w:szCs w:val="21"/>
              </w:rPr>
            </w:pPr>
            <w:r>
              <w:rPr>
                <w:rFonts w:hint="eastAsia" w:ascii="宋体" w:hAnsi="宋体" w:eastAsia="宋体" w:cs="宋体"/>
                <w:b/>
                <w:bCs w:val="0"/>
                <w:color w:val="0000FF"/>
                <w:sz w:val="21"/>
                <w:szCs w:val="21"/>
              </w:rPr>
              <w:t>提供</w:t>
            </w:r>
            <w:r>
              <w:rPr>
                <w:rFonts w:hint="eastAsia" w:ascii="宋体" w:hAnsi="宋体" w:eastAsia="宋体" w:cs="宋体"/>
                <w:b/>
                <w:bCs w:val="0"/>
                <w:color w:val="0000FF"/>
                <w:sz w:val="21"/>
                <w:szCs w:val="21"/>
                <w:lang w:eastAsia="zh-CN"/>
              </w:rPr>
              <w:t>：</w:t>
            </w:r>
            <w:r>
              <w:rPr>
                <w:rFonts w:hint="eastAsia" w:ascii="宋体" w:hAnsi="宋体" w:eastAsia="宋体" w:cs="宋体"/>
                <w:b/>
                <w:bCs w:val="0"/>
                <w:color w:val="0000FF"/>
                <w:sz w:val="21"/>
                <w:szCs w:val="21"/>
              </w:rPr>
              <w:t>承诺（格式见第六章投标文件格式）。</w:t>
            </w:r>
          </w:p>
          <w:p w14:paraId="53D1CEF2">
            <w:pPr>
              <w:autoSpaceDE w:val="0"/>
              <w:autoSpaceDN w:val="0"/>
              <w:adjustRightInd w:val="0"/>
              <w:snapToGrid w:val="0"/>
              <w:spacing w:line="400" w:lineRule="exact"/>
              <w:ind w:firstLine="417" w:firstLineChars="198"/>
              <w:rPr>
                <w:rFonts w:hint="eastAsia" w:ascii="宋体" w:hAnsi="宋体" w:eastAsia="宋体" w:cs="宋体"/>
                <w:b/>
                <w:sz w:val="21"/>
                <w:szCs w:val="21"/>
              </w:rPr>
            </w:pPr>
            <w:r>
              <w:rPr>
                <w:rFonts w:hint="eastAsia" w:ascii="宋体" w:hAnsi="宋体" w:eastAsia="宋体" w:cs="宋体"/>
                <w:b/>
                <w:sz w:val="21"/>
                <w:szCs w:val="21"/>
              </w:rPr>
              <w:t>特别说明：</w:t>
            </w:r>
          </w:p>
          <w:p w14:paraId="247DE1D4">
            <w:pPr>
              <w:autoSpaceDE w:val="0"/>
              <w:autoSpaceDN w:val="0"/>
              <w:adjustRightInd w:val="0"/>
              <w:snapToGrid w:val="0"/>
              <w:spacing w:line="400" w:lineRule="exact"/>
              <w:ind w:firstLine="415" w:firstLineChars="198"/>
              <w:rPr>
                <w:rFonts w:hint="eastAsia" w:ascii="宋体" w:hAnsi="宋体" w:eastAsia="宋体" w:cs="宋体"/>
                <w:kern w:val="0"/>
                <w:sz w:val="21"/>
                <w:szCs w:val="21"/>
              </w:rPr>
            </w:pPr>
            <w:r>
              <w:rPr>
                <w:rFonts w:hint="eastAsia" w:ascii="宋体" w:hAnsi="宋体" w:eastAsia="宋体" w:cs="宋体"/>
                <w:sz w:val="21"/>
                <w:szCs w:val="21"/>
              </w:rPr>
              <w:t>（1）上述要求须</w:t>
            </w:r>
            <w:r>
              <w:rPr>
                <w:rFonts w:hint="eastAsia" w:ascii="宋体" w:hAnsi="宋体" w:eastAsia="宋体" w:cs="宋体"/>
                <w:sz w:val="21"/>
                <w:szCs w:val="21"/>
                <w:lang w:val="en-US" w:eastAsia="zh-CN"/>
              </w:rPr>
              <w:t>提供</w:t>
            </w:r>
            <w:r>
              <w:rPr>
                <w:rFonts w:hint="eastAsia" w:ascii="宋体" w:hAnsi="宋体" w:eastAsia="宋体" w:cs="宋体"/>
                <w:sz w:val="21"/>
                <w:szCs w:val="21"/>
              </w:rPr>
              <w:t>的相关证明材料均为扫描件（原件或复印件的扫描件均可），扫描件须清晰可辨，</w:t>
            </w:r>
            <w:r>
              <w:rPr>
                <w:rFonts w:hint="eastAsia" w:ascii="宋体" w:hAnsi="宋体" w:eastAsia="宋体" w:cs="宋体"/>
                <w:kern w:val="0"/>
                <w:sz w:val="21"/>
                <w:szCs w:val="21"/>
              </w:rPr>
              <w:t>有一条不满足，则投标文件由评标委员会</w:t>
            </w:r>
            <w:r>
              <w:rPr>
                <w:rFonts w:hint="eastAsia" w:ascii="宋体" w:hAnsi="宋体" w:eastAsia="宋体" w:cs="宋体"/>
                <w:sz w:val="21"/>
                <w:szCs w:val="21"/>
              </w:rPr>
              <w:t>作否决投标处理</w:t>
            </w:r>
            <w:r>
              <w:rPr>
                <w:rFonts w:hint="eastAsia" w:ascii="宋体" w:hAnsi="宋体" w:eastAsia="宋体" w:cs="宋体"/>
                <w:kern w:val="0"/>
                <w:sz w:val="21"/>
                <w:szCs w:val="21"/>
              </w:rPr>
              <w:t>。</w:t>
            </w:r>
          </w:p>
          <w:p w14:paraId="0FA2781B">
            <w:pPr>
              <w:autoSpaceDE w:val="0"/>
              <w:autoSpaceDN w:val="0"/>
              <w:adjustRightInd w:val="0"/>
              <w:snapToGrid w:val="0"/>
              <w:spacing w:line="400" w:lineRule="exact"/>
              <w:ind w:firstLine="415" w:firstLineChars="198"/>
              <w:rPr>
                <w:rFonts w:hint="eastAsia" w:ascii="宋体" w:hAnsi="宋体" w:eastAsia="宋体" w:cs="宋体"/>
                <w:sz w:val="21"/>
                <w:szCs w:val="21"/>
              </w:rPr>
            </w:pPr>
            <w:r>
              <w:rPr>
                <w:rFonts w:hint="eastAsia" w:ascii="宋体" w:hAnsi="宋体" w:eastAsia="宋体" w:cs="宋体"/>
                <w:sz w:val="21"/>
                <w:szCs w:val="21"/>
              </w:rPr>
              <w:t>（2）</w:t>
            </w:r>
            <w:r>
              <w:rPr>
                <w:rFonts w:hint="eastAsia" w:ascii="宋体" w:hAnsi="宋体" w:cs="宋体"/>
                <w:szCs w:val="21"/>
                <w:u w:val="none"/>
              </w:rPr>
              <w:t>招标人有权对投标人提供的资料进行核实，若发现弄虚作假，按相关规定取消其中标资格，并按相关法律法规报招标投标监督部门，其投标保证金以现金形式交纳的不予退还，以保函形式交纳的由保函开立人支付保函担保的与投标保证金等额的款项，投标人承担因此造成的相关责任并赔偿相应损失。</w:t>
            </w:r>
          </w:p>
          <w:p w14:paraId="7BF78864">
            <w:pPr>
              <w:spacing w:line="400" w:lineRule="exact"/>
              <w:ind w:firstLine="420" w:firstLineChars="200"/>
              <w:rPr>
                <w:rFonts w:hint="eastAsia" w:ascii="宋体" w:hAnsi="宋体" w:eastAsia="宋体" w:cs="宋体"/>
                <w:bCs/>
                <w:kern w:val="0"/>
                <w:sz w:val="21"/>
                <w:szCs w:val="21"/>
              </w:rPr>
            </w:pPr>
            <w:r>
              <w:rPr>
                <w:rFonts w:hint="eastAsia" w:ascii="宋体" w:hAnsi="宋体" w:eastAsia="宋体" w:cs="宋体"/>
                <w:bCs/>
                <w:kern w:val="0"/>
                <w:sz w:val="21"/>
                <w:szCs w:val="21"/>
              </w:rPr>
              <w:t>（3）本招标文件中所要求的人员养老保险证明要求如下：</w:t>
            </w:r>
          </w:p>
          <w:p w14:paraId="7BFC445B">
            <w:pPr>
              <w:spacing w:line="400" w:lineRule="exact"/>
              <w:ind w:firstLine="420" w:firstLineChars="200"/>
              <w:rPr>
                <w:rFonts w:hint="eastAsia" w:ascii="宋体" w:hAnsi="宋体" w:eastAsia="宋体" w:cs="宋体"/>
                <w:bCs/>
                <w:kern w:val="0"/>
                <w:sz w:val="21"/>
                <w:szCs w:val="21"/>
              </w:rPr>
            </w:pPr>
            <w:r>
              <w:rPr>
                <w:rFonts w:hint="eastAsia" w:ascii="宋体" w:hAnsi="宋体" w:eastAsia="宋体" w:cs="宋体"/>
                <w:bCs/>
                <w:kern w:val="0"/>
                <w:sz w:val="21"/>
                <w:szCs w:val="21"/>
              </w:rPr>
              <w:t>①企业提供养老保险证明，事业单位提供养老保险证明或行政主管部门在编证明。</w:t>
            </w:r>
          </w:p>
          <w:p w14:paraId="4F655617">
            <w:pPr>
              <w:spacing w:line="400" w:lineRule="exact"/>
              <w:ind w:firstLine="420" w:firstLineChars="200"/>
              <w:rPr>
                <w:rFonts w:hint="eastAsia" w:ascii="宋体" w:hAnsi="宋体" w:eastAsia="宋体" w:cs="宋体"/>
                <w:bCs/>
                <w:snapToGrid w:val="0"/>
                <w:kern w:val="0"/>
                <w:sz w:val="21"/>
                <w:szCs w:val="21"/>
              </w:rPr>
            </w:pPr>
            <w:r>
              <w:rPr>
                <w:rFonts w:hint="eastAsia" w:ascii="宋体" w:hAnsi="宋体" w:eastAsia="宋体" w:cs="宋体"/>
                <w:bCs/>
                <w:kern w:val="0"/>
                <w:sz w:val="21"/>
                <w:szCs w:val="21"/>
              </w:rPr>
              <w:t>②</w:t>
            </w:r>
            <w:r>
              <w:rPr>
                <w:rFonts w:hint="eastAsia" w:ascii="宋体" w:hAnsi="宋体" w:eastAsia="宋体" w:cs="宋体"/>
                <w:bCs/>
                <w:snapToGrid w:val="0"/>
                <w:kern w:val="0"/>
                <w:sz w:val="21"/>
                <w:szCs w:val="21"/>
                <w:lang w:val="en-US" w:eastAsia="zh-CN"/>
              </w:rPr>
              <w:t>拟派人员</w:t>
            </w:r>
            <w:r>
              <w:rPr>
                <w:rFonts w:hint="eastAsia" w:ascii="宋体" w:hAnsi="宋体"/>
                <w:bCs/>
                <w:snapToGrid w:val="0"/>
                <w:kern w:val="0"/>
                <w:szCs w:val="21"/>
                <w:highlight w:val="none"/>
                <w:lang w:val="en-US" w:eastAsia="zh-CN"/>
              </w:rPr>
              <w:t>在投标单位</w:t>
            </w:r>
            <w:r>
              <w:rPr>
                <w:rFonts w:hint="eastAsia" w:ascii="宋体" w:hAnsi="宋体" w:eastAsia="宋体" w:cs="宋体"/>
                <w:bCs/>
                <w:snapToGrid w:val="0"/>
                <w:kern w:val="0"/>
                <w:sz w:val="21"/>
                <w:szCs w:val="21"/>
              </w:rPr>
              <w:t>的连续养老保险证明期限须</w:t>
            </w:r>
            <w:r>
              <w:rPr>
                <w:rFonts w:hint="eastAsia" w:ascii="宋体" w:hAnsi="宋体" w:eastAsia="宋体" w:cs="宋体"/>
                <w:bCs/>
                <w:snapToGrid w:val="0"/>
                <w:kern w:val="0"/>
                <w:sz w:val="21"/>
                <w:szCs w:val="21"/>
                <w:highlight w:val="none"/>
              </w:rPr>
              <w:t>包含</w:t>
            </w:r>
            <w:r>
              <w:rPr>
                <w:rFonts w:hint="eastAsia" w:ascii="宋体" w:hAnsi="宋体" w:eastAsia="宋体" w:cs="宋体"/>
                <w:bCs/>
                <w:snapToGrid w:val="0"/>
                <w:kern w:val="0"/>
                <w:sz w:val="21"/>
                <w:szCs w:val="21"/>
                <w:highlight w:val="none"/>
                <w:u w:val="single"/>
              </w:rPr>
              <w:t xml:space="preserve"> </w:t>
            </w:r>
            <w:r>
              <w:rPr>
                <w:rFonts w:hint="eastAsia" w:ascii="宋体" w:hAnsi="宋体" w:cs="宋体"/>
                <w:b/>
                <w:bCs w:val="0"/>
                <w:snapToGrid w:val="0"/>
                <w:kern w:val="0"/>
                <w:sz w:val="24"/>
                <w:szCs w:val="24"/>
                <w:highlight w:val="none"/>
                <w:u w:val="single"/>
                <w:lang w:val="en-US" w:eastAsia="zh-CN"/>
              </w:rPr>
              <w:t>2025</w:t>
            </w:r>
            <w:r>
              <w:rPr>
                <w:rFonts w:hint="eastAsia" w:ascii="宋体" w:hAnsi="宋体" w:eastAsia="宋体" w:cs="宋体"/>
                <w:b/>
                <w:bCs w:val="0"/>
                <w:snapToGrid w:val="0"/>
                <w:kern w:val="0"/>
                <w:sz w:val="24"/>
                <w:szCs w:val="24"/>
                <w:highlight w:val="none"/>
              </w:rPr>
              <w:t>年</w:t>
            </w:r>
            <w:r>
              <w:rPr>
                <w:rFonts w:hint="eastAsia" w:ascii="宋体" w:hAnsi="宋体" w:eastAsia="宋体" w:cs="宋体"/>
                <w:b/>
                <w:bCs w:val="0"/>
                <w:snapToGrid w:val="0"/>
                <w:kern w:val="0"/>
                <w:sz w:val="24"/>
                <w:szCs w:val="24"/>
                <w:highlight w:val="none"/>
                <w:u w:val="single"/>
              </w:rPr>
              <w:t xml:space="preserve"> </w:t>
            </w:r>
            <w:r>
              <w:rPr>
                <w:rFonts w:hint="eastAsia" w:ascii="宋体" w:hAnsi="宋体" w:cs="宋体"/>
                <w:b/>
                <w:bCs w:val="0"/>
                <w:snapToGrid w:val="0"/>
                <w:kern w:val="0"/>
                <w:sz w:val="24"/>
                <w:szCs w:val="24"/>
                <w:highlight w:val="none"/>
                <w:u w:val="single"/>
                <w:lang w:val="en-US" w:eastAsia="zh-CN"/>
              </w:rPr>
              <w:t>11</w:t>
            </w:r>
            <w:r>
              <w:rPr>
                <w:rFonts w:hint="eastAsia" w:ascii="宋体" w:hAnsi="宋体" w:eastAsia="宋体" w:cs="宋体"/>
                <w:b/>
                <w:bCs w:val="0"/>
                <w:snapToGrid w:val="0"/>
                <w:kern w:val="0"/>
                <w:sz w:val="24"/>
                <w:szCs w:val="24"/>
                <w:highlight w:val="none"/>
              </w:rPr>
              <w:t>月至</w:t>
            </w:r>
            <w:r>
              <w:rPr>
                <w:rFonts w:hint="eastAsia" w:ascii="宋体" w:hAnsi="宋体" w:eastAsia="宋体" w:cs="宋体"/>
                <w:b/>
                <w:bCs w:val="0"/>
                <w:snapToGrid w:val="0"/>
                <w:kern w:val="0"/>
                <w:sz w:val="24"/>
                <w:szCs w:val="24"/>
                <w:highlight w:val="none"/>
                <w:u w:val="single"/>
              </w:rPr>
              <w:t xml:space="preserve"> </w:t>
            </w:r>
            <w:r>
              <w:rPr>
                <w:rFonts w:hint="eastAsia" w:ascii="宋体" w:hAnsi="宋体" w:cs="宋体"/>
                <w:b/>
                <w:bCs w:val="0"/>
                <w:snapToGrid w:val="0"/>
                <w:kern w:val="0"/>
                <w:sz w:val="24"/>
                <w:szCs w:val="24"/>
                <w:highlight w:val="none"/>
                <w:u w:val="single"/>
                <w:lang w:val="en-US" w:eastAsia="zh-CN"/>
              </w:rPr>
              <w:t xml:space="preserve">2026 </w:t>
            </w:r>
            <w:r>
              <w:rPr>
                <w:rFonts w:hint="eastAsia" w:ascii="宋体" w:hAnsi="宋体" w:eastAsia="宋体" w:cs="宋体"/>
                <w:b/>
                <w:bCs w:val="0"/>
                <w:snapToGrid w:val="0"/>
                <w:kern w:val="0"/>
                <w:sz w:val="24"/>
                <w:szCs w:val="24"/>
                <w:highlight w:val="none"/>
              </w:rPr>
              <w:t>年</w:t>
            </w:r>
            <w:r>
              <w:rPr>
                <w:rFonts w:hint="eastAsia" w:ascii="宋体" w:hAnsi="宋体" w:eastAsia="宋体" w:cs="宋体"/>
                <w:b/>
                <w:bCs w:val="0"/>
                <w:snapToGrid w:val="0"/>
                <w:kern w:val="0"/>
                <w:sz w:val="24"/>
                <w:szCs w:val="24"/>
                <w:highlight w:val="none"/>
                <w:u w:val="single"/>
              </w:rPr>
              <w:t xml:space="preserve"> </w:t>
            </w:r>
            <w:r>
              <w:rPr>
                <w:rFonts w:hint="eastAsia" w:ascii="宋体" w:hAnsi="宋体" w:cs="宋体"/>
                <w:b/>
                <w:bCs w:val="0"/>
                <w:snapToGrid w:val="0"/>
                <w:kern w:val="0"/>
                <w:sz w:val="24"/>
                <w:szCs w:val="24"/>
                <w:highlight w:val="none"/>
                <w:u w:val="single"/>
                <w:lang w:val="en-US" w:eastAsia="zh-CN"/>
              </w:rPr>
              <w:t>4</w:t>
            </w:r>
            <w:r>
              <w:rPr>
                <w:rFonts w:hint="eastAsia" w:ascii="宋体" w:hAnsi="宋体" w:eastAsia="宋体" w:cs="宋体"/>
                <w:b/>
                <w:bCs w:val="0"/>
                <w:snapToGrid w:val="0"/>
                <w:kern w:val="0"/>
                <w:sz w:val="24"/>
                <w:szCs w:val="24"/>
                <w:highlight w:val="none"/>
                <w:u w:val="single"/>
              </w:rPr>
              <w:t xml:space="preserve"> </w:t>
            </w:r>
            <w:r>
              <w:rPr>
                <w:rFonts w:hint="eastAsia" w:ascii="宋体" w:hAnsi="宋体" w:eastAsia="宋体" w:cs="宋体"/>
                <w:b/>
                <w:bCs w:val="0"/>
                <w:snapToGrid w:val="0"/>
                <w:kern w:val="0"/>
                <w:sz w:val="24"/>
                <w:szCs w:val="24"/>
                <w:highlight w:val="none"/>
              </w:rPr>
              <w:t>月</w:t>
            </w:r>
            <w:r>
              <w:rPr>
                <w:rFonts w:hint="eastAsia" w:ascii="宋体" w:hAnsi="宋体" w:eastAsia="宋体" w:cs="宋体"/>
                <w:bCs/>
                <w:sz w:val="21"/>
                <w:szCs w:val="21"/>
                <w:highlight w:val="none"/>
              </w:rPr>
              <w:t>。提供的养老保险参保证明须体</w:t>
            </w:r>
            <w:r>
              <w:rPr>
                <w:rFonts w:hint="eastAsia" w:ascii="宋体" w:hAnsi="宋体" w:eastAsia="宋体" w:cs="宋体"/>
                <w:bCs/>
                <w:sz w:val="21"/>
                <w:szCs w:val="21"/>
              </w:rPr>
              <w:t>现</w:t>
            </w:r>
            <w:r>
              <w:rPr>
                <w:rFonts w:hint="eastAsia" w:ascii="宋体" w:hAnsi="宋体" w:eastAsia="宋体" w:cs="宋体"/>
                <w:bCs/>
                <w:sz w:val="21"/>
                <w:szCs w:val="21"/>
                <w:lang w:val="en-US" w:eastAsia="zh-CN"/>
              </w:rPr>
              <w:t>拟派</w:t>
            </w:r>
            <w:r>
              <w:rPr>
                <w:rFonts w:hint="eastAsia" w:ascii="宋体" w:hAnsi="宋体" w:eastAsia="宋体" w:cs="宋体"/>
                <w:bCs/>
                <w:sz w:val="21"/>
                <w:szCs w:val="21"/>
              </w:rPr>
              <w:t>人员的姓名、身份证号（或社保号）、单位名称、</w:t>
            </w:r>
            <w:r>
              <w:rPr>
                <w:rFonts w:hint="eastAsia" w:ascii="宋体" w:hAnsi="宋体" w:eastAsia="宋体" w:cs="宋体"/>
                <w:bCs/>
                <w:sz w:val="21"/>
                <w:szCs w:val="21"/>
                <w:lang w:val="en-US" w:eastAsia="zh-CN"/>
              </w:rPr>
              <w:t>在</w:t>
            </w:r>
            <w:r>
              <w:rPr>
                <w:rFonts w:hint="eastAsia" w:ascii="宋体" w:hAnsi="宋体"/>
                <w:bCs/>
                <w:snapToGrid w:val="0"/>
                <w:kern w:val="0"/>
                <w:szCs w:val="21"/>
                <w:highlight w:val="none"/>
                <w:lang w:val="en-US" w:eastAsia="zh-CN"/>
              </w:rPr>
              <w:t>投标单位</w:t>
            </w:r>
            <w:r>
              <w:rPr>
                <w:rFonts w:hint="eastAsia" w:ascii="宋体" w:hAnsi="宋体" w:eastAsia="宋体" w:cs="宋体"/>
                <w:bCs/>
                <w:sz w:val="21"/>
                <w:szCs w:val="21"/>
              </w:rPr>
              <w:t>参保时间（或起始参保时间），并带有社保部门公章或社保部门的有效电子印章。</w:t>
            </w:r>
          </w:p>
        </w:tc>
      </w:tr>
      <w:tr w14:paraId="5360C0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7AFC16D">
            <w:pPr>
              <w:snapToGrid w:val="0"/>
              <w:spacing w:line="400" w:lineRule="exact"/>
              <w:jc w:val="center"/>
              <w:rPr>
                <w:rFonts w:ascii="宋体" w:hAnsi="宋体"/>
                <w:kern w:val="0"/>
                <w:szCs w:val="21"/>
              </w:rPr>
            </w:pPr>
            <w:r>
              <w:rPr>
                <w:rFonts w:ascii="宋体" w:hAnsi="宋体"/>
                <w:kern w:val="0"/>
                <w:szCs w:val="21"/>
              </w:rPr>
              <w:t>1.4.2</w:t>
            </w:r>
          </w:p>
        </w:tc>
        <w:tc>
          <w:tcPr>
            <w:tcW w:w="1754" w:type="dxa"/>
            <w:vAlign w:val="center"/>
          </w:tcPr>
          <w:p w14:paraId="77FA157E">
            <w:pPr>
              <w:snapToGrid w:val="0"/>
              <w:spacing w:line="400" w:lineRule="exact"/>
              <w:jc w:val="center"/>
              <w:rPr>
                <w:rFonts w:ascii="宋体" w:hAnsi="宋体"/>
                <w:kern w:val="0"/>
                <w:szCs w:val="21"/>
              </w:rPr>
            </w:pPr>
            <w:r>
              <w:rPr>
                <w:rFonts w:ascii="宋体" w:hAnsi="宋体"/>
                <w:kern w:val="0"/>
                <w:szCs w:val="21"/>
              </w:rPr>
              <w:t>是否接受联合体投标</w:t>
            </w:r>
          </w:p>
        </w:tc>
        <w:tc>
          <w:tcPr>
            <w:tcW w:w="6490" w:type="dxa"/>
            <w:vAlign w:val="center"/>
          </w:tcPr>
          <w:p w14:paraId="0ACB99F5">
            <w:pPr>
              <w:snapToGrid w:val="0"/>
              <w:spacing w:line="400" w:lineRule="exact"/>
              <w:ind w:firstLine="420" w:firstLineChars="200"/>
              <w:rPr>
                <w:rFonts w:ascii="宋体" w:hAnsi="宋体"/>
                <w:kern w:val="0"/>
                <w:szCs w:val="21"/>
              </w:rPr>
            </w:pPr>
            <w:r>
              <w:rPr>
                <w:rFonts w:ascii="宋体" w:hAnsi="宋体"/>
                <w:kern w:val="0"/>
                <w:szCs w:val="21"/>
              </w:rPr>
              <w:t>不接受</w:t>
            </w:r>
          </w:p>
        </w:tc>
      </w:tr>
      <w:tr w14:paraId="263947E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00B09FE">
            <w:pPr>
              <w:snapToGrid w:val="0"/>
              <w:spacing w:line="400" w:lineRule="exact"/>
              <w:jc w:val="center"/>
              <w:rPr>
                <w:rFonts w:ascii="宋体" w:hAnsi="宋体"/>
                <w:kern w:val="0"/>
                <w:szCs w:val="21"/>
              </w:rPr>
            </w:pPr>
            <w:r>
              <w:rPr>
                <w:rFonts w:ascii="宋体" w:hAnsi="宋体"/>
                <w:kern w:val="0"/>
                <w:szCs w:val="21"/>
              </w:rPr>
              <w:t>1.4.3</w:t>
            </w:r>
          </w:p>
        </w:tc>
        <w:tc>
          <w:tcPr>
            <w:tcW w:w="1754" w:type="dxa"/>
            <w:vAlign w:val="center"/>
          </w:tcPr>
          <w:p w14:paraId="2471B835">
            <w:pPr>
              <w:snapToGrid w:val="0"/>
              <w:spacing w:line="400" w:lineRule="exact"/>
              <w:jc w:val="center"/>
              <w:rPr>
                <w:rFonts w:ascii="宋体" w:hAnsi="宋体"/>
                <w:kern w:val="0"/>
                <w:szCs w:val="21"/>
              </w:rPr>
            </w:pPr>
            <w:r>
              <w:rPr>
                <w:rFonts w:ascii="宋体" w:hAnsi="宋体"/>
                <w:kern w:val="0"/>
                <w:szCs w:val="21"/>
              </w:rPr>
              <w:t>投标人不得存在的其他情形</w:t>
            </w:r>
          </w:p>
        </w:tc>
        <w:tc>
          <w:tcPr>
            <w:tcW w:w="6490" w:type="dxa"/>
            <w:vAlign w:val="center"/>
          </w:tcPr>
          <w:p w14:paraId="4284AD09">
            <w:pPr>
              <w:snapToGrid w:val="0"/>
              <w:spacing w:line="400" w:lineRule="exact"/>
              <w:ind w:firstLine="420" w:firstLineChars="200"/>
              <w:rPr>
                <w:rFonts w:ascii="宋体" w:hAnsi="宋体"/>
                <w:kern w:val="0"/>
                <w:szCs w:val="21"/>
              </w:rPr>
            </w:pPr>
            <w:r>
              <w:rPr>
                <w:rFonts w:hint="eastAsia" w:ascii="宋体" w:hAnsi="宋体"/>
                <w:szCs w:val="21"/>
                <w:u w:val="single"/>
              </w:rPr>
              <w:t>详见正文。</w:t>
            </w:r>
          </w:p>
        </w:tc>
      </w:tr>
      <w:tr w14:paraId="32B3E01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F9DC176">
            <w:pPr>
              <w:snapToGrid w:val="0"/>
              <w:spacing w:line="400" w:lineRule="exact"/>
              <w:jc w:val="center"/>
              <w:rPr>
                <w:rFonts w:ascii="宋体" w:hAnsi="宋体"/>
                <w:kern w:val="0"/>
                <w:szCs w:val="21"/>
              </w:rPr>
            </w:pPr>
            <w:r>
              <w:rPr>
                <w:rFonts w:ascii="宋体" w:hAnsi="宋体"/>
                <w:kern w:val="0"/>
                <w:szCs w:val="21"/>
              </w:rPr>
              <w:t>1.</w:t>
            </w:r>
            <w:r>
              <w:rPr>
                <w:rFonts w:hint="eastAsia" w:ascii="宋体" w:hAnsi="宋体"/>
                <w:kern w:val="0"/>
                <w:szCs w:val="21"/>
              </w:rPr>
              <w:t>9</w:t>
            </w:r>
            <w:r>
              <w:rPr>
                <w:rFonts w:ascii="宋体" w:hAnsi="宋体"/>
                <w:kern w:val="0"/>
                <w:szCs w:val="21"/>
              </w:rPr>
              <w:t>.1</w:t>
            </w:r>
          </w:p>
        </w:tc>
        <w:tc>
          <w:tcPr>
            <w:tcW w:w="1754" w:type="dxa"/>
            <w:vAlign w:val="center"/>
          </w:tcPr>
          <w:p w14:paraId="25BAED09">
            <w:pPr>
              <w:snapToGrid w:val="0"/>
              <w:spacing w:line="400" w:lineRule="exact"/>
              <w:jc w:val="center"/>
              <w:rPr>
                <w:rFonts w:ascii="宋体" w:hAnsi="宋体"/>
                <w:kern w:val="0"/>
                <w:szCs w:val="21"/>
              </w:rPr>
            </w:pPr>
            <w:r>
              <w:rPr>
                <w:rFonts w:ascii="宋体" w:hAnsi="宋体"/>
                <w:kern w:val="0"/>
                <w:szCs w:val="21"/>
              </w:rPr>
              <w:t>投标预备会</w:t>
            </w:r>
          </w:p>
        </w:tc>
        <w:tc>
          <w:tcPr>
            <w:tcW w:w="6490" w:type="dxa"/>
            <w:vAlign w:val="center"/>
          </w:tcPr>
          <w:p w14:paraId="2A614E99">
            <w:pPr>
              <w:snapToGrid w:val="0"/>
              <w:spacing w:line="400" w:lineRule="exact"/>
              <w:ind w:firstLine="420" w:firstLineChars="200"/>
              <w:rPr>
                <w:rFonts w:ascii="宋体" w:hAnsi="宋体"/>
                <w:kern w:val="0"/>
                <w:szCs w:val="21"/>
              </w:rPr>
            </w:pPr>
            <w:r>
              <w:rPr>
                <w:rFonts w:ascii="宋体" w:hAnsi="宋体"/>
                <w:kern w:val="0"/>
                <w:szCs w:val="21"/>
              </w:rPr>
              <w:t>不召开</w:t>
            </w:r>
          </w:p>
        </w:tc>
      </w:tr>
      <w:tr w14:paraId="44DB872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05D10F6">
            <w:pPr>
              <w:snapToGrid w:val="0"/>
              <w:spacing w:line="400" w:lineRule="exact"/>
              <w:jc w:val="center"/>
              <w:rPr>
                <w:rFonts w:ascii="宋体" w:hAnsi="宋体"/>
                <w:kern w:val="0"/>
                <w:szCs w:val="21"/>
              </w:rPr>
            </w:pPr>
            <w:r>
              <w:rPr>
                <w:rFonts w:ascii="宋体" w:hAnsi="宋体"/>
                <w:kern w:val="0"/>
                <w:szCs w:val="21"/>
              </w:rPr>
              <w:t>1.1</w:t>
            </w:r>
            <w:r>
              <w:rPr>
                <w:rFonts w:hint="eastAsia" w:ascii="宋体" w:hAnsi="宋体"/>
                <w:kern w:val="0"/>
                <w:szCs w:val="21"/>
              </w:rPr>
              <w:t>0</w:t>
            </w:r>
            <w:r>
              <w:rPr>
                <w:rFonts w:ascii="宋体" w:hAnsi="宋体"/>
                <w:kern w:val="0"/>
                <w:szCs w:val="21"/>
              </w:rPr>
              <w:t>.1</w:t>
            </w:r>
          </w:p>
        </w:tc>
        <w:tc>
          <w:tcPr>
            <w:tcW w:w="1754" w:type="dxa"/>
            <w:vAlign w:val="center"/>
          </w:tcPr>
          <w:p w14:paraId="420A2344">
            <w:pPr>
              <w:snapToGrid w:val="0"/>
              <w:spacing w:line="400" w:lineRule="exact"/>
              <w:jc w:val="center"/>
              <w:rPr>
                <w:rFonts w:ascii="宋体" w:hAnsi="宋体"/>
                <w:kern w:val="0"/>
                <w:szCs w:val="21"/>
              </w:rPr>
            </w:pPr>
            <w:r>
              <w:rPr>
                <w:rFonts w:ascii="宋体" w:hAnsi="宋体"/>
                <w:kern w:val="0"/>
                <w:szCs w:val="21"/>
              </w:rPr>
              <w:t>分包</w:t>
            </w:r>
          </w:p>
        </w:tc>
        <w:tc>
          <w:tcPr>
            <w:tcW w:w="6490" w:type="dxa"/>
            <w:vAlign w:val="center"/>
          </w:tcPr>
          <w:p w14:paraId="03CF0E69">
            <w:pPr>
              <w:snapToGrid w:val="0"/>
              <w:spacing w:line="400" w:lineRule="exact"/>
              <w:ind w:firstLine="420" w:firstLineChars="200"/>
            </w:pPr>
            <w:r>
              <w:t>不允许</w:t>
            </w:r>
          </w:p>
        </w:tc>
      </w:tr>
      <w:tr w14:paraId="54409BB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2EB1F3">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1.11.</w:t>
            </w:r>
            <w:r>
              <w:rPr>
                <w:rFonts w:hint="eastAsia" w:ascii="宋体" w:hAnsi="宋体"/>
                <w:kern w:val="0"/>
                <w:szCs w:val="21"/>
                <w:lang w:val="en-US" w:eastAsia="zh-CN"/>
              </w:rPr>
              <w:t>2</w:t>
            </w:r>
          </w:p>
        </w:tc>
        <w:tc>
          <w:tcPr>
            <w:tcW w:w="1754" w:type="dxa"/>
            <w:vAlign w:val="center"/>
          </w:tcPr>
          <w:p w14:paraId="6C9C0193">
            <w:pPr>
              <w:snapToGrid w:val="0"/>
              <w:spacing w:line="400" w:lineRule="exact"/>
              <w:jc w:val="center"/>
              <w:rPr>
                <w:rFonts w:ascii="宋体" w:hAnsi="宋体"/>
                <w:kern w:val="0"/>
                <w:szCs w:val="21"/>
              </w:rPr>
            </w:pPr>
            <w:r>
              <w:t>其他可以被接受的技术支持资料</w:t>
            </w:r>
          </w:p>
        </w:tc>
        <w:tc>
          <w:tcPr>
            <w:tcW w:w="6490" w:type="dxa"/>
            <w:vAlign w:val="center"/>
          </w:tcPr>
          <w:p w14:paraId="085FA8AB">
            <w:pPr>
              <w:snapToGrid w:val="0"/>
              <w:spacing w:line="400" w:lineRule="exact"/>
              <w:ind w:firstLine="420" w:firstLineChars="200"/>
            </w:pPr>
            <w:r>
              <w:rPr>
                <w:rFonts w:hint="eastAsia" w:ascii="宋体" w:hAnsi="宋体"/>
                <w:szCs w:val="21"/>
                <w:u w:val="single"/>
              </w:rPr>
              <w:t>详见正文。</w:t>
            </w:r>
          </w:p>
        </w:tc>
      </w:tr>
      <w:tr w14:paraId="23ADA03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E0075BA">
            <w:pPr>
              <w:snapToGrid w:val="0"/>
              <w:spacing w:line="400" w:lineRule="exact"/>
              <w:jc w:val="center"/>
              <w:rPr>
                <w:rFonts w:hint="eastAsia" w:ascii="宋体" w:hAnsi="宋体" w:eastAsia="宋体"/>
                <w:kern w:val="0"/>
                <w:szCs w:val="21"/>
                <w:lang w:eastAsia="zh-CN"/>
              </w:rPr>
            </w:pPr>
            <w:r>
              <w:rPr>
                <w:rFonts w:ascii="宋体" w:hAnsi="宋体"/>
                <w:kern w:val="0"/>
                <w:szCs w:val="21"/>
              </w:rPr>
              <w:t>1.1</w:t>
            </w:r>
            <w:r>
              <w:rPr>
                <w:rFonts w:hint="eastAsia" w:ascii="宋体" w:hAnsi="宋体"/>
                <w:kern w:val="0"/>
                <w:szCs w:val="21"/>
              </w:rPr>
              <w:t>1</w:t>
            </w:r>
            <w:r>
              <w:rPr>
                <w:rFonts w:ascii="宋体" w:hAnsi="宋体"/>
                <w:kern w:val="0"/>
                <w:szCs w:val="21"/>
              </w:rPr>
              <w:t>.</w:t>
            </w:r>
            <w:r>
              <w:rPr>
                <w:rFonts w:hint="eastAsia" w:ascii="宋体" w:hAnsi="宋体"/>
                <w:kern w:val="0"/>
                <w:szCs w:val="21"/>
                <w:lang w:val="en-US" w:eastAsia="zh-CN"/>
              </w:rPr>
              <w:t>3</w:t>
            </w:r>
          </w:p>
        </w:tc>
        <w:tc>
          <w:tcPr>
            <w:tcW w:w="1754" w:type="dxa"/>
            <w:vAlign w:val="center"/>
          </w:tcPr>
          <w:p w14:paraId="29D97109">
            <w:pPr>
              <w:snapToGrid w:val="0"/>
              <w:spacing w:line="400" w:lineRule="exact"/>
              <w:jc w:val="center"/>
              <w:rPr>
                <w:rFonts w:ascii="宋体" w:hAnsi="宋体"/>
                <w:kern w:val="0"/>
                <w:szCs w:val="21"/>
              </w:rPr>
            </w:pPr>
            <w:r>
              <w:rPr>
                <w:rFonts w:hint="eastAsia" w:ascii="宋体" w:hAnsi="宋体"/>
                <w:kern w:val="0"/>
                <w:szCs w:val="21"/>
              </w:rPr>
              <w:t>偏差</w:t>
            </w:r>
          </w:p>
        </w:tc>
        <w:tc>
          <w:tcPr>
            <w:tcW w:w="6490" w:type="dxa"/>
            <w:vAlign w:val="center"/>
          </w:tcPr>
          <w:p w14:paraId="4EF66FDC">
            <w:pPr>
              <w:snapToGrid w:val="0"/>
              <w:spacing w:line="400" w:lineRule="exact"/>
              <w:ind w:firstLine="420" w:firstLineChars="200"/>
              <w:rPr>
                <w:rFonts w:hint="eastAsia" w:eastAsia="宋体"/>
                <w:lang w:val="en-US" w:eastAsia="zh-CN"/>
              </w:rPr>
            </w:pPr>
            <w:r>
              <w:rPr>
                <w:rFonts w:hint="eastAsia"/>
                <w:color w:val="FF0000"/>
              </w:rPr>
              <w:t>不允许</w:t>
            </w:r>
            <w:r>
              <w:rPr>
                <w:rFonts w:hint="eastAsia"/>
                <w:color w:val="FF0000"/>
                <w:lang w:val="en-US" w:eastAsia="zh-CN"/>
              </w:rPr>
              <w:t>负偏差。</w:t>
            </w:r>
          </w:p>
        </w:tc>
      </w:tr>
      <w:tr w14:paraId="4C8931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1B6EFB">
            <w:pPr>
              <w:snapToGrid w:val="0"/>
              <w:spacing w:line="400" w:lineRule="exact"/>
              <w:jc w:val="center"/>
              <w:rPr>
                <w:rFonts w:ascii="宋体" w:hAnsi="宋体"/>
                <w:kern w:val="0"/>
                <w:szCs w:val="21"/>
              </w:rPr>
            </w:pPr>
            <w:r>
              <w:rPr>
                <w:rFonts w:ascii="宋体" w:hAnsi="宋体"/>
                <w:kern w:val="0"/>
                <w:szCs w:val="21"/>
              </w:rPr>
              <w:t>2.1</w:t>
            </w:r>
          </w:p>
        </w:tc>
        <w:tc>
          <w:tcPr>
            <w:tcW w:w="1754" w:type="dxa"/>
            <w:vAlign w:val="center"/>
          </w:tcPr>
          <w:p w14:paraId="4A413BBB">
            <w:pPr>
              <w:snapToGrid w:val="0"/>
              <w:spacing w:after="12" w:afterLines="5" w:line="400" w:lineRule="exact"/>
              <w:jc w:val="center"/>
              <w:rPr>
                <w:rFonts w:ascii="宋体" w:hAnsi="宋体"/>
                <w:kern w:val="0"/>
                <w:szCs w:val="21"/>
              </w:rPr>
            </w:pPr>
            <w:r>
              <w:rPr>
                <w:rFonts w:ascii="宋体" w:hAnsi="宋体"/>
                <w:kern w:val="0"/>
                <w:szCs w:val="21"/>
              </w:rPr>
              <w:t>构成招标文件的其他</w:t>
            </w:r>
            <w:r>
              <w:rPr>
                <w:rFonts w:hint="eastAsia" w:ascii="宋体" w:hAnsi="宋体"/>
                <w:kern w:val="0"/>
                <w:szCs w:val="21"/>
              </w:rPr>
              <w:t>资</w:t>
            </w:r>
            <w:r>
              <w:rPr>
                <w:rFonts w:ascii="宋体" w:hAnsi="宋体"/>
                <w:kern w:val="0"/>
                <w:szCs w:val="21"/>
              </w:rPr>
              <w:t>料</w:t>
            </w:r>
          </w:p>
        </w:tc>
        <w:tc>
          <w:tcPr>
            <w:tcW w:w="6490" w:type="dxa"/>
            <w:vAlign w:val="center"/>
          </w:tcPr>
          <w:p w14:paraId="6E948625">
            <w:pPr>
              <w:snapToGrid w:val="0"/>
              <w:spacing w:line="400" w:lineRule="exact"/>
              <w:ind w:firstLine="420" w:firstLineChars="200"/>
              <w:rPr>
                <w:rFonts w:ascii="宋体" w:hAnsi="宋体"/>
                <w:szCs w:val="21"/>
              </w:rPr>
            </w:pPr>
            <w:r>
              <w:rPr>
                <w:rFonts w:ascii="宋体" w:hAnsi="宋体"/>
                <w:szCs w:val="21"/>
              </w:rPr>
              <w:t>招标人发出的</w:t>
            </w:r>
            <w:r>
              <w:rPr>
                <w:rFonts w:hint="eastAsia" w:ascii="宋体" w:hAnsi="宋体"/>
                <w:szCs w:val="21"/>
              </w:rPr>
              <w:t>澄清</w:t>
            </w:r>
            <w:r>
              <w:rPr>
                <w:rFonts w:ascii="宋体" w:hAnsi="宋体"/>
                <w:szCs w:val="21"/>
              </w:rPr>
              <w:t>及</w:t>
            </w:r>
            <w:r>
              <w:rPr>
                <w:rFonts w:hint="eastAsia" w:ascii="宋体" w:hAnsi="宋体"/>
                <w:szCs w:val="21"/>
              </w:rPr>
              <w:t>修改。</w:t>
            </w:r>
          </w:p>
        </w:tc>
      </w:tr>
      <w:tr w14:paraId="3B0EE8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DE69DF7">
            <w:pPr>
              <w:snapToGrid w:val="0"/>
              <w:spacing w:line="400" w:lineRule="exact"/>
              <w:jc w:val="center"/>
              <w:rPr>
                <w:rFonts w:ascii="宋体" w:hAnsi="宋体"/>
                <w:kern w:val="0"/>
                <w:szCs w:val="21"/>
              </w:rPr>
            </w:pPr>
            <w:r>
              <w:rPr>
                <w:rFonts w:hint="eastAsia" w:ascii="宋体" w:hAnsi="宋体"/>
                <w:kern w:val="0"/>
                <w:szCs w:val="21"/>
              </w:rPr>
              <w:t>2</w:t>
            </w:r>
            <w:r>
              <w:rPr>
                <w:rFonts w:ascii="宋体" w:hAnsi="宋体"/>
                <w:kern w:val="0"/>
                <w:szCs w:val="21"/>
              </w:rPr>
              <w:t>.</w:t>
            </w:r>
            <w:r>
              <w:rPr>
                <w:rFonts w:hint="eastAsia" w:ascii="宋体" w:hAnsi="宋体"/>
                <w:kern w:val="0"/>
                <w:szCs w:val="21"/>
              </w:rPr>
              <w:t>2</w:t>
            </w:r>
            <w:r>
              <w:rPr>
                <w:rFonts w:ascii="宋体" w:hAnsi="宋体"/>
                <w:kern w:val="0"/>
                <w:szCs w:val="21"/>
              </w:rPr>
              <w:t>.</w:t>
            </w:r>
            <w:r>
              <w:rPr>
                <w:rFonts w:hint="eastAsia" w:ascii="宋体" w:hAnsi="宋体"/>
                <w:kern w:val="0"/>
                <w:szCs w:val="21"/>
              </w:rPr>
              <w:t>1</w:t>
            </w:r>
          </w:p>
        </w:tc>
        <w:tc>
          <w:tcPr>
            <w:tcW w:w="1754" w:type="dxa"/>
            <w:tcBorders>
              <w:bottom w:val="single" w:color="auto" w:sz="4" w:space="0"/>
            </w:tcBorders>
            <w:vAlign w:val="center"/>
          </w:tcPr>
          <w:p w14:paraId="494713F5">
            <w:pPr>
              <w:snapToGrid w:val="0"/>
              <w:spacing w:line="400" w:lineRule="exact"/>
              <w:jc w:val="center"/>
              <w:rPr>
                <w:rFonts w:ascii="宋体" w:hAnsi="宋体"/>
                <w:kern w:val="0"/>
                <w:szCs w:val="21"/>
              </w:rPr>
            </w:pPr>
            <w:r>
              <w:rPr>
                <w:rFonts w:ascii="宋体" w:hAnsi="宋体"/>
                <w:kern w:val="0"/>
                <w:szCs w:val="21"/>
              </w:rPr>
              <w:t>投标人要求澄清招标文件的</w:t>
            </w:r>
            <w:r>
              <w:rPr>
                <w:rFonts w:hint="eastAsia" w:ascii="宋体" w:hAnsi="宋体"/>
                <w:kern w:val="0"/>
                <w:szCs w:val="21"/>
              </w:rPr>
              <w:t>形式和</w:t>
            </w:r>
            <w:r>
              <w:rPr>
                <w:rFonts w:ascii="宋体" w:hAnsi="宋体"/>
                <w:kern w:val="0"/>
                <w:szCs w:val="21"/>
              </w:rPr>
              <w:t>截止时间</w:t>
            </w:r>
          </w:p>
        </w:tc>
        <w:tc>
          <w:tcPr>
            <w:tcW w:w="6490" w:type="dxa"/>
            <w:vAlign w:val="center"/>
          </w:tcPr>
          <w:p w14:paraId="045E5B0E">
            <w:pPr>
              <w:snapToGrid w:val="0"/>
              <w:spacing w:line="400" w:lineRule="exact"/>
              <w:ind w:firstLine="420" w:firstLineChars="200"/>
              <w:rPr>
                <w:rFonts w:ascii="宋体" w:hAnsi="宋体"/>
                <w:kern w:val="0"/>
                <w:szCs w:val="21"/>
              </w:rPr>
            </w:pPr>
            <w:r>
              <w:rPr>
                <w:rFonts w:ascii="宋体" w:hAnsi="宋体"/>
                <w:kern w:val="0"/>
                <w:szCs w:val="21"/>
              </w:rPr>
              <w:t>投标人应仔细</w:t>
            </w:r>
            <w:r>
              <w:rPr>
                <w:rFonts w:hint="eastAsia" w:ascii="宋体" w:hAnsi="宋体"/>
                <w:kern w:val="0"/>
                <w:szCs w:val="21"/>
              </w:rPr>
              <w:t>阅读</w:t>
            </w:r>
            <w:r>
              <w:rPr>
                <w:rFonts w:ascii="宋体" w:hAnsi="宋体"/>
                <w:kern w:val="0"/>
                <w:szCs w:val="21"/>
              </w:rPr>
              <w:t>招标文件</w:t>
            </w:r>
            <w:r>
              <w:rPr>
                <w:rFonts w:hint="eastAsia" w:ascii="宋体" w:hAnsi="宋体"/>
                <w:kern w:val="0"/>
                <w:szCs w:val="21"/>
              </w:rPr>
              <w:t>及附件</w:t>
            </w:r>
            <w:r>
              <w:rPr>
                <w:rFonts w:ascii="宋体" w:hAnsi="宋体"/>
                <w:kern w:val="0"/>
                <w:szCs w:val="21"/>
              </w:rPr>
              <w:t>的所有内容，如有文字表述不清，图纸尺寸标注不明以及存在错、漏、缺、概念模糊和有可能出现歧义或理解上的偏差的内容等应</w:t>
            </w:r>
            <w:r>
              <w:rPr>
                <w:rFonts w:hint="eastAsia" w:ascii="宋体" w:hAnsi="宋体" w:cs="宋体"/>
                <w:kern w:val="0"/>
                <w:szCs w:val="21"/>
              </w:rPr>
              <w:t>在招标公告规定的时间</w:t>
            </w:r>
            <w:r>
              <w:rPr>
                <w:rFonts w:ascii="宋体" w:hAnsi="宋体"/>
                <w:kern w:val="0"/>
                <w:szCs w:val="21"/>
              </w:rPr>
              <w:t>前</w:t>
            </w:r>
            <w:r>
              <w:rPr>
                <w:rFonts w:hint="eastAsia" w:ascii="宋体" w:hAnsi="宋体"/>
                <w:b/>
                <w:bCs/>
                <w:kern w:val="0"/>
                <w:szCs w:val="21"/>
                <w:lang w:val="en-US" w:eastAsia="zh-CN"/>
              </w:rPr>
              <w:t>按照第一章规定方式提出</w:t>
            </w:r>
            <w:r>
              <w:rPr>
                <w:rFonts w:ascii="宋体" w:hAnsi="宋体"/>
                <w:kern w:val="0"/>
                <w:szCs w:val="21"/>
              </w:rPr>
              <w:t>。</w:t>
            </w:r>
          </w:p>
        </w:tc>
      </w:tr>
      <w:tr w14:paraId="26EED5E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trHeight w:val="1175" w:hRule="atLeast"/>
          <w:jc w:val="center"/>
        </w:trPr>
        <w:tc>
          <w:tcPr>
            <w:tcW w:w="1225" w:type="dxa"/>
            <w:vAlign w:val="center"/>
          </w:tcPr>
          <w:p w14:paraId="296D2C2E">
            <w:pPr>
              <w:snapToGrid w:val="0"/>
              <w:spacing w:line="400" w:lineRule="exact"/>
              <w:jc w:val="center"/>
              <w:rPr>
                <w:rFonts w:ascii="宋体" w:hAnsi="宋体"/>
                <w:kern w:val="0"/>
                <w:szCs w:val="21"/>
              </w:rPr>
            </w:pPr>
            <w:r>
              <w:rPr>
                <w:rFonts w:ascii="宋体" w:hAnsi="宋体"/>
                <w:kern w:val="0"/>
                <w:szCs w:val="21"/>
              </w:rPr>
              <w:t>2.2.2</w:t>
            </w:r>
          </w:p>
        </w:tc>
        <w:tc>
          <w:tcPr>
            <w:tcW w:w="1754" w:type="dxa"/>
            <w:tcBorders>
              <w:top w:val="single" w:color="auto" w:sz="4" w:space="0"/>
            </w:tcBorders>
            <w:vAlign w:val="center"/>
          </w:tcPr>
          <w:p w14:paraId="16266E9D">
            <w:pPr>
              <w:snapToGrid w:val="0"/>
              <w:spacing w:line="400" w:lineRule="exact"/>
              <w:jc w:val="center"/>
              <w:rPr>
                <w:rFonts w:ascii="宋体" w:hAnsi="宋体"/>
                <w:kern w:val="0"/>
                <w:szCs w:val="21"/>
              </w:rPr>
            </w:pPr>
            <w:r>
              <w:rPr>
                <w:rFonts w:ascii="宋体" w:hAnsi="宋体"/>
                <w:kern w:val="0"/>
                <w:szCs w:val="21"/>
              </w:rPr>
              <w:t>招标文件澄清发出的</w:t>
            </w:r>
            <w:r>
              <w:rPr>
                <w:rFonts w:hint="eastAsia" w:ascii="宋体" w:hAnsi="宋体"/>
                <w:kern w:val="0"/>
                <w:szCs w:val="21"/>
              </w:rPr>
              <w:t>形式和</w:t>
            </w:r>
            <w:r>
              <w:rPr>
                <w:rFonts w:ascii="宋体" w:hAnsi="宋体"/>
                <w:kern w:val="0"/>
                <w:szCs w:val="21"/>
              </w:rPr>
              <w:t>时间</w:t>
            </w:r>
          </w:p>
        </w:tc>
        <w:tc>
          <w:tcPr>
            <w:tcW w:w="6490" w:type="dxa"/>
            <w:vAlign w:val="center"/>
          </w:tcPr>
          <w:p w14:paraId="7025543A">
            <w:pPr>
              <w:snapToGrid w:val="0"/>
              <w:spacing w:line="400" w:lineRule="exact"/>
              <w:ind w:firstLine="420" w:firstLineChars="200"/>
              <w:rPr>
                <w:rFonts w:ascii="宋体" w:hAnsi="宋体"/>
                <w:snapToGrid w:val="0"/>
                <w:kern w:val="0"/>
                <w:szCs w:val="21"/>
              </w:rPr>
            </w:pPr>
            <w:r>
              <w:rPr>
                <w:rFonts w:hint="eastAsia" w:ascii="宋体" w:hAnsi="宋体"/>
                <w:szCs w:val="21"/>
              </w:rPr>
              <w:t>招标人应在招标公告规定的时间前</w:t>
            </w:r>
            <w:r>
              <w:rPr>
                <w:rFonts w:ascii="宋体" w:hAnsi="宋体"/>
                <w:szCs w:val="21"/>
              </w:rPr>
              <w:t>，</w:t>
            </w:r>
            <w:r>
              <w:rPr>
                <w:rFonts w:ascii="宋体" w:hAnsi="宋体"/>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kern w:val="0"/>
                <w:szCs w:val="21"/>
              </w:rPr>
              <w:t>发布</w:t>
            </w:r>
            <w:r>
              <w:rPr>
                <w:rFonts w:hint="eastAsia" w:ascii="宋体" w:hAnsi="宋体"/>
                <w:kern w:val="0"/>
                <w:szCs w:val="21"/>
              </w:rPr>
              <w:t>澄清</w:t>
            </w:r>
            <w:r>
              <w:rPr>
                <w:rFonts w:ascii="宋体" w:hAnsi="宋体"/>
                <w:kern w:val="0"/>
                <w:szCs w:val="21"/>
              </w:rPr>
              <w:t>。</w:t>
            </w:r>
          </w:p>
        </w:tc>
      </w:tr>
      <w:tr w14:paraId="4DCA5C1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4E3BE4C">
            <w:pPr>
              <w:snapToGrid w:val="0"/>
              <w:spacing w:line="400" w:lineRule="exact"/>
              <w:jc w:val="center"/>
              <w:rPr>
                <w:rFonts w:ascii="宋体" w:hAnsi="宋体"/>
                <w:kern w:val="0"/>
                <w:szCs w:val="21"/>
              </w:rPr>
            </w:pPr>
            <w:r>
              <w:rPr>
                <w:rFonts w:ascii="宋体" w:hAnsi="宋体"/>
                <w:kern w:val="0"/>
                <w:szCs w:val="21"/>
              </w:rPr>
              <w:t>2.3.1</w:t>
            </w:r>
          </w:p>
        </w:tc>
        <w:tc>
          <w:tcPr>
            <w:tcW w:w="1754" w:type="dxa"/>
            <w:vAlign w:val="center"/>
          </w:tcPr>
          <w:p w14:paraId="6DB73083">
            <w:pPr>
              <w:snapToGrid w:val="0"/>
              <w:spacing w:after="12" w:afterLines="5" w:line="400" w:lineRule="exact"/>
              <w:jc w:val="center"/>
              <w:rPr>
                <w:rFonts w:ascii="宋体" w:hAnsi="宋体"/>
                <w:kern w:val="0"/>
                <w:szCs w:val="21"/>
              </w:rPr>
            </w:pPr>
            <w:r>
              <w:rPr>
                <w:rFonts w:ascii="宋体" w:hAnsi="宋体"/>
                <w:kern w:val="0"/>
                <w:szCs w:val="21"/>
              </w:rPr>
              <w:t>招标文件修改发出的形式</w:t>
            </w:r>
            <w:r>
              <w:rPr>
                <w:rFonts w:hint="eastAsia" w:ascii="宋体" w:hAnsi="宋体"/>
                <w:kern w:val="0"/>
                <w:szCs w:val="21"/>
              </w:rPr>
              <w:t>和</w:t>
            </w:r>
            <w:r>
              <w:rPr>
                <w:rFonts w:ascii="宋体" w:hAnsi="宋体"/>
                <w:kern w:val="0"/>
                <w:szCs w:val="21"/>
              </w:rPr>
              <w:t>时间</w:t>
            </w:r>
          </w:p>
        </w:tc>
        <w:tc>
          <w:tcPr>
            <w:tcW w:w="6490" w:type="dxa"/>
            <w:vAlign w:val="center"/>
          </w:tcPr>
          <w:p w14:paraId="06FCC5A5">
            <w:pPr>
              <w:snapToGrid w:val="0"/>
              <w:spacing w:line="400" w:lineRule="exact"/>
              <w:ind w:firstLine="420" w:firstLineChars="200"/>
              <w:rPr>
                <w:rFonts w:ascii="宋体" w:hAnsi="宋体"/>
                <w:szCs w:val="21"/>
              </w:rPr>
            </w:pPr>
            <w:r>
              <w:rPr>
                <w:rFonts w:hint="eastAsia" w:ascii="宋体" w:hAnsi="宋体"/>
                <w:snapToGrid w:val="0"/>
                <w:kern w:val="0"/>
                <w:szCs w:val="21"/>
              </w:rPr>
              <w:t>招标人应在招标公告规定的时间前</w:t>
            </w:r>
            <w:r>
              <w:rPr>
                <w:rFonts w:ascii="宋体" w:hAnsi="宋体"/>
                <w:snapToGrid w:val="0"/>
                <w:kern w:val="0"/>
                <w:szCs w:val="21"/>
              </w:rPr>
              <w:t>，在</w:t>
            </w:r>
            <w:r>
              <w:rPr>
                <w:rFonts w:hint="eastAsia" w:ascii="宋体" w:hAnsi="宋体"/>
                <w:b/>
                <w:bCs/>
                <w:snapToGrid w:val="0"/>
                <w:kern w:val="0"/>
                <w:szCs w:val="21"/>
                <w:u w:val="single"/>
                <w:lang w:val="en-US" w:eastAsia="zh-CN"/>
              </w:rPr>
              <w:t>乌江涪陵榨菜集团官网（https://www.flzc.com/）</w:t>
            </w:r>
            <w:r>
              <w:rPr>
                <w:rFonts w:ascii="宋体" w:hAnsi="宋体"/>
                <w:snapToGrid w:val="0"/>
                <w:kern w:val="0"/>
                <w:szCs w:val="21"/>
              </w:rPr>
              <w:t>发布</w:t>
            </w:r>
            <w:r>
              <w:rPr>
                <w:rFonts w:hint="eastAsia" w:ascii="宋体" w:hAnsi="宋体"/>
                <w:snapToGrid w:val="0"/>
                <w:kern w:val="0"/>
                <w:szCs w:val="21"/>
              </w:rPr>
              <w:t>修改</w:t>
            </w:r>
            <w:r>
              <w:rPr>
                <w:rFonts w:ascii="宋体" w:hAnsi="宋体"/>
                <w:snapToGrid w:val="0"/>
                <w:kern w:val="0"/>
                <w:szCs w:val="21"/>
              </w:rPr>
              <w:t>。</w:t>
            </w:r>
          </w:p>
        </w:tc>
      </w:tr>
      <w:tr w14:paraId="7B1B5B1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57A4277">
            <w:pPr>
              <w:snapToGrid w:val="0"/>
              <w:spacing w:line="400" w:lineRule="exact"/>
              <w:jc w:val="center"/>
              <w:rPr>
                <w:rFonts w:ascii="宋体" w:hAnsi="宋体"/>
                <w:kern w:val="0"/>
                <w:szCs w:val="21"/>
              </w:rPr>
            </w:pPr>
            <w:r>
              <w:rPr>
                <w:rFonts w:ascii="宋体" w:hAnsi="宋体"/>
                <w:kern w:val="0"/>
                <w:szCs w:val="21"/>
              </w:rPr>
              <w:t>2.4</w:t>
            </w:r>
          </w:p>
        </w:tc>
        <w:tc>
          <w:tcPr>
            <w:tcW w:w="1754" w:type="dxa"/>
            <w:vAlign w:val="center"/>
          </w:tcPr>
          <w:p w14:paraId="1D73B923">
            <w:pPr>
              <w:snapToGrid w:val="0"/>
              <w:spacing w:line="400" w:lineRule="exact"/>
              <w:jc w:val="center"/>
              <w:rPr>
                <w:rFonts w:ascii="宋体" w:hAnsi="宋体"/>
                <w:kern w:val="0"/>
                <w:szCs w:val="21"/>
              </w:rPr>
            </w:pPr>
            <w:r>
              <w:rPr>
                <w:rFonts w:ascii="宋体" w:hAnsi="宋体"/>
                <w:kern w:val="0"/>
                <w:szCs w:val="21"/>
              </w:rPr>
              <w:t>投标人对招标文件及澄清修改提出异议的</w:t>
            </w:r>
            <w:r>
              <w:rPr>
                <w:rFonts w:hint="eastAsia" w:ascii="宋体" w:hAnsi="宋体"/>
                <w:kern w:val="0"/>
                <w:szCs w:val="21"/>
              </w:rPr>
              <w:t>形式和时间</w:t>
            </w:r>
          </w:p>
        </w:tc>
        <w:tc>
          <w:tcPr>
            <w:tcW w:w="6490" w:type="dxa"/>
            <w:vAlign w:val="center"/>
          </w:tcPr>
          <w:p w14:paraId="72D83727">
            <w:pPr>
              <w:snapToGrid w:val="0"/>
              <w:spacing w:line="400" w:lineRule="exact"/>
              <w:ind w:firstLine="420" w:firstLineChars="200"/>
              <w:rPr>
                <w:rFonts w:ascii="宋体" w:hAnsi="宋体"/>
                <w:snapToGrid w:val="0"/>
                <w:kern w:val="0"/>
                <w:szCs w:val="21"/>
              </w:rPr>
            </w:pPr>
            <w:r>
              <w:rPr>
                <w:rFonts w:ascii="宋体" w:hAnsi="宋体"/>
                <w:snapToGrid w:val="0"/>
                <w:color w:val="000000" w:themeColor="text1"/>
                <w:kern w:val="0"/>
                <w:szCs w:val="21"/>
                <w14:textFill>
                  <w14:solidFill>
                    <w14:schemeClr w14:val="tx1"/>
                  </w14:solidFill>
                </w14:textFill>
              </w:rPr>
              <w:t>投标人对招标文件和</w:t>
            </w:r>
            <w:r>
              <w:rPr>
                <w:rFonts w:hint="eastAsia" w:ascii="宋体" w:hAnsi="宋体"/>
                <w:snapToGrid w:val="0"/>
                <w:color w:val="000000" w:themeColor="text1"/>
                <w:kern w:val="0"/>
                <w:szCs w:val="21"/>
                <w14:textFill>
                  <w14:solidFill>
                    <w14:schemeClr w14:val="tx1"/>
                  </w14:solidFill>
                </w14:textFill>
              </w:rPr>
              <w:t>澄清修改</w:t>
            </w:r>
            <w:r>
              <w:rPr>
                <w:rFonts w:ascii="宋体" w:hAnsi="宋体"/>
                <w:snapToGrid w:val="0"/>
                <w:color w:val="000000" w:themeColor="text1"/>
                <w:kern w:val="0"/>
                <w:szCs w:val="21"/>
                <w14:textFill>
                  <w14:solidFill>
                    <w14:schemeClr w14:val="tx1"/>
                  </w14:solidFill>
                </w14:textFill>
              </w:rPr>
              <w:t>有异议的，应当在投标截止时间</w:t>
            </w:r>
            <w:r>
              <w:rPr>
                <w:rFonts w:hint="eastAsia" w:ascii="宋体" w:hAnsi="宋体"/>
                <w:b/>
                <w:bCs/>
                <w:snapToGrid w:val="0"/>
                <w:color w:val="000000" w:themeColor="text1"/>
                <w:kern w:val="0"/>
                <w:szCs w:val="21"/>
                <w:lang w:val="en-US" w:eastAsia="zh-CN"/>
                <w14:textFill>
                  <w14:solidFill>
                    <w14:schemeClr w14:val="tx1"/>
                  </w14:solidFill>
                </w14:textFill>
              </w:rPr>
              <w:t>7</w:t>
            </w:r>
            <w:r>
              <w:rPr>
                <w:rFonts w:ascii="宋体" w:hAnsi="宋体"/>
                <w:b/>
                <w:bCs/>
                <w:snapToGrid w:val="0"/>
                <w:color w:val="000000" w:themeColor="text1"/>
                <w:kern w:val="0"/>
                <w:szCs w:val="21"/>
                <w14:textFill>
                  <w14:solidFill>
                    <w14:schemeClr w14:val="tx1"/>
                  </w14:solidFill>
                </w14:textFill>
              </w:rPr>
              <w:t>日前</w:t>
            </w:r>
            <w:r>
              <w:rPr>
                <w:rFonts w:ascii="宋体" w:hAnsi="宋体"/>
                <w:snapToGrid w:val="0"/>
                <w:color w:val="000000" w:themeColor="text1"/>
                <w:kern w:val="0"/>
                <w:szCs w:val="21"/>
                <w14:textFill>
                  <w14:solidFill>
                    <w14:schemeClr w14:val="tx1"/>
                  </w14:solidFill>
                </w14:textFill>
              </w:rPr>
              <w:t>，</w:t>
            </w:r>
            <w:r>
              <w:rPr>
                <w:rFonts w:hint="eastAsia" w:ascii="宋体" w:hAnsi="宋体"/>
                <w:snapToGrid w:val="0"/>
                <w:color w:val="000000" w:themeColor="text1"/>
                <w:kern w:val="0"/>
                <w:szCs w:val="21"/>
                <w14:textFill>
                  <w14:solidFill>
                    <w14:schemeClr w14:val="tx1"/>
                  </w14:solidFill>
                </w14:textFill>
              </w:rPr>
              <w:t>以书面形式</w:t>
            </w:r>
            <w:r>
              <w:rPr>
                <w:rFonts w:hint="eastAsia" w:ascii="宋体" w:hAnsi="宋体"/>
                <w:snapToGrid w:val="0"/>
                <w:color w:val="000000" w:themeColor="text1"/>
                <w:kern w:val="0"/>
                <w:szCs w:val="21"/>
                <w:lang w:val="en-US" w:eastAsia="zh-CN"/>
                <w14:textFill>
                  <w14:solidFill>
                    <w14:schemeClr w14:val="tx1"/>
                  </w14:solidFill>
                </w14:textFill>
              </w:rPr>
              <w:t>向</w:t>
            </w:r>
            <w:r>
              <w:rPr>
                <w:rFonts w:hint="eastAsia" w:ascii="宋体" w:hAnsi="宋体"/>
                <w:snapToGrid w:val="0"/>
                <w:color w:val="000000" w:themeColor="text1"/>
                <w:kern w:val="0"/>
                <w:szCs w:val="21"/>
                <w14:textFill>
                  <w14:solidFill>
                    <w14:schemeClr w14:val="tx1"/>
                  </w14:solidFill>
                </w14:textFill>
              </w:rPr>
              <w:t>招标人或招标代理机构提出，</w:t>
            </w:r>
            <w:r>
              <w:rPr>
                <w:rFonts w:ascii="宋体" w:hAnsi="宋体"/>
                <w:snapToGrid w:val="0"/>
                <w:color w:val="000000" w:themeColor="text1"/>
                <w:kern w:val="0"/>
                <w:szCs w:val="21"/>
                <w14:textFill>
                  <w14:solidFill>
                    <w14:schemeClr w14:val="tx1"/>
                  </w14:solidFill>
                </w14:textFill>
              </w:rPr>
              <w:t>招标人应当自收到异议之日起</w:t>
            </w:r>
            <w:r>
              <w:rPr>
                <w:rFonts w:hint="eastAsia" w:ascii="宋体" w:hAnsi="宋体"/>
                <w:snapToGrid w:val="0"/>
                <w:color w:val="000000" w:themeColor="text1"/>
                <w:kern w:val="0"/>
                <w:szCs w:val="21"/>
                <w:lang w:val="en-US" w:eastAsia="zh-CN"/>
                <w14:textFill>
                  <w14:solidFill>
                    <w14:schemeClr w14:val="tx1"/>
                  </w14:solidFill>
                </w14:textFill>
              </w:rPr>
              <w:t>2</w:t>
            </w:r>
            <w:r>
              <w:rPr>
                <w:rFonts w:ascii="宋体" w:hAnsi="宋体"/>
                <w:snapToGrid w:val="0"/>
                <w:color w:val="000000" w:themeColor="text1"/>
                <w:kern w:val="0"/>
                <w:szCs w:val="21"/>
                <w14:textFill>
                  <w14:solidFill>
                    <w14:schemeClr w14:val="tx1"/>
                  </w14:solidFill>
                </w14:textFill>
              </w:rPr>
              <w:t>日内做出答复</w:t>
            </w:r>
            <w:r>
              <w:rPr>
                <w:rFonts w:hint="eastAsia" w:ascii="宋体" w:hAnsi="宋体"/>
                <w:snapToGrid w:val="0"/>
                <w:color w:val="000000" w:themeColor="text1"/>
                <w:kern w:val="0"/>
                <w:szCs w:val="21"/>
                <w14:textFill>
                  <w14:solidFill>
                    <w14:schemeClr w14:val="tx1"/>
                  </w14:solidFill>
                </w14:textFill>
              </w:rPr>
              <w:t>。答复内容</w:t>
            </w:r>
            <w:r>
              <w:rPr>
                <w:rFonts w:ascii="宋体" w:hAnsi="宋体"/>
                <w:snapToGrid w:val="0"/>
                <w:color w:val="000000" w:themeColor="text1"/>
                <w:kern w:val="0"/>
                <w:szCs w:val="21"/>
                <w14:textFill>
                  <w14:solidFill>
                    <w14:schemeClr w14:val="tx1"/>
                  </w14:solidFill>
                </w14:textFill>
              </w:rPr>
              <w:t>可能影响投标文件编制的</w:t>
            </w:r>
            <w:r>
              <w:rPr>
                <w:rFonts w:hint="eastAsia" w:ascii="宋体" w:hAnsi="宋体"/>
                <w:snapToGrid w:val="0"/>
                <w:color w:val="000000" w:themeColor="text1"/>
                <w:kern w:val="0"/>
                <w:szCs w:val="21"/>
                <w14:textFill>
                  <w14:solidFill>
                    <w14:schemeClr w14:val="tx1"/>
                  </w14:solidFill>
                </w14:textFill>
              </w:rPr>
              <w:t>，</w:t>
            </w:r>
            <w:r>
              <w:rPr>
                <w:rFonts w:ascii="宋体" w:hAnsi="宋体"/>
                <w:snapToGrid w:val="0"/>
                <w:color w:val="000000" w:themeColor="text1"/>
                <w:kern w:val="0"/>
                <w:szCs w:val="21"/>
                <w14:textFill>
                  <w14:solidFill>
                    <w14:schemeClr w14:val="tx1"/>
                  </w14:solidFill>
                </w14:textFill>
              </w:rPr>
              <w:t>将以</w:t>
            </w:r>
            <w:r>
              <w:rPr>
                <w:rFonts w:hint="eastAsia" w:ascii="宋体" w:hAnsi="宋体"/>
                <w:snapToGrid w:val="0"/>
                <w:color w:val="000000" w:themeColor="text1"/>
                <w:kern w:val="0"/>
                <w:szCs w:val="21"/>
                <w14:textFill>
                  <w14:solidFill>
                    <w14:schemeClr w14:val="tx1"/>
                  </w14:solidFill>
                </w14:textFill>
              </w:rPr>
              <w:t>修改</w:t>
            </w:r>
            <w:r>
              <w:rPr>
                <w:rFonts w:ascii="宋体" w:hAnsi="宋体"/>
                <w:snapToGrid w:val="0"/>
                <w:color w:val="000000" w:themeColor="text1"/>
                <w:kern w:val="0"/>
                <w:szCs w:val="21"/>
                <w14:textFill>
                  <w14:solidFill>
                    <w14:schemeClr w14:val="tx1"/>
                  </w14:solidFill>
                </w14:textFill>
              </w:rPr>
              <w:t>的形式</w:t>
            </w:r>
            <w:r>
              <w:rPr>
                <w:rFonts w:hint="eastAsia" w:ascii="宋体" w:hAnsi="宋体"/>
                <w:snapToGrid w:val="0"/>
                <w:color w:val="000000" w:themeColor="text1"/>
                <w:kern w:val="0"/>
                <w:szCs w:val="21"/>
                <w14:textFill>
                  <w14:solidFill>
                    <w14:schemeClr w14:val="tx1"/>
                  </w14:solidFill>
                </w14:textFill>
              </w:rPr>
              <w:t>于</w:t>
            </w:r>
            <w:r>
              <w:rPr>
                <w:rFonts w:ascii="宋体" w:hAnsi="宋体"/>
                <w:snapToGrid w:val="0"/>
                <w:color w:val="000000" w:themeColor="text1"/>
                <w:kern w:val="0"/>
                <w:szCs w:val="21"/>
                <w14:textFill>
                  <w14:solidFill>
                    <w14:schemeClr w14:val="tx1"/>
                  </w14:solidFill>
                </w14:textFill>
              </w:rPr>
              <w:t>投标截止时间</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日前在</w:t>
            </w:r>
            <w:r>
              <w:rPr>
                <w:rFonts w:hint="eastAsia" w:ascii="宋体" w:hAnsi="宋体"/>
                <w:b/>
                <w:bCs/>
                <w:snapToGrid w:val="0"/>
                <w:kern w:val="0"/>
                <w:szCs w:val="21"/>
                <w:u w:val="single"/>
                <w:lang w:val="en-US" w:eastAsia="zh-CN"/>
              </w:rPr>
              <w:t>乌江涪陵榨菜集团官网（https://www.flzc.com/）</w:t>
            </w:r>
            <w:r>
              <w:rPr>
                <w:rFonts w:ascii="宋体" w:hAnsi="宋体"/>
                <w:snapToGrid w:val="0"/>
                <w:color w:val="000000" w:themeColor="text1"/>
                <w:kern w:val="0"/>
                <w:szCs w:val="21"/>
                <w14:textFill>
                  <w14:solidFill>
                    <w14:schemeClr w14:val="tx1"/>
                  </w14:solidFill>
                </w14:textFill>
              </w:rPr>
              <w:t>发布。发布时间至投标截止时间不足</w:t>
            </w:r>
            <w:r>
              <w:rPr>
                <w:rFonts w:hint="eastAsia" w:ascii="宋体" w:hAnsi="宋体"/>
                <w:snapToGrid w:val="0"/>
                <w:color w:val="000000" w:themeColor="text1"/>
                <w:kern w:val="0"/>
                <w:szCs w:val="21"/>
                <w:lang w:val="en-US" w:eastAsia="zh-CN"/>
                <w14:textFill>
                  <w14:solidFill>
                    <w14:schemeClr w14:val="tx1"/>
                  </w14:solidFill>
                </w14:textFill>
              </w:rPr>
              <w:t>5</w:t>
            </w:r>
            <w:r>
              <w:rPr>
                <w:rFonts w:ascii="宋体" w:hAnsi="宋体"/>
                <w:snapToGrid w:val="0"/>
                <w:color w:val="000000" w:themeColor="text1"/>
                <w:kern w:val="0"/>
                <w:szCs w:val="21"/>
                <w14:textFill>
                  <w14:solidFill>
                    <w14:schemeClr w14:val="tx1"/>
                  </w14:solidFill>
                </w14:textFill>
              </w:rPr>
              <w:t>日的，须相应延后投标截止时间。</w:t>
            </w:r>
          </w:p>
        </w:tc>
      </w:tr>
      <w:tr w14:paraId="2C95B5E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97E43BB">
            <w:pPr>
              <w:snapToGrid w:val="0"/>
              <w:spacing w:line="400" w:lineRule="exact"/>
              <w:jc w:val="center"/>
              <w:rPr>
                <w:rFonts w:ascii="宋体" w:hAnsi="宋体"/>
                <w:kern w:val="0"/>
                <w:szCs w:val="21"/>
              </w:rPr>
            </w:pPr>
            <w:r>
              <w:rPr>
                <w:rFonts w:ascii="宋体" w:hAnsi="宋体"/>
                <w:kern w:val="0"/>
                <w:szCs w:val="21"/>
              </w:rPr>
              <w:t>3.1.1</w:t>
            </w:r>
          </w:p>
        </w:tc>
        <w:tc>
          <w:tcPr>
            <w:tcW w:w="1754" w:type="dxa"/>
            <w:vAlign w:val="center"/>
          </w:tcPr>
          <w:p w14:paraId="77B57B7D">
            <w:pPr>
              <w:snapToGrid w:val="0"/>
              <w:spacing w:line="400" w:lineRule="exact"/>
              <w:jc w:val="center"/>
              <w:rPr>
                <w:rFonts w:ascii="宋体" w:hAnsi="宋体"/>
                <w:kern w:val="0"/>
                <w:szCs w:val="21"/>
              </w:rPr>
            </w:pPr>
            <w:r>
              <w:rPr>
                <w:rFonts w:ascii="宋体" w:hAnsi="宋体"/>
                <w:kern w:val="0"/>
                <w:szCs w:val="21"/>
              </w:rPr>
              <w:t>构成投标文件的其他</w:t>
            </w:r>
            <w:r>
              <w:rPr>
                <w:rFonts w:hint="eastAsia" w:ascii="宋体" w:hAnsi="宋体"/>
                <w:kern w:val="0"/>
                <w:szCs w:val="21"/>
              </w:rPr>
              <w:t>资</w:t>
            </w:r>
            <w:r>
              <w:rPr>
                <w:rFonts w:ascii="宋体" w:hAnsi="宋体"/>
                <w:kern w:val="0"/>
                <w:szCs w:val="21"/>
              </w:rPr>
              <w:t>料</w:t>
            </w:r>
          </w:p>
        </w:tc>
        <w:tc>
          <w:tcPr>
            <w:tcW w:w="6490" w:type="dxa"/>
            <w:vAlign w:val="center"/>
          </w:tcPr>
          <w:p w14:paraId="12949BFC">
            <w:pPr>
              <w:snapToGrid w:val="0"/>
              <w:spacing w:line="400" w:lineRule="exact"/>
              <w:ind w:firstLine="420" w:firstLineChars="200"/>
              <w:rPr>
                <w:rFonts w:ascii="宋体" w:hAnsi="宋体"/>
                <w:szCs w:val="21"/>
              </w:rPr>
            </w:pPr>
            <w:r>
              <w:rPr>
                <w:rFonts w:ascii="宋体" w:hAnsi="宋体"/>
                <w:szCs w:val="21"/>
              </w:rPr>
              <w:t>投标人的书面澄清、说明和补正（但不得改变投标文件的实质性内容）</w:t>
            </w:r>
          </w:p>
        </w:tc>
      </w:tr>
      <w:tr w14:paraId="46D35B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B0E8975">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.2.1</w:t>
            </w:r>
          </w:p>
        </w:tc>
        <w:tc>
          <w:tcPr>
            <w:tcW w:w="1754" w:type="dxa"/>
            <w:vAlign w:val="center"/>
          </w:tcPr>
          <w:p w14:paraId="469FC39E">
            <w:pPr>
              <w:snapToGrid w:val="0"/>
              <w:spacing w:line="400" w:lineRule="exact"/>
              <w:jc w:val="center"/>
              <w:rPr>
                <w:rFonts w:ascii="宋体" w:hAnsi="宋体"/>
                <w:kern w:val="0"/>
                <w:szCs w:val="21"/>
              </w:rPr>
            </w:pPr>
            <w:r>
              <w:rPr>
                <w:rFonts w:ascii="宋体" w:hAnsi="宋体"/>
                <w:kern w:val="0"/>
                <w:szCs w:val="21"/>
              </w:rPr>
              <w:t>增值税税金的计算方法</w:t>
            </w:r>
          </w:p>
        </w:tc>
        <w:tc>
          <w:tcPr>
            <w:tcW w:w="6490" w:type="dxa"/>
            <w:vAlign w:val="center"/>
          </w:tcPr>
          <w:p w14:paraId="104D9868">
            <w:pPr>
              <w:snapToGrid w:val="0"/>
              <w:spacing w:line="400" w:lineRule="exact"/>
              <w:ind w:firstLine="420" w:firstLineChars="200"/>
              <w:rPr>
                <w:rFonts w:hint="eastAsia" w:ascii="宋体" w:hAnsi="宋体" w:eastAsia="宋体"/>
                <w:szCs w:val="21"/>
                <w:lang w:val="en-US" w:eastAsia="zh-CN"/>
              </w:rPr>
            </w:pPr>
            <w:r>
              <w:rPr>
                <w:rFonts w:hint="eastAsia" w:ascii="宋体" w:hAnsi="宋体"/>
                <w:szCs w:val="21"/>
              </w:rPr>
              <w:t>一般计税法</w:t>
            </w:r>
            <w:r>
              <w:rPr>
                <w:rFonts w:hint="eastAsia" w:ascii="宋体" w:hAnsi="宋体" w:cs="宋体"/>
                <w:b/>
                <w:bCs/>
                <w:color w:val="000000" w:themeColor="text1"/>
                <w:szCs w:val="21"/>
                <w14:textFill>
                  <w14:solidFill>
                    <w14:schemeClr w14:val="tx1"/>
                  </w14:solidFill>
                </w14:textFill>
              </w:rPr>
              <w:t>。</w:t>
            </w:r>
          </w:p>
        </w:tc>
      </w:tr>
      <w:tr w14:paraId="187449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D8B3BF1">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.2.3</w:t>
            </w:r>
          </w:p>
        </w:tc>
        <w:tc>
          <w:tcPr>
            <w:tcW w:w="1754" w:type="dxa"/>
            <w:vAlign w:val="center"/>
          </w:tcPr>
          <w:p w14:paraId="0CA295DC">
            <w:pPr>
              <w:snapToGrid w:val="0"/>
              <w:spacing w:line="400" w:lineRule="exact"/>
              <w:jc w:val="center"/>
              <w:rPr>
                <w:rFonts w:ascii="宋体" w:hAnsi="宋体"/>
                <w:kern w:val="0"/>
                <w:szCs w:val="21"/>
              </w:rPr>
            </w:pPr>
            <w:r>
              <w:rPr>
                <w:rFonts w:hint="eastAsia" w:ascii="宋体" w:hAnsi="宋体"/>
                <w:kern w:val="0"/>
                <w:szCs w:val="21"/>
              </w:rPr>
              <w:t>报价方式</w:t>
            </w:r>
          </w:p>
        </w:tc>
        <w:tc>
          <w:tcPr>
            <w:tcW w:w="6490" w:type="dxa"/>
            <w:vAlign w:val="center"/>
          </w:tcPr>
          <w:p w14:paraId="683A9EB1">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eastAsia="宋体" w:cs="宋体"/>
                <w:caps w:val="0"/>
                <w:smallCaps w:val="0"/>
                <w:color w:val="auto"/>
                <w:sz w:val="21"/>
                <w:szCs w:val="21"/>
                <w:lang w:val="en-US" w:eastAsia="zh-CN"/>
              </w:rPr>
            </w:pPr>
            <w:r>
              <w:rPr>
                <w:rFonts w:hint="eastAsia" w:ascii="宋体" w:hAnsi="宋体" w:eastAsia="宋体" w:cs="宋体"/>
                <w:caps w:val="0"/>
                <w:smallCaps w:val="0"/>
                <w:color w:val="auto"/>
                <w:sz w:val="21"/>
                <w:szCs w:val="21"/>
                <w:lang w:val="en-US" w:eastAsia="zh-CN"/>
              </w:rPr>
              <w:t>本项目招标采用固定总价</w:t>
            </w:r>
          </w:p>
          <w:p w14:paraId="0BC357B4">
            <w:pPr>
              <w:pStyle w:val="17"/>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auto"/>
                <w:lang w:val="en-US" w:eastAsia="zh-CN"/>
              </w:rPr>
            </w:pPr>
            <w:r>
              <w:rPr>
                <w:rFonts w:hint="eastAsia" w:ascii="宋体" w:hAnsi="宋体" w:eastAsia="宋体" w:cs="宋体"/>
                <w:color w:val="auto"/>
                <w:kern w:val="2"/>
                <w:sz w:val="21"/>
                <w:szCs w:val="24"/>
                <w:highlight w:val="none"/>
                <w:lang w:val="en-US" w:eastAsia="zh-CN" w:bidi="ar-SA"/>
              </w:rPr>
              <w:t>1.投标报价为固定总价，</w:t>
            </w:r>
            <w:r>
              <w:rPr>
                <w:rFonts w:hint="eastAsia" w:ascii="宋体" w:hAnsi="宋体" w:eastAsia="宋体" w:cs="宋体"/>
                <w:color w:val="auto"/>
                <w:highlight w:val="none"/>
                <w:lang w:val="en-US" w:eastAsia="zh-CN"/>
              </w:rPr>
              <w:t>除</w:t>
            </w:r>
            <w:r>
              <w:rPr>
                <w:rFonts w:hint="eastAsia" w:ascii="宋体" w:hAnsi="宋体" w:eastAsia="宋体" w:cs="宋体"/>
                <w:color w:val="auto"/>
                <w:highlight w:val="none"/>
                <w:u w:val="none"/>
                <w:lang w:val="en-US" w:eastAsia="zh-CN"/>
              </w:rPr>
              <w:t>当招标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highlight w:val="none"/>
                <w:u w:val="none"/>
                <w:lang w:val="en-US" w:eastAsia="zh-CN"/>
              </w:rPr>
              <w:t>调整以及</w:t>
            </w:r>
            <w:r>
              <w:rPr>
                <w:rFonts w:hint="eastAsia" w:ascii="宋体" w:hAnsi="宋体" w:eastAsia="宋体" w:cs="宋体"/>
                <w:color w:val="auto"/>
                <w:highlight w:val="none"/>
              </w:rPr>
              <w:t>合同约定扣除违约金外，合同价格不调整</w:t>
            </w:r>
            <w:r>
              <w:rPr>
                <w:rFonts w:hint="eastAsia" w:ascii="宋体" w:hAnsi="宋体" w:eastAsia="宋体" w:cs="宋体"/>
                <w:color w:val="auto"/>
                <w:highlight w:val="none"/>
                <w:u w:val="none"/>
                <w:lang w:val="en-US" w:eastAsia="zh-CN"/>
              </w:rPr>
              <w:t>。</w:t>
            </w:r>
          </w:p>
          <w:p w14:paraId="304750DA">
            <w:pPr>
              <w:pStyle w:val="17"/>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rPr>
                <w:rFonts w:hint="eastAsia"/>
                <w:color w:val="auto"/>
                <w:lang w:val="en-US" w:eastAsia="zh-CN"/>
              </w:rPr>
            </w:pPr>
            <w:r>
              <w:rPr>
                <w:rFonts w:hint="eastAsia" w:ascii="宋体" w:hAnsi="宋体" w:eastAsia="宋体" w:cs="宋体"/>
                <w:color w:val="auto"/>
                <w:highlight w:val="none"/>
                <w:u w:val="none"/>
                <w:lang w:val="en-US" w:eastAsia="zh-CN"/>
              </w:rPr>
              <w:t>2.招标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szCs w:val="21"/>
                <w:highlight w:val="none"/>
                <w:u w:val="none"/>
              </w:rPr>
              <w:t>增（减）工程</w:t>
            </w:r>
            <w:r>
              <w:rPr>
                <w:rFonts w:hint="eastAsia" w:ascii="宋体" w:hAnsi="宋体" w:eastAsia="宋体" w:cs="宋体"/>
                <w:color w:val="auto"/>
                <w:szCs w:val="21"/>
                <w:highlight w:val="none"/>
                <w:u w:val="none"/>
                <w:lang w:eastAsia="zh-CN"/>
              </w:rPr>
              <w:t>的</w:t>
            </w:r>
            <w:r>
              <w:rPr>
                <w:rFonts w:hint="eastAsia" w:ascii="宋体" w:hAnsi="宋体" w:eastAsia="宋体" w:cs="宋体"/>
                <w:color w:val="auto"/>
                <w:szCs w:val="21"/>
                <w:highlight w:val="none"/>
                <w:u w:val="none"/>
                <w:lang w:val="en-US" w:eastAsia="zh-CN"/>
              </w:rPr>
              <w:t>按以下方式调整：量价</w:t>
            </w:r>
            <w:r>
              <w:rPr>
                <w:rFonts w:hint="eastAsia" w:ascii="宋体" w:hAnsi="宋体" w:eastAsia="宋体" w:cs="宋体"/>
                <w:color w:val="auto"/>
                <w:szCs w:val="21"/>
                <w:highlight w:val="none"/>
                <w:u w:val="none"/>
              </w:rPr>
              <w:t>按</w:t>
            </w:r>
            <w:r>
              <w:rPr>
                <w:rFonts w:hint="eastAsia" w:ascii="宋体" w:hAnsi="宋体" w:eastAsia="宋体" w:cs="宋体"/>
                <w:color w:val="auto"/>
                <w:szCs w:val="21"/>
                <w:highlight w:val="none"/>
                <w:u w:val="none"/>
                <w:lang w:val="en-US" w:eastAsia="zh-CN"/>
              </w:rPr>
              <w:t>承包人</w:t>
            </w:r>
            <w:r>
              <w:rPr>
                <w:rFonts w:hint="eastAsia" w:ascii="宋体" w:hAnsi="宋体" w:eastAsia="宋体" w:cs="宋体"/>
                <w:color w:val="auto"/>
                <w:szCs w:val="21"/>
                <w:highlight w:val="none"/>
                <w:u w:val="none"/>
              </w:rPr>
              <w:t>投标文件相同或相似原则进行</w:t>
            </w:r>
            <w:r>
              <w:rPr>
                <w:rFonts w:hint="eastAsia" w:ascii="宋体" w:hAnsi="宋体" w:eastAsia="宋体" w:cs="宋体"/>
                <w:color w:val="auto"/>
                <w:szCs w:val="21"/>
                <w:highlight w:val="none"/>
                <w:u w:val="none"/>
                <w:lang w:val="en-US" w:eastAsia="zh-CN"/>
              </w:rPr>
              <w:t>计量计价</w:t>
            </w:r>
            <w:r>
              <w:rPr>
                <w:rFonts w:hint="eastAsia" w:ascii="宋体" w:hAnsi="宋体" w:eastAsia="宋体" w:cs="宋体"/>
                <w:color w:val="auto"/>
                <w:highlight w:val="none"/>
                <w:u w:val="none"/>
              </w:rPr>
              <w:t>，</w:t>
            </w:r>
            <w:r>
              <w:rPr>
                <w:rFonts w:hint="eastAsia" w:ascii="宋体" w:hAnsi="宋体" w:eastAsia="宋体" w:cs="宋体"/>
                <w:color w:val="auto"/>
                <w:highlight w:val="none"/>
                <w:u w:val="none"/>
                <w:lang w:val="en-US" w:eastAsia="zh-CN"/>
              </w:rPr>
              <w:t>如无，按市场核价计价。</w:t>
            </w:r>
            <w:r>
              <w:rPr>
                <w:rFonts w:hint="eastAsia" w:ascii="宋体" w:hAnsi="宋体" w:eastAsia="宋体" w:cs="宋体"/>
                <w:color w:val="auto"/>
                <w:highlight w:val="none"/>
                <w:u w:val="none"/>
              </w:rPr>
              <w:t>因</w:t>
            </w:r>
            <w:r>
              <w:rPr>
                <w:rFonts w:hint="eastAsia" w:ascii="宋体" w:hAnsi="宋体" w:eastAsia="宋体" w:cs="宋体"/>
                <w:color w:val="auto"/>
                <w:highlight w:val="none"/>
                <w:u w:val="none"/>
                <w:lang w:val="en-US" w:eastAsia="zh-CN"/>
              </w:rPr>
              <w:t>招标</w:t>
            </w:r>
            <w:r>
              <w:rPr>
                <w:rFonts w:hint="eastAsia" w:ascii="宋体" w:hAnsi="宋体" w:eastAsia="宋体" w:cs="宋体"/>
                <w:color w:val="auto"/>
                <w:highlight w:val="none"/>
                <w:u w:val="none"/>
              </w:rPr>
              <w:t>人原因引起的现场签证和变更</w:t>
            </w:r>
            <w:r>
              <w:rPr>
                <w:rFonts w:hint="eastAsia" w:ascii="宋体" w:hAnsi="宋体" w:eastAsia="宋体" w:cs="宋体"/>
                <w:color w:val="auto"/>
                <w:szCs w:val="21"/>
                <w:highlight w:val="none"/>
                <w:u w:val="none"/>
              </w:rPr>
              <w:t>增（减）工程</w:t>
            </w:r>
            <w:r>
              <w:rPr>
                <w:rFonts w:hint="eastAsia" w:ascii="宋体" w:hAnsi="宋体" w:eastAsia="宋体" w:cs="宋体"/>
                <w:color w:val="auto"/>
                <w:szCs w:val="21"/>
                <w:highlight w:val="none"/>
                <w:u w:val="none"/>
                <w:lang w:eastAsia="zh-CN"/>
              </w:rPr>
              <w:t>的</w:t>
            </w:r>
            <w:r>
              <w:rPr>
                <w:rFonts w:hint="eastAsia" w:ascii="宋体" w:hAnsi="宋体" w:eastAsia="宋体" w:cs="宋体"/>
                <w:color w:val="auto"/>
                <w:szCs w:val="21"/>
                <w:highlight w:val="none"/>
                <w:u w:val="none"/>
              </w:rPr>
              <w:t>工程</w:t>
            </w:r>
            <w:r>
              <w:rPr>
                <w:rFonts w:hint="eastAsia" w:ascii="宋体" w:hAnsi="宋体" w:eastAsia="宋体" w:cs="宋体"/>
                <w:color w:val="auto"/>
                <w:szCs w:val="21"/>
                <w:highlight w:val="none"/>
                <w:u w:val="none"/>
                <w:lang w:val="en-US" w:eastAsia="zh-CN"/>
              </w:rPr>
              <w:t>总</w:t>
            </w:r>
            <w:r>
              <w:rPr>
                <w:rFonts w:hint="eastAsia" w:ascii="宋体" w:hAnsi="宋体" w:eastAsia="宋体" w:cs="宋体"/>
                <w:color w:val="auto"/>
                <w:szCs w:val="21"/>
                <w:highlight w:val="none"/>
                <w:u w:val="none"/>
              </w:rPr>
              <w:t>价在</w:t>
            </w:r>
            <w:r>
              <w:rPr>
                <w:rFonts w:hint="eastAsia" w:ascii="宋体" w:hAnsi="宋体" w:eastAsia="宋体" w:cs="宋体"/>
                <w:color w:val="auto"/>
                <w:szCs w:val="21"/>
                <w:highlight w:val="none"/>
                <w:u w:val="none"/>
                <w:lang w:val="en-US" w:eastAsia="zh-CN"/>
              </w:rPr>
              <w:t>签约合同价2</w:t>
            </w:r>
            <w:r>
              <w:rPr>
                <w:rFonts w:hint="eastAsia" w:ascii="宋体" w:hAnsi="宋体" w:eastAsia="宋体" w:cs="宋体"/>
                <w:color w:val="auto"/>
                <w:szCs w:val="21"/>
                <w:highlight w:val="none"/>
                <w:u w:val="none"/>
              </w:rPr>
              <w:t>%范围以内的不予调整，增（减）</w:t>
            </w:r>
            <w:r>
              <w:rPr>
                <w:rFonts w:hint="eastAsia" w:ascii="宋体" w:hAnsi="宋体" w:eastAsia="宋体" w:cs="宋体"/>
                <w:color w:val="auto"/>
                <w:szCs w:val="21"/>
                <w:highlight w:val="none"/>
                <w:u w:val="none"/>
                <w:lang w:val="en-US" w:eastAsia="zh-CN"/>
              </w:rPr>
              <w:t>2</w:t>
            </w:r>
            <w:r>
              <w:rPr>
                <w:rFonts w:hint="eastAsia" w:ascii="宋体" w:hAnsi="宋体" w:eastAsia="宋体" w:cs="宋体"/>
                <w:color w:val="auto"/>
                <w:szCs w:val="21"/>
                <w:highlight w:val="none"/>
                <w:u w:val="none"/>
              </w:rPr>
              <w:t>%范围以外部分据实进行调整。</w:t>
            </w:r>
          </w:p>
          <w:p w14:paraId="5A4B2216">
            <w:pPr>
              <w:snapToGrid w:val="0"/>
              <w:spacing w:line="400" w:lineRule="exact"/>
              <w:ind w:firstLine="420" w:firstLineChars="200"/>
              <w:rPr>
                <w:rFonts w:hint="eastAsia" w:ascii="宋体" w:hAnsi="宋体" w:eastAsia="宋体" w:cs="宋体"/>
                <w:caps w:val="0"/>
                <w:smallCaps w:val="0"/>
                <w:color w:val="auto"/>
                <w:sz w:val="21"/>
                <w:szCs w:val="21"/>
              </w:rPr>
            </w:pPr>
            <w:r>
              <w:rPr>
                <w:rFonts w:hint="eastAsia" w:ascii="宋体" w:hAnsi="宋体" w:eastAsia="宋体" w:cs="宋体"/>
                <w:caps w:val="0"/>
                <w:smallCaps w:val="0"/>
                <w:color w:val="auto"/>
                <w:sz w:val="21"/>
                <w:szCs w:val="21"/>
                <w:lang w:val="en-US" w:eastAsia="zh-CN"/>
              </w:rPr>
              <w:t>3</w:t>
            </w:r>
            <w:r>
              <w:rPr>
                <w:rFonts w:hint="eastAsia" w:ascii="宋体" w:hAnsi="宋体" w:cs="宋体"/>
                <w:caps w:val="0"/>
                <w:smallCaps w:val="0"/>
                <w:color w:val="auto"/>
                <w:sz w:val="21"/>
                <w:szCs w:val="21"/>
                <w:lang w:val="en-US" w:eastAsia="zh-CN"/>
              </w:rPr>
              <w:t>.</w:t>
            </w:r>
            <w:r>
              <w:rPr>
                <w:rFonts w:hint="eastAsia" w:ascii="宋体" w:hAnsi="宋体" w:eastAsia="宋体" w:cs="宋体"/>
                <w:caps w:val="0"/>
                <w:smallCaps w:val="0"/>
                <w:color w:val="auto"/>
                <w:sz w:val="21"/>
                <w:szCs w:val="21"/>
              </w:rPr>
              <w:t>投标人应按本须知1.3条和</w:t>
            </w:r>
            <w:r>
              <w:rPr>
                <w:rFonts w:hint="eastAsia" w:ascii="宋体" w:hAnsi="宋体" w:eastAsia="宋体" w:cs="宋体"/>
                <w:caps w:val="0"/>
                <w:smallCaps w:val="0"/>
                <w:color w:val="auto"/>
                <w:sz w:val="21"/>
                <w:szCs w:val="21"/>
                <w:highlight w:val="none"/>
              </w:rPr>
              <w:t>第五章“</w:t>
            </w:r>
            <w:r>
              <w:rPr>
                <w:rFonts w:hint="eastAsia" w:ascii="宋体" w:hAnsi="宋体" w:eastAsia="宋体" w:cs="宋体"/>
                <w:i w:val="0"/>
                <w:iCs w:val="0"/>
                <w:color w:val="auto"/>
              </w:rPr>
              <w:t>供货要求</w:t>
            </w: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rPr>
              <w:t>填写</w:t>
            </w:r>
            <w:r>
              <w:rPr>
                <w:rFonts w:hint="eastAsia" w:ascii="宋体" w:hAnsi="宋体" w:eastAsia="宋体" w:cs="宋体"/>
                <w:caps w:val="0"/>
                <w:smallCaps w:val="0"/>
                <w:color w:val="auto"/>
                <w:sz w:val="21"/>
                <w:szCs w:val="21"/>
                <w:highlight w:val="none"/>
              </w:rPr>
              <w:t>“投标货物分项报价明细表”</w:t>
            </w:r>
            <w:r>
              <w:rPr>
                <w:rFonts w:hint="eastAsia" w:ascii="宋体" w:hAnsi="宋体" w:eastAsia="宋体" w:cs="宋体"/>
                <w:caps w:val="0"/>
                <w:smallCaps w:val="0"/>
                <w:color w:val="auto"/>
                <w:sz w:val="21"/>
                <w:szCs w:val="21"/>
              </w:rPr>
              <w:t>。投标人的投标报价应是本章投标人须知前附表1.3.1项中所述的全部内容的投标报价，</w:t>
            </w:r>
            <w:r>
              <w:rPr>
                <w:rFonts w:hint="eastAsia" w:ascii="宋体" w:hAnsi="宋体" w:eastAsia="宋体" w:cs="宋体"/>
                <w:caps w:val="0"/>
                <w:smallCaps w:val="0"/>
                <w:snapToGrid w:val="0"/>
                <w:color w:val="auto"/>
                <w:sz w:val="21"/>
                <w:szCs w:val="21"/>
                <w:highlight w:val="none"/>
                <w:u w:val="none"/>
                <w:lang w:val="en-US" w:eastAsia="zh-CN"/>
              </w:rPr>
              <w:t>且包含</w:t>
            </w:r>
            <w:r>
              <w:rPr>
                <w:rFonts w:hint="eastAsia" w:ascii="宋体" w:hAnsi="宋体" w:eastAsia="宋体" w:cs="宋体"/>
                <w:caps w:val="0"/>
                <w:smallCaps w:val="0"/>
                <w:color w:val="auto"/>
                <w:sz w:val="21"/>
                <w:szCs w:val="21"/>
                <w:highlight w:val="none"/>
                <w:u w:val="none"/>
              </w:rPr>
              <w:t>第五章“</w:t>
            </w:r>
            <w:r>
              <w:rPr>
                <w:rFonts w:hint="eastAsia" w:ascii="宋体" w:hAnsi="宋体" w:eastAsia="宋体" w:cs="宋体"/>
                <w:caps w:val="0"/>
                <w:smallCaps w:val="0"/>
                <w:color w:val="auto"/>
                <w:sz w:val="21"/>
                <w:szCs w:val="21"/>
                <w:highlight w:val="none"/>
                <w:u w:val="none"/>
                <w:lang w:val="en-US" w:eastAsia="zh-CN"/>
              </w:rPr>
              <w:t>供货</w:t>
            </w:r>
            <w:r>
              <w:rPr>
                <w:rFonts w:hint="eastAsia" w:ascii="宋体" w:hAnsi="宋体" w:eastAsia="宋体" w:cs="宋体"/>
                <w:caps w:val="0"/>
                <w:smallCaps w:val="0"/>
                <w:color w:val="auto"/>
                <w:sz w:val="21"/>
                <w:szCs w:val="21"/>
                <w:highlight w:val="none"/>
                <w:u w:val="none"/>
              </w:rPr>
              <w:t>要求”未注明由招标</w:t>
            </w:r>
            <w:r>
              <w:rPr>
                <w:rFonts w:hint="eastAsia" w:ascii="宋体" w:hAnsi="宋体" w:eastAsia="宋体" w:cs="宋体"/>
                <w:caps w:val="0"/>
                <w:smallCaps w:val="0"/>
                <w:color w:val="auto"/>
                <w:sz w:val="21"/>
                <w:szCs w:val="21"/>
                <w:highlight w:val="none"/>
                <w:u w:val="none"/>
                <w:lang w:val="en-US" w:eastAsia="zh-CN"/>
              </w:rPr>
              <w:t>人</w:t>
            </w:r>
            <w:r>
              <w:rPr>
                <w:rFonts w:hint="eastAsia" w:ascii="宋体" w:hAnsi="宋体" w:eastAsia="宋体" w:cs="宋体"/>
                <w:caps w:val="0"/>
                <w:smallCaps w:val="0"/>
                <w:color w:val="auto"/>
                <w:sz w:val="21"/>
                <w:szCs w:val="21"/>
                <w:highlight w:val="none"/>
                <w:u w:val="none"/>
              </w:rPr>
              <w:t>负责的</w:t>
            </w:r>
            <w:r>
              <w:rPr>
                <w:rFonts w:hint="eastAsia" w:ascii="宋体" w:hAnsi="宋体" w:eastAsia="宋体" w:cs="宋体"/>
                <w:caps w:val="0"/>
                <w:smallCaps w:val="0"/>
                <w:color w:val="auto"/>
                <w:sz w:val="21"/>
                <w:szCs w:val="21"/>
                <w:highlight w:val="none"/>
                <w:u w:val="none"/>
                <w:lang w:val="en-US" w:eastAsia="zh-CN"/>
              </w:rPr>
              <w:t>但</w:t>
            </w:r>
            <w:r>
              <w:rPr>
                <w:rFonts w:hint="eastAsia" w:ascii="宋体" w:hAnsi="宋体" w:eastAsia="宋体" w:cs="宋体"/>
                <w:snapToGrid w:val="0"/>
                <w:color w:val="auto"/>
                <w:kern w:val="0"/>
                <w:sz w:val="21"/>
                <w:szCs w:val="21"/>
                <w:highlight w:val="none"/>
                <w:u w:val="none"/>
                <w:lang w:val="en-US" w:eastAsia="zh-CN"/>
              </w:rPr>
              <w:t>为</w:t>
            </w:r>
            <w:r>
              <w:rPr>
                <w:rFonts w:hint="eastAsia" w:ascii="宋体" w:hAnsi="宋体"/>
                <w:snapToGrid w:val="0"/>
                <w:color w:val="auto"/>
                <w:kern w:val="0"/>
                <w:sz w:val="21"/>
                <w:szCs w:val="21"/>
                <w:highlight w:val="none"/>
                <w:u w:val="none"/>
                <w:lang w:val="en-US" w:eastAsia="zh-CN"/>
              </w:rPr>
              <w:t>原料清洁化加工系统</w:t>
            </w:r>
            <w:r>
              <w:rPr>
                <w:rFonts w:hint="eastAsia" w:ascii="宋体" w:hAnsi="宋体" w:eastAsia="宋体" w:cs="宋体"/>
                <w:caps w:val="0"/>
                <w:smallCaps w:val="0"/>
                <w:color w:val="auto"/>
                <w:sz w:val="21"/>
                <w:szCs w:val="21"/>
                <w:highlight w:val="none"/>
                <w:u w:val="none"/>
                <w:lang w:val="en-US" w:eastAsia="zh-CN"/>
              </w:rPr>
              <w:t>运行不可缺的设备和功能</w:t>
            </w:r>
            <w:r>
              <w:rPr>
                <w:rFonts w:hint="eastAsia" w:ascii="宋体" w:hAnsi="宋体" w:eastAsia="宋体" w:cs="宋体"/>
                <w:caps w:val="0"/>
                <w:smallCaps w:val="0"/>
                <w:color w:val="auto"/>
                <w:sz w:val="21"/>
                <w:szCs w:val="21"/>
                <w:highlight w:val="none"/>
                <w:u w:val="none"/>
              </w:rPr>
              <w:t>均属于投标</w:t>
            </w:r>
            <w:r>
              <w:rPr>
                <w:rFonts w:hint="eastAsia" w:ascii="宋体" w:hAnsi="宋体" w:eastAsia="宋体" w:cs="宋体"/>
                <w:caps w:val="0"/>
                <w:smallCaps w:val="0"/>
                <w:color w:val="auto"/>
                <w:sz w:val="21"/>
                <w:szCs w:val="21"/>
                <w:highlight w:val="none"/>
                <w:u w:val="none"/>
                <w:lang w:val="en-US" w:eastAsia="zh-CN"/>
              </w:rPr>
              <w:t>人</w:t>
            </w:r>
            <w:r>
              <w:rPr>
                <w:rFonts w:hint="eastAsia" w:ascii="宋体" w:hAnsi="宋体" w:eastAsia="宋体" w:cs="宋体"/>
                <w:caps w:val="0"/>
                <w:smallCaps w:val="0"/>
                <w:color w:val="auto"/>
                <w:sz w:val="21"/>
                <w:szCs w:val="21"/>
                <w:highlight w:val="none"/>
                <w:u w:val="none"/>
              </w:rPr>
              <w:t>供货施工范围</w:t>
            </w:r>
            <w:r>
              <w:rPr>
                <w:rFonts w:hint="eastAsia" w:ascii="宋体" w:hAnsi="宋体" w:eastAsia="宋体" w:cs="宋体"/>
                <w:caps w:val="0"/>
                <w:smallCaps w:val="0"/>
                <w:color w:val="auto"/>
                <w:sz w:val="21"/>
                <w:szCs w:val="21"/>
                <w:highlight w:val="none"/>
                <w:u w:val="none"/>
                <w:lang w:eastAsia="zh-CN"/>
              </w:rPr>
              <w:t>，</w:t>
            </w:r>
            <w:r>
              <w:rPr>
                <w:rFonts w:hint="eastAsia" w:ascii="宋体" w:hAnsi="宋体" w:eastAsia="宋体" w:cs="宋体"/>
                <w:caps w:val="0"/>
                <w:smallCaps w:val="0"/>
                <w:color w:val="auto"/>
                <w:sz w:val="21"/>
                <w:szCs w:val="21"/>
              </w:rPr>
              <w:t>如果有任何遗漏，均被视为投标人已经在其投标总价中考虑。</w:t>
            </w:r>
          </w:p>
          <w:p w14:paraId="73E05F98">
            <w:pPr>
              <w:pStyle w:val="17"/>
              <w:keepNext w:val="0"/>
              <w:keepLines w:val="0"/>
              <w:pageBreakBefore w:val="0"/>
              <w:widowControl w:val="0"/>
              <w:numPr>
                <w:ilvl w:val="0"/>
                <w:numId w:val="0"/>
              </w:numPr>
              <w:kinsoku/>
              <w:wordWrap/>
              <w:overflowPunct/>
              <w:topLinePunct w:val="0"/>
              <w:autoSpaceDE/>
              <w:autoSpaceDN/>
              <w:bidi w:val="0"/>
              <w:adjustRightInd/>
              <w:snapToGrid w:val="0"/>
              <w:spacing w:after="0" w:line="360" w:lineRule="auto"/>
              <w:ind w:firstLine="420" w:firstLineChars="200"/>
              <w:jc w:val="left"/>
              <w:textAlignment w:val="auto"/>
            </w:pPr>
            <w:r>
              <w:rPr>
                <w:rFonts w:hint="eastAsia" w:ascii="宋体" w:hAnsi="宋体" w:eastAsia="宋体" w:cs="宋体"/>
                <w:color w:val="auto"/>
                <w:kern w:val="2"/>
                <w:sz w:val="21"/>
                <w:szCs w:val="24"/>
                <w:highlight w:val="none"/>
                <w:lang w:val="en-US" w:eastAsia="zh-CN" w:bidi="ar-SA"/>
              </w:rPr>
              <w:t>4.固定总价报价以人民币元为单位，保留两位小数，小数点后第三位四舍五入，小数点后不足两位的按实际位数保留。报价保留小数点位数的要求仅为方便评标使用，不作为否决投标条件。</w:t>
            </w:r>
          </w:p>
        </w:tc>
      </w:tr>
      <w:tr w14:paraId="0BCA869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6B35F13">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.2.4</w:t>
            </w:r>
          </w:p>
        </w:tc>
        <w:tc>
          <w:tcPr>
            <w:tcW w:w="1754" w:type="dxa"/>
            <w:vAlign w:val="center"/>
          </w:tcPr>
          <w:p w14:paraId="370B990C">
            <w:pPr>
              <w:snapToGrid w:val="0"/>
              <w:spacing w:line="400" w:lineRule="exact"/>
              <w:jc w:val="center"/>
              <w:rPr>
                <w:rFonts w:ascii="宋体" w:hAnsi="宋体"/>
                <w:kern w:val="0"/>
                <w:szCs w:val="21"/>
              </w:rPr>
            </w:pPr>
            <w:r>
              <w:rPr>
                <w:rFonts w:hint="eastAsia" w:ascii="宋体" w:hAnsi="宋体"/>
                <w:kern w:val="0"/>
                <w:szCs w:val="21"/>
              </w:rPr>
              <w:t>最高投标限价</w:t>
            </w:r>
          </w:p>
        </w:tc>
        <w:tc>
          <w:tcPr>
            <w:tcW w:w="6490" w:type="dxa"/>
            <w:vAlign w:val="center"/>
          </w:tcPr>
          <w:p w14:paraId="6B817E3C">
            <w:pPr>
              <w:snapToGrid w:val="0"/>
              <w:spacing w:line="400" w:lineRule="exact"/>
              <w:ind w:firstLine="420" w:firstLineChars="200"/>
              <w:rPr>
                <w:i/>
              </w:rPr>
            </w:pPr>
            <w:r>
              <w:rPr>
                <w:rFonts w:hint="eastAsia"/>
              </w:rPr>
              <w:t>投标总报价最高限</w:t>
            </w:r>
            <w:r>
              <w:rPr>
                <w:rFonts w:hint="eastAsia"/>
                <w:color w:val="auto"/>
              </w:rPr>
              <w:t>价为</w:t>
            </w:r>
            <w:r>
              <w:rPr>
                <w:rFonts w:hint="eastAsia"/>
                <w:b/>
                <w:bCs/>
                <w:color w:val="auto"/>
                <w:sz w:val="32"/>
                <w:szCs w:val="40"/>
                <w:u w:val="single"/>
              </w:rPr>
              <w:t xml:space="preserve"> </w:t>
            </w:r>
            <w:r>
              <w:rPr>
                <w:rFonts w:hint="eastAsia"/>
                <w:b/>
                <w:bCs/>
                <w:color w:val="auto"/>
                <w:sz w:val="32"/>
                <w:szCs w:val="40"/>
                <w:u w:val="single"/>
                <w:lang w:val="en-US" w:eastAsia="zh-CN"/>
              </w:rPr>
              <w:t>1200万</w:t>
            </w:r>
            <w:r>
              <w:rPr>
                <w:rFonts w:hint="eastAsia"/>
                <w:b/>
                <w:bCs/>
                <w:color w:val="auto"/>
                <w:sz w:val="32"/>
                <w:szCs w:val="40"/>
                <w:u w:val="single"/>
              </w:rPr>
              <w:t xml:space="preserve"> </w:t>
            </w:r>
            <w:r>
              <w:rPr>
                <w:rFonts w:hint="eastAsia"/>
                <w:b/>
                <w:bCs/>
                <w:color w:val="auto"/>
                <w:sz w:val="32"/>
                <w:szCs w:val="40"/>
              </w:rPr>
              <w:t>元</w:t>
            </w:r>
            <w:r>
              <w:rPr>
                <w:rFonts w:hint="eastAsia"/>
                <w:color w:val="auto"/>
              </w:rPr>
              <w:t>。</w:t>
            </w:r>
            <w:r>
              <w:rPr>
                <w:rFonts w:hint="eastAsia" w:ascii="宋体" w:hAnsi="宋体" w:cs="宋体"/>
                <w:color w:val="auto"/>
                <w:szCs w:val="21"/>
              </w:rPr>
              <w:t>投</w:t>
            </w:r>
            <w:r>
              <w:rPr>
                <w:rFonts w:hint="eastAsia" w:ascii="宋体" w:hAnsi="宋体" w:cs="宋体"/>
                <w:szCs w:val="21"/>
              </w:rPr>
              <w:t>标人的投标报价不得超过其最高限价，否则由评标委员会作</w:t>
            </w:r>
            <w:r>
              <w:rPr>
                <w:rFonts w:hint="eastAsia" w:ascii="宋体" w:hAnsi="宋体"/>
                <w:szCs w:val="21"/>
              </w:rPr>
              <w:t>否决投标处理。</w:t>
            </w:r>
          </w:p>
          <w:p w14:paraId="31C56B92">
            <w:pPr>
              <w:snapToGrid w:val="0"/>
              <w:spacing w:line="400" w:lineRule="exact"/>
              <w:ind w:firstLine="420" w:firstLineChars="200"/>
            </w:pPr>
          </w:p>
        </w:tc>
      </w:tr>
      <w:tr w14:paraId="38ACACD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5D85350">
            <w:pPr>
              <w:snapToGrid w:val="0"/>
              <w:spacing w:line="400" w:lineRule="exact"/>
              <w:jc w:val="center"/>
              <w:rPr>
                <w:rFonts w:hint="eastAsia" w:ascii="宋体" w:hAnsi="宋体"/>
                <w:kern w:val="0"/>
                <w:szCs w:val="21"/>
              </w:rPr>
            </w:pPr>
          </w:p>
          <w:p w14:paraId="41306D80">
            <w:pPr>
              <w:snapToGrid w:val="0"/>
              <w:spacing w:line="400" w:lineRule="exact"/>
              <w:jc w:val="center"/>
              <w:rPr>
                <w:rFonts w:hint="eastAsia" w:ascii="宋体" w:hAnsi="宋体"/>
                <w:kern w:val="0"/>
                <w:szCs w:val="21"/>
              </w:rPr>
            </w:pPr>
          </w:p>
          <w:p w14:paraId="6D110DE1">
            <w:pPr>
              <w:snapToGrid w:val="0"/>
              <w:spacing w:line="400" w:lineRule="exact"/>
              <w:jc w:val="center"/>
              <w:rPr>
                <w:rFonts w:hint="eastAsia" w:ascii="宋体" w:hAnsi="宋体"/>
                <w:kern w:val="0"/>
                <w:szCs w:val="21"/>
              </w:rPr>
            </w:pPr>
          </w:p>
          <w:p w14:paraId="185A65E4">
            <w:pPr>
              <w:snapToGrid w:val="0"/>
              <w:spacing w:line="400" w:lineRule="exact"/>
              <w:jc w:val="center"/>
              <w:rPr>
                <w:rFonts w:hint="eastAsia" w:ascii="宋体" w:hAnsi="宋体"/>
                <w:kern w:val="0"/>
                <w:szCs w:val="21"/>
              </w:rPr>
            </w:pPr>
          </w:p>
          <w:p w14:paraId="677E6B5F">
            <w:pPr>
              <w:snapToGrid w:val="0"/>
              <w:spacing w:line="400" w:lineRule="exact"/>
              <w:jc w:val="center"/>
              <w:rPr>
                <w:rFonts w:hint="eastAsia" w:ascii="宋体" w:hAnsi="宋体"/>
                <w:kern w:val="0"/>
                <w:szCs w:val="21"/>
              </w:rPr>
            </w:pPr>
          </w:p>
          <w:p w14:paraId="33A9BB46">
            <w:pPr>
              <w:snapToGrid w:val="0"/>
              <w:spacing w:line="400" w:lineRule="exact"/>
              <w:jc w:val="center"/>
              <w:rPr>
                <w:rFonts w:hint="eastAsia" w:ascii="宋体" w:hAnsi="宋体"/>
                <w:kern w:val="0"/>
                <w:szCs w:val="21"/>
              </w:rPr>
            </w:pPr>
          </w:p>
          <w:p w14:paraId="7ED17BCD">
            <w:pPr>
              <w:snapToGrid w:val="0"/>
              <w:spacing w:line="400" w:lineRule="exact"/>
              <w:jc w:val="center"/>
              <w:rPr>
                <w:rFonts w:hint="eastAsia" w:ascii="宋体" w:hAnsi="宋体"/>
                <w:kern w:val="0"/>
                <w:szCs w:val="21"/>
              </w:rPr>
            </w:pPr>
          </w:p>
          <w:p w14:paraId="5EBEF83A">
            <w:pPr>
              <w:snapToGrid w:val="0"/>
              <w:spacing w:line="400" w:lineRule="exact"/>
              <w:jc w:val="center"/>
              <w:rPr>
                <w:rFonts w:hint="eastAsia" w:ascii="宋体" w:hAnsi="宋体"/>
                <w:kern w:val="0"/>
                <w:szCs w:val="21"/>
              </w:rPr>
            </w:pPr>
          </w:p>
          <w:p w14:paraId="44CBE8B4">
            <w:pPr>
              <w:snapToGrid w:val="0"/>
              <w:spacing w:line="400" w:lineRule="exact"/>
              <w:jc w:val="center"/>
              <w:rPr>
                <w:rFonts w:hint="eastAsia" w:ascii="宋体" w:hAnsi="宋体"/>
                <w:kern w:val="0"/>
                <w:szCs w:val="21"/>
              </w:rPr>
            </w:pPr>
          </w:p>
          <w:p w14:paraId="770D0134">
            <w:pPr>
              <w:snapToGrid w:val="0"/>
              <w:spacing w:line="400" w:lineRule="exact"/>
              <w:jc w:val="center"/>
              <w:rPr>
                <w:rFonts w:hint="eastAsia" w:ascii="宋体" w:hAnsi="宋体"/>
                <w:kern w:val="0"/>
                <w:szCs w:val="21"/>
              </w:rPr>
            </w:pPr>
          </w:p>
          <w:p w14:paraId="50695E69">
            <w:pPr>
              <w:snapToGrid w:val="0"/>
              <w:spacing w:line="400" w:lineRule="exact"/>
              <w:jc w:val="center"/>
              <w:rPr>
                <w:rFonts w:hint="eastAsia" w:ascii="宋体" w:hAnsi="宋体"/>
                <w:kern w:val="0"/>
                <w:szCs w:val="21"/>
              </w:rPr>
            </w:pPr>
          </w:p>
          <w:p w14:paraId="354FF07F">
            <w:pPr>
              <w:snapToGrid w:val="0"/>
              <w:spacing w:line="400" w:lineRule="exact"/>
              <w:jc w:val="center"/>
              <w:rPr>
                <w:rFonts w:hint="eastAsia" w:ascii="宋体" w:hAnsi="宋体"/>
                <w:kern w:val="0"/>
                <w:szCs w:val="21"/>
              </w:rPr>
            </w:pPr>
          </w:p>
          <w:p w14:paraId="01915D0F">
            <w:pPr>
              <w:snapToGrid w:val="0"/>
              <w:spacing w:line="400" w:lineRule="exact"/>
              <w:jc w:val="center"/>
              <w:rPr>
                <w:rFonts w:hint="eastAsia" w:ascii="宋体" w:hAnsi="宋体"/>
                <w:kern w:val="0"/>
                <w:szCs w:val="21"/>
              </w:rPr>
            </w:pPr>
          </w:p>
          <w:p w14:paraId="0F4515A3">
            <w:pPr>
              <w:snapToGrid w:val="0"/>
              <w:spacing w:line="400" w:lineRule="exact"/>
              <w:jc w:val="center"/>
              <w:rPr>
                <w:rFonts w:ascii="宋体" w:hAnsi="宋体"/>
                <w:kern w:val="0"/>
                <w:szCs w:val="21"/>
              </w:rPr>
            </w:pPr>
            <w:r>
              <w:rPr>
                <w:rFonts w:hint="eastAsia" w:ascii="宋体" w:hAnsi="宋体"/>
                <w:kern w:val="0"/>
                <w:szCs w:val="21"/>
              </w:rPr>
              <w:t>3.2</w:t>
            </w:r>
            <w:r>
              <w:rPr>
                <w:rFonts w:ascii="宋体" w:hAnsi="宋体"/>
                <w:kern w:val="0"/>
                <w:szCs w:val="21"/>
              </w:rPr>
              <w:t>.5</w:t>
            </w:r>
          </w:p>
          <w:p w14:paraId="03B657B4">
            <w:pPr>
              <w:pStyle w:val="17"/>
              <w:rPr>
                <w:rFonts w:ascii="宋体" w:hAnsi="宋体"/>
                <w:kern w:val="0"/>
                <w:szCs w:val="21"/>
              </w:rPr>
            </w:pPr>
          </w:p>
          <w:p w14:paraId="0BD125A4">
            <w:pPr>
              <w:rPr>
                <w:rFonts w:ascii="宋体" w:hAnsi="宋体"/>
                <w:kern w:val="0"/>
                <w:szCs w:val="21"/>
              </w:rPr>
            </w:pPr>
          </w:p>
          <w:p w14:paraId="1B54DB3A">
            <w:pPr>
              <w:pStyle w:val="17"/>
              <w:rPr>
                <w:rFonts w:ascii="宋体" w:hAnsi="宋体"/>
                <w:kern w:val="0"/>
                <w:szCs w:val="21"/>
              </w:rPr>
            </w:pPr>
          </w:p>
          <w:p w14:paraId="056ADF2F">
            <w:pPr>
              <w:rPr>
                <w:rFonts w:ascii="宋体" w:hAnsi="宋体"/>
                <w:kern w:val="0"/>
                <w:szCs w:val="21"/>
              </w:rPr>
            </w:pPr>
          </w:p>
          <w:p w14:paraId="5EEF05BB">
            <w:pPr>
              <w:pStyle w:val="17"/>
              <w:rPr>
                <w:rFonts w:ascii="宋体" w:hAnsi="宋体"/>
                <w:kern w:val="0"/>
                <w:szCs w:val="21"/>
              </w:rPr>
            </w:pPr>
          </w:p>
          <w:p w14:paraId="3403572F">
            <w:pPr>
              <w:rPr>
                <w:rFonts w:ascii="宋体" w:hAnsi="宋体"/>
                <w:kern w:val="0"/>
                <w:szCs w:val="21"/>
              </w:rPr>
            </w:pPr>
          </w:p>
          <w:p w14:paraId="4076BED4">
            <w:pPr>
              <w:pStyle w:val="17"/>
              <w:rPr>
                <w:rFonts w:ascii="宋体" w:hAnsi="宋体"/>
                <w:kern w:val="0"/>
                <w:szCs w:val="21"/>
              </w:rPr>
            </w:pPr>
          </w:p>
          <w:p w14:paraId="4CD7FD5A">
            <w:pPr>
              <w:rPr>
                <w:rFonts w:ascii="宋体" w:hAnsi="宋体"/>
                <w:kern w:val="0"/>
                <w:szCs w:val="21"/>
              </w:rPr>
            </w:pPr>
          </w:p>
          <w:p w14:paraId="7B89989C">
            <w:pPr>
              <w:pStyle w:val="17"/>
              <w:rPr>
                <w:rFonts w:ascii="宋体" w:hAnsi="宋体"/>
                <w:kern w:val="0"/>
                <w:szCs w:val="21"/>
              </w:rPr>
            </w:pPr>
          </w:p>
          <w:p w14:paraId="498CFB78">
            <w:pPr>
              <w:rPr>
                <w:rFonts w:ascii="宋体" w:hAnsi="宋体"/>
                <w:kern w:val="0"/>
                <w:szCs w:val="21"/>
              </w:rPr>
            </w:pPr>
          </w:p>
          <w:p w14:paraId="6CEBBAE3">
            <w:pPr>
              <w:pStyle w:val="17"/>
              <w:rPr>
                <w:rFonts w:ascii="宋体" w:hAnsi="宋体"/>
                <w:kern w:val="0"/>
                <w:szCs w:val="21"/>
              </w:rPr>
            </w:pPr>
          </w:p>
          <w:p w14:paraId="57F3A32B">
            <w:pPr>
              <w:rPr>
                <w:rFonts w:ascii="宋体" w:hAnsi="宋体"/>
                <w:kern w:val="0"/>
                <w:szCs w:val="21"/>
              </w:rPr>
            </w:pPr>
          </w:p>
          <w:p w14:paraId="149B1972">
            <w:pPr>
              <w:pStyle w:val="17"/>
              <w:rPr>
                <w:rFonts w:ascii="宋体" w:hAnsi="宋体"/>
                <w:kern w:val="0"/>
                <w:szCs w:val="21"/>
              </w:rPr>
            </w:pPr>
          </w:p>
          <w:p w14:paraId="7275B335">
            <w:pPr>
              <w:rPr>
                <w:rFonts w:ascii="宋体" w:hAnsi="宋体"/>
                <w:kern w:val="0"/>
                <w:szCs w:val="21"/>
              </w:rPr>
            </w:pPr>
          </w:p>
          <w:p w14:paraId="75C78331">
            <w:pPr>
              <w:pStyle w:val="17"/>
              <w:rPr>
                <w:rFonts w:ascii="宋体" w:hAnsi="宋体"/>
                <w:kern w:val="0"/>
                <w:szCs w:val="21"/>
              </w:rPr>
            </w:pPr>
          </w:p>
          <w:p w14:paraId="05E757C9">
            <w:pPr>
              <w:rPr>
                <w:rFonts w:ascii="宋体" w:hAnsi="宋体"/>
                <w:kern w:val="0"/>
                <w:szCs w:val="21"/>
              </w:rPr>
            </w:pPr>
          </w:p>
          <w:p w14:paraId="2F0351D2">
            <w:pPr>
              <w:pStyle w:val="17"/>
              <w:rPr>
                <w:rFonts w:ascii="宋体" w:hAnsi="宋体"/>
                <w:kern w:val="0"/>
                <w:szCs w:val="21"/>
              </w:rPr>
            </w:pPr>
          </w:p>
          <w:p w14:paraId="151FFDED">
            <w:pPr>
              <w:rPr>
                <w:rFonts w:ascii="宋体" w:hAnsi="宋体"/>
                <w:kern w:val="0"/>
                <w:szCs w:val="21"/>
              </w:rPr>
            </w:pPr>
          </w:p>
          <w:p w14:paraId="12447A7F">
            <w:pPr>
              <w:pStyle w:val="17"/>
              <w:rPr>
                <w:rFonts w:ascii="宋体" w:hAnsi="宋体"/>
                <w:kern w:val="0"/>
                <w:szCs w:val="21"/>
              </w:rPr>
            </w:pPr>
          </w:p>
          <w:p w14:paraId="2E121623">
            <w:pPr>
              <w:rPr>
                <w:rFonts w:ascii="宋体" w:hAnsi="宋体"/>
                <w:kern w:val="0"/>
                <w:szCs w:val="21"/>
              </w:rPr>
            </w:pPr>
          </w:p>
          <w:p w14:paraId="736BF950">
            <w:pPr>
              <w:pStyle w:val="17"/>
              <w:rPr>
                <w:rFonts w:ascii="宋体" w:hAnsi="宋体"/>
                <w:kern w:val="0"/>
                <w:szCs w:val="21"/>
              </w:rPr>
            </w:pPr>
          </w:p>
          <w:p w14:paraId="3379ED3C">
            <w:pPr>
              <w:rPr>
                <w:rFonts w:ascii="宋体" w:hAnsi="宋体"/>
                <w:kern w:val="0"/>
                <w:szCs w:val="21"/>
              </w:rPr>
            </w:pPr>
          </w:p>
          <w:p w14:paraId="0561B708">
            <w:pPr>
              <w:pStyle w:val="17"/>
              <w:rPr>
                <w:rFonts w:ascii="宋体" w:hAnsi="宋体"/>
                <w:kern w:val="0"/>
                <w:szCs w:val="21"/>
              </w:rPr>
            </w:pPr>
          </w:p>
          <w:p w14:paraId="684A8904">
            <w:pPr>
              <w:rPr>
                <w:rFonts w:ascii="宋体" w:hAnsi="宋体"/>
                <w:kern w:val="0"/>
                <w:szCs w:val="21"/>
              </w:rPr>
            </w:pPr>
          </w:p>
          <w:p w14:paraId="02F58E3E">
            <w:pPr>
              <w:pStyle w:val="17"/>
              <w:rPr>
                <w:rFonts w:ascii="宋体" w:hAnsi="宋体"/>
                <w:kern w:val="0"/>
                <w:szCs w:val="21"/>
              </w:rPr>
            </w:pPr>
          </w:p>
          <w:p w14:paraId="427AD68A">
            <w:pPr>
              <w:rPr>
                <w:rFonts w:ascii="宋体" w:hAnsi="宋体"/>
                <w:kern w:val="0"/>
                <w:szCs w:val="21"/>
              </w:rPr>
            </w:pPr>
          </w:p>
          <w:p w14:paraId="3964472D">
            <w:pPr>
              <w:pStyle w:val="17"/>
              <w:rPr>
                <w:rFonts w:ascii="宋体" w:hAnsi="宋体"/>
                <w:kern w:val="0"/>
                <w:szCs w:val="21"/>
              </w:rPr>
            </w:pPr>
          </w:p>
          <w:p w14:paraId="4F5226A9">
            <w:pPr>
              <w:rPr>
                <w:rFonts w:ascii="宋体" w:hAnsi="宋体"/>
                <w:kern w:val="0"/>
                <w:szCs w:val="21"/>
              </w:rPr>
            </w:pPr>
          </w:p>
          <w:p w14:paraId="5E21623F">
            <w:pPr>
              <w:pStyle w:val="17"/>
              <w:rPr>
                <w:rFonts w:ascii="宋体" w:hAnsi="宋体"/>
                <w:kern w:val="0"/>
                <w:szCs w:val="21"/>
              </w:rPr>
            </w:pPr>
          </w:p>
          <w:p w14:paraId="5E63CBDA">
            <w:pPr>
              <w:rPr>
                <w:rFonts w:ascii="宋体" w:hAnsi="宋体"/>
                <w:kern w:val="0"/>
                <w:szCs w:val="21"/>
              </w:rPr>
            </w:pPr>
          </w:p>
          <w:p w14:paraId="5493114C">
            <w:pPr>
              <w:pStyle w:val="17"/>
              <w:rPr>
                <w:rFonts w:ascii="宋体" w:hAnsi="宋体"/>
                <w:kern w:val="0"/>
                <w:szCs w:val="21"/>
              </w:rPr>
            </w:pPr>
          </w:p>
          <w:p w14:paraId="2020C541">
            <w:pPr>
              <w:rPr>
                <w:rFonts w:ascii="宋体" w:hAnsi="宋体"/>
                <w:kern w:val="0"/>
                <w:szCs w:val="21"/>
              </w:rPr>
            </w:pPr>
          </w:p>
          <w:p w14:paraId="301499B7">
            <w:pPr>
              <w:pStyle w:val="17"/>
              <w:rPr>
                <w:rFonts w:ascii="宋体" w:hAnsi="宋体"/>
                <w:kern w:val="0"/>
                <w:szCs w:val="21"/>
              </w:rPr>
            </w:pPr>
          </w:p>
          <w:p w14:paraId="17E01B55">
            <w:pPr>
              <w:rPr>
                <w:rFonts w:ascii="宋体" w:hAnsi="宋体"/>
                <w:kern w:val="0"/>
                <w:szCs w:val="21"/>
              </w:rPr>
            </w:pPr>
          </w:p>
          <w:p w14:paraId="0A9F4C43">
            <w:pPr>
              <w:pStyle w:val="17"/>
              <w:rPr>
                <w:rFonts w:ascii="宋体" w:hAnsi="宋体"/>
                <w:kern w:val="0"/>
                <w:szCs w:val="21"/>
              </w:rPr>
            </w:pPr>
          </w:p>
          <w:p w14:paraId="3393803D">
            <w:pPr>
              <w:rPr>
                <w:rFonts w:ascii="宋体" w:hAnsi="宋体"/>
                <w:kern w:val="0"/>
                <w:szCs w:val="21"/>
              </w:rPr>
            </w:pPr>
          </w:p>
          <w:p w14:paraId="3A354EB5">
            <w:pPr>
              <w:pStyle w:val="17"/>
              <w:rPr>
                <w:rFonts w:ascii="宋体" w:hAnsi="宋体"/>
                <w:kern w:val="0"/>
                <w:szCs w:val="21"/>
              </w:rPr>
            </w:pPr>
          </w:p>
          <w:p w14:paraId="538C1706">
            <w:pPr>
              <w:rPr>
                <w:rFonts w:ascii="宋体" w:hAnsi="宋体"/>
                <w:kern w:val="0"/>
                <w:szCs w:val="21"/>
              </w:rPr>
            </w:pPr>
          </w:p>
          <w:p w14:paraId="2A79396C">
            <w:pPr>
              <w:pStyle w:val="17"/>
              <w:rPr>
                <w:rFonts w:ascii="宋体" w:hAnsi="宋体"/>
                <w:kern w:val="0"/>
                <w:szCs w:val="21"/>
              </w:rPr>
            </w:pPr>
          </w:p>
          <w:p w14:paraId="539AA125">
            <w:pPr>
              <w:rPr>
                <w:rFonts w:ascii="宋体" w:hAnsi="宋体"/>
                <w:kern w:val="0"/>
                <w:szCs w:val="21"/>
              </w:rPr>
            </w:pPr>
          </w:p>
          <w:p w14:paraId="506B9145">
            <w:pPr>
              <w:pStyle w:val="17"/>
              <w:rPr>
                <w:rFonts w:ascii="宋体" w:hAnsi="宋体"/>
                <w:kern w:val="0"/>
                <w:szCs w:val="21"/>
              </w:rPr>
            </w:pPr>
          </w:p>
          <w:p w14:paraId="47AD08FB">
            <w:pPr>
              <w:rPr>
                <w:rFonts w:ascii="宋体" w:hAnsi="宋体"/>
                <w:kern w:val="0"/>
                <w:szCs w:val="21"/>
              </w:rPr>
            </w:pPr>
          </w:p>
          <w:p w14:paraId="47A7B47B">
            <w:pPr>
              <w:pStyle w:val="17"/>
              <w:rPr>
                <w:rFonts w:ascii="宋体" w:hAnsi="宋体"/>
                <w:kern w:val="0"/>
                <w:szCs w:val="21"/>
              </w:rPr>
            </w:pPr>
          </w:p>
          <w:p w14:paraId="11754B4E">
            <w:pPr>
              <w:rPr>
                <w:rFonts w:ascii="宋体" w:hAnsi="宋体"/>
                <w:kern w:val="0"/>
                <w:szCs w:val="21"/>
              </w:rPr>
            </w:pPr>
          </w:p>
          <w:p w14:paraId="69325972">
            <w:pPr>
              <w:pStyle w:val="17"/>
              <w:rPr>
                <w:rFonts w:ascii="宋体" w:hAnsi="宋体"/>
                <w:kern w:val="0"/>
                <w:szCs w:val="21"/>
              </w:rPr>
            </w:pPr>
          </w:p>
          <w:p w14:paraId="70BDABA7">
            <w:pPr>
              <w:rPr>
                <w:rFonts w:ascii="宋体" w:hAnsi="宋体"/>
                <w:kern w:val="0"/>
                <w:szCs w:val="21"/>
              </w:rPr>
            </w:pPr>
          </w:p>
          <w:p w14:paraId="0577F450">
            <w:pPr>
              <w:pStyle w:val="17"/>
              <w:rPr>
                <w:rFonts w:ascii="宋体" w:hAnsi="宋体"/>
                <w:kern w:val="0"/>
                <w:szCs w:val="21"/>
              </w:rPr>
            </w:pPr>
          </w:p>
          <w:p w14:paraId="1D833C59">
            <w:pPr>
              <w:rPr>
                <w:rFonts w:ascii="宋体" w:hAnsi="宋体"/>
                <w:kern w:val="0"/>
                <w:szCs w:val="21"/>
              </w:rPr>
            </w:pPr>
          </w:p>
          <w:p w14:paraId="730EF5FF">
            <w:pPr>
              <w:pStyle w:val="17"/>
              <w:rPr>
                <w:rFonts w:ascii="宋体" w:hAnsi="宋体"/>
                <w:kern w:val="0"/>
                <w:szCs w:val="21"/>
              </w:rPr>
            </w:pPr>
          </w:p>
          <w:p w14:paraId="7B500ED6"/>
          <w:p w14:paraId="10A34717">
            <w:pPr>
              <w:rPr>
                <w:rFonts w:ascii="宋体" w:hAnsi="宋体"/>
                <w:kern w:val="0"/>
                <w:szCs w:val="21"/>
              </w:rPr>
            </w:pPr>
          </w:p>
          <w:p w14:paraId="0B41FF71">
            <w:pPr>
              <w:pStyle w:val="17"/>
              <w:rPr>
                <w:rFonts w:ascii="宋体" w:hAnsi="宋体"/>
                <w:kern w:val="0"/>
                <w:szCs w:val="21"/>
              </w:rPr>
            </w:pPr>
            <w:r>
              <w:rPr>
                <w:rFonts w:hint="eastAsia" w:ascii="宋体" w:hAnsi="宋体"/>
                <w:kern w:val="0"/>
                <w:szCs w:val="21"/>
              </w:rPr>
              <w:t>3.2</w:t>
            </w:r>
            <w:r>
              <w:rPr>
                <w:rFonts w:ascii="宋体" w:hAnsi="宋体"/>
                <w:kern w:val="0"/>
                <w:szCs w:val="21"/>
              </w:rPr>
              <w:t>.5</w:t>
            </w:r>
          </w:p>
          <w:p w14:paraId="7915C8DA">
            <w:pPr>
              <w:rPr>
                <w:rFonts w:ascii="宋体" w:hAnsi="宋体"/>
                <w:kern w:val="0"/>
                <w:szCs w:val="21"/>
              </w:rPr>
            </w:pPr>
          </w:p>
          <w:p w14:paraId="2655DD1E">
            <w:pPr>
              <w:pStyle w:val="17"/>
              <w:rPr>
                <w:rFonts w:ascii="宋体" w:hAnsi="宋体"/>
                <w:kern w:val="0"/>
                <w:szCs w:val="21"/>
              </w:rPr>
            </w:pPr>
          </w:p>
          <w:p w14:paraId="5FFB9BE6">
            <w:pPr>
              <w:rPr>
                <w:rFonts w:ascii="宋体" w:hAnsi="宋体"/>
                <w:kern w:val="0"/>
                <w:szCs w:val="21"/>
              </w:rPr>
            </w:pPr>
          </w:p>
          <w:p w14:paraId="62AB2127">
            <w:pPr>
              <w:pStyle w:val="17"/>
              <w:rPr>
                <w:rFonts w:ascii="宋体" w:hAnsi="宋体"/>
                <w:kern w:val="0"/>
                <w:szCs w:val="21"/>
              </w:rPr>
            </w:pPr>
          </w:p>
          <w:p w14:paraId="45D5DA18">
            <w:pPr>
              <w:rPr>
                <w:rFonts w:ascii="宋体" w:hAnsi="宋体"/>
                <w:kern w:val="0"/>
                <w:szCs w:val="21"/>
              </w:rPr>
            </w:pPr>
          </w:p>
          <w:p w14:paraId="2B248676">
            <w:pPr>
              <w:pStyle w:val="17"/>
              <w:rPr>
                <w:rFonts w:ascii="宋体" w:hAnsi="宋体"/>
                <w:kern w:val="0"/>
                <w:szCs w:val="21"/>
              </w:rPr>
            </w:pPr>
          </w:p>
          <w:p w14:paraId="609869F8">
            <w:pPr>
              <w:rPr>
                <w:rFonts w:ascii="宋体" w:hAnsi="宋体"/>
                <w:kern w:val="0"/>
                <w:szCs w:val="21"/>
              </w:rPr>
            </w:pPr>
          </w:p>
          <w:p w14:paraId="6453F131">
            <w:pPr>
              <w:pStyle w:val="17"/>
              <w:rPr>
                <w:rFonts w:ascii="宋体" w:hAnsi="宋体"/>
                <w:kern w:val="0"/>
                <w:szCs w:val="21"/>
              </w:rPr>
            </w:pPr>
          </w:p>
          <w:p w14:paraId="1F05C533">
            <w:pPr>
              <w:pStyle w:val="17"/>
              <w:rPr>
                <w:rFonts w:ascii="宋体" w:hAnsi="宋体"/>
                <w:kern w:val="0"/>
                <w:szCs w:val="21"/>
              </w:rPr>
            </w:pPr>
          </w:p>
          <w:p w14:paraId="73B7E6D7">
            <w:pPr>
              <w:rPr>
                <w:rFonts w:ascii="宋体" w:hAnsi="宋体"/>
                <w:kern w:val="0"/>
                <w:szCs w:val="21"/>
              </w:rPr>
            </w:pPr>
          </w:p>
          <w:p w14:paraId="136377EF">
            <w:pPr>
              <w:pStyle w:val="17"/>
              <w:rPr>
                <w:rFonts w:ascii="宋体" w:hAnsi="宋体"/>
                <w:kern w:val="0"/>
                <w:szCs w:val="21"/>
              </w:rPr>
            </w:pPr>
          </w:p>
          <w:p w14:paraId="5BBB42A1">
            <w:pPr>
              <w:rPr>
                <w:rFonts w:ascii="宋体" w:hAnsi="宋体"/>
                <w:kern w:val="0"/>
                <w:szCs w:val="21"/>
              </w:rPr>
            </w:pPr>
          </w:p>
          <w:p w14:paraId="7290DC20">
            <w:pPr>
              <w:pStyle w:val="17"/>
              <w:rPr>
                <w:rFonts w:ascii="宋体" w:hAnsi="宋体"/>
                <w:kern w:val="0"/>
                <w:szCs w:val="21"/>
              </w:rPr>
            </w:pPr>
          </w:p>
          <w:p w14:paraId="17CC7D9A">
            <w:pPr>
              <w:rPr>
                <w:rFonts w:ascii="宋体" w:hAnsi="宋体"/>
                <w:kern w:val="0"/>
                <w:szCs w:val="21"/>
              </w:rPr>
            </w:pPr>
          </w:p>
          <w:p w14:paraId="6F0F3056">
            <w:pPr>
              <w:pStyle w:val="17"/>
              <w:rPr>
                <w:rFonts w:ascii="宋体" w:hAnsi="宋体"/>
                <w:kern w:val="0"/>
                <w:szCs w:val="21"/>
              </w:rPr>
            </w:pPr>
          </w:p>
          <w:p w14:paraId="0FFB1DFC">
            <w:pPr>
              <w:rPr>
                <w:rFonts w:ascii="宋体" w:hAnsi="宋体"/>
                <w:kern w:val="0"/>
                <w:szCs w:val="21"/>
              </w:rPr>
            </w:pPr>
          </w:p>
          <w:p w14:paraId="013403ED">
            <w:pPr>
              <w:pStyle w:val="17"/>
              <w:rPr>
                <w:rFonts w:ascii="宋体" w:hAnsi="宋体"/>
                <w:kern w:val="0"/>
                <w:szCs w:val="21"/>
              </w:rPr>
            </w:pPr>
          </w:p>
          <w:p w14:paraId="3007A3CE">
            <w:pPr>
              <w:rPr>
                <w:rFonts w:ascii="宋体" w:hAnsi="宋体"/>
                <w:kern w:val="0"/>
                <w:szCs w:val="21"/>
              </w:rPr>
            </w:pPr>
          </w:p>
          <w:p w14:paraId="272CC030">
            <w:pPr>
              <w:pStyle w:val="17"/>
              <w:rPr>
                <w:rFonts w:ascii="宋体" w:hAnsi="宋体"/>
                <w:kern w:val="0"/>
                <w:szCs w:val="21"/>
              </w:rPr>
            </w:pPr>
          </w:p>
          <w:p w14:paraId="4401B319">
            <w:pPr>
              <w:pStyle w:val="17"/>
              <w:rPr>
                <w:rFonts w:ascii="宋体" w:hAnsi="宋体"/>
                <w:kern w:val="0"/>
                <w:szCs w:val="21"/>
              </w:rPr>
            </w:pPr>
          </w:p>
          <w:p w14:paraId="329F5F5E">
            <w:pPr>
              <w:rPr>
                <w:rFonts w:ascii="宋体" w:hAnsi="宋体"/>
                <w:kern w:val="0"/>
                <w:szCs w:val="21"/>
              </w:rPr>
            </w:pPr>
          </w:p>
          <w:p w14:paraId="19E107E8">
            <w:pPr>
              <w:pStyle w:val="17"/>
              <w:rPr>
                <w:rFonts w:ascii="宋体" w:hAnsi="宋体"/>
                <w:kern w:val="0"/>
                <w:szCs w:val="21"/>
              </w:rPr>
            </w:pPr>
          </w:p>
          <w:p w14:paraId="3A74380F">
            <w:pPr>
              <w:rPr>
                <w:rFonts w:ascii="宋体" w:hAnsi="宋体"/>
                <w:kern w:val="0"/>
                <w:szCs w:val="21"/>
              </w:rPr>
            </w:pPr>
          </w:p>
          <w:p w14:paraId="66FAB012">
            <w:pPr>
              <w:pStyle w:val="17"/>
            </w:pPr>
          </w:p>
          <w:p w14:paraId="61E7AF2F">
            <w:pPr>
              <w:rPr>
                <w:rFonts w:ascii="宋体" w:hAnsi="宋体"/>
                <w:kern w:val="0"/>
                <w:szCs w:val="21"/>
              </w:rPr>
            </w:pPr>
          </w:p>
          <w:p w14:paraId="2B71AE87">
            <w:pPr>
              <w:pStyle w:val="17"/>
              <w:rPr>
                <w:rFonts w:ascii="宋体" w:hAnsi="宋体"/>
                <w:kern w:val="0"/>
                <w:szCs w:val="21"/>
              </w:rPr>
            </w:pPr>
          </w:p>
          <w:p w14:paraId="24858DA8">
            <w:r>
              <w:rPr>
                <w:rFonts w:hint="eastAsia" w:ascii="宋体" w:hAnsi="宋体"/>
                <w:kern w:val="0"/>
                <w:szCs w:val="21"/>
              </w:rPr>
              <w:t>3.2</w:t>
            </w:r>
            <w:r>
              <w:rPr>
                <w:rFonts w:ascii="宋体" w:hAnsi="宋体"/>
                <w:kern w:val="0"/>
                <w:szCs w:val="21"/>
              </w:rPr>
              <w:t>.5</w:t>
            </w:r>
          </w:p>
          <w:p w14:paraId="4DCAB249">
            <w:pPr>
              <w:rPr>
                <w:rFonts w:ascii="宋体" w:hAnsi="宋体"/>
                <w:kern w:val="0"/>
                <w:szCs w:val="21"/>
              </w:rPr>
            </w:pPr>
          </w:p>
          <w:p w14:paraId="75CE28E3">
            <w:pPr>
              <w:pStyle w:val="17"/>
              <w:rPr>
                <w:rFonts w:ascii="宋体" w:hAnsi="宋体"/>
                <w:kern w:val="0"/>
                <w:szCs w:val="21"/>
              </w:rPr>
            </w:pPr>
          </w:p>
          <w:p w14:paraId="4AE2AB76">
            <w:pPr>
              <w:rPr>
                <w:rFonts w:ascii="宋体" w:hAnsi="宋体"/>
                <w:kern w:val="0"/>
                <w:szCs w:val="21"/>
              </w:rPr>
            </w:pPr>
          </w:p>
          <w:p w14:paraId="54971560">
            <w:pPr>
              <w:pStyle w:val="17"/>
            </w:pPr>
          </w:p>
        </w:tc>
        <w:tc>
          <w:tcPr>
            <w:tcW w:w="1754" w:type="dxa"/>
            <w:vAlign w:val="center"/>
          </w:tcPr>
          <w:p w14:paraId="53E8F3A6">
            <w:pPr>
              <w:snapToGrid w:val="0"/>
              <w:spacing w:line="400" w:lineRule="exact"/>
              <w:jc w:val="center"/>
              <w:rPr>
                <w:rFonts w:ascii="宋体" w:hAnsi="宋体"/>
                <w:kern w:val="0"/>
                <w:szCs w:val="21"/>
              </w:rPr>
            </w:pPr>
          </w:p>
          <w:p w14:paraId="7319CEE4">
            <w:pPr>
              <w:snapToGrid w:val="0"/>
              <w:spacing w:line="400" w:lineRule="exact"/>
              <w:jc w:val="center"/>
              <w:rPr>
                <w:rFonts w:ascii="宋体" w:hAnsi="宋体"/>
                <w:kern w:val="0"/>
                <w:szCs w:val="21"/>
              </w:rPr>
            </w:pPr>
          </w:p>
          <w:p w14:paraId="70200C94">
            <w:pPr>
              <w:snapToGrid w:val="0"/>
              <w:spacing w:line="400" w:lineRule="exact"/>
              <w:jc w:val="center"/>
              <w:rPr>
                <w:rFonts w:ascii="宋体" w:hAnsi="宋体"/>
                <w:kern w:val="0"/>
                <w:szCs w:val="21"/>
              </w:rPr>
            </w:pPr>
          </w:p>
          <w:p w14:paraId="4634EEC4">
            <w:pPr>
              <w:snapToGrid w:val="0"/>
              <w:spacing w:line="400" w:lineRule="exact"/>
              <w:jc w:val="center"/>
              <w:rPr>
                <w:rFonts w:ascii="宋体" w:hAnsi="宋体"/>
                <w:kern w:val="0"/>
                <w:szCs w:val="21"/>
              </w:rPr>
            </w:pPr>
          </w:p>
          <w:p w14:paraId="3FF3E1DA">
            <w:pPr>
              <w:snapToGrid w:val="0"/>
              <w:spacing w:line="400" w:lineRule="exact"/>
              <w:jc w:val="center"/>
              <w:rPr>
                <w:rFonts w:ascii="宋体" w:hAnsi="宋体"/>
                <w:kern w:val="0"/>
                <w:szCs w:val="21"/>
              </w:rPr>
            </w:pPr>
          </w:p>
          <w:p w14:paraId="3B34CEEE">
            <w:pPr>
              <w:snapToGrid w:val="0"/>
              <w:spacing w:line="400" w:lineRule="exact"/>
              <w:jc w:val="center"/>
              <w:rPr>
                <w:rFonts w:ascii="宋体" w:hAnsi="宋体"/>
                <w:kern w:val="0"/>
                <w:szCs w:val="21"/>
              </w:rPr>
            </w:pPr>
          </w:p>
          <w:p w14:paraId="7AAC01EA">
            <w:pPr>
              <w:snapToGrid w:val="0"/>
              <w:spacing w:line="400" w:lineRule="exact"/>
              <w:jc w:val="center"/>
              <w:rPr>
                <w:rFonts w:ascii="宋体" w:hAnsi="宋体"/>
                <w:kern w:val="0"/>
                <w:szCs w:val="21"/>
              </w:rPr>
            </w:pPr>
          </w:p>
          <w:p w14:paraId="0F2F0ED4">
            <w:pPr>
              <w:snapToGrid w:val="0"/>
              <w:spacing w:line="400" w:lineRule="exact"/>
              <w:jc w:val="center"/>
              <w:rPr>
                <w:rFonts w:ascii="宋体" w:hAnsi="宋体"/>
                <w:kern w:val="0"/>
                <w:szCs w:val="21"/>
              </w:rPr>
            </w:pPr>
          </w:p>
          <w:p w14:paraId="7EFF3806">
            <w:pPr>
              <w:snapToGrid w:val="0"/>
              <w:spacing w:line="400" w:lineRule="exact"/>
              <w:jc w:val="center"/>
              <w:rPr>
                <w:rFonts w:ascii="宋体" w:hAnsi="宋体"/>
                <w:kern w:val="0"/>
                <w:szCs w:val="21"/>
              </w:rPr>
            </w:pPr>
          </w:p>
          <w:p w14:paraId="1000D58D">
            <w:pPr>
              <w:snapToGrid w:val="0"/>
              <w:spacing w:line="400" w:lineRule="exact"/>
              <w:jc w:val="center"/>
              <w:rPr>
                <w:rFonts w:ascii="宋体" w:hAnsi="宋体"/>
                <w:kern w:val="0"/>
                <w:szCs w:val="21"/>
              </w:rPr>
            </w:pPr>
          </w:p>
          <w:p w14:paraId="2BBE59F3">
            <w:pPr>
              <w:snapToGrid w:val="0"/>
              <w:spacing w:line="400" w:lineRule="exact"/>
              <w:jc w:val="center"/>
              <w:rPr>
                <w:rFonts w:ascii="宋体" w:hAnsi="宋体"/>
                <w:kern w:val="0"/>
                <w:szCs w:val="21"/>
              </w:rPr>
            </w:pPr>
          </w:p>
          <w:p w14:paraId="6DF8DECA">
            <w:pPr>
              <w:snapToGrid w:val="0"/>
              <w:spacing w:line="400" w:lineRule="exact"/>
              <w:jc w:val="center"/>
              <w:rPr>
                <w:rFonts w:ascii="宋体" w:hAnsi="宋体"/>
                <w:kern w:val="0"/>
                <w:szCs w:val="21"/>
              </w:rPr>
            </w:pPr>
          </w:p>
          <w:p w14:paraId="273FF48A">
            <w:pPr>
              <w:snapToGrid w:val="0"/>
              <w:spacing w:line="400" w:lineRule="exact"/>
              <w:jc w:val="center"/>
              <w:rPr>
                <w:rFonts w:ascii="宋体" w:hAnsi="宋体"/>
                <w:kern w:val="0"/>
                <w:szCs w:val="21"/>
              </w:rPr>
            </w:pPr>
          </w:p>
          <w:p w14:paraId="386F5C15">
            <w:pPr>
              <w:snapToGrid w:val="0"/>
              <w:spacing w:line="400" w:lineRule="exact"/>
              <w:jc w:val="center"/>
              <w:rPr>
                <w:rFonts w:hint="eastAsia" w:ascii="宋体" w:hAnsi="宋体"/>
                <w:kern w:val="0"/>
                <w:szCs w:val="21"/>
              </w:rPr>
            </w:pPr>
            <w:r>
              <w:rPr>
                <w:rFonts w:ascii="宋体" w:hAnsi="宋体"/>
                <w:kern w:val="0"/>
                <w:szCs w:val="21"/>
              </w:rPr>
              <w:t>投标报价</w:t>
            </w:r>
            <w:r>
              <w:rPr>
                <w:rFonts w:hint="eastAsia" w:ascii="宋体" w:hAnsi="宋体"/>
                <w:kern w:val="0"/>
                <w:szCs w:val="21"/>
              </w:rPr>
              <w:t>的其他要求</w:t>
            </w:r>
          </w:p>
          <w:p w14:paraId="5A115580">
            <w:pPr>
              <w:pStyle w:val="17"/>
              <w:rPr>
                <w:rFonts w:hint="eastAsia" w:ascii="宋体" w:hAnsi="宋体"/>
                <w:kern w:val="0"/>
                <w:szCs w:val="21"/>
              </w:rPr>
            </w:pPr>
          </w:p>
          <w:p w14:paraId="4BA1F317">
            <w:pPr>
              <w:rPr>
                <w:rFonts w:hint="eastAsia" w:ascii="宋体" w:hAnsi="宋体"/>
                <w:kern w:val="0"/>
                <w:szCs w:val="21"/>
              </w:rPr>
            </w:pPr>
          </w:p>
          <w:p w14:paraId="6CB6B4F8">
            <w:pPr>
              <w:pStyle w:val="17"/>
              <w:rPr>
                <w:rFonts w:hint="eastAsia" w:ascii="宋体" w:hAnsi="宋体"/>
                <w:kern w:val="0"/>
                <w:szCs w:val="21"/>
              </w:rPr>
            </w:pPr>
          </w:p>
          <w:p w14:paraId="4789625E">
            <w:pPr>
              <w:rPr>
                <w:rFonts w:hint="eastAsia" w:ascii="宋体" w:hAnsi="宋体"/>
                <w:kern w:val="0"/>
                <w:szCs w:val="21"/>
              </w:rPr>
            </w:pPr>
          </w:p>
          <w:p w14:paraId="74714CE0">
            <w:pPr>
              <w:pStyle w:val="17"/>
              <w:rPr>
                <w:rFonts w:hint="eastAsia" w:ascii="宋体" w:hAnsi="宋体"/>
                <w:kern w:val="0"/>
                <w:szCs w:val="21"/>
              </w:rPr>
            </w:pPr>
          </w:p>
          <w:p w14:paraId="4D473E10">
            <w:pPr>
              <w:rPr>
                <w:rFonts w:hint="eastAsia" w:ascii="宋体" w:hAnsi="宋体"/>
                <w:kern w:val="0"/>
                <w:szCs w:val="21"/>
              </w:rPr>
            </w:pPr>
          </w:p>
          <w:p w14:paraId="3F7C5961">
            <w:pPr>
              <w:pStyle w:val="17"/>
              <w:rPr>
                <w:rFonts w:hint="eastAsia" w:ascii="宋体" w:hAnsi="宋体"/>
                <w:kern w:val="0"/>
                <w:szCs w:val="21"/>
              </w:rPr>
            </w:pPr>
          </w:p>
          <w:p w14:paraId="21B99880">
            <w:pPr>
              <w:rPr>
                <w:rFonts w:hint="eastAsia" w:ascii="宋体" w:hAnsi="宋体"/>
                <w:kern w:val="0"/>
                <w:szCs w:val="21"/>
              </w:rPr>
            </w:pPr>
          </w:p>
          <w:p w14:paraId="1AB387BC">
            <w:pPr>
              <w:pStyle w:val="17"/>
              <w:rPr>
                <w:rFonts w:hint="eastAsia" w:ascii="宋体" w:hAnsi="宋体"/>
                <w:kern w:val="0"/>
                <w:szCs w:val="21"/>
              </w:rPr>
            </w:pPr>
          </w:p>
          <w:p w14:paraId="2378527D">
            <w:pPr>
              <w:rPr>
                <w:rFonts w:hint="eastAsia" w:ascii="宋体" w:hAnsi="宋体"/>
                <w:kern w:val="0"/>
                <w:szCs w:val="21"/>
              </w:rPr>
            </w:pPr>
          </w:p>
          <w:p w14:paraId="31CD2AE4">
            <w:pPr>
              <w:pStyle w:val="17"/>
              <w:rPr>
                <w:rFonts w:hint="eastAsia" w:ascii="宋体" w:hAnsi="宋体"/>
                <w:kern w:val="0"/>
                <w:szCs w:val="21"/>
              </w:rPr>
            </w:pPr>
          </w:p>
          <w:p w14:paraId="32C96306">
            <w:pPr>
              <w:rPr>
                <w:rFonts w:hint="eastAsia" w:ascii="宋体" w:hAnsi="宋体"/>
                <w:kern w:val="0"/>
                <w:szCs w:val="21"/>
              </w:rPr>
            </w:pPr>
          </w:p>
          <w:p w14:paraId="0F0ACCDF">
            <w:pPr>
              <w:pStyle w:val="17"/>
              <w:rPr>
                <w:rFonts w:hint="eastAsia" w:ascii="宋体" w:hAnsi="宋体"/>
                <w:kern w:val="0"/>
                <w:szCs w:val="21"/>
              </w:rPr>
            </w:pPr>
          </w:p>
          <w:p w14:paraId="3A6202A0">
            <w:pPr>
              <w:rPr>
                <w:rFonts w:hint="eastAsia" w:ascii="宋体" w:hAnsi="宋体"/>
                <w:kern w:val="0"/>
                <w:szCs w:val="21"/>
              </w:rPr>
            </w:pPr>
          </w:p>
          <w:p w14:paraId="05D9EA3C">
            <w:pPr>
              <w:pStyle w:val="17"/>
              <w:rPr>
                <w:rFonts w:hint="eastAsia" w:ascii="宋体" w:hAnsi="宋体"/>
                <w:kern w:val="0"/>
                <w:szCs w:val="21"/>
              </w:rPr>
            </w:pPr>
          </w:p>
          <w:p w14:paraId="2E2265D4">
            <w:pPr>
              <w:rPr>
                <w:rFonts w:hint="eastAsia" w:ascii="宋体" w:hAnsi="宋体"/>
                <w:kern w:val="0"/>
                <w:szCs w:val="21"/>
              </w:rPr>
            </w:pPr>
          </w:p>
          <w:p w14:paraId="112ADDA4">
            <w:pPr>
              <w:pStyle w:val="17"/>
              <w:rPr>
                <w:rFonts w:hint="eastAsia" w:ascii="宋体" w:hAnsi="宋体"/>
                <w:kern w:val="0"/>
                <w:szCs w:val="21"/>
              </w:rPr>
            </w:pPr>
          </w:p>
          <w:p w14:paraId="166DCE7B">
            <w:pPr>
              <w:rPr>
                <w:rFonts w:hint="eastAsia" w:ascii="宋体" w:hAnsi="宋体"/>
                <w:kern w:val="0"/>
                <w:szCs w:val="21"/>
              </w:rPr>
            </w:pPr>
          </w:p>
          <w:p w14:paraId="6BB7FB1D">
            <w:pPr>
              <w:pStyle w:val="17"/>
              <w:rPr>
                <w:rFonts w:hint="eastAsia" w:ascii="宋体" w:hAnsi="宋体"/>
                <w:kern w:val="0"/>
                <w:szCs w:val="21"/>
              </w:rPr>
            </w:pPr>
          </w:p>
          <w:p w14:paraId="11C45E26">
            <w:pPr>
              <w:rPr>
                <w:rFonts w:hint="eastAsia" w:ascii="宋体" w:hAnsi="宋体"/>
                <w:kern w:val="0"/>
                <w:szCs w:val="21"/>
              </w:rPr>
            </w:pPr>
          </w:p>
          <w:p w14:paraId="3BC4655B">
            <w:pPr>
              <w:pStyle w:val="17"/>
              <w:rPr>
                <w:rFonts w:hint="eastAsia" w:ascii="宋体" w:hAnsi="宋体"/>
                <w:kern w:val="0"/>
                <w:szCs w:val="21"/>
              </w:rPr>
            </w:pPr>
          </w:p>
          <w:p w14:paraId="045C172B">
            <w:pPr>
              <w:rPr>
                <w:rFonts w:hint="eastAsia" w:ascii="宋体" w:hAnsi="宋体"/>
                <w:kern w:val="0"/>
                <w:szCs w:val="21"/>
              </w:rPr>
            </w:pPr>
          </w:p>
          <w:p w14:paraId="276EB4B9">
            <w:pPr>
              <w:pStyle w:val="17"/>
              <w:rPr>
                <w:rFonts w:hint="eastAsia" w:ascii="宋体" w:hAnsi="宋体"/>
                <w:kern w:val="0"/>
                <w:szCs w:val="21"/>
              </w:rPr>
            </w:pPr>
          </w:p>
          <w:p w14:paraId="50F39493">
            <w:pPr>
              <w:rPr>
                <w:rFonts w:hint="eastAsia" w:ascii="宋体" w:hAnsi="宋体"/>
                <w:kern w:val="0"/>
                <w:szCs w:val="21"/>
              </w:rPr>
            </w:pPr>
          </w:p>
          <w:p w14:paraId="0624CBE9">
            <w:pPr>
              <w:pStyle w:val="17"/>
              <w:rPr>
                <w:rFonts w:hint="eastAsia" w:ascii="宋体" w:hAnsi="宋体"/>
                <w:kern w:val="0"/>
                <w:szCs w:val="21"/>
              </w:rPr>
            </w:pPr>
          </w:p>
          <w:p w14:paraId="68DF112E">
            <w:pPr>
              <w:rPr>
                <w:rFonts w:hint="eastAsia" w:ascii="宋体" w:hAnsi="宋体"/>
                <w:kern w:val="0"/>
                <w:szCs w:val="21"/>
              </w:rPr>
            </w:pPr>
          </w:p>
          <w:p w14:paraId="266542B4">
            <w:pPr>
              <w:pStyle w:val="17"/>
              <w:rPr>
                <w:rFonts w:hint="eastAsia" w:ascii="宋体" w:hAnsi="宋体"/>
                <w:kern w:val="0"/>
                <w:szCs w:val="21"/>
              </w:rPr>
            </w:pPr>
          </w:p>
          <w:p w14:paraId="4E3A7C71">
            <w:pPr>
              <w:rPr>
                <w:rFonts w:hint="eastAsia" w:ascii="宋体" w:hAnsi="宋体"/>
                <w:kern w:val="0"/>
                <w:szCs w:val="21"/>
              </w:rPr>
            </w:pPr>
          </w:p>
          <w:p w14:paraId="1787210A">
            <w:pPr>
              <w:pStyle w:val="17"/>
              <w:rPr>
                <w:rFonts w:hint="eastAsia" w:ascii="宋体" w:hAnsi="宋体"/>
                <w:kern w:val="0"/>
                <w:szCs w:val="21"/>
              </w:rPr>
            </w:pPr>
          </w:p>
          <w:p w14:paraId="67DA25B2">
            <w:pPr>
              <w:rPr>
                <w:rFonts w:hint="eastAsia" w:ascii="宋体" w:hAnsi="宋体"/>
                <w:kern w:val="0"/>
                <w:szCs w:val="21"/>
              </w:rPr>
            </w:pPr>
          </w:p>
          <w:p w14:paraId="1D56D3E2">
            <w:pPr>
              <w:pStyle w:val="17"/>
              <w:rPr>
                <w:rFonts w:hint="eastAsia" w:ascii="宋体" w:hAnsi="宋体"/>
                <w:kern w:val="0"/>
                <w:szCs w:val="21"/>
              </w:rPr>
            </w:pPr>
          </w:p>
          <w:p w14:paraId="14B862F5">
            <w:pPr>
              <w:rPr>
                <w:rFonts w:hint="eastAsia" w:ascii="宋体" w:hAnsi="宋体"/>
                <w:kern w:val="0"/>
                <w:szCs w:val="21"/>
              </w:rPr>
            </w:pPr>
          </w:p>
          <w:p w14:paraId="0E50F88F">
            <w:pPr>
              <w:pStyle w:val="17"/>
              <w:rPr>
                <w:rFonts w:hint="eastAsia" w:ascii="宋体" w:hAnsi="宋体"/>
                <w:kern w:val="0"/>
                <w:szCs w:val="21"/>
              </w:rPr>
            </w:pPr>
          </w:p>
          <w:p w14:paraId="45CB0E2E">
            <w:pPr>
              <w:rPr>
                <w:rFonts w:hint="eastAsia" w:ascii="宋体" w:hAnsi="宋体"/>
                <w:kern w:val="0"/>
                <w:szCs w:val="21"/>
              </w:rPr>
            </w:pPr>
          </w:p>
          <w:p w14:paraId="058D6261">
            <w:pPr>
              <w:pStyle w:val="17"/>
              <w:rPr>
                <w:rFonts w:hint="eastAsia" w:ascii="宋体" w:hAnsi="宋体"/>
                <w:kern w:val="0"/>
                <w:szCs w:val="21"/>
              </w:rPr>
            </w:pPr>
          </w:p>
          <w:p w14:paraId="60DDD65E">
            <w:pPr>
              <w:pStyle w:val="17"/>
              <w:rPr>
                <w:rFonts w:hint="eastAsia" w:ascii="宋体" w:hAnsi="宋体"/>
                <w:kern w:val="0"/>
                <w:szCs w:val="21"/>
              </w:rPr>
            </w:pPr>
          </w:p>
          <w:p w14:paraId="473F31B1">
            <w:pPr>
              <w:rPr>
                <w:rFonts w:hint="eastAsia" w:ascii="宋体" w:hAnsi="宋体"/>
                <w:kern w:val="0"/>
                <w:szCs w:val="21"/>
              </w:rPr>
            </w:pPr>
          </w:p>
          <w:p w14:paraId="3AD78655">
            <w:pPr>
              <w:pStyle w:val="17"/>
              <w:rPr>
                <w:rFonts w:hint="eastAsia" w:ascii="宋体" w:hAnsi="宋体"/>
                <w:kern w:val="0"/>
                <w:szCs w:val="21"/>
              </w:rPr>
            </w:pPr>
          </w:p>
          <w:p w14:paraId="3D62E25F">
            <w:pPr>
              <w:rPr>
                <w:rFonts w:hint="eastAsia" w:ascii="宋体" w:hAnsi="宋体"/>
                <w:kern w:val="0"/>
                <w:szCs w:val="21"/>
              </w:rPr>
            </w:pPr>
          </w:p>
          <w:p w14:paraId="14E4C4C6">
            <w:pPr>
              <w:pStyle w:val="17"/>
              <w:rPr>
                <w:rFonts w:hint="eastAsia" w:ascii="宋体" w:hAnsi="宋体"/>
                <w:kern w:val="0"/>
                <w:szCs w:val="21"/>
              </w:rPr>
            </w:pPr>
          </w:p>
          <w:p w14:paraId="5A857A8D">
            <w:pPr>
              <w:rPr>
                <w:rFonts w:hint="eastAsia" w:ascii="宋体" w:hAnsi="宋体"/>
                <w:kern w:val="0"/>
                <w:szCs w:val="21"/>
              </w:rPr>
            </w:pPr>
          </w:p>
          <w:p w14:paraId="3F2DE0E2">
            <w:pPr>
              <w:pStyle w:val="17"/>
              <w:rPr>
                <w:rFonts w:hint="eastAsia" w:ascii="宋体" w:hAnsi="宋体"/>
                <w:kern w:val="0"/>
                <w:szCs w:val="21"/>
              </w:rPr>
            </w:pPr>
          </w:p>
          <w:p w14:paraId="38E75284">
            <w:pPr>
              <w:rPr>
                <w:rFonts w:hint="eastAsia" w:ascii="宋体" w:hAnsi="宋体"/>
                <w:kern w:val="0"/>
                <w:szCs w:val="21"/>
              </w:rPr>
            </w:pPr>
          </w:p>
          <w:p w14:paraId="60F71B23">
            <w:pPr>
              <w:pStyle w:val="17"/>
              <w:rPr>
                <w:rFonts w:hint="eastAsia" w:ascii="宋体" w:hAnsi="宋体"/>
                <w:kern w:val="0"/>
                <w:szCs w:val="21"/>
              </w:rPr>
            </w:pPr>
          </w:p>
          <w:p w14:paraId="49EC278C">
            <w:pPr>
              <w:rPr>
                <w:rFonts w:hint="eastAsia" w:ascii="宋体" w:hAnsi="宋体"/>
                <w:kern w:val="0"/>
                <w:szCs w:val="21"/>
              </w:rPr>
            </w:pPr>
          </w:p>
          <w:p w14:paraId="6D9D9F39">
            <w:pPr>
              <w:pStyle w:val="17"/>
              <w:rPr>
                <w:rFonts w:hint="eastAsia" w:ascii="宋体" w:hAnsi="宋体"/>
                <w:kern w:val="0"/>
                <w:szCs w:val="21"/>
              </w:rPr>
            </w:pPr>
          </w:p>
          <w:p w14:paraId="2475E961">
            <w:pPr>
              <w:rPr>
                <w:rFonts w:hint="eastAsia" w:ascii="宋体" w:hAnsi="宋体"/>
                <w:kern w:val="0"/>
                <w:szCs w:val="21"/>
              </w:rPr>
            </w:pPr>
          </w:p>
          <w:p w14:paraId="60C68860">
            <w:pPr>
              <w:pStyle w:val="17"/>
              <w:rPr>
                <w:rFonts w:hint="eastAsia" w:ascii="宋体" w:hAnsi="宋体"/>
                <w:kern w:val="0"/>
                <w:szCs w:val="21"/>
              </w:rPr>
            </w:pPr>
          </w:p>
          <w:p w14:paraId="4F267C72">
            <w:pPr>
              <w:rPr>
                <w:rFonts w:hint="eastAsia"/>
                <w:b/>
                <w:bCs/>
              </w:rPr>
            </w:pPr>
            <w:r>
              <w:rPr>
                <w:rFonts w:ascii="宋体" w:hAnsi="宋体"/>
                <w:kern w:val="0"/>
                <w:szCs w:val="21"/>
              </w:rPr>
              <w:t>投标报价</w:t>
            </w:r>
            <w:r>
              <w:rPr>
                <w:rFonts w:hint="eastAsia" w:ascii="宋体" w:hAnsi="宋体"/>
                <w:kern w:val="0"/>
                <w:szCs w:val="21"/>
              </w:rPr>
              <w:t>的其他要求</w:t>
            </w:r>
          </w:p>
          <w:p w14:paraId="078E9FF2">
            <w:pPr>
              <w:pStyle w:val="17"/>
              <w:rPr>
                <w:rFonts w:hint="eastAsia" w:ascii="宋体" w:hAnsi="宋体"/>
                <w:kern w:val="0"/>
                <w:szCs w:val="21"/>
              </w:rPr>
            </w:pPr>
          </w:p>
          <w:p w14:paraId="2D1BAB70">
            <w:pPr>
              <w:rPr>
                <w:rFonts w:hint="eastAsia" w:ascii="宋体" w:hAnsi="宋体"/>
                <w:kern w:val="0"/>
                <w:szCs w:val="21"/>
              </w:rPr>
            </w:pPr>
          </w:p>
          <w:p w14:paraId="7687D247">
            <w:pPr>
              <w:pStyle w:val="17"/>
              <w:rPr>
                <w:rFonts w:hint="eastAsia" w:ascii="宋体" w:hAnsi="宋体"/>
                <w:kern w:val="0"/>
                <w:szCs w:val="21"/>
              </w:rPr>
            </w:pPr>
          </w:p>
          <w:p w14:paraId="39AECD5B">
            <w:pPr>
              <w:rPr>
                <w:rFonts w:hint="eastAsia" w:ascii="宋体" w:hAnsi="宋体"/>
                <w:kern w:val="0"/>
                <w:szCs w:val="21"/>
              </w:rPr>
            </w:pPr>
          </w:p>
          <w:p w14:paraId="7158DF9E">
            <w:pPr>
              <w:pStyle w:val="17"/>
              <w:rPr>
                <w:rFonts w:hint="eastAsia" w:ascii="宋体" w:hAnsi="宋体"/>
                <w:kern w:val="0"/>
                <w:szCs w:val="21"/>
              </w:rPr>
            </w:pPr>
          </w:p>
          <w:p w14:paraId="2F65A399">
            <w:pPr>
              <w:rPr>
                <w:rFonts w:hint="eastAsia" w:ascii="宋体" w:hAnsi="宋体"/>
                <w:kern w:val="0"/>
                <w:szCs w:val="21"/>
              </w:rPr>
            </w:pPr>
          </w:p>
          <w:p w14:paraId="0CC6C7FF">
            <w:pPr>
              <w:pStyle w:val="17"/>
              <w:rPr>
                <w:rFonts w:hint="eastAsia" w:ascii="宋体" w:hAnsi="宋体"/>
                <w:kern w:val="0"/>
                <w:szCs w:val="21"/>
              </w:rPr>
            </w:pPr>
          </w:p>
          <w:p w14:paraId="3B9B9A77">
            <w:pPr>
              <w:rPr>
                <w:rFonts w:hint="eastAsia" w:ascii="宋体" w:hAnsi="宋体"/>
                <w:kern w:val="0"/>
                <w:szCs w:val="21"/>
              </w:rPr>
            </w:pPr>
          </w:p>
          <w:p w14:paraId="0CDEED3D">
            <w:pPr>
              <w:pStyle w:val="17"/>
              <w:rPr>
                <w:rFonts w:hint="eastAsia" w:ascii="宋体" w:hAnsi="宋体"/>
                <w:kern w:val="0"/>
                <w:szCs w:val="21"/>
              </w:rPr>
            </w:pPr>
          </w:p>
          <w:p w14:paraId="36E6C35F">
            <w:pPr>
              <w:rPr>
                <w:rFonts w:hint="eastAsia" w:ascii="宋体" w:hAnsi="宋体"/>
                <w:kern w:val="0"/>
                <w:szCs w:val="21"/>
              </w:rPr>
            </w:pPr>
          </w:p>
          <w:p w14:paraId="0E30E781">
            <w:pPr>
              <w:pStyle w:val="17"/>
              <w:rPr>
                <w:rFonts w:hint="eastAsia" w:ascii="宋体" w:hAnsi="宋体"/>
                <w:kern w:val="0"/>
                <w:szCs w:val="21"/>
              </w:rPr>
            </w:pPr>
          </w:p>
          <w:p w14:paraId="1EB00796">
            <w:pPr>
              <w:rPr>
                <w:rFonts w:hint="eastAsia" w:ascii="宋体" w:hAnsi="宋体"/>
                <w:kern w:val="0"/>
                <w:szCs w:val="21"/>
              </w:rPr>
            </w:pPr>
          </w:p>
          <w:p w14:paraId="0EA4348B">
            <w:pPr>
              <w:pStyle w:val="17"/>
              <w:rPr>
                <w:rFonts w:hint="eastAsia" w:ascii="宋体" w:hAnsi="宋体"/>
                <w:kern w:val="0"/>
                <w:szCs w:val="21"/>
              </w:rPr>
            </w:pPr>
          </w:p>
          <w:p w14:paraId="1F3B940B">
            <w:pPr>
              <w:rPr>
                <w:rFonts w:hint="eastAsia" w:ascii="宋体" w:hAnsi="宋体"/>
                <w:kern w:val="0"/>
                <w:szCs w:val="21"/>
              </w:rPr>
            </w:pPr>
          </w:p>
          <w:p w14:paraId="6B076583">
            <w:pPr>
              <w:pStyle w:val="17"/>
              <w:rPr>
                <w:rFonts w:hint="eastAsia" w:ascii="宋体" w:hAnsi="宋体"/>
                <w:kern w:val="0"/>
                <w:szCs w:val="21"/>
              </w:rPr>
            </w:pPr>
          </w:p>
          <w:p w14:paraId="56A2A2B9">
            <w:pPr>
              <w:rPr>
                <w:rFonts w:hint="eastAsia" w:ascii="宋体" w:hAnsi="宋体"/>
                <w:kern w:val="0"/>
                <w:szCs w:val="21"/>
              </w:rPr>
            </w:pPr>
          </w:p>
          <w:p w14:paraId="593CE9D9">
            <w:pPr>
              <w:pStyle w:val="17"/>
              <w:rPr>
                <w:rFonts w:hint="eastAsia" w:ascii="宋体" w:hAnsi="宋体"/>
                <w:kern w:val="0"/>
                <w:szCs w:val="21"/>
              </w:rPr>
            </w:pPr>
          </w:p>
          <w:p w14:paraId="7FCB4B85">
            <w:pPr>
              <w:rPr>
                <w:rFonts w:hint="eastAsia" w:ascii="宋体" w:hAnsi="宋体"/>
                <w:kern w:val="0"/>
                <w:szCs w:val="21"/>
              </w:rPr>
            </w:pPr>
          </w:p>
          <w:p w14:paraId="4FB305A0">
            <w:pPr>
              <w:pStyle w:val="17"/>
              <w:rPr>
                <w:rFonts w:hint="eastAsia" w:ascii="宋体" w:hAnsi="宋体"/>
                <w:kern w:val="0"/>
                <w:szCs w:val="21"/>
              </w:rPr>
            </w:pPr>
          </w:p>
          <w:p w14:paraId="2DB9A3E7">
            <w:pPr>
              <w:rPr>
                <w:rFonts w:hint="eastAsia" w:ascii="宋体" w:hAnsi="宋体"/>
                <w:kern w:val="0"/>
                <w:szCs w:val="21"/>
              </w:rPr>
            </w:pPr>
          </w:p>
          <w:p w14:paraId="56CA01C8">
            <w:pPr>
              <w:pStyle w:val="17"/>
              <w:rPr>
                <w:rFonts w:hint="eastAsia" w:ascii="宋体" w:hAnsi="宋体"/>
                <w:kern w:val="0"/>
                <w:szCs w:val="21"/>
              </w:rPr>
            </w:pPr>
          </w:p>
          <w:p w14:paraId="69709F04">
            <w:pPr>
              <w:rPr>
                <w:rFonts w:hint="eastAsia" w:ascii="宋体" w:hAnsi="宋体"/>
                <w:kern w:val="0"/>
                <w:szCs w:val="21"/>
              </w:rPr>
            </w:pPr>
          </w:p>
          <w:p w14:paraId="031EC718">
            <w:pPr>
              <w:pStyle w:val="17"/>
              <w:rPr>
                <w:rFonts w:hint="eastAsia" w:ascii="宋体" w:hAnsi="宋体"/>
                <w:kern w:val="0"/>
                <w:szCs w:val="21"/>
              </w:rPr>
            </w:pPr>
          </w:p>
          <w:p w14:paraId="41461441">
            <w:pPr>
              <w:rPr>
                <w:rFonts w:hint="eastAsia" w:ascii="宋体" w:hAnsi="宋体"/>
                <w:kern w:val="0"/>
                <w:szCs w:val="21"/>
              </w:rPr>
            </w:pPr>
          </w:p>
          <w:p w14:paraId="381EA07B">
            <w:pPr>
              <w:pStyle w:val="17"/>
              <w:rPr>
                <w:rFonts w:hint="eastAsia" w:ascii="宋体" w:hAnsi="宋体"/>
                <w:kern w:val="0"/>
                <w:szCs w:val="21"/>
              </w:rPr>
            </w:pPr>
          </w:p>
          <w:p w14:paraId="3FA71E6F">
            <w:pPr>
              <w:rPr>
                <w:rFonts w:hint="eastAsia" w:ascii="宋体" w:hAnsi="宋体"/>
                <w:kern w:val="0"/>
                <w:szCs w:val="21"/>
              </w:rPr>
            </w:pPr>
          </w:p>
          <w:p w14:paraId="5DB72287">
            <w:pPr>
              <w:pStyle w:val="17"/>
              <w:rPr>
                <w:rFonts w:hint="eastAsia"/>
              </w:rPr>
            </w:pPr>
          </w:p>
          <w:p w14:paraId="396D960A">
            <w:pPr>
              <w:pStyle w:val="17"/>
              <w:rPr>
                <w:rFonts w:hint="eastAsia" w:ascii="宋体" w:hAnsi="宋体"/>
                <w:kern w:val="0"/>
                <w:szCs w:val="21"/>
              </w:rPr>
            </w:pPr>
            <w:r>
              <w:rPr>
                <w:rFonts w:ascii="宋体" w:hAnsi="宋体"/>
                <w:kern w:val="0"/>
                <w:szCs w:val="21"/>
              </w:rPr>
              <w:t>投标报价</w:t>
            </w:r>
            <w:r>
              <w:rPr>
                <w:rFonts w:hint="eastAsia" w:ascii="宋体" w:hAnsi="宋体"/>
                <w:kern w:val="0"/>
                <w:szCs w:val="21"/>
              </w:rPr>
              <w:t>的其他要求</w:t>
            </w:r>
          </w:p>
          <w:p w14:paraId="766BF3C2">
            <w:pPr>
              <w:rPr>
                <w:rFonts w:hint="eastAsia" w:ascii="宋体" w:hAnsi="宋体"/>
                <w:kern w:val="0"/>
                <w:szCs w:val="21"/>
              </w:rPr>
            </w:pPr>
          </w:p>
          <w:p w14:paraId="50609416">
            <w:pPr>
              <w:pStyle w:val="17"/>
            </w:pPr>
          </w:p>
        </w:tc>
        <w:tc>
          <w:tcPr>
            <w:tcW w:w="6490" w:type="dxa"/>
            <w:vAlign w:val="center"/>
          </w:tcPr>
          <w:p w14:paraId="53A7A275">
            <w:pPr>
              <w:pStyle w:val="17"/>
              <w:tabs>
                <w:tab w:val="left" w:pos="546"/>
                <w:tab w:val="left" w:pos="711"/>
              </w:tabs>
              <w:snapToGrid w:val="0"/>
              <w:spacing w:after="0" w:line="400" w:lineRule="exact"/>
              <w:ind w:firstLine="420" w:firstLineChars="200"/>
              <w:rPr>
                <w:rFonts w:hint="default" w:ascii="宋体" w:hAnsi="宋体" w:cs="宋体"/>
                <w:szCs w:val="21"/>
                <w:lang w:val="en-US" w:eastAsia="zh-CN"/>
              </w:rPr>
            </w:pPr>
            <w:r>
              <w:rPr>
                <w:rFonts w:hint="eastAsia" w:ascii="宋体" w:hAnsi="宋体" w:cs="宋体"/>
                <w:szCs w:val="21"/>
                <w:lang w:val="en-US" w:eastAsia="zh-CN"/>
              </w:rPr>
              <w:t>1.</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ascii="宋体" w:hAnsi="宋体" w:cs="宋体"/>
                <w:color w:val="auto"/>
                <w:szCs w:val="21"/>
                <w:highlight w:val="none"/>
                <w:lang w:eastAsia="zh-CN"/>
              </w:rPr>
              <w:t>。</w:t>
            </w:r>
            <w:r>
              <w:rPr>
                <w:rFonts w:hint="eastAsia" w:ascii="宋体" w:hAnsi="宋体" w:cs="宋体"/>
                <w:color w:val="auto"/>
                <w:szCs w:val="21"/>
                <w:highlight w:val="none"/>
              </w:rPr>
              <w:t>否则由评标委员会作否决投标处理</w:t>
            </w:r>
            <w:r>
              <w:rPr>
                <w:rFonts w:hint="eastAsia" w:ascii="宋体" w:hAnsi="宋体" w:cs="宋体"/>
                <w:color w:val="auto"/>
                <w:szCs w:val="21"/>
                <w:highlight w:val="none"/>
                <w:lang w:eastAsia="zh-CN"/>
              </w:rPr>
              <w:t>。</w:t>
            </w:r>
          </w:p>
          <w:p w14:paraId="348354C1">
            <w:pPr>
              <w:pStyle w:val="17"/>
              <w:keepNext w:val="0"/>
              <w:keepLines w:val="0"/>
              <w:pageBreakBefore w:val="0"/>
              <w:kinsoku/>
              <w:wordWrap/>
              <w:overflowPunct/>
              <w:topLinePunct w:val="0"/>
              <w:bidi w:val="0"/>
              <w:snapToGrid/>
              <w:spacing w:after="0" w:line="400" w:lineRule="exact"/>
              <w:ind w:firstLine="422" w:firstLineChars="200"/>
              <w:textAlignment w:val="auto"/>
              <w:rPr>
                <w:rFonts w:hint="eastAsia"/>
                <w:b/>
                <w:bCs/>
                <w:color w:val="auto"/>
                <w:lang w:eastAsia="zh-CN"/>
              </w:rPr>
            </w:pPr>
            <w:bookmarkStart w:id="85" w:name="OLE_LINK6"/>
            <w:r>
              <w:rPr>
                <w:rFonts w:hint="eastAsia" w:ascii="宋体" w:hAnsi="宋体" w:cs="宋体"/>
                <w:b/>
                <w:bCs/>
                <w:color w:val="auto"/>
                <w:szCs w:val="21"/>
                <w:lang w:val="en-US" w:eastAsia="zh-CN"/>
              </w:rPr>
              <w:t>2.</w:t>
            </w:r>
            <w:r>
              <w:rPr>
                <w:rFonts w:hint="default" w:ascii="宋体" w:hAnsi="宋体"/>
                <w:b/>
                <w:bCs/>
                <w:color w:val="auto"/>
                <w:kern w:val="0"/>
                <w:szCs w:val="21"/>
                <w:u w:val="none"/>
              </w:rPr>
              <w:t>投标人的</w:t>
            </w:r>
            <w:r>
              <w:rPr>
                <w:rFonts w:hint="eastAsia" w:ascii="宋体" w:hAnsi="宋体"/>
                <w:b/>
                <w:bCs/>
                <w:color w:val="auto"/>
                <w:kern w:val="0"/>
                <w:szCs w:val="21"/>
                <w:u w:val="none"/>
                <w:lang w:val="en-US" w:eastAsia="zh-CN"/>
              </w:rPr>
              <w:t>单项报价</w:t>
            </w:r>
            <w:r>
              <w:rPr>
                <w:rFonts w:hint="default" w:ascii="宋体" w:hAnsi="宋体"/>
                <w:b/>
                <w:bCs/>
                <w:color w:val="auto"/>
                <w:kern w:val="0"/>
                <w:szCs w:val="21"/>
                <w:u w:val="none"/>
              </w:rPr>
              <w:t>不得</w:t>
            </w:r>
            <w:r>
              <w:rPr>
                <w:rFonts w:hint="eastAsia" w:ascii="宋体" w:hAnsi="宋体"/>
                <w:b/>
                <w:bCs/>
                <w:color w:val="auto"/>
                <w:kern w:val="0"/>
                <w:szCs w:val="21"/>
                <w:u w:val="none"/>
                <w:lang w:val="en-US" w:eastAsia="zh-CN"/>
              </w:rPr>
              <w:t>为零报价</w:t>
            </w:r>
            <w:r>
              <w:rPr>
                <w:rFonts w:hint="eastAsia" w:ascii="宋体" w:hAnsi="宋体" w:eastAsia="宋体" w:cs="Times New Roman"/>
                <w:b/>
                <w:bCs/>
                <w:i w:val="0"/>
                <w:iCs w:val="0"/>
                <w:caps w:val="0"/>
                <w:color w:val="auto"/>
                <w:spacing w:val="0"/>
                <w:kern w:val="0"/>
                <w:sz w:val="21"/>
                <w:szCs w:val="21"/>
                <w:u w:val="none"/>
                <w:shd w:val="clear"/>
              </w:rPr>
              <w:t>（招标人提供的单项报价最高限价中金额为零的除外）</w:t>
            </w:r>
            <w:r>
              <w:rPr>
                <w:rFonts w:hint="eastAsia" w:ascii="宋体" w:hAnsi="宋体"/>
                <w:b/>
                <w:bCs/>
                <w:color w:val="auto"/>
                <w:kern w:val="0"/>
                <w:szCs w:val="21"/>
                <w:u w:val="none"/>
                <w:lang w:val="en-US" w:eastAsia="zh-CN"/>
              </w:rPr>
              <w:t>或者负数报价，否则</w:t>
            </w:r>
            <w:r>
              <w:rPr>
                <w:rFonts w:hint="eastAsia"/>
                <w:b/>
                <w:bCs/>
                <w:color w:val="auto"/>
              </w:rPr>
              <w:t>由评标委员会作否决投标处理</w:t>
            </w:r>
            <w:r>
              <w:rPr>
                <w:rFonts w:hint="eastAsia"/>
                <w:b/>
                <w:bCs/>
                <w:color w:val="auto"/>
                <w:lang w:eastAsia="zh-CN"/>
              </w:rPr>
              <w:t>。</w:t>
            </w:r>
            <w:bookmarkEnd w:id="85"/>
          </w:p>
          <w:p w14:paraId="6F890439">
            <w:pPr>
              <w:pStyle w:val="17"/>
              <w:keepNext w:val="0"/>
              <w:keepLines w:val="0"/>
              <w:pageBreakBefore w:val="0"/>
              <w:tabs>
                <w:tab w:val="left" w:pos="546"/>
                <w:tab w:val="left" w:pos="711"/>
              </w:tabs>
              <w:kinsoku/>
              <w:wordWrap/>
              <w:overflowPunct/>
              <w:topLinePunct w:val="0"/>
              <w:bidi w:val="0"/>
              <w:snapToGrid w:val="0"/>
              <w:spacing w:after="0" w:line="400" w:lineRule="exact"/>
              <w:ind w:firstLine="420" w:firstLineChars="200"/>
              <w:textAlignment w:val="auto"/>
              <w:rPr>
                <w:rFonts w:hint="eastAsia"/>
                <w:color w:val="auto"/>
              </w:rPr>
            </w:pPr>
            <w:r>
              <w:rPr>
                <w:rFonts w:hint="eastAsia"/>
                <w:color w:val="auto"/>
              </w:rPr>
              <w:t>招标人在发出中标通知书前将对中标人的各项报价进行复核，若发现中标人各项报价中存在</w:t>
            </w:r>
            <w:r>
              <w:rPr>
                <w:rFonts w:hint="eastAsia"/>
                <w:color w:val="auto"/>
                <w:lang w:val="en-US" w:eastAsia="zh-CN"/>
              </w:rPr>
              <w:t>零报价或者</w:t>
            </w:r>
            <w:r>
              <w:rPr>
                <w:rFonts w:hint="eastAsia"/>
                <w:color w:val="auto"/>
              </w:rPr>
              <w:t>负数报价的情形，招标人按相关规定取消其中标资格，其投标保证金不予退还，中标人承担因此造成的相关责任并赔偿相应损失。</w:t>
            </w:r>
          </w:p>
          <w:p w14:paraId="6F6E7F05">
            <w:pPr>
              <w:pStyle w:val="15"/>
              <w:pageBreakBefore w:val="0"/>
              <w:numPr>
                <w:ilvl w:val="0"/>
                <w:numId w:val="0"/>
              </w:numPr>
              <w:kinsoku/>
              <w:topLinePunct w:val="0"/>
              <w:bidi w:val="0"/>
              <w:spacing w:line="360" w:lineRule="auto"/>
              <w:ind w:firstLine="420" w:firstLineChars="200"/>
              <w:rPr>
                <w:rFonts w:hint="eastAsia" w:ascii="宋体" w:hAnsi="宋体" w:eastAsia="宋体" w:cs="宋体"/>
                <w:color w:val="auto"/>
                <w:highlight w:val="none"/>
              </w:rPr>
            </w:pPr>
            <w:r>
              <w:rPr>
                <w:rFonts w:hint="eastAsia" w:ascii="宋体" w:hAnsi="宋体" w:cs="宋体"/>
                <w:b w:val="0"/>
                <w:bCs w:val="0"/>
                <w:color w:val="auto"/>
                <w:sz w:val="21"/>
                <w:szCs w:val="21"/>
                <w:highlight w:val="none"/>
                <w:lang w:val="en-US" w:eastAsia="zh-CN"/>
              </w:rPr>
              <w:t>3.</w:t>
            </w:r>
            <w:r>
              <w:rPr>
                <w:rFonts w:hint="eastAsia" w:ascii="宋体" w:hAnsi="宋体" w:eastAsia="宋体" w:cs="宋体"/>
                <w:color w:val="auto"/>
                <w:szCs w:val="21"/>
                <w:highlight w:val="none"/>
              </w:rPr>
              <w:t>投标人应按</w:t>
            </w:r>
            <w:r>
              <w:rPr>
                <w:rFonts w:hint="eastAsia" w:ascii="宋体" w:hAnsi="宋体" w:eastAsia="宋体" w:cs="宋体"/>
                <w:color w:val="auto"/>
                <w:szCs w:val="21"/>
                <w:highlight w:val="none"/>
                <w:lang w:val="en-US" w:eastAsia="zh-CN"/>
              </w:rPr>
              <w:t>照第五章供货要求</w:t>
            </w:r>
            <w:r>
              <w:rPr>
                <w:rFonts w:hint="eastAsia" w:ascii="宋体" w:hAnsi="宋体" w:eastAsia="宋体" w:cs="宋体"/>
                <w:color w:val="auto"/>
                <w:kern w:val="0"/>
                <w:szCs w:val="21"/>
                <w:highlight w:val="none"/>
                <w:u w:val="none"/>
                <w:lang w:eastAsia="zh-CN"/>
              </w:rPr>
              <w:t>、</w:t>
            </w:r>
            <w:r>
              <w:rPr>
                <w:rFonts w:hint="eastAsia" w:ascii="宋体" w:hAnsi="宋体" w:eastAsia="宋体" w:cs="宋体"/>
                <w:color w:val="auto"/>
                <w:kern w:val="0"/>
                <w:szCs w:val="21"/>
                <w:highlight w:val="none"/>
                <w:u w:val="none"/>
              </w:rPr>
              <w:t>招标文件</w:t>
            </w:r>
            <w:r>
              <w:rPr>
                <w:rFonts w:hint="eastAsia" w:ascii="宋体" w:hAnsi="宋体" w:eastAsia="宋体" w:cs="宋体"/>
                <w:color w:val="auto"/>
                <w:kern w:val="0"/>
                <w:szCs w:val="21"/>
                <w:highlight w:val="none"/>
                <w:u w:val="none"/>
                <w:lang w:eastAsia="zh-CN"/>
              </w:rPr>
              <w:t>、</w:t>
            </w:r>
            <w:r>
              <w:rPr>
                <w:rFonts w:hint="eastAsia" w:ascii="宋体" w:hAnsi="宋体" w:eastAsia="宋体" w:cs="宋体"/>
                <w:color w:val="auto"/>
                <w:kern w:val="0"/>
                <w:szCs w:val="21"/>
                <w:highlight w:val="none"/>
                <w:u w:val="none"/>
                <w:lang w:val="en-US" w:eastAsia="zh-CN"/>
              </w:rPr>
              <w:t>补遗</w:t>
            </w:r>
            <w:r>
              <w:rPr>
                <w:rFonts w:hint="eastAsia" w:ascii="宋体" w:hAnsi="宋体" w:eastAsia="宋体" w:cs="宋体"/>
                <w:color w:val="auto"/>
                <w:kern w:val="0"/>
                <w:szCs w:val="21"/>
                <w:highlight w:val="none"/>
                <w:u w:val="none"/>
              </w:rPr>
              <w:t>、答疑、施工现场情况、工程特点、国家及地方的技术标准、规范及规程等，结合本企业的经营情况、自身实力和企业发展策略以及市场行情和招标文件对质量、工期的</w:t>
            </w:r>
            <w:r>
              <w:rPr>
                <w:rFonts w:hint="eastAsia" w:ascii="宋体" w:hAnsi="宋体" w:eastAsia="宋体" w:cs="宋体"/>
                <w:color w:val="auto"/>
                <w:szCs w:val="21"/>
                <w:highlight w:val="none"/>
              </w:rPr>
              <w:t>要求填写相应清单表格。投标人的投标报价应是本章投标人须知前附表第1.3.1项中所述的本合同段招标范围内的全部的投标报价，</w:t>
            </w:r>
            <w:r>
              <w:rPr>
                <w:rFonts w:hint="eastAsia" w:ascii="宋体" w:hAnsi="宋体" w:eastAsia="宋体" w:cs="宋体"/>
                <w:color w:val="auto"/>
                <w:highlight w:val="none"/>
              </w:rPr>
              <w:t>以及投标人企业定额、市场行情进行自主合理报价。</w:t>
            </w:r>
          </w:p>
          <w:p w14:paraId="0BFB9296">
            <w:pPr>
              <w:pStyle w:val="15"/>
              <w:pageBreakBefore w:val="0"/>
              <w:kinsoku/>
              <w:topLinePunct w:val="0"/>
              <w:bidi w:val="0"/>
              <w:spacing w:line="360" w:lineRule="auto"/>
              <w:ind w:firstLine="420" w:firstLineChars="200"/>
              <w:rPr>
                <w:rFonts w:hint="eastAsia" w:ascii="宋体" w:hAnsi="宋体" w:eastAsia="宋体" w:cs="宋体"/>
                <w:caps w:val="0"/>
                <w:smallCaps w:val="0"/>
                <w:color w:val="auto"/>
                <w:sz w:val="21"/>
                <w:szCs w:val="21"/>
                <w:lang w:val="en-US" w:eastAsia="zh-CN"/>
              </w:rPr>
            </w:pPr>
            <w:r>
              <w:rPr>
                <w:rFonts w:hint="eastAsia" w:ascii="宋体" w:hAnsi="宋体" w:cs="宋体"/>
                <w:color w:val="auto"/>
                <w:highlight w:val="none"/>
                <w:lang w:val="en-US" w:eastAsia="zh-CN"/>
              </w:rPr>
              <w:t>4.</w:t>
            </w:r>
            <w:r>
              <w:rPr>
                <w:rFonts w:hint="eastAsia" w:ascii="宋体" w:hAnsi="宋体" w:eastAsia="宋体" w:cs="宋体"/>
                <w:color w:val="auto"/>
                <w:kern w:val="0"/>
                <w:sz w:val="21"/>
                <w:szCs w:val="21"/>
                <w:highlight w:val="none"/>
                <w:u w:val="none"/>
                <w:vertAlign w:val="baseline"/>
                <w:lang w:val="en-US" w:eastAsia="zh-CN"/>
              </w:rPr>
              <w:t>除非专用合同条款中另有规定，投标人所报的综合单价和合价，以及投标总报价均包括了投标人为实施和完成该项目招标范围所确定的全部工程内容所需的人工费、设备设计费、制造费、专利费、设备包装及运输费、国际国内发生的通关所有费用（若有） 、关税（若有）、到项目施工现场落地初验、转运、仓储、安装（含配套土建和建筑变更）、调试、验收及质保期的各项费用等相关费用、企业管理费、利润、风险费、措施费（含安全文明施工费、疫情常态化防疫措施费等）、规费、税金（含增值税、城建税、教育费附加、地方教育附加）、配合费、二次或多次转运费、建设工程竣工档案编制费、垃圾清运费、成品保护费、养护费、工程建设招标投标交易服务费、政策性文件规定费用、项目所在地建设主管部门要求的智慧工地管理、施工和竣工交付等所有与该项目采购、施工相关的费用，中标后按招标人要求</w:t>
            </w:r>
            <w:r>
              <w:rPr>
                <w:rFonts w:hint="eastAsia" w:ascii="宋体" w:hAnsi="宋体"/>
                <w:color w:val="auto"/>
                <w:szCs w:val="21"/>
                <w:highlight w:val="none"/>
              </w:rPr>
              <w:t>到</w:t>
            </w:r>
            <w:r>
              <w:rPr>
                <w:rFonts w:hint="eastAsia" w:ascii="宋体" w:hAnsi="宋体"/>
                <w:color w:val="auto"/>
                <w:szCs w:val="21"/>
                <w:highlight w:val="none"/>
                <w:lang w:val="en-US" w:eastAsia="zh-CN"/>
              </w:rPr>
              <w:t>项目所在地</w:t>
            </w:r>
            <w:r>
              <w:rPr>
                <w:rFonts w:hint="eastAsia" w:ascii="宋体" w:hAnsi="宋体"/>
                <w:color w:val="auto"/>
                <w:szCs w:val="21"/>
                <w:highlight w:val="none"/>
              </w:rPr>
              <w:t>进行培训</w:t>
            </w:r>
            <w:r>
              <w:rPr>
                <w:rFonts w:hint="eastAsia" w:ascii="宋体" w:hAnsi="宋体"/>
                <w:color w:val="auto"/>
                <w:szCs w:val="21"/>
                <w:highlight w:val="none"/>
                <w:lang w:eastAsia="zh-CN"/>
              </w:rPr>
              <w:t>的</w:t>
            </w:r>
            <w:r>
              <w:rPr>
                <w:rFonts w:hint="eastAsia" w:ascii="宋体" w:hAnsi="宋体"/>
                <w:color w:val="auto"/>
                <w:szCs w:val="21"/>
                <w:highlight w:val="none"/>
                <w:lang w:val="en-US" w:eastAsia="zh-CN"/>
              </w:rPr>
              <w:t>相关费用、</w:t>
            </w:r>
            <w:r>
              <w:rPr>
                <w:rFonts w:hint="eastAsia" w:ascii="宋体" w:hAnsi="宋体" w:eastAsia="宋体" w:cs="宋体"/>
                <w:color w:val="auto"/>
                <w:kern w:val="0"/>
                <w:sz w:val="21"/>
                <w:szCs w:val="21"/>
                <w:highlight w:val="none"/>
                <w:u w:val="none"/>
                <w:vertAlign w:val="baseline"/>
                <w:lang w:val="en-US" w:eastAsia="zh-CN"/>
              </w:rPr>
              <w:t>以及专用合同条款明示或暗示的所有责任、义务和风险。投标人的投标报价视为是一个有经验的投标人，在对工程充分了解及对风险充分估计后所作的完备报价。</w:t>
            </w:r>
          </w:p>
          <w:p w14:paraId="6FCE2AE4">
            <w:pPr>
              <w:keepNext w:val="0"/>
              <w:keepLines w:val="0"/>
              <w:pageBreakBefore w:val="0"/>
              <w:widowControl w:val="0"/>
              <w:tabs>
                <w:tab w:val="left" w:pos="546"/>
                <w:tab w:val="left" w:pos="711"/>
              </w:tabs>
              <w:kinsoku/>
              <w:wordWrap/>
              <w:overflowPunct/>
              <w:topLinePunct w:val="0"/>
              <w:autoSpaceDE/>
              <w:autoSpaceDN/>
              <w:bidi w:val="0"/>
              <w:adjustRightInd/>
              <w:snapToGrid w:val="0"/>
              <w:spacing w:line="360" w:lineRule="auto"/>
              <w:ind w:firstLine="420" w:firstLineChars="200"/>
              <w:jc w:val="left"/>
              <w:textAlignment w:val="auto"/>
              <w:rPr>
                <w:rFonts w:hint="eastAsia" w:ascii="宋体" w:hAnsi="宋体"/>
                <w:color w:val="auto"/>
                <w:szCs w:val="21"/>
                <w:highlight w:val="none"/>
              </w:rPr>
            </w:pPr>
            <w:r>
              <w:rPr>
                <w:rFonts w:hint="eastAsia" w:ascii="宋体" w:hAnsi="宋体" w:eastAsia="宋体" w:cs="宋体"/>
                <w:caps w:val="0"/>
                <w:smallCaps w:val="0"/>
                <w:color w:val="auto"/>
                <w:sz w:val="21"/>
                <w:szCs w:val="21"/>
                <w:lang w:val="en-US" w:eastAsia="zh-CN"/>
              </w:rPr>
              <w:t>5.招标人如果有暂列金额、暂估价等，投标人不得修改，否则，将被认定为废标。</w:t>
            </w:r>
            <w:r>
              <w:rPr>
                <w:rFonts w:hint="eastAsia" w:ascii="宋体" w:hAnsi="宋体"/>
                <w:color w:val="auto"/>
                <w:szCs w:val="21"/>
                <w:highlight w:val="none"/>
              </w:rPr>
              <w:t xml:space="preserve"> </w:t>
            </w:r>
          </w:p>
          <w:p w14:paraId="2D8B7492">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6</w:t>
            </w:r>
            <w:r>
              <w:rPr>
                <w:rFonts w:hint="eastAsia" w:ascii="宋体" w:hAnsi="宋体" w:eastAsia="宋体" w:cs="宋体"/>
                <w:color w:val="auto"/>
                <w:sz w:val="21"/>
                <w:szCs w:val="21"/>
                <w:highlight w:val="none"/>
              </w:rPr>
              <w:t>.</w:t>
            </w:r>
            <w:r>
              <w:rPr>
                <w:rFonts w:hint="eastAsia" w:ascii="宋体" w:hAnsi="宋体" w:cs="宋体"/>
                <w:color w:val="auto"/>
                <w:sz w:val="21"/>
                <w:szCs w:val="21"/>
                <w:highlight w:val="none"/>
                <w:lang w:val="en-US" w:eastAsia="zh-CN"/>
              </w:rPr>
              <w:t>投标人投标</w:t>
            </w:r>
            <w:r>
              <w:rPr>
                <w:rFonts w:hint="eastAsia" w:ascii="宋体" w:hAnsi="宋体" w:eastAsia="宋体" w:cs="宋体"/>
                <w:color w:val="auto"/>
                <w:sz w:val="21"/>
                <w:szCs w:val="21"/>
                <w:highlight w:val="none"/>
              </w:rPr>
              <w:t>报价</w:t>
            </w:r>
            <w:r>
              <w:rPr>
                <w:rFonts w:hint="eastAsia" w:ascii="宋体" w:hAnsi="宋体" w:cs="宋体"/>
                <w:color w:val="auto"/>
                <w:sz w:val="21"/>
                <w:szCs w:val="21"/>
                <w:highlight w:val="none"/>
                <w:lang w:eastAsia="zh-CN"/>
              </w:rPr>
              <w:t>的</w:t>
            </w:r>
            <w:r>
              <w:rPr>
                <w:rFonts w:hint="eastAsia" w:ascii="宋体" w:hAnsi="宋体" w:cs="宋体"/>
                <w:color w:val="auto"/>
                <w:sz w:val="21"/>
                <w:szCs w:val="21"/>
                <w:highlight w:val="none"/>
                <w:lang w:val="en-US" w:eastAsia="zh-CN"/>
              </w:rPr>
              <w:t>特别说明:</w:t>
            </w:r>
          </w:p>
          <w:p w14:paraId="30CF9250">
            <w:pPr>
              <w:keepNext w:val="0"/>
              <w:keepLines w:val="0"/>
              <w:pageBreakBefore w:val="0"/>
              <w:kinsoku/>
              <w:wordWrap/>
              <w:overflowPunct/>
              <w:topLinePunct w:val="0"/>
              <w:bidi w:val="0"/>
              <w:snapToGrid w:val="0"/>
              <w:spacing w:line="360" w:lineRule="auto"/>
              <w:ind w:firstLine="422" w:firstLineChars="200"/>
              <w:textAlignment w:val="auto"/>
              <w:rPr>
                <w:rFonts w:hint="eastAsia" w:ascii="宋体"/>
                <w:b/>
                <w:bCs/>
                <w:color w:val="auto"/>
                <w:szCs w:val="21"/>
                <w:highlight w:val="none"/>
                <w:u w:val="none"/>
                <w:lang w:val="en-US" w:eastAsia="zh-CN"/>
              </w:rPr>
            </w:pPr>
            <w:r>
              <w:rPr>
                <w:rFonts w:hint="eastAsia" w:ascii="宋体"/>
                <w:b/>
                <w:bCs/>
                <w:color w:val="auto"/>
                <w:szCs w:val="21"/>
                <w:highlight w:val="none"/>
                <w:u w:val="none"/>
                <w:lang w:val="en-US" w:eastAsia="zh-CN"/>
              </w:rPr>
              <w:t>以下义务、责任和风险可能产生的</w:t>
            </w:r>
            <w:r>
              <w:rPr>
                <w:rFonts w:hint="eastAsia" w:ascii="宋体"/>
                <w:b/>
                <w:bCs/>
                <w:color w:val="auto"/>
                <w:szCs w:val="21"/>
                <w:highlight w:val="none"/>
                <w:u w:val="none"/>
              </w:rPr>
              <w:t>相关费用</w:t>
            </w:r>
            <w:r>
              <w:rPr>
                <w:rFonts w:hint="eastAsia" w:ascii="宋体"/>
                <w:b/>
                <w:bCs/>
                <w:color w:val="auto"/>
                <w:szCs w:val="21"/>
                <w:highlight w:val="none"/>
                <w:u w:val="none"/>
                <w:lang w:val="en-US" w:eastAsia="zh-CN"/>
              </w:rPr>
              <w:t>投标人应综合考虑将其纳入到综合报价中。</w:t>
            </w:r>
          </w:p>
          <w:p w14:paraId="2ED9D805">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6.1</w:t>
            </w:r>
            <w:r>
              <w:rPr>
                <w:rFonts w:hint="eastAsia" w:ascii="宋体" w:hAnsi="宋体" w:eastAsia="宋体" w:cs="宋体"/>
                <w:color w:val="auto"/>
                <w:sz w:val="21"/>
                <w:szCs w:val="21"/>
                <w:highlight w:val="none"/>
              </w:rPr>
              <w:t>投标人应自行踏勘以充分了解工地位置、地质情况、进出场道路、水电气现状、储存空间、装卸限制、行车干扰及任何其它足以影响承包价格的情况，任何因忽视上述情况而导致的索赔或工期延长申请将不获批准，相关费用</w:t>
            </w:r>
            <w:r>
              <w:rPr>
                <w:rFonts w:hint="eastAsia" w:ascii="宋体" w:hAnsi="宋体" w:cs="宋体"/>
                <w:color w:val="auto"/>
                <w:sz w:val="21"/>
                <w:szCs w:val="21"/>
                <w:highlight w:val="none"/>
                <w:lang w:val="en-US" w:eastAsia="zh-CN"/>
              </w:rPr>
              <w:t>投标人</w:t>
            </w:r>
            <w:r>
              <w:rPr>
                <w:rFonts w:hint="eastAsia" w:ascii="宋体" w:hAnsi="宋体" w:eastAsia="宋体" w:cs="宋体"/>
                <w:color w:val="auto"/>
                <w:sz w:val="21"/>
                <w:szCs w:val="21"/>
                <w:highlight w:val="none"/>
              </w:rPr>
              <w:t>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cs="宋体"/>
                <w:color w:val="auto"/>
                <w:sz w:val="21"/>
                <w:szCs w:val="21"/>
                <w:highlight w:val="none"/>
                <w:lang w:eastAsia="zh-CN"/>
              </w:rPr>
              <w:t>。</w:t>
            </w:r>
            <w:r>
              <w:rPr>
                <w:rFonts w:hint="eastAsia" w:ascii="宋体" w:hAnsi="宋体" w:cs="宋体"/>
                <w:color w:val="auto"/>
                <w:sz w:val="21"/>
                <w:szCs w:val="21"/>
                <w:highlight w:val="none"/>
                <w:lang w:val="en-US" w:eastAsia="zh-CN"/>
              </w:rPr>
              <w:t>中标后</w:t>
            </w:r>
            <w:r>
              <w:rPr>
                <w:rFonts w:hint="eastAsia" w:ascii="新宋体" w:hAnsi="新宋体" w:eastAsia="新宋体" w:cs="新宋体"/>
                <w:color w:val="auto"/>
                <w:szCs w:val="21"/>
                <w:highlight w:val="none"/>
              </w:rPr>
              <w:t>不得以不完全了解现场情况、</w:t>
            </w:r>
            <w:r>
              <w:rPr>
                <w:rFonts w:hint="eastAsia" w:ascii="新宋体" w:hAnsi="新宋体" w:eastAsia="新宋体" w:cs="新宋体"/>
                <w:color w:val="auto"/>
                <w:szCs w:val="21"/>
                <w:highlight w:val="none"/>
                <w:lang w:val="en-US" w:eastAsia="zh-CN"/>
              </w:rPr>
              <w:t>招标</w:t>
            </w:r>
            <w:r>
              <w:rPr>
                <w:rFonts w:hint="eastAsia" w:ascii="新宋体" w:hAnsi="新宋体" w:eastAsia="新宋体" w:cs="新宋体"/>
                <w:color w:val="auto"/>
                <w:szCs w:val="21"/>
                <w:highlight w:val="none"/>
              </w:rPr>
              <w:t>人提供的</w:t>
            </w:r>
            <w:r>
              <w:rPr>
                <w:rFonts w:hint="eastAsia" w:ascii="新宋体" w:hAnsi="新宋体" w:eastAsia="新宋体" w:cs="新宋体"/>
                <w:color w:val="auto"/>
                <w:szCs w:val="21"/>
                <w:highlight w:val="none"/>
                <w:lang w:val="en-US" w:eastAsia="zh-CN"/>
              </w:rPr>
              <w:t>要求及其他相关资料</w:t>
            </w:r>
            <w:r>
              <w:rPr>
                <w:rFonts w:hint="eastAsia" w:ascii="新宋体" w:hAnsi="新宋体" w:eastAsia="新宋体" w:cs="新宋体"/>
                <w:color w:val="auto"/>
                <w:szCs w:val="21"/>
                <w:highlight w:val="none"/>
              </w:rPr>
              <w:t>与实际有差异为由，提出额外款项或延长</w:t>
            </w:r>
            <w:r>
              <w:rPr>
                <w:rFonts w:hint="eastAsia" w:ascii="新宋体" w:hAnsi="新宋体" w:eastAsia="新宋体" w:cs="新宋体"/>
                <w:color w:val="auto"/>
                <w:szCs w:val="21"/>
                <w:highlight w:val="none"/>
                <w:lang w:val="en-US" w:eastAsia="zh-CN"/>
              </w:rPr>
              <w:t>工期的要求</w:t>
            </w:r>
            <w:r>
              <w:rPr>
                <w:rFonts w:hint="eastAsia" w:ascii="新宋体" w:hAnsi="新宋体" w:eastAsia="新宋体" w:cs="新宋体"/>
                <w:color w:val="auto"/>
                <w:szCs w:val="21"/>
                <w:highlight w:val="none"/>
                <w:lang w:eastAsia="zh-CN"/>
              </w:rPr>
              <w:t>。</w:t>
            </w:r>
          </w:p>
          <w:p w14:paraId="3830CEF9">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Times New Roman"/>
                <w:color w:val="auto"/>
                <w:kern w:val="0"/>
                <w:sz w:val="21"/>
                <w:szCs w:val="21"/>
                <w:highlight w:val="none"/>
                <w:u w:val="none"/>
                <w:vertAlign w:val="baseline"/>
                <w:lang w:val="en-US" w:eastAsia="zh-CN"/>
              </w:rPr>
            </w:pPr>
            <w:r>
              <w:rPr>
                <w:rFonts w:hint="eastAsia" w:ascii="宋体" w:hAnsi="宋体" w:cs="Times New Roman"/>
                <w:color w:val="auto"/>
                <w:kern w:val="0"/>
                <w:sz w:val="21"/>
                <w:szCs w:val="21"/>
                <w:highlight w:val="none"/>
                <w:u w:val="none"/>
                <w:vertAlign w:val="baseline"/>
                <w:lang w:val="en-US" w:eastAsia="zh-CN"/>
              </w:rPr>
              <w:t>6.2</w:t>
            </w:r>
            <w:r>
              <w:rPr>
                <w:rFonts w:hint="eastAsia" w:ascii="宋体" w:hAnsi="宋体" w:eastAsia="宋体" w:cs="Times New Roman"/>
                <w:color w:val="auto"/>
                <w:kern w:val="0"/>
                <w:sz w:val="21"/>
                <w:szCs w:val="21"/>
                <w:highlight w:val="none"/>
                <w:u w:val="none"/>
                <w:vertAlign w:val="baseline"/>
                <w:lang w:val="en-US" w:eastAsia="zh-CN"/>
              </w:rPr>
              <w:t>投标人应结合项目实际情况</w:t>
            </w:r>
            <w:r>
              <w:rPr>
                <w:rFonts w:hint="eastAsia" w:ascii="宋体" w:hAnsi="宋体" w:cs="Times New Roman"/>
                <w:color w:val="auto"/>
                <w:kern w:val="0"/>
                <w:sz w:val="21"/>
                <w:szCs w:val="21"/>
                <w:highlight w:val="none"/>
                <w:u w:val="none"/>
                <w:vertAlign w:val="baseline"/>
                <w:lang w:val="en-US" w:eastAsia="zh-CN"/>
              </w:rPr>
              <w:t>以及</w:t>
            </w:r>
            <w:r>
              <w:rPr>
                <w:rFonts w:hint="eastAsia" w:ascii="宋体" w:hAnsi="宋体" w:eastAsia="宋体" w:cs="Times New Roman"/>
                <w:color w:val="auto"/>
                <w:kern w:val="0"/>
                <w:sz w:val="21"/>
                <w:szCs w:val="21"/>
                <w:highlight w:val="none"/>
                <w:u w:val="none"/>
                <w:vertAlign w:val="baseline"/>
                <w:lang w:val="en-US" w:eastAsia="zh-CN"/>
              </w:rPr>
              <w:t>自身施工组织设计和国家及重庆市相关管理规定</w:t>
            </w:r>
            <w:r>
              <w:rPr>
                <w:rFonts w:hint="eastAsia" w:ascii="宋体" w:hAnsi="宋体" w:cs="宋体"/>
                <w:color w:val="auto"/>
                <w:sz w:val="21"/>
                <w:szCs w:val="21"/>
                <w:highlight w:val="none"/>
                <w:lang w:val="en-US" w:eastAsia="zh-CN"/>
              </w:rPr>
              <w:t>投标人</w:t>
            </w:r>
            <w:r>
              <w:rPr>
                <w:rFonts w:hint="eastAsia" w:ascii="宋体" w:hAnsi="宋体" w:eastAsia="宋体" w:cs="宋体"/>
                <w:color w:val="auto"/>
                <w:sz w:val="21"/>
                <w:szCs w:val="21"/>
                <w:highlight w:val="none"/>
              </w:rPr>
              <w:t>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Times New Roman"/>
                <w:color w:val="auto"/>
                <w:kern w:val="0"/>
                <w:sz w:val="21"/>
                <w:szCs w:val="21"/>
                <w:highlight w:val="none"/>
                <w:u w:val="none"/>
                <w:vertAlign w:val="baseline"/>
                <w:lang w:val="en-US" w:eastAsia="zh-CN"/>
              </w:rPr>
              <w:t>，措施项目费清单包括施工组织措施项目清单和施工技术措施项目清单两部分。中标后必须按招标人的指令及施工设计图完成该项工作内容。中标后投标人不得以其他任何理由要求招标人</w:t>
            </w:r>
            <w:r>
              <w:rPr>
                <w:rFonts w:hint="eastAsia" w:ascii="宋体" w:hAnsi="宋体" w:cs="Times New Roman"/>
                <w:color w:val="auto"/>
                <w:kern w:val="0"/>
                <w:sz w:val="21"/>
                <w:szCs w:val="21"/>
                <w:highlight w:val="none"/>
                <w:u w:val="none"/>
                <w:vertAlign w:val="baseline"/>
                <w:lang w:val="en-US" w:eastAsia="zh-CN"/>
              </w:rPr>
              <w:t>调整</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Times New Roman"/>
                <w:color w:val="auto"/>
                <w:kern w:val="0"/>
                <w:sz w:val="21"/>
                <w:szCs w:val="21"/>
                <w:highlight w:val="none"/>
                <w:u w:val="none"/>
                <w:vertAlign w:val="baseline"/>
                <w:lang w:val="en-US" w:eastAsia="zh-CN"/>
              </w:rPr>
              <w:t>。</w:t>
            </w:r>
          </w:p>
          <w:p w14:paraId="2C25EA92">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Times New Roman"/>
                <w:color w:val="auto"/>
                <w:kern w:val="0"/>
                <w:sz w:val="21"/>
                <w:szCs w:val="21"/>
                <w:highlight w:val="none"/>
                <w:u w:val="none"/>
                <w:vertAlign w:val="baseline"/>
                <w:lang w:val="en-US" w:eastAsia="zh-CN"/>
              </w:rPr>
            </w:pPr>
            <w:r>
              <w:rPr>
                <w:rFonts w:hint="eastAsia" w:ascii="宋体" w:hAnsi="宋体" w:cs="宋体"/>
                <w:color w:val="auto"/>
                <w:sz w:val="21"/>
                <w:szCs w:val="21"/>
                <w:highlight w:val="none"/>
                <w:lang w:val="en-US" w:eastAsia="zh-CN"/>
              </w:rPr>
              <w:t>6.3</w:t>
            </w:r>
            <w:r>
              <w:rPr>
                <w:rFonts w:hint="eastAsia" w:ascii="宋体" w:hAnsi="宋体"/>
                <w:color w:val="auto"/>
                <w:kern w:val="0"/>
                <w:szCs w:val="21"/>
                <w:highlight w:val="none"/>
                <w:lang w:val="en-US" w:eastAsia="zh-CN"/>
              </w:rPr>
              <w:t>投标</w:t>
            </w:r>
            <w:r>
              <w:rPr>
                <w:rFonts w:hint="eastAsia" w:ascii="宋体" w:hAnsi="宋体" w:eastAsia="宋体" w:cs="宋体"/>
                <w:color w:val="auto"/>
                <w:sz w:val="21"/>
                <w:szCs w:val="21"/>
                <w:highlight w:val="none"/>
              </w:rPr>
              <w:t>人进场后必须无条件服从</w:t>
            </w:r>
            <w:r>
              <w:rPr>
                <w:rFonts w:hint="eastAsia" w:ascii="宋体" w:hAnsi="宋体" w:cs="宋体"/>
                <w:color w:val="auto"/>
                <w:sz w:val="21"/>
                <w:szCs w:val="21"/>
                <w:highlight w:val="none"/>
                <w:lang w:val="en-US" w:eastAsia="zh-CN"/>
              </w:rPr>
              <w:t>招标人、</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一期</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总承包单位的统筹协调管理</w:t>
            </w:r>
            <w:r>
              <w:rPr>
                <w:rFonts w:hint="eastAsia" w:ascii="宋体" w:hAnsi="宋体" w:cs="宋体"/>
                <w:color w:val="auto"/>
                <w:sz w:val="21"/>
                <w:szCs w:val="21"/>
                <w:highlight w:val="none"/>
                <w:lang w:eastAsia="zh-CN"/>
              </w:rPr>
              <w:t>；</w:t>
            </w:r>
            <w:r>
              <w:rPr>
                <w:rFonts w:hint="eastAsia" w:ascii="新宋体" w:hAnsi="新宋体" w:eastAsia="新宋体" w:cs="新宋体"/>
                <w:color w:val="auto"/>
                <w:szCs w:val="21"/>
                <w:highlight w:val="none"/>
                <w:lang w:val="en-US" w:eastAsia="zh-CN"/>
              </w:rPr>
              <w:t>投标人应配合招标人该工程平行发包的其他工程承包人的施工，签订安全生产管理三方协议（由发包人审批版本），负责安全工作，提出安全管理建议；包含</w:t>
            </w:r>
            <w:r>
              <w:rPr>
                <w:rFonts w:hint="eastAsia" w:ascii="新宋体" w:hAnsi="新宋体" w:eastAsia="新宋体" w:cs="新宋体"/>
                <w:color w:val="auto"/>
                <w:szCs w:val="21"/>
                <w:highlight w:val="none"/>
              </w:rPr>
              <w:t>由此产生的配合、</w:t>
            </w:r>
            <w:r>
              <w:rPr>
                <w:rFonts w:hint="eastAsia" w:ascii="新宋体" w:hAnsi="新宋体" w:eastAsia="新宋体" w:cs="新宋体"/>
                <w:color w:val="auto"/>
                <w:szCs w:val="21"/>
                <w:highlight w:val="none"/>
                <w:lang w:val="en-US" w:eastAsia="zh-CN"/>
              </w:rPr>
              <w:t>工作</w:t>
            </w:r>
            <w:r>
              <w:rPr>
                <w:rFonts w:hint="eastAsia" w:ascii="新宋体" w:hAnsi="新宋体" w:eastAsia="新宋体" w:cs="新宋体"/>
                <w:color w:val="auto"/>
                <w:szCs w:val="21"/>
                <w:highlight w:val="none"/>
              </w:rPr>
              <w:t>降效等所有</w:t>
            </w:r>
            <w:r>
              <w:rPr>
                <w:rFonts w:hint="eastAsia" w:ascii="新宋体" w:hAnsi="新宋体" w:eastAsia="新宋体" w:cs="新宋体"/>
                <w:color w:val="auto"/>
                <w:szCs w:val="21"/>
                <w:highlight w:val="none"/>
                <w:lang w:val="en-US" w:eastAsia="zh-CN"/>
              </w:rPr>
              <w:t>工作</w:t>
            </w:r>
            <w:r>
              <w:rPr>
                <w:rFonts w:hint="eastAsia" w:ascii="新宋体" w:hAnsi="新宋体" w:eastAsia="新宋体" w:cs="新宋体"/>
                <w:color w:val="auto"/>
                <w:szCs w:val="21"/>
                <w:highlight w:val="none"/>
                <w:lang w:eastAsia="zh-CN"/>
              </w:rPr>
              <w:t>，</w:t>
            </w:r>
            <w:r>
              <w:rPr>
                <w:rFonts w:hint="eastAsia" w:ascii="宋体" w:hAnsi="宋体" w:eastAsia="宋体" w:cs="宋体"/>
                <w:color w:val="auto"/>
                <w:sz w:val="21"/>
                <w:szCs w:val="21"/>
                <w:highlight w:val="none"/>
              </w:rPr>
              <w:t>在场其它单位配合所发生的施工交叉、挡工、停工、安全防护等所增加的费用</w:t>
            </w:r>
            <w:r>
              <w:rPr>
                <w:rFonts w:hint="eastAsia" w:ascii="宋体" w:hAnsi="宋体" w:cs="宋体"/>
                <w:color w:val="auto"/>
                <w:sz w:val="21"/>
                <w:szCs w:val="21"/>
                <w:highlight w:val="none"/>
                <w:lang w:val="en-US" w:eastAsia="zh-CN"/>
              </w:rPr>
              <w:t>,</w:t>
            </w:r>
            <w:r>
              <w:rPr>
                <w:rFonts w:hint="eastAsia" w:ascii="宋体" w:hAnsi="宋体" w:eastAsia="宋体" w:cs="宋体"/>
                <w:color w:val="auto"/>
                <w:sz w:val="21"/>
                <w:szCs w:val="21"/>
                <w:highlight w:val="none"/>
              </w:rPr>
              <w:t>由于施工措施或防护不当造成的关联工程问题处理相关费用</w:t>
            </w:r>
            <w:r>
              <w:rPr>
                <w:rFonts w:hint="eastAsia" w:ascii="宋体" w:hAnsi="宋体" w:cs="宋体"/>
                <w:color w:val="auto"/>
                <w:sz w:val="21"/>
                <w:szCs w:val="21"/>
                <w:highlight w:val="none"/>
                <w:lang w:val="en-US" w:eastAsia="zh-CN"/>
              </w:rPr>
              <w:t>,</w:t>
            </w:r>
            <w:r>
              <w:rPr>
                <w:rFonts w:hint="eastAsia" w:ascii="新宋体" w:hAnsi="新宋体" w:eastAsia="新宋体" w:cs="新宋体"/>
                <w:color w:val="auto"/>
                <w:sz w:val="21"/>
                <w:szCs w:val="21"/>
                <w:highlight w:val="none"/>
                <w:lang w:val="en-US" w:eastAsia="zh-CN"/>
              </w:rPr>
              <w:t>上述相关工作</w:t>
            </w:r>
            <w:r>
              <w:rPr>
                <w:rFonts w:hint="eastAsia" w:ascii="宋体" w:hAnsi="宋体" w:eastAsia="宋体" w:cs="宋体"/>
                <w:color w:val="auto"/>
                <w:sz w:val="21"/>
                <w:szCs w:val="21"/>
                <w:highlight w:val="none"/>
              </w:rPr>
              <w:t>由此产生的相关费用</w:t>
            </w:r>
            <w:r>
              <w:rPr>
                <w:rFonts w:hint="eastAsia" w:ascii="宋体" w:hAnsi="宋体" w:cs="宋体"/>
                <w:color w:val="auto"/>
                <w:sz w:val="21"/>
                <w:szCs w:val="21"/>
                <w:highlight w:val="none"/>
                <w:lang w:val="en-US" w:eastAsia="zh-CN"/>
              </w:rPr>
              <w:t>投标人</w:t>
            </w:r>
            <w:r>
              <w:rPr>
                <w:rFonts w:hint="eastAsia" w:ascii="宋体" w:hAnsi="宋体" w:eastAsia="宋体" w:cs="宋体"/>
                <w:color w:val="auto"/>
                <w:sz w:val="21"/>
                <w:szCs w:val="21"/>
                <w:highlight w:val="none"/>
              </w:rPr>
              <w:t>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Times New Roman"/>
                <w:color w:val="auto"/>
                <w:kern w:val="0"/>
                <w:sz w:val="21"/>
                <w:szCs w:val="21"/>
                <w:highlight w:val="none"/>
                <w:u w:val="none"/>
                <w:vertAlign w:val="baseline"/>
                <w:lang w:val="en-US" w:eastAsia="zh-CN"/>
              </w:rPr>
              <w:t>。</w:t>
            </w:r>
          </w:p>
          <w:p w14:paraId="569D82E4">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6.4</w:t>
            </w:r>
            <w:r>
              <w:rPr>
                <w:rFonts w:hint="eastAsia" w:ascii="宋体" w:hAnsi="宋体" w:eastAsia="宋体" w:cs="宋体"/>
                <w:color w:val="auto"/>
                <w:sz w:val="21"/>
                <w:szCs w:val="21"/>
                <w:highlight w:val="none"/>
              </w:rPr>
              <w:t>投标人与在场其它专业分包单位配合所发生的施工交叉、挡工、停工、安全防护等所增加的费用；由于施工措施或防护不当造成的关联工程问题处理。</w:t>
            </w:r>
            <w:r>
              <w:rPr>
                <w:rFonts w:hint="eastAsia" w:ascii="宋体" w:hAnsi="宋体" w:cs="宋体"/>
                <w:color w:val="auto"/>
                <w:sz w:val="21"/>
                <w:szCs w:val="21"/>
                <w:highlight w:val="none"/>
                <w:lang w:val="en-US" w:eastAsia="zh-CN"/>
              </w:rPr>
              <w:t>上述</w:t>
            </w:r>
            <w:r>
              <w:rPr>
                <w:rFonts w:hint="eastAsia" w:ascii="宋体" w:hAnsi="宋体" w:eastAsia="宋体" w:cs="宋体"/>
                <w:color w:val="auto"/>
                <w:sz w:val="21"/>
                <w:szCs w:val="21"/>
                <w:highlight w:val="none"/>
              </w:rPr>
              <w:t>相关费用投标人自行考虑在投标报价中，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Times New Roman"/>
                <w:color w:val="auto"/>
                <w:kern w:val="0"/>
                <w:sz w:val="21"/>
                <w:szCs w:val="21"/>
                <w:highlight w:val="none"/>
                <w:u w:val="none"/>
                <w:vertAlign w:val="baseline"/>
                <w:lang w:val="en-US" w:eastAsia="zh-CN"/>
              </w:rPr>
              <w:t>。</w:t>
            </w:r>
          </w:p>
          <w:p w14:paraId="5972E9FC">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6.5</w:t>
            </w:r>
            <w:r>
              <w:rPr>
                <w:rFonts w:hint="eastAsia" w:ascii="宋体" w:hAnsi="宋体" w:eastAsia="宋体" w:cs="宋体"/>
                <w:color w:val="auto"/>
                <w:sz w:val="21"/>
                <w:szCs w:val="21"/>
                <w:highlight w:val="none"/>
              </w:rPr>
              <w:t>本</w:t>
            </w:r>
            <w:r>
              <w:rPr>
                <w:rFonts w:hint="eastAsia" w:ascii="宋体" w:hAnsi="宋体"/>
                <w:color w:val="auto"/>
                <w:kern w:val="0"/>
                <w:szCs w:val="21"/>
                <w:highlight w:val="none"/>
              </w:rPr>
              <w:t>项目</w:t>
            </w:r>
            <w:r>
              <w:rPr>
                <w:rFonts w:hint="eastAsia" w:ascii="宋体" w:hAnsi="宋体" w:eastAsia="宋体" w:cs="宋体"/>
                <w:color w:val="auto"/>
                <w:sz w:val="21"/>
                <w:szCs w:val="21"/>
                <w:highlight w:val="none"/>
              </w:rPr>
              <w:t>由中标人采购供应</w:t>
            </w:r>
            <w:r>
              <w:rPr>
                <w:rFonts w:hint="eastAsia" w:ascii="宋体" w:hAnsi="宋体" w:eastAsia="宋体" w:cs="宋体"/>
                <w:color w:val="auto"/>
                <w:sz w:val="21"/>
                <w:szCs w:val="21"/>
                <w:highlight w:val="none"/>
                <w:lang w:eastAsia="zh-CN"/>
              </w:rPr>
              <w:t>的</w:t>
            </w:r>
            <w:r>
              <w:rPr>
                <w:rFonts w:hint="eastAsia" w:ascii="宋体" w:hAnsi="宋体" w:eastAsia="宋体" w:cs="宋体"/>
                <w:color w:val="auto"/>
                <w:sz w:val="21"/>
                <w:szCs w:val="21"/>
                <w:highlight w:val="none"/>
              </w:rPr>
              <w:t>材料、设备必须符合国家规范标准及设计文件、技术参数及招标文件要求，并提供相应合格证明资料、质保书、检测报告等品质证明材料，报经招标人批准后方可用于工程。</w:t>
            </w:r>
          </w:p>
          <w:p w14:paraId="59245775">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6.6</w:t>
            </w:r>
            <w:r>
              <w:rPr>
                <w:rFonts w:hint="eastAsia" w:ascii="宋体" w:hAnsi="宋体" w:eastAsia="宋体" w:cs="宋体"/>
                <w:color w:val="auto"/>
                <w:sz w:val="21"/>
                <w:szCs w:val="21"/>
                <w:highlight w:val="none"/>
              </w:rPr>
              <w:t xml:space="preserve"> 施工过程中的材料损耗、消耗，包括施工中试验用材料损耗和费用等相关费用</w:t>
            </w:r>
            <w:r>
              <w:rPr>
                <w:rFonts w:hint="eastAsia" w:ascii="宋体" w:hAnsi="宋体" w:cs="宋体"/>
                <w:color w:val="auto"/>
                <w:sz w:val="21"/>
                <w:szCs w:val="21"/>
                <w:highlight w:val="none"/>
                <w:lang w:val="en-US" w:eastAsia="zh-CN"/>
              </w:rPr>
              <w:t>均由</w:t>
            </w:r>
            <w:r>
              <w:rPr>
                <w:rFonts w:hint="eastAsia" w:ascii="宋体" w:hAnsi="宋体" w:eastAsia="宋体" w:cs="宋体"/>
                <w:color w:val="auto"/>
                <w:sz w:val="21"/>
                <w:szCs w:val="21"/>
                <w:highlight w:val="none"/>
              </w:rPr>
              <w:t>投标人自行考虑在投标报价中，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Times New Roman"/>
                <w:color w:val="auto"/>
                <w:kern w:val="0"/>
                <w:sz w:val="21"/>
                <w:szCs w:val="21"/>
                <w:highlight w:val="none"/>
                <w:u w:val="none"/>
                <w:vertAlign w:val="baseline"/>
                <w:lang w:val="en-US" w:eastAsia="zh-CN"/>
              </w:rPr>
              <w:t>。</w:t>
            </w:r>
            <w:r>
              <w:rPr>
                <w:rFonts w:hint="eastAsia" w:ascii="宋体" w:hAnsi="宋体" w:eastAsia="宋体" w:cs="宋体"/>
                <w:color w:val="auto"/>
                <w:sz w:val="21"/>
                <w:szCs w:val="21"/>
                <w:highlight w:val="none"/>
              </w:rPr>
              <w:t xml:space="preserve"> </w:t>
            </w:r>
          </w:p>
          <w:p w14:paraId="248704E6">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6.7</w:t>
            </w:r>
            <w:r>
              <w:rPr>
                <w:rFonts w:hint="eastAsia" w:ascii="宋体" w:hAnsi="宋体" w:eastAsia="宋体" w:cs="宋体"/>
                <w:color w:val="auto"/>
                <w:sz w:val="21"/>
                <w:szCs w:val="21"/>
                <w:highlight w:val="none"/>
              </w:rPr>
              <w:t xml:space="preserve"> 本</w:t>
            </w:r>
            <w:r>
              <w:rPr>
                <w:rFonts w:hint="eastAsia" w:ascii="宋体" w:hAnsi="宋体"/>
                <w:color w:val="auto"/>
                <w:kern w:val="0"/>
                <w:szCs w:val="21"/>
                <w:highlight w:val="none"/>
              </w:rPr>
              <w:t>工程</w:t>
            </w:r>
            <w:r>
              <w:rPr>
                <w:rFonts w:hint="eastAsia" w:ascii="宋体" w:hAnsi="宋体" w:eastAsia="宋体" w:cs="宋体"/>
                <w:color w:val="auto"/>
                <w:sz w:val="21"/>
                <w:szCs w:val="21"/>
                <w:highlight w:val="none"/>
              </w:rPr>
              <w:t>所采购的材料、设备、必须符合国家规范标准及设计文件、招标文件</w:t>
            </w:r>
            <w:r>
              <w:rPr>
                <w:rFonts w:hint="eastAsia" w:ascii="宋体" w:hAnsi="宋体" w:cs="宋体"/>
                <w:color w:val="auto"/>
                <w:sz w:val="21"/>
                <w:szCs w:val="21"/>
                <w:highlight w:val="none"/>
                <w:lang w:val="en-US" w:eastAsia="zh-CN"/>
              </w:rPr>
              <w:t>第五章供货要求</w:t>
            </w:r>
            <w:r>
              <w:rPr>
                <w:rFonts w:hint="eastAsia" w:ascii="宋体" w:hAnsi="宋体" w:eastAsia="宋体" w:cs="宋体"/>
                <w:color w:val="auto"/>
                <w:sz w:val="21"/>
                <w:szCs w:val="21"/>
                <w:highlight w:val="none"/>
              </w:rPr>
              <w:t>的要求，并提供相应合格证明资料、质保书等，不得使用不达标或国家明令淘汰的产品。</w:t>
            </w:r>
          </w:p>
          <w:p w14:paraId="7BDEDC60">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6.8</w:t>
            </w:r>
            <w:r>
              <w:rPr>
                <w:rFonts w:hint="eastAsia" w:ascii="宋体" w:hAnsi="宋体" w:eastAsia="宋体" w:cs="宋体"/>
                <w:color w:val="auto"/>
                <w:sz w:val="21"/>
                <w:szCs w:val="21"/>
                <w:highlight w:val="none"/>
              </w:rPr>
              <w:t>材料</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设备</w:t>
            </w:r>
            <w:r>
              <w:rPr>
                <w:rFonts w:hint="eastAsia" w:ascii="宋体" w:hAnsi="宋体" w:eastAsia="宋体" w:cs="宋体"/>
                <w:color w:val="auto"/>
                <w:sz w:val="21"/>
                <w:szCs w:val="21"/>
                <w:highlight w:val="none"/>
              </w:rPr>
              <w:t>进出场可能出现二次或多次转运，由此产生的相关费用由投标人自行考虑在投标报价中，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Times New Roman"/>
                <w:color w:val="auto"/>
                <w:kern w:val="0"/>
                <w:sz w:val="21"/>
                <w:szCs w:val="21"/>
                <w:highlight w:val="none"/>
                <w:u w:val="none"/>
                <w:vertAlign w:val="baseline"/>
                <w:lang w:val="en-US" w:eastAsia="zh-CN"/>
              </w:rPr>
              <w:t>。</w:t>
            </w:r>
            <w:r>
              <w:rPr>
                <w:rFonts w:hint="eastAsia" w:ascii="宋体" w:hAnsi="宋体" w:eastAsia="宋体" w:cs="宋体"/>
                <w:color w:val="auto"/>
                <w:sz w:val="21"/>
                <w:szCs w:val="21"/>
                <w:highlight w:val="none"/>
              </w:rPr>
              <w:t xml:space="preserve"> </w:t>
            </w:r>
          </w:p>
          <w:p w14:paraId="73B9D6EA">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6.9</w:t>
            </w:r>
            <w:r>
              <w:rPr>
                <w:rFonts w:hint="eastAsia" w:ascii="宋体" w:hAnsi="宋体" w:eastAsia="宋体" w:cs="宋体"/>
                <w:color w:val="auto"/>
                <w:sz w:val="21"/>
                <w:szCs w:val="21"/>
                <w:highlight w:val="none"/>
              </w:rPr>
              <w:t>本</w:t>
            </w:r>
            <w:r>
              <w:rPr>
                <w:rFonts w:hint="eastAsia" w:ascii="宋体" w:hAnsi="宋体"/>
                <w:color w:val="auto"/>
                <w:kern w:val="0"/>
                <w:szCs w:val="21"/>
                <w:highlight w:val="none"/>
              </w:rPr>
              <w:t>项目</w:t>
            </w:r>
            <w:r>
              <w:rPr>
                <w:rFonts w:hint="eastAsia" w:ascii="宋体" w:hAnsi="宋体" w:eastAsia="宋体" w:cs="宋体"/>
                <w:color w:val="auto"/>
                <w:sz w:val="21"/>
                <w:szCs w:val="21"/>
                <w:highlight w:val="none"/>
                <w:lang w:val="en-US" w:eastAsia="zh-CN"/>
              </w:rPr>
              <w:t>与</w:t>
            </w:r>
            <w:r>
              <w:rPr>
                <w:rFonts w:hint="eastAsia" w:ascii="新宋体" w:hAnsi="新宋体" w:eastAsia="新宋体" w:cs="新宋体"/>
                <w:color w:val="auto"/>
                <w:szCs w:val="21"/>
                <w:highlight w:val="none"/>
                <w:lang w:val="en-US" w:eastAsia="zh-CN"/>
              </w:rPr>
              <w:t>该工程平行发包的其他工程承包人</w:t>
            </w:r>
            <w:r>
              <w:rPr>
                <w:rFonts w:hint="eastAsia" w:ascii="宋体" w:hAnsi="宋体" w:eastAsia="宋体" w:cs="宋体"/>
                <w:color w:val="auto"/>
                <w:sz w:val="21"/>
                <w:szCs w:val="21"/>
                <w:highlight w:val="none"/>
              </w:rPr>
              <w:t>存在同时实施情况，同时实施时的施工难度、相互干扰、工期延误及施工降效等产生的相关费用投标人自行考虑在投标报价中，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Times New Roman"/>
                <w:color w:val="auto"/>
                <w:kern w:val="0"/>
                <w:sz w:val="21"/>
                <w:szCs w:val="21"/>
                <w:highlight w:val="none"/>
                <w:u w:val="none"/>
                <w:vertAlign w:val="baseline"/>
                <w:lang w:val="en-US" w:eastAsia="zh-CN"/>
              </w:rPr>
              <w:t>。</w:t>
            </w:r>
            <w:r>
              <w:rPr>
                <w:rFonts w:hint="eastAsia" w:ascii="宋体" w:hAnsi="宋体" w:eastAsia="宋体" w:cs="宋体"/>
                <w:color w:val="auto"/>
                <w:sz w:val="21"/>
                <w:szCs w:val="21"/>
                <w:highlight w:val="none"/>
              </w:rPr>
              <w:t xml:space="preserve"> </w:t>
            </w:r>
          </w:p>
          <w:p w14:paraId="588F83E4">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6.10</w:t>
            </w:r>
            <w:r>
              <w:rPr>
                <w:rFonts w:hint="eastAsia" w:ascii="宋体" w:hAnsi="宋体" w:eastAsia="宋体" w:cs="宋体"/>
                <w:color w:val="auto"/>
                <w:sz w:val="21"/>
                <w:szCs w:val="21"/>
                <w:highlight w:val="none"/>
              </w:rPr>
              <w:t>因投标人能力不足，招标人选择重新委托发包的工作内容所产生的所有费用均由投标人承担，且因此导致的工期、费用索赔均不会获批，相关费用投标人自行考虑在投标报价中，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Times New Roman"/>
                <w:color w:val="auto"/>
                <w:kern w:val="0"/>
                <w:sz w:val="21"/>
                <w:szCs w:val="21"/>
                <w:highlight w:val="none"/>
                <w:u w:val="none"/>
                <w:vertAlign w:val="baseline"/>
                <w:lang w:val="en-US" w:eastAsia="zh-CN"/>
              </w:rPr>
              <w:t>。</w:t>
            </w:r>
            <w:r>
              <w:rPr>
                <w:rFonts w:hint="eastAsia" w:ascii="宋体" w:hAnsi="宋体" w:eastAsia="宋体" w:cs="宋体"/>
                <w:color w:val="auto"/>
                <w:sz w:val="21"/>
                <w:szCs w:val="21"/>
                <w:highlight w:val="none"/>
              </w:rPr>
              <w:t xml:space="preserve"> </w:t>
            </w:r>
          </w:p>
          <w:p w14:paraId="537E34B3">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cs="宋体"/>
                <w:color w:val="auto"/>
                <w:sz w:val="21"/>
                <w:szCs w:val="21"/>
                <w:highlight w:val="none"/>
                <w:lang w:val="en-US" w:eastAsia="zh-CN"/>
              </w:rPr>
            </w:pPr>
            <w:r>
              <w:rPr>
                <w:rFonts w:hint="eastAsia" w:ascii="宋体" w:hAnsi="宋体" w:cs="宋体"/>
                <w:color w:val="auto"/>
                <w:sz w:val="21"/>
                <w:szCs w:val="21"/>
                <w:highlight w:val="none"/>
                <w:lang w:val="en-US" w:eastAsia="zh-CN"/>
              </w:rPr>
              <w:t>6.11</w:t>
            </w:r>
            <w:r>
              <w:rPr>
                <w:rFonts w:hint="eastAsia" w:ascii="宋体" w:hAnsi="宋体" w:eastAsia="宋体" w:cs="宋体"/>
                <w:color w:val="auto"/>
                <w:sz w:val="21"/>
                <w:szCs w:val="21"/>
                <w:highlight w:val="none"/>
              </w:rPr>
              <w:t>因</w:t>
            </w:r>
            <w:r>
              <w:rPr>
                <w:rFonts w:hint="eastAsia" w:ascii="宋体" w:hAnsi="宋体"/>
                <w:color w:val="auto"/>
                <w:kern w:val="0"/>
                <w:szCs w:val="21"/>
                <w:highlight w:val="none"/>
              </w:rPr>
              <w:t>建设期</w:t>
            </w:r>
            <w:r>
              <w:rPr>
                <w:rFonts w:hint="eastAsia" w:ascii="宋体" w:hAnsi="宋体" w:eastAsia="宋体" w:cs="宋体"/>
                <w:color w:val="auto"/>
                <w:sz w:val="21"/>
                <w:szCs w:val="21"/>
                <w:highlight w:val="none"/>
              </w:rPr>
              <w:t>内停水停电导致的工期索赔将不会获批，投标人自行考虑在投标报价中，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Times New Roman"/>
                <w:color w:val="auto"/>
                <w:kern w:val="0"/>
                <w:sz w:val="21"/>
                <w:szCs w:val="21"/>
                <w:highlight w:val="none"/>
                <w:u w:val="none"/>
                <w:vertAlign w:val="baseline"/>
                <w:lang w:val="en-US" w:eastAsia="zh-CN"/>
              </w:rPr>
              <w:t>。</w:t>
            </w:r>
            <w:r>
              <w:rPr>
                <w:rFonts w:hint="eastAsia" w:ascii="宋体" w:hAnsi="宋体" w:eastAsia="宋体" w:cs="宋体"/>
                <w:color w:val="auto"/>
                <w:sz w:val="21"/>
                <w:szCs w:val="21"/>
                <w:highlight w:val="none"/>
              </w:rPr>
              <w:t xml:space="preserve"> </w:t>
            </w:r>
          </w:p>
          <w:p w14:paraId="51E59AF5">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6.12</w:t>
            </w:r>
            <w:r>
              <w:rPr>
                <w:rFonts w:hint="eastAsia" w:ascii="宋体" w:hAnsi="宋体" w:eastAsia="宋体" w:cs="宋体"/>
                <w:color w:val="auto"/>
                <w:sz w:val="21"/>
                <w:szCs w:val="21"/>
                <w:highlight w:val="none"/>
              </w:rPr>
              <w:t>因满足</w:t>
            </w:r>
            <w:r>
              <w:rPr>
                <w:rFonts w:hint="eastAsia" w:ascii="宋体" w:hAnsi="宋体" w:eastAsia="宋体" w:cs="宋体"/>
                <w:color w:val="auto"/>
                <w:sz w:val="21"/>
                <w:szCs w:val="21"/>
                <w:highlight w:val="none"/>
                <w:lang w:val="en-US" w:eastAsia="zh-CN"/>
              </w:rPr>
              <w:t>本项目</w:t>
            </w:r>
            <w:r>
              <w:rPr>
                <w:rFonts w:hint="eastAsia" w:ascii="宋体" w:hAnsi="宋体" w:eastAsia="宋体" w:cs="宋体"/>
                <w:color w:val="auto"/>
                <w:sz w:val="21"/>
                <w:szCs w:val="21"/>
                <w:highlight w:val="none"/>
              </w:rPr>
              <w:t>工期需求所产生的抢工</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lang w:val="en-US" w:eastAsia="zh-CN"/>
              </w:rPr>
              <w:t>赶工</w:t>
            </w:r>
            <w:r>
              <w:rPr>
                <w:rFonts w:hint="eastAsia" w:ascii="宋体" w:hAnsi="宋体" w:eastAsia="宋体" w:cs="宋体"/>
                <w:color w:val="auto"/>
                <w:sz w:val="21"/>
                <w:szCs w:val="21"/>
                <w:highlight w:val="none"/>
              </w:rPr>
              <w:t>措施费用由投标人自行考虑在投标报价中，</w:t>
            </w:r>
            <w:r>
              <w:rPr>
                <w:rFonts w:hint="eastAsia" w:ascii="宋体" w:hAnsi="宋体" w:eastAsia="宋体" w:cs="Times New Roman"/>
                <w:color w:val="auto"/>
                <w:kern w:val="0"/>
                <w:sz w:val="21"/>
                <w:szCs w:val="21"/>
                <w:highlight w:val="none"/>
                <w:u w:val="none"/>
                <w:vertAlign w:val="baseline"/>
                <w:lang w:val="en-US" w:eastAsia="zh-CN"/>
              </w:rPr>
              <w:t>招标人对此类费用不再另行</w:t>
            </w:r>
            <w:r>
              <w:rPr>
                <w:rFonts w:hint="eastAsia" w:ascii="宋体" w:hAnsi="宋体" w:cs="Times New Roman"/>
                <w:color w:val="auto"/>
                <w:kern w:val="0"/>
                <w:sz w:val="21"/>
                <w:szCs w:val="21"/>
                <w:highlight w:val="none"/>
                <w:u w:val="none"/>
                <w:vertAlign w:val="baseline"/>
                <w:lang w:val="en-US" w:eastAsia="zh-CN"/>
              </w:rPr>
              <w:t>计取</w:t>
            </w:r>
            <w:r>
              <w:rPr>
                <w:rFonts w:hint="eastAsia" w:ascii="宋体" w:hAnsi="宋体" w:eastAsia="宋体" w:cs="宋体"/>
                <w:color w:val="auto"/>
                <w:sz w:val="21"/>
                <w:szCs w:val="21"/>
                <w:highlight w:val="none"/>
              </w:rPr>
              <w:t>。</w:t>
            </w:r>
          </w:p>
          <w:p w14:paraId="6CC00322">
            <w:pPr>
              <w:keepNext w:val="0"/>
              <w:keepLines w:val="0"/>
              <w:pageBreakBefore w:val="0"/>
              <w:kinsoku/>
              <w:wordWrap/>
              <w:overflowPunct/>
              <w:topLinePunct w:val="0"/>
              <w:bidi w:val="0"/>
              <w:snapToGrid w:val="0"/>
              <w:spacing w:line="360" w:lineRule="auto"/>
              <w:ind w:firstLine="420" w:firstLineChars="200"/>
              <w:textAlignment w:val="auto"/>
              <w:rPr>
                <w:rFonts w:hint="eastAsia" w:ascii="宋体" w:hAnsi="宋体" w:eastAsia="宋体" w:cs="宋体"/>
                <w:color w:val="auto"/>
                <w:sz w:val="21"/>
                <w:szCs w:val="21"/>
                <w:highlight w:val="none"/>
              </w:rPr>
            </w:pPr>
            <w:r>
              <w:rPr>
                <w:rFonts w:hint="eastAsia" w:ascii="宋体" w:hAnsi="宋体" w:cs="宋体"/>
                <w:color w:val="auto"/>
                <w:sz w:val="21"/>
                <w:szCs w:val="21"/>
                <w:highlight w:val="none"/>
                <w:lang w:val="en-US" w:eastAsia="zh-CN"/>
              </w:rPr>
              <w:t>6.13</w:t>
            </w:r>
            <w:r>
              <w:rPr>
                <w:rFonts w:hint="eastAsia" w:ascii="宋体" w:hAnsi="宋体" w:eastAsia="宋体" w:cs="宋体"/>
                <w:color w:val="auto"/>
                <w:sz w:val="21"/>
                <w:szCs w:val="21"/>
                <w:highlight w:val="none"/>
              </w:rPr>
              <w:t>投标人应自行踏勘现场充分了解工程所在地影响</w:t>
            </w:r>
            <w:r>
              <w:rPr>
                <w:rFonts w:hint="eastAsia" w:ascii="宋体" w:hAnsi="宋体" w:eastAsia="宋体" w:cs="宋体"/>
                <w:color w:val="auto"/>
                <w:sz w:val="21"/>
                <w:szCs w:val="21"/>
                <w:highlight w:val="none"/>
                <w:lang w:val="en-US" w:eastAsia="zh-CN"/>
              </w:rPr>
              <w:t>投标</w:t>
            </w:r>
            <w:r>
              <w:rPr>
                <w:rFonts w:hint="eastAsia" w:ascii="宋体" w:hAnsi="宋体" w:eastAsia="宋体" w:cs="宋体"/>
                <w:color w:val="auto"/>
                <w:sz w:val="21"/>
                <w:szCs w:val="21"/>
                <w:highlight w:val="none"/>
              </w:rPr>
              <w:t xml:space="preserve">价格的所有情况，任何忽视所有现场影响报价情况的而导致的索赔或工期延长申请将不获批准。 </w:t>
            </w:r>
          </w:p>
          <w:p w14:paraId="3B72C634">
            <w:pPr>
              <w:tabs>
                <w:tab w:val="left" w:pos="546"/>
                <w:tab w:val="left" w:pos="711"/>
              </w:tabs>
              <w:snapToGrid w:val="0"/>
              <w:spacing w:line="400" w:lineRule="exact"/>
              <w:ind w:firstLine="420" w:firstLineChars="200"/>
              <w:rPr>
                <w:rFonts w:ascii="宋体" w:hAnsi="宋体"/>
                <w:szCs w:val="21"/>
              </w:rPr>
            </w:pPr>
            <w:r>
              <w:rPr>
                <w:rFonts w:hint="eastAsia" w:ascii="新宋体" w:hAnsi="新宋体" w:eastAsia="新宋体" w:cs="新宋体"/>
                <w:color w:val="auto"/>
                <w:szCs w:val="21"/>
                <w:highlight w:val="none"/>
                <w:lang w:val="en-US" w:eastAsia="zh-CN"/>
              </w:rPr>
              <w:t>6.14</w:t>
            </w:r>
            <w:r>
              <w:rPr>
                <w:rFonts w:hint="eastAsia" w:ascii="宋体" w:hAnsi="宋体" w:eastAsia="新宋体"/>
                <w:color w:val="auto"/>
                <w:kern w:val="0"/>
                <w:szCs w:val="21"/>
                <w:highlight w:val="none"/>
                <w:lang w:val="en-US" w:eastAsia="zh-CN"/>
              </w:rPr>
              <w:t>投标人</w:t>
            </w:r>
            <w:r>
              <w:rPr>
                <w:rFonts w:hint="eastAsia" w:ascii="新宋体" w:hAnsi="新宋体" w:eastAsia="新宋体" w:cs="新宋体"/>
                <w:color w:val="auto"/>
                <w:szCs w:val="21"/>
                <w:highlight w:val="none"/>
              </w:rPr>
              <w:t>未</w:t>
            </w:r>
            <w:r>
              <w:rPr>
                <w:rFonts w:hint="eastAsia" w:ascii="新宋体" w:hAnsi="新宋体" w:eastAsia="新宋体" w:cs="新宋体"/>
                <w:color w:val="auto"/>
                <w:szCs w:val="21"/>
                <w:highlight w:val="none"/>
                <w:lang w:val="en-US" w:eastAsia="zh-CN"/>
              </w:rPr>
              <w:t>完全</w:t>
            </w:r>
            <w:r>
              <w:rPr>
                <w:rFonts w:hint="eastAsia" w:ascii="新宋体" w:hAnsi="新宋体" w:eastAsia="新宋体" w:cs="新宋体"/>
                <w:color w:val="auto"/>
                <w:szCs w:val="21"/>
                <w:highlight w:val="none"/>
              </w:rPr>
              <w:t>履行</w:t>
            </w:r>
            <w:r>
              <w:rPr>
                <w:rFonts w:hint="eastAsia" w:ascii="新宋体" w:hAnsi="新宋体" w:eastAsia="新宋体" w:cs="新宋体"/>
                <w:color w:val="auto"/>
                <w:szCs w:val="21"/>
                <w:highlight w:val="none"/>
                <w:lang w:val="en-US" w:eastAsia="zh-CN"/>
              </w:rPr>
              <w:t>该</w:t>
            </w:r>
            <w:r>
              <w:rPr>
                <w:rFonts w:hint="eastAsia" w:ascii="新宋体" w:hAnsi="新宋体" w:eastAsia="新宋体" w:cs="新宋体"/>
                <w:color w:val="auto"/>
                <w:szCs w:val="21"/>
                <w:highlight w:val="none"/>
              </w:rPr>
              <w:t>合同质量、工期义务以及其他合同义务或法律义务</w:t>
            </w:r>
            <w:r>
              <w:rPr>
                <w:rFonts w:hint="eastAsia" w:ascii="新宋体" w:hAnsi="新宋体" w:eastAsia="新宋体" w:cs="新宋体"/>
                <w:color w:val="auto"/>
                <w:szCs w:val="21"/>
                <w:highlight w:val="none"/>
                <w:lang w:val="en-US" w:eastAsia="zh-CN"/>
              </w:rPr>
              <w:t>等</w:t>
            </w:r>
            <w:r>
              <w:rPr>
                <w:rFonts w:hint="eastAsia" w:ascii="新宋体" w:hAnsi="新宋体" w:eastAsia="新宋体" w:cs="新宋体"/>
                <w:color w:val="auto"/>
                <w:szCs w:val="21"/>
                <w:highlight w:val="none"/>
              </w:rPr>
              <w:t>，导致</w:t>
            </w:r>
            <w:r>
              <w:rPr>
                <w:rFonts w:hint="eastAsia" w:ascii="新宋体" w:hAnsi="新宋体" w:eastAsia="新宋体" w:cs="新宋体"/>
                <w:color w:val="auto"/>
                <w:szCs w:val="21"/>
                <w:highlight w:val="none"/>
                <w:lang w:val="en-US" w:eastAsia="zh-CN"/>
              </w:rPr>
              <w:t>招标</w:t>
            </w:r>
            <w:r>
              <w:rPr>
                <w:rFonts w:hint="eastAsia" w:ascii="新宋体" w:hAnsi="新宋体" w:eastAsia="新宋体" w:cs="新宋体"/>
                <w:color w:val="auto"/>
                <w:szCs w:val="21"/>
                <w:highlight w:val="none"/>
              </w:rPr>
              <w:t>人主动发起或被动参与到与</w:t>
            </w:r>
            <w:r>
              <w:rPr>
                <w:rFonts w:hint="eastAsia" w:ascii="新宋体" w:hAnsi="新宋体" w:eastAsia="新宋体" w:cs="新宋体"/>
                <w:color w:val="auto"/>
                <w:szCs w:val="21"/>
                <w:highlight w:val="none"/>
                <w:lang w:val="en-US" w:eastAsia="zh-CN"/>
              </w:rPr>
              <w:t>投标</w:t>
            </w:r>
            <w:r>
              <w:rPr>
                <w:rFonts w:hint="eastAsia" w:ascii="新宋体" w:hAnsi="新宋体" w:eastAsia="新宋体" w:cs="新宋体"/>
                <w:color w:val="auto"/>
                <w:szCs w:val="21"/>
                <w:highlight w:val="none"/>
              </w:rPr>
              <w:t>人或任何第三方的诉讼或非诉讼争议解决程序中的，</w:t>
            </w:r>
            <w:r>
              <w:rPr>
                <w:rFonts w:hint="eastAsia" w:ascii="新宋体" w:hAnsi="新宋体" w:eastAsia="新宋体" w:cs="新宋体"/>
                <w:color w:val="auto"/>
                <w:szCs w:val="21"/>
                <w:highlight w:val="none"/>
                <w:lang w:val="en-US" w:eastAsia="zh-CN"/>
              </w:rPr>
              <w:t>投标</w:t>
            </w:r>
            <w:r>
              <w:rPr>
                <w:rFonts w:hint="eastAsia" w:ascii="新宋体" w:hAnsi="新宋体" w:eastAsia="新宋体" w:cs="新宋体"/>
                <w:color w:val="auto"/>
                <w:szCs w:val="21"/>
                <w:highlight w:val="none"/>
              </w:rPr>
              <w:t>人除承担相应的违约金、赔偿金外，还应当承担</w:t>
            </w:r>
            <w:r>
              <w:rPr>
                <w:rFonts w:hint="eastAsia" w:ascii="新宋体" w:hAnsi="新宋体" w:eastAsia="新宋体" w:cs="新宋体"/>
                <w:color w:val="auto"/>
                <w:szCs w:val="21"/>
                <w:highlight w:val="none"/>
                <w:lang w:val="en-US" w:eastAsia="zh-CN"/>
              </w:rPr>
              <w:t>招标</w:t>
            </w:r>
            <w:r>
              <w:rPr>
                <w:rFonts w:hint="eastAsia" w:ascii="新宋体" w:hAnsi="新宋体" w:eastAsia="新宋体" w:cs="新宋体"/>
                <w:color w:val="auto"/>
                <w:szCs w:val="21"/>
                <w:highlight w:val="none"/>
              </w:rPr>
              <w:t>人为维护其自身权益而支付的律师费、诉讼费及保全费等费用（其中律师的收费标准以重庆市司法局和重庆市物价局规定的现行收费标准为准）。</w:t>
            </w:r>
          </w:p>
        </w:tc>
      </w:tr>
      <w:tr w14:paraId="33462D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D419AB2">
            <w:pPr>
              <w:snapToGrid w:val="0"/>
              <w:spacing w:line="400" w:lineRule="exact"/>
              <w:jc w:val="center"/>
              <w:rPr>
                <w:rFonts w:ascii="宋体" w:hAnsi="宋体"/>
                <w:kern w:val="0"/>
                <w:szCs w:val="21"/>
              </w:rPr>
            </w:pPr>
            <w:r>
              <w:rPr>
                <w:rFonts w:ascii="宋体" w:hAnsi="宋体"/>
                <w:kern w:val="0"/>
                <w:szCs w:val="21"/>
              </w:rPr>
              <w:t>3.3.1</w:t>
            </w:r>
          </w:p>
        </w:tc>
        <w:tc>
          <w:tcPr>
            <w:tcW w:w="1754" w:type="dxa"/>
            <w:vAlign w:val="center"/>
          </w:tcPr>
          <w:p w14:paraId="79C42BC9">
            <w:pPr>
              <w:snapToGrid w:val="0"/>
              <w:spacing w:line="400" w:lineRule="exact"/>
              <w:jc w:val="center"/>
              <w:rPr>
                <w:rFonts w:ascii="宋体" w:hAnsi="宋体"/>
                <w:kern w:val="0"/>
                <w:szCs w:val="21"/>
              </w:rPr>
            </w:pPr>
            <w:r>
              <w:rPr>
                <w:rFonts w:ascii="宋体" w:hAnsi="宋体"/>
                <w:kern w:val="0"/>
                <w:szCs w:val="21"/>
              </w:rPr>
              <w:t>投标有效期</w:t>
            </w:r>
          </w:p>
        </w:tc>
        <w:tc>
          <w:tcPr>
            <w:tcW w:w="6490" w:type="dxa"/>
            <w:vAlign w:val="center"/>
          </w:tcPr>
          <w:p w14:paraId="3DCFB0E6">
            <w:pPr>
              <w:snapToGrid w:val="0"/>
              <w:spacing w:line="400" w:lineRule="exact"/>
              <w:ind w:firstLine="420" w:firstLineChars="200"/>
              <w:rPr>
                <w:rFonts w:ascii="宋体" w:hAnsi="宋体"/>
                <w:szCs w:val="21"/>
              </w:rPr>
            </w:pPr>
            <w:r>
              <w:rPr>
                <w:rFonts w:ascii="宋体" w:hAnsi="宋体"/>
                <w:szCs w:val="21"/>
                <w:u w:val="single"/>
              </w:rPr>
              <w:t xml:space="preserve">  </w:t>
            </w:r>
            <w:r>
              <w:rPr>
                <w:rFonts w:hint="eastAsia" w:ascii="宋体" w:hAnsi="宋体"/>
                <w:szCs w:val="21"/>
                <w:u w:val="single"/>
                <w:lang w:val="en-US" w:eastAsia="zh-CN"/>
              </w:rPr>
              <w:t>90</w:t>
            </w:r>
            <w:r>
              <w:rPr>
                <w:rFonts w:ascii="宋体" w:hAnsi="宋体"/>
                <w:szCs w:val="21"/>
                <w:u w:val="single"/>
              </w:rPr>
              <w:t xml:space="preserve">  </w:t>
            </w:r>
            <w:r>
              <w:rPr>
                <w:rFonts w:ascii="宋体" w:hAnsi="宋体"/>
                <w:szCs w:val="21"/>
              </w:rPr>
              <w:t>日历天（从提交投标文件截止日起计算）</w:t>
            </w:r>
          </w:p>
        </w:tc>
      </w:tr>
      <w:tr w14:paraId="63CC209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56852DE">
            <w:pPr>
              <w:snapToGrid w:val="0"/>
              <w:spacing w:line="400" w:lineRule="exact"/>
              <w:jc w:val="center"/>
              <w:rPr>
                <w:rFonts w:ascii="宋体" w:hAnsi="宋体"/>
                <w:kern w:val="0"/>
                <w:szCs w:val="21"/>
              </w:rPr>
            </w:pPr>
            <w:r>
              <w:rPr>
                <w:rFonts w:ascii="宋体" w:hAnsi="宋体"/>
                <w:kern w:val="0"/>
                <w:szCs w:val="21"/>
              </w:rPr>
              <w:t>3.4.1</w:t>
            </w:r>
          </w:p>
        </w:tc>
        <w:tc>
          <w:tcPr>
            <w:tcW w:w="1754" w:type="dxa"/>
            <w:vAlign w:val="center"/>
          </w:tcPr>
          <w:p w14:paraId="56673A34">
            <w:pPr>
              <w:snapToGrid w:val="0"/>
              <w:spacing w:line="400" w:lineRule="exact"/>
              <w:jc w:val="center"/>
              <w:rPr>
                <w:rFonts w:ascii="宋体" w:hAnsi="宋体"/>
                <w:kern w:val="0"/>
                <w:szCs w:val="21"/>
              </w:rPr>
            </w:pPr>
            <w:r>
              <w:rPr>
                <w:rFonts w:ascii="宋体" w:hAnsi="宋体"/>
                <w:kern w:val="0"/>
                <w:szCs w:val="21"/>
              </w:rPr>
              <w:t>投标保证金</w:t>
            </w:r>
          </w:p>
        </w:tc>
        <w:tc>
          <w:tcPr>
            <w:tcW w:w="6490" w:type="dxa"/>
            <w:vAlign w:val="center"/>
          </w:tcPr>
          <w:p w14:paraId="72E13DC5">
            <w:pPr>
              <w:snapToGrid w:val="0"/>
              <w:spacing w:line="400" w:lineRule="exact"/>
              <w:ind w:firstLine="420" w:firstLineChars="200"/>
            </w:pPr>
            <w:r>
              <w:t>是否要求投标人递交投标保证金：要求</w:t>
            </w:r>
          </w:p>
          <w:p w14:paraId="1380A237">
            <w:pPr>
              <w:snapToGrid w:val="0"/>
              <w:spacing w:line="400" w:lineRule="exact"/>
              <w:ind w:firstLine="422" w:firstLineChars="200"/>
              <w:rPr>
                <w:b/>
                <w:bCs/>
              </w:rPr>
            </w:pPr>
            <w:r>
              <w:rPr>
                <w:rFonts w:hint="eastAsia"/>
                <w:b/>
                <w:bCs/>
              </w:rPr>
              <w:t>一、以转账支票或电汇形式交纳投标保证金</w:t>
            </w:r>
          </w:p>
          <w:p w14:paraId="26F5A502">
            <w:pPr>
              <w:snapToGrid w:val="0"/>
              <w:spacing w:line="400" w:lineRule="exact"/>
              <w:ind w:firstLine="420" w:firstLineChars="200"/>
            </w:pPr>
            <w:r>
              <w:rPr>
                <w:rFonts w:hint="eastAsia"/>
              </w:rPr>
              <w:t>1. 投标保证金交款形式及要求：投标人从企业的</w:t>
            </w:r>
            <w:r>
              <w:rPr>
                <w:rFonts w:hint="eastAsia"/>
                <w:b/>
                <w:bCs/>
              </w:rPr>
              <w:t>基本账户</w:t>
            </w:r>
            <w:r>
              <w:rPr>
                <w:rFonts w:hint="eastAsia"/>
              </w:rPr>
              <w:t>（开户行）在投标截止时间前通过转账支票直接划付或以电汇方式直接划付至指定的投标保证金账户。若投标截止时间延期，则投标保证金提交的截止时间和投标截止时间应当保持一致。不满足上述要求的投标保证金视为</w:t>
            </w:r>
            <w:r>
              <w:t>无效。</w:t>
            </w:r>
          </w:p>
          <w:p w14:paraId="17CAAB62">
            <w:pPr>
              <w:snapToGrid w:val="0"/>
              <w:spacing w:line="400" w:lineRule="exact"/>
              <w:ind w:firstLine="420" w:firstLineChars="200"/>
            </w:pPr>
            <w:r>
              <w:rPr>
                <w:rFonts w:hint="eastAsia"/>
              </w:rPr>
              <w:t>投标人自行考虑汇入时间风险，如同城汇入、异地汇入、跨行汇入的时间要求。</w:t>
            </w:r>
          </w:p>
          <w:p w14:paraId="547EA1EF">
            <w:pPr>
              <w:snapToGrid w:val="0"/>
              <w:spacing w:line="400" w:lineRule="exact"/>
              <w:ind w:firstLine="420" w:firstLineChars="200"/>
            </w:pPr>
            <w:r>
              <w:rPr>
                <w:rFonts w:hint="eastAsia"/>
              </w:rPr>
              <w:t>2. 以转账支票或电汇形式提交投标保证金的金额：</w:t>
            </w:r>
            <w:r>
              <w:rPr>
                <w:rFonts w:hint="eastAsia"/>
                <w:b/>
                <w:bCs/>
                <w:color w:val="FF0000"/>
                <w:u w:val="single"/>
              </w:rPr>
              <w:t xml:space="preserve"> </w:t>
            </w:r>
            <w:r>
              <w:rPr>
                <w:rFonts w:hint="eastAsia"/>
                <w:b/>
                <w:bCs/>
                <w:color w:val="FF0000"/>
                <w:u w:val="single"/>
                <w:lang w:val="en-US" w:eastAsia="zh-CN"/>
              </w:rPr>
              <w:t>10</w:t>
            </w:r>
            <w:r>
              <w:rPr>
                <w:rFonts w:hint="eastAsia"/>
                <w:b/>
                <w:bCs/>
                <w:color w:val="FF0000"/>
              </w:rPr>
              <w:t>万元整（人民币）</w:t>
            </w:r>
            <w:r>
              <w:rPr>
                <w:rFonts w:hint="eastAsia"/>
              </w:rPr>
              <w:t>。</w:t>
            </w:r>
          </w:p>
          <w:p w14:paraId="3493504C">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3. 投标保证金账户及账号：</w:t>
            </w:r>
          </w:p>
          <w:p w14:paraId="75941E57">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户名：重庆市涪陵榨菜集团股份有限公司</w:t>
            </w:r>
          </w:p>
          <w:p w14:paraId="52847042">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开户行：中信银行重庆涪陵支行</w:t>
            </w:r>
          </w:p>
          <w:p w14:paraId="7D2324E9">
            <w:pPr>
              <w:pageBreakBefore w:val="0"/>
              <w:kinsoku/>
              <w:topLinePunct w:val="0"/>
              <w:bidi w:val="0"/>
              <w:snapToGrid w:val="0"/>
              <w:spacing w:line="360" w:lineRule="auto"/>
              <w:ind w:left="0" w:leftChars="0" w:right="0" w:rightChars="0" w:firstLine="420" w:firstLineChars="200"/>
              <w:jc w:val="left"/>
              <w:textAlignment w:val="auto"/>
              <w:outlineLvl w:val="9"/>
              <w:rPr>
                <w:rFonts w:hint="eastAsia"/>
              </w:rPr>
            </w:pPr>
            <w:r>
              <w:rPr>
                <w:rFonts w:hint="eastAsia"/>
              </w:rPr>
              <w:t>账 号：7422010182100003830</w:t>
            </w:r>
          </w:p>
          <w:p w14:paraId="0DDE2D76">
            <w:pPr>
              <w:snapToGrid w:val="0"/>
              <w:spacing w:line="400" w:lineRule="exact"/>
              <w:ind w:firstLine="420" w:firstLineChars="200"/>
            </w:pPr>
          </w:p>
          <w:p w14:paraId="35385114">
            <w:pPr>
              <w:snapToGrid w:val="0"/>
              <w:spacing w:line="400" w:lineRule="exact"/>
              <w:ind w:firstLine="420" w:firstLineChars="200"/>
              <w:rPr>
                <w:b/>
                <w:bCs/>
              </w:rPr>
            </w:pPr>
            <w:r>
              <w:rPr>
                <w:rFonts w:hint="eastAsia"/>
              </w:rPr>
              <w:t>投标保证金以开标现场展示的保证金交纳情况为准。</w:t>
            </w:r>
            <w:r>
              <w:rPr>
                <w:rFonts w:hint="eastAsia"/>
                <w:b/>
                <w:bCs/>
              </w:rPr>
              <w:t>投标人须在投标文件资格审查部分“其他资料”中提供企业基本账户开户证明文件。</w:t>
            </w:r>
          </w:p>
          <w:p w14:paraId="5756E125">
            <w:pPr>
              <w:snapToGrid w:val="0"/>
              <w:spacing w:line="400" w:lineRule="exact"/>
              <w:ind w:firstLine="420" w:firstLineChars="200"/>
              <w:rPr>
                <w:color w:val="000000" w:themeColor="text1"/>
                <w14:textFill>
                  <w14:solidFill>
                    <w14:schemeClr w14:val="tx1"/>
                  </w14:solidFill>
                </w14:textFill>
              </w:rPr>
            </w:pPr>
            <w:r>
              <w:rPr>
                <w:rFonts w:hint="eastAsia"/>
              </w:rPr>
              <w:t xml:space="preserve">4. </w:t>
            </w:r>
            <w:r>
              <w:rPr>
                <w:rFonts w:hint="eastAsia" w:ascii="宋体" w:hAnsi="宋体" w:eastAsia="宋体" w:cs="宋体"/>
              </w:rPr>
              <w:t>投标人</w:t>
            </w:r>
            <w:r>
              <w:rPr>
                <w:rFonts w:hint="eastAsia" w:ascii="宋体" w:hAnsi="宋体" w:eastAsia="宋体" w:cs="宋体"/>
                <w:color w:val="000000" w:themeColor="text1"/>
                <w14:textFill>
                  <w14:solidFill>
                    <w14:schemeClr w14:val="tx1"/>
                  </w14:solidFill>
                </w14:textFill>
              </w:rPr>
              <w:t>须在付款凭证备注栏中注明是“</w:t>
            </w:r>
            <w:r>
              <w:rPr>
                <w:rFonts w:hint="eastAsia" w:ascii="宋体" w:hAnsi="宋体" w:eastAsia="宋体" w:cs="宋体"/>
                <w:color w:val="000000" w:themeColor="text1"/>
                <w:u w:val="single"/>
                <w14:textFill>
                  <w14:solidFill>
                    <w14:schemeClr w14:val="tx1"/>
                  </w14:solidFill>
                </w14:textFill>
              </w:rPr>
              <w:t xml:space="preserve"> 乌江绿色智能化生产基地（一期）5</w:t>
            </w:r>
            <w:r>
              <w:rPr>
                <w:rFonts w:hint="eastAsia" w:ascii="宋体" w:hAnsi="宋体" w:eastAsia="宋体" w:cs="宋体"/>
                <w:color w:val="000000" w:themeColor="text1"/>
                <w:u w:val="single"/>
                <w:lang w:val="en-US" w:eastAsia="zh-CN"/>
                <w14:textFill>
                  <w14:solidFill>
                    <w14:schemeClr w14:val="tx1"/>
                  </w14:solidFill>
                </w14:textFill>
              </w:rPr>
              <w:t>号</w:t>
            </w:r>
            <w:r>
              <w:rPr>
                <w:rFonts w:hint="eastAsia" w:ascii="宋体" w:hAnsi="宋体" w:eastAsia="宋体" w:cs="宋体"/>
                <w:color w:val="000000" w:themeColor="text1"/>
                <w:u w:val="single"/>
                <w14:textFill>
                  <w14:solidFill>
                    <w14:schemeClr w14:val="tx1"/>
                  </w14:solidFill>
                </w14:textFill>
              </w:rPr>
              <w:t>车间原料清洁化加工非标设备采购及安装项目</w:t>
            </w:r>
            <w:r>
              <w:rPr>
                <w:rFonts w:hint="eastAsia" w:ascii="宋体" w:hAnsi="宋体" w:eastAsia="宋体" w:cs="宋体"/>
                <w:color w:val="000000" w:themeColor="text1"/>
                <w14:textFill>
                  <w14:solidFill>
                    <w14:schemeClr w14:val="tx1"/>
                  </w14:solidFill>
                </w14:textFill>
              </w:rPr>
              <w:t>投标保证金”。项目名称可简写成：</w:t>
            </w:r>
            <w:r>
              <w:rPr>
                <w:rFonts w:hint="eastAsia" w:ascii="宋体" w:hAnsi="宋体" w:eastAsia="宋体" w:cs="宋体"/>
                <w:color w:val="000000" w:themeColor="text1"/>
                <w:u w:val="single"/>
                <w14:textFill>
                  <w14:solidFill>
                    <w14:schemeClr w14:val="tx1"/>
                  </w14:solidFill>
                </w14:textFill>
              </w:rPr>
              <w:t xml:space="preserve"> 乌江榨菜（一期）5</w:t>
            </w:r>
            <w:r>
              <w:rPr>
                <w:rFonts w:hint="eastAsia" w:ascii="宋体" w:hAnsi="宋体" w:eastAsia="宋体" w:cs="宋体"/>
                <w:color w:val="000000" w:themeColor="text1"/>
                <w:u w:val="single"/>
                <w:lang w:val="en-US" w:eastAsia="zh-CN"/>
                <w14:textFill>
                  <w14:solidFill>
                    <w14:schemeClr w14:val="tx1"/>
                  </w14:solidFill>
                </w14:textFill>
              </w:rPr>
              <w:t>号</w:t>
            </w:r>
            <w:r>
              <w:rPr>
                <w:rFonts w:hint="eastAsia" w:ascii="宋体" w:hAnsi="宋体" w:eastAsia="宋体" w:cs="宋体"/>
                <w:color w:val="000000" w:themeColor="text1"/>
                <w:u w:val="single"/>
                <w14:textFill>
                  <w14:solidFill>
                    <w14:schemeClr w14:val="tx1"/>
                  </w14:solidFill>
                </w14:textFill>
              </w:rPr>
              <w:t>车间原料清洁化加工设备</w:t>
            </w:r>
            <w:r>
              <w:rPr>
                <w:rFonts w:hint="eastAsia" w:ascii="宋体" w:hAnsi="宋体" w:eastAsia="宋体" w:cs="宋体"/>
                <w:color w:val="000000" w:themeColor="text1"/>
                <w14:textFill>
                  <w14:solidFill>
                    <w14:schemeClr w14:val="tx1"/>
                  </w14:solidFill>
                </w14:textFill>
              </w:rPr>
              <w:t>。</w:t>
            </w:r>
            <w:r>
              <w:rPr>
                <w:rFonts w:hint="eastAsia" w:ascii="宋体" w:hAnsi="宋体" w:cs="宋体"/>
                <w:color w:val="000000" w:themeColor="text1"/>
                <w:lang w:val="en-US" w:eastAsia="zh-CN"/>
                <w14:textFill>
                  <w14:solidFill>
                    <w14:schemeClr w14:val="tx1"/>
                  </w14:solidFill>
                </w14:textFill>
              </w:rPr>
              <w:t>未备注或者备注错误不作为否决投标依据。</w:t>
            </w:r>
          </w:p>
          <w:p w14:paraId="0C9CA3B1">
            <w:pPr>
              <w:snapToGrid w:val="0"/>
              <w:spacing w:line="400" w:lineRule="exact"/>
              <w:ind w:firstLine="420" w:firstLineChars="200"/>
            </w:pPr>
            <w:r>
              <w:rPr>
                <w:rFonts w:hint="eastAsia"/>
              </w:rPr>
              <w:t>5. 投标保证金有效期与投标有效期一致。</w:t>
            </w:r>
          </w:p>
          <w:p w14:paraId="390681AC">
            <w:pPr>
              <w:snapToGrid w:val="0"/>
              <w:spacing w:line="400" w:lineRule="exact"/>
              <w:ind w:firstLine="420" w:firstLineChars="200"/>
              <w:rPr>
                <w:b/>
                <w:bCs/>
              </w:rPr>
            </w:pPr>
            <w:r>
              <w:rPr>
                <w:rFonts w:hint="eastAsia"/>
                <w:lang w:val="en-US" w:eastAsia="zh-CN"/>
              </w:rPr>
              <w:t>6.</w:t>
            </w:r>
            <w:r>
              <w:rPr>
                <w:rFonts w:hint="eastAsia"/>
                <w:b/>
                <w:bCs/>
              </w:rPr>
              <w:t>评标过程中由评标委员会根据投标人在投标文件中提供的企业基本账户开户证明文件核实其投标保证金是否由基本账户转入，未从基本账户转入的，由评标委员会作否决投标处理。</w:t>
            </w:r>
          </w:p>
          <w:p w14:paraId="4457C6D3">
            <w:pPr>
              <w:snapToGrid w:val="0"/>
              <w:spacing w:line="400" w:lineRule="exact"/>
              <w:ind w:firstLine="420" w:firstLineChars="200"/>
            </w:pPr>
            <w:r>
              <w:rPr>
                <w:rFonts w:hint="eastAsia"/>
              </w:rPr>
              <w:t>二、投标保证金的退还</w:t>
            </w:r>
          </w:p>
          <w:p w14:paraId="69FCE755">
            <w:pPr>
              <w:snapToGrid w:val="0"/>
              <w:spacing w:line="400" w:lineRule="exact"/>
              <w:ind w:firstLine="420" w:firstLineChars="200"/>
              <w:rPr>
                <w:rFonts w:ascii="宋体" w:hAnsi="宋体" w:cs="宋体"/>
              </w:rPr>
            </w:pPr>
            <w:r>
              <w:rPr>
                <w:rFonts w:hint="eastAsia" w:ascii="宋体" w:hAnsi="宋体" w:cs="宋体"/>
              </w:rPr>
              <w:t>招标人应当在法定时间内确定中标人。招标人应当在中标通知书发出后5日内，向除中标人以外的投标人，</w:t>
            </w:r>
            <w:r>
              <w:rPr>
                <w:rFonts w:hint="eastAsia" w:ascii="宋体" w:hAnsi="宋体" w:cs="宋体"/>
                <w:lang w:val="en-US" w:eastAsia="zh-CN"/>
              </w:rPr>
              <w:t>无息</w:t>
            </w:r>
            <w:r>
              <w:rPr>
                <w:rFonts w:hint="eastAsia" w:ascii="宋体" w:hAnsi="宋体" w:cs="宋体"/>
              </w:rPr>
              <w:t>退还投标保证金。</w:t>
            </w:r>
          </w:p>
          <w:p w14:paraId="19F5653B">
            <w:pPr>
              <w:snapToGrid w:val="0"/>
              <w:spacing w:line="400" w:lineRule="exact"/>
              <w:ind w:firstLine="420" w:firstLineChars="200"/>
              <w:jc w:val="left"/>
            </w:pPr>
            <w:r>
              <w:rPr>
                <w:rFonts w:hint="eastAsia" w:ascii="宋体" w:hAnsi="宋体" w:cs="宋体"/>
              </w:rPr>
              <w:t>招标人应当在法定时间内和中标人签订合同。招标人应当在招标人与中标人签订合同后5日内，向中标人</w:t>
            </w:r>
            <w:r>
              <w:rPr>
                <w:rFonts w:hint="eastAsia" w:ascii="宋体" w:hAnsi="宋体" w:cs="宋体"/>
                <w:lang w:val="en-US" w:eastAsia="zh-CN"/>
              </w:rPr>
              <w:t>无息</w:t>
            </w:r>
            <w:r>
              <w:rPr>
                <w:rFonts w:hint="eastAsia" w:ascii="宋体" w:hAnsi="宋体" w:cs="宋体"/>
              </w:rPr>
              <w:t>退还投标保证金</w:t>
            </w:r>
            <w:r>
              <w:rPr>
                <w:rFonts w:hint="eastAsia"/>
              </w:rPr>
              <w:t>。</w:t>
            </w:r>
          </w:p>
        </w:tc>
      </w:tr>
      <w:tr w14:paraId="10CC55B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DDD3B21">
            <w:pPr>
              <w:snapToGrid w:val="0"/>
              <w:spacing w:line="400" w:lineRule="exact"/>
              <w:jc w:val="center"/>
              <w:rPr>
                <w:rFonts w:ascii="宋体" w:hAnsi="宋体"/>
                <w:kern w:val="0"/>
                <w:szCs w:val="21"/>
              </w:rPr>
            </w:pPr>
            <w:r>
              <w:rPr>
                <w:rFonts w:hint="eastAsia" w:ascii="宋体" w:hAnsi="宋体"/>
                <w:kern w:val="0"/>
                <w:szCs w:val="21"/>
              </w:rPr>
              <w:t>3</w:t>
            </w:r>
            <w:r>
              <w:rPr>
                <w:rFonts w:ascii="宋体" w:hAnsi="宋体"/>
                <w:kern w:val="0"/>
                <w:szCs w:val="21"/>
              </w:rPr>
              <w:t>.4.4</w:t>
            </w:r>
          </w:p>
        </w:tc>
        <w:tc>
          <w:tcPr>
            <w:tcW w:w="1754" w:type="dxa"/>
            <w:vAlign w:val="center"/>
          </w:tcPr>
          <w:p w14:paraId="706E5E85">
            <w:pPr>
              <w:snapToGrid w:val="0"/>
              <w:spacing w:line="400" w:lineRule="exact"/>
              <w:jc w:val="center"/>
              <w:rPr>
                <w:rFonts w:ascii="宋体" w:hAnsi="宋体"/>
                <w:kern w:val="0"/>
                <w:szCs w:val="21"/>
              </w:rPr>
            </w:pPr>
            <w:r>
              <w:rPr>
                <w:rFonts w:hint="eastAsia" w:ascii="宋体" w:hAnsi="宋体"/>
                <w:kern w:val="0"/>
                <w:szCs w:val="21"/>
                <w:lang w:val="en-US" w:eastAsia="zh-CN"/>
              </w:rPr>
              <w:t>其他</w:t>
            </w:r>
            <w:r>
              <w:rPr>
                <w:rFonts w:ascii="宋体" w:hAnsi="宋体"/>
                <w:kern w:val="0"/>
                <w:szCs w:val="21"/>
              </w:rPr>
              <w:t>不予退还投标保证金的情形</w:t>
            </w:r>
          </w:p>
        </w:tc>
        <w:tc>
          <w:tcPr>
            <w:tcW w:w="6490" w:type="dxa"/>
            <w:vAlign w:val="center"/>
          </w:tcPr>
          <w:p w14:paraId="02BD9F5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305BE76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6715A427">
            <w:pPr>
              <w:autoSpaceDE w:val="0"/>
              <w:autoSpaceDN w:val="0"/>
              <w:adjustRightInd w:val="0"/>
              <w:snapToGrid w:val="0"/>
              <w:spacing w:line="360" w:lineRule="auto"/>
              <w:ind w:firstLine="420" w:firstLineChars="200"/>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6431B917">
            <w:pPr>
              <w:snapToGrid w:val="0"/>
              <w:spacing w:line="400" w:lineRule="exact"/>
              <w:ind w:firstLine="420" w:firstLineChars="200"/>
              <w:jc w:val="left"/>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tc>
      </w:tr>
      <w:tr w14:paraId="4BC7730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A69FE06">
            <w:pPr>
              <w:snapToGrid w:val="0"/>
              <w:spacing w:line="400" w:lineRule="exact"/>
              <w:jc w:val="center"/>
              <w:rPr>
                <w:rFonts w:ascii="宋体" w:hAnsi="宋体"/>
                <w:kern w:val="0"/>
                <w:szCs w:val="21"/>
              </w:rPr>
            </w:pPr>
            <w:r>
              <w:rPr>
                <w:rFonts w:ascii="宋体" w:hAnsi="宋体"/>
                <w:kern w:val="0"/>
                <w:szCs w:val="21"/>
              </w:rPr>
              <w:t>3.6.1</w:t>
            </w:r>
          </w:p>
        </w:tc>
        <w:tc>
          <w:tcPr>
            <w:tcW w:w="1754" w:type="dxa"/>
            <w:vAlign w:val="center"/>
          </w:tcPr>
          <w:p w14:paraId="532323E8">
            <w:pPr>
              <w:snapToGrid w:val="0"/>
              <w:spacing w:line="400" w:lineRule="exact"/>
              <w:jc w:val="center"/>
              <w:rPr>
                <w:rFonts w:ascii="宋体" w:hAnsi="宋体"/>
                <w:kern w:val="0"/>
                <w:szCs w:val="21"/>
              </w:rPr>
            </w:pPr>
            <w:r>
              <w:rPr>
                <w:rFonts w:ascii="宋体" w:hAnsi="宋体"/>
                <w:kern w:val="0"/>
                <w:szCs w:val="21"/>
              </w:rPr>
              <w:t>是否允许递交</w:t>
            </w:r>
          </w:p>
          <w:p w14:paraId="21C69D5A">
            <w:pPr>
              <w:snapToGrid w:val="0"/>
              <w:spacing w:after="72" w:afterLines="30" w:line="400" w:lineRule="exact"/>
              <w:jc w:val="center"/>
              <w:rPr>
                <w:rFonts w:ascii="宋体" w:hAnsi="宋体"/>
                <w:kern w:val="0"/>
                <w:szCs w:val="21"/>
              </w:rPr>
            </w:pPr>
            <w:r>
              <w:rPr>
                <w:rFonts w:ascii="宋体" w:hAnsi="宋体"/>
                <w:kern w:val="0"/>
                <w:szCs w:val="21"/>
              </w:rPr>
              <w:t>备选投标方案</w:t>
            </w:r>
          </w:p>
        </w:tc>
        <w:tc>
          <w:tcPr>
            <w:tcW w:w="6490" w:type="dxa"/>
            <w:vAlign w:val="center"/>
          </w:tcPr>
          <w:p w14:paraId="1AAA17A2">
            <w:pPr>
              <w:snapToGrid w:val="0"/>
              <w:spacing w:line="400" w:lineRule="exact"/>
              <w:ind w:firstLine="420" w:firstLineChars="200"/>
              <w:rPr>
                <w:rFonts w:ascii="宋体" w:hAnsi="宋体"/>
                <w:kern w:val="0"/>
                <w:szCs w:val="21"/>
              </w:rPr>
            </w:pPr>
            <w:r>
              <w:rPr>
                <w:rFonts w:ascii="宋体" w:hAnsi="宋体"/>
                <w:kern w:val="0"/>
                <w:szCs w:val="21"/>
              </w:rPr>
              <w:t>不允许</w:t>
            </w:r>
          </w:p>
        </w:tc>
      </w:tr>
      <w:tr w14:paraId="166E0C9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D82C9A9">
            <w:pPr>
              <w:snapToGrid w:val="0"/>
              <w:spacing w:line="400" w:lineRule="exact"/>
              <w:jc w:val="center"/>
              <w:rPr>
                <w:rFonts w:ascii="宋体" w:hAnsi="宋体"/>
                <w:kern w:val="0"/>
                <w:szCs w:val="21"/>
              </w:rPr>
            </w:pPr>
            <w:r>
              <w:rPr>
                <w:rFonts w:hint="eastAsia" w:ascii="宋体" w:hAnsi="宋体"/>
                <w:kern w:val="0"/>
                <w:szCs w:val="21"/>
              </w:rPr>
              <w:t>3.7.1</w:t>
            </w:r>
          </w:p>
        </w:tc>
        <w:tc>
          <w:tcPr>
            <w:tcW w:w="1754" w:type="dxa"/>
            <w:vAlign w:val="center"/>
          </w:tcPr>
          <w:p w14:paraId="3B5913D9">
            <w:pPr>
              <w:snapToGrid w:val="0"/>
              <w:spacing w:after="72" w:afterLines="30" w:line="400" w:lineRule="exact"/>
              <w:jc w:val="center"/>
              <w:rPr>
                <w:rFonts w:ascii="宋体" w:hAnsi="宋体"/>
                <w:kern w:val="0"/>
                <w:szCs w:val="21"/>
              </w:rPr>
            </w:pPr>
            <w:r>
              <w:rPr>
                <w:rFonts w:hint="eastAsia" w:ascii="宋体" w:hAnsi="宋体"/>
                <w:kern w:val="0"/>
                <w:szCs w:val="21"/>
              </w:rPr>
              <w:t>投标文件格式要求</w:t>
            </w:r>
          </w:p>
        </w:tc>
        <w:tc>
          <w:tcPr>
            <w:tcW w:w="6490" w:type="dxa"/>
            <w:vAlign w:val="center"/>
          </w:tcPr>
          <w:p w14:paraId="2B864A48">
            <w:pPr>
              <w:snapToGrid w:val="0"/>
              <w:spacing w:line="400" w:lineRule="exact"/>
              <w:ind w:firstLine="420" w:firstLineChars="200"/>
              <w:rPr>
                <w:rFonts w:ascii="宋体" w:hAnsi="宋体"/>
                <w:kern w:val="0"/>
                <w:szCs w:val="21"/>
              </w:rPr>
            </w:pPr>
            <w:r>
              <w:rPr>
                <w:rFonts w:hint="eastAsia" w:ascii="宋体" w:hAnsi="宋体"/>
                <w:kern w:val="0"/>
                <w:szCs w:val="21"/>
              </w:rPr>
              <w:t>编制投标文件时不得对第六章“投标文件格式”的相应要素作实质性修改，否则视为重大偏差，由评标委员会作否决投标处理。</w:t>
            </w:r>
          </w:p>
        </w:tc>
      </w:tr>
      <w:tr w14:paraId="66DE635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FF5CE3C">
            <w:pPr>
              <w:snapToGrid w:val="0"/>
              <w:spacing w:line="400" w:lineRule="exact"/>
              <w:jc w:val="center"/>
              <w:rPr>
                <w:rFonts w:ascii="宋体" w:hAnsi="宋体"/>
                <w:kern w:val="0"/>
                <w:szCs w:val="21"/>
              </w:rPr>
            </w:pPr>
            <w:r>
              <w:rPr>
                <w:rFonts w:ascii="宋体" w:hAnsi="宋体"/>
                <w:kern w:val="0"/>
                <w:szCs w:val="21"/>
              </w:rPr>
              <w:t>3.7.3</w:t>
            </w:r>
          </w:p>
        </w:tc>
        <w:tc>
          <w:tcPr>
            <w:tcW w:w="1754" w:type="dxa"/>
            <w:vAlign w:val="center"/>
          </w:tcPr>
          <w:p w14:paraId="21B0A583">
            <w:pPr>
              <w:snapToGrid w:val="0"/>
              <w:spacing w:line="400" w:lineRule="exact"/>
              <w:jc w:val="center"/>
              <w:rPr>
                <w:rFonts w:ascii="宋体" w:hAnsi="宋体"/>
                <w:kern w:val="0"/>
                <w:szCs w:val="21"/>
              </w:rPr>
            </w:pPr>
            <w:r>
              <w:rPr>
                <w:rFonts w:hint="eastAsia" w:ascii="宋体" w:hAnsi="宋体"/>
                <w:kern w:val="0"/>
                <w:szCs w:val="21"/>
              </w:rPr>
              <w:t>签名</w:t>
            </w:r>
            <w:r>
              <w:rPr>
                <w:rFonts w:ascii="宋体" w:hAnsi="宋体"/>
                <w:kern w:val="0"/>
                <w:szCs w:val="21"/>
              </w:rPr>
              <w:t>盖章要求</w:t>
            </w:r>
          </w:p>
        </w:tc>
        <w:tc>
          <w:tcPr>
            <w:tcW w:w="6490" w:type="dxa"/>
            <w:vAlign w:val="center"/>
          </w:tcPr>
          <w:p w14:paraId="6E1AA051">
            <w:pPr>
              <w:snapToGrid w:val="0"/>
              <w:spacing w:line="400" w:lineRule="exact"/>
              <w:ind w:firstLine="420" w:firstLineChars="200"/>
              <w:rPr>
                <w:rFonts w:ascii="宋体" w:hAnsi="宋体" w:cs="宋体"/>
                <w:szCs w:val="21"/>
              </w:rPr>
            </w:pPr>
            <w:r>
              <w:rPr>
                <w:rFonts w:hint="eastAsia" w:ascii="宋体" w:hAnsi="宋体" w:cs="宋体"/>
                <w:szCs w:val="21"/>
              </w:rPr>
              <w:t>投标文件格式上要求法定代表人或其委托代理人签名（或盖章）的须齐全。要求签名的，签名采用手写签名或签章均可。要求加盖单位法人章的，加盖投标人单位法</w:t>
            </w:r>
            <w:r>
              <w:rPr>
                <w:rFonts w:hint="eastAsia" w:ascii="宋体" w:hAnsi="宋体" w:cs="宋体"/>
                <w:szCs w:val="21"/>
                <w:highlight w:val="none"/>
              </w:rPr>
              <w:t>人章或投</w:t>
            </w:r>
            <w:r>
              <w:rPr>
                <w:rFonts w:hint="eastAsia" w:ascii="宋体" w:hAnsi="宋体" w:cs="宋体"/>
                <w:szCs w:val="21"/>
              </w:rPr>
              <w:t>标人的单位电子印章均可。</w:t>
            </w:r>
          </w:p>
          <w:p w14:paraId="6FB6FC7D">
            <w:pPr>
              <w:snapToGrid w:val="0"/>
              <w:spacing w:line="400" w:lineRule="exact"/>
              <w:ind w:firstLine="420" w:firstLineChars="200"/>
              <w:rPr>
                <w:rFonts w:ascii="宋体" w:hAnsi="宋体"/>
                <w:szCs w:val="21"/>
              </w:rPr>
            </w:pPr>
            <w:r>
              <w:rPr>
                <w:rFonts w:hint="eastAsia" w:ascii="宋体" w:hAnsi="宋体"/>
                <w:szCs w:val="21"/>
              </w:rPr>
              <w:t>未按上述规定执行的，交由评标委员会作否决投标处理。</w:t>
            </w:r>
          </w:p>
        </w:tc>
      </w:tr>
      <w:tr w14:paraId="54D853E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28A5D5D">
            <w:pPr>
              <w:snapToGrid w:val="0"/>
              <w:spacing w:line="400" w:lineRule="exact"/>
              <w:jc w:val="center"/>
              <w:rPr>
                <w:rFonts w:ascii="宋体" w:hAnsi="宋体"/>
                <w:kern w:val="0"/>
                <w:szCs w:val="21"/>
              </w:rPr>
            </w:pPr>
            <w:r>
              <w:rPr>
                <w:rFonts w:ascii="宋体" w:hAnsi="宋体"/>
                <w:kern w:val="0"/>
                <w:szCs w:val="21"/>
              </w:rPr>
              <w:t>3.7.4</w:t>
            </w:r>
          </w:p>
        </w:tc>
        <w:tc>
          <w:tcPr>
            <w:tcW w:w="1754" w:type="dxa"/>
            <w:vAlign w:val="center"/>
          </w:tcPr>
          <w:p w14:paraId="7086C377">
            <w:pPr>
              <w:snapToGrid w:val="0"/>
              <w:spacing w:line="400" w:lineRule="exact"/>
              <w:rPr>
                <w:rFonts w:ascii="宋体" w:hAnsi="宋体"/>
                <w:spacing w:val="-6"/>
                <w:kern w:val="0"/>
                <w:szCs w:val="21"/>
              </w:rPr>
            </w:pPr>
            <w:r>
              <w:rPr>
                <w:rFonts w:ascii="宋体" w:hAnsi="宋体"/>
                <w:spacing w:val="-6"/>
                <w:kern w:val="0"/>
                <w:szCs w:val="21"/>
              </w:rPr>
              <w:t>投标文件的份数</w:t>
            </w:r>
          </w:p>
        </w:tc>
        <w:tc>
          <w:tcPr>
            <w:tcW w:w="6490" w:type="dxa"/>
            <w:vAlign w:val="center"/>
          </w:tcPr>
          <w:p w14:paraId="266FCAA3">
            <w:pPr>
              <w:pageBreakBefore w:val="0"/>
              <w:kinsoku/>
              <w:topLinePunct w:val="0"/>
              <w:autoSpaceDE w:val="0"/>
              <w:autoSpaceDN w:val="0"/>
              <w:bidi w:val="0"/>
              <w:adjustRightInd w:val="0"/>
              <w:snapToGrid w:val="0"/>
              <w:spacing w:after="72" w:afterLines="30"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本</w:t>
            </w:r>
            <w:r>
              <w:rPr>
                <w:rFonts w:hint="eastAsia" w:ascii="宋体" w:hAnsi="宋体" w:cs="宋体"/>
                <w:color w:val="000000" w:themeColor="text1"/>
                <w:highlight w:val="none"/>
                <w:lang w:val="en-US" w:eastAsia="zh-CN"/>
                <w14:textFill>
                  <w14:solidFill>
                    <w14:schemeClr w14:val="tx1"/>
                  </w14:solidFill>
                </w14:textFill>
              </w:rPr>
              <w:t>项目</w:t>
            </w:r>
            <w:r>
              <w:rPr>
                <w:rFonts w:hint="eastAsia" w:ascii="宋体" w:hAnsi="宋体" w:eastAsia="宋体" w:cs="宋体"/>
                <w:color w:val="000000" w:themeColor="text1"/>
                <w:highlight w:val="none"/>
                <w14:textFill>
                  <w14:solidFill>
                    <w14:schemeClr w14:val="tx1"/>
                  </w14:solidFill>
                </w14:textFill>
              </w:rPr>
              <w:t>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招标投标，投标人提供的投标文件为：</w:t>
            </w:r>
          </w:p>
          <w:p w14:paraId="519247D2">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w:t>
            </w:r>
            <w:r>
              <w:rPr>
                <w:rFonts w:hint="eastAsia" w:ascii="宋体" w:hAnsi="宋体" w:cs="宋体"/>
                <w:kern w:val="0"/>
                <w:szCs w:val="21"/>
              </w:rPr>
              <w:t>正本份数：【</w:t>
            </w:r>
            <w:r>
              <w:rPr>
                <w:rFonts w:hint="eastAsia" w:ascii="宋体" w:hAnsi="宋体" w:cs="宋体"/>
                <w:kern w:val="0"/>
                <w:szCs w:val="21"/>
                <w:lang w:val="en-US" w:eastAsia="zh-CN"/>
              </w:rPr>
              <w:t xml:space="preserve"> 1 </w:t>
            </w:r>
            <w:r>
              <w:rPr>
                <w:rFonts w:hint="eastAsia" w:ascii="宋体" w:hAnsi="宋体" w:cs="宋体"/>
                <w:kern w:val="0"/>
                <w:szCs w:val="21"/>
              </w:rPr>
              <w:t>】份；</w:t>
            </w:r>
          </w:p>
          <w:p w14:paraId="384A9495">
            <w:pPr>
              <w:keepNext w:val="0"/>
              <w:keepLines w:val="0"/>
              <w:pageBreakBefore w:val="0"/>
              <w:kinsoku/>
              <w:autoSpaceDE w:val="0"/>
              <w:autoSpaceDN w:val="0"/>
              <w:bidi w:val="0"/>
              <w:adjustRightInd w:val="0"/>
              <w:snapToGrid w:val="0"/>
              <w:spacing w:line="360" w:lineRule="auto"/>
              <w:ind w:firstLine="396" w:firstLineChars="200"/>
              <w:jc w:val="both"/>
              <w:textAlignment w:val="auto"/>
              <w:outlineLvl w:val="9"/>
              <w:rPr>
                <w:rFonts w:ascii="宋体" w:hAnsi="宋体" w:cs="宋体"/>
                <w:kern w:val="0"/>
                <w:szCs w:val="21"/>
              </w:rPr>
            </w:pPr>
            <w:r>
              <w:rPr>
                <w:rFonts w:hint="eastAsia" w:ascii="宋体" w:hAnsi="宋体" w:cs="宋体"/>
                <w:spacing w:val="-6"/>
                <w:kern w:val="0"/>
                <w:szCs w:val="21"/>
              </w:rPr>
              <w:t>投标文件副</w:t>
            </w:r>
            <w:r>
              <w:rPr>
                <w:rFonts w:hint="eastAsia" w:ascii="宋体" w:hAnsi="宋体" w:cs="宋体"/>
                <w:kern w:val="0"/>
                <w:szCs w:val="21"/>
              </w:rPr>
              <w:t>本份数：【</w:t>
            </w:r>
            <w:r>
              <w:rPr>
                <w:rFonts w:hint="eastAsia" w:ascii="宋体" w:hAnsi="宋体" w:cs="宋体"/>
                <w:kern w:val="0"/>
                <w:szCs w:val="21"/>
                <w:lang w:val="en-US" w:eastAsia="zh-CN"/>
              </w:rPr>
              <w:t xml:space="preserve"> 2 </w:t>
            </w:r>
            <w:r>
              <w:rPr>
                <w:rFonts w:ascii="宋体" w:hAnsi="宋体" w:cs="宋体"/>
                <w:kern w:val="0"/>
                <w:szCs w:val="21"/>
              </w:rPr>
              <w:t>】份；</w:t>
            </w:r>
          </w:p>
          <w:p w14:paraId="4A150239">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hint="eastAsia" w:ascii="宋体" w:hAnsi="宋体" w:cs="宋体"/>
                <w:kern w:val="0"/>
                <w:szCs w:val="21"/>
              </w:rPr>
            </w:pPr>
            <w:r>
              <w:rPr>
                <w:rFonts w:hint="eastAsia" w:ascii="宋体" w:hAnsi="宋体" w:eastAsia="宋体" w:cs="宋体"/>
                <w:color w:val="000000" w:themeColor="text1"/>
                <w:szCs w:val="21"/>
                <w:highlight w:val="none"/>
                <w14:textFill>
                  <w14:solidFill>
                    <w14:schemeClr w14:val="tx1"/>
                  </w14:solidFill>
                </w14:textFill>
              </w:rPr>
              <w:t>投标文件须装订成册，原则应编制目录，逐页标注页码（原则上装订成一册，正本文件内签字和盖章须为原件，副本可为正本的复印件</w:t>
            </w:r>
            <w:r>
              <w:rPr>
                <w:rFonts w:hint="eastAsia" w:ascii="宋体" w:hAnsi="宋体" w:cs="宋体"/>
                <w:color w:val="000000" w:themeColor="text1"/>
                <w:szCs w:val="21"/>
                <w:highlight w:val="none"/>
                <w:lang w:eastAsia="zh-CN"/>
                <w14:textFill>
                  <w14:solidFill>
                    <w14:schemeClr w14:val="tx1"/>
                  </w14:solidFill>
                </w14:textFill>
              </w:rPr>
              <w:t>，</w:t>
            </w:r>
            <w:r>
              <w:rPr>
                <w:rFonts w:hint="eastAsia" w:ascii="宋体" w:hAnsi="宋体" w:cs="宋体"/>
                <w:color w:val="000000" w:themeColor="text1"/>
                <w:kern w:val="0"/>
                <w:szCs w:val="21"/>
                <w14:textFill>
                  <w14:solidFill>
                    <w14:schemeClr w14:val="tx1"/>
                  </w14:solidFill>
                </w14:textFill>
              </w:rPr>
              <w:t>投标人中标后需提交整套与纸质投标文件内</w:t>
            </w:r>
            <w:r>
              <w:rPr>
                <w:rFonts w:hint="eastAsia" w:ascii="宋体" w:hAnsi="宋体" w:cs="宋体"/>
                <w:kern w:val="0"/>
                <w:szCs w:val="21"/>
              </w:rPr>
              <w:t xml:space="preserve">容相同的电子版：【 </w:t>
            </w:r>
            <w:r>
              <w:rPr>
                <w:rFonts w:hint="eastAsia" w:ascii="宋体" w:hAnsi="宋体" w:cs="宋体"/>
                <w:kern w:val="0"/>
                <w:sz w:val="24"/>
              </w:rPr>
              <w:t>1</w:t>
            </w:r>
            <w:r>
              <w:rPr>
                <w:rFonts w:hint="eastAsia" w:ascii="宋体" w:hAnsi="宋体" w:cs="宋体"/>
                <w:kern w:val="0"/>
                <w:szCs w:val="21"/>
              </w:rPr>
              <w:t xml:space="preserve"> 】份。</w:t>
            </w:r>
          </w:p>
          <w:p w14:paraId="76465546">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u w:val="single"/>
              </w:rPr>
            </w:pPr>
            <w:r>
              <w:rPr>
                <w:rFonts w:hint="eastAsia" w:ascii="宋体" w:hAnsi="宋体" w:cs="宋体"/>
                <w:kern w:val="0"/>
                <w:szCs w:val="21"/>
              </w:rPr>
              <w:t>当副本、正本文档不一致时，以正本为准。</w:t>
            </w:r>
            <w:r>
              <w:rPr>
                <w:rFonts w:ascii="宋体" w:hAnsi="宋体" w:cs="宋体"/>
                <w:kern w:val="0"/>
                <w:szCs w:val="21"/>
              </w:rPr>
              <w:t>本条不作为否决投标的</w:t>
            </w:r>
            <w:r>
              <w:rPr>
                <w:rFonts w:hint="eastAsia" w:ascii="宋体" w:hAnsi="宋体" w:cs="宋体"/>
                <w:kern w:val="0"/>
                <w:szCs w:val="21"/>
                <w:lang w:val="en-US" w:eastAsia="zh-CN"/>
              </w:rPr>
              <w:t>依</w:t>
            </w:r>
            <w:r>
              <w:rPr>
                <w:rFonts w:ascii="宋体" w:hAnsi="宋体" w:cs="宋体"/>
                <w:kern w:val="0"/>
                <w:szCs w:val="21"/>
              </w:rPr>
              <w:t>据。</w:t>
            </w:r>
          </w:p>
        </w:tc>
      </w:tr>
      <w:tr w14:paraId="0C2ADD0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3CAD46D">
            <w:pPr>
              <w:snapToGrid w:val="0"/>
              <w:spacing w:line="400" w:lineRule="exact"/>
              <w:jc w:val="center"/>
              <w:rPr>
                <w:rFonts w:ascii="宋体" w:hAnsi="宋体"/>
                <w:kern w:val="0"/>
                <w:szCs w:val="21"/>
              </w:rPr>
            </w:pPr>
            <w:r>
              <w:rPr>
                <w:rFonts w:ascii="宋体" w:hAnsi="宋体"/>
                <w:kern w:val="0"/>
                <w:szCs w:val="21"/>
              </w:rPr>
              <w:t>3.7.5</w:t>
            </w:r>
          </w:p>
        </w:tc>
        <w:tc>
          <w:tcPr>
            <w:tcW w:w="1754" w:type="dxa"/>
            <w:vAlign w:val="center"/>
          </w:tcPr>
          <w:p w14:paraId="290AD338">
            <w:pPr>
              <w:snapToGrid w:val="0"/>
              <w:spacing w:line="400" w:lineRule="exact"/>
              <w:jc w:val="center"/>
              <w:rPr>
                <w:rFonts w:ascii="宋体" w:hAnsi="宋体"/>
                <w:spacing w:val="-6"/>
                <w:kern w:val="0"/>
                <w:szCs w:val="21"/>
              </w:rPr>
            </w:pPr>
            <w:r>
              <w:rPr>
                <w:rFonts w:hint="eastAsia" w:ascii="宋体" w:hAnsi="宋体"/>
                <w:kern w:val="0"/>
                <w:szCs w:val="21"/>
              </w:rPr>
              <w:t>编制要求</w:t>
            </w:r>
          </w:p>
        </w:tc>
        <w:tc>
          <w:tcPr>
            <w:tcW w:w="6490" w:type="dxa"/>
            <w:vAlign w:val="center"/>
          </w:tcPr>
          <w:p w14:paraId="49C1610E">
            <w:pPr>
              <w:adjustRightInd w:val="0"/>
              <w:snapToGrid w:val="0"/>
              <w:spacing w:line="400" w:lineRule="exact"/>
              <w:ind w:firstLine="420" w:firstLineChars="200"/>
            </w:pPr>
            <w:r>
              <w:rPr>
                <w:rFonts w:hint="eastAsia"/>
              </w:rPr>
              <w:t>具体要求：</w:t>
            </w:r>
          </w:p>
          <w:p w14:paraId="548390A2">
            <w:pPr>
              <w:adjustRightInd w:val="0"/>
              <w:snapToGrid w:val="0"/>
              <w:spacing w:line="400" w:lineRule="exact"/>
              <w:ind w:firstLine="420" w:firstLineChars="200"/>
            </w:pPr>
            <w:r>
              <w:rPr>
                <w:rFonts w:hint="eastAsia"/>
              </w:rPr>
              <w:t>（1）投标函部分</w:t>
            </w:r>
          </w:p>
          <w:p w14:paraId="1F9E6EFA">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41A91494">
            <w:pPr>
              <w:adjustRightInd w:val="0"/>
              <w:snapToGrid w:val="0"/>
              <w:spacing w:line="400" w:lineRule="exact"/>
              <w:ind w:firstLine="420" w:firstLineChars="200"/>
            </w:pPr>
            <w:r>
              <w:rPr>
                <w:rFonts w:hint="eastAsia"/>
              </w:rPr>
              <w:t>（</w:t>
            </w:r>
            <w:r>
              <w:t>2</w:t>
            </w:r>
            <w:r>
              <w:rPr>
                <w:rFonts w:hint="eastAsia"/>
              </w:rPr>
              <w:t>）商务部分</w:t>
            </w:r>
          </w:p>
          <w:p w14:paraId="4BA6B297">
            <w:pPr>
              <w:adjustRightInd w:val="0"/>
              <w:snapToGrid w:val="0"/>
              <w:spacing w:line="400" w:lineRule="exact"/>
              <w:ind w:firstLine="420" w:firstLineChars="200"/>
            </w:pPr>
            <w:r>
              <w:rPr>
                <w:rFonts w:hint="eastAsia"/>
              </w:rPr>
              <w:t>应按照第六章规定格式排版，原则上应编制目录，但不得将目录编制作为评审因素。</w:t>
            </w:r>
          </w:p>
          <w:p w14:paraId="0B26EDB1">
            <w:pPr>
              <w:adjustRightInd w:val="0"/>
              <w:snapToGrid w:val="0"/>
              <w:spacing w:line="400" w:lineRule="exact"/>
              <w:ind w:firstLine="420" w:firstLineChars="200"/>
              <w:rPr>
                <w:color w:val="auto"/>
              </w:rPr>
            </w:pPr>
            <w:r>
              <w:rPr>
                <w:rFonts w:hint="eastAsia"/>
                <w:color w:val="auto"/>
              </w:rPr>
              <w:t>（</w:t>
            </w:r>
            <w:r>
              <w:rPr>
                <w:color w:val="auto"/>
              </w:rPr>
              <w:t>3</w:t>
            </w:r>
            <w:r>
              <w:rPr>
                <w:rFonts w:hint="eastAsia"/>
                <w:color w:val="auto"/>
              </w:rPr>
              <w:t>）技术部分</w:t>
            </w:r>
          </w:p>
          <w:p w14:paraId="4CFB5108">
            <w:pPr>
              <w:pageBreakBefore w:val="0"/>
              <w:kinsoku/>
              <w:topLinePunct w:val="0"/>
              <w:bidi w:val="0"/>
              <w:adjustRightInd w:val="0"/>
              <w:snapToGrid w:val="0"/>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投标文件技术部分采用明标，应按照第</w:t>
            </w:r>
            <w:r>
              <w:rPr>
                <w:rFonts w:hint="eastAsia" w:ascii="宋体" w:hAnsi="宋体" w:eastAsia="宋体" w:cs="宋体"/>
                <w:color w:val="auto"/>
                <w:szCs w:val="21"/>
                <w:highlight w:val="none"/>
                <w:lang w:val="en-US" w:eastAsia="zh-CN"/>
              </w:rPr>
              <w:t>六</w:t>
            </w:r>
            <w:r>
              <w:rPr>
                <w:rFonts w:hint="eastAsia" w:ascii="宋体" w:hAnsi="宋体" w:eastAsia="宋体" w:cs="宋体"/>
                <w:color w:val="auto"/>
                <w:szCs w:val="21"/>
                <w:highlight w:val="none"/>
              </w:rPr>
              <w:t>章规定格式排版，原则上应编制目录，但不得将封面设置、目录编制作为评审因素。注：技术部分采用明标评审时，不因形式评审的问题（包括但不限于封面、页码、目录、字体、格式等）而被否决投标。</w:t>
            </w:r>
          </w:p>
          <w:p w14:paraId="46ACC6FF">
            <w:pPr>
              <w:pageBreakBefore w:val="0"/>
              <w:kinsoku/>
              <w:topLinePunct w:val="0"/>
              <w:bidi w:val="0"/>
              <w:adjustRightInd w:val="0"/>
              <w:snapToGrid w:val="0"/>
              <w:spacing w:line="360" w:lineRule="auto"/>
              <w:ind w:firstLine="420" w:firstLineChars="200"/>
              <w:rPr>
                <w:rFonts w:hint="eastAsia" w:ascii="宋体" w:hAnsi="宋体" w:eastAsia="宋体" w:cs="宋体"/>
                <w:color w:val="auto"/>
                <w:highlight w:val="none"/>
              </w:rPr>
            </w:pPr>
            <w:r>
              <w:rPr>
                <w:rFonts w:hint="eastAsia" w:ascii="宋体" w:hAnsi="宋体" w:eastAsia="宋体" w:cs="宋体"/>
                <w:color w:val="auto"/>
                <w:highlight w:val="none"/>
              </w:rPr>
              <w:t>《</w:t>
            </w:r>
            <w:r>
              <w:rPr>
                <w:rFonts w:hint="eastAsia" w:ascii="宋体" w:hAnsi="宋体" w:eastAsia="宋体" w:cs="宋体"/>
                <w:color w:val="auto"/>
                <w:highlight w:val="none"/>
                <w:lang w:val="en-US" w:eastAsia="zh-CN"/>
              </w:rPr>
              <w:t>供货</w:t>
            </w:r>
            <w:r>
              <w:rPr>
                <w:rFonts w:hint="eastAsia" w:ascii="宋体" w:hAnsi="宋体" w:eastAsia="宋体" w:cs="宋体"/>
                <w:color w:val="auto"/>
                <w:highlight w:val="none"/>
              </w:rPr>
              <w:t>方案》原则上不超过</w:t>
            </w:r>
            <w:r>
              <w:rPr>
                <w:rFonts w:hint="eastAsia" w:ascii="宋体" w:hAnsi="宋体" w:eastAsia="宋体" w:cs="宋体"/>
                <w:color w:val="auto"/>
                <w:highlight w:val="none"/>
                <w:u w:val="single"/>
              </w:rPr>
              <w:t xml:space="preserve"> </w:t>
            </w:r>
            <w:r>
              <w:rPr>
                <w:rFonts w:hint="eastAsia" w:ascii="宋体" w:hAnsi="宋体" w:cs="宋体"/>
                <w:color w:val="auto"/>
                <w:highlight w:val="none"/>
                <w:u w:val="single"/>
                <w:lang w:val="en-US" w:eastAsia="zh-CN"/>
              </w:rPr>
              <w:t>2</w:t>
            </w:r>
            <w:r>
              <w:rPr>
                <w:rFonts w:hint="eastAsia" w:ascii="宋体" w:hAnsi="宋体" w:eastAsia="宋体" w:cs="宋体"/>
                <w:color w:val="auto"/>
                <w:highlight w:val="none"/>
                <w:u w:val="single"/>
                <w:lang w:val="en-US" w:eastAsia="zh-CN"/>
              </w:rPr>
              <w:t>00</w:t>
            </w:r>
            <w:r>
              <w:rPr>
                <w:rFonts w:hint="eastAsia" w:ascii="宋体" w:hAnsi="宋体" w:eastAsia="宋体" w:cs="宋体"/>
                <w:color w:val="auto"/>
                <w:highlight w:val="none"/>
                <w:u w:val="single"/>
              </w:rPr>
              <w:t xml:space="preserve"> </w:t>
            </w:r>
            <w:r>
              <w:rPr>
                <w:rFonts w:hint="eastAsia" w:ascii="宋体" w:hAnsi="宋体" w:eastAsia="宋体" w:cs="宋体"/>
                <w:color w:val="auto"/>
                <w:highlight w:val="none"/>
              </w:rPr>
              <w:t>页</w:t>
            </w:r>
            <w:r>
              <w:rPr>
                <w:rFonts w:hint="eastAsia" w:ascii="宋体" w:hAnsi="宋体" w:eastAsia="宋体" w:cs="宋体"/>
                <w:color w:val="auto"/>
                <w:highlight w:val="none"/>
                <w:lang w:eastAsia="zh-CN"/>
              </w:rPr>
              <w:t>，</w:t>
            </w:r>
            <w:r>
              <w:rPr>
                <w:rFonts w:hint="eastAsia" w:ascii="宋体" w:hAnsi="宋体" w:eastAsia="宋体" w:cs="宋体"/>
                <w:color w:val="auto"/>
                <w:highlight w:val="none"/>
                <w:lang w:val="en-US" w:eastAsia="zh-CN"/>
              </w:rPr>
              <w:t>但不得将页数作为评审因素</w:t>
            </w:r>
            <w:r>
              <w:rPr>
                <w:rFonts w:hint="eastAsia" w:ascii="宋体" w:hAnsi="宋体" w:eastAsia="宋体" w:cs="宋体"/>
                <w:color w:val="auto"/>
                <w:highlight w:val="none"/>
              </w:rPr>
              <w:t>。</w:t>
            </w:r>
          </w:p>
          <w:p w14:paraId="47C3D7EA">
            <w:pPr>
              <w:adjustRightInd w:val="0"/>
              <w:snapToGrid w:val="0"/>
              <w:spacing w:line="400" w:lineRule="exact"/>
              <w:ind w:firstLine="420" w:firstLineChars="200"/>
              <w:rPr>
                <w:color w:val="auto"/>
              </w:rPr>
            </w:pPr>
            <w:r>
              <w:rPr>
                <w:rFonts w:hint="eastAsia"/>
                <w:color w:val="auto"/>
              </w:rPr>
              <w:t>（</w:t>
            </w:r>
            <w:r>
              <w:rPr>
                <w:color w:val="auto"/>
              </w:rPr>
              <w:t>4</w:t>
            </w:r>
            <w:r>
              <w:rPr>
                <w:rFonts w:hint="eastAsia"/>
                <w:color w:val="auto"/>
              </w:rPr>
              <w:t>）资格审查部分</w:t>
            </w:r>
          </w:p>
          <w:p w14:paraId="7A99B28E">
            <w:pPr>
              <w:autoSpaceDE/>
              <w:autoSpaceDN/>
              <w:adjustRightInd w:val="0"/>
              <w:snapToGrid w:val="0"/>
              <w:spacing w:after="0" w:afterLines="-2147483648" w:line="400" w:lineRule="exact"/>
              <w:ind w:firstLine="420" w:firstLineChars="200"/>
              <w:rPr>
                <w:rFonts w:hint="eastAsia"/>
                <w:color w:val="auto"/>
              </w:rPr>
            </w:pPr>
            <w:r>
              <w:rPr>
                <w:rFonts w:hint="eastAsia"/>
                <w:color w:val="auto"/>
              </w:rPr>
              <w:t>应按照第六章规定格式排版，原则上应编制目录，但不得将目录编制作为评审因素。</w:t>
            </w:r>
          </w:p>
          <w:p w14:paraId="0E3FDB4E">
            <w:pPr>
              <w:autoSpaceDE w:val="0"/>
              <w:autoSpaceDN w:val="0"/>
              <w:adjustRightInd w:val="0"/>
              <w:snapToGrid w:val="0"/>
              <w:spacing w:after="72" w:afterLines="30" w:line="400" w:lineRule="exact"/>
              <w:ind w:firstLine="420" w:firstLineChars="200"/>
              <w:rPr>
                <w:rFonts w:hint="eastAsia"/>
              </w:rPr>
            </w:pPr>
            <w:r>
              <w:rPr>
                <w:rFonts w:hint="eastAsia" w:ascii="宋体" w:hAnsi="宋体" w:eastAsia="宋体" w:cs="宋体"/>
                <w:color w:val="auto"/>
                <w:szCs w:val="21"/>
                <w:highlight w:val="none"/>
                <w:lang w:val="en-US" w:eastAsia="zh-CN"/>
              </w:rPr>
              <w:t>2.投标人应按照招标文件要求，在投标文件的对应部分提供相关资料（如在资格审查部分提供招标文件</w:t>
            </w:r>
            <w:r>
              <w:rPr>
                <w:rFonts w:hint="eastAsia" w:ascii="宋体" w:hAnsi="宋体" w:eastAsia="宋体" w:cs="宋体"/>
                <w:color w:val="auto"/>
                <w:szCs w:val="21"/>
                <w:highlight w:val="none"/>
              </w:rPr>
              <w:t>第二章投标人须知前附表第1.4.1项</w:t>
            </w:r>
            <w:r>
              <w:rPr>
                <w:rFonts w:hint="eastAsia" w:ascii="宋体" w:hAnsi="宋体" w:eastAsia="宋体" w:cs="宋体"/>
                <w:color w:val="auto"/>
                <w:szCs w:val="21"/>
                <w:highlight w:val="none"/>
                <w:lang w:val="en-US" w:eastAsia="zh-CN"/>
              </w:rPr>
              <w:t>和</w:t>
            </w:r>
            <w:r>
              <w:rPr>
                <w:rFonts w:hint="eastAsia" w:ascii="宋体" w:hAnsi="宋体" w:eastAsia="宋体" w:cs="宋体"/>
                <w:color w:val="auto"/>
                <w:szCs w:val="21"/>
                <w:highlight w:val="none"/>
              </w:rPr>
              <w:t>第3.4款要求提供的资料</w:t>
            </w:r>
            <w:r>
              <w:rPr>
                <w:rFonts w:hint="eastAsia" w:ascii="宋体" w:hAnsi="宋体" w:eastAsia="宋体" w:cs="宋体"/>
                <w:color w:val="auto"/>
                <w:szCs w:val="21"/>
                <w:highlight w:val="none"/>
                <w:lang w:val="en-US" w:eastAsia="zh-CN"/>
              </w:rPr>
              <w:t>，在商务部分提供招标文件第三章评标办法前附表中商务评审标准要求提供的资料</w:t>
            </w:r>
            <w:r>
              <w:rPr>
                <w:rFonts w:hint="eastAsia" w:ascii="宋体" w:hAnsi="宋体" w:eastAsia="宋体" w:cs="宋体"/>
                <w:color w:val="auto"/>
                <w:szCs w:val="21"/>
                <w:highlight w:val="none"/>
              </w:rPr>
              <w:t>，在技术部分提供招标文件第三章评标办法前附表中技术评审标准要求提供的资料</w:t>
            </w:r>
            <w:r>
              <w:rPr>
                <w:rFonts w:hint="eastAsia" w:ascii="宋体" w:hAnsi="宋体" w:eastAsia="宋体" w:cs="宋体"/>
                <w:color w:val="auto"/>
                <w:szCs w:val="21"/>
                <w:highlight w:val="none"/>
                <w:lang w:val="en-US" w:eastAsia="zh-CN"/>
              </w:rPr>
              <w:t>）。</w:t>
            </w:r>
          </w:p>
        </w:tc>
      </w:tr>
      <w:tr w14:paraId="2F77FB1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39B139C">
            <w:pPr>
              <w:snapToGrid w:val="0"/>
              <w:spacing w:line="400" w:lineRule="exact"/>
              <w:jc w:val="center"/>
              <w:rPr>
                <w:rFonts w:ascii="宋体" w:hAnsi="宋体"/>
                <w:kern w:val="0"/>
                <w:szCs w:val="21"/>
              </w:rPr>
            </w:pPr>
            <w:r>
              <w:rPr>
                <w:rFonts w:ascii="宋体" w:hAnsi="宋体"/>
                <w:kern w:val="0"/>
                <w:szCs w:val="21"/>
              </w:rPr>
              <w:t>4.1.1</w:t>
            </w:r>
          </w:p>
        </w:tc>
        <w:tc>
          <w:tcPr>
            <w:tcW w:w="1754" w:type="dxa"/>
            <w:vAlign w:val="center"/>
          </w:tcPr>
          <w:p w14:paraId="0C620162">
            <w:pPr>
              <w:snapToGrid w:val="0"/>
              <w:spacing w:line="400" w:lineRule="exact"/>
              <w:jc w:val="center"/>
              <w:rPr>
                <w:rFonts w:ascii="宋体" w:hAnsi="宋体"/>
                <w:spacing w:val="-6"/>
                <w:kern w:val="0"/>
                <w:szCs w:val="21"/>
              </w:rPr>
            </w:pPr>
            <w:r>
              <w:rPr>
                <w:rFonts w:ascii="宋体" w:hAnsi="宋体"/>
                <w:spacing w:val="-6"/>
                <w:kern w:val="0"/>
                <w:szCs w:val="21"/>
              </w:rPr>
              <w:t>投标文件</w:t>
            </w:r>
          </w:p>
          <w:p w14:paraId="06188855">
            <w:pPr>
              <w:snapToGrid w:val="0"/>
              <w:spacing w:line="400" w:lineRule="exact"/>
              <w:jc w:val="center"/>
              <w:rPr>
                <w:rFonts w:ascii="宋体" w:hAnsi="宋体"/>
                <w:spacing w:val="-6"/>
                <w:kern w:val="0"/>
                <w:szCs w:val="21"/>
              </w:rPr>
            </w:pPr>
            <w:r>
              <w:rPr>
                <w:rFonts w:hint="eastAsia" w:ascii="宋体" w:hAnsi="宋体"/>
                <w:spacing w:val="-6"/>
                <w:kern w:val="0"/>
                <w:szCs w:val="21"/>
              </w:rPr>
              <w:t>的密封</w:t>
            </w:r>
          </w:p>
        </w:tc>
        <w:tc>
          <w:tcPr>
            <w:tcW w:w="6490" w:type="dxa"/>
            <w:vAlign w:val="center"/>
          </w:tcPr>
          <w:p w14:paraId="53F6CDC5">
            <w:pPr>
              <w:pageBreakBefore w:val="0"/>
              <w:kinsoku/>
              <w:topLinePunct w:val="0"/>
              <w:bidi w:val="0"/>
              <w:spacing w:line="360" w:lineRule="auto"/>
              <w:ind w:firstLine="420" w:firstLineChars="200"/>
              <w:rPr>
                <w:rFonts w:hint="eastAsia" w:ascii="宋体" w:hAnsi="宋体" w:eastAsia="宋体" w:cs="宋体"/>
                <w:color w:val="auto"/>
                <w:szCs w:val="21"/>
                <w:highlight w:val="none"/>
              </w:rPr>
            </w:pPr>
            <w:r>
              <w:rPr>
                <w:rFonts w:hint="eastAsia" w:ascii="宋体" w:hAnsi="宋体" w:eastAsia="宋体" w:cs="宋体"/>
                <w:color w:val="auto"/>
                <w:szCs w:val="21"/>
                <w:highlight w:val="none"/>
              </w:rPr>
              <w:t>1.投标文件正本、副本统一用一个牛皮纸档案袋或其他较为结实的纸张包裹严实，密封后提交，封套格式按本附表4.1.2项要求张贴，封口处须加盖投标人单位法人章。</w:t>
            </w:r>
          </w:p>
          <w:p w14:paraId="46E7E065">
            <w:pPr>
              <w:pageBreakBefore w:val="0"/>
              <w:kinsoku/>
              <w:topLinePunct w:val="0"/>
              <w:bidi w:val="0"/>
              <w:adjustRightInd w:val="0"/>
              <w:snapToGrid w:val="0"/>
              <w:spacing w:line="360" w:lineRule="auto"/>
              <w:ind w:firstLine="420" w:firstLineChars="200"/>
            </w:pPr>
            <w:r>
              <w:rPr>
                <w:rFonts w:hint="eastAsia" w:ascii="宋体" w:hAnsi="宋体" w:eastAsia="宋体" w:cs="宋体"/>
                <w:color w:val="auto"/>
                <w:szCs w:val="21"/>
                <w:highlight w:val="none"/>
              </w:rPr>
              <w:t>2.如果未按上述规定进行密封和标记，</w:t>
            </w:r>
            <w:r>
              <w:rPr>
                <w:rFonts w:hint="eastAsia" w:ascii="宋体" w:hAnsi="宋体" w:cs="宋体"/>
                <w:color w:val="auto"/>
                <w:szCs w:val="21"/>
              </w:rPr>
              <w:t>后果由投</w:t>
            </w:r>
            <w:r>
              <w:rPr>
                <w:rFonts w:hint="eastAsia" w:ascii="宋体" w:hAnsi="宋体" w:cs="宋体"/>
                <w:szCs w:val="21"/>
              </w:rPr>
              <w:t>标人自己承担。</w:t>
            </w:r>
          </w:p>
        </w:tc>
      </w:tr>
      <w:tr w14:paraId="7D4AF48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D3519A3">
            <w:pPr>
              <w:snapToGrid w:val="0"/>
              <w:spacing w:line="400" w:lineRule="exact"/>
              <w:jc w:val="center"/>
              <w:rPr>
                <w:rFonts w:ascii="宋体" w:hAnsi="宋体"/>
                <w:kern w:val="0"/>
                <w:szCs w:val="21"/>
              </w:rPr>
            </w:pPr>
            <w:r>
              <w:rPr>
                <w:rFonts w:ascii="宋体" w:hAnsi="宋体"/>
                <w:kern w:val="0"/>
                <w:szCs w:val="21"/>
              </w:rPr>
              <w:t>4.1.2</w:t>
            </w:r>
          </w:p>
        </w:tc>
        <w:tc>
          <w:tcPr>
            <w:tcW w:w="1754" w:type="dxa"/>
            <w:vAlign w:val="center"/>
          </w:tcPr>
          <w:p w14:paraId="1B9BFA15">
            <w:pPr>
              <w:snapToGrid w:val="0"/>
              <w:spacing w:line="400" w:lineRule="exact"/>
              <w:jc w:val="center"/>
              <w:rPr>
                <w:rFonts w:ascii="宋体" w:hAnsi="宋体"/>
                <w:kern w:val="0"/>
                <w:szCs w:val="21"/>
              </w:rPr>
            </w:pPr>
            <w:r>
              <w:rPr>
                <w:rFonts w:ascii="宋体" w:hAnsi="宋体"/>
                <w:kern w:val="0"/>
                <w:szCs w:val="21"/>
              </w:rPr>
              <w:t>封套上应载明的信息</w:t>
            </w:r>
          </w:p>
        </w:tc>
        <w:tc>
          <w:tcPr>
            <w:tcW w:w="6490" w:type="dxa"/>
            <w:vAlign w:val="center"/>
          </w:tcPr>
          <w:p w14:paraId="1EA4FDCE">
            <w:pPr>
              <w:snapToGrid w:val="0"/>
              <w:spacing w:line="400" w:lineRule="exact"/>
              <w:ind w:firstLine="420" w:firstLineChars="200"/>
              <w:rPr>
                <w:rFonts w:ascii="宋体" w:hAnsi="宋体"/>
                <w:color w:val="auto"/>
                <w:kern w:val="0"/>
                <w:szCs w:val="21"/>
              </w:rPr>
            </w:pPr>
            <w:r>
              <w:rPr>
                <w:rFonts w:ascii="宋体" w:hAnsi="宋体"/>
                <w:color w:val="auto"/>
                <w:kern w:val="0"/>
                <w:szCs w:val="21"/>
              </w:rPr>
              <w:t>应在</w:t>
            </w:r>
            <w:r>
              <w:rPr>
                <w:rFonts w:ascii="宋体" w:hAnsi="宋体"/>
                <w:color w:val="auto"/>
                <w:szCs w:val="21"/>
              </w:rPr>
              <w:t xml:space="preserve"> </w:t>
            </w:r>
            <w:r>
              <w:rPr>
                <w:rFonts w:ascii="宋体" w:hAnsi="宋体"/>
                <w:color w:val="auto"/>
                <w:kern w:val="0"/>
                <w:szCs w:val="21"/>
              </w:rPr>
              <w:t>“投标文件”袋封套上</w:t>
            </w:r>
            <w:r>
              <w:rPr>
                <w:rFonts w:hint="eastAsia" w:ascii="宋体" w:hAnsi="宋体"/>
                <w:color w:val="auto"/>
                <w:kern w:val="0"/>
                <w:szCs w:val="21"/>
              </w:rPr>
              <w:t>载</w:t>
            </w:r>
            <w:r>
              <w:rPr>
                <w:rFonts w:ascii="宋体" w:hAnsi="宋体"/>
                <w:color w:val="auto"/>
                <w:kern w:val="0"/>
                <w:szCs w:val="21"/>
              </w:rPr>
              <w:t>明如下内容：</w:t>
            </w:r>
          </w:p>
          <w:p w14:paraId="2CC53AFB">
            <w:pPr>
              <w:snapToGrid w:val="0"/>
              <w:spacing w:line="400" w:lineRule="exact"/>
              <w:ind w:firstLine="420" w:firstLineChars="200"/>
              <w:rPr>
                <w:rFonts w:ascii="宋体" w:hAnsi="宋体"/>
                <w:color w:val="auto"/>
                <w:kern w:val="0"/>
                <w:szCs w:val="21"/>
                <w:u w:val="single"/>
              </w:rPr>
            </w:pPr>
            <w:r>
              <w:rPr>
                <w:rFonts w:ascii="宋体" w:hAnsi="宋体"/>
                <w:color w:val="auto"/>
                <w:kern w:val="0"/>
                <w:szCs w:val="21"/>
              </w:rPr>
              <w:t>招标人名称：</w:t>
            </w:r>
            <w:r>
              <w:rPr>
                <w:rFonts w:hint="eastAsia" w:ascii="宋体" w:hAnsi="宋体"/>
                <w:color w:val="auto"/>
                <w:kern w:val="0"/>
                <w:szCs w:val="21"/>
                <w:u w:val="single"/>
              </w:rPr>
              <w:t xml:space="preserve">            </w:t>
            </w:r>
          </w:p>
          <w:p w14:paraId="2BAD1874">
            <w:pPr>
              <w:snapToGrid w:val="0"/>
              <w:spacing w:line="400" w:lineRule="exact"/>
              <w:ind w:firstLine="420" w:firstLineChars="200"/>
              <w:rPr>
                <w:rFonts w:ascii="宋体" w:hAnsi="宋体"/>
                <w:color w:val="auto"/>
                <w:kern w:val="0"/>
                <w:szCs w:val="21"/>
                <w:u w:val="single"/>
              </w:rPr>
            </w:pPr>
            <w:r>
              <w:rPr>
                <w:rFonts w:hint="eastAsia" w:ascii="宋体" w:hAnsi="宋体"/>
                <w:color w:val="auto"/>
                <w:kern w:val="0"/>
                <w:szCs w:val="21"/>
              </w:rPr>
              <w:t>投标人名称：</w:t>
            </w:r>
            <w:r>
              <w:rPr>
                <w:rFonts w:hint="eastAsia" w:ascii="宋体" w:hAnsi="宋体"/>
                <w:color w:val="auto"/>
                <w:kern w:val="0"/>
                <w:szCs w:val="21"/>
                <w:u w:val="single"/>
              </w:rPr>
              <w:t xml:space="preserve">            </w:t>
            </w:r>
          </w:p>
          <w:p w14:paraId="53AF3353">
            <w:pPr>
              <w:snapToGrid w:val="0"/>
              <w:spacing w:line="400" w:lineRule="exact"/>
              <w:ind w:firstLine="420" w:firstLineChars="200"/>
              <w:rPr>
                <w:rFonts w:ascii="宋体" w:hAnsi="宋体"/>
                <w:color w:val="auto"/>
                <w:kern w:val="0"/>
                <w:szCs w:val="21"/>
              </w:rPr>
            </w:pPr>
            <w:r>
              <w:rPr>
                <w:rFonts w:ascii="宋体" w:hAnsi="宋体"/>
                <w:color w:val="auto"/>
                <w:kern w:val="0"/>
                <w:szCs w:val="21"/>
                <w:u w:val="single"/>
              </w:rPr>
              <w:t xml:space="preserve">                （项目名称）</w:t>
            </w:r>
            <w:r>
              <w:rPr>
                <w:rFonts w:ascii="宋体" w:hAnsi="宋体"/>
                <w:color w:val="auto"/>
                <w:kern w:val="0"/>
                <w:szCs w:val="21"/>
              </w:rPr>
              <w:t>投标文件</w:t>
            </w:r>
          </w:p>
          <w:p w14:paraId="0CBA9C45">
            <w:pPr>
              <w:snapToGrid w:val="0"/>
              <w:spacing w:line="400" w:lineRule="exact"/>
              <w:ind w:firstLine="420" w:firstLineChars="200"/>
              <w:rPr>
                <w:rFonts w:ascii="宋体" w:hAnsi="宋体"/>
                <w:color w:val="auto"/>
                <w:szCs w:val="21"/>
              </w:rPr>
            </w:pPr>
            <w:r>
              <w:rPr>
                <w:rFonts w:ascii="宋体" w:hAnsi="宋体"/>
                <w:color w:val="auto"/>
                <w:kern w:val="0"/>
                <w:szCs w:val="21"/>
              </w:rPr>
              <w:t>在</w:t>
            </w:r>
            <w:r>
              <w:rPr>
                <w:rFonts w:hint="eastAsia" w:ascii="宋体" w:hAnsi="宋体"/>
                <w:color w:val="auto"/>
                <w:kern w:val="0"/>
                <w:szCs w:val="21"/>
                <w:u w:val="single"/>
              </w:rPr>
              <w:t xml:space="preserve">    </w:t>
            </w:r>
            <w:r>
              <w:rPr>
                <w:rFonts w:ascii="宋体" w:hAnsi="宋体"/>
                <w:color w:val="auto"/>
                <w:kern w:val="0"/>
                <w:szCs w:val="21"/>
              </w:rPr>
              <w:t>年</w:t>
            </w:r>
            <w:r>
              <w:rPr>
                <w:rFonts w:hint="eastAsia" w:ascii="宋体" w:hAnsi="宋体"/>
                <w:color w:val="auto"/>
                <w:kern w:val="0"/>
                <w:szCs w:val="21"/>
                <w:u w:val="single"/>
              </w:rPr>
              <w:t xml:space="preserve">    </w:t>
            </w:r>
            <w:r>
              <w:rPr>
                <w:rFonts w:ascii="宋体" w:hAnsi="宋体"/>
                <w:color w:val="auto"/>
                <w:kern w:val="0"/>
                <w:szCs w:val="21"/>
              </w:rPr>
              <w:t>月</w:t>
            </w:r>
            <w:r>
              <w:rPr>
                <w:rFonts w:hint="eastAsia" w:ascii="宋体" w:hAnsi="宋体"/>
                <w:color w:val="auto"/>
                <w:kern w:val="0"/>
                <w:szCs w:val="21"/>
                <w:u w:val="single"/>
              </w:rPr>
              <w:t xml:space="preserve">    </w:t>
            </w:r>
            <w:r>
              <w:rPr>
                <w:rFonts w:ascii="宋体" w:hAnsi="宋体"/>
                <w:color w:val="auto"/>
                <w:kern w:val="0"/>
                <w:szCs w:val="21"/>
              </w:rPr>
              <w:t>日</w:t>
            </w:r>
            <w:r>
              <w:rPr>
                <w:rFonts w:hint="eastAsia" w:ascii="宋体" w:hAnsi="宋体"/>
                <w:color w:val="auto"/>
                <w:kern w:val="0"/>
                <w:szCs w:val="21"/>
                <w:u w:val="single"/>
              </w:rPr>
              <w:t xml:space="preserve">    </w:t>
            </w:r>
            <w:r>
              <w:rPr>
                <w:rFonts w:ascii="宋体" w:hAnsi="宋体"/>
                <w:color w:val="auto"/>
                <w:kern w:val="0"/>
                <w:szCs w:val="21"/>
              </w:rPr>
              <w:t>时</w:t>
            </w:r>
            <w:r>
              <w:rPr>
                <w:rFonts w:hint="eastAsia" w:ascii="宋体" w:hAnsi="宋体"/>
                <w:color w:val="auto"/>
                <w:kern w:val="0"/>
                <w:szCs w:val="21"/>
                <w:u w:val="single"/>
              </w:rPr>
              <w:t xml:space="preserve">    </w:t>
            </w:r>
            <w:r>
              <w:rPr>
                <w:rFonts w:ascii="宋体" w:hAnsi="宋体"/>
                <w:color w:val="auto"/>
                <w:kern w:val="0"/>
                <w:szCs w:val="21"/>
              </w:rPr>
              <w:t>分前不得开启</w:t>
            </w:r>
          </w:p>
        </w:tc>
      </w:tr>
      <w:tr w14:paraId="5C11BE8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AF57D97">
            <w:pPr>
              <w:snapToGrid w:val="0"/>
              <w:spacing w:line="400" w:lineRule="exact"/>
              <w:jc w:val="center"/>
              <w:rPr>
                <w:rFonts w:ascii="宋体" w:hAnsi="宋体"/>
                <w:kern w:val="0"/>
                <w:szCs w:val="21"/>
              </w:rPr>
            </w:pPr>
            <w:r>
              <w:rPr>
                <w:rFonts w:hint="eastAsia" w:ascii="宋体" w:hAnsi="宋体"/>
                <w:kern w:val="0"/>
                <w:szCs w:val="21"/>
              </w:rPr>
              <w:t>4</w:t>
            </w:r>
            <w:r>
              <w:rPr>
                <w:rFonts w:ascii="宋体" w:hAnsi="宋体"/>
                <w:kern w:val="0"/>
                <w:szCs w:val="21"/>
              </w:rPr>
              <w:t>.2.1</w:t>
            </w:r>
          </w:p>
        </w:tc>
        <w:tc>
          <w:tcPr>
            <w:tcW w:w="1754" w:type="dxa"/>
            <w:vAlign w:val="center"/>
          </w:tcPr>
          <w:p w14:paraId="6E11E3DF">
            <w:pPr>
              <w:snapToGrid w:val="0"/>
              <w:spacing w:line="400" w:lineRule="exact"/>
              <w:jc w:val="center"/>
              <w:rPr>
                <w:rFonts w:ascii="宋体" w:hAnsi="宋体"/>
                <w:kern w:val="0"/>
                <w:szCs w:val="21"/>
              </w:rPr>
            </w:pPr>
            <w:r>
              <w:rPr>
                <w:rFonts w:hint="eastAsia" w:ascii="宋体" w:hAnsi="宋体"/>
                <w:kern w:val="0"/>
                <w:szCs w:val="21"/>
              </w:rPr>
              <w:t>投标截止时间</w:t>
            </w:r>
          </w:p>
        </w:tc>
        <w:tc>
          <w:tcPr>
            <w:tcW w:w="6490" w:type="dxa"/>
            <w:vAlign w:val="center"/>
          </w:tcPr>
          <w:p w14:paraId="13C8B10B">
            <w:pPr>
              <w:snapToGrid w:val="0"/>
              <w:spacing w:line="400" w:lineRule="exact"/>
              <w:ind w:firstLine="420" w:firstLineChars="200"/>
              <w:rPr>
                <w:rFonts w:ascii="宋体" w:hAnsi="宋体"/>
                <w:color w:val="auto"/>
                <w:kern w:val="0"/>
                <w:szCs w:val="21"/>
              </w:rPr>
            </w:pPr>
            <w:r>
              <w:rPr>
                <w:rFonts w:hint="eastAsia" w:ascii="宋体" w:hAnsi="宋体"/>
                <w:color w:val="auto"/>
                <w:kern w:val="0"/>
                <w:szCs w:val="21"/>
              </w:rPr>
              <w:t>详见招标公告</w:t>
            </w:r>
            <w:r>
              <w:rPr>
                <w:rFonts w:hint="eastAsia" w:ascii="宋体" w:hAnsi="宋体"/>
                <w:color w:val="auto"/>
                <w:kern w:val="0"/>
                <w:szCs w:val="21"/>
                <w:lang w:val="en-US" w:eastAsia="zh-CN"/>
              </w:rPr>
              <w:t>或投标邀请书</w:t>
            </w:r>
            <w:r>
              <w:rPr>
                <w:rFonts w:hint="eastAsia" w:ascii="宋体" w:hAnsi="宋体"/>
                <w:color w:val="auto"/>
                <w:kern w:val="0"/>
                <w:szCs w:val="21"/>
              </w:rPr>
              <w:t>中规定的投标截止时间。</w:t>
            </w:r>
          </w:p>
        </w:tc>
      </w:tr>
      <w:tr w14:paraId="23317BE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5083B5AE">
            <w:pPr>
              <w:snapToGrid w:val="0"/>
              <w:spacing w:line="400" w:lineRule="exact"/>
              <w:jc w:val="center"/>
              <w:rPr>
                <w:rFonts w:ascii="宋体" w:hAnsi="宋体"/>
                <w:kern w:val="0"/>
                <w:szCs w:val="21"/>
              </w:rPr>
            </w:pPr>
            <w:r>
              <w:rPr>
                <w:rFonts w:ascii="宋体" w:hAnsi="宋体"/>
                <w:kern w:val="0"/>
                <w:szCs w:val="21"/>
              </w:rPr>
              <w:t>4.2.2</w:t>
            </w:r>
          </w:p>
        </w:tc>
        <w:tc>
          <w:tcPr>
            <w:tcW w:w="1754" w:type="dxa"/>
            <w:vAlign w:val="center"/>
          </w:tcPr>
          <w:p w14:paraId="108C031B">
            <w:pPr>
              <w:snapToGrid w:val="0"/>
              <w:spacing w:line="400" w:lineRule="exact"/>
              <w:jc w:val="center"/>
              <w:rPr>
                <w:rFonts w:ascii="宋体" w:hAnsi="宋体"/>
                <w:kern w:val="0"/>
                <w:szCs w:val="21"/>
              </w:rPr>
            </w:pPr>
            <w:r>
              <w:rPr>
                <w:rFonts w:ascii="宋体" w:hAnsi="宋体"/>
                <w:kern w:val="0"/>
                <w:szCs w:val="21"/>
              </w:rPr>
              <w:t>递交投标文件地点</w:t>
            </w:r>
          </w:p>
        </w:tc>
        <w:tc>
          <w:tcPr>
            <w:tcW w:w="6490" w:type="dxa"/>
            <w:vAlign w:val="center"/>
          </w:tcPr>
          <w:p w14:paraId="3B414340">
            <w:pPr>
              <w:snapToGrid w:val="0"/>
              <w:spacing w:line="400" w:lineRule="exact"/>
              <w:ind w:firstLine="420" w:firstLineChars="200"/>
              <w:rPr>
                <w:rFonts w:ascii="宋体" w:hAnsi="宋体"/>
                <w:bCs/>
                <w:color w:val="auto"/>
                <w:szCs w:val="21"/>
              </w:rPr>
            </w:pPr>
            <w:r>
              <w:rPr>
                <w:rFonts w:hint="eastAsia" w:ascii="宋体" w:hAnsi="宋体"/>
                <w:bCs/>
                <w:szCs w:val="21"/>
              </w:rPr>
              <w:t>详见第一章招标公告。</w:t>
            </w:r>
          </w:p>
        </w:tc>
      </w:tr>
      <w:tr w14:paraId="117DEDB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30765E3">
            <w:pPr>
              <w:snapToGrid w:val="0"/>
              <w:spacing w:line="400" w:lineRule="exact"/>
              <w:jc w:val="center"/>
              <w:rPr>
                <w:rFonts w:ascii="宋体" w:hAnsi="宋体"/>
                <w:kern w:val="0"/>
                <w:szCs w:val="21"/>
              </w:rPr>
            </w:pPr>
            <w:r>
              <w:rPr>
                <w:rFonts w:ascii="宋体" w:hAnsi="宋体"/>
                <w:kern w:val="0"/>
                <w:szCs w:val="21"/>
              </w:rPr>
              <w:t>4.2.3</w:t>
            </w:r>
          </w:p>
        </w:tc>
        <w:tc>
          <w:tcPr>
            <w:tcW w:w="1754" w:type="dxa"/>
            <w:vAlign w:val="center"/>
          </w:tcPr>
          <w:p w14:paraId="6019A47D">
            <w:pPr>
              <w:snapToGrid w:val="0"/>
              <w:spacing w:line="400" w:lineRule="exact"/>
              <w:jc w:val="center"/>
              <w:rPr>
                <w:rFonts w:ascii="宋体" w:hAnsi="宋体"/>
                <w:kern w:val="0"/>
                <w:szCs w:val="21"/>
              </w:rPr>
            </w:pPr>
            <w:r>
              <w:rPr>
                <w:rFonts w:ascii="宋体" w:hAnsi="宋体"/>
                <w:kern w:val="0"/>
                <w:szCs w:val="21"/>
              </w:rPr>
              <w:t>投标文件是否退还</w:t>
            </w:r>
          </w:p>
        </w:tc>
        <w:tc>
          <w:tcPr>
            <w:tcW w:w="6490" w:type="dxa"/>
            <w:vAlign w:val="center"/>
          </w:tcPr>
          <w:p w14:paraId="15458797">
            <w:pPr>
              <w:snapToGrid w:val="0"/>
              <w:spacing w:line="400" w:lineRule="exact"/>
              <w:ind w:firstLine="420" w:firstLineChars="200"/>
              <w:rPr>
                <w:rFonts w:ascii="宋体" w:hAnsi="宋体"/>
                <w:color w:val="auto"/>
                <w:kern w:val="0"/>
                <w:szCs w:val="21"/>
              </w:rPr>
            </w:pPr>
            <w:r>
              <w:rPr>
                <w:rFonts w:hint="eastAsia" w:ascii="宋体" w:hAnsi="宋体"/>
                <w:kern w:val="0"/>
                <w:szCs w:val="21"/>
                <w:lang w:val="en-US" w:eastAsia="zh-CN"/>
              </w:rPr>
              <w:t>否，</w:t>
            </w:r>
            <w:r>
              <w:rPr>
                <w:rFonts w:hint="eastAsia" w:ascii="宋体" w:hAnsi="宋体"/>
                <w:kern w:val="0"/>
                <w:szCs w:val="21"/>
              </w:rPr>
              <w:t>所有递交的投标文件一律不退还。</w:t>
            </w:r>
          </w:p>
        </w:tc>
      </w:tr>
      <w:tr w14:paraId="12BA385C">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4C5962F">
            <w:pPr>
              <w:snapToGrid w:val="0"/>
              <w:spacing w:line="400" w:lineRule="exact"/>
              <w:jc w:val="center"/>
              <w:rPr>
                <w:rFonts w:ascii="宋体" w:hAnsi="宋体"/>
                <w:kern w:val="0"/>
                <w:szCs w:val="21"/>
              </w:rPr>
            </w:pPr>
            <w:r>
              <w:rPr>
                <w:rFonts w:ascii="宋体" w:hAnsi="宋体"/>
                <w:kern w:val="0"/>
                <w:szCs w:val="21"/>
              </w:rPr>
              <w:t>5.1</w:t>
            </w:r>
            <w:r>
              <w:rPr>
                <w:rFonts w:hint="eastAsia" w:ascii="宋体" w:hAnsi="宋体"/>
                <w:kern w:val="0"/>
                <w:szCs w:val="21"/>
              </w:rPr>
              <w:t>.1</w:t>
            </w:r>
          </w:p>
        </w:tc>
        <w:tc>
          <w:tcPr>
            <w:tcW w:w="1754" w:type="dxa"/>
            <w:vAlign w:val="center"/>
          </w:tcPr>
          <w:p w14:paraId="5822D994">
            <w:pPr>
              <w:snapToGrid w:val="0"/>
              <w:spacing w:line="400" w:lineRule="exact"/>
              <w:jc w:val="center"/>
              <w:rPr>
                <w:rFonts w:ascii="宋体" w:hAnsi="宋体"/>
                <w:kern w:val="0"/>
                <w:szCs w:val="21"/>
              </w:rPr>
            </w:pPr>
            <w:r>
              <w:rPr>
                <w:rFonts w:ascii="宋体" w:hAnsi="宋体"/>
                <w:kern w:val="0"/>
                <w:szCs w:val="21"/>
              </w:rPr>
              <w:t>开标时间和</w:t>
            </w:r>
          </w:p>
          <w:p w14:paraId="7724A2A4">
            <w:pPr>
              <w:snapToGrid w:val="0"/>
              <w:spacing w:line="400" w:lineRule="exact"/>
              <w:jc w:val="center"/>
              <w:rPr>
                <w:rFonts w:ascii="宋体" w:hAnsi="宋体"/>
                <w:kern w:val="0"/>
                <w:szCs w:val="21"/>
              </w:rPr>
            </w:pPr>
            <w:r>
              <w:rPr>
                <w:rFonts w:ascii="宋体" w:hAnsi="宋体"/>
                <w:kern w:val="0"/>
                <w:szCs w:val="21"/>
              </w:rPr>
              <w:t>地点</w:t>
            </w:r>
          </w:p>
        </w:tc>
        <w:tc>
          <w:tcPr>
            <w:tcW w:w="6490" w:type="dxa"/>
            <w:vAlign w:val="center"/>
          </w:tcPr>
          <w:p w14:paraId="00D3381C">
            <w:pPr>
              <w:snapToGrid w:val="0"/>
              <w:spacing w:line="400" w:lineRule="exact"/>
              <w:ind w:firstLine="420" w:firstLineChars="200"/>
              <w:rPr>
                <w:color w:val="auto"/>
              </w:rPr>
            </w:pPr>
            <w:r>
              <w:rPr>
                <w:color w:val="auto"/>
              </w:rPr>
              <w:t>开标时间：同投标截止时间</w:t>
            </w:r>
          </w:p>
          <w:p w14:paraId="729D0B77">
            <w:pPr>
              <w:snapToGrid w:val="0"/>
              <w:spacing w:line="400" w:lineRule="exact"/>
              <w:ind w:firstLine="420" w:firstLineChars="200"/>
              <w:rPr>
                <w:color w:val="auto"/>
              </w:rPr>
            </w:pPr>
            <w:r>
              <w:rPr>
                <w:color w:val="auto"/>
              </w:rPr>
              <w:t>开标地点：</w:t>
            </w:r>
            <w:r>
              <w:rPr>
                <w:rFonts w:hint="eastAsia" w:ascii="宋体" w:hAnsi="宋体"/>
                <w:bCs/>
                <w:color w:val="auto"/>
                <w:szCs w:val="21"/>
              </w:rPr>
              <w:t>详见第一章招标公告。</w:t>
            </w:r>
          </w:p>
        </w:tc>
      </w:tr>
      <w:tr w14:paraId="350BDA21">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28D345E5">
            <w:pPr>
              <w:snapToGrid w:val="0"/>
              <w:spacing w:line="400" w:lineRule="exact"/>
              <w:jc w:val="center"/>
              <w:rPr>
                <w:rFonts w:ascii="宋体" w:hAnsi="宋体"/>
                <w:szCs w:val="21"/>
              </w:rPr>
            </w:pPr>
            <w:r>
              <w:rPr>
                <w:rFonts w:hint="eastAsia" w:ascii="宋体" w:hAnsi="宋体"/>
                <w:szCs w:val="21"/>
              </w:rPr>
              <w:t>5.2</w:t>
            </w:r>
          </w:p>
        </w:tc>
        <w:tc>
          <w:tcPr>
            <w:tcW w:w="1754" w:type="dxa"/>
            <w:vAlign w:val="center"/>
          </w:tcPr>
          <w:p w14:paraId="48F9A69D">
            <w:pPr>
              <w:snapToGrid w:val="0"/>
              <w:spacing w:line="400" w:lineRule="exact"/>
              <w:jc w:val="center"/>
              <w:rPr>
                <w:rFonts w:ascii="宋体" w:hAnsi="宋体"/>
                <w:szCs w:val="21"/>
              </w:rPr>
            </w:pPr>
            <w:r>
              <w:rPr>
                <w:rFonts w:hint="eastAsia" w:ascii="宋体" w:hAnsi="宋体"/>
                <w:szCs w:val="21"/>
              </w:rPr>
              <w:t>开标程序</w:t>
            </w:r>
          </w:p>
        </w:tc>
        <w:tc>
          <w:tcPr>
            <w:tcW w:w="6490" w:type="dxa"/>
            <w:vAlign w:val="center"/>
          </w:tcPr>
          <w:p w14:paraId="08BE0C39">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主持人按下列程序进行开标：</w:t>
            </w:r>
          </w:p>
          <w:p w14:paraId="0A72742D">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1.</w:t>
            </w:r>
            <w:r>
              <w:rPr>
                <w:rFonts w:hint="eastAsia" w:ascii="宋体" w:hAnsi="宋体" w:eastAsia="宋体" w:cs="宋体"/>
                <w:color w:val="000000" w:themeColor="text1"/>
                <w:szCs w:val="21"/>
                <w:highlight w:val="none"/>
                <w:lang w:val="en-US" w:eastAsia="zh-CN"/>
                <w14:textFill>
                  <w14:solidFill>
                    <w14:schemeClr w14:val="tx1"/>
                  </w14:solidFill>
                </w14:textFill>
              </w:rPr>
              <w:t>查询投标人数量</w:t>
            </w:r>
          </w:p>
          <w:p w14:paraId="6050C347">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开标时间（应与投标截止时间一致），展示投标人数量是否大于（等于）3家，经招标人确认达到开标条件的，进入下一步开标环节。</w:t>
            </w:r>
          </w:p>
          <w:p w14:paraId="65157BE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lang w:val="en-US" w:eastAsia="zh-CN"/>
                <w14:textFill>
                  <w14:solidFill>
                    <w14:schemeClr w14:val="tx1"/>
                  </w14:solidFill>
                </w14:textFill>
              </w:rPr>
            </w:pPr>
            <w:r>
              <w:rPr>
                <w:rFonts w:hint="eastAsia" w:ascii="宋体" w:hAnsi="宋体" w:eastAsia="宋体" w:cs="宋体"/>
                <w:color w:val="000000" w:themeColor="text1"/>
                <w:szCs w:val="21"/>
                <w:highlight w:val="none"/>
                <w14:textFill>
                  <w14:solidFill>
                    <w14:schemeClr w14:val="tx1"/>
                  </w14:solidFill>
                </w14:textFill>
              </w:rPr>
              <w:t>2.</w:t>
            </w:r>
            <w:r>
              <w:rPr>
                <w:rFonts w:hint="eastAsia" w:ascii="宋体" w:hAnsi="宋体" w:cs="宋体"/>
                <w:color w:val="000000" w:themeColor="text1"/>
                <w:szCs w:val="21"/>
                <w:highlight w:val="none"/>
                <w:lang w:val="en-US" w:eastAsia="zh-CN"/>
                <w14:textFill>
                  <w14:solidFill>
                    <w14:schemeClr w14:val="tx1"/>
                  </w14:solidFill>
                </w14:textFill>
              </w:rPr>
              <w:t>身份核验</w:t>
            </w:r>
          </w:p>
          <w:p w14:paraId="2862B0E9">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注：参加开标会的投标人代表应携带以下资料供查验：</w:t>
            </w:r>
          </w:p>
          <w:p w14:paraId="4859AA54">
            <w:pPr>
              <w:pageBreakBefore w:val="0"/>
              <w:kinsoku/>
              <w:topLinePunct w:val="0"/>
              <w:autoSpaceDE w:val="0"/>
              <w:autoSpaceDN w:val="0"/>
              <w:bidi w:val="0"/>
              <w:adjustRightInd w:val="0"/>
              <w:snapToGrid w:val="0"/>
              <w:spacing w:after="0" w:line="360" w:lineRule="auto"/>
              <w:ind w:firstLine="422" w:firstLineChars="200"/>
              <w:rPr>
                <w:rFonts w:hint="eastAsia" w:ascii="宋体" w:hAnsi="宋体" w:cs="宋体"/>
                <w:b/>
                <w:bCs/>
                <w:color w:val="FF0000"/>
                <w:szCs w:val="21"/>
                <w:highlight w:val="none"/>
                <w:lang w:val="en-US" w:eastAsia="zh-CN"/>
              </w:rPr>
            </w:pPr>
            <w:r>
              <w:rPr>
                <w:rFonts w:hint="eastAsia" w:ascii="宋体" w:hAnsi="宋体" w:cs="宋体"/>
                <w:b/>
                <w:bCs/>
                <w:color w:val="FF0000"/>
                <w:szCs w:val="21"/>
                <w:highlight w:val="none"/>
                <w:lang w:val="en-US" w:eastAsia="zh-CN"/>
              </w:rPr>
              <w:t>法定代表人参加开标的：法定代表人身份证原件及法定代表人证明（格式见第六章投标文件格式）</w:t>
            </w:r>
          </w:p>
          <w:p w14:paraId="5F1B9F52">
            <w:pPr>
              <w:pageBreakBefore w:val="0"/>
              <w:kinsoku/>
              <w:topLinePunct w:val="0"/>
              <w:autoSpaceDE w:val="0"/>
              <w:autoSpaceDN w:val="0"/>
              <w:bidi w:val="0"/>
              <w:adjustRightInd w:val="0"/>
              <w:snapToGrid w:val="0"/>
              <w:spacing w:after="0" w:line="360" w:lineRule="auto"/>
              <w:ind w:firstLine="422" w:firstLineChars="200"/>
              <w:rPr>
                <w:rFonts w:hint="eastAsia"/>
                <w:b/>
                <w:bCs/>
                <w:color w:val="FF0000"/>
                <w:highlight w:val="none"/>
              </w:rPr>
            </w:pPr>
            <w:r>
              <w:rPr>
                <w:rFonts w:hint="eastAsia" w:ascii="宋体" w:hAnsi="宋体" w:cs="宋体"/>
                <w:b/>
                <w:bCs/>
                <w:color w:val="FF0000"/>
                <w:szCs w:val="21"/>
                <w:highlight w:val="none"/>
                <w:lang w:val="en-US" w:eastAsia="zh-CN"/>
              </w:rPr>
              <w:t>授权代表参加开标的：被授权人的身份证原件及授权委托书和法定代表人证明（格式见第六章投标文件格式）。</w:t>
            </w:r>
          </w:p>
          <w:p w14:paraId="53CEDB36">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.汇总投标保证金交纳情况</w:t>
            </w:r>
          </w:p>
          <w:p w14:paraId="28E9D3A2">
            <w:pPr>
              <w:pageBreakBefore w:val="0"/>
              <w:kinsoku/>
              <w:topLinePunct w:val="0"/>
              <w:autoSpaceDE w:val="0"/>
              <w:autoSpaceDN w:val="0"/>
              <w:bidi w:val="0"/>
              <w:adjustRightInd w:val="0"/>
              <w:snapToGrid w:val="0"/>
              <w:spacing w:after="0" w:line="360" w:lineRule="auto"/>
              <w:ind w:firstLine="420" w:firstLineChars="200"/>
              <w:rPr>
                <w:rFonts w:hint="eastAsia" w:ascii="宋体" w:hAnsi="宋体" w:eastAsia="宋体" w:cs="宋体"/>
                <w:color w:val="000000" w:themeColor="text1"/>
                <w:szCs w:val="21"/>
                <w:highlight w:val="none"/>
                <w14:textFill>
                  <w14:solidFill>
                    <w14:schemeClr w14:val="tx1"/>
                  </w14:solidFill>
                </w14:textFill>
              </w:rPr>
            </w:pPr>
            <w:r>
              <w:rPr>
                <w:rFonts w:hint="eastAsia" w:ascii="宋体" w:hAnsi="宋体" w:cs="宋体"/>
                <w:color w:val="000000" w:themeColor="text1"/>
                <w:szCs w:val="21"/>
                <w:highlight w:val="none"/>
                <w:lang w:val="en-US" w:eastAsia="zh-CN"/>
                <w14:textFill>
                  <w14:solidFill>
                    <w14:schemeClr w14:val="tx1"/>
                  </w14:solidFill>
                </w14:textFill>
              </w:rPr>
              <w:t>3</w:t>
            </w:r>
            <w:r>
              <w:rPr>
                <w:rFonts w:hint="eastAsia" w:ascii="宋体" w:hAnsi="宋体" w:eastAsia="宋体" w:cs="宋体"/>
                <w:color w:val="000000" w:themeColor="text1"/>
                <w:szCs w:val="21"/>
                <w:highlight w:val="none"/>
                <w14:textFill>
                  <w14:solidFill>
                    <w14:schemeClr w14:val="tx1"/>
                  </w14:solidFill>
                </w14:textFill>
              </w:rPr>
              <w:t>.</w:t>
            </w:r>
            <w:r>
              <w:rPr>
                <w:rFonts w:hint="eastAsia" w:ascii="宋体" w:hAnsi="宋体" w:cs="宋体"/>
                <w:color w:val="000000" w:themeColor="text1"/>
                <w:szCs w:val="21"/>
                <w:highlight w:val="none"/>
                <w:lang w:val="en-US" w:eastAsia="zh-CN"/>
                <w14:textFill>
                  <w14:solidFill>
                    <w14:schemeClr w14:val="tx1"/>
                  </w14:solidFill>
                </w14:textFill>
              </w:rPr>
              <w:t>1</w:t>
            </w:r>
            <w:r>
              <w:rPr>
                <w:rFonts w:hint="eastAsia" w:ascii="宋体" w:hAnsi="宋体" w:eastAsia="宋体" w:cs="宋体"/>
                <w:color w:val="000000" w:themeColor="text1"/>
                <w:szCs w:val="21"/>
                <w:highlight w:val="none"/>
                <w14:textFill>
                  <w14:solidFill>
                    <w14:schemeClr w14:val="tx1"/>
                  </w14:solidFill>
                </w14:textFill>
              </w:rPr>
              <w:t>展示以电子转账方式递交投标保证金的情况，应至少包含投标人名称、金额、投标保证金打入指定账户的时间等，异常情况在开标记录表“异常情况”栏中记录并交由评标委员会评审。保证金来款账户非基本账户的，交由评标委员会作否决投标处理。</w:t>
            </w:r>
          </w:p>
          <w:p w14:paraId="0F8F7C9A">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hint="default" w:ascii="宋体" w:hAnsi="宋体" w:eastAsia="宋体"/>
                <w:szCs w:val="21"/>
                <w:lang w:val="en-US" w:eastAsia="zh-CN"/>
              </w:rPr>
            </w:pPr>
            <w:r>
              <w:rPr>
                <w:rFonts w:hint="eastAsia" w:ascii="宋体" w:hAnsi="宋体"/>
                <w:szCs w:val="21"/>
                <w:lang w:val="en-US" w:eastAsia="zh-CN"/>
              </w:rPr>
              <w:t>4</w:t>
            </w:r>
            <w:r>
              <w:rPr>
                <w:rFonts w:hint="eastAsia" w:ascii="宋体" w:hAnsi="宋体"/>
                <w:szCs w:val="21"/>
              </w:rPr>
              <w:t>.密封情况检查：各投标人代表或其推荐代表检查所递交的投标文件</w:t>
            </w:r>
            <w:r>
              <w:rPr>
                <w:rFonts w:hint="eastAsia" w:ascii="宋体" w:hAnsi="宋体"/>
                <w:szCs w:val="21"/>
                <w:lang w:val="en-US" w:eastAsia="zh-CN"/>
              </w:rPr>
              <w:t>。</w:t>
            </w:r>
          </w:p>
          <w:p w14:paraId="21EC373D">
            <w:pPr>
              <w:pageBreakBefore w:val="0"/>
              <w:kinsoku/>
              <w:topLinePunct w:val="0"/>
              <w:autoSpaceDE w:val="0"/>
              <w:autoSpaceDN w:val="0"/>
              <w:bidi w:val="0"/>
              <w:adjustRightInd w:val="0"/>
              <w:snapToGrid w:val="0"/>
              <w:spacing w:line="360" w:lineRule="auto"/>
              <w:ind w:left="0" w:leftChars="0" w:right="0" w:rightChars="0" w:firstLine="420" w:firstLineChars="200"/>
              <w:textAlignment w:val="auto"/>
              <w:outlineLvl w:val="9"/>
              <w:rPr>
                <w:rFonts w:ascii="宋体" w:hAnsi="宋体"/>
                <w:szCs w:val="21"/>
              </w:rPr>
            </w:pPr>
            <w:r>
              <w:rPr>
                <w:rFonts w:hint="eastAsia" w:ascii="宋体" w:hAnsi="宋体"/>
                <w:szCs w:val="21"/>
                <w:lang w:val="en-US" w:eastAsia="zh-CN"/>
              </w:rPr>
              <w:t>5</w:t>
            </w:r>
            <w:r>
              <w:rPr>
                <w:rFonts w:hint="eastAsia" w:ascii="宋体" w:hAnsi="宋体"/>
                <w:szCs w:val="21"/>
              </w:rPr>
              <w:t>. 公布投标人名称、</w:t>
            </w:r>
            <w:r>
              <w:rPr>
                <w:rFonts w:hint="eastAsia" w:ascii="宋体" w:hAnsi="宋体"/>
                <w:szCs w:val="21"/>
                <w:lang w:val="en-US" w:eastAsia="zh-CN"/>
              </w:rPr>
              <w:t>最高限价、</w:t>
            </w:r>
            <w:r>
              <w:rPr>
                <w:rFonts w:hint="eastAsia" w:ascii="宋体" w:hAnsi="宋体"/>
                <w:szCs w:val="21"/>
              </w:rPr>
              <w:t>投标报价、供货期及其他内容。</w:t>
            </w:r>
          </w:p>
          <w:p w14:paraId="66867BD7">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6</w:t>
            </w:r>
            <w:r>
              <w:rPr>
                <w:rFonts w:hint="eastAsia" w:ascii="宋体" w:hAnsi="宋体"/>
                <w:szCs w:val="21"/>
              </w:rPr>
              <w:t>.投标人对开标有异议的，应当场提出，由招标人当场答复，并记录到开标记录表中。异议处理完毕后，汇总开标情况，打印开标记录表。</w:t>
            </w:r>
          </w:p>
          <w:p w14:paraId="5F94EC4E">
            <w:pPr>
              <w:keepNext w:val="0"/>
              <w:keepLines w:val="0"/>
              <w:pageBreakBefore w:val="0"/>
              <w:kinsoku/>
              <w:autoSpaceDE w:val="0"/>
              <w:autoSpaceDN w:val="0"/>
              <w:bidi w:val="0"/>
              <w:adjustRightInd w:val="0"/>
              <w:snapToGrid w:val="0"/>
              <w:spacing w:line="360" w:lineRule="auto"/>
              <w:ind w:firstLine="420" w:firstLineChars="200"/>
              <w:jc w:val="both"/>
              <w:textAlignment w:val="auto"/>
              <w:outlineLvl w:val="9"/>
              <w:rPr>
                <w:rFonts w:ascii="宋体" w:hAnsi="宋体"/>
                <w:szCs w:val="21"/>
              </w:rPr>
            </w:pPr>
            <w:r>
              <w:rPr>
                <w:rFonts w:hint="eastAsia" w:ascii="宋体" w:hAnsi="宋体"/>
                <w:szCs w:val="21"/>
                <w:lang w:val="en-US" w:eastAsia="zh-CN"/>
              </w:rPr>
              <w:t>7</w:t>
            </w:r>
            <w:r>
              <w:rPr>
                <w:rFonts w:hint="eastAsia" w:ascii="宋体" w:hAnsi="宋体"/>
                <w:szCs w:val="21"/>
              </w:rPr>
              <w:t>. 投标人代表、招标人代表、监标人、主持人、记录人等有关人员在开标记录上签名确认。因其他原因未能</w:t>
            </w:r>
            <w:r>
              <w:rPr>
                <w:rFonts w:hint="eastAsia" w:ascii="宋体" w:hAnsi="宋体"/>
                <w:szCs w:val="21"/>
                <w:lang w:val="en-US" w:eastAsia="zh-CN"/>
              </w:rPr>
              <w:t>现场</w:t>
            </w:r>
            <w:r>
              <w:rPr>
                <w:rFonts w:hint="eastAsia" w:ascii="宋体" w:hAnsi="宋体"/>
                <w:szCs w:val="21"/>
              </w:rPr>
              <w:t>签名的，视为默认开标结果。</w:t>
            </w:r>
          </w:p>
          <w:p w14:paraId="45A013DB">
            <w:pPr>
              <w:autoSpaceDE w:val="0"/>
              <w:autoSpaceDN w:val="0"/>
              <w:adjustRightInd w:val="0"/>
              <w:snapToGrid w:val="0"/>
              <w:spacing w:line="400" w:lineRule="exact"/>
              <w:ind w:firstLine="420" w:firstLineChars="200"/>
              <w:rPr>
                <w:rFonts w:ascii="宋体" w:hAnsi="宋体"/>
                <w:szCs w:val="21"/>
              </w:rPr>
            </w:pPr>
            <w:r>
              <w:rPr>
                <w:rFonts w:hint="eastAsia" w:ascii="宋体" w:hAnsi="宋体"/>
                <w:szCs w:val="21"/>
                <w:lang w:val="en-US" w:eastAsia="zh-CN"/>
              </w:rPr>
              <w:t>8</w:t>
            </w:r>
            <w:r>
              <w:rPr>
                <w:rFonts w:hint="eastAsia" w:ascii="宋体" w:hAnsi="宋体"/>
                <w:szCs w:val="21"/>
              </w:rPr>
              <w:t>.主持人宣布开标结束。</w:t>
            </w:r>
          </w:p>
        </w:tc>
      </w:tr>
      <w:tr w14:paraId="75318D2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223CBE2">
            <w:pPr>
              <w:snapToGrid w:val="0"/>
              <w:spacing w:line="400" w:lineRule="exact"/>
              <w:jc w:val="center"/>
              <w:rPr>
                <w:rFonts w:ascii="宋体" w:hAnsi="宋体"/>
                <w:kern w:val="0"/>
                <w:szCs w:val="21"/>
              </w:rPr>
            </w:pPr>
            <w:r>
              <w:rPr>
                <w:rFonts w:ascii="宋体" w:hAnsi="宋体"/>
                <w:kern w:val="0"/>
                <w:szCs w:val="21"/>
              </w:rPr>
              <w:t>6.1.1</w:t>
            </w:r>
          </w:p>
        </w:tc>
        <w:tc>
          <w:tcPr>
            <w:tcW w:w="1754" w:type="dxa"/>
            <w:vAlign w:val="center"/>
          </w:tcPr>
          <w:p w14:paraId="44835280">
            <w:pPr>
              <w:snapToGrid w:val="0"/>
              <w:spacing w:line="400" w:lineRule="exact"/>
              <w:jc w:val="center"/>
              <w:rPr>
                <w:rFonts w:ascii="宋体" w:hAnsi="宋体"/>
                <w:kern w:val="0"/>
                <w:szCs w:val="21"/>
              </w:rPr>
            </w:pPr>
            <w:r>
              <w:rPr>
                <w:rFonts w:ascii="宋体" w:hAnsi="宋体"/>
                <w:kern w:val="0"/>
                <w:szCs w:val="21"/>
              </w:rPr>
              <w:t>评标委员会的组建</w:t>
            </w:r>
          </w:p>
        </w:tc>
        <w:tc>
          <w:tcPr>
            <w:tcW w:w="6490" w:type="dxa"/>
            <w:vAlign w:val="center"/>
          </w:tcPr>
          <w:p w14:paraId="266F1904">
            <w:pPr>
              <w:autoSpaceDE w:val="0"/>
              <w:autoSpaceDN w:val="0"/>
              <w:adjustRightInd w:val="0"/>
              <w:snapToGrid w:val="0"/>
              <w:spacing w:after="0" w:line="400" w:lineRule="exact"/>
              <w:ind w:firstLine="436" w:firstLineChars="200"/>
              <w:rPr>
                <w:rFonts w:ascii="宋体" w:hAnsi="宋体"/>
                <w:kern w:val="0"/>
                <w:szCs w:val="21"/>
              </w:rPr>
            </w:pPr>
            <w:r>
              <w:rPr>
                <w:rFonts w:hint="eastAsia" w:ascii="宋体" w:hAnsi="宋体" w:cs="宋体"/>
                <w:spacing w:val="4"/>
                <w:kern w:val="0"/>
                <w:szCs w:val="21"/>
              </w:rPr>
              <w:t>由招标人按法律法规及相关规定依法组建评标委员会</w:t>
            </w:r>
            <w:r>
              <w:rPr>
                <w:rFonts w:hint="eastAsia" w:ascii="宋体" w:hAnsi="宋体" w:cs="宋体"/>
                <w:kern w:val="0"/>
                <w:szCs w:val="21"/>
              </w:rPr>
              <w:t>。</w:t>
            </w:r>
          </w:p>
        </w:tc>
      </w:tr>
      <w:tr w14:paraId="7264545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7A637939">
            <w:pPr>
              <w:snapToGrid w:val="0"/>
              <w:spacing w:line="400" w:lineRule="exact"/>
              <w:jc w:val="center"/>
              <w:rPr>
                <w:rFonts w:ascii="宋体" w:hAnsi="宋体"/>
                <w:kern w:val="0"/>
                <w:szCs w:val="21"/>
              </w:rPr>
            </w:pPr>
            <w:r>
              <w:rPr>
                <w:rFonts w:hint="eastAsia" w:ascii="宋体" w:hAnsi="宋体"/>
                <w:kern w:val="0"/>
                <w:szCs w:val="21"/>
              </w:rPr>
              <w:t>6</w:t>
            </w:r>
            <w:r>
              <w:rPr>
                <w:rFonts w:ascii="宋体" w:hAnsi="宋体"/>
                <w:kern w:val="0"/>
                <w:szCs w:val="21"/>
              </w:rPr>
              <w:t>.3.2</w:t>
            </w:r>
          </w:p>
        </w:tc>
        <w:tc>
          <w:tcPr>
            <w:tcW w:w="1754" w:type="dxa"/>
            <w:vAlign w:val="center"/>
          </w:tcPr>
          <w:p w14:paraId="64B85B6F">
            <w:pPr>
              <w:snapToGrid w:val="0"/>
              <w:spacing w:line="400" w:lineRule="exact"/>
              <w:jc w:val="center"/>
              <w:rPr>
                <w:rFonts w:ascii="宋体" w:hAnsi="宋体"/>
                <w:kern w:val="0"/>
                <w:szCs w:val="21"/>
              </w:rPr>
            </w:pPr>
            <w:r>
              <w:rPr>
                <w:rFonts w:ascii="宋体" w:hAnsi="宋体"/>
                <w:kern w:val="0"/>
                <w:szCs w:val="21"/>
              </w:rPr>
              <w:t>评标委员会推荐中标候选人的人数</w:t>
            </w:r>
          </w:p>
        </w:tc>
        <w:tc>
          <w:tcPr>
            <w:tcW w:w="6490" w:type="dxa"/>
            <w:vAlign w:val="center"/>
          </w:tcPr>
          <w:p w14:paraId="3CA26B90">
            <w:pPr>
              <w:autoSpaceDE w:val="0"/>
              <w:autoSpaceDN w:val="0"/>
              <w:adjustRightInd w:val="0"/>
              <w:snapToGrid w:val="0"/>
              <w:spacing w:line="400" w:lineRule="exact"/>
              <w:ind w:firstLine="420" w:firstLineChars="200"/>
            </w:pPr>
            <w:r>
              <w:t>推荐经评审综合得分由高到低排名</w:t>
            </w:r>
            <w:r>
              <w:rPr>
                <w:rFonts w:hint="eastAsia"/>
              </w:rPr>
              <w:t>前</w:t>
            </w:r>
            <w:r>
              <w:rPr>
                <w:u w:val="single"/>
              </w:rPr>
              <w:t xml:space="preserve"> 3</w:t>
            </w:r>
            <w:r>
              <w:rPr>
                <w:rFonts w:hint="eastAsia"/>
                <w:u w:val="single"/>
              </w:rPr>
              <w:t xml:space="preserve"> </w:t>
            </w:r>
            <w:r>
              <w:t>名为中标候选人</w:t>
            </w:r>
            <w:r>
              <w:rPr>
                <w:rFonts w:hint="eastAsia"/>
              </w:rPr>
              <w:t>，若有效投标人少于</w:t>
            </w:r>
            <w:r>
              <w:rPr>
                <w:u w:val="single"/>
              </w:rPr>
              <w:t xml:space="preserve"> 3 </w:t>
            </w:r>
            <w:r>
              <w:rPr>
                <w:rFonts w:hint="eastAsia"/>
              </w:rPr>
              <w:t>个的则按实际数量推荐</w:t>
            </w:r>
            <w:r>
              <w:t>。</w:t>
            </w:r>
          </w:p>
        </w:tc>
      </w:tr>
      <w:tr w14:paraId="16E3871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restart"/>
            <w:vAlign w:val="center"/>
          </w:tcPr>
          <w:p w14:paraId="02EF00F6">
            <w:pPr>
              <w:snapToGrid w:val="0"/>
              <w:spacing w:line="400" w:lineRule="exact"/>
              <w:jc w:val="center"/>
              <w:rPr>
                <w:rFonts w:ascii="宋体" w:hAnsi="宋体"/>
                <w:kern w:val="0"/>
                <w:szCs w:val="21"/>
              </w:rPr>
            </w:pPr>
            <w:r>
              <w:rPr>
                <w:rFonts w:hint="eastAsia" w:ascii="宋体" w:hAnsi="宋体"/>
                <w:kern w:val="0"/>
                <w:szCs w:val="21"/>
              </w:rPr>
              <w:t>7</w:t>
            </w:r>
            <w:r>
              <w:rPr>
                <w:rFonts w:ascii="宋体" w:hAnsi="宋体"/>
                <w:kern w:val="0"/>
                <w:szCs w:val="21"/>
              </w:rPr>
              <w:t>.1</w:t>
            </w:r>
          </w:p>
        </w:tc>
        <w:tc>
          <w:tcPr>
            <w:tcW w:w="1754" w:type="dxa"/>
            <w:vAlign w:val="center"/>
          </w:tcPr>
          <w:p w14:paraId="0ABEDD69">
            <w:pPr>
              <w:snapToGrid w:val="0"/>
              <w:spacing w:line="400" w:lineRule="exact"/>
              <w:jc w:val="center"/>
              <w:rPr>
                <w:rFonts w:ascii="宋体" w:hAnsi="宋体"/>
                <w:kern w:val="0"/>
                <w:szCs w:val="21"/>
              </w:rPr>
            </w:pPr>
            <w:r>
              <w:rPr>
                <w:rFonts w:hint="eastAsia" w:ascii="宋体" w:hAnsi="宋体"/>
                <w:kern w:val="0"/>
                <w:szCs w:val="21"/>
              </w:rPr>
              <w:t>中标候选人公示</w:t>
            </w:r>
          </w:p>
        </w:tc>
        <w:tc>
          <w:tcPr>
            <w:tcW w:w="6490" w:type="dxa"/>
            <w:vAlign w:val="center"/>
          </w:tcPr>
          <w:p w14:paraId="46E57CD2">
            <w:pPr>
              <w:autoSpaceDE w:val="0"/>
              <w:autoSpaceDN w:val="0"/>
              <w:adjustRightInd w:val="0"/>
              <w:snapToGrid w:val="0"/>
              <w:spacing w:line="400" w:lineRule="exact"/>
              <w:ind w:firstLine="436" w:firstLineChars="200"/>
              <w:rPr>
                <w:rFonts w:ascii="宋体" w:hAnsi="宋体"/>
                <w:spacing w:val="4"/>
                <w:kern w:val="0"/>
                <w:szCs w:val="21"/>
              </w:rPr>
            </w:pPr>
            <w:r>
              <w:rPr>
                <w:rFonts w:hint="eastAsia" w:ascii="宋体" w:hAnsi="宋体"/>
                <w:color w:val="000000" w:themeColor="text1"/>
                <w:spacing w:val="4"/>
                <w:kern w:val="0"/>
                <w:szCs w:val="21"/>
                <w:highlight w:val="none"/>
                <w14:textFill>
                  <w14:solidFill>
                    <w14:schemeClr w14:val="tx1"/>
                  </w14:solidFill>
                </w14:textFill>
              </w:rPr>
              <w:t>招标人在收到评标报告后3日内将评标结果在</w:t>
            </w:r>
            <w:r>
              <w:rPr>
                <w:rFonts w:hint="eastAsia" w:ascii="宋体" w:hAnsi="宋体" w:eastAsia="宋体" w:cs="宋体"/>
                <w:color w:val="000000" w:themeColor="text1"/>
                <w:spacing w:val="4"/>
                <w:kern w:val="0"/>
                <w:szCs w:val="21"/>
                <w:highlight w:val="none"/>
                <w:u w:val="single"/>
                <w14:textFill>
                  <w14:solidFill>
                    <w14:schemeClr w14:val="tx1"/>
                  </w14:solidFill>
                </w14:textFill>
              </w:rPr>
              <w:t xml:space="preserve"> </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olor w:val="000000" w:themeColor="text1"/>
                <w:spacing w:val="4"/>
                <w:kern w:val="0"/>
                <w:szCs w:val="21"/>
                <w:highlight w:val="none"/>
                <w14:textFill>
                  <w14:solidFill>
                    <w14:schemeClr w14:val="tx1"/>
                  </w14:solidFill>
                </w14:textFill>
              </w:rPr>
              <w:t>上进行公示，公示期不少于</w:t>
            </w:r>
            <w:r>
              <w:rPr>
                <w:rFonts w:hint="eastAsia" w:ascii="宋体" w:hAnsi="宋体"/>
                <w:color w:val="000000" w:themeColor="text1"/>
                <w:spacing w:val="4"/>
                <w:kern w:val="0"/>
                <w:szCs w:val="21"/>
                <w:highlight w:val="none"/>
                <w:lang w:val="en-US" w:eastAsia="zh-CN"/>
                <w14:textFill>
                  <w14:solidFill>
                    <w14:schemeClr w14:val="tx1"/>
                  </w14:solidFill>
                </w14:textFill>
              </w:rPr>
              <w:t>3</w:t>
            </w:r>
            <w:r>
              <w:rPr>
                <w:rFonts w:hint="eastAsia" w:ascii="宋体" w:hAnsi="宋体"/>
                <w:color w:val="000000" w:themeColor="text1"/>
                <w:spacing w:val="4"/>
                <w:kern w:val="0"/>
                <w:szCs w:val="21"/>
                <w:highlight w:val="none"/>
                <w14:textFill>
                  <w14:solidFill>
                    <w14:schemeClr w14:val="tx1"/>
                  </w14:solidFill>
                </w14:textFill>
              </w:rPr>
              <w:t>日，请各投标人自行查询。</w:t>
            </w:r>
          </w:p>
        </w:tc>
      </w:tr>
      <w:tr w14:paraId="6F32AF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Merge w:val="continue"/>
            <w:vAlign w:val="center"/>
          </w:tcPr>
          <w:p w14:paraId="5D5A5728">
            <w:pPr>
              <w:snapToGrid w:val="0"/>
              <w:spacing w:line="400" w:lineRule="exact"/>
              <w:jc w:val="center"/>
              <w:rPr>
                <w:rFonts w:hint="eastAsia" w:ascii="宋体" w:hAnsi="宋体"/>
                <w:kern w:val="0"/>
                <w:szCs w:val="21"/>
              </w:rPr>
            </w:pPr>
          </w:p>
        </w:tc>
        <w:tc>
          <w:tcPr>
            <w:tcW w:w="1754" w:type="dxa"/>
            <w:vAlign w:val="center"/>
          </w:tcPr>
          <w:p w14:paraId="5B82A1D0">
            <w:pPr>
              <w:snapToGrid w:val="0"/>
              <w:spacing w:line="400" w:lineRule="exact"/>
              <w:jc w:val="center"/>
              <w:rPr>
                <w:rFonts w:hint="eastAsia" w:ascii="宋体" w:hAnsi="宋体"/>
                <w:kern w:val="0"/>
                <w:szCs w:val="21"/>
              </w:rPr>
            </w:pPr>
            <w:r>
              <w:rPr>
                <w:rFonts w:hint="eastAsia" w:ascii="宋体" w:hAnsi="宋体"/>
                <w:kern w:val="0"/>
                <w:szCs w:val="21"/>
                <w:lang w:val="en-US" w:eastAsia="zh-CN"/>
              </w:rPr>
              <w:t>中标结果公告</w:t>
            </w:r>
          </w:p>
        </w:tc>
        <w:tc>
          <w:tcPr>
            <w:tcW w:w="6490" w:type="dxa"/>
            <w:vAlign w:val="center"/>
          </w:tcPr>
          <w:p w14:paraId="3C6CC984">
            <w:pPr>
              <w:autoSpaceDE w:val="0"/>
              <w:autoSpaceDN w:val="0"/>
              <w:adjustRightInd w:val="0"/>
              <w:snapToGrid w:val="0"/>
              <w:spacing w:line="400" w:lineRule="exact"/>
              <w:ind w:firstLine="420" w:firstLineChars="200"/>
              <w:rPr>
                <w:rFonts w:hint="eastAsia" w:ascii="宋体" w:hAnsi="宋体"/>
                <w:spacing w:val="4"/>
                <w:kern w:val="0"/>
                <w:szCs w:val="21"/>
              </w:rPr>
            </w:pPr>
            <w:r>
              <w:rPr>
                <w:rFonts w:hint="eastAsia" w:ascii="宋体" w:hAnsi="宋体" w:cs="宋体"/>
                <w:szCs w:val="21"/>
              </w:rPr>
              <w:t>中标候选人公示期间没有收到异议或相关异议不成立的，招标人在中标候选人公示期结束后，在</w:t>
            </w:r>
            <w:r>
              <w:rPr>
                <w:rFonts w:hint="eastAsia" w:ascii="宋体" w:hAnsi="宋体"/>
                <w:b/>
                <w:bCs/>
                <w:snapToGrid w:val="0"/>
                <w:kern w:val="0"/>
                <w:szCs w:val="21"/>
                <w:u w:val="single"/>
                <w:lang w:val="en-US" w:eastAsia="zh-CN"/>
              </w:rPr>
              <w:t>乌江涪陵榨菜集团官网（https://www.flzc.com/）</w:t>
            </w:r>
            <w:r>
              <w:rPr>
                <w:rFonts w:hint="eastAsia" w:ascii="宋体" w:hAnsi="宋体"/>
                <w:color w:val="auto"/>
                <w:spacing w:val="4"/>
                <w:kern w:val="0"/>
                <w:szCs w:val="21"/>
                <w:highlight w:val="none"/>
                <w:u w:val="single"/>
              </w:rPr>
              <w:t xml:space="preserve"> </w:t>
            </w:r>
            <w:r>
              <w:rPr>
                <w:rFonts w:hint="eastAsia" w:ascii="宋体" w:hAnsi="宋体" w:cs="宋体"/>
                <w:szCs w:val="21"/>
              </w:rPr>
              <w:t>网上进行中标结果公告，并由招标人依法依规发出中标通知书。</w:t>
            </w:r>
          </w:p>
        </w:tc>
      </w:tr>
      <w:tr w14:paraId="1CDE15AE">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FBD7311">
            <w:pPr>
              <w:snapToGrid w:val="0"/>
              <w:spacing w:line="400" w:lineRule="exact"/>
              <w:jc w:val="center"/>
              <w:rPr>
                <w:rFonts w:ascii="宋体" w:hAnsi="宋体"/>
                <w:kern w:val="0"/>
                <w:szCs w:val="21"/>
              </w:rPr>
            </w:pPr>
            <w:r>
              <w:rPr>
                <w:rFonts w:ascii="宋体" w:hAnsi="宋体"/>
                <w:kern w:val="0"/>
                <w:szCs w:val="21"/>
              </w:rPr>
              <w:t>7.4</w:t>
            </w:r>
          </w:p>
        </w:tc>
        <w:tc>
          <w:tcPr>
            <w:tcW w:w="1754" w:type="dxa"/>
            <w:vAlign w:val="center"/>
          </w:tcPr>
          <w:p w14:paraId="41431F20">
            <w:pPr>
              <w:snapToGrid w:val="0"/>
              <w:spacing w:after="48" w:afterLines="20" w:line="400" w:lineRule="exact"/>
              <w:jc w:val="center"/>
              <w:rPr>
                <w:rFonts w:ascii="宋体" w:hAnsi="宋体"/>
                <w:kern w:val="0"/>
                <w:szCs w:val="21"/>
              </w:rPr>
            </w:pPr>
            <w:r>
              <w:rPr>
                <w:rFonts w:ascii="宋体" w:hAnsi="宋体"/>
                <w:kern w:val="0"/>
                <w:szCs w:val="21"/>
              </w:rPr>
              <w:t>是否授权评标委员会确定中标人</w:t>
            </w:r>
          </w:p>
        </w:tc>
        <w:tc>
          <w:tcPr>
            <w:tcW w:w="6490" w:type="dxa"/>
            <w:vAlign w:val="center"/>
          </w:tcPr>
          <w:p w14:paraId="121C35CA">
            <w:pPr>
              <w:snapToGrid w:val="0"/>
              <w:spacing w:line="400" w:lineRule="exact"/>
              <w:ind w:firstLine="420" w:firstLineChars="200"/>
              <w:rPr>
                <w:rFonts w:ascii="宋体" w:hAnsi="宋体"/>
                <w:i/>
                <w:kern w:val="0"/>
                <w:szCs w:val="21"/>
              </w:rPr>
            </w:pPr>
            <w:r>
              <w:rPr>
                <w:rFonts w:ascii="宋体" w:hAnsi="宋体"/>
                <w:kern w:val="0"/>
                <w:szCs w:val="21"/>
              </w:rPr>
              <w:t>否</w:t>
            </w:r>
          </w:p>
        </w:tc>
      </w:tr>
      <w:tr w14:paraId="6E1788C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639430E0">
            <w:pPr>
              <w:snapToGrid w:val="0"/>
              <w:spacing w:line="400" w:lineRule="exact"/>
              <w:jc w:val="center"/>
              <w:rPr>
                <w:rFonts w:ascii="宋体" w:hAnsi="宋体"/>
                <w:kern w:val="0"/>
                <w:szCs w:val="21"/>
              </w:rPr>
            </w:pPr>
            <w:r>
              <w:rPr>
                <w:rFonts w:ascii="宋体" w:hAnsi="宋体"/>
                <w:kern w:val="0"/>
                <w:szCs w:val="21"/>
              </w:rPr>
              <w:t>7.</w:t>
            </w:r>
            <w:r>
              <w:rPr>
                <w:rFonts w:hint="eastAsia" w:ascii="宋体" w:hAnsi="宋体"/>
                <w:kern w:val="0"/>
                <w:szCs w:val="21"/>
              </w:rPr>
              <w:t>6</w:t>
            </w:r>
            <w:r>
              <w:rPr>
                <w:rFonts w:ascii="宋体" w:hAnsi="宋体"/>
                <w:kern w:val="0"/>
                <w:szCs w:val="21"/>
              </w:rPr>
              <w:t>.1</w:t>
            </w:r>
          </w:p>
        </w:tc>
        <w:tc>
          <w:tcPr>
            <w:tcW w:w="1754" w:type="dxa"/>
            <w:vAlign w:val="center"/>
          </w:tcPr>
          <w:p w14:paraId="48AB5629">
            <w:pPr>
              <w:snapToGrid w:val="0"/>
              <w:spacing w:line="400" w:lineRule="exact"/>
              <w:jc w:val="center"/>
              <w:rPr>
                <w:rFonts w:ascii="宋体" w:hAnsi="宋体"/>
                <w:kern w:val="0"/>
                <w:szCs w:val="21"/>
              </w:rPr>
            </w:pPr>
            <w:r>
              <w:rPr>
                <w:rFonts w:hint="eastAsia" w:ascii="宋体" w:hAnsi="宋体"/>
                <w:kern w:val="0"/>
                <w:szCs w:val="21"/>
              </w:rPr>
              <w:t>履约保证金</w:t>
            </w:r>
          </w:p>
        </w:tc>
        <w:tc>
          <w:tcPr>
            <w:tcW w:w="6490" w:type="dxa"/>
            <w:vAlign w:val="center"/>
          </w:tcPr>
          <w:p w14:paraId="2C17888F">
            <w:pPr>
              <w:snapToGrid w:val="0"/>
              <w:spacing w:line="400" w:lineRule="exact"/>
              <w:ind w:firstLine="420" w:firstLineChars="200"/>
              <w:rPr>
                <w:rFonts w:ascii="宋体" w:hAnsi="宋体"/>
                <w:kern w:val="0"/>
                <w:szCs w:val="21"/>
              </w:rPr>
            </w:pPr>
            <w:r>
              <w:rPr>
                <w:rFonts w:hint="eastAsia" w:ascii="宋体" w:hAnsi="宋体"/>
                <w:kern w:val="0"/>
                <w:szCs w:val="21"/>
              </w:rPr>
              <w:t>1.中标人是否提供履约保证金：</w:t>
            </w:r>
            <w:r>
              <w:rPr>
                <w:rFonts w:hint="eastAsia" w:ascii="宋体" w:hAnsi="宋体"/>
                <w:kern w:val="0"/>
                <w:szCs w:val="21"/>
                <w:u w:val="single"/>
              </w:rPr>
              <w:t>提供</w:t>
            </w:r>
            <w:r>
              <w:rPr>
                <w:rFonts w:hint="eastAsia" w:ascii="宋体" w:hAnsi="宋体"/>
                <w:kern w:val="0"/>
                <w:szCs w:val="21"/>
              </w:rPr>
              <w:t>。</w:t>
            </w:r>
          </w:p>
          <w:p w14:paraId="1DDEA946">
            <w:pPr>
              <w:snapToGrid w:val="0"/>
              <w:spacing w:line="400" w:lineRule="exact"/>
              <w:ind w:firstLine="420" w:firstLineChars="200"/>
              <w:rPr>
                <w:rFonts w:ascii="宋体" w:hAnsi="宋体"/>
                <w:kern w:val="0"/>
                <w:szCs w:val="21"/>
              </w:rPr>
            </w:pPr>
            <w:r>
              <w:rPr>
                <w:rFonts w:hint="eastAsia" w:ascii="宋体" w:hAnsi="宋体"/>
                <w:kern w:val="0"/>
                <w:szCs w:val="21"/>
              </w:rPr>
              <w:t>2.中标人提供履约保证金的形式、金额及期限：</w:t>
            </w:r>
          </w:p>
          <w:p w14:paraId="0210954F">
            <w:pPr>
              <w:snapToGrid w:val="0"/>
              <w:spacing w:line="400" w:lineRule="exact"/>
              <w:ind w:firstLine="420" w:firstLineChars="200"/>
              <w:rPr>
                <w:rFonts w:ascii="宋体" w:hAnsi="宋体" w:cs="宋体"/>
                <w:kern w:val="0"/>
                <w:szCs w:val="21"/>
                <w:u w:val="single"/>
              </w:rPr>
            </w:pPr>
            <w:r>
              <w:rPr>
                <w:rFonts w:hint="eastAsia" w:ascii="宋体" w:hAnsi="宋体"/>
                <w:kern w:val="0"/>
                <w:szCs w:val="21"/>
              </w:rPr>
              <w:t>（1）履约保证金的形式：</w:t>
            </w:r>
            <w:r>
              <w:rPr>
                <w:rFonts w:hint="eastAsia" w:ascii="宋体" w:hAnsi="宋体" w:cs="宋体"/>
                <w:kern w:val="0"/>
                <w:szCs w:val="21"/>
                <w:u w:val="single"/>
              </w:rPr>
              <w:t>转帐或银行履约保函。</w:t>
            </w:r>
          </w:p>
          <w:p w14:paraId="513CB7FD">
            <w:pPr>
              <w:snapToGrid w:val="0"/>
              <w:spacing w:line="400" w:lineRule="exact"/>
              <w:ind w:firstLine="420" w:firstLineChars="200"/>
              <w:rPr>
                <w:rFonts w:ascii="宋体" w:hAnsi="宋体"/>
                <w:kern w:val="0"/>
                <w:szCs w:val="21"/>
              </w:rPr>
            </w:pPr>
            <w:r>
              <w:rPr>
                <w:rFonts w:hint="eastAsia" w:ascii="宋体" w:hAnsi="宋体"/>
                <w:kern w:val="0"/>
                <w:szCs w:val="21"/>
              </w:rPr>
              <w:t>银行履约保函示范文本详见第四章合同条款及格式附件。中标人提交的履约保函应严格执行其示范文本，不得对示范文本中的实质性内容进行修改。</w:t>
            </w:r>
          </w:p>
          <w:p w14:paraId="216B38E9">
            <w:pPr>
              <w:snapToGrid w:val="0"/>
              <w:spacing w:line="400" w:lineRule="exact"/>
              <w:ind w:firstLine="420" w:firstLineChars="200"/>
              <w:rPr>
                <w:rFonts w:ascii="宋体" w:hAnsi="宋体" w:cs="宋体"/>
                <w:szCs w:val="21"/>
              </w:rPr>
            </w:pPr>
            <w:r>
              <w:rPr>
                <w:rFonts w:hint="eastAsia" w:ascii="宋体" w:hAnsi="宋体"/>
                <w:kern w:val="0"/>
                <w:szCs w:val="21"/>
              </w:rPr>
              <w:t>（2）具体要求：</w:t>
            </w:r>
            <w:r>
              <w:rPr>
                <w:rFonts w:hint="eastAsia" w:ascii="宋体" w:hAnsi="宋体" w:cs="宋体"/>
                <w:kern w:val="0"/>
                <w:szCs w:val="21"/>
              </w:rPr>
              <w:t>履约保函必须是</w:t>
            </w:r>
            <w:r>
              <w:rPr>
                <w:rFonts w:hint="eastAsia" w:ascii="宋体" w:hAnsi="宋体" w:cs="宋体"/>
                <w:szCs w:val="21"/>
              </w:rPr>
              <w:t>在国有商业银行或全国性股份制商业银行开具，且纸质保函能在开立人在渝的总部或者分支机构进行核验，纸质保函为不可撤销、见索即付的独立保函。</w:t>
            </w:r>
          </w:p>
          <w:p w14:paraId="2972FE84">
            <w:pPr>
              <w:snapToGrid w:val="0"/>
              <w:spacing w:line="400" w:lineRule="exact"/>
              <w:ind w:firstLine="420" w:firstLineChars="200"/>
              <w:rPr>
                <w:rFonts w:ascii="宋体" w:hAnsi="宋体"/>
                <w:kern w:val="0"/>
                <w:szCs w:val="21"/>
              </w:rPr>
            </w:pPr>
            <w:r>
              <w:rPr>
                <w:rFonts w:hint="eastAsia" w:ascii="宋体" w:hAnsi="宋体"/>
                <w:kern w:val="0"/>
                <w:szCs w:val="21"/>
              </w:rPr>
              <w:t>中标人对所提交的履约保函的真实性、合法性、有效性负责。</w:t>
            </w:r>
          </w:p>
          <w:p w14:paraId="3B9AC673">
            <w:pPr>
              <w:snapToGrid w:val="0"/>
              <w:spacing w:line="400" w:lineRule="exact"/>
              <w:ind w:firstLine="420" w:firstLineChars="200"/>
              <w:rPr>
                <w:rFonts w:ascii="宋体" w:hAnsi="宋体"/>
                <w:kern w:val="0"/>
                <w:szCs w:val="21"/>
              </w:rPr>
            </w:pPr>
            <w:r>
              <w:rPr>
                <w:rFonts w:hint="eastAsia" w:ascii="宋体" w:hAnsi="宋体"/>
                <w:kern w:val="0"/>
                <w:szCs w:val="21"/>
              </w:rPr>
              <w:t>（3）履约保证金的金额：</w:t>
            </w:r>
            <w:r>
              <w:rPr>
                <w:rFonts w:hint="eastAsia" w:ascii="宋体" w:hAnsi="宋体" w:cs="宋体"/>
                <w:iCs/>
                <w:color w:val="auto"/>
                <w:kern w:val="0"/>
                <w:szCs w:val="21"/>
                <w:highlight w:val="yellow"/>
                <w:u w:val="single"/>
              </w:rPr>
              <w:t>中标合同金额的</w:t>
            </w:r>
            <w:r>
              <w:rPr>
                <w:rFonts w:hint="eastAsia" w:ascii="宋体" w:hAnsi="宋体" w:cs="宋体"/>
                <w:iCs/>
                <w:color w:val="auto"/>
                <w:kern w:val="0"/>
                <w:szCs w:val="21"/>
                <w:highlight w:val="yellow"/>
                <w:u w:val="single"/>
                <w:lang w:val="en-US" w:eastAsia="zh-CN"/>
              </w:rPr>
              <w:t>10</w:t>
            </w:r>
            <w:r>
              <w:rPr>
                <w:rFonts w:hint="eastAsia" w:ascii="宋体" w:hAnsi="宋体" w:cs="宋体"/>
                <w:iCs/>
                <w:color w:val="auto"/>
                <w:kern w:val="0"/>
                <w:szCs w:val="21"/>
                <w:highlight w:val="yellow"/>
                <w:u w:val="single"/>
              </w:rPr>
              <w:t xml:space="preserve">% </w:t>
            </w:r>
            <w:r>
              <w:rPr>
                <w:rFonts w:hint="eastAsia" w:ascii="宋体" w:hAnsi="宋体" w:cs="宋体"/>
                <w:iCs/>
                <w:color w:val="0000FF"/>
                <w:kern w:val="0"/>
                <w:szCs w:val="21"/>
                <w:highlight w:val="none"/>
              </w:rPr>
              <w:t>。</w:t>
            </w:r>
          </w:p>
          <w:p w14:paraId="3BBC01F8">
            <w:pPr>
              <w:snapToGrid w:val="0"/>
              <w:spacing w:line="400" w:lineRule="exact"/>
              <w:ind w:firstLine="420" w:firstLineChars="200"/>
              <w:rPr>
                <w:rFonts w:ascii="宋体" w:hAnsi="宋体"/>
                <w:kern w:val="0"/>
                <w:szCs w:val="21"/>
              </w:rPr>
            </w:pPr>
            <w:r>
              <w:rPr>
                <w:rFonts w:hint="eastAsia" w:ascii="宋体" w:hAnsi="宋体"/>
                <w:kern w:val="0"/>
                <w:szCs w:val="21"/>
              </w:rPr>
              <w:t>（4）履约保证金的提交时间：见专用合同条款。</w:t>
            </w:r>
          </w:p>
          <w:p w14:paraId="36A458EB">
            <w:pPr>
              <w:snapToGrid w:val="0"/>
              <w:spacing w:line="400" w:lineRule="exact"/>
              <w:ind w:firstLine="420" w:firstLineChars="200"/>
              <w:rPr>
                <w:rFonts w:ascii="宋体" w:hAnsi="宋体"/>
                <w:kern w:val="0"/>
                <w:szCs w:val="21"/>
              </w:rPr>
            </w:pPr>
            <w:r>
              <w:rPr>
                <w:rFonts w:hint="eastAsia" w:ascii="宋体" w:hAnsi="宋体"/>
                <w:kern w:val="0"/>
                <w:szCs w:val="21"/>
              </w:rPr>
              <w:t>（5）履约保证金的期限：见专用合同条款。</w:t>
            </w:r>
          </w:p>
          <w:p w14:paraId="6E13B98E">
            <w:pPr>
              <w:snapToGrid w:val="0"/>
              <w:spacing w:after="48" w:afterLines="20" w:line="400" w:lineRule="exact"/>
              <w:ind w:firstLine="420" w:firstLineChars="200"/>
              <w:rPr>
                <w:rFonts w:ascii="宋体" w:hAnsi="宋体"/>
                <w:kern w:val="0"/>
                <w:szCs w:val="21"/>
              </w:rPr>
            </w:pPr>
            <w:r>
              <w:rPr>
                <w:rFonts w:hint="eastAsia" w:ascii="宋体" w:hAnsi="宋体"/>
                <w:kern w:val="0"/>
                <w:szCs w:val="21"/>
              </w:rPr>
              <w:t>（6）履约保证金的退还时间：见专用合同条款。</w:t>
            </w:r>
          </w:p>
        </w:tc>
      </w:tr>
      <w:tr w14:paraId="6CB7C5A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86CCB60">
            <w:pPr>
              <w:snapToGrid w:val="0"/>
              <w:spacing w:line="400" w:lineRule="exact"/>
              <w:jc w:val="center"/>
              <w:rPr>
                <w:rFonts w:ascii="宋体" w:hAnsi="宋体"/>
                <w:kern w:val="0"/>
                <w:szCs w:val="21"/>
              </w:rPr>
            </w:pPr>
            <w:r>
              <w:rPr>
                <w:rFonts w:ascii="宋体" w:hAnsi="宋体"/>
                <w:kern w:val="0"/>
                <w:szCs w:val="21"/>
              </w:rPr>
              <w:t>8.1</w:t>
            </w:r>
          </w:p>
        </w:tc>
        <w:tc>
          <w:tcPr>
            <w:tcW w:w="1754" w:type="dxa"/>
            <w:vAlign w:val="center"/>
          </w:tcPr>
          <w:p w14:paraId="07F4E2F3">
            <w:pPr>
              <w:snapToGrid w:val="0"/>
              <w:spacing w:line="400" w:lineRule="exact"/>
              <w:jc w:val="center"/>
              <w:rPr>
                <w:rFonts w:ascii="宋体" w:hAnsi="宋体"/>
                <w:kern w:val="0"/>
                <w:szCs w:val="21"/>
              </w:rPr>
            </w:pPr>
            <w:r>
              <w:rPr>
                <w:rFonts w:ascii="宋体" w:hAnsi="宋体"/>
                <w:kern w:val="0"/>
                <w:szCs w:val="21"/>
              </w:rPr>
              <w:t>重新招标</w:t>
            </w:r>
            <w:r>
              <w:rPr>
                <w:rFonts w:hint="eastAsia" w:ascii="宋体" w:hAnsi="宋体"/>
                <w:kern w:val="0"/>
                <w:szCs w:val="21"/>
              </w:rPr>
              <w:t>的情形</w:t>
            </w:r>
          </w:p>
        </w:tc>
        <w:tc>
          <w:tcPr>
            <w:tcW w:w="6490" w:type="dxa"/>
            <w:vAlign w:val="center"/>
          </w:tcPr>
          <w:p w14:paraId="5A974F67">
            <w:pPr>
              <w:keepNext w:val="0"/>
              <w:keepLines w:val="0"/>
              <w:pageBreakBefore w:val="0"/>
              <w:kinsoku/>
              <w:wordWrap/>
              <w:overflowPunct/>
              <w:topLinePunct w:val="0"/>
              <w:bidi w:val="0"/>
              <w:snapToGrid w:val="0"/>
              <w:spacing w:line="400" w:lineRule="exact"/>
              <w:ind w:firstLine="420" w:firstLineChars="200"/>
              <w:textAlignment w:val="auto"/>
              <w:rPr>
                <w:rFonts w:hint="eastAsia"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1</w:t>
            </w:r>
            <w:r>
              <w:rPr>
                <w:rFonts w:hint="eastAsia" w:ascii="宋体" w:hAnsi="宋体"/>
                <w:kern w:val="0"/>
                <w:szCs w:val="21"/>
                <w:lang w:eastAsia="zh-CN"/>
              </w:rPr>
              <w:t>）</w:t>
            </w:r>
            <w:r>
              <w:rPr>
                <w:rFonts w:hint="eastAsia" w:ascii="宋体" w:hAnsi="宋体"/>
                <w:kern w:val="0"/>
                <w:szCs w:val="21"/>
              </w:rPr>
              <w:t>投标截止时间止，投标人少于 3 个的</w:t>
            </w:r>
            <w:r>
              <w:rPr>
                <w:rFonts w:hint="eastAsia" w:ascii="宋体" w:hAnsi="宋体"/>
                <w:kern w:val="0"/>
                <w:szCs w:val="21"/>
                <w:lang w:eastAsia="zh-CN"/>
              </w:rPr>
              <w:t>（</w:t>
            </w:r>
            <w:r>
              <w:rPr>
                <w:rFonts w:hint="eastAsia" w:ascii="宋体" w:hAnsi="宋体"/>
                <w:b/>
                <w:bCs/>
                <w:kern w:val="0"/>
                <w:szCs w:val="21"/>
              </w:rPr>
              <w:t>本款只适用于首次招标</w:t>
            </w:r>
            <w:r>
              <w:rPr>
                <w:rFonts w:hint="eastAsia" w:ascii="宋体" w:hAnsi="宋体"/>
                <w:kern w:val="0"/>
                <w:szCs w:val="21"/>
                <w:lang w:eastAsia="zh-CN"/>
              </w:rPr>
              <w:t>）</w:t>
            </w:r>
            <w:r>
              <w:rPr>
                <w:rFonts w:hint="eastAsia" w:ascii="宋体" w:hAnsi="宋体"/>
                <w:kern w:val="0"/>
                <w:szCs w:val="21"/>
              </w:rPr>
              <w:t>；</w:t>
            </w:r>
          </w:p>
          <w:p w14:paraId="160E5FC3">
            <w:pPr>
              <w:snapToGrid w:val="0"/>
              <w:spacing w:line="400" w:lineRule="exact"/>
              <w:ind w:firstLine="420" w:firstLineChars="200"/>
              <w:rPr>
                <w:rFonts w:ascii="宋体" w:hAnsi="宋体"/>
                <w:kern w:val="0"/>
                <w:szCs w:val="21"/>
              </w:rPr>
            </w:pPr>
            <w:r>
              <w:rPr>
                <w:rFonts w:hint="eastAsia" w:ascii="宋体" w:hAnsi="宋体"/>
                <w:kern w:val="0"/>
                <w:szCs w:val="21"/>
              </w:rPr>
              <w:t>（3）经评标委员会评审后部分投标被否决，因有效投标人不足三个使得投标明显缺乏竞争的（</w:t>
            </w:r>
            <w:r>
              <w:rPr>
                <w:rFonts w:hint="eastAsia" w:ascii="宋体" w:hAnsi="宋体"/>
                <w:b/>
                <w:bCs/>
                <w:kern w:val="0"/>
                <w:szCs w:val="21"/>
              </w:rPr>
              <w:t>本款只适用于首次招标</w:t>
            </w:r>
            <w:r>
              <w:rPr>
                <w:rFonts w:hint="eastAsia" w:ascii="宋体" w:hAnsi="宋体"/>
                <w:kern w:val="0"/>
                <w:szCs w:val="21"/>
              </w:rPr>
              <w:t>）；</w:t>
            </w:r>
          </w:p>
          <w:p w14:paraId="40AC60DA">
            <w:pPr>
              <w:keepNext w:val="0"/>
              <w:keepLines w:val="0"/>
              <w:pageBreakBefore w:val="0"/>
              <w:kinsoku/>
              <w:wordWrap/>
              <w:overflowPunct/>
              <w:topLinePunct w:val="0"/>
              <w:bidi w:val="0"/>
              <w:snapToGrid w:val="0"/>
              <w:spacing w:line="400" w:lineRule="exact"/>
              <w:ind w:firstLine="420" w:firstLineChars="200"/>
              <w:textAlignment w:val="auto"/>
              <w:rPr>
                <w:rFonts w:ascii="宋体" w:hAnsi="宋体"/>
                <w:kern w:val="0"/>
                <w:szCs w:val="21"/>
              </w:rPr>
            </w:pPr>
            <w:r>
              <w:rPr>
                <w:rFonts w:hint="eastAsia" w:ascii="宋体" w:hAnsi="宋体"/>
                <w:kern w:val="0"/>
                <w:szCs w:val="21"/>
              </w:rPr>
              <w:t>（4）法律法规规定的其他情形。</w:t>
            </w:r>
          </w:p>
        </w:tc>
      </w:tr>
      <w:tr w14:paraId="11994D6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658ED95">
            <w:pPr>
              <w:snapToGrid w:val="0"/>
              <w:spacing w:line="400" w:lineRule="exact"/>
              <w:jc w:val="center"/>
              <w:rPr>
                <w:rFonts w:ascii="宋体" w:hAnsi="宋体"/>
                <w:kern w:val="0"/>
                <w:szCs w:val="21"/>
              </w:rPr>
            </w:pPr>
            <w:r>
              <w:rPr>
                <w:rFonts w:ascii="宋体" w:hAnsi="宋体"/>
                <w:kern w:val="0"/>
                <w:szCs w:val="21"/>
              </w:rPr>
              <w:t>8.2</w:t>
            </w:r>
          </w:p>
        </w:tc>
        <w:tc>
          <w:tcPr>
            <w:tcW w:w="1754" w:type="dxa"/>
            <w:vAlign w:val="center"/>
          </w:tcPr>
          <w:p w14:paraId="14AB96C5">
            <w:pPr>
              <w:snapToGrid w:val="0"/>
              <w:spacing w:line="400" w:lineRule="exact"/>
              <w:jc w:val="center"/>
            </w:pPr>
            <w:bookmarkStart w:id="86" w:name="_Toc536628250"/>
            <w:bookmarkStart w:id="87" w:name="_Toc430530434"/>
            <w:bookmarkStart w:id="88" w:name="_Toc509218709"/>
            <w:bookmarkStart w:id="89" w:name="_Toc13210670"/>
            <w:bookmarkStart w:id="90" w:name="_Toc16930431"/>
            <w:r>
              <w:rPr>
                <w:rFonts w:hint="eastAsia" w:ascii="宋体" w:hAnsi="宋体"/>
                <w:kern w:val="0"/>
                <w:szCs w:val="21"/>
              </w:rPr>
              <w:t>重新</w:t>
            </w:r>
            <w:r>
              <w:rPr>
                <w:rFonts w:ascii="宋体" w:hAnsi="宋体"/>
                <w:kern w:val="0"/>
                <w:szCs w:val="21"/>
              </w:rPr>
              <w:t>招标和不再招标</w:t>
            </w:r>
            <w:bookmarkEnd w:id="86"/>
            <w:bookmarkEnd w:id="87"/>
            <w:bookmarkEnd w:id="88"/>
            <w:bookmarkEnd w:id="89"/>
            <w:bookmarkEnd w:id="90"/>
          </w:p>
        </w:tc>
        <w:tc>
          <w:tcPr>
            <w:tcW w:w="6490" w:type="dxa"/>
            <w:vAlign w:val="center"/>
          </w:tcPr>
          <w:p w14:paraId="158CE0AC">
            <w:pPr>
              <w:autoSpaceDE w:val="0"/>
              <w:autoSpaceDN w:val="0"/>
              <w:adjustRightInd w:val="0"/>
              <w:snapToGrid w:val="0"/>
              <w:spacing w:after="48" w:afterLines="20" w:line="400" w:lineRule="exact"/>
              <w:ind w:firstLine="420" w:firstLineChars="20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tc>
      </w:tr>
      <w:tr w14:paraId="5D612A0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4508AFB7">
            <w:pPr>
              <w:snapToGrid w:val="0"/>
              <w:spacing w:line="400" w:lineRule="exact"/>
              <w:jc w:val="center"/>
              <w:rPr>
                <w:rFonts w:ascii="宋体" w:hAnsi="宋体"/>
                <w:kern w:val="0"/>
                <w:szCs w:val="21"/>
              </w:rPr>
            </w:pPr>
            <w:r>
              <w:rPr>
                <w:rFonts w:ascii="宋体" w:hAnsi="宋体"/>
                <w:kern w:val="0"/>
                <w:szCs w:val="21"/>
              </w:rPr>
              <w:t>10</w:t>
            </w:r>
          </w:p>
        </w:tc>
        <w:tc>
          <w:tcPr>
            <w:tcW w:w="8244" w:type="dxa"/>
            <w:gridSpan w:val="2"/>
            <w:vAlign w:val="center"/>
          </w:tcPr>
          <w:p w14:paraId="4916AF3F">
            <w:pPr>
              <w:snapToGrid w:val="0"/>
              <w:spacing w:line="400" w:lineRule="exact"/>
              <w:jc w:val="center"/>
              <w:rPr>
                <w:rFonts w:ascii="宋体" w:hAnsi="宋体"/>
                <w:kern w:val="0"/>
                <w:szCs w:val="21"/>
              </w:rPr>
            </w:pPr>
            <w:r>
              <w:rPr>
                <w:rFonts w:ascii="宋体" w:hAnsi="宋体"/>
                <w:kern w:val="0"/>
                <w:szCs w:val="21"/>
              </w:rPr>
              <w:t>需要补充的其他内容</w:t>
            </w:r>
          </w:p>
        </w:tc>
      </w:tr>
      <w:tr w14:paraId="3EDC4BF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1584B89C">
            <w:pPr>
              <w:snapToGrid w:val="0"/>
              <w:spacing w:line="400" w:lineRule="exact"/>
              <w:jc w:val="center"/>
              <w:rPr>
                <w:rFonts w:ascii="宋体" w:hAnsi="宋体"/>
                <w:kern w:val="0"/>
                <w:szCs w:val="21"/>
              </w:rPr>
            </w:pPr>
            <w:r>
              <w:rPr>
                <w:rFonts w:ascii="宋体" w:hAnsi="宋体"/>
                <w:kern w:val="0"/>
                <w:szCs w:val="21"/>
              </w:rPr>
              <w:t>10.</w:t>
            </w:r>
            <w:r>
              <w:rPr>
                <w:rFonts w:hint="eastAsia" w:ascii="宋体" w:hAnsi="宋体"/>
                <w:kern w:val="0"/>
                <w:szCs w:val="21"/>
              </w:rPr>
              <w:t>1</w:t>
            </w:r>
          </w:p>
        </w:tc>
        <w:tc>
          <w:tcPr>
            <w:tcW w:w="1754" w:type="dxa"/>
            <w:vAlign w:val="center"/>
          </w:tcPr>
          <w:p w14:paraId="62CC9D0F">
            <w:pPr>
              <w:snapToGrid w:val="0"/>
              <w:spacing w:line="400" w:lineRule="exact"/>
              <w:jc w:val="center"/>
              <w:rPr>
                <w:rFonts w:ascii="宋体" w:hAnsi="宋体"/>
                <w:kern w:val="0"/>
                <w:szCs w:val="21"/>
              </w:rPr>
            </w:pPr>
            <w:r>
              <w:rPr>
                <w:rFonts w:hint="eastAsia" w:ascii="宋体" w:hAnsi="宋体"/>
                <w:kern w:val="0"/>
                <w:szCs w:val="21"/>
              </w:rPr>
              <w:t>异议、</w:t>
            </w:r>
            <w:r>
              <w:rPr>
                <w:rFonts w:ascii="宋体" w:hAnsi="宋体"/>
                <w:kern w:val="0"/>
                <w:szCs w:val="21"/>
              </w:rPr>
              <w:t>投诉处理</w:t>
            </w:r>
          </w:p>
        </w:tc>
        <w:tc>
          <w:tcPr>
            <w:tcW w:w="6490" w:type="dxa"/>
            <w:vAlign w:val="center"/>
          </w:tcPr>
          <w:p w14:paraId="301AC5FC">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一</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p>
          <w:p w14:paraId="25FB1434">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1. 供应商认为采购文件、采购过程、中标或者成交结果使自己的权益受到损害的，可以在知道或者应知其权益受到损害之日起7个工作日内，以书面形式向采购人、采购代理机构提出质疑</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提出质疑的供应商应当是参与所质疑项目采购活动的供应商。</w:t>
            </w:r>
          </w:p>
          <w:p w14:paraId="70365300">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供应商提出质疑应当提交质疑函和必要的证明材料。质疑函应当包括下列内容：</w:t>
            </w:r>
          </w:p>
          <w:p w14:paraId="34B59345">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（一）供应商的姓名或者名称、地址、邮编、联系人及联系电话；</w:t>
            </w:r>
          </w:p>
          <w:p w14:paraId="0D2E8104">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（二）质疑项目的名称、编号；</w:t>
            </w:r>
          </w:p>
          <w:p w14:paraId="6BFAC9A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（三）具体、明确的质疑事项和与质疑事项相关的请求；</w:t>
            </w:r>
          </w:p>
          <w:p w14:paraId="58188B0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（四）事实依据；</w:t>
            </w:r>
          </w:p>
          <w:p w14:paraId="3F2B7BD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（五）必要的法律依据；</w:t>
            </w:r>
          </w:p>
          <w:p w14:paraId="029FC600">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（六）提出质疑的日期。</w:t>
            </w:r>
          </w:p>
          <w:p w14:paraId="4E2D8643">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供应商为自然人的，应当由本人签字；供应商为法人或者其他组织的，应当由法定代表人、主要负责人，或者其授权代表签字或者盖章，并加盖</w:t>
            </w:r>
            <w:r>
              <w:rPr>
                <w:rFonts w:hint="eastAsia" w:ascii="宋体" w:hAnsi="宋体" w:eastAsia="宋体" w:cs="宋体"/>
                <w:color w:val="000000" w:themeColor="text1"/>
                <w:kern w:val="0"/>
                <w:szCs w:val="21"/>
                <w:highlight w:val="none"/>
                <w:lang w:val="en-US" w:eastAsia="zh-CN"/>
                <w14:textFill>
                  <w14:solidFill>
                    <w14:schemeClr w14:val="tx1"/>
                  </w14:solidFill>
                </w14:textFill>
              </w:rPr>
              <w:t>单位法人章</w:t>
            </w:r>
            <w:r>
              <w:rPr>
                <w:rFonts w:hint="eastAsia" w:ascii="宋体" w:hAnsi="宋体" w:eastAsia="宋体" w:cs="宋体"/>
                <w:color w:val="000000" w:themeColor="text1"/>
                <w:kern w:val="0"/>
                <w:szCs w:val="21"/>
                <w:highlight w:val="none"/>
                <w14:textFill>
                  <w14:solidFill>
                    <w14:schemeClr w14:val="tx1"/>
                  </w14:solidFill>
                </w14:textFill>
              </w:rPr>
              <w:t>。</w:t>
            </w:r>
          </w:p>
          <w:p w14:paraId="57043CBB">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二</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质疑答复</w:t>
            </w:r>
          </w:p>
          <w:p w14:paraId="3B97FB09">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采购人、采购代理机构应当在收到质疑函后 7个工作日内作出答复，并以书面形式通知质疑供应商和其他有关供应商。</w:t>
            </w:r>
          </w:p>
          <w:p w14:paraId="57DAFCBA">
            <w:pPr>
              <w:pageBreakBefore w:val="0"/>
              <w:kinsoku/>
              <w:topLinePunct w:val="0"/>
              <w:bidi w:val="0"/>
              <w:snapToGrid w:val="0"/>
              <w:spacing w:line="360" w:lineRule="auto"/>
              <w:ind w:firstLine="420" w:firstLineChars="200"/>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（三）其他</w:t>
            </w:r>
          </w:p>
          <w:p w14:paraId="6DB6EE24">
            <w:pPr>
              <w:pageBreakBefore w:val="0"/>
              <w:kinsoku/>
              <w:topLinePunct w:val="0"/>
              <w:bidi w:val="0"/>
              <w:snapToGrid w:val="0"/>
              <w:spacing w:line="360" w:lineRule="auto"/>
              <w:ind w:firstLine="420" w:firstLineChars="200"/>
              <w:jc w:val="left"/>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1.供应商应按照《涪陵区区属国企采购质疑、投诉处理办法》要求，在法定质疑期内一次性提出针对同一采购程序环节的质疑。</w:t>
            </w:r>
          </w:p>
          <w:p w14:paraId="7E5CFAE9">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2.质疑函范本可在重庆市政府采购网（www.ccgp-chongqing.gov.cn）下载。</w:t>
            </w:r>
          </w:p>
          <w:p w14:paraId="1A535B94">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（四）投诉</w:t>
            </w:r>
          </w:p>
          <w:p w14:paraId="2E2A03B8">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1.质疑供应商对采购人、采购代理机构的答复不满意，或者未在规定时间内作出答复的，可以在答复期满后 15个工作日内向区国资委提起投诉。</w:t>
            </w:r>
          </w:p>
          <w:p w14:paraId="160A20CB">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2.供应商应按照《涪陵区区属国企采购质疑、投诉处理办法》要求递交投诉书和必要的证明材料。投诉书范本可在财政部门户网站和中国政府采购网下载。</w:t>
            </w:r>
          </w:p>
          <w:p w14:paraId="762453D6">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投诉书应当包括下列内容：</w:t>
            </w:r>
          </w:p>
          <w:p w14:paraId="59E5BE81">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（一）投诉人和被投诉人的姓名或者名称、通讯地址、邮编、联系人及联系电话；</w:t>
            </w:r>
          </w:p>
          <w:p w14:paraId="2FABFD95">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（二）质疑和质疑答复情况说明及相关证明材料；</w:t>
            </w:r>
          </w:p>
          <w:p w14:paraId="017D866A">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（三）具体、明确的投诉事项和与投诉事项相关的投诉请求；</w:t>
            </w:r>
          </w:p>
          <w:p w14:paraId="0246064F">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（四）事实依据；</w:t>
            </w:r>
          </w:p>
          <w:p w14:paraId="15E6D822">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（五）法律依据；</w:t>
            </w:r>
          </w:p>
          <w:p w14:paraId="4533DB3B">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（六）提起投诉的日期。</w:t>
            </w:r>
          </w:p>
          <w:p w14:paraId="64B817C9">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投诉人为自然人的，应当由本人签字；投诉人为法人或者其他组织的，应当由法定代表人、主要负责人，或者其授权代表签字或者盖章，并加盖单位法人章。</w:t>
            </w:r>
          </w:p>
          <w:p w14:paraId="0F2305BC">
            <w:pPr>
              <w:pageBreakBefore w:val="0"/>
              <w:kinsoku/>
              <w:topLinePunct w:val="0"/>
              <w:bidi w:val="0"/>
              <w:snapToGrid w:val="0"/>
              <w:spacing w:line="360" w:lineRule="auto"/>
              <w:ind w:firstLine="420" w:firstLineChars="200"/>
              <w:jc w:val="both"/>
              <w:rPr>
                <w:rFonts w:hint="eastAsia"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3.在确定受理投诉后，区国资委自受理投诉之日起30个工作日内（需要检验、检测、鉴定、专家评审以及需要投诉人补正材料的，所需时间不计算在投诉处理期限内）对投诉事项做出处理决定。</w:t>
            </w:r>
          </w:p>
          <w:p w14:paraId="42583D53">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五</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异议受理单位：</w:t>
            </w:r>
            <w:r>
              <w:rPr>
                <w:rFonts w:hint="eastAsia" w:ascii="宋体" w:hAnsi="宋体" w:eastAsia="宋体" w:cs="宋体"/>
                <w:color w:val="000000" w:themeColor="text1"/>
                <w:kern w:val="0"/>
                <w:szCs w:val="21"/>
                <w:highlight w:val="none"/>
                <w:lang w:bidi="ar"/>
                <w14:textFill>
                  <w14:solidFill>
                    <w14:schemeClr w14:val="tx1"/>
                  </w14:solidFill>
                </w14:textFill>
              </w:rPr>
              <w:t>重庆市涪</w:t>
            </w:r>
            <w:r>
              <w:rPr>
                <w:rFonts w:hint="eastAsia" w:ascii="宋体" w:hAnsi="宋体" w:eastAsia="宋体" w:cs="宋体"/>
                <w:color w:val="000000" w:themeColor="text1"/>
                <w:kern w:val="0"/>
                <w:szCs w:val="21"/>
                <w:highlight w:val="none"/>
                <w14:textFill>
                  <w14:solidFill>
                    <w14:schemeClr w14:val="tx1"/>
                  </w14:solidFill>
                </w14:textFill>
              </w:rPr>
              <w:t>陵榨菜集团股份有限公司</w:t>
            </w:r>
          </w:p>
          <w:p w14:paraId="62C2D154">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val="en-US" w:eastAsia="zh-CN"/>
                <w14:textFill>
                  <w14:solidFill>
                    <w14:schemeClr w14:val="tx1"/>
                  </w14:solidFill>
                </w14:textFill>
              </w:rPr>
              <w:t>纪律检查部</w:t>
            </w:r>
            <w:r>
              <w:rPr>
                <w:rFonts w:hint="eastAsia" w:ascii="宋体" w:hAnsi="宋体" w:eastAsia="宋体" w:cs="宋体"/>
                <w:color w:val="000000" w:themeColor="text1"/>
                <w:kern w:val="0"/>
                <w:szCs w:val="21"/>
                <w:highlight w:val="none"/>
                <w14:textFill>
                  <w14:solidFill>
                    <w14:schemeClr w14:val="tx1"/>
                  </w14:solidFill>
                </w14:textFill>
              </w:rPr>
              <w:t>联系电话：023-72205722</w:t>
            </w:r>
          </w:p>
          <w:p w14:paraId="1B1B99DD">
            <w:pPr>
              <w:snapToGrid w:val="0"/>
              <w:spacing w:line="360" w:lineRule="auto"/>
              <w:ind w:firstLine="420" w:firstLineChars="200"/>
              <w:rPr>
                <w:rFonts w:hint="default" w:ascii="宋体" w:hAnsi="宋体" w:eastAsia="宋体" w:cs="宋体"/>
                <w:color w:val="000000" w:themeColor="text1"/>
                <w:kern w:val="0"/>
                <w:szCs w:val="21"/>
                <w:highlight w:val="none"/>
                <w:lang w:val="en-US" w:eastAsia="zh-CN"/>
                <w14:textFill>
                  <w14:solidFill>
                    <w14:schemeClr w14:val="tx1"/>
                  </w14:solidFill>
                </w14:textFill>
              </w:rPr>
            </w:pPr>
            <w:r>
              <w:rPr>
                <w:rFonts w:hint="eastAsia" w:ascii="宋体" w:hAnsi="宋体" w:cs="宋体"/>
                <w:color w:val="000000" w:themeColor="text1"/>
                <w:kern w:val="0"/>
                <w:szCs w:val="21"/>
                <w:highlight w:val="none"/>
                <w:lang w:val="en-US" w:eastAsia="zh-CN"/>
                <w14:textFill>
                  <w14:solidFill>
                    <w14:schemeClr w14:val="tx1"/>
                  </w14:solidFill>
                </w14:textFill>
              </w:rPr>
              <w:t>招标人代表联系电话：13212467016/13101153571</w:t>
            </w:r>
          </w:p>
          <w:p w14:paraId="025AA7C0">
            <w:pPr>
              <w:snapToGrid w:val="0"/>
              <w:spacing w:line="360" w:lineRule="auto"/>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lang w:val="en-US" w:eastAsia="zh-CN"/>
                <w14:textFill>
                  <w14:solidFill>
                    <w14:schemeClr w14:val="tx1"/>
                  </w14:solidFill>
                </w14:textFill>
              </w:rPr>
              <w:t>六</w:t>
            </w:r>
            <w:r>
              <w:rPr>
                <w:rFonts w:hint="eastAsia" w:ascii="宋体" w:hAnsi="宋体" w:eastAsia="宋体" w:cs="宋体"/>
                <w:color w:val="000000" w:themeColor="text1"/>
                <w:kern w:val="0"/>
                <w:szCs w:val="21"/>
                <w:highlight w:val="none"/>
                <w:lang w:eastAsia="zh-CN"/>
                <w14:textFill>
                  <w14:solidFill>
                    <w14:schemeClr w14:val="tx1"/>
                  </w14:solidFill>
                </w14:textFill>
              </w:rPr>
              <w:t>）</w:t>
            </w:r>
            <w:r>
              <w:rPr>
                <w:rFonts w:hint="eastAsia" w:ascii="宋体" w:hAnsi="宋体" w:eastAsia="宋体" w:cs="宋体"/>
                <w:color w:val="000000" w:themeColor="text1"/>
                <w:kern w:val="0"/>
                <w:szCs w:val="21"/>
                <w:highlight w:val="none"/>
                <w14:textFill>
                  <w14:solidFill>
                    <w14:schemeClr w14:val="tx1"/>
                  </w14:solidFill>
                </w14:textFill>
              </w:rPr>
              <w:t>投诉受理部门:重庆市涪陵区国有资产监督管理委员会</w:t>
            </w:r>
          </w:p>
          <w:p w14:paraId="636ECD2A">
            <w:pPr>
              <w:pStyle w:val="17"/>
              <w:ind w:firstLine="420" w:firstLineChars="200"/>
              <w:rPr>
                <w:rFonts w:hint="eastAsia" w:ascii="宋体" w:hAnsi="宋体" w:eastAsia="宋体" w:cs="宋体"/>
                <w:color w:val="000000" w:themeColor="text1"/>
                <w:kern w:val="0"/>
                <w:szCs w:val="21"/>
                <w:highlight w:val="none"/>
                <w14:textFill>
                  <w14:solidFill>
                    <w14:schemeClr w14:val="tx1"/>
                  </w14:solidFill>
                </w14:textFill>
              </w:rPr>
            </w:pPr>
            <w:r>
              <w:rPr>
                <w:rFonts w:hint="eastAsia" w:ascii="宋体" w:hAnsi="宋体" w:eastAsia="宋体" w:cs="宋体"/>
                <w:color w:val="000000" w:themeColor="text1"/>
                <w:kern w:val="0"/>
                <w:szCs w:val="21"/>
                <w:highlight w:val="none"/>
                <w14:textFill>
                  <w14:solidFill>
                    <w14:schemeClr w14:val="tx1"/>
                  </w14:solidFill>
                </w14:textFill>
              </w:rPr>
              <w:t>地址:重庆市涪陵李渡新区鹤凤大道38号新区大厦7楼</w:t>
            </w:r>
          </w:p>
          <w:p w14:paraId="5838A772">
            <w:pPr>
              <w:snapToGrid w:val="0"/>
              <w:spacing w:line="400" w:lineRule="exact"/>
              <w:ind w:firstLine="420" w:firstLineChars="200"/>
              <w:rPr>
                <w:rFonts w:ascii="宋体" w:hAnsi="宋体"/>
                <w:kern w:val="0"/>
                <w:szCs w:val="21"/>
              </w:rPr>
            </w:pPr>
            <w:r>
              <w:rPr>
                <w:rFonts w:hint="eastAsia" w:ascii="宋体" w:hAnsi="宋体" w:eastAsia="宋体" w:cs="宋体"/>
                <w:color w:val="000000" w:themeColor="text1"/>
                <w:kern w:val="0"/>
                <w:szCs w:val="21"/>
                <w:highlight w:val="none"/>
                <w14:textFill>
                  <w14:solidFill>
                    <w14:schemeClr w14:val="tx1"/>
                  </w14:solidFill>
                </w14:textFill>
              </w:rPr>
              <w:t>联系电话：</w:t>
            </w:r>
            <w:r>
              <w:rPr>
                <w:rFonts w:hint="eastAsia" w:ascii="宋体" w:hAnsi="宋体" w:eastAsia="宋体" w:cs="宋体"/>
                <w:color w:val="000000" w:themeColor="text1"/>
                <w:highlight w:val="none"/>
                <w14:textFill>
                  <w14:solidFill>
                    <w14:schemeClr w14:val="tx1"/>
                  </w14:solidFill>
                </w14:textFill>
              </w:rPr>
              <w:t>023-72217666</w:t>
            </w:r>
          </w:p>
        </w:tc>
      </w:tr>
      <w:tr w14:paraId="3EFEC0F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03FB516A">
            <w:pPr>
              <w:snapToGrid w:val="0"/>
              <w:spacing w:line="400" w:lineRule="exact"/>
              <w:jc w:val="center"/>
              <w:rPr>
                <w:rFonts w:hint="eastAsia" w:ascii="宋体" w:hAnsi="宋体" w:eastAsia="宋体"/>
                <w:kern w:val="0"/>
                <w:szCs w:val="21"/>
                <w:lang w:eastAsia="zh-CN"/>
              </w:rPr>
            </w:pPr>
            <w:r>
              <w:rPr>
                <w:rFonts w:hint="eastAsia" w:ascii="宋体" w:hAnsi="宋体"/>
                <w:kern w:val="0"/>
                <w:szCs w:val="21"/>
              </w:rPr>
              <w:t>10.</w:t>
            </w:r>
            <w:r>
              <w:rPr>
                <w:rFonts w:hint="eastAsia" w:ascii="宋体" w:hAnsi="宋体"/>
                <w:kern w:val="0"/>
                <w:szCs w:val="21"/>
                <w:lang w:val="en-US" w:eastAsia="zh-CN"/>
              </w:rPr>
              <w:t>2</w:t>
            </w:r>
          </w:p>
        </w:tc>
        <w:tc>
          <w:tcPr>
            <w:tcW w:w="1754" w:type="dxa"/>
            <w:vAlign w:val="center"/>
          </w:tcPr>
          <w:p w14:paraId="7FFF0FE6">
            <w:pPr>
              <w:snapToGrid w:val="0"/>
              <w:spacing w:line="400" w:lineRule="exact"/>
              <w:jc w:val="center"/>
              <w:rPr>
                <w:rFonts w:ascii="宋体" w:hAnsi="宋体"/>
                <w:kern w:val="0"/>
                <w:szCs w:val="21"/>
              </w:rPr>
            </w:pPr>
            <w:r>
              <w:rPr>
                <w:rFonts w:hint="eastAsia" w:ascii="宋体" w:hAnsi="宋体" w:eastAsia="宋体" w:cs="宋体"/>
                <w:color w:val="000000" w:themeColor="text1"/>
                <w:kern w:val="0"/>
                <w:szCs w:val="21"/>
                <w14:textFill>
                  <w14:solidFill>
                    <w14:schemeClr w14:val="tx1"/>
                  </w14:solidFill>
                </w14:textFill>
              </w:rPr>
              <w:t>投标人注意事项</w:t>
            </w:r>
          </w:p>
        </w:tc>
        <w:tc>
          <w:tcPr>
            <w:tcW w:w="6490" w:type="dxa"/>
            <w:vAlign w:val="center"/>
          </w:tcPr>
          <w:p w14:paraId="7C8BF62C">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14:textFill>
                  <w14:solidFill>
                    <w14:schemeClr w14:val="tx1"/>
                  </w14:solidFill>
                </w14:textFill>
              </w:rPr>
              <w:t>1. 本次投标采用全流程</w:t>
            </w:r>
            <w:r>
              <w:rPr>
                <w:rFonts w:hint="eastAsia" w:ascii="宋体" w:hAnsi="宋体" w:eastAsia="宋体" w:cs="宋体"/>
                <w:color w:val="000000" w:themeColor="text1"/>
                <w:highlight w:val="none"/>
                <w:lang w:val="en-US" w:eastAsia="zh-CN"/>
                <w14:textFill>
                  <w14:solidFill>
                    <w14:schemeClr w14:val="tx1"/>
                  </w14:solidFill>
                </w14:textFill>
              </w:rPr>
              <w:t>纸质</w:t>
            </w:r>
            <w:r>
              <w:rPr>
                <w:rFonts w:hint="eastAsia" w:ascii="宋体" w:hAnsi="宋体" w:eastAsia="宋体" w:cs="宋体"/>
                <w:color w:val="000000" w:themeColor="text1"/>
                <w:highlight w:val="none"/>
                <w14:textFill>
                  <w14:solidFill>
                    <w14:schemeClr w14:val="tx1"/>
                  </w14:solidFill>
                </w14:textFill>
              </w:rPr>
              <w:t>开评标模式。</w:t>
            </w:r>
          </w:p>
          <w:p w14:paraId="65224208">
            <w:pPr>
              <w:pageBreakBefore w:val="0"/>
              <w:kinsoku/>
              <w:topLinePunct w:val="0"/>
              <w:autoSpaceDE w:val="0"/>
              <w:autoSpaceDN w:val="0"/>
              <w:bidi w:val="0"/>
              <w:adjustRightInd w:val="0"/>
              <w:snapToGrid w:val="0"/>
              <w:spacing w:line="360" w:lineRule="auto"/>
              <w:ind w:firstLine="420" w:firstLineChars="200"/>
              <w:rPr>
                <w:rFonts w:hint="eastAsia" w:ascii="宋体" w:hAnsi="宋体" w:eastAsia="宋体" w:cs="宋体"/>
                <w:color w:val="000000" w:themeColor="text1"/>
                <w:highlight w:val="none"/>
                <w14:textFill>
                  <w14:solidFill>
                    <w14:schemeClr w14:val="tx1"/>
                  </w14:solidFill>
                </w14:textFill>
              </w:rPr>
            </w:pPr>
            <w:r>
              <w:rPr>
                <w:rFonts w:hint="eastAsia" w:ascii="宋体" w:hAnsi="宋体" w:eastAsia="宋体" w:cs="宋体"/>
                <w:color w:val="000000" w:themeColor="text1"/>
                <w:highlight w:val="none"/>
                <w:lang w:val="en-US" w:eastAsia="zh-CN"/>
                <w14:textFill>
                  <w14:solidFill>
                    <w14:schemeClr w14:val="tx1"/>
                  </w14:solidFill>
                </w14:textFill>
              </w:rPr>
              <w:t>2</w:t>
            </w:r>
            <w:r>
              <w:rPr>
                <w:rFonts w:hint="eastAsia" w:ascii="宋体" w:hAnsi="宋体" w:eastAsia="宋体" w:cs="宋体"/>
                <w:color w:val="000000" w:themeColor="text1"/>
                <w:highlight w:val="none"/>
                <w14:textFill>
                  <w14:solidFill>
                    <w14:schemeClr w14:val="tx1"/>
                  </w14:solidFill>
                </w14:textFill>
              </w:rPr>
              <w:t>. 开标活动由招标人主持，邀请所有投标人参加。投标人未在开标现场提出异议，或者未收到投标人异议的，视为投标人默认开标结果。</w:t>
            </w:r>
          </w:p>
          <w:p w14:paraId="4953EEE2">
            <w:pPr>
              <w:pageBreakBefore w:val="0"/>
              <w:kinsoku/>
              <w:topLinePunct w:val="0"/>
              <w:autoSpaceDE w:val="0"/>
              <w:autoSpaceDN w:val="0"/>
              <w:bidi w:val="0"/>
              <w:adjustRightInd w:val="0"/>
              <w:snapToGrid w:val="0"/>
              <w:spacing w:line="360" w:lineRule="auto"/>
              <w:ind w:firstLine="420" w:firstLineChars="200"/>
            </w:pPr>
            <w:r>
              <w:rPr>
                <w:rFonts w:hint="eastAsia" w:ascii="宋体" w:hAnsi="宋体" w:eastAsia="宋体" w:cs="宋体"/>
                <w:color w:val="000000" w:themeColor="text1"/>
                <w:highlight w:val="none"/>
                <w:lang w:val="en-US" w:eastAsia="zh-CN"/>
                <w14:textFill>
                  <w14:solidFill>
                    <w14:schemeClr w14:val="tx1"/>
                  </w14:solidFill>
                </w14:textFill>
              </w:rPr>
              <w:t>3</w:t>
            </w:r>
            <w:r>
              <w:rPr>
                <w:rFonts w:hint="eastAsia" w:ascii="宋体" w:hAnsi="宋体" w:eastAsia="宋体" w:cs="宋体"/>
                <w:color w:val="000000" w:themeColor="text1"/>
                <w:highlight w:val="none"/>
                <w14:textFill>
                  <w14:solidFill>
                    <w14:schemeClr w14:val="tx1"/>
                  </w14:solidFill>
                </w14:textFill>
              </w:rPr>
              <w:t>. 在评标结束前应关注项目进展情况，确保通讯联系正常。如评标委员会要求投标人澄清的，投标人应确保及时回复，否则视为拒绝按评标委员会要求澄清、说明或补正。</w:t>
            </w:r>
          </w:p>
        </w:tc>
      </w:tr>
      <w:tr w14:paraId="27EE1E64">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vAlign w:val="center"/>
          </w:tcPr>
          <w:p w14:paraId="3A641B04">
            <w:pPr>
              <w:snapToGrid w:val="0"/>
              <w:spacing w:line="400" w:lineRule="exact"/>
              <w:jc w:val="center"/>
              <w:rPr>
                <w:rFonts w:hint="eastAsia" w:ascii="宋体" w:hAnsi="宋体" w:eastAsia="宋体"/>
                <w:kern w:val="0"/>
                <w:szCs w:val="21"/>
                <w:lang w:eastAsia="zh-CN"/>
              </w:rPr>
            </w:pPr>
            <w:r>
              <w:rPr>
                <w:rFonts w:hint="eastAsia" w:ascii="宋体" w:hAnsi="宋体"/>
                <w:kern w:val="0"/>
                <w:szCs w:val="21"/>
                <w:lang w:val="en-US" w:eastAsia="zh-CN"/>
              </w:rPr>
              <w:t>10.3</w:t>
            </w:r>
          </w:p>
        </w:tc>
        <w:tc>
          <w:tcPr>
            <w:tcW w:w="1754" w:type="dxa"/>
            <w:vAlign w:val="center"/>
          </w:tcPr>
          <w:p w14:paraId="0BFD5B38">
            <w:pPr>
              <w:snapToGrid w:val="0"/>
              <w:spacing w:line="400" w:lineRule="exact"/>
              <w:jc w:val="center"/>
              <w:rPr>
                <w:rFonts w:ascii="宋体" w:hAnsi="宋体"/>
                <w:kern w:val="0"/>
                <w:szCs w:val="21"/>
              </w:rPr>
            </w:pPr>
            <w:r>
              <w:rPr>
                <w:rFonts w:hint="eastAsia" w:ascii="宋体" w:hAnsi="宋体" w:cs="宋体"/>
                <w:iCs/>
                <w:color w:val="000000" w:themeColor="text1"/>
                <w:kern w:val="0"/>
                <w:szCs w:val="21"/>
                <w:lang w:val="en-US" w:eastAsia="zh-CN"/>
                <w14:textFill>
                  <w14:solidFill>
                    <w14:schemeClr w14:val="tx1"/>
                  </w14:solidFill>
                </w14:textFill>
              </w:rPr>
              <w:t>其他</w:t>
            </w:r>
          </w:p>
        </w:tc>
        <w:tc>
          <w:tcPr>
            <w:tcW w:w="6490" w:type="dxa"/>
            <w:vAlign w:val="center"/>
          </w:tcPr>
          <w:p w14:paraId="2B77041F">
            <w:pPr>
              <w:snapToGrid w:val="0"/>
              <w:spacing w:line="400" w:lineRule="exact"/>
              <w:ind w:firstLine="420" w:firstLineChars="200"/>
              <w:rPr>
                <w:rFonts w:hint="default" w:ascii="宋体" w:hAnsi="宋体" w:eastAsia="宋体"/>
                <w:i/>
                <w:kern w:val="0"/>
                <w:szCs w:val="21"/>
                <w:lang w:val="en-US" w:eastAsia="zh-CN"/>
              </w:rPr>
            </w:pPr>
            <w:r>
              <w:rPr>
                <w:rFonts w:hint="eastAsia" w:ascii="宋体" w:hAnsi="宋体"/>
                <w:i w:val="0"/>
                <w:iCs/>
                <w:kern w:val="0"/>
                <w:szCs w:val="21"/>
                <w:lang w:val="en-US" w:eastAsia="zh-CN"/>
              </w:rPr>
              <w:t>本文件中所称“单位法人章”指口语表述中的“单位公章”，请投标人注意，正确加盖公章，否则，评标委员会可能作出不利于投标人的评审。</w:t>
            </w:r>
          </w:p>
        </w:tc>
      </w:tr>
      <w:tr w14:paraId="78BEF62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8" w:type="dxa"/>
            <w:bottom w:w="0" w:type="dxa"/>
            <w:right w:w="108" w:type="dxa"/>
          </w:tblCellMar>
        </w:tblPrEx>
        <w:trPr>
          <w:jc w:val="center"/>
        </w:trPr>
        <w:tc>
          <w:tcPr>
            <w:tcW w:w="1225" w:type="dxa"/>
            <w:shd w:val="clear" w:color="auto" w:fill="auto"/>
            <w:vAlign w:val="center"/>
          </w:tcPr>
          <w:p w14:paraId="708083D5">
            <w:pPr>
              <w:snapToGrid w:val="0"/>
              <w:spacing w:line="400" w:lineRule="exact"/>
              <w:jc w:val="center"/>
              <w:rPr>
                <w:rFonts w:hint="eastAsia" w:ascii="宋体" w:hAnsi="宋体" w:eastAsia="宋体" w:cs="Times New Roman"/>
                <w:kern w:val="0"/>
                <w:sz w:val="21"/>
                <w:szCs w:val="21"/>
                <w:lang w:val="en-US" w:eastAsia="zh-CN" w:bidi="ar-SA"/>
              </w:rPr>
            </w:pPr>
            <w:bookmarkStart w:id="91" w:name="_Toc430530435"/>
            <w:bookmarkStart w:id="92" w:name="_Toc287607746"/>
            <w:bookmarkStart w:id="93" w:name="_Toc200513126"/>
            <w:bookmarkStart w:id="94" w:name="_Toc287620685"/>
            <w:bookmarkStart w:id="95" w:name="_Toc277082552"/>
            <w:bookmarkStart w:id="96" w:name="_Toc224103317"/>
            <w:r>
              <w:rPr>
                <w:rFonts w:hint="eastAsia" w:ascii="宋体" w:hAnsi="宋体"/>
                <w:kern w:val="0"/>
                <w:szCs w:val="21"/>
                <w:lang w:val="en-US" w:eastAsia="zh-CN"/>
              </w:rPr>
              <w:t>10.4</w:t>
            </w:r>
          </w:p>
        </w:tc>
        <w:tc>
          <w:tcPr>
            <w:tcW w:w="1754" w:type="dxa"/>
            <w:shd w:val="clear" w:color="auto" w:fill="auto"/>
            <w:vAlign w:val="center"/>
          </w:tcPr>
          <w:p w14:paraId="5C2E1675">
            <w:pPr>
              <w:snapToGrid w:val="0"/>
              <w:spacing w:line="400" w:lineRule="exact"/>
              <w:jc w:val="center"/>
              <w:rPr>
                <w:rFonts w:hint="eastAsia" w:ascii="宋体" w:hAnsi="宋体" w:eastAsia="宋体" w:cs="宋体"/>
                <w:iCs/>
                <w:color w:val="000000" w:themeColor="text1"/>
                <w:kern w:val="0"/>
                <w:sz w:val="21"/>
                <w:szCs w:val="21"/>
                <w:lang w:val="en-US" w:eastAsia="zh-CN" w:bidi="ar-SA"/>
                <w14:textFill>
                  <w14:solidFill>
                    <w14:schemeClr w14:val="tx1"/>
                  </w14:solidFill>
                </w14:textFill>
              </w:rPr>
            </w:pPr>
            <w:r>
              <w:rPr>
                <w:rFonts w:hint="eastAsia" w:ascii="宋体" w:hAnsi="宋体" w:cs="宋体"/>
                <w:iCs/>
                <w:color w:val="000000" w:themeColor="text1"/>
                <w:kern w:val="0"/>
                <w:szCs w:val="21"/>
                <w:lang w:val="en-US" w:eastAsia="zh-CN"/>
                <w14:textFill>
                  <w14:solidFill>
                    <w14:schemeClr w14:val="tx1"/>
                  </w14:solidFill>
                </w14:textFill>
              </w:rPr>
              <w:t>技术讲解</w:t>
            </w:r>
          </w:p>
        </w:tc>
        <w:tc>
          <w:tcPr>
            <w:tcW w:w="6490" w:type="dxa"/>
            <w:shd w:val="clear" w:color="auto" w:fill="auto"/>
            <w:vAlign w:val="center"/>
          </w:tcPr>
          <w:p w14:paraId="21186598">
            <w:pPr>
              <w:snapToGrid w:val="0"/>
              <w:spacing w:line="400" w:lineRule="exact"/>
              <w:ind w:firstLine="422" w:firstLineChars="200"/>
              <w:rPr>
                <w:rFonts w:hint="eastAsia" w:ascii="宋体" w:hAnsi="宋体" w:eastAsia="宋体" w:cs="Times New Roman"/>
                <w:i w:val="0"/>
                <w:iCs/>
                <w:kern w:val="0"/>
                <w:sz w:val="21"/>
                <w:szCs w:val="21"/>
                <w:lang w:val="en-US" w:eastAsia="zh-CN" w:bidi="ar-SA"/>
              </w:rPr>
            </w:pPr>
            <w:r>
              <w:rPr>
                <w:rFonts w:hint="eastAsia" w:ascii="宋体" w:hAnsi="宋体"/>
                <w:b/>
                <w:bCs/>
                <w:i w:val="0"/>
                <w:iCs/>
                <w:color w:val="0000FF"/>
                <w:kern w:val="0"/>
                <w:szCs w:val="21"/>
                <w:lang w:val="en-US" w:eastAsia="zh-CN"/>
              </w:rPr>
              <w:t>各投标人需派技术人员在开标当天就该项目作技术讲解，每一投标人讲解时间控制在20分钟内。</w:t>
            </w:r>
          </w:p>
        </w:tc>
      </w:tr>
    </w:tbl>
    <w:p w14:paraId="2E39D9BD">
      <w:pPr>
        <w:pStyle w:val="3"/>
        <w:spacing w:before="100" w:after="100" w:line="460" w:lineRule="exact"/>
        <w:rPr>
          <w:rFonts w:hint="eastAsia" w:ascii="宋体" w:hAnsi="宋体"/>
          <w:snapToGrid w:val="0"/>
          <w:sz w:val="28"/>
          <w:szCs w:val="28"/>
        </w:rPr>
      </w:pPr>
      <w:r>
        <w:rPr>
          <w:rFonts w:ascii="宋体" w:hAnsi="宋体"/>
          <w:b w:val="0"/>
          <w:snapToGrid w:val="0"/>
        </w:rPr>
        <w:br w:type="page"/>
      </w:r>
      <w:bookmarkStart w:id="97" w:name="_Toc509218710"/>
      <w:bookmarkStart w:id="98" w:name="_Toc26171"/>
      <w:r>
        <w:rPr>
          <w:rFonts w:hint="eastAsia" w:ascii="宋体" w:hAnsi="宋体"/>
          <w:snapToGrid w:val="0"/>
          <w:sz w:val="28"/>
          <w:szCs w:val="28"/>
          <w:lang w:val="en-US" w:eastAsia="zh-CN"/>
        </w:rPr>
        <w:t>1、</w:t>
      </w:r>
      <w:r>
        <w:rPr>
          <w:rFonts w:hint="eastAsia" w:ascii="宋体" w:hAnsi="宋体"/>
          <w:snapToGrid w:val="0"/>
          <w:sz w:val="28"/>
          <w:szCs w:val="28"/>
        </w:rPr>
        <w:t xml:space="preserve"> 总则</w:t>
      </w:r>
      <w:bookmarkEnd w:id="91"/>
      <w:bookmarkEnd w:id="92"/>
      <w:bookmarkEnd w:id="93"/>
      <w:bookmarkEnd w:id="94"/>
      <w:bookmarkEnd w:id="95"/>
      <w:bookmarkEnd w:id="96"/>
      <w:bookmarkEnd w:id="97"/>
      <w:bookmarkEnd w:id="98"/>
    </w:p>
    <w:p w14:paraId="5B726B6C">
      <w:pPr>
        <w:pStyle w:val="4"/>
        <w:snapToGrid w:val="0"/>
        <w:spacing w:before="0" w:after="0" w:line="360" w:lineRule="auto"/>
        <w:rPr>
          <w:rFonts w:ascii="宋体" w:hAnsi="宋体"/>
          <w:b w:val="0"/>
          <w:snapToGrid w:val="0"/>
          <w:sz w:val="24"/>
          <w:szCs w:val="24"/>
        </w:rPr>
      </w:pPr>
      <w:bookmarkStart w:id="99" w:name="_Toc26076"/>
      <w:bookmarkStart w:id="100" w:name="_Toc277082553"/>
      <w:bookmarkStart w:id="101" w:name="_Toc287620686"/>
      <w:bookmarkStart w:id="102" w:name="_Toc509218711"/>
      <w:bookmarkStart w:id="103" w:name="_Toc430530436"/>
      <w:bookmarkStart w:id="104" w:name="_Toc224103318"/>
      <w:bookmarkStart w:id="105" w:name="_Toc287607747"/>
      <w:bookmarkStart w:id="106" w:name="_Toc200513127"/>
      <w:r>
        <w:rPr>
          <w:rFonts w:ascii="宋体" w:hAnsi="宋体"/>
          <w:b w:val="0"/>
          <w:snapToGrid w:val="0"/>
          <w:sz w:val="24"/>
          <w:szCs w:val="24"/>
        </w:rPr>
        <w:t xml:space="preserve">1.1  </w:t>
      </w:r>
      <w:r>
        <w:rPr>
          <w:rFonts w:hint="eastAsia" w:ascii="宋体" w:hAnsi="宋体"/>
          <w:b w:val="0"/>
          <w:snapToGrid w:val="0"/>
          <w:sz w:val="24"/>
          <w:szCs w:val="24"/>
        </w:rPr>
        <w:t>招标</w:t>
      </w:r>
      <w:r>
        <w:rPr>
          <w:rFonts w:ascii="宋体" w:hAnsi="宋体"/>
          <w:b w:val="0"/>
          <w:snapToGrid w:val="0"/>
          <w:sz w:val="24"/>
          <w:szCs w:val="24"/>
        </w:rPr>
        <w:t>项目概况</w:t>
      </w:r>
      <w:bookmarkEnd w:id="99"/>
      <w:bookmarkEnd w:id="100"/>
      <w:bookmarkEnd w:id="101"/>
      <w:bookmarkEnd w:id="102"/>
      <w:bookmarkEnd w:id="103"/>
      <w:bookmarkEnd w:id="104"/>
      <w:bookmarkEnd w:id="105"/>
      <w:bookmarkEnd w:id="106"/>
    </w:p>
    <w:p w14:paraId="74C0FD4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1.1.1 本招标项目已具备招标条件，现对</w:t>
      </w:r>
      <w:r>
        <w:rPr>
          <w:rFonts w:hint="eastAsia" w:ascii="宋体" w:hAnsi="宋体"/>
          <w:snapToGrid w:val="0"/>
          <w:kern w:val="0"/>
          <w:szCs w:val="21"/>
        </w:rPr>
        <w:t>货物采购</w:t>
      </w:r>
      <w:r>
        <w:rPr>
          <w:rFonts w:ascii="宋体" w:hAnsi="宋体"/>
          <w:snapToGrid w:val="0"/>
          <w:kern w:val="0"/>
          <w:szCs w:val="21"/>
        </w:rPr>
        <w:t>进行招标。</w:t>
      </w:r>
    </w:p>
    <w:p w14:paraId="6CA1242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1.1.2  招标人：见投标人须知前附表。</w:t>
      </w:r>
    </w:p>
    <w:p w14:paraId="29DF6E1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1.1.3  招标代理机构：见投标人须知前附表。</w:t>
      </w:r>
    </w:p>
    <w:p w14:paraId="66B404F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4</w:t>
      </w:r>
      <w:r>
        <w:rPr>
          <w:rFonts w:ascii="宋体" w:hAnsi="宋体"/>
          <w:snapToGrid w:val="0"/>
          <w:kern w:val="0"/>
          <w:szCs w:val="21"/>
        </w:rPr>
        <w:t xml:space="preserve">  招标项目名称：见投标人须知前附表。</w:t>
      </w:r>
    </w:p>
    <w:p w14:paraId="5CE19FE7">
      <w:pPr>
        <w:pStyle w:val="4"/>
        <w:snapToGrid w:val="0"/>
        <w:spacing w:before="0" w:after="0" w:line="360" w:lineRule="auto"/>
        <w:rPr>
          <w:rFonts w:ascii="宋体" w:hAnsi="宋体"/>
          <w:b w:val="0"/>
          <w:snapToGrid w:val="0"/>
          <w:sz w:val="24"/>
          <w:szCs w:val="24"/>
        </w:rPr>
      </w:pPr>
      <w:bookmarkStart w:id="107" w:name="_Toc287620687"/>
      <w:bookmarkStart w:id="108" w:name="_Toc27376"/>
      <w:bookmarkStart w:id="109" w:name="_Toc224103319"/>
      <w:bookmarkStart w:id="110" w:name="_Toc430530437"/>
      <w:bookmarkStart w:id="111" w:name="_Toc200513128"/>
      <w:bookmarkStart w:id="112" w:name="_Toc287607748"/>
      <w:bookmarkStart w:id="113" w:name="_Toc277082554"/>
      <w:bookmarkStart w:id="114" w:name="_Toc509218712"/>
      <w:r>
        <w:rPr>
          <w:rFonts w:ascii="宋体" w:hAnsi="宋体"/>
          <w:b w:val="0"/>
          <w:snapToGrid w:val="0"/>
          <w:sz w:val="24"/>
          <w:szCs w:val="24"/>
        </w:rPr>
        <w:t xml:space="preserve">1.2  </w:t>
      </w:r>
      <w:r>
        <w:rPr>
          <w:rFonts w:hint="eastAsia" w:ascii="宋体" w:hAnsi="宋体"/>
          <w:b w:val="0"/>
          <w:snapToGrid w:val="0"/>
          <w:sz w:val="24"/>
          <w:szCs w:val="24"/>
        </w:rPr>
        <w:t>招标项目的</w:t>
      </w:r>
      <w:r>
        <w:rPr>
          <w:rFonts w:ascii="宋体" w:hAnsi="宋体"/>
          <w:b w:val="0"/>
          <w:snapToGrid w:val="0"/>
          <w:sz w:val="24"/>
          <w:szCs w:val="24"/>
        </w:rPr>
        <w:t>资金来源和落实情况</w:t>
      </w:r>
      <w:bookmarkEnd w:id="107"/>
      <w:bookmarkEnd w:id="108"/>
      <w:bookmarkEnd w:id="109"/>
      <w:bookmarkEnd w:id="110"/>
      <w:bookmarkEnd w:id="111"/>
      <w:bookmarkEnd w:id="112"/>
      <w:bookmarkEnd w:id="113"/>
      <w:bookmarkEnd w:id="114"/>
    </w:p>
    <w:p w14:paraId="0479A28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1.2.1  资金来源</w:t>
      </w:r>
      <w:r>
        <w:rPr>
          <w:rFonts w:hint="eastAsia" w:ascii="宋体" w:hAnsi="宋体"/>
          <w:snapToGrid w:val="0"/>
          <w:kern w:val="0"/>
          <w:szCs w:val="21"/>
        </w:rPr>
        <w:t>及比例</w:t>
      </w:r>
      <w:r>
        <w:rPr>
          <w:rFonts w:ascii="宋体" w:hAnsi="宋体"/>
          <w:snapToGrid w:val="0"/>
          <w:kern w:val="0"/>
          <w:szCs w:val="21"/>
        </w:rPr>
        <w:t>：见投标人须知前附表。</w:t>
      </w:r>
    </w:p>
    <w:p w14:paraId="70D4E89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1.2.2  资金落实情况：见投标人须知前附表。</w:t>
      </w:r>
    </w:p>
    <w:p w14:paraId="1DB4BBDE">
      <w:pPr>
        <w:pStyle w:val="4"/>
        <w:snapToGrid w:val="0"/>
        <w:spacing w:before="0" w:after="0" w:line="360" w:lineRule="auto"/>
        <w:rPr>
          <w:rFonts w:ascii="宋体" w:hAnsi="宋体"/>
          <w:b w:val="0"/>
          <w:snapToGrid w:val="0"/>
          <w:sz w:val="24"/>
          <w:szCs w:val="24"/>
        </w:rPr>
      </w:pPr>
      <w:bookmarkStart w:id="115" w:name="_Toc509218713"/>
      <w:bookmarkStart w:id="116" w:name="_Toc287620688"/>
      <w:bookmarkStart w:id="117" w:name="_Toc277082555"/>
      <w:bookmarkStart w:id="118" w:name="_Toc287607749"/>
      <w:bookmarkStart w:id="119" w:name="_Toc224103320"/>
      <w:bookmarkStart w:id="120" w:name="_Toc200513129"/>
      <w:bookmarkStart w:id="121" w:name="_Toc430530438"/>
      <w:bookmarkStart w:id="122" w:name="_Toc7550"/>
      <w:r>
        <w:rPr>
          <w:rFonts w:ascii="宋体" w:hAnsi="宋体"/>
          <w:b w:val="0"/>
          <w:snapToGrid w:val="0"/>
          <w:sz w:val="24"/>
          <w:szCs w:val="24"/>
        </w:rPr>
        <w:t>1.3  招标范围、</w:t>
      </w:r>
      <w:bookmarkEnd w:id="115"/>
      <w:bookmarkEnd w:id="116"/>
      <w:bookmarkEnd w:id="117"/>
      <w:bookmarkEnd w:id="118"/>
      <w:bookmarkEnd w:id="119"/>
      <w:bookmarkEnd w:id="120"/>
      <w:bookmarkEnd w:id="121"/>
      <w:r>
        <w:rPr>
          <w:rFonts w:hint="eastAsia" w:ascii="宋体" w:hAnsi="宋体"/>
          <w:b w:val="0"/>
          <w:snapToGrid w:val="0"/>
          <w:sz w:val="24"/>
          <w:szCs w:val="24"/>
        </w:rPr>
        <w:t>交货期、</w:t>
      </w:r>
      <w:r>
        <w:rPr>
          <w:rFonts w:hint="eastAsia" w:ascii="宋体" w:hAnsi="宋体"/>
          <w:b w:val="0"/>
          <w:snapToGrid w:val="0"/>
          <w:sz w:val="24"/>
          <w:szCs w:val="24"/>
          <w:lang w:val="en-US" w:eastAsia="zh-CN"/>
        </w:rPr>
        <w:t>质量保证期、</w:t>
      </w:r>
      <w:r>
        <w:rPr>
          <w:rFonts w:hint="eastAsia" w:ascii="宋体" w:hAnsi="宋体"/>
          <w:b w:val="0"/>
          <w:snapToGrid w:val="0"/>
          <w:sz w:val="24"/>
          <w:szCs w:val="24"/>
        </w:rPr>
        <w:t>交货地点和技术性能指标</w:t>
      </w:r>
      <w:bookmarkEnd w:id="122"/>
    </w:p>
    <w:p w14:paraId="1AFC43F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1.3.1  招标范围：见投标人须知前附表。</w:t>
      </w:r>
    </w:p>
    <w:p w14:paraId="4FA9819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1.3.2  </w:t>
      </w:r>
      <w:r>
        <w:rPr>
          <w:rFonts w:hint="eastAsia" w:ascii="宋体" w:hAnsi="宋体"/>
          <w:snapToGrid w:val="0"/>
          <w:kern w:val="0"/>
          <w:szCs w:val="21"/>
        </w:rPr>
        <w:t>交货期</w:t>
      </w:r>
      <w:r>
        <w:rPr>
          <w:rFonts w:hint="eastAsia" w:ascii="宋体" w:hAnsi="宋体"/>
          <w:snapToGrid w:val="0"/>
          <w:kern w:val="0"/>
          <w:szCs w:val="21"/>
          <w:lang w:eastAsia="zh-CN"/>
        </w:rPr>
        <w:t>、</w:t>
      </w:r>
      <w:r>
        <w:rPr>
          <w:rFonts w:hint="eastAsia" w:ascii="宋体" w:hAnsi="宋体"/>
          <w:snapToGrid w:val="0"/>
          <w:kern w:val="0"/>
          <w:szCs w:val="21"/>
          <w:lang w:val="en-US" w:eastAsia="zh-CN"/>
        </w:rPr>
        <w:t>质量保证期</w:t>
      </w:r>
      <w:r>
        <w:rPr>
          <w:rFonts w:ascii="宋体" w:hAnsi="宋体"/>
          <w:snapToGrid w:val="0"/>
          <w:kern w:val="0"/>
          <w:szCs w:val="21"/>
        </w:rPr>
        <w:t>：见投标人须知前附表。</w:t>
      </w:r>
    </w:p>
    <w:p w14:paraId="6D22CC9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1.3.3  </w:t>
      </w:r>
      <w:r>
        <w:rPr>
          <w:rFonts w:hint="eastAsia" w:ascii="宋体" w:hAnsi="宋体"/>
          <w:snapToGrid w:val="0"/>
          <w:kern w:val="0"/>
          <w:szCs w:val="21"/>
        </w:rPr>
        <w:t>交货地点</w:t>
      </w:r>
      <w:r>
        <w:rPr>
          <w:rFonts w:ascii="宋体" w:hAnsi="宋体"/>
          <w:snapToGrid w:val="0"/>
          <w:kern w:val="0"/>
          <w:szCs w:val="21"/>
        </w:rPr>
        <w:t>：见投标人须知前附表。</w:t>
      </w:r>
    </w:p>
    <w:p w14:paraId="0D996001">
      <w:pPr>
        <w:autoSpaceDE w:val="0"/>
        <w:autoSpaceDN w:val="0"/>
        <w:adjustRightInd w:val="0"/>
        <w:snapToGrid w:val="0"/>
        <w:spacing w:line="360" w:lineRule="auto"/>
        <w:ind w:firstLine="420" w:firstLineChars="200"/>
      </w:pPr>
      <w:r>
        <w:rPr>
          <w:rFonts w:ascii="宋体" w:hAnsi="宋体"/>
          <w:snapToGrid w:val="0"/>
          <w:kern w:val="0"/>
          <w:szCs w:val="21"/>
        </w:rPr>
        <w:t>1.3.</w:t>
      </w:r>
      <w:r>
        <w:rPr>
          <w:rFonts w:hint="eastAsia" w:ascii="宋体" w:hAnsi="宋体"/>
          <w:snapToGrid w:val="0"/>
          <w:kern w:val="0"/>
          <w:szCs w:val="21"/>
        </w:rPr>
        <w:t>4</w:t>
      </w:r>
      <w:r>
        <w:rPr>
          <w:rFonts w:ascii="宋体" w:hAnsi="宋体"/>
          <w:snapToGrid w:val="0"/>
          <w:kern w:val="0"/>
          <w:szCs w:val="21"/>
        </w:rPr>
        <w:t xml:space="preserve">  </w:t>
      </w:r>
      <w:r>
        <w:rPr>
          <w:rFonts w:hint="eastAsia" w:ascii="宋体" w:hAnsi="宋体"/>
          <w:snapToGrid w:val="0"/>
          <w:kern w:val="0"/>
          <w:szCs w:val="21"/>
        </w:rPr>
        <w:t>质量标准、技术性能指标</w:t>
      </w:r>
      <w:r>
        <w:rPr>
          <w:rFonts w:ascii="宋体" w:hAnsi="宋体"/>
          <w:snapToGrid w:val="0"/>
          <w:kern w:val="0"/>
          <w:szCs w:val="21"/>
        </w:rPr>
        <w:t>：见投标人须知前附表。</w:t>
      </w:r>
    </w:p>
    <w:p w14:paraId="5FEC8199">
      <w:pPr>
        <w:pStyle w:val="4"/>
        <w:snapToGrid w:val="0"/>
        <w:spacing w:before="0" w:after="0" w:line="360" w:lineRule="auto"/>
        <w:rPr>
          <w:rFonts w:ascii="宋体" w:hAnsi="宋体"/>
          <w:b w:val="0"/>
          <w:snapToGrid w:val="0"/>
          <w:sz w:val="24"/>
          <w:szCs w:val="24"/>
        </w:rPr>
      </w:pPr>
      <w:bookmarkStart w:id="123" w:name="_Toc200513130"/>
      <w:bookmarkStart w:id="124" w:name="_Toc509218714"/>
      <w:bookmarkStart w:id="125" w:name="_Toc287620689"/>
      <w:bookmarkStart w:id="126" w:name="_Toc224103321"/>
      <w:bookmarkStart w:id="127" w:name="_Toc277082556"/>
      <w:bookmarkStart w:id="128" w:name="_Toc287607750"/>
      <w:bookmarkStart w:id="129" w:name="_Toc430530439"/>
      <w:bookmarkStart w:id="130" w:name="_Toc5992"/>
      <w:r>
        <w:rPr>
          <w:rFonts w:ascii="宋体" w:hAnsi="宋体"/>
          <w:b w:val="0"/>
          <w:snapToGrid w:val="0"/>
          <w:sz w:val="24"/>
          <w:szCs w:val="24"/>
        </w:rPr>
        <w:t>1.4</w:t>
      </w:r>
      <w:r>
        <w:rPr>
          <w:rFonts w:hint="eastAsia" w:ascii="宋体" w:hAnsi="宋体"/>
          <w:b w:val="0"/>
          <w:snapToGrid w:val="0"/>
          <w:sz w:val="24"/>
          <w:szCs w:val="24"/>
        </w:rPr>
        <w:t>A</w:t>
      </w:r>
      <w:r>
        <w:rPr>
          <w:rFonts w:ascii="宋体" w:hAnsi="宋体"/>
          <w:b w:val="0"/>
          <w:snapToGrid w:val="0"/>
          <w:sz w:val="24"/>
          <w:szCs w:val="24"/>
        </w:rPr>
        <w:t xml:space="preserve">  投标人资格要求（</w:t>
      </w:r>
      <w:r>
        <w:rPr>
          <w:rFonts w:hint="eastAsia" w:ascii="宋体" w:hAnsi="宋体"/>
          <w:b w:val="0"/>
          <w:snapToGrid w:val="0"/>
          <w:sz w:val="24"/>
          <w:szCs w:val="24"/>
        </w:rPr>
        <w:t>适用于已进行资格预审的</w:t>
      </w:r>
      <w:r>
        <w:rPr>
          <w:rFonts w:ascii="宋体" w:hAnsi="宋体"/>
          <w:b w:val="0"/>
          <w:snapToGrid w:val="0"/>
          <w:sz w:val="24"/>
          <w:szCs w:val="24"/>
        </w:rPr>
        <w:t>）</w:t>
      </w:r>
      <w:bookmarkEnd w:id="123"/>
      <w:bookmarkEnd w:id="124"/>
      <w:bookmarkEnd w:id="125"/>
      <w:bookmarkEnd w:id="126"/>
      <w:bookmarkEnd w:id="127"/>
      <w:bookmarkEnd w:id="128"/>
      <w:bookmarkEnd w:id="129"/>
      <w:bookmarkEnd w:id="130"/>
    </w:p>
    <w:p w14:paraId="4D5E15B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投标人应是收到招标人发出投标邀请书的单位。</w:t>
      </w:r>
    </w:p>
    <w:p w14:paraId="3749C2FA">
      <w:pPr>
        <w:pStyle w:val="4"/>
        <w:snapToGrid w:val="0"/>
        <w:spacing w:before="0" w:after="0" w:line="360" w:lineRule="auto"/>
        <w:rPr>
          <w:rFonts w:ascii="宋体" w:hAnsi="宋体"/>
          <w:b w:val="0"/>
          <w:snapToGrid w:val="0"/>
          <w:sz w:val="24"/>
          <w:szCs w:val="24"/>
        </w:rPr>
      </w:pPr>
      <w:bookmarkStart w:id="131" w:name="_Toc200513131"/>
      <w:bookmarkStart w:id="132" w:name="_Toc509218715"/>
      <w:bookmarkStart w:id="133" w:name="_Toc430530440"/>
      <w:bookmarkStart w:id="134" w:name="_Toc224103322"/>
      <w:bookmarkStart w:id="135" w:name="_Toc277082557"/>
      <w:bookmarkStart w:id="136" w:name="_Toc12315"/>
      <w:bookmarkStart w:id="137" w:name="_Toc287607751"/>
      <w:bookmarkStart w:id="138" w:name="_Toc287620690"/>
      <w:r>
        <w:rPr>
          <w:rFonts w:ascii="宋体" w:hAnsi="宋体"/>
          <w:b w:val="0"/>
          <w:snapToGrid w:val="0"/>
          <w:sz w:val="24"/>
          <w:szCs w:val="24"/>
        </w:rPr>
        <w:t>1.4</w:t>
      </w:r>
      <w:r>
        <w:rPr>
          <w:rFonts w:hint="eastAsia" w:ascii="宋体" w:hAnsi="宋体"/>
          <w:b w:val="0"/>
          <w:snapToGrid w:val="0"/>
          <w:sz w:val="24"/>
          <w:szCs w:val="24"/>
        </w:rPr>
        <w:t>B</w:t>
      </w:r>
      <w:r>
        <w:rPr>
          <w:rFonts w:ascii="宋体" w:hAnsi="宋体"/>
          <w:b w:val="0"/>
          <w:snapToGrid w:val="0"/>
          <w:sz w:val="24"/>
          <w:szCs w:val="24"/>
        </w:rPr>
        <w:t xml:space="preserve">  投标人资格要求（</w:t>
      </w:r>
      <w:r>
        <w:rPr>
          <w:rFonts w:hint="eastAsia" w:ascii="宋体" w:hAnsi="宋体"/>
          <w:b w:val="0"/>
          <w:snapToGrid w:val="0"/>
          <w:sz w:val="24"/>
          <w:szCs w:val="24"/>
        </w:rPr>
        <w:t>适用于未进行资格预审的</w:t>
      </w:r>
      <w:r>
        <w:rPr>
          <w:rFonts w:ascii="宋体" w:hAnsi="宋体"/>
          <w:b w:val="0"/>
          <w:snapToGrid w:val="0"/>
          <w:sz w:val="24"/>
          <w:szCs w:val="24"/>
        </w:rPr>
        <w:t>）</w:t>
      </w:r>
      <w:bookmarkEnd w:id="131"/>
      <w:bookmarkEnd w:id="132"/>
      <w:bookmarkEnd w:id="133"/>
      <w:bookmarkEnd w:id="134"/>
      <w:bookmarkEnd w:id="135"/>
      <w:bookmarkEnd w:id="136"/>
      <w:bookmarkEnd w:id="137"/>
      <w:bookmarkEnd w:id="138"/>
    </w:p>
    <w:p w14:paraId="7E78F43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1.4.1 投标人应具备承担</w:t>
      </w:r>
      <w:r>
        <w:rPr>
          <w:rFonts w:hint="eastAsia" w:ascii="宋体" w:hAnsi="宋体"/>
          <w:snapToGrid w:val="0"/>
          <w:kern w:val="0"/>
          <w:szCs w:val="21"/>
        </w:rPr>
        <w:t>本招标项目</w:t>
      </w:r>
      <w:r>
        <w:rPr>
          <w:rFonts w:ascii="宋体" w:hAnsi="宋体"/>
          <w:snapToGrid w:val="0"/>
          <w:kern w:val="0"/>
          <w:szCs w:val="21"/>
        </w:rPr>
        <w:t>的资质条件、能力和信誉</w:t>
      </w:r>
      <w:r>
        <w:rPr>
          <w:rFonts w:hint="eastAsia" w:ascii="宋体" w:hAnsi="宋体"/>
          <w:snapToGrid w:val="0"/>
          <w:kern w:val="0"/>
          <w:szCs w:val="21"/>
        </w:rPr>
        <w:t>：</w:t>
      </w:r>
    </w:p>
    <w:p w14:paraId="3167088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zCs w:val="21"/>
          <w:lang w:val="en-US" w:eastAsia="zh-CN"/>
        </w:rPr>
        <w:t>独立法人资格和</w:t>
      </w:r>
      <w:r>
        <w:rPr>
          <w:rFonts w:ascii="宋体" w:hAnsi="宋体"/>
          <w:szCs w:val="21"/>
        </w:rPr>
        <w:t>资质</w:t>
      </w:r>
      <w:r>
        <w:rPr>
          <w:rFonts w:hint="eastAsia" w:ascii="宋体" w:hAnsi="宋体"/>
          <w:szCs w:val="21"/>
        </w:rPr>
        <w:t>要求</w:t>
      </w:r>
      <w:r>
        <w:rPr>
          <w:rFonts w:ascii="宋体" w:hAnsi="宋体"/>
          <w:snapToGrid w:val="0"/>
          <w:kern w:val="0"/>
          <w:szCs w:val="21"/>
        </w:rPr>
        <w:t>：见投标人须知前附表；</w:t>
      </w:r>
    </w:p>
    <w:p w14:paraId="347CB15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（2）财务要求：见投标人须知前附表；</w:t>
      </w:r>
    </w:p>
    <w:p w14:paraId="3DF02A9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（3）业绩要求：见投标人须知前附表；</w:t>
      </w:r>
    </w:p>
    <w:p w14:paraId="7DAB3FD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w:t>
      </w:r>
      <w:r>
        <w:rPr>
          <w:rFonts w:hint="eastAsia" w:ascii="宋体" w:hAnsi="宋体" w:eastAsia="宋体" w:cs="宋体"/>
          <w:sz w:val="21"/>
          <w:szCs w:val="21"/>
          <w:lang w:eastAsia="zh-CN" w:bidi="ar"/>
        </w:rPr>
        <w:t>投标截止日投标资格情况</w:t>
      </w:r>
      <w:r>
        <w:rPr>
          <w:rFonts w:ascii="宋体" w:hAnsi="宋体"/>
          <w:snapToGrid w:val="0"/>
          <w:kern w:val="0"/>
          <w:szCs w:val="21"/>
        </w:rPr>
        <w:t>：见投标人须知前附表；</w:t>
      </w:r>
    </w:p>
    <w:p w14:paraId="7B19475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5</w:t>
      </w:r>
      <w:r>
        <w:rPr>
          <w:rFonts w:ascii="宋体" w:hAnsi="宋体"/>
          <w:snapToGrid w:val="0"/>
          <w:kern w:val="0"/>
          <w:szCs w:val="21"/>
        </w:rPr>
        <w:t>）其他要求：见投标人须知前附表。</w:t>
      </w:r>
    </w:p>
    <w:p w14:paraId="262D70C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1.4.2  投标人须知前附表规定接受联合体投标的，</w:t>
      </w:r>
      <w:r>
        <w:rPr>
          <w:rFonts w:hint="eastAsia" w:ascii="宋体" w:hAnsi="宋体"/>
          <w:snapToGrid w:val="0"/>
          <w:kern w:val="0"/>
          <w:szCs w:val="21"/>
        </w:rPr>
        <w:t>联合体</w:t>
      </w:r>
      <w:r>
        <w:rPr>
          <w:rFonts w:ascii="宋体" w:hAnsi="宋体"/>
          <w:snapToGrid w:val="0"/>
          <w:kern w:val="0"/>
          <w:szCs w:val="21"/>
        </w:rPr>
        <w:t>除应符合本章第1.4.1项和投标人须知前附表的要求外，还应遵守以下规定：</w:t>
      </w:r>
    </w:p>
    <w:p w14:paraId="280D057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（1）联合体各方应按招标文件提供的格式签订</w:t>
      </w:r>
      <w:r>
        <w:rPr>
          <w:rFonts w:hint="eastAsia" w:ascii="宋体" w:hAnsi="宋体"/>
          <w:snapToGrid w:val="0"/>
          <w:kern w:val="0"/>
          <w:szCs w:val="21"/>
          <w:lang w:eastAsia="zh-CN"/>
        </w:rPr>
        <w:t>共同投标协议</w:t>
      </w:r>
      <w:r>
        <w:rPr>
          <w:rFonts w:ascii="宋体" w:hAnsi="宋体"/>
          <w:snapToGrid w:val="0"/>
          <w:kern w:val="0"/>
          <w:szCs w:val="21"/>
        </w:rPr>
        <w:t>，明确联合体牵头人和各方权利义务，并承诺就中标项目向招标人承担连带责任；</w:t>
      </w:r>
    </w:p>
    <w:p w14:paraId="75A917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（2）联合体各方均应当具备承担招标项目的相应能力；</w:t>
      </w:r>
      <w:r>
        <w:rPr>
          <w:rFonts w:hint="eastAsia" w:ascii="宋体" w:hAnsi="宋体"/>
          <w:snapToGrid w:val="0"/>
          <w:kern w:val="0"/>
          <w:szCs w:val="21"/>
          <w:lang w:eastAsia="zh-CN"/>
        </w:rPr>
        <w:t>共同投标协议</w:t>
      </w:r>
      <w:r>
        <w:rPr>
          <w:rFonts w:hint="eastAsia" w:ascii="宋体" w:hAnsi="宋体"/>
          <w:snapToGrid w:val="0"/>
          <w:kern w:val="0"/>
          <w:szCs w:val="21"/>
        </w:rPr>
        <w:t>约定</w:t>
      </w:r>
      <w:r>
        <w:rPr>
          <w:rFonts w:ascii="宋体" w:hAnsi="宋体"/>
          <w:snapToGrid w:val="0"/>
          <w:kern w:val="0"/>
          <w:szCs w:val="21"/>
        </w:rPr>
        <w:t>同一专业</w:t>
      </w:r>
      <w:r>
        <w:rPr>
          <w:rFonts w:hint="eastAsia" w:ascii="宋体" w:hAnsi="宋体"/>
          <w:snapToGrid w:val="0"/>
          <w:kern w:val="0"/>
          <w:szCs w:val="21"/>
        </w:rPr>
        <w:t>分工由两个及以上</w:t>
      </w:r>
      <w:r>
        <w:rPr>
          <w:rFonts w:ascii="宋体" w:hAnsi="宋体"/>
          <w:snapToGrid w:val="0"/>
          <w:kern w:val="0"/>
          <w:szCs w:val="21"/>
        </w:rPr>
        <w:t>单位</w:t>
      </w:r>
      <w:r>
        <w:rPr>
          <w:rFonts w:hint="eastAsia" w:ascii="宋体" w:hAnsi="宋体"/>
          <w:snapToGrid w:val="0"/>
          <w:kern w:val="0"/>
          <w:szCs w:val="21"/>
        </w:rPr>
        <w:t>共同承担的</w:t>
      </w:r>
      <w:r>
        <w:rPr>
          <w:rFonts w:ascii="宋体" w:hAnsi="宋体"/>
          <w:snapToGrid w:val="0"/>
          <w:kern w:val="0"/>
          <w:szCs w:val="21"/>
        </w:rPr>
        <w:t>，按照资质等级较低的单位确定资质等级；</w:t>
      </w:r>
    </w:p>
    <w:p w14:paraId="2D2E18F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（3）联合体各方不得再以自己名义单独或参加其他联合体在</w:t>
      </w:r>
      <w:r>
        <w:rPr>
          <w:rFonts w:hint="eastAsia" w:ascii="宋体" w:hAnsi="宋体"/>
          <w:snapToGrid w:val="0"/>
          <w:kern w:val="0"/>
          <w:szCs w:val="21"/>
        </w:rPr>
        <w:t>本招标项目同一标段中</w:t>
      </w:r>
      <w:r>
        <w:rPr>
          <w:rFonts w:ascii="宋体" w:hAnsi="宋体"/>
          <w:snapToGrid w:val="0"/>
          <w:kern w:val="0"/>
          <w:szCs w:val="21"/>
        </w:rPr>
        <w:t>投标</w:t>
      </w:r>
      <w:r>
        <w:rPr>
          <w:rFonts w:hint="eastAsia" w:ascii="宋体" w:hAnsi="宋体"/>
          <w:snapToGrid w:val="0"/>
          <w:kern w:val="0"/>
          <w:szCs w:val="21"/>
        </w:rPr>
        <w:t>，否则各相关投标均无效</w:t>
      </w:r>
      <w:r>
        <w:rPr>
          <w:rFonts w:ascii="宋体" w:hAnsi="宋体"/>
          <w:snapToGrid w:val="0"/>
          <w:kern w:val="0"/>
          <w:szCs w:val="21"/>
        </w:rPr>
        <w:t>。</w:t>
      </w:r>
    </w:p>
    <w:p w14:paraId="2A1394A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1.4.3  投标人不得存在下列情形之一：</w:t>
      </w:r>
    </w:p>
    <w:p w14:paraId="434B9AF4">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w:t>
      </w:r>
      <w:r>
        <w:rPr>
          <w:rFonts w:hint="eastAsia" w:ascii="宋体" w:hAnsi="宋体"/>
          <w:snapToGrid w:val="0"/>
          <w:kern w:val="0"/>
          <w:position w:val="-2"/>
          <w:szCs w:val="21"/>
        </w:rPr>
        <w:t>1</w:t>
      </w:r>
      <w:r>
        <w:rPr>
          <w:rFonts w:ascii="宋体" w:hAnsi="宋体"/>
          <w:snapToGrid w:val="0"/>
          <w:kern w:val="0"/>
          <w:position w:val="-2"/>
          <w:szCs w:val="21"/>
        </w:rPr>
        <w:t>）与招标人存在利害关系且可能影响招标公正性</w:t>
      </w:r>
      <w:r>
        <w:rPr>
          <w:rFonts w:hint="eastAsia" w:ascii="宋体" w:hAnsi="宋体"/>
          <w:snapToGrid w:val="0"/>
          <w:kern w:val="0"/>
          <w:position w:val="-2"/>
          <w:szCs w:val="21"/>
        </w:rPr>
        <w:t>的法人、其他组织或者个人</w:t>
      </w:r>
      <w:r>
        <w:rPr>
          <w:rFonts w:ascii="宋体" w:hAnsi="宋体"/>
          <w:snapToGrid w:val="0"/>
          <w:kern w:val="0"/>
          <w:position w:val="-2"/>
          <w:szCs w:val="21"/>
        </w:rPr>
        <w:t>；</w:t>
      </w:r>
    </w:p>
    <w:p w14:paraId="523BBEE7">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（2）</w:t>
      </w:r>
      <w:r>
        <w:rPr>
          <w:rFonts w:ascii="宋体" w:hAnsi="宋体"/>
          <w:snapToGrid w:val="0"/>
          <w:kern w:val="0"/>
          <w:position w:val="-2"/>
          <w:szCs w:val="21"/>
        </w:rPr>
        <w:t>与本招标项目的其他投标人为同一个单位负责人；</w:t>
      </w:r>
    </w:p>
    <w:p w14:paraId="669DAD08">
      <w:pPr>
        <w:autoSpaceDE w:val="0"/>
        <w:autoSpaceDN w:val="0"/>
        <w:adjustRightInd w:val="0"/>
        <w:snapToGrid w:val="0"/>
        <w:spacing w:line="360" w:lineRule="auto"/>
        <w:ind w:firstLine="420" w:firstLineChars="200"/>
      </w:pPr>
      <w:r>
        <w:rPr>
          <w:rFonts w:hint="eastAsia" w:ascii="宋体" w:hAnsi="宋体"/>
          <w:snapToGrid w:val="0"/>
          <w:kern w:val="0"/>
          <w:position w:val="-2"/>
          <w:szCs w:val="21"/>
        </w:rPr>
        <w:t>（3）</w:t>
      </w:r>
      <w:r>
        <w:t>与本招标项目的其他投标人存在控股、管理关系；</w:t>
      </w:r>
    </w:p>
    <w:p w14:paraId="10FB45EE">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（5）为本招标项目提供过设计、编制技术规范和其他文件的咨询服务；</w:t>
      </w:r>
    </w:p>
    <w:p w14:paraId="15367D83">
      <w:pPr>
        <w:autoSpaceDE w:val="0"/>
        <w:autoSpaceDN w:val="0"/>
        <w:adjustRightInd w:val="0"/>
        <w:snapToGrid w:val="0"/>
        <w:spacing w:line="360" w:lineRule="auto"/>
        <w:ind w:firstLine="420" w:firstLineChars="200"/>
        <w:rPr>
          <w:rFonts w:ascii="宋体" w:hAnsi="宋体"/>
          <w:snapToGrid w:val="0"/>
          <w:kern w:val="0"/>
          <w:position w:val="-2"/>
          <w:szCs w:val="21"/>
        </w:rPr>
      </w:pPr>
      <w:r>
        <w:rPr>
          <w:rFonts w:hint="eastAsia" w:ascii="宋体" w:hAnsi="宋体"/>
          <w:snapToGrid w:val="0"/>
          <w:kern w:val="0"/>
          <w:position w:val="-2"/>
          <w:szCs w:val="21"/>
        </w:rPr>
        <w:t>（6）为本工程项目的相关监理人，或者与本工程项目的相关监理人存在隶属关系或者其他利害关系；</w:t>
      </w:r>
    </w:p>
    <w:p w14:paraId="166E07A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7</w:t>
      </w:r>
      <w:r>
        <w:rPr>
          <w:rFonts w:ascii="宋体" w:hAnsi="宋体"/>
          <w:snapToGrid w:val="0"/>
          <w:kern w:val="0"/>
          <w:szCs w:val="21"/>
        </w:rPr>
        <w:t>）为本</w:t>
      </w:r>
      <w:r>
        <w:rPr>
          <w:rFonts w:hint="eastAsia" w:ascii="宋体" w:hAnsi="宋体"/>
          <w:snapToGrid w:val="0"/>
          <w:kern w:val="0"/>
          <w:szCs w:val="21"/>
        </w:rPr>
        <w:t>招标项目</w:t>
      </w:r>
      <w:r>
        <w:rPr>
          <w:rFonts w:ascii="宋体" w:hAnsi="宋体"/>
          <w:snapToGrid w:val="0"/>
          <w:kern w:val="0"/>
          <w:szCs w:val="21"/>
        </w:rPr>
        <w:t>的代建人；</w:t>
      </w:r>
    </w:p>
    <w:p w14:paraId="19D83E3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8</w:t>
      </w:r>
      <w:r>
        <w:rPr>
          <w:rFonts w:ascii="宋体" w:hAnsi="宋体"/>
          <w:snapToGrid w:val="0"/>
          <w:kern w:val="0"/>
          <w:szCs w:val="21"/>
        </w:rPr>
        <w:t>）为</w:t>
      </w:r>
      <w:r>
        <w:rPr>
          <w:rFonts w:hint="eastAsia" w:ascii="宋体" w:hAnsi="宋体"/>
          <w:snapToGrid w:val="0"/>
          <w:kern w:val="0"/>
          <w:szCs w:val="21"/>
        </w:rPr>
        <w:t>本招标项目的</w:t>
      </w:r>
      <w:r>
        <w:rPr>
          <w:rFonts w:ascii="宋体" w:hAnsi="宋体"/>
          <w:snapToGrid w:val="0"/>
          <w:kern w:val="0"/>
          <w:szCs w:val="21"/>
        </w:rPr>
        <w:t>招标代理</w:t>
      </w:r>
      <w:r>
        <w:rPr>
          <w:rFonts w:hint="eastAsia" w:ascii="宋体" w:hAnsi="宋体"/>
          <w:snapToGrid w:val="0"/>
          <w:kern w:val="0"/>
          <w:szCs w:val="21"/>
        </w:rPr>
        <w:t>机构</w:t>
      </w:r>
      <w:r>
        <w:rPr>
          <w:rFonts w:ascii="宋体" w:hAnsi="宋体"/>
          <w:snapToGrid w:val="0"/>
          <w:kern w:val="0"/>
          <w:szCs w:val="21"/>
        </w:rPr>
        <w:t>；</w:t>
      </w:r>
    </w:p>
    <w:p w14:paraId="0F4E87F5">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9</w:t>
      </w:r>
      <w:r>
        <w:rPr>
          <w:rFonts w:ascii="宋体" w:hAnsi="宋体"/>
          <w:snapToGrid w:val="0"/>
          <w:kern w:val="0"/>
          <w:szCs w:val="21"/>
        </w:rPr>
        <w:t>）与</w:t>
      </w:r>
      <w:r>
        <w:rPr>
          <w:rFonts w:hint="eastAsia" w:ascii="宋体" w:hAnsi="宋体"/>
          <w:snapToGrid w:val="0"/>
          <w:kern w:val="0"/>
          <w:szCs w:val="21"/>
        </w:rPr>
        <w:t>本招标项目的监理人或</w:t>
      </w:r>
      <w:r>
        <w:rPr>
          <w:rFonts w:ascii="宋体" w:hAnsi="宋体"/>
          <w:snapToGrid w:val="0"/>
          <w:kern w:val="0"/>
          <w:szCs w:val="21"/>
        </w:rPr>
        <w:t>代建人或招标代理机构同为一个法定代表人；</w:t>
      </w:r>
    </w:p>
    <w:p w14:paraId="5C8D9F8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w:t>
      </w:r>
      <w:r>
        <w:rPr>
          <w:rFonts w:hint="eastAsia" w:ascii="宋体" w:hAnsi="宋体"/>
          <w:snapToGrid w:val="0"/>
          <w:kern w:val="0"/>
          <w:szCs w:val="21"/>
        </w:rPr>
        <w:t>10</w:t>
      </w:r>
      <w:r>
        <w:rPr>
          <w:rFonts w:ascii="宋体" w:hAnsi="宋体"/>
          <w:snapToGrid w:val="0"/>
          <w:kern w:val="0"/>
          <w:szCs w:val="21"/>
        </w:rPr>
        <w:t>）与本招标项目的</w:t>
      </w:r>
      <w:r>
        <w:rPr>
          <w:rFonts w:hint="eastAsia" w:ascii="宋体" w:hAnsi="宋体"/>
          <w:snapToGrid w:val="0"/>
          <w:kern w:val="0"/>
          <w:szCs w:val="21"/>
        </w:rPr>
        <w:t>监理人或</w:t>
      </w:r>
      <w:r>
        <w:rPr>
          <w:rFonts w:ascii="宋体" w:hAnsi="宋体"/>
          <w:snapToGrid w:val="0"/>
          <w:kern w:val="0"/>
          <w:szCs w:val="21"/>
        </w:rPr>
        <w:t>代建人或招标代理机构</w:t>
      </w:r>
      <w:r>
        <w:rPr>
          <w:rFonts w:hint="eastAsia" w:ascii="宋体" w:hAnsi="宋体"/>
          <w:snapToGrid w:val="0"/>
          <w:kern w:val="0"/>
          <w:szCs w:val="21"/>
        </w:rPr>
        <w:t>存在</w:t>
      </w:r>
      <w:r>
        <w:rPr>
          <w:rFonts w:ascii="宋体" w:hAnsi="宋体"/>
          <w:snapToGrid w:val="0"/>
          <w:kern w:val="0"/>
          <w:szCs w:val="21"/>
        </w:rPr>
        <w:t>控股或参股</w:t>
      </w:r>
      <w:r>
        <w:rPr>
          <w:rFonts w:hint="eastAsia" w:ascii="宋体" w:hAnsi="宋体"/>
          <w:snapToGrid w:val="0"/>
          <w:kern w:val="0"/>
          <w:szCs w:val="21"/>
        </w:rPr>
        <w:t>关系</w:t>
      </w:r>
      <w:r>
        <w:rPr>
          <w:rFonts w:ascii="宋体" w:hAnsi="宋体"/>
          <w:snapToGrid w:val="0"/>
          <w:kern w:val="0"/>
          <w:szCs w:val="21"/>
        </w:rPr>
        <w:t>；</w:t>
      </w:r>
    </w:p>
    <w:p w14:paraId="7023313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1</w:t>
      </w:r>
      <w:r>
        <w:rPr>
          <w:rFonts w:ascii="宋体" w:hAnsi="宋体"/>
          <w:snapToGrid w:val="0"/>
          <w:kern w:val="0"/>
          <w:szCs w:val="21"/>
        </w:rPr>
        <w:t>）</w:t>
      </w:r>
      <w:bookmarkStart w:id="139" w:name="_Hlk66280425"/>
      <w:r>
        <w:rPr>
          <w:rFonts w:ascii="宋体" w:hAnsi="宋体"/>
          <w:snapToGrid w:val="0"/>
          <w:kern w:val="0"/>
          <w:szCs w:val="21"/>
        </w:rPr>
        <w:t>被责令停产停业、暂扣或者吊销许可证、暂扣或者吊销执照；</w:t>
      </w:r>
      <w:bookmarkEnd w:id="139"/>
    </w:p>
    <w:p w14:paraId="4EB3F1B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2</w:t>
      </w:r>
      <w:r>
        <w:rPr>
          <w:rFonts w:ascii="宋体" w:hAnsi="宋体"/>
          <w:snapToGrid w:val="0"/>
          <w:kern w:val="0"/>
          <w:szCs w:val="21"/>
        </w:rPr>
        <w:t>）</w:t>
      </w:r>
      <w:bookmarkStart w:id="140" w:name="_Hlk66280433"/>
      <w:r>
        <w:rPr>
          <w:rFonts w:ascii="宋体" w:hAnsi="宋体"/>
          <w:snapToGrid w:val="0"/>
          <w:kern w:val="0"/>
          <w:szCs w:val="21"/>
        </w:rPr>
        <w:t>进入清算程序，或被宣告破产，或其他丧失履约能力的情形；</w:t>
      </w:r>
      <w:bookmarkEnd w:id="140"/>
    </w:p>
    <w:p w14:paraId="7A67CCC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hint="eastAsia" w:ascii="宋体" w:hAnsi="宋体"/>
          <w:snapToGrid w:val="0"/>
          <w:kern w:val="0"/>
          <w:szCs w:val="21"/>
          <w:lang w:val="en-US" w:eastAsia="zh-CN"/>
        </w:rPr>
        <w:t>3</w:t>
      </w:r>
      <w:r>
        <w:rPr>
          <w:rFonts w:hint="eastAsia" w:ascii="宋体" w:hAnsi="宋体"/>
          <w:snapToGrid w:val="0"/>
          <w:kern w:val="0"/>
          <w:szCs w:val="21"/>
        </w:rPr>
        <w:t>）被市场监督管理机关在全国企业信用信息公示系统中列入严重违法失信企业名单；</w:t>
      </w:r>
    </w:p>
    <w:p w14:paraId="51E1F25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lang w:val="en-US" w:eastAsia="zh-CN"/>
        </w:rPr>
        <w:t>4</w:t>
      </w:r>
      <w:r>
        <w:rPr>
          <w:rFonts w:ascii="宋体" w:hAnsi="宋体"/>
          <w:snapToGrid w:val="0"/>
          <w:kern w:val="0"/>
          <w:szCs w:val="21"/>
        </w:rPr>
        <w:t>）法律法规或投标人须知前附表规定的其他情形。</w:t>
      </w:r>
    </w:p>
    <w:p w14:paraId="3F924B66">
      <w:pPr>
        <w:pStyle w:val="4"/>
        <w:snapToGrid w:val="0"/>
        <w:spacing w:before="0" w:after="0" w:line="360" w:lineRule="auto"/>
        <w:rPr>
          <w:rFonts w:ascii="宋体" w:hAnsi="宋体"/>
          <w:b w:val="0"/>
          <w:snapToGrid w:val="0"/>
          <w:sz w:val="24"/>
          <w:szCs w:val="24"/>
        </w:rPr>
      </w:pPr>
      <w:bookmarkStart w:id="141" w:name="_Toc287607752"/>
      <w:bookmarkStart w:id="142" w:name="_Toc430530441"/>
      <w:bookmarkStart w:id="143" w:name="_Toc277082558"/>
      <w:bookmarkStart w:id="144" w:name="_Toc224103323"/>
      <w:bookmarkStart w:id="145" w:name="_Toc24862"/>
      <w:bookmarkStart w:id="146" w:name="_Toc509218716"/>
      <w:bookmarkStart w:id="147" w:name="_Toc287620691"/>
      <w:bookmarkStart w:id="148" w:name="_Toc200513132"/>
      <w:r>
        <w:rPr>
          <w:rFonts w:ascii="宋体" w:hAnsi="宋体"/>
          <w:b w:val="0"/>
          <w:snapToGrid w:val="0"/>
          <w:sz w:val="24"/>
          <w:szCs w:val="24"/>
        </w:rPr>
        <w:t>1.5  费用承担</w:t>
      </w:r>
      <w:bookmarkEnd w:id="141"/>
      <w:bookmarkEnd w:id="142"/>
      <w:bookmarkEnd w:id="143"/>
      <w:bookmarkEnd w:id="144"/>
      <w:bookmarkEnd w:id="145"/>
      <w:bookmarkEnd w:id="146"/>
      <w:bookmarkEnd w:id="147"/>
      <w:bookmarkEnd w:id="148"/>
    </w:p>
    <w:p w14:paraId="14B609DE">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投标人准备和参加投标活动发生的费用自理。</w:t>
      </w:r>
    </w:p>
    <w:p w14:paraId="768B8B54">
      <w:pPr>
        <w:pStyle w:val="4"/>
        <w:snapToGrid w:val="0"/>
        <w:spacing w:before="0" w:after="0" w:line="360" w:lineRule="auto"/>
        <w:rPr>
          <w:rFonts w:ascii="宋体" w:hAnsi="宋体"/>
          <w:b w:val="0"/>
          <w:snapToGrid w:val="0"/>
          <w:sz w:val="24"/>
          <w:szCs w:val="24"/>
        </w:rPr>
      </w:pPr>
      <w:bookmarkStart w:id="149" w:name="_Toc200513133"/>
      <w:bookmarkStart w:id="150" w:name="_Toc277082559"/>
      <w:bookmarkStart w:id="151" w:name="_Toc224103324"/>
      <w:bookmarkStart w:id="152" w:name="_Toc287607753"/>
      <w:bookmarkStart w:id="153" w:name="_Toc430530442"/>
      <w:bookmarkStart w:id="154" w:name="_Toc509218717"/>
      <w:bookmarkStart w:id="155" w:name="_Toc287620692"/>
      <w:bookmarkStart w:id="156" w:name="_Toc29037"/>
      <w:r>
        <w:rPr>
          <w:rFonts w:ascii="宋体" w:hAnsi="宋体"/>
          <w:b w:val="0"/>
          <w:snapToGrid w:val="0"/>
          <w:sz w:val="24"/>
          <w:szCs w:val="24"/>
        </w:rPr>
        <w:t>1.6  保密</w:t>
      </w:r>
      <w:bookmarkEnd w:id="149"/>
      <w:bookmarkEnd w:id="150"/>
      <w:bookmarkEnd w:id="151"/>
      <w:bookmarkEnd w:id="152"/>
      <w:bookmarkEnd w:id="153"/>
      <w:bookmarkEnd w:id="154"/>
      <w:bookmarkEnd w:id="155"/>
      <w:bookmarkEnd w:id="156"/>
    </w:p>
    <w:p w14:paraId="2E56468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参与招标投标活动的各方应对招标文件和投标文件中的商业和技术等秘密保密，否则应承担相应的法律责任。</w:t>
      </w:r>
    </w:p>
    <w:p w14:paraId="3C206AD6">
      <w:pPr>
        <w:pStyle w:val="4"/>
        <w:snapToGrid w:val="0"/>
        <w:spacing w:before="0" w:after="0" w:line="360" w:lineRule="auto"/>
        <w:rPr>
          <w:rFonts w:ascii="宋体" w:hAnsi="宋体"/>
          <w:b w:val="0"/>
          <w:snapToGrid w:val="0"/>
          <w:sz w:val="24"/>
          <w:szCs w:val="24"/>
        </w:rPr>
      </w:pPr>
      <w:bookmarkStart w:id="157" w:name="_Toc287620693"/>
      <w:bookmarkStart w:id="158" w:name="_Toc430530443"/>
      <w:bookmarkStart w:id="159" w:name="_Toc277082560"/>
      <w:bookmarkStart w:id="160" w:name="_Toc287607754"/>
      <w:bookmarkStart w:id="161" w:name="_Toc22634"/>
      <w:bookmarkStart w:id="162" w:name="_Toc200513134"/>
      <w:bookmarkStart w:id="163" w:name="_Toc509218718"/>
      <w:bookmarkStart w:id="164" w:name="_Toc224103325"/>
      <w:r>
        <w:rPr>
          <w:rFonts w:ascii="宋体" w:hAnsi="宋体"/>
          <w:b w:val="0"/>
          <w:snapToGrid w:val="0"/>
          <w:sz w:val="24"/>
          <w:szCs w:val="24"/>
        </w:rPr>
        <w:t>1.7  语言文字</w:t>
      </w:r>
      <w:bookmarkEnd w:id="157"/>
      <w:bookmarkEnd w:id="158"/>
      <w:bookmarkEnd w:id="159"/>
      <w:bookmarkEnd w:id="160"/>
      <w:bookmarkEnd w:id="161"/>
      <w:bookmarkEnd w:id="162"/>
      <w:bookmarkEnd w:id="163"/>
      <w:bookmarkEnd w:id="164"/>
    </w:p>
    <w:p w14:paraId="0FE023B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招标投标文件使用的语言文字为中文。专用术语使用外文的，应附有中文注释。</w:t>
      </w:r>
    </w:p>
    <w:p w14:paraId="42B1A54C">
      <w:pPr>
        <w:pStyle w:val="4"/>
        <w:snapToGrid w:val="0"/>
        <w:spacing w:before="0" w:after="0" w:line="360" w:lineRule="auto"/>
        <w:rPr>
          <w:rFonts w:ascii="宋体" w:hAnsi="宋体"/>
          <w:b w:val="0"/>
          <w:snapToGrid w:val="0"/>
          <w:sz w:val="24"/>
          <w:szCs w:val="24"/>
        </w:rPr>
      </w:pPr>
      <w:bookmarkStart w:id="165" w:name="_Toc277082561"/>
      <w:bookmarkStart w:id="166" w:name="_Toc224103326"/>
      <w:bookmarkStart w:id="167" w:name="_Toc287620694"/>
      <w:bookmarkStart w:id="168" w:name="_Toc287607755"/>
      <w:bookmarkStart w:id="169" w:name="_Toc200513135"/>
      <w:bookmarkStart w:id="170" w:name="_Toc509218719"/>
      <w:bookmarkStart w:id="171" w:name="_Toc5607"/>
      <w:bookmarkStart w:id="172" w:name="_Toc430530444"/>
      <w:r>
        <w:rPr>
          <w:rFonts w:ascii="宋体" w:hAnsi="宋体"/>
          <w:b w:val="0"/>
          <w:snapToGrid w:val="0"/>
          <w:sz w:val="24"/>
          <w:szCs w:val="24"/>
        </w:rPr>
        <w:t>1.8  计量单位</w:t>
      </w:r>
      <w:bookmarkEnd w:id="165"/>
      <w:bookmarkEnd w:id="166"/>
      <w:bookmarkEnd w:id="167"/>
      <w:bookmarkEnd w:id="168"/>
      <w:bookmarkEnd w:id="169"/>
      <w:bookmarkEnd w:id="170"/>
      <w:bookmarkEnd w:id="171"/>
      <w:bookmarkEnd w:id="172"/>
    </w:p>
    <w:p w14:paraId="44F5C873">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所有计量均采用中华人民共和国法定计量单位。</w:t>
      </w:r>
    </w:p>
    <w:p w14:paraId="77C3BE05">
      <w:pPr>
        <w:pStyle w:val="4"/>
        <w:snapToGrid w:val="0"/>
        <w:spacing w:before="0" w:after="0" w:line="360" w:lineRule="auto"/>
        <w:rPr>
          <w:rFonts w:ascii="宋体" w:hAnsi="宋体"/>
          <w:b w:val="0"/>
          <w:snapToGrid w:val="0"/>
          <w:sz w:val="24"/>
          <w:szCs w:val="24"/>
        </w:rPr>
      </w:pPr>
      <w:bookmarkStart w:id="173" w:name="_Toc277082563"/>
      <w:bookmarkStart w:id="174" w:name="_Toc224103328"/>
      <w:bookmarkStart w:id="175" w:name="_Toc287620696"/>
      <w:bookmarkStart w:id="176" w:name="_Toc6015"/>
      <w:bookmarkStart w:id="177" w:name="_Toc200513137"/>
      <w:bookmarkStart w:id="178" w:name="_Toc509218721"/>
      <w:bookmarkStart w:id="179" w:name="_Toc287607757"/>
      <w:bookmarkStart w:id="180" w:name="_Toc430530446"/>
      <w:r>
        <w:rPr>
          <w:rFonts w:ascii="宋体" w:hAnsi="宋体"/>
          <w:b w:val="0"/>
          <w:snapToGrid w:val="0"/>
          <w:sz w:val="24"/>
          <w:szCs w:val="24"/>
        </w:rPr>
        <w:t>1.</w:t>
      </w:r>
      <w:r>
        <w:rPr>
          <w:rFonts w:hint="eastAsia" w:ascii="宋体" w:hAnsi="宋体"/>
          <w:b w:val="0"/>
          <w:snapToGrid w:val="0"/>
          <w:sz w:val="24"/>
          <w:szCs w:val="24"/>
        </w:rPr>
        <w:t>9</w:t>
      </w:r>
      <w:r>
        <w:rPr>
          <w:rFonts w:ascii="宋体" w:hAnsi="宋体"/>
          <w:b w:val="0"/>
          <w:snapToGrid w:val="0"/>
          <w:sz w:val="24"/>
          <w:szCs w:val="24"/>
        </w:rPr>
        <w:t xml:space="preserve">  投标预备会</w:t>
      </w:r>
      <w:bookmarkEnd w:id="173"/>
      <w:bookmarkEnd w:id="174"/>
      <w:bookmarkEnd w:id="175"/>
      <w:bookmarkEnd w:id="176"/>
      <w:bookmarkEnd w:id="177"/>
      <w:bookmarkEnd w:id="178"/>
      <w:bookmarkEnd w:id="179"/>
      <w:bookmarkEnd w:id="180"/>
    </w:p>
    <w:p w14:paraId="6D5DB0C5">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.1  投标人须知前附表规定召开投标预备会的，招标人按投标人须知前附表规定的时间和地点召开投标预备会，澄清投标人提出的问题。</w:t>
      </w:r>
    </w:p>
    <w:p w14:paraId="10CE7D20">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.2  投标人应按投标人须知前附表规定的时间和形式将提出的问题送达招标人，以便招标人在会议期间澄清</w:t>
      </w:r>
      <w:r>
        <w:rPr>
          <w:rFonts w:hint="eastAsia" w:ascii="宋体" w:hAnsi="宋体"/>
          <w:snapToGrid w:val="0"/>
          <w:kern w:val="0"/>
          <w:szCs w:val="21"/>
        </w:rPr>
        <w:t>。</w:t>
      </w:r>
    </w:p>
    <w:p w14:paraId="6FA05EBC">
      <w:pPr>
        <w:autoSpaceDE w:val="0"/>
        <w:autoSpaceDN w:val="0"/>
        <w:adjustRightInd w:val="0"/>
        <w:snapToGrid w:val="0"/>
        <w:spacing w:line="360" w:lineRule="auto"/>
        <w:ind w:firstLine="424" w:firstLineChars="202"/>
        <w:rPr>
          <w:rFonts w:ascii="宋体" w:hAnsi="宋体"/>
          <w:snapToGrid w:val="0"/>
          <w:kern w:val="0"/>
          <w:szCs w:val="21"/>
        </w:rPr>
      </w:pPr>
      <w:r>
        <w:rPr>
          <w:rFonts w:ascii="宋体" w:hAnsi="宋体"/>
          <w:snapToGrid w:val="0"/>
          <w:kern w:val="0"/>
          <w:szCs w:val="21"/>
        </w:rPr>
        <w:t>1.</w:t>
      </w:r>
      <w:r>
        <w:rPr>
          <w:rFonts w:hint="eastAsia" w:ascii="宋体" w:hAnsi="宋体"/>
          <w:snapToGrid w:val="0"/>
          <w:kern w:val="0"/>
          <w:szCs w:val="21"/>
        </w:rPr>
        <w:t>9</w:t>
      </w:r>
      <w:r>
        <w:rPr>
          <w:rFonts w:ascii="宋体" w:hAnsi="宋体"/>
          <w:snapToGrid w:val="0"/>
          <w:kern w:val="0"/>
          <w:szCs w:val="21"/>
        </w:rPr>
        <w:t>.3  投标预备会后，招标人将对投标人所提问题的澄清，以投标人须知前附表规定的形式通知所有</w:t>
      </w:r>
      <w:r>
        <w:rPr>
          <w:rFonts w:hint="eastAsia" w:ascii="宋体" w:hAnsi="宋体"/>
          <w:snapToGrid w:val="0"/>
          <w:kern w:val="0"/>
          <w:szCs w:val="21"/>
        </w:rPr>
        <w:t>潜在</w:t>
      </w:r>
      <w:r>
        <w:rPr>
          <w:rFonts w:ascii="宋体" w:hAnsi="宋体"/>
          <w:snapToGrid w:val="0"/>
          <w:kern w:val="0"/>
          <w:szCs w:val="21"/>
        </w:rPr>
        <w:t>投标人。该澄清内容为招标文件的组成部分。</w:t>
      </w:r>
    </w:p>
    <w:p w14:paraId="23218751">
      <w:pPr>
        <w:pStyle w:val="4"/>
        <w:snapToGrid w:val="0"/>
        <w:spacing w:before="0" w:after="0" w:line="360" w:lineRule="auto"/>
        <w:rPr>
          <w:rFonts w:ascii="宋体" w:hAnsi="宋体"/>
          <w:b w:val="0"/>
          <w:snapToGrid w:val="0"/>
          <w:sz w:val="24"/>
          <w:szCs w:val="24"/>
        </w:rPr>
      </w:pPr>
      <w:bookmarkStart w:id="181" w:name="_Toc224103329"/>
      <w:bookmarkStart w:id="182" w:name="_Toc430530447"/>
      <w:bookmarkStart w:id="183" w:name="_Toc277082564"/>
      <w:bookmarkStart w:id="184" w:name="_Toc200513138"/>
      <w:bookmarkStart w:id="185" w:name="_Toc287607758"/>
      <w:bookmarkStart w:id="186" w:name="_Toc287620697"/>
      <w:bookmarkStart w:id="187" w:name="_Toc509218722"/>
      <w:bookmarkStart w:id="188" w:name="_Toc28729"/>
      <w:r>
        <w:rPr>
          <w:rFonts w:ascii="宋体" w:hAnsi="宋体"/>
          <w:b w:val="0"/>
          <w:snapToGrid w:val="0"/>
          <w:sz w:val="24"/>
          <w:szCs w:val="24"/>
        </w:rPr>
        <w:t>1.1</w:t>
      </w:r>
      <w:r>
        <w:rPr>
          <w:rFonts w:hint="eastAsia" w:ascii="宋体" w:hAnsi="宋体"/>
          <w:b w:val="0"/>
          <w:snapToGrid w:val="0"/>
          <w:sz w:val="24"/>
          <w:szCs w:val="24"/>
        </w:rPr>
        <w:t>0</w:t>
      </w:r>
      <w:r>
        <w:rPr>
          <w:rFonts w:ascii="宋体" w:hAnsi="宋体"/>
          <w:b w:val="0"/>
          <w:snapToGrid w:val="0"/>
          <w:sz w:val="24"/>
          <w:szCs w:val="24"/>
        </w:rPr>
        <w:t xml:space="preserve">  分包</w:t>
      </w:r>
      <w:bookmarkEnd w:id="181"/>
      <w:bookmarkEnd w:id="182"/>
      <w:bookmarkEnd w:id="183"/>
      <w:bookmarkEnd w:id="184"/>
      <w:bookmarkEnd w:id="185"/>
      <w:bookmarkEnd w:id="186"/>
      <w:bookmarkEnd w:id="187"/>
      <w:bookmarkEnd w:id="188"/>
    </w:p>
    <w:p w14:paraId="6A3738A6">
      <w:pPr>
        <w:autoSpaceDE w:val="0"/>
        <w:autoSpaceDN w:val="0"/>
        <w:adjustRightInd w:val="0"/>
        <w:snapToGrid w:val="0"/>
        <w:spacing w:line="360" w:lineRule="auto"/>
        <w:ind w:firstLine="426"/>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.1  投标人拟在中标后将中标项目的非主体</w:t>
      </w:r>
      <w:r>
        <w:rPr>
          <w:rFonts w:hint="eastAsia" w:ascii="宋体" w:hAnsi="宋体"/>
          <w:snapToGrid w:val="0"/>
          <w:kern w:val="0"/>
          <w:szCs w:val="21"/>
        </w:rPr>
        <w:t>货物</w:t>
      </w:r>
      <w:r>
        <w:rPr>
          <w:rFonts w:ascii="宋体" w:hAnsi="宋体"/>
          <w:snapToGrid w:val="0"/>
          <w:kern w:val="0"/>
          <w:szCs w:val="21"/>
        </w:rPr>
        <w:t>进行分包的，应符合投标人须知前附表规定的分包内容、分包金额和资质要求等限制性条件，除投标人须知前附表规定的非主体</w:t>
      </w:r>
      <w:r>
        <w:rPr>
          <w:rFonts w:hint="eastAsia" w:ascii="宋体" w:hAnsi="宋体"/>
          <w:snapToGrid w:val="0"/>
          <w:kern w:val="0"/>
          <w:szCs w:val="21"/>
        </w:rPr>
        <w:t>货物</w:t>
      </w:r>
      <w:r>
        <w:rPr>
          <w:rFonts w:ascii="宋体" w:hAnsi="宋体"/>
          <w:snapToGrid w:val="0"/>
          <w:kern w:val="0"/>
          <w:szCs w:val="21"/>
        </w:rPr>
        <w:t>外，其他工作不得分包。</w:t>
      </w:r>
    </w:p>
    <w:p w14:paraId="3C470631">
      <w:pPr>
        <w:autoSpaceDE w:val="0"/>
        <w:autoSpaceDN w:val="0"/>
        <w:adjustRightInd w:val="0"/>
        <w:snapToGrid w:val="0"/>
        <w:spacing w:line="360" w:lineRule="auto"/>
        <w:ind w:firstLine="426"/>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0</w:t>
      </w:r>
      <w:r>
        <w:rPr>
          <w:rFonts w:ascii="宋体" w:hAnsi="宋体"/>
          <w:snapToGrid w:val="0"/>
          <w:kern w:val="0"/>
          <w:szCs w:val="21"/>
        </w:rPr>
        <w:t xml:space="preserve">.2  </w:t>
      </w:r>
      <w:r>
        <w:t>中标人不得向他人转让中标项目，接受分包的人不得再次分包。中标人应当就分包项目向招标人负责，接受分包的人就分包项目承担连带责任。</w:t>
      </w:r>
    </w:p>
    <w:p w14:paraId="0AAE1FE1">
      <w:pPr>
        <w:pStyle w:val="4"/>
        <w:snapToGrid w:val="0"/>
        <w:spacing w:before="0" w:after="0" w:line="360" w:lineRule="auto"/>
        <w:rPr>
          <w:rFonts w:ascii="宋体" w:hAnsi="宋体"/>
          <w:b w:val="0"/>
          <w:snapToGrid w:val="0"/>
          <w:sz w:val="24"/>
          <w:szCs w:val="24"/>
        </w:rPr>
      </w:pPr>
      <w:bookmarkStart w:id="189" w:name="_Toc287620698"/>
      <w:bookmarkStart w:id="190" w:name="_Toc430530448"/>
      <w:bookmarkStart w:id="191" w:name="_Toc200513139"/>
      <w:bookmarkStart w:id="192" w:name="_Toc509218723"/>
      <w:bookmarkStart w:id="193" w:name="_Toc277082565"/>
      <w:bookmarkStart w:id="194" w:name="_Toc287607759"/>
      <w:bookmarkStart w:id="195" w:name="_Toc224103330"/>
      <w:bookmarkStart w:id="196" w:name="_Toc27252"/>
      <w:r>
        <w:rPr>
          <w:rFonts w:ascii="宋体" w:hAnsi="宋体"/>
          <w:b w:val="0"/>
          <w:snapToGrid w:val="0"/>
          <w:sz w:val="24"/>
          <w:szCs w:val="24"/>
        </w:rPr>
        <w:t>1.1</w:t>
      </w:r>
      <w:r>
        <w:rPr>
          <w:rFonts w:hint="eastAsia" w:ascii="宋体" w:hAnsi="宋体"/>
          <w:b w:val="0"/>
          <w:snapToGrid w:val="0"/>
          <w:sz w:val="24"/>
          <w:szCs w:val="24"/>
        </w:rPr>
        <w:t>1</w:t>
      </w:r>
      <w:r>
        <w:rPr>
          <w:rFonts w:ascii="宋体" w:hAnsi="宋体"/>
          <w:b w:val="0"/>
          <w:snapToGrid w:val="0"/>
          <w:sz w:val="24"/>
          <w:szCs w:val="24"/>
        </w:rPr>
        <w:t xml:space="preserve">  </w:t>
      </w:r>
      <w:bookmarkEnd w:id="189"/>
      <w:bookmarkEnd w:id="190"/>
      <w:bookmarkEnd w:id="191"/>
      <w:bookmarkEnd w:id="192"/>
      <w:bookmarkEnd w:id="193"/>
      <w:bookmarkEnd w:id="194"/>
      <w:bookmarkEnd w:id="195"/>
      <w:r>
        <w:rPr>
          <w:rFonts w:hint="eastAsia" w:ascii="宋体" w:hAnsi="宋体"/>
          <w:b w:val="0"/>
          <w:snapToGrid w:val="0"/>
          <w:sz w:val="24"/>
          <w:szCs w:val="24"/>
        </w:rPr>
        <w:t>响应和偏差</w:t>
      </w:r>
      <w:bookmarkEnd w:id="196"/>
    </w:p>
    <w:p w14:paraId="6E6B924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1</w:t>
      </w:r>
      <w:r>
        <w:rPr>
          <w:rFonts w:ascii="宋体" w:hAnsi="宋体"/>
          <w:snapToGrid w:val="0"/>
          <w:kern w:val="0"/>
          <w:szCs w:val="21"/>
        </w:rPr>
        <w:t xml:space="preserve">  投标人应根据招标文件的要求提供</w:t>
      </w:r>
      <w:r>
        <w:rPr>
          <w:spacing w:val="-3"/>
        </w:rPr>
        <w:t>投标设备技术性能指标的详细描述、技术支持资料及技术服务和</w:t>
      </w:r>
      <w:r>
        <w:rPr>
          <w:rFonts w:hint="eastAsia"/>
          <w:spacing w:val="-3"/>
          <w:lang w:eastAsia="zh-CN"/>
        </w:rPr>
        <w:t>质量保证期</w:t>
      </w:r>
      <w:r>
        <w:rPr>
          <w:spacing w:val="-3"/>
        </w:rPr>
        <w:t>服务计划等内容以对招标文件作出响应</w:t>
      </w:r>
      <w:r>
        <w:rPr>
          <w:rFonts w:ascii="宋体" w:hAnsi="宋体"/>
          <w:snapToGrid w:val="0"/>
          <w:kern w:val="0"/>
          <w:szCs w:val="21"/>
        </w:rPr>
        <w:t>。</w:t>
      </w:r>
    </w:p>
    <w:p w14:paraId="3716CD2B">
      <w:pPr>
        <w:autoSpaceDE w:val="0"/>
        <w:autoSpaceDN w:val="0"/>
        <w:adjustRightInd w:val="0"/>
        <w:snapToGrid w:val="0"/>
        <w:spacing w:line="360" w:lineRule="auto"/>
        <w:ind w:firstLine="420" w:firstLineChars="200"/>
        <w:rPr>
          <w:spacing w:val="-3"/>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2</w:t>
      </w:r>
      <w:r>
        <w:rPr>
          <w:rFonts w:ascii="宋体" w:hAnsi="宋体"/>
          <w:snapToGrid w:val="0"/>
          <w:kern w:val="0"/>
          <w:szCs w:val="21"/>
        </w:rPr>
        <w:t xml:space="preserve">  </w:t>
      </w:r>
      <w:r>
        <w:rPr>
          <w:spacing w:val="-3"/>
        </w:rPr>
        <w:t>投标文件中应针对实质性要求和条件中列明的技术要求提供技术支持资料。</w:t>
      </w:r>
    </w:p>
    <w:p w14:paraId="754C4AC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3</w:t>
      </w:r>
      <w:r>
        <w:rPr>
          <w:rFonts w:ascii="宋体" w:hAnsi="宋体"/>
          <w:snapToGrid w:val="0"/>
          <w:kern w:val="0"/>
          <w:szCs w:val="21"/>
        </w:rPr>
        <w:t xml:space="preserve">  </w:t>
      </w:r>
      <w:r>
        <w:rPr>
          <w:spacing w:val="-3"/>
        </w:rPr>
        <w:t>投标人须知前附表规定了</w:t>
      </w:r>
      <w:r>
        <w:rPr>
          <w:rFonts w:hint="eastAsia"/>
          <w:spacing w:val="-3"/>
        </w:rPr>
        <w:t>允许偏差</w:t>
      </w:r>
      <w:r>
        <w:rPr>
          <w:spacing w:val="-3"/>
        </w:rPr>
        <w:t>和最高偏差项数的，</w:t>
      </w:r>
      <w:r>
        <w:rPr>
          <w:rFonts w:hint="eastAsia"/>
          <w:spacing w:val="-3"/>
        </w:rPr>
        <w:t>投标文件的</w:t>
      </w:r>
      <w:r>
        <w:rPr>
          <w:spacing w:val="-3"/>
        </w:rPr>
        <w:t>偏差</w:t>
      </w:r>
      <w:r>
        <w:rPr>
          <w:rFonts w:hint="eastAsia"/>
          <w:spacing w:val="-3"/>
        </w:rPr>
        <w:t>项数</w:t>
      </w:r>
      <w:r>
        <w:rPr>
          <w:spacing w:val="-3"/>
        </w:rPr>
        <w:t>应当符合投标人须知前附表的规定。</w:t>
      </w:r>
    </w:p>
    <w:p w14:paraId="45F2B26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1</w:t>
      </w:r>
      <w:r>
        <w:rPr>
          <w:rFonts w:ascii="宋体" w:hAnsi="宋体"/>
          <w:snapToGrid w:val="0"/>
          <w:kern w:val="0"/>
          <w:szCs w:val="21"/>
        </w:rPr>
        <w:t>.1</w:t>
      </w:r>
      <w:r>
        <w:rPr>
          <w:rFonts w:hint="eastAsia" w:ascii="宋体" w:hAnsi="宋体"/>
          <w:snapToGrid w:val="0"/>
          <w:kern w:val="0"/>
          <w:szCs w:val="21"/>
        </w:rPr>
        <w:t>1</w:t>
      </w:r>
      <w:r>
        <w:rPr>
          <w:rFonts w:ascii="宋体" w:hAnsi="宋体"/>
          <w:snapToGrid w:val="0"/>
          <w:kern w:val="0"/>
          <w:szCs w:val="21"/>
        </w:rPr>
        <w:t>.</w:t>
      </w:r>
      <w:r>
        <w:rPr>
          <w:rFonts w:hint="eastAsia" w:ascii="宋体" w:hAnsi="宋体"/>
          <w:snapToGrid w:val="0"/>
          <w:kern w:val="0"/>
          <w:szCs w:val="21"/>
          <w:lang w:val="en-US" w:eastAsia="zh-CN"/>
        </w:rPr>
        <w:t>4</w:t>
      </w:r>
      <w:r>
        <w:rPr>
          <w:rFonts w:ascii="宋体" w:hAnsi="宋体"/>
          <w:snapToGrid w:val="0"/>
          <w:kern w:val="0"/>
          <w:szCs w:val="21"/>
        </w:rPr>
        <w:t xml:space="preserve">  </w:t>
      </w:r>
      <w:r>
        <w:rPr>
          <w:spacing w:val="-3"/>
        </w:rPr>
        <w:t>投标文件对招标文件的全部偏差，均应在投标文件的商务和技术偏差表中列明，除列明的内容外，视为投标人响应招标文件的全部要求。</w:t>
      </w:r>
    </w:p>
    <w:p w14:paraId="7413EAEA">
      <w:pPr>
        <w:pStyle w:val="3"/>
        <w:spacing w:before="0" w:after="0" w:line="360" w:lineRule="auto"/>
        <w:rPr>
          <w:rFonts w:ascii="宋体" w:hAnsi="宋体"/>
          <w:b w:val="0"/>
          <w:snapToGrid w:val="0"/>
        </w:rPr>
      </w:pPr>
      <w:bookmarkStart w:id="197" w:name="_Toc22459"/>
      <w:bookmarkStart w:id="198" w:name="_Toc287620699"/>
      <w:bookmarkStart w:id="199" w:name="_Toc277082566"/>
      <w:bookmarkStart w:id="200" w:name="_Toc200513140"/>
      <w:bookmarkStart w:id="201" w:name="_Toc430530449"/>
      <w:bookmarkStart w:id="202" w:name="_Toc509218724"/>
      <w:bookmarkStart w:id="203" w:name="_Toc287607760"/>
      <w:bookmarkStart w:id="204" w:name="_Toc224103331"/>
      <w:r>
        <w:rPr>
          <w:rFonts w:ascii="宋体" w:hAnsi="宋体"/>
          <w:b w:val="0"/>
          <w:snapToGrid w:val="0"/>
        </w:rPr>
        <w:t>2.  招标文件</w:t>
      </w:r>
      <w:bookmarkEnd w:id="197"/>
      <w:bookmarkEnd w:id="198"/>
      <w:bookmarkEnd w:id="199"/>
      <w:bookmarkEnd w:id="200"/>
      <w:bookmarkEnd w:id="201"/>
      <w:bookmarkEnd w:id="202"/>
      <w:bookmarkEnd w:id="203"/>
      <w:bookmarkEnd w:id="204"/>
    </w:p>
    <w:p w14:paraId="1A279201">
      <w:pPr>
        <w:pStyle w:val="4"/>
        <w:snapToGrid w:val="0"/>
        <w:spacing w:before="0" w:after="0" w:line="360" w:lineRule="auto"/>
        <w:rPr>
          <w:rFonts w:ascii="宋体" w:hAnsi="宋体"/>
          <w:b w:val="0"/>
          <w:snapToGrid w:val="0"/>
          <w:sz w:val="24"/>
          <w:szCs w:val="24"/>
        </w:rPr>
      </w:pPr>
      <w:bookmarkStart w:id="205" w:name="_Toc509218725"/>
      <w:bookmarkStart w:id="206" w:name="_Toc224103332"/>
      <w:bookmarkStart w:id="207" w:name="_Toc277082567"/>
      <w:bookmarkStart w:id="208" w:name="_Toc287620700"/>
      <w:bookmarkStart w:id="209" w:name="_Toc200513141"/>
      <w:bookmarkStart w:id="210" w:name="_Toc115"/>
      <w:bookmarkStart w:id="211" w:name="_Toc287607761"/>
      <w:bookmarkStart w:id="212" w:name="_Toc430530450"/>
      <w:r>
        <w:rPr>
          <w:rFonts w:ascii="宋体" w:hAnsi="宋体"/>
          <w:b w:val="0"/>
          <w:snapToGrid w:val="0"/>
          <w:sz w:val="24"/>
          <w:szCs w:val="24"/>
        </w:rPr>
        <w:t>2.1  招标文件的组成</w:t>
      </w:r>
      <w:bookmarkEnd w:id="205"/>
      <w:bookmarkEnd w:id="206"/>
      <w:bookmarkEnd w:id="207"/>
      <w:bookmarkEnd w:id="208"/>
      <w:bookmarkEnd w:id="209"/>
      <w:bookmarkEnd w:id="210"/>
      <w:bookmarkEnd w:id="211"/>
      <w:bookmarkEnd w:id="212"/>
    </w:p>
    <w:p w14:paraId="280175F6">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本招标文件包括：</w:t>
      </w:r>
    </w:p>
    <w:p w14:paraId="1B7D2C98">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（1）招标公告（或投标邀请书）；</w:t>
      </w:r>
    </w:p>
    <w:p w14:paraId="525CDEED">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（2）投标人须知；</w:t>
      </w:r>
    </w:p>
    <w:p w14:paraId="42D6E182">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（3）评标办法；</w:t>
      </w:r>
    </w:p>
    <w:p w14:paraId="46B3F766">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（4）合同条款及格式；</w:t>
      </w:r>
    </w:p>
    <w:p w14:paraId="6B765758">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（5）</w:t>
      </w:r>
      <w:r>
        <w:rPr>
          <w:rFonts w:hint="eastAsia" w:ascii="宋体" w:hAnsi="宋体"/>
          <w:snapToGrid w:val="0"/>
          <w:kern w:val="0"/>
          <w:szCs w:val="21"/>
        </w:rPr>
        <w:t>供货要求</w:t>
      </w:r>
      <w:r>
        <w:rPr>
          <w:rFonts w:ascii="宋体" w:hAnsi="宋体"/>
          <w:snapToGrid w:val="0"/>
          <w:kern w:val="0"/>
          <w:szCs w:val="21"/>
        </w:rPr>
        <w:t>；</w:t>
      </w:r>
    </w:p>
    <w:p w14:paraId="6AADD6A1">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（6）投标文件格式；</w:t>
      </w:r>
    </w:p>
    <w:p w14:paraId="57E7BFD3">
      <w:pPr>
        <w:autoSpaceDE w:val="0"/>
        <w:autoSpaceDN w:val="0"/>
        <w:adjustRightInd w:val="0"/>
        <w:snapToGrid w:val="0"/>
        <w:spacing w:line="360" w:lineRule="auto"/>
        <w:ind w:left="359" w:leftChars="171"/>
        <w:rPr>
          <w:rFonts w:ascii="宋体" w:hAnsi="宋体"/>
          <w:snapToGrid w:val="0"/>
          <w:kern w:val="0"/>
          <w:szCs w:val="21"/>
        </w:rPr>
      </w:pPr>
      <w:r>
        <w:rPr>
          <w:rFonts w:ascii="宋体" w:hAnsi="宋体"/>
          <w:snapToGrid w:val="0"/>
          <w:kern w:val="0"/>
          <w:szCs w:val="21"/>
        </w:rPr>
        <w:t>（7）投标人须知前附表规定的其他材料。</w:t>
      </w:r>
    </w:p>
    <w:p w14:paraId="10491FA3">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根据本章第1.10款、第2.2款和第2.3款对招标文件所作的澄清、修改，构成招标文件的组成部分。</w:t>
      </w:r>
    </w:p>
    <w:p w14:paraId="15B1FF01">
      <w:pPr>
        <w:pStyle w:val="4"/>
        <w:snapToGrid w:val="0"/>
        <w:spacing w:before="0" w:after="0" w:line="360" w:lineRule="auto"/>
        <w:rPr>
          <w:rFonts w:ascii="宋体" w:hAnsi="宋体"/>
          <w:b w:val="0"/>
          <w:snapToGrid w:val="0"/>
          <w:sz w:val="24"/>
          <w:szCs w:val="24"/>
        </w:rPr>
      </w:pPr>
      <w:bookmarkStart w:id="213" w:name="_Toc26452"/>
      <w:bookmarkStart w:id="214" w:name="_Toc509218726"/>
      <w:bookmarkStart w:id="215" w:name="_Toc430530451"/>
      <w:r>
        <w:rPr>
          <w:rFonts w:ascii="宋体" w:hAnsi="宋体"/>
          <w:b w:val="0"/>
          <w:snapToGrid w:val="0"/>
          <w:sz w:val="24"/>
          <w:szCs w:val="24"/>
        </w:rPr>
        <w:t>2.2  招标文件的澄清</w:t>
      </w:r>
      <w:bookmarkEnd w:id="213"/>
      <w:bookmarkEnd w:id="214"/>
      <w:bookmarkEnd w:id="215"/>
    </w:p>
    <w:p w14:paraId="35616B09">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2.2.1  投标人应仔细阅读和检查招标文件的全部内容。如发现缺页或附件不全，应及时向招标人提出，以便补齐。如有疑问，应</w:t>
      </w:r>
      <w:r>
        <w:rPr>
          <w:rFonts w:hint="eastAsia" w:ascii="宋体" w:hAnsi="宋体"/>
          <w:snapToGrid w:val="0"/>
          <w:kern w:val="0"/>
          <w:szCs w:val="21"/>
        </w:rPr>
        <w:t>按</w:t>
      </w:r>
      <w:r>
        <w:rPr>
          <w:rFonts w:ascii="宋体" w:hAnsi="宋体"/>
          <w:snapToGrid w:val="0"/>
          <w:kern w:val="0"/>
          <w:szCs w:val="21"/>
        </w:rPr>
        <w:t>投标人须知前附表规定的时间和形式提出问题，要求招标人对招标文件予以澄清。</w:t>
      </w:r>
    </w:p>
    <w:p w14:paraId="299D9730">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2.2.2  招标文件的澄清</w:t>
      </w:r>
      <w:r>
        <w:rPr>
          <w:rFonts w:hint="eastAsia" w:ascii="宋体" w:hAnsi="宋体"/>
          <w:snapToGrid w:val="0"/>
          <w:kern w:val="0"/>
          <w:szCs w:val="21"/>
        </w:rPr>
        <w:t>按</w:t>
      </w:r>
      <w:r>
        <w:rPr>
          <w:rFonts w:ascii="宋体" w:hAnsi="宋体"/>
          <w:snapToGrid w:val="0"/>
          <w:kern w:val="0"/>
          <w:szCs w:val="21"/>
        </w:rPr>
        <w:t>投标人须知前附表规定的</w:t>
      </w:r>
      <w:r>
        <w:rPr>
          <w:rFonts w:hint="eastAsia" w:ascii="宋体" w:hAnsi="宋体"/>
          <w:snapToGrid w:val="0"/>
          <w:kern w:val="0"/>
          <w:szCs w:val="21"/>
        </w:rPr>
        <w:t>时间和</w:t>
      </w:r>
      <w:r>
        <w:rPr>
          <w:rFonts w:ascii="宋体" w:hAnsi="宋体"/>
          <w:snapToGrid w:val="0"/>
          <w:kern w:val="0"/>
          <w:szCs w:val="21"/>
        </w:rPr>
        <w:t>形式发给所有</w:t>
      </w:r>
      <w:r>
        <w:rPr>
          <w:rFonts w:hint="eastAsia" w:ascii="宋体" w:hAnsi="宋体"/>
          <w:snapToGrid w:val="0"/>
          <w:kern w:val="0"/>
          <w:szCs w:val="21"/>
        </w:rPr>
        <w:t>潜在</w:t>
      </w:r>
      <w:r>
        <w:rPr>
          <w:rFonts w:ascii="宋体" w:hAnsi="宋体"/>
          <w:snapToGrid w:val="0"/>
          <w:kern w:val="0"/>
          <w:szCs w:val="21"/>
        </w:rPr>
        <w:t>投标人，但不指明澄清问题的来源。</w:t>
      </w:r>
    </w:p>
    <w:p w14:paraId="51F48FE1">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 xml:space="preserve">2.2.3  </w:t>
      </w:r>
      <w:r>
        <w:rPr>
          <w:rFonts w:ascii="宋体" w:hAnsi="宋体"/>
          <w:kern w:val="0"/>
          <w:szCs w:val="21"/>
        </w:rPr>
        <w:t>投标人在收到澄清后，应</w:t>
      </w:r>
      <w:r>
        <w:rPr>
          <w:rFonts w:hint="eastAsia" w:ascii="宋体" w:hAnsi="宋体"/>
          <w:kern w:val="0"/>
          <w:szCs w:val="21"/>
        </w:rPr>
        <w:t>向</w:t>
      </w:r>
      <w:r>
        <w:rPr>
          <w:rFonts w:ascii="宋体" w:hAnsi="宋体"/>
          <w:kern w:val="0"/>
          <w:szCs w:val="21"/>
        </w:rPr>
        <w:t>招标人确认已收到该澄清。</w:t>
      </w:r>
      <w:r>
        <w:rPr>
          <w:rFonts w:hint="eastAsia" w:ascii="宋体" w:hAnsi="宋体"/>
          <w:kern w:val="0"/>
          <w:szCs w:val="21"/>
        </w:rPr>
        <w:t>招标人采用网络媒介公开发布澄清的，无论投标人是否查看，均视为所有潜在投标人清楚知晓澄清全部内容。投标人应在投标截止时间前密切关注澄清发布媒介发出的相关内容。</w:t>
      </w:r>
    </w:p>
    <w:p w14:paraId="775DB697">
      <w:pPr>
        <w:autoSpaceDE w:val="0"/>
        <w:autoSpaceDN w:val="0"/>
        <w:adjustRightInd w:val="0"/>
        <w:snapToGrid w:val="0"/>
        <w:spacing w:line="360" w:lineRule="auto"/>
        <w:ind w:firstLine="420" w:firstLineChars="200"/>
        <w:rPr>
          <w:rFonts w:ascii="宋体" w:hAnsi="宋体"/>
          <w:snapToGrid w:val="0"/>
          <w:kern w:val="0"/>
          <w:position w:val="-2"/>
          <w:szCs w:val="21"/>
        </w:rPr>
      </w:pPr>
      <w:r>
        <w:rPr>
          <w:rFonts w:ascii="宋体" w:hAnsi="宋体"/>
          <w:snapToGrid w:val="0"/>
          <w:kern w:val="0"/>
          <w:position w:val="-2"/>
          <w:szCs w:val="21"/>
        </w:rPr>
        <w:t>2.2.4  除非招标人认为确有必要答复，否则，招标人有权拒绝回复投标人在本章第2.2.1项规定的时间后的任何澄清要求。</w:t>
      </w:r>
    </w:p>
    <w:p w14:paraId="32EEE017">
      <w:pPr>
        <w:pStyle w:val="4"/>
        <w:snapToGrid w:val="0"/>
        <w:spacing w:before="0" w:after="0" w:line="360" w:lineRule="auto"/>
        <w:rPr>
          <w:rFonts w:ascii="宋体" w:hAnsi="宋体"/>
          <w:b w:val="0"/>
          <w:snapToGrid w:val="0"/>
          <w:sz w:val="24"/>
          <w:szCs w:val="24"/>
        </w:rPr>
      </w:pPr>
      <w:bookmarkStart w:id="216" w:name="_Toc287620702"/>
      <w:bookmarkStart w:id="217" w:name="_Toc509218727"/>
      <w:bookmarkStart w:id="218" w:name="_Toc287607763"/>
      <w:bookmarkStart w:id="219" w:name="_Toc277082569"/>
      <w:bookmarkStart w:id="220" w:name="_Toc224103334"/>
      <w:bookmarkStart w:id="221" w:name="_Toc200513143"/>
      <w:bookmarkStart w:id="222" w:name="_Toc430530452"/>
      <w:bookmarkStart w:id="223" w:name="_Toc14212"/>
      <w:r>
        <w:rPr>
          <w:rFonts w:ascii="宋体" w:hAnsi="宋体"/>
          <w:b w:val="0"/>
          <w:snapToGrid w:val="0"/>
          <w:sz w:val="24"/>
          <w:szCs w:val="24"/>
        </w:rPr>
        <w:t>2.3  招标文件的修改</w:t>
      </w:r>
      <w:bookmarkEnd w:id="216"/>
      <w:bookmarkEnd w:id="217"/>
      <w:bookmarkEnd w:id="218"/>
      <w:bookmarkEnd w:id="219"/>
      <w:bookmarkEnd w:id="220"/>
      <w:bookmarkEnd w:id="221"/>
      <w:bookmarkEnd w:id="222"/>
      <w:bookmarkEnd w:id="223"/>
    </w:p>
    <w:p w14:paraId="19E3DEFB">
      <w:pPr>
        <w:autoSpaceDE w:val="0"/>
        <w:autoSpaceDN w:val="0"/>
        <w:adjustRightInd w:val="0"/>
        <w:snapToGrid w:val="0"/>
        <w:spacing w:line="360" w:lineRule="auto"/>
        <w:ind w:firstLine="420"/>
        <w:rPr>
          <w:rFonts w:hint="eastAsia" w:ascii="宋体" w:hAnsi="宋体"/>
          <w:snapToGrid w:val="0"/>
        </w:rPr>
      </w:pPr>
      <w:bookmarkStart w:id="224" w:name="_Toc224103335"/>
      <w:bookmarkStart w:id="225" w:name="_Toc200513144"/>
      <w:bookmarkStart w:id="226" w:name="_Toc287620703"/>
      <w:bookmarkStart w:id="227" w:name="_Toc277082570"/>
      <w:bookmarkStart w:id="228" w:name="_Toc287607764"/>
      <w:r>
        <w:rPr>
          <w:rFonts w:hint="eastAsia" w:ascii="宋体" w:hAnsi="宋体"/>
          <w:snapToGrid w:val="0"/>
        </w:rPr>
        <w:t>2</w:t>
      </w:r>
      <w:r>
        <w:rPr>
          <w:rFonts w:ascii="宋体" w:hAnsi="宋体"/>
          <w:snapToGrid w:val="0"/>
        </w:rPr>
        <w:t>.3.1  招标文件的</w:t>
      </w:r>
      <w:r>
        <w:rPr>
          <w:rFonts w:hint="eastAsia" w:ascii="宋体" w:hAnsi="宋体"/>
          <w:snapToGrid w:val="0"/>
        </w:rPr>
        <w:t>修改</w:t>
      </w:r>
      <w:r>
        <w:rPr>
          <w:rFonts w:ascii="宋体" w:hAnsi="宋体"/>
          <w:snapToGrid w:val="0"/>
        </w:rPr>
        <w:t>按投标人须知前附表规定的时间和形式发给所有潜在投标人</w:t>
      </w:r>
      <w:r>
        <w:rPr>
          <w:rFonts w:hint="eastAsia" w:ascii="宋体" w:hAnsi="宋体"/>
          <w:snapToGrid w:val="0"/>
        </w:rPr>
        <w:t>。</w:t>
      </w:r>
    </w:p>
    <w:p w14:paraId="6EB3B5BC">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w:t>
      </w:r>
      <w:r>
        <w:rPr>
          <w:rFonts w:ascii="宋体" w:hAnsi="宋体"/>
          <w:snapToGrid w:val="0"/>
        </w:rPr>
        <w:t>.3.2  投标人在收到</w:t>
      </w:r>
      <w:r>
        <w:rPr>
          <w:rFonts w:hint="eastAsia" w:ascii="宋体" w:hAnsi="宋体"/>
          <w:snapToGrid w:val="0"/>
        </w:rPr>
        <w:t>修改内容</w:t>
      </w:r>
      <w:r>
        <w:rPr>
          <w:rFonts w:ascii="宋体" w:hAnsi="宋体"/>
          <w:snapToGrid w:val="0"/>
        </w:rPr>
        <w:t>后，应向招标人确认已收到该</w:t>
      </w:r>
      <w:r>
        <w:rPr>
          <w:rFonts w:hint="eastAsia" w:ascii="宋体" w:hAnsi="宋体"/>
          <w:snapToGrid w:val="0"/>
        </w:rPr>
        <w:t>修改内容</w:t>
      </w:r>
      <w:r>
        <w:rPr>
          <w:rFonts w:ascii="宋体" w:hAnsi="宋体"/>
          <w:snapToGrid w:val="0"/>
        </w:rPr>
        <w:t>。</w:t>
      </w:r>
      <w:r>
        <w:rPr>
          <w:rFonts w:hint="eastAsia" w:ascii="宋体" w:hAnsi="宋体"/>
          <w:snapToGrid w:val="0"/>
        </w:rPr>
        <w:t>招标人采用网络媒介公开发布修改内容的，无论投标人是否查看，均视为所有潜在投标人清楚知晓修改全部内容。投标人应在投标截止时间前密切关注修改发布媒介发出的相关内容。</w:t>
      </w:r>
    </w:p>
    <w:p w14:paraId="48E144F8">
      <w:pPr>
        <w:pStyle w:val="4"/>
        <w:snapToGrid w:val="0"/>
        <w:spacing w:before="0" w:after="0" w:line="360" w:lineRule="auto"/>
        <w:rPr>
          <w:rFonts w:ascii="宋体" w:hAnsi="宋体"/>
          <w:b w:val="0"/>
          <w:snapToGrid w:val="0"/>
          <w:sz w:val="24"/>
          <w:szCs w:val="24"/>
        </w:rPr>
      </w:pPr>
      <w:bookmarkStart w:id="229" w:name="_Toc169"/>
      <w:r>
        <w:rPr>
          <w:rFonts w:ascii="宋体" w:hAnsi="宋体"/>
          <w:b w:val="0"/>
          <w:snapToGrid w:val="0"/>
          <w:sz w:val="24"/>
          <w:szCs w:val="24"/>
        </w:rPr>
        <w:t>2.4  招标文件的</w:t>
      </w:r>
      <w:r>
        <w:rPr>
          <w:rFonts w:hint="eastAsia" w:ascii="宋体" w:hAnsi="宋体"/>
          <w:b w:val="0"/>
          <w:snapToGrid w:val="0"/>
          <w:sz w:val="24"/>
          <w:szCs w:val="24"/>
        </w:rPr>
        <w:t>异议</w:t>
      </w:r>
      <w:bookmarkEnd w:id="229"/>
    </w:p>
    <w:p w14:paraId="0FACE594">
      <w:pPr>
        <w:autoSpaceDE w:val="0"/>
        <w:autoSpaceDN w:val="0"/>
        <w:adjustRightInd w:val="0"/>
        <w:snapToGrid w:val="0"/>
        <w:spacing w:line="360" w:lineRule="auto"/>
        <w:ind w:firstLine="420"/>
        <w:rPr>
          <w:rFonts w:ascii="宋体" w:hAnsi="宋体"/>
          <w:snapToGrid w:val="0"/>
        </w:rPr>
      </w:pPr>
      <w:r>
        <w:rPr>
          <w:rFonts w:ascii="宋体" w:hAnsi="宋体"/>
          <w:snapToGrid w:val="0"/>
        </w:rPr>
        <w:t>投标人或者其他利害关系人对招标文件</w:t>
      </w:r>
      <w:r>
        <w:rPr>
          <w:rFonts w:hint="eastAsia" w:ascii="宋体" w:hAnsi="宋体"/>
          <w:snapToGrid w:val="0"/>
        </w:rPr>
        <w:t>及澄清修改</w:t>
      </w:r>
      <w:r>
        <w:rPr>
          <w:rFonts w:ascii="宋体" w:hAnsi="宋体"/>
          <w:snapToGrid w:val="0"/>
        </w:rPr>
        <w:t>有异议的，应当在投标截止时间</w:t>
      </w:r>
      <w:r>
        <w:rPr>
          <w:rFonts w:hint="eastAsia" w:ascii="宋体" w:hAnsi="宋体"/>
          <w:snapToGrid w:val="0"/>
          <w:lang w:val="en-US" w:eastAsia="zh-CN"/>
        </w:rPr>
        <w:t>7</w:t>
      </w:r>
      <w:r>
        <w:rPr>
          <w:rFonts w:ascii="宋体" w:hAnsi="宋体"/>
          <w:snapToGrid w:val="0"/>
        </w:rPr>
        <w:t>日前</w:t>
      </w:r>
      <w:r>
        <w:rPr>
          <w:rFonts w:hint="eastAsia" w:ascii="宋体" w:hAnsi="宋体"/>
          <w:snapToGrid w:val="0"/>
        </w:rPr>
        <w:t>按投标人须知前附表规定的形式</w:t>
      </w:r>
      <w:r>
        <w:rPr>
          <w:rFonts w:ascii="宋体" w:hAnsi="宋体"/>
          <w:snapToGrid w:val="0"/>
        </w:rPr>
        <w:t>提出。招标人</w:t>
      </w:r>
      <w:r>
        <w:rPr>
          <w:rFonts w:hint="eastAsia" w:ascii="宋体" w:hAnsi="宋体"/>
          <w:snapToGrid w:val="0"/>
        </w:rPr>
        <w:t>应当自</w:t>
      </w:r>
      <w:r>
        <w:rPr>
          <w:rFonts w:ascii="宋体" w:hAnsi="宋体"/>
          <w:snapToGrid w:val="0"/>
        </w:rPr>
        <w:t xml:space="preserve">收到异议之日起 </w:t>
      </w:r>
      <w:r>
        <w:rPr>
          <w:rFonts w:hint="eastAsia" w:ascii="宋体" w:hAnsi="宋体"/>
          <w:snapToGrid w:val="0"/>
          <w:lang w:val="en-US" w:eastAsia="zh-CN"/>
        </w:rPr>
        <w:t>2</w:t>
      </w:r>
      <w:r>
        <w:rPr>
          <w:rFonts w:ascii="宋体" w:hAnsi="宋体"/>
          <w:snapToGrid w:val="0"/>
        </w:rPr>
        <w:t xml:space="preserve"> 日内作出答复</w:t>
      </w:r>
      <w:r>
        <w:rPr>
          <w:rFonts w:hint="eastAsia" w:ascii="宋体" w:hAnsi="宋体"/>
          <w:snapToGrid w:val="0"/>
        </w:rPr>
        <w:t>。</w:t>
      </w:r>
      <w:r>
        <w:rPr>
          <w:rFonts w:ascii="宋体" w:hAnsi="宋体"/>
          <w:snapToGrid w:val="0"/>
        </w:rPr>
        <w:t>作出答复前，将暂停招标投标活动。</w:t>
      </w:r>
    </w:p>
    <w:p w14:paraId="4CBD2BD7">
      <w:pPr>
        <w:pStyle w:val="3"/>
        <w:spacing w:before="0" w:after="0" w:line="360" w:lineRule="auto"/>
        <w:rPr>
          <w:rFonts w:ascii="宋体" w:hAnsi="宋体"/>
          <w:b w:val="0"/>
          <w:snapToGrid w:val="0"/>
        </w:rPr>
      </w:pPr>
      <w:bookmarkStart w:id="230" w:name="_Toc24463"/>
      <w:bookmarkStart w:id="231" w:name="_Toc509218728"/>
      <w:bookmarkStart w:id="232" w:name="_Toc430530453"/>
      <w:r>
        <w:rPr>
          <w:rFonts w:ascii="宋体" w:hAnsi="宋体"/>
          <w:b w:val="0"/>
          <w:snapToGrid w:val="0"/>
        </w:rPr>
        <w:t>3.  投标文件</w:t>
      </w:r>
      <w:bookmarkEnd w:id="224"/>
      <w:bookmarkEnd w:id="225"/>
      <w:bookmarkEnd w:id="226"/>
      <w:bookmarkEnd w:id="227"/>
      <w:bookmarkEnd w:id="228"/>
      <w:bookmarkEnd w:id="230"/>
      <w:bookmarkEnd w:id="231"/>
      <w:bookmarkEnd w:id="232"/>
    </w:p>
    <w:p w14:paraId="16ADF0A2">
      <w:pPr>
        <w:pStyle w:val="4"/>
        <w:snapToGrid w:val="0"/>
        <w:spacing w:before="0" w:after="0" w:line="360" w:lineRule="auto"/>
        <w:rPr>
          <w:rFonts w:ascii="宋体" w:hAnsi="宋体"/>
          <w:b w:val="0"/>
          <w:snapToGrid w:val="0"/>
          <w:sz w:val="24"/>
          <w:szCs w:val="24"/>
        </w:rPr>
      </w:pPr>
      <w:bookmarkStart w:id="233" w:name="_Toc277082571"/>
      <w:bookmarkStart w:id="234" w:name="_Toc287620704"/>
      <w:bookmarkStart w:id="235" w:name="_Toc200513145"/>
      <w:bookmarkStart w:id="236" w:name="_Toc430530454"/>
      <w:bookmarkStart w:id="237" w:name="_Toc7560"/>
      <w:bookmarkStart w:id="238" w:name="_Toc287607765"/>
      <w:bookmarkStart w:id="239" w:name="_Toc509218729"/>
      <w:bookmarkStart w:id="240" w:name="_Toc224103336"/>
      <w:r>
        <w:rPr>
          <w:rFonts w:ascii="宋体" w:hAnsi="宋体"/>
          <w:b w:val="0"/>
          <w:snapToGrid w:val="0"/>
          <w:sz w:val="24"/>
          <w:szCs w:val="24"/>
        </w:rPr>
        <w:t>3.1  投标文件的组成</w:t>
      </w:r>
      <w:bookmarkEnd w:id="233"/>
      <w:bookmarkEnd w:id="234"/>
      <w:bookmarkEnd w:id="235"/>
      <w:bookmarkEnd w:id="236"/>
      <w:bookmarkEnd w:id="237"/>
      <w:bookmarkEnd w:id="238"/>
      <w:bookmarkEnd w:id="239"/>
      <w:bookmarkEnd w:id="240"/>
    </w:p>
    <w:p w14:paraId="37EC9D7E">
      <w:pPr>
        <w:autoSpaceDE w:val="0"/>
        <w:autoSpaceDN w:val="0"/>
        <w:adjustRightInd w:val="0"/>
        <w:snapToGrid w:val="0"/>
        <w:spacing w:line="360" w:lineRule="auto"/>
        <w:ind w:firstLine="420"/>
        <w:rPr>
          <w:rFonts w:ascii="宋体" w:hAnsi="宋体"/>
          <w:snapToGrid w:val="0"/>
        </w:rPr>
      </w:pPr>
      <w:r>
        <w:rPr>
          <w:rFonts w:ascii="宋体" w:hAnsi="宋体"/>
          <w:snapToGrid w:val="0"/>
        </w:rPr>
        <w:t>3.1.1 投标文件应包括下列内容：</w:t>
      </w:r>
    </w:p>
    <w:p w14:paraId="402A2D0C">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3.1.1.1投标函部分</w:t>
      </w:r>
    </w:p>
    <w:p w14:paraId="5756E26A">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（1）投标函；</w:t>
      </w:r>
    </w:p>
    <w:p w14:paraId="053D5C3C">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（2）分项报价表（如有）</w:t>
      </w:r>
      <w:r>
        <w:rPr>
          <w:rFonts w:ascii="宋体" w:hAnsi="宋体"/>
          <w:snapToGrid w:val="0"/>
        </w:rPr>
        <w:t>；</w:t>
      </w:r>
    </w:p>
    <w:p w14:paraId="2F8F4970">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3</w:t>
      </w:r>
      <w:r>
        <w:rPr>
          <w:rFonts w:hint="eastAsia" w:ascii="宋体" w:hAnsi="宋体"/>
          <w:snapToGrid w:val="0"/>
        </w:rPr>
        <w:t>）</w:t>
      </w:r>
      <w:r>
        <w:rPr>
          <w:rFonts w:hint="eastAsia" w:ascii="宋体" w:hAnsi="宋体"/>
          <w:snapToGrid w:val="0"/>
          <w:lang w:val="en-US" w:eastAsia="zh-CN"/>
        </w:rPr>
        <w:t>投标报价合理性说明</w:t>
      </w:r>
      <w:r>
        <w:rPr>
          <w:rFonts w:hint="eastAsia" w:ascii="宋体" w:hAnsi="宋体"/>
          <w:snapToGrid w:val="0"/>
        </w:rPr>
        <w:t>（如有）</w:t>
      </w:r>
      <w:r>
        <w:rPr>
          <w:rFonts w:hint="eastAsia" w:ascii="宋体" w:hAnsi="宋体"/>
          <w:snapToGrid w:val="0"/>
          <w:lang w:eastAsia="zh-CN"/>
        </w:rPr>
        <w:t>；</w:t>
      </w:r>
    </w:p>
    <w:p w14:paraId="10B53B7D">
      <w:pPr>
        <w:autoSpaceDE w:val="0"/>
        <w:autoSpaceDN w:val="0"/>
        <w:adjustRightInd w:val="0"/>
        <w:snapToGrid w:val="0"/>
        <w:spacing w:line="360" w:lineRule="auto"/>
        <w:ind w:firstLine="420"/>
        <w:rPr>
          <w:rFonts w:hint="eastAsia" w:ascii="宋体" w:hAnsi="宋体" w:eastAsia="宋体"/>
          <w:snapToGrid w:val="0"/>
          <w:lang w:eastAsia="zh-CN"/>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）法定代表人身份证明或授权委托书</w:t>
      </w:r>
      <w:r>
        <w:rPr>
          <w:rFonts w:hint="eastAsia" w:ascii="宋体" w:hAnsi="宋体"/>
          <w:snapToGrid w:val="0"/>
          <w:lang w:eastAsia="zh-CN"/>
        </w:rPr>
        <w:t>。</w:t>
      </w:r>
    </w:p>
    <w:p w14:paraId="66554BA1">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2</w:t>
      </w:r>
      <w:r>
        <w:rPr>
          <w:rFonts w:hint="eastAsia" w:ascii="宋体" w:hAnsi="宋体"/>
          <w:snapToGrid w:val="0"/>
        </w:rPr>
        <w:t>商务部分（</w:t>
      </w:r>
      <w:r>
        <w:rPr>
          <w:rFonts w:hint="eastAsia" w:ascii="宋体" w:hAnsi="宋体"/>
          <w:snapToGrid w:val="0"/>
          <w:lang w:val="en-US" w:eastAsia="zh-CN"/>
        </w:rPr>
        <w:t>如有</w:t>
      </w:r>
      <w:r>
        <w:rPr>
          <w:rFonts w:hint="eastAsia" w:ascii="宋体" w:hAnsi="宋体"/>
          <w:snapToGrid w:val="0"/>
        </w:rPr>
        <w:t>）</w:t>
      </w:r>
    </w:p>
    <w:p w14:paraId="335594B2">
      <w:pPr>
        <w:autoSpaceDE w:val="0"/>
        <w:autoSpaceDN w:val="0"/>
        <w:adjustRightInd w:val="0"/>
        <w:snapToGrid w:val="0"/>
        <w:spacing w:line="360" w:lineRule="auto"/>
        <w:ind w:firstLine="420"/>
        <w:rPr>
          <w:rFonts w:hint="eastAsia" w:ascii="宋体" w:hAnsi="宋体" w:cs="宋体"/>
          <w:lang w:eastAsia="zh-CN"/>
        </w:rPr>
      </w:pPr>
      <w:r>
        <w:rPr>
          <w:rFonts w:hint="eastAsia" w:ascii="宋体" w:hAnsi="宋体" w:cs="宋体"/>
        </w:rPr>
        <w:t>（1）</w:t>
      </w:r>
      <w:r>
        <w:rPr>
          <w:rFonts w:hint="eastAsia" w:ascii="宋体" w:hAnsi="宋体" w:cs="宋体"/>
          <w:lang w:val="en-US" w:eastAsia="zh-CN"/>
        </w:rPr>
        <w:t>供货要求</w:t>
      </w:r>
      <w:r>
        <w:rPr>
          <w:rFonts w:hint="eastAsia" w:ascii="宋体" w:hAnsi="宋体" w:cs="宋体"/>
        </w:rPr>
        <w:t>负偏差表</w:t>
      </w:r>
      <w:r>
        <w:rPr>
          <w:rFonts w:hint="eastAsia" w:ascii="宋体" w:hAnsi="宋体" w:cs="宋体"/>
          <w:lang w:eastAsia="zh-CN"/>
        </w:rPr>
        <w:t>（</w:t>
      </w:r>
      <w:r>
        <w:rPr>
          <w:rFonts w:hint="eastAsia" w:ascii="宋体" w:hAnsi="宋体" w:cs="宋体"/>
          <w:lang w:val="en-US" w:eastAsia="zh-CN"/>
        </w:rPr>
        <w:t>如有</w:t>
      </w:r>
      <w:r>
        <w:rPr>
          <w:rFonts w:hint="eastAsia" w:ascii="宋体" w:hAnsi="宋体" w:cs="宋体"/>
          <w:lang w:eastAsia="zh-CN"/>
        </w:rPr>
        <w:t>）；</w:t>
      </w:r>
    </w:p>
    <w:p w14:paraId="40E85926">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2</w:t>
      </w:r>
      <w:r>
        <w:rPr>
          <w:rFonts w:hint="eastAsia" w:ascii="宋体" w:hAnsi="宋体" w:cs="宋体"/>
          <w:lang w:eastAsia="zh-CN"/>
        </w:rPr>
        <w:t>）</w:t>
      </w:r>
      <w:r>
        <w:rPr>
          <w:rFonts w:hint="eastAsia" w:ascii="宋体" w:hAnsi="宋体" w:cs="宋体"/>
          <w:lang w:val="en-US" w:eastAsia="zh-CN"/>
        </w:rPr>
        <w:t>其他资料（如有）。</w:t>
      </w:r>
    </w:p>
    <w:p w14:paraId="70B71F77">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3</w:t>
      </w:r>
      <w:r>
        <w:rPr>
          <w:rFonts w:hint="eastAsia" w:ascii="宋体" w:hAnsi="宋体"/>
          <w:snapToGrid w:val="0"/>
        </w:rPr>
        <w:t>技术部分（</w:t>
      </w:r>
      <w:r>
        <w:rPr>
          <w:rFonts w:hint="eastAsia" w:ascii="宋体" w:hAnsi="宋体"/>
          <w:snapToGrid w:val="0"/>
          <w:lang w:val="en-US" w:eastAsia="zh-CN"/>
        </w:rPr>
        <w:t>如有</w:t>
      </w:r>
      <w:r>
        <w:rPr>
          <w:rFonts w:hint="eastAsia" w:ascii="宋体" w:hAnsi="宋体"/>
          <w:snapToGrid w:val="0"/>
        </w:rPr>
        <w:t>）</w:t>
      </w:r>
    </w:p>
    <w:p w14:paraId="4AB8E81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3.1.1.</w:t>
      </w:r>
      <w:r>
        <w:rPr>
          <w:rFonts w:ascii="宋体" w:hAnsi="宋体"/>
          <w:snapToGrid w:val="0"/>
        </w:rPr>
        <w:t>4</w:t>
      </w:r>
      <w:r>
        <w:rPr>
          <w:rFonts w:hint="eastAsia" w:ascii="宋体" w:hAnsi="宋体"/>
          <w:snapToGrid w:val="0"/>
        </w:rPr>
        <w:t>资格审查部分</w:t>
      </w:r>
    </w:p>
    <w:p w14:paraId="4AD1AB66">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（1）法定代表人身份证明或授权委托书；</w:t>
      </w:r>
    </w:p>
    <w:p w14:paraId="2C2415E2">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（2）制造商资格声明</w:t>
      </w:r>
      <w:r>
        <w:rPr>
          <w:rFonts w:hint="eastAsia" w:ascii="宋体" w:hAnsi="宋体"/>
          <w:szCs w:val="21"/>
        </w:rPr>
        <w:t>（制造商投标时提供）</w:t>
      </w:r>
      <w:r>
        <w:rPr>
          <w:rFonts w:hint="eastAsia" w:ascii="宋体" w:hAnsi="宋体"/>
          <w:snapToGrid w:val="0"/>
        </w:rPr>
        <w:t>或</w:t>
      </w:r>
      <w:r>
        <w:rPr>
          <w:rFonts w:hint="eastAsia" w:ascii="宋体" w:hAnsi="宋体"/>
          <w:szCs w:val="21"/>
        </w:rPr>
        <w:t>制造商授权书（代理商投标时提供）</w:t>
      </w:r>
      <w:r>
        <w:rPr>
          <w:rFonts w:hint="eastAsia" w:ascii="宋体" w:hAnsi="宋体"/>
          <w:snapToGrid w:val="0"/>
        </w:rPr>
        <w:t>（如有）</w:t>
      </w:r>
      <w:r>
        <w:rPr>
          <w:rFonts w:hint="eastAsia" w:ascii="宋体" w:hAnsi="宋体"/>
          <w:szCs w:val="21"/>
        </w:rPr>
        <w:t>；</w:t>
      </w:r>
    </w:p>
    <w:p w14:paraId="0FD16F18">
      <w:pPr>
        <w:autoSpaceDE w:val="0"/>
        <w:autoSpaceDN w:val="0"/>
        <w:adjustRightInd w:val="0"/>
        <w:snapToGrid w:val="0"/>
        <w:spacing w:line="360" w:lineRule="auto"/>
        <w:ind w:firstLine="420"/>
        <w:rPr>
          <w:rFonts w:hint="eastAsia" w:ascii="宋体" w:hAnsi="宋体"/>
          <w:snapToGrid w:val="0"/>
        </w:rPr>
      </w:pPr>
      <w:r>
        <w:rPr>
          <w:rFonts w:hint="eastAsia" w:ascii="宋体" w:hAnsi="宋体"/>
          <w:snapToGrid w:val="0"/>
        </w:rPr>
        <w:t>（3）</w:t>
      </w:r>
      <w:r>
        <w:rPr>
          <w:rFonts w:hint="eastAsia" w:ascii="宋体" w:hAnsi="宋体"/>
          <w:snapToGrid w:val="0"/>
          <w:lang w:eastAsia="zh-CN"/>
        </w:rPr>
        <w:t>共同投标协议</w:t>
      </w:r>
      <w:r>
        <w:rPr>
          <w:rFonts w:hint="eastAsia" w:ascii="宋体" w:hAnsi="宋体"/>
          <w:snapToGrid w:val="0"/>
        </w:rPr>
        <w:t>（如有）；</w:t>
      </w:r>
    </w:p>
    <w:p w14:paraId="3F9081C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4</w:t>
      </w:r>
      <w:r>
        <w:rPr>
          <w:rFonts w:hint="eastAsia" w:ascii="宋体" w:hAnsi="宋体"/>
          <w:snapToGrid w:val="0"/>
        </w:rPr>
        <w:t>）承诺；</w:t>
      </w:r>
    </w:p>
    <w:p w14:paraId="4958CB9E">
      <w:pPr>
        <w:autoSpaceDE w:val="0"/>
        <w:autoSpaceDN w:val="0"/>
        <w:adjustRightInd w:val="0"/>
        <w:snapToGrid w:val="0"/>
        <w:spacing w:line="360" w:lineRule="auto"/>
        <w:ind w:firstLine="420"/>
        <w:rPr>
          <w:rFonts w:ascii="宋体" w:hAnsi="宋体"/>
          <w:snapToGrid w:val="0"/>
        </w:rPr>
      </w:pPr>
      <w:r>
        <w:rPr>
          <w:rFonts w:hint="eastAsia" w:ascii="宋体" w:hAnsi="宋体"/>
          <w:snapToGrid w:val="0"/>
        </w:rPr>
        <w:t>（</w:t>
      </w:r>
      <w:r>
        <w:rPr>
          <w:rFonts w:hint="eastAsia" w:ascii="宋体" w:hAnsi="宋体"/>
          <w:snapToGrid w:val="0"/>
          <w:lang w:val="en-US" w:eastAsia="zh-CN"/>
        </w:rPr>
        <w:t>5</w:t>
      </w:r>
      <w:r>
        <w:rPr>
          <w:rFonts w:hint="eastAsia" w:ascii="宋体" w:hAnsi="宋体"/>
          <w:snapToGrid w:val="0"/>
        </w:rPr>
        <w:t>）其他资料。</w:t>
      </w:r>
    </w:p>
    <w:p w14:paraId="5FBDA9F0">
      <w:pPr>
        <w:autoSpaceDE w:val="0"/>
        <w:autoSpaceDN w:val="0"/>
        <w:adjustRightInd w:val="0"/>
        <w:snapToGrid w:val="0"/>
        <w:spacing w:line="360" w:lineRule="auto"/>
        <w:ind w:firstLine="420"/>
        <w:rPr>
          <w:rFonts w:ascii="宋体" w:hAnsi="宋体"/>
          <w:snapToGrid w:val="0"/>
        </w:rPr>
      </w:pPr>
      <w:r>
        <w:rPr>
          <w:rFonts w:ascii="宋体" w:hAnsi="宋体"/>
          <w:snapToGrid w:val="0"/>
        </w:rPr>
        <w:t>投标人在评标过程中作出的符合法律法规和招标文件规定的澄清确认，构成投标文件的组成部分。</w:t>
      </w:r>
    </w:p>
    <w:p w14:paraId="6E33AA2A">
      <w:pPr>
        <w:autoSpaceDE w:val="0"/>
        <w:autoSpaceDN w:val="0"/>
        <w:adjustRightInd w:val="0"/>
        <w:snapToGrid w:val="0"/>
        <w:spacing w:line="360" w:lineRule="auto"/>
        <w:ind w:firstLine="420"/>
        <w:rPr>
          <w:rFonts w:ascii="宋体" w:hAnsi="宋体"/>
          <w:snapToGrid w:val="0"/>
        </w:rPr>
      </w:pPr>
      <w:r>
        <w:rPr>
          <w:rFonts w:ascii="宋体" w:hAnsi="宋体"/>
          <w:snapToGrid w:val="0"/>
        </w:rPr>
        <w:t>3.1.2  投标人须知前附表规定不接受联合体投标的，或投标人没有组成联合体的，投标文件不包括</w:t>
      </w:r>
      <w:r>
        <w:rPr>
          <w:rFonts w:hint="eastAsia" w:ascii="宋体" w:hAnsi="宋体"/>
          <w:snapToGrid w:val="0"/>
          <w:lang w:eastAsia="zh-CN"/>
        </w:rPr>
        <w:t>共同投标协议</w:t>
      </w:r>
      <w:r>
        <w:rPr>
          <w:rFonts w:ascii="宋体" w:hAnsi="宋体"/>
          <w:snapToGrid w:val="0"/>
        </w:rPr>
        <w:t>。</w:t>
      </w:r>
    </w:p>
    <w:p w14:paraId="5DC68959">
      <w:pPr>
        <w:autoSpaceDE w:val="0"/>
        <w:autoSpaceDN w:val="0"/>
        <w:adjustRightInd w:val="0"/>
        <w:snapToGrid w:val="0"/>
        <w:spacing w:line="360" w:lineRule="auto"/>
        <w:ind w:firstLine="420"/>
      </w:pPr>
      <w:r>
        <w:rPr>
          <w:rFonts w:ascii="宋体" w:hAnsi="宋体"/>
          <w:snapToGrid w:val="0"/>
        </w:rPr>
        <w:t>3.1.</w:t>
      </w:r>
      <w:r>
        <w:rPr>
          <w:rFonts w:hint="eastAsia" w:ascii="宋体" w:hAnsi="宋体"/>
          <w:snapToGrid w:val="0"/>
        </w:rPr>
        <w:t>3</w:t>
      </w:r>
      <w:r>
        <w:rPr>
          <w:rFonts w:ascii="宋体" w:hAnsi="宋体"/>
          <w:snapToGrid w:val="0"/>
        </w:rPr>
        <w:t xml:space="preserve">  </w:t>
      </w:r>
      <w:r>
        <w:rPr>
          <w:spacing w:val="-3"/>
        </w:rPr>
        <w:t>投标人须知前附表未要求提交投标保证金的，投标文件不包括投标保证金。</w:t>
      </w:r>
    </w:p>
    <w:p w14:paraId="027A14F6">
      <w:pPr>
        <w:pStyle w:val="4"/>
        <w:snapToGrid w:val="0"/>
        <w:spacing w:before="0" w:after="0" w:line="360" w:lineRule="auto"/>
        <w:rPr>
          <w:rFonts w:ascii="宋体" w:hAnsi="宋体"/>
          <w:b w:val="0"/>
          <w:snapToGrid w:val="0"/>
          <w:sz w:val="24"/>
          <w:szCs w:val="24"/>
        </w:rPr>
      </w:pPr>
      <w:bookmarkStart w:id="241" w:name="_Toc200513146"/>
      <w:bookmarkStart w:id="242" w:name="_Toc277082572"/>
      <w:bookmarkStart w:id="243" w:name="_Toc30346"/>
      <w:bookmarkStart w:id="244" w:name="_Toc287607766"/>
      <w:bookmarkStart w:id="245" w:name="_Toc287620705"/>
      <w:bookmarkStart w:id="246" w:name="_Toc224103337"/>
      <w:bookmarkStart w:id="247" w:name="_Toc509218730"/>
      <w:bookmarkStart w:id="248" w:name="_Toc430530455"/>
      <w:r>
        <w:rPr>
          <w:rFonts w:ascii="宋体" w:hAnsi="宋体"/>
          <w:b w:val="0"/>
          <w:snapToGrid w:val="0"/>
          <w:sz w:val="24"/>
          <w:szCs w:val="24"/>
        </w:rPr>
        <w:t>3.2  投标报价</w:t>
      </w:r>
      <w:bookmarkEnd w:id="241"/>
      <w:bookmarkEnd w:id="242"/>
      <w:bookmarkEnd w:id="243"/>
      <w:bookmarkEnd w:id="244"/>
      <w:bookmarkEnd w:id="245"/>
      <w:bookmarkEnd w:id="246"/>
      <w:bookmarkEnd w:id="247"/>
      <w:bookmarkEnd w:id="248"/>
    </w:p>
    <w:p w14:paraId="1BFDE74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3.2.1  投标报价应包括国家规定的增值税税金，除投标人须知前附表另有规定外，增值税税金按一般计税方法计算。投标人应按第六章“投标文件格式”的要求在投标函中进行报价</w:t>
      </w:r>
      <w:r>
        <w:rPr>
          <w:spacing w:val="-7"/>
        </w:rPr>
        <w:t>并填写</w:t>
      </w:r>
      <w:r>
        <w:rPr>
          <w:spacing w:val="-5"/>
        </w:rPr>
        <w:t>分项报价表。</w:t>
      </w:r>
    </w:p>
    <w:p w14:paraId="6D70BE9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3.2.2  投标人应充分了解该项目的总体情况以及影响投标报价的其他要素。</w:t>
      </w:r>
    </w:p>
    <w:p w14:paraId="0B70C5E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3.2.3  </w:t>
      </w:r>
      <w:r>
        <w:rPr>
          <w:spacing w:val="-8"/>
        </w:rPr>
        <w:t>投标报价为各分项报价金额之和；如分项报价中存在缺漏项，则视为缺漏项价格已包含在其他</w:t>
      </w:r>
      <w:r>
        <w:rPr>
          <w:spacing w:val="-3"/>
        </w:rPr>
        <w:t>分项报价之中。投标人在投标截止时间前修改投标函中的投标报价总额，应同时修改投标文件</w:t>
      </w:r>
      <w:r>
        <w:rPr>
          <w:rFonts w:ascii="宋体" w:hAnsi="宋体"/>
          <w:snapToGrid w:val="0"/>
          <w:kern w:val="0"/>
          <w:szCs w:val="21"/>
        </w:rPr>
        <w:t>“</w:t>
      </w:r>
      <w:r>
        <w:t>分项报价表</w:t>
      </w:r>
      <w:r>
        <w:rPr>
          <w:rFonts w:ascii="宋体" w:hAnsi="宋体"/>
          <w:snapToGrid w:val="0"/>
          <w:kern w:val="0"/>
          <w:szCs w:val="21"/>
        </w:rPr>
        <w:t>”</w:t>
      </w:r>
      <w:r>
        <w:t>中的相应报价</w:t>
      </w:r>
      <w:r>
        <w:rPr>
          <w:rFonts w:ascii="宋体" w:hAnsi="宋体"/>
          <w:snapToGrid w:val="0"/>
          <w:kern w:val="0"/>
          <w:szCs w:val="21"/>
        </w:rPr>
        <w:t>。此修改须符合本章第 4.3 款的有关要求。</w:t>
      </w:r>
    </w:p>
    <w:p w14:paraId="1CCC10C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3.2.4  招标人设有最高投标限价的，投标人的投标报价不得超过最高投标限价，最高投标限价在投标人须知前附表中载明。</w:t>
      </w:r>
    </w:p>
    <w:p w14:paraId="4B85332C">
      <w:pPr>
        <w:autoSpaceDE w:val="0"/>
        <w:autoSpaceDN w:val="0"/>
        <w:adjustRightInd w:val="0"/>
        <w:snapToGrid w:val="0"/>
        <w:spacing w:line="360" w:lineRule="auto"/>
        <w:ind w:firstLine="420" w:firstLineChars="200"/>
      </w:pPr>
      <w:r>
        <w:rPr>
          <w:rFonts w:ascii="宋体" w:hAnsi="宋体"/>
          <w:snapToGrid w:val="0"/>
          <w:kern w:val="0"/>
          <w:szCs w:val="21"/>
        </w:rPr>
        <w:t>3.2.5  投标报价的其他要求见投标人须知前附表。</w:t>
      </w:r>
    </w:p>
    <w:p w14:paraId="4EB1A326">
      <w:pPr>
        <w:pStyle w:val="4"/>
        <w:snapToGrid w:val="0"/>
        <w:spacing w:before="0" w:after="0" w:line="360" w:lineRule="auto"/>
        <w:rPr>
          <w:rFonts w:ascii="宋体" w:hAnsi="宋体"/>
          <w:b w:val="0"/>
          <w:snapToGrid w:val="0"/>
          <w:sz w:val="24"/>
          <w:szCs w:val="24"/>
        </w:rPr>
      </w:pPr>
      <w:bookmarkStart w:id="249" w:name="_Toc287620706"/>
      <w:bookmarkStart w:id="250" w:name="_Toc509218731"/>
      <w:bookmarkStart w:id="251" w:name="_Toc430530456"/>
      <w:bookmarkStart w:id="252" w:name="_Toc224103338"/>
      <w:bookmarkStart w:id="253" w:name="_Toc2545"/>
      <w:bookmarkStart w:id="254" w:name="_Toc287607767"/>
      <w:bookmarkStart w:id="255" w:name="_Toc277082573"/>
      <w:bookmarkStart w:id="256" w:name="_Toc200513147"/>
      <w:r>
        <w:rPr>
          <w:rFonts w:ascii="宋体" w:hAnsi="宋体"/>
          <w:b w:val="0"/>
          <w:snapToGrid w:val="0"/>
          <w:sz w:val="24"/>
          <w:szCs w:val="24"/>
        </w:rPr>
        <w:t>3.3  投标有效期</w:t>
      </w:r>
      <w:bookmarkEnd w:id="249"/>
      <w:bookmarkEnd w:id="250"/>
      <w:bookmarkEnd w:id="251"/>
      <w:bookmarkEnd w:id="252"/>
      <w:bookmarkEnd w:id="253"/>
      <w:bookmarkEnd w:id="254"/>
      <w:bookmarkEnd w:id="255"/>
      <w:bookmarkEnd w:id="256"/>
    </w:p>
    <w:p w14:paraId="2C7E7FE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3.3.1  除投标人须知前附表另有规定外，投标有效期为 90 天。</w:t>
      </w:r>
    </w:p>
    <w:p w14:paraId="7651C43D">
      <w:pPr>
        <w:autoSpaceDE w:val="0"/>
        <w:autoSpaceDN w:val="0"/>
        <w:adjustRightInd w:val="0"/>
        <w:snapToGrid w:val="0"/>
        <w:spacing w:line="360" w:lineRule="auto"/>
        <w:ind w:firstLine="420" w:firstLineChars="200"/>
      </w:pPr>
      <w:r>
        <w:rPr>
          <w:rFonts w:ascii="宋体" w:hAnsi="宋体"/>
          <w:snapToGrid w:val="0"/>
          <w:kern w:val="0"/>
          <w:szCs w:val="21"/>
        </w:rPr>
        <w:t>3.3.2  在投标有效期内，投标人撤销投标文件的，应承担招标文件和法律规定的责任。</w:t>
      </w:r>
    </w:p>
    <w:p w14:paraId="434EC31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3.3.3  出现特殊情况需要延长投标有效期的，招标人以书面形式通知所有投标人延长投标有效期。</w:t>
      </w:r>
      <w:r>
        <w:rPr>
          <w:spacing w:val="-8"/>
        </w:rPr>
        <w:t>投标人应予以书面答复，</w:t>
      </w:r>
      <w:r>
        <w:rPr>
          <w:rFonts w:ascii="宋体" w:hAnsi="宋体"/>
          <w:snapToGrid w:val="0"/>
          <w:kern w:val="0"/>
          <w:szCs w:val="21"/>
        </w:rPr>
        <w:t>同意延长的，应相应延长其投标保函的有效期，但不得要求或被允许修改或撤销其投标文件；投标人拒绝延长的，其投标失效，但投标人有权收回其投标保函。</w:t>
      </w:r>
      <w:r>
        <w:rPr>
          <w:rFonts w:hint="eastAsia" w:ascii="宋体" w:hAnsi="宋体"/>
          <w:snapToGrid w:val="0"/>
          <w:kern w:val="0"/>
          <w:szCs w:val="21"/>
        </w:rPr>
        <w:t>（适用于投标保证金采用投标保函形式的）</w:t>
      </w:r>
    </w:p>
    <w:p w14:paraId="687D858D">
      <w:pPr>
        <w:autoSpaceDE w:val="0"/>
        <w:autoSpaceDN w:val="0"/>
        <w:adjustRightInd w:val="0"/>
        <w:snapToGrid w:val="0"/>
        <w:spacing w:line="360" w:lineRule="auto"/>
        <w:ind w:firstLine="420" w:firstLineChars="200"/>
        <w:rPr>
          <w:rFonts w:ascii="宋体" w:hAnsi="宋体" w:cs="MingLiU"/>
          <w:snapToGrid w:val="0"/>
          <w:kern w:val="0"/>
          <w:szCs w:val="21"/>
        </w:rPr>
      </w:pPr>
      <w:r>
        <w:rPr>
          <w:rFonts w:hint="eastAsia" w:ascii="宋体" w:hAnsi="宋体" w:cs="MingLiU"/>
          <w:snapToGrid w:val="0"/>
          <w:kern w:val="0"/>
          <w:szCs w:val="21"/>
        </w:rPr>
        <w:t>出现特殊情况需要延长投标有效期的，招标人以书面形式通知所有投标人延长投标有效期。</w:t>
      </w:r>
      <w:r>
        <w:rPr>
          <w:spacing w:val="-8"/>
        </w:rPr>
        <w:t>投标人应予以书面答复，</w:t>
      </w:r>
      <w:r>
        <w:rPr>
          <w:rFonts w:hint="eastAsia" w:ascii="宋体" w:hAnsi="宋体" w:cs="MingLiU"/>
          <w:snapToGrid w:val="0"/>
          <w:kern w:val="0"/>
          <w:szCs w:val="21"/>
        </w:rPr>
        <w:t>同意延长的，应相应延长其投标保证金的有效期，但不得要求或被允许修改或撤销其投标文件；投标人拒绝延长的，其投标失效，但投标人有权收回其投标保证金及</w:t>
      </w:r>
      <w:r>
        <w:rPr>
          <w:spacing w:val="-3"/>
        </w:rPr>
        <w:t>银行同期存款利息</w:t>
      </w:r>
      <w:r>
        <w:rPr>
          <w:rFonts w:hint="eastAsia" w:ascii="宋体" w:hAnsi="宋体" w:cs="MingLiU"/>
          <w:snapToGrid w:val="0"/>
          <w:kern w:val="0"/>
          <w:szCs w:val="21"/>
        </w:rPr>
        <w:t>。（适用于投标保证金采用银行转账形式的）</w:t>
      </w:r>
    </w:p>
    <w:p w14:paraId="14B22E8E">
      <w:pPr>
        <w:pStyle w:val="4"/>
        <w:keepNext w:val="0"/>
        <w:keepLines w:val="0"/>
        <w:snapToGrid w:val="0"/>
        <w:spacing w:before="0" w:after="0" w:line="360" w:lineRule="auto"/>
        <w:rPr>
          <w:rFonts w:ascii="宋体" w:hAnsi="宋体"/>
          <w:b w:val="0"/>
          <w:snapToGrid w:val="0"/>
          <w:sz w:val="24"/>
          <w:szCs w:val="24"/>
        </w:rPr>
      </w:pPr>
      <w:bookmarkStart w:id="257" w:name="_Toc224103339"/>
      <w:bookmarkStart w:id="258" w:name="_Toc200513148"/>
      <w:bookmarkStart w:id="259" w:name="_Toc287620707"/>
      <w:bookmarkStart w:id="260" w:name="_Toc509218732"/>
      <w:bookmarkStart w:id="261" w:name="_Toc277082574"/>
      <w:bookmarkStart w:id="262" w:name="_Toc430530457"/>
      <w:bookmarkStart w:id="263" w:name="_Toc287607768"/>
      <w:bookmarkStart w:id="264" w:name="_Toc12008"/>
      <w:r>
        <w:rPr>
          <w:rFonts w:ascii="宋体" w:hAnsi="宋体"/>
          <w:b w:val="0"/>
          <w:snapToGrid w:val="0"/>
          <w:sz w:val="24"/>
          <w:szCs w:val="24"/>
        </w:rPr>
        <w:t>3.4  投标</w:t>
      </w:r>
      <w:bookmarkEnd w:id="257"/>
      <w:bookmarkEnd w:id="258"/>
      <w:bookmarkEnd w:id="259"/>
      <w:bookmarkEnd w:id="260"/>
      <w:bookmarkEnd w:id="261"/>
      <w:bookmarkEnd w:id="262"/>
      <w:bookmarkEnd w:id="263"/>
      <w:r>
        <w:rPr>
          <w:rFonts w:hint="eastAsia" w:ascii="宋体" w:hAnsi="宋体"/>
          <w:b w:val="0"/>
          <w:snapToGrid w:val="0"/>
          <w:sz w:val="24"/>
          <w:szCs w:val="24"/>
        </w:rPr>
        <w:t>保证金</w:t>
      </w:r>
      <w:bookmarkEnd w:id="264"/>
    </w:p>
    <w:p w14:paraId="5FC82A1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3.4.1  投标人在递交投标文件的同时，应按投标人须知前附表的规定递交投标保证金，并作为其投标文件的组成部分。联合体投标的，其投标保证金由牵头人递交，并应符合投标人须知前附表的规定。</w:t>
      </w:r>
    </w:p>
    <w:p w14:paraId="6AB90D11">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3.4.2  投标人不按本章第3.4.1项要求提交投标保证金的，</w:t>
      </w:r>
      <w:r>
        <w:rPr>
          <w:spacing w:val="-3"/>
        </w:rPr>
        <w:t>评标委员会将否决其投标</w:t>
      </w:r>
      <w:r>
        <w:rPr>
          <w:rFonts w:ascii="宋体" w:hAnsi="宋体"/>
          <w:snapToGrid w:val="0"/>
          <w:kern w:val="0"/>
          <w:szCs w:val="21"/>
        </w:rPr>
        <w:t>。</w:t>
      </w:r>
    </w:p>
    <w:p w14:paraId="21B538C4">
      <w:pPr>
        <w:autoSpaceDE w:val="0"/>
        <w:autoSpaceDN w:val="0"/>
        <w:adjustRightInd w:val="0"/>
        <w:snapToGrid w:val="0"/>
        <w:spacing w:line="360" w:lineRule="auto"/>
        <w:ind w:left="13" w:leftChars="6" w:firstLine="405" w:firstLineChars="193"/>
        <w:rPr>
          <w:rFonts w:ascii="宋体" w:hAnsi="宋体"/>
          <w:snapToGrid w:val="0"/>
          <w:kern w:val="0"/>
          <w:szCs w:val="21"/>
        </w:rPr>
      </w:pPr>
      <w:r>
        <w:rPr>
          <w:rFonts w:ascii="宋体" w:hAnsi="宋体"/>
          <w:snapToGrid w:val="0"/>
          <w:kern w:val="0"/>
          <w:szCs w:val="21"/>
        </w:rPr>
        <w:t>3.4.3  投标保证金（投标保函）退还：见投标人须知前附表。</w:t>
      </w:r>
    </w:p>
    <w:p w14:paraId="4AB4282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3.4.4  有下列情形之一的，投标保证金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w:t>
      </w:r>
    </w:p>
    <w:p w14:paraId="601CB9F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（1）投标人在规定的投标有效期内撤销</w:t>
      </w:r>
      <w:r>
        <w:rPr>
          <w:rFonts w:hint="eastAsia" w:ascii="宋体" w:hAnsi="宋体"/>
          <w:snapToGrid w:val="0"/>
          <w:kern w:val="0"/>
          <w:szCs w:val="21"/>
        </w:rPr>
        <w:t>或修改</w:t>
      </w:r>
      <w:r>
        <w:rPr>
          <w:rFonts w:ascii="宋体" w:hAnsi="宋体"/>
          <w:snapToGrid w:val="0"/>
          <w:kern w:val="0"/>
          <w:szCs w:val="21"/>
        </w:rPr>
        <w:t>投标文件；</w:t>
      </w:r>
    </w:p>
    <w:p w14:paraId="353AA61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（2）中标人在收到中标通知书后，无正当理由</w:t>
      </w:r>
      <w:r>
        <w:rPr>
          <w:rFonts w:hint="eastAsia" w:ascii="宋体" w:hAnsi="宋体"/>
          <w:snapToGrid w:val="0"/>
          <w:kern w:val="0"/>
          <w:szCs w:val="21"/>
        </w:rPr>
        <w:t>不与招标人订立合同，</w:t>
      </w:r>
      <w:r>
        <w:rPr>
          <w:rFonts w:ascii="宋体" w:hAnsi="宋体"/>
          <w:snapToGrid w:val="0"/>
          <w:kern w:val="0"/>
          <w:szCs w:val="21"/>
        </w:rPr>
        <w:t>在签订合同时向招标人提出附加条件，或者不按照招标文件要求提交履约保证金；</w:t>
      </w:r>
    </w:p>
    <w:p w14:paraId="45795B1A">
      <w:pPr>
        <w:autoSpaceDE w:val="0"/>
        <w:autoSpaceDN w:val="0"/>
        <w:adjustRightInd w:val="0"/>
        <w:snapToGrid w:val="0"/>
        <w:spacing w:line="360" w:lineRule="auto"/>
        <w:ind w:firstLine="420" w:firstLineChars="200"/>
        <w:rPr>
          <w:rFonts w:hint="eastAsia" w:ascii="宋体" w:hAnsi="宋体"/>
          <w:snapToGrid w:val="0"/>
          <w:kern w:val="0"/>
          <w:szCs w:val="21"/>
        </w:rPr>
      </w:pPr>
      <w:r>
        <w:rPr>
          <w:rFonts w:ascii="宋体" w:hAnsi="宋体"/>
          <w:kern w:val="0"/>
          <w:szCs w:val="21"/>
        </w:rPr>
        <w:t>（</w:t>
      </w:r>
      <w:r>
        <w:rPr>
          <w:rFonts w:hint="eastAsia" w:ascii="宋体" w:hAnsi="宋体"/>
          <w:kern w:val="0"/>
          <w:szCs w:val="21"/>
          <w:lang w:val="en-US" w:eastAsia="zh-CN"/>
        </w:rPr>
        <w:t>3</w:t>
      </w:r>
      <w:r>
        <w:rPr>
          <w:rFonts w:ascii="宋体" w:hAnsi="宋体"/>
          <w:kern w:val="0"/>
          <w:szCs w:val="21"/>
        </w:rPr>
        <w:t>）违反</w:t>
      </w:r>
      <w:r>
        <w:rPr>
          <w:rFonts w:hint="eastAsia" w:ascii="宋体" w:hAnsi="宋体"/>
          <w:kern w:val="0"/>
          <w:szCs w:val="21"/>
          <w:lang w:val="en-US" w:eastAsia="zh-CN"/>
        </w:rPr>
        <w:t>本章</w:t>
      </w:r>
      <w:r>
        <w:rPr>
          <w:rFonts w:ascii="宋体" w:hAnsi="宋体"/>
          <w:kern w:val="0"/>
          <w:szCs w:val="21"/>
        </w:rPr>
        <w:t>第9.2</w:t>
      </w:r>
      <w:r>
        <w:rPr>
          <w:rFonts w:hint="eastAsia" w:ascii="宋体" w:hAnsi="宋体"/>
          <w:kern w:val="0"/>
          <w:szCs w:val="21"/>
        </w:rPr>
        <w:t>款</w:t>
      </w:r>
      <w:r>
        <w:rPr>
          <w:rFonts w:ascii="宋体" w:hAnsi="宋体"/>
          <w:kern w:val="0"/>
          <w:szCs w:val="21"/>
        </w:rPr>
        <w:t>对投标人的纪律要求的；</w:t>
      </w:r>
    </w:p>
    <w:p w14:paraId="0E362CA8">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hint="eastAsia" w:ascii="宋体" w:hAnsi="宋体"/>
          <w:snapToGrid w:val="0"/>
          <w:kern w:val="0"/>
          <w:szCs w:val="21"/>
          <w:lang w:val="en-US" w:eastAsia="zh-CN"/>
        </w:rPr>
        <w:t>4</w:t>
      </w:r>
      <w:r>
        <w:rPr>
          <w:rFonts w:hint="eastAsia" w:ascii="宋体" w:hAnsi="宋体"/>
          <w:snapToGrid w:val="0"/>
          <w:kern w:val="0"/>
          <w:szCs w:val="21"/>
        </w:rPr>
        <w:t>）</w:t>
      </w:r>
      <w:r>
        <w:rPr>
          <w:rFonts w:ascii="宋体" w:hAnsi="宋体"/>
          <w:kern w:val="0"/>
          <w:szCs w:val="21"/>
        </w:rPr>
        <w:t>法律法规规定的其他情形。</w:t>
      </w:r>
    </w:p>
    <w:p w14:paraId="1A830C89">
      <w:pPr>
        <w:pStyle w:val="4"/>
        <w:keepNext w:val="0"/>
        <w:keepLines w:val="0"/>
        <w:snapToGrid w:val="0"/>
        <w:spacing w:before="0" w:after="0" w:line="360" w:lineRule="auto"/>
        <w:rPr>
          <w:rFonts w:ascii="宋体" w:hAnsi="宋体"/>
          <w:b w:val="0"/>
          <w:snapToGrid w:val="0"/>
          <w:sz w:val="24"/>
          <w:szCs w:val="24"/>
        </w:rPr>
      </w:pPr>
      <w:bookmarkStart w:id="265" w:name="_Toc287620708"/>
      <w:bookmarkStart w:id="266" w:name="_Toc287607769"/>
      <w:bookmarkStart w:id="267" w:name="_Toc200513149"/>
      <w:bookmarkStart w:id="268" w:name="_Toc224103340"/>
      <w:bookmarkStart w:id="269" w:name="_Toc277082575"/>
      <w:bookmarkStart w:id="270" w:name="_Toc430530458"/>
      <w:bookmarkStart w:id="271" w:name="_Toc509218733"/>
      <w:bookmarkStart w:id="272" w:name="_Toc13102"/>
      <w:r>
        <w:rPr>
          <w:rFonts w:ascii="宋体" w:hAnsi="宋体"/>
          <w:b w:val="0"/>
          <w:snapToGrid w:val="0"/>
          <w:sz w:val="24"/>
          <w:szCs w:val="24"/>
        </w:rPr>
        <w:t>3.5</w:t>
      </w:r>
      <w:r>
        <w:rPr>
          <w:rFonts w:hint="eastAsia" w:ascii="宋体" w:hAnsi="宋体"/>
          <w:b w:val="0"/>
          <w:snapToGrid w:val="0"/>
          <w:sz w:val="24"/>
          <w:szCs w:val="24"/>
        </w:rPr>
        <w:t>A</w:t>
      </w:r>
      <w:r>
        <w:rPr>
          <w:rFonts w:ascii="宋体" w:hAnsi="宋体"/>
          <w:b w:val="0"/>
          <w:snapToGrid w:val="0"/>
          <w:sz w:val="24"/>
          <w:szCs w:val="24"/>
        </w:rPr>
        <w:t xml:space="preserve">  资格审查资料</w:t>
      </w:r>
      <w:bookmarkEnd w:id="265"/>
      <w:bookmarkEnd w:id="266"/>
      <w:bookmarkEnd w:id="267"/>
      <w:bookmarkEnd w:id="268"/>
      <w:bookmarkEnd w:id="269"/>
      <w:bookmarkEnd w:id="270"/>
      <w:bookmarkEnd w:id="271"/>
      <w:bookmarkEnd w:id="272"/>
    </w:p>
    <w:p w14:paraId="0CBA150A">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投标人在递交投标文件前，发生可能影响其投标资格的新情况的，应更新或补充其在申请资格预审时提供的资料，以证实其各项资格条件仍能继续满足资格预审文件的要求，且没有实质性降低。</w:t>
      </w:r>
    </w:p>
    <w:p w14:paraId="03599DCB">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[提示：适用于已进行资格预审的。]</w:t>
      </w:r>
    </w:p>
    <w:p w14:paraId="6DEB9EB3">
      <w:pPr>
        <w:pStyle w:val="4"/>
        <w:keepNext w:val="0"/>
        <w:keepLines w:val="0"/>
        <w:snapToGrid w:val="0"/>
        <w:spacing w:before="0" w:after="0" w:line="360" w:lineRule="auto"/>
        <w:rPr>
          <w:rFonts w:ascii="宋体" w:hAnsi="宋体"/>
          <w:b w:val="0"/>
          <w:snapToGrid w:val="0"/>
          <w:sz w:val="24"/>
          <w:szCs w:val="24"/>
        </w:rPr>
      </w:pPr>
      <w:bookmarkStart w:id="273" w:name="_Toc277082576"/>
      <w:bookmarkStart w:id="274" w:name="_Toc224103341"/>
      <w:bookmarkStart w:id="275" w:name="_Toc200513150"/>
      <w:bookmarkStart w:id="276" w:name="_Toc287620709"/>
      <w:bookmarkStart w:id="277" w:name="_Toc430530459"/>
      <w:bookmarkStart w:id="278" w:name="_Toc287607770"/>
      <w:bookmarkStart w:id="279" w:name="_Toc509218734"/>
      <w:bookmarkStart w:id="280" w:name="_Toc23244"/>
      <w:r>
        <w:rPr>
          <w:rFonts w:ascii="宋体" w:hAnsi="宋体"/>
          <w:b w:val="0"/>
          <w:snapToGrid w:val="0"/>
          <w:sz w:val="24"/>
          <w:szCs w:val="24"/>
        </w:rPr>
        <w:t>3.5</w:t>
      </w:r>
      <w:r>
        <w:rPr>
          <w:rFonts w:hint="eastAsia" w:ascii="宋体" w:hAnsi="宋体"/>
          <w:b w:val="0"/>
          <w:snapToGrid w:val="0"/>
          <w:sz w:val="24"/>
          <w:szCs w:val="24"/>
        </w:rPr>
        <w:t>B</w:t>
      </w:r>
      <w:r>
        <w:rPr>
          <w:rFonts w:ascii="宋体" w:hAnsi="宋体"/>
          <w:b w:val="0"/>
          <w:snapToGrid w:val="0"/>
          <w:sz w:val="24"/>
          <w:szCs w:val="24"/>
        </w:rPr>
        <w:t xml:space="preserve">  资格审查资料</w:t>
      </w:r>
      <w:bookmarkEnd w:id="273"/>
      <w:bookmarkEnd w:id="274"/>
      <w:bookmarkEnd w:id="275"/>
      <w:bookmarkEnd w:id="276"/>
      <w:bookmarkEnd w:id="277"/>
      <w:bookmarkEnd w:id="278"/>
      <w:bookmarkEnd w:id="279"/>
      <w:bookmarkEnd w:id="280"/>
    </w:p>
    <w:p w14:paraId="2E9491E3">
      <w:pPr>
        <w:autoSpaceDE w:val="0"/>
        <w:autoSpaceDN w:val="0"/>
        <w:adjustRightInd w:val="0"/>
        <w:snapToGrid w:val="0"/>
        <w:spacing w:line="360" w:lineRule="auto"/>
        <w:ind w:firstLine="420" w:firstLineChars="200"/>
        <w:rPr>
          <w:rFonts w:ascii="宋体" w:hAnsi="宋体"/>
          <w:szCs w:val="21"/>
        </w:rPr>
      </w:pPr>
      <w:r>
        <w:rPr>
          <w:rFonts w:ascii="宋体" w:hAnsi="宋体"/>
          <w:szCs w:val="21"/>
        </w:rPr>
        <w:t>投标人</w:t>
      </w:r>
      <w:r>
        <w:rPr>
          <w:rFonts w:hint="eastAsia" w:ascii="宋体" w:hAnsi="宋体"/>
          <w:szCs w:val="21"/>
        </w:rPr>
        <w:t>应附</w:t>
      </w:r>
      <w:r>
        <w:rPr>
          <w:rFonts w:hint="eastAsia" w:ascii="宋体" w:hAnsi="宋体"/>
          <w:kern w:val="0"/>
          <w:szCs w:val="21"/>
        </w:rPr>
        <w:t>投标人须知前附表第1</w:t>
      </w:r>
      <w:r>
        <w:rPr>
          <w:rFonts w:ascii="宋体" w:hAnsi="宋体"/>
          <w:kern w:val="0"/>
          <w:szCs w:val="21"/>
        </w:rPr>
        <w:t>.4.1项</w:t>
      </w:r>
      <w:r>
        <w:rPr>
          <w:rFonts w:hint="eastAsia" w:ascii="宋体" w:hAnsi="宋体"/>
          <w:kern w:val="0"/>
          <w:szCs w:val="21"/>
        </w:rPr>
        <w:t>中要求的相关证明材料</w:t>
      </w:r>
      <w:r>
        <w:rPr>
          <w:rFonts w:ascii="宋体" w:hAnsi="宋体"/>
          <w:szCs w:val="21"/>
        </w:rPr>
        <w:t>。</w:t>
      </w:r>
    </w:p>
    <w:p w14:paraId="4ECF4BF2">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投标人须知前附表规定接受联合体投标的，详见投标人须知前附表联合体投标相关内容。</w:t>
      </w:r>
    </w:p>
    <w:p w14:paraId="4688BD78">
      <w:pPr>
        <w:autoSpaceDE w:val="0"/>
        <w:autoSpaceDN w:val="0"/>
        <w:adjustRightInd w:val="0"/>
        <w:snapToGrid w:val="0"/>
        <w:spacing w:line="360" w:lineRule="auto"/>
        <w:ind w:firstLine="420" w:firstLineChars="200"/>
        <w:rPr>
          <w:rFonts w:ascii="宋体" w:hAnsi="宋体"/>
          <w:i/>
          <w:snapToGrid w:val="0"/>
          <w:kern w:val="0"/>
          <w:szCs w:val="21"/>
        </w:rPr>
      </w:pPr>
      <w:r>
        <w:rPr>
          <w:rFonts w:hint="eastAsia" w:ascii="宋体" w:hAnsi="宋体"/>
          <w:i/>
          <w:snapToGrid w:val="0"/>
          <w:kern w:val="0"/>
          <w:szCs w:val="21"/>
        </w:rPr>
        <w:t>[提示：适用于未进行资格预审的。]</w:t>
      </w:r>
    </w:p>
    <w:p w14:paraId="15FA8EAD">
      <w:pPr>
        <w:pStyle w:val="4"/>
        <w:snapToGrid w:val="0"/>
        <w:spacing w:before="0" w:after="0" w:line="360" w:lineRule="auto"/>
        <w:rPr>
          <w:rFonts w:ascii="宋体" w:hAnsi="宋体"/>
          <w:b w:val="0"/>
          <w:snapToGrid w:val="0"/>
          <w:sz w:val="24"/>
          <w:szCs w:val="24"/>
        </w:rPr>
      </w:pPr>
      <w:bookmarkStart w:id="281" w:name="_Toc23762"/>
      <w:bookmarkStart w:id="282" w:name="_Toc430530460"/>
      <w:bookmarkStart w:id="283" w:name="_Toc509218735"/>
      <w:bookmarkStart w:id="284" w:name="_Toc200513151"/>
      <w:bookmarkStart w:id="285" w:name="_Toc287620710"/>
      <w:bookmarkStart w:id="286" w:name="_Toc277082577"/>
      <w:bookmarkStart w:id="287" w:name="_Toc287607771"/>
      <w:bookmarkStart w:id="288" w:name="_Toc224103342"/>
      <w:r>
        <w:rPr>
          <w:rFonts w:ascii="宋体" w:hAnsi="宋体"/>
          <w:b w:val="0"/>
          <w:snapToGrid w:val="0"/>
          <w:sz w:val="24"/>
          <w:szCs w:val="24"/>
        </w:rPr>
        <w:t>3.6  备选投标方案</w:t>
      </w:r>
      <w:bookmarkEnd w:id="281"/>
      <w:bookmarkEnd w:id="282"/>
      <w:bookmarkEnd w:id="283"/>
      <w:bookmarkEnd w:id="284"/>
      <w:bookmarkEnd w:id="285"/>
      <w:bookmarkEnd w:id="286"/>
      <w:bookmarkEnd w:id="287"/>
      <w:bookmarkEnd w:id="288"/>
    </w:p>
    <w:p w14:paraId="1CB07A6A">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.6.1  除投标人须知前附表规定允许外，投标人不得递交备选投标方案，否则其投标将被否决。</w:t>
      </w:r>
    </w:p>
    <w:p w14:paraId="076B1601">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.6.2  允许投标人递交备选投标方案的，只有中标人所递交的备选投标方案方可予以考虑。评标委员会认为中标人的备选投标方案优于其按照招标文件要求编制的投标方案的，招标人可以接受该备选投标方案。</w:t>
      </w:r>
    </w:p>
    <w:p w14:paraId="5A1BF2CD">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3</w:t>
      </w:r>
      <w:r>
        <w:rPr>
          <w:rFonts w:ascii="宋体" w:hAnsi="宋体"/>
          <w:snapToGrid w:val="0"/>
          <w:kern w:val="0"/>
          <w:szCs w:val="21"/>
        </w:rPr>
        <w:t>.6.3  投标人提供两个或两个以上投标报价，或者在投标文件中提供一个报价，但同时提供两个或两个以上</w:t>
      </w:r>
      <w:r>
        <w:rPr>
          <w:rFonts w:hint="eastAsia" w:ascii="宋体" w:hAnsi="宋体"/>
          <w:snapToGrid w:val="0"/>
          <w:kern w:val="0"/>
          <w:szCs w:val="21"/>
        </w:rPr>
        <w:t>供货</w:t>
      </w:r>
      <w:r>
        <w:rPr>
          <w:rFonts w:ascii="宋体" w:hAnsi="宋体"/>
          <w:snapToGrid w:val="0"/>
          <w:kern w:val="0"/>
          <w:szCs w:val="21"/>
        </w:rPr>
        <w:t>方案的，视为提供备选方案。</w:t>
      </w:r>
    </w:p>
    <w:p w14:paraId="1B14D743">
      <w:pPr>
        <w:pStyle w:val="4"/>
        <w:snapToGrid w:val="0"/>
        <w:spacing w:before="0" w:after="0" w:line="360" w:lineRule="auto"/>
        <w:rPr>
          <w:rFonts w:ascii="宋体" w:hAnsi="宋体"/>
          <w:b w:val="0"/>
          <w:snapToGrid w:val="0"/>
          <w:sz w:val="24"/>
          <w:szCs w:val="24"/>
        </w:rPr>
      </w:pPr>
      <w:bookmarkStart w:id="289" w:name="_Toc224103343"/>
      <w:bookmarkStart w:id="290" w:name="_Toc277082578"/>
      <w:bookmarkStart w:id="291" w:name="_Toc287620711"/>
      <w:bookmarkStart w:id="292" w:name="_Toc200513152"/>
      <w:bookmarkStart w:id="293" w:name="_Toc287607772"/>
      <w:bookmarkStart w:id="294" w:name="_Toc27022"/>
      <w:bookmarkStart w:id="295" w:name="_Toc430530461"/>
      <w:bookmarkStart w:id="296" w:name="_Toc509218736"/>
      <w:r>
        <w:rPr>
          <w:rFonts w:ascii="宋体" w:hAnsi="宋体"/>
          <w:b w:val="0"/>
          <w:snapToGrid w:val="0"/>
          <w:sz w:val="24"/>
          <w:szCs w:val="24"/>
        </w:rPr>
        <w:t>3.7  投标文件的编制</w:t>
      </w:r>
      <w:bookmarkEnd w:id="289"/>
      <w:bookmarkEnd w:id="290"/>
      <w:bookmarkEnd w:id="291"/>
      <w:bookmarkEnd w:id="292"/>
      <w:bookmarkEnd w:id="293"/>
      <w:bookmarkEnd w:id="294"/>
      <w:bookmarkEnd w:id="295"/>
      <w:bookmarkEnd w:id="296"/>
    </w:p>
    <w:p w14:paraId="47F60A2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3.7.1  投标文件应按第</w:t>
      </w:r>
      <w:r>
        <w:rPr>
          <w:rFonts w:hint="eastAsia" w:ascii="宋体" w:hAnsi="宋体"/>
          <w:snapToGrid w:val="0"/>
          <w:kern w:val="0"/>
          <w:szCs w:val="21"/>
        </w:rPr>
        <w:t>六</w:t>
      </w:r>
      <w:r>
        <w:rPr>
          <w:rFonts w:ascii="宋体" w:hAnsi="宋体"/>
          <w:snapToGrid w:val="0"/>
          <w:kern w:val="0"/>
          <w:szCs w:val="21"/>
        </w:rPr>
        <w:t>章“投标文件格式”进行编写，如有必要，可以增加附页，作为投标文件的组成部分。</w:t>
      </w:r>
    </w:p>
    <w:p w14:paraId="1AC79DC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 xml:space="preserve">3.7.2  </w:t>
      </w:r>
      <w:r>
        <w:rPr>
          <w:spacing w:val="-7"/>
        </w:rPr>
        <w:t>投标文件应当对招标文件有关供货期、投标有效期、供货要求、招标范围等实质性内容作出响应。投标文件在满足招标文件实质性要求的基础上，可以提出比招标文件要求更有利</w:t>
      </w:r>
      <w:r>
        <w:rPr>
          <w:spacing w:val="-5"/>
        </w:rPr>
        <w:t>于招标人的承诺。</w:t>
      </w:r>
    </w:p>
    <w:p w14:paraId="6ECACB0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position w:val="-2"/>
          <w:szCs w:val="21"/>
        </w:rPr>
        <w:t xml:space="preserve">3.7.3  </w:t>
      </w:r>
      <w:r>
        <w:rPr>
          <w:rFonts w:hint="eastAsia" w:ascii="宋体" w:hAnsi="宋体"/>
          <w:snapToGrid w:val="0"/>
          <w:kern w:val="0"/>
          <w:position w:val="-2"/>
          <w:szCs w:val="21"/>
        </w:rPr>
        <w:t>投标文件的签名盖章要求：按本章投标人须知前附表第3.7.3项执行。</w:t>
      </w:r>
    </w:p>
    <w:p w14:paraId="0855A210">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3.7.4  </w:t>
      </w:r>
      <w:r>
        <w:rPr>
          <w:rFonts w:hint="eastAsia" w:ascii="宋体" w:hAnsi="宋体"/>
          <w:snapToGrid w:val="0"/>
          <w:kern w:val="0"/>
          <w:szCs w:val="21"/>
        </w:rPr>
        <w:t>投标文件的份数：按</w:t>
      </w:r>
      <w:r>
        <w:rPr>
          <w:rFonts w:ascii="宋体" w:hAnsi="宋体"/>
          <w:snapToGrid w:val="0"/>
          <w:kern w:val="0"/>
          <w:szCs w:val="21"/>
        </w:rPr>
        <w:t>投标</w:t>
      </w:r>
      <w:r>
        <w:rPr>
          <w:rFonts w:hint="eastAsia" w:ascii="宋体" w:hAnsi="宋体"/>
          <w:kern w:val="0"/>
          <w:szCs w:val="21"/>
        </w:rPr>
        <w:t>人须知前附表执行。</w:t>
      </w:r>
    </w:p>
    <w:p w14:paraId="538590DE">
      <w:pPr>
        <w:autoSpaceDE w:val="0"/>
        <w:autoSpaceDN w:val="0"/>
        <w:adjustRightInd w:val="0"/>
        <w:snapToGrid w:val="0"/>
        <w:spacing w:line="360" w:lineRule="auto"/>
        <w:ind w:right="-109" w:firstLine="420" w:firstLineChars="200"/>
        <w:rPr>
          <w:rFonts w:ascii="宋体" w:hAnsi="宋体"/>
          <w:snapToGrid w:val="0"/>
          <w:kern w:val="0"/>
          <w:szCs w:val="21"/>
        </w:rPr>
      </w:pPr>
      <w:r>
        <w:rPr>
          <w:rFonts w:ascii="宋体" w:hAnsi="宋体"/>
          <w:snapToGrid w:val="0"/>
          <w:kern w:val="0"/>
          <w:szCs w:val="21"/>
        </w:rPr>
        <w:t xml:space="preserve">3.7.5  </w:t>
      </w:r>
      <w:r>
        <w:rPr>
          <w:rFonts w:hint="eastAsia" w:ascii="宋体" w:hAnsi="宋体"/>
          <w:snapToGrid w:val="0"/>
          <w:kern w:val="0"/>
          <w:szCs w:val="21"/>
        </w:rPr>
        <w:t>投标文件应按规定格式排版，并编制目录，具体编制要求按投标人须知前附表第3.7.5项执行。</w:t>
      </w:r>
    </w:p>
    <w:p w14:paraId="53109F8E">
      <w:pPr>
        <w:pStyle w:val="3"/>
        <w:keepNext w:val="0"/>
        <w:keepLines w:val="0"/>
        <w:spacing w:before="0" w:after="0" w:line="360" w:lineRule="auto"/>
        <w:rPr>
          <w:rFonts w:ascii="宋体" w:hAnsi="宋体"/>
          <w:b w:val="0"/>
          <w:snapToGrid w:val="0"/>
        </w:rPr>
      </w:pPr>
      <w:bookmarkStart w:id="297" w:name="_Toc21152"/>
      <w:bookmarkStart w:id="298" w:name="_Toc509218737"/>
      <w:bookmarkStart w:id="299" w:name="_Toc200513153"/>
      <w:bookmarkStart w:id="300" w:name="_Toc224103344"/>
      <w:bookmarkStart w:id="301" w:name="_Toc287620712"/>
      <w:bookmarkStart w:id="302" w:name="_Toc430530462"/>
      <w:bookmarkStart w:id="303" w:name="_Toc287607773"/>
      <w:bookmarkStart w:id="304" w:name="_Toc277082579"/>
      <w:r>
        <w:rPr>
          <w:rFonts w:ascii="宋体" w:hAnsi="宋体"/>
          <w:b w:val="0"/>
          <w:snapToGrid w:val="0"/>
        </w:rPr>
        <w:t>4.  投标</w:t>
      </w:r>
      <w:bookmarkEnd w:id="297"/>
      <w:bookmarkEnd w:id="298"/>
      <w:bookmarkEnd w:id="299"/>
      <w:bookmarkEnd w:id="300"/>
      <w:bookmarkEnd w:id="301"/>
      <w:bookmarkEnd w:id="302"/>
      <w:bookmarkEnd w:id="303"/>
      <w:bookmarkEnd w:id="304"/>
    </w:p>
    <w:p w14:paraId="0BCD0F18">
      <w:pPr>
        <w:pStyle w:val="4"/>
        <w:keepNext w:val="0"/>
        <w:keepLines w:val="0"/>
        <w:snapToGrid w:val="0"/>
        <w:spacing w:before="0" w:after="0" w:line="360" w:lineRule="auto"/>
        <w:rPr>
          <w:rFonts w:ascii="宋体" w:hAnsi="宋体"/>
          <w:b w:val="0"/>
          <w:snapToGrid w:val="0"/>
          <w:sz w:val="24"/>
          <w:szCs w:val="24"/>
        </w:rPr>
      </w:pPr>
      <w:bookmarkStart w:id="305" w:name="_Toc200513154"/>
      <w:bookmarkStart w:id="306" w:name="_Toc287607774"/>
      <w:bookmarkStart w:id="307" w:name="_Toc224103345"/>
      <w:bookmarkStart w:id="308" w:name="_Toc509218738"/>
      <w:bookmarkStart w:id="309" w:name="_Toc287620713"/>
      <w:bookmarkStart w:id="310" w:name="_Toc277082580"/>
      <w:bookmarkStart w:id="311" w:name="_Toc430530463"/>
      <w:bookmarkStart w:id="312" w:name="_Toc21129"/>
      <w:r>
        <w:rPr>
          <w:rFonts w:ascii="宋体" w:hAnsi="宋体"/>
          <w:b w:val="0"/>
          <w:snapToGrid w:val="0"/>
          <w:sz w:val="24"/>
          <w:szCs w:val="24"/>
        </w:rPr>
        <w:t>4.1  投标文件的密封和标记</w:t>
      </w:r>
      <w:bookmarkEnd w:id="305"/>
      <w:bookmarkEnd w:id="306"/>
      <w:bookmarkEnd w:id="307"/>
      <w:bookmarkEnd w:id="308"/>
      <w:bookmarkEnd w:id="309"/>
      <w:bookmarkEnd w:id="310"/>
      <w:bookmarkEnd w:id="311"/>
      <w:bookmarkEnd w:id="312"/>
    </w:p>
    <w:p w14:paraId="378A8092">
      <w:pPr>
        <w:autoSpaceDE w:val="0"/>
        <w:autoSpaceDN w:val="0"/>
        <w:adjustRightInd w:val="0"/>
        <w:snapToGrid w:val="0"/>
        <w:spacing w:line="360" w:lineRule="auto"/>
        <w:ind w:firstLine="420" w:firstLineChars="200"/>
        <w:rPr>
          <w:rFonts w:ascii="宋体" w:hAnsi="宋体"/>
          <w:snapToGrid w:val="0"/>
          <w:kern w:val="0"/>
          <w:szCs w:val="21"/>
        </w:rPr>
      </w:pPr>
      <w:bookmarkStart w:id="313" w:name="_Toc200513155"/>
      <w:r>
        <w:rPr>
          <w:rFonts w:ascii="宋体" w:hAnsi="宋体"/>
          <w:snapToGrid w:val="0"/>
          <w:kern w:val="0"/>
          <w:szCs w:val="21"/>
        </w:rPr>
        <w:t>4.1.1  投标文件的</w:t>
      </w:r>
      <w:r>
        <w:rPr>
          <w:rFonts w:hint="eastAsia" w:ascii="宋体" w:hAnsi="宋体"/>
          <w:snapToGrid w:val="0"/>
          <w:kern w:val="0"/>
          <w:szCs w:val="21"/>
        </w:rPr>
        <w:t>密封：</w:t>
      </w:r>
      <w:r>
        <w:rPr>
          <w:rFonts w:ascii="宋体" w:hAnsi="宋体"/>
          <w:snapToGrid w:val="0"/>
          <w:kern w:val="0"/>
          <w:szCs w:val="21"/>
        </w:rPr>
        <w:t>见投标人须知前附表。</w:t>
      </w:r>
    </w:p>
    <w:p w14:paraId="584AB7B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4.1.2  投标文件封套上应</w:t>
      </w:r>
      <w:r>
        <w:rPr>
          <w:rFonts w:hint="eastAsia" w:ascii="宋体" w:hAnsi="宋体"/>
          <w:snapToGrid w:val="0"/>
          <w:kern w:val="0"/>
          <w:szCs w:val="21"/>
        </w:rPr>
        <w:t>载明</w:t>
      </w:r>
      <w:r>
        <w:rPr>
          <w:rFonts w:ascii="宋体" w:hAnsi="宋体"/>
          <w:snapToGrid w:val="0"/>
          <w:kern w:val="0"/>
          <w:szCs w:val="21"/>
        </w:rPr>
        <w:t>的</w:t>
      </w:r>
      <w:r>
        <w:rPr>
          <w:rFonts w:hint="eastAsia" w:ascii="宋体" w:hAnsi="宋体"/>
          <w:snapToGrid w:val="0"/>
          <w:kern w:val="0"/>
          <w:szCs w:val="21"/>
        </w:rPr>
        <w:t>信息：</w:t>
      </w:r>
      <w:r>
        <w:rPr>
          <w:rFonts w:ascii="宋体" w:hAnsi="宋体"/>
          <w:snapToGrid w:val="0"/>
          <w:kern w:val="0"/>
          <w:szCs w:val="21"/>
        </w:rPr>
        <w:t>见投标人须知前附表。</w:t>
      </w:r>
    </w:p>
    <w:p w14:paraId="0AD32A49">
      <w:pPr>
        <w:pStyle w:val="4"/>
        <w:keepNext w:val="0"/>
        <w:keepLines w:val="0"/>
        <w:snapToGrid w:val="0"/>
        <w:spacing w:before="0" w:after="0" w:line="360" w:lineRule="auto"/>
        <w:rPr>
          <w:rFonts w:ascii="宋体" w:hAnsi="宋体"/>
          <w:b w:val="0"/>
          <w:snapToGrid w:val="0"/>
          <w:sz w:val="24"/>
          <w:szCs w:val="24"/>
        </w:rPr>
      </w:pPr>
      <w:bookmarkStart w:id="314" w:name="_Toc509218739"/>
      <w:bookmarkStart w:id="315" w:name="_Toc277082581"/>
      <w:bookmarkStart w:id="316" w:name="_Toc287620714"/>
      <w:bookmarkStart w:id="317" w:name="_Toc9888"/>
      <w:bookmarkStart w:id="318" w:name="_Toc287607775"/>
      <w:bookmarkStart w:id="319" w:name="_Toc224103346"/>
      <w:bookmarkStart w:id="320" w:name="_Toc430530464"/>
      <w:r>
        <w:rPr>
          <w:rFonts w:ascii="宋体" w:hAnsi="宋体"/>
          <w:b w:val="0"/>
          <w:snapToGrid w:val="0"/>
          <w:sz w:val="24"/>
          <w:szCs w:val="24"/>
        </w:rPr>
        <w:t>4.2  投标文件的递交</w:t>
      </w:r>
      <w:bookmarkEnd w:id="313"/>
      <w:bookmarkEnd w:id="314"/>
      <w:bookmarkEnd w:id="315"/>
      <w:bookmarkEnd w:id="316"/>
      <w:bookmarkEnd w:id="317"/>
      <w:bookmarkEnd w:id="318"/>
      <w:bookmarkEnd w:id="319"/>
      <w:bookmarkEnd w:id="320"/>
    </w:p>
    <w:p w14:paraId="4ED6805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4.2.1  投标人应在投标人须知前附表第4.2.1项规定的投标截止时间前递交投标文件。</w:t>
      </w:r>
    </w:p>
    <w:p w14:paraId="04C85259">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4.2.2  投标人递交投标文件的地点：见投标人须知前附表。</w:t>
      </w:r>
    </w:p>
    <w:p w14:paraId="2D966AE8">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4.2.3  除投标人须知前附表另有规定外，投标人所递交的投标文件不予退还。</w:t>
      </w:r>
    </w:p>
    <w:p w14:paraId="691FD15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4.2.5  逾期送达的或者未送达指定地点的投标文件，</w:t>
      </w:r>
      <w:r>
        <w:t>将予以拒收</w:t>
      </w:r>
      <w:r>
        <w:rPr>
          <w:rFonts w:ascii="宋体" w:hAnsi="宋体"/>
          <w:snapToGrid w:val="0"/>
          <w:kern w:val="0"/>
          <w:szCs w:val="21"/>
        </w:rPr>
        <w:t>。</w:t>
      </w:r>
    </w:p>
    <w:p w14:paraId="17883251">
      <w:pPr>
        <w:pStyle w:val="4"/>
        <w:keepNext w:val="0"/>
        <w:keepLines w:val="0"/>
        <w:snapToGrid w:val="0"/>
        <w:spacing w:before="0" w:after="0" w:line="360" w:lineRule="auto"/>
        <w:rPr>
          <w:rFonts w:ascii="宋体" w:hAnsi="宋体"/>
          <w:b w:val="0"/>
          <w:snapToGrid w:val="0"/>
          <w:sz w:val="24"/>
          <w:szCs w:val="24"/>
        </w:rPr>
      </w:pPr>
      <w:bookmarkStart w:id="321" w:name="_Toc224103347"/>
      <w:bookmarkStart w:id="322" w:name="_Toc200513156"/>
      <w:bookmarkStart w:id="323" w:name="_Toc287607776"/>
      <w:bookmarkStart w:id="324" w:name="_Toc430530465"/>
      <w:bookmarkStart w:id="325" w:name="_Toc24406"/>
      <w:bookmarkStart w:id="326" w:name="_Toc287620715"/>
      <w:bookmarkStart w:id="327" w:name="_Toc509218740"/>
      <w:bookmarkStart w:id="328" w:name="_Toc277082582"/>
      <w:r>
        <w:rPr>
          <w:rFonts w:ascii="宋体" w:hAnsi="宋体"/>
          <w:b w:val="0"/>
          <w:snapToGrid w:val="0"/>
          <w:sz w:val="24"/>
          <w:szCs w:val="24"/>
        </w:rPr>
        <w:t>4.3  投标文件的修改与撤回</w:t>
      </w:r>
      <w:bookmarkEnd w:id="321"/>
      <w:bookmarkEnd w:id="322"/>
      <w:bookmarkEnd w:id="323"/>
      <w:bookmarkEnd w:id="324"/>
      <w:bookmarkEnd w:id="325"/>
      <w:bookmarkEnd w:id="326"/>
      <w:bookmarkEnd w:id="327"/>
      <w:bookmarkEnd w:id="328"/>
    </w:p>
    <w:p w14:paraId="79C8F49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4.3.1  在投标人须知前附表第4.2.1项规定的投标截止时间前，投标人可以修改或撤回已递交的投标文件。</w:t>
      </w:r>
    </w:p>
    <w:p w14:paraId="7FFB30DD">
      <w:pPr>
        <w:autoSpaceDE w:val="0"/>
        <w:autoSpaceDN w:val="0"/>
        <w:adjustRightInd w:val="0"/>
        <w:snapToGrid w:val="0"/>
        <w:spacing w:line="360" w:lineRule="auto"/>
        <w:ind w:firstLine="420" w:firstLineChars="200"/>
      </w:pPr>
      <w:r>
        <w:rPr>
          <w:rFonts w:hint="eastAsia" w:ascii="宋体" w:hAnsi="宋体"/>
          <w:snapToGrid w:val="0"/>
          <w:kern w:val="0"/>
          <w:szCs w:val="21"/>
        </w:rPr>
        <w:t>4.3.</w:t>
      </w:r>
      <w:r>
        <w:rPr>
          <w:rFonts w:ascii="宋体" w:hAnsi="宋体"/>
          <w:snapToGrid w:val="0"/>
          <w:kern w:val="0"/>
          <w:szCs w:val="21"/>
        </w:rPr>
        <w:t>3</w:t>
      </w:r>
      <w:r>
        <w:rPr>
          <w:rFonts w:hint="eastAsia" w:ascii="宋体" w:hAnsi="宋体"/>
          <w:snapToGrid w:val="0"/>
          <w:kern w:val="0"/>
          <w:szCs w:val="21"/>
        </w:rPr>
        <w:t xml:space="preserve">  投标人撤回投标文件的，</w:t>
      </w:r>
      <w:r>
        <w:rPr>
          <w:spacing w:val="-11"/>
        </w:rPr>
        <w:t xml:space="preserve">招标人自收到投标人书面撤回通知之日起 </w:t>
      </w:r>
      <w:r>
        <w:rPr>
          <w:rFonts w:eastAsia="Times New Roman"/>
        </w:rPr>
        <w:t>5</w:t>
      </w:r>
      <w:r>
        <w:rPr>
          <w:rFonts w:eastAsia="Times New Roman"/>
          <w:spacing w:val="15"/>
        </w:rPr>
        <w:t xml:space="preserve"> </w:t>
      </w:r>
      <w:r>
        <w:rPr>
          <w:spacing w:val="-3"/>
        </w:rPr>
        <w:t>日内退还已收取的投标保证金。</w:t>
      </w:r>
    </w:p>
    <w:p w14:paraId="798873E5">
      <w:pPr>
        <w:pStyle w:val="3"/>
        <w:keepNext w:val="0"/>
        <w:keepLines w:val="0"/>
        <w:spacing w:before="0" w:after="0" w:line="360" w:lineRule="auto"/>
        <w:rPr>
          <w:rFonts w:ascii="宋体" w:hAnsi="宋体"/>
          <w:b w:val="0"/>
          <w:snapToGrid w:val="0"/>
        </w:rPr>
      </w:pPr>
      <w:bookmarkStart w:id="329" w:name="_Toc287607777"/>
      <w:bookmarkStart w:id="330" w:name="_Toc17649"/>
      <w:bookmarkStart w:id="331" w:name="_Toc277082583"/>
      <w:bookmarkStart w:id="332" w:name="_Toc509218741"/>
      <w:bookmarkStart w:id="333" w:name="_Toc224103348"/>
      <w:bookmarkStart w:id="334" w:name="_Toc430530466"/>
      <w:bookmarkStart w:id="335" w:name="_Toc287620716"/>
      <w:bookmarkStart w:id="336" w:name="_Toc200513157"/>
      <w:r>
        <w:rPr>
          <w:rFonts w:ascii="宋体" w:hAnsi="宋体"/>
          <w:b w:val="0"/>
          <w:snapToGrid w:val="0"/>
        </w:rPr>
        <w:t>5.  开标</w:t>
      </w:r>
      <w:bookmarkEnd w:id="329"/>
      <w:bookmarkEnd w:id="330"/>
      <w:bookmarkEnd w:id="331"/>
      <w:bookmarkEnd w:id="332"/>
      <w:bookmarkEnd w:id="333"/>
      <w:bookmarkEnd w:id="334"/>
      <w:bookmarkEnd w:id="335"/>
      <w:bookmarkEnd w:id="336"/>
    </w:p>
    <w:p w14:paraId="7D33F90F">
      <w:pPr>
        <w:pStyle w:val="4"/>
        <w:keepNext w:val="0"/>
        <w:keepLines w:val="0"/>
        <w:snapToGrid w:val="0"/>
        <w:spacing w:before="0" w:after="0" w:line="360" w:lineRule="auto"/>
        <w:rPr>
          <w:rFonts w:ascii="宋体" w:hAnsi="宋体"/>
          <w:b w:val="0"/>
          <w:snapToGrid w:val="0"/>
          <w:sz w:val="24"/>
          <w:szCs w:val="24"/>
        </w:rPr>
      </w:pPr>
      <w:bookmarkStart w:id="337" w:name="_Toc287607778"/>
      <w:bookmarkStart w:id="338" w:name="_Toc430530467"/>
      <w:bookmarkStart w:id="339" w:name="_Toc6364"/>
      <w:bookmarkStart w:id="340" w:name="_Toc509218742"/>
      <w:bookmarkStart w:id="341" w:name="_Toc224103349"/>
      <w:bookmarkStart w:id="342" w:name="_Toc200513158"/>
      <w:bookmarkStart w:id="343" w:name="_Toc287620717"/>
      <w:bookmarkStart w:id="344" w:name="_Toc277082584"/>
      <w:r>
        <w:rPr>
          <w:rFonts w:ascii="宋体" w:hAnsi="宋体"/>
          <w:b w:val="0"/>
          <w:snapToGrid w:val="0"/>
          <w:sz w:val="24"/>
          <w:szCs w:val="24"/>
        </w:rPr>
        <w:t>5.1  开标时间和地点</w:t>
      </w:r>
      <w:bookmarkEnd w:id="337"/>
      <w:bookmarkEnd w:id="338"/>
      <w:bookmarkEnd w:id="339"/>
      <w:bookmarkEnd w:id="340"/>
      <w:bookmarkEnd w:id="341"/>
      <w:bookmarkEnd w:id="342"/>
      <w:bookmarkEnd w:id="343"/>
      <w:bookmarkEnd w:id="344"/>
    </w:p>
    <w:p w14:paraId="15769A92">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5.1.1  </w:t>
      </w:r>
      <w:r>
        <w:rPr>
          <w:rFonts w:ascii="宋体" w:hAnsi="宋体"/>
          <w:snapToGrid w:val="0"/>
          <w:kern w:val="0"/>
          <w:szCs w:val="21"/>
        </w:rPr>
        <w:t>招标人在投标人须知前附表第4.2.1项规定的投标截止时间（开标时间）和投标人须知前附表规定的地点公开开标，并邀请所有投标人的法定代表人</w:t>
      </w:r>
      <w:r>
        <w:rPr>
          <w:spacing w:val="-3"/>
        </w:rPr>
        <w:t>（单位负责人</w:t>
      </w:r>
      <w:r>
        <w:t>）</w:t>
      </w:r>
      <w:r>
        <w:rPr>
          <w:rFonts w:ascii="宋体" w:hAnsi="宋体"/>
          <w:snapToGrid w:val="0"/>
          <w:kern w:val="0"/>
          <w:szCs w:val="21"/>
        </w:rPr>
        <w:t>或其委托代理人准时参加。</w:t>
      </w:r>
    </w:p>
    <w:p w14:paraId="22ED1385">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5.1.2  投标人在投标人须知前附表第5.1.2项规定的解密时间内在线或到开标现场完成投标文件解密工作。</w:t>
      </w:r>
    </w:p>
    <w:p w14:paraId="39D584EC">
      <w:pPr>
        <w:pStyle w:val="4"/>
        <w:keepNext w:val="0"/>
        <w:keepLines w:val="0"/>
        <w:snapToGrid w:val="0"/>
        <w:spacing w:before="0" w:after="0" w:line="360" w:lineRule="auto"/>
        <w:rPr>
          <w:rFonts w:ascii="宋体" w:hAnsi="宋体"/>
          <w:b w:val="0"/>
          <w:snapToGrid w:val="0"/>
          <w:sz w:val="24"/>
          <w:szCs w:val="24"/>
        </w:rPr>
      </w:pPr>
      <w:bookmarkStart w:id="345" w:name="_Toc13079"/>
      <w:bookmarkStart w:id="346" w:name="_Toc224103350"/>
      <w:bookmarkStart w:id="347" w:name="_Toc287607779"/>
      <w:bookmarkStart w:id="348" w:name="_Toc287620718"/>
      <w:bookmarkStart w:id="349" w:name="_Toc200513159"/>
      <w:bookmarkStart w:id="350" w:name="_Toc430530468"/>
      <w:bookmarkStart w:id="351" w:name="_Toc277082585"/>
      <w:bookmarkStart w:id="352" w:name="_Toc509218743"/>
      <w:r>
        <w:rPr>
          <w:rFonts w:ascii="宋体" w:hAnsi="宋体"/>
          <w:b w:val="0"/>
          <w:snapToGrid w:val="0"/>
          <w:sz w:val="24"/>
          <w:szCs w:val="24"/>
        </w:rPr>
        <w:t>5.2  开标程序</w:t>
      </w:r>
      <w:bookmarkEnd w:id="345"/>
      <w:bookmarkEnd w:id="346"/>
      <w:bookmarkEnd w:id="347"/>
      <w:bookmarkEnd w:id="348"/>
      <w:bookmarkEnd w:id="349"/>
      <w:bookmarkEnd w:id="350"/>
      <w:bookmarkEnd w:id="351"/>
      <w:bookmarkEnd w:id="352"/>
    </w:p>
    <w:p w14:paraId="58AFAD5A">
      <w:pPr>
        <w:autoSpaceDE w:val="0"/>
        <w:autoSpaceDN w:val="0"/>
        <w:adjustRightInd w:val="0"/>
        <w:snapToGrid w:val="0"/>
        <w:spacing w:line="360" w:lineRule="auto"/>
        <w:ind w:firstLine="420" w:firstLineChars="200"/>
        <w:rPr>
          <w:rFonts w:ascii="宋体" w:hAnsi="宋体"/>
          <w:szCs w:val="21"/>
        </w:rPr>
      </w:pPr>
      <w:bookmarkStart w:id="353" w:name="_Toc287607780"/>
      <w:bookmarkStart w:id="354" w:name="_Toc287620719"/>
      <w:bookmarkStart w:id="355" w:name="_Toc277082586"/>
      <w:bookmarkStart w:id="356" w:name="_Toc224103351"/>
      <w:bookmarkStart w:id="357" w:name="_Toc200513160"/>
      <w:r>
        <w:rPr>
          <w:rFonts w:ascii="宋体" w:hAnsi="宋体"/>
          <w:szCs w:val="21"/>
        </w:rPr>
        <w:t>详见投标人须知前附表第5.2款开标程序。</w:t>
      </w:r>
    </w:p>
    <w:p w14:paraId="0C98FE49">
      <w:pPr>
        <w:pStyle w:val="4"/>
        <w:keepNext w:val="0"/>
        <w:keepLines w:val="0"/>
        <w:snapToGrid w:val="0"/>
        <w:spacing w:before="0" w:after="0" w:line="360" w:lineRule="auto"/>
        <w:rPr>
          <w:rFonts w:ascii="宋体" w:hAnsi="宋体"/>
          <w:b w:val="0"/>
          <w:snapToGrid w:val="0"/>
          <w:sz w:val="24"/>
          <w:szCs w:val="24"/>
        </w:rPr>
      </w:pPr>
      <w:bookmarkStart w:id="358" w:name="_Toc30173"/>
      <w:r>
        <w:rPr>
          <w:rFonts w:ascii="宋体" w:hAnsi="宋体"/>
          <w:b w:val="0"/>
          <w:snapToGrid w:val="0"/>
          <w:sz w:val="24"/>
          <w:szCs w:val="24"/>
        </w:rPr>
        <w:t>5.</w:t>
      </w:r>
      <w:r>
        <w:rPr>
          <w:rFonts w:hint="eastAsia" w:ascii="宋体" w:hAnsi="宋体"/>
          <w:b w:val="0"/>
          <w:snapToGrid w:val="0"/>
          <w:sz w:val="24"/>
          <w:szCs w:val="24"/>
        </w:rPr>
        <w:t>3</w:t>
      </w:r>
      <w:r>
        <w:rPr>
          <w:rFonts w:ascii="宋体" w:hAnsi="宋体"/>
          <w:b w:val="0"/>
          <w:snapToGrid w:val="0"/>
          <w:sz w:val="24"/>
          <w:szCs w:val="24"/>
        </w:rPr>
        <w:t xml:space="preserve">  </w:t>
      </w:r>
      <w:r>
        <w:rPr>
          <w:rFonts w:hint="eastAsia" w:ascii="宋体" w:hAnsi="宋体"/>
          <w:b w:val="0"/>
          <w:snapToGrid w:val="0"/>
          <w:sz w:val="24"/>
          <w:szCs w:val="24"/>
        </w:rPr>
        <w:t>开标异议</w:t>
      </w:r>
      <w:bookmarkEnd w:id="358"/>
    </w:p>
    <w:p w14:paraId="4BB73654">
      <w:pPr>
        <w:autoSpaceDE w:val="0"/>
        <w:autoSpaceDN w:val="0"/>
        <w:adjustRightInd w:val="0"/>
        <w:snapToGrid w:val="0"/>
        <w:spacing w:line="360" w:lineRule="auto"/>
        <w:ind w:firstLine="420" w:firstLineChars="200"/>
        <w:rPr>
          <w:rFonts w:ascii="宋体" w:hAnsi="宋体"/>
          <w:szCs w:val="21"/>
        </w:rPr>
      </w:pPr>
      <w:r>
        <w:rPr>
          <w:rFonts w:hint="eastAsia" w:ascii="宋体" w:hAnsi="宋体"/>
          <w:szCs w:val="21"/>
        </w:rPr>
        <w:t>投标人对开标有异议的，应当在开标现场或在线提出，开标现场提出异议的，应出示法定代表人身份证明或附有法定代表人身份证明的授权委托书。招标人当场作出答复，并制作记录，提出异议的投标人代表、招标人代表、主持人、记录人等有关人员在记录上签名确认。</w:t>
      </w:r>
    </w:p>
    <w:p w14:paraId="2D86ACF9">
      <w:pPr>
        <w:pStyle w:val="3"/>
        <w:keepNext w:val="0"/>
        <w:keepLines w:val="0"/>
        <w:spacing w:before="0" w:after="0" w:line="360" w:lineRule="auto"/>
        <w:rPr>
          <w:rFonts w:ascii="宋体" w:hAnsi="宋体"/>
          <w:b w:val="0"/>
          <w:snapToGrid w:val="0"/>
        </w:rPr>
      </w:pPr>
      <w:bookmarkStart w:id="359" w:name="_Toc16091"/>
      <w:bookmarkStart w:id="360" w:name="_Toc430530469"/>
      <w:bookmarkStart w:id="361" w:name="_Toc509218744"/>
      <w:r>
        <w:rPr>
          <w:rFonts w:ascii="宋体" w:hAnsi="宋体"/>
          <w:b w:val="0"/>
          <w:snapToGrid w:val="0"/>
        </w:rPr>
        <w:t>6.  评标</w:t>
      </w:r>
      <w:bookmarkEnd w:id="353"/>
      <w:bookmarkEnd w:id="354"/>
      <w:bookmarkEnd w:id="355"/>
      <w:bookmarkEnd w:id="356"/>
      <w:bookmarkEnd w:id="357"/>
      <w:bookmarkEnd w:id="359"/>
      <w:bookmarkEnd w:id="360"/>
      <w:bookmarkEnd w:id="361"/>
    </w:p>
    <w:p w14:paraId="2D558519">
      <w:pPr>
        <w:pStyle w:val="4"/>
        <w:keepNext w:val="0"/>
        <w:keepLines w:val="0"/>
        <w:snapToGrid w:val="0"/>
        <w:spacing w:before="0" w:after="0" w:line="360" w:lineRule="auto"/>
        <w:rPr>
          <w:rFonts w:ascii="宋体" w:hAnsi="宋体"/>
          <w:b w:val="0"/>
          <w:snapToGrid w:val="0"/>
          <w:sz w:val="24"/>
          <w:szCs w:val="24"/>
        </w:rPr>
      </w:pPr>
      <w:bookmarkStart w:id="362" w:name="_Toc287620720"/>
      <w:bookmarkStart w:id="363" w:name="_Toc224103352"/>
      <w:bookmarkStart w:id="364" w:name="_Toc277082587"/>
      <w:bookmarkStart w:id="365" w:name="_Toc430530470"/>
      <w:bookmarkStart w:id="366" w:name="_Toc7908"/>
      <w:bookmarkStart w:id="367" w:name="_Toc509218745"/>
      <w:bookmarkStart w:id="368" w:name="_Toc287607781"/>
      <w:bookmarkStart w:id="369" w:name="_Toc200513161"/>
      <w:r>
        <w:rPr>
          <w:rFonts w:ascii="宋体" w:hAnsi="宋体"/>
          <w:b w:val="0"/>
          <w:snapToGrid w:val="0"/>
          <w:sz w:val="24"/>
          <w:szCs w:val="24"/>
        </w:rPr>
        <w:t>6.1  评标委员会</w:t>
      </w:r>
      <w:bookmarkEnd w:id="362"/>
      <w:bookmarkEnd w:id="363"/>
      <w:bookmarkEnd w:id="364"/>
      <w:bookmarkEnd w:id="365"/>
      <w:bookmarkEnd w:id="366"/>
      <w:bookmarkEnd w:id="367"/>
      <w:bookmarkEnd w:id="368"/>
      <w:bookmarkEnd w:id="369"/>
    </w:p>
    <w:p w14:paraId="3FA0FB14">
      <w:pPr>
        <w:autoSpaceDE w:val="0"/>
        <w:autoSpaceDN w:val="0"/>
        <w:adjustRightInd w:val="0"/>
        <w:snapToGrid w:val="0"/>
        <w:spacing w:line="360" w:lineRule="auto"/>
        <w:ind w:firstLine="420" w:firstLineChars="200"/>
        <w:rPr>
          <w:rFonts w:ascii="宋体" w:hAnsi="宋体"/>
          <w:b/>
          <w:snapToGrid w:val="0"/>
          <w:kern w:val="0"/>
          <w:szCs w:val="21"/>
        </w:rPr>
      </w:pPr>
      <w:r>
        <w:rPr>
          <w:rFonts w:ascii="宋体" w:hAnsi="宋体"/>
          <w:snapToGrid w:val="0"/>
          <w:kern w:val="0"/>
          <w:szCs w:val="21"/>
        </w:rPr>
        <w:t>6.1.1  评标由招标人依据法律法规和相关规范性文件组建的评标委员会负责。</w:t>
      </w:r>
    </w:p>
    <w:p w14:paraId="768F404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6.1.2  评标委员会成员有下列情形之一的，应当回避：</w:t>
      </w:r>
    </w:p>
    <w:p w14:paraId="620C4C84">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（1）投标人或投标人主要负责人的近亲属；</w:t>
      </w:r>
    </w:p>
    <w:p w14:paraId="48E19286">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（2）项目主管部门或者</w:t>
      </w:r>
      <w:r>
        <w:rPr>
          <w:rFonts w:hint="eastAsia" w:ascii="宋体" w:hAnsi="宋体"/>
          <w:snapToGrid w:val="0"/>
          <w:kern w:val="0"/>
          <w:szCs w:val="21"/>
        </w:rPr>
        <w:t>项目</w:t>
      </w:r>
      <w:r>
        <w:rPr>
          <w:rFonts w:ascii="宋体" w:hAnsi="宋体"/>
          <w:snapToGrid w:val="0"/>
          <w:kern w:val="0"/>
          <w:szCs w:val="21"/>
        </w:rPr>
        <w:t>行政监督部门的人员；</w:t>
      </w:r>
    </w:p>
    <w:p w14:paraId="126E407F">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（3）与投标人有</w:t>
      </w:r>
      <w:r>
        <w:rPr>
          <w:rFonts w:hint="eastAsia" w:ascii="宋体" w:hAnsi="宋体"/>
          <w:snapToGrid w:val="0"/>
          <w:kern w:val="0"/>
          <w:szCs w:val="21"/>
        </w:rPr>
        <w:t>利害</w:t>
      </w:r>
      <w:r>
        <w:rPr>
          <w:rFonts w:ascii="宋体" w:hAnsi="宋体"/>
          <w:snapToGrid w:val="0"/>
          <w:kern w:val="0"/>
          <w:szCs w:val="21"/>
        </w:rPr>
        <w:t>关系，可能影响对投标公正评审的；</w:t>
      </w:r>
    </w:p>
    <w:p w14:paraId="5EBE733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（4）曾因在招标、评标以及其他与招标投标有关活动中从事违法行为而受过行政处罚或刑事处罚的</w:t>
      </w:r>
      <w:r>
        <w:rPr>
          <w:rFonts w:hint="eastAsia" w:ascii="宋体" w:hAnsi="宋体"/>
          <w:snapToGrid w:val="0"/>
          <w:kern w:val="0"/>
          <w:szCs w:val="21"/>
        </w:rPr>
        <w:t>；</w:t>
      </w:r>
    </w:p>
    <w:p w14:paraId="23A8699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w:t>
      </w:r>
      <w:r>
        <w:rPr>
          <w:rFonts w:ascii="宋体" w:hAnsi="宋体"/>
          <w:snapToGrid w:val="0"/>
          <w:kern w:val="0"/>
          <w:szCs w:val="21"/>
        </w:rPr>
        <w:t>5</w:t>
      </w:r>
      <w:r>
        <w:rPr>
          <w:rFonts w:hint="eastAsia" w:ascii="宋体" w:hAnsi="宋体"/>
          <w:snapToGrid w:val="0"/>
          <w:kern w:val="0"/>
          <w:szCs w:val="21"/>
        </w:rPr>
        <w:t>）法律法规规定的其他情形。</w:t>
      </w:r>
    </w:p>
    <w:p w14:paraId="21C6557C">
      <w:pPr>
        <w:pStyle w:val="130"/>
        <w:spacing w:before="0" w:after="0" w:line="360" w:lineRule="auto"/>
        <w:ind w:firstLine="420" w:firstLineChars="200"/>
        <w:jc w:val="left"/>
        <w:rPr>
          <w:rFonts w:ascii="宋体" w:hAnsi="宋体" w:eastAsia="宋体" w:cs="宋体"/>
          <w:sz w:val="21"/>
          <w:szCs w:val="21"/>
          <w:lang w:eastAsia="zh-CN"/>
        </w:rPr>
      </w:pPr>
      <w:r>
        <w:rPr>
          <w:rFonts w:hint="eastAsia" w:ascii="宋体" w:hAnsi="宋体" w:eastAsia="宋体" w:cs="宋体"/>
          <w:sz w:val="21"/>
          <w:szCs w:val="21"/>
          <w:lang w:eastAsia="zh-CN"/>
        </w:rPr>
        <w:t>6.1.3  评标过程中，评标委员会成员有回避事由、擅离职守或者因健康等原因不能继续评标的，应当及时更换。被更换的评标委员会成员作出的评审结论无效，由更换后的评标委员会成员重新进行评审。</w:t>
      </w:r>
    </w:p>
    <w:p w14:paraId="405C4AF5">
      <w:pPr>
        <w:pStyle w:val="4"/>
        <w:snapToGrid w:val="0"/>
        <w:spacing w:before="0" w:after="0" w:line="360" w:lineRule="auto"/>
        <w:rPr>
          <w:rFonts w:ascii="宋体" w:hAnsi="宋体"/>
          <w:b w:val="0"/>
          <w:snapToGrid w:val="0"/>
          <w:sz w:val="24"/>
          <w:szCs w:val="24"/>
        </w:rPr>
      </w:pPr>
      <w:bookmarkStart w:id="370" w:name="_Toc224103353"/>
      <w:bookmarkStart w:id="371" w:name="_Toc430530471"/>
      <w:bookmarkStart w:id="372" w:name="_Toc287620721"/>
      <w:bookmarkStart w:id="373" w:name="_Toc277082588"/>
      <w:bookmarkStart w:id="374" w:name="_Toc287607782"/>
      <w:bookmarkStart w:id="375" w:name="_Toc509218746"/>
      <w:bookmarkStart w:id="376" w:name="_Toc200513162"/>
      <w:bookmarkStart w:id="377" w:name="_Toc16623"/>
      <w:r>
        <w:rPr>
          <w:rFonts w:ascii="宋体" w:hAnsi="宋体"/>
          <w:b w:val="0"/>
          <w:snapToGrid w:val="0"/>
          <w:sz w:val="24"/>
          <w:szCs w:val="24"/>
        </w:rPr>
        <w:t>6.2  评标原则</w:t>
      </w:r>
      <w:bookmarkEnd w:id="370"/>
      <w:bookmarkEnd w:id="371"/>
      <w:bookmarkEnd w:id="372"/>
      <w:bookmarkEnd w:id="373"/>
      <w:bookmarkEnd w:id="374"/>
      <w:bookmarkEnd w:id="375"/>
      <w:bookmarkEnd w:id="376"/>
      <w:bookmarkEnd w:id="377"/>
    </w:p>
    <w:p w14:paraId="0559CF8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评标活动遵循公平、公正、科学和择优的原则。</w:t>
      </w:r>
    </w:p>
    <w:p w14:paraId="39BFABA3">
      <w:pPr>
        <w:pStyle w:val="4"/>
        <w:snapToGrid w:val="0"/>
        <w:spacing w:before="0" w:after="0" w:line="360" w:lineRule="auto"/>
        <w:rPr>
          <w:rFonts w:ascii="宋体" w:hAnsi="宋体"/>
          <w:b w:val="0"/>
          <w:snapToGrid w:val="0"/>
          <w:sz w:val="24"/>
          <w:szCs w:val="24"/>
        </w:rPr>
      </w:pPr>
      <w:bookmarkStart w:id="378" w:name="_Toc31433"/>
      <w:bookmarkStart w:id="379" w:name="_Toc200513163"/>
      <w:bookmarkStart w:id="380" w:name="_Toc224103354"/>
      <w:bookmarkStart w:id="381" w:name="_Toc287607783"/>
      <w:bookmarkStart w:id="382" w:name="_Toc509218747"/>
      <w:bookmarkStart w:id="383" w:name="_Toc277082589"/>
      <w:bookmarkStart w:id="384" w:name="_Toc430530472"/>
      <w:bookmarkStart w:id="385" w:name="_Toc287620722"/>
      <w:r>
        <w:rPr>
          <w:rFonts w:ascii="宋体" w:hAnsi="宋体"/>
          <w:b w:val="0"/>
          <w:snapToGrid w:val="0"/>
          <w:sz w:val="24"/>
          <w:szCs w:val="24"/>
        </w:rPr>
        <w:t>6.3  评标</w:t>
      </w:r>
      <w:bookmarkEnd w:id="378"/>
      <w:bookmarkEnd w:id="379"/>
      <w:bookmarkEnd w:id="380"/>
      <w:bookmarkEnd w:id="381"/>
      <w:bookmarkEnd w:id="382"/>
      <w:bookmarkEnd w:id="383"/>
      <w:bookmarkEnd w:id="384"/>
      <w:bookmarkEnd w:id="385"/>
    </w:p>
    <w:p w14:paraId="218573A9">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6</w:t>
      </w:r>
      <w:r>
        <w:rPr>
          <w:rFonts w:ascii="宋体" w:hAnsi="宋体"/>
          <w:snapToGrid w:val="0"/>
          <w:kern w:val="0"/>
          <w:szCs w:val="21"/>
        </w:rPr>
        <w:t>.3.1  评标委员会按照第三章“评标办法”规定的方法、评审因素、标准和程序对投标文件进行评审。第三章“评标办法”没有规定的方法、评审因素和标准，不得作为评标依据。</w:t>
      </w:r>
    </w:p>
    <w:p w14:paraId="604D1130">
      <w:pPr>
        <w:autoSpaceDE w:val="0"/>
        <w:autoSpaceDN w:val="0"/>
        <w:adjustRightInd w:val="0"/>
        <w:snapToGrid w:val="0"/>
        <w:spacing w:line="360" w:lineRule="auto"/>
        <w:ind w:firstLine="420" w:firstLineChars="200"/>
      </w:pPr>
      <w:r>
        <w:rPr>
          <w:rFonts w:hint="eastAsia" w:ascii="宋体" w:hAnsi="宋体"/>
          <w:snapToGrid w:val="0"/>
          <w:kern w:val="0"/>
          <w:szCs w:val="21"/>
        </w:rPr>
        <w:t>6</w:t>
      </w:r>
      <w:r>
        <w:rPr>
          <w:rFonts w:ascii="宋体" w:hAnsi="宋体"/>
          <w:snapToGrid w:val="0"/>
          <w:kern w:val="0"/>
          <w:szCs w:val="21"/>
        </w:rPr>
        <w:t xml:space="preserve">.3.2  </w:t>
      </w:r>
      <w:r>
        <w:t>评标完成后，评标委员会应当向招标人提交书面评标报告和中标候选人名单。评标委员会推荐中标候选人的</w:t>
      </w:r>
      <w:r>
        <w:rPr>
          <w:rFonts w:hint="eastAsia"/>
        </w:rPr>
        <w:t>数量</w:t>
      </w:r>
      <w:r>
        <w:t>见投标人须知前附表。</w:t>
      </w:r>
    </w:p>
    <w:p w14:paraId="2D61AED3">
      <w:pPr>
        <w:pStyle w:val="3"/>
        <w:spacing w:before="0" w:after="0" w:line="360" w:lineRule="auto"/>
        <w:rPr>
          <w:rFonts w:ascii="宋体" w:hAnsi="宋体"/>
          <w:b w:val="0"/>
          <w:snapToGrid w:val="0"/>
        </w:rPr>
      </w:pPr>
      <w:bookmarkStart w:id="386" w:name="_Toc509218748"/>
      <w:bookmarkStart w:id="387" w:name="_Toc31224"/>
      <w:bookmarkStart w:id="388" w:name="_Toc430530473"/>
      <w:bookmarkStart w:id="389" w:name="_Toc200513164"/>
      <w:bookmarkStart w:id="390" w:name="_Toc277082590"/>
      <w:bookmarkStart w:id="391" w:name="_Toc287607784"/>
      <w:bookmarkStart w:id="392" w:name="_Toc287620723"/>
      <w:bookmarkStart w:id="393" w:name="_Toc224103355"/>
      <w:r>
        <w:rPr>
          <w:rFonts w:ascii="宋体" w:hAnsi="宋体"/>
          <w:b w:val="0"/>
          <w:snapToGrid w:val="0"/>
        </w:rPr>
        <w:t>7.  合同授予</w:t>
      </w:r>
      <w:bookmarkEnd w:id="386"/>
      <w:bookmarkEnd w:id="387"/>
      <w:bookmarkEnd w:id="388"/>
      <w:bookmarkEnd w:id="389"/>
      <w:bookmarkEnd w:id="390"/>
      <w:bookmarkEnd w:id="391"/>
      <w:bookmarkEnd w:id="392"/>
      <w:bookmarkEnd w:id="393"/>
    </w:p>
    <w:p w14:paraId="0E00FA26">
      <w:pPr>
        <w:pStyle w:val="4"/>
        <w:snapToGrid w:val="0"/>
        <w:spacing w:before="0" w:after="0" w:line="360" w:lineRule="auto"/>
        <w:rPr>
          <w:rFonts w:ascii="宋体" w:hAnsi="宋体"/>
          <w:b w:val="0"/>
          <w:snapToGrid w:val="0"/>
          <w:sz w:val="24"/>
          <w:szCs w:val="24"/>
        </w:rPr>
      </w:pPr>
      <w:bookmarkStart w:id="394" w:name="_Toc200513165"/>
      <w:bookmarkStart w:id="395" w:name="_Toc287607785"/>
      <w:bookmarkStart w:id="396" w:name="_Toc224103356"/>
      <w:bookmarkStart w:id="397" w:name="_Toc509218749"/>
      <w:bookmarkStart w:id="398" w:name="_Toc277082591"/>
      <w:bookmarkStart w:id="399" w:name="_Toc287620724"/>
      <w:bookmarkStart w:id="400" w:name="_Toc430530474"/>
      <w:bookmarkStart w:id="401" w:name="_Toc4130"/>
      <w:r>
        <w:rPr>
          <w:rFonts w:ascii="宋体" w:hAnsi="宋体"/>
          <w:b w:val="0"/>
          <w:snapToGrid w:val="0"/>
          <w:sz w:val="24"/>
          <w:szCs w:val="24"/>
        </w:rPr>
        <w:t xml:space="preserve">7.1  </w:t>
      </w:r>
      <w:bookmarkEnd w:id="394"/>
      <w:bookmarkEnd w:id="395"/>
      <w:bookmarkEnd w:id="396"/>
      <w:bookmarkEnd w:id="397"/>
      <w:bookmarkEnd w:id="398"/>
      <w:bookmarkEnd w:id="399"/>
      <w:bookmarkEnd w:id="400"/>
      <w:r>
        <w:rPr>
          <w:rFonts w:hint="eastAsia" w:ascii="宋体" w:hAnsi="宋体"/>
          <w:b w:val="0"/>
          <w:snapToGrid w:val="0"/>
          <w:sz w:val="24"/>
          <w:szCs w:val="24"/>
        </w:rPr>
        <w:t>中标候选人公示</w:t>
      </w:r>
      <w:bookmarkEnd w:id="401"/>
    </w:p>
    <w:p w14:paraId="34CC6722">
      <w:pPr>
        <w:autoSpaceDE w:val="0"/>
        <w:autoSpaceDN w:val="0"/>
        <w:adjustRightInd w:val="0"/>
        <w:snapToGrid w:val="0"/>
        <w:spacing w:line="360" w:lineRule="auto"/>
        <w:ind w:firstLine="420" w:firstLineChars="200"/>
        <w:rPr>
          <w:rFonts w:ascii="宋体" w:hAnsi="宋体"/>
          <w:szCs w:val="21"/>
        </w:rPr>
      </w:pPr>
      <w:r>
        <w:rPr>
          <w:rFonts w:ascii="宋体" w:hAnsi="宋体"/>
          <w:szCs w:val="21"/>
        </w:rPr>
        <w:t>招标人在收到评标报告之日起3日内，按照投标人须知前附表规定的公示媒介和期限公示中标候选人，公示期不得少于3天。</w:t>
      </w:r>
    </w:p>
    <w:p w14:paraId="02DB4E7E">
      <w:pPr>
        <w:pStyle w:val="4"/>
        <w:snapToGrid w:val="0"/>
        <w:spacing w:before="0" w:after="0" w:line="360" w:lineRule="auto"/>
        <w:rPr>
          <w:rFonts w:ascii="宋体" w:hAnsi="宋体"/>
          <w:b w:val="0"/>
          <w:snapToGrid w:val="0"/>
          <w:sz w:val="24"/>
          <w:szCs w:val="24"/>
        </w:rPr>
      </w:pPr>
      <w:bookmarkStart w:id="402" w:name="_Toc1200"/>
      <w:r>
        <w:rPr>
          <w:rFonts w:ascii="宋体" w:hAnsi="宋体"/>
          <w:b w:val="0"/>
          <w:snapToGrid w:val="0"/>
          <w:sz w:val="24"/>
          <w:szCs w:val="24"/>
        </w:rPr>
        <w:t xml:space="preserve">7.2  </w:t>
      </w:r>
      <w:r>
        <w:rPr>
          <w:rFonts w:hint="eastAsia" w:ascii="宋体" w:hAnsi="宋体"/>
          <w:b w:val="0"/>
          <w:snapToGrid w:val="0"/>
          <w:sz w:val="24"/>
          <w:szCs w:val="24"/>
        </w:rPr>
        <w:t>评标结果异议</w:t>
      </w:r>
      <w:bookmarkEnd w:id="402"/>
    </w:p>
    <w:p w14:paraId="3B25427D">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投标人或者其他利害关系人对评标结果有异议的，应当在中标候选人公示期间提出。招标人将在收到异议之日起 3 日内作出答复；作出答复前，将暂停招标投标活动。</w:t>
      </w:r>
    </w:p>
    <w:p w14:paraId="5F065140">
      <w:pPr>
        <w:pStyle w:val="4"/>
        <w:snapToGrid w:val="0"/>
        <w:spacing w:before="0" w:after="0" w:line="360" w:lineRule="auto"/>
        <w:rPr>
          <w:rFonts w:ascii="宋体" w:hAnsi="宋体"/>
          <w:b w:val="0"/>
          <w:snapToGrid w:val="0"/>
          <w:sz w:val="24"/>
          <w:szCs w:val="24"/>
        </w:rPr>
      </w:pPr>
      <w:bookmarkStart w:id="403" w:name="_Toc27474"/>
      <w:r>
        <w:rPr>
          <w:rFonts w:ascii="宋体" w:hAnsi="宋体"/>
          <w:b w:val="0"/>
          <w:snapToGrid w:val="0"/>
          <w:sz w:val="24"/>
          <w:szCs w:val="24"/>
        </w:rPr>
        <w:t xml:space="preserve">7.3  </w:t>
      </w:r>
      <w:r>
        <w:rPr>
          <w:rFonts w:hint="eastAsia" w:ascii="宋体" w:hAnsi="宋体"/>
          <w:b w:val="0"/>
          <w:snapToGrid w:val="0"/>
          <w:sz w:val="24"/>
          <w:szCs w:val="24"/>
        </w:rPr>
        <w:t>中标候选人履约能力审查</w:t>
      </w:r>
      <w:bookmarkEnd w:id="403"/>
    </w:p>
    <w:p w14:paraId="322D8617">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中标候选人的经营、财务状况发生较大变化或存在违法行为，招标人认为可能影响其履约能力的，将在发出中标通知书前提请原评标委员会按照招标文件规定的标准和方法进行审查确认。</w:t>
      </w:r>
    </w:p>
    <w:p w14:paraId="73C68B51">
      <w:pPr>
        <w:pStyle w:val="4"/>
        <w:snapToGrid w:val="0"/>
        <w:spacing w:before="0" w:after="0" w:line="360" w:lineRule="auto"/>
        <w:rPr>
          <w:rFonts w:ascii="宋体" w:hAnsi="宋体"/>
          <w:b w:val="0"/>
          <w:snapToGrid w:val="0"/>
          <w:sz w:val="24"/>
          <w:szCs w:val="24"/>
        </w:rPr>
      </w:pPr>
      <w:bookmarkStart w:id="404" w:name="_Toc28213"/>
      <w:r>
        <w:rPr>
          <w:rFonts w:ascii="宋体" w:hAnsi="宋体"/>
          <w:b w:val="0"/>
          <w:snapToGrid w:val="0"/>
          <w:sz w:val="24"/>
          <w:szCs w:val="24"/>
        </w:rPr>
        <w:t xml:space="preserve">7.4  </w:t>
      </w:r>
      <w:r>
        <w:rPr>
          <w:rFonts w:hint="eastAsia" w:ascii="宋体" w:hAnsi="宋体"/>
          <w:b w:val="0"/>
          <w:snapToGrid w:val="0"/>
          <w:sz w:val="24"/>
          <w:szCs w:val="24"/>
        </w:rPr>
        <w:t>定标</w:t>
      </w:r>
      <w:bookmarkEnd w:id="404"/>
    </w:p>
    <w:p w14:paraId="621D27D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按照投标人须知前附表的规定，招标人或招标人授权的评标委员会依法确定中标人。</w:t>
      </w:r>
    </w:p>
    <w:p w14:paraId="2D7A8B6A">
      <w:pPr>
        <w:autoSpaceDE w:val="0"/>
        <w:autoSpaceDN w:val="0"/>
        <w:adjustRightInd w:val="0"/>
        <w:snapToGrid w:val="0"/>
        <w:spacing w:line="360" w:lineRule="auto"/>
        <w:ind w:firstLine="420" w:firstLineChars="200"/>
      </w:pPr>
      <w:r>
        <w:t>国有资金占控股或者主导地位的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14:paraId="443FBC16">
      <w:pPr>
        <w:pStyle w:val="4"/>
        <w:snapToGrid w:val="0"/>
        <w:spacing w:before="0" w:after="0" w:line="360" w:lineRule="auto"/>
        <w:rPr>
          <w:rFonts w:ascii="宋体" w:hAnsi="宋体"/>
          <w:b w:val="0"/>
          <w:snapToGrid w:val="0"/>
          <w:sz w:val="24"/>
          <w:szCs w:val="24"/>
        </w:rPr>
      </w:pPr>
      <w:bookmarkStart w:id="405" w:name="_Toc430530475"/>
      <w:bookmarkStart w:id="406" w:name="_Toc509218750"/>
      <w:bookmarkStart w:id="407" w:name="_Toc30242"/>
      <w:r>
        <w:rPr>
          <w:rFonts w:ascii="宋体" w:hAnsi="宋体"/>
          <w:b w:val="0"/>
          <w:snapToGrid w:val="0"/>
          <w:sz w:val="24"/>
          <w:szCs w:val="24"/>
        </w:rPr>
        <w:t>7.5  中标通知</w:t>
      </w:r>
      <w:bookmarkEnd w:id="405"/>
      <w:bookmarkEnd w:id="406"/>
      <w:bookmarkEnd w:id="407"/>
    </w:p>
    <w:p w14:paraId="2B1EA72C">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在本章第3.3款规定的投标有效期内，且</w:t>
      </w:r>
      <w:r>
        <w:rPr>
          <w:rFonts w:hint="eastAsia" w:ascii="宋体" w:hAnsi="宋体"/>
          <w:snapToGrid w:val="0"/>
          <w:kern w:val="0"/>
          <w:szCs w:val="21"/>
        </w:rPr>
        <w:t>无异议和投诉，或异议和投诉不成立</w:t>
      </w:r>
      <w:r>
        <w:rPr>
          <w:rFonts w:ascii="宋体" w:hAnsi="宋体"/>
          <w:snapToGrid w:val="0"/>
          <w:kern w:val="0"/>
          <w:szCs w:val="21"/>
        </w:rPr>
        <w:t>，招标人以书面形式向中标人发出中标通知书</w:t>
      </w:r>
      <w:r>
        <w:rPr>
          <w:rFonts w:hint="eastAsia" w:ascii="宋体" w:hAnsi="宋体"/>
          <w:snapToGrid w:val="0"/>
          <w:kern w:val="0"/>
          <w:szCs w:val="21"/>
        </w:rPr>
        <w:t>，</w:t>
      </w:r>
      <w:r>
        <w:rPr>
          <w:rFonts w:ascii="宋体" w:hAnsi="宋体"/>
          <w:snapToGrid w:val="0"/>
          <w:kern w:val="0"/>
          <w:szCs w:val="21"/>
        </w:rPr>
        <w:t>同时将中标结果通知未中标的投标人。</w:t>
      </w:r>
    </w:p>
    <w:p w14:paraId="3DB757C7">
      <w:pPr>
        <w:pStyle w:val="4"/>
        <w:snapToGrid w:val="0"/>
        <w:spacing w:before="0" w:after="0" w:line="360" w:lineRule="auto"/>
        <w:rPr>
          <w:rFonts w:ascii="宋体" w:hAnsi="宋体"/>
          <w:b w:val="0"/>
          <w:snapToGrid w:val="0"/>
          <w:sz w:val="24"/>
          <w:szCs w:val="24"/>
        </w:rPr>
      </w:pPr>
      <w:bookmarkStart w:id="408" w:name="_Toc287607787"/>
      <w:bookmarkStart w:id="409" w:name="_Toc277082593"/>
      <w:bookmarkStart w:id="410" w:name="_Toc224103358"/>
      <w:bookmarkStart w:id="411" w:name="_Toc509218751"/>
      <w:bookmarkStart w:id="412" w:name="_Toc287620726"/>
      <w:bookmarkStart w:id="413" w:name="_Toc430530476"/>
      <w:bookmarkStart w:id="414" w:name="_Toc200513167"/>
      <w:bookmarkStart w:id="415" w:name="_Toc19912"/>
      <w:r>
        <w:rPr>
          <w:rFonts w:ascii="宋体" w:hAnsi="宋体"/>
          <w:b w:val="0"/>
          <w:snapToGrid w:val="0"/>
          <w:sz w:val="24"/>
          <w:szCs w:val="24"/>
        </w:rPr>
        <w:t>7.</w:t>
      </w:r>
      <w:r>
        <w:rPr>
          <w:rFonts w:hint="eastAsia" w:ascii="宋体" w:hAnsi="宋体"/>
          <w:b w:val="0"/>
          <w:snapToGrid w:val="0"/>
          <w:sz w:val="24"/>
          <w:szCs w:val="24"/>
        </w:rPr>
        <w:t>6</w:t>
      </w:r>
      <w:r>
        <w:rPr>
          <w:rFonts w:ascii="宋体" w:hAnsi="宋体"/>
          <w:b w:val="0"/>
          <w:snapToGrid w:val="0"/>
          <w:sz w:val="24"/>
          <w:szCs w:val="24"/>
        </w:rPr>
        <w:t xml:space="preserve">  履约</w:t>
      </w:r>
      <w:bookmarkEnd w:id="408"/>
      <w:bookmarkEnd w:id="409"/>
      <w:bookmarkEnd w:id="410"/>
      <w:bookmarkEnd w:id="411"/>
      <w:bookmarkEnd w:id="412"/>
      <w:bookmarkEnd w:id="413"/>
      <w:bookmarkEnd w:id="414"/>
      <w:r>
        <w:rPr>
          <w:rFonts w:hint="eastAsia" w:ascii="宋体" w:hAnsi="宋体"/>
          <w:b w:val="0"/>
          <w:snapToGrid w:val="0"/>
          <w:sz w:val="24"/>
          <w:szCs w:val="24"/>
        </w:rPr>
        <w:t>保证金</w:t>
      </w:r>
      <w:bookmarkEnd w:id="415"/>
    </w:p>
    <w:p w14:paraId="14627AB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.1  在签订合同前，中标人应按投标人须知前附表规定的</w:t>
      </w:r>
      <w:r>
        <w:rPr>
          <w:rFonts w:hint="eastAsia" w:ascii="宋体" w:hAnsi="宋体"/>
          <w:snapToGrid w:val="0"/>
          <w:kern w:val="0"/>
          <w:szCs w:val="21"/>
        </w:rPr>
        <w:t>形式、金额</w:t>
      </w:r>
      <w:r>
        <w:rPr>
          <w:rFonts w:ascii="宋体" w:hAnsi="宋体"/>
          <w:snapToGrid w:val="0"/>
          <w:kern w:val="0"/>
          <w:szCs w:val="21"/>
        </w:rPr>
        <w:t>和招标文件第四章“合同条款及格式”规定的或者事先经过招标人认可的履约</w:t>
      </w:r>
      <w:r>
        <w:rPr>
          <w:rFonts w:hint="eastAsia" w:ascii="宋体" w:hAnsi="宋体"/>
          <w:snapToGrid w:val="0"/>
          <w:kern w:val="0"/>
          <w:szCs w:val="21"/>
        </w:rPr>
        <w:t>保证金</w:t>
      </w:r>
      <w:r>
        <w:rPr>
          <w:rFonts w:ascii="宋体" w:hAnsi="宋体"/>
          <w:snapToGrid w:val="0"/>
          <w:kern w:val="0"/>
          <w:szCs w:val="21"/>
        </w:rPr>
        <w:t>格式向招标人提交履约</w:t>
      </w:r>
      <w:r>
        <w:rPr>
          <w:rFonts w:hint="eastAsia" w:ascii="宋体" w:hAnsi="宋体"/>
          <w:snapToGrid w:val="0"/>
          <w:kern w:val="0"/>
          <w:szCs w:val="21"/>
        </w:rPr>
        <w:t>保证金</w:t>
      </w:r>
      <w:r>
        <w:rPr>
          <w:rFonts w:ascii="宋体" w:hAnsi="宋体"/>
          <w:snapToGrid w:val="0"/>
          <w:kern w:val="0"/>
          <w:szCs w:val="21"/>
        </w:rPr>
        <w:t>。除投标人须知前附表另有规定外，履约</w:t>
      </w:r>
      <w:r>
        <w:rPr>
          <w:rFonts w:hint="eastAsia" w:ascii="宋体" w:hAnsi="宋体"/>
          <w:snapToGrid w:val="0"/>
          <w:kern w:val="0"/>
          <w:szCs w:val="21"/>
        </w:rPr>
        <w:t>保证金</w:t>
      </w:r>
      <w:r>
        <w:rPr>
          <w:rFonts w:ascii="宋体" w:hAnsi="宋体"/>
          <w:snapToGrid w:val="0"/>
          <w:kern w:val="0"/>
          <w:szCs w:val="21"/>
        </w:rPr>
        <w:t>为中标合同金额的10%。联合体中标的，</w:t>
      </w:r>
      <w:r>
        <w:rPr>
          <w:spacing w:val="-3"/>
        </w:rPr>
        <w:t>其履约保证金以联合体各方或者联合体中牵头人的名义提交。</w:t>
      </w:r>
    </w:p>
    <w:p w14:paraId="74C21732">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6</w:t>
      </w:r>
      <w:r>
        <w:rPr>
          <w:rFonts w:ascii="宋体" w:hAnsi="宋体"/>
          <w:snapToGrid w:val="0"/>
          <w:kern w:val="0"/>
          <w:szCs w:val="21"/>
        </w:rPr>
        <w:t>.2  中标人不能按本章第7.</w:t>
      </w:r>
      <w:r>
        <w:rPr>
          <w:rFonts w:hint="eastAsia" w:ascii="宋体" w:hAnsi="宋体"/>
          <w:snapToGrid w:val="0"/>
          <w:kern w:val="0"/>
          <w:szCs w:val="21"/>
        </w:rPr>
        <w:t>6</w:t>
      </w:r>
      <w:r>
        <w:rPr>
          <w:rFonts w:ascii="宋体" w:hAnsi="宋体"/>
          <w:snapToGrid w:val="0"/>
          <w:kern w:val="0"/>
          <w:szCs w:val="21"/>
        </w:rPr>
        <w:t>.1项要求提交履约</w:t>
      </w:r>
      <w:r>
        <w:rPr>
          <w:rFonts w:hint="eastAsia" w:ascii="宋体" w:hAnsi="宋体"/>
          <w:snapToGrid w:val="0"/>
          <w:kern w:val="0"/>
          <w:szCs w:val="21"/>
        </w:rPr>
        <w:t>保证金</w:t>
      </w:r>
      <w:r>
        <w:rPr>
          <w:rFonts w:ascii="宋体" w:hAnsi="宋体"/>
          <w:snapToGrid w:val="0"/>
          <w:kern w:val="0"/>
          <w:szCs w:val="21"/>
        </w:rPr>
        <w:t>的，视为放弃中标，其投标保证金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32E5D573">
      <w:pPr>
        <w:pStyle w:val="4"/>
        <w:snapToGrid w:val="0"/>
        <w:spacing w:before="0" w:after="0" w:line="360" w:lineRule="auto"/>
        <w:rPr>
          <w:rFonts w:ascii="宋体" w:hAnsi="宋体"/>
          <w:b w:val="0"/>
          <w:snapToGrid w:val="0"/>
          <w:sz w:val="24"/>
          <w:szCs w:val="24"/>
        </w:rPr>
      </w:pPr>
      <w:bookmarkStart w:id="416" w:name="_Toc224103359"/>
      <w:bookmarkStart w:id="417" w:name="_Toc277082594"/>
      <w:bookmarkStart w:id="418" w:name="_Toc509218752"/>
      <w:bookmarkStart w:id="419" w:name="_Toc287620727"/>
      <w:bookmarkStart w:id="420" w:name="_Toc430530477"/>
      <w:bookmarkStart w:id="421" w:name="_Toc287607788"/>
      <w:bookmarkStart w:id="422" w:name="_Toc200513168"/>
      <w:bookmarkStart w:id="423" w:name="_Toc21762"/>
      <w:r>
        <w:rPr>
          <w:rFonts w:ascii="宋体" w:hAnsi="宋体"/>
          <w:b w:val="0"/>
          <w:snapToGrid w:val="0"/>
          <w:sz w:val="24"/>
          <w:szCs w:val="24"/>
        </w:rPr>
        <w:t>7.</w:t>
      </w:r>
      <w:r>
        <w:rPr>
          <w:rFonts w:hint="eastAsia" w:ascii="宋体" w:hAnsi="宋体"/>
          <w:b w:val="0"/>
          <w:snapToGrid w:val="0"/>
          <w:sz w:val="24"/>
          <w:szCs w:val="24"/>
        </w:rPr>
        <w:t>7</w:t>
      </w:r>
      <w:r>
        <w:rPr>
          <w:rFonts w:ascii="宋体" w:hAnsi="宋体"/>
          <w:b w:val="0"/>
          <w:snapToGrid w:val="0"/>
          <w:sz w:val="24"/>
          <w:szCs w:val="24"/>
        </w:rPr>
        <w:t xml:space="preserve">  签订合同</w:t>
      </w:r>
      <w:bookmarkEnd w:id="416"/>
      <w:bookmarkEnd w:id="417"/>
      <w:bookmarkEnd w:id="418"/>
      <w:bookmarkEnd w:id="419"/>
      <w:bookmarkEnd w:id="420"/>
      <w:bookmarkEnd w:id="421"/>
      <w:bookmarkEnd w:id="422"/>
      <w:bookmarkEnd w:id="423"/>
    </w:p>
    <w:p w14:paraId="7FE48207">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w:t>
      </w:r>
      <w:r>
        <w:rPr>
          <w:rFonts w:hint="eastAsia" w:ascii="宋体" w:hAnsi="宋体"/>
          <w:snapToGrid w:val="0"/>
          <w:kern w:val="0"/>
          <w:szCs w:val="21"/>
        </w:rPr>
        <w:t>7</w:t>
      </w:r>
      <w:r>
        <w:rPr>
          <w:rFonts w:ascii="宋体" w:hAnsi="宋体"/>
          <w:snapToGrid w:val="0"/>
          <w:kern w:val="0"/>
          <w:szCs w:val="21"/>
        </w:rPr>
        <w:t xml:space="preserve">.1 </w:t>
      </w:r>
      <w:r>
        <w:rPr>
          <w:rFonts w:hint="eastAsia" w:ascii="宋体" w:hAnsi="宋体"/>
          <w:snapToGrid w:val="0"/>
          <w:kern w:val="0"/>
          <w:szCs w:val="21"/>
        </w:rPr>
        <w:t xml:space="preserve"> </w:t>
      </w:r>
      <w:r>
        <w:rPr>
          <w:rFonts w:ascii="宋体" w:hAnsi="宋体"/>
          <w:snapToGrid w:val="0"/>
          <w:kern w:val="0"/>
          <w:szCs w:val="21"/>
        </w:rPr>
        <w:t>招标人和中标人应当自中标通知书发出之日起30</w:t>
      </w:r>
      <w:r>
        <w:rPr>
          <w:rFonts w:hint="eastAsia" w:ascii="宋体" w:hAnsi="宋体"/>
          <w:snapToGrid w:val="0"/>
          <w:kern w:val="0"/>
          <w:szCs w:val="21"/>
        </w:rPr>
        <w:t>日</w:t>
      </w:r>
      <w:r>
        <w:rPr>
          <w:rFonts w:ascii="宋体" w:hAnsi="宋体"/>
          <w:snapToGrid w:val="0"/>
          <w:kern w:val="0"/>
          <w:szCs w:val="21"/>
        </w:rPr>
        <w:t>内，根据招标文件和中标人的投标文件订立书面合同。中标人</w:t>
      </w:r>
      <w:r>
        <w:rPr>
          <w:rFonts w:hint="eastAsia" w:ascii="宋体" w:hAnsi="宋体"/>
          <w:snapToGrid w:val="0"/>
          <w:kern w:val="0"/>
          <w:szCs w:val="21"/>
        </w:rPr>
        <w:t>放弃中标项目，</w:t>
      </w:r>
      <w:r>
        <w:rPr>
          <w:rFonts w:ascii="宋体" w:hAnsi="宋体"/>
          <w:snapToGrid w:val="0"/>
          <w:kern w:val="0"/>
          <w:szCs w:val="21"/>
        </w:rPr>
        <w:t>无正当理由</w:t>
      </w:r>
      <w:r>
        <w:rPr>
          <w:rFonts w:hint="eastAsia" w:ascii="宋体" w:hAnsi="宋体"/>
          <w:snapToGrid w:val="0"/>
          <w:kern w:val="0"/>
          <w:szCs w:val="21"/>
        </w:rPr>
        <w:t>拒签合同，在签订合同时向招标人提出附加条件或者更改合同实质性内容</w:t>
      </w:r>
      <w:r>
        <w:rPr>
          <w:rFonts w:ascii="宋体" w:hAnsi="宋体"/>
          <w:snapToGrid w:val="0"/>
          <w:kern w:val="0"/>
          <w:szCs w:val="21"/>
        </w:rPr>
        <w:t>，</w:t>
      </w:r>
      <w:r>
        <w:rPr>
          <w:rFonts w:hint="eastAsia" w:ascii="宋体" w:hAnsi="宋体" w:cs="宋体"/>
          <w:szCs w:val="21"/>
        </w:rPr>
        <w:t>或者不按照招标文件要求提交履约保证金的，</w:t>
      </w:r>
      <w:r>
        <w:rPr>
          <w:rFonts w:ascii="宋体" w:hAnsi="宋体"/>
          <w:snapToGrid w:val="0"/>
          <w:kern w:val="0"/>
          <w:szCs w:val="21"/>
        </w:rPr>
        <w:t>招标人</w:t>
      </w:r>
      <w:r>
        <w:rPr>
          <w:spacing w:val="-3"/>
        </w:rPr>
        <w:t>有权</w:t>
      </w:r>
      <w:r>
        <w:rPr>
          <w:rFonts w:ascii="宋体" w:hAnsi="宋体"/>
          <w:snapToGrid w:val="0"/>
          <w:kern w:val="0"/>
          <w:szCs w:val="21"/>
        </w:rPr>
        <w:t>取消其中标资格，其投标保证金</w:t>
      </w:r>
      <w:r>
        <w:rPr>
          <w:rFonts w:hint="eastAsia" w:ascii="宋体" w:hAnsi="宋体"/>
          <w:snapToGrid w:val="0"/>
          <w:kern w:val="0"/>
          <w:szCs w:val="21"/>
        </w:rPr>
        <w:t>以现金形式交纳的</w:t>
      </w:r>
      <w:r>
        <w:rPr>
          <w:rFonts w:ascii="宋体" w:hAnsi="宋体"/>
          <w:snapToGrid w:val="0"/>
          <w:kern w:val="0"/>
          <w:szCs w:val="21"/>
        </w:rPr>
        <w:t>不予退还</w:t>
      </w:r>
      <w:r>
        <w:rPr>
          <w:rFonts w:hint="eastAsia" w:ascii="宋体" w:hAnsi="宋体"/>
          <w:snapToGrid w:val="0"/>
          <w:kern w:val="0"/>
          <w:szCs w:val="21"/>
        </w:rPr>
        <w:t>，以保函形式交纳的由保函开立人支付保函担保的与投标保证金等额的款项</w:t>
      </w:r>
      <w:r>
        <w:rPr>
          <w:rFonts w:ascii="宋体" w:hAnsi="宋体"/>
          <w:snapToGrid w:val="0"/>
          <w:kern w:val="0"/>
          <w:szCs w:val="21"/>
        </w:rPr>
        <w:t>；给招标人造成的损失超过投标保证金数额的，中标人还应当对超过部分予以赔偿。</w:t>
      </w:r>
    </w:p>
    <w:p w14:paraId="00136EFE">
      <w:pPr>
        <w:autoSpaceDE w:val="0"/>
        <w:autoSpaceDN w:val="0"/>
        <w:adjustRightInd w:val="0"/>
        <w:snapToGrid w:val="0"/>
        <w:spacing w:line="360" w:lineRule="auto"/>
        <w:ind w:firstLine="420"/>
        <w:rPr>
          <w:rFonts w:ascii="宋体" w:hAnsi="宋体"/>
          <w:snapToGrid w:val="0"/>
          <w:kern w:val="0"/>
          <w:szCs w:val="21"/>
        </w:rPr>
      </w:pPr>
      <w:r>
        <w:rPr>
          <w:rFonts w:ascii="宋体" w:hAnsi="宋体"/>
          <w:snapToGrid w:val="0"/>
          <w:kern w:val="0"/>
          <w:szCs w:val="21"/>
        </w:rPr>
        <w:t>7.8.2  发出中标通知书后，招标人无正当理由拒签合同，</w:t>
      </w:r>
      <w:r>
        <w:rPr>
          <w:rFonts w:hint="eastAsia" w:ascii="宋体" w:hAnsi="宋体"/>
          <w:snapToGrid w:val="0"/>
          <w:kern w:val="0"/>
          <w:szCs w:val="21"/>
        </w:rPr>
        <w:t>在签订合同时向中标人提出附加条件或者更改合同实质性内容的，</w:t>
      </w:r>
      <w:r>
        <w:rPr>
          <w:rFonts w:ascii="宋体" w:hAnsi="宋体"/>
          <w:snapToGrid w:val="0"/>
          <w:kern w:val="0"/>
          <w:szCs w:val="21"/>
        </w:rPr>
        <w:t>招标人向中标人退还投标保证金；给中标人造成损失的，还应当赔偿损失。</w:t>
      </w:r>
    </w:p>
    <w:p w14:paraId="6983994B">
      <w:pPr>
        <w:autoSpaceDE w:val="0"/>
        <w:autoSpaceDN w:val="0"/>
        <w:adjustRightInd w:val="0"/>
        <w:snapToGrid w:val="0"/>
        <w:spacing w:line="360" w:lineRule="auto"/>
        <w:ind w:firstLine="420"/>
      </w:pPr>
      <w:r>
        <w:rPr>
          <w:rFonts w:ascii="宋体" w:hAnsi="宋体"/>
          <w:snapToGrid w:val="0"/>
          <w:kern w:val="0"/>
          <w:szCs w:val="21"/>
        </w:rPr>
        <w:t>7.8.3  联合体中标的，联合体各方应当共同与招标人签订合同，就中标项目向招标人承担连带责任。</w:t>
      </w:r>
    </w:p>
    <w:p w14:paraId="0AFA9939">
      <w:pPr>
        <w:pStyle w:val="3"/>
        <w:spacing w:before="0" w:after="0" w:line="360" w:lineRule="auto"/>
        <w:rPr>
          <w:rFonts w:ascii="宋体" w:hAnsi="宋体"/>
          <w:b w:val="0"/>
          <w:snapToGrid w:val="0"/>
        </w:rPr>
      </w:pPr>
      <w:bookmarkStart w:id="424" w:name="_Toc224103360"/>
      <w:bookmarkStart w:id="425" w:name="_Toc509218753"/>
      <w:bookmarkStart w:id="426" w:name="_Toc430530478"/>
      <w:bookmarkStart w:id="427" w:name="_Toc200513169"/>
      <w:bookmarkStart w:id="428" w:name="_Toc287620728"/>
      <w:bookmarkStart w:id="429" w:name="_Toc287607789"/>
      <w:bookmarkStart w:id="430" w:name="_Toc277082595"/>
      <w:bookmarkStart w:id="431" w:name="_Toc16261"/>
      <w:r>
        <w:rPr>
          <w:rFonts w:ascii="宋体" w:hAnsi="宋体"/>
          <w:b w:val="0"/>
          <w:snapToGrid w:val="0"/>
        </w:rPr>
        <w:t>8.  重新招标和不再招标</w:t>
      </w:r>
      <w:bookmarkEnd w:id="424"/>
      <w:bookmarkEnd w:id="425"/>
      <w:bookmarkEnd w:id="426"/>
      <w:bookmarkEnd w:id="427"/>
      <w:bookmarkEnd w:id="428"/>
      <w:bookmarkEnd w:id="429"/>
      <w:bookmarkEnd w:id="430"/>
      <w:r>
        <w:rPr>
          <w:rFonts w:hint="eastAsia" w:ascii="宋体" w:hAnsi="宋体"/>
          <w:b w:val="0"/>
          <w:snapToGrid w:val="0"/>
        </w:rPr>
        <w:t>（增加条款）</w:t>
      </w:r>
      <w:bookmarkEnd w:id="431"/>
    </w:p>
    <w:p w14:paraId="6E634EF5">
      <w:pPr>
        <w:pStyle w:val="4"/>
        <w:snapToGrid w:val="0"/>
        <w:spacing w:before="0" w:after="0" w:line="360" w:lineRule="auto"/>
        <w:rPr>
          <w:rFonts w:ascii="宋体" w:hAnsi="宋体"/>
          <w:b w:val="0"/>
          <w:snapToGrid w:val="0"/>
          <w:sz w:val="24"/>
          <w:szCs w:val="24"/>
        </w:rPr>
      </w:pPr>
      <w:bookmarkStart w:id="432" w:name="_Toc277082596"/>
      <w:bookmarkStart w:id="433" w:name="_Toc224103361"/>
      <w:bookmarkStart w:id="434" w:name="_Toc430530479"/>
      <w:bookmarkStart w:id="435" w:name="_Toc200513170"/>
      <w:bookmarkStart w:id="436" w:name="_Toc287607790"/>
      <w:bookmarkStart w:id="437" w:name="_Toc287620729"/>
      <w:bookmarkStart w:id="438" w:name="_Toc509218754"/>
      <w:bookmarkStart w:id="439" w:name="_Toc16222"/>
      <w:r>
        <w:rPr>
          <w:rFonts w:ascii="宋体" w:hAnsi="宋体"/>
          <w:b w:val="0"/>
          <w:snapToGrid w:val="0"/>
          <w:sz w:val="24"/>
          <w:szCs w:val="24"/>
        </w:rPr>
        <w:t>8.1  重新招标</w:t>
      </w:r>
      <w:bookmarkEnd w:id="432"/>
      <w:bookmarkEnd w:id="433"/>
      <w:bookmarkEnd w:id="434"/>
      <w:bookmarkEnd w:id="435"/>
      <w:bookmarkEnd w:id="436"/>
      <w:bookmarkEnd w:id="437"/>
      <w:bookmarkEnd w:id="438"/>
      <w:r>
        <w:rPr>
          <w:rFonts w:hint="eastAsia" w:ascii="宋体" w:hAnsi="宋体"/>
          <w:b w:val="0"/>
          <w:snapToGrid w:val="0"/>
          <w:sz w:val="24"/>
          <w:szCs w:val="24"/>
        </w:rPr>
        <w:t>的情形</w:t>
      </w:r>
      <w:bookmarkEnd w:id="439"/>
    </w:p>
    <w:p w14:paraId="479C5B5C">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eastAsia="宋体" w:cs="宋体"/>
          <w:snapToGrid w:val="0"/>
          <w:kern w:val="0"/>
          <w:szCs w:val="21"/>
        </w:rPr>
        <w:t>重新招标的情形：见投标人须知前附表。</w:t>
      </w:r>
    </w:p>
    <w:p w14:paraId="5A89E53A">
      <w:pPr>
        <w:pStyle w:val="4"/>
        <w:snapToGrid w:val="0"/>
        <w:spacing w:before="0" w:after="0" w:line="360" w:lineRule="auto"/>
        <w:rPr>
          <w:rFonts w:ascii="宋体" w:hAnsi="宋体"/>
          <w:b w:val="0"/>
          <w:snapToGrid w:val="0"/>
          <w:sz w:val="24"/>
          <w:szCs w:val="24"/>
        </w:rPr>
      </w:pPr>
      <w:bookmarkStart w:id="440" w:name="_Toc430530480"/>
      <w:bookmarkStart w:id="441" w:name="_Toc224103362"/>
      <w:bookmarkStart w:id="442" w:name="_Toc200513171"/>
      <w:bookmarkStart w:id="443" w:name="_Toc287607791"/>
      <w:bookmarkStart w:id="444" w:name="_Toc287620730"/>
      <w:bookmarkStart w:id="445" w:name="_Toc509218755"/>
      <w:bookmarkStart w:id="446" w:name="_Toc475"/>
      <w:bookmarkStart w:id="447" w:name="_Toc277082597"/>
      <w:r>
        <w:rPr>
          <w:rFonts w:ascii="宋体" w:hAnsi="宋体"/>
          <w:b w:val="0"/>
          <w:snapToGrid w:val="0"/>
          <w:sz w:val="24"/>
          <w:szCs w:val="24"/>
        </w:rPr>
        <w:t xml:space="preserve">8.2  </w:t>
      </w:r>
      <w:r>
        <w:rPr>
          <w:rFonts w:hint="eastAsia" w:ascii="宋体" w:hAnsi="宋体"/>
          <w:b w:val="0"/>
          <w:snapToGrid w:val="0"/>
          <w:sz w:val="24"/>
          <w:szCs w:val="24"/>
        </w:rPr>
        <w:t>重新</w:t>
      </w:r>
      <w:r>
        <w:rPr>
          <w:rFonts w:ascii="宋体" w:hAnsi="宋体"/>
          <w:b w:val="0"/>
          <w:snapToGrid w:val="0"/>
          <w:sz w:val="24"/>
          <w:szCs w:val="24"/>
        </w:rPr>
        <w:t>招标和不再招标</w:t>
      </w:r>
      <w:bookmarkEnd w:id="440"/>
      <w:bookmarkEnd w:id="441"/>
      <w:bookmarkEnd w:id="442"/>
      <w:bookmarkEnd w:id="443"/>
      <w:bookmarkEnd w:id="444"/>
      <w:bookmarkEnd w:id="445"/>
      <w:bookmarkEnd w:id="446"/>
      <w:bookmarkEnd w:id="447"/>
    </w:p>
    <w:p w14:paraId="06820B4F">
      <w:pPr>
        <w:autoSpaceDE w:val="0"/>
        <w:autoSpaceDN w:val="0"/>
        <w:adjustRightInd w:val="0"/>
        <w:snapToGrid w:val="0"/>
        <w:spacing w:line="360" w:lineRule="auto"/>
        <w:ind w:firstLine="420"/>
        <w:rPr>
          <w:rFonts w:ascii="宋体" w:hAnsi="宋体"/>
          <w:snapToGrid w:val="0"/>
          <w:kern w:val="0"/>
          <w:szCs w:val="21"/>
        </w:rPr>
      </w:pPr>
      <w:r>
        <w:rPr>
          <w:rFonts w:hint="eastAsia" w:ascii="宋体" w:hAnsi="宋体"/>
          <w:snapToGrid w:val="0"/>
          <w:kern w:val="0"/>
          <w:szCs w:val="21"/>
        </w:rPr>
        <w:t>重新招标的投标人仍然少于三个的，按照招标</w:t>
      </w:r>
      <w:r>
        <w:rPr>
          <w:rFonts w:hint="eastAsia" w:ascii="宋体" w:hAnsi="宋体"/>
          <w:snapToGrid w:val="0"/>
          <w:kern w:val="0"/>
          <w:szCs w:val="21"/>
          <w:lang w:val="en-US" w:eastAsia="zh-CN"/>
        </w:rPr>
        <w:t>文件</w:t>
      </w:r>
      <w:r>
        <w:rPr>
          <w:rFonts w:hint="eastAsia" w:ascii="宋体" w:hAnsi="宋体"/>
          <w:snapToGrid w:val="0"/>
          <w:kern w:val="0"/>
          <w:szCs w:val="21"/>
        </w:rPr>
        <w:t>规定的程序开标和评标。重新招标经评审有有效投标人的，应当依法确定中标候选人；无有效投标人的，可以不再进行招标</w:t>
      </w:r>
      <w:r>
        <w:rPr>
          <w:rFonts w:ascii="宋体" w:hAnsi="宋体"/>
          <w:snapToGrid w:val="0"/>
          <w:kern w:val="0"/>
          <w:szCs w:val="21"/>
        </w:rPr>
        <w:t>。</w:t>
      </w:r>
    </w:p>
    <w:p w14:paraId="320238A2">
      <w:pPr>
        <w:pStyle w:val="3"/>
        <w:spacing w:before="0" w:after="0" w:line="360" w:lineRule="auto"/>
        <w:rPr>
          <w:rFonts w:ascii="宋体" w:hAnsi="宋体"/>
          <w:b w:val="0"/>
          <w:snapToGrid w:val="0"/>
        </w:rPr>
      </w:pPr>
      <w:bookmarkStart w:id="448" w:name="_Toc224103363"/>
      <w:bookmarkStart w:id="449" w:name="_Toc509218756"/>
      <w:bookmarkStart w:id="450" w:name="_Toc287607792"/>
      <w:bookmarkStart w:id="451" w:name="_Toc430530481"/>
      <w:bookmarkStart w:id="452" w:name="_Toc200513172"/>
      <w:bookmarkStart w:id="453" w:name="_Toc13240"/>
      <w:bookmarkStart w:id="454" w:name="_Toc277082598"/>
      <w:bookmarkStart w:id="455" w:name="_Toc287620731"/>
      <w:r>
        <w:rPr>
          <w:rFonts w:ascii="宋体" w:hAnsi="宋体"/>
          <w:b w:val="0"/>
          <w:snapToGrid w:val="0"/>
        </w:rPr>
        <w:t>9.  纪律和监督</w:t>
      </w:r>
      <w:bookmarkEnd w:id="448"/>
      <w:bookmarkEnd w:id="449"/>
      <w:bookmarkEnd w:id="450"/>
      <w:bookmarkEnd w:id="451"/>
      <w:bookmarkEnd w:id="452"/>
      <w:bookmarkEnd w:id="453"/>
      <w:bookmarkEnd w:id="454"/>
      <w:bookmarkEnd w:id="455"/>
    </w:p>
    <w:p w14:paraId="2DC3BA8D">
      <w:pPr>
        <w:pStyle w:val="4"/>
        <w:snapToGrid w:val="0"/>
        <w:spacing w:before="0" w:after="0" w:line="360" w:lineRule="auto"/>
        <w:rPr>
          <w:rFonts w:ascii="宋体" w:hAnsi="宋体"/>
          <w:b w:val="0"/>
          <w:snapToGrid w:val="0"/>
          <w:sz w:val="24"/>
          <w:szCs w:val="24"/>
        </w:rPr>
      </w:pPr>
      <w:bookmarkStart w:id="456" w:name="_Toc200513173"/>
      <w:bookmarkStart w:id="457" w:name="_Toc287607793"/>
      <w:bookmarkStart w:id="458" w:name="_Toc430530482"/>
      <w:bookmarkStart w:id="459" w:name="_Toc287620732"/>
      <w:bookmarkStart w:id="460" w:name="_Toc13266"/>
      <w:bookmarkStart w:id="461" w:name="_Toc277082599"/>
      <w:bookmarkStart w:id="462" w:name="_Toc224103364"/>
      <w:bookmarkStart w:id="463" w:name="_Toc509218757"/>
      <w:r>
        <w:rPr>
          <w:rFonts w:ascii="宋体" w:hAnsi="宋体"/>
          <w:b w:val="0"/>
          <w:snapToGrid w:val="0"/>
          <w:sz w:val="24"/>
          <w:szCs w:val="24"/>
        </w:rPr>
        <w:t>9.1  对招标人的纪律要求</w:t>
      </w:r>
      <w:bookmarkEnd w:id="456"/>
      <w:bookmarkEnd w:id="457"/>
      <w:bookmarkEnd w:id="458"/>
      <w:bookmarkEnd w:id="459"/>
      <w:bookmarkEnd w:id="460"/>
      <w:bookmarkEnd w:id="461"/>
      <w:bookmarkEnd w:id="462"/>
      <w:bookmarkEnd w:id="463"/>
    </w:p>
    <w:p w14:paraId="59EBC9C8">
      <w:pPr>
        <w:autoSpaceDE w:val="0"/>
        <w:autoSpaceDN w:val="0"/>
        <w:adjustRightInd w:val="0"/>
        <w:snapToGrid w:val="0"/>
        <w:spacing w:line="360" w:lineRule="auto"/>
        <w:ind w:firstLine="420"/>
        <w:rPr>
          <w:rFonts w:ascii="宋体" w:hAnsi="宋体"/>
        </w:rPr>
      </w:pPr>
      <w:r>
        <w:rPr>
          <w:rFonts w:ascii="宋体" w:hAnsi="宋体"/>
          <w:snapToGrid w:val="0"/>
          <w:kern w:val="0"/>
          <w:szCs w:val="21"/>
        </w:rPr>
        <w:t>招标人不得泄露招标投标活动中应当保密的情况和资料，不得与投标人串通损害国家利益、社会公共利益或者他人合法权益，</w:t>
      </w:r>
      <w:r>
        <w:rPr>
          <w:rFonts w:ascii="宋体" w:hAnsi="宋体"/>
        </w:rPr>
        <w:t>禁止招标人与投标人串通投标。</w:t>
      </w:r>
    </w:p>
    <w:p w14:paraId="078BE27E">
      <w:pPr>
        <w:autoSpaceDE w:val="0"/>
        <w:autoSpaceDN w:val="0"/>
        <w:adjustRightInd w:val="0"/>
        <w:snapToGrid w:val="0"/>
        <w:spacing w:line="360" w:lineRule="auto"/>
        <w:ind w:firstLine="420"/>
        <w:rPr>
          <w:rFonts w:ascii="宋体" w:hAnsi="宋体"/>
        </w:rPr>
      </w:pPr>
      <w:r>
        <w:rPr>
          <w:rFonts w:ascii="宋体" w:hAnsi="宋体"/>
        </w:rPr>
        <w:t>有下列情形之一的，属于招标人与投标人串通投标：</w:t>
      </w:r>
    </w:p>
    <w:p w14:paraId="5DC87F61">
      <w:pPr>
        <w:autoSpaceDE w:val="0"/>
        <w:autoSpaceDN w:val="0"/>
        <w:adjustRightInd w:val="0"/>
        <w:snapToGrid w:val="0"/>
        <w:spacing w:line="360" w:lineRule="auto"/>
        <w:ind w:firstLine="420"/>
        <w:rPr>
          <w:rFonts w:ascii="宋体" w:hAnsi="宋体"/>
        </w:rPr>
      </w:pPr>
      <w:r>
        <w:rPr>
          <w:rFonts w:ascii="宋体" w:hAnsi="宋体"/>
        </w:rPr>
        <w:t>（1）招标人在开标前开启投标文件并将有关信息泄露给其他投标人</w:t>
      </w:r>
      <w:r>
        <w:rPr>
          <w:rFonts w:hint="eastAsia" w:ascii="宋体" w:hAnsi="宋体"/>
        </w:rPr>
        <w:t>；</w:t>
      </w:r>
    </w:p>
    <w:p w14:paraId="2BFED54C">
      <w:pPr>
        <w:autoSpaceDE w:val="0"/>
        <w:autoSpaceDN w:val="0"/>
        <w:adjustRightInd w:val="0"/>
        <w:snapToGrid w:val="0"/>
        <w:spacing w:line="360" w:lineRule="auto"/>
        <w:ind w:firstLine="420"/>
        <w:rPr>
          <w:rFonts w:ascii="宋体" w:hAnsi="宋体"/>
        </w:rPr>
      </w:pPr>
      <w:r>
        <w:rPr>
          <w:rFonts w:ascii="宋体" w:hAnsi="宋体"/>
        </w:rPr>
        <w:t>（2）招标人直接或者间接向投标人泄露标底、评标委员会成员等信息；</w:t>
      </w:r>
    </w:p>
    <w:p w14:paraId="5B426A60">
      <w:pPr>
        <w:autoSpaceDE w:val="0"/>
        <w:autoSpaceDN w:val="0"/>
        <w:adjustRightInd w:val="0"/>
        <w:snapToGrid w:val="0"/>
        <w:spacing w:line="360" w:lineRule="auto"/>
        <w:ind w:firstLine="420"/>
        <w:rPr>
          <w:rFonts w:ascii="宋体" w:hAnsi="宋体"/>
        </w:rPr>
      </w:pPr>
      <w:r>
        <w:rPr>
          <w:rFonts w:ascii="宋体" w:hAnsi="宋体"/>
        </w:rPr>
        <w:t>（3）招标人明示或者暗示投标人压低或者抬高投标报价；</w:t>
      </w:r>
    </w:p>
    <w:p w14:paraId="39CAE5E7">
      <w:pPr>
        <w:autoSpaceDE w:val="0"/>
        <w:autoSpaceDN w:val="0"/>
        <w:adjustRightInd w:val="0"/>
        <w:snapToGrid w:val="0"/>
        <w:spacing w:line="360" w:lineRule="auto"/>
        <w:ind w:firstLine="420"/>
        <w:rPr>
          <w:rFonts w:ascii="宋体" w:hAnsi="宋体"/>
        </w:rPr>
      </w:pPr>
      <w:r>
        <w:rPr>
          <w:rFonts w:ascii="宋体" w:hAnsi="宋体"/>
        </w:rPr>
        <w:t>（4）招标人授意投标人撤换、修改投标文件；</w:t>
      </w:r>
    </w:p>
    <w:p w14:paraId="709EE479">
      <w:pPr>
        <w:autoSpaceDE w:val="0"/>
        <w:autoSpaceDN w:val="0"/>
        <w:adjustRightInd w:val="0"/>
        <w:snapToGrid w:val="0"/>
        <w:spacing w:line="360" w:lineRule="auto"/>
        <w:ind w:firstLine="420"/>
        <w:rPr>
          <w:rFonts w:ascii="宋体" w:hAnsi="宋体"/>
        </w:rPr>
      </w:pPr>
      <w:r>
        <w:rPr>
          <w:rFonts w:ascii="宋体" w:hAnsi="宋体"/>
        </w:rPr>
        <w:t>（5）招标人明示或者暗示投标人为特定投标人中标提供方便；</w:t>
      </w:r>
    </w:p>
    <w:p w14:paraId="6C81B070">
      <w:pPr>
        <w:autoSpaceDE w:val="0"/>
        <w:autoSpaceDN w:val="0"/>
        <w:adjustRightInd w:val="0"/>
        <w:snapToGrid w:val="0"/>
        <w:spacing w:line="360" w:lineRule="auto"/>
        <w:ind w:firstLine="420"/>
        <w:rPr>
          <w:rFonts w:ascii="宋体" w:hAnsi="宋体"/>
          <w:snapToGrid w:val="0"/>
          <w:kern w:val="0"/>
          <w:szCs w:val="21"/>
        </w:rPr>
      </w:pPr>
      <w:r>
        <w:rPr>
          <w:rFonts w:ascii="宋体" w:hAnsi="宋体"/>
        </w:rPr>
        <w:t>（6）招标人与投标人为谋求特定投标人中标而采取的其他串通行为。</w:t>
      </w:r>
    </w:p>
    <w:p w14:paraId="59A61F9D">
      <w:pPr>
        <w:pStyle w:val="4"/>
        <w:snapToGrid w:val="0"/>
        <w:spacing w:before="0" w:after="0" w:line="360" w:lineRule="auto"/>
        <w:ind w:firstLine="480" w:firstLineChars="200"/>
        <w:rPr>
          <w:rFonts w:ascii="宋体" w:hAnsi="宋体"/>
          <w:b w:val="0"/>
          <w:snapToGrid w:val="0"/>
          <w:sz w:val="24"/>
          <w:szCs w:val="24"/>
        </w:rPr>
      </w:pPr>
      <w:bookmarkStart w:id="464" w:name="_Toc277082600"/>
      <w:bookmarkStart w:id="465" w:name="_Toc200513174"/>
      <w:bookmarkStart w:id="466" w:name="_Toc224103365"/>
      <w:bookmarkStart w:id="467" w:name="_Toc11615"/>
      <w:bookmarkStart w:id="468" w:name="_Toc287607794"/>
      <w:bookmarkStart w:id="469" w:name="_Toc509218758"/>
      <w:bookmarkStart w:id="470" w:name="_Toc430530483"/>
      <w:bookmarkStart w:id="471" w:name="_Toc287620733"/>
      <w:r>
        <w:rPr>
          <w:rFonts w:ascii="宋体" w:hAnsi="宋体"/>
          <w:b w:val="0"/>
          <w:snapToGrid w:val="0"/>
          <w:sz w:val="24"/>
          <w:szCs w:val="24"/>
        </w:rPr>
        <w:t>9.2  对投标人的纪律要求</w:t>
      </w:r>
      <w:bookmarkEnd w:id="464"/>
      <w:bookmarkEnd w:id="465"/>
      <w:bookmarkEnd w:id="466"/>
      <w:bookmarkEnd w:id="467"/>
      <w:bookmarkEnd w:id="468"/>
      <w:bookmarkEnd w:id="469"/>
      <w:bookmarkEnd w:id="470"/>
      <w:bookmarkEnd w:id="471"/>
    </w:p>
    <w:p w14:paraId="28AC751B">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投标人不得相互串通投标或者与招标人串通投标，不得向招标人或者评标委员会成员行贿谋取中标，不得以他人名义投标或者以其他方式弄虚作假骗取中标；投标人不得以任何方式干扰、影响评标工作。</w:t>
      </w:r>
    </w:p>
    <w:p w14:paraId="590A429E">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 xml:space="preserve">9.2.1  </w:t>
      </w:r>
      <w:r>
        <w:rPr>
          <w:rFonts w:ascii="宋体" w:hAnsi="宋体"/>
        </w:rPr>
        <w:t>有下列情形之一的，属于投标人相互串通投标：</w:t>
      </w:r>
    </w:p>
    <w:p w14:paraId="20DEA6DF">
      <w:pPr>
        <w:autoSpaceDE w:val="0"/>
        <w:autoSpaceDN w:val="0"/>
        <w:adjustRightInd w:val="0"/>
        <w:snapToGrid w:val="0"/>
        <w:spacing w:line="360" w:lineRule="auto"/>
        <w:ind w:firstLine="420" w:firstLineChars="200"/>
        <w:rPr>
          <w:rFonts w:ascii="宋体" w:hAnsi="宋体"/>
        </w:rPr>
      </w:pPr>
      <w:r>
        <w:rPr>
          <w:rFonts w:ascii="宋体" w:hAnsi="宋体"/>
        </w:rPr>
        <w:t>（1）投标人之间协商投标报价等投标文件的实质性内容；</w:t>
      </w:r>
    </w:p>
    <w:p w14:paraId="21896FDD">
      <w:pPr>
        <w:autoSpaceDE w:val="0"/>
        <w:autoSpaceDN w:val="0"/>
        <w:adjustRightInd w:val="0"/>
        <w:snapToGrid w:val="0"/>
        <w:spacing w:line="360" w:lineRule="auto"/>
        <w:ind w:firstLine="420" w:firstLineChars="200"/>
        <w:rPr>
          <w:rFonts w:ascii="宋体" w:hAnsi="宋体"/>
        </w:rPr>
      </w:pPr>
      <w:r>
        <w:rPr>
          <w:rFonts w:ascii="宋体" w:hAnsi="宋体"/>
        </w:rPr>
        <w:t>（2）投标人之间约定中标人；</w:t>
      </w:r>
    </w:p>
    <w:p w14:paraId="5B01C0B6">
      <w:pPr>
        <w:autoSpaceDE w:val="0"/>
        <w:autoSpaceDN w:val="0"/>
        <w:adjustRightInd w:val="0"/>
        <w:snapToGrid w:val="0"/>
        <w:spacing w:line="360" w:lineRule="auto"/>
        <w:ind w:firstLine="420" w:firstLineChars="200"/>
        <w:rPr>
          <w:rFonts w:ascii="宋体" w:hAnsi="宋体"/>
        </w:rPr>
      </w:pPr>
      <w:r>
        <w:rPr>
          <w:rFonts w:ascii="宋体" w:hAnsi="宋体"/>
        </w:rPr>
        <w:t>（3）投标人之间约定部分投标人放弃投标或者中标；</w:t>
      </w:r>
    </w:p>
    <w:p w14:paraId="7D2501E1">
      <w:pPr>
        <w:autoSpaceDE w:val="0"/>
        <w:autoSpaceDN w:val="0"/>
        <w:adjustRightInd w:val="0"/>
        <w:snapToGrid w:val="0"/>
        <w:spacing w:line="360" w:lineRule="auto"/>
        <w:ind w:firstLine="420" w:firstLineChars="200"/>
        <w:rPr>
          <w:rFonts w:ascii="宋体" w:hAnsi="宋体"/>
        </w:rPr>
      </w:pPr>
      <w:r>
        <w:rPr>
          <w:rFonts w:ascii="宋体" w:hAnsi="宋体"/>
        </w:rPr>
        <w:t>（4）属于同一集团、协会、商会等组织成员的投标人按照该组织要求协同投标；</w:t>
      </w:r>
    </w:p>
    <w:p w14:paraId="7781E5EB">
      <w:pPr>
        <w:autoSpaceDE w:val="0"/>
        <w:autoSpaceDN w:val="0"/>
        <w:adjustRightInd w:val="0"/>
        <w:snapToGrid w:val="0"/>
        <w:spacing w:line="360" w:lineRule="auto"/>
        <w:ind w:firstLine="420" w:firstLineChars="200"/>
        <w:rPr>
          <w:rFonts w:ascii="宋体" w:hAnsi="宋体"/>
        </w:rPr>
      </w:pPr>
      <w:r>
        <w:rPr>
          <w:rFonts w:ascii="宋体" w:hAnsi="宋体"/>
        </w:rPr>
        <w:t>（5）投标人之间为谋取中标或者排斥特定投标人而采取的其他联合行动。</w:t>
      </w:r>
    </w:p>
    <w:p w14:paraId="23870003">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9.2.2  </w:t>
      </w:r>
      <w:r>
        <w:rPr>
          <w:rFonts w:ascii="宋体" w:hAnsi="宋体"/>
        </w:rPr>
        <w:t>有下列情形之一的，视为投标人相互串通投标：</w:t>
      </w:r>
    </w:p>
    <w:p w14:paraId="10900A23">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1</w:t>
      </w:r>
      <w:r>
        <w:rPr>
          <w:rFonts w:hint="eastAsia" w:ascii="宋体" w:hAnsi="宋体"/>
          <w:highlight w:val="none"/>
        </w:rPr>
        <w:t>）不同投标人的电子投标文件由同一台电子设备编制、打包、加密或者上传；</w:t>
      </w:r>
    </w:p>
    <w:p w14:paraId="147627A7">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2</w:t>
      </w:r>
      <w:r>
        <w:rPr>
          <w:rFonts w:hint="eastAsia" w:ascii="宋体" w:hAnsi="宋体"/>
          <w:highlight w:val="none"/>
        </w:rPr>
        <w:t>）不同投标人的投标文件由同一投标人的电子设备打印、复印；</w:t>
      </w:r>
    </w:p>
    <w:p w14:paraId="4B3EF2A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3</w:t>
      </w:r>
      <w:r>
        <w:rPr>
          <w:rFonts w:hint="eastAsia" w:ascii="宋体" w:hAnsi="宋体"/>
          <w:highlight w:val="none"/>
        </w:rPr>
        <w:t>）不同投标人的投标报价用同一个预算编制软件密码锁制作或者出自同一投标人的电子文档；</w:t>
      </w:r>
    </w:p>
    <w:p w14:paraId="7C88F356">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4</w:t>
      </w:r>
      <w:r>
        <w:rPr>
          <w:rFonts w:hint="eastAsia" w:ascii="宋体" w:hAnsi="宋体"/>
          <w:highlight w:val="none"/>
        </w:rPr>
        <w:t>）不同投标人从同一个投标单位或者同一个自然人的互联网协议地址下载招标文件、上传投标文件；</w:t>
      </w:r>
    </w:p>
    <w:p w14:paraId="34D9331F">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5</w:t>
      </w:r>
      <w:r>
        <w:rPr>
          <w:rFonts w:hint="eastAsia" w:ascii="宋体" w:hAnsi="宋体"/>
          <w:highlight w:val="none"/>
        </w:rPr>
        <w:t>）不同投标人的投标保证金虽然经由投标人自己的基本账户转出，但所需资金来自同一单位或者个人的账户；</w:t>
      </w:r>
    </w:p>
    <w:p w14:paraId="140C5005">
      <w:pPr>
        <w:autoSpaceDE w:val="0"/>
        <w:autoSpaceDN w:val="0"/>
        <w:adjustRightInd w:val="0"/>
        <w:snapToGrid w:val="0"/>
        <w:spacing w:line="360" w:lineRule="auto"/>
        <w:ind w:firstLine="420" w:firstLineChars="200"/>
        <w:rPr>
          <w:rFonts w:hint="eastAsia" w:ascii="宋体" w:hAnsi="宋体"/>
          <w:highlight w:val="none"/>
        </w:rPr>
      </w:pPr>
      <w:r>
        <w:rPr>
          <w:rFonts w:hint="eastAsia" w:ascii="宋体" w:hAnsi="宋体"/>
          <w:highlight w:val="none"/>
        </w:rPr>
        <w:t>（</w:t>
      </w:r>
      <w:r>
        <w:rPr>
          <w:rFonts w:hint="eastAsia" w:ascii="宋体" w:hAnsi="宋体"/>
          <w:highlight w:val="none"/>
          <w:lang w:val="en-US" w:eastAsia="zh-CN"/>
        </w:rPr>
        <w:t>6</w:t>
      </w:r>
      <w:r>
        <w:rPr>
          <w:rFonts w:hint="eastAsia" w:ascii="宋体" w:hAnsi="宋体"/>
          <w:highlight w:val="none"/>
        </w:rPr>
        <w:t>）参加投标活动的人员为同一标段或者未划分标段的同一招标项目的其他投标人的在职人员；</w:t>
      </w:r>
    </w:p>
    <w:p w14:paraId="49B45D10">
      <w:pPr>
        <w:autoSpaceDE w:val="0"/>
        <w:autoSpaceDN w:val="0"/>
        <w:adjustRightInd w:val="0"/>
        <w:snapToGrid w:val="0"/>
        <w:spacing w:line="360" w:lineRule="auto"/>
        <w:ind w:firstLine="420" w:firstLineChars="200"/>
        <w:rPr>
          <w:rFonts w:ascii="宋体" w:hAnsi="宋体"/>
        </w:rPr>
      </w:pPr>
      <w:r>
        <w:rPr>
          <w:rFonts w:hint="eastAsia" w:ascii="宋体" w:hAnsi="宋体"/>
          <w:highlight w:val="none"/>
        </w:rPr>
        <w:t>（</w:t>
      </w:r>
      <w:r>
        <w:rPr>
          <w:rFonts w:hint="eastAsia" w:ascii="宋体" w:hAnsi="宋体"/>
          <w:highlight w:val="none"/>
          <w:lang w:val="en-US" w:eastAsia="zh-CN"/>
        </w:rPr>
        <w:t>7</w:t>
      </w:r>
      <w:r>
        <w:rPr>
          <w:rFonts w:hint="eastAsia" w:ascii="宋体" w:hAnsi="宋体"/>
          <w:highlight w:val="none"/>
        </w:rPr>
        <w:t>）法律、法规规定的其他情形。</w:t>
      </w:r>
    </w:p>
    <w:p w14:paraId="4163BADC">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9.2.3  </w:t>
      </w:r>
      <w:r>
        <w:rPr>
          <w:rFonts w:ascii="宋体" w:hAnsi="宋体"/>
        </w:rPr>
        <w:t>使用通过受让或者租借等方式获取的资格、资质证书投标的，属于以他人名义投标。</w:t>
      </w:r>
    </w:p>
    <w:p w14:paraId="5E6EB42C">
      <w:pPr>
        <w:autoSpaceDE w:val="0"/>
        <w:autoSpaceDN w:val="0"/>
        <w:adjustRightInd w:val="0"/>
        <w:snapToGrid w:val="0"/>
        <w:spacing w:line="360" w:lineRule="auto"/>
        <w:ind w:firstLine="420" w:firstLineChars="200"/>
        <w:rPr>
          <w:rFonts w:ascii="宋体" w:hAnsi="宋体"/>
        </w:rPr>
      </w:pPr>
      <w:r>
        <w:rPr>
          <w:rFonts w:hint="eastAsia" w:ascii="宋体" w:hAnsi="宋体"/>
        </w:rPr>
        <w:t xml:space="preserve">9.2.4  </w:t>
      </w:r>
      <w:r>
        <w:rPr>
          <w:rFonts w:ascii="宋体" w:hAnsi="宋体"/>
        </w:rPr>
        <w:t>投标人有下列情形之一的，属于以其他方式弄虚作假的行为：</w:t>
      </w:r>
    </w:p>
    <w:p w14:paraId="79E845C7">
      <w:pPr>
        <w:autoSpaceDE w:val="0"/>
        <w:autoSpaceDN w:val="0"/>
        <w:adjustRightInd w:val="0"/>
        <w:snapToGrid w:val="0"/>
        <w:spacing w:line="360" w:lineRule="auto"/>
        <w:ind w:firstLine="420" w:firstLineChars="200"/>
        <w:rPr>
          <w:rFonts w:ascii="宋体" w:hAnsi="宋体"/>
        </w:rPr>
      </w:pPr>
      <w:r>
        <w:rPr>
          <w:rFonts w:hint="eastAsia" w:ascii="宋体" w:hAnsi="宋体"/>
        </w:rPr>
        <w:t>（1）</w:t>
      </w:r>
      <w:r>
        <w:rPr>
          <w:rFonts w:ascii="宋体" w:hAnsi="宋体"/>
        </w:rPr>
        <w:t>使用伪造、变造的许可证件；</w:t>
      </w:r>
    </w:p>
    <w:p w14:paraId="3464BCF7">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2</w:t>
      </w:r>
      <w:r>
        <w:rPr>
          <w:rFonts w:ascii="宋体" w:hAnsi="宋体"/>
        </w:rPr>
        <w:t>）提供虚假的财务状况或者业绩；</w:t>
      </w:r>
    </w:p>
    <w:p w14:paraId="72273574">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3</w:t>
      </w:r>
      <w:r>
        <w:rPr>
          <w:rFonts w:ascii="宋体" w:hAnsi="宋体"/>
        </w:rPr>
        <w:t>）提供虚假的项目负责人或者主要技术人员简历、劳动关系证明；</w:t>
      </w:r>
    </w:p>
    <w:p w14:paraId="4CF681DB">
      <w:pPr>
        <w:autoSpaceDE w:val="0"/>
        <w:autoSpaceDN w:val="0"/>
        <w:adjustRightInd w:val="0"/>
        <w:snapToGrid w:val="0"/>
        <w:spacing w:line="360" w:lineRule="auto"/>
        <w:ind w:firstLine="420" w:firstLineChars="200"/>
        <w:rPr>
          <w:rFonts w:ascii="宋体" w:hAnsi="宋体"/>
        </w:rPr>
      </w:pPr>
      <w:r>
        <w:rPr>
          <w:rFonts w:ascii="宋体" w:hAnsi="宋体"/>
        </w:rPr>
        <w:t>（</w:t>
      </w:r>
      <w:r>
        <w:rPr>
          <w:rFonts w:hint="eastAsia" w:ascii="宋体" w:hAnsi="宋体"/>
        </w:rPr>
        <w:t>4</w:t>
      </w:r>
      <w:r>
        <w:rPr>
          <w:rFonts w:ascii="宋体" w:hAnsi="宋体"/>
        </w:rPr>
        <w:t>）提供虚假的信用状况；</w:t>
      </w:r>
    </w:p>
    <w:p w14:paraId="083327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rPr>
        <w:t>（</w:t>
      </w:r>
      <w:r>
        <w:rPr>
          <w:rFonts w:hint="eastAsia" w:ascii="宋体" w:hAnsi="宋体"/>
        </w:rPr>
        <w:t>5</w:t>
      </w:r>
      <w:r>
        <w:rPr>
          <w:rFonts w:ascii="宋体" w:hAnsi="宋体"/>
        </w:rPr>
        <w:t>）其他弄虚作假的行为。</w:t>
      </w:r>
    </w:p>
    <w:p w14:paraId="6FDDCA29">
      <w:pPr>
        <w:pStyle w:val="4"/>
        <w:snapToGrid w:val="0"/>
        <w:spacing w:before="0" w:after="0" w:line="360" w:lineRule="auto"/>
        <w:rPr>
          <w:rFonts w:ascii="宋体" w:hAnsi="宋体"/>
          <w:b w:val="0"/>
          <w:snapToGrid w:val="0"/>
          <w:sz w:val="24"/>
          <w:szCs w:val="24"/>
        </w:rPr>
      </w:pPr>
      <w:bookmarkStart w:id="472" w:name="_Toc509218759"/>
      <w:bookmarkStart w:id="473" w:name="_Toc200513175"/>
      <w:bookmarkStart w:id="474" w:name="_Toc25178"/>
      <w:bookmarkStart w:id="475" w:name="_Toc430530484"/>
      <w:bookmarkStart w:id="476" w:name="_Toc224103366"/>
      <w:bookmarkStart w:id="477" w:name="_Toc277082601"/>
      <w:bookmarkStart w:id="478" w:name="_Toc287607795"/>
      <w:bookmarkStart w:id="479" w:name="_Toc287620734"/>
      <w:r>
        <w:rPr>
          <w:rFonts w:ascii="宋体" w:hAnsi="宋体"/>
          <w:b w:val="0"/>
          <w:snapToGrid w:val="0"/>
          <w:sz w:val="24"/>
          <w:szCs w:val="24"/>
        </w:rPr>
        <w:t>9.3  对评标委员会成员的纪律要求</w:t>
      </w:r>
      <w:bookmarkEnd w:id="472"/>
      <w:bookmarkEnd w:id="473"/>
      <w:bookmarkEnd w:id="474"/>
      <w:bookmarkEnd w:id="475"/>
      <w:bookmarkEnd w:id="476"/>
      <w:bookmarkEnd w:id="477"/>
      <w:bookmarkEnd w:id="478"/>
      <w:bookmarkEnd w:id="479"/>
    </w:p>
    <w:p w14:paraId="23A528C0">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评标委员会成员不得收受他人的财物或者其他好处，不得向他人透露对投标文件的评审和比较、中标候选人的推荐情况以及评标有关的其他情况。在评标活动中，评标委员会成员应当客观、公正地履行职责，遵守职业道德，不得擅离职守，影响评标程序正常进行，不得使用第三章“评标办法”没有规定的评审因素和标准进行评标</w:t>
      </w:r>
      <w:r>
        <w:rPr>
          <w:rFonts w:hint="eastAsia" w:ascii="宋体" w:hAnsi="宋体"/>
          <w:snapToGrid w:val="0"/>
          <w:kern w:val="0"/>
          <w:szCs w:val="21"/>
        </w:rPr>
        <w:t>，不得对招标文件中《否决投标情况一览表》以外的内容予以否决投标。</w:t>
      </w:r>
    </w:p>
    <w:p w14:paraId="258F0E90">
      <w:pPr>
        <w:pStyle w:val="4"/>
        <w:snapToGrid w:val="0"/>
        <w:spacing w:before="0" w:after="0" w:line="360" w:lineRule="auto"/>
        <w:rPr>
          <w:rFonts w:ascii="宋体" w:hAnsi="宋体"/>
          <w:b w:val="0"/>
          <w:snapToGrid w:val="0"/>
          <w:sz w:val="24"/>
          <w:szCs w:val="24"/>
        </w:rPr>
      </w:pPr>
      <w:bookmarkStart w:id="480" w:name="_Toc509218760"/>
      <w:bookmarkStart w:id="481" w:name="_Toc200513176"/>
      <w:bookmarkStart w:id="482" w:name="_Toc430530485"/>
      <w:bookmarkStart w:id="483" w:name="_Toc224103367"/>
      <w:bookmarkStart w:id="484" w:name="_Toc287607796"/>
      <w:bookmarkStart w:id="485" w:name="_Toc287620735"/>
      <w:bookmarkStart w:id="486" w:name="_Toc28915"/>
      <w:bookmarkStart w:id="487" w:name="_Toc277082602"/>
      <w:r>
        <w:rPr>
          <w:rFonts w:ascii="宋体" w:hAnsi="宋体"/>
          <w:b w:val="0"/>
          <w:snapToGrid w:val="0"/>
          <w:sz w:val="24"/>
          <w:szCs w:val="24"/>
        </w:rPr>
        <w:t>9.4  对与评标活动有关的工作人员的纪律要求</w:t>
      </w:r>
      <w:bookmarkEnd w:id="480"/>
      <w:bookmarkEnd w:id="481"/>
      <w:bookmarkEnd w:id="482"/>
      <w:bookmarkEnd w:id="483"/>
      <w:bookmarkEnd w:id="484"/>
      <w:bookmarkEnd w:id="485"/>
      <w:bookmarkEnd w:id="486"/>
      <w:bookmarkEnd w:id="487"/>
    </w:p>
    <w:p w14:paraId="0D996E71">
      <w:pPr>
        <w:autoSpaceDE w:val="0"/>
        <w:autoSpaceDN w:val="0"/>
        <w:adjustRightInd w:val="0"/>
        <w:snapToGrid w:val="0"/>
        <w:spacing w:line="360" w:lineRule="auto"/>
        <w:ind w:firstLine="420" w:firstLineChars="200"/>
        <w:rPr>
          <w:rFonts w:ascii="宋体" w:hAnsi="宋体"/>
          <w:snapToGrid w:val="0"/>
          <w:kern w:val="0"/>
          <w:szCs w:val="21"/>
        </w:rPr>
      </w:pPr>
      <w:r>
        <w:rPr>
          <w:rFonts w:ascii="宋体" w:hAnsi="宋体"/>
          <w:snapToGrid w:val="0"/>
          <w:kern w:val="0"/>
          <w:szCs w:val="21"/>
        </w:rPr>
        <w:t>与评标活动有关的工作人员不得收受他人的财物或者其他好处，不得向他人</w:t>
      </w:r>
      <w:r>
        <w:rPr>
          <w:rFonts w:hint="eastAsia" w:ascii="宋体" w:hAnsi="宋体"/>
          <w:snapToGrid w:val="0"/>
          <w:kern w:val="0"/>
          <w:szCs w:val="21"/>
        </w:rPr>
        <w:t>透露</w:t>
      </w:r>
      <w:r>
        <w:rPr>
          <w:rFonts w:ascii="宋体" w:hAnsi="宋体"/>
          <w:snapToGrid w:val="0"/>
          <w:kern w:val="0"/>
          <w:szCs w:val="21"/>
        </w:rPr>
        <w:t>对投标文件的评审和比较、中标候选人的推荐情况以及与评标有关的其他情况。在评标活动中，与评标活动有关的工作人员不得擅离职守，影响评标程序正常进行。</w:t>
      </w:r>
    </w:p>
    <w:p w14:paraId="59CED243">
      <w:pPr>
        <w:pStyle w:val="4"/>
        <w:snapToGrid w:val="0"/>
        <w:spacing w:before="0" w:after="0" w:line="360" w:lineRule="auto"/>
        <w:rPr>
          <w:rFonts w:ascii="宋体" w:hAnsi="宋体"/>
          <w:b w:val="0"/>
          <w:snapToGrid w:val="0"/>
          <w:sz w:val="24"/>
          <w:szCs w:val="24"/>
        </w:rPr>
      </w:pPr>
      <w:bookmarkStart w:id="488" w:name="_Toc224103368"/>
      <w:bookmarkStart w:id="489" w:name="_Toc430530486"/>
      <w:bookmarkStart w:id="490" w:name="_Toc509218761"/>
      <w:bookmarkStart w:id="491" w:name="_Toc17721"/>
      <w:bookmarkStart w:id="492" w:name="_Toc200513177"/>
      <w:bookmarkStart w:id="493" w:name="_Toc287607797"/>
      <w:bookmarkStart w:id="494" w:name="_Toc277082603"/>
      <w:bookmarkStart w:id="495" w:name="_Toc287620736"/>
      <w:r>
        <w:rPr>
          <w:rFonts w:ascii="宋体" w:hAnsi="宋体"/>
          <w:b w:val="0"/>
          <w:snapToGrid w:val="0"/>
          <w:sz w:val="24"/>
          <w:szCs w:val="24"/>
        </w:rPr>
        <w:t>9.5  投诉</w:t>
      </w:r>
      <w:bookmarkEnd w:id="488"/>
      <w:bookmarkEnd w:id="489"/>
      <w:bookmarkEnd w:id="490"/>
      <w:bookmarkEnd w:id="491"/>
      <w:bookmarkEnd w:id="492"/>
      <w:bookmarkEnd w:id="493"/>
      <w:bookmarkEnd w:id="494"/>
      <w:bookmarkEnd w:id="495"/>
    </w:p>
    <w:p w14:paraId="7AEBD9E2">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.5.1  投标人或者其他利害关系人认为招标投标活动不符合法律、行政法规规定的，可以自知道或者应当知道之日起 10 日内向有关行政监督部门投诉。投诉应当有明确的请求和必要的证明材料。</w:t>
      </w:r>
    </w:p>
    <w:p w14:paraId="29D9F616">
      <w:pPr>
        <w:autoSpaceDE w:val="0"/>
        <w:autoSpaceDN w:val="0"/>
        <w:adjustRightInd w:val="0"/>
        <w:snapToGrid w:val="0"/>
        <w:spacing w:line="360" w:lineRule="auto"/>
        <w:ind w:firstLine="420" w:firstLineChars="200"/>
        <w:rPr>
          <w:rFonts w:ascii="宋体" w:hAnsi="宋体"/>
          <w:snapToGrid w:val="0"/>
          <w:kern w:val="0"/>
          <w:szCs w:val="21"/>
        </w:rPr>
      </w:pPr>
      <w:r>
        <w:rPr>
          <w:rFonts w:hint="eastAsia" w:ascii="宋体" w:hAnsi="宋体"/>
          <w:snapToGrid w:val="0"/>
          <w:kern w:val="0"/>
          <w:szCs w:val="21"/>
        </w:rPr>
        <w:t>9</w:t>
      </w:r>
      <w:r>
        <w:rPr>
          <w:rFonts w:ascii="宋体" w:hAnsi="宋体"/>
          <w:snapToGrid w:val="0"/>
          <w:kern w:val="0"/>
          <w:szCs w:val="21"/>
        </w:rPr>
        <w:t xml:space="preserve">.5.2  投标人或者其他利害关系人对招标文件、开标和评标结果提出投诉的，应当按照投标人须知第 2.4 款、第 5.3 款和第 7.2 款的规定先向招标人提出异议。异议答复期间不计算在第 </w:t>
      </w:r>
      <w:r>
        <w:rPr>
          <w:rFonts w:hint="eastAsia" w:ascii="宋体" w:hAnsi="宋体"/>
          <w:snapToGrid w:val="0"/>
          <w:kern w:val="0"/>
          <w:szCs w:val="21"/>
        </w:rPr>
        <w:t>9</w:t>
      </w:r>
      <w:r>
        <w:rPr>
          <w:rFonts w:ascii="宋体" w:hAnsi="宋体"/>
          <w:snapToGrid w:val="0"/>
          <w:kern w:val="0"/>
          <w:szCs w:val="21"/>
        </w:rPr>
        <w:t>.5.1 项规定的期限内。</w:t>
      </w:r>
    </w:p>
    <w:p w14:paraId="77E77C64">
      <w:pPr>
        <w:pStyle w:val="3"/>
        <w:spacing w:before="0" w:after="0" w:line="360" w:lineRule="auto"/>
        <w:rPr>
          <w:rFonts w:ascii="宋体" w:hAnsi="宋体"/>
          <w:b w:val="0"/>
          <w:snapToGrid w:val="0"/>
        </w:rPr>
      </w:pPr>
      <w:bookmarkStart w:id="496" w:name="_Toc430530487"/>
      <w:bookmarkStart w:id="497" w:name="_Toc287607798"/>
      <w:bookmarkStart w:id="498" w:name="_Toc509218762"/>
      <w:bookmarkStart w:id="499" w:name="_Toc224103369"/>
      <w:bookmarkStart w:id="500" w:name="_Toc277082604"/>
      <w:bookmarkStart w:id="501" w:name="_Toc287620737"/>
      <w:bookmarkStart w:id="502" w:name="_Toc200513178"/>
      <w:bookmarkStart w:id="503" w:name="_Toc28197"/>
      <w:r>
        <w:rPr>
          <w:rFonts w:ascii="宋体" w:hAnsi="宋体"/>
          <w:b w:val="0"/>
          <w:snapToGrid w:val="0"/>
        </w:rPr>
        <w:t>10. 需要补充的其他内容</w:t>
      </w:r>
      <w:bookmarkEnd w:id="496"/>
      <w:bookmarkEnd w:id="497"/>
      <w:bookmarkEnd w:id="498"/>
      <w:bookmarkEnd w:id="499"/>
      <w:bookmarkEnd w:id="500"/>
      <w:bookmarkEnd w:id="501"/>
      <w:bookmarkEnd w:id="502"/>
      <w:bookmarkEnd w:id="503"/>
    </w:p>
    <w:p w14:paraId="757C2C2F">
      <w:pPr>
        <w:autoSpaceDE w:val="0"/>
        <w:autoSpaceDN w:val="0"/>
        <w:adjustRightInd w:val="0"/>
        <w:snapToGrid w:val="0"/>
        <w:spacing w:line="360" w:lineRule="auto"/>
        <w:ind w:firstLine="420" w:firstLineChars="200"/>
        <w:rPr>
          <w:rFonts w:ascii="宋体" w:hAnsi="宋体"/>
          <w:snapToGrid w:val="0"/>
          <w:kern w:val="0"/>
          <w:szCs w:val="21"/>
        </w:rPr>
        <w:sectPr>
          <w:footerReference r:id="rId6" w:type="default"/>
          <w:footerReference r:id="rId7" w:type="even"/>
          <w:pgSz w:w="11906" w:h="16838"/>
          <w:pgMar w:top="1304" w:right="1134" w:bottom="1304" w:left="1304" w:header="851" w:footer="992" w:gutter="0"/>
          <w:pgBorders>
            <w:top w:val="none" w:sz="0" w:space="0"/>
            <w:left w:val="none" w:sz="0" w:space="0"/>
            <w:bottom w:val="none" w:sz="0" w:space="0"/>
            <w:right w:val="none" w:sz="0" w:space="0"/>
          </w:pgBorders>
          <w:cols w:space="720" w:num="1"/>
          <w:docGrid w:linePitch="312" w:charSpace="0"/>
        </w:sectPr>
      </w:pPr>
      <w:r>
        <w:rPr>
          <w:rFonts w:ascii="宋体" w:hAnsi="宋体"/>
          <w:snapToGrid w:val="0"/>
          <w:kern w:val="0"/>
          <w:szCs w:val="21"/>
        </w:rPr>
        <w:t>需要补充的其他内容：见投标人须知前附表。</w:t>
      </w:r>
    </w:p>
    <w:p w14:paraId="082FFC28">
      <w:pPr>
        <w:autoSpaceDE w:val="0"/>
        <w:autoSpaceDN w:val="0"/>
        <w:adjustRightInd w:val="0"/>
        <w:snapToGrid w:val="0"/>
        <w:spacing w:line="360" w:lineRule="auto"/>
        <w:ind w:firstLine="420" w:firstLineChars="200"/>
        <w:rPr>
          <w:rFonts w:ascii="宋体" w:hAnsi="宋体"/>
          <w:snapToGrid w:val="0"/>
          <w:kern w:val="0"/>
          <w:szCs w:val="21"/>
        </w:rPr>
      </w:pPr>
    </w:p>
    <w:p w14:paraId="6370438A">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附表一：开标记录表</w:t>
      </w:r>
    </w:p>
    <w:p w14:paraId="5FFBA1C7">
      <w:pPr>
        <w:autoSpaceDE w:val="0"/>
        <w:autoSpaceDN w:val="0"/>
        <w:adjustRightInd w:val="0"/>
        <w:snapToGrid w:val="0"/>
        <w:spacing w:line="360" w:lineRule="auto"/>
        <w:jc w:val="left"/>
        <w:rPr>
          <w:rFonts w:ascii="宋体" w:hAnsi="宋体"/>
          <w:b/>
          <w:snapToGrid w:val="0"/>
          <w:kern w:val="0"/>
        </w:rPr>
      </w:pPr>
    </w:p>
    <w:p w14:paraId="20A04160">
      <w:pPr>
        <w:tabs>
          <w:tab w:val="left" w:pos="3529"/>
          <w:tab w:val="left" w:pos="5060"/>
        </w:tabs>
        <w:autoSpaceDE w:val="0"/>
        <w:autoSpaceDN w:val="0"/>
        <w:adjustRightInd w:val="0"/>
        <w:snapToGrid w:val="0"/>
        <w:spacing w:line="360" w:lineRule="auto"/>
        <w:ind w:firstLine="3324" w:firstLineChars="600"/>
        <w:jc w:val="left"/>
        <w:rPr>
          <w:rFonts w:ascii="宋体" w:hAnsi="宋体"/>
          <w:b/>
          <w:snapToGrid w:val="0"/>
          <w:kern w:val="0"/>
          <w:sz w:val="28"/>
          <w:szCs w:val="28"/>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w:t>
      </w:r>
      <w:r>
        <w:rPr>
          <w:rFonts w:ascii="宋体" w:hAnsi="宋体"/>
          <w:b/>
          <w:snapToGrid w:val="0"/>
          <w:w w:val="99"/>
          <w:kern w:val="0"/>
          <w:sz w:val="28"/>
          <w:szCs w:val="28"/>
        </w:rPr>
        <w:t>开标记录表</w:t>
      </w:r>
    </w:p>
    <w:p w14:paraId="3DF43021">
      <w:pPr>
        <w:tabs>
          <w:tab w:val="left" w:pos="2260"/>
          <w:tab w:val="left" w:pos="5060"/>
        </w:tabs>
        <w:autoSpaceDE w:val="0"/>
        <w:autoSpaceDN w:val="0"/>
        <w:adjustRightInd w:val="0"/>
        <w:snapToGrid w:val="0"/>
        <w:spacing w:line="360" w:lineRule="auto"/>
        <w:jc w:val="right"/>
        <w:rPr>
          <w:rFonts w:ascii="宋体" w:hAnsi="宋体"/>
          <w:snapToGrid w:val="0"/>
          <w:kern w:val="0"/>
          <w:szCs w:val="21"/>
        </w:rPr>
      </w:pPr>
      <w:r>
        <w:rPr>
          <w:rFonts w:ascii="宋体" w:hAnsi="宋体"/>
          <w:b/>
          <w:snapToGrid w:val="0"/>
          <w:kern w:val="0"/>
          <w:sz w:val="28"/>
          <w:szCs w:val="28"/>
        </w:rPr>
        <w:t xml:space="preserve">                             </w:t>
      </w:r>
      <w:r>
        <w:rPr>
          <w:rFonts w:ascii="宋体" w:hAnsi="宋体"/>
          <w:snapToGrid w:val="0"/>
          <w:kern w:val="0"/>
          <w:szCs w:val="21"/>
        </w:rPr>
        <w:t>开标时间：</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53"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0" w:type="dxa"/>
          <w:bottom w:w="0" w:type="dxa"/>
          <w:right w:w="0" w:type="dxa"/>
        </w:tblCellMar>
      </w:tblPr>
      <w:tblGrid>
        <w:gridCol w:w="433"/>
        <w:gridCol w:w="3260"/>
        <w:gridCol w:w="1134"/>
        <w:gridCol w:w="3008"/>
        <w:gridCol w:w="1755"/>
        <w:gridCol w:w="1834"/>
        <w:gridCol w:w="1450"/>
        <w:gridCol w:w="1679"/>
      </w:tblGrid>
      <w:tr w14:paraId="18CD0C9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851" w:hRule="exact"/>
          <w:jc w:val="center"/>
        </w:trPr>
        <w:tc>
          <w:tcPr>
            <w:tcW w:w="433" w:type="dxa"/>
            <w:vAlign w:val="center"/>
          </w:tcPr>
          <w:p w14:paraId="0EFE6B1C">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序号</w:t>
            </w:r>
          </w:p>
        </w:tc>
        <w:tc>
          <w:tcPr>
            <w:tcW w:w="3260" w:type="dxa"/>
            <w:vAlign w:val="center"/>
          </w:tcPr>
          <w:p w14:paraId="63A2ED30">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投标人</w:t>
            </w:r>
          </w:p>
        </w:tc>
        <w:tc>
          <w:tcPr>
            <w:tcW w:w="1134" w:type="dxa"/>
            <w:vAlign w:val="center"/>
          </w:tcPr>
          <w:p w14:paraId="673FC99D">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lang w:val="en-US" w:eastAsia="zh-CN"/>
              </w:rPr>
              <w:t>密封</w:t>
            </w:r>
            <w:r>
              <w:rPr>
                <w:rFonts w:hint="eastAsia" w:ascii="宋体" w:hAnsi="宋体"/>
                <w:snapToGrid w:val="0"/>
                <w:kern w:val="0"/>
                <w:szCs w:val="21"/>
              </w:rPr>
              <w:t>情况</w:t>
            </w:r>
          </w:p>
        </w:tc>
        <w:tc>
          <w:tcPr>
            <w:tcW w:w="3008" w:type="dxa"/>
            <w:tcBorders>
              <w:right w:val="single" w:color="auto" w:sz="4" w:space="0"/>
            </w:tcBorders>
            <w:vAlign w:val="center"/>
          </w:tcPr>
          <w:p w14:paraId="7C78807C">
            <w:pPr>
              <w:autoSpaceDE w:val="0"/>
              <w:autoSpaceDN w:val="0"/>
              <w:adjustRightInd w:val="0"/>
              <w:snapToGrid w:val="0"/>
              <w:jc w:val="center"/>
              <w:rPr>
                <w:rFonts w:hint="eastAsia" w:ascii="宋体" w:hAnsi="宋体" w:eastAsia="宋体"/>
                <w:snapToGrid w:val="0"/>
                <w:kern w:val="0"/>
                <w:szCs w:val="21"/>
                <w:lang w:eastAsia="zh-CN"/>
              </w:rPr>
            </w:pPr>
            <w:r>
              <w:rPr>
                <w:rFonts w:ascii="宋体" w:hAnsi="宋体"/>
                <w:snapToGrid w:val="0"/>
                <w:kern w:val="0"/>
                <w:szCs w:val="21"/>
              </w:rPr>
              <w:t>投标</w:t>
            </w:r>
            <w:r>
              <w:rPr>
                <w:rFonts w:hint="eastAsia" w:ascii="宋体" w:hAnsi="宋体"/>
                <w:snapToGrid w:val="0"/>
                <w:kern w:val="0"/>
                <w:szCs w:val="21"/>
                <w:lang w:val="en-US" w:eastAsia="zh-CN"/>
              </w:rPr>
              <w:t>总</w:t>
            </w:r>
            <w:r>
              <w:rPr>
                <w:rFonts w:ascii="宋体" w:hAnsi="宋体"/>
                <w:snapToGrid w:val="0"/>
                <w:kern w:val="0"/>
                <w:szCs w:val="21"/>
              </w:rPr>
              <w:t>报价</w:t>
            </w:r>
            <w:r>
              <w:rPr>
                <w:rFonts w:hint="eastAsia" w:ascii="宋体" w:hAnsi="宋体"/>
                <w:snapToGrid w:val="0"/>
                <w:kern w:val="0"/>
                <w:szCs w:val="21"/>
                <w:lang w:eastAsia="zh-CN"/>
              </w:rPr>
              <w:t>（</w:t>
            </w:r>
            <w:r>
              <w:rPr>
                <w:rFonts w:hint="eastAsia" w:ascii="宋体" w:hAnsi="宋体"/>
                <w:snapToGrid w:val="0"/>
                <w:kern w:val="0"/>
                <w:szCs w:val="21"/>
                <w:lang w:val="en-US" w:eastAsia="zh-CN"/>
              </w:rPr>
              <w:t>元</w:t>
            </w:r>
            <w:r>
              <w:rPr>
                <w:rFonts w:hint="eastAsia" w:ascii="宋体" w:hAnsi="宋体"/>
                <w:snapToGrid w:val="0"/>
                <w:kern w:val="0"/>
                <w:szCs w:val="21"/>
                <w:lang w:eastAsia="zh-CN"/>
              </w:rPr>
              <w:t>）</w:t>
            </w:r>
          </w:p>
        </w:tc>
        <w:tc>
          <w:tcPr>
            <w:tcW w:w="1755" w:type="dxa"/>
            <w:tcBorders>
              <w:left w:val="single" w:color="auto" w:sz="4" w:space="0"/>
            </w:tcBorders>
            <w:vAlign w:val="center"/>
          </w:tcPr>
          <w:p w14:paraId="0A3ACE63">
            <w:pPr>
              <w:autoSpaceDE w:val="0"/>
              <w:autoSpaceDN w:val="0"/>
              <w:adjustRightInd w:val="0"/>
              <w:snapToGrid w:val="0"/>
              <w:jc w:val="center"/>
              <w:rPr>
                <w:rFonts w:ascii="宋体" w:hAnsi="宋体"/>
                <w:snapToGrid w:val="0"/>
                <w:kern w:val="0"/>
                <w:szCs w:val="21"/>
              </w:rPr>
            </w:pPr>
            <w:r>
              <w:t>增值税</w:t>
            </w:r>
            <w:r>
              <w:rPr>
                <w:spacing w:val="-3"/>
              </w:rPr>
              <w:t>税</w:t>
            </w:r>
            <w:r>
              <w:t>率</w:t>
            </w:r>
          </w:p>
        </w:tc>
        <w:tc>
          <w:tcPr>
            <w:tcW w:w="1834" w:type="dxa"/>
            <w:vAlign w:val="center"/>
          </w:tcPr>
          <w:p w14:paraId="6FB76D7C">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交货期</w:t>
            </w:r>
          </w:p>
        </w:tc>
        <w:tc>
          <w:tcPr>
            <w:tcW w:w="1450" w:type="dxa"/>
            <w:vAlign w:val="center"/>
          </w:tcPr>
          <w:p w14:paraId="2AA2FB18">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备注</w:t>
            </w:r>
          </w:p>
        </w:tc>
        <w:tc>
          <w:tcPr>
            <w:tcW w:w="1679" w:type="dxa"/>
            <w:vAlign w:val="center"/>
          </w:tcPr>
          <w:p w14:paraId="1F53E219">
            <w:pPr>
              <w:autoSpaceDE w:val="0"/>
              <w:autoSpaceDN w:val="0"/>
              <w:adjustRightInd w:val="0"/>
              <w:snapToGrid w:val="0"/>
              <w:jc w:val="center"/>
              <w:rPr>
                <w:rFonts w:ascii="宋体" w:hAnsi="宋体"/>
                <w:snapToGrid w:val="0"/>
                <w:kern w:val="0"/>
                <w:szCs w:val="21"/>
              </w:rPr>
            </w:pPr>
            <w:r>
              <w:rPr>
                <w:rFonts w:hint="eastAsia" w:ascii="宋体" w:hAnsi="宋体"/>
                <w:snapToGrid w:val="0"/>
                <w:kern w:val="0"/>
                <w:szCs w:val="21"/>
              </w:rPr>
              <w:t>投标人代表签名</w:t>
            </w:r>
          </w:p>
        </w:tc>
      </w:tr>
      <w:tr w14:paraId="47D943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4367F0B8">
            <w:pPr>
              <w:autoSpaceDE w:val="0"/>
              <w:autoSpaceDN w:val="0"/>
              <w:adjustRightInd w:val="0"/>
              <w:snapToGrid w:val="0"/>
              <w:jc w:val="left"/>
              <w:rPr>
                <w:rFonts w:ascii="宋体" w:hAnsi="宋体"/>
                <w:snapToGrid w:val="0"/>
                <w:kern w:val="0"/>
                <w:sz w:val="28"/>
                <w:szCs w:val="28"/>
              </w:rPr>
            </w:pPr>
          </w:p>
        </w:tc>
        <w:tc>
          <w:tcPr>
            <w:tcW w:w="3260" w:type="dxa"/>
            <w:vAlign w:val="center"/>
          </w:tcPr>
          <w:p w14:paraId="25EFDD1E">
            <w:pPr>
              <w:autoSpaceDE w:val="0"/>
              <w:autoSpaceDN w:val="0"/>
              <w:adjustRightInd w:val="0"/>
              <w:snapToGrid w:val="0"/>
              <w:jc w:val="left"/>
              <w:rPr>
                <w:rFonts w:ascii="宋体" w:hAnsi="宋体"/>
                <w:snapToGrid w:val="0"/>
                <w:kern w:val="0"/>
                <w:sz w:val="28"/>
                <w:szCs w:val="28"/>
              </w:rPr>
            </w:pPr>
          </w:p>
        </w:tc>
        <w:tc>
          <w:tcPr>
            <w:tcW w:w="1134" w:type="dxa"/>
            <w:vAlign w:val="center"/>
          </w:tcPr>
          <w:p w14:paraId="26A097A4">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61D045CD">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66165886">
            <w:pPr>
              <w:autoSpaceDE w:val="0"/>
              <w:autoSpaceDN w:val="0"/>
              <w:adjustRightInd w:val="0"/>
              <w:snapToGrid w:val="0"/>
              <w:jc w:val="left"/>
              <w:rPr>
                <w:rFonts w:ascii="宋体" w:hAnsi="宋体"/>
                <w:snapToGrid w:val="0"/>
                <w:kern w:val="0"/>
                <w:sz w:val="28"/>
                <w:szCs w:val="28"/>
              </w:rPr>
            </w:pPr>
          </w:p>
        </w:tc>
        <w:tc>
          <w:tcPr>
            <w:tcW w:w="1834" w:type="dxa"/>
            <w:vAlign w:val="center"/>
          </w:tcPr>
          <w:p w14:paraId="49A1241B">
            <w:pPr>
              <w:autoSpaceDE w:val="0"/>
              <w:autoSpaceDN w:val="0"/>
              <w:adjustRightInd w:val="0"/>
              <w:snapToGrid w:val="0"/>
              <w:jc w:val="left"/>
              <w:rPr>
                <w:rFonts w:ascii="宋体" w:hAnsi="宋体"/>
                <w:snapToGrid w:val="0"/>
                <w:kern w:val="0"/>
                <w:sz w:val="28"/>
                <w:szCs w:val="28"/>
              </w:rPr>
            </w:pPr>
          </w:p>
        </w:tc>
        <w:tc>
          <w:tcPr>
            <w:tcW w:w="1450" w:type="dxa"/>
            <w:vAlign w:val="center"/>
          </w:tcPr>
          <w:p w14:paraId="321F02F9">
            <w:pPr>
              <w:autoSpaceDE w:val="0"/>
              <w:autoSpaceDN w:val="0"/>
              <w:adjustRightInd w:val="0"/>
              <w:snapToGrid w:val="0"/>
              <w:jc w:val="left"/>
              <w:rPr>
                <w:rFonts w:ascii="宋体" w:hAnsi="宋体"/>
                <w:snapToGrid w:val="0"/>
                <w:kern w:val="0"/>
                <w:sz w:val="28"/>
                <w:szCs w:val="28"/>
              </w:rPr>
            </w:pPr>
          </w:p>
        </w:tc>
        <w:tc>
          <w:tcPr>
            <w:tcW w:w="1679" w:type="dxa"/>
            <w:vAlign w:val="center"/>
          </w:tcPr>
          <w:p w14:paraId="6C77C9A1">
            <w:pPr>
              <w:autoSpaceDE w:val="0"/>
              <w:autoSpaceDN w:val="0"/>
              <w:adjustRightInd w:val="0"/>
              <w:snapToGrid w:val="0"/>
              <w:jc w:val="left"/>
              <w:rPr>
                <w:rFonts w:ascii="宋体" w:hAnsi="宋体"/>
                <w:snapToGrid w:val="0"/>
                <w:kern w:val="0"/>
                <w:sz w:val="28"/>
                <w:szCs w:val="28"/>
              </w:rPr>
            </w:pPr>
          </w:p>
        </w:tc>
      </w:tr>
      <w:tr w14:paraId="4439664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21D7F605">
            <w:pPr>
              <w:autoSpaceDE w:val="0"/>
              <w:autoSpaceDN w:val="0"/>
              <w:adjustRightInd w:val="0"/>
              <w:snapToGrid w:val="0"/>
              <w:jc w:val="left"/>
              <w:rPr>
                <w:rFonts w:ascii="宋体" w:hAnsi="宋体"/>
                <w:snapToGrid w:val="0"/>
                <w:kern w:val="0"/>
                <w:sz w:val="28"/>
                <w:szCs w:val="28"/>
              </w:rPr>
            </w:pPr>
          </w:p>
        </w:tc>
        <w:tc>
          <w:tcPr>
            <w:tcW w:w="3260" w:type="dxa"/>
            <w:vAlign w:val="center"/>
          </w:tcPr>
          <w:p w14:paraId="6ACEDEAB">
            <w:pPr>
              <w:autoSpaceDE w:val="0"/>
              <w:autoSpaceDN w:val="0"/>
              <w:adjustRightInd w:val="0"/>
              <w:snapToGrid w:val="0"/>
              <w:jc w:val="left"/>
              <w:rPr>
                <w:rFonts w:ascii="宋体" w:hAnsi="宋体"/>
                <w:snapToGrid w:val="0"/>
                <w:kern w:val="0"/>
                <w:sz w:val="28"/>
                <w:szCs w:val="28"/>
              </w:rPr>
            </w:pPr>
          </w:p>
        </w:tc>
        <w:tc>
          <w:tcPr>
            <w:tcW w:w="1134" w:type="dxa"/>
            <w:vAlign w:val="center"/>
          </w:tcPr>
          <w:p w14:paraId="4E81BBCB">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4D6B9EE4">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1929A4CD">
            <w:pPr>
              <w:autoSpaceDE w:val="0"/>
              <w:autoSpaceDN w:val="0"/>
              <w:adjustRightInd w:val="0"/>
              <w:snapToGrid w:val="0"/>
              <w:jc w:val="left"/>
              <w:rPr>
                <w:rFonts w:ascii="宋体" w:hAnsi="宋体"/>
                <w:snapToGrid w:val="0"/>
                <w:kern w:val="0"/>
                <w:sz w:val="28"/>
                <w:szCs w:val="28"/>
              </w:rPr>
            </w:pPr>
          </w:p>
        </w:tc>
        <w:tc>
          <w:tcPr>
            <w:tcW w:w="1834" w:type="dxa"/>
            <w:vAlign w:val="center"/>
          </w:tcPr>
          <w:p w14:paraId="3356A6FE">
            <w:pPr>
              <w:autoSpaceDE w:val="0"/>
              <w:autoSpaceDN w:val="0"/>
              <w:adjustRightInd w:val="0"/>
              <w:snapToGrid w:val="0"/>
              <w:jc w:val="left"/>
              <w:rPr>
                <w:rFonts w:ascii="宋体" w:hAnsi="宋体"/>
                <w:snapToGrid w:val="0"/>
                <w:kern w:val="0"/>
                <w:sz w:val="28"/>
                <w:szCs w:val="28"/>
              </w:rPr>
            </w:pPr>
          </w:p>
        </w:tc>
        <w:tc>
          <w:tcPr>
            <w:tcW w:w="1450" w:type="dxa"/>
            <w:vAlign w:val="center"/>
          </w:tcPr>
          <w:p w14:paraId="2E70CDFE">
            <w:pPr>
              <w:autoSpaceDE w:val="0"/>
              <w:autoSpaceDN w:val="0"/>
              <w:adjustRightInd w:val="0"/>
              <w:snapToGrid w:val="0"/>
              <w:jc w:val="left"/>
              <w:rPr>
                <w:rFonts w:ascii="宋体" w:hAnsi="宋体"/>
                <w:snapToGrid w:val="0"/>
                <w:kern w:val="0"/>
                <w:sz w:val="28"/>
                <w:szCs w:val="28"/>
              </w:rPr>
            </w:pPr>
          </w:p>
        </w:tc>
        <w:tc>
          <w:tcPr>
            <w:tcW w:w="1679" w:type="dxa"/>
            <w:vAlign w:val="center"/>
          </w:tcPr>
          <w:p w14:paraId="770D36F6">
            <w:pPr>
              <w:autoSpaceDE w:val="0"/>
              <w:autoSpaceDN w:val="0"/>
              <w:adjustRightInd w:val="0"/>
              <w:snapToGrid w:val="0"/>
              <w:jc w:val="left"/>
              <w:rPr>
                <w:rFonts w:ascii="宋体" w:hAnsi="宋体"/>
                <w:snapToGrid w:val="0"/>
                <w:kern w:val="0"/>
                <w:sz w:val="28"/>
                <w:szCs w:val="28"/>
              </w:rPr>
            </w:pPr>
          </w:p>
        </w:tc>
      </w:tr>
      <w:tr w14:paraId="348D3466">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494C53E">
            <w:pPr>
              <w:autoSpaceDE w:val="0"/>
              <w:autoSpaceDN w:val="0"/>
              <w:adjustRightInd w:val="0"/>
              <w:snapToGrid w:val="0"/>
              <w:jc w:val="left"/>
              <w:rPr>
                <w:rFonts w:ascii="宋体" w:hAnsi="宋体"/>
                <w:snapToGrid w:val="0"/>
                <w:kern w:val="0"/>
                <w:sz w:val="28"/>
                <w:szCs w:val="28"/>
              </w:rPr>
            </w:pPr>
          </w:p>
        </w:tc>
        <w:tc>
          <w:tcPr>
            <w:tcW w:w="3260" w:type="dxa"/>
            <w:vAlign w:val="center"/>
          </w:tcPr>
          <w:p w14:paraId="5DE47C89">
            <w:pPr>
              <w:autoSpaceDE w:val="0"/>
              <w:autoSpaceDN w:val="0"/>
              <w:adjustRightInd w:val="0"/>
              <w:snapToGrid w:val="0"/>
              <w:jc w:val="left"/>
              <w:rPr>
                <w:rFonts w:ascii="宋体" w:hAnsi="宋体"/>
                <w:snapToGrid w:val="0"/>
                <w:kern w:val="0"/>
                <w:sz w:val="28"/>
                <w:szCs w:val="28"/>
              </w:rPr>
            </w:pPr>
          </w:p>
        </w:tc>
        <w:tc>
          <w:tcPr>
            <w:tcW w:w="1134" w:type="dxa"/>
            <w:vAlign w:val="center"/>
          </w:tcPr>
          <w:p w14:paraId="6565C9CE">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0072CAF8">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4AB5860D">
            <w:pPr>
              <w:autoSpaceDE w:val="0"/>
              <w:autoSpaceDN w:val="0"/>
              <w:adjustRightInd w:val="0"/>
              <w:snapToGrid w:val="0"/>
              <w:jc w:val="left"/>
              <w:rPr>
                <w:rFonts w:ascii="宋体" w:hAnsi="宋体"/>
                <w:snapToGrid w:val="0"/>
                <w:kern w:val="0"/>
                <w:sz w:val="28"/>
                <w:szCs w:val="28"/>
              </w:rPr>
            </w:pPr>
          </w:p>
        </w:tc>
        <w:tc>
          <w:tcPr>
            <w:tcW w:w="1834" w:type="dxa"/>
            <w:vAlign w:val="center"/>
          </w:tcPr>
          <w:p w14:paraId="6D19B5B1">
            <w:pPr>
              <w:autoSpaceDE w:val="0"/>
              <w:autoSpaceDN w:val="0"/>
              <w:adjustRightInd w:val="0"/>
              <w:snapToGrid w:val="0"/>
              <w:jc w:val="left"/>
              <w:rPr>
                <w:rFonts w:ascii="宋体" w:hAnsi="宋体"/>
                <w:snapToGrid w:val="0"/>
                <w:kern w:val="0"/>
                <w:sz w:val="28"/>
                <w:szCs w:val="28"/>
              </w:rPr>
            </w:pPr>
          </w:p>
        </w:tc>
        <w:tc>
          <w:tcPr>
            <w:tcW w:w="1450" w:type="dxa"/>
            <w:vAlign w:val="center"/>
          </w:tcPr>
          <w:p w14:paraId="4F28D9EC">
            <w:pPr>
              <w:autoSpaceDE w:val="0"/>
              <w:autoSpaceDN w:val="0"/>
              <w:adjustRightInd w:val="0"/>
              <w:snapToGrid w:val="0"/>
              <w:jc w:val="left"/>
              <w:rPr>
                <w:rFonts w:ascii="宋体" w:hAnsi="宋体"/>
                <w:snapToGrid w:val="0"/>
                <w:kern w:val="0"/>
                <w:sz w:val="28"/>
                <w:szCs w:val="28"/>
              </w:rPr>
            </w:pPr>
          </w:p>
        </w:tc>
        <w:tc>
          <w:tcPr>
            <w:tcW w:w="1679" w:type="dxa"/>
            <w:vAlign w:val="center"/>
          </w:tcPr>
          <w:p w14:paraId="0F5F5020">
            <w:pPr>
              <w:autoSpaceDE w:val="0"/>
              <w:autoSpaceDN w:val="0"/>
              <w:adjustRightInd w:val="0"/>
              <w:snapToGrid w:val="0"/>
              <w:jc w:val="left"/>
              <w:rPr>
                <w:rFonts w:ascii="宋体" w:hAnsi="宋体"/>
                <w:snapToGrid w:val="0"/>
                <w:kern w:val="0"/>
                <w:sz w:val="28"/>
                <w:szCs w:val="28"/>
              </w:rPr>
            </w:pPr>
          </w:p>
        </w:tc>
      </w:tr>
      <w:tr w14:paraId="1621D1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0C0191BD">
            <w:pPr>
              <w:autoSpaceDE w:val="0"/>
              <w:autoSpaceDN w:val="0"/>
              <w:adjustRightInd w:val="0"/>
              <w:snapToGrid w:val="0"/>
              <w:jc w:val="left"/>
              <w:rPr>
                <w:rFonts w:ascii="宋体" w:hAnsi="宋体"/>
                <w:snapToGrid w:val="0"/>
                <w:kern w:val="0"/>
                <w:sz w:val="28"/>
                <w:szCs w:val="28"/>
              </w:rPr>
            </w:pPr>
          </w:p>
        </w:tc>
        <w:tc>
          <w:tcPr>
            <w:tcW w:w="3260" w:type="dxa"/>
            <w:vAlign w:val="center"/>
          </w:tcPr>
          <w:p w14:paraId="3FD65F37">
            <w:pPr>
              <w:autoSpaceDE w:val="0"/>
              <w:autoSpaceDN w:val="0"/>
              <w:adjustRightInd w:val="0"/>
              <w:snapToGrid w:val="0"/>
              <w:jc w:val="left"/>
              <w:rPr>
                <w:rFonts w:ascii="宋体" w:hAnsi="宋体"/>
                <w:snapToGrid w:val="0"/>
                <w:kern w:val="0"/>
                <w:sz w:val="28"/>
                <w:szCs w:val="28"/>
              </w:rPr>
            </w:pPr>
          </w:p>
        </w:tc>
        <w:tc>
          <w:tcPr>
            <w:tcW w:w="1134" w:type="dxa"/>
            <w:vAlign w:val="center"/>
          </w:tcPr>
          <w:p w14:paraId="6024A302">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25D6BE6E">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17DACBA7">
            <w:pPr>
              <w:autoSpaceDE w:val="0"/>
              <w:autoSpaceDN w:val="0"/>
              <w:adjustRightInd w:val="0"/>
              <w:snapToGrid w:val="0"/>
              <w:jc w:val="left"/>
              <w:rPr>
                <w:rFonts w:ascii="宋体" w:hAnsi="宋体"/>
                <w:snapToGrid w:val="0"/>
                <w:kern w:val="0"/>
                <w:sz w:val="28"/>
                <w:szCs w:val="28"/>
              </w:rPr>
            </w:pPr>
          </w:p>
        </w:tc>
        <w:tc>
          <w:tcPr>
            <w:tcW w:w="1834" w:type="dxa"/>
            <w:vAlign w:val="center"/>
          </w:tcPr>
          <w:p w14:paraId="1E209FF7">
            <w:pPr>
              <w:autoSpaceDE w:val="0"/>
              <w:autoSpaceDN w:val="0"/>
              <w:adjustRightInd w:val="0"/>
              <w:snapToGrid w:val="0"/>
              <w:jc w:val="left"/>
              <w:rPr>
                <w:rFonts w:ascii="宋体" w:hAnsi="宋体"/>
                <w:snapToGrid w:val="0"/>
                <w:kern w:val="0"/>
                <w:sz w:val="28"/>
                <w:szCs w:val="28"/>
              </w:rPr>
            </w:pPr>
          </w:p>
        </w:tc>
        <w:tc>
          <w:tcPr>
            <w:tcW w:w="1450" w:type="dxa"/>
            <w:vAlign w:val="center"/>
          </w:tcPr>
          <w:p w14:paraId="3AD5E3E1">
            <w:pPr>
              <w:autoSpaceDE w:val="0"/>
              <w:autoSpaceDN w:val="0"/>
              <w:adjustRightInd w:val="0"/>
              <w:snapToGrid w:val="0"/>
              <w:jc w:val="left"/>
              <w:rPr>
                <w:rFonts w:ascii="宋体" w:hAnsi="宋体"/>
                <w:snapToGrid w:val="0"/>
                <w:kern w:val="0"/>
                <w:sz w:val="28"/>
                <w:szCs w:val="28"/>
              </w:rPr>
            </w:pPr>
          </w:p>
        </w:tc>
        <w:tc>
          <w:tcPr>
            <w:tcW w:w="1679" w:type="dxa"/>
            <w:vAlign w:val="center"/>
          </w:tcPr>
          <w:p w14:paraId="50351693">
            <w:pPr>
              <w:autoSpaceDE w:val="0"/>
              <w:autoSpaceDN w:val="0"/>
              <w:adjustRightInd w:val="0"/>
              <w:snapToGrid w:val="0"/>
              <w:jc w:val="left"/>
              <w:rPr>
                <w:rFonts w:ascii="宋体" w:hAnsi="宋体"/>
                <w:snapToGrid w:val="0"/>
                <w:kern w:val="0"/>
                <w:sz w:val="28"/>
                <w:szCs w:val="28"/>
              </w:rPr>
            </w:pPr>
          </w:p>
        </w:tc>
      </w:tr>
      <w:tr w14:paraId="01F99A6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10" w:hRule="exact"/>
          <w:jc w:val="center"/>
        </w:trPr>
        <w:tc>
          <w:tcPr>
            <w:tcW w:w="433" w:type="dxa"/>
            <w:vAlign w:val="center"/>
          </w:tcPr>
          <w:p w14:paraId="605CC045">
            <w:pPr>
              <w:autoSpaceDE w:val="0"/>
              <w:autoSpaceDN w:val="0"/>
              <w:adjustRightInd w:val="0"/>
              <w:snapToGrid w:val="0"/>
              <w:jc w:val="left"/>
              <w:rPr>
                <w:rFonts w:ascii="宋体" w:hAnsi="宋体"/>
                <w:snapToGrid w:val="0"/>
                <w:kern w:val="0"/>
                <w:sz w:val="28"/>
                <w:szCs w:val="28"/>
              </w:rPr>
            </w:pPr>
          </w:p>
        </w:tc>
        <w:tc>
          <w:tcPr>
            <w:tcW w:w="3260" w:type="dxa"/>
            <w:vAlign w:val="center"/>
          </w:tcPr>
          <w:p w14:paraId="52A115A0">
            <w:pPr>
              <w:autoSpaceDE w:val="0"/>
              <w:autoSpaceDN w:val="0"/>
              <w:adjustRightInd w:val="0"/>
              <w:snapToGrid w:val="0"/>
              <w:jc w:val="left"/>
              <w:rPr>
                <w:rFonts w:ascii="宋体" w:hAnsi="宋体"/>
                <w:snapToGrid w:val="0"/>
                <w:kern w:val="0"/>
                <w:sz w:val="28"/>
                <w:szCs w:val="28"/>
              </w:rPr>
            </w:pPr>
          </w:p>
        </w:tc>
        <w:tc>
          <w:tcPr>
            <w:tcW w:w="1134" w:type="dxa"/>
            <w:vAlign w:val="center"/>
          </w:tcPr>
          <w:p w14:paraId="551B5A85">
            <w:pPr>
              <w:autoSpaceDE w:val="0"/>
              <w:autoSpaceDN w:val="0"/>
              <w:adjustRightInd w:val="0"/>
              <w:snapToGrid w:val="0"/>
              <w:jc w:val="left"/>
              <w:rPr>
                <w:rFonts w:ascii="宋体" w:hAnsi="宋体"/>
                <w:snapToGrid w:val="0"/>
                <w:kern w:val="0"/>
                <w:sz w:val="28"/>
                <w:szCs w:val="28"/>
              </w:rPr>
            </w:pPr>
          </w:p>
        </w:tc>
        <w:tc>
          <w:tcPr>
            <w:tcW w:w="3008" w:type="dxa"/>
            <w:tcBorders>
              <w:right w:val="single" w:color="auto" w:sz="4" w:space="0"/>
            </w:tcBorders>
            <w:vAlign w:val="center"/>
          </w:tcPr>
          <w:p w14:paraId="4208CC62">
            <w:pPr>
              <w:autoSpaceDE w:val="0"/>
              <w:autoSpaceDN w:val="0"/>
              <w:adjustRightInd w:val="0"/>
              <w:snapToGrid w:val="0"/>
              <w:jc w:val="left"/>
              <w:rPr>
                <w:rFonts w:ascii="宋体" w:hAnsi="宋体"/>
                <w:snapToGrid w:val="0"/>
                <w:kern w:val="0"/>
                <w:sz w:val="28"/>
                <w:szCs w:val="28"/>
              </w:rPr>
            </w:pPr>
          </w:p>
        </w:tc>
        <w:tc>
          <w:tcPr>
            <w:tcW w:w="1755" w:type="dxa"/>
            <w:tcBorders>
              <w:left w:val="single" w:color="auto" w:sz="4" w:space="0"/>
            </w:tcBorders>
            <w:vAlign w:val="center"/>
          </w:tcPr>
          <w:p w14:paraId="3DE811D8">
            <w:pPr>
              <w:autoSpaceDE w:val="0"/>
              <w:autoSpaceDN w:val="0"/>
              <w:adjustRightInd w:val="0"/>
              <w:snapToGrid w:val="0"/>
              <w:jc w:val="left"/>
              <w:rPr>
                <w:rFonts w:ascii="宋体" w:hAnsi="宋体"/>
                <w:snapToGrid w:val="0"/>
                <w:kern w:val="0"/>
                <w:sz w:val="28"/>
                <w:szCs w:val="28"/>
              </w:rPr>
            </w:pPr>
          </w:p>
        </w:tc>
        <w:tc>
          <w:tcPr>
            <w:tcW w:w="1834" w:type="dxa"/>
            <w:vAlign w:val="center"/>
          </w:tcPr>
          <w:p w14:paraId="528CBEE0">
            <w:pPr>
              <w:autoSpaceDE w:val="0"/>
              <w:autoSpaceDN w:val="0"/>
              <w:adjustRightInd w:val="0"/>
              <w:snapToGrid w:val="0"/>
              <w:jc w:val="left"/>
              <w:rPr>
                <w:rFonts w:ascii="宋体" w:hAnsi="宋体"/>
                <w:snapToGrid w:val="0"/>
                <w:kern w:val="0"/>
                <w:sz w:val="28"/>
                <w:szCs w:val="28"/>
              </w:rPr>
            </w:pPr>
          </w:p>
        </w:tc>
        <w:tc>
          <w:tcPr>
            <w:tcW w:w="1450" w:type="dxa"/>
            <w:vAlign w:val="center"/>
          </w:tcPr>
          <w:p w14:paraId="0384A21B">
            <w:pPr>
              <w:autoSpaceDE w:val="0"/>
              <w:autoSpaceDN w:val="0"/>
              <w:adjustRightInd w:val="0"/>
              <w:snapToGrid w:val="0"/>
              <w:jc w:val="left"/>
              <w:rPr>
                <w:rFonts w:ascii="宋体" w:hAnsi="宋体"/>
                <w:snapToGrid w:val="0"/>
                <w:kern w:val="0"/>
                <w:sz w:val="28"/>
                <w:szCs w:val="28"/>
              </w:rPr>
            </w:pPr>
          </w:p>
        </w:tc>
        <w:tc>
          <w:tcPr>
            <w:tcW w:w="1679" w:type="dxa"/>
            <w:vAlign w:val="center"/>
          </w:tcPr>
          <w:p w14:paraId="03ED47D8">
            <w:pPr>
              <w:autoSpaceDE w:val="0"/>
              <w:autoSpaceDN w:val="0"/>
              <w:adjustRightInd w:val="0"/>
              <w:snapToGrid w:val="0"/>
              <w:jc w:val="left"/>
              <w:rPr>
                <w:rFonts w:ascii="宋体" w:hAnsi="宋体"/>
                <w:snapToGrid w:val="0"/>
                <w:kern w:val="0"/>
                <w:sz w:val="28"/>
                <w:szCs w:val="28"/>
              </w:rPr>
            </w:pPr>
          </w:p>
        </w:tc>
      </w:tr>
      <w:tr w14:paraId="65A8C31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51" w:hRule="exact"/>
          <w:jc w:val="center"/>
        </w:trPr>
        <w:tc>
          <w:tcPr>
            <w:tcW w:w="3693" w:type="dxa"/>
            <w:gridSpan w:val="2"/>
            <w:tcBorders>
              <w:bottom w:val="single" w:color="auto" w:sz="4" w:space="0"/>
            </w:tcBorders>
            <w:vAlign w:val="center"/>
          </w:tcPr>
          <w:p w14:paraId="3D03CA53">
            <w:pPr>
              <w:autoSpaceDE w:val="0"/>
              <w:autoSpaceDN w:val="0"/>
              <w:adjustRightInd w:val="0"/>
              <w:snapToGrid w:val="0"/>
              <w:jc w:val="center"/>
              <w:rPr>
                <w:rFonts w:ascii="宋体" w:hAnsi="宋体"/>
                <w:snapToGrid w:val="0"/>
                <w:kern w:val="0"/>
                <w:szCs w:val="21"/>
              </w:rPr>
            </w:pPr>
            <w:r>
              <w:rPr>
                <w:rFonts w:ascii="宋体" w:hAnsi="宋体"/>
                <w:snapToGrid w:val="0"/>
                <w:kern w:val="0"/>
                <w:szCs w:val="21"/>
              </w:rPr>
              <w:t>最高限价</w:t>
            </w:r>
          </w:p>
        </w:tc>
        <w:tc>
          <w:tcPr>
            <w:tcW w:w="10860" w:type="dxa"/>
            <w:gridSpan w:val="6"/>
            <w:tcBorders>
              <w:bottom w:val="single" w:color="auto" w:sz="4" w:space="0"/>
            </w:tcBorders>
            <w:vAlign w:val="center"/>
          </w:tcPr>
          <w:p w14:paraId="7C73F67E">
            <w:pPr>
              <w:autoSpaceDE w:val="0"/>
              <w:autoSpaceDN w:val="0"/>
              <w:adjustRightInd w:val="0"/>
              <w:snapToGrid w:val="0"/>
              <w:jc w:val="left"/>
              <w:rPr>
                <w:rFonts w:ascii="宋体" w:hAnsi="宋体"/>
                <w:snapToGrid w:val="0"/>
                <w:kern w:val="0"/>
                <w:szCs w:val="21"/>
              </w:rPr>
            </w:pPr>
          </w:p>
        </w:tc>
      </w:tr>
      <w:tr w14:paraId="498C3C2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0" w:type="dxa"/>
            <w:bottom w:w="0" w:type="dxa"/>
            <w:right w:w="0" w:type="dxa"/>
          </w:tblCellMar>
        </w:tblPrEx>
        <w:trPr>
          <w:trHeight w:val="526" w:hRule="exact"/>
          <w:jc w:val="center"/>
        </w:trPr>
        <w:tc>
          <w:tcPr>
            <w:tcW w:w="3693" w:type="dxa"/>
            <w:gridSpan w:val="2"/>
            <w:tcBorders>
              <w:top w:val="single" w:color="auto" w:sz="4" w:space="0"/>
            </w:tcBorders>
            <w:vAlign w:val="center"/>
          </w:tcPr>
          <w:p w14:paraId="451FB80E">
            <w:pPr>
              <w:autoSpaceDE w:val="0"/>
              <w:autoSpaceDN w:val="0"/>
              <w:adjustRightInd w:val="0"/>
              <w:snapToGrid w:val="0"/>
              <w:jc w:val="center"/>
              <w:rPr>
                <w:szCs w:val="21"/>
              </w:rPr>
            </w:pPr>
            <w:r>
              <w:rPr>
                <w:rFonts w:hint="eastAsia"/>
                <w:szCs w:val="21"/>
              </w:rPr>
              <w:t>异常情况</w:t>
            </w:r>
          </w:p>
        </w:tc>
        <w:tc>
          <w:tcPr>
            <w:tcW w:w="10860" w:type="dxa"/>
            <w:gridSpan w:val="6"/>
            <w:tcBorders>
              <w:top w:val="single" w:color="auto" w:sz="4" w:space="0"/>
            </w:tcBorders>
            <w:vAlign w:val="center"/>
          </w:tcPr>
          <w:p w14:paraId="2E86AA1E">
            <w:pPr>
              <w:autoSpaceDE w:val="0"/>
              <w:autoSpaceDN w:val="0"/>
              <w:adjustRightInd w:val="0"/>
              <w:snapToGrid w:val="0"/>
              <w:jc w:val="left"/>
              <w:rPr>
                <w:rFonts w:ascii="宋体" w:hAnsi="宋体"/>
                <w:i/>
                <w:kern w:val="0"/>
                <w:szCs w:val="21"/>
              </w:rPr>
            </w:pPr>
          </w:p>
        </w:tc>
      </w:tr>
    </w:tbl>
    <w:p w14:paraId="5E0F2F62">
      <w:pPr>
        <w:tabs>
          <w:tab w:val="left" w:pos="2740"/>
          <w:tab w:val="left" w:pos="4940"/>
          <w:tab w:val="left" w:pos="7140"/>
        </w:tabs>
        <w:autoSpaceDE w:val="0"/>
        <w:autoSpaceDN w:val="0"/>
        <w:adjustRightInd w:val="0"/>
        <w:snapToGrid w:val="0"/>
        <w:spacing w:line="360" w:lineRule="auto"/>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w:t>
      </w:r>
      <w:r>
        <w:rPr>
          <w:rFonts w:hint="eastAsia" w:ascii="宋体" w:hAnsi="宋体" w:cs="宋体"/>
          <w:snapToGrid w:val="0"/>
          <w:w w:val="100"/>
          <w:kern w:val="0"/>
          <w:szCs w:val="21"/>
          <w:lang w:eastAsia="zh-CN"/>
        </w:rPr>
        <w:t>招标代理机构、</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主持人</w:t>
      </w:r>
      <w:r>
        <w:rPr>
          <w:rFonts w:hint="eastAsia" w:ascii="宋体" w:hAnsi="宋体" w:cs="宋体"/>
          <w:snapToGrid w:val="0"/>
          <w:kern w:val="0"/>
          <w:szCs w:val="21"/>
          <w:lang w:eastAsia="zh-CN"/>
        </w:rPr>
        <w:t>、</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0A5F4D44">
      <w:pPr>
        <w:tabs>
          <w:tab w:val="left" w:pos="2740"/>
          <w:tab w:val="left" w:pos="4940"/>
          <w:tab w:val="left" w:pos="6930"/>
        </w:tabs>
        <w:autoSpaceDE w:val="0"/>
        <w:autoSpaceDN w:val="0"/>
        <w:adjustRightInd w:val="0"/>
        <w:snapToGrid w:val="0"/>
        <w:spacing w:line="360" w:lineRule="auto"/>
        <w:ind w:firstLine="0" w:firstLineChars="0"/>
        <w:jc w:val="left"/>
        <w:rPr>
          <w:rFonts w:hint="eastAsia"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hint="eastAsia" w:ascii="宋体" w:hAnsi="宋体"/>
          <w:snapToGrid w:val="0"/>
          <w:kern w:val="0"/>
          <w:szCs w:val="21"/>
          <w:lang w:val="en-US" w:eastAsia="zh-CN"/>
        </w:rPr>
        <w:t>招标代理机构</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656F932D">
      <w:pPr>
        <w:tabs>
          <w:tab w:val="left" w:pos="2740"/>
          <w:tab w:val="left" w:pos="4940"/>
          <w:tab w:val="left" w:pos="6930"/>
        </w:tabs>
        <w:autoSpaceDE w:val="0"/>
        <w:autoSpaceDN w:val="0"/>
        <w:adjustRightInd w:val="0"/>
        <w:snapToGrid w:val="0"/>
        <w:spacing w:line="360" w:lineRule="auto"/>
        <w:ind w:firstLine="0" w:firstLineChars="0"/>
        <w:jc w:val="left"/>
        <w:rPr>
          <w:rFonts w:ascii="宋体" w:hAnsi="宋体"/>
          <w:snapToGrid w:val="0"/>
          <w:kern w:val="0"/>
          <w:szCs w:val="21"/>
        </w:rPr>
      </w:pPr>
      <w:r>
        <w:rPr>
          <w:rFonts w:hint="eastAsia" w:ascii="宋体" w:hAnsi="宋体"/>
          <w:snapToGrid w:val="0"/>
          <w:kern w:val="0"/>
          <w:szCs w:val="21"/>
        </w:rPr>
        <w:t>主持</w:t>
      </w:r>
      <w:r>
        <w:rPr>
          <w:rFonts w:ascii="宋体" w:hAnsi="宋体"/>
          <w:snapToGrid w:val="0"/>
          <w:kern w:val="0"/>
          <w:szCs w:val="21"/>
        </w:rPr>
        <w:t>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u w:val="single"/>
          <w:lang w:val="en-US" w:eastAsia="zh-CN"/>
        </w:rPr>
        <w:t xml:space="preserve">        </w:t>
      </w:r>
      <w:r>
        <w:rPr>
          <w:rFonts w:hint="eastAsia" w:ascii="宋体" w:hAnsi="宋体" w:cs="MingLiU"/>
          <w:snapToGrid w:val="0"/>
          <w:w w:val="200"/>
          <w:kern w:val="0"/>
          <w:szCs w:val="21"/>
          <w:u w:val="single"/>
        </w:rPr>
        <w:t xml:space="preserve">  </w:t>
      </w:r>
    </w:p>
    <w:p w14:paraId="348332FC">
      <w:pPr>
        <w:autoSpaceDE w:val="0"/>
        <w:autoSpaceDN w:val="0"/>
        <w:adjustRightInd w:val="0"/>
        <w:snapToGrid w:val="0"/>
        <w:spacing w:before="48" w:beforeLines="20" w:line="360" w:lineRule="auto"/>
        <w:jc w:val="right"/>
        <w:rPr>
          <w:rFonts w:ascii="宋体" w:hAnsi="宋体"/>
          <w:snapToGrid w:val="0"/>
          <w:kern w:val="0"/>
          <w:sz w:val="24"/>
        </w:rPr>
      </w:pPr>
      <w:r>
        <w:rPr>
          <w:rFonts w:ascii="宋体" w:hAnsi="宋体"/>
          <w:snapToGrid w:val="0"/>
          <w:kern w:val="0"/>
          <w:sz w:val="24"/>
        </w:rPr>
        <w:t xml:space="preserve">                                       </w:t>
      </w: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1B91D2A0">
      <w:pPr>
        <w:autoSpaceDE w:val="0"/>
        <w:autoSpaceDN w:val="0"/>
        <w:adjustRightInd w:val="0"/>
        <w:snapToGrid w:val="0"/>
        <w:spacing w:before="48" w:beforeLines="20" w:line="360" w:lineRule="auto"/>
        <w:rPr>
          <w:rFonts w:ascii="宋体" w:hAnsi="宋体"/>
          <w:snapToGrid w:val="0"/>
          <w:kern w:val="0"/>
          <w:sz w:val="24"/>
        </w:rPr>
      </w:pPr>
      <w:r>
        <w:rPr>
          <w:rFonts w:ascii="宋体" w:hAnsi="宋体"/>
          <w:snapToGrid w:val="0"/>
          <w:kern w:val="0"/>
          <w:sz w:val="24"/>
        </w:rPr>
        <w:br w:type="page"/>
      </w:r>
      <w:r>
        <w:rPr>
          <w:rFonts w:ascii="宋体" w:hAnsi="宋体"/>
          <w:b/>
          <w:snapToGrid w:val="0"/>
          <w:kern w:val="0"/>
        </w:rPr>
        <w:t>附表</w:t>
      </w:r>
      <w:r>
        <w:rPr>
          <w:rFonts w:hint="eastAsia" w:ascii="宋体" w:hAnsi="宋体"/>
          <w:b/>
          <w:snapToGrid w:val="0"/>
          <w:kern w:val="0"/>
        </w:rPr>
        <w:t>二</w:t>
      </w:r>
      <w:r>
        <w:rPr>
          <w:rFonts w:ascii="宋体" w:hAnsi="宋体"/>
          <w:b/>
          <w:snapToGrid w:val="0"/>
          <w:kern w:val="0"/>
        </w:rPr>
        <w:t>：纸质投标保函递交情况一览表（如有）</w:t>
      </w:r>
    </w:p>
    <w:p w14:paraId="1EB3C5FB">
      <w:pPr>
        <w:autoSpaceDE w:val="0"/>
        <w:autoSpaceDN w:val="0"/>
        <w:adjustRightInd w:val="0"/>
        <w:snapToGrid w:val="0"/>
        <w:spacing w:before="48" w:beforeLines="20" w:line="360" w:lineRule="auto"/>
        <w:jc w:val="center"/>
        <w:rPr>
          <w:rFonts w:ascii="宋体" w:hAnsi="宋体"/>
          <w:szCs w:val="21"/>
        </w:rPr>
      </w:pPr>
      <w:r>
        <w:rPr>
          <w:rFonts w:hint="eastAsia" w:ascii="宋体" w:hAnsi="宋体" w:cs="MingLiU"/>
          <w:snapToGrid w:val="0"/>
          <w:w w:val="198"/>
          <w:kern w:val="0"/>
          <w:sz w:val="28"/>
          <w:szCs w:val="28"/>
          <w:u w:val="single"/>
        </w:rPr>
        <w:t xml:space="preserve">              </w:t>
      </w:r>
      <w:r>
        <w:rPr>
          <w:rFonts w:hint="eastAsia" w:ascii="宋体" w:hAnsi="宋体"/>
          <w:snapToGrid w:val="0"/>
          <w:kern w:val="0"/>
          <w:sz w:val="28"/>
          <w:szCs w:val="28"/>
          <w:u w:val="single"/>
        </w:rPr>
        <w:t xml:space="preserve"> </w:t>
      </w:r>
      <w:r>
        <w:rPr>
          <w:rFonts w:ascii="宋体" w:hAnsi="宋体"/>
          <w:b/>
          <w:snapToGrid w:val="0"/>
          <w:w w:val="99"/>
          <w:kern w:val="0"/>
          <w:sz w:val="28"/>
          <w:szCs w:val="28"/>
          <w:u w:val="single"/>
        </w:rPr>
        <w:t>（项目名称）纸质投标保函</w:t>
      </w:r>
      <w:r>
        <w:rPr>
          <w:rFonts w:hint="eastAsia" w:ascii="宋体" w:hAnsi="宋体"/>
          <w:b/>
          <w:snapToGrid w:val="0"/>
          <w:w w:val="99"/>
          <w:kern w:val="0"/>
          <w:sz w:val="28"/>
          <w:szCs w:val="28"/>
          <w:u w:val="single"/>
        </w:rPr>
        <w:t>递交</w:t>
      </w:r>
      <w:r>
        <w:rPr>
          <w:rFonts w:ascii="宋体" w:hAnsi="宋体"/>
          <w:b/>
          <w:snapToGrid w:val="0"/>
          <w:w w:val="99"/>
          <w:kern w:val="0"/>
          <w:sz w:val="28"/>
          <w:szCs w:val="28"/>
          <w:u w:val="single"/>
        </w:rPr>
        <w:t>情况一览表</w:t>
      </w:r>
    </w:p>
    <w:p w14:paraId="58FE7658">
      <w:pPr>
        <w:autoSpaceDE w:val="0"/>
        <w:autoSpaceDN w:val="0"/>
        <w:adjustRightInd w:val="0"/>
        <w:snapToGrid w:val="0"/>
        <w:spacing w:before="48" w:beforeLines="20" w:line="360" w:lineRule="auto"/>
        <w:ind w:firstLine="8610" w:firstLineChars="4100"/>
        <w:rPr>
          <w:rFonts w:ascii="宋体" w:hAnsi="宋体"/>
          <w:szCs w:val="21"/>
        </w:rPr>
      </w:pPr>
      <w:r>
        <w:rPr>
          <w:rFonts w:hint="eastAsia" w:ascii="宋体" w:hAnsi="宋体"/>
          <w:snapToGrid w:val="0"/>
          <w:kern w:val="0"/>
          <w:szCs w:val="21"/>
        </w:rPr>
        <w:t>投标截止时间</w:t>
      </w:r>
      <w:r>
        <w:rPr>
          <w:rFonts w:ascii="宋体" w:hAnsi="宋体"/>
          <w:snapToGrid w:val="0"/>
          <w:kern w:val="0"/>
          <w:szCs w:val="21"/>
        </w:rPr>
        <w:t>：</w:t>
      </w:r>
      <w:r>
        <w:rPr>
          <w:rFonts w:hint="eastAsia" w:ascii="宋体" w:hAnsi="宋体" w:cs="MingLiU"/>
          <w:snapToGrid w:val="0"/>
          <w:w w:val="200"/>
          <w:kern w:val="0"/>
          <w:szCs w:val="21"/>
          <w:u w:val="single"/>
        </w:rPr>
        <w:t xml:space="preserve">     </w:t>
      </w:r>
      <w:r>
        <w:rPr>
          <w:rFonts w:hint="eastAsia" w:ascii="宋体" w:hAnsi="宋体" w:cs="MingLiU"/>
          <w:snapToGrid w:val="0"/>
          <w:kern w:val="0"/>
          <w:szCs w:val="21"/>
        </w:rPr>
        <w:t>年</w:t>
      </w:r>
      <w:r>
        <w:rPr>
          <w:rFonts w:hint="eastAsia" w:ascii="宋体" w:hAnsi="宋体"/>
          <w:snapToGrid w:val="0"/>
          <w:kern w:val="0"/>
          <w:szCs w:val="21"/>
          <w:u w:val="single"/>
        </w:rPr>
        <w:t xml:space="preserve">     </w:t>
      </w:r>
      <w:r>
        <w:rPr>
          <w:rFonts w:hint="eastAsia" w:ascii="宋体" w:hAnsi="宋体" w:cs="MingLiU"/>
          <w:snapToGrid w:val="0"/>
          <w:kern w:val="0"/>
          <w:szCs w:val="21"/>
        </w:rPr>
        <w:t>月</w:t>
      </w:r>
      <w:r>
        <w:rPr>
          <w:rFonts w:hint="eastAsia" w:ascii="宋体" w:hAnsi="宋体"/>
          <w:snapToGrid w:val="0"/>
          <w:kern w:val="0"/>
          <w:szCs w:val="21"/>
          <w:u w:val="single"/>
        </w:rPr>
        <w:t xml:space="preserve">     </w:t>
      </w:r>
      <w:r>
        <w:rPr>
          <w:rFonts w:hint="eastAsia" w:ascii="宋体" w:hAnsi="宋体" w:cs="MingLiU"/>
          <w:snapToGrid w:val="0"/>
          <w:kern w:val="0"/>
          <w:szCs w:val="21"/>
        </w:rPr>
        <w:t>日</w:t>
      </w:r>
      <w:r>
        <w:rPr>
          <w:rFonts w:hint="eastAsia" w:ascii="宋体" w:hAnsi="宋体"/>
          <w:snapToGrid w:val="0"/>
          <w:kern w:val="0"/>
          <w:szCs w:val="21"/>
          <w:u w:val="single"/>
        </w:rPr>
        <w:t xml:space="preserve">     </w:t>
      </w:r>
      <w:r>
        <w:rPr>
          <w:rFonts w:hint="eastAsia" w:ascii="宋体" w:hAnsi="宋体" w:cs="MingLiU"/>
          <w:snapToGrid w:val="0"/>
          <w:kern w:val="0"/>
          <w:szCs w:val="21"/>
        </w:rPr>
        <w:t>时</w:t>
      </w:r>
      <w:r>
        <w:rPr>
          <w:rFonts w:hint="eastAsia" w:ascii="宋体" w:hAnsi="宋体"/>
          <w:snapToGrid w:val="0"/>
          <w:kern w:val="0"/>
          <w:szCs w:val="21"/>
          <w:u w:val="single"/>
        </w:rPr>
        <w:t xml:space="preserve">     </w:t>
      </w:r>
      <w:r>
        <w:rPr>
          <w:rFonts w:hint="eastAsia" w:ascii="宋体" w:hAnsi="宋体" w:cs="MingLiU"/>
          <w:snapToGrid w:val="0"/>
          <w:kern w:val="0"/>
          <w:szCs w:val="21"/>
        </w:rPr>
        <w:t>分</w:t>
      </w:r>
    </w:p>
    <w:tbl>
      <w:tblPr>
        <w:tblStyle w:val="46"/>
        <w:tblW w:w="1451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2"/>
        <w:gridCol w:w="3476"/>
        <w:gridCol w:w="2581"/>
        <w:gridCol w:w="2581"/>
        <w:gridCol w:w="2496"/>
        <w:gridCol w:w="2653"/>
      </w:tblGrid>
      <w:tr w14:paraId="029F0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vAlign w:val="center"/>
          </w:tcPr>
          <w:p w14:paraId="2DCD1695">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序号</w:t>
            </w:r>
          </w:p>
        </w:tc>
        <w:tc>
          <w:tcPr>
            <w:tcW w:w="3476" w:type="dxa"/>
            <w:vAlign w:val="center"/>
          </w:tcPr>
          <w:p w14:paraId="65138C7A">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投标人</w:t>
            </w:r>
          </w:p>
        </w:tc>
        <w:tc>
          <w:tcPr>
            <w:tcW w:w="2581" w:type="dxa"/>
            <w:vAlign w:val="center"/>
          </w:tcPr>
          <w:p w14:paraId="632AE0AC">
            <w:pPr>
              <w:autoSpaceDE w:val="0"/>
              <w:autoSpaceDN w:val="0"/>
              <w:adjustRightInd w:val="0"/>
              <w:snapToGrid w:val="0"/>
              <w:spacing w:before="48" w:beforeLines="20" w:line="240" w:lineRule="auto"/>
              <w:jc w:val="center"/>
              <w:rPr>
                <w:rFonts w:hint="default" w:ascii="宋体" w:hAnsi="宋体" w:eastAsia="宋体"/>
                <w:szCs w:val="21"/>
                <w:lang w:val="en-US" w:eastAsia="zh-CN"/>
              </w:rPr>
            </w:pPr>
            <w:r>
              <w:rPr>
                <w:rFonts w:hint="eastAsia" w:ascii="宋体" w:hAnsi="宋体"/>
                <w:szCs w:val="21"/>
                <w:lang w:val="en-US" w:eastAsia="zh-CN"/>
              </w:rPr>
              <w:t>保函开具机构</w:t>
            </w:r>
          </w:p>
        </w:tc>
        <w:tc>
          <w:tcPr>
            <w:tcW w:w="2581" w:type="dxa"/>
            <w:vAlign w:val="center"/>
          </w:tcPr>
          <w:p w14:paraId="57C0DFB4">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金额（元）</w:t>
            </w:r>
          </w:p>
        </w:tc>
        <w:tc>
          <w:tcPr>
            <w:tcW w:w="2496" w:type="dxa"/>
            <w:vAlign w:val="center"/>
          </w:tcPr>
          <w:p w14:paraId="6ABCD25D">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递交时间</w:t>
            </w:r>
          </w:p>
        </w:tc>
        <w:tc>
          <w:tcPr>
            <w:tcW w:w="2653" w:type="dxa"/>
            <w:vAlign w:val="center"/>
          </w:tcPr>
          <w:p w14:paraId="065CC8B0">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rPr>
              <w:t>备注</w:t>
            </w:r>
          </w:p>
        </w:tc>
      </w:tr>
      <w:tr w14:paraId="46D384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B0EDD13">
            <w:pPr>
              <w:autoSpaceDE w:val="0"/>
              <w:autoSpaceDN w:val="0"/>
              <w:adjustRightInd w:val="0"/>
              <w:snapToGrid w:val="0"/>
              <w:spacing w:before="48" w:beforeLines="20" w:line="360" w:lineRule="auto"/>
              <w:rPr>
                <w:rFonts w:ascii="宋体" w:hAnsi="宋体"/>
                <w:szCs w:val="21"/>
              </w:rPr>
            </w:pPr>
          </w:p>
        </w:tc>
        <w:tc>
          <w:tcPr>
            <w:tcW w:w="3476" w:type="dxa"/>
          </w:tcPr>
          <w:p w14:paraId="37149EC2">
            <w:pPr>
              <w:autoSpaceDE w:val="0"/>
              <w:autoSpaceDN w:val="0"/>
              <w:adjustRightInd w:val="0"/>
              <w:snapToGrid w:val="0"/>
              <w:spacing w:before="48" w:beforeLines="20" w:line="360" w:lineRule="auto"/>
              <w:rPr>
                <w:rFonts w:ascii="宋体" w:hAnsi="宋体"/>
                <w:szCs w:val="21"/>
              </w:rPr>
            </w:pPr>
          </w:p>
        </w:tc>
        <w:tc>
          <w:tcPr>
            <w:tcW w:w="2581" w:type="dxa"/>
          </w:tcPr>
          <w:p w14:paraId="4534F8D9">
            <w:pPr>
              <w:autoSpaceDE w:val="0"/>
              <w:autoSpaceDN w:val="0"/>
              <w:adjustRightInd w:val="0"/>
              <w:snapToGrid w:val="0"/>
              <w:spacing w:before="48" w:beforeLines="20" w:line="360" w:lineRule="auto"/>
              <w:rPr>
                <w:rFonts w:ascii="宋体" w:hAnsi="宋体"/>
                <w:szCs w:val="21"/>
              </w:rPr>
            </w:pPr>
          </w:p>
        </w:tc>
        <w:tc>
          <w:tcPr>
            <w:tcW w:w="2581" w:type="dxa"/>
          </w:tcPr>
          <w:p w14:paraId="1E31C55E">
            <w:pPr>
              <w:autoSpaceDE w:val="0"/>
              <w:autoSpaceDN w:val="0"/>
              <w:adjustRightInd w:val="0"/>
              <w:snapToGrid w:val="0"/>
              <w:spacing w:before="48" w:beforeLines="20" w:line="360" w:lineRule="auto"/>
              <w:rPr>
                <w:rFonts w:ascii="宋体" w:hAnsi="宋体"/>
                <w:szCs w:val="21"/>
              </w:rPr>
            </w:pPr>
          </w:p>
        </w:tc>
        <w:tc>
          <w:tcPr>
            <w:tcW w:w="2496" w:type="dxa"/>
            <w:vAlign w:val="center"/>
          </w:tcPr>
          <w:p w14:paraId="1A03D22D">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lang w:val="en-US" w:eastAsia="zh-CN"/>
              </w:rPr>
              <w:t>投标截止时间前</w:t>
            </w:r>
          </w:p>
        </w:tc>
        <w:tc>
          <w:tcPr>
            <w:tcW w:w="2653" w:type="dxa"/>
          </w:tcPr>
          <w:p w14:paraId="46CFA46A">
            <w:pPr>
              <w:autoSpaceDE w:val="0"/>
              <w:autoSpaceDN w:val="0"/>
              <w:adjustRightInd w:val="0"/>
              <w:snapToGrid w:val="0"/>
              <w:spacing w:before="48" w:beforeLines="20" w:line="360" w:lineRule="auto"/>
              <w:rPr>
                <w:rFonts w:ascii="宋体" w:hAnsi="宋体"/>
                <w:szCs w:val="21"/>
              </w:rPr>
            </w:pPr>
          </w:p>
        </w:tc>
      </w:tr>
      <w:tr w14:paraId="59B9E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985A39D">
            <w:pPr>
              <w:autoSpaceDE w:val="0"/>
              <w:autoSpaceDN w:val="0"/>
              <w:adjustRightInd w:val="0"/>
              <w:snapToGrid w:val="0"/>
              <w:spacing w:before="48" w:beforeLines="20" w:line="360" w:lineRule="auto"/>
              <w:rPr>
                <w:rFonts w:ascii="宋体" w:hAnsi="宋体"/>
                <w:szCs w:val="21"/>
              </w:rPr>
            </w:pPr>
          </w:p>
        </w:tc>
        <w:tc>
          <w:tcPr>
            <w:tcW w:w="3476" w:type="dxa"/>
          </w:tcPr>
          <w:p w14:paraId="1E3D9354">
            <w:pPr>
              <w:autoSpaceDE w:val="0"/>
              <w:autoSpaceDN w:val="0"/>
              <w:adjustRightInd w:val="0"/>
              <w:snapToGrid w:val="0"/>
              <w:spacing w:before="48" w:beforeLines="20" w:line="360" w:lineRule="auto"/>
              <w:rPr>
                <w:rFonts w:ascii="宋体" w:hAnsi="宋体"/>
                <w:szCs w:val="21"/>
              </w:rPr>
            </w:pPr>
          </w:p>
        </w:tc>
        <w:tc>
          <w:tcPr>
            <w:tcW w:w="2581" w:type="dxa"/>
          </w:tcPr>
          <w:p w14:paraId="783E36C1">
            <w:pPr>
              <w:autoSpaceDE w:val="0"/>
              <w:autoSpaceDN w:val="0"/>
              <w:adjustRightInd w:val="0"/>
              <w:snapToGrid w:val="0"/>
              <w:spacing w:before="48" w:beforeLines="20" w:line="360" w:lineRule="auto"/>
              <w:rPr>
                <w:rFonts w:ascii="宋体" w:hAnsi="宋体"/>
                <w:szCs w:val="21"/>
              </w:rPr>
            </w:pPr>
          </w:p>
        </w:tc>
        <w:tc>
          <w:tcPr>
            <w:tcW w:w="2581" w:type="dxa"/>
          </w:tcPr>
          <w:p w14:paraId="21F9695D">
            <w:pPr>
              <w:autoSpaceDE w:val="0"/>
              <w:autoSpaceDN w:val="0"/>
              <w:adjustRightInd w:val="0"/>
              <w:snapToGrid w:val="0"/>
              <w:spacing w:before="48" w:beforeLines="20" w:line="360" w:lineRule="auto"/>
              <w:rPr>
                <w:rFonts w:ascii="宋体" w:hAnsi="宋体"/>
                <w:szCs w:val="21"/>
              </w:rPr>
            </w:pPr>
          </w:p>
        </w:tc>
        <w:tc>
          <w:tcPr>
            <w:tcW w:w="2496" w:type="dxa"/>
            <w:vAlign w:val="center"/>
          </w:tcPr>
          <w:p w14:paraId="29F1FE17">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03E32F71">
            <w:pPr>
              <w:autoSpaceDE w:val="0"/>
              <w:autoSpaceDN w:val="0"/>
              <w:adjustRightInd w:val="0"/>
              <w:snapToGrid w:val="0"/>
              <w:spacing w:before="48" w:beforeLines="20" w:line="360" w:lineRule="auto"/>
              <w:rPr>
                <w:rFonts w:ascii="宋体" w:hAnsi="宋体"/>
                <w:szCs w:val="21"/>
              </w:rPr>
            </w:pPr>
          </w:p>
        </w:tc>
      </w:tr>
      <w:tr w14:paraId="3A85B1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2A412AC">
            <w:pPr>
              <w:autoSpaceDE w:val="0"/>
              <w:autoSpaceDN w:val="0"/>
              <w:adjustRightInd w:val="0"/>
              <w:snapToGrid w:val="0"/>
              <w:spacing w:before="48" w:beforeLines="20" w:line="360" w:lineRule="auto"/>
              <w:rPr>
                <w:rFonts w:ascii="宋体" w:hAnsi="宋体"/>
                <w:szCs w:val="21"/>
              </w:rPr>
            </w:pPr>
          </w:p>
        </w:tc>
        <w:tc>
          <w:tcPr>
            <w:tcW w:w="3476" w:type="dxa"/>
          </w:tcPr>
          <w:p w14:paraId="3B4A6985">
            <w:pPr>
              <w:autoSpaceDE w:val="0"/>
              <w:autoSpaceDN w:val="0"/>
              <w:adjustRightInd w:val="0"/>
              <w:snapToGrid w:val="0"/>
              <w:spacing w:before="48" w:beforeLines="20" w:line="360" w:lineRule="auto"/>
              <w:rPr>
                <w:rFonts w:ascii="宋体" w:hAnsi="宋体"/>
                <w:szCs w:val="21"/>
              </w:rPr>
            </w:pPr>
          </w:p>
        </w:tc>
        <w:tc>
          <w:tcPr>
            <w:tcW w:w="2581" w:type="dxa"/>
          </w:tcPr>
          <w:p w14:paraId="187C7F13">
            <w:pPr>
              <w:autoSpaceDE w:val="0"/>
              <w:autoSpaceDN w:val="0"/>
              <w:adjustRightInd w:val="0"/>
              <w:snapToGrid w:val="0"/>
              <w:spacing w:before="48" w:beforeLines="20" w:line="360" w:lineRule="auto"/>
              <w:rPr>
                <w:rFonts w:ascii="宋体" w:hAnsi="宋体"/>
                <w:szCs w:val="21"/>
              </w:rPr>
            </w:pPr>
          </w:p>
        </w:tc>
        <w:tc>
          <w:tcPr>
            <w:tcW w:w="2581" w:type="dxa"/>
          </w:tcPr>
          <w:p w14:paraId="78192174">
            <w:pPr>
              <w:autoSpaceDE w:val="0"/>
              <w:autoSpaceDN w:val="0"/>
              <w:adjustRightInd w:val="0"/>
              <w:snapToGrid w:val="0"/>
              <w:spacing w:before="48" w:beforeLines="20" w:line="360" w:lineRule="auto"/>
              <w:rPr>
                <w:rFonts w:ascii="宋体" w:hAnsi="宋体"/>
                <w:szCs w:val="21"/>
              </w:rPr>
            </w:pPr>
          </w:p>
        </w:tc>
        <w:tc>
          <w:tcPr>
            <w:tcW w:w="2496" w:type="dxa"/>
            <w:vAlign w:val="center"/>
          </w:tcPr>
          <w:p w14:paraId="756D3C96">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566C4EC5">
            <w:pPr>
              <w:autoSpaceDE w:val="0"/>
              <w:autoSpaceDN w:val="0"/>
              <w:adjustRightInd w:val="0"/>
              <w:snapToGrid w:val="0"/>
              <w:spacing w:before="48" w:beforeLines="20" w:line="360" w:lineRule="auto"/>
              <w:rPr>
                <w:rFonts w:ascii="宋体" w:hAnsi="宋体"/>
                <w:szCs w:val="21"/>
              </w:rPr>
            </w:pPr>
          </w:p>
        </w:tc>
      </w:tr>
      <w:tr w14:paraId="17369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4C3FF586">
            <w:pPr>
              <w:autoSpaceDE w:val="0"/>
              <w:autoSpaceDN w:val="0"/>
              <w:adjustRightInd w:val="0"/>
              <w:snapToGrid w:val="0"/>
              <w:spacing w:before="48" w:beforeLines="20" w:line="360" w:lineRule="auto"/>
              <w:rPr>
                <w:rFonts w:ascii="宋体" w:hAnsi="宋体"/>
                <w:szCs w:val="21"/>
              </w:rPr>
            </w:pPr>
          </w:p>
        </w:tc>
        <w:tc>
          <w:tcPr>
            <w:tcW w:w="3476" w:type="dxa"/>
          </w:tcPr>
          <w:p w14:paraId="0CC96B56">
            <w:pPr>
              <w:autoSpaceDE w:val="0"/>
              <w:autoSpaceDN w:val="0"/>
              <w:adjustRightInd w:val="0"/>
              <w:snapToGrid w:val="0"/>
              <w:spacing w:before="48" w:beforeLines="20" w:line="360" w:lineRule="auto"/>
              <w:rPr>
                <w:rFonts w:ascii="宋体" w:hAnsi="宋体"/>
                <w:szCs w:val="21"/>
              </w:rPr>
            </w:pPr>
          </w:p>
        </w:tc>
        <w:tc>
          <w:tcPr>
            <w:tcW w:w="2581" w:type="dxa"/>
          </w:tcPr>
          <w:p w14:paraId="1AFE733B">
            <w:pPr>
              <w:autoSpaceDE w:val="0"/>
              <w:autoSpaceDN w:val="0"/>
              <w:adjustRightInd w:val="0"/>
              <w:snapToGrid w:val="0"/>
              <w:spacing w:before="48" w:beforeLines="20" w:line="360" w:lineRule="auto"/>
              <w:rPr>
                <w:rFonts w:ascii="宋体" w:hAnsi="宋体"/>
                <w:szCs w:val="21"/>
              </w:rPr>
            </w:pPr>
          </w:p>
        </w:tc>
        <w:tc>
          <w:tcPr>
            <w:tcW w:w="2581" w:type="dxa"/>
          </w:tcPr>
          <w:p w14:paraId="05E5FB87">
            <w:pPr>
              <w:autoSpaceDE w:val="0"/>
              <w:autoSpaceDN w:val="0"/>
              <w:adjustRightInd w:val="0"/>
              <w:snapToGrid w:val="0"/>
              <w:spacing w:before="48" w:beforeLines="20" w:line="360" w:lineRule="auto"/>
              <w:rPr>
                <w:rFonts w:ascii="宋体" w:hAnsi="宋体"/>
                <w:szCs w:val="21"/>
              </w:rPr>
            </w:pPr>
          </w:p>
        </w:tc>
        <w:tc>
          <w:tcPr>
            <w:tcW w:w="2496" w:type="dxa"/>
            <w:vAlign w:val="center"/>
          </w:tcPr>
          <w:p w14:paraId="0459D6F3">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398DDEEC">
            <w:pPr>
              <w:autoSpaceDE w:val="0"/>
              <w:autoSpaceDN w:val="0"/>
              <w:adjustRightInd w:val="0"/>
              <w:snapToGrid w:val="0"/>
              <w:spacing w:before="48" w:beforeLines="20" w:line="360" w:lineRule="auto"/>
              <w:rPr>
                <w:rFonts w:ascii="宋体" w:hAnsi="宋体"/>
                <w:szCs w:val="21"/>
              </w:rPr>
            </w:pPr>
          </w:p>
        </w:tc>
      </w:tr>
      <w:tr w14:paraId="254BE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612D19CA">
            <w:pPr>
              <w:autoSpaceDE w:val="0"/>
              <w:autoSpaceDN w:val="0"/>
              <w:adjustRightInd w:val="0"/>
              <w:snapToGrid w:val="0"/>
              <w:spacing w:before="48" w:beforeLines="20" w:line="360" w:lineRule="auto"/>
              <w:rPr>
                <w:rFonts w:ascii="宋体" w:hAnsi="宋体"/>
                <w:szCs w:val="21"/>
              </w:rPr>
            </w:pPr>
          </w:p>
        </w:tc>
        <w:tc>
          <w:tcPr>
            <w:tcW w:w="3476" w:type="dxa"/>
          </w:tcPr>
          <w:p w14:paraId="4EA51D64">
            <w:pPr>
              <w:autoSpaceDE w:val="0"/>
              <w:autoSpaceDN w:val="0"/>
              <w:adjustRightInd w:val="0"/>
              <w:snapToGrid w:val="0"/>
              <w:spacing w:before="48" w:beforeLines="20" w:line="360" w:lineRule="auto"/>
              <w:rPr>
                <w:rFonts w:ascii="宋体" w:hAnsi="宋体"/>
                <w:szCs w:val="21"/>
              </w:rPr>
            </w:pPr>
          </w:p>
        </w:tc>
        <w:tc>
          <w:tcPr>
            <w:tcW w:w="2581" w:type="dxa"/>
          </w:tcPr>
          <w:p w14:paraId="5BED25A0">
            <w:pPr>
              <w:autoSpaceDE w:val="0"/>
              <w:autoSpaceDN w:val="0"/>
              <w:adjustRightInd w:val="0"/>
              <w:snapToGrid w:val="0"/>
              <w:spacing w:before="48" w:beforeLines="20" w:line="360" w:lineRule="auto"/>
              <w:rPr>
                <w:rFonts w:ascii="宋体" w:hAnsi="宋体"/>
                <w:szCs w:val="21"/>
              </w:rPr>
            </w:pPr>
          </w:p>
        </w:tc>
        <w:tc>
          <w:tcPr>
            <w:tcW w:w="2581" w:type="dxa"/>
          </w:tcPr>
          <w:p w14:paraId="29DB7A5E">
            <w:pPr>
              <w:autoSpaceDE w:val="0"/>
              <w:autoSpaceDN w:val="0"/>
              <w:adjustRightInd w:val="0"/>
              <w:snapToGrid w:val="0"/>
              <w:spacing w:before="48" w:beforeLines="20" w:line="360" w:lineRule="auto"/>
              <w:rPr>
                <w:rFonts w:ascii="宋体" w:hAnsi="宋体"/>
                <w:szCs w:val="21"/>
              </w:rPr>
            </w:pPr>
          </w:p>
        </w:tc>
        <w:tc>
          <w:tcPr>
            <w:tcW w:w="2496" w:type="dxa"/>
            <w:vAlign w:val="center"/>
          </w:tcPr>
          <w:p w14:paraId="3CD436E9">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31DE75E2">
            <w:pPr>
              <w:autoSpaceDE w:val="0"/>
              <w:autoSpaceDN w:val="0"/>
              <w:adjustRightInd w:val="0"/>
              <w:snapToGrid w:val="0"/>
              <w:spacing w:before="48" w:beforeLines="20" w:line="360" w:lineRule="auto"/>
              <w:rPr>
                <w:rFonts w:ascii="宋体" w:hAnsi="宋体"/>
                <w:szCs w:val="21"/>
              </w:rPr>
            </w:pPr>
          </w:p>
        </w:tc>
      </w:tr>
      <w:tr w14:paraId="505A89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2FDEC121">
            <w:pPr>
              <w:autoSpaceDE w:val="0"/>
              <w:autoSpaceDN w:val="0"/>
              <w:adjustRightInd w:val="0"/>
              <w:snapToGrid w:val="0"/>
              <w:spacing w:before="48" w:beforeLines="20" w:line="360" w:lineRule="auto"/>
              <w:rPr>
                <w:rFonts w:ascii="宋体" w:hAnsi="宋体"/>
                <w:szCs w:val="21"/>
              </w:rPr>
            </w:pPr>
          </w:p>
        </w:tc>
        <w:tc>
          <w:tcPr>
            <w:tcW w:w="3476" w:type="dxa"/>
          </w:tcPr>
          <w:p w14:paraId="17809604">
            <w:pPr>
              <w:autoSpaceDE w:val="0"/>
              <w:autoSpaceDN w:val="0"/>
              <w:adjustRightInd w:val="0"/>
              <w:snapToGrid w:val="0"/>
              <w:spacing w:before="48" w:beforeLines="20" w:line="360" w:lineRule="auto"/>
              <w:rPr>
                <w:rFonts w:ascii="宋体" w:hAnsi="宋体"/>
                <w:szCs w:val="21"/>
              </w:rPr>
            </w:pPr>
          </w:p>
        </w:tc>
        <w:tc>
          <w:tcPr>
            <w:tcW w:w="2581" w:type="dxa"/>
          </w:tcPr>
          <w:p w14:paraId="10849DE1">
            <w:pPr>
              <w:autoSpaceDE w:val="0"/>
              <w:autoSpaceDN w:val="0"/>
              <w:adjustRightInd w:val="0"/>
              <w:snapToGrid w:val="0"/>
              <w:spacing w:before="48" w:beforeLines="20" w:line="360" w:lineRule="auto"/>
              <w:rPr>
                <w:rFonts w:ascii="宋体" w:hAnsi="宋体"/>
                <w:szCs w:val="21"/>
              </w:rPr>
            </w:pPr>
          </w:p>
        </w:tc>
        <w:tc>
          <w:tcPr>
            <w:tcW w:w="2581" w:type="dxa"/>
          </w:tcPr>
          <w:p w14:paraId="096995B7">
            <w:pPr>
              <w:autoSpaceDE w:val="0"/>
              <w:autoSpaceDN w:val="0"/>
              <w:adjustRightInd w:val="0"/>
              <w:snapToGrid w:val="0"/>
              <w:spacing w:before="48" w:beforeLines="20" w:line="360" w:lineRule="auto"/>
              <w:rPr>
                <w:rFonts w:ascii="宋体" w:hAnsi="宋体"/>
                <w:szCs w:val="21"/>
              </w:rPr>
            </w:pPr>
          </w:p>
        </w:tc>
        <w:tc>
          <w:tcPr>
            <w:tcW w:w="2496" w:type="dxa"/>
            <w:vAlign w:val="center"/>
          </w:tcPr>
          <w:p w14:paraId="6D5CEA86">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56B93511">
            <w:pPr>
              <w:autoSpaceDE w:val="0"/>
              <w:autoSpaceDN w:val="0"/>
              <w:adjustRightInd w:val="0"/>
              <w:snapToGrid w:val="0"/>
              <w:spacing w:before="48" w:beforeLines="20" w:line="360" w:lineRule="auto"/>
              <w:rPr>
                <w:rFonts w:ascii="宋体" w:hAnsi="宋体"/>
                <w:szCs w:val="21"/>
              </w:rPr>
            </w:pPr>
          </w:p>
        </w:tc>
      </w:tr>
      <w:tr w14:paraId="23F81C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CC974E4">
            <w:pPr>
              <w:autoSpaceDE w:val="0"/>
              <w:autoSpaceDN w:val="0"/>
              <w:adjustRightInd w:val="0"/>
              <w:snapToGrid w:val="0"/>
              <w:spacing w:before="48" w:beforeLines="20" w:line="360" w:lineRule="auto"/>
              <w:rPr>
                <w:rFonts w:ascii="宋体" w:hAnsi="宋体"/>
                <w:szCs w:val="21"/>
              </w:rPr>
            </w:pPr>
          </w:p>
        </w:tc>
        <w:tc>
          <w:tcPr>
            <w:tcW w:w="3476" w:type="dxa"/>
          </w:tcPr>
          <w:p w14:paraId="615CC846">
            <w:pPr>
              <w:autoSpaceDE w:val="0"/>
              <w:autoSpaceDN w:val="0"/>
              <w:adjustRightInd w:val="0"/>
              <w:snapToGrid w:val="0"/>
              <w:spacing w:before="48" w:beforeLines="20" w:line="360" w:lineRule="auto"/>
              <w:rPr>
                <w:rFonts w:ascii="宋体" w:hAnsi="宋体"/>
                <w:szCs w:val="21"/>
              </w:rPr>
            </w:pPr>
          </w:p>
        </w:tc>
        <w:tc>
          <w:tcPr>
            <w:tcW w:w="2581" w:type="dxa"/>
          </w:tcPr>
          <w:p w14:paraId="4C227FCB">
            <w:pPr>
              <w:autoSpaceDE w:val="0"/>
              <w:autoSpaceDN w:val="0"/>
              <w:adjustRightInd w:val="0"/>
              <w:snapToGrid w:val="0"/>
              <w:spacing w:before="48" w:beforeLines="20" w:line="360" w:lineRule="auto"/>
              <w:rPr>
                <w:rFonts w:ascii="宋体" w:hAnsi="宋体"/>
                <w:szCs w:val="21"/>
              </w:rPr>
            </w:pPr>
          </w:p>
        </w:tc>
        <w:tc>
          <w:tcPr>
            <w:tcW w:w="2581" w:type="dxa"/>
          </w:tcPr>
          <w:p w14:paraId="46A6F88A">
            <w:pPr>
              <w:autoSpaceDE w:val="0"/>
              <w:autoSpaceDN w:val="0"/>
              <w:adjustRightInd w:val="0"/>
              <w:snapToGrid w:val="0"/>
              <w:spacing w:before="48" w:beforeLines="20" w:line="360" w:lineRule="auto"/>
              <w:rPr>
                <w:rFonts w:ascii="宋体" w:hAnsi="宋体"/>
                <w:szCs w:val="21"/>
              </w:rPr>
            </w:pPr>
          </w:p>
        </w:tc>
        <w:tc>
          <w:tcPr>
            <w:tcW w:w="2496" w:type="dxa"/>
            <w:vAlign w:val="center"/>
          </w:tcPr>
          <w:p w14:paraId="26F9E4CE">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1751C200">
            <w:pPr>
              <w:autoSpaceDE w:val="0"/>
              <w:autoSpaceDN w:val="0"/>
              <w:adjustRightInd w:val="0"/>
              <w:snapToGrid w:val="0"/>
              <w:spacing w:before="48" w:beforeLines="20" w:line="360" w:lineRule="auto"/>
              <w:rPr>
                <w:rFonts w:ascii="宋体" w:hAnsi="宋体"/>
                <w:szCs w:val="21"/>
              </w:rPr>
            </w:pPr>
          </w:p>
        </w:tc>
      </w:tr>
      <w:tr w14:paraId="772E42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740E6A5B">
            <w:pPr>
              <w:autoSpaceDE w:val="0"/>
              <w:autoSpaceDN w:val="0"/>
              <w:adjustRightInd w:val="0"/>
              <w:snapToGrid w:val="0"/>
              <w:spacing w:before="48" w:beforeLines="20" w:line="360" w:lineRule="auto"/>
              <w:rPr>
                <w:rFonts w:ascii="宋体" w:hAnsi="宋体"/>
                <w:szCs w:val="21"/>
              </w:rPr>
            </w:pPr>
          </w:p>
        </w:tc>
        <w:tc>
          <w:tcPr>
            <w:tcW w:w="3476" w:type="dxa"/>
          </w:tcPr>
          <w:p w14:paraId="1CE7D29C">
            <w:pPr>
              <w:autoSpaceDE w:val="0"/>
              <w:autoSpaceDN w:val="0"/>
              <w:adjustRightInd w:val="0"/>
              <w:snapToGrid w:val="0"/>
              <w:spacing w:before="48" w:beforeLines="20" w:line="360" w:lineRule="auto"/>
              <w:rPr>
                <w:rFonts w:ascii="宋体" w:hAnsi="宋体"/>
                <w:szCs w:val="21"/>
              </w:rPr>
            </w:pPr>
          </w:p>
        </w:tc>
        <w:tc>
          <w:tcPr>
            <w:tcW w:w="2581" w:type="dxa"/>
          </w:tcPr>
          <w:p w14:paraId="6DE7EFA1">
            <w:pPr>
              <w:autoSpaceDE w:val="0"/>
              <w:autoSpaceDN w:val="0"/>
              <w:adjustRightInd w:val="0"/>
              <w:snapToGrid w:val="0"/>
              <w:spacing w:before="48" w:beforeLines="20" w:line="360" w:lineRule="auto"/>
              <w:rPr>
                <w:rFonts w:ascii="宋体" w:hAnsi="宋体"/>
                <w:szCs w:val="21"/>
              </w:rPr>
            </w:pPr>
          </w:p>
        </w:tc>
        <w:tc>
          <w:tcPr>
            <w:tcW w:w="2581" w:type="dxa"/>
          </w:tcPr>
          <w:p w14:paraId="78BA5CDC">
            <w:pPr>
              <w:autoSpaceDE w:val="0"/>
              <w:autoSpaceDN w:val="0"/>
              <w:adjustRightInd w:val="0"/>
              <w:snapToGrid w:val="0"/>
              <w:spacing w:before="48" w:beforeLines="20" w:line="360" w:lineRule="auto"/>
              <w:rPr>
                <w:rFonts w:ascii="宋体" w:hAnsi="宋体"/>
                <w:szCs w:val="21"/>
              </w:rPr>
            </w:pPr>
          </w:p>
        </w:tc>
        <w:tc>
          <w:tcPr>
            <w:tcW w:w="2496" w:type="dxa"/>
            <w:vAlign w:val="center"/>
          </w:tcPr>
          <w:p w14:paraId="34BDE408">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61E0A6F6">
            <w:pPr>
              <w:autoSpaceDE w:val="0"/>
              <w:autoSpaceDN w:val="0"/>
              <w:adjustRightInd w:val="0"/>
              <w:snapToGrid w:val="0"/>
              <w:spacing w:before="48" w:beforeLines="20" w:line="360" w:lineRule="auto"/>
              <w:rPr>
                <w:rFonts w:ascii="宋体" w:hAnsi="宋体"/>
                <w:szCs w:val="21"/>
              </w:rPr>
            </w:pPr>
          </w:p>
        </w:tc>
      </w:tr>
      <w:tr w14:paraId="3A5A61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3E7A3BB">
            <w:pPr>
              <w:autoSpaceDE w:val="0"/>
              <w:autoSpaceDN w:val="0"/>
              <w:adjustRightInd w:val="0"/>
              <w:snapToGrid w:val="0"/>
              <w:spacing w:before="48" w:beforeLines="20" w:line="360" w:lineRule="auto"/>
              <w:rPr>
                <w:rFonts w:ascii="宋体" w:hAnsi="宋体"/>
                <w:szCs w:val="21"/>
              </w:rPr>
            </w:pPr>
          </w:p>
        </w:tc>
        <w:tc>
          <w:tcPr>
            <w:tcW w:w="3476" w:type="dxa"/>
          </w:tcPr>
          <w:p w14:paraId="6FA0196F">
            <w:pPr>
              <w:autoSpaceDE w:val="0"/>
              <w:autoSpaceDN w:val="0"/>
              <w:adjustRightInd w:val="0"/>
              <w:snapToGrid w:val="0"/>
              <w:spacing w:before="48" w:beforeLines="20" w:line="360" w:lineRule="auto"/>
              <w:rPr>
                <w:rFonts w:ascii="宋体" w:hAnsi="宋体"/>
                <w:szCs w:val="21"/>
              </w:rPr>
            </w:pPr>
          </w:p>
        </w:tc>
        <w:tc>
          <w:tcPr>
            <w:tcW w:w="2581" w:type="dxa"/>
          </w:tcPr>
          <w:p w14:paraId="71BFE2FD">
            <w:pPr>
              <w:autoSpaceDE w:val="0"/>
              <w:autoSpaceDN w:val="0"/>
              <w:adjustRightInd w:val="0"/>
              <w:snapToGrid w:val="0"/>
              <w:spacing w:before="48" w:beforeLines="20" w:line="360" w:lineRule="auto"/>
              <w:rPr>
                <w:rFonts w:ascii="宋体" w:hAnsi="宋体"/>
                <w:szCs w:val="21"/>
              </w:rPr>
            </w:pPr>
          </w:p>
        </w:tc>
        <w:tc>
          <w:tcPr>
            <w:tcW w:w="2581" w:type="dxa"/>
          </w:tcPr>
          <w:p w14:paraId="6CF7A3A7">
            <w:pPr>
              <w:autoSpaceDE w:val="0"/>
              <w:autoSpaceDN w:val="0"/>
              <w:adjustRightInd w:val="0"/>
              <w:snapToGrid w:val="0"/>
              <w:spacing w:before="48" w:beforeLines="20" w:line="360" w:lineRule="auto"/>
              <w:rPr>
                <w:rFonts w:ascii="宋体" w:hAnsi="宋体"/>
                <w:szCs w:val="21"/>
              </w:rPr>
            </w:pPr>
          </w:p>
        </w:tc>
        <w:tc>
          <w:tcPr>
            <w:tcW w:w="2496" w:type="dxa"/>
            <w:vAlign w:val="center"/>
          </w:tcPr>
          <w:p w14:paraId="0BA12FAE">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0B2BA570">
            <w:pPr>
              <w:autoSpaceDE w:val="0"/>
              <w:autoSpaceDN w:val="0"/>
              <w:adjustRightInd w:val="0"/>
              <w:snapToGrid w:val="0"/>
              <w:spacing w:before="48" w:beforeLines="20" w:line="360" w:lineRule="auto"/>
              <w:rPr>
                <w:rFonts w:ascii="宋体" w:hAnsi="宋体"/>
                <w:szCs w:val="21"/>
              </w:rPr>
            </w:pPr>
          </w:p>
        </w:tc>
      </w:tr>
      <w:tr w14:paraId="5463E8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1C9206DD">
            <w:pPr>
              <w:autoSpaceDE w:val="0"/>
              <w:autoSpaceDN w:val="0"/>
              <w:adjustRightInd w:val="0"/>
              <w:snapToGrid w:val="0"/>
              <w:spacing w:before="48" w:beforeLines="20" w:line="360" w:lineRule="auto"/>
              <w:rPr>
                <w:rFonts w:ascii="宋体" w:hAnsi="宋体"/>
                <w:szCs w:val="21"/>
              </w:rPr>
            </w:pPr>
          </w:p>
        </w:tc>
        <w:tc>
          <w:tcPr>
            <w:tcW w:w="3476" w:type="dxa"/>
          </w:tcPr>
          <w:p w14:paraId="14723A3B">
            <w:pPr>
              <w:autoSpaceDE w:val="0"/>
              <w:autoSpaceDN w:val="0"/>
              <w:adjustRightInd w:val="0"/>
              <w:snapToGrid w:val="0"/>
              <w:spacing w:before="48" w:beforeLines="20" w:line="360" w:lineRule="auto"/>
              <w:rPr>
                <w:rFonts w:ascii="宋体" w:hAnsi="宋体"/>
                <w:szCs w:val="21"/>
              </w:rPr>
            </w:pPr>
          </w:p>
        </w:tc>
        <w:tc>
          <w:tcPr>
            <w:tcW w:w="2581" w:type="dxa"/>
          </w:tcPr>
          <w:p w14:paraId="4FAD6A8B">
            <w:pPr>
              <w:autoSpaceDE w:val="0"/>
              <w:autoSpaceDN w:val="0"/>
              <w:adjustRightInd w:val="0"/>
              <w:snapToGrid w:val="0"/>
              <w:spacing w:before="48" w:beforeLines="20" w:line="360" w:lineRule="auto"/>
              <w:rPr>
                <w:rFonts w:ascii="宋体" w:hAnsi="宋体"/>
                <w:szCs w:val="21"/>
              </w:rPr>
            </w:pPr>
          </w:p>
        </w:tc>
        <w:tc>
          <w:tcPr>
            <w:tcW w:w="2581" w:type="dxa"/>
          </w:tcPr>
          <w:p w14:paraId="0795DEE8">
            <w:pPr>
              <w:autoSpaceDE w:val="0"/>
              <w:autoSpaceDN w:val="0"/>
              <w:adjustRightInd w:val="0"/>
              <w:snapToGrid w:val="0"/>
              <w:spacing w:before="48" w:beforeLines="20" w:line="360" w:lineRule="auto"/>
              <w:rPr>
                <w:rFonts w:ascii="宋体" w:hAnsi="宋体"/>
                <w:szCs w:val="21"/>
              </w:rPr>
            </w:pPr>
          </w:p>
        </w:tc>
        <w:tc>
          <w:tcPr>
            <w:tcW w:w="2496" w:type="dxa"/>
            <w:vAlign w:val="center"/>
          </w:tcPr>
          <w:p w14:paraId="455C2AB5">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62A9BADB">
            <w:pPr>
              <w:autoSpaceDE w:val="0"/>
              <w:autoSpaceDN w:val="0"/>
              <w:adjustRightInd w:val="0"/>
              <w:snapToGrid w:val="0"/>
              <w:spacing w:before="48" w:beforeLines="20" w:line="360" w:lineRule="auto"/>
              <w:rPr>
                <w:rFonts w:ascii="宋体" w:hAnsi="宋体"/>
                <w:szCs w:val="21"/>
              </w:rPr>
            </w:pPr>
          </w:p>
        </w:tc>
      </w:tr>
      <w:tr w14:paraId="0157D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2" w:hRule="atLeast"/>
        </w:trPr>
        <w:tc>
          <w:tcPr>
            <w:tcW w:w="732" w:type="dxa"/>
          </w:tcPr>
          <w:p w14:paraId="0845811C">
            <w:pPr>
              <w:autoSpaceDE w:val="0"/>
              <w:autoSpaceDN w:val="0"/>
              <w:adjustRightInd w:val="0"/>
              <w:snapToGrid w:val="0"/>
              <w:spacing w:before="48" w:beforeLines="20" w:line="360" w:lineRule="auto"/>
              <w:rPr>
                <w:rFonts w:ascii="宋体" w:hAnsi="宋体"/>
                <w:szCs w:val="21"/>
              </w:rPr>
            </w:pPr>
          </w:p>
        </w:tc>
        <w:tc>
          <w:tcPr>
            <w:tcW w:w="3476" w:type="dxa"/>
          </w:tcPr>
          <w:p w14:paraId="5C9F9E72">
            <w:pPr>
              <w:autoSpaceDE w:val="0"/>
              <w:autoSpaceDN w:val="0"/>
              <w:adjustRightInd w:val="0"/>
              <w:snapToGrid w:val="0"/>
              <w:spacing w:before="48" w:beforeLines="20" w:line="360" w:lineRule="auto"/>
              <w:rPr>
                <w:rFonts w:ascii="宋体" w:hAnsi="宋体"/>
                <w:szCs w:val="21"/>
              </w:rPr>
            </w:pPr>
          </w:p>
        </w:tc>
        <w:tc>
          <w:tcPr>
            <w:tcW w:w="2581" w:type="dxa"/>
          </w:tcPr>
          <w:p w14:paraId="717168D1">
            <w:pPr>
              <w:autoSpaceDE w:val="0"/>
              <w:autoSpaceDN w:val="0"/>
              <w:adjustRightInd w:val="0"/>
              <w:snapToGrid w:val="0"/>
              <w:spacing w:before="48" w:beforeLines="20" w:line="360" w:lineRule="auto"/>
              <w:rPr>
                <w:rFonts w:ascii="宋体" w:hAnsi="宋体"/>
                <w:szCs w:val="21"/>
              </w:rPr>
            </w:pPr>
          </w:p>
        </w:tc>
        <w:tc>
          <w:tcPr>
            <w:tcW w:w="2581" w:type="dxa"/>
          </w:tcPr>
          <w:p w14:paraId="4E5251C1">
            <w:pPr>
              <w:autoSpaceDE w:val="0"/>
              <w:autoSpaceDN w:val="0"/>
              <w:adjustRightInd w:val="0"/>
              <w:snapToGrid w:val="0"/>
              <w:spacing w:before="48" w:beforeLines="20" w:line="360" w:lineRule="auto"/>
              <w:rPr>
                <w:rFonts w:ascii="宋体" w:hAnsi="宋体"/>
                <w:szCs w:val="21"/>
              </w:rPr>
            </w:pPr>
          </w:p>
        </w:tc>
        <w:tc>
          <w:tcPr>
            <w:tcW w:w="2496" w:type="dxa"/>
            <w:vAlign w:val="center"/>
          </w:tcPr>
          <w:p w14:paraId="15C16CFF">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14C426FD">
            <w:pPr>
              <w:autoSpaceDE w:val="0"/>
              <w:autoSpaceDN w:val="0"/>
              <w:adjustRightInd w:val="0"/>
              <w:snapToGrid w:val="0"/>
              <w:spacing w:before="48" w:beforeLines="20" w:line="360" w:lineRule="auto"/>
              <w:rPr>
                <w:rFonts w:ascii="宋体" w:hAnsi="宋体"/>
                <w:szCs w:val="21"/>
              </w:rPr>
            </w:pPr>
          </w:p>
        </w:tc>
      </w:tr>
      <w:tr w14:paraId="6EF94D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732" w:type="dxa"/>
          </w:tcPr>
          <w:p w14:paraId="7836DEAE">
            <w:pPr>
              <w:autoSpaceDE w:val="0"/>
              <w:autoSpaceDN w:val="0"/>
              <w:adjustRightInd w:val="0"/>
              <w:snapToGrid w:val="0"/>
              <w:spacing w:before="48" w:beforeLines="20" w:line="360" w:lineRule="auto"/>
              <w:rPr>
                <w:rFonts w:ascii="宋体" w:hAnsi="宋体"/>
                <w:szCs w:val="21"/>
              </w:rPr>
            </w:pPr>
          </w:p>
        </w:tc>
        <w:tc>
          <w:tcPr>
            <w:tcW w:w="3476" w:type="dxa"/>
          </w:tcPr>
          <w:p w14:paraId="6A4D6CCD">
            <w:pPr>
              <w:autoSpaceDE w:val="0"/>
              <w:autoSpaceDN w:val="0"/>
              <w:adjustRightInd w:val="0"/>
              <w:snapToGrid w:val="0"/>
              <w:spacing w:before="48" w:beforeLines="20" w:line="360" w:lineRule="auto"/>
              <w:rPr>
                <w:rFonts w:ascii="宋体" w:hAnsi="宋体"/>
                <w:szCs w:val="21"/>
              </w:rPr>
            </w:pPr>
          </w:p>
        </w:tc>
        <w:tc>
          <w:tcPr>
            <w:tcW w:w="2581" w:type="dxa"/>
          </w:tcPr>
          <w:p w14:paraId="252D4128">
            <w:pPr>
              <w:autoSpaceDE w:val="0"/>
              <w:autoSpaceDN w:val="0"/>
              <w:adjustRightInd w:val="0"/>
              <w:snapToGrid w:val="0"/>
              <w:spacing w:before="48" w:beforeLines="20" w:line="360" w:lineRule="auto"/>
              <w:rPr>
                <w:rFonts w:ascii="宋体" w:hAnsi="宋体"/>
                <w:szCs w:val="21"/>
              </w:rPr>
            </w:pPr>
          </w:p>
        </w:tc>
        <w:tc>
          <w:tcPr>
            <w:tcW w:w="2581" w:type="dxa"/>
          </w:tcPr>
          <w:p w14:paraId="4F45195F">
            <w:pPr>
              <w:autoSpaceDE w:val="0"/>
              <w:autoSpaceDN w:val="0"/>
              <w:adjustRightInd w:val="0"/>
              <w:snapToGrid w:val="0"/>
              <w:spacing w:before="48" w:beforeLines="20" w:line="360" w:lineRule="auto"/>
              <w:rPr>
                <w:rFonts w:ascii="宋体" w:hAnsi="宋体"/>
                <w:szCs w:val="21"/>
              </w:rPr>
            </w:pPr>
          </w:p>
        </w:tc>
        <w:tc>
          <w:tcPr>
            <w:tcW w:w="2496" w:type="dxa"/>
            <w:vAlign w:val="center"/>
          </w:tcPr>
          <w:p w14:paraId="0D51BCB6">
            <w:pPr>
              <w:autoSpaceDE w:val="0"/>
              <w:autoSpaceDN w:val="0"/>
              <w:adjustRightInd w:val="0"/>
              <w:snapToGrid w:val="0"/>
              <w:spacing w:before="48" w:beforeLines="20" w:line="240" w:lineRule="auto"/>
              <w:jc w:val="center"/>
              <w:rPr>
                <w:rFonts w:ascii="宋体" w:hAnsi="宋体"/>
                <w:szCs w:val="21"/>
              </w:rPr>
            </w:pPr>
            <w:r>
              <w:rPr>
                <w:rFonts w:hint="eastAsia" w:ascii="宋体" w:hAnsi="宋体"/>
                <w:szCs w:val="21"/>
                <w:u w:val="single"/>
              </w:rPr>
              <w:t>……</w:t>
            </w:r>
          </w:p>
        </w:tc>
        <w:tc>
          <w:tcPr>
            <w:tcW w:w="2653" w:type="dxa"/>
          </w:tcPr>
          <w:p w14:paraId="467570D0">
            <w:pPr>
              <w:autoSpaceDE w:val="0"/>
              <w:autoSpaceDN w:val="0"/>
              <w:adjustRightInd w:val="0"/>
              <w:snapToGrid w:val="0"/>
              <w:spacing w:before="48" w:beforeLines="20" w:line="360" w:lineRule="auto"/>
              <w:rPr>
                <w:rFonts w:ascii="宋体" w:hAnsi="宋体"/>
                <w:szCs w:val="21"/>
              </w:rPr>
            </w:pPr>
          </w:p>
        </w:tc>
      </w:tr>
    </w:tbl>
    <w:p w14:paraId="3858A79F">
      <w:pPr>
        <w:tabs>
          <w:tab w:val="left" w:pos="2740"/>
          <w:tab w:val="left" w:pos="4940"/>
          <w:tab w:val="left" w:pos="6930"/>
        </w:tabs>
        <w:autoSpaceDE w:val="0"/>
        <w:autoSpaceDN w:val="0"/>
        <w:adjustRightInd w:val="0"/>
        <w:snapToGrid w:val="0"/>
        <w:spacing w:line="360" w:lineRule="auto"/>
        <w:ind w:firstLine="420"/>
        <w:jc w:val="left"/>
        <w:rPr>
          <w:rFonts w:ascii="宋体" w:hAnsi="宋体"/>
          <w:snapToGrid w:val="0"/>
          <w:kern w:val="0"/>
          <w:szCs w:val="21"/>
        </w:rPr>
      </w:pPr>
      <w:r>
        <w:rPr>
          <w:rFonts w:hint="eastAsia" w:ascii="宋体" w:hAnsi="宋体" w:cs="宋体"/>
          <w:snapToGrid w:val="0"/>
          <w:kern w:val="0"/>
          <w:sz w:val="24"/>
          <w:lang w:val="en-US" w:eastAsia="zh-CN"/>
        </w:rPr>
        <w:t>（注：</w:t>
      </w:r>
      <w:r>
        <w:rPr>
          <w:rFonts w:hint="eastAsia" w:ascii="宋体" w:hAnsi="宋体" w:cs="宋体"/>
          <w:snapToGrid w:val="0"/>
          <w:kern w:val="0"/>
          <w:szCs w:val="21"/>
        </w:rPr>
        <w:t>招标人</w:t>
      </w:r>
      <w:r>
        <w:rPr>
          <w:rFonts w:hint="eastAsia" w:ascii="宋体" w:hAnsi="宋体" w:cs="宋体"/>
          <w:snapToGrid w:val="0"/>
          <w:kern w:val="0"/>
          <w:szCs w:val="21"/>
          <w:lang w:eastAsia="zh-CN"/>
        </w:rPr>
        <w:t>、监标人</w:t>
      </w:r>
      <w:r>
        <w:rPr>
          <w:rFonts w:hint="eastAsia" w:ascii="宋体" w:hAnsi="宋体" w:cs="宋体"/>
          <w:snapToGrid w:val="0"/>
          <w:kern w:val="0"/>
          <w:szCs w:val="21"/>
          <w:lang w:val="en-US" w:eastAsia="zh-CN"/>
        </w:rPr>
        <w:t>栏显示单位名称，</w:t>
      </w:r>
      <w:r>
        <w:rPr>
          <w:rFonts w:hint="eastAsia" w:ascii="宋体" w:hAnsi="宋体" w:cs="宋体"/>
          <w:snapToGrid w:val="0"/>
          <w:kern w:val="0"/>
          <w:szCs w:val="21"/>
        </w:rPr>
        <w:t>记录人</w:t>
      </w:r>
      <w:r>
        <w:rPr>
          <w:rFonts w:hint="eastAsia" w:ascii="宋体" w:hAnsi="宋体" w:cs="宋体"/>
          <w:snapToGrid w:val="0"/>
          <w:kern w:val="0"/>
          <w:szCs w:val="21"/>
          <w:lang w:val="en-US" w:eastAsia="zh-CN"/>
        </w:rPr>
        <w:t>栏显示人名。</w:t>
      </w:r>
      <w:r>
        <w:rPr>
          <w:rFonts w:hint="eastAsia" w:ascii="宋体" w:hAnsi="宋体" w:cs="宋体"/>
          <w:snapToGrid w:val="0"/>
          <w:kern w:val="0"/>
          <w:sz w:val="24"/>
          <w:lang w:val="en-US" w:eastAsia="zh-CN"/>
        </w:rPr>
        <w:t>）</w:t>
      </w:r>
    </w:p>
    <w:p w14:paraId="047056F7">
      <w:pPr>
        <w:tabs>
          <w:tab w:val="left" w:pos="2740"/>
          <w:tab w:val="left" w:pos="4940"/>
          <w:tab w:val="left" w:pos="6930"/>
        </w:tabs>
        <w:autoSpaceDE w:val="0"/>
        <w:autoSpaceDN w:val="0"/>
        <w:adjustRightInd w:val="0"/>
        <w:snapToGrid w:val="0"/>
        <w:spacing w:line="360" w:lineRule="auto"/>
        <w:ind w:firstLine="420"/>
        <w:jc w:val="left"/>
        <w:rPr>
          <w:rFonts w:ascii="宋体" w:hAnsi="宋体" w:cs="MingLiU"/>
          <w:snapToGrid w:val="0"/>
          <w:w w:val="200"/>
          <w:kern w:val="0"/>
          <w:szCs w:val="21"/>
          <w:u w:val="single"/>
        </w:rPr>
      </w:pPr>
      <w:r>
        <w:rPr>
          <w:rFonts w:ascii="宋体" w:hAnsi="宋体"/>
          <w:snapToGrid w:val="0"/>
          <w:kern w:val="0"/>
          <w:szCs w:val="21"/>
        </w:rPr>
        <w:t>招标人：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监标人：</w:t>
      </w:r>
      <w:r>
        <w:rPr>
          <w:rFonts w:hint="eastAsia" w:ascii="宋体" w:hAnsi="宋体" w:cs="MingLiU"/>
          <w:snapToGrid w:val="0"/>
          <w:w w:val="200"/>
          <w:kern w:val="0"/>
          <w:szCs w:val="21"/>
          <w:u w:val="single"/>
        </w:rPr>
        <w:t xml:space="preserve">            </w:t>
      </w:r>
      <w:r>
        <w:rPr>
          <w:rFonts w:hint="eastAsia" w:ascii="宋体" w:hAnsi="宋体" w:cs="MingLiU"/>
          <w:snapToGrid w:val="0"/>
          <w:w w:val="200"/>
          <w:kern w:val="0"/>
          <w:szCs w:val="21"/>
        </w:rPr>
        <w:t xml:space="preserve">  </w:t>
      </w:r>
      <w:r>
        <w:rPr>
          <w:rFonts w:ascii="宋体" w:hAnsi="宋体"/>
          <w:snapToGrid w:val="0"/>
          <w:kern w:val="0"/>
          <w:szCs w:val="21"/>
        </w:rPr>
        <w:t>记录人：</w:t>
      </w:r>
      <w:r>
        <w:rPr>
          <w:rFonts w:hint="eastAsia" w:ascii="宋体" w:hAnsi="宋体" w:cs="MingLiU"/>
          <w:snapToGrid w:val="0"/>
          <w:w w:val="200"/>
          <w:kern w:val="0"/>
          <w:szCs w:val="21"/>
          <w:u w:val="single"/>
        </w:rPr>
        <w:t xml:space="preserve">      </w:t>
      </w:r>
    </w:p>
    <w:p w14:paraId="0D4DA359">
      <w:pPr>
        <w:pStyle w:val="17"/>
        <w:jc w:val="right"/>
      </w:pPr>
      <w:r>
        <w:rPr>
          <w:rFonts w:ascii="宋体" w:hAnsi="宋体"/>
          <w:snapToGrid w:val="0"/>
          <w:kern w:val="0"/>
          <w:sz w:val="24"/>
          <w:u w:val="single"/>
        </w:rPr>
        <w:t xml:space="preserve">       </w:t>
      </w:r>
      <w:r>
        <w:rPr>
          <w:rFonts w:ascii="宋体" w:hAnsi="宋体"/>
          <w:snapToGrid w:val="0"/>
          <w:kern w:val="0"/>
          <w:sz w:val="24"/>
        </w:rPr>
        <w:t>年</w:t>
      </w:r>
      <w:r>
        <w:rPr>
          <w:rFonts w:ascii="宋体" w:hAnsi="宋体"/>
          <w:snapToGrid w:val="0"/>
          <w:kern w:val="0"/>
          <w:sz w:val="24"/>
          <w:u w:val="single"/>
        </w:rPr>
        <w:t xml:space="preserve">     </w:t>
      </w:r>
      <w:r>
        <w:rPr>
          <w:rFonts w:ascii="宋体" w:hAnsi="宋体"/>
          <w:snapToGrid w:val="0"/>
          <w:kern w:val="0"/>
          <w:sz w:val="24"/>
        </w:rPr>
        <w:t>月</w:t>
      </w:r>
      <w:r>
        <w:rPr>
          <w:rFonts w:ascii="宋体" w:hAnsi="宋体"/>
          <w:snapToGrid w:val="0"/>
          <w:kern w:val="0"/>
          <w:sz w:val="24"/>
          <w:u w:val="single"/>
        </w:rPr>
        <w:t xml:space="preserve">    </w:t>
      </w:r>
      <w:r>
        <w:rPr>
          <w:rFonts w:ascii="宋体" w:hAnsi="宋体"/>
          <w:snapToGrid w:val="0"/>
          <w:kern w:val="0"/>
          <w:sz w:val="24"/>
        </w:rPr>
        <w:t>日</w:t>
      </w:r>
    </w:p>
    <w:p w14:paraId="7F7FC4A9">
      <w:pPr>
        <w:autoSpaceDE w:val="0"/>
        <w:autoSpaceDN w:val="0"/>
        <w:adjustRightInd w:val="0"/>
        <w:snapToGrid w:val="0"/>
        <w:spacing w:before="48" w:beforeLines="20" w:line="360" w:lineRule="auto"/>
        <w:rPr>
          <w:rFonts w:ascii="宋体" w:hAnsi="宋体"/>
          <w:snapToGrid w:val="0"/>
          <w:kern w:val="0"/>
          <w:sz w:val="24"/>
        </w:rPr>
        <w:sectPr>
          <w:pgSz w:w="16838" w:h="11906" w:orient="landscape"/>
          <w:pgMar w:top="1304" w:right="1134" w:bottom="1304" w:left="1304" w:header="851" w:footer="992" w:gutter="0"/>
          <w:pgBorders>
            <w:top w:val="none" w:sz="0" w:space="0"/>
            <w:left w:val="none" w:sz="0" w:space="0"/>
            <w:bottom w:val="none" w:sz="0" w:space="0"/>
            <w:right w:val="none" w:sz="0" w:space="0"/>
          </w:pgBorders>
          <w:cols w:space="720" w:num="1"/>
          <w:docGrid w:linePitch="312" w:charSpace="0"/>
        </w:sectPr>
      </w:pPr>
    </w:p>
    <w:p w14:paraId="749F3E78">
      <w:pPr>
        <w:autoSpaceDE w:val="0"/>
        <w:autoSpaceDN w:val="0"/>
        <w:adjustRightInd w:val="0"/>
        <w:snapToGrid w:val="0"/>
        <w:spacing w:before="48" w:beforeLines="20" w:line="360" w:lineRule="auto"/>
        <w:jc w:val="right"/>
        <w:rPr>
          <w:rFonts w:ascii="宋体" w:hAnsi="宋体"/>
          <w:snapToGrid w:val="0"/>
          <w:kern w:val="0"/>
          <w:sz w:val="24"/>
        </w:rPr>
      </w:pPr>
    </w:p>
    <w:p w14:paraId="441FA728">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rPr>
        <w:t>附表</w:t>
      </w:r>
      <w:r>
        <w:rPr>
          <w:rFonts w:hint="eastAsia" w:ascii="宋体" w:hAnsi="宋体"/>
          <w:b/>
          <w:snapToGrid w:val="0"/>
          <w:kern w:val="0"/>
        </w:rPr>
        <w:t>三</w:t>
      </w:r>
      <w:r>
        <w:rPr>
          <w:rFonts w:ascii="宋体" w:hAnsi="宋体"/>
          <w:b/>
          <w:snapToGrid w:val="0"/>
          <w:kern w:val="0"/>
        </w:rPr>
        <w:t>：问题澄清通知</w:t>
      </w:r>
    </w:p>
    <w:p w14:paraId="1710D532">
      <w:pPr>
        <w:autoSpaceDE w:val="0"/>
        <w:autoSpaceDN w:val="0"/>
        <w:adjustRightInd w:val="0"/>
        <w:snapToGrid w:val="0"/>
        <w:spacing w:line="360" w:lineRule="auto"/>
        <w:jc w:val="left"/>
        <w:rPr>
          <w:rFonts w:ascii="宋体" w:hAnsi="宋体"/>
          <w:b/>
          <w:snapToGrid w:val="0"/>
          <w:kern w:val="0"/>
          <w:sz w:val="24"/>
        </w:rPr>
      </w:pPr>
    </w:p>
    <w:p w14:paraId="14FE2CD0">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问题澄清通知</w:t>
      </w:r>
    </w:p>
    <w:p w14:paraId="7A9D89CC">
      <w:pPr>
        <w:autoSpaceDE w:val="0"/>
        <w:autoSpaceDN w:val="0"/>
        <w:adjustRightInd w:val="0"/>
        <w:snapToGrid w:val="0"/>
        <w:spacing w:line="360" w:lineRule="auto"/>
        <w:jc w:val="left"/>
        <w:rPr>
          <w:rFonts w:ascii="宋体" w:hAnsi="宋体"/>
          <w:b/>
          <w:snapToGrid w:val="0"/>
          <w:kern w:val="0"/>
          <w:sz w:val="24"/>
        </w:rPr>
      </w:pPr>
    </w:p>
    <w:p w14:paraId="2091E2D0">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5EB11187">
      <w:pPr>
        <w:autoSpaceDE w:val="0"/>
        <w:autoSpaceDN w:val="0"/>
        <w:adjustRightInd w:val="0"/>
        <w:snapToGrid w:val="0"/>
        <w:spacing w:line="360" w:lineRule="auto"/>
        <w:jc w:val="left"/>
        <w:rPr>
          <w:rFonts w:ascii="宋体" w:hAnsi="宋体"/>
          <w:b/>
          <w:snapToGrid w:val="0"/>
          <w:kern w:val="0"/>
          <w:sz w:val="24"/>
        </w:rPr>
      </w:pPr>
    </w:p>
    <w:p w14:paraId="56249369">
      <w:pPr>
        <w:autoSpaceDE w:val="0"/>
        <w:autoSpaceDN w:val="0"/>
        <w:adjustRightInd w:val="0"/>
        <w:snapToGrid w:val="0"/>
        <w:spacing w:line="360" w:lineRule="auto"/>
        <w:rPr>
          <w:rFonts w:ascii="宋体" w:hAnsi="宋体"/>
          <w:snapToGrid w:val="0"/>
          <w:kern w:val="0"/>
          <w:sz w:val="28"/>
          <w:szCs w:val="28"/>
        </w:rPr>
      </w:pPr>
    </w:p>
    <w:p w14:paraId="655E5DCD">
      <w:pPr>
        <w:tabs>
          <w:tab w:val="left" w:pos="158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（投标人名称）</w:t>
      </w:r>
      <w:r>
        <w:rPr>
          <w:rFonts w:ascii="宋体" w:hAnsi="宋体"/>
          <w:snapToGrid w:val="0"/>
          <w:kern w:val="0"/>
          <w:szCs w:val="21"/>
        </w:rPr>
        <w:t>：</w:t>
      </w:r>
    </w:p>
    <w:p w14:paraId="29A95A68">
      <w:pPr>
        <w:tabs>
          <w:tab w:val="left" w:pos="2320"/>
          <w:tab w:val="left" w:pos="4460"/>
        </w:tabs>
        <w:autoSpaceDE w:val="0"/>
        <w:autoSpaceDN w:val="0"/>
        <w:adjustRightInd w:val="0"/>
        <w:snapToGrid w:val="0"/>
        <w:spacing w:line="480" w:lineRule="auto"/>
        <w:ind w:firstLine="424" w:firstLineChars="101"/>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ascii="宋体" w:hAnsi="宋体"/>
          <w:snapToGrid w:val="0"/>
          <w:kern w:val="0"/>
          <w:szCs w:val="21"/>
        </w:rPr>
        <w:t>的评标委员会，对你方的投标文件进行了仔细的审查，现需你方对下列问题予以澄清：</w:t>
      </w:r>
    </w:p>
    <w:p w14:paraId="3D5114AC">
      <w:pPr>
        <w:autoSpaceDE w:val="0"/>
        <w:autoSpaceDN w:val="0"/>
        <w:adjustRightInd w:val="0"/>
        <w:snapToGrid w:val="0"/>
        <w:spacing w:line="360" w:lineRule="auto"/>
        <w:jc w:val="left"/>
        <w:rPr>
          <w:rFonts w:ascii="宋体" w:hAnsi="宋体"/>
          <w:snapToGrid w:val="0"/>
          <w:kern w:val="0"/>
          <w:sz w:val="24"/>
        </w:rPr>
      </w:pPr>
    </w:p>
    <w:p w14:paraId="66AB3127">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2A9CE5DA">
      <w:pPr>
        <w:autoSpaceDE w:val="0"/>
        <w:autoSpaceDN w:val="0"/>
        <w:adjustRightInd w:val="0"/>
        <w:snapToGrid w:val="0"/>
        <w:spacing w:line="360" w:lineRule="auto"/>
        <w:jc w:val="left"/>
        <w:rPr>
          <w:rFonts w:ascii="宋体" w:hAnsi="宋体"/>
          <w:snapToGrid w:val="0"/>
          <w:kern w:val="0"/>
          <w:szCs w:val="21"/>
        </w:rPr>
      </w:pPr>
    </w:p>
    <w:p w14:paraId="03DAEF8E">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3772E35F">
      <w:pPr>
        <w:autoSpaceDE w:val="0"/>
        <w:autoSpaceDN w:val="0"/>
        <w:adjustRightInd w:val="0"/>
        <w:snapToGrid w:val="0"/>
        <w:spacing w:line="360" w:lineRule="auto"/>
        <w:jc w:val="left"/>
        <w:rPr>
          <w:rFonts w:ascii="宋体" w:hAnsi="宋体"/>
          <w:snapToGrid w:val="0"/>
          <w:kern w:val="0"/>
          <w:szCs w:val="21"/>
        </w:rPr>
      </w:pPr>
    </w:p>
    <w:p w14:paraId="14F0FD44">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4AD9C7DC">
      <w:pPr>
        <w:autoSpaceDE w:val="0"/>
        <w:autoSpaceDN w:val="0"/>
        <w:adjustRightInd w:val="0"/>
        <w:snapToGrid w:val="0"/>
        <w:spacing w:line="360" w:lineRule="auto"/>
        <w:jc w:val="left"/>
        <w:rPr>
          <w:rFonts w:ascii="宋体" w:hAnsi="宋体"/>
          <w:snapToGrid w:val="0"/>
          <w:kern w:val="0"/>
          <w:sz w:val="14"/>
          <w:szCs w:val="14"/>
        </w:rPr>
      </w:pPr>
    </w:p>
    <w:p w14:paraId="233E5896">
      <w:pPr>
        <w:autoSpaceDE w:val="0"/>
        <w:autoSpaceDN w:val="0"/>
        <w:adjustRightInd w:val="0"/>
        <w:snapToGrid w:val="0"/>
        <w:spacing w:line="360" w:lineRule="auto"/>
        <w:jc w:val="left"/>
        <w:rPr>
          <w:rFonts w:ascii="宋体" w:hAnsi="宋体"/>
          <w:snapToGrid w:val="0"/>
          <w:kern w:val="0"/>
          <w:sz w:val="14"/>
          <w:szCs w:val="14"/>
        </w:rPr>
      </w:pPr>
    </w:p>
    <w:p w14:paraId="688CC331">
      <w:pPr>
        <w:autoSpaceDE w:val="0"/>
        <w:autoSpaceDN w:val="0"/>
        <w:adjustRightInd w:val="0"/>
        <w:snapToGrid w:val="0"/>
        <w:spacing w:line="360" w:lineRule="auto"/>
        <w:jc w:val="left"/>
        <w:rPr>
          <w:rFonts w:ascii="宋体" w:hAnsi="宋体"/>
          <w:snapToGrid w:val="0"/>
          <w:kern w:val="0"/>
          <w:sz w:val="14"/>
          <w:szCs w:val="14"/>
        </w:rPr>
      </w:pPr>
    </w:p>
    <w:p w14:paraId="4B0733FB">
      <w:pPr>
        <w:autoSpaceDE w:val="0"/>
        <w:autoSpaceDN w:val="0"/>
        <w:adjustRightInd w:val="0"/>
        <w:snapToGrid w:val="0"/>
        <w:spacing w:line="360" w:lineRule="auto"/>
        <w:jc w:val="left"/>
        <w:rPr>
          <w:rFonts w:ascii="宋体" w:hAnsi="宋体"/>
          <w:snapToGrid w:val="0"/>
          <w:kern w:val="0"/>
          <w:sz w:val="20"/>
          <w:szCs w:val="20"/>
        </w:rPr>
      </w:pPr>
    </w:p>
    <w:p w14:paraId="5175C276">
      <w:pPr>
        <w:tabs>
          <w:tab w:val="left" w:pos="2745"/>
          <w:tab w:val="left" w:pos="3360"/>
          <w:tab w:val="left" w:pos="4060"/>
          <w:tab w:val="left" w:pos="4760"/>
          <w:tab w:val="left" w:pos="5360"/>
          <w:tab w:val="left" w:pos="5800"/>
          <w:tab w:val="left" w:pos="6735"/>
          <w:tab w:val="left" w:pos="7260"/>
          <w:tab w:val="left" w:pos="8000"/>
        </w:tabs>
        <w:autoSpaceDE w:val="0"/>
        <w:autoSpaceDN w:val="0"/>
        <w:adjustRightInd w:val="0"/>
        <w:snapToGrid w:val="0"/>
        <w:spacing w:line="480" w:lineRule="auto"/>
        <w:ind w:firstLine="420"/>
        <w:rPr>
          <w:rFonts w:ascii="宋体" w:hAnsi="宋体"/>
          <w:snapToGrid w:val="0"/>
          <w:kern w:val="0"/>
          <w:szCs w:val="21"/>
        </w:rPr>
      </w:pPr>
      <w:r>
        <w:rPr>
          <w:rFonts w:ascii="宋体" w:hAnsi="宋体"/>
          <w:snapToGrid w:val="0"/>
          <w:kern w:val="0"/>
          <w:szCs w:val="21"/>
        </w:rPr>
        <w:t>请将上述问题的澄清于</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u w:val="single"/>
        </w:rPr>
        <w:t xml:space="preserve">     </w:t>
      </w:r>
      <w:r>
        <w:rPr>
          <w:rFonts w:ascii="宋体" w:hAnsi="宋体"/>
          <w:snapToGrid w:val="0"/>
          <w:kern w:val="0"/>
          <w:szCs w:val="21"/>
        </w:rPr>
        <w:t>时前</w:t>
      </w:r>
      <w:r>
        <w:rPr>
          <w:rFonts w:hint="eastAsia" w:ascii="宋体" w:hAnsi="宋体"/>
          <w:snapToGrid w:val="0"/>
          <w:kern w:val="0"/>
          <w:szCs w:val="21"/>
        </w:rPr>
        <w:t>通过</w:t>
      </w:r>
      <w:r>
        <w:rPr>
          <w:rFonts w:hint="eastAsia" w:ascii="宋体" w:hAnsi="宋体"/>
          <w:snapToGrid w:val="0"/>
          <w:kern w:val="0"/>
          <w:szCs w:val="21"/>
          <w:lang w:val="en-US" w:eastAsia="zh-CN"/>
        </w:rPr>
        <w:t>原件或复印件</w:t>
      </w:r>
      <w:r>
        <w:rPr>
          <w:rFonts w:hint="eastAsia" w:ascii="宋体" w:hAnsi="宋体"/>
          <w:snapToGrid w:val="0"/>
          <w:kern w:val="0"/>
          <w:szCs w:val="21"/>
        </w:rPr>
        <w:t>提交</w:t>
      </w:r>
      <w:r>
        <w:rPr>
          <w:rFonts w:ascii="宋体" w:hAnsi="宋体"/>
          <w:snapToGrid w:val="0"/>
          <w:kern w:val="0"/>
          <w:szCs w:val="21"/>
        </w:rPr>
        <w:t>。</w:t>
      </w:r>
    </w:p>
    <w:p w14:paraId="3AB2E896">
      <w:pPr>
        <w:autoSpaceDE w:val="0"/>
        <w:autoSpaceDN w:val="0"/>
        <w:adjustRightInd w:val="0"/>
        <w:snapToGrid w:val="0"/>
        <w:spacing w:line="360" w:lineRule="auto"/>
        <w:jc w:val="left"/>
        <w:rPr>
          <w:rFonts w:ascii="宋体" w:hAnsi="宋体"/>
          <w:snapToGrid w:val="0"/>
          <w:kern w:val="0"/>
          <w:sz w:val="20"/>
          <w:szCs w:val="20"/>
        </w:rPr>
      </w:pPr>
    </w:p>
    <w:p w14:paraId="0FC1C4FC">
      <w:pPr>
        <w:tabs>
          <w:tab w:val="left" w:pos="6400"/>
        </w:tabs>
        <w:autoSpaceDE w:val="0"/>
        <w:autoSpaceDN w:val="0"/>
        <w:adjustRightInd w:val="0"/>
        <w:snapToGrid w:val="0"/>
        <w:spacing w:line="360" w:lineRule="auto"/>
        <w:jc w:val="right"/>
        <w:rPr>
          <w:rFonts w:ascii="宋体" w:hAnsi="宋体"/>
          <w:snapToGrid w:val="0"/>
          <w:kern w:val="0"/>
          <w:szCs w:val="21"/>
        </w:rPr>
      </w:pPr>
      <w:r>
        <w:rPr>
          <w:rFonts w:ascii="宋体" w:hAnsi="宋体"/>
          <w:snapToGrid w:val="0"/>
          <w:kern w:val="0"/>
          <w:szCs w:val="21"/>
        </w:rPr>
        <w:t xml:space="preserve">                             评标委员会：</w:t>
      </w:r>
      <w:r>
        <w:rPr>
          <w:rFonts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w:t>
      </w:r>
    </w:p>
    <w:p w14:paraId="11A4BC53">
      <w:pPr>
        <w:tabs>
          <w:tab w:val="left" w:pos="6400"/>
        </w:tabs>
        <w:autoSpaceDE w:val="0"/>
        <w:autoSpaceDN w:val="0"/>
        <w:adjustRightInd w:val="0"/>
        <w:snapToGrid w:val="0"/>
        <w:spacing w:line="360" w:lineRule="auto"/>
        <w:ind w:right="120"/>
        <w:jc w:val="right"/>
        <w:rPr>
          <w:rFonts w:ascii="宋体" w:hAnsi="宋体"/>
          <w:snapToGrid w:val="0"/>
          <w:kern w:val="0"/>
          <w:sz w:val="24"/>
        </w:rPr>
      </w:pPr>
      <w:r>
        <w:rPr>
          <w:rFonts w:ascii="宋体" w:hAnsi="宋体"/>
          <w:snapToGrid w:val="0"/>
          <w:kern w:val="0"/>
          <w:sz w:val="24"/>
        </w:rPr>
        <w:t xml:space="preserve"> </w:t>
      </w:r>
    </w:p>
    <w:p w14:paraId="61DE19A9">
      <w:pPr>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p>
    <w:p w14:paraId="42E73133">
      <w:pPr>
        <w:wordWrap w:val="0"/>
        <w:autoSpaceDE w:val="0"/>
        <w:autoSpaceDN w:val="0"/>
        <w:adjustRightInd w:val="0"/>
        <w:snapToGrid w:val="0"/>
        <w:spacing w:line="360" w:lineRule="auto"/>
        <w:ind w:firstLine="850" w:firstLineChars="405"/>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50179EAD">
      <w:pPr>
        <w:autoSpaceDE w:val="0"/>
        <w:autoSpaceDN w:val="0"/>
        <w:adjustRightInd w:val="0"/>
        <w:snapToGrid w:val="0"/>
        <w:spacing w:line="360" w:lineRule="auto"/>
        <w:jc w:val="left"/>
        <w:rPr>
          <w:rFonts w:ascii="宋体" w:hAnsi="宋体"/>
          <w:b/>
          <w:snapToGrid w:val="0"/>
          <w:kern w:val="0"/>
        </w:rPr>
      </w:pPr>
      <w:r>
        <w:rPr>
          <w:rFonts w:ascii="宋体" w:hAnsi="宋体"/>
          <w:b/>
          <w:snapToGrid w:val="0"/>
          <w:kern w:val="0"/>
          <w:sz w:val="24"/>
        </w:rPr>
        <w:br w:type="page"/>
      </w:r>
      <w:r>
        <w:rPr>
          <w:rFonts w:ascii="宋体" w:hAnsi="宋体"/>
          <w:b/>
          <w:snapToGrid w:val="0"/>
          <w:kern w:val="0"/>
        </w:rPr>
        <w:t>附表</w:t>
      </w:r>
      <w:r>
        <w:rPr>
          <w:rFonts w:hint="eastAsia" w:ascii="宋体" w:hAnsi="宋体"/>
          <w:b/>
          <w:snapToGrid w:val="0"/>
          <w:kern w:val="0"/>
        </w:rPr>
        <w:t>四</w:t>
      </w:r>
      <w:r>
        <w:rPr>
          <w:rFonts w:ascii="宋体" w:hAnsi="宋体"/>
          <w:b/>
          <w:snapToGrid w:val="0"/>
          <w:kern w:val="0"/>
        </w:rPr>
        <w:t>：问题的澄清</w:t>
      </w:r>
    </w:p>
    <w:p w14:paraId="297156EA">
      <w:pPr>
        <w:autoSpaceDE w:val="0"/>
        <w:autoSpaceDN w:val="0"/>
        <w:adjustRightInd w:val="0"/>
        <w:snapToGrid w:val="0"/>
        <w:spacing w:line="360" w:lineRule="auto"/>
        <w:jc w:val="left"/>
        <w:rPr>
          <w:rFonts w:ascii="宋体" w:hAnsi="宋体"/>
          <w:b/>
          <w:snapToGrid w:val="0"/>
          <w:kern w:val="0"/>
          <w:sz w:val="10"/>
          <w:szCs w:val="10"/>
        </w:rPr>
      </w:pPr>
    </w:p>
    <w:p w14:paraId="4B552F27">
      <w:pPr>
        <w:autoSpaceDE w:val="0"/>
        <w:autoSpaceDN w:val="0"/>
        <w:adjustRightInd w:val="0"/>
        <w:snapToGrid w:val="0"/>
        <w:spacing w:line="360" w:lineRule="auto"/>
        <w:jc w:val="center"/>
        <w:rPr>
          <w:rFonts w:ascii="宋体" w:hAnsi="宋体"/>
          <w:b/>
          <w:snapToGrid w:val="0"/>
          <w:kern w:val="0"/>
          <w:sz w:val="32"/>
          <w:szCs w:val="32"/>
        </w:rPr>
      </w:pPr>
      <w:r>
        <w:rPr>
          <w:rFonts w:ascii="宋体" w:hAnsi="宋体"/>
          <w:b/>
          <w:snapToGrid w:val="0"/>
          <w:w w:val="99"/>
          <w:kern w:val="0"/>
          <w:sz w:val="32"/>
          <w:szCs w:val="32"/>
        </w:rPr>
        <w:t>问题的澄清</w:t>
      </w:r>
    </w:p>
    <w:p w14:paraId="3EC79130">
      <w:pPr>
        <w:autoSpaceDE w:val="0"/>
        <w:autoSpaceDN w:val="0"/>
        <w:adjustRightInd w:val="0"/>
        <w:snapToGrid w:val="0"/>
        <w:spacing w:line="360" w:lineRule="auto"/>
        <w:ind w:firstLine="3255" w:firstLineChars="1550"/>
        <w:jc w:val="left"/>
        <w:rPr>
          <w:rFonts w:ascii="宋体" w:hAnsi="宋体"/>
          <w:snapToGrid w:val="0"/>
          <w:kern w:val="0"/>
          <w:szCs w:val="21"/>
        </w:rPr>
      </w:pPr>
    </w:p>
    <w:p w14:paraId="12AB1809">
      <w:pPr>
        <w:autoSpaceDE w:val="0"/>
        <w:autoSpaceDN w:val="0"/>
        <w:adjustRightInd w:val="0"/>
        <w:snapToGrid w:val="0"/>
        <w:spacing w:line="360" w:lineRule="auto"/>
        <w:ind w:firstLine="3255" w:firstLineChars="1550"/>
        <w:jc w:val="left"/>
        <w:rPr>
          <w:rFonts w:ascii="宋体" w:hAnsi="宋体"/>
          <w:snapToGrid w:val="0"/>
          <w:kern w:val="0"/>
          <w:szCs w:val="21"/>
          <w:u w:val="single"/>
        </w:rPr>
      </w:pPr>
      <w:r>
        <w:rPr>
          <w:rFonts w:ascii="宋体" w:hAnsi="宋体"/>
          <w:snapToGrid w:val="0"/>
          <w:kern w:val="0"/>
          <w:szCs w:val="21"/>
        </w:rPr>
        <w:t>编号：</w:t>
      </w:r>
      <w:r>
        <w:rPr>
          <w:rFonts w:hint="eastAsia" w:ascii="宋体" w:hAnsi="宋体"/>
          <w:snapToGrid w:val="0"/>
          <w:kern w:val="0"/>
          <w:szCs w:val="21"/>
          <w:u w:val="single"/>
        </w:rPr>
        <w:t xml:space="preserve">                     </w:t>
      </w:r>
    </w:p>
    <w:p w14:paraId="3B935307">
      <w:pPr>
        <w:autoSpaceDE w:val="0"/>
        <w:autoSpaceDN w:val="0"/>
        <w:adjustRightInd w:val="0"/>
        <w:snapToGrid w:val="0"/>
        <w:spacing w:line="360" w:lineRule="auto"/>
        <w:ind w:firstLine="3150" w:firstLineChars="1500"/>
        <w:rPr>
          <w:rFonts w:ascii="宋体" w:hAnsi="宋体"/>
          <w:snapToGrid w:val="0"/>
          <w:kern w:val="0"/>
          <w:szCs w:val="21"/>
        </w:rPr>
      </w:pPr>
    </w:p>
    <w:p w14:paraId="71AA4123">
      <w:pPr>
        <w:autoSpaceDE w:val="0"/>
        <w:autoSpaceDN w:val="0"/>
        <w:adjustRightInd w:val="0"/>
        <w:snapToGrid w:val="0"/>
        <w:spacing w:line="360" w:lineRule="auto"/>
        <w:ind w:firstLine="3150" w:firstLineChars="1500"/>
        <w:rPr>
          <w:rFonts w:ascii="宋体" w:hAnsi="宋体"/>
          <w:snapToGrid w:val="0"/>
          <w:kern w:val="0"/>
          <w:szCs w:val="21"/>
        </w:rPr>
      </w:pPr>
    </w:p>
    <w:p w14:paraId="0B13446B">
      <w:pPr>
        <w:tabs>
          <w:tab w:val="left" w:pos="735"/>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（项目名称）</w:t>
      </w:r>
      <w:r>
        <w:rPr>
          <w:rFonts w:hint="eastAsia" w:ascii="宋体" w:hAnsi="宋体"/>
          <w:snapToGrid w:val="0"/>
          <w:kern w:val="0"/>
          <w:szCs w:val="21"/>
          <w:u w:val="single"/>
        </w:rPr>
        <w:t xml:space="preserve">    </w:t>
      </w:r>
      <w:r>
        <w:rPr>
          <w:rFonts w:ascii="宋体" w:hAnsi="宋体"/>
          <w:snapToGrid w:val="0"/>
          <w:kern w:val="0"/>
          <w:szCs w:val="21"/>
        </w:rPr>
        <w:t>招标评标委员会：</w:t>
      </w:r>
    </w:p>
    <w:p w14:paraId="3C9E96C6">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问题澄清通知（编号：</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u w:val="single"/>
        </w:rPr>
        <w:tab/>
      </w:r>
      <w:r>
        <w:rPr>
          <w:rFonts w:ascii="宋体" w:hAnsi="宋体"/>
          <w:snapToGrid w:val="0"/>
          <w:kern w:val="0"/>
          <w:szCs w:val="21"/>
        </w:rPr>
        <w:t>）已收悉，现澄清如下：</w:t>
      </w:r>
    </w:p>
    <w:p w14:paraId="6D7BD9A3">
      <w:pPr>
        <w:tabs>
          <w:tab w:val="left" w:pos="2000"/>
          <w:tab w:val="left" w:pos="3480"/>
          <w:tab w:val="left" w:pos="4200"/>
        </w:tabs>
        <w:autoSpaceDE w:val="0"/>
        <w:autoSpaceDN w:val="0"/>
        <w:adjustRightInd w:val="0"/>
        <w:snapToGrid w:val="0"/>
        <w:spacing w:line="360" w:lineRule="auto"/>
        <w:jc w:val="left"/>
        <w:rPr>
          <w:rFonts w:ascii="宋体" w:hAnsi="宋体"/>
          <w:snapToGrid w:val="0"/>
          <w:kern w:val="0"/>
          <w:szCs w:val="21"/>
        </w:rPr>
      </w:pPr>
    </w:p>
    <w:p w14:paraId="05C0CED7">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1. </w:t>
      </w:r>
    </w:p>
    <w:p w14:paraId="52C61DEA">
      <w:pPr>
        <w:autoSpaceDE w:val="0"/>
        <w:autoSpaceDN w:val="0"/>
        <w:adjustRightInd w:val="0"/>
        <w:snapToGrid w:val="0"/>
        <w:spacing w:line="360" w:lineRule="auto"/>
        <w:jc w:val="left"/>
        <w:rPr>
          <w:rFonts w:ascii="宋体" w:hAnsi="宋体"/>
          <w:snapToGrid w:val="0"/>
          <w:kern w:val="0"/>
          <w:sz w:val="18"/>
          <w:szCs w:val="18"/>
        </w:rPr>
      </w:pPr>
    </w:p>
    <w:p w14:paraId="27AEA64E">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 xml:space="preserve">2. </w:t>
      </w:r>
    </w:p>
    <w:p w14:paraId="44BEC0F9">
      <w:pPr>
        <w:autoSpaceDE w:val="0"/>
        <w:autoSpaceDN w:val="0"/>
        <w:adjustRightInd w:val="0"/>
        <w:snapToGrid w:val="0"/>
        <w:spacing w:line="360" w:lineRule="auto"/>
        <w:jc w:val="left"/>
        <w:rPr>
          <w:rFonts w:ascii="宋体" w:hAnsi="宋体"/>
          <w:snapToGrid w:val="0"/>
          <w:kern w:val="0"/>
          <w:sz w:val="22"/>
          <w:szCs w:val="22"/>
        </w:rPr>
      </w:pPr>
    </w:p>
    <w:p w14:paraId="718E1928">
      <w:pPr>
        <w:autoSpaceDE w:val="0"/>
        <w:autoSpaceDN w:val="0"/>
        <w:adjustRightInd w:val="0"/>
        <w:snapToGrid w:val="0"/>
        <w:spacing w:line="360" w:lineRule="auto"/>
        <w:jc w:val="left"/>
        <w:rPr>
          <w:rFonts w:ascii="宋体" w:hAnsi="宋体"/>
          <w:snapToGrid w:val="0"/>
          <w:kern w:val="0"/>
          <w:szCs w:val="21"/>
        </w:rPr>
      </w:pPr>
      <w:r>
        <w:rPr>
          <w:rFonts w:ascii="宋体" w:hAnsi="宋体"/>
          <w:snapToGrid w:val="0"/>
          <w:kern w:val="0"/>
          <w:szCs w:val="21"/>
        </w:rPr>
        <w:t>.....</w:t>
      </w:r>
    </w:p>
    <w:p w14:paraId="6AE304C7">
      <w:pPr>
        <w:autoSpaceDE w:val="0"/>
        <w:autoSpaceDN w:val="0"/>
        <w:adjustRightInd w:val="0"/>
        <w:snapToGrid w:val="0"/>
        <w:spacing w:line="360" w:lineRule="auto"/>
        <w:jc w:val="left"/>
        <w:rPr>
          <w:rFonts w:ascii="宋体" w:hAnsi="宋体"/>
          <w:snapToGrid w:val="0"/>
          <w:kern w:val="0"/>
          <w:sz w:val="18"/>
          <w:szCs w:val="18"/>
        </w:rPr>
      </w:pPr>
    </w:p>
    <w:p w14:paraId="6279507B">
      <w:pPr>
        <w:tabs>
          <w:tab w:val="left" w:pos="2000"/>
          <w:tab w:val="left" w:pos="3480"/>
          <w:tab w:val="left" w:pos="4200"/>
        </w:tabs>
        <w:autoSpaceDE w:val="0"/>
        <w:autoSpaceDN w:val="0"/>
        <w:adjustRightInd w:val="0"/>
        <w:snapToGrid w:val="0"/>
        <w:spacing w:line="480" w:lineRule="auto"/>
        <w:jc w:val="left"/>
        <w:rPr>
          <w:rFonts w:ascii="宋体" w:hAnsi="宋体"/>
          <w:snapToGrid w:val="0"/>
          <w:kern w:val="0"/>
          <w:szCs w:val="21"/>
        </w:rPr>
      </w:pPr>
      <w:r>
        <w:rPr>
          <w:rFonts w:ascii="宋体" w:hAnsi="宋体"/>
          <w:snapToGrid w:val="0"/>
          <w:kern w:val="0"/>
          <w:szCs w:val="21"/>
        </w:rPr>
        <w:t>上述问题</w:t>
      </w:r>
      <w:r>
        <w:rPr>
          <w:rFonts w:hint="eastAsia" w:ascii="宋体" w:hAnsi="宋体"/>
          <w:snapToGrid w:val="0"/>
          <w:kern w:val="0"/>
          <w:szCs w:val="21"/>
        </w:rPr>
        <w:t>的</w:t>
      </w:r>
      <w:r>
        <w:rPr>
          <w:rFonts w:ascii="宋体" w:hAnsi="宋体"/>
          <w:snapToGrid w:val="0"/>
          <w:kern w:val="0"/>
          <w:szCs w:val="21"/>
        </w:rPr>
        <w:t>澄清，不改变我方投标文件的实质性内容，构成我方投标文件的组成部分。</w:t>
      </w:r>
    </w:p>
    <w:p w14:paraId="0CE9CE38">
      <w:pPr>
        <w:autoSpaceDE w:val="0"/>
        <w:autoSpaceDN w:val="0"/>
        <w:adjustRightInd w:val="0"/>
        <w:snapToGrid w:val="0"/>
        <w:spacing w:line="360" w:lineRule="auto"/>
        <w:jc w:val="left"/>
        <w:rPr>
          <w:rFonts w:ascii="宋体" w:hAnsi="宋体"/>
          <w:snapToGrid w:val="0"/>
          <w:kern w:val="0"/>
          <w:sz w:val="20"/>
          <w:szCs w:val="20"/>
        </w:rPr>
      </w:pPr>
    </w:p>
    <w:p w14:paraId="5386FE23">
      <w:pPr>
        <w:autoSpaceDE w:val="0"/>
        <w:autoSpaceDN w:val="0"/>
        <w:adjustRightInd w:val="0"/>
        <w:snapToGrid w:val="0"/>
        <w:spacing w:line="360" w:lineRule="auto"/>
        <w:jc w:val="right"/>
        <w:rPr>
          <w:rFonts w:ascii="宋体" w:hAnsi="宋体"/>
          <w:snapToGrid w:val="0"/>
          <w:kern w:val="0"/>
          <w:sz w:val="20"/>
          <w:szCs w:val="20"/>
        </w:rPr>
      </w:pPr>
    </w:p>
    <w:p w14:paraId="602EA2A4">
      <w:pPr>
        <w:tabs>
          <w:tab w:val="left" w:pos="7035"/>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投标人：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 xml:space="preserve">（盖单位法人章） </w:t>
      </w:r>
    </w:p>
    <w:p w14:paraId="4BF41E84">
      <w:pPr>
        <w:tabs>
          <w:tab w:val="left" w:pos="6620"/>
          <w:tab w:val="left" w:pos="7040"/>
        </w:tabs>
        <w:autoSpaceDE w:val="0"/>
        <w:autoSpaceDN w:val="0"/>
        <w:adjustRightInd w:val="0"/>
        <w:snapToGrid w:val="0"/>
        <w:spacing w:line="480" w:lineRule="auto"/>
        <w:ind w:firstLine="2551" w:firstLineChars="1215"/>
        <w:jc w:val="right"/>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w w:val="200"/>
          <w:kern w:val="0"/>
          <w:szCs w:val="21"/>
          <w:u w:val="single"/>
        </w:rPr>
        <w:t xml:space="preserve"> </w:t>
      </w:r>
      <w:r>
        <w:rPr>
          <w:rFonts w:hint="eastAsia" w:ascii="宋体" w:hAnsi="宋体"/>
          <w:snapToGrid w:val="0"/>
          <w:w w:val="20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0BD427F5">
      <w:pPr>
        <w:autoSpaceDE w:val="0"/>
        <w:autoSpaceDN w:val="0"/>
        <w:adjustRightInd w:val="0"/>
        <w:snapToGrid w:val="0"/>
        <w:spacing w:line="360" w:lineRule="auto"/>
        <w:jc w:val="right"/>
        <w:rPr>
          <w:rFonts w:ascii="宋体" w:hAnsi="宋体"/>
          <w:snapToGrid w:val="0"/>
          <w:kern w:val="0"/>
          <w:sz w:val="20"/>
          <w:szCs w:val="20"/>
        </w:rPr>
      </w:pPr>
    </w:p>
    <w:p w14:paraId="2623ADCF">
      <w:pPr>
        <w:wordWrap w:val="0"/>
        <w:autoSpaceDE w:val="0"/>
        <w:autoSpaceDN w:val="0"/>
        <w:adjustRightInd w:val="0"/>
        <w:snapToGrid w:val="0"/>
        <w:spacing w:line="360" w:lineRule="auto"/>
        <w:ind w:firstLine="315" w:firstLineChars="150"/>
        <w:jc w:val="right"/>
        <w:rPr>
          <w:rFonts w:ascii="宋体" w:hAnsi="宋体"/>
          <w:snapToGrid w:val="0"/>
          <w:kern w:val="0"/>
          <w:szCs w:val="21"/>
        </w:rPr>
      </w:pPr>
      <w:r>
        <w:rPr>
          <w:rFonts w:ascii="宋体" w:hAnsi="宋体"/>
          <w:snapToGrid w:val="0"/>
          <w:kern w:val="0"/>
          <w:szCs w:val="21"/>
        </w:rPr>
        <w:t xml:space="preserve">                                          </w:t>
      </w:r>
      <w:r>
        <w:rPr>
          <w:rFonts w:hint="eastAsia" w:ascii="宋体" w:hAnsi="宋体"/>
          <w:snapToGrid w:val="0"/>
          <w:kern w:val="0"/>
          <w:szCs w:val="21"/>
          <w:u w:val="single"/>
        </w:rPr>
        <w:t xml:space="preserve">        </w:t>
      </w:r>
      <w:r>
        <w:rPr>
          <w:rFonts w:ascii="宋体" w:hAnsi="宋体"/>
          <w:snapToGrid w:val="0"/>
          <w:kern w:val="0"/>
          <w:szCs w:val="21"/>
        </w:rPr>
        <w:t>年</w:t>
      </w:r>
      <w:r>
        <w:rPr>
          <w:rFonts w:hint="eastAsia" w:ascii="宋体" w:hAnsi="宋体"/>
          <w:snapToGrid w:val="0"/>
          <w:kern w:val="0"/>
          <w:szCs w:val="21"/>
          <w:u w:val="single"/>
        </w:rPr>
        <w:t xml:space="preserve">     </w:t>
      </w:r>
      <w:r>
        <w:rPr>
          <w:rFonts w:ascii="宋体" w:hAnsi="宋体"/>
          <w:snapToGrid w:val="0"/>
          <w:kern w:val="0"/>
          <w:szCs w:val="21"/>
        </w:rPr>
        <w:t>月</w:t>
      </w:r>
      <w:r>
        <w:rPr>
          <w:rFonts w:ascii="宋体" w:hAnsi="宋体"/>
          <w:snapToGrid w:val="0"/>
          <w:w w:val="20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日</w:t>
      </w:r>
      <w:r>
        <w:rPr>
          <w:rFonts w:hint="eastAsia" w:ascii="宋体" w:hAnsi="宋体"/>
          <w:snapToGrid w:val="0"/>
          <w:kern w:val="0"/>
          <w:szCs w:val="21"/>
        </w:rPr>
        <w:t xml:space="preserve"> </w:t>
      </w:r>
    </w:p>
    <w:p w14:paraId="2FEF8F93">
      <w:pPr>
        <w:autoSpaceDE w:val="0"/>
        <w:autoSpaceDN w:val="0"/>
        <w:adjustRightInd w:val="0"/>
        <w:snapToGrid w:val="0"/>
        <w:spacing w:line="360" w:lineRule="auto"/>
        <w:jc w:val="left"/>
        <w:rPr>
          <w:rFonts w:ascii="宋体" w:hAnsi="宋体"/>
          <w:b/>
          <w:snapToGrid w:val="0"/>
          <w:kern w:val="0"/>
          <w:sz w:val="24"/>
        </w:rPr>
      </w:pPr>
    </w:p>
    <w:p w14:paraId="3359E93F">
      <w:pPr>
        <w:autoSpaceDE/>
        <w:autoSpaceDN/>
        <w:adjustRightInd/>
        <w:snapToGrid/>
        <w:spacing w:line="240" w:lineRule="auto"/>
        <w:jc w:val="left"/>
        <w:rPr>
          <w:rFonts w:ascii="宋体" w:hAnsi="宋体"/>
          <w:b/>
          <w:snapToGrid w:val="0"/>
          <w:kern w:val="0"/>
        </w:rPr>
      </w:pPr>
      <w:r>
        <w:rPr>
          <w:rFonts w:ascii="宋体" w:hAnsi="宋体"/>
          <w:b/>
          <w:snapToGrid w:val="0"/>
          <w:kern w:val="0"/>
        </w:rPr>
        <w:br w:type="page"/>
      </w:r>
    </w:p>
    <w:p w14:paraId="5BAC55BA">
      <w:pPr>
        <w:autoSpaceDE w:val="0"/>
        <w:autoSpaceDN w:val="0"/>
        <w:adjustRightInd w:val="0"/>
        <w:snapToGrid w:val="0"/>
        <w:spacing w:line="360" w:lineRule="auto"/>
        <w:jc w:val="left"/>
        <w:rPr>
          <w:rFonts w:ascii="宋体" w:hAnsi="宋体"/>
          <w:snapToGrid w:val="0"/>
          <w:kern w:val="0"/>
          <w:sz w:val="20"/>
          <w:szCs w:val="20"/>
        </w:rPr>
      </w:pPr>
      <w:r>
        <w:rPr>
          <w:rFonts w:ascii="宋体" w:hAnsi="宋体"/>
          <w:b/>
          <w:snapToGrid w:val="0"/>
          <w:kern w:val="0"/>
        </w:rPr>
        <w:t>附表</w:t>
      </w:r>
      <w:r>
        <w:rPr>
          <w:rFonts w:hint="eastAsia" w:ascii="宋体" w:hAnsi="宋体"/>
          <w:b/>
          <w:snapToGrid w:val="0"/>
          <w:kern w:val="0"/>
        </w:rPr>
        <w:t>五</w:t>
      </w:r>
      <w:r>
        <w:rPr>
          <w:rFonts w:ascii="宋体" w:hAnsi="宋体"/>
          <w:b/>
          <w:snapToGrid w:val="0"/>
          <w:kern w:val="0"/>
        </w:rPr>
        <w:t>：中标通知书</w:t>
      </w:r>
    </w:p>
    <w:p w14:paraId="4F73DD3E">
      <w:pPr>
        <w:autoSpaceDE w:val="0"/>
        <w:autoSpaceDN w:val="0"/>
        <w:adjustRightInd w:val="0"/>
        <w:spacing w:line="360" w:lineRule="auto"/>
        <w:jc w:val="left"/>
        <w:rPr>
          <w:rFonts w:ascii="宋体" w:hAnsi="宋体"/>
          <w:snapToGrid w:val="0"/>
          <w:kern w:val="0"/>
          <w:sz w:val="20"/>
          <w:szCs w:val="20"/>
        </w:rPr>
      </w:pPr>
    </w:p>
    <w:p w14:paraId="13FA6BA1">
      <w:pPr>
        <w:autoSpaceDE w:val="0"/>
        <w:autoSpaceDN w:val="0"/>
        <w:adjustRightInd w:val="0"/>
        <w:spacing w:line="360" w:lineRule="auto"/>
        <w:jc w:val="left"/>
        <w:rPr>
          <w:rFonts w:ascii="宋体" w:hAnsi="宋体"/>
          <w:snapToGrid w:val="0"/>
          <w:kern w:val="0"/>
          <w:sz w:val="20"/>
          <w:szCs w:val="20"/>
        </w:rPr>
      </w:pPr>
    </w:p>
    <w:p w14:paraId="1C5ED2DE">
      <w:pPr>
        <w:autoSpaceDE w:val="0"/>
        <w:autoSpaceDN w:val="0"/>
        <w:adjustRightInd w:val="0"/>
        <w:spacing w:line="360" w:lineRule="auto"/>
        <w:jc w:val="left"/>
        <w:rPr>
          <w:rFonts w:ascii="宋体" w:hAnsi="宋体"/>
          <w:snapToGrid w:val="0"/>
          <w:kern w:val="0"/>
          <w:sz w:val="20"/>
          <w:szCs w:val="20"/>
        </w:rPr>
      </w:pPr>
    </w:p>
    <w:p w14:paraId="569C2028">
      <w:pPr>
        <w:autoSpaceDE w:val="0"/>
        <w:autoSpaceDN w:val="0"/>
        <w:adjustRightInd w:val="0"/>
        <w:snapToGrid w:val="0"/>
        <w:spacing w:line="360" w:lineRule="auto"/>
        <w:jc w:val="center"/>
        <w:rPr>
          <w:rFonts w:ascii="宋体" w:hAnsi="宋体"/>
          <w:b/>
          <w:snapToGrid w:val="0"/>
          <w:w w:val="99"/>
          <w:kern w:val="0"/>
          <w:sz w:val="32"/>
          <w:szCs w:val="32"/>
        </w:rPr>
      </w:pPr>
      <w:r>
        <w:rPr>
          <w:rFonts w:hint="eastAsia" w:ascii="宋体" w:hAnsi="宋体"/>
          <w:b/>
          <w:snapToGrid w:val="0"/>
          <w:w w:val="99"/>
          <w:kern w:val="0"/>
          <w:sz w:val="32"/>
          <w:szCs w:val="32"/>
        </w:rPr>
        <w:t>中标通知书</w:t>
      </w:r>
    </w:p>
    <w:p w14:paraId="2C4C0EF8">
      <w:pPr>
        <w:spacing w:line="360" w:lineRule="auto"/>
        <w:rPr>
          <w:rFonts w:ascii="宋体" w:hAnsi="宋体"/>
          <w:bCs/>
          <w:kern w:val="0"/>
          <w:szCs w:val="21"/>
          <w:u w:val="single"/>
        </w:rPr>
      </w:pPr>
      <w:r>
        <w:rPr>
          <w:rFonts w:ascii="宋体" w:hAnsi="宋体"/>
          <w:bCs/>
          <w:kern w:val="0"/>
          <w:szCs w:val="21"/>
          <w:u w:val="single"/>
        </w:rPr>
        <w:t xml:space="preserve">       </w:t>
      </w:r>
      <w:r>
        <w:rPr>
          <w:rFonts w:hint="eastAsia" w:ascii="宋体" w:hAnsi="宋体"/>
          <w:bCs/>
          <w:kern w:val="0"/>
          <w:szCs w:val="21"/>
          <w:u w:val="single"/>
        </w:rPr>
        <w:t>（</w:t>
      </w:r>
      <w:r>
        <w:rPr>
          <w:rFonts w:ascii="宋体" w:hAnsi="宋体"/>
          <w:kern w:val="0"/>
          <w:szCs w:val="21"/>
          <w:u w:val="single"/>
        </w:rPr>
        <w:t>中标单位</w:t>
      </w:r>
      <w:r>
        <w:rPr>
          <w:rFonts w:hint="eastAsia" w:ascii="宋体" w:hAnsi="宋体"/>
          <w:kern w:val="0"/>
          <w:szCs w:val="21"/>
          <w:u w:val="single"/>
        </w:rPr>
        <w:t>名称</w:t>
      </w:r>
      <w:r>
        <w:rPr>
          <w:rFonts w:hint="eastAsia" w:ascii="宋体" w:hAnsi="宋体"/>
          <w:bCs/>
          <w:kern w:val="0"/>
          <w:szCs w:val="21"/>
          <w:u w:val="single"/>
        </w:rPr>
        <w:t>）</w:t>
      </w:r>
      <w:r>
        <w:rPr>
          <w:rFonts w:ascii="宋体" w:hAnsi="宋体"/>
          <w:bCs/>
          <w:kern w:val="0"/>
          <w:szCs w:val="21"/>
          <w:u w:val="single"/>
        </w:rPr>
        <w:t xml:space="preserve">         </w:t>
      </w:r>
      <w:r>
        <w:rPr>
          <w:rFonts w:ascii="宋体" w:hAnsi="宋体"/>
          <w:bCs/>
          <w:kern w:val="0"/>
          <w:szCs w:val="21"/>
        </w:rPr>
        <w:t>：</w:t>
      </w:r>
    </w:p>
    <w:p w14:paraId="58D30415">
      <w:pPr>
        <w:spacing w:line="360" w:lineRule="auto"/>
        <w:ind w:firstLine="420" w:firstLineChars="200"/>
        <w:rPr>
          <w:rFonts w:ascii="宋体" w:hAnsi="宋体"/>
          <w:kern w:val="0"/>
          <w:szCs w:val="21"/>
        </w:rPr>
      </w:pPr>
      <w:r>
        <w:rPr>
          <w:rFonts w:hint="eastAsia" w:ascii="宋体" w:hAnsi="宋体"/>
          <w:kern w:val="0"/>
          <w:szCs w:val="21"/>
        </w:rPr>
        <w:t>你方于</w:t>
      </w:r>
      <w:r>
        <w:rPr>
          <w:rFonts w:ascii="宋体" w:hAnsi="宋体"/>
          <w:bCs/>
          <w:kern w:val="0"/>
          <w:szCs w:val="21"/>
          <w:u w:val="single"/>
        </w:rPr>
        <w:t xml:space="preserve">    </w:t>
      </w:r>
      <w:r>
        <w:rPr>
          <w:rFonts w:ascii="宋体" w:hAnsi="宋体"/>
          <w:kern w:val="0"/>
          <w:szCs w:val="21"/>
        </w:rPr>
        <w:t>年</w:t>
      </w:r>
      <w:r>
        <w:rPr>
          <w:rFonts w:hint="eastAsia" w:ascii="宋体" w:hAnsi="宋体"/>
          <w:bCs/>
          <w:kern w:val="0"/>
          <w:szCs w:val="21"/>
          <w:u w:val="single"/>
        </w:rPr>
        <w:t xml:space="preserve">    </w:t>
      </w:r>
      <w:r>
        <w:rPr>
          <w:rFonts w:ascii="宋体" w:hAnsi="宋体"/>
          <w:kern w:val="0"/>
          <w:szCs w:val="21"/>
        </w:rPr>
        <w:t>月</w:t>
      </w:r>
      <w:r>
        <w:rPr>
          <w:rFonts w:hint="eastAsia" w:ascii="宋体" w:hAnsi="宋体"/>
          <w:bCs/>
          <w:kern w:val="0"/>
          <w:szCs w:val="21"/>
          <w:u w:val="single"/>
        </w:rPr>
        <w:t xml:space="preserve">    </w:t>
      </w:r>
      <w:r>
        <w:rPr>
          <w:rFonts w:ascii="宋体" w:hAnsi="宋体"/>
          <w:kern w:val="0"/>
          <w:szCs w:val="21"/>
        </w:rPr>
        <w:t>日（投标日期）所递交的</w:t>
      </w:r>
      <w:r>
        <w:rPr>
          <w:rFonts w:ascii="宋体" w:hAnsi="宋体"/>
          <w:kern w:val="0"/>
          <w:szCs w:val="21"/>
          <w:u w:val="single"/>
        </w:rPr>
        <w:tab/>
      </w:r>
      <w:r>
        <w:rPr>
          <w:rFonts w:ascii="宋体" w:hAnsi="宋体"/>
          <w:kern w:val="0"/>
          <w:szCs w:val="21"/>
          <w:u w:val="single"/>
        </w:rPr>
        <w:t>（项目名称）</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招标的投标文件已被我方接受，经评标委员会评定，被确定为中标人。</w:t>
      </w:r>
    </w:p>
    <w:p w14:paraId="06CB804C">
      <w:pPr>
        <w:spacing w:line="360" w:lineRule="auto"/>
        <w:ind w:firstLine="420" w:firstLineChars="200"/>
        <w:rPr>
          <w:rFonts w:ascii="宋体" w:hAnsi="宋体"/>
          <w:kern w:val="0"/>
          <w:szCs w:val="21"/>
        </w:rPr>
      </w:pPr>
      <w:r>
        <w:rPr>
          <w:rFonts w:hint="eastAsia" w:ascii="宋体" w:hAnsi="宋体"/>
          <w:kern w:val="0"/>
          <w:szCs w:val="21"/>
        </w:rPr>
        <w:t>中标价：</w:t>
      </w:r>
      <w:r>
        <w:rPr>
          <w:rFonts w:ascii="宋体" w:hAnsi="宋体"/>
          <w:kern w:val="0"/>
          <w:szCs w:val="21"/>
          <w:u w:val="single"/>
        </w:rPr>
        <w:tab/>
      </w:r>
      <w:r>
        <w:rPr>
          <w:rFonts w:ascii="宋体" w:hAnsi="宋体"/>
          <w:kern w:val="0"/>
          <w:szCs w:val="21"/>
          <w:u w:val="single"/>
        </w:rPr>
        <w:t xml:space="preserve">      </w:t>
      </w:r>
      <w:r>
        <w:rPr>
          <w:rFonts w:ascii="宋体" w:hAnsi="宋体"/>
          <w:kern w:val="0"/>
          <w:szCs w:val="21"/>
        </w:rPr>
        <w:t>元</w:t>
      </w:r>
      <w:r>
        <w:rPr>
          <w:rFonts w:hint="eastAsia" w:ascii="宋体" w:hAnsi="宋体"/>
          <w:kern w:val="0"/>
          <w:szCs w:val="21"/>
        </w:rPr>
        <w:t>；</w:t>
      </w:r>
    </w:p>
    <w:p w14:paraId="56929D1E">
      <w:pPr>
        <w:spacing w:line="360" w:lineRule="auto"/>
        <w:ind w:firstLine="420" w:firstLineChars="200"/>
      </w:pPr>
      <w:r>
        <w:rPr>
          <w:rFonts w:hint="eastAsia"/>
        </w:rPr>
        <w:t>供货范围：</w:t>
      </w:r>
      <w:r>
        <w:rPr>
          <w:rFonts w:ascii="宋体" w:hAnsi="宋体"/>
          <w:kern w:val="0"/>
          <w:szCs w:val="21"/>
          <w:u w:val="single"/>
        </w:rPr>
        <w:tab/>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rPr>
        <w:t>；</w:t>
      </w:r>
    </w:p>
    <w:p w14:paraId="73CD30C9">
      <w:pPr>
        <w:spacing w:line="360" w:lineRule="auto"/>
        <w:ind w:firstLine="420" w:firstLineChars="200"/>
      </w:pPr>
      <w:r>
        <w:rPr>
          <w:rFonts w:hint="eastAsia"/>
        </w:rPr>
        <w:t>供货期</w:t>
      </w:r>
      <w:r>
        <w:t>：</w:t>
      </w:r>
      <w:r>
        <w:rPr>
          <w:u w:val="single"/>
        </w:rPr>
        <w:t xml:space="preserve"> </w:t>
      </w:r>
      <w:r>
        <w:rPr>
          <w:rFonts w:hint="eastAsia"/>
          <w:u w:val="single"/>
        </w:rPr>
        <w:t xml:space="preserve">     </w:t>
      </w:r>
      <w:r>
        <w:rPr>
          <w:u w:val="single"/>
        </w:rPr>
        <w:t>日历天</w:t>
      </w:r>
      <w:r>
        <w:rPr>
          <w:rFonts w:hint="eastAsia"/>
        </w:rPr>
        <w:t>。</w:t>
      </w:r>
    </w:p>
    <w:p w14:paraId="7919DF75">
      <w:pPr>
        <w:spacing w:line="360" w:lineRule="auto"/>
        <w:ind w:firstLine="420" w:firstLineChars="200"/>
        <w:rPr>
          <w:rFonts w:ascii="宋体" w:hAnsi="宋体"/>
          <w:kern w:val="0"/>
          <w:szCs w:val="21"/>
        </w:rPr>
      </w:pPr>
      <w:r>
        <w:rPr>
          <w:rFonts w:ascii="宋体" w:hAnsi="宋体"/>
          <w:kern w:val="0"/>
          <w:szCs w:val="21"/>
        </w:rPr>
        <w:t>请你方在接到本通知书后的</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rPr>
        <w:t>日内到</w:t>
      </w:r>
      <w:r>
        <w:rPr>
          <w:rFonts w:ascii="宋体" w:hAnsi="宋体"/>
          <w:kern w:val="0"/>
          <w:szCs w:val="21"/>
          <w:u w:val="single"/>
        </w:rPr>
        <w:t xml:space="preserve"> </w:t>
      </w:r>
      <w:r>
        <w:rPr>
          <w:rFonts w:ascii="宋体" w:hAnsi="宋体"/>
          <w:kern w:val="0"/>
          <w:szCs w:val="21"/>
          <w:u w:val="single"/>
        </w:rPr>
        <w:tab/>
      </w:r>
      <w:r>
        <w:rPr>
          <w:rFonts w:ascii="宋体" w:hAnsi="宋体"/>
          <w:kern w:val="0"/>
          <w:szCs w:val="21"/>
          <w:u w:val="single"/>
        </w:rPr>
        <w:t>（指定地点）</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与我方签订</w:t>
      </w:r>
      <w:r>
        <w:rPr>
          <w:rFonts w:hint="eastAsia" w:ascii="宋体" w:hAnsi="宋体"/>
          <w:kern w:val="0"/>
          <w:szCs w:val="21"/>
        </w:rPr>
        <w:t>设备（材料）采购</w:t>
      </w:r>
      <w:r>
        <w:rPr>
          <w:rFonts w:ascii="宋体" w:hAnsi="宋体"/>
          <w:kern w:val="0"/>
          <w:szCs w:val="21"/>
        </w:rPr>
        <w:t>合同。</w:t>
      </w:r>
      <w:r>
        <w:rPr>
          <w:szCs w:val="21"/>
        </w:rPr>
        <w:t>在此之前按招标文件第二章</w:t>
      </w:r>
      <w:r>
        <w:rPr>
          <w:rFonts w:hint="eastAsia"/>
          <w:szCs w:val="21"/>
        </w:rPr>
        <w:t>“</w:t>
      </w:r>
      <w:r>
        <w:rPr>
          <w:szCs w:val="21"/>
        </w:rPr>
        <w:t>投标人须知</w:t>
      </w:r>
      <w:r>
        <w:rPr>
          <w:rFonts w:hint="eastAsia"/>
          <w:szCs w:val="21"/>
        </w:rPr>
        <w:t>”</w:t>
      </w:r>
      <w:r>
        <w:rPr>
          <w:szCs w:val="21"/>
        </w:rPr>
        <w:t>第7.</w:t>
      </w:r>
      <w:r>
        <w:rPr>
          <w:rFonts w:hint="eastAsia"/>
          <w:szCs w:val="21"/>
        </w:rPr>
        <w:t>6</w:t>
      </w:r>
      <w:r>
        <w:rPr>
          <w:szCs w:val="21"/>
        </w:rPr>
        <w:t>款规定向我方提交履约担保。</w:t>
      </w:r>
    </w:p>
    <w:p w14:paraId="3400DD44">
      <w:pPr>
        <w:spacing w:line="360" w:lineRule="auto"/>
        <w:ind w:firstLine="420" w:firstLineChars="200"/>
        <w:rPr>
          <w:rFonts w:ascii="宋体" w:hAnsi="宋体"/>
          <w:kern w:val="0"/>
          <w:szCs w:val="21"/>
        </w:rPr>
      </w:pPr>
      <w:r>
        <w:rPr>
          <w:rFonts w:ascii="宋体" w:hAnsi="宋体"/>
          <w:kern w:val="0"/>
          <w:szCs w:val="21"/>
        </w:rPr>
        <w:t>特此通知。</w:t>
      </w:r>
    </w:p>
    <w:p w14:paraId="0AA7D4BC">
      <w:pPr>
        <w:spacing w:line="480" w:lineRule="auto"/>
        <w:rPr>
          <w:rFonts w:ascii="宋体" w:hAnsi="宋体"/>
          <w:kern w:val="0"/>
          <w:sz w:val="24"/>
        </w:rPr>
      </w:pPr>
    </w:p>
    <w:p w14:paraId="35223484">
      <w:pPr>
        <w:spacing w:line="480" w:lineRule="auto"/>
        <w:rPr>
          <w:rFonts w:ascii="宋体" w:hAnsi="宋体"/>
          <w:kern w:val="0"/>
          <w:sz w:val="24"/>
        </w:rPr>
      </w:pPr>
    </w:p>
    <w:p w14:paraId="5C38B3A9">
      <w:pPr>
        <w:spacing w:line="480" w:lineRule="auto"/>
        <w:rPr>
          <w:rFonts w:ascii="宋体" w:hAnsi="宋体"/>
          <w:kern w:val="0"/>
          <w:sz w:val="24"/>
        </w:rPr>
      </w:pPr>
    </w:p>
    <w:p w14:paraId="677963AF">
      <w:pPr>
        <w:spacing w:line="480" w:lineRule="auto"/>
        <w:jc w:val="left"/>
        <w:rPr>
          <w:rFonts w:ascii="宋体" w:hAnsi="宋体"/>
          <w:kern w:val="0"/>
          <w:szCs w:val="21"/>
        </w:rPr>
      </w:pPr>
      <w:r>
        <w:rPr>
          <w:rFonts w:ascii="宋体" w:hAnsi="宋体"/>
          <w:kern w:val="0"/>
          <w:sz w:val="24"/>
        </w:rPr>
        <w:t xml:space="preserve">                                </w:t>
      </w:r>
      <w:r>
        <w:rPr>
          <w:rFonts w:ascii="宋体" w:hAnsi="宋体"/>
          <w:kern w:val="0"/>
          <w:szCs w:val="21"/>
        </w:rPr>
        <w:t>招标人</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w:t>
      </w:r>
      <w:r>
        <w:rPr>
          <w:rFonts w:ascii="宋体" w:hAnsi="宋体"/>
          <w:snapToGrid w:val="0"/>
          <w:kern w:val="0"/>
          <w:szCs w:val="21"/>
        </w:rPr>
        <w:t>盖单位法人章</w:t>
      </w:r>
      <w:r>
        <w:rPr>
          <w:rFonts w:ascii="宋体" w:hAnsi="宋体"/>
          <w:kern w:val="0"/>
          <w:szCs w:val="21"/>
        </w:rPr>
        <w:t>）</w:t>
      </w:r>
    </w:p>
    <w:p w14:paraId="28DFAD08">
      <w:pPr>
        <w:spacing w:line="480" w:lineRule="auto"/>
        <w:jc w:val="left"/>
        <w:rPr>
          <w:rFonts w:ascii="宋体" w:hAnsi="宋体"/>
          <w:kern w:val="0"/>
          <w:szCs w:val="21"/>
          <w:u w:val="single"/>
        </w:rPr>
      </w:pPr>
      <w:r>
        <w:rPr>
          <w:rFonts w:ascii="宋体" w:hAnsi="宋体"/>
          <w:kern w:val="0"/>
          <w:szCs w:val="21"/>
        </w:rPr>
        <w:t xml:space="preserve">                                     联系人</w:t>
      </w:r>
      <w:r>
        <w:rPr>
          <w:rFonts w:ascii="宋体" w:hAnsi="宋体"/>
          <w:snapToGrid w:val="0"/>
          <w:kern w:val="0"/>
          <w:szCs w:val="21"/>
        </w:rPr>
        <w:t>：</w:t>
      </w:r>
      <w:r>
        <w:rPr>
          <w:rFonts w:ascii="宋体" w:hAnsi="宋体"/>
          <w:kern w:val="0"/>
          <w:szCs w:val="21"/>
          <w:u w:val="single"/>
        </w:rPr>
        <w:t xml:space="preserve">                          </w:t>
      </w:r>
    </w:p>
    <w:p w14:paraId="1E483B76">
      <w:pPr>
        <w:spacing w:line="480" w:lineRule="auto"/>
        <w:jc w:val="left"/>
        <w:rPr>
          <w:rFonts w:ascii="宋体" w:hAnsi="宋体"/>
          <w:kern w:val="0"/>
          <w:szCs w:val="21"/>
        </w:rPr>
      </w:pP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联系电话</w:t>
      </w:r>
      <w:r>
        <w:rPr>
          <w:rFonts w:ascii="宋体" w:hAnsi="宋体"/>
          <w:snapToGrid w:val="0"/>
          <w:kern w:val="0"/>
          <w:szCs w:val="21"/>
        </w:rPr>
        <w:t>：</w:t>
      </w:r>
      <w:r>
        <w:rPr>
          <w:rFonts w:ascii="宋体" w:hAnsi="宋体"/>
          <w:kern w:val="0"/>
          <w:szCs w:val="21"/>
          <w:u w:val="single"/>
        </w:rPr>
        <w:t xml:space="preserve">                        </w:t>
      </w:r>
    </w:p>
    <w:p w14:paraId="18CA8B5E">
      <w:pPr>
        <w:spacing w:line="480" w:lineRule="auto"/>
        <w:jc w:val="right"/>
        <w:rPr>
          <w:rFonts w:ascii="宋体" w:hAnsi="宋体"/>
          <w:kern w:val="0"/>
          <w:szCs w:val="21"/>
        </w:rPr>
      </w:pPr>
    </w:p>
    <w:p w14:paraId="1A6E8E06">
      <w:pPr>
        <w:spacing w:line="480" w:lineRule="auto"/>
        <w:jc w:val="right"/>
        <w:rPr>
          <w:rFonts w:ascii="宋体" w:hAnsi="宋体"/>
          <w:kern w:val="0"/>
          <w:szCs w:val="21"/>
        </w:rPr>
      </w:pPr>
    </w:p>
    <w:p w14:paraId="5543E89A">
      <w:pPr>
        <w:spacing w:line="480" w:lineRule="auto"/>
        <w:jc w:val="right"/>
        <w:rPr>
          <w:rFonts w:ascii="宋体" w:hAnsi="宋体"/>
          <w:kern w:val="0"/>
          <w:sz w:val="24"/>
        </w:rPr>
      </w:pPr>
      <w:r>
        <w:rPr>
          <w:rFonts w:ascii="宋体" w:hAnsi="宋体"/>
          <w:kern w:val="0"/>
          <w:szCs w:val="21"/>
        </w:rPr>
        <w:t xml:space="preserve">                   签发日期</w:t>
      </w:r>
      <w:r>
        <w:rPr>
          <w:rFonts w:ascii="宋体" w:hAnsi="宋体"/>
          <w:snapToGrid w:val="0"/>
          <w:kern w:val="0"/>
          <w:szCs w:val="21"/>
        </w:rPr>
        <w:t>：</w:t>
      </w:r>
      <w:r>
        <w:rPr>
          <w:rFonts w:ascii="宋体" w:hAnsi="宋体"/>
          <w:kern w:val="0"/>
          <w:szCs w:val="21"/>
          <w:u w:val="single"/>
        </w:rPr>
        <w:t xml:space="preserve">        </w:t>
      </w:r>
      <w:r>
        <w:rPr>
          <w:rFonts w:ascii="宋体" w:hAnsi="宋体"/>
          <w:kern w:val="0"/>
          <w:szCs w:val="21"/>
        </w:rPr>
        <w:t>年</w:t>
      </w:r>
      <w:r>
        <w:rPr>
          <w:rFonts w:ascii="宋体" w:hAnsi="宋体"/>
          <w:kern w:val="0"/>
          <w:szCs w:val="21"/>
          <w:u w:val="single"/>
        </w:rPr>
        <w:t xml:space="preserve">     </w:t>
      </w:r>
      <w:r>
        <w:rPr>
          <w:rFonts w:ascii="宋体" w:hAnsi="宋体"/>
          <w:kern w:val="0"/>
          <w:szCs w:val="21"/>
        </w:rPr>
        <w:t>月</w:t>
      </w:r>
      <w:r>
        <w:rPr>
          <w:rFonts w:ascii="宋体" w:hAnsi="宋体"/>
          <w:kern w:val="0"/>
          <w:szCs w:val="21"/>
          <w:u w:val="single"/>
        </w:rPr>
        <w:t xml:space="preserve">     </w:t>
      </w:r>
      <w:r>
        <w:rPr>
          <w:rFonts w:ascii="宋体" w:hAnsi="宋体"/>
          <w:kern w:val="0"/>
          <w:szCs w:val="21"/>
        </w:rPr>
        <w:t>日</w:t>
      </w:r>
    </w:p>
    <w:p w14:paraId="58F726E0">
      <w:pPr>
        <w:spacing w:line="200" w:lineRule="exact"/>
        <w:rPr>
          <w:rFonts w:ascii="宋体" w:hAnsi="宋体"/>
          <w:kern w:val="0"/>
        </w:rPr>
      </w:pPr>
      <w:r>
        <w:rPr>
          <w:rFonts w:ascii="宋体" w:hAnsi="宋体"/>
          <w:snapToGrid w:val="0"/>
          <w:kern w:val="0"/>
        </w:rPr>
        <w:br w:type="page"/>
      </w:r>
      <w:bookmarkStart w:id="504" w:name="招标文件03章02评标办法综合评估法00"/>
      <w:bookmarkEnd w:id="504"/>
      <w:bookmarkStart w:id="505" w:name="招标文件03章02评标办法综合评估法"/>
      <w:bookmarkEnd w:id="505"/>
      <w:bookmarkStart w:id="506" w:name="_Toc277082618"/>
      <w:bookmarkStart w:id="507" w:name="_Toc430530500"/>
      <w:bookmarkStart w:id="508" w:name="_Toc224103384"/>
      <w:bookmarkStart w:id="509" w:name="_Toc287607812"/>
      <w:bookmarkStart w:id="510" w:name="_Toc287620751"/>
      <w:bookmarkStart w:id="511" w:name="_Toc200513198"/>
    </w:p>
    <w:bookmarkEnd w:id="506"/>
    <w:bookmarkEnd w:id="507"/>
    <w:bookmarkEnd w:id="508"/>
    <w:bookmarkEnd w:id="509"/>
    <w:bookmarkEnd w:id="510"/>
    <w:bookmarkEnd w:id="511"/>
    <w:p w14:paraId="523C4EEE">
      <w:pPr>
        <w:pStyle w:val="2"/>
        <w:spacing w:line="360" w:lineRule="auto"/>
        <w:ind w:firstLine="883" w:firstLineChars="200"/>
        <w:jc w:val="center"/>
        <w:rPr>
          <w:rFonts w:ascii="宋体" w:hAnsi="宋体"/>
        </w:rPr>
      </w:pPr>
      <w:bookmarkStart w:id="512" w:name="_Toc509218774"/>
      <w:bookmarkStart w:id="513" w:name="_Toc32295"/>
      <w:bookmarkStart w:id="514" w:name="_Toc20567"/>
      <w:r>
        <w:rPr>
          <w:rFonts w:ascii="宋体" w:hAnsi="宋体"/>
        </w:rPr>
        <w:t xml:space="preserve">第三章 </w:t>
      </w:r>
      <w:r>
        <w:rPr>
          <w:rFonts w:hint="eastAsia" w:ascii="宋体" w:hAnsi="宋体"/>
        </w:rPr>
        <w:t xml:space="preserve"> </w:t>
      </w:r>
      <w:r>
        <w:rPr>
          <w:rFonts w:ascii="宋体" w:hAnsi="宋体"/>
        </w:rPr>
        <w:t>评标办法（综合评估法）</w:t>
      </w:r>
      <w:bookmarkEnd w:id="512"/>
      <w:bookmarkEnd w:id="513"/>
      <w:bookmarkEnd w:id="514"/>
      <w:bookmarkStart w:id="515" w:name="_Toc287607811"/>
      <w:bookmarkStart w:id="516" w:name="_Toc287620750"/>
      <w:bookmarkStart w:id="517" w:name="_Toc430530499"/>
      <w:bookmarkStart w:id="518" w:name="_Toc224103383"/>
      <w:bookmarkStart w:id="519" w:name="_Toc277082617"/>
    </w:p>
    <w:p w14:paraId="735DF62E">
      <w:pPr>
        <w:pStyle w:val="3"/>
        <w:spacing w:before="100" w:after="100" w:line="360" w:lineRule="auto"/>
        <w:rPr>
          <w:rFonts w:ascii="宋体" w:hAnsi="宋体"/>
        </w:rPr>
      </w:pPr>
      <w:bookmarkStart w:id="520" w:name="_Toc2060"/>
      <w:bookmarkStart w:id="521" w:name="_Toc509218775"/>
      <w:bookmarkStart w:id="522" w:name="_Toc26701"/>
      <w:r>
        <w:rPr>
          <w:rFonts w:hint="eastAsia" w:ascii="宋体" w:hAnsi="宋体"/>
        </w:rPr>
        <w:t>评标办法前附表</w:t>
      </w:r>
      <w:bookmarkEnd w:id="520"/>
      <w:bookmarkEnd w:id="521"/>
      <w:bookmarkEnd w:id="522"/>
    </w:p>
    <w:p w14:paraId="50D6BD0E">
      <w:pPr>
        <w:spacing w:line="360" w:lineRule="auto"/>
        <w:ind w:firstLine="420" w:firstLineChars="200"/>
        <w:rPr>
          <w:szCs w:val="21"/>
        </w:rPr>
      </w:pPr>
      <w:r>
        <w:rPr>
          <w:szCs w:val="21"/>
        </w:rPr>
        <w:t>评标办法中的评审内容必须和投标人须知中的对应内容一致，若投标人须知中未作要求的内容，不得列入评标办法作为评定依据。</w:t>
      </w:r>
    </w:p>
    <w:tbl>
      <w:tblPr>
        <w:tblStyle w:val="46"/>
        <w:tblW w:w="9588"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934"/>
        <w:gridCol w:w="1680"/>
        <w:gridCol w:w="2171"/>
        <w:gridCol w:w="4803"/>
      </w:tblGrid>
      <w:tr w14:paraId="39B4209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Align w:val="center"/>
          </w:tcPr>
          <w:p w14:paraId="6D808CDE">
            <w:pPr>
              <w:spacing w:line="400" w:lineRule="exact"/>
              <w:jc w:val="center"/>
              <w:rPr>
                <w:rFonts w:ascii="宋体" w:hAnsi="宋体"/>
                <w:b/>
                <w:kern w:val="0"/>
              </w:rPr>
            </w:pPr>
            <w:r>
              <w:rPr>
                <w:rFonts w:ascii="宋体" w:hAnsi="宋体"/>
                <w:b/>
                <w:kern w:val="0"/>
              </w:rPr>
              <w:t>条款号</w:t>
            </w:r>
          </w:p>
        </w:tc>
        <w:tc>
          <w:tcPr>
            <w:tcW w:w="1680" w:type="dxa"/>
            <w:vAlign w:val="center"/>
          </w:tcPr>
          <w:p w14:paraId="6DE96156">
            <w:pPr>
              <w:spacing w:line="400" w:lineRule="exact"/>
              <w:jc w:val="center"/>
              <w:rPr>
                <w:rFonts w:ascii="宋体" w:hAnsi="宋体"/>
                <w:b/>
                <w:kern w:val="0"/>
              </w:rPr>
            </w:pPr>
            <w:r>
              <w:rPr>
                <w:rFonts w:ascii="宋体" w:hAnsi="宋体"/>
                <w:b/>
                <w:kern w:val="0"/>
              </w:rPr>
              <w:t>评审因素</w:t>
            </w:r>
          </w:p>
        </w:tc>
        <w:tc>
          <w:tcPr>
            <w:tcW w:w="6974" w:type="dxa"/>
            <w:gridSpan w:val="2"/>
            <w:vAlign w:val="center"/>
          </w:tcPr>
          <w:p w14:paraId="3BE642CC">
            <w:pPr>
              <w:spacing w:line="400" w:lineRule="exact"/>
              <w:jc w:val="center"/>
              <w:rPr>
                <w:rFonts w:ascii="宋体" w:hAnsi="宋体"/>
                <w:b/>
                <w:kern w:val="0"/>
              </w:rPr>
            </w:pPr>
            <w:r>
              <w:rPr>
                <w:rFonts w:ascii="宋体" w:hAnsi="宋体"/>
                <w:b/>
                <w:kern w:val="0"/>
              </w:rPr>
              <w:t>评审标准</w:t>
            </w:r>
          </w:p>
        </w:tc>
      </w:tr>
      <w:tr w14:paraId="15DABC6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25" w:hRule="atLeast"/>
          <w:jc w:val="center"/>
        </w:trPr>
        <w:tc>
          <w:tcPr>
            <w:tcW w:w="934" w:type="dxa"/>
            <w:vMerge w:val="restart"/>
            <w:tcBorders>
              <w:right w:val="single" w:color="auto" w:sz="4" w:space="0"/>
            </w:tcBorders>
            <w:vAlign w:val="center"/>
          </w:tcPr>
          <w:p w14:paraId="71C4A4CB">
            <w:pPr>
              <w:spacing w:line="400" w:lineRule="exact"/>
              <w:jc w:val="center"/>
              <w:rPr>
                <w:rFonts w:ascii="宋体" w:hAnsi="宋体"/>
                <w:kern w:val="0"/>
              </w:rPr>
            </w:pPr>
            <w:r>
              <w:rPr>
                <w:rFonts w:ascii="宋体" w:hAnsi="宋体"/>
                <w:kern w:val="0"/>
              </w:rPr>
              <w:t>2.1.</w:t>
            </w:r>
            <w:r>
              <w:rPr>
                <w:rFonts w:hint="eastAsia" w:ascii="宋体" w:hAnsi="宋体"/>
                <w:kern w:val="0"/>
              </w:rPr>
              <w:t>1</w:t>
            </w:r>
          </w:p>
        </w:tc>
        <w:tc>
          <w:tcPr>
            <w:tcW w:w="1680" w:type="dxa"/>
            <w:vMerge w:val="restart"/>
            <w:tcBorders>
              <w:right w:val="single" w:color="auto" w:sz="4" w:space="0"/>
            </w:tcBorders>
            <w:vAlign w:val="center"/>
          </w:tcPr>
          <w:p w14:paraId="40A1331E">
            <w:pPr>
              <w:spacing w:line="400" w:lineRule="exact"/>
              <w:jc w:val="center"/>
              <w:rPr>
                <w:rFonts w:ascii="宋体" w:hAnsi="宋体"/>
                <w:kern w:val="0"/>
              </w:rPr>
            </w:pPr>
            <w:r>
              <w:rPr>
                <w:rFonts w:ascii="宋体" w:hAnsi="宋体"/>
                <w:kern w:val="0"/>
              </w:rPr>
              <w:t>资格评审标准</w:t>
            </w:r>
          </w:p>
        </w:tc>
        <w:tc>
          <w:tcPr>
            <w:tcW w:w="2171" w:type="dxa"/>
            <w:tcBorders>
              <w:left w:val="single" w:color="auto" w:sz="4" w:space="0"/>
            </w:tcBorders>
            <w:vAlign w:val="center"/>
          </w:tcPr>
          <w:p w14:paraId="5B042F0E">
            <w:pPr>
              <w:spacing w:line="400" w:lineRule="exact"/>
              <w:jc w:val="left"/>
              <w:rPr>
                <w:rFonts w:hint="default" w:ascii="宋体" w:hAnsi="宋体" w:eastAsia="宋体"/>
                <w:kern w:val="0"/>
                <w:lang w:val="en-US" w:eastAsia="zh-CN"/>
              </w:rPr>
            </w:pPr>
            <w:r>
              <w:rPr>
                <w:rFonts w:hint="eastAsia" w:ascii="宋体" w:hAnsi="宋体"/>
                <w:kern w:val="0"/>
                <w:lang w:val="en-US" w:eastAsia="zh-CN"/>
              </w:rPr>
              <w:t>独立法人资格</w:t>
            </w:r>
          </w:p>
        </w:tc>
        <w:tc>
          <w:tcPr>
            <w:tcW w:w="4803" w:type="dxa"/>
            <w:vAlign w:val="center"/>
          </w:tcPr>
          <w:p w14:paraId="308E3E82">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0AB31598">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2C0F8207">
            <w:pPr>
              <w:spacing w:line="400" w:lineRule="exact"/>
              <w:jc w:val="center"/>
              <w:rPr>
                <w:rFonts w:ascii="宋体" w:hAnsi="宋体"/>
                <w:kern w:val="0"/>
              </w:rPr>
            </w:pPr>
          </w:p>
        </w:tc>
        <w:tc>
          <w:tcPr>
            <w:tcW w:w="1680" w:type="dxa"/>
            <w:vMerge w:val="continue"/>
            <w:tcBorders>
              <w:right w:val="single" w:color="auto" w:sz="4" w:space="0"/>
            </w:tcBorders>
          </w:tcPr>
          <w:p w14:paraId="00792ACF">
            <w:pPr>
              <w:spacing w:line="400" w:lineRule="exact"/>
              <w:jc w:val="center"/>
              <w:rPr>
                <w:rFonts w:ascii="宋体" w:hAnsi="宋体"/>
                <w:kern w:val="0"/>
              </w:rPr>
            </w:pPr>
          </w:p>
        </w:tc>
        <w:tc>
          <w:tcPr>
            <w:tcW w:w="2171" w:type="dxa"/>
            <w:tcBorders>
              <w:left w:val="single" w:color="auto" w:sz="4" w:space="0"/>
            </w:tcBorders>
          </w:tcPr>
          <w:p w14:paraId="7156E541">
            <w:pPr>
              <w:spacing w:line="400" w:lineRule="exact"/>
              <w:jc w:val="left"/>
              <w:rPr>
                <w:rFonts w:ascii="宋体" w:hAnsi="宋体"/>
                <w:kern w:val="0"/>
              </w:rPr>
            </w:pPr>
            <w:r>
              <w:rPr>
                <w:rFonts w:hint="eastAsia" w:ascii="宋体" w:hAnsi="宋体"/>
                <w:kern w:val="0"/>
              </w:rPr>
              <w:t>资质要求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0304E70F">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50EDD45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85" w:hRule="atLeast"/>
          <w:jc w:val="center"/>
        </w:trPr>
        <w:tc>
          <w:tcPr>
            <w:tcW w:w="934" w:type="dxa"/>
            <w:vMerge w:val="continue"/>
            <w:tcBorders>
              <w:right w:val="single" w:color="auto" w:sz="4" w:space="0"/>
            </w:tcBorders>
          </w:tcPr>
          <w:p w14:paraId="29AFB295">
            <w:pPr>
              <w:spacing w:line="400" w:lineRule="exact"/>
              <w:jc w:val="center"/>
              <w:rPr>
                <w:rFonts w:ascii="宋体" w:hAnsi="宋体"/>
                <w:kern w:val="0"/>
              </w:rPr>
            </w:pPr>
          </w:p>
        </w:tc>
        <w:tc>
          <w:tcPr>
            <w:tcW w:w="1680" w:type="dxa"/>
            <w:vMerge w:val="continue"/>
            <w:tcBorders>
              <w:right w:val="single" w:color="auto" w:sz="4" w:space="0"/>
            </w:tcBorders>
          </w:tcPr>
          <w:p w14:paraId="4B63A9F1">
            <w:pPr>
              <w:spacing w:line="400" w:lineRule="exact"/>
              <w:jc w:val="center"/>
              <w:rPr>
                <w:rFonts w:ascii="宋体" w:hAnsi="宋体"/>
                <w:kern w:val="0"/>
              </w:rPr>
            </w:pPr>
          </w:p>
        </w:tc>
        <w:tc>
          <w:tcPr>
            <w:tcW w:w="2171" w:type="dxa"/>
            <w:tcBorders>
              <w:left w:val="single" w:color="auto" w:sz="4" w:space="0"/>
            </w:tcBorders>
            <w:shd w:val="clear" w:color="auto" w:fill="auto"/>
            <w:vAlign w:val="center"/>
          </w:tcPr>
          <w:p w14:paraId="4E968325">
            <w:pPr>
              <w:spacing w:line="400" w:lineRule="exact"/>
              <w:jc w:val="left"/>
              <w:rPr>
                <w:rFonts w:ascii="宋体" w:hAnsi="宋体" w:eastAsia="宋体" w:cs="Times New Roman"/>
                <w:kern w:val="0"/>
                <w:sz w:val="21"/>
                <w:szCs w:val="24"/>
                <w:lang w:val="en-US" w:eastAsia="zh-CN" w:bidi="ar-SA"/>
              </w:rPr>
            </w:pPr>
            <w:r>
              <w:rPr>
                <w:rFonts w:ascii="宋体" w:hAnsi="宋体"/>
                <w:kern w:val="0"/>
              </w:rPr>
              <w:t>财务</w:t>
            </w:r>
            <w:r>
              <w:rPr>
                <w:rFonts w:hint="eastAsia" w:ascii="宋体" w:hAnsi="宋体"/>
                <w:kern w:val="0"/>
              </w:rPr>
              <w:t>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shd w:val="clear" w:color="auto" w:fill="auto"/>
            <w:vAlign w:val="center"/>
          </w:tcPr>
          <w:p w14:paraId="69824C83">
            <w:pPr>
              <w:spacing w:line="400" w:lineRule="exact"/>
              <w:ind w:firstLine="420" w:firstLineChars="200"/>
              <w:jc w:val="left"/>
              <w:rPr>
                <w:rFonts w:ascii="宋体" w:hAnsi="宋体" w:eastAsia="宋体" w:cs="Times New Roman"/>
                <w:kern w:val="0"/>
                <w:sz w:val="21"/>
                <w:szCs w:val="24"/>
                <w:lang w:val="en-US" w:eastAsia="zh-CN" w:bidi="ar-SA"/>
              </w:rPr>
            </w:pPr>
            <w:r>
              <w:rPr>
                <w:rFonts w:ascii="宋体" w:hAnsi="宋体"/>
                <w:kern w:val="0"/>
              </w:rPr>
              <w:t>符合第二章“投标人须知”第1.4.1项规定</w:t>
            </w:r>
            <w:r>
              <w:rPr>
                <w:rFonts w:hint="eastAsia" w:ascii="宋体" w:hAnsi="宋体"/>
                <w:kern w:val="0"/>
              </w:rPr>
              <w:t>。</w:t>
            </w:r>
          </w:p>
        </w:tc>
      </w:tr>
      <w:tr w14:paraId="02E6DAE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510" w:hRule="atLeast"/>
          <w:jc w:val="center"/>
        </w:trPr>
        <w:tc>
          <w:tcPr>
            <w:tcW w:w="934" w:type="dxa"/>
            <w:vMerge w:val="continue"/>
            <w:tcBorders>
              <w:right w:val="single" w:color="auto" w:sz="4" w:space="0"/>
            </w:tcBorders>
          </w:tcPr>
          <w:p w14:paraId="58810D33">
            <w:pPr>
              <w:spacing w:line="400" w:lineRule="exact"/>
              <w:jc w:val="center"/>
              <w:rPr>
                <w:rFonts w:ascii="宋体" w:hAnsi="宋体"/>
                <w:kern w:val="0"/>
              </w:rPr>
            </w:pPr>
          </w:p>
        </w:tc>
        <w:tc>
          <w:tcPr>
            <w:tcW w:w="1680" w:type="dxa"/>
            <w:vMerge w:val="continue"/>
            <w:tcBorders>
              <w:right w:val="single" w:color="auto" w:sz="4" w:space="0"/>
            </w:tcBorders>
          </w:tcPr>
          <w:p w14:paraId="14A8B36E">
            <w:pPr>
              <w:spacing w:line="400" w:lineRule="exact"/>
              <w:jc w:val="center"/>
              <w:rPr>
                <w:rFonts w:ascii="宋体" w:hAnsi="宋体"/>
                <w:kern w:val="0"/>
              </w:rPr>
            </w:pPr>
          </w:p>
        </w:tc>
        <w:tc>
          <w:tcPr>
            <w:tcW w:w="2171" w:type="dxa"/>
            <w:tcBorders>
              <w:left w:val="single" w:color="auto" w:sz="4" w:space="0"/>
            </w:tcBorders>
          </w:tcPr>
          <w:p w14:paraId="5ED2C69A">
            <w:pPr>
              <w:spacing w:line="400" w:lineRule="exact"/>
              <w:jc w:val="left"/>
              <w:rPr>
                <w:rFonts w:ascii="宋体" w:hAnsi="宋体"/>
                <w:kern w:val="0"/>
              </w:rPr>
            </w:pPr>
            <w:r>
              <w:rPr>
                <w:rFonts w:hint="eastAsia" w:ascii="宋体" w:hAnsi="宋体"/>
                <w:kern w:val="0"/>
              </w:rPr>
              <w:t>业绩要求</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p>
        </w:tc>
        <w:tc>
          <w:tcPr>
            <w:tcW w:w="4803" w:type="dxa"/>
            <w:vAlign w:val="center"/>
          </w:tcPr>
          <w:p w14:paraId="17A049C6">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2CC8C46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tcPr>
          <w:p w14:paraId="6387D34F">
            <w:pPr>
              <w:spacing w:line="400" w:lineRule="exact"/>
              <w:jc w:val="center"/>
              <w:rPr>
                <w:rFonts w:ascii="宋体" w:hAnsi="宋体"/>
                <w:kern w:val="0"/>
              </w:rPr>
            </w:pPr>
          </w:p>
        </w:tc>
        <w:tc>
          <w:tcPr>
            <w:tcW w:w="1680" w:type="dxa"/>
            <w:vMerge w:val="continue"/>
            <w:tcBorders>
              <w:right w:val="single" w:color="auto" w:sz="4" w:space="0"/>
            </w:tcBorders>
          </w:tcPr>
          <w:p w14:paraId="4ABC1D5A">
            <w:pPr>
              <w:spacing w:line="400" w:lineRule="exact"/>
              <w:jc w:val="center"/>
              <w:rPr>
                <w:rFonts w:ascii="宋体" w:hAnsi="宋体"/>
                <w:kern w:val="0"/>
              </w:rPr>
            </w:pPr>
          </w:p>
        </w:tc>
        <w:tc>
          <w:tcPr>
            <w:tcW w:w="2171" w:type="dxa"/>
            <w:tcBorders>
              <w:left w:val="single" w:color="auto" w:sz="4" w:space="0"/>
            </w:tcBorders>
          </w:tcPr>
          <w:p w14:paraId="04B92996">
            <w:pPr>
              <w:spacing w:line="400" w:lineRule="exact"/>
              <w:jc w:val="left"/>
              <w:rPr>
                <w:rFonts w:ascii="宋体" w:hAnsi="宋体"/>
                <w:kern w:val="0"/>
              </w:rPr>
            </w:pPr>
            <w:r>
              <w:rPr>
                <w:rFonts w:hint="eastAsia" w:ascii="宋体" w:hAnsi="宋体" w:cs="宋体"/>
                <w:szCs w:val="21"/>
              </w:rPr>
              <w:t>投标截止日投标资格情况</w:t>
            </w:r>
          </w:p>
        </w:tc>
        <w:tc>
          <w:tcPr>
            <w:tcW w:w="4803" w:type="dxa"/>
            <w:vAlign w:val="center"/>
          </w:tcPr>
          <w:p w14:paraId="1C59E0A1">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61696B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934" w:type="dxa"/>
            <w:vMerge w:val="continue"/>
            <w:tcBorders>
              <w:right w:val="single" w:color="auto" w:sz="4" w:space="0"/>
            </w:tcBorders>
          </w:tcPr>
          <w:p w14:paraId="7CE70D5B">
            <w:pPr>
              <w:spacing w:line="400" w:lineRule="exact"/>
              <w:jc w:val="center"/>
              <w:rPr>
                <w:rFonts w:ascii="宋体" w:hAnsi="宋体"/>
                <w:kern w:val="0"/>
              </w:rPr>
            </w:pPr>
          </w:p>
        </w:tc>
        <w:tc>
          <w:tcPr>
            <w:tcW w:w="1680" w:type="dxa"/>
            <w:vMerge w:val="continue"/>
            <w:tcBorders>
              <w:right w:val="single" w:color="auto" w:sz="4" w:space="0"/>
            </w:tcBorders>
          </w:tcPr>
          <w:p w14:paraId="10CE2D51">
            <w:pPr>
              <w:spacing w:line="400" w:lineRule="exact"/>
              <w:jc w:val="center"/>
              <w:rPr>
                <w:rFonts w:ascii="宋体" w:hAnsi="宋体"/>
                <w:kern w:val="0"/>
              </w:rPr>
            </w:pPr>
          </w:p>
        </w:tc>
        <w:tc>
          <w:tcPr>
            <w:tcW w:w="2171" w:type="dxa"/>
            <w:tcBorders>
              <w:left w:val="single" w:color="auto" w:sz="4" w:space="0"/>
            </w:tcBorders>
          </w:tcPr>
          <w:p w14:paraId="12B8725A">
            <w:pPr>
              <w:spacing w:line="400" w:lineRule="exact"/>
              <w:jc w:val="left"/>
              <w:rPr>
                <w:rFonts w:ascii="宋体" w:hAnsi="宋体"/>
                <w:kern w:val="0"/>
              </w:rPr>
            </w:pPr>
            <w:r>
              <w:rPr>
                <w:rFonts w:ascii="宋体" w:hAnsi="宋体"/>
                <w:kern w:val="0"/>
              </w:rPr>
              <w:t>其他要求</w:t>
            </w:r>
          </w:p>
        </w:tc>
        <w:tc>
          <w:tcPr>
            <w:tcW w:w="4803" w:type="dxa"/>
            <w:vAlign w:val="center"/>
          </w:tcPr>
          <w:p w14:paraId="576ED6AB">
            <w:pPr>
              <w:spacing w:line="400" w:lineRule="exact"/>
              <w:ind w:firstLine="420" w:firstLineChars="200"/>
              <w:jc w:val="left"/>
              <w:rPr>
                <w:rFonts w:ascii="宋体" w:hAnsi="宋体"/>
                <w:kern w:val="0"/>
              </w:rPr>
            </w:pPr>
            <w:r>
              <w:rPr>
                <w:rFonts w:ascii="宋体" w:hAnsi="宋体"/>
                <w:kern w:val="0"/>
              </w:rPr>
              <w:t>符合第二章“投标人须知”第1.4.1项规定</w:t>
            </w:r>
            <w:r>
              <w:rPr>
                <w:rFonts w:hint="eastAsia" w:ascii="宋体" w:hAnsi="宋体"/>
                <w:kern w:val="0"/>
              </w:rPr>
              <w:t>。</w:t>
            </w:r>
          </w:p>
        </w:tc>
      </w:tr>
      <w:tr w14:paraId="39DC735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464DF57F">
            <w:pPr>
              <w:spacing w:line="400" w:lineRule="exact"/>
              <w:jc w:val="center"/>
              <w:rPr>
                <w:rFonts w:ascii="宋体" w:hAnsi="宋体"/>
                <w:kern w:val="0"/>
              </w:rPr>
            </w:pPr>
            <w:r>
              <w:rPr>
                <w:rFonts w:ascii="宋体" w:hAnsi="宋体"/>
                <w:kern w:val="0"/>
              </w:rPr>
              <w:t>2.1.</w:t>
            </w:r>
            <w:r>
              <w:rPr>
                <w:rFonts w:hint="eastAsia" w:ascii="宋体" w:hAnsi="宋体"/>
                <w:kern w:val="0"/>
              </w:rPr>
              <w:t>2</w:t>
            </w:r>
          </w:p>
        </w:tc>
        <w:tc>
          <w:tcPr>
            <w:tcW w:w="1680" w:type="dxa"/>
            <w:vMerge w:val="restart"/>
            <w:tcBorders>
              <w:right w:val="single" w:color="auto" w:sz="4" w:space="0"/>
            </w:tcBorders>
            <w:vAlign w:val="center"/>
          </w:tcPr>
          <w:p w14:paraId="1AEC6233">
            <w:pPr>
              <w:spacing w:line="400" w:lineRule="exact"/>
              <w:jc w:val="center"/>
              <w:rPr>
                <w:rFonts w:ascii="宋体" w:hAnsi="宋体"/>
                <w:kern w:val="0"/>
              </w:rPr>
            </w:pPr>
            <w:r>
              <w:rPr>
                <w:rFonts w:ascii="宋体" w:hAnsi="宋体"/>
                <w:kern w:val="0"/>
              </w:rPr>
              <w:t>形式评审标准</w:t>
            </w:r>
          </w:p>
        </w:tc>
        <w:tc>
          <w:tcPr>
            <w:tcW w:w="2171" w:type="dxa"/>
            <w:tcBorders>
              <w:left w:val="single" w:color="auto" w:sz="4" w:space="0"/>
            </w:tcBorders>
            <w:vAlign w:val="center"/>
          </w:tcPr>
          <w:p w14:paraId="079F8955">
            <w:pPr>
              <w:spacing w:line="400" w:lineRule="exact"/>
              <w:jc w:val="left"/>
              <w:rPr>
                <w:rFonts w:ascii="宋体" w:hAnsi="宋体"/>
                <w:kern w:val="0"/>
              </w:rPr>
            </w:pPr>
            <w:r>
              <w:rPr>
                <w:rFonts w:ascii="宋体" w:hAnsi="宋体"/>
                <w:kern w:val="0"/>
              </w:rPr>
              <w:t>投标人名称</w:t>
            </w:r>
          </w:p>
        </w:tc>
        <w:tc>
          <w:tcPr>
            <w:tcW w:w="4803" w:type="dxa"/>
            <w:vAlign w:val="center"/>
          </w:tcPr>
          <w:p w14:paraId="1D4428E3">
            <w:pPr>
              <w:spacing w:line="400" w:lineRule="exact"/>
              <w:ind w:firstLine="420" w:firstLineChars="200"/>
              <w:rPr>
                <w:rFonts w:ascii="宋体" w:hAnsi="宋体"/>
                <w:kern w:val="0"/>
              </w:rPr>
            </w:pPr>
            <w:r>
              <w:rPr>
                <w:rFonts w:ascii="宋体" w:hAnsi="宋体"/>
                <w:kern w:val="0"/>
              </w:rPr>
              <w:t>与营业执照、资质证书</w:t>
            </w:r>
            <w:r>
              <w:rPr>
                <w:rFonts w:hint="eastAsia" w:ascii="宋体" w:hAnsi="宋体"/>
                <w:kern w:val="0"/>
                <w:lang w:eastAsia="zh-CN"/>
              </w:rPr>
              <w:t>（</w:t>
            </w:r>
            <w:r>
              <w:rPr>
                <w:rFonts w:hint="eastAsia" w:ascii="宋体" w:hAnsi="宋体"/>
                <w:kern w:val="0"/>
                <w:lang w:val="en-US" w:eastAsia="zh-CN"/>
              </w:rPr>
              <w:t>如有</w:t>
            </w:r>
            <w:r>
              <w:rPr>
                <w:rFonts w:hint="eastAsia" w:ascii="宋体" w:hAnsi="宋体"/>
                <w:kern w:val="0"/>
                <w:lang w:eastAsia="zh-CN"/>
              </w:rPr>
              <w:t>）</w:t>
            </w:r>
            <w:r>
              <w:rPr>
                <w:rFonts w:ascii="宋体" w:hAnsi="宋体"/>
                <w:kern w:val="0"/>
              </w:rPr>
              <w:t>一致。</w:t>
            </w:r>
          </w:p>
        </w:tc>
      </w:tr>
      <w:tr w14:paraId="6A89FE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62F833B3">
            <w:pPr>
              <w:spacing w:line="400" w:lineRule="exact"/>
              <w:jc w:val="center"/>
              <w:rPr>
                <w:rFonts w:ascii="宋体" w:hAnsi="宋体"/>
                <w:kern w:val="0"/>
              </w:rPr>
            </w:pPr>
          </w:p>
        </w:tc>
        <w:tc>
          <w:tcPr>
            <w:tcW w:w="1680" w:type="dxa"/>
            <w:vMerge w:val="continue"/>
            <w:tcBorders>
              <w:right w:val="single" w:color="auto" w:sz="4" w:space="0"/>
            </w:tcBorders>
          </w:tcPr>
          <w:p w14:paraId="58200942">
            <w:pPr>
              <w:spacing w:line="400" w:lineRule="exact"/>
              <w:jc w:val="center"/>
              <w:rPr>
                <w:rFonts w:ascii="宋体" w:hAnsi="宋体"/>
                <w:kern w:val="0"/>
              </w:rPr>
            </w:pPr>
          </w:p>
        </w:tc>
        <w:tc>
          <w:tcPr>
            <w:tcW w:w="2171" w:type="dxa"/>
            <w:tcBorders>
              <w:left w:val="single" w:color="auto" w:sz="4" w:space="0"/>
            </w:tcBorders>
            <w:vAlign w:val="center"/>
          </w:tcPr>
          <w:p w14:paraId="393D8DEF">
            <w:pPr>
              <w:spacing w:line="400" w:lineRule="exact"/>
              <w:jc w:val="left"/>
              <w:rPr>
                <w:rFonts w:ascii="宋体" w:hAnsi="宋体"/>
                <w:kern w:val="0"/>
              </w:rPr>
            </w:pPr>
            <w:r>
              <w:rPr>
                <w:rFonts w:ascii="宋体" w:hAnsi="宋体"/>
                <w:kern w:val="0"/>
              </w:rPr>
              <w:t>投标文件格式</w:t>
            </w:r>
          </w:p>
        </w:tc>
        <w:tc>
          <w:tcPr>
            <w:tcW w:w="4803" w:type="dxa"/>
            <w:vAlign w:val="center"/>
          </w:tcPr>
          <w:p w14:paraId="5C9F0E3B">
            <w:pPr>
              <w:spacing w:line="400" w:lineRule="exact"/>
              <w:ind w:firstLine="420" w:firstLineChars="200"/>
            </w:pPr>
            <w:r>
              <w:t>符合第</w:t>
            </w:r>
            <w:r>
              <w:rPr>
                <w:rFonts w:hint="eastAsia"/>
              </w:rPr>
              <w:t>二</w:t>
            </w:r>
            <w:r>
              <w:t>章“投标</w:t>
            </w:r>
            <w:r>
              <w:rPr>
                <w:rFonts w:hint="eastAsia"/>
              </w:rPr>
              <w:t>人须知</w:t>
            </w:r>
            <w:r>
              <w:t>”</w:t>
            </w:r>
            <w:r>
              <w:rPr>
                <w:rFonts w:hint="eastAsia"/>
              </w:rPr>
              <w:t>第3.7款</w:t>
            </w:r>
            <w:r>
              <w:t>的要求</w:t>
            </w:r>
            <w:r>
              <w:rPr>
                <w:rFonts w:hint="eastAsia"/>
              </w:rPr>
              <w:t>（不含投标函部分）</w:t>
            </w:r>
            <w:r>
              <w:t>。</w:t>
            </w:r>
          </w:p>
          <w:p w14:paraId="7B1AD87F">
            <w:pPr>
              <w:spacing w:line="400" w:lineRule="exact"/>
              <w:ind w:firstLine="420" w:firstLineChars="200"/>
            </w:pPr>
            <w:r>
              <w:rPr>
                <w:rFonts w:hint="eastAsia" w:ascii="宋体" w:hAnsi="宋体" w:cs="宋体"/>
                <w:color w:val="auto"/>
                <w:szCs w:val="21"/>
                <w:highlight w:val="none"/>
              </w:rPr>
              <w:t>编制投标文件时</w:t>
            </w:r>
            <w:r>
              <w:rPr>
                <w:rFonts w:hint="eastAsia" w:ascii="宋体" w:hAnsi="宋体" w:cs="宋体"/>
                <w:color w:val="auto"/>
                <w:szCs w:val="21"/>
                <w:highlight w:val="none"/>
                <w:lang w:val="en-US" w:eastAsia="zh-CN"/>
              </w:rPr>
              <w:t>不得</w:t>
            </w:r>
            <w:r>
              <w:rPr>
                <w:rFonts w:hint="eastAsia" w:ascii="宋体" w:hAnsi="宋体" w:cs="宋体"/>
                <w:color w:val="auto"/>
                <w:szCs w:val="21"/>
                <w:highlight w:val="none"/>
              </w:rPr>
              <w:t>对第</w:t>
            </w:r>
            <w:r>
              <w:rPr>
                <w:rFonts w:hint="eastAsia" w:ascii="宋体" w:hAnsi="宋体" w:cs="宋体"/>
                <w:color w:val="auto"/>
                <w:szCs w:val="21"/>
                <w:highlight w:val="none"/>
                <w:lang w:val="en-US" w:eastAsia="zh-CN"/>
              </w:rPr>
              <w:t>六</w:t>
            </w:r>
            <w:r>
              <w:rPr>
                <w:rFonts w:hint="eastAsia" w:ascii="宋体" w:hAnsi="宋体" w:cs="宋体"/>
                <w:color w:val="auto"/>
                <w:szCs w:val="21"/>
                <w:highlight w:val="none"/>
              </w:rPr>
              <w:t>章“投标文件格式”的相应要素作实质性修改</w:t>
            </w:r>
            <w:r>
              <w:rPr>
                <w:rFonts w:hint="eastAsia" w:ascii="宋体" w:hAnsi="宋体" w:cs="宋体"/>
                <w:color w:val="auto"/>
                <w:szCs w:val="21"/>
                <w:highlight w:val="none"/>
                <w:lang w:eastAsia="zh-CN"/>
              </w:rPr>
              <w:t>。</w:t>
            </w:r>
          </w:p>
        </w:tc>
      </w:tr>
      <w:tr w14:paraId="6564270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1430" w:hRule="atLeast"/>
          <w:jc w:val="center"/>
        </w:trPr>
        <w:tc>
          <w:tcPr>
            <w:tcW w:w="934" w:type="dxa"/>
            <w:vMerge w:val="continue"/>
            <w:tcBorders>
              <w:right w:val="single" w:color="auto" w:sz="4" w:space="0"/>
            </w:tcBorders>
          </w:tcPr>
          <w:p w14:paraId="28A57AF2">
            <w:pPr>
              <w:spacing w:line="400" w:lineRule="exact"/>
              <w:jc w:val="center"/>
              <w:rPr>
                <w:rFonts w:ascii="宋体" w:hAnsi="宋体"/>
                <w:kern w:val="0"/>
              </w:rPr>
            </w:pPr>
          </w:p>
        </w:tc>
        <w:tc>
          <w:tcPr>
            <w:tcW w:w="1680" w:type="dxa"/>
            <w:vMerge w:val="continue"/>
            <w:tcBorders>
              <w:right w:val="single" w:color="auto" w:sz="4" w:space="0"/>
            </w:tcBorders>
          </w:tcPr>
          <w:p w14:paraId="21241143">
            <w:pPr>
              <w:spacing w:line="400" w:lineRule="exact"/>
              <w:jc w:val="center"/>
              <w:rPr>
                <w:rFonts w:ascii="宋体" w:hAnsi="宋体"/>
                <w:kern w:val="0"/>
              </w:rPr>
            </w:pPr>
          </w:p>
        </w:tc>
        <w:tc>
          <w:tcPr>
            <w:tcW w:w="2171" w:type="dxa"/>
            <w:tcBorders>
              <w:left w:val="single" w:color="auto" w:sz="4" w:space="0"/>
            </w:tcBorders>
            <w:vAlign w:val="center"/>
          </w:tcPr>
          <w:p w14:paraId="2E82F0BB">
            <w:pPr>
              <w:spacing w:line="400" w:lineRule="exact"/>
              <w:jc w:val="left"/>
              <w:rPr>
                <w:rFonts w:ascii="宋体" w:hAnsi="宋体"/>
                <w:kern w:val="0"/>
              </w:rPr>
            </w:pPr>
            <w:r>
              <w:rPr>
                <w:rFonts w:ascii="宋体" w:hAnsi="宋体"/>
                <w:kern w:val="0"/>
              </w:rPr>
              <w:t>投标文件的签署</w:t>
            </w:r>
          </w:p>
        </w:tc>
        <w:tc>
          <w:tcPr>
            <w:tcW w:w="4803" w:type="dxa"/>
            <w:vAlign w:val="center"/>
          </w:tcPr>
          <w:p w14:paraId="43E03326">
            <w:pPr>
              <w:spacing w:line="400" w:lineRule="exact"/>
              <w:ind w:firstLine="420" w:firstLineChars="200"/>
              <w:rPr>
                <w:rFonts w:ascii="宋体" w:hAnsi="宋体"/>
                <w:kern w:val="0"/>
              </w:rPr>
            </w:pPr>
            <w:r>
              <w:rPr>
                <w:rFonts w:hint="eastAsia" w:ascii="宋体" w:hAnsi="宋体"/>
                <w:kern w:val="0"/>
              </w:rPr>
              <w:t xml:space="preserve">第六章 </w:t>
            </w:r>
            <w:r>
              <w:rPr>
                <w:rFonts w:ascii="宋体" w:hAnsi="宋体"/>
                <w:kern w:val="0"/>
              </w:rPr>
              <w:t>投标文件</w:t>
            </w:r>
            <w:r>
              <w:rPr>
                <w:rFonts w:hint="eastAsia" w:ascii="宋体" w:hAnsi="宋体"/>
                <w:kern w:val="0"/>
              </w:rPr>
              <w:t>格式（不含投标函部分）要求</w:t>
            </w:r>
            <w:r>
              <w:rPr>
                <w:rFonts w:ascii="宋体" w:hAnsi="宋体"/>
                <w:kern w:val="0"/>
              </w:rPr>
              <w:t>法定代表人</w:t>
            </w:r>
            <w:r>
              <w:rPr>
                <w:rFonts w:hint="eastAsia" w:ascii="宋体" w:hAnsi="宋体"/>
                <w:kern w:val="0"/>
                <w:lang w:eastAsia="zh-CN"/>
              </w:rPr>
              <w:t>（</w:t>
            </w:r>
            <w:r>
              <w:rPr>
                <w:rFonts w:ascii="宋体" w:hAnsi="宋体"/>
                <w:kern w:val="0"/>
              </w:rPr>
              <w:t>或其委托代理人</w:t>
            </w:r>
            <w:r>
              <w:rPr>
                <w:rFonts w:hint="eastAsia" w:ascii="宋体" w:hAnsi="宋体"/>
                <w:kern w:val="0"/>
                <w:lang w:eastAsia="zh-CN"/>
              </w:rPr>
              <w:t>）</w:t>
            </w:r>
            <w:r>
              <w:rPr>
                <w:rFonts w:hint="eastAsia" w:ascii="宋体" w:hAnsi="宋体"/>
                <w:kern w:val="0"/>
              </w:rPr>
              <w:t>签名</w:t>
            </w:r>
            <w:r>
              <w:rPr>
                <w:rFonts w:ascii="宋体" w:hAnsi="宋体"/>
                <w:kern w:val="0"/>
              </w:rPr>
              <w:t>（或盖章）</w:t>
            </w:r>
            <w:r>
              <w:rPr>
                <w:rFonts w:hint="eastAsia" w:ascii="宋体" w:hAnsi="宋体"/>
                <w:kern w:val="0"/>
              </w:rPr>
              <w:t>的须</w:t>
            </w:r>
            <w:r>
              <w:rPr>
                <w:rFonts w:ascii="宋体" w:hAnsi="宋体"/>
                <w:kern w:val="0"/>
              </w:rPr>
              <w:t>齐全。</w:t>
            </w:r>
            <w:r>
              <w:rPr>
                <w:rFonts w:hint="eastAsia" w:ascii="宋体" w:hAnsi="宋体"/>
                <w:szCs w:val="21"/>
              </w:rPr>
              <w:t>要求签名的，</w:t>
            </w:r>
            <w:r>
              <w:rPr>
                <w:rFonts w:hint="eastAsia" w:ascii="宋体" w:hAnsi="宋体"/>
                <w:kern w:val="0"/>
              </w:rPr>
              <w:t>签名采用手写签名</w:t>
            </w:r>
            <w:r>
              <w:rPr>
                <w:rFonts w:hint="eastAsia" w:ascii="宋体" w:hAnsi="宋体"/>
                <w:szCs w:val="21"/>
              </w:rPr>
              <w:t>或签章</w:t>
            </w:r>
            <w:r>
              <w:rPr>
                <w:rFonts w:hint="eastAsia" w:ascii="宋体" w:hAnsi="宋体"/>
                <w:kern w:val="0"/>
              </w:rPr>
              <w:t>均可。</w:t>
            </w:r>
          </w:p>
          <w:p w14:paraId="3216C2BC">
            <w:pPr>
              <w:autoSpaceDE w:val="0"/>
              <w:autoSpaceDN w:val="0"/>
              <w:adjustRightInd w:val="0"/>
              <w:snapToGrid w:val="0"/>
              <w:spacing w:line="400" w:lineRule="exact"/>
              <w:ind w:firstLine="420" w:firstLineChars="200"/>
              <w:rPr>
                <w:rFonts w:ascii="宋体" w:hAnsi="宋体"/>
                <w:kern w:val="0"/>
              </w:rPr>
            </w:pPr>
            <w:r>
              <w:rPr>
                <w:rFonts w:hint="eastAsia" w:ascii="宋体" w:hAnsi="宋体"/>
                <w:kern w:val="0"/>
              </w:rPr>
              <w:t>第六章 投标文件格式（不含投标函部分）要求加盖单位法人章的，</w:t>
            </w:r>
            <w:r>
              <w:rPr>
                <w:rFonts w:hint="eastAsia" w:ascii="宋体" w:hAnsi="宋体" w:cs="宋体"/>
                <w:szCs w:val="21"/>
              </w:rPr>
              <w:t>加盖投标人单位法人章或投标人的单位电子印章</w:t>
            </w:r>
            <w:r>
              <w:rPr>
                <w:rFonts w:hint="eastAsia" w:ascii="宋体" w:hAnsi="宋体" w:cs="宋体"/>
                <w:kern w:val="0"/>
                <w:szCs w:val="21"/>
              </w:rPr>
              <w:t>均可</w:t>
            </w:r>
            <w:r>
              <w:rPr>
                <w:rFonts w:hint="eastAsia" w:ascii="宋体" w:hAnsi="宋体" w:cs="宋体"/>
                <w:szCs w:val="21"/>
              </w:rPr>
              <w:t>。</w:t>
            </w:r>
          </w:p>
          <w:p w14:paraId="6C7393FD">
            <w:pPr>
              <w:autoSpaceDE w:val="0"/>
              <w:autoSpaceDN w:val="0"/>
              <w:adjustRightInd w:val="0"/>
              <w:snapToGrid w:val="0"/>
              <w:spacing w:line="400" w:lineRule="exact"/>
              <w:ind w:firstLine="420" w:firstLineChars="200"/>
              <w:rPr>
                <w:rFonts w:ascii="宋体" w:hAnsi="宋体"/>
                <w:kern w:val="0"/>
              </w:rPr>
            </w:pPr>
          </w:p>
        </w:tc>
      </w:tr>
      <w:tr w14:paraId="2E79124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1C0A9EA0">
            <w:pPr>
              <w:spacing w:line="400" w:lineRule="exact"/>
              <w:jc w:val="center"/>
              <w:rPr>
                <w:rFonts w:ascii="宋体" w:hAnsi="宋体"/>
                <w:kern w:val="0"/>
              </w:rPr>
            </w:pPr>
          </w:p>
        </w:tc>
        <w:tc>
          <w:tcPr>
            <w:tcW w:w="1680" w:type="dxa"/>
            <w:vMerge w:val="continue"/>
            <w:tcBorders>
              <w:right w:val="single" w:color="auto" w:sz="4" w:space="0"/>
            </w:tcBorders>
          </w:tcPr>
          <w:p w14:paraId="076CA433">
            <w:pPr>
              <w:spacing w:line="400" w:lineRule="exact"/>
              <w:jc w:val="center"/>
              <w:rPr>
                <w:rFonts w:ascii="宋体" w:hAnsi="宋体"/>
                <w:kern w:val="0"/>
              </w:rPr>
            </w:pPr>
          </w:p>
        </w:tc>
        <w:tc>
          <w:tcPr>
            <w:tcW w:w="2171" w:type="dxa"/>
            <w:tcBorders>
              <w:left w:val="single" w:color="auto" w:sz="4" w:space="0"/>
            </w:tcBorders>
            <w:vAlign w:val="center"/>
          </w:tcPr>
          <w:p w14:paraId="48EE12D0">
            <w:pPr>
              <w:spacing w:line="400" w:lineRule="exact"/>
              <w:jc w:val="left"/>
              <w:rPr>
                <w:rFonts w:ascii="宋体" w:hAnsi="宋体"/>
                <w:kern w:val="0"/>
              </w:rPr>
            </w:pPr>
            <w:r>
              <w:rPr>
                <w:rFonts w:ascii="宋体" w:hAnsi="宋体"/>
                <w:kern w:val="0"/>
              </w:rPr>
              <w:t>委托代理人</w:t>
            </w:r>
          </w:p>
        </w:tc>
        <w:tc>
          <w:tcPr>
            <w:tcW w:w="4803" w:type="dxa"/>
            <w:vAlign w:val="center"/>
          </w:tcPr>
          <w:p w14:paraId="139DDA47">
            <w:pPr>
              <w:spacing w:line="400" w:lineRule="exact"/>
              <w:ind w:firstLine="420" w:firstLineChars="200"/>
              <w:rPr>
                <w:rFonts w:ascii="宋体" w:hAnsi="宋体"/>
                <w:kern w:val="0"/>
              </w:rPr>
            </w:pPr>
            <w:r>
              <w:rPr>
                <w:rFonts w:ascii="宋体" w:hAnsi="宋体"/>
                <w:kern w:val="0"/>
              </w:rPr>
              <w:t>投标人法定代表人的委托代理人有法定代表人签署的授权委托书</w:t>
            </w:r>
            <w:r>
              <w:rPr>
                <w:rFonts w:hint="eastAsia" w:ascii="宋体" w:hAnsi="宋体"/>
                <w:kern w:val="0"/>
              </w:rPr>
              <w:t>和投标人为其缴纳的养老保险</w:t>
            </w:r>
            <w:r>
              <w:rPr>
                <w:rFonts w:hint="eastAsia" w:ascii="宋体" w:hAnsi="宋体"/>
                <w:kern w:val="0"/>
                <w:lang w:val="en-US" w:eastAsia="zh-CN"/>
              </w:rPr>
              <w:t>证明材料</w:t>
            </w:r>
            <w:r>
              <w:rPr>
                <w:rFonts w:hint="eastAsia" w:ascii="宋体" w:hAnsi="宋体"/>
                <w:kern w:val="0"/>
              </w:rPr>
              <w:t>。</w:t>
            </w:r>
          </w:p>
        </w:tc>
      </w:tr>
      <w:tr w14:paraId="4EDB5A0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tcPr>
          <w:p w14:paraId="3147DA73">
            <w:pPr>
              <w:spacing w:line="400" w:lineRule="exact"/>
              <w:jc w:val="center"/>
              <w:rPr>
                <w:rFonts w:ascii="宋体" w:hAnsi="宋体"/>
                <w:kern w:val="0"/>
              </w:rPr>
            </w:pPr>
          </w:p>
        </w:tc>
        <w:tc>
          <w:tcPr>
            <w:tcW w:w="1680" w:type="dxa"/>
            <w:vMerge w:val="continue"/>
            <w:tcBorders>
              <w:right w:val="single" w:color="auto" w:sz="4" w:space="0"/>
            </w:tcBorders>
          </w:tcPr>
          <w:p w14:paraId="7779E8C2">
            <w:pPr>
              <w:spacing w:line="400" w:lineRule="exact"/>
              <w:jc w:val="center"/>
              <w:rPr>
                <w:rFonts w:ascii="宋体" w:hAnsi="宋体"/>
                <w:kern w:val="0"/>
              </w:rPr>
            </w:pPr>
          </w:p>
        </w:tc>
        <w:tc>
          <w:tcPr>
            <w:tcW w:w="2171" w:type="dxa"/>
            <w:tcBorders>
              <w:left w:val="single" w:color="auto" w:sz="4" w:space="0"/>
            </w:tcBorders>
            <w:vAlign w:val="center"/>
          </w:tcPr>
          <w:p w14:paraId="3B2DE0C3">
            <w:pPr>
              <w:spacing w:line="400" w:lineRule="exact"/>
              <w:jc w:val="left"/>
              <w:rPr>
                <w:rFonts w:ascii="宋体" w:hAnsi="宋体"/>
                <w:kern w:val="0"/>
              </w:rPr>
            </w:pPr>
            <w:r>
              <w:t>备选投标方案</w:t>
            </w:r>
          </w:p>
        </w:tc>
        <w:tc>
          <w:tcPr>
            <w:tcW w:w="4803" w:type="dxa"/>
            <w:vAlign w:val="center"/>
          </w:tcPr>
          <w:p w14:paraId="22899DDA">
            <w:pPr>
              <w:spacing w:line="400" w:lineRule="exact"/>
              <w:ind w:firstLine="420" w:firstLineChars="200"/>
              <w:rPr>
                <w:rFonts w:ascii="宋体" w:hAnsi="宋体"/>
                <w:kern w:val="0"/>
              </w:rPr>
            </w:pPr>
            <w:r>
              <w:rPr>
                <w:rFonts w:ascii="宋体" w:hAnsi="宋体"/>
                <w:kern w:val="0"/>
              </w:rPr>
              <w:t>除招标文件明确允许提交备选投标方案外，投标人不得提交备选投标方案</w:t>
            </w:r>
          </w:p>
        </w:tc>
      </w:tr>
      <w:tr w14:paraId="324438A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restart"/>
            <w:vAlign w:val="center"/>
          </w:tcPr>
          <w:p w14:paraId="0AB9234B">
            <w:pPr>
              <w:spacing w:line="400" w:lineRule="exact"/>
              <w:jc w:val="center"/>
              <w:rPr>
                <w:rFonts w:ascii="宋体" w:hAnsi="宋体"/>
                <w:kern w:val="0"/>
              </w:rPr>
            </w:pPr>
            <w:r>
              <w:rPr>
                <w:rFonts w:ascii="宋体" w:hAnsi="宋体"/>
                <w:kern w:val="0"/>
              </w:rPr>
              <w:t>2.1.</w:t>
            </w:r>
            <w:r>
              <w:rPr>
                <w:rFonts w:hint="eastAsia" w:ascii="宋体" w:hAnsi="宋体"/>
                <w:kern w:val="0"/>
              </w:rPr>
              <w:t>3</w:t>
            </w:r>
          </w:p>
        </w:tc>
        <w:tc>
          <w:tcPr>
            <w:tcW w:w="1680" w:type="dxa"/>
            <w:vMerge w:val="restart"/>
            <w:vAlign w:val="center"/>
          </w:tcPr>
          <w:p w14:paraId="19FEE74A">
            <w:pPr>
              <w:spacing w:line="400" w:lineRule="exact"/>
              <w:jc w:val="center"/>
              <w:rPr>
                <w:rFonts w:ascii="宋体" w:hAnsi="宋体"/>
                <w:kern w:val="0"/>
              </w:rPr>
            </w:pPr>
            <w:r>
              <w:rPr>
                <w:rFonts w:hint="eastAsia" w:ascii="宋体" w:hAnsi="宋体"/>
                <w:kern w:val="0"/>
              </w:rPr>
              <w:t>响应性</w:t>
            </w:r>
            <w:r>
              <w:rPr>
                <w:rFonts w:ascii="宋体" w:hAnsi="宋体"/>
                <w:kern w:val="0"/>
              </w:rPr>
              <w:t>评审标准</w:t>
            </w:r>
          </w:p>
        </w:tc>
        <w:tc>
          <w:tcPr>
            <w:tcW w:w="2171" w:type="dxa"/>
            <w:vAlign w:val="center"/>
          </w:tcPr>
          <w:p w14:paraId="3C6505F6">
            <w:pPr>
              <w:spacing w:line="400" w:lineRule="exact"/>
              <w:jc w:val="left"/>
              <w:rPr>
                <w:rFonts w:ascii="宋体" w:hAnsi="宋体"/>
                <w:kern w:val="0"/>
              </w:rPr>
            </w:pPr>
            <w:r>
              <w:rPr>
                <w:rFonts w:ascii="宋体" w:hAnsi="宋体"/>
                <w:kern w:val="0"/>
              </w:rPr>
              <w:t>投标内容</w:t>
            </w:r>
          </w:p>
        </w:tc>
        <w:tc>
          <w:tcPr>
            <w:tcW w:w="4803" w:type="dxa"/>
            <w:vAlign w:val="center"/>
          </w:tcPr>
          <w:p w14:paraId="4A41AC75">
            <w:pPr>
              <w:spacing w:line="400" w:lineRule="exact"/>
              <w:ind w:firstLine="420" w:firstLineChars="200"/>
              <w:jc w:val="left"/>
              <w:rPr>
                <w:rFonts w:ascii="宋体" w:hAnsi="宋体"/>
                <w:kern w:val="0"/>
              </w:rPr>
            </w:pPr>
            <w:r>
              <w:rPr>
                <w:rFonts w:ascii="宋体" w:hAnsi="宋体"/>
                <w:kern w:val="0"/>
              </w:rPr>
              <w:t>符合第二章“投标人须知”第1.3.1项规定</w:t>
            </w:r>
            <w:r>
              <w:rPr>
                <w:rFonts w:hint="eastAsia" w:ascii="宋体" w:hAnsi="宋体"/>
                <w:kern w:val="0"/>
              </w:rPr>
              <w:t>。</w:t>
            </w:r>
          </w:p>
        </w:tc>
      </w:tr>
      <w:tr w14:paraId="5B0D066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75" w:hRule="atLeast"/>
          <w:jc w:val="center"/>
        </w:trPr>
        <w:tc>
          <w:tcPr>
            <w:tcW w:w="934" w:type="dxa"/>
            <w:vMerge w:val="continue"/>
            <w:vAlign w:val="center"/>
          </w:tcPr>
          <w:p w14:paraId="7C7CD874">
            <w:pPr>
              <w:spacing w:line="400" w:lineRule="exact"/>
              <w:jc w:val="center"/>
              <w:rPr>
                <w:rFonts w:ascii="宋体" w:hAnsi="宋体"/>
                <w:kern w:val="0"/>
              </w:rPr>
            </w:pPr>
          </w:p>
        </w:tc>
        <w:tc>
          <w:tcPr>
            <w:tcW w:w="1680" w:type="dxa"/>
            <w:vMerge w:val="continue"/>
            <w:vAlign w:val="center"/>
          </w:tcPr>
          <w:p w14:paraId="197AA379">
            <w:pPr>
              <w:spacing w:line="400" w:lineRule="exact"/>
              <w:jc w:val="center"/>
              <w:rPr>
                <w:rFonts w:hint="eastAsia" w:ascii="宋体" w:hAnsi="宋体"/>
                <w:kern w:val="0"/>
              </w:rPr>
            </w:pPr>
          </w:p>
        </w:tc>
        <w:tc>
          <w:tcPr>
            <w:tcW w:w="2171" w:type="dxa"/>
            <w:vAlign w:val="center"/>
          </w:tcPr>
          <w:p w14:paraId="6CB904B1">
            <w:pPr>
              <w:spacing w:line="400" w:lineRule="exact"/>
              <w:jc w:val="left"/>
              <w:rPr>
                <w:rFonts w:hint="eastAsia" w:ascii="宋体" w:hAnsi="宋体" w:eastAsia="宋体" w:cs="Times New Roman"/>
                <w:kern w:val="0"/>
                <w:sz w:val="21"/>
                <w:szCs w:val="24"/>
                <w:lang w:val="en-US" w:eastAsia="zh-CN" w:bidi="ar-SA"/>
              </w:rPr>
            </w:pPr>
            <w:r>
              <w:rPr>
                <w:rFonts w:ascii="宋体" w:hAnsi="宋体"/>
                <w:kern w:val="0"/>
              </w:rPr>
              <w:t>投标保证金</w:t>
            </w:r>
          </w:p>
        </w:tc>
        <w:tc>
          <w:tcPr>
            <w:tcW w:w="4803" w:type="dxa"/>
            <w:vAlign w:val="center"/>
          </w:tcPr>
          <w:p w14:paraId="24B6FF4F">
            <w:pPr>
              <w:tabs>
                <w:tab w:val="left" w:pos="601"/>
                <w:tab w:val="left" w:pos="669"/>
              </w:tabs>
              <w:snapToGrid w:val="0"/>
              <w:spacing w:line="400" w:lineRule="exact"/>
              <w:ind w:firstLine="420" w:firstLineChars="200"/>
              <w:rPr>
                <w:rFonts w:ascii="宋体" w:hAnsi="宋体" w:eastAsia="宋体" w:cs="Times New Roman"/>
                <w:kern w:val="0"/>
                <w:sz w:val="21"/>
                <w:szCs w:val="24"/>
                <w:lang w:val="en-US" w:eastAsia="zh-CN" w:bidi="ar-SA"/>
              </w:rPr>
            </w:pPr>
            <w:r>
              <w:rPr>
                <w:rFonts w:ascii="宋体" w:hAnsi="宋体"/>
                <w:kern w:val="0"/>
              </w:rPr>
              <w:t>符合第二章“投标人须知</w:t>
            </w:r>
            <w:r>
              <w:rPr>
                <w:rFonts w:hint="eastAsia" w:ascii="宋体" w:hAnsi="宋体"/>
                <w:kern w:val="0"/>
                <w:lang w:val="en-US" w:eastAsia="zh-CN"/>
              </w:rPr>
              <w:t>前附表</w:t>
            </w:r>
            <w:r>
              <w:rPr>
                <w:rFonts w:ascii="宋体" w:hAnsi="宋体"/>
                <w:kern w:val="0"/>
              </w:rPr>
              <w:t>”</w:t>
            </w:r>
            <w:r>
              <w:rPr>
                <w:rFonts w:ascii="宋体" w:hAnsi="宋体"/>
                <w:kern w:val="0"/>
                <w:szCs w:val="21"/>
              </w:rPr>
              <w:t>第3.4</w:t>
            </w:r>
            <w:r>
              <w:rPr>
                <w:rFonts w:hint="eastAsia" w:ascii="宋体" w:hAnsi="宋体"/>
                <w:kern w:val="0"/>
                <w:szCs w:val="21"/>
              </w:rPr>
              <w:t>.1项</w:t>
            </w:r>
            <w:r>
              <w:rPr>
                <w:rFonts w:ascii="宋体" w:hAnsi="宋体"/>
                <w:kern w:val="0"/>
              </w:rPr>
              <w:t>规定</w:t>
            </w:r>
            <w:r>
              <w:rPr>
                <w:rFonts w:hint="eastAsia" w:ascii="宋体" w:hAnsi="宋体"/>
                <w:kern w:val="0"/>
              </w:rPr>
              <w:t>。</w:t>
            </w:r>
          </w:p>
        </w:tc>
      </w:tr>
      <w:tr w14:paraId="5A792AC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545" w:hRule="atLeast"/>
          <w:jc w:val="center"/>
        </w:trPr>
        <w:tc>
          <w:tcPr>
            <w:tcW w:w="934" w:type="dxa"/>
            <w:vMerge w:val="continue"/>
            <w:vAlign w:val="center"/>
          </w:tcPr>
          <w:p w14:paraId="31E09412">
            <w:pPr>
              <w:spacing w:line="400" w:lineRule="exact"/>
              <w:jc w:val="center"/>
              <w:rPr>
                <w:rFonts w:ascii="宋体" w:hAnsi="宋体"/>
                <w:kern w:val="0"/>
              </w:rPr>
            </w:pPr>
          </w:p>
        </w:tc>
        <w:tc>
          <w:tcPr>
            <w:tcW w:w="1680" w:type="dxa"/>
            <w:vMerge w:val="continue"/>
            <w:textDirection w:val="tbRlV"/>
            <w:vAlign w:val="center"/>
          </w:tcPr>
          <w:p w14:paraId="7543770B">
            <w:pPr>
              <w:spacing w:line="400" w:lineRule="exact"/>
              <w:jc w:val="center"/>
              <w:rPr>
                <w:rFonts w:ascii="宋体" w:hAnsi="宋体"/>
                <w:kern w:val="0"/>
              </w:rPr>
            </w:pPr>
          </w:p>
        </w:tc>
        <w:tc>
          <w:tcPr>
            <w:tcW w:w="2171" w:type="dxa"/>
            <w:tcBorders>
              <w:top w:val="single" w:color="auto" w:sz="4" w:space="0"/>
            </w:tcBorders>
            <w:vAlign w:val="center"/>
          </w:tcPr>
          <w:p w14:paraId="780A554B">
            <w:pPr>
              <w:spacing w:line="400" w:lineRule="exact"/>
              <w:jc w:val="left"/>
              <w:rPr>
                <w:rFonts w:ascii="宋体" w:hAnsi="宋体" w:eastAsia="宋体" w:cs="Times New Roman"/>
                <w:kern w:val="0"/>
                <w:sz w:val="21"/>
                <w:szCs w:val="24"/>
                <w:lang w:val="en-US" w:eastAsia="zh-CN" w:bidi="ar-SA"/>
              </w:rPr>
            </w:pPr>
            <w:r>
              <w:rPr>
                <w:rFonts w:ascii="宋体" w:hAnsi="宋体"/>
                <w:kern w:val="0"/>
              </w:rPr>
              <w:t>权利义务</w:t>
            </w:r>
          </w:p>
        </w:tc>
        <w:tc>
          <w:tcPr>
            <w:tcW w:w="4803" w:type="dxa"/>
            <w:vAlign w:val="center"/>
          </w:tcPr>
          <w:p w14:paraId="59BCC430">
            <w:pPr>
              <w:spacing w:after="48" w:afterLines="20" w:line="400" w:lineRule="exact"/>
              <w:ind w:firstLine="420" w:firstLineChars="200"/>
              <w:rPr>
                <w:rFonts w:ascii="宋体" w:hAnsi="宋体" w:eastAsia="宋体" w:cs="Times New Roman"/>
                <w:kern w:val="0"/>
                <w:sz w:val="21"/>
                <w:szCs w:val="24"/>
                <w:lang w:val="en-US" w:eastAsia="zh-CN" w:bidi="ar-SA"/>
              </w:rPr>
            </w:pPr>
            <w:r>
              <w:rPr>
                <w:rFonts w:hint="eastAsia" w:ascii="宋体" w:hAnsi="宋体"/>
                <w:kern w:val="0"/>
              </w:rPr>
              <w:t>符合</w:t>
            </w:r>
            <w:r>
              <w:rPr>
                <w:rFonts w:ascii="宋体" w:hAnsi="宋体"/>
                <w:kern w:val="0"/>
              </w:rPr>
              <w:t>第四章“合同条款及格式”</w:t>
            </w:r>
            <w:r>
              <w:rPr>
                <w:rFonts w:hint="eastAsia" w:ascii="宋体" w:hAnsi="宋体" w:cs="宋体"/>
                <w:kern w:val="0"/>
              </w:rPr>
              <w:t>中的实质性要求和条件，投标文件不应附有招标人不能接受的条件。（由投标人承诺，承诺书格式详见第六章投标文件格式。）</w:t>
            </w:r>
          </w:p>
        </w:tc>
      </w:tr>
      <w:tr w14:paraId="4897FEB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738" w:hRule="atLeast"/>
          <w:jc w:val="center"/>
        </w:trPr>
        <w:tc>
          <w:tcPr>
            <w:tcW w:w="934" w:type="dxa"/>
            <w:vMerge w:val="continue"/>
          </w:tcPr>
          <w:p w14:paraId="074B7995">
            <w:pPr>
              <w:spacing w:line="400" w:lineRule="exact"/>
              <w:jc w:val="center"/>
              <w:rPr>
                <w:rFonts w:ascii="宋体" w:hAnsi="宋体"/>
              </w:rPr>
            </w:pPr>
          </w:p>
        </w:tc>
        <w:tc>
          <w:tcPr>
            <w:tcW w:w="1680" w:type="dxa"/>
            <w:vMerge w:val="continue"/>
          </w:tcPr>
          <w:p w14:paraId="2A7349C0">
            <w:pPr>
              <w:spacing w:line="400" w:lineRule="exact"/>
              <w:jc w:val="center"/>
              <w:rPr>
                <w:rFonts w:ascii="宋体" w:hAnsi="宋体"/>
              </w:rPr>
            </w:pPr>
          </w:p>
        </w:tc>
        <w:tc>
          <w:tcPr>
            <w:tcW w:w="2171" w:type="dxa"/>
            <w:vAlign w:val="center"/>
          </w:tcPr>
          <w:p w14:paraId="4BEB827E">
            <w:pPr>
              <w:spacing w:line="400" w:lineRule="exact"/>
              <w:jc w:val="left"/>
              <w:rPr>
                <w:rFonts w:ascii="宋体" w:hAnsi="宋体" w:eastAsia="宋体" w:cs="Times New Roman"/>
                <w:kern w:val="0"/>
                <w:sz w:val="21"/>
                <w:szCs w:val="24"/>
                <w:lang w:val="en-US" w:eastAsia="zh-CN" w:bidi="ar-SA"/>
              </w:rPr>
            </w:pP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p>
        </w:tc>
        <w:tc>
          <w:tcPr>
            <w:tcW w:w="4803" w:type="dxa"/>
            <w:vAlign w:val="center"/>
          </w:tcPr>
          <w:p w14:paraId="6F5FA28A">
            <w:pPr>
              <w:spacing w:line="400" w:lineRule="exact"/>
              <w:ind w:firstLine="420" w:firstLineChars="200"/>
              <w:jc w:val="left"/>
              <w:rPr>
                <w:rFonts w:ascii="宋体" w:hAnsi="宋体" w:eastAsia="宋体" w:cs="Times New Roman"/>
                <w:kern w:val="0"/>
                <w:sz w:val="21"/>
                <w:szCs w:val="24"/>
                <w:lang w:val="en-US" w:eastAsia="zh-CN" w:bidi="ar-SA"/>
              </w:rPr>
            </w:pP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kern w:val="0"/>
              </w:rPr>
              <w:t>。</w:t>
            </w:r>
          </w:p>
        </w:tc>
      </w:tr>
      <w:tr w14:paraId="456F3D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cantSplit/>
          <w:trHeight w:val="979" w:hRule="atLeast"/>
          <w:jc w:val="center"/>
        </w:trPr>
        <w:tc>
          <w:tcPr>
            <w:tcW w:w="934" w:type="dxa"/>
            <w:vMerge w:val="continue"/>
          </w:tcPr>
          <w:p w14:paraId="060F6D2F">
            <w:pPr>
              <w:spacing w:line="400" w:lineRule="exact"/>
              <w:rPr>
                <w:rFonts w:ascii="宋体" w:hAnsi="宋体"/>
              </w:rPr>
            </w:pPr>
          </w:p>
        </w:tc>
        <w:tc>
          <w:tcPr>
            <w:tcW w:w="1680" w:type="dxa"/>
            <w:vMerge w:val="continue"/>
          </w:tcPr>
          <w:p w14:paraId="38803716">
            <w:pPr>
              <w:spacing w:line="400" w:lineRule="exact"/>
              <w:rPr>
                <w:rFonts w:ascii="宋体" w:hAnsi="宋体"/>
              </w:rPr>
            </w:pPr>
          </w:p>
        </w:tc>
        <w:tc>
          <w:tcPr>
            <w:tcW w:w="2171" w:type="dxa"/>
            <w:vAlign w:val="center"/>
          </w:tcPr>
          <w:p w14:paraId="55CC2293">
            <w:pPr>
              <w:spacing w:line="400" w:lineRule="exact"/>
              <w:jc w:val="left"/>
              <w:rPr>
                <w:rFonts w:ascii="宋体" w:hAnsi="宋体"/>
                <w:kern w:val="0"/>
              </w:rPr>
            </w:pPr>
            <w:r>
              <w:rPr>
                <w:rFonts w:hint="eastAsia" w:ascii="宋体" w:hAnsi="宋体"/>
                <w:kern w:val="0"/>
                <w:lang w:val="en-US" w:eastAsia="zh-CN"/>
              </w:rPr>
              <w:t>其他</w:t>
            </w:r>
            <w:r>
              <w:rPr>
                <w:rFonts w:ascii="宋体" w:hAnsi="宋体"/>
                <w:kern w:val="0"/>
              </w:rPr>
              <w:t>实质性要求</w:t>
            </w:r>
          </w:p>
        </w:tc>
        <w:tc>
          <w:tcPr>
            <w:tcW w:w="4803" w:type="dxa"/>
            <w:vAlign w:val="center"/>
          </w:tcPr>
          <w:p w14:paraId="2B994A90">
            <w:pPr>
              <w:spacing w:after="48" w:afterLines="20" w:line="400" w:lineRule="exact"/>
              <w:ind w:firstLine="420" w:firstLineChars="200"/>
              <w:rPr>
                <w:rFonts w:ascii="宋体" w:hAnsi="宋体"/>
                <w:kern w:val="0"/>
              </w:rPr>
            </w:pPr>
            <w:r>
              <w:rPr>
                <w:rFonts w:hint="eastAsia" w:ascii="宋体" w:hAnsi="宋体"/>
                <w:kern w:val="0"/>
              </w:rPr>
              <w:t>本次投标不得</w:t>
            </w:r>
            <w:r>
              <w:rPr>
                <w:rFonts w:hint="eastAsia" w:ascii="宋体" w:hAnsi="宋体"/>
                <w:kern w:val="0"/>
                <w:lang w:val="en-US" w:eastAsia="zh-CN"/>
              </w:rPr>
              <w:t>存在</w:t>
            </w:r>
            <w:r>
              <w:t>弄虚作假</w:t>
            </w:r>
            <w:r>
              <w:rPr>
                <w:rFonts w:ascii="宋体" w:hAnsi="宋体"/>
                <w:kern w:val="0"/>
              </w:rPr>
              <w:t>等其他违反招投标相关法律、法规行为。</w:t>
            </w:r>
          </w:p>
          <w:p w14:paraId="162CAAFF">
            <w:pPr>
              <w:spacing w:after="48" w:afterLines="20" w:line="400" w:lineRule="exact"/>
              <w:ind w:firstLine="420" w:firstLineChars="200"/>
              <w:rPr>
                <w:rFonts w:ascii="宋体" w:hAnsi="宋体"/>
                <w:kern w:val="0"/>
              </w:rPr>
            </w:pPr>
            <w:r>
              <w:rPr>
                <w:rFonts w:hint="eastAsia" w:ascii="宋体" w:hAnsi="宋体"/>
                <w:kern w:val="0"/>
              </w:rPr>
              <w:t>按评标委员会要求澄清、说明或补正。</w:t>
            </w:r>
          </w:p>
        </w:tc>
      </w:tr>
      <w:tr w14:paraId="5157ABD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2119" w:hRule="atLeast"/>
          <w:jc w:val="center"/>
        </w:trPr>
        <w:tc>
          <w:tcPr>
            <w:tcW w:w="934" w:type="dxa"/>
            <w:tcBorders>
              <w:right w:val="single" w:color="auto" w:sz="4" w:space="0"/>
            </w:tcBorders>
            <w:vAlign w:val="center"/>
          </w:tcPr>
          <w:p w14:paraId="4A1CAC60">
            <w:pPr>
              <w:spacing w:line="400" w:lineRule="exact"/>
              <w:ind w:firstLine="0" w:firstLineChars="0"/>
              <w:jc w:val="center"/>
              <w:rPr>
                <w:rFonts w:ascii="宋体" w:hAnsi="宋体"/>
                <w:kern w:val="0"/>
              </w:rPr>
            </w:pPr>
            <w:r>
              <w:rPr>
                <w:rFonts w:ascii="宋体" w:hAnsi="宋体"/>
                <w:kern w:val="0"/>
              </w:rPr>
              <w:t>2.2.1</w:t>
            </w:r>
          </w:p>
        </w:tc>
        <w:tc>
          <w:tcPr>
            <w:tcW w:w="1680" w:type="dxa"/>
            <w:tcBorders>
              <w:left w:val="single" w:color="auto" w:sz="4" w:space="0"/>
            </w:tcBorders>
            <w:vAlign w:val="center"/>
          </w:tcPr>
          <w:p w14:paraId="6BBF0609">
            <w:pPr>
              <w:tabs>
                <w:tab w:val="left" w:pos="1875"/>
              </w:tabs>
              <w:spacing w:line="400" w:lineRule="exact"/>
              <w:jc w:val="center"/>
              <w:rPr>
                <w:rFonts w:ascii="宋体" w:hAnsi="宋体"/>
                <w:kern w:val="0"/>
              </w:rPr>
            </w:pPr>
            <w:r>
              <w:rPr>
                <w:rFonts w:ascii="宋体" w:hAnsi="宋体"/>
                <w:kern w:val="0"/>
              </w:rPr>
              <w:t>分值构成</w:t>
            </w:r>
          </w:p>
          <w:p w14:paraId="374FF860">
            <w:pPr>
              <w:spacing w:line="400" w:lineRule="exact"/>
              <w:ind w:firstLine="0" w:firstLineChars="0"/>
              <w:jc w:val="center"/>
              <w:rPr>
                <w:rFonts w:ascii="宋体" w:hAnsi="宋体"/>
                <w:kern w:val="0"/>
              </w:rPr>
            </w:pPr>
            <w:r>
              <w:rPr>
                <w:rFonts w:ascii="宋体" w:hAnsi="宋体"/>
                <w:kern w:val="0"/>
              </w:rPr>
              <w:t xml:space="preserve"> （总分1</w:t>
            </w:r>
            <w:r>
              <w:rPr>
                <w:rFonts w:hint="eastAsia" w:ascii="宋体" w:hAnsi="宋体"/>
                <w:kern w:val="0"/>
              </w:rPr>
              <w:t>00</w:t>
            </w:r>
            <w:r>
              <w:rPr>
                <w:rFonts w:ascii="宋体" w:hAnsi="宋体"/>
                <w:kern w:val="0"/>
              </w:rPr>
              <w:t>分）</w:t>
            </w:r>
          </w:p>
        </w:tc>
        <w:tc>
          <w:tcPr>
            <w:tcW w:w="6974" w:type="dxa"/>
            <w:gridSpan w:val="2"/>
            <w:vAlign w:val="center"/>
          </w:tcPr>
          <w:p w14:paraId="51F79993">
            <w:pPr>
              <w:snapToGrid w:val="0"/>
              <w:spacing w:line="400" w:lineRule="exact"/>
              <w:ind w:firstLine="420" w:firstLineChars="200"/>
              <w:rPr>
                <w:rFonts w:hint="eastAsia" w:ascii="宋体" w:hAnsi="宋体"/>
                <w:kern w:val="0"/>
                <w:lang w:eastAsia="zh-CN"/>
              </w:rPr>
            </w:pPr>
            <w:r>
              <w:rPr>
                <w:rFonts w:hint="eastAsia" w:ascii="宋体" w:hAnsi="宋体"/>
                <w:kern w:val="0"/>
              </w:rPr>
              <w:t>1</w:t>
            </w:r>
            <w:r>
              <w:rPr>
                <w:rFonts w:ascii="宋体" w:hAnsi="宋体"/>
                <w:kern w:val="0"/>
              </w:rPr>
              <w:t>.</w:t>
            </w:r>
            <w:r>
              <w:rPr>
                <w:rFonts w:hint="eastAsia" w:ascii="宋体" w:hAnsi="宋体"/>
                <w:kern w:val="0"/>
              </w:rPr>
              <w:t>技术</w:t>
            </w:r>
            <w:r>
              <w:rPr>
                <w:rFonts w:hint="eastAsia" w:ascii="宋体" w:hAnsi="宋体"/>
                <w:kern w:val="0"/>
                <w:lang w:val="en-US" w:eastAsia="zh-CN"/>
              </w:rPr>
              <w:t>评审</w:t>
            </w:r>
            <w:r>
              <w:rPr>
                <w:rFonts w:ascii="宋体" w:hAnsi="宋体"/>
                <w:kern w:val="0"/>
                <w:u w:val="single"/>
              </w:rPr>
              <w:t>　</w:t>
            </w:r>
            <w:r>
              <w:rPr>
                <w:rFonts w:hint="eastAsia" w:ascii="宋体" w:hAnsi="宋体"/>
                <w:color w:val="0000FF"/>
                <w:kern w:val="0"/>
                <w:u w:val="single"/>
                <w:lang w:val="en-US" w:eastAsia="zh-CN"/>
              </w:rPr>
              <w:t>40</w:t>
            </w:r>
            <w:r>
              <w:rPr>
                <w:rFonts w:ascii="宋体" w:hAnsi="宋体"/>
                <w:kern w:val="0"/>
                <w:u w:val="single"/>
              </w:rPr>
              <w:t>　</w:t>
            </w:r>
            <w:r>
              <w:rPr>
                <w:rFonts w:ascii="宋体" w:hAnsi="宋体"/>
                <w:kern w:val="0"/>
              </w:rPr>
              <w:t>分</w:t>
            </w:r>
            <w:r>
              <w:rPr>
                <w:rFonts w:hint="eastAsia" w:ascii="宋体" w:hAnsi="宋体"/>
                <w:kern w:val="0"/>
                <w:lang w:eastAsia="zh-CN"/>
              </w:rPr>
              <w:t>；</w:t>
            </w:r>
          </w:p>
          <w:p w14:paraId="30D220D8">
            <w:pPr>
              <w:snapToGrid w:val="0"/>
              <w:spacing w:line="400" w:lineRule="exact"/>
              <w:ind w:firstLine="420" w:firstLineChars="200"/>
              <w:rPr>
                <w:rFonts w:ascii="宋体" w:hAnsi="宋体"/>
                <w:kern w:val="0"/>
              </w:rPr>
            </w:pPr>
            <w:r>
              <w:rPr>
                <w:rFonts w:hint="eastAsia" w:ascii="宋体" w:hAnsi="宋体"/>
                <w:kern w:val="0"/>
              </w:rPr>
              <w:t>2</w:t>
            </w:r>
            <w:r>
              <w:rPr>
                <w:rFonts w:ascii="宋体" w:hAnsi="宋体"/>
                <w:kern w:val="0"/>
              </w:rPr>
              <w:t>.</w:t>
            </w:r>
            <w:r>
              <w:rPr>
                <w:rFonts w:hint="eastAsia" w:ascii="宋体" w:hAnsi="宋体"/>
                <w:kern w:val="0"/>
              </w:rPr>
              <w:t>商务</w:t>
            </w:r>
            <w:r>
              <w:rPr>
                <w:rFonts w:hint="eastAsia" w:ascii="宋体" w:hAnsi="宋体"/>
                <w:kern w:val="0"/>
                <w:lang w:val="en-US" w:eastAsia="zh-CN"/>
              </w:rPr>
              <w:t>评审</w:t>
            </w:r>
            <w:r>
              <w:rPr>
                <w:rFonts w:ascii="宋体" w:hAnsi="宋体"/>
                <w:kern w:val="0"/>
                <w:u w:val="single"/>
              </w:rPr>
              <w:t>　</w:t>
            </w:r>
            <w:r>
              <w:rPr>
                <w:rFonts w:hint="eastAsia" w:ascii="宋体" w:hAnsi="宋体"/>
                <w:color w:val="0000FF"/>
                <w:kern w:val="0"/>
                <w:u w:val="single"/>
                <w:lang w:val="en-US" w:eastAsia="zh-CN"/>
              </w:rPr>
              <w:t>10</w:t>
            </w:r>
            <w:r>
              <w:rPr>
                <w:rFonts w:ascii="宋体" w:hAnsi="宋体"/>
                <w:kern w:val="0"/>
                <w:u w:val="single"/>
              </w:rPr>
              <w:t>　</w:t>
            </w:r>
            <w:r>
              <w:rPr>
                <w:rFonts w:ascii="宋体" w:hAnsi="宋体"/>
                <w:kern w:val="0"/>
              </w:rPr>
              <w:t>分</w:t>
            </w:r>
            <w:r>
              <w:rPr>
                <w:rFonts w:hint="eastAsia" w:ascii="宋体" w:hAnsi="宋体"/>
                <w:kern w:val="0"/>
              </w:rPr>
              <w:t>；</w:t>
            </w:r>
          </w:p>
          <w:p w14:paraId="4A6C3EBE">
            <w:pPr>
              <w:snapToGrid w:val="0"/>
              <w:spacing w:line="400" w:lineRule="exact"/>
              <w:ind w:firstLine="420" w:firstLineChars="200"/>
              <w:rPr>
                <w:rFonts w:ascii="宋体" w:hAnsi="宋体"/>
                <w:i/>
                <w:kern w:val="0"/>
              </w:rPr>
            </w:pPr>
            <w:r>
              <w:rPr>
                <w:rFonts w:hint="eastAsia" w:ascii="宋体" w:hAnsi="宋体"/>
                <w:kern w:val="0"/>
              </w:rPr>
              <w:t>3.报价</w:t>
            </w:r>
            <w:r>
              <w:rPr>
                <w:rFonts w:hint="eastAsia" w:ascii="宋体" w:hAnsi="宋体"/>
                <w:kern w:val="0"/>
                <w:lang w:val="en-US" w:eastAsia="zh-CN"/>
              </w:rPr>
              <w:t>评审</w:t>
            </w:r>
            <w:r>
              <w:rPr>
                <w:rFonts w:hint="eastAsia" w:ascii="宋体" w:hAnsi="宋体"/>
                <w:kern w:val="0"/>
                <w:u w:val="single"/>
              </w:rPr>
              <w:t xml:space="preserve">  </w:t>
            </w:r>
            <w:r>
              <w:rPr>
                <w:rFonts w:hint="eastAsia" w:ascii="宋体" w:hAnsi="宋体"/>
                <w:color w:val="0000FF"/>
                <w:kern w:val="0"/>
                <w:u w:val="single"/>
                <w:lang w:val="en-US" w:eastAsia="zh-CN"/>
              </w:rPr>
              <w:t>50</w:t>
            </w:r>
            <w:r>
              <w:rPr>
                <w:rFonts w:hint="eastAsia" w:ascii="宋体" w:hAnsi="宋体"/>
                <w:kern w:val="0"/>
                <w:u w:val="single"/>
              </w:rPr>
              <w:t xml:space="preserve">  </w:t>
            </w:r>
            <w:r>
              <w:rPr>
                <w:rFonts w:hint="eastAsia" w:ascii="宋体" w:hAnsi="宋体"/>
                <w:kern w:val="0"/>
              </w:rPr>
              <w:t>分。</w:t>
            </w:r>
          </w:p>
        </w:tc>
      </w:tr>
      <w:tr w14:paraId="43F1B70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419C0640">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（1）</w:t>
            </w:r>
          </w:p>
        </w:tc>
        <w:tc>
          <w:tcPr>
            <w:tcW w:w="1680" w:type="dxa"/>
            <w:vMerge w:val="restart"/>
            <w:tcBorders>
              <w:left w:val="single" w:color="auto" w:sz="4" w:space="0"/>
            </w:tcBorders>
            <w:vAlign w:val="center"/>
          </w:tcPr>
          <w:p w14:paraId="74EFF224">
            <w:pPr>
              <w:pStyle w:val="17"/>
              <w:spacing w:after="0" w:line="400" w:lineRule="exact"/>
              <w:jc w:val="center"/>
              <w:rPr>
                <w:rFonts w:ascii="宋体" w:hAnsi="宋体"/>
                <w:kern w:val="0"/>
              </w:rPr>
            </w:pPr>
            <w:r>
              <w:rPr>
                <w:rFonts w:hint="eastAsia" w:ascii="宋体" w:hAnsi="宋体"/>
                <w:kern w:val="0"/>
              </w:rPr>
              <w:t>技术</w:t>
            </w:r>
            <w:r>
              <w:rPr>
                <w:rFonts w:hint="eastAsia" w:ascii="宋体" w:hAnsi="宋体"/>
                <w:kern w:val="0"/>
                <w:lang w:val="en-US" w:eastAsia="zh-CN"/>
              </w:rPr>
              <w:t>评审</w:t>
            </w:r>
            <w:r>
              <w:rPr>
                <w:rFonts w:hint="eastAsia" w:ascii="宋体" w:hAnsi="宋体"/>
                <w:kern w:val="0"/>
              </w:rPr>
              <w:t>标准</w:t>
            </w:r>
            <w:r>
              <w:rPr>
                <w:rFonts w:hint="eastAsia" w:ascii="宋体" w:hAnsi="宋体"/>
                <w:kern w:val="0"/>
                <w:lang w:eastAsia="zh-CN"/>
              </w:rPr>
              <w:t>（</w:t>
            </w:r>
            <w:r>
              <w:rPr>
                <w:rFonts w:hint="eastAsia" w:ascii="宋体" w:hAnsi="宋体"/>
                <w:kern w:val="0"/>
                <w:lang w:val="en-US" w:eastAsia="zh-CN"/>
              </w:rPr>
              <w:t>A</w:t>
            </w:r>
            <w:r>
              <w:rPr>
                <w:rFonts w:hint="eastAsia" w:ascii="宋体" w:hAnsi="宋体"/>
                <w:kern w:val="0"/>
                <w:lang w:eastAsia="zh-CN"/>
              </w:rPr>
              <w:t>）</w:t>
            </w:r>
          </w:p>
        </w:tc>
        <w:tc>
          <w:tcPr>
            <w:tcW w:w="2171" w:type="dxa"/>
            <w:tcBorders>
              <w:bottom w:val="single" w:color="auto" w:sz="4" w:space="0"/>
            </w:tcBorders>
            <w:vAlign w:val="center"/>
          </w:tcPr>
          <w:p w14:paraId="1B031671">
            <w:pPr>
              <w:tabs>
                <w:tab w:val="left" w:pos="1875"/>
              </w:tabs>
              <w:spacing w:line="400" w:lineRule="exact"/>
              <w:jc w:val="center"/>
              <w:rPr>
                <w:rFonts w:ascii="宋体" w:hAnsi="宋体"/>
                <w:kern w:val="0"/>
              </w:rPr>
            </w:pPr>
            <w:r>
              <w:rPr>
                <w:rFonts w:hint="eastAsia" w:ascii="宋体" w:hAnsi="宋体"/>
                <w:kern w:val="0"/>
              </w:rPr>
              <w:t>总体评审标准</w:t>
            </w:r>
          </w:p>
        </w:tc>
        <w:tc>
          <w:tcPr>
            <w:tcW w:w="4803" w:type="dxa"/>
            <w:vAlign w:val="center"/>
          </w:tcPr>
          <w:p w14:paraId="063E0096">
            <w:pPr>
              <w:spacing w:line="400" w:lineRule="exact"/>
              <w:ind w:firstLine="420" w:firstLineChars="200"/>
              <w:rPr>
                <w:rFonts w:hint="eastAsia"/>
                <w:szCs w:val="22"/>
              </w:rPr>
            </w:pPr>
            <w:r>
              <w:rPr>
                <w:rFonts w:hint="eastAsia" w:ascii="宋体" w:hAnsi="宋体" w:cs="宋体"/>
                <w:kern w:val="0"/>
              </w:rPr>
              <w:t>须符合第二章投标人须知前附表第3.7.5项（</w:t>
            </w:r>
            <w:r>
              <w:rPr>
                <w:rFonts w:hint="eastAsia" w:ascii="宋体" w:hAnsi="宋体" w:cs="宋体"/>
                <w:kern w:val="0"/>
                <w:lang w:val="en-US" w:eastAsia="zh-CN"/>
              </w:rPr>
              <w:t>3</w:t>
            </w:r>
            <w:r>
              <w:rPr>
                <w:rFonts w:hint="eastAsia" w:ascii="宋体" w:hAnsi="宋体" w:cs="宋体"/>
                <w:kern w:val="0"/>
              </w:rPr>
              <w:t>）技术部分</w:t>
            </w:r>
            <w:r>
              <w:rPr>
                <w:rFonts w:hint="eastAsia" w:ascii="宋体" w:hAnsi="宋体" w:cs="宋体"/>
                <w:kern w:val="0"/>
                <w:lang w:val="en-US" w:eastAsia="zh-CN"/>
              </w:rPr>
              <w:t>的</w:t>
            </w:r>
            <w:r>
              <w:rPr>
                <w:rFonts w:hint="eastAsia" w:ascii="宋体" w:hAnsi="宋体" w:cs="宋体"/>
                <w:kern w:val="0"/>
              </w:rPr>
              <w:t>要求，否则其技术</w:t>
            </w:r>
            <w:r>
              <w:rPr>
                <w:rFonts w:hint="eastAsia" w:ascii="宋体" w:hAnsi="宋体" w:cs="宋体"/>
                <w:kern w:val="0"/>
                <w:lang w:val="en-US" w:eastAsia="zh-CN"/>
              </w:rPr>
              <w:t>部分</w:t>
            </w:r>
            <w:r>
              <w:rPr>
                <w:rFonts w:hint="eastAsia" w:ascii="宋体" w:hAnsi="宋体" w:cs="宋体"/>
                <w:kern w:val="0"/>
              </w:rPr>
              <w:t>为0分，不再对技术</w:t>
            </w:r>
            <w:r>
              <w:rPr>
                <w:rFonts w:hint="eastAsia" w:ascii="宋体" w:hAnsi="宋体" w:cs="宋体"/>
                <w:kern w:val="0"/>
                <w:lang w:val="en-US" w:eastAsia="zh-CN"/>
              </w:rPr>
              <w:t>部分</w:t>
            </w:r>
            <w:r>
              <w:rPr>
                <w:rFonts w:hint="eastAsia" w:ascii="宋体" w:hAnsi="宋体" w:cs="宋体"/>
                <w:kern w:val="0"/>
              </w:rPr>
              <w:t>的其他评分标准进行评审。</w:t>
            </w:r>
          </w:p>
          <w:p w14:paraId="285E1A32">
            <w:pPr>
              <w:spacing w:line="400" w:lineRule="exact"/>
              <w:ind w:firstLine="420" w:firstLineChars="200"/>
              <w:rPr>
                <w:rFonts w:ascii="宋体" w:hAnsi="宋体"/>
                <w:snapToGrid w:val="0"/>
                <w:kern w:val="0"/>
                <w:szCs w:val="21"/>
              </w:rPr>
            </w:pPr>
            <w:r>
              <w:rPr>
                <w:rFonts w:hint="eastAsia" w:ascii="宋体" w:hAnsi="宋体" w:eastAsia="宋体" w:cs="宋体"/>
                <w:snapToGrid w:val="0"/>
                <w:color w:val="auto"/>
                <w:kern w:val="0"/>
                <w:szCs w:val="21"/>
                <w:highlight w:val="none"/>
              </w:rPr>
              <w:t>评标委员会按照优、良、一般、差四个档次进行评分</w:t>
            </w:r>
            <w:r>
              <w:rPr>
                <w:rFonts w:hint="eastAsia" w:ascii="宋体" w:hAnsi="宋体" w:eastAsia="宋体" w:cs="宋体"/>
                <w:snapToGrid w:val="0"/>
                <w:color w:val="auto"/>
                <w:kern w:val="0"/>
                <w:szCs w:val="21"/>
                <w:highlight w:val="none"/>
                <w:lang w:eastAsia="zh-CN"/>
              </w:rPr>
              <w:t>。</w:t>
            </w:r>
            <w:r>
              <w:rPr>
                <w:rFonts w:hint="eastAsia" w:ascii="宋体" w:hAnsi="宋体" w:eastAsia="宋体" w:cs="宋体"/>
                <w:snapToGrid w:val="0"/>
                <w:color w:val="auto"/>
                <w:kern w:val="0"/>
                <w:szCs w:val="21"/>
                <w:highlight w:val="none"/>
              </w:rPr>
              <w:t>技术部分缺项的该项得0分。</w:t>
            </w:r>
            <w:r>
              <w:rPr>
                <w:rFonts w:ascii="宋体" w:hAnsi="宋体"/>
                <w:snapToGrid w:val="0"/>
                <w:kern w:val="0"/>
                <w:szCs w:val="21"/>
              </w:rPr>
              <w:t>评标委员会成员为5人及以上时，所有评委</w:t>
            </w:r>
            <w:r>
              <w:rPr>
                <w:rFonts w:hint="eastAsia" w:ascii="宋体" w:hAnsi="宋体"/>
                <w:snapToGrid w:val="0"/>
                <w:kern w:val="0"/>
                <w:szCs w:val="21"/>
              </w:rPr>
              <w:t>评分</w:t>
            </w:r>
            <w:r>
              <w:rPr>
                <w:rFonts w:ascii="宋体" w:hAnsi="宋体"/>
                <w:snapToGrid w:val="0"/>
                <w:kern w:val="0"/>
                <w:szCs w:val="21"/>
              </w:rPr>
              <w:t>中去掉一个最高和一个最低分，余下评委</w:t>
            </w:r>
            <w:r>
              <w:rPr>
                <w:rFonts w:hint="eastAsia" w:ascii="宋体" w:hAnsi="宋体"/>
                <w:snapToGrid w:val="0"/>
                <w:kern w:val="0"/>
                <w:szCs w:val="21"/>
              </w:rPr>
              <w:t>评分</w:t>
            </w:r>
            <w:r>
              <w:rPr>
                <w:rFonts w:ascii="宋体" w:hAnsi="宋体"/>
                <w:snapToGrid w:val="0"/>
                <w:kern w:val="0"/>
                <w:szCs w:val="21"/>
              </w:rPr>
              <w:t>取算术平均值为该投标人</w:t>
            </w:r>
            <w:r>
              <w:rPr>
                <w:rFonts w:hint="eastAsia" w:ascii="宋体" w:hAnsi="宋体"/>
                <w:snapToGrid w:val="0"/>
                <w:kern w:val="0"/>
                <w:szCs w:val="21"/>
              </w:rPr>
              <w:t>技术部分</w:t>
            </w:r>
            <w:r>
              <w:rPr>
                <w:rFonts w:ascii="宋体" w:hAnsi="宋体"/>
                <w:snapToGrid w:val="0"/>
                <w:kern w:val="0"/>
                <w:szCs w:val="21"/>
              </w:rPr>
              <w:t>得分。</w:t>
            </w:r>
          </w:p>
          <w:p w14:paraId="385A4B7B">
            <w:pPr>
              <w:snapToGrid w:val="0"/>
              <w:spacing w:line="400" w:lineRule="exact"/>
              <w:ind w:firstLine="420" w:firstLineChars="200"/>
              <w:rPr>
                <w:rFonts w:ascii="宋体" w:hAnsi="宋体"/>
                <w:u w:val="single"/>
              </w:rPr>
            </w:pPr>
            <w:r>
              <w:rPr>
                <w:rFonts w:hint="eastAsia" w:ascii="宋体" w:hAnsi="宋体"/>
                <w:kern w:val="0"/>
                <w:szCs w:val="21"/>
              </w:rPr>
              <w:t>技术部分</w:t>
            </w:r>
            <w:r>
              <w:rPr>
                <w:rFonts w:ascii="宋体" w:hAnsi="宋体"/>
                <w:kern w:val="0"/>
                <w:szCs w:val="21"/>
              </w:rPr>
              <w:t>得分的最终结果</w:t>
            </w:r>
            <w:r>
              <w:rPr>
                <w:rFonts w:hint="eastAsia" w:ascii="宋体" w:hAnsi="宋体"/>
                <w:kern w:val="0"/>
                <w:szCs w:val="21"/>
              </w:rPr>
              <w:t>保留两位小数</w:t>
            </w:r>
            <w:r>
              <w:rPr>
                <w:rFonts w:ascii="宋体" w:hAnsi="宋体"/>
                <w:kern w:val="0"/>
                <w:szCs w:val="21"/>
              </w:rPr>
              <w:t>，</w:t>
            </w:r>
            <w:r>
              <w:rPr>
                <w:rFonts w:hint="eastAsia" w:ascii="宋体" w:hAnsi="宋体"/>
                <w:kern w:val="0"/>
                <w:szCs w:val="21"/>
              </w:rPr>
              <w:t>小数点后</w:t>
            </w:r>
            <w:r>
              <w:rPr>
                <w:rFonts w:ascii="宋体" w:hAnsi="宋体"/>
                <w:kern w:val="0"/>
                <w:szCs w:val="21"/>
              </w:rPr>
              <w:t>第三位四舍五入。</w:t>
            </w:r>
          </w:p>
        </w:tc>
      </w:tr>
      <w:tr w14:paraId="03E37FF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6590382B">
            <w:pPr>
              <w:spacing w:line="400" w:lineRule="exact"/>
              <w:jc w:val="center"/>
              <w:rPr>
                <w:rFonts w:ascii="宋体" w:hAnsi="宋体"/>
                <w:kern w:val="0"/>
              </w:rPr>
            </w:pPr>
          </w:p>
        </w:tc>
        <w:tc>
          <w:tcPr>
            <w:tcW w:w="1680" w:type="dxa"/>
            <w:vMerge w:val="continue"/>
            <w:tcBorders>
              <w:left w:val="single" w:color="auto" w:sz="4" w:space="0"/>
            </w:tcBorders>
            <w:vAlign w:val="center"/>
          </w:tcPr>
          <w:p w14:paraId="78556C29">
            <w:pPr>
              <w:pStyle w:val="17"/>
              <w:jc w:val="center"/>
              <w:rPr>
                <w:rFonts w:ascii="宋体" w:hAnsi="宋体"/>
                <w:kern w:val="0"/>
              </w:rPr>
            </w:pPr>
          </w:p>
        </w:tc>
        <w:tc>
          <w:tcPr>
            <w:tcW w:w="2171" w:type="dxa"/>
            <w:tcBorders>
              <w:bottom w:val="single" w:color="auto" w:sz="4" w:space="0"/>
            </w:tcBorders>
            <w:vAlign w:val="center"/>
          </w:tcPr>
          <w:p w14:paraId="6BD51D93">
            <w:pPr>
              <w:tabs>
                <w:tab w:val="left" w:pos="1875"/>
              </w:tabs>
              <w:spacing w:line="400" w:lineRule="exact"/>
              <w:jc w:val="center"/>
              <w:rPr>
                <w:rFonts w:ascii="宋体" w:hAnsi="宋体"/>
                <w:kern w:val="0"/>
              </w:rPr>
            </w:pPr>
            <w:r>
              <w:rPr>
                <w:rFonts w:hint="eastAsia" w:ascii="宋体" w:hAnsi="宋体"/>
                <w:kern w:val="0"/>
              </w:rPr>
              <w:t>交货进度计划及</w:t>
            </w:r>
          </w:p>
          <w:p w14:paraId="27A63139">
            <w:pPr>
              <w:tabs>
                <w:tab w:val="left" w:pos="1875"/>
              </w:tabs>
              <w:spacing w:line="400" w:lineRule="exact"/>
              <w:jc w:val="center"/>
              <w:rPr>
                <w:rFonts w:ascii="宋体" w:hAnsi="宋体"/>
                <w:kern w:val="0"/>
              </w:rPr>
            </w:pPr>
            <w:r>
              <w:rPr>
                <w:rFonts w:hint="eastAsia" w:ascii="宋体" w:hAnsi="宋体"/>
                <w:kern w:val="0"/>
              </w:rPr>
              <w:t>保证措施</w:t>
            </w:r>
          </w:p>
        </w:tc>
        <w:tc>
          <w:tcPr>
            <w:tcW w:w="4803" w:type="dxa"/>
            <w:vAlign w:val="center"/>
          </w:tcPr>
          <w:p w14:paraId="44BF83D2">
            <w:pPr>
              <w:snapToGrid w:val="0"/>
              <w:spacing w:line="400" w:lineRule="exact"/>
              <w:ind w:firstLine="420" w:firstLineChars="200"/>
              <w:jc w:val="left"/>
              <w:rPr>
                <w:rFonts w:hint="eastAsia" w:ascii="宋体" w:hAnsi="宋体"/>
                <w:u w:val="single"/>
                <w:lang w:val="en-US" w:eastAsia="zh-CN"/>
              </w:rPr>
            </w:pPr>
            <w:r>
              <w:rPr>
                <w:rFonts w:ascii="宋体" w:hAnsi="宋体"/>
                <w:u w:val="single"/>
              </w:rPr>
              <w:t xml:space="preserve"> </w:t>
            </w:r>
            <w:r>
              <w:rPr>
                <w:rFonts w:hint="eastAsia" w:ascii="宋体" w:hAnsi="宋体"/>
                <w:u w:val="single"/>
              </w:rPr>
              <w:t xml:space="preserve">  </w:t>
            </w:r>
            <w:r>
              <w:rPr>
                <w:rFonts w:hint="eastAsia" w:ascii="宋体" w:hAnsi="宋体"/>
                <w:u w:val="single"/>
                <w:lang w:val="en-US" w:eastAsia="zh-CN"/>
              </w:rPr>
              <w:t>4</w:t>
            </w:r>
            <w:r>
              <w:rPr>
                <w:rFonts w:ascii="宋体" w:hAnsi="宋体"/>
                <w:u w:val="single"/>
              </w:rPr>
              <w:t>　</w:t>
            </w:r>
            <w:r>
              <w:rPr>
                <w:rFonts w:ascii="宋体" w:hAnsi="宋体"/>
              </w:rPr>
              <w:t xml:space="preserve">分   </w:t>
            </w:r>
            <w:r>
              <w:rPr>
                <w:rFonts w:hint="eastAsia" w:ascii="宋体" w:hAnsi="宋体"/>
              </w:rPr>
              <w:t>评审</w:t>
            </w:r>
            <w:r>
              <w:rPr>
                <w:rFonts w:ascii="宋体" w:hAnsi="宋体"/>
              </w:rPr>
              <w:t>要点</w:t>
            </w:r>
            <w:r>
              <w:rPr>
                <w:rFonts w:hint="eastAsia" w:ascii="宋体" w:hAnsi="宋体"/>
              </w:rPr>
              <w:t>：</w:t>
            </w:r>
            <w:r>
              <w:rPr>
                <w:rFonts w:hint="eastAsia" w:ascii="宋体" w:hAnsi="宋体"/>
                <w:u w:val="single"/>
                <w:lang w:val="en-US" w:eastAsia="zh-CN"/>
              </w:rPr>
              <w:t>交货进度计划和保证措施编制合规性，关键要素完成性、资源配置匹配性，生产、组织、技术和供应保障措施合理性。</w:t>
            </w:r>
          </w:p>
          <w:p w14:paraId="2C12C6F8">
            <w:pPr>
              <w:snapToGrid w:val="0"/>
              <w:spacing w:line="400" w:lineRule="exact"/>
              <w:ind w:firstLine="420" w:firstLineChars="200"/>
              <w:jc w:val="left"/>
              <w:rPr>
                <w:rFonts w:ascii="宋体" w:hAnsi="宋体"/>
                <w:kern w:val="0"/>
                <w:szCs w:val="21"/>
              </w:rPr>
            </w:pPr>
            <w:r>
              <w:rPr>
                <w:rFonts w:hint="eastAsia" w:ascii="宋体" w:hAnsi="宋体"/>
                <w:u w:val="single"/>
                <w:lang w:val="en-US" w:eastAsia="zh-CN"/>
              </w:rPr>
              <w:t>优得3.6 分- 4 分，良得3.2 分- 3.6分（不含），一般得 2.4 分- 3.2 分（不含），差得0分-2.4分</w:t>
            </w:r>
            <w:r>
              <w:rPr>
                <w:rFonts w:hint="eastAsia" w:ascii="宋体" w:hAnsi="宋体"/>
                <w:b w:val="0"/>
                <w:bCs w:val="0"/>
                <w:color w:val="auto"/>
                <w:sz w:val="21"/>
                <w:szCs w:val="21"/>
                <w:highlight w:val="none"/>
                <w:u w:val="single"/>
              </w:rPr>
              <w:t>（不含）</w:t>
            </w:r>
            <w:r>
              <w:rPr>
                <w:rFonts w:hint="eastAsia" w:ascii="宋体" w:hAnsi="宋体"/>
                <w:u w:val="single"/>
                <w:lang w:val="en-US" w:eastAsia="zh-CN"/>
              </w:rPr>
              <w:t>。</w:t>
            </w:r>
          </w:p>
        </w:tc>
      </w:tr>
      <w:tr w14:paraId="19C98ED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68" w:hRule="atLeast"/>
          <w:jc w:val="center"/>
        </w:trPr>
        <w:tc>
          <w:tcPr>
            <w:tcW w:w="934" w:type="dxa"/>
            <w:vMerge w:val="continue"/>
            <w:tcBorders>
              <w:right w:val="single" w:color="auto" w:sz="4" w:space="0"/>
            </w:tcBorders>
            <w:vAlign w:val="center"/>
          </w:tcPr>
          <w:p w14:paraId="4EAC24E0">
            <w:pPr>
              <w:spacing w:line="400" w:lineRule="exact"/>
              <w:jc w:val="center"/>
              <w:rPr>
                <w:rFonts w:ascii="宋体" w:hAnsi="宋体"/>
                <w:kern w:val="0"/>
              </w:rPr>
            </w:pPr>
          </w:p>
        </w:tc>
        <w:tc>
          <w:tcPr>
            <w:tcW w:w="1680" w:type="dxa"/>
            <w:vMerge w:val="continue"/>
            <w:tcBorders>
              <w:left w:val="single" w:color="auto" w:sz="4" w:space="0"/>
            </w:tcBorders>
            <w:vAlign w:val="center"/>
          </w:tcPr>
          <w:p w14:paraId="463E6B2A">
            <w:pPr>
              <w:pStyle w:val="17"/>
              <w:jc w:val="center"/>
              <w:rPr>
                <w:rFonts w:ascii="宋体" w:hAnsi="宋体"/>
                <w:kern w:val="0"/>
              </w:rPr>
            </w:pPr>
          </w:p>
        </w:tc>
        <w:tc>
          <w:tcPr>
            <w:tcW w:w="2171" w:type="dxa"/>
            <w:tcBorders>
              <w:bottom w:val="single" w:color="auto" w:sz="4" w:space="0"/>
            </w:tcBorders>
            <w:vAlign w:val="center"/>
          </w:tcPr>
          <w:p w14:paraId="20C1220F">
            <w:pPr>
              <w:tabs>
                <w:tab w:val="left" w:pos="1875"/>
              </w:tabs>
              <w:spacing w:line="400" w:lineRule="exact"/>
              <w:jc w:val="center"/>
              <w:rPr>
                <w:rFonts w:hint="default" w:ascii="宋体" w:hAnsi="宋体" w:eastAsia="宋体"/>
                <w:kern w:val="0"/>
                <w:lang w:val="en-US" w:eastAsia="zh-CN"/>
              </w:rPr>
            </w:pPr>
            <w:r>
              <w:rPr>
                <w:rFonts w:hint="eastAsia" w:ascii="宋体" w:hAnsi="宋体"/>
                <w:kern w:val="0"/>
              </w:rPr>
              <w:t>质量保证措施</w:t>
            </w:r>
            <w:r>
              <w:rPr>
                <w:rFonts w:hint="eastAsia" w:ascii="宋体" w:hAnsi="宋体"/>
                <w:kern w:val="0"/>
                <w:lang w:eastAsia="zh-CN"/>
              </w:rPr>
              <w:t>（</w:t>
            </w:r>
            <w:r>
              <w:rPr>
                <w:rFonts w:hint="eastAsia" w:ascii="宋体" w:hAnsi="宋体"/>
                <w:kern w:val="0"/>
                <w:lang w:val="en-US" w:eastAsia="zh-CN"/>
              </w:rPr>
              <w:t>产能保障措施</w:t>
            </w:r>
            <w:r>
              <w:rPr>
                <w:rFonts w:hint="eastAsia" w:ascii="宋体" w:hAnsi="宋体"/>
                <w:kern w:val="0"/>
                <w:lang w:eastAsia="zh-CN"/>
              </w:rPr>
              <w:t>）</w:t>
            </w:r>
          </w:p>
        </w:tc>
        <w:tc>
          <w:tcPr>
            <w:tcW w:w="4803" w:type="dxa"/>
            <w:vAlign w:val="center"/>
          </w:tcPr>
          <w:p w14:paraId="3C448138">
            <w:pPr>
              <w:bidi w:val="0"/>
              <w:spacing w:line="360" w:lineRule="auto"/>
              <w:ind w:firstLine="420" w:firstLineChars="200"/>
              <w:rPr>
                <w:rFonts w:hint="eastAsia" w:ascii="宋体" w:hAnsi="宋体"/>
                <w:u w:val="single"/>
                <w:lang w:val="en-US" w:eastAsia="zh-CN"/>
              </w:rPr>
            </w:pP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8</w:t>
            </w: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 xml:space="preserve"> </w:t>
            </w:r>
            <w:r>
              <w:rPr>
                <w:rFonts w:hint="eastAsia" w:ascii="宋体" w:hAnsi="宋体" w:eastAsia="宋体" w:cs="Times New Roman"/>
                <w:b w:val="0"/>
                <w:bCs w:val="0"/>
                <w:kern w:val="2"/>
                <w:sz w:val="21"/>
                <w:szCs w:val="24"/>
                <w:u w:val="single"/>
                <w:lang w:val="en-US" w:eastAsia="zh-CN" w:bidi="ar-SA"/>
              </w:rPr>
              <w:t>分</w:t>
            </w:r>
            <w:r>
              <w:rPr>
                <w:rFonts w:hint="eastAsia" w:ascii="宋体" w:hAnsi="宋体" w:eastAsia="宋体" w:cs="Times New Roman"/>
                <w:b w:val="0"/>
                <w:bCs w:val="0"/>
                <w:kern w:val="2"/>
                <w:sz w:val="21"/>
                <w:szCs w:val="24"/>
                <w:u w:val="none"/>
                <w:lang w:val="en-US" w:eastAsia="zh-CN" w:bidi="ar-SA"/>
              </w:rPr>
              <w:t xml:space="preserve">   评审要点：</w:t>
            </w: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u w:val="single"/>
                <w:lang w:val="en-US" w:eastAsia="zh-CN"/>
              </w:rPr>
              <w:t xml:space="preserve">投标人对原料清洁化加工系统产能保障措施进行阐述说明，系统设计科学和布局合理。对关键设备进行专项能力计算或方案详细描述（如卸车、水循环、输送、菜渣筛分、接料等设备），保证其选型设计满足原料清洁化加工产能和自动化生产要求；设备布局合理、物流顺畅（不卡堵、不堆积、不滞留榨菜原料）、生产连续、衔接流畅且便于打扫清洁和操作维护；技术方案至少包括平面布置图、各单体设备每小时处理能力计算书。评标委员会从方案整体的可行性、先进性、合理性和安全性等方面进行综合评定。 </w:t>
            </w:r>
          </w:p>
          <w:p w14:paraId="6728A7CC">
            <w:pPr>
              <w:bidi w:val="0"/>
              <w:spacing w:line="360" w:lineRule="auto"/>
              <w:ind w:firstLine="420" w:firstLineChars="200"/>
              <w:rPr>
                <w:rFonts w:ascii="宋体" w:hAnsi="宋体"/>
                <w:kern w:val="0"/>
                <w:szCs w:val="21"/>
              </w:rPr>
            </w:pPr>
            <w:r>
              <w:rPr>
                <w:rFonts w:hint="eastAsia" w:ascii="宋体" w:hAnsi="宋体"/>
                <w:u w:val="single"/>
                <w:lang w:val="en-US" w:eastAsia="zh-CN"/>
              </w:rPr>
              <w:t>优得 7.2分-8分，良得6.4分-7.2分（不含），一般得4.8分-</w:t>
            </w:r>
            <w:r>
              <w:rPr>
                <w:rFonts w:hint="default" w:ascii="宋体" w:hAnsi="宋体"/>
                <w:u w:val="single"/>
                <w:lang w:val="en-US" w:eastAsia="zh-CN"/>
              </w:rPr>
              <w:t xml:space="preserve"> </w:t>
            </w:r>
            <w:r>
              <w:rPr>
                <w:rFonts w:hint="eastAsia" w:ascii="宋体" w:hAnsi="宋体"/>
                <w:u w:val="single"/>
                <w:lang w:val="en-US" w:eastAsia="zh-CN"/>
              </w:rPr>
              <w:t>6.4分（不含），差得0分-4.8分（不含）。</w:t>
            </w:r>
          </w:p>
        </w:tc>
      </w:tr>
      <w:tr w14:paraId="10E7D04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559004D7">
            <w:pPr>
              <w:spacing w:line="400" w:lineRule="exact"/>
              <w:jc w:val="center"/>
              <w:rPr>
                <w:rFonts w:ascii="宋体" w:hAnsi="宋体"/>
                <w:kern w:val="0"/>
              </w:rPr>
            </w:pPr>
          </w:p>
        </w:tc>
        <w:tc>
          <w:tcPr>
            <w:tcW w:w="1680" w:type="dxa"/>
            <w:vMerge w:val="continue"/>
            <w:tcBorders>
              <w:left w:val="single" w:color="auto" w:sz="4" w:space="0"/>
            </w:tcBorders>
            <w:vAlign w:val="center"/>
          </w:tcPr>
          <w:p w14:paraId="4B90FFB5">
            <w:pPr>
              <w:pStyle w:val="17"/>
              <w:jc w:val="center"/>
              <w:rPr>
                <w:rFonts w:ascii="宋体" w:hAnsi="宋体"/>
                <w:kern w:val="0"/>
              </w:rPr>
            </w:pPr>
          </w:p>
        </w:tc>
        <w:tc>
          <w:tcPr>
            <w:tcW w:w="2171" w:type="dxa"/>
            <w:tcBorders>
              <w:bottom w:val="single" w:color="auto" w:sz="4" w:space="0"/>
            </w:tcBorders>
            <w:vAlign w:val="center"/>
          </w:tcPr>
          <w:p w14:paraId="331DD50C">
            <w:pPr>
              <w:tabs>
                <w:tab w:val="left" w:pos="1875"/>
              </w:tabs>
              <w:spacing w:line="400" w:lineRule="exact"/>
              <w:jc w:val="center"/>
              <w:rPr>
                <w:rFonts w:hint="eastAsia" w:ascii="宋体" w:hAnsi="宋体"/>
                <w:kern w:val="0"/>
              </w:rPr>
            </w:pPr>
          </w:p>
          <w:p w14:paraId="0EAFB1D0">
            <w:pPr>
              <w:tabs>
                <w:tab w:val="left" w:pos="1875"/>
              </w:tabs>
              <w:spacing w:line="400" w:lineRule="exact"/>
              <w:jc w:val="center"/>
              <w:rPr>
                <w:rFonts w:hint="eastAsia" w:ascii="宋体" w:hAnsi="宋体"/>
                <w:kern w:val="0"/>
              </w:rPr>
            </w:pPr>
          </w:p>
          <w:p w14:paraId="3C8603EE">
            <w:pPr>
              <w:tabs>
                <w:tab w:val="left" w:pos="1875"/>
              </w:tabs>
              <w:spacing w:line="400" w:lineRule="exact"/>
              <w:jc w:val="center"/>
              <w:rPr>
                <w:rFonts w:hint="eastAsia" w:ascii="宋体" w:hAnsi="宋体"/>
                <w:kern w:val="0"/>
              </w:rPr>
            </w:pPr>
          </w:p>
          <w:p w14:paraId="380480B6">
            <w:pPr>
              <w:tabs>
                <w:tab w:val="left" w:pos="1875"/>
              </w:tabs>
              <w:spacing w:line="400" w:lineRule="exact"/>
              <w:jc w:val="center"/>
              <w:rPr>
                <w:rFonts w:hint="eastAsia" w:ascii="宋体" w:hAnsi="宋体"/>
                <w:kern w:val="0"/>
              </w:rPr>
            </w:pPr>
          </w:p>
          <w:p w14:paraId="3CF05D1D">
            <w:pPr>
              <w:tabs>
                <w:tab w:val="left" w:pos="1875"/>
              </w:tabs>
              <w:spacing w:line="400" w:lineRule="exact"/>
              <w:jc w:val="center"/>
              <w:rPr>
                <w:rFonts w:hint="eastAsia" w:ascii="宋体" w:hAnsi="宋体"/>
              </w:rPr>
            </w:pPr>
            <w:r>
              <w:rPr>
                <w:rFonts w:hint="eastAsia" w:ascii="宋体" w:hAnsi="宋体"/>
                <w:kern w:val="0"/>
              </w:rPr>
              <w:t>质量保证措施</w:t>
            </w:r>
            <w:r>
              <w:rPr>
                <w:rFonts w:hint="eastAsia" w:ascii="宋体" w:hAnsi="宋体"/>
                <w:kern w:val="0"/>
                <w:lang w:eastAsia="zh-CN"/>
              </w:rPr>
              <w:t>（</w:t>
            </w:r>
            <w:r>
              <w:rPr>
                <w:rFonts w:hint="eastAsia" w:ascii="宋体" w:hAnsi="宋体"/>
                <w:kern w:val="0"/>
                <w:lang w:val="en-US" w:eastAsia="zh-CN"/>
              </w:rPr>
              <w:t>循环水处理措施</w:t>
            </w:r>
            <w:r>
              <w:rPr>
                <w:rFonts w:hint="eastAsia" w:ascii="宋体" w:hAnsi="宋体"/>
                <w:kern w:val="0"/>
                <w:lang w:eastAsia="zh-CN"/>
              </w:rPr>
              <w:t>）</w:t>
            </w:r>
          </w:p>
        </w:tc>
        <w:tc>
          <w:tcPr>
            <w:tcW w:w="4803" w:type="dxa"/>
            <w:vAlign w:val="center"/>
          </w:tcPr>
          <w:p w14:paraId="4F377715">
            <w:pPr>
              <w:bidi w:val="0"/>
              <w:spacing w:line="360" w:lineRule="auto"/>
              <w:ind w:firstLine="420" w:firstLineChars="200"/>
              <w:rPr>
                <w:rFonts w:hint="eastAsia" w:ascii="宋体" w:hAnsi="宋体" w:eastAsia="宋体" w:cs="Times New Roman"/>
                <w:b w:val="0"/>
                <w:bCs w:val="0"/>
                <w:kern w:val="2"/>
                <w:sz w:val="21"/>
                <w:szCs w:val="24"/>
                <w:u w:val="single"/>
                <w:lang w:val="en-US" w:eastAsia="zh-CN" w:bidi="ar-SA"/>
              </w:rPr>
            </w:pP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8</w:t>
            </w: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 xml:space="preserve"> </w:t>
            </w:r>
            <w:r>
              <w:rPr>
                <w:rFonts w:hint="eastAsia" w:ascii="宋体" w:hAnsi="宋体" w:eastAsia="宋体" w:cs="Times New Roman"/>
                <w:b w:val="0"/>
                <w:bCs w:val="0"/>
                <w:kern w:val="2"/>
                <w:sz w:val="21"/>
                <w:szCs w:val="24"/>
                <w:u w:val="single"/>
                <w:lang w:val="en-US" w:eastAsia="zh-CN" w:bidi="ar-SA"/>
              </w:rPr>
              <w:t>分</w:t>
            </w:r>
            <w:r>
              <w:rPr>
                <w:rFonts w:hint="eastAsia" w:ascii="宋体" w:hAnsi="宋体" w:eastAsia="宋体" w:cs="Times New Roman"/>
                <w:b w:val="0"/>
                <w:bCs w:val="0"/>
                <w:kern w:val="2"/>
                <w:sz w:val="21"/>
                <w:szCs w:val="24"/>
                <w:u w:val="none"/>
                <w:lang w:val="en-US" w:eastAsia="zh-CN" w:bidi="ar-SA"/>
              </w:rPr>
              <w:t xml:space="preserve">   评审要点：</w:t>
            </w:r>
            <w:r>
              <w:rPr>
                <w:rFonts w:hint="eastAsia" w:ascii="宋体" w:hAnsi="宋体" w:eastAsia="宋体" w:cs="Times New Roman"/>
                <w:kern w:val="2"/>
                <w:sz w:val="21"/>
                <w:szCs w:val="24"/>
                <w:u w:val="single"/>
                <w:lang w:val="en-US" w:eastAsia="zh-CN" w:bidi="ar-SA"/>
              </w:rPr>
              <w:t xml:space="preserve"> 投标人对原料清洁化加工系统循环水处理措施进行阐述说明，系统设计科学和布局合理。对菜渣、泥沙等分级处理方案详细描述和能力计算。评标委员会从方案整体的可行性、先进行、合理性和安全性等方面进行综</w:t>
            </w:r>
            <w:r>
              <w:rPr>
                <w:rFonts w:hint="eastAsia" w:ascii="宋体" w:hAnsi="宋体" w:eastAsia="宋体" w:cs="Times New Roman"/>
                <w:b w:val="0"/>
                <w:bCs w:val="0"/>
                <w:kern w:val="2"/>
                <w:sz w:val="21"/>
                <w:szCs w:val="24"/>
                <w:u w:val="single"/>
                <w:lang w:val="en-US" w:eastAsia="zh-CN" w:bidi="ar-SA"/>
              </w:rPr>
              <w:t xml:space="preserve">合评定。  </w:t>
            </w:r>
          </w:p>
          <w:p w14:paraId="49621191">
            <w:pPr>
              <w:bidi w:val="0"/>
              <w:spacing w:line="360" w:lineRule="auto"/>
              <w:ind w:firstLine="420" w:firstLineChars="200"/>
              <w:rPr>
                <w:rFonts w:hint="eastAsia" w:ascii="宋体" w:hAnsi="宋体" w:eastAsia="宋体" w:cs="Times New Roman"/>
                <w:b w:val="0"/>
                <w:bCs w:val="0"/>
                <w:kern w:val="2"/>
                <w:sz w:val="21"/>
                <w:szCs w:val="24"/>
                <w:u w:val="single"/>
                <w:lang w:val="en-US" w:eastAsia="zh-CN" w:bidi="ar-SA"/>
              </w:rPr>
            </w:pPr>
            <w:r>
              <w:rPr>
                <w:rFonts w:hint="eastAsia" w:ascii="宋体" w:hAnsi="宋体" w:eastAsia="宋体" w:cs="Times New Roman"/>
                <w:b w:val="0"/>
                <w:bCs w:val="0"/>
                <w:kern w:val="2"/>
                <w:sz w:val="21"/>
                <w:szCs w:val="24"/>
                <w:u w:val="single"/>
                <w:lang w:val="en-US" w:eastAsia="zh-CN" w:bidi="ar-SA"/>
              </w:rPr>
              <w:t>优得 7.2分-8分，良得6.4分-7.2分（不含），一般得4.8分-</w:t>
            </w:r>
            <w:r>
              <w:rPr>
                <w:rFonts w:hint="default" w:ascii="宋体" w:hAnsi="宋体" w:eastAsia="宋体" w:cs="Times New Roman"/>
                <w:b w:val="0"/>
                <w:bCs w:val="0"/>
                <w:kern w:val="2"/>
                <w:sz w:val="21"/>
                <w:szCs w:val="24"/>
                <w:u w:val="single"/>
                <w:lang w:val="en-US" w:eastAsia="zh-CN" w:bidi="ar-SA"/>
              </w:rPr>
              <w:t xml:space="preserve"> </w:t>
            </w:r>
            <w:r>
              <w:rPr>
                <w:rFonts w:hint="eastAsia" w:ascii="宋体" w:hAnsi="宋体" w:eastAsia="宋体" w:cs="Times New Roman"/>
                <w:b w:val="0"/>
                <w:bCs w:val="0"/>
                <w:kern w:val="2"/>
                <w:sz w:val="21"/>
                <w:szCs w:val="24"/>
                <w:u w:val="single"/>
                <w:lang w:val="en-US" w:eastAsia="zh-CN" w:bidi="ar-SA"/>
              </w:rPr>
              <w:t>6.4分（不含），差得0分-4.8分（不含）。</w:t>
            </w:r>
          </w:p>
        </w:tc>
      </w:tr>
      <w:tr w14:paraId="20A341B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4D621FDE">
            <w:pPr>
              <w:spacing w:line="400" w:lineRule="exact"/>
              <w:jc w:val="center"/>
              <w:rPr>
                <w:rFonts w:ascii="宋体" w:hAnsi="宋体"/>
                <w:kern w:val="0"/>
              </w:rPr>
            </w:pPr>
          </w:p>
        </w:tc>
        <w:tc>
          <w:tcPr>
            <w:tcW w:w="1680" w:type="dxa"/>
            <w:vMerge w:val="continue"/>
            <w:tcBorders>
              <w:left w:val="single" w:color="auto" w:sz="4" w:space="0"/>
            </w:tcBorders>
            <w:vAlign w:val="center"/>
          </w:tcPr>
          <w:p w14:paraId="2BF1AE63">
            <w:pPr>
              <w:pStyle w:val="17"/>
              <w:jc w:val="center"/>
              <w:rPr>
                <w:rFonts w:ascii="宋体" w:hAnsi="宋体"/>
                <w:kern w:val="0"/>
              </w:rPr>
            </w:pPr>
          </w:p>
        </w:tc>
        <w:tc>
          <w:tcPr>
            <w:tcW w:w="2171" w:type="dxa"/>
            <w:tcBorders>
              <w:bottom w:val="single" w:color="auto" w:sz="4" w:space="0"/>
            </w:tcBorders>
            <w:vAlign w:val="center"/>
          </w:tcPr>
          <w:p w14:paraId="449D7F90">
            <w:pPr>
              <w:tabs>
                <w:tab w:val="left" w:pos="1875"/>
              </w:tabs>
              <w:spacing w:line="400" w:lineRule="exact"/>
              <w:jc w:val="center"/>
              <w:rPr>
                <w:rFonts w:hint="eastAsia" w:ascii="宋体" w:hAnsi="宋体"/>
              </w:rPr>
            </w:pPr>
            <w:r>
              <w:rPr>
                <w:rFonts w:hint="eastAsia" w:ascii="宋体" w:hAnsi="宋体"/>
                <w:kern w:val="0"/>
              </w:rPr>
              <w:t>质量保证措施</w:t>
            </w:r>
            <w:r>
              <w:rPr>
                <w:rFonts w:hint="eastAsia" w:ascii="宋体" w:hAnsi="宋体"/>
                <w:kern w:val="0"/>
                <w:lang w:eastAsia="zh-CN"/>
              </w:rPr>
              <w:t>（</w:t>
            </w:r>
            <w:r>
              <w:rPr>
                <w:rFonts w:hint="eastAsia" w:ascii="宋体" w:hAnsi="宋体"/>
                <w:kern w:val="0"/>
                <w:lang w:val="en-US" w:eastAsia="zh-CN"/>
              </w:rPr>
              <w:t>榨菜原料防破损措施</w:t>
            </w:r>
            <w:r>
              <w:rPr>
                <w:rFonts w:hint="eastAsia" w:ascii="宋体" w:hAnsi="宋体"/>
                <w:kern w:val="0"/>
                <w:lang w:eastAsia="zh-CN"/>
              </w:rPr>
              <w:t>）</w:t>
            </w:r>
          </w:p>
        </w:tc>
        <w:tc>
          <w:tcPr>
            <w:tcW w:w="4803" w:type="dxa"/>
            <w:vAlign w:val="center"/>
          </w:tcPr>
          <w:p w14:paraId="17AF4610">
            <w:pPr>
              <w:bidi w:val="0"/>
              <w:spacing w:line="360" w:lineRule="auto"/>
              <w:ind w:firstLine="420" w:firstLineChars="200"/>
              <w:rPr>
                <w:rFonts w:hint="eastAsia" w:ascii="宋体" w:hAnsi="宋体" w:eastAsia="宋体" w:cs="Times New Roman"/>
                <w:b w:val="0"/>
                <w:bCs w:val="0"/>
                <w:kern w:val="2"/>
                <w:sz w:val="21"/>
                <w:szCs w:val="24"/>
                <w:u w:val="single"/>
                <w:lang w:val="en-US" w:eastAsia="zh-CN" w:bidi="ar-SA"/>
              </w:rPr>
            </w:pP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8</w:t>
            </w: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 xml:space="preserve"> </w:t>
            </w:r>
            <w:r>
              <w:rPr>
                <w:rFonts w:hint="eastAsia" w:ascii="宋体" w:hAnsi="宋体" w:eastAsia="宋体" w:cs="Times New Roman"/>
                <w:b w:val="0"/>
                <w:bCs w:val="0"/>
                <w:kern w:val="2"/>
                <w:sz w:val="21"/>
                <w:szCs w:val="24"/>
                <w:u w:val="single"/>
                <w:lang w:val="en-US" w:eastAsia="zh-CN" w:bidi="ar-SA"/>
              </w:rPr>
              <w:t>分</w:t>
            </w:r>
            <w:r>
              <w:rPr>
                <w:rFonts w:hint="eastAsia" w:ascii="宋体" w:hAnsi="宋体" w:eastAsia="宋体" w:cs="Times New Roman"/>
                <w:b w:val="0"/>
                <w:bCs w:val="0"/>
                <w:kern w:val="2"/>
                <w:sz w:val="21"/>
                <w:szCs w:val="24"/>
                <w:u w:val="none"/>
                <w:lang w:val="en-US" w:eastAsia="zh-CN" w:bidi="ar-SA"/>
              </w:rPr>
              <w:t xml:space="preserve">   评审要点：</w:t>
            </w:r>
            <w:r>
              <w:rPr>
                <w:rFonts w:hint="eastAsia" w:ascii="宋体" w:hAnsi="宋体" w:eastAsia="宋体" w:cs="Times New Roman"/>
                <w:b w:val="0"/>
                <w:bCs w:val="0"/>
                <w:kern w:val="2"/>
                <w:sz w:val="21"/>
                <w:szCs w:val="24"/>
                <w:u w:val="single"/>
                <w:lang w:val="en-US" w:eastAsia="zh-CN" w:bidi="ar-SA"/>
              </w:rPr>
              <w:t xml:space="preserve"> 投标人对原料清洁化加工系统榨菜原料防破损措施进行阐述说明</w:t>
            </w:r>
            <w:r>
              <w:rPr>
                <w:rFonts w:hint="eastAsia" w:ascii="宋体" w:hAnsi="宋体" w:cs="Times New Roman"/>
                <w:b w:val="0"/>
                <w:bCs w:val="0"/>
                <w:kern w:val="2"/>
                <w:sz w:val="21"/>
                <w:szCs w:val="24"/>
                <w:u w:val="single"/>
                <w:lang w:val="en-US" w:eastAsia="zh-CN" w:bidi="ar-SA"/>
              </w:rPr>
              <w:t>。对系统各个工序（自车间外卸车到车间内装车全过程）榨菜原料破损原因进行分析并详细描述解决措施</w:t>
            </w:r>
            <w:r>
              <w:rPr>
                <w:rFonts w:hint="eastAsia" w:ascii="宋体" w:hAnsi="宋体" w:eastAsia="宋体" w:cs="Times New Roman"/>
                <w:b w:val="0"/>
                <w:bCs w:val="0"/>
                <w:kern w:val="2"/>
                <w:sz w:val="21"/>
                <w:szCs w:val="24"/>
                <w:u w:val="single"/>
                <w:lang w:val="en-US" w:eastAsia="zh-CN" w:bidi="ar-SA"/>
              </w:rPr>
              <w:t>。评标委员会从方案整体的可行性、先进行、合理性和安全性等方面进行综合评定。</w:t>
            </w:r>
          </w:p>
          <w:p w14:paraId="0266F35E">
            <w:pPr>
              <w:bidi w:val="0"/>
              <w:spacing w:line="360" w:lineRule="auto"/>
              <w:ind w:firstLine="420" w:firstLineChars="200"/>
              <w:rPr>
                <w:rFonts w:hint="eastAsia" w:ascii="宋体" w:hAnsi="宋体" w:eastAsia="宋体" w:cs="Times New Roman"/>
                <w:b w:val="0"/>
                <w:bCs w:val="0"/>
                <w:kern w:val="2"/>
                <w:sz w:val="21"/>
                <w:szCs w:val="24"/>
                <w:u w:val="single"/>
                <w:lang w:val="en-US" w:eastAsia="zh-CN" w:bidi="ar-SA"/>
              </w:rPr>
            </w:pPr>
            <w:r>
              <w:rPr>
                <w:rFonts w:hint="eastAsia" w:ascii="宋体" w:hAnsi="宋体" w:eastAsia="宋体" w:cs="Times New Roman"/>
                <w:b w:val="0"/>
                <w:bCs w:val="0"/>
                <w:kern w:val="2"/>
                <w:sz w:val="21"/>
                <w:szCs w:val="24"/>
                <w:u w:val="single"/>
                <w:lang w:val="en-US" w:eastAsia="zh-CN" w:bidi="ar-SA"/>
              </w:rPr>
              <w:t xml:space="preserve"> 优得 7.2分-8分，良得6.4分-7.2分（不含），一般得4.8分-</w:t>
            </w:r>
            <w:r>
              <w:rPr>
                <w:rFonts w:hint="default" w:ascii="宋体" w:hAnsi="宋体" w:eastAsia="宋体" w:cs="Times New Roman"/>
                <w:b w:val="0"/>
                <w:bCs w:val="0"/>
                <w:kern w:val="2"/>
                <w:sz w:val="21"/>
                <w:szCs w:val="24"/>
                <w:u w:val="single"/>
                <w:lang w:val="en-US" w:eastAsia="zh-CN" w:bidi="ar-SA"/>
              </w:rPr>
              <w:t xml:space="preserve"> </w:t>
            </w:r>
            <w:r>
              <w:rPr>
                <w:rFonts w:hint="eastAsia" w:ascii="宋体" w:hAnsi="宋体" w:eastAsia="宋体" w:cs="Times New Roman"/>
                <w:b w:val="0"/>
                <w:bCs w:val="0"/>
                <w:kern w:val="2"/>
                <w:sz w:val="21"/>
                <w:szCs w:val="24"/>
                <w:u w:val="single"/>
                <w:lang w:val="en-US" w:eastAsia="zh-CN" w:bidi="ar-SA"/>
              </w:rPr>
              <w:t>6.4分（不含），差得0分-4.8分（不含）。</w:t>
            </w:r>
          </w:p>
        </w:tc>
      </w:tr>
      <w:tr w14:paraId="3EFE00C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6FE5EBB4">
            <w:pPr>
              <w:spacing w:line="400" w:lineRule="exact"/>
              <w:jc w:val="center"/>
              <w:rPr>
                <w:rFonts w:ascii="宋体" w:hAnsi="宋体"/>
                <w:kern w:val="0"/>
              </w:rPr>
            </w:pPr>
          </w:p>
        </w:tc>
        <w:tc>
          <w:tcPr>
            <w:tcW w:w="1680" w:type="dxa"/>
            <w:vMerge w:val="continue"/>
            <w:tcBorders>
              <w:left w:val="single" w:color="auto" w:sz="4" w:space="0"/>
            </w:tcBorders>
            <w:vAlign w:val="center"/>
          </w:tcPr>
          <w:p w14:paraId="3248395F">
            <w:pPr>
              <w:pStyle w:val="17"/>
              <w:jc w:val="center"/>
              <w:rPr>
                <w:rFonts w:ascii="宋体" w:hAnsi="宋体"/>
                <w:kern w:val="0"/>
              </w:rPr>
            </w:pPr>
          </w:p>
        </w:tc>
        <w:tc>
          <w:tcPr>
            <w:tcW w:w="2171" w:type="dxa"/>
            <w:tcBorders>
              <w:bottom w:val="single" w:color="auto" w:sz="4" w:space="0"/>
            </w:tcBorders>
            <w:vAlign w:val="center"/>
          </w:tcPr>
          <w:p w14:paraId="2E0331AD">
            <w:pPr>
              <w:tabs>
                <w:tab w:val="left" w:pos="1875"/>
              </w:tabs>
              <w:spacing w:line="400" w:lineRule="exact"/>
              <w:jc w:val="center"/>
              <w:rPr>
                <w:rFonts w:hint="eastAsia" w:ascii="宋体" w:hAnsi="宋体"/>
              </w:rPr>
            </w:pPr>
            <w:r>
              <w:rPr>
                <w:rFonts w:hint="eastAsia" w:ascii="宋体" w:hAnsi="宋体"/>
                <w:kern w:val="0"/>
              </w:rPr>
              <w:t>质量保证措施</w:t>
            </w:r>
            <w:r>
              <w:rPr>
                <w:rFonts w:hint="eastAsia" w:ascii="宋体" w:hAnsi="宋体"/>
                <w:kern w:val="0"/>
                <w:lang w:eastAsia="zh-CN"/>
              </w:rPr>
              <w:t>（</w:t>
            </w:r>
            <w:r>
              <w:rPr>
                <w:rFonts w:hint="eastAsia" w:ascii="宋体" w:hAnsi="宋体"/>
                <w:kern w:val="0"/>
                <w:lang w:val="en-US" w:eastAsia="zh-CN"/>
              </w:rPr>
              <w:t>榨菜原料除杂处理措施</w:t>
            </w:r>
            <w:r>
              <w:rPr>
                <w:rFonts w:hint="eastAsia" w:ascii="宋体" w:hAnsi="宋体"/>
                <w:kern w:val="0"/>
                <w:lang w:eastAsia="zh-CN"/>
              </w:rPr>
              <w:t>）</w:t>
            </w:r>
          </w:p>
        </w:tc>
        <w:tc>
          <w:tcPr>
            <w:tcW w:w="4803" w:type="dxa"/>
            <w:vAlign w:val="center"/>
          </w:tcPr>
          <w:p w14:paraId="602F6702">
            <w:pPr>
              <w:bidi w:val="0"/>
              <w:spacing w:line="360" w:lineRule="auto"/>
              <w:ind w:firstLine="420" w:firstLineChars="200"/>
              <w:rPr>
                <w:rFonts w:hint="eastAsia" w:ascii="宋体" w:hAnsi="宋体" w:cs="Times New Roman"/>
                <w:b w:val="0"/>
                <w:bCs w:val="0"/>
                <w:kern w:val="2"/>
                <w:sz w:val="21"/>
                <w:szCs w:val="24"/>
                <w:u w:val="single"/>
                <w:lang w:val="en-US" w:eastAsia="zh-CN" w:bidi="ar-SA"/>
              </w:rPr>
            </w:pP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4</w:t>
            </w: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 xml:space="preserve"> </w:t>
            </w:r>
            <w:r>
              <w:rPr>
                <w:rFonts w:hint="eastAsia" w:ascii="宋体" w:hAnsi="宋体" w:eastAsia="宋体" w:cs="Times New Roman"/>
                <w:b w:val="0"/>
                <w:bCs w:val="0"/>
                <w:kern w:val="2"/>
                <w:sz w:val="21"/>
                <w:szCs w:val="24"/>
                <w:u w:val="single"/>
                <w:lang w:val="en-US" w:eastAsia="zh-CN" w:bidi="ar-SA"/>
              </w:rPr>
              <w:t>分</w:t>
            </w:r>
            <w:r>
              <w:rPr>
                <w:rFonts w:hint="eastAsia" w:ascii="宋体" w:hAnsi="宋体" w:eastAsia="宋体" w:cs="Times New Roman"/>
                <w:b w:val="0"/>
                <w:bCs w:val="0"/>
                <w:kern w:val="2"/>
                <w:sz w:val="21"/>
                <w:szCs w:val="24"/>
                <w:u w:val="none"/>
                <w:lang w:val="en-US" w:eastAsia="zh-CN" w:bidi="ar-SA"/>
              </w:rPr>
              <w:t xml:space="preserve">   评审要点：</w:t>
            </w:r>
            <w:r>
              <w:rPr>
                <w:rFonts w:hint="eastAsia" w:ascii="宋体" w:hAnsi="宋体" w:eastAsia="宋体" w:cs="Times New Roman"/>
                <w:b w:val="0"/>
                <w:bCs w:val="0"/>
                <w:kern w:val="2"/>
                <w:sz w:val="21"/>
                <w:szCs w:val="24"/>
                <w:u w:val="single"/>
                <w:lang w:val="en-US" w:eastAsia="zh-CN" w:bidi="ar-SA"/>
              </w:rPr>
              <w:t xml:space="preserve"> 投标人对原料清洁化加工系统榨菜原料除杂处理措施进行阐述说明。</w:t>
            </w:r>
            <w:r>
              <w:rPr>
                <w:rFonts w:hint="eastAsia" w:ascii="宋体" w:hAnsi="宋体" w:cs="Times New Roman"/>
                <w:b w:val="0"/>
                <w:bCs w:val="0"/>
                <w:kern w:val="2"/>
                <w:sz w:val="21"/>
                <w:szCs w:val="24"/>
                <w:u w:val="single"/>
                <w:lang w:val="en-US" w:eastAsia="zh-CN" w:bidi="ar-SA"/>
              </w:rPr>
              <w:t>对收购榨菜原料参杂的漂浮物（如：毛发、线绳、口袋等）剔除措施进行详细描述。</w:t>
            </w:r>
            <w:r>
              <w:rPr>
                <w:rFonts w:hint="eastAsia" w:ascii="宋体" w:hAnsi="宋体" w:eastAsia="宋体" w:cs="Times New Roman"/>
                <w:b w:val="0"/>
                <w:bCs w:val="0"/>
                <w:kern w:val="2"/>
                <w:sz w:val="21"/>
                <w:szCs w:val="24"/>
                <w:u w:val="single"/>
                <w:lang w:val="en-US" w:eastAsia="zh-CN" w:bidi="ar-SA"/>
              </w:rPr>
              <w:t>评标委员会从方案整体的可行性、先进行</w:t>
            </w:r>
            <w:r>
              <w:rPr>
                <w:rFonts w:hint="eastAsia" w:ascii="宋体" w:hAnsi="宋体" w:cs="Times New Roman"/>
                <w:b w:val="0"/>
                <w:bCs w:val="0"/>
                <w:kern w:val="2"/>
                <w:sz w:val="21"/>
                <w:szCs w:val="24"/>
                <w:u w:val="single"/>
                <w:lang w:val="en-US" w:eastAsia="zh-CN" w:bidi="ar-SA"/>
              </w:rPr>
              <w:t>、合理性和安全性等方面进行综合评定。</w:t>
            </w:r>
          </w:p>
          <w:p w14:paraId="5DDBACF6">
            <w:pPr>
              <w:bidi w:val="0"/>
              <w:spacing w:line="360" w:lineRule="auto"/>
              <w:ind w:firstLine="420" w:firstLineChars="200"/>
              <w:rPr>
                <w:rFonts w:hint="eastAsia" w:ascii="宋体" w:hAnsi="宋体" w:eastAsia="宋体" w:cs="Times New Roman"/>
                <w:b w:val="0"/>
                <w:bCs w:val="0"/>
                <w:kern w:val="2"/>
                <w:sz w:val="21"/>
                <w:szCs w:val="24"/>
                <w:u w:val="single"/>
                <w:lang w:val="en-US" w:eastAsia="zh-CN" w:bidi="ar-SA"/>
              </w:rPr>
            </w:pPr>
            <w:r>
              <w:rPr>
                <w:rFonts w:hint="eastAsia" w:ascii="宋体" w:hAnsi="宋体" w:cs="Times New Roman"/>
                <w:b w:val="0"/>
                <w:bCs w:val="0"/>
                <w:kern w:val="2"/>
                <w:sz w:val="21"/>
                <w:szCs w:val="24"/>
                <w:u w:val="single"/>
                <w:lang w:val="en-US" w:eastAsia="zh-CN" w:bidi="ar-SA"/>
              </w:rPr>
              <w:t xml:space="preserve"> 优得3.6 分- 4 分，良得3.2 分- 3.6分（不含），一般得 2.4 分- 3.2 分（不含），差得0分-2.4分（不含）。</w:t>
            </w:r>
          </w:p>
        </w:tc>
      </w:tr>
      <w:tr w14:paraId="414AF50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continue"/>
            <w:tcBorders>
              <w:right w:val="single" w:color="auto" w:sz="4" w:space="0"/>
            </w:tcBorders>
            <w:vAlign w:val="center"/>
          </w:tcPr>
          <w:p w14:paraId="763B3E67">
            <w:pPr>
              <w:spacing w:line="400" w:lineRule="exact"/>
              <w:jc w:val="center"/>
              <w:rPr>
                <w:rFonts w:ascii="宋体" w:hAnsi="宋体"/>
                <w:kern w:val="0"/>
              </w:rPr>
            </w:pPr>
          </w:p>
        </w:tc>
        <w:tc>
          <w:tcPr>
            <w:tcW w:w="1680" w:type="dxa"/>
            <w:vMerge w:val="continue"/>
            <w:tcBorders>
              <w:left w:val="single" w:color="auto" w:sz="4" w:space="0"/>
            </w:tcBorders>
            <w:vAlign w:val="center"/>
          </w:tcPr>
          <w:p w14:paraId="3F3E6335">
            <w:pPr>
              <w:pStyle w:val="17"/>
              <w:jc w:val="center"/>
              <w:rPr>
                <w:rFonts w:ascii="宋体" w:hAnsi="宋体"/>
                <w:kern w:val="0"/>
              </w:rPr>
            </w:pPr>
          </w:p>
        </w:tc>
        <w:tc>
          <w:tcPr>
            <w:tcW w:w="2171" w:type="dxa"/>
            <w:tcBorders>
              <w:bottom w:val="single" w:color="auto" w:sz="4" w:space="0"/>
            </w:tcBorders>
            <w:vAlign w:val="center"/>
          </w:tcPr>
          <w:p w14:paraId="5ED1260C">
            <w:pPr>
              <w:tabs>
                <w:tab w:val="left" w:pos="1875"/>
              </w:tabs>
              <w:spacing w:line="400" w:lineRule="exact"/>
              <w:jc w:val="center"/>
              <w:rPr>
                <w:rFonts w:hint="eastAsia" w:ascii="宋体" w:hAnsi="宋体"/>
                <w:kern w:val="0"/>
              </w:rPr>
            </w:pPr>
            <w:r>
              <w:rPr>
                <w:rFonts w:hint="eastAsia" w:ascii="宋体" w:hAnsi="宋体"/>
                <w:kern w:val="0"/>
              </w:rPr>
              <w:t>质量保证措施</w:t>
            </w:r>
            <w:r>
              <w:rPr>
                <w:rFonts w:hint="eastAsia" w:ascii="宋体" w:hAnsi="宋体"/>
                <w:kern w:val="0"/>
                <w:lang w:eastAsia="zh-CN"/>
              </w:rPr>
              <w:t>（</w:t>
            </w:r>
            <w:r>
              <w:rPr>
                <w:rFonts w:hint="eastAsia" w:ascii="宋体" w:hAnsi="宋体"/>
                <w:kern w:val="0"/>
                <w:lang w:val="en-US" w:eastAsia="zh-CN"/>
              </w:rPr>
              <w:t>安全保障措施</w:t>
            </w:r>
            <w:r>
              <w:rPr>
                <w:rFonts w:hint="eastAsia" w:ascii="宋体" w:hAnsi="宋体"/>
                <w:kern w:val="0"/>
                <w:lang w:eastAsia="zh-CN"/>
              </w:rPr>
              <w:t>）</w:t>
            </w:r>
          </w:p>
        </w:tc>
        <w:tc>
          <w:tcPr>
            <w:tcW w:w="4803" w:type="dxa"/>
            <w:vAlign w:val="center"/>
          </w:tcPr>
          <w:p w14:paraId="4F286326">
            <w:pPr>
              <w:bidi w:val="0"/>
              <w:spacing w:line="360" w:lineRule="auto"/>
              <w:ind w:firstLine="420" w:firstLineChars="200"/>
              <w:rPr>
                <w:rFonts w:hint="eastAsia" w:ascii="宋体" w:hAnsi="宋体" w:eastAsia="宋体" w:cs="Times New Roman"/>
                <w:b w:val="0"/>
                <w:bCs w:val="0"/>
                <w:kern w:val="2"/>
                <w:sz w:val="21"/>
                <w:szCs w:val="24"/>
                <w:u w:val="single"/>
                <w:lang w:val="en-US" w:eastAsia="zh-CN" w:bidi="ar-SA"/>
              </w:rPr>
            </w:pP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4</w:t>
            </w:r>
            <w:r>
              <w:rPr>
                <w:rFonts w:hint="eastAsia" w:ascii="宋体" w:hAnsi="宋体" w:eastAsia="宋体" w:cs="Times New Roman"/>
                <w:b w:val="0"/>
                <w:bCs w:val="0"/>
                <w:kern w:val="2"/>
                <w:sz w:val="21"/>
                <w:szCs w:val="24"/>
                <w:u w:val="single"/>
                <w:lang w:val="en-US" w:eastAsia="zh-CN" w:bidi="ar-SA"/>
              </w:rPr>
              <w:t xml:space="preserve"> </w:t>
            </w:r>
            <w:r>
              <w:rPr>
                <w:rFonts w:hint="eastAsia" w:ascii="宋体" w:hAnsi="宋体" w:cs="Times New Roman"/>
                <w:b w:val="0"/>
                <w:bCs w:val="0"/>
                <w:kern w:val="2"/>
                <w:sz w:val="21"/>
                <w:szCs w:val="24"/>
                <w:u w:val="single"/>
                <w:lang w:val="en-US" w:eastAsia="zh-CN" w:bidi="ar-SA"/>
              </w:rPr>
              <w:t xml:space="preserve"> </w:t>
            </w:r>
            <w:r>
              <w:rPr>
                <w:rFonts w:hint="eastAsia" w:ascii="宋体" w:hAnsi="宋体" w:eastAsia="宋体" w:cs="Times New Roman"/>
                <w:b w:val="0"/>
                <w:bCs w:val="0"/>
                <w:kern w:val="2"/>
                <w:sz w:val="21"/>
                <w:szCs w:val="24"/>
                <w:u w:val="single"/>
                <w:lang w:val="en-US" w:eastAsia="zh-CN" w:bidi="ar-SA"/>
              </w:rPr>
              <w:t>分</w:t>
            </w:r>
            <w:r>
              <w:rPr>
                <w:rFonts w:hint="eastAsia" w:ascii="宋体" w:hAnsi="宋体" w:eastAsia="宋体" w:cs="Times New Roman"/>
                <w:b w:val="0"/>
                <w:bCs w:val="0"/>
                <w:kern w:val="2"/>
                <w:sz w:val="21"/>
                <w:szCs w:val="24"/>
                <w:u w:val="none"/>
                <w:lang w:val="en-US" w:eastAsia="zh-CN" w:bidi="ar-SA"/>
              </w:rPr>
              <w:t xml:space="preserve">   评审要点：</w:t>
            </w:r>
            <w:r>
              <w:rPr>
                <w:rFonts w:hint="eastAsia" w:ascii="宋体" w:hAnsi="宋体" w:eastAsia="宋体" w:cs="Times New Roman"/>
                <w:b w:val="0"/>
                <w:bCs w:val="0"/>
                <w:kern w:val="2"/>
                <w:sz w:val="21"/>
                <w:szCs w:val="24"/>
                <w:u w:val="single"/>
                <w:lang w:val="en-US" w:eastAsia="zh-CN" w:bidi="ar-SA"/>
              </w:rPr>
              <w:t xml:space="preserve"> 投标人对原料清洁化加工系统设备操作安全保障措施进行阐述说明。对关键设备、关键工位的操作维护安全措施进行详细描述（如货车货箱门开闭、设备安全防护等）。评标委员会从方案整体的可行性、先进行、合理性和安全性等方面进行综合评定。 </w:t>
            </w:r>
          </w:p>
          <w:p w14:paraId="2F54444B">
            <w:pPr>
              <w:bidi w:val="0"/>
              <w:spacing w:line="360" w:lineRule="auto"/>
              <w:ind w:firstLine="420" w:firstLineChars="200"/>
              <w:rPr>
                <w:rFonts w:hint="eastAsia" w:ascii="宋体" w:hAnsi="宋体" w:eastAsia="宋体" w:cs="Times New Roman"/>
                <w:b w:val="0"/>
                <w:bCs w:val="0"/>
                <w:kern w:val="2"/>
                <w:sz w:val="21"/>
                <w:szCs w:val="24"/>
                <w:u w:val="single"/>
                <w:lang w:val="en-US" w:eastAsia="zh-CN" w:bidi="ar-SA"/>
              </w:rPr>
            </w:pPr>
            <w:r>
              <w:rPr>
                <w:rFonts w:hint="eastAsia" w:ascii="宋体" w:hAnsi="宋体" w:eastAsia="宋体" w:cs="Times New Roman"/>
                <w:b w:val="0"/>
                <w:bCs w:val="0"/>
                <w:kern w:val="2"/>
                <w:sz w:val="21"/>
                <w:szCs w:val="24"/>
                <w:u w:val="single"/>
                <w:lang w:val="en-US" w:eastAsia="zh-CN" w:bidi="ar-SA"/>
              </w:rPr>
              <w:t>优得3.6 分- 4 分，良得3.2 分- 3.6分（不含），一般得 2.4 分- 3.2 分（不含），差得0分-2.4分（不含）。</w:t>
            </w:r>
          </w:p>
        </w:tc>
      </w:tr>
      <w:tr w14:paraId="67A1D60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520" w:hRule="atLeast"/>
          <w:jc w:val="center"/>
        </w:trPr>
        <w:tc>
          <w:tcPr>
            <w:tcW w:w="934" w:type="dxa"/>
            <w:vMerge w:val="continue"/>
            <w:tcBorders>
              <w:right w:val="single" w:color="auto" w:sz="4" w:space="0"/>
            </w:tcBorders>
            <w:vAlign w:val="center"/>
          </w:tcPr>
          <w:p w14:paraId="25BFC845">
            <w:pPr>
              <w:spacing w:line="400" w:lineRule="exact"/>
              <w:jc w:val="center"/>
              <w:rPr>
                <w:rFonts w:ascii="宋体" w:hAnsi="宋体"/>
                <w:kern w:val="0"/>
              </w:rPr>
            </w:pPr>
          </w:p>
        </w:tc>
        <w:tc>
          <w:tcPr>
            <w:tcW w:w="1680" w:type="dxa"/>
            <w:vMerge w:val="continue"/>
            <w:tcBorders>
              <w:left w:val="single" w:color="auto" w:sz="4" w:space="0"/>
            </w:tcBorders>
            <w:vAlign w:val="center"/>
          </w:tcPr>
          <w:p w14:paraId="7F1D2FFB">
            <w:pPr>
              <w:pStyle w:val="17"/>
              <w:jc w:val="center"/>
              <w:rPr>
                <w:rFonts w:ascii="宋体" w:hAnsi="宋体"/>
                <w:kern w:val="0"/>
              </w:rPr>
            </w:pPr>
          </w:p>
        </w:tc>
        <w:tc>
          <w:tcPr>
            <w:tcW w:w="2171" w:type="dxa"/>
            <w:tcBorders>
              <w:bottom w:val="single" w:color="auto" w:sz="4" w:space="0"/>
            </w:tcBorders>
            <w:vAlign w:val="center"/>
          </w:tcPr>
          <w:p w14:paraId="04BFA4BC">
            <w:pPr>
              <w:tabs>
                <w:tab w:val="left" w:pos="1875"/>
              </w:tabs>
              <w:spacing w:line="400" w:lineRule="exact"/>
              <w:jc w:val="center"/>
              <w:rPr>
                <w:rFonts w:ascii="宋体" w:hAnsi="宋体"/>
                <w:kern w:val="0"/>
              </w:rPr>
            </w:pPr>
            <w:r>
              <w:rPr>
                <w:rFonts w:hint="eastAsia" w:ascii="宋体" w:hAnsi="宋体"/>
                <w:kern w:val="0"/>
              </w:rPr>
              <w:t>技术服务和质保期服务措施</w:t>
            </w:r>
          </w:p>
        </w:tc>
        <w:tc>
          <w:tcPr>
            <w:tcW w:w="4803" w:type="dxa"/>
            <w:vAlign w:val="center"/>
          </w:tcPr>
          <w:p w14:paraId="7336D348">
            <w:pPr>
              <w:snapToGrid w:val="0"/>
              <w:spacing w:line="400" w:lineRule="exact"/>
              <w:ind w:firstLine="420" w:firstLineChars="200"/>
              <w:rPr>
                <w:rFonts w:hint="eastAsia" w:ascii="宋体" w:hAnsi="宋体" w:eastAsia="宋体" w:cs="Times New Roman"/>
                <w:b w:val="0"/>
                <w:bCs w:val="0"/>
                <w:kern w:val="2"/>
                <w:sz w:val="21"/>
                <w:szCs w:val="24"/>
                <w:u w:val="single"/>
                <w:lang w:val="en-US" w:eastAsia="zh-CN" w:bidi="ar-SA"/>
              </w:rPr>
            </w:pPr>
            <w:r>
              <w:rPr>
                <w:rFonts w:hint="eastAsia" w:ascii="宋体" w:hAnsi="宋体"/>
                <w:u w:val="single"/>
              </w:rPr>
              <w:t xml:space="preserve">   </w:t>
            </w:r>
            <w:r>
              <w:rPr>
                <w:rFonts w:hint="eastAsia" w:ascii="宋体" w:hAnsi="宋体"/>
                <w:u w:val="single"/>
                <w:lang w:val="en-US" w:eastAsia="zh-CN"/>
              </w:rPr>
              <w:t>4</w:t>
            </w:r>
            <w:r>
              <w:rPr>
                <w:rFonts w:ascii="宋体" w:hAnsi="宋体"/>
                <w:u w:val="single"/>
              </w:rPr>
              <w:t xml:space="preserve"> 　</w:t>
            </w:r>
            <w:r>
              <w:rPr>
                <w:rFonts w:ascii="宋体" w:hAnsi="宋体"/>
              </w:rPr>
              <w:t xml:space="preserve">分   </w:t>
            </w:r>
            <w:r>
              <w:rPr>
                <w:rFonts w:hint="eastAsia" w:ascii="宋体" w:hAnsi="宋体"/>
              </w:rPr>
              <w:t>评审</w:t>
            </w:r>
            <w:r>
              <w:rPr>
                <w:rFonts w:ascii="宋体" w:hAnsi="宋体"/>
              </w:rPr>
              <w:t>要点</w:t>
            </w:r>
            <w:r>
              <w:rPr>
                <w:rFonts w:hint="eastAsia" w:ascii="宋体" w:hAnsi="宋体"/>
              </w:rPr>
              <w:t>：</w:t>
            </w:r>
            <w:r>
              <w:rPr>
                <w:rFonts w:hint="eastAsia" w:ascii="宋体" w:hAnsi="宋体" w:eastAsia="宋体" w:cs="Times New Roman"/>
                <w:b w:val="0"/>
                <w:bCs w:val="0"/>
                <w:kern w:val="2"/>
                <w:sz w:val="21"/>
                <w:szCs w:val="24"/>
                <w:u w:val="single"/>
                <w:lang w:val="en-US" w:eastAsia="zh-CN" w:bidi="ar-SA"/>
              </w:rPr>
              <w:t>投标人</w:t>
            </w:r>
            <w:r>
              <w:rPr>
                <w:rFonts w:hint="eastAsia" w:ascii="宋体" w:hAnsi="宋体" w:cs="Times New Roman"/>
                <w:b w:val="0"/>
                <w:bCs w:val="0"/>
                <w:kern w:val="2"/>
                <w:sz w:val="21"/>
                <w:szCs w:val="24"/>
                <w:u w:val="single"/>
                <w:lang w:val="en-US" w:eastAsia="zh-CN" w:bidi="ar-SA"/>
              </w:rPr>
              <w:t>对项目</w:t>
            </w:r>
            <w:r>
              <w:rPr>
                <w:rFonts w:hint="default" w:ascii="宋体" w:hAnsi="宋体" w:eastAsia="宋体" w:cs="Times New Roman"/>
                <w:b w:val="0"/>
                <w:bCs w:val="0"/>
                <w:kern w:val="2"/>
                <w:sz w:val="21"/>
                <w:szCs w:val="24"/>
                <w:u w:val="single"/>
                <w:lang w:val="en-US" w:eastAsia="zh-CN" w:bidi="ar-SA"/>
              </w:rPr>
              <w:t>质量管理体系</w:t>
            </w:r>
            <w:r>
              <w:rPr>
                <w:rFonts w:hint="eastAsia" w:ascii="宋体" w:hAnsi="宋体" w:eastAsia="宋体" w:cs="Times New Roman"/>
                <w:b w:val="0"/>
                <w:bCs w:val="0"/>
                <w:kern w:val="2"/>
                <w:sz w:val="21"/>
                <w:szCs w:val="24"/>
                <w:u w:val="single"/>
                <w:lang w:val="en-US" w:eastAsia="zh-CN" w:bidi="ar-SA"/>
              </w:rPr>
              <w:t>，生产过程质量检查管理体系，供应商、技术及人员保障</w:t>
            </w:r>
            <w:r>
              <w:rPr>
                <w:rFonts w:hint="eastAsia" w:ascii="宋体" w:hAnsi="宋体" w:cs="Times New Roman"/>
                <w:b w:val="0"/>
                <w:bCs w:val="0"/>
                <w:kern w:val="2"/>
                <w:sz w:val="21"/>
                <w:szCs w:val="24"/>
                <w:u w:val="single"/>
                <w:lang w:val="en-US" w:eastAsia="zh-CN" w:bidi="ar-SA"/>
              </w:rPr>
              <w:t>措施进行阐述说明。</w:t>
            </w:r>
            <w:r>
              <w:rPr>
                <w:rFonts w:hint="eastAsia" w:ascii="宋体" w:hAnsi="宋体"/>
                <w:u w:val="single"/>
              </w:rPr>
              <w:t xml:space="preserve"> </w:t>
            </w:r>
            <w:r>
              <w:rPr>
                <w:rFonts w:hint="eastAsia" w:ascii="宋体" w:hAnsi="宋体" w:eastAsia="宋体" w:cs="Times New Roman"/>
                <w:b w:val="0"/>
                <w:bCs w:val="0"/>
                <w:kern w:val="2"/>
                <w:sz w:val="21"/>
                <w:szCs w:val="24"/>
                <w:u w:val="single"/>
                <w:lang w:val="en-US" w:eastAsia="zh-CN" w:bidi="ar-SA"/>
              </w:rPr>
              <w:t>评标委员会从</w:t>
            </w:r>
            <w:r>
              <w:rPr>
                <w:rFonts w:hint="eastAsia" w:ascii="宋体" w:hAnsi="宋体"/>
                <w:u w:val="single"/>
                <w:lang w:val="en-US" w:eastAsia="zh-CN"/>
              </w:rPr>
              <w:t>项目组织与沟通机制，质量管理体系，安装调试技术能力，技术培训体系，质保响应时效保障能力，备件供应管理能力</w:t>
            </w:r>
            <w:r>
              <w:rPr>
                <w:rFonts w:hint="eastAsia" w:ascii="宋体" w:hAnsi="宋体" w:eastAsia="宋体" w:cs="Times New Roman"/>
                <w:b w:val="0"/>
                <w:bCs w:val="0"/>
                <w:kern w:val="2"/>
                <w:sz w:val="21"/>
                <w:szCs w:val="24"/>
                <w:u w:val="single"/>
                <w:lang w:val="en-US" w:eastAsia="zh-CN" w:bidi="ar-SA"/>
              </w:rPr>
              <w:t>等方面进行综合评定。</w:t>
            </w:r>
          </w:p>
          <w:p w14:paraId="5FF05B74">
            <w:pPr>
              <w:snapToGrid w:val="0"/>
              <w:spacing w:line="400" w:lineRule="exact"/>
              <w:ind w:firstLine="420" w:firstLineChars="200"/>
              <w:rPr>
                <w:rFonts w:ascii="宋体" w:hAnsi="宋体"/>
                <w:kern w:val="0"/>
                <w:szCs w:val="21"/>
              </w:rPr>
            </w:pPr>
            <w:r>
              <w:rPr>
                <w:rFonts w:hint="eastAsia" w:ascii="宋体" w:hAnsi="宋体" w:cs="Times New Roman"/>
                <w:b w:val="0"/>
                <w:bCs w:val="0"/>
                <w:kern w:val="2"/>
                <w:sz w:val="21"/>
                <w:szCs w:val="24"/>
                <w:u w:val="single"/>
                <w:lang w:val="en-US" w:eastAsia="zh-CN" w:bidi="ar-SA"/>
              </w:rPr>
              <w:t>优得3.6 分- 4 分，良得3.2 分- 3.6分（不含），一般得 2.4 分- 3.2 分（不含），差得0分-2.4分（不含）。</w:t>
            </w:r>
          </w:p>
        </w:tc>
      </w:tr>
      <w:tr w14:paraId="6F427D1E">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796" w:hRule="atLeast"/>
          <w:jc w:val="center"/>
        </w:trPr>
        <w:tc>
          <w:tcPr>
            <w:tcW w:w="934" w:type="dxa"/>
            <w:vMerge w:val="restart"/>
            <w:tcBorders>
              <w:right w:val="single" w:color="auto" w:sz="4" w:space="0"/>
            </w:tcBorders>
            <w:vAlign w:val="center"/>
          </w:tcPr>
          <w:p w14:paraId="27630560">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（2）</w:t>
            </w:r>
          </w:p>
        </w:tc>
        <w:tc>
          <w:tcPr>
            <w:tcW w:w="1680" w:type="dxa"/>
            <w:vMerge w:val="restart"/>
            <w:tcBorders>
              <w:left w:val="single" w:color="auto" w:sz="4" w:space="0"/>
            </w:tcBorders>
            <w:vAlign w:val="center"/>
          </w:tcPr>
          <w:p w14:paraId="566CFA4C">
            <w:pPr>
              <w:spacing w:line="400" w:lineRule="exact"/>
              <w:ind w:left="-63" w:leftChars="-30" w:right="-63" w:rightChars="-30"/>
              <w:jc w:val="center"/>
            </w:pPr>
            <w:r>
              <w:rPr>
                <w:rFonts w:hint="eastAsia"/>
              </w:rPr>
              <w:t>商务</w:t>
            </w:r>
            <w:r>
              <w:rPr>
                <w:rFonts w:hint="eastAsia"/>
                <w:lang w:val="en-US" w:eastAsia="zh-CN"/>
              </w:rPr>
              <w:t>评审</w:t>
            </w:r>
            <w:r>
              <w:rPr>
                <w:rFonts w:hint="eastAsia"/>
              </w:rPr>
              <w:t>标准（B）</w:t>
            </w:r>
          </w:p>
        </w:tc>
        <w:tc>
          <w:tcPr>
            <w:tcW w:w="2171" w:type="dxa"/>
            <w:shd w:val="clear" w:color="auto" w:fill="auto"/>
            <w:vAlign w:val="center"/>
          </w:tcPr>
          <w:p w14:paraId="4F2420BD">
            <w:pPr>
              <w:tabs>
                <w:tab w:val="left" w:pos="1875"/>
              </w:tabs>
              <w:spacing w:line="400" w:lineRule="exact"/>
              <w:rPr>
                <w:rFonts w:ascii="宋体" w:hAnsi="宋体" w:eastAsia="宋体" w:cs="宋体"/>
                <w:kern w:val="0"/>
                <w:sz w:val="21"/>
                <w:szCs w:val="24"/>
                <w:lang w:val="en-US" w:eastAsia="zh-CN" w:bidi="ar-SA"/>
              </w:rPr>
            </w:pPr>
            <w:r>
              <w:rPr>
                <w:rFonts w:hint="eastAsia"/>
                <w:szCs w:val="22"/>
              </w:rPr>
              <w:t>总体评审标准</w:t>
            </w:r>
          </w:p>
        </w:tc>
        <w:tc>
          <w:tcPr>
            <w:tcW w:w="4803" w:type="dxa"/>
            <w:shd w:val="clear" w:color="auto" w:fill="auto"/>
            <w:vAlign w:val="center"/>
          </w:tcPr>
          <w:p w14:paraId="267B72CB">
            <w:pPr>
              <w:snapToGrid w:val="0"/>
              <w:spacing w:line="400" w:lineRule="exact"/>
              <w:ind w:firstLine="420" w:firstLineChars="200"/>
              <w:rPr>
                <w:rFonts w:ascii="Times New Roman" w:hAnsi="Times New Roman" w:eastAsia="宋体" w:cs="Times New Roman"/>
                <w:kern w:val="2"/>
                <w:sz w:val="21"/>
                <w:szCs w:val="24"/>
                <w:lang w:val="en-US" w:eastAsia="zh-CN" w:bidi="ar-SA"/>
              </w:rPr>
            </w:pPr>
            <w:r>
              <w:rPr>
                <w:rFonts w:hint="eastAsia" w:ascii="宋体" w:hAnsi="宋体"/>
                <w:szCs w:val="21"/>
              </w:rPr>
              <w:t>商务评分为客观评分，</w:t>
            </w:r>
            <w:r>
              <w:rPr>
                <w:rFonts w:ascii="宋体" w:hAnsi="宋体"/>
                <w:szCs w:val="21"/>
              </w:rPr>
              <w:t>评标委员会按</w:t>
            </w:r>
            <w:r>
              <w:rPr>
                <w:rFonts w:hint="eastAsia" w:ascii="宋体" w:hAnsi="宋体"/>
                <w:szCs w:val="21"/>
              </w:rPr>
              <w:t>以下</w:t>
            </w:r>
            <w:r>
              <w:rPr>
                <w:rFonts w:ascii="宋体" w:hAnsi="宋体"/>
                <w:szCs w:val="21"/>
              </w:rPr>
              <w:t>各评审因素设定的分值</w:t>
            </w:r>
            <w:r>
              <w:rPr>
                <w:rFonts w:hint="eastAsia" w:ascii="宋体" w:hAnsi="宋体"/>
                <w:szCs w:val="21"/>
              </w:rPr>
              <w:t>进行</w:t>
            </w:r>
            <w:r>
              <w:rPr>
                <w:rFonts w:ascii="宋体" w:hAnsi="宋体"/>
                <w:szCs w:val="21"/>
              </w:rPr>
              <w:t>评分</w:t>
            </w:r>
            <w:r>
              <w:rPr>
                <w:rFonts w:hint="eastAsia" w:ascii="宋体" w:hAnsi="宋体"/>
                <w:szCs w:val="21"/>
              </w:rPr>
              <w:t>且保证分值统一</w:t>
            </w:r>
            <w:r>
              <w:rPr>
                <w:rFonts w:ascii="宋体" w:hAnsi="宋体"/>
                <w:szCs w:val="21"/>
              </w:rPr>
              <w:t>。</w:t>
            </w:r>
          </w:p>
        </w:tc>
      </w:tr>
      <w:tr w14:paraId="21284F2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2B425983">
            <w:pPr>
              <w:spacing w:line="400" w:lineRule="exact"/>
              <w:rPr>
                <w:rFonts w:ascii="宋体" w:hAnsi="宋体"/>
                <w:kern w:val="0"/>
              </w:rPr>
            </w:pPr>
          </w:p>
        </w:tc>
        <w:tc>
          <w:tcPr>
            <w:tcW w:w="1680" w:type="dxa"/>
            <w:vMerge w:val="continue"/>
            <w:tcBorders>
              <w:left w:val="single" w:color="auto" w:sz="4" w:space="0"/>
            </w:tcBorders>
            <w:vAlign w:val="center"/>
          </w:tcPr>
          <w:p w14:paraId="29869DAA">
            <w:pPr>
              <w:spacing w:line="400" w:lineRule="exact"/>
              <w:ind w:left="-63" w:leftChars="-30" w:right="-63" w:rightChars="-30"/>
              <w:jc w:val="center"/>
            </w:pPr>
          </w:p>
        </w:tc>
        <w:tc>
          <w:tcPr>
            <w:tcW w:w="2171" w:type="dxa"/>
            <w:vAlign w:val="center"/>
          </w:tcPr>
          <w:p w14:paraId="223B52C6">
            <w:pPr>
              <w:tabs>
                <w:tab w:val="left" w:pos="1875"/>
              </w:tabs>
              <w:spacing w:line="400" w:lineRule="exact"/>
              <w:rPr>
                <w:rFonts w:ascii="宋体" w:hAnsi="宋体"/>
              </w:rPr>
            </w:pPr>
            <w:r>
              <w:t>类似业绩</w:t>
            </w:r>
          </w:p>
        </w:tc>
        <w:tc>
          <w:tcPr>
            <w:tcW w:w="4803" w:type="dxa"/>
            <w:vAlign w:val="center"/>
          </w:tcPr>
          <w:p w14:paraId="67BD21FA">
            <w:pPr>
              <w:snapToGrid w:val="0"/>
              <w:spacing w:line="400" w:lineRule="exact"/>
              <w:ind w:firstLine="420" w:firstLineChars="200"/>
              <w:rPr>
                <w:rFonts w:hint="eastAsia" w:ascii="宋体" w:hAnsi="宋体"/>
                <w:color w:val="000000" w:themeColor="text1"/>
                <w:kern w:val="0"/>
                <w:szCs w:val="21"/>
                <w:lang w:val="en-US" w:eastAsia="zh-CN"/>
                <w14:textFill>
                  <w14:solidFill>
                    <w14:schemeClr w14:val="tx1"/>
                  </w14:solidFill>
                </w14:textFill>
              </w:rPr>
            </w:pPr>
            <w:r>
              <w:rPr>
                <w:rFonts w:hint="eastAsia" w:ascii="宋体" w:hAnsi="宋体" w:eastAsia="宋体" w:cs="宋体"/>
                <w:color w:val="000000" w:themeColor="text1"/>
                <w:kern w:val="0"/>
                <w:sz w:val="21"/>
                <w:szCs w:val="21"/>
                <w:highlight w:val="none"/>
                <w:lang w:eastAsia="zh-CN"/>
                <w14:textFill>
                  <w14:solidFill>
                    <w14:schemeClr w14:val="tx1"/>
                  </w14:solidFill>
                </w14:textFill>
              </w:rPr>
              <w:t>在通过资格审查的基础上（通过资格审查的业绩不参与商务评审），</w:t>
            </w:r>
            <w:r>
              <w:rPr>
                <w:rFonts w:hint="eastAsia" w:ascii="宋体" w:hAnsi="宋体"/>
                <w:color w:val="000000" w:themeColor="text1"/>
                <w:kern w:val="0"/>
                <w:szCs w:val="21"/>
                <w:lang w:val="en-US" w:eastAsia="zh-CN"/>
                <w14:textFill>
                  <w14:solidFill>
                    <w14:schemeClr w14:val="tx1"/>
                  </w14:solidFill>
                </w14:textFill>
              </w:rPr>
              <w:t>投标人自</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u w:val="single"/>
                <w:lang w:val="en-US" w:eastAsia="zh-CN"/>
                <w14:textFill>
                  <w14:solidFill>
                    <w14:schemeClr w14:val="tx1"/>
                  </w14:solidFill>
                </w14:textFill>
              </w:rPr>
              <w:t>2023</w:t>
            </w:r>
            <w:r>
              <w:rPr>
                <w:rFonts w:hint="eastAsia" w:ascii="宋体" w:hAnsi="宋体"/>
                <w:color w:val="000000" w:themeColor="text1"/>
                <w:szCs w:val="21"/>
                <w:u w:val="single"/>
                <w14:textFill>
                  <w14:solidFill>
                    <w14:schemeClr w14:val="tx1"/>
                  </w14:solidFill>
                </w14:textFill>
              </w:rPr>
              <w:t xml:space="preserve"> </w:t>
            </w:r>
            <w:r>
              <w:rPr>
                <w:rFonts w:hint="eastAsia" w:ascii="宋体" w:hAnsi="宋体"/>
                <w:color w:val="000000" w:themeColor="text1"/>
                <w:szCs w:val="21"/>
                <w14:textFill>
                  <w14:solidFill>
                    <w14:schemeClr w14:val="tx1"/>
                  </w14:solidFill>
                </w14:textFill>
              </w:rPr>
              <w:t>年1月1日起至投标截止日止（以</w:t>
            </w:r>
            <w:r>
              <w:rPr>
                <w:rFonts w:hint="eastAsia" w:ascii="宋体" w:hAnsi="宋体"/>
                <w:color w:val="000000" w:themeColor="text1"/>
                <w:szCs w:val="21"/>
                <w:lang w:val="en-US" w:eastAsia="zh-CN"/>
                <w14:textFill>
                  <w14:solidFill>
                    <w14:schemeClr w14:val="tx1"/>
                  </w14:solidFill>
                </w14:textFill>
              </w:rPr>
              <w:t>合同签订</w:t>
            </w:r>
            <w:r>
              <w:rPr>
                <w:rFonts w:hint="eastAsia" w:ascii="宋体" w:hAnsi="宋体"/>
                <w:color w:val="000000" w:themeColor="text1"/>
                <w:kern w:val="0"/>
                <w:szCs w:val="21"/>
                <w:lang w:val="en-US" w:eastAsia="zh-CN"/>
                <w14:textFill>
                  <w14:solidFill>
                    <w14:schemeClr w14:val="tx1"/>
                  </w14:solidFill>
                </w14:textFill>
              </w:rPr>
              <w:t>时间为准），每增加1个</w:t>
            </w:r>
            <w:r>
              <w:rPr>
                <w:rFonts w:hint="eastAsia" w:ascii="宋体" w:hAnsi="宋体"/>
                <w:b/>
                <w:bCs/>
                <w:color w:val="000000" w:themeColor="text1"/>
                <w:kern w:val="0"/>
                <w:szCs w:val="21"/>
                <w:lang w:val="en-US" w:eastAsia="zh-CN"/>
                <w14:textFill>
                  <w14:solidFill>
                    <w14:schemeClr w14:val="tx1"/>
                  </w14:solidFill>
                </w14:textFill>
              </w:rPr>
              <w:t>已完成</w:t>
            </w:r>
            <w:r>
              <w:rPr>
                <w:rFonts w:hint="eastAsia" w:ascii="宋体" w:hAnsi="宋体"/>
                <w:color w:val="000000" w:themeColor="text1"/>
                <w:kern w:val="0"/>
                <w:szCs w:val="21"/>
                <w:lang w:val="en-US" w:eastAsia="zh-CN"/>
                <w14:textFill>
                  <w14:solidFill>
                    <w14:schemeClr w14:val="tx1"/>
                  </w14:solidFill>
                </w14:textFill>
              </w:rPr>
              <w:t>供货的向食品、果蔬、药品行业加工设备供货业绩，合同金额不低于300万元人民币的得</w:t>
            </w:r>
            <w:r>
              <w:rPr>
                <w:rFonts w:hint="eastAsia" w:ascii="宋体" w:hAnsi="宋体"/>
                <w:color w:val="000000" w:themeColor="text1"/>
                <w:kern w:val="0"/>
                <w:szCs w:val="21"/>
                <w:u w:val="single"/>
                <w:lang w:val="en-US" w:eastAsia="zh-CN"/>
                <w14:textFill>
                  <w14:solidFill>
                    <w14:schemeClr w14:val="tx1"/>
                  </w14:solidFill>
                </w14:textFill>
              </w:rPr>
              <w:t xml:space="preserve"> 2 </w:t>
            </w:r>
            <w:r>
              <w:rPr>
                <w:rFonts w:hint="eastAsia" w:ascii="宋体" w:hAnsi="宋体"/>
                <w:color w:val="000000" w:themeColor="text1"/>
                <w:kern w:val="0"/>
                <w:szCs w:val="21"/>
                <w:lang w:val="en-US" w:eastAsia="zh-CN"/>
                <w14:textFill>
                  <w14:solidFill>
                    <w14:schemeClr w14:val="tx1"/>
                  </w14:solidFill>
                </w14:textFill>
              </w:rPr>
              <w:t>分。本项最多得</w:t>
            </w:r>
            <w:r>
              <w:rPr>
                <w:rFonts w:hint="eastAsia" w:ascii="宋体" w:hAnsi="宋体"/>
                <w:color w:val="000000" w:themeColor="text1"/>
                <w:kern w:val="0"/>
                <w:szCs w:val="21"/>
                <w:u w:val="single"/>
                <w:lang w:val="en-US" w:eastAsia="zh-CN"/>
                <w14:textFill>
                  <w14:solidFill>
                    <w14:schemeClr w14:val="tx1"/>
                  </w14:solidFill>
                </w14:textFill>
              </w:rPr>
              <w:t xml:space="preserve"> 4 </w:t>
            </w:r>
            <w:r>
              <w:rPr>
                <w:rFonts w:hint="eastAsia" w:ascii="宋体" w:hAnsi="宋体"/>
                <w:color w:val="000000" w:themeColor="text1"/>
                <w:kern w:val="0"/>
                <w:szCs w:val="21"/>
                <w:lang w:val="en-US" w:eastAsia="zh-CN"/>
                <w14:textFill>
                  <w14:solidFill>
                    <w14:schemeClr w14:val="tx1"/>
                  </w14:solidFill>
                </w14:textFill>
              </w:rPr>
              <w:t>分。</w:t>
            </w:r>
          </w:p>
          <w:p w14:paraId="38B4AF55">
            <w:pPr>
              <w:snapToGrid w:val="0"/>
              <w:spacing w:line="400" w:lineRule="exact"/>
              <w:ind w:firstLine="422" w:firstLineChars="200"/>
              <w:rPr>
                <w:rFonts w:ascii="宋体" w:hAnsi="宋体"/>
              </w:rPr>
            </w:pPr>
            <w:r>
              <w:rPr>
                <w:rFonts w:hint="eastAsia" w:ascii="宋体" w:hAnsi="宋体"/>
                <w:b/>
                <w:bCs/>
                <w:color w:val="000000" w:themeColor="text1"/>
                <w:kern w:val="0"/>
                <w:szCs w:val="21"/>
                <w:lang w:val="en-US" w:eastAsia="zh-CN"/>
                <w14:textFill>
                  <w14:solidFill>
                    <w14:schemeClr w14:val="tx1"/>
                  </w14:solidFill>
                </w14:textFill>
              </w:rPr>
              <w:t>业绩证明材料按投标人须知前附表第1.4.1条第3款业绩要求的规定提供。</w:t>
            </w:r>
          </w:p>
        </w:tc>
      </w:tr>
      <w:tr w14:paraId="4C9AFDB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3ED9E0D6">
            <w:pPr>
              <w:spacing w:line="400" w:lineRule="exact"/>
              <w:rPr>
                <w:rFonts w:ascii="宋体" w:hAnsi="宋体"/>
                <w:kern w:val="0"/>
              </w:rPr>
            </w:pPr>
          </w:p>
        </w:tc>
        <w:tc>
          <w:tcPr>
            <w:tcW w:w="1680" w:type="dxa"/>
            <w:vMerge w:val="continue"/>
            <w:tcBorders>
              <w:left w:val="single" w:color="auto" w:sz="4" w:space="0"/>
            </w:tcBorders>
            <w:vAlign w:val="center"/>
          </w:tcPr>
          <w:p w14:paraId="6B01B277">
            <w:pPr>
              <w:spacing w:line="400" w:lineRule="exact"/>
              <w:ind w:left="-63" w:leftChars="-30" w:right="-63" w:rightChars="-30"/>
              <w:jc w:val="center"/>
            </w:pPr>
          </w:p>
        </w:tc>
        <w:tc>
          <w:tcPr>
            <w:tcW w:w="2171" w:type="dxa"/>
            <w:vAlign w:val="center"/>
          </w:tcPr>
          <w:p w14:paraId="23C3A467">
            <w:pPr>
              <w:tabs>
                <w:tab w:val="left" w:pos="1875"/>
              </w:tabs>
              <w:spacing w:line="400" w:lineRule="exact"/>
              <w:rPr>
                <w:rFonts w:hint="eastAsia" w:ascii="宋体" w:hAnsi="宋体" w:eastAsia="宋体"/>
                <w:lang w:eastAsia="zh-CN"/>
              </w:rPr>
            </w:pPr>
            <w:r>
              <w:rPr>
                <w:rFonts w:hint="eastAsia" w:ascii="宋体" w:hAnsi="宋体"/>
                <w:lang w:eastAsia="zh-CN"/>
              </w:rPr>
              <w:t>品牌要求</w:t>
            </w:r>
          </w:p>
        </w:tc>
        <w:tc>
          <w:tcPr>
            <w:tcW w:w="4803" w:type="dxa"/>
            <w:vAlign w:val="center"/>
          </w:tcPr>
          <w:p w14:paraId="17D89F5A">
            <w:pPr>
              <w:pageBreakBefore w:val="0"/>
              <w:widowControl/>
              <w:kinsoku/>
              <w:topLinePunct w:val="0"/>
              <w:bidi w:val="0"/>
              <w:snapToGrid w:val="0"/>
              <w:spacing w:line="360" w:lineRule="auto"/>
              <w:ind w:firstLine="420" w:firstLineChars="200"/>
              <w:jc w:val="left"/>
              <w:rPr>
                <w:rFonts w:hint="eastAsia" w:ascii="宋体" w:hAnsi="宋体" w:eastAsia="宋体" w:cs="宋体"/>
                <w:i w:val="0"/>
                <w:iCs w:val="0"/>
                <w:color w:val="auto"/>
                <w:kern w:val="0"/>
                <w:sz w:val="21"/>
                <w:szCs w:val="21"/>
                <w:u w:val="none"/>
                <w:lang w:val="en-US" w:eastAsia="zh-CN" w:bidi="ar"/>
              </w:rPr>
            </w:pPr>
            <w:r>
              <w:rPr>
                <w:rFonts w:hint="eastAsia" w:ascii="宋体" w:hAnsi="宋体" w:eastAsia="宋体" w:cs="宋体"/>
                <w:i w:val="0"/>
                <w:iCs w:val="0"/>
                <w:color w:val="000000"/>
                <w:kern w:val="0"/>
                <w:sz w:val="21"/>
                <w:szCs w:val="21"/>
                <w:u w:val="none"/>
                <w:lang w:val="en-US" w:eastAsia="zh-CN" w:bidi="ar"/>
              </w:rPr>
              <w:t>投标</w:t>
            </w:r>
            <w:r>
              <w:rPr>
                <w:rFonts w:hint="eastAsia" w:ascii="宋体" w:hAnsi="宋体" w:cs="宋体"/>
                <w:i w:val="0"/>
                <w:iCs w:val="0"/>
                <w:color w:val="000000"/>
                <w:kern w:val="0"/>
                <w:sz w:val="21"/>
                <w:szCs w:val="21"/>
                <w:u w:val="none"/>
                <w:lang w:val="en-US" w:eastAsia="zh-CN" w:bidi="ar"/>
              </w:rPr>
              <w:t>人</w:t>
            </w:r>
            <w:r>
              <w:rPr>
                <w:rFonts w:hint="eastAsia" w:ascii="宋体" w:hAnsi="宋体" w:eastAsia="宋体" w:cs="宋体"/>
                <w:i w:val="0"/>
                <w:iCs w:val="0"/>
                <w:color w:val="000000"/>
                <w:kern w:val="0"/>
                <w:sz w:val="21"/>
                <w:szCs w:val="21"/>
                <w:highlight w:val="none"/>
                <w:u w:val="none"/>
                <w:lang w:val="en-US" w:eastAsia="zh-CN" w:bidi="ar"/>
              </w:rPr>
              <w:t>满足</w:t>
            </w:r>
            <w:r>
              <w:rPr>
                <w:rFonts w:hint="eastAsia" w:ascii="宋体" w:hAnsi="宋体" w:eastAsia="宋体" w:cs="宋体"/>
                <w:i w:val="0"/>
                <w:iCs w:val="0"/>
                <w:color w:val="000000"/>
                <w:kern w:val="0"/>
                <w:sz w:val="21"/>
                <w:szCs w:val="21"/>
                <w:u w:val="none"/>
                <w:lang w:val="en-US" w:eastAsia="zh-CN" w:bidi="ar"/>
              </w:rPr>
              <w:t>第五章供货要求</w:t>
            </w:r>
            <w:r>
              <w:rPr>
                <w:rFonts w:hint="eastAsia" w:ascii="宋体" w:hAnsi="宋体" w:cs="宋体"/>
                <w:i w:val="0"/>
                <w:iCs w:val="0"/>
                <w:color w:val="000000"/>
                <w:kern w:val="0"/>
                <w:sz w:val="21"/>
                <w:szCs w:val="21"/>
                <w:u w:val="none"/>
                <w:lang w:val="en-US" w:eastAsia="zh-CN" w:bidi="ar"/>
              </w:rPr>
              <w:t>主要部件品牌要求中</w:t>
            </w:r>
            <w:r>
              <w:rPr>
                <w:rFonts w:hint="eastAsia" w:ascii="宋体" w:hAnsi="宋体" w:eastAsia="宋体" w:cs="宋体"/>
                <w:i w:val="0"/>
                <w:iCs w:val="0"/>
                <w:color w:val="000000"/>
                <w:kern w:val="0"/>
                <w:sz w:val="21"/>
                <w:szCs w:val="21"/>
                <w:u w:val="none"/>
                <w:lang w:val="en-US" w:eastAsia="zh-CN" w:bidi="ar"/>
              </w:rPr>
              <w:t>推荐品牌的得</w:t>
            </w:r>
            <w:r>
              <w:rPr>
                <w:rFonts w:hint="eastAsia" w:ascii="宋体" w:hAnsi="宋体" w:cs="宋体"/>
                <w:i w:val="0"/>
                <w:iCs w:val="0"/>
                <w:color w:val="000000"/>
                <w:kern w:val="0"/>
                <w:sz w:val="21"/>
                <w:szCs w:val="21"/>
                <w:u w:val="single"/>
                <w:lang w:val="en-US" w:eastAsia="zh-CN" w:bidi="ar"/>
              </w:rPr>
              <w:t xml:space="preserve"> 3</w:t>
            </w:r>
            <w:r>
              <w:rPr>
                <w:rFonts w:hint="eastAsia" w:ascii="宋体" w:hAnsi="宋体" w:eastAsia="宋体" w:cs="宋体"/>
                <w:i w:val="0"/>
                <w:iCs w:val="0"/>
                <w:color w:val="000000"/>
                <w:kern w:val="0"/>
                <w:sz w:val="21"/>
                <w:szCs w:val="21"/>
                <w:u w:val="none"/>
                <w:lang w:val="en-US" w:eastAsia="zh-CN" w:bidi="ar"/>
              </w:rPr>
              <w:t>分，其中任意一项目不满足的得0</w:t>
            </w:r>
            <w:r>
              <w:rPr>
                <w:rFonts w:hint="eastAsia" w:ascii="宋体" w:hAnsi="宋体" w:eastAsia="宋体" w:cs="宋体"/>
                <w:i w:val="0"/>
                <w:iCs w:val="0"/>
                <w:color w:val="auto"/>
                <w:kern w:val="0"/>
                <w:sz w:val="21"/>
                <w:szCs w:val="21"/>
                <w:u w:val="none"/>
                <w:lang w:val="en-US" w:eastAsia="zh-CN" w:bidi="ar"/>
              </w:rPr>
              <w:t>分。</w:t>
            </w:r>
          </w:p>
          <w:p w14:paraId="03EFF726">
            <w:pPr>
              <w:snapToGrid w:val="0"/>
              <w:spacing w:line="400" w:lineRule="exact"/>
              <w:ind w:firstLine="422" w:firstLineChars="200"/>
              <w:rPr>
                <w:rFonts w:ascii="宋体" w:hAnsi="宋体"/>
              </w:rPr>
            </w:pPr>
            <w:r>
              <w:rPr>
                <w:rFonts w:hint="eastAsia" w:ascii="宋体" w:hAnsi="宋体"/>
                <w:b/>
                <w:bCs/>
                <w:color w:val="auto"/>
                <w:kern w:val="0"/>
                <w:szCs w:val="21"/>
                <w:u w:val="none"/>
                <w:lang w:val="en-US" w:eastAsia="zh-CN"/>
              </w:rPr>
              <w:t>提供：</w:t>
            </w:r>
            <w:r>
              <w:rPr>
                <w:rFonts w:hint="eastAsia" w:ascii="宋体" w:hAnsi="宋体" w:eastAsia="宋体" w:cs="宋体"/>
                <w:b/>
                <w:bCs/>
                <w:caps w:val="0"/>
                <w:smallCaps w:val="0"/>
                <w:color w:val="auto"/>
                <w:sz w:val="21"/>
                <w:szCs w:val="21"/>
                <w:highlight w:val="none"/>
                <w:u w:val="none"/>
                <w:lang w:val="en-US" w:eastAsia="zh-CN"/>
              </w:rPr>
              <w:t>投标人应在投标文件商务部分</w:t>
            </w:r>
            <w:r>
              <w:rPr>
                <w:rFonts w:hint="eastAsia" w:ascii="宋体" w:hAnsi="宋体"/>
                <w:b/>
                <w:bCs/>
                <w:color w:val="auto"/>
                <w:kern w:val="0"/>
                <w:szCs w:val="21"/>
                <w:u w:val="none"/>
              </w:rPr>
              <w:t>《</w:t>
            </w:r>
            <w:r>
              <w:rPr>
                <w:rFonts w:hint="eastAsia" w:ascii="宋体" w:hAnsi="宋体"/>
                <w:b/>
                <w:bCs/>
                <w:color w:val="auto"/>
                <w:kern w:val="0"/>
                <w:szCs w:val="21"/>
                <w:u w:val="none"/>
                <w:lang w:val="en-US" w:eastAsia="zh-CN"/>
              </w:rPr>
              <w:t>主要部件品牌响应表</w:t>
            </w:r>
            <w:r>
              <w:rPr>
                <w:rFonts w:hint="eastAsia" w:ascii="宋体" w:hAnsi="宋体"/>
                <w:b/>
                <w:bCs/>
                <w:color w:val="auto"/>
                <w:kern w:val="0"/>
                <w:szCs w:val="21"/>
                <w:u w:val="none"/>
              </w:rPr>
              <w:t>》</w:t>
            </w:r>
            <w:r>
              <w:rPr>
                <w:rFonts w:hint="eastAsia" w:ascii="宋体" w:hAnsi="宋体"/>
                <w:b/>
                <w:bCs/>
                <w:color w:val="auto"/>
                <w:kern w:val="0"/>
                <w:szCs w:val="21"/>
                <w:u w:val="none"/>
                <w:lang w:val="en-US" w:eastAsia="zh-CN"/>
              </w:rPr>
              <w:t>中列明响应的品牌</w:t>
            </w:r>
            <w:r>
              <w:rPr>
                <w:rFonts w:hint="eastAsia" w:ascii="宋体" w:hAnsi="宋体"/>
                <w:b/>
                <w:bCs/>
                <w:color w:val="auto"/>
                <w:szCs w:val="21"/>
                <w:u w:val="none"/>
                <w:lang w:val="en-US" w:eastAsia="zh-CN"/>
              </w:rPr>
              <w:t>。</w:t>
            </w:r>
          </w:p>
        </w:tc>
      </w:tr>
      <w:tr w14:paraId="664314D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EA80FB1">
            <w:pPr>
              <w:spacing w:line="400" w:lineRule="exact"/>
              <w:rPr>
                <w:rFonts w:ascii="宋体" w:hAnsi="宋体"/>
                <w:kern w:val="0"/>
              </w:rPr>
            </w:pPr>
          </w:p>
        </w:tc>
        <w:tc>
          <w:tcPr>
            <w:tcW w:w="1680" w:type="dxa"/>
            <w:vMerge w:val="continue"/>
            <w:tcBorders>
              <w:left w:val="single" w:color="auto" w:sz="4" w:space="0"/>
            </w:tcBorders>
            <w:vAlign w:val="center"/>
          </w:tcPr>
          <w:p w14:paraId="2A8077C5">
            <w:pPr>
              <w:spacing w:line="400" w:lineRule="exact"/>
              <w:ind w:left="-63" w:leftChars="-30" w:right="-63" w:rightChars="-30"/>
              <w:jc w:val="center"/>
            </w:pPr>
          </w:p>
        </w:tc>
        <w:tc>
          <w:tcPr>
            <w:tcW w:w="2171" w:type="dxa"/>
            <w:vAlign w:val="center"/>
          </w:tcPr>
          <w:p w14:paraId="57BCA622">
            <w:pPr>
              <w:tabs>
                <w:tab w:val="left" w:pos="1875"/>
              </w:tabs>
              <w:spacing w:line="400" w:lineRule="exact"/>
              <w:rPr>
                <w:rFonts w:hint="default" w:ascii="宋体" w:hAnsi="宋体" w:eastAsia="宋体"/>
                <w:lang w:val="en-US" w:eastAsia="zh-CN"/>
              </w:rPr>
            </w:pPr>
            <w:r>
              <w:rPr>
                <w:rFonts w:hint="eastAsia" w:ascii="宋体" w:hAnsi="宋体" w:cs="宋体"/>
                <w:kern w:val="0"/>
                <w:lang w:val="en-US" w:eastAsia="zh-CN"/>
              </w:rPr>
              <w:t>质量保证期</w:t>
            </w:r>
          </w:p>
        </w:tc>
        <w:tc>
          <w:tcPr>
            <w:tcW w:w="4803" w:type="dxa"/>
            <w:vAlign w:val="center"/>
          </w:tcPr>
          <w:p w14:paraId="7FF90641">
            <w:pPr>
              <w:snapToGrid w:val="0"/>
              <w:spacing w:line="400" w:lineRule="exact"/>
              <w:ind w:firstLine="420" w:firstLineChars="200"/>
              <w:rPr>
                <w:rFonts w:ascii="宋体" w:hAnsi="宋体"/>
                <w:u w:val="single"/>
              </w:rPr>
            </w:pPr>
            <w:r>
              <w:rPr>
                <w:rFonts w:hint="eastAsia" w:ascii="宋体" w:hAnsi="宋体"/>
                <w:u w:val="single"/>
              </w:rPr>
              <w:t>在满足招标文件规定</w:t>
            </w:r>
            <w:r>
              <w:rPr>
                <w:rFonts w:hint="eastAsia" w:ascii="宋体" w:hAnsi="宋体"/>
                <w:u w:val="single"/>
                <w:lang w:val="en-US" w:eastAsia="zh-CN"/>
              </w:rPr>
              <w:t>质量保证期</w:t>
            </w:r>
            <w:r>
              <w:rPr>
                <w:rFonts w:hint="eastAsia" w:ascii="宋体" w:hAnsi="宋体"/>
                <w:u w:val="single"/>
              </w:rPr>
              <w:t>的基础上，每延长</w:t>
            </w:r>
            <w:r>
              <w:rPr>
                <w:rFonts w:hint="eastAsia" w:ascii="宋体" w:hAnsi="宋体"/>
                <w:u w:val="single"/>
                <w:lang w:val="en-US" w:eastAsia="zh-CN"/>
              </w:rPr>
              <w:t>6</w:t>
            </w:r>
            <w:r>
              <w:rPr>
                <w:rFonts w:hint="eastAsia" w:ascii="宋体" w:hAnsi="宋体"/>
                <w:u w:val="single"/>
              </w:rPr>
              <w:t>个月，得</w:t>
            </w:r>
            <w:r>
              <w:rPr>
                <w:rFonts w:hint="eastAsia" w:ascii="宋体" w:hAnsi="宋体"/>
                <w:u w:val="single"/>
                <w:lang w:val="en-US" w:eastAsia="zh-CN"/>
              </w:rPr>
              <w:t>1.5</w:t>
            </w:r>
            <w:r>
              <w:rPr>
                <w:rFonts w:ascii="宋体" w:hAnsi="宋体"/>
                <w:u w:val="single"/>
              </w:rPr>
              <w:t>分</w:t>
            </w:r>
            <w:r>
              <w:rPr>
                <w:rFonts w:hint="eastAsia" w:ascii="宋体" w:hAnsi="宋体"/>
                <w:u w:val="single"/>
              </w:rPr>
              <w:t>，最多得</w:t>
            </w:r>
            <w:r>
              <w:rPr>
                <w:rFonts w:hint="eastAsia" w:ascii="宋体" w:hAnsi="宋体"/>
                <w:u w:val="single"/>
                <w:lang w:val="en-US" w:eastAsia="zh-CN"/>
              </w:rPr>
              <w:t>3</w:t>
            </w:r>
            <w:r>
              <w:rPr>
                <w:rFonts w:hint="eastAsia" w:ascii="宋体" w:hAnsi="宋体"/>
                <w:u w:val="single"/>
              </w:rPr>
              <w:t xml:space="preserve"> </w:t>
            </w:r>
            <w:r>
              <w:rPr>
                <w:rFonts w:ascii="宋体" w:hAnsi="宋体"/>
                <w:u w:val="single"/>
              </w:rPr>
              <w:t>分</w:t>
            </w:r>
            <w:r>
              <w:rPr>
                <w:rFonts w:hint="eastAsia" w:ascii="宋体" w:hAnsi="宋体"/>
                <w:u w:val="single"/>
              </w:rPr>
              <w:t>。</w:t>
            </w:r>
          </w:p>
          <w:p w14:paraId="488F1725">
            <w:pPr>
              <w:snapToGrid w:val="0"/>
              <w:spacing w:line="400" w:lineRule="exact"/>
              <w:ind w:firstLine="422" w:firstLineChars="200"/>
              <w:rPr>
                <w:rFonts w:hint="eastAsia" w:ascii="宋体" w:hAnsi="宋体"/>
                <w:u w:val="single"/>
              </w:rPr>
            </w:pPr>
            <w:r>
              <w:rPr>
                <w:rFonts w:hint="eastAsia" w:ascii="宋体" w:hAnsi="宋体"/>
                <w:b/>
                <w:bCs/>
                <w:u w:val="single"/>
                <w:lang w:val="en-US" w:eastAsia="zh-CN"/>
              </w:rPr>
              <w:t>提供：投标人应在投标文件商务部分《商务偏差表》中响应招标文件规定的质保期</w:t>
            </w:r>
            <w:r>
              <w:rPr>
                <w:rFonts w:hint="eastAsia" w:ascii="宋体" w:hAnsi="宋体"/>
                <w:b/>
                <w:bCs/>
                <w:u w:val="single"/>
              </w:rPr>
              <w:t>，或提出优于招标文件的</w:t>
            </w:r>
            <w:r>
              <w:rPr>
                <w:rFonts w:hint="eastAsia" w:ascii="宋体" w:hAnsi="宋体" w:cs="宋体"/>
                <w:b/>
                <w:bCs/>
                <w:kern w:val="0"/>
                <w:u w:val="single"/>
                <w:lang w:val="en-US" w:eastAsia="zh-CN"/>
              </w:rPr>
              <w:t>质量保证期</w:t>
            </w:r>
            <w:r>
              <w:rPr>
                <w:rFonts w:hint="eastAsia" w:ascii="宋体" w:hAnsi="宋体"/>
                <w:b/>
                <w:bCs/>
                <w:u w:val="single"/>
                <w:lang w:val="en-US" w:eastAsia="zh-CN"/>
              </w:rPr>
              <w:t>证明材料</w:t>
            </w:r>
            <w:r>
              <w:rPr>
                <w:rFonts w:hint="eastAsia" w:ascii="宋体" w:hAnsi="宋体"/>
                <w:b/>
                <w:bCs/>
                <w:u w:val="single"/>
              </w:rPr>
              <w:t>。</w:t>
            </w:r>
          </w:p>
          <w:p w14:paraId="5358E580">
            <w:pPr>
              <w:snapToGrid w:val="0"/>
              <w:spacing w:line="400" w:lineRule="exact"/>
              <w:ind w:firstLine="420" w:firstLineChars="200"/>
              <w:rPr>
                <w:rFonts w:ascii="宋体" w:hAnsi="宋体"/>
              </w:rPr>
            </w:pPr>
          </w:p>
        </w:tc>
      </w:tr>
      <w:tr w14:paraId="5FEBAF9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restart"/>
            <w:tcBorders>
              <w:right w:val="single" w:color="auto" w:sz="4" w:space="0"/>
            </w:tcBorders>
            <w:vAlign w:val="center"/>
          </w:tcPr>
          <w:p w14:paraId="39B79025">
            <w:pPr>
              <w:spacing w:line="400" w:lineRule="exact"/>
              <w:jc w:val="center"/>
              <w:rPr>
                <w:rFonts w:ascii="宋体" w:hAnsi="宋体"/>
                <w:kern w:val="0"/>
              </w:rPr>
            </w:pPr>
            <w:r>
              <w:rPr>
                <w:rFonts w:hint="eastAsia" w:ascii="宋体" w:hAnsi="宋体"/>
                <w:kern w:val="0"/>
              </w:rPr>
              <w:t>2.2.</w:t>
            </w:r>
            <w:r>
              <w:rPr>
                <w:rFonts w:hint="eastAsia" w:ascii="宋体" w:hAnsi="宋体"/>
                <w:kern w:val="0"/>
                <w:lang w:val="en-US" w:eastAsia="zh-CN"/>
              </w:rPr>
              <w:t>2</w:t>
            </w:r>
            <w:r>
              <w:rPr>
                <w:rFonts w:hint="eastAsia" w:ascii="宋体" w:hAnsi="宋体"/>
                <w:kern w:val="0"/>
              </w:rPr>
              <w:t>（3）</w:t>
            </w:r>
          </w:p>
        </w:tc>
        <w:tc>
          <w:tcPr>
            <w:tcW w:w="1680" w:type="dxa"/>
            <w:vMerge w:val="restart"/>
            <w:tcBorders>
              <w:left w:val="single" w:color="auto" w:sz="4" w:space="0"/>
            </w:tcBorders>
            <w:vAlign w:val="center"/>
          </w:tcPr>
          <w:p w14:paraId="2BC19929">
            <w:pPr>
              <w:spacing w:line="400" w:lineRule="exact"/>
              <w:jc w:val="center"/>
              <w:rPr>
                <w:rFonts w:ascii="宋体" w:hAnsi="宋体"/>
                <w:kern w:val="0"/>
              </w:rPr>
            </w:pPr>
            <w:r>
              <w:rPr>
                <w:rFonts w:hint="eastAsia" w:ascii="宋体" w:hAnsi="宋体"/>
                <w:kern w:val="0"/>
              </w:rPr>
              <w:t>投标函部分评审标准</w:t>
            </w:r>
          </w:p>
        </w:tc>
        <w:tc>
          <w:tcPr>
            <w:tcW w:w="2171" w:type="dxa"/>
            <w:vAlign w:val="center"/>
          </w:tcPr>
          <w:p w14:paraId="2D213AB0">
            <w:pPr>
              <w:tabs>
                <w:tab w:val="left" w:pos="1875"/>
              </w:tabs>
              <w:spacing w:line="400" w:lineRule="exact"/>
              <w:rPr>
                <w:rFonts w:ascii="宋体" w:hAnsi="宋体" w:cs="宋体"/>
                <w:kern w:val="0"/>
              </w:rPr>
            </w:pPr>
            <w:r>
              <w:rPr>
                <w:rFonts w:hint="eastAsia" w:ascii="宋体" w:hAnsi="宋体" w:cs="宋体"/>
                <w:kern w:val="0"/>
              </w:rPr>
              <w:t>投标函部分的签署</w:t>
            </w:r>
          </w:p>
        </w:tc>
        <w:tc>
          <w:tcPr>
            <w:tcW w:w="4803" w:type="dxa"/>
            <w:vAlign w:val="center"/>
          </w:tcPr>
          <w:p w14:paraId="65D5B598">
            <w:pPr>
              <w:snapToGrid w:val="0"/>
              <w:spacing w:line="400" w:lineRule="exact"/>
              <w:ind w:firstLine="420" w:firstLineChars="200"/>
              <w:rPr>
                <w:rFonts w:ascii="宋体" w:hAnsi="宋体" w:cs="宋体"/>
                <w:kern w:val="0"/>
              </w:rPr>
            </w:pP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签名（或盖章）的须齐全。</w:t>
            </w:r>
            <w:r>
              <w:rPr>
                <w:rFonts w:hint="eastAsia" w:ascii="宋体" w:hAnsi="宋体"/>
                <w:szCs w:val="21"/>
              </w:rPr>
              <w:t>要求签名的，</w:t>
            </w:r>
            <w:r>
              <w:rPr>
                <w:rFonts w:hint="eastAsia" w:ascii="宋体" w:hAnsi="宋体" w:cs="宋体"/>
                <w:kern w:val="0"/>
              </w:rPr>
              <w:t>签名采用手写签名</w:t>
            </w:r>
            <w:r>
              <w:rPr>
                <w:rFonts w:hint="eastAsia" w:ascii="宋体" w:hAnsi="宋体"/>
                <w:szCs w:val="21"/>
              </w:rPr>
              <w:t>或签章</w:t>
            </w:r>
            <w:r>
              <w:rPr>
                <w:rFonts w:hint="eastAsia" w:ascii="宋体" w:hAnsi="宋体" w:cs="宋体"/>
                <w:kern w:val="0"/>
              </w:rPr>
              <w:t>均可。要求加盖单位法人章的，</w:t>
            </w:r>
            <w:r>
              <w:rPr>
                <w:rFonts w:hint="eastAsia" w:ascii="宋体" w:hAnsi="宋体" w:cs="宋体"/>
                <w:szCs w:val="21"/>
              </w:rPr>
              <w:t>加盖投标人单位法人章或投标人的单位电子印章</w:t>
            </w:r>
            <w:r>
              <w:rPr>
                <w:rFonts w:hint="eastAsia" w:ascii="宋体" w:hAnsi="宋体" w:cs="宋体"/>
                <w:kern w:val="0"/>
                <w:szCs w:val="21"/>
              </w:rPr>
              <w:t>均可</w:t>
            </w:r>
            <w:r>
              <w:rPr>
                <w:rFonts w:hint="eastAsia" w:ascii="宋体" w:hAnsi="宋体" w:cs="宋体"/>
                <w:szCs w:val="21"/>
              </w:rPr>
              <w:t>。</w:t>
            </w:r>
          </w:p>
          <w:p w14:paraId="251012C0">
            <w:pPr>
              <w:snapToGrid w:val="0"/>
              <w:spacing w:line="400" w:lineRule="exact"/>
              <w:ind w:firstLine="420" w:firstLineChars="200"/>
              <w:rPr>
                <w:rFonts w:ascii="宋体" w:hAnsi="宋体"/>
                <w:u w:val="single"/>
              </w:rPr>
            </w:pPr>
          </w:p>
        </w:tc>
      </w:tr>
      <w:tr w14:paraId="3833248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14F2D628">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19B8B5EF">
            <w:pPr>
              <w:spacing w:line="400" w:lineRule="exact"/>
              <w:jc w:val="center"/>
              <w:rPr>
                <w:rFonts w:hint="eastAsia" w:ascii="宋体" w:hAnsi="宋体"/>
                <w:kern w:val="0"/>
              </w:rPr>
            </w:pPr>
          </w:p>
        </w:tc>
        <w:tc>
          <w:tcPr>
            <w:tcW w:w="2171" w:type="dxa"/>
            <w:vAlign w:val="center"/>
          </w:tcPr>
          <w:p w14:paraId="1E6B73CF">
            <w:pPr>
              <w:tabs>
                <w:tab w:val="left" w:pos="1875"/>
              </w:tabs>
              <w:spacing w:line="400" w:lineRule="exact"/>
              <w:rPr>
                <w:rFonts w:hint="eastAsia" w:ascii="宋体" w:hAnsi="宋体" w:cs="宋体"/>
                <w:kern w:val="0"/>
              </w:rPr>
            </w:pPr>
            <w:r>
              <w:rPr>
                <w:rFonts w:hint="eastAsia" w:ascii="宋体" w:hAnsi="宋体"/>
                <w:kern w:val="0"/>
              </w:rPr>
              <w:t>交货期</w:t>
            </w:r>
          </w:p>
        </w:tc>
        <w:tc>
          <w:tcPr>
            <w:tcW w:w="4803" w:type="dxa"/>
            <w:vAlign w:val="center"/>
          </w:tcPr>
          <w:p w14:paraId="5EE65662">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1.3.2项规定。</w:t>
            </w:r>
          </w:p>
        </w:tc>
      </w:tr>
      <w:tr w14:paraId="15E5A18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78F08B07">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52821C47">
            <w:pPr>
              <w:spacing w:line="400" w:lineRule="exact"/>
              <w:jc w:val="center"/>
              <w:rPr>
                <w:rFonts w:hint="eastAsia" w:ascii="宋体" w:hAnsi="宋体"/>
                <w:kern w:val="0"/>
              </w:rPr>
            </w:pPr>
          </w:p>
        </w:tc>
        <w:tc>
          <w:tcPr>
            <w:tcW w:w="2171" w:type="dxa"/>
            <w:vAlign w:val="center"/>
          </w:tcPr>
          <w:p w14:paraId="7B01431B">
            <w:pPr>
              <w:tabs>
                <w:tab w:val="left" w:pos="1875"/>
              </w:tabs>
              <w:spacing w:line="400" w:lineRule="exact"/>
              <w:rPr>
                <w:rFonts w:hint="eastAsia" w:ascii="宋体" w:hAnsi="宋体" w:cs="宋体"/>
                <w:kern w:val="0"/>
              </w:rPr>
            </w:pPr>
            <w:r>
              <w:rPr>
                <w:rFonts w:hint="eastAsia" w:ascii="宋体" w:hAnsi="宋体"/>
                <w:kern w:val="0"/>
              </w:rPr>
              <w:t>交货地点</w:t>
            </w:r>
          </w:p>
        </w:tc>
        <w:tc>
          <w:tcPr>
            <w:tcW w:w="4803" w:type="dxa"/>
            <w:vAlign w:val="center"/>
          </w:tcPr>
          <w:p w14:paraId="24CBD9CD">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1.3.3项规定。</w:t>
            </w:r>
          </w:p>
        </w:tc>
      </w:tr>
      <w:tr w14:paraId="5A0EC4C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390" w:hRule="atLeast"/>
          <w:jc w:val="center"/>
        </w:trPr>
        <w:tc>
          <w:tcPr>
            <w:tcW w:w="934" w:type="dxa"/>
            <w:vMerge w:val="continue"/>
            <w:tcBorders>
              <w:right w:val="single" w:color="auto" w:sz="4" w:space="0"/>
            </w:tcBorders>
            <w:vAlign w:val="center"/>
          </w:tcPr>
          <w:p w14:paraId="5ADAAEEA">
            <w:pPr>
              <w:spacing w:line="400" w:lineRule="exact"/>
              <w:jc w:val="center"/>
              <w:rPr>
                <w:rFonts w:hint="eastAsia" w:ascii="宋体" w:hAnsi="宋体"/>
                <w:kern w:val="0"/>
              </w:rPr>
            </w:pPr>
          </w:p>
        </w:tc>
        <w:tc>
          <w:tcPr>
            <w:tcW w:w="1680" w:type="dxa"/>
            <w:vMerge w:val="continue"/>
            <w:tcBorders>
              <w:left w:val="single" w:color="auto" w:sz="4" w:space="0"/>
            </w:tcBorders>
            <w:vAlign w:val="center"/>
          </w:tcPr>
          <w:p w14:paraId="4530AC52">
            <w:pPr>
              <w:spacing w:line="400" w:lineRule="exact"/>
              <w:jc w:val="center"/>
              <w:rPr>
                <w:rFonts w:hint="eastAsia" w:ascii="宋体" w:hAnsi="宋体"/>
                <w:kern w:val="0"/>
              </w:rPr>
            </w:pPr>
          </w:p>
        </w:tc>
        <w:tc>
          <w:tcPr>
            <w:tcW w:w="2171" w:type="dxa"/>
            <w:vAlign w:val="center"/>
          </w:tcPr>
          <w:p w14:paraId="174F9BAC">
            <w:pPr>
              <w:tabs>
                <w:tab w:val="left" w:pos="1875"/>
              </w:tabs>
              <w:spacing w:line="400" w:lineRule="exact"/>
              <w:rPr>
                <w:rFonts w:hint="eastAsia" w:ascii="宋体" w:hAnsi="宋体" w:cs="宋体"/>
                <w:kern w:val="0"/>
              </w:rPr>
            </w:pPr>
            <w:r>
              <w:rPr>
                <w:rFonts w:hint="eastAsia" w:ascii="宋体" w:hAnsi="宋体"/>
                <w:kern w:val="0"/>
              </w:rPr>
              <w:t>投标有效期</w:t>
            </w:r>
          </w:p>
        </w:tc>
        <w:tc>
          <w:tcPr>
            <w:tcW w:w="4803" w:type="dxa"/>
            <w:vAlign w:val="center"/>
          </w:tcPr>
          <w:p w14:paraId="77DF96EB">
            <w:pPr>
              <w:snapToGrid w:val="0"/>
              <w:spacing w:line="400" w:lineRule="exact"/>
              <w:ind w:firstLine="420" w:firstLineChars="200"/>
              <w:rPr>
                <w:rFonts w:hint="default" w:ascii="宋体" w:hAnsi="宋体" w:cs="宋体"/>
                <w:kern w:val="0"/>
                <w:lang w:val="en-US"/>
              </w:rPr>
            </w:pPr>
            <w:r>
              <w:rPr>
                <w:rFonts w:hint="eastAsia" w:ascii="宋体" w:hAnsi="宋体"/>
                <w:kern w:val="0"/>
              </w:rPr>
              <w:t>符合</w:t>
            </w:r>
            <w:r>
              <w:rPr>
                <w:rFonts w:ascii="宋体" w:hAnsi="宋体"/>
                <w:kern w:val="0"/>
              </w:rPr>
              <w:t>第二章“投标人须知”第</w:t>
            </w:r>
            <w:r>
              <w:rPr>
                <w:rFonts w:hint="eastAsia" w:ascii="宋体" w:hAnsi="宋体"/>
                <w:kern w:val="0"/>
              </w:rPr>
              <w:t>3.3.1项规定。</w:t>
            </w:r>
          </w:p>
        </w:tc>
      </w:tr>
      <w:tr w14:paraId="4CE7959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788E9047">
            <w:pPr>
              <w:spacing w:line="400" w:lineRule="exact"/>
              <w:rPr>
                <w:rFonts w:ascii="宋体" w:hAnsi="宋体"/>
                <w:kern w:val="0"/>
              </w:rPr>
            </w:pPr>
          </w:p>
        </w:tc>
        <w:tc>
          <w:tcPr>
            <w:tcW w:w="1680" w:type="dxa"/>
            <w:vMerge w:val="continue"/>
            <w:tcBorders>
              <w:left w:val="single" w:color="auto" w:sz="4" w:space="0"/>
            </w:tcBorders>
            <w:vAlign w:val="center"/>
          </w:tcPr>
          <w:p w14:paraId="7A4E55AD">
            <w:pPr>
              <w:spacing w:line="400" w:lineRule="exact"/>
              <w:ind w:firstLine="210" w:firstLineChars="100"/>
              <w:jc w:val="center"/>
              <w:rPr>
                <w:rFonts w:ascii="宋体" w:hAnsi="宋体"/>
                <w:kern w:val="0"/>
              </w:rPr>
            </w:pPr>
          </w:p>
        </w:tc>
        <w:tc>
          <w:tcPr>
            <w:tcW w:w="2171" w:type="dxa"/>
            <w:vAlign w:val="center"/>
          </w:tcPr>
          <w:p w14:paraId="0D578326">
            <w:pPr>
              <w:spacing w:line="400" w:lineRule="exact"/>
              <w:jc w:val="left"/>
              <w:rPr>
                <w:rFonts w:ascii="宋体" w:hAnsi="宋体"/>
                <w:kern w:val="0"/>
              </w:rPr>
            </w:pPr>
            <w:r>
              <w:rPr>
                <w:rFonts w:hint="eastAsia" w:ascii="宋体" w:hAnsi="宋体"/>
                <w:kern w:val="0"/>
              </w:rPr>
              <w:t>投标报价</w:t>
            </w:r>
          </w:p>
        </w:tc>
        <w:tc>
          <w:tcPr>
            <w:tcW w:w="4803" w:type="dxa"/>
            <w:vAlign w:val="center"/>
          </w:tcPr>
          <w:p w14:paraId="62EF7D6B">
            <w:pPr>
              <w:keepNext w:val="0"/>
              <w:keepLines w:val="0"/>
              <w:pageBreakBefore w:val="0"/>
              <w:widowControl w:val="0"/>
              <w:kinsoku/>
              <w:wordWrap/>
              <w:overflowPunct/>
              <w:topLinePunct w:val="0"/>
              <w:autoSpaceDE/>
              <w:autoSpaceDN/>
              <w:bidi w:val="0"/>
              <w:adjustRightInd/>
              <w:snapToGrid/>
              <w:spacing w:line="400" w:lineRule="exact"/>
              <w:ind w:firstLine="420" w:firstLineChars="200"/>
              <w:textAlignment w:val="auto"/>
              <w:rPr>
                <w:rFonts w:hint="eastAsia" w:ascii="宋体" w:hAnsi="宋体" w:eastAsia="宋体" w:cs="宋体"/>
                <w:caps w:val="0"/>
                <w:smallCaps w:val="0"/>
                <w:snapToGrid w:val="0"/>
                <w:color w:val="auto"/>
                <w:kern w:val="0"/>
                <w:sz w:val="21"/>
                <w:szCs w:val="21"/>
                <w:highlight w:val="none"/>
                <w:lang w:val="en-US" w:eastAsia="zh-CN"/>
              </w:rPr>
            </w:pPr>
            <w:r>
              <w:rPr>
                <w:rFonts w:hint="eastAsia" w:ascii="宋体" w:hAnsi="宋体" w:eastAsia="宋体" w:cs="宋体"/>
                <w:caps w:val="0"/>
                <w:smallCaps w:val="0"/>
                <w:snapToGrid w:val="0"/>
                <w:color w:val="auto"/>
                <w:kern w:val="0"/>
                <w:sz w:val="21"/>
                <w:szCs w:val="21"/>
                <w:highlight w:val="none"/>
                <w:lang w:val="en-US" w:eastAsia="zh-CN"/>
              </w:rPr>
              <w:t>1.符合第二章“投标人须知”第3.2款规定。</w:t>
            </w:r>
          </w:p>
          <w:p w14:paraId="43F5A0ED">
            <w:pPr>
              <w:keepNext w:val="0"/>
              <w:keepLines w:val="0"/>
              <w:pageBreakBefore w:val="0"/>
              <w:widowControl w:val="0"/>
              <w:kinsoku/>
              <w:wordWrap/>
              <w:overflowPunct/>
              <w:topLinePunct w:val="0"/>
              <w:autoSpaceDE/>
              <w:autoSpaceDN/>
              <w:bidi w:val="0"/>
              <w:adjustRightInd/>
              <w:snapToGrid/>
              <w:spacing w:line="400" w:lineRule="exact"/>
              <w:ind w:left="0" w:leftChars="0" w:right="0" w:rightChars="0" w:firstLine="420" w:firstLineChars="200"/>
              <w:jc w:val="left"/>
              <w:textAlignment w:val="auto"/>
              <w:outlineLvl w:val="9"/>
            </w:pPr>
            <w:r>
              <w:rPr>
                <w:rFonts w:hint="eastAsia" w:ascii="宋体" w:hAnsi="宋体" w:cs="宋体"/>
                <w:lang w:val="en-US" w:eastAsia="zh-CN"/>
              </w:rPr>
              <w:t>2</w:t>
            </w:r>
            <w:r>
              <w:rPr>
                <w:rFonts w:hint="eastAsia" w:ascii="宋体" w:hAnsi="宋体" w:eastAsia="宋体" w:cs="宋体"/>
              </w:rPr>
              <w:t>.</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中的投标报价不得高于招标人公布的投标报价最高限价。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总报价必须与已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总报价一致</w:t>
            </w:r>
            <w:r>
              <w:rPr>
                <w:rFonts w:hint="eastAsia"/>
              </w:rPr>
              <w:t>。</w:t>
            </w:r>
          </w:p>
          <w:p w14:paraId="11855CAD">
            <w:pPr>
              <w:spacing w:line="400" w:lineRule="exact"/>
              <w:ind w:firstLine="420" w:firstLineChars="200"/>
              <w:jc w:val="left"/>
            </w:pPr>
            <w:r>
              <w:rPr>
                <w:rFonts w:hint="eastAsia" w:ascii="宋体" w:hAnsi="宋体" w:cs="宋体"/>
                <w:lang w:val="en-US" w:eastAsia="zh-CN"/>
              </w:rPr>
              <w:t>3</w:t>
            </w:r>
            <w:r>
              <w:rPr>
                <w:rFonts w:hint="eastAsia" w:ascii="宋体" w:hAnsi="宋体" w:eastAsia="宋体" w:cs="宋体"/>
              </w:rPr>
              <w:t>.</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必须与依据</w:t>
            </w:r>
            <w:r>
              <w:t>单价</w:t>
            </w:r>
            <w:r>
              <w:rPr>
                <w:rFonts w:hint="eastAsia"/>
                <w:lang w:val="en-US" w:eastAsia="zh-CN"/>
              </w:rPr>
              <w:t>和数量</w:t>
            </w:r>
            <w:r>
              <w:rPr>
                <w:rFonts w:hint="eastAsia"/>
              </w:rPr>
              <w:t>计算出的结果</w:t>
            </w:r>
            <w:r>
              <w:t>一致</w:t>
            </w:r>
            <w:r>
              <w:rPr>
                <w:rFonts w:hint="eastAsia"/>
              </w:rPr>
              <w:t>，</w:t>
            </w:r>
            <w:r>
              <w:t>投标</w:t>
            </w:r>
            <w:r>
              <w:rPr>
                <w:rFonts w:hint="eastAsia"/>
                <w:lang w:val="en-US" w:eastAsia="zh-CN"/>
              </w:rPr>
              <w:t>总</w:t>
            </w:r>
            <w:r>
              <w:t>报价</w:t>
            </w:r>
            <w:r>
              <w:rPr>
                <w:rFonts w:hint="eastAsia"/>
              </w:rPr>
              <w:t>必须</w:t>
            </w:r>
            <w:r>
              <w:t>与</w:t>
            </w:r>
            <w:r>
              <w:rPr>
                <w:rFonts w:hint="eastAsia"/>
              </w:rPr>
              <w:t>各</w:t>
            </w:r>
            <w:r>
              <w:t>分项合价</w:t>
            </w:r>
            <w:r>
              <w:rPr>
                <w:rFonts w:hint="eastAsia"/>
                <w:lang w:val="en-US" w:eastAsia="zh-CN"/>
              </w:rPr>
              <w:t>汇总计算出的结果</w:t>
            </w:r>
            <w:r>
              <w:t>一致</w:t>
            </w:r>
            <w:r>
              <w:rPr>
                <w:rFonts w:hint="eastAsia"/>
                <w:lang w:eastAsia="zh-CN"/>
              </w:rPr>
              <w:t>。</w:t>
            </w:r>
          </w:p>
        </w:tc>
      </w:tr>
      <w:tr w14:paraId="63B5088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05" w:hRule="atLeast"/>
          <w:jc w:val="center"/>
        </w:trPr>
        <w:tc>
          <w:tcPr>
            <w:tcW w:w="934" w:type="dxa"/>
            <w:vMerge w:val="continue"/>
            <w:tcBorders>
              <w:right w:val="single" w:color="auto" w:sz="4" w:space="0"/>
            </w:tcBorders>
            <w:vAlign w:val="center"/>
          </w:tcPr>
          <w:p w14:paraId="0D2D96D0">
            <w:pPr>
              <w:spacing w:line="400" w:lineRule="exact"/>
              <w:rPr>
                <w:rFonts w:ascii="宋体" w:hAnsi="宋体"/>
                <w:kern w:val="0"/>
              </w:rPr>
            </w:pPr>
          </w:p>
        </w:tc>
        <w:tc>
          <w:tcPr>
            <w:tcW w:w="1680" w:type="dxa"/>
            <w:vMerge w:val="continue"/>
            <w:tcBorders>
              <w:left w:val="single" w:color="auto" w:sz="4" w:space="0"/>
            </w:tcBorders>
            <w:vAlign w:val="center"/>
          </w:tcPr>
          <w:p w14:paraId="798FFF3E">
            <w:pPr>
              <w:spacing w:line="400" w:lineRule="exact"/>
              <w:ind w:firstLine="210" w:firstLineChars="100"/>
              <w:jc w:val="center"/>
              <w:rPr>
                <w:rFonts w:ascii="宋体" w:hAnsi="宋体"/>
                <w:kern w:val="0"/>
              </w:rPr>
            </w:pPr>
          </w:p>
        </w:tc>
        <w:tc>
          <w:tcPr>
            <w:tcW w:w="2171" w:type="dxa"/>
            <w:vAlign w:val="center"/>
          </w:tcPr>
          <w:p w14:paraId="40537D45">
            <w:pPr>
              <w:snapToGrid w:val="0"/>
              <w:spacing w:line="400" w:lineRule="exact"/>
              <w:jc w:val="left"/>
              <w:rPr>
                <w:rFonts w:ascii="宋体" w:hAnsi="宋体" w:cs="宋体"/>
                <w:kern w:val="0"/>
                <w:szCs w:val="21"/>
                <w:lang w:bidi="ar"/>
              </w:rPr>
            </w:pPr>
            <w:r>
              <w:rPr>
                <w:rFonts w:hint="eastAsia" w:ascii="宋体" w:hAnsi="宋体" w:cs="宋体"/>
                <w:kern w:val="0"/>
                <w:szCs w:val="21"/>
                <w:lang w:bidi="ar"/>
              </w:rPr>
              <w:t>报价唯一</w:t>
            </w:r>
          </w:p>
        </w:tc>
        <w:tc>
          <w:tcPr>
            <w:tcW w:w="4803" w:type="dxa"/>
            <w:vAlign w:val="center"/>
          </w:tcPr>
          <w:p w14:paraId="47C1093B">
            <w:pPr>
              <w:snapToGrid w:val="0"/>
              <w:spacing w:line="400" w:lineRule="exact"/>
              <w:ind w:firstLine="420" w:firstLineChars="200"/>
              <w:jc w:val="left"/>
              <w:rPr>
                <w:rFonts w:ascii="宋体" w:hAnsi="宋体" w:cs="宋体"/>
              </w:rPr>
            </w:pPr>
            <w:r>
              <w:rPr>
                <w:rFonts w:hint="eastAsia" w:ascii="宋体" w:hAnsi="宋体" w:cs="宋体"/>
              </w:rPr>
              <w:t>只能有一个有效报价，在招标文件没有规定的情况下，不得提交选择性报价。</w:t>
            </w:r>
          </w:p>
        </w:tc>
      </w:tr>
      <w:tr w14:paraId="3826856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20" w:hRule="atLeast"/>
          <w:jc w:val="center"/>
        </w:trPr>
        <w:tc>
          <w:tcPr>
            <w:tcW w:w="934" w:type="dxa"/>
            <w:vMerge w:val="continue"/>
            <w:tcBorders>
              <w:right w:val="single" w:color="auto" w:sz="4" w:space="0"/>
            </w:tcBorders>
            <w:vAlign w:val="center"/>
          </w:tcPr>
          <w:p w14:paraId="4CE76ED4">
            <w:pPr>
              <w:spacing w:line="400" w:lineRule="exact"/>
              <w:rPr>
                <w:rFonts w:ascii="宋体" w:hAnsi="宋体"/>
                <w:kern w:val="0"/>
              </w:rPr>
            </w:pPr>
          </w:p>
        </w:tc>
        <w:tc>
          <w:tcPr>
            <w:tcW w:w="1680" w:type="dxa"/>
            <w:vMerge w:val="continue"/>
            <w:tcBorders>
              <w:left w:val="single" w:color="auto" w:sz="4" w:space="0"/>
            </w:tcBorders>
            <w:vAlign w:val="center"/>
          </w:tcPr>
          <w:p w14:paraId="62428EEA">
            <w:pPr>
              <w:spacing w:line="400" w:lineRule="exact"/>
              <w:ind w:firstLine="210" w:firstLineChars="100"/>
              <w:jc w:val="center"/>
              <w:rPr>
                <w:rFonts w:ascii="宋体" w:hAnsi="宋体"/>
                <w:kern w:val="0"/>
              </w:rPr>
            </w:pPr>
          </w:p>
        </w:tc>
        <w:tc>
          <w:tcPr>
            <w:tcW w:w="2171" w:type="dxa"/>
            <w:vAlign w:val="center"/>
          </w:tcPr>
          <w:p w14:paraId="07636E80">
            <w:pPr>
              <w:snapToGrid w:val="0"/>
              <w:spacing w:line="400" w:lineRule="exact"/>
              <w:jc w:val="left"/>
              <w:rPr>
                <w:rFonts w:ascii="宋体" w:hAnsi="宋体" w:cs="宋体"/>
                <w:kern w:val="0"/>
                <w:szCs w:val="21"/>
                <w:lang w:bidi="ar"/>
              </w:rPr>
            </w:pPr>
            <w:r>
              <w:rPr>
                <w:rFonts w:hint="eastAsia" w:ascii="宋体" w:hAnsi="宋体" w:cs="宋体"/>
                <w:kern w:val="0"/>
              </w:rPr>
              <w:t>投标报价大小写不一致修正</w:t>
            </w:r>
          </w:p>
        </w:tc>
        <w:tc>
          <w:tcPr>
            <w:tcW w:w="4803" w:type="dxa"/>
            <w:vAlign w:val="center"/>
          </w:tcPr>
          <w:p w14:paraId="1FCD6485">
            <w:pPr>
              <w:snapToGrid w:val="0"/>
              <w:spacing w:line="400" w:lineRule="exact"/>
              <w:ind w:firstLine="420" w:firstLineChars="200"/>
              <w:jc w:val="left"/>
              <w:rPr>
                <w:rFonts w:ascii="宋体" w:hAnsi="宋体" w:cs="宋体"/>
                <w:u w:val="single"/>
              </w:rPr>
            </w:pPr>
            <w:r>
              <w:rPr>
                <w:rFonts w:hint="eastAsia" w:ascii="宋体" w:hAnsi="宋体" w:cs="宋体"/>
                <w:kern w:val="0"/>
              </w:rPr>
              <w:t>符合第三章“评标办法”第3.1.</w:t>
            </w:r>
            <w:r>
              <w:rPr>
                <w:rFonts w:hint="eastAsia" w:ascii="宋体" w:hAnsi="宋体" w:cs="宋体"/>
                <w:kern w:val="0"/>
                <w:lang w:val="en-US" w:eastAsia="zh-CN"/>
              </w:rPr>
              <w:t>2</w:t>
            </w:r>
            <w:r>
              <w:rPr>
                <w:rFonts w:hint="eastAsia" w:ascii="宋体" w:hAnsi="宋体" w:cs="宋体"/>
                <w:kern w:val="0"/>
              </w:rPr>
              <w:t>项规定。</w:t>
            </w:r>
          </w:p>
        </w:tc>
      </w:tr>
      <w:tr w14:paraId="3C64121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17A2101">
            <w:pPr>
              <w:spacing w:line="400" w:lineRule="exact"/>
              <w:jc w:val="center"/>
              <w:rPr>
                <w:rFonts w:ascii="宋体" w:hAnsi="宋体"/>
              </w:rPr>
            </w:pPr>
            <w:r>
              <w:rPr>
                <w:rFonts w:hint="eastAsia" w:ascii="宋体" w:hAnsi="宋体"/>
              </w:rPr>
              <w:t>2</w:t>
            </w:r>
            <w:r>
              <w:rPr>
                <w:rFonts w:ascii="宋体" w:hAnsi="宋体"/>
              </w:rPr>
              <w:t>.2.</w:t>
            </w:r>
            <w:r>
              <w:rPr>
                <w:rFonts w:hint="eastAsia" w:ascii="宋体" w:hAnsi="宋体"/>
                <w:lang w:val="en-US" w:eastAsia="zh-CN"/>
              </w:rPr>
              <w:t>2</w:t>
            </w:r>
            <w:r>
              <w:rPr>
                <w:rFonts w:ascii="宋体" w:hAnsi="宋体"/>
              </w:rPr>
              <w:t>（</w:t>
            </w:r>
            <w:r>
              <w:rPr>
                <w:rFonts w:hint="eastAsia" w:ascii="宋体" w:hAnsi="宋体"/>
              </w:rPr>
              <w:t>4</w:t>
            </w:r>
            <w:r>
              <w:rPr>
                <w:rFonts w:ascii="宋体" w:hAnsi="宋体"/>
              </w:rPr>
              <w:t>）</w:t>
            </w:r>
          </w:p>
        </w:tc>
        <w:tc>
          <w:tcPr>
            <w:tcW w:w="1680" w:type="dxa"/>
            <w:vAlign w:val="center"/>
          </w:tcPr>
          <w:p w14:paraId="704FC8E0">
            <w:pPr>
              <w:spacing w:line="400" w:lineRule="exact"/>
              <w:jc w:val="center"/>
            </w:pPr>
            <w:r>
              <w:t>报价</w:t>
            </w:r>
            <w:r>
              <w:rPr>
                <w:rFonts w:hint="eastAsia"/>
                <w:lang w:val="en-US" w:eastAsia="zh-CN"/>
              </w:rPr>
              <w:t>评审</w:t>
            </w:r>
            <w:r>
              <w:rPr>
                <w:rFonts w:hint="eastAsia"/>
              </w:rPr>
              <w:t>标准（C）</w:t>
            </w:r>
          </w:p>
        </w:tc>
        <w:tc>
          <w:tcPr>
            <w:tcW w:w="2171" w:type="dxa"/>
            <w:tcBorders>
              <w:top w:val="single" w:color="auto" w:sz="4" w:space="0"/>
              <w:bottom w:val="single" w:color="auto" w:sz="4" w:space="0"/>
            </w:tcBorders>
            <w:vAlign w:val="center"/>
          </w:tcPr>
          <w:p w14:paraId="671DAAF9">
            <w:pPr>
              <w:spacing w:line="400" w:lineRule="exact"/>
              <w:jc w:val="center"/>
              <w:rPr>
                <w:rFonts w:ascii="宋体" w:hAnsi="宋体"/>
              </w:rPr>
            </w:pPr>
            <w:r>
              <w:rPr>
                <w:rFonts w:ascii="宋体" w:hAnsi="宋体"/>
              </w:rPr>
              <w:t>投标</w:t>
            </w:r>
            <w:r>
              <w:rPr>
                <w:rFonts w:hint="eastAsia" w:ascii="宋体" w:hAnsi="宋体"/>
                <w:lang w:val="en-US" w:eastAsia="zh-CN"/>
              </w:rPr>
              <w:t>总</w:t>
            </w:r>
            <w:r>
              <w:rPr>
                <w:rFonts w:ascii="宋体" w:hAnsi="宋体"/>
              </w:rPr>
              <w:t>报价</w:t>
            </w:r>
            <w:r>
              <w:rPr>
                <w:rFonts w:hint="eastAsia" w:ascii="宋体" w:hAnsi="宋体"/>
              </w:rPr>
              <w:t>（或暂定投标</w:t>
            </w:r>
            <w:r>
              <w:rPr>
                <w:rFonts w:hint="eastAsia" w:ascii="宋体" w:hAnsi="宋体"/>
                <w:lang w:val="en-US" w:eastAsia="zh-CN"/>
              </w:rPr>
              <w:t>总</w:t>
            </w:r>
            <w:r>
              <w:rPr>
                <w:rFonts w:hint="eastAsia" w:ascii="宋体" w:hAnsi="宋体"/>
              </w:rPr>
              <w:t>报价）</w:t>
            </w:r>
          </w:p>
        </w:tc>
        <w:tc>
          <w:tcPr>
            <w:tcW w:w="4803" w:type="dxa"/>
            <w:vAlign w:val="center"/>
          </w:tcPr>
          <w:p w14:paraId="67025BF5">
            <w:pPr>
              <w:spacing w:line="400" w:lineRule="exact"/>
              <w:ind w:firstLine="420" w:firstLineChars="200"/>
              <w:rPr>
                <w:color w:val="auto"/>
              </w:rPr>
            </w:pPr>
            <w:r>
              <w:rPr>
                <w:rFonts w:hint="eastAsia" w:ascii="宋体" w:hAnsi="宋体"/>
                <w:color w:val="auto"/>
                <w:kern w:val="0"/>
                <w:lang w:val="en-US" w:eastAsia="zh-CN"/>
              </w:rPr>
              <w:t>进入报价评审的</w:t>
            </w:r>
            <w:r>
              <w:rPr>
                <w:rFonts w:hint="eastAsia"/>
                <w:color w:val="auto"/>
              </w:rPr>
              <w:t>投标人</w:t>
            </w:r>
            <w:r>
              <w:rPr>
                <w:rFonts w:hint="eastAsia"/>
                <w:color w:val="auto"/>
                <w:lang w:val="en-US" w:eastAsia="zh-CN"/>
              </w:rPr>
              <w:t>的</w:t>
            </w:r>
            <w:r>
              <w:rPr>
                <w:rFonts w:hint="eastAsia"/>
                <w:color w:val="auto"/>
              </w:rPr>
              <w:t>投标</w:t>
            </w:r>
            <w:r>
              <w:rPr>
                <w:rFonts w:hint="eastAsia"/>
                <w:color w:val="auto"/>
                <w:lang w:val="en-US" w:eastAsia="zh-CN"/>
              </w:rPr>
              <w:t>总</w:t>
            </w:r>
            <w:r>
              <w:rPr>
                <w:rFonts w:hint="eastAsia"/>
                <w:color w:val="auto"/>
              </w:rPr>
              <w:t>报价</w:t>
            </w:r>
            <w:r>
              <w:rPr>
                <w:rFonts w:hint="eastAsia" w:ascii="宋体" w:hAnsi="宋体"/>
                <w:color w:val="auto"/>
              </w:rPr>
              <w:t>（或暂定投标</w:t>
            </w:r>
            <w:r>
              <w:rPr>
                <w:rFonts w:hint="eastAsia" w:ascii="宋体" w:hAnsi="宋体"/>
                <w:color w:val="auto"/>
                <w:lang w:val="en-US" w:eastAsia="zh-CN"/>
              </w:rPr>
              <w:t>总</w:t>
            </w:r>
            <w:r>
              <w:rPr>
                <w:rFonts w:hint="eastAsia" w:ascii="宋体" w:hAnsi="宋体"/>
                <w:color w:val="auto"/>
              </w:rPr>
              <w:t>报价）</w:t>
            </w:r>
            <w:r>
              <w:rPr>
                <w:rFonts w:hint="eastAsia"/>
                <w:color w:val="auto"/>
              </w:rPr>
              <w:t>得本附表第2.2.1项规定分值的</w:t>
            </w:r>
            <w:r>
              <w:rPr>
                <w:rFonts w:hint="eastAsia"/>
                <w:color w:val="auto"/>
                <w:lang w:val="en-US" w:eastAsia="zh-CN"/>
              </w:rPr>
              <w:t xml:space="preserve"> </w:t>
            </w:r>
            <w:r>
              <w:rPr>
                <w:rFonts w:hint="eastAsia"/>
                <w:color w:val="auto"/>
                <w:u w:val="single"/>
                <w:lang w:val="en-US" w:eastAsia="zh-CN"/>
              </w:rPr>
              <w:t xml:space="preserve"> 48</w:t>
            </w:r>
            <w:r>
              <w:rPr>
                <w:rFonts w:hint="eastAsia"/>
                <w:color w:val="auto"/>
                <w:u w:val="single"/>
              </w:rPr>
              <w:t xml:space="preserve">  </w:t>
            </w:r>
            <w:r>
              <w:rPr>
                <w:rFonts w:hint="eastAsia"/>
                <w:color w:val="auto"/>
              </w:rPr>
              <w:t>分。</w:t>
            </w:r>
            <w:r>
              <w:rPr>
                <w:color w:val="auto"/>
              </w:rPr>
              <w:t>在此基础上，投标</w:t>
            </w:r>
            <w:r>
              <w:rPr>
                <w:rFonts w:hint="eastAsia"/>
                <w:color w:val="auto"/>
                <w:lang w:val="en-US" w:eastAsia="zh-CN"/>
              </w:rPr>
              <w:t>总</w:t>
            </w:r>
            <w:r>
              <w:rPr>
                <w:color w:val="auto"/>
              </w:rPr>
              <w:t>报价</w:t>
            </w:r>
            <w:r>
              <w:rPr>
                <w:rFonts w:hint="eastAsia" w:ascii="宋体" w:hAnsi="宋体"/>
                <w:color w:val="auto"/>
              </w:rPr>
              <w:t>（或暂定投标</w:t>
            </w:r>
            <w:r>
              <w:rPr>
                <w:rFonts w:hint="eastAsia" w:ascii="宋体" w:hAnsi="宋体"/>
                <w:color w:val="auto"/>
                <w:lang w:val="en-US" w:eastAsia="zh-CN"/>
              </w:rPr>
              <w:t>总</w:t>
            </w:r>
            <w:r>
              <w:rPr>
                <w:rFonts w:hint="eastAsia" w:ascii="宋体" w:hAnsi="宋体"/>
                <w:color w:val="auto"/>
              </w:rPr>
              <w:t>报价）</w:t>
            </w:r>
            <w:r>
              <w:rPr>
                <w:color w:val="auto"/>
              </w:rPr>
              <w:t>与评标基准价相比，每增加1%</w:t>
            </w:r>
            <w:r>
              <w:rPr>
                <w:color w:val="auto"/>
                <w:highlight w:val="none"/>
              </w:rPr>
              <w:t>扣</w:t>
            </w:r>
            <w:r>
              <w:rPr>
                <w:color w:val="auto"/>
                <w:highlight w:val="none"/>
                <w:u w:val="single"/>
              </w:rPr>
              <w:t>　</w:t>
            </w:r>
            <w:r>
              <w:rPr>
                <w:rFonts w:hint="eastAsia"/>
                <w:color w:val="auto"/>
                <w:highlight w:val="none"/>
                <w:u w:val="single"/>
                <w:lang w:val="en-US" w:eastAsia="zh-CN"/>
              </w:rPr>
              <w:t xml:space="preserve">0.25  </w:t>
            </w:r>
            <w:r>
              <w:rPr>
                <w:color w:val="auto"/>
                <w:highlight w:val="none"/>
              </w:rPr>
              <w:t>分，</w:t>
            </w:r>
            <w:r>
              <w:rPr>
                <w:rFonts w:ascii="宋体" w:hAnsi="宋体"/>
                <w:color w:val="auto"/>
                <w:szCs w:val="21"/>
              </w:rPr>
              <w:t>扣完为止</w:t>
            </w:r>
            <w:r>
              <w:rPr>
                <w:rFonts w:hint="eastAsia" w:ascii="宋体" w:hAnsi="宋体"/>
                <w:color w:val="auto"/>
                <w:szCs w:val="21"/>
                <w:lang w:eastAsia="zh-CN"/>
              </w:rPr>
              <w:t>；</w:t>
            </w:r>
            <w:r>
              <w:rPr>
                <w:color w:val="auto"/>
              </w:rPr>
              <w:t>每减少1%</w:t>
            </w:r>
            <w:r>
              <w:rPr>
                <w:rFonts w:hint="eastAsia"/>
                <w:color w:val="auto"/>
                <w:lang w:eastAsia="zh-CN"/>
              </w:rPr>
              <w:t>加</w:t>
            </w:r>
            <w:r>
              <w:rPr>
                <w:color w:val="auto"/>
                <w:u w:val="single"/>
              </w:rPr>
              <w:t>　</w:t>
            </w:r>
            <w:r>
              <w:rPr>
                <w:rFonts w:hint="eastAsia"/>
                <w:color w:val="auto"/>
                <w:u w:val="single"/>
                <w:lang w:val="en-US" w:eastAsia="zh-CN"/>
              </w:rPr>
              <w:t>0.25</w:t>
            </w:r>
            <w:r>
              <w:rPr>
                <w:rFonts w:hint="eastAsia"/>
                <w:color w:val="auto"/>
                <w:u w:val="single"/>
              </w:rPr>
              <w:t xml:space="preserve">  </w:t>
            </w:r>
            <w:r>
              <w:rPr>
                <w:color w:val="auto"/>
              </w:rPr>
              <w:t>分</w:t>
            </w:r>
            <w:r>
              <w:rPr>
                <w:rFonts w:ascii="宋体" w:hAnsi="宋体"/>
                <w:color w:val="auto"/>
                <w:szCs w:val="21"/>
              </w:rPr>
              <w:t>，</w:t>
            </w:r>
            <w:r>
              <w:rPr>
                <w:rFonts w:hint="eastAsia" w:ascii="宋体" w:hAnsi="宋体"/>
                <w:color w:val="auto"/>
                <w:szCs w:val="21"/>
                <w:lang w:eastAsia="zh-CN"/>
              </w:rPr>
              <w:t>最多加</w:t>
            </w:r>
            <w:r>
              <w:rPr>
                <w:rFonts w:hint="eastAsia" w:ascii="宋体" w:hAnsi="宋体"/>
                <w:color w:val="auto"/>
                <w:szCs w:val="21"/>
                <w:u w:val="single"/>
                <w:lang w:val="en-US" w:eastAsia="zh-CN"/>
              </w:rPr>
              <w:t>2</w:t>
            </w:r>
            <w:r>
              <w:rPr>
                <w:rFonts w:hint="eastAsia" w:ascii="宋体" w:hAnsi="宋体"/>
                <w:color w:val="auto"/>
                <w:szCs w:val="21"/>
                <w:lang w:val="en-US" w:eastAsia="zh-CN"/>
              </w:rPr>
              <w:t>分</w:t>
            </w:r>
            <w:r>
              <w:rPr>
                <w:color w:val="auto"/>
              </w:rPr>
              <w:t>。</w:t>
            </w:r>
          </w:p>
          <w:p w14:paraId="6E1954DA">
            <w:pPr>
              <w:spacing w:line="400" w:lineRule="exact"/>
              <w:ind w:firstLine="420" w:firstLineChars="200"/>
              <w:rPr>
                <w:color w:val="auto"/>
              </w:rPr>
            </w:pPr>
            <w:r>
              <w:rPr>
                <w:color w:val="auto"/>
              </w:rPr>
              <w:t>按插入法计算得分。</w:t>
            </w:r>
          </w:p>
          <w:p w14:paraId="5AFBF6D8">
            <w:pPr>
              <w:spacing w:line="400" w:lineRule="exact"/>
              <w:ind w:firstLine="420" w:firstLineChars="200"/>
            </w:pPr>
            <w:r>
              <w:t>未参与评标基准价计算的投标</w:t>
            </w:r>
            <w:r>
              <w:rPr>
                <w:rFonts w:hint="eastAsia"/>
                <w:lang w:val="en-US" w:eastAsia="zh-CN"/>
              </w:rPr>
              <w:t>总</w:t>
            </w:r>
            <w:r>
              <w:t>报价</w:t>
            </w:r>
            <w:r>
              <w:rPr>
                <w:rFonts w:hint="eastAsia" w:ascii="宋体" w:hAnsi="宋体"/>
              </w:rPr>
              <w:t>（或暂定投标</w:t>
            </w:r>
            <w:r>
              <w:rPr>
                <w:rFonts w:hint="eastAsia" w:ascii="宋体" w:hAnsi="宋体"/>
                <w:lang w:val="en-US" w:eastAsia="zh-CN"/>
              </w:rPr>
              <w:t>总</w:t>
            </w:r>
            <w:r>
              <w:rPr>
                <w:rFonts w:hint="eastAsia" w:ascii="宋体" w:hAnsi="宋体"/>
              </w:rPr>
              <w:t>报价）</w:t>
            </w:r>
            <w:r>
              <w:t>，仍应参加计算相应分值。</w:t>
            </w:r>
          </w:p>
          <w:p w14:paraId="1977EDD8">
            <w:pPr>
              <w:spacing w:line="400" w:lineRule="exact"/>
              <w:ind w:firstLine="420" w:firstLineChars="200"/>
            </w:pPr>
            <w:r>
              <w:rPr>
                <w:rFonts w:hint="eastAsia"/>
              </w:rPr>
              <w:t>投标</w:t>
            </w:r>
            <w:r>
              <w:rPr>
                <w:rFonts w:hint="eastAsia"/>
                <w:lang w:val="en-US" w:eastAsia="zh-CN"/>
              </w:rPr>
              <w:t>总</w:t>
            </w:r>
            <w:r>
              <w:rPr>
                <w:rFonts w:hint="eastAsia"/>
              </w:rPr>
              <w:t>报价</w:t>
            </w:r>
            <w:r>
              <w:rPr>
                <w:rFonts w:hint="eastAsia" w:ascii="宋体" w:hAnsi="宋体"/>
              </w:rPr>
              <w:t>（或暂定投标</w:t>
            </w:r>
            <w:r>
              <w:rPr>
                <w:rFonts w:hint="eastAsia" w:ascii="宋体" w:hAnsi="宋体"/>
                <w:lang w:val="en-US" w:eastAsia="zh-CN"/>
              </w:rPr>
              <w:t>总</w:t>
            </w:r>
            <w:r>
              <w:rPr>
                <w:rFonts w:hint="eastAsia" w:ascii="宋体" w:hAnsi="宋体"/>
              </w:rPr>
              <w:t>报价）</w:t>
            </w:r>
            <w:r>
              <w:rPr>
                <w:rFonts w:hint="eastAsia"/>
              </w:rPr>
              <w:t>得分最终结果保留两位小数</w:t>
            </w:r>
            <w:r>
              <w:t>，</w:t>
            </w:r>
            <w:r>
              <w:rPr>
                <w:rFonts w:hint="eastAsia"/>
              </w:rPr>
              <w:t>小数点后</w:t>
            </w:r>
            <w:r>
              <w:t>第三位四舍五入。</w:t>
            </w:r>
          </w:p>
        </w:tc>
      </w:tr>
      <w:tr w14:paraId="1C9ACB2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20F2C115">
            <w:pPr>
              <w:spacing w:line="400" w:lineRule="exact"/>
              <w:jc w:val="center"/>
              <w:rPr>
                <w:rFonts w:hint="default" w:ascii="宋体" w:hAnsi="宋体" w:eastAsia="宋体"/>
                <w:lang w:val="en-US" w:eastAsia="zh-CN"/>
              </w:rPr>
            </w:pPr>
            <w:r>
              <w:rPr>
                <w:rFonts w:hint="eastAsia" w:ascii="宋体" w:hAnsi="宋体"/>
                <w:lang w:val="en-US" w:eastAsia="zh-CN"/>
              </w:rPr>
              <w:t>2.2.3</w:t>
            </w:r>
          </w:p>
        </w:tc>
        <w:tc>
          <w:tcPr>
            <w:tcW w:w="1680" w:type="dxa"/>
            <w:vAlign w:val="center"/>
          </w:tcPr>
          <w:p w14:paraId="0FD43771">
            <w:pPr>
              <w:spacing w:line="400" w:lineRule="exact"/>
            </w:pPr>
            <w:r>
              <w:rPr>
                <w:rFonts w:ascii="宋体" w:hAnsi="宋体"/>
                <w:kern w:val="0"/>
              </w:rPr>
              <w:t>评标基准价计算方法</w:t>
            </w:r>
          </w:p>
          <w:p w14:paraId="23276F72">
            <w:pPr>
              <w:spacing w:line="400" w:lineRule="exact"/>
              <w:jc w:val="center"/>
            </w:pPr>
          </w:p>
        </w:tc>
        <w:tc>
          <w:tcPr>
            <w:tcW w:w="2171" w:type="dxa"/>
            <w:tcBorders>
              <w:top w:val="single" w:color="auto" w:sz="4" w:space="0"/>
              <w:bottom w:val="single" w:color="auto" w:sz="4" w:space="0"/>
            </w:tcBorders>
            <w:vAlign w:val="center"/>
          </w:tcPr>
          <w:p w14:paraId="0499F8E3">
            <w:pPr>
              <w:spacing w:line="400" w:lineRule="exact"/>
              <w:jc w:val="center"/>
              <w:rPr>
                <w:rFonts w:hint="eastAsia" w:ascii="宋体" w:hAnsi="宋体" w:eastAsia="宋体"/>
                <w:lang w:eastAsia="zh-CN"/>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p>
        </w:tc>
        <w:tc>
          <w:tcPr>
            <w:tcW w:w="4803" w:type="dxa"/>
            <w:vAlign w:val="center"/>
          </w:tcPr>
          <w:p w14:paraId="3AAC7656">
            <w:pPr>
              <w:snapToGrid w:val="0"/>
              <w:spacing w:line="400" w:lineRule="exact"/>
              <w:ind w:firstLine="420" w:firstLineChars="200"/>
              <w:rPr>
                <w:rFonts w:hint="eastAsia" w:ascii="宋体" w:hAnsi="宋体"/>
                <w:i/>
                <w:kern w:val="0"/>
                <w:szCs w:val="21"/>
              </w:rPr>
            </w:pPr>
            <w:r>
              <w:rPr>
                <w:rFonts w:hint="eastAsia" w:ascii="宋体" w:hAnsi="宋体" w:cs="宋体"/>
                <w:color w:val="auto"/>
                <w:kern w:val="0"/>
                <w:szCs w:val="21"/>
                <w:highlight w:val="none"/>
                <w:lang w:eastAsia="zh-CN"/>
              </w:rPr>
              <w:t>进入报价评审的</w:t>
            </w:r>
            <w:r>
              <w:rPr>
                <w:rFonts w:ascii="宋体" w:hAnsi="宋体"/>
                <w:kern w:val="0"/>
                <w:szCs w:val="21"/>
              </w:rPr>
              <w:t>投标人</w:t>
            </w:r>
            <w:r>
              <w:rPr>
                <w:rFonts w:ascii="宋体" w:hAnsi="宋体"/>
                <w:szCs w:val="21"/>
              </w:rPr>
              <w:t>的投标总报</w:t>
            </w:r>
            <w:r>
              <w:rPr>
                <w:rFonts w:ascii="宋体" w:hAnsi="宋体"/>
                <w:kern w:val="0"/>
                <w:szCs w:val="21"/>
              </w:rPr>
              <w:t>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szCs w:val="21"/>
              </w:rPr>
              <w:t>中去掉六分之一（不能整除的按小数点前整数取整，不足六家报价则不去掉）的最低价和相同家数的最高价后的算术平均值</w:t>
            </w:r>
            <w:r>
              <w:rPr>
                <w:rFonts w:hint="eastAsia" w:ascii="宋体" w:hAnsi="宋体"/>
                <w:kern w:val="0"/>
                <w:szCs w:val="21"/>
              </w:rPr>
              <w:t>，即为本项目的投标总报价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hint="eastAsia" w:ascii="宋体" w:hAnsi="宋体"/>
                <w:kern w:val="0"/>
                <w:szCs w:val="21"/>
              </w:rPr>
              <w:t>的评标基准价。</w:t>
            </w:r>
          </w:p>
          <w:p w14:paraId="3B745FAD">
            <w:pPr>
              <w:spacing w:line="400" w:lineRule="exact"/>
              <w:ind w:firstLine="420" w:firstLineChars="200"/>
              <w:rPr>
                <w:rFonts w:hint="eastAsia" w:ascii="宋体" w:hAnsi="宋体"/>
                <w:i/>
                <w:iCs/>
                <w:kern w:val="0"/>
                <w:szCs w:val="21"/>
              </w:rPr>
            </w:pPr>
            <w:r>
              <w:rPr>
                <w:rFonts w:hint="eastAsia" w:ascii="宋体" w:hAnsi="宋体"/>
                <w:kern w:val="0"/>
                <w:szCs w:val="21"/>
              </w:rPr>
              <w:t>评标基准价计算的最终结果</w:t>
            </w:r>
            <w:r>
              <w:rPr>
                <w:rFonts w:ascii="宋体" w:hAnsi="宋体"/>
                <w:kern w:val="0"/>
                <w:szCs w:val="21"/>
              </w:rPr>
              <w:t>取小数点后两位，</w:t>
            </w:r>
            <w:r>
              <w:rPr>
                <w:rFonts w:hint="eastAsia" w:ascii="宋体" w:hAnsi="宋体"/>
                <w:kern w:val="0"/>
                <w:szCs w:val="21"/>
              </w:rPr>
              <w:t>小数点后</w:t>
            </w:r>
            <w:r>
              <w:rPr>
                <w:rFonts w:ascii="宋体" w:hAnsi="宋体"/>
                <w:kern w:val="0"/>
                <w:szCs w:val="21"/>
              </w:rPr>
              <w:t>第三位四舍五入。</w:t>
            </w:r>
          </w:p>
        </w:tc>
      </w:tr>
      <w:tr w14:paraId="11B5B93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7A2EDF4B">
            <w:pPr>
              <w:spacing w:line="400" w:lineRule="exact"/>
              <w:jc w:val="center"/>
              <w:rPr>
                <w:rFonts w:hint="default" w:ascii="宋体" w:hAnsi="宋体" w:eastAsia="宋体"/>
                <w:lang w:val="en-US" w:eastAsia="zh-CN"/>
              </w:rPr>
            </w:pPr>
            <w:r>
              <w:rPr>
                <w:rFonts w:hint="eastAsia" w:ascii="宋体" w:hAnsi="宋体"/>
                <w:lang w:val="en-US" w:eastAsia="zh-CN"/>
              </w:rPr>
              <w:t>2.2.4</w:t>
            </w:r>
          </w:p>
        </w:tc>
        <w:tc>
          <w:tcPr>
            <w:tcW w:w="1680" w:type="dxa"/>
            <w:vAlign w:val="center"/>
          </w:tcPr>
          <w:p w14:paraId="5E6539CE">
            <w:pPr>
              <w:spacing w:line="400" w:lineRule="exact"/>
              <w:jc w:val="center"/>
            </w:pPr>
            <w:r>
              <w:rPr>
                <w:rFonts w:hint="eastAsia" w:ascii="宋体" w:hAnsi="宋体"/>
                <w:kern w:val="0"/>
              </w:rPr>
              <w:t>偏差率计算</w:t>
            </w:r>
          </w:p>
        </w:tc>
        <w:tc>
          <w:tcPr>
            <w:tcW w:w="6974" w:type="dxa"/>
            <w:gridSpan w:val="2"/>
            <w:tcBorders>
              <w:top w:val="single" w:color="auto" w:sz="4" w:space="0"/>
              <w:bottom w:val="single" w:color="auto" w:sz="4" w:space="0"/>
            </w:tcBorders>
            <w:vAlign w:val="center"/>
          </w:tcPr>
          <w:p w14:paraId="10705AA2">
            <w:pPr>
              <w:spacing w:line="400" w:lineRule="exact"/>
              <w:ind w:firstLine="420" w:firstLineChars="200"/>
              <w:jc w:val="left"/>
              <w:rPr>
                <w:rFonts w:ascii="宋体" w:hAnsi="宋体"/>
                <w:kern w:val="0"/>
              </w:rPr>
            </w:pPr>
            <w:r>
              <w:rPr>
                <w:rFonts w:ascii="宋体" w:hAnsi="宋体"/>
                <w:kern w:val="0"/>
              </w:rPr>
              <w:t>投标总报价</w:t>
            </w:r>
            <w:r>
              <w:rPr>
                <w:rFonts w:hint="eastAsia" w:ascii="宋体" w:hAnsi="宋体"/>
                <w:kern w:val="0"/>
                <w:lang w:eastAsia="zh-CN"/>
              </w:rPr>
              <w:t>（</w:t>
            </w:r>
            <w:r>
              <w:rPr>
                <w:rFonts w:hint="eastAsia" w:ascii="宋体" w:hAnsi="宋体"/>
                <w:kern w:val="0"/>
                <w:lang w:val="en-US" w:eastAsia="zh-CN"/>
              </w:rPr>
              <w:t>或暂定投标总报价</w:t>
            </w:r>
            <w:r>
              <w:rPr>
                <w:rFonts w:hint="eastAsia" w:ascii="宋体" w:hAnsi="宋体"/>
                <w:kern w:val="0"/>
                <w:lang w:eastAsia="zh-CN"/>
              </w:rPr>
              <w:t>）</w:t>
            </w:r>
            <w:r>
              <w:rPr>
                <w:rFonts w:ascii="宋体" w:hAnsi="宋体"/>
                <w:kern w:val="0"/>
              </w:rPr>
              <w:t>的偏差率计算公式</w:t>
            </w:r>
          </w:p>
          <w:p w14:paraId="71750D21">
            <w:pPr>
              <w:spacing w:line="400" w:lineRule="exact"/>
              <w:ind w:firstLine="420" w:firstLineChars="200"/>
              <w:jc w:val="left"/>
              <w:rPr>
                <w:rFonts w:ascii="宋体" w:hAnsi="宋体"/>
                <w:kern w:val="0"/>
              </w:rPr>
            </w:pPr>
            <w:r>
              <w:rPr>
                <w:rFonts w:ascii="宋体" w:hAnsi="宋体"/>
                <w:kern w:val="0"/>
              </w:rPr>
              <w:t>偏差率</w:t>
            </w:r>
            <w:r>
              <w:rPr>
                <w:rFonts w:ascii="宋体" w:hAnsi="宋体"/>
                <w:kern w:val="0"/>
                <w:sz w:val="28"/>
                <w:szCs w:val="28"/>
              </w:rPr>
              <w:t>=</w:t>
            </w:r>
            <w:r>
              <w:rPr>
                <w:rFonts w:ascii="宋体" w:hAnsi="宋体"/>
                <w:kern w:val="0"/>
              </w:rPr>
              <w:t>100％×（投标人报价一评标基准价</w:t>
            </w:r>
            <w:r>
              <w:rPr>
                <w:rFonts w:hint="eastAsia" w:ascii="宋体" w:hAnsi="宋体"/>
                <w:kern w:val="0"/>
              </w:rPr>
              <w:t>）</w:t>
            </w:r>
            <w:r>
              <w:rPr>
                <w:rFonts w:ascii="宋体" w:hAnsi="宋体"/>
                <w:kern w:val="0"/>
              </w:rPr>
              <w:t>／评标基准价</w:t>
            </w:r>
          </w:p>
          <w:p w14:paraId="6C354416">
            <w:pPr>
              <w:spacing w:line="400" w:lineRule="exact"/>
              <w:ind w:firstLine="420" w:firstLineChars="200"/>
              <w:rPr>
                <w:rFonts w:hint="eastAsia" w:ascii="宋体" w:hAnsi="宋体"/>
                <w:i/>
                <w:iCs/>
                <w:kern w:val="0"/>
                <w:szCs w:val="21"/>
              </w:rPr>
            </w:pPr>
            <w:r>
              <w:rPr>
                <w:rFonts w:hint="eastAsia" w:ascii="宋体" w:hAnsi="宋体"/>
                <w:kern w:val="0"/>
              </w:rPr>
              <w:t>偏差率计算的最终结果取小数点后两位</w:t>
            </w:r>
            <w:r>
              <w:rPr>
                <w:rFonts w:ascii="宋体" w:hAnsi="宋体"/>
                <w:kern w:val="0"/>
                <w:szCs w:val="21"/>
              </w:rPr>
              <w:t>，小数点后第三位四舍五入。</w:t>
            </w:r>
          </w:p>
        </w:tc>
      </w:tr>
      <w:tr w14:paraId="5E7AC999">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3A5552B5">
            <w:pPr>
              <w:spacing w:line="400" w:lineRule="exact"/>
              <w:jc w:val="center"/>
              <w:rPr>
                <w:rFonts w:ascii="宋体" w:hAnsi="宋体"/>
              </w:rPr>
            </w:pPr>
            <w:r>
              <w:rPr>
                <w:rFonts w:hint="eastAsia" w:ascii="宋体" w:hAnsi="宋体"/>
              </w:rPr>
              <w:t>3</w:t>
            </w:r>
          </w:p>
        </w:tc>
        <w:tc>
          <w:tcPr>
            <w:tcW w:w="1680" w:type="dxa"/>
            <w:vAlign w:val="center"/>
          </w:tcPr>
          <w:p w14:paraId="1F775F82">
            <w:pPr>
              <w:spacing w:line="400" w:lineRule="exact"/>
              <w:jc w:val="center"/>
              <w:rPr>
                <w:rFonts w:hint="eastAsia" w:ascii="宋体" w:hAnsi="宋体"/>
              </w:rPr>
            </w:pPr>
            <w:r>
              <w:rPr>
                <w:rFonts w:hint="eastAsia" w:ascii="宋体" w:hAnsi="宋体"/>
              </w:rPr>
              <w:t>评标程序</w:t>
            </w:r>
          </w:p>
        </w:tc>
        <w:tc>
          <w:tcPr>
            <w:tcW w:w="6974" w:type="dxa"/>
            <w:gridSpan w:val="2"/>
            <w:tcBorders>
              <w:top w:val="single" w:color="auto" w:sz="4" w:space="0"/>
              <w:bottom w:val="single" w:color="auto" w:sz="4" w:space="0"/>
            </w:tcBorders>
            <w:vAlign w:val="center"/>
          </w:tcPr>
          <w:p w14:paraId="27D72615">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color w:val="auto"/>
                <w:szCs w:val="21"/>
                <w:lang w:val="en-US" w:eastAsia="zh-CN"/>
              </w:rPr>
            </w:pPr>
            <w:r>
              <w:rPr>
                <w:rFonts w:hint="eastAsia" w:ascii="宋体" w:hAnsi="宋体" w:cs="宋体"/>
                <w:color w:val="auto"/>
                <w:szCs w:val="21"/>
              </w:rPr>
              <w:t>全部评审方式</w:t>
            </w:r>
          </w:p>
          <w:p w14:paraId="62D58C86">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rPr>
              <w:t>1.</w:t>
            </w:r>
            <w:r>
              <w:rPr>
                <w:rFonts w:hint="eastAsia" w:ascii="宋体" w:hAnsi="宋体" w:cs="宋体"/>
                <w:szCs w:val="21"/>
                <w:lang w:eastAsia="zh-CN"/>
              </w:rPr>
              <w:t>初步评审。</w:t>
            </w:r>
            <w:r>
              <w:rPr>
                <w:rFonts w:hint="eastAsia" w:ascii="宋体" w:hAnsi="宋体" w:cs="宋体"/>
                <w:szCs w:val="21"/>
              </w:rPr>
              <w:t>按</w:t>
            </w:r>
            <w:r>
              <w:rPr>
                <w:rFonts w:hint="eastAsia" w:ascii="宋体" w:hAnsi="宋体" w:cs="宋体"/>
                <w:szCs w:val="21"/>
                <w:lang w:val="en-US" w:eastAsia="zh-CN"/>
              </w:rPr>
              <w:t>照第2.1.1项至第2.1.3项的规定，对所有投标文件</w:t>
            </w:r>
            <w:r>
              <w:rPr>
                <w:rFonts w:hint="eastAsia" w:ascii="宋体" w:hAnsi="宋体" w:cs="宋体"/>
                <w:szCs w:val="21"/>
              </w:rPr>
              <w:t>进行初步评审。未通过初步评审或评标委员会认定为无效的投标文件的不再进行后续评审。</w:t>
            </w:r>
          </w:p>
          <w:p w14:paraId="210CCC9D">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2.技术评审。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w:t>
            </w:r>
            <w:r>
              <w:rPr>
                <w:rFonts w:hint="eastAsia" w:ascii="宋体" w:hAnsi="宋体" w:cs="宋体"/>
                <w:color w:val="auto"/>
                <w:szCs w:val="21"/>
                <w:highlight w:val="none"/>
              </w:rPr>
              <w:t>2.2.</w:t>
            </w:r>
            <w:r>
              <w:rPr>
                <w:rFonts w:hint="eastAsia" w:ascii="宋体" w:hAnsi="宋体" w:cs="宋体"/>
                <w:color w:val="auto"/>
                <w:szCs w:val="21"/>
                <w:highlight w:val="none"/>
                <w:lang w:val="en-US" w:eastAsia="zh-CN"/>
              </w:rPr>
              <w:t>2</w:t>
            </w:r>
            <w:r>
              <w:rPr>
                <w:rFonts w:hint="eastAsia" w:ascii="宋体" w:hAnsi="宋体" w:cs="宋体"/>
                <w:color w:val="auto"/>
                <w:szCs w:val="21"/>
                <w:highlight w:val="none"/>
              </w:rPr>
              <w:t>（1）</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cs="宋体"/>
                <w:szCs w:val="21"/>
              </w:rPr>
              <w:t>技术评审</w:t>
            </w:r>
            <w:r>
              <w:rPr>
                <w:rFonts w:hint="eastAsia" w:ascii="宋体" w:hAnsi="宋体" w:cs="宋体"/>
                <w:szCs w:val="21"/>
                <w:lang w:eastAsia="zh-CN"/>
              </w:rPr>
              <w:t>，</w:t>
            </w:r>
            <w:r>
              <w:rPr>
                <w:rFonts w:hint="eastAsia" w:ascii="宋体" w:hAnsi="宋体" w:cs="宋体"/>
                <w:szCs w:val="21"/>
                <w:lang w:val="en-US" w:eastAsia="zh-CN"/>
              </w:rPr>
              <w:t>计算出技术得分A</w:t>
            </w:r>
            <w:r>
              <w:rPr>
                <w:rFonts w:hint="eastAsia" w:ascii="宋体" w:hAnsi="宋体" w:cs="宋体"/>
                <w:szCs w:val="21"/>
              </w:rPr>
              <w:t>。</w:t>
            </w:r>
          </w:p>
          <w:p w14:paraId="1805A047">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3.商务评审。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2</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进行商务</w:t>
            </w:r>
            <w:r>
              <w:rPr>
                <w:rFonts w:hint="eastAsia" w:ascii="宋体" w:hAnsi="宋体" w:cs="宋体"/>
                <w:szCs w:val="21"/>
              </w:rPr>
              <w:t>评审</w:t>
            </w:r>
            <w:r>
              <w:rPr>
                <w:rFonts w:hint="eastAsia" w:ascii="宋体" w:hAnsi="宋体" w:cs="宋体"/>
                <w:szCs w:val="21"/>
                <w:lang w:eastAsia="zh-CN"/>
              </w:rPr>
              <w:t>，</w:t>
            </w:r>
            <w:r>
              <w:rPr>
                <w:rFonts w:hint="eastAsia" w:ascii="宋体" w:hAnsi="宋体" w:cs="宋体"/>
                <w:szCs w:val="21"/>
                <w:lang w:val="en-US" w:eastAsia="zh-CN"/>
              </w:rPr>
              <w:t>计算出商务得分B</w:t>
            </w:r>
            <w:r>
              <w:rPr>
                <w:rFonts w:hint="eastAsia" w:ascii="宋体" w:hAnsi="宋体" w:cs="宋体"/>
                <w:szCs w:val="21"/>
              </w:rPr>
              <w:t>。</w:t>
            </w:r>
          </w:p>
          <w:p w14:paraId="66D9F621">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eastAsia="宋体" w:cs="宋体"/>
                <w:szCs w:val="21"/>
                <w:lang w:eastAsia="zh-CN"/>
              </w:rPr>
            </w:pPr>
            <w:r>
              <w:rPr>
                <w:rFonts w:hint="eastAsia" w:ascii="宋体" w:hAnsi="宋体" w:cs="宋体"/>
                <w:szCs w:val="21"/>
                <w:lang w:val="en-US" w:eastAsia="zh-CN"/>
              </w:rPr>
              <w:t>4.投标函部分评审。</w:t>
            </w:r>
            <w:r>
              <w:rPr>
                <w:rFonts w:hint="eastAsia" w:ascii="宋体" w:hAnsi="宋体" w:cs="宋体"/>
                <w:szCs w:val="21"/>
              </w:rPr>
              <w:t>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3</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lang w:val="en-US" w:eastAsia="zh-CN"/>
              </w:rPr>
              <w:t>进行</w:t>
            </w:r>
            <w:r>
              <w:rPr>
                <w:rFonts w:hint="eastAsia" w:ascii="宋体" w:hAnsi="宋体" w:eastAsia="宋体" w:cs="宋体"/>
                <w:kern w:val="0"/>
                <w:szCs w:val="21"/>
                <w:lang w:eastAsia="zh-CN"/>
              </w:rPr>
              <w:t>投标函</w:t>
            </w:r>
            <w:r>
              <w:rPr>
                <w:rFonts w:hint="eastAsia" w:ascii="宋体" w:hAnsi="宋体" w:cs="宋体"/>
                <w:kern w:val="0"/>
                <w:szCs w:val="21"/>
                <w:lang w:val="en-US" w:eastAsia="zh-CN"/>
              </w:rPr>
              <w:t>部分</w:t>
            </w:r>
            <w:r>
              <w:rPr>
                <w:rFonts w:hint="eastAsia" w:ascii="宋体" w:hAnsi="宋体" w:cs="宋体"/>
                <w:szCs w:val="21"/>
              </w:rPr>
              <w:t>评审，</w:t>
            </w:r>
            <w:r>
              <w:rPr>
                <w:rFonts w:hint="eastAsia" w:ascii="宋体" w:hAnsi="宋体" w:cs="宋体"/>
                <w:szCs w:val="21"/>
                <w:lang w:eastAsia="zh-CN"/>
              </w:rPr>
              <w:t>未通过投标函部分</w:t>
            </w:r>
            <w:r>
              <w:rPr>
                <w:rFonts w:hint="eastAsia" w:ascii="宋体" w:hAnsi="宋体" w:cs="宋体"/>
                <w:szCs w:val="21"/>
              </w:rPr>
              <w:t>评审的投标文件不再</w:t>
            </w:r>
            <w:r>
              <w:rPr>
                <w:rFonts w:hint="eastAsia" w:ascii="宋体" w:hAnsi="宋体" w:cs="宋体"/>
                <w:szCs w:val="21"/>
                <w:lang w:val="en-US" w:eastAsia="zh-CN"/>
              </w:rPr>
              <w:t>进行</w:t>
            </w:r>
            <w:r>
              <w:rPr>
                <w:rFonts w:hint="eastAsia" w:ascii="宋体" w:hAnsi="宋体" w:cs="宋体"/>
                <w:szCs w:val="21"/>
              </w:rPr>
              <w:t>后续评审</w:t>
            </w:r>
            <w:r>
              <w:rPr>
                <w:rFonts w:hint="eastAsia" w:ascii="宋体" w:hAnsi="宋体" w:cs="宋体"/>
                <w:szCs w:val="21"/>
                <w:lang w:eastAsia="zh-CN"/>
              </w:rPr>
              <w:t>。</w:t>
            </w:r>
          </w:p>
          <w:p w14:paraId="1714B5BB">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5</w:t>
            </w:r>
            <w:r>
              <w:rPr>
                <w:rFonts w:hint="eastAsia" w:ascii="宋体" w:hAnsi="宋体" w:cs="宋体"/>
                <w:szCs w:val="21"/>
              </w:rPr>
              <w:t>.</w:t>
            </w:r>
            <w:r>
              <w:rPr>
                <w:rFonts w:hint="eastAsia" w:ascii="宋体" w:hAnsi="宋体" w:cs="宋体"/>
                <w:szCs w:val="21"/>
                <w:lang w:eastAsia="zh-CN"/>
              </w:rPr>
              <w:t>报价评审。</w:t>
            </w:r>
            <w:r>
              <w:rPr>
                <w:rFonts w:hint="eastAsia" w:ascii="宋体" w:hAnsi="宋体" w:cs="宋体"/>
                <w:szCs w:val="21"/>
              </w:rPr>
              <w:t>按照第2.2.3项</w:t>
            </w:r>
            <w:r>
              <w:rPr>
                <w:rFonts w:hint="eastAsia" w:ascii="宋体" w:hAnsi="宋体" w:cs="宋体"/>
                <w:szCs w:val="21"/>
                <w:lang w:val="en-US" w:eastAsia="zh-CN"/>
              </w:rPr>
              <w:t>的规定，</w:t>
            </w:r>
            <w:r>
              <w:rPr>
                <w:rFonts w:hint="eastAsia" w:ascii="宋体" w:hAnsi="宋体" w:cs="宋体"/>
                <w:szCs w:val="21"/>
              </w:rPr>
              <w:t>计算评标基准价</w:t>
            </w:r>
            <w:r>
              <w:rPr>
                <w:rFonts w:hint="eastAsia" w:ascii="宋体" w:hAnsi="宋体" w:cs="宋体"/>
                <w:szCs w:val="21"/>
                <w:lang w:eastAsia="zh-CN"/>
              </w:rPr>
              <w:t>；</w:t>
            </w:r>
            <w:r>
              <w:rPr>
                <w:rFonts w:hint="eastAsia" w:ascii="宋体" w:hAnsi="宋体" w:cs="宋体"/>
                <w:szCs w:val="21"/>
              </w:rPr>
              <w:t>并按</w:t>
            </w:r>
            <w:r>
              <w:rPr>
                <w:rFonts w:hint="eastAsia" w:ascii="宋体" w:hAnsi="宋体" w:cs="宋体"/>
                <w:szCs w:val="21"/>
                <w:lang w:val="en-US" w:eastAsia="zh-CN"/>
              </w:rPr>
              <w:t>照</w:t>
            </w:r>
            <w:r>
              <w:rPr>
                <w:rFonts w:hint="eastAsia" w:ascii="宋体" w:hAnsi="宋体" w:cs="宋体"/>
                <w:szCs w:val="21"/>
              </w:rPr>
              <w:t>第2.2.2（</w:t>
            </w:r>
            <w:r>
              <w:rPr>
                <w:rFonts w:hint="eastAsia" w:ascii="宋体" w:hAnsi="宋体" w:cs="宋体"/>
                <w:szCs w:val="21"/>
                <w:lang w:val="en-US" w:eastAsia="zh-CN"/>
              </w:rPr>
              <w:t>4</w:t>
            </w:r>
            <w:r>
              <w:rPr>
                <w:rFonts w:hint="eastAsia" w:ascii="宋体" w:hAnsi="宋体" w:cs="宋体"/>
                <w:szCs w:val="21"/>
              </w:rPr>
              <w:t>）目的规定</w:t>
            </w:r>
            <w:r>
              <w:rPr>
                <w:rFonts w:hint="eastAsia" w:ascii="宋体" w:hAnsi="宋体" w:cs="宋体"/>
                <w:szCs w:val="21"/>
                <w:lang w:eastAsia="zh-CN"/>
              </w:rPr>
              <w:t>，</w:t>
            </w:r>
            <w:r>
              <w:rPr>
                <w:rFonts w:hint="eastAsia" w:ascii="宋体" w:hAnsi="宋体" w:cs="宋体"/>
                <w:szCs w:val="21"/>
              </w:rPr>
              <w:t>进行</w:t>
            </w:r>
            <w:r>
              <w:rPr>
                <w:rFonts w:hint="eastAsia" w:ascii="宋体" w:hAnsi="宋体" w:cs="宋体"/>
                <w:szCs w:val="21"/>
                <w:lang w:val="en-US" w:eastAsia="zh-CN"/>
              </w:rPr>
              <w:t>报价评审，计算出报价得分C</w:t>
            </w:r>
            <w:r>
              <w:rPr>
                <w:rFonts w:hint="eastAsia" w:ascii="宋体" w:hAnsi="宋体" w:cs="宋体"/>
                <w:szCs w:val="21"/>
              </w:rPr>
              <w:t>。</w:t>
            </w:r>
          </w:p>
          <w:p w14:paraId="3B7D7B97">
            <w:pPr>
              <w:keepNext w:val="0"/>
              <w:keepLines w:val="0"/>
              <w:pageBreakBefore w:val="0"/>
              <w:widowControl w:val="0"/>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cs="宋体"/>
                <w:szCs w:val="21"/>
              </w:rPr>
            </w:pPr>
            <w:r>
              <w:rPr>
                <w:rFonts w:hint="eastAsia" w:ascii="宋体" w:hAnsi="宋体" w:cs="宋体"/>
                <w:szCs w:val="21"/>
                <w:lang w:val="en-US" w:eastAsia="zh-CN"/>
              </w:rPr>
              <w:t>6</w:t>
            </w:r>
            <w:r>
              <w:rPr>
                <w:rFonts w:hint="eastAsia" w:ascii="宋体" w:hAnsi="宋体" w:cs="宋体"/>
                <w:szCs w:val="21"/>
              </w:rPr>
              <w:t>.</w:t>
            </w:r>
            <w:r>
              <w:rPr>
                <w:rFonts w:hint="eastAsia" w:ascii="宋体" w:hAnsi="宋体" w:cs="宋体"/>
                <w:szCs w:val="21"/>
                <w:lang w:eastAsia="zh-CN"/>
              </w:rPr>
              <w:t>汇总得分。</w:t>
            </w:r>
            <w:r>
              <w:rPr>
                <w:rFonts w:hint="eastAsia" w:ascii="宋体" w:hAnsi="宋体" w:cs="宋体"/>
                <w:szCs w:val="21"/>
              </w:rPr>
              <w:t>对技术</w:t>
            </w:r>
            <w:r>
              <w:rPr>
                <w:rFonts w:hint="eastAsia" w:ascii="宋体" w:hAnsi="宋体" w:cs="宋体"/>
                <w:szCs w:val="21"/>
                <w:lang w:val="en-US" w:eastAsia="zh-CN"/>
              </w:rPr>
              <w:t>得分A</w:t>
            </w:r>
            <w:r>
              <w:rPr>
                <w:rFonts w:hint="eastAsia" w:ascii="宋体" w:hAnsi="宋体" w:cs="宋体"/>
                <w:szCs w:val="21"/>
                <w:lang w:eastAsia="zh-CN"/>
              </w:rPr>
              <w:t>、</w:t>
            </w:r>
            <w:r>
              <w:rPr>
                <w:rFonts w:hint="eastAsia" w:ascii="宋体" w:hAnsi="宋体" w:cs="宋体"/>
                <w:szCs w:val="21"/>
                <w:lang w:val="en-US" w:eastAsia="zh-CN"/>
              </w:rPr>
              <w:t>商务得分B</w:t>
            </w:r>
            <w:r>
              <w:rPr>
                <w:rFonts w:hint="eastAsia" w:ascii="宋体" w:hAnsi="宋体" w:cs="宋体"/>
                <w:szCs w:val="21"/>
              </w:rPr>
              <w:t>、报价得分</w:t>
            </w:r>
            <w:r>
              <w:rPr>
                <w:rFonts w:hint="eastAsia" w:ascii="宋体" w:hAnsi="宋体" w:cs="宋体"/>
                <w:szCs w:val="21"/>
                <w:lang w:val="en-US" w:eastAsia="zh-CN"/>
              </w:rPr>
              <w:t>C</w:t>
            </w:r>
            <w:r>
              <w:rPr>
                <w:rFonts w:hint="eastAsia" w:ascii="宋体" w:hAnsi="宋体" w:cs="宋体"/>
                <w:szCs w:val="21"/>
              </w:rPr>
              <w:t>进行汇总，确定得分由高至低前三名投标人为中标候选人。</w:t>
            </w:r>
          </w:p>
          <w:p w14:paraId="7AC349F4">
            <w:pPr>
              <w:keepNext w:val="0"/>
              <w:keepLines w:val="0"/>
              <w:pageBreakBefore w:val="0"/>
              <w:kinsoku/>
              <w:wordWrap/>
              <w:overflowPunct/>
              <w:topLinePunct w:val="0"/>
              <w:bidi w:val="0"/>
              <w:spacing w:beforeLines="0" w:after="0" w:afterLines="0" w:line="400" w:lineRule="exact"/>
              <w:ind w:firstLine="420" w:firstLineChars="200"/>
              <w:textAlignment w:val="auto"/>
              <w:rPr>
                <w:rFonts w:hint="eastAsia" w:ascii="宋体" w:hAnsi="宋体" w:cs="宋体"/>
                <w:szCs w:val="21"/>
                <w:lang w:val="en-US" w:eastAsia="zh-CN"/>
              </w:rPr>
            </w:pPr>
            <w:r>
              <w:rPr>
                <w:rFonts w:hint="eastAsia" w:ascii="宋体" w:hAnsi="宋体" w:cs="宋体"/>
                <w:szCs w:val="21"/>
                <w:lang w:val="en-US" w:eastAsia="zh-CN"/>
              </w:rPr>
              <w:t>注：</w:t>
            </w:r>
          </w:p>
          <w:p w14:paraId="767E9D30">
            <w:pPr>
              <w:keepNext w:val="0"/>
              <w:keepLines w:val="0"/>
              <w:pageBreakBefore w:val="0"/>
              <w:kinsoku/>
              <w:wordWrap/>
              <w:overflowPunct/>
              <w:topLinePunct w:val="0"/>
              <w:bidi w:val="0"/>
              <w:spacing w:beforeLines="0" w:after="0" w:afterLines="0" w:line="400" w:lineRule="exact"/>
              <w:ind w:firstLine="420" w:firstLineChars="200"/>
              <w:textAlignment w:val="auto"/>
              <w:rPr>
                <w:rFonts w:hint="eastAsia" w:ascii="宋体" w:hAnsi="宋体" w:cs="宋体"/>
                <w:szCs w:val="21"/>
              </w:rPr>
            </w:pPr>
            <w:r>
              <w:rPr>
                <w:rFonts w:hint="eastAsia" w:ascii="宋体" w:hAnsi="宋体" w:cs="宋体"/>
                <w:szCs w:val="21"/>
                <w:lang w:val="en-US" w:eastAsia="zh-CN"/>
              </w:rPr>
              <w:t>（1）</w:t>
            </w:r>
            <w:r>
              <w:rPr>
                <w:rFonts w:hint="eastAsia" w:ascii="宋体" w:hAnsi="宋体" w:cs="宋体"/>
                <w:szCs w:val="21"/>
              </w:rPr>
              <w:t>因评标委员会作否决投标导致有效投标人不足三个的，评标委员会应当</w:t>
            </w:r>
            <w:r>
              <w:rPr>
                <w:rFonts w:hint="eastAsia" w:ascii="宋体" w:hAnsi="宋体" w:cs="宋体"/>
                <w:spacing w:val="4"/>
                <w:kern w:val="0"/>
                <w:szCs w:val="21"/>
              </w:rPr>
              <w:t>对有效投标人是否仍具有竞争性进行论证。评标委员会认为有效投标人</w:t>
            </w:r>
            <w:r>
              <w:rPr>
                <w:rFonts w:hint="eastAsia" w:ascii="宋体" w:hAnsi="宋体" w:cs="宋体"/>
                <w:szCs w:val="21"/>
              </w:rPr>
              <w:t>的经济、技术等指标仍然具有市场竞争力，能够满足招标文件要求的，评标委员会可以继续评标并确定中标候选人。</w:t>
            </w:r>
            <w:r>
              <w:rPr>
                <w:rFonts w:hint="eastAsia" w:ascii="宋体" w:hAnsi="宋体" w:eastAsia="宋体" w:cs="宋体"/>
                <w:i w:val="0"/>
                <w:iCs w:val="0"/>
                <w:color w:val="auto"/>
                <w:kern w:val="0"/>
                <w:szCs w:val="21"/>
                <w:highlight w:val="none"/>
                <w:lang w:val="en-US" w:eastAsia="zh-CN"/>
              </w:rPr>
              <w:t>（注：本款只适用于首次招标。</w:t>
            </w:r>
            <w:r>
              <w:rPr>
                <w:rFonts w:hint="eastAsia" w:ascii="宋体" w:hAnsi="宋体" w:cs="宋体"/>
                <w:i w:val="0"/>
                <w:iCs w:val="0"/>
                <w:color w:val="auto"/>
                <w:kern w:val="0"/>
                <w:szCs w:val="21"/>
                <w:highlight w:val="none"/>
                <w:lang w:val="en-US" w:eastAsia="zh-CN"/>
              </w:rPr>
              <w:t>重新招标经评审有有效投标人的，应当依法确定中标候选人。</w:t>
            </w:r>
            <w:r>
              <w:rPr>
                <w:rFonts w:hint="eastAsia" w:ascii="宋体" w:hAnsi="宋体" w:eastAsia="宋体" w:cs="宋体"/>
                <w:i w:val="0"/>
                <w:iCs w:val="0"/>
                <w:color w:val="auto"/>
                <w:kern w:val="0"/>
                <w:szCs w:val="21"/>
                <w:highlight w:val="none"/>
                <w:lang w:val="en-US" w:eastAsia="zh-CN"/>
              </w:rPr>
              <w:t>）</w:t>
            </w:r>
          </w:p>
          <w:p w14:paraId="79990770">
            <w:pPr>
              <w:keepNext w:val="0"/>
              <w:keepLines w:val="0"/>
              <w:pageBreakBefore w:val="0"/>
              <w:widowControl/>
              <w:kinsoku/>
              <w:wordWrap/>
              <w:overflowPunct/>
              <w:topLinePunct w:val="0"/>
              <w:bidi w:val="0"/>
              <w:spacing w:beforeLines="0" w:beforeAutospacing="0" w:after="0" w:afterLines="0" w:afterAutospacing="0" w:line="400" w:lineRule="exact"/>
              <w:ind w:firstLine="420" w:firstLineChars="200"/>
              <w:jc w:val="left"/>
              <w:textAlignment w:val="auto"/>
              <w:rPr>
                <w:rFonts w:hint="eastAsia" w:ascii="宋体" w:hAnsi="宋体" w:cs="宋体"/>
                <w:color w:val="auto"/>
                <w:kern w:val="0"/>
                <w:szCs w:val="21"/>
              </w:rPr>
            </w:pPr>
            <w:r>
              <w:rPr>
                <w:rFonts w:hint="eastAsia" w:ascii="宋体" w:hAnsi="宋体" w:cs="宋体"/>
                <w:kern w:val="0"/>
                <w:szCs w:val="21"/>
                <w:lang w:val="en-US" w:eastAsia="zh-CN"/>
              </w:rPr>
              <w:t>（2）综合评分</w:t>
            </w:r>
            <w:r>
              <w:rPr>
                <w:rFonts w:hint="eastAsia" w:ascii="宋体" w:hAnsi="宋体" w:cs="宋体"/>
                <w:kern w:val="0"/>
                <w:szCs w:val="21"/>
              </w:rPr>
              <w:t>相</w:t>
            </w:r>
            <w:r>
              <w:rPr>
                <w:rFonts w:hint="eastAsia" w:ascii="宋体" w:hAnsi="宋体" w:cs="宋体"/>
                <w:kern w:val="0"/>
                <w:szCs w:val="21"/>
                <w:lang w:eastAsia="zh-CN"/>
              </w:rPr>
              <w:t>等</w:t>
            </w:r>
            <w:r>
              <w:rPr>
                <w:rFonts w:hint="eastAsia" w:ascii="宋体" w:hAnsi="宋体" w:cs="宋体"/>
                <w:kern w:val="0"/>
                <w:szCs w:val="21"/>
              </w:rPr>
              <w:t>的，以投标报价低的优先；投标报价相</w:t>
            </w:r>
            <w:r>
              <w:rPr>
                <w:rFonts w:hint="eastAsia" w:ascii="宋体" w:hAnsi="宋体" w:cs="宋体"/>
                <w:kern w:val="0"/>
                <w:szCs w:val="21"/>
                <w:lang w:eastAsia="zh-CN"/>
              </w:rPr>
              <w:t>等</w:t>
            </w:r>
            <w:r>
              <w:rPr>
                <w:rFonts w:hint="eastAsia" w:ascii="宋体" w:hAnsi="宋体" w:cs="宋体"/>
                <w:kern w:val="0"/>
                <w:szCs w:val="21"/>
              </w:rPr>
              <w:t>的</w:t>
            </w:r>
            <w:r>
              <w:rPr>
                <w:rFonts w:hint="eastAsia" w:ascii="宋体" w:hAnsi="宋体" w:cs="宋体"/>
                <w:color w:val="auto"/>
                <w:kern w:val="0"/>
                <w:szCs w:val="21"/>
              </w:rPr>
              <w:t>，</w:t>
            </w:r>
            <w:r>
              <w:rPr>
                <w:rFonts w:hint="eastAsia" w:ascii="宋体" w:hAnsi="宋体" w:cs="宋体"/>
                <w:color w:val="auto"/>
                <w:kern w:val="0"/>
                <w:szCs w:val="21"/>
                <w:lang w:eastAsia="zh-CN"/>
              </w:rPr>
              <w:t>以</w:t>
            </w:r>
            <w:r>
              <w:rPr>
                <w:rFonts w:hint="eastAsia" w:ascii="宋体" w:hAnsi="宋体" w:cs="宋体"/>
                <w:color w:val="auto"/>
                <w:kern w:val="0"/>
                <w:szCs w:val="21"/>
                <w:u w:val="single"/>
                <w:lang w:val="en-US" w:eastAsia="zh-CN"/>
              </w:rPr>
              <w:t>技术评审得分高的</w:t>
            </w:r>
            <w:r>
              <w:rPr>
                <w:rFonts w:hint="eastAsia" w:ascii="宋体" w:hAnsi="宋体" w:cs="宋体"/>
                <w:color w:val="auto"/>
                <w:kern w:val="0"/>
                <w:szCs w:val="21"/>
                <w:u w:val="none"/>
                <w:lang w:val="en-US" w:eastAsia="zh-CN"/>
              </w:rPr>
              <w:t>优先；</w:t>
            </w:r>
            <w:r>
              <w:rPr>
                <w:rFonts w:hint="eastAsia" w:ascii="宋体" w:hAnsi="宋体" w:cs="宋体"/>
                <w:color w:val="auto"/>
                <w:kern w:val="0"/>
                <w:szCs w:val="21"/>
                <w:u w:val="single"/>
                <w:lang w:val="en-US" w:eastAsia="zh-CN"/>
              </w:rPr>
              <w:t xml:space="preserve"> 技术得分 </w:t>
            </w:r>
            <w:r>
              <w:rPr>
                <w:rFonts w:hint="eastAsia" w:ascii="宋体" w:hAnsi="宋体" w:cs="宋体"/>
                <w:color w:val="auto"/>
                <w:kern w:val="0"/>
                <w:szCs w:val="21"/>
                <w:u w:val="none"/>
                <w:lang w:val="en-US" w:eastAsia="zh-CN"/>
              </w:rPr>
              <w:t>也相同的，</w:t>
            </w:r>
            <w:r>
              <w:rPr>
                <w:rFonts w:hint="eastAsia" w:ascii="宋体" w:hAnsi="宋体" w:cs="宋体"/>
                <w:color w:val="auto"/>
                <w:kern w:val="0"/>
                <w:szCs w:val="21"/>
              </w:rPr>
              <w:t>由评标委员</w:t>
            </w:r>
            <w:r>
              <w:rPr>
                <w:rFonts w:hint="eastAsia" w:ascii="宋体" w:hAnsi="宋体" w:cs="宋体"/>
                <w:color w:val="auto"/>
                <w:kern w:val="0"/>
                <w:szCs w:val="21"/>
                <w:lang w:val="en-US" w:eastAsia="zh-CN"/>
              </w:rPr>
              <w:t>会</w:t>
            </w:r>
            <w:r>
              <w:rPr>
                <w:rFonts w:hint="eastAsia" w:ascii="宋体" w:hAnsi="宋体" w:cs="宋体"/>
                <w:color w:val="auto"/>
                <w:kern w:val="0"/>
                <w:szCs w:val="21"/>
                <w:lang w:eastAsia="zh-CN"/>
              </w:rPr>
              <w:t>投票</w:t>
            </w:r>
            <w:r>
              <w:rPr>
                <w:rFonts w:hint="eastAsia" w:ascii="宋体" w:hAnsi="宋体" w:cs="宋体"/>
                <w:color w:val="auto"/>
                <w:kern w:val="0"/>
                <w:szCs w:val="21"/>
              </w:rPr>
              <w:t>排序。</w:t>
            </w:r>
          </w:p>
          <w:p w14:paraId="2B4F1071">
            <w:pPr>
              <w:spacing w:line="400" w:lineRule="exact"/>
              <w:ind w:firstLine="420" w:firstLineChars="200"/>
              <w:rPr>
                <w:rFonts w:ascii="宋体" w:hAnsi="宋体"/>
                <w:kern w:val="0"/>
                <w:szCs w:val="21"/>
              </w:rPr>
            </w:pPr>
          </w:p>
        </w:tc>
      </w:tr>
      <w:tr w14:paraId="6287124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1B41C1B7">
            <w:pPr>
              <w:spacing w:line="400" w:lineRule="exact"/>
              <w:jc w:val="center"/>
              <w:rPr>
                <w:rFonts w:ascii="宋体" w:hAnsi="宋体"/>
              </w:rPr>
            </w:pPr>
            <w:r>
              <w:rPr>
                <w:rFonts w:hint="eastAsia" w:ascii="宋体" w:hAnsi="宋体"/>
              </w:rPr>
              <w:t>3.2.3</w:t>
            </w:r>
          </w:p>
        </w:tc>
        <w:tc>
          <w:tcPr>
            <w:tcW w:w="1680" w:type="dxa"/>
            <w:vAlign w:val="center"/>
          </w:tcPr>
          <w:p w14:paraId="5BAD4DCE">
            <w:pPr>
              <w:spacing w:line="400" w:lineRule="exact"/>
              <w:jc w:val="center"/>
              <w:rPr>
                <w:rFonts w:hint="eastAsia" w:ascii="宋体" w:hAnsi="宋体"/>
              </w:rPr>
            </w:pPr>
            <w:r>
              <w:rPr>
                <w:rFonts w:hint="eastAsia" w:ascii="宋体" w:hAnsi="宋体"/>
              </w:rPr>
              <w:t>投标人得分</w:t>
            </w:r>
          </w:p>
        </w:tc>
        <w:tc>
          <w:tcPr>
            <w:tcW w:w="6974" w:type="dxa"/>
            <w:gridSpan w:val="2"/>
            <w:tcBorders>
              <w:top w:val="single" w:color="auto" w:sz="4" w:space="0"/>
              <w:bottom w:val="single" w:color="auto" w:sz="4" w:space="0"/>
            </w:tcBorders>
            <w:vAlign w:val="center"/>
          </w:tcPr>
          <w:p w14:paraId="26EA0CCD">
            <w:pPr>
              <w:spacing w:line="400" w:lineRule="exact"/>
              <w:ind w:firstLine="420" w:firstLineChars="200"/>
              <w:rPr>
                <w:rFonts w:ascii="宋体" w:hAnsi="宋体"/>
                <w:kern w:val="0"/>
                <w:szCs w:val="21"/>
              </w:rPr>
            </w:pPr>
            <w:r>
              <w:rPr>
                <w:rFonts w:hint="eastAsia" w:ascii="宋体" w:hAnsi="宋体"/>
              </w:rPr>
              <w:t>投标人得分=</w:t>
            </w:r>
            <w:r>
              <w:rPr>
                <w:rFonts w:hint="eastAsia" w:ascii="宋体" w:hAnsi="宋体"/>
                <w:kern w:val="0"/>
                <w:szCs w:val="21"/>
              </w:rPr>
              <w:t>A+B+C</w:t>
            </w:r>
          </w:p>
        </w:tc>
      </w:tr>
      <w:tr w14:paraId="4CDB3C2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rHeight w:val="435" w:hRule="atLeast"/>
          <w:jc w:val="center"/>
        </w:trPr>
        <w:tc>
          <w:tcPr>
            <w:tcW w:w="934" w:type="dxa"/>
            <w:vAlign w:val="center"/>
          </w:tcPr>
          <w:p w14:paraId="03A19428">
            <w:pPr>
              <w:spacing w:line="400" w:lineRule="exact"/>
              <w:jc w:val="center"/>
              <w:rPr>
                <w:rFonts w:ascii="宋体" w:hAnsi="宋体"/>
              </w:rPr>
            </w:pPr>
            <w:r>
              <w:rPr>
                <w:rFonts w:hint="eastAsia" w:ascii="宋体" w:hAnsi="宋体"/>
              </w:rPr>
              <w:t>3.4</w:t>
            </w:r>
          </w:p>
        </w:tc>
        <w:tc>
          <w:tcPr>
            <w:tcW w:w="1680" w:type="dxa"/>
            <w:vAlign w:val="center"/>
          </w:tcPr>
          <w:p w14:paraId="0F49FD38">
            <w:pPr>
              <w:spacing w:line="400" w:lineRule="exact"/>
              <w:jc w:val="center"/>
              <w:rPr>
                <w:rFonts w:hint="eastAsia" w:ascii="宋体" w:hAnsi="宋体"/>
              </w:rPr>
            </w:pPr>
            <w:r>
              <w:rPr>
                <w:rFonts w:hint="eastAsia" w:ascii="宋体" w:hAnsi="宋体"/>
              </w:rPr>
              <w:t>评标结果</w:t>
            </w:r>
          </w:p>
        </w:tc>
        <w:tc>
          <w:tcPr>
            <w:tcW w:w="6974" w:type="dxa"/>
            <w:gridSpan w:val="2"/>
            <w:tcBorders>
              <w:top w:val="single" w:color="auto" w:sz="4" w:space="0"/>
            </w:tcBorders>
            <w:vAlign w:val="center"/>
          </w:tcPr>
          <w:p w14:paraId="35287DCB">
            <w:pPr>
              <w:spacing w:line="400" w:lineRule="exact"/>
              <w:ind w:firstLine="420" w:firstLineChars="200"/>
              <w:rPr>
                <w:rFonts w:hint="eastAsia" w:ascii="宋体" w:hAnsi="宋体" w:eastAsia="宋体" w:cs="宋体"/>
              </w:rPr>
            </w:pPr>
            <w:r>
              <w:rPr>
                <w:rFonts w:hint="eastAsia" w:ascii="宋体" w:hAnsi="宋体" w:eastAsia="宋体" w:cs="宋体"/>
              </w:rPr>
              <w:t>3.4.1除第二章</w:t>
            </w:r>
            <w:r>
              <w:rPr>
                <w:rFonts w:hint="eastAsia" w:ascii="宋体" w:hAnsi="宋体" w:eastAsia="宋体" w:cs="宋体"/>
                <w:lang w:eastAsia="zh-CN"/>
              </w:rPr>
              <w:t>“</w:t>
            </w:r>
            <w:r>
              <w:rPr>
                <w:rFonts w:hint="eastAsia" w:ascii="宋体" w:hAnsi="宋体" w:eastAsia="宋体" w:cs="宋体"/>
              </w:rPr>
              <w:t>投标人须知</w:t>
            </w:r>
            <w:r>
              <w:rPr>
                <w:rFonts w:hint="eastAsia" w:ascii="宋体" w:hAnsi="宋体" w:eastAsia="宋体" w:cs="宋体"/>
                <w:lang w:eastAsia="zh-CN"/>
              </w:rPr>
              <w:t>”</w:t>
            </w:r>
            <w:r>
              <w:rPr>
                <w:rFonts w:hint="eastAsia" w:ascii="宋体" w:hAnsi="宋体" w:eastAsia="宋体" w:cs="宋体"/>
              </w:rPr>
              <w:t>前附表授权直接确定中标人外，评标委员会按照得分由高到低的顺序推荐中标候选人。</w:t>
            </w:r>
          </w:p>
          <w:p w14:paraId="08067ED1">
            <w:pPr>
              <w:spacing w:line="400" w:lineRule="exact"/>
              <w:ind w:firstLine="420" w:firstLineChars="200"/>
            </w:pPr>
            <w:r>
              <w:rPr>
                <w:rFonts w:hint="eastAsia" w:ascii="宋体" w:hAnsi="宋体" w:eastAsia="宋体" w:cs="宋体"/>
                <w:szCs w:val="22"/>
              </w:rPr>
              <w:t>3.4.2</w:t>
            </w:r>
            <w:r>
              <w:rPr>
                <w:szCs w:val="22"/>
              </w:rPr>
              <w:t>评标委员会完成评标后，应当向招标人提交书面评标报告和中标候选人名单。</w:t>
            </w:r>
          </w:p>
        </w:tc>
      </w:tr>
    </w:tbl>
    <w:p w14:paraId="40E7BAB5">
      <w:pPr>
        <w:spacing w:line="360" w:lineRule="auto"/>
        <w:ind w:firstLine="420" w:firstLineChars="200"/>
        <w:rPr>
          <w:szCs w:val="21"/>
        </w:rPr>
      </w:pPr>
    </w:p>
    <w:p w14:paraId="1BCD5464">
      <w:pPr>
        <w:spacing w:line="360" w:lineRule="auto"/>
        <w:ind w:firstLine="420" w:firstLineChars="200"/>
        <w:rPr>
          <w:szCs w:val="21"/>
        </w:rPr>
      </w:pPr>
    </w:p>
    <w:p w14:paraId="00601666">
      <w:pPr>
        <w:spacing w:line="360" w:lineRule="auto"/>
        <w:ind w:firstLine="420" w:firstLineChars="200"/>
        <w:rPr>
          <w:szCs w:val="21"/>
        </w:rPr>
      </w:pPr>
    </w:p>
    <w:bookmarkEnd w:id="515"/>
    <w:bookmarkEnd w:id="516"/>
    <w:bookmarkEnd w:id="517"/>
    <w:bookmarkEnd w:id="518"/>
    <w:bookmarkEnd w:id="519"/>
    <w:p w14:paraId="14B5C9AC">
      <w:pPr>
        <w:pStyle w:val="3"/>
        <w:spacing w:before="0" w:after="0" w:line="360" w:lineRule="auto"/>
        <w:rPr>
          <w:rFonts w:ascii="宋体" w:hAnsi="宋体"/>
          <w:b w:val="0"/>
          <w:snapToGrid w:val="0"/>
        </w:rPr>
      </w:pPr>
      <w:bookmarkStart w:id="523" w:name="_Toc509218776"/>
      <w:r>
        <w:rPr>
          <w:rFonts w:ascii="宋体" w:hAnsi="宋体"/>
          <w:b w:val="0"/>
          <w:snapToGrid w:val="0"/>
        </w:rPr>
        <w:br w:type="page"/>
      </w:r>
      <w:bookmarkStart w:id="524" w:name="_Toc9334"/>
      <w:bookmarkStart w:id="525" w:name="_Toc20523"/>
      <w:r>
        <w:rPr>
          <w:rFonts w:ascii="宋体" w:hAnsi="宋体"/>
          <w:b w:val="0"/>
          <w:snapToGrid w:val="0"/>
        </w:rPr>
        <w:t>1.  评标方法</w:t>
      </w:r>
      <w:bookmarkEnd w:id="523"/>
      <w:bookmarkEnd w:id="524"/>
      <w:bookmarkEnd w:id="525"/>
    </w:p>
    <w:p w14:paraId="3D83674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本次评标采用综合评估法</w:t>
      </w:r>
      <w:r>
        <w:rPr>
          <w:rFonts w:ascii="宋体" w:hAnsi="宋体"/>
          <w:spacing w:val="-47"/>
          <w:kern w:val="0"/>
          <w:szCs w:val="21"/>
        </w:rPr>
        <w:t>。</w:t>
      </w:r>
      <w:r>
        <w:rPr>
          <w:rFonts w:ascii="宋体" w:hAnsi="宋体"/>
          <w:kern w:val="0"/>
          <w:szCs w:val="21"/>
        </w:rPr>
        <w:t xml:space="preserve">评标委员会对满足招标文件实质性要求的投标文件，按照本章第 </w:t>
      </w:r>
      <w:r>
        <w:rPr>
          <w:rFonts w:ascii="宋体" w:hAnsi="宋体"/>
          <w:spacing w:val="1"/>
          <w:kern w:val="0"/>
          <w:szCs w:val="21"/>
        </w:rPr>
        <w:t>2</w:t>
      </w:r>
      <w:r>
        <w:rPr>
          <w:rFonts w:ascii="宋体" w:hAnsi="宋体"/>
          <w:spacing w:val="-1"/>
          <w:kern w:val="0"/>
          <w:szCs w:val="21"/>
        </w:rPr>
        <w:t>.</w:t>
      </w:r>
      <w:r>
        <w:rPr>
          <w:rFonts w:ascii="宋体" w:hAnsi="宋体"/>
          <w:kern w:val="0"/>
          <w:szCs w:val="21"/>
        </w:rPr>
        <w:t>2</w:t>
      </w:r>
      <w:r>
        <w:rPr>
          <w:rFonts w:ascii="宋体" w:hAnsi="宋体"/>
          <w:spacing w:val="1"/>
          <w:kern w:val="0"/>
          <w:szCs w:val="21"/>
        </w:rPr>
        <w:t xml:space="preserve"> </w:t>
      </w:r>
      <w:r>
        <w:rPr>
          <w:rFonts w:ascii="宋体" w:hAnsi="宋体"/>
          <w:kern w:val="0"/>
          <w:szCs w:val="21"/>
        </w:rPr>
        <w:t>款</w:t>
      </w:r>
      <w:r>
        <w:rPr>
          <w:rFonts w:ascii="宋体" w:hAnsi="宋体"/>
          <w:spacing w:val="-1"/>
          <w:kern w:val="0"/>
          <w:szCs w:val="21"/>
        </w:rPr>
        <w:t>规</w:t>
      </w:r>
      <w:r>
        <w:rPr>
          <w:rFonts w:ascii="宋体" w:hAnsi="宋体"/>
          <w:kern w:val="0"/>
          <w:szCs w:val="21"/>
        </w:rPr>
        <w:t>定的评分标准进行</w:t>
      </w:r>
      <w:r>
        <w:rPr>
          <w:rFonts w:hint="eastAsia" w:ascii="宋体" w:hAnsi="宋体"/>
          <w:kern w:val="0"/>
          <w:szCs w:val="21"/>
        </w:rPr>
        <w:t>评分</w:t>
      </w:r>
      <w:r>
        <w:rPr>
          <w:rFonts w:ascii="宋体" w:hAnsi="宋体"/>
          <w:kern w:val="0"/>
          <w:szCs w:val="21"/>
        </w:rPr>
        <w:t>，</w:t>
      </w:r>
      <w:r>
        <w:rPr>
          <w:rFonts w:hint="eastAsia" w:ascii="宋体" w:hAnsi="宋体"/>
          <w:kern w:val="0"/>
          <w:szCs w:val="21"/>
        </w:rPr>
        <w:t>并</w:t>
      </w:r>
      <w:r>
        <w:rPr>
          <w:rFonts w:ascii="宋体" w:hAnsi="宋体"/>
          <w:kern w:val="0"/>
          <w:szCs w:val="21"/>
        </w:rPr>
        <w:t>按得分由高到低顺序推荐中标候选人</w:t>
      </w:r>
      <w:r>
        <w:rPr>
          <w:rFonts w:ascii="宋体" w:hAnsi="宋体"/>
          <w:spacing w:val="-20"/>
          <w:kern w:val="0"/>
          <w:szCs w:val="21"/>
        </w:rPr>
        <w:t>，</w:t>
      </w:r>
      <w:r>
        <w:rPr>
          <w:rFonts w:ascii="宋体" w:hAnsi="宋体"/>
          <w:kern w:val="0"/>
          <w:szCs w:val="21"/>
        </w:rPr>
        <w:t>或根据招标人授权直接确定中标人。</w:t>
      </w:r>
      <w:r>
        <w:rPr>
          <w:rFonts w:hint="eastAsia" w:ascii="宋体" w:hAnsi="宋体"/>
          <w:kern w:val="0"/>
          <w:szCs w:val="21"/>
          <w:lang w:val="en-US" w:eastAsia="zh-CN"/>
        </w:rPr>
        <w:t>出现投标人</w:t>
      </w:r>
      <w:r>
        <w:rPr>
          <w:rFonts w:ascii="宋体" w:hAnsi="宋体"/>
          <w:kern w:val="0"/>
          <w:szCs w:val="21"/>
        </w:rPr>
        <w:t>综合评分相等时，</w:t>
      </w:r>
      <w:r>
        <w:rPr>
          <w:rFonts w:hint="eastAsia" w:ascii="宋体" w:hAnsi="宋体"/>
          <w:kern w:val="0"/>
          <w:szCs w:val="21"/>
        </w:rPr>
        <w:t>以评标办法前附表约定的原则确定</w:t>
      </w:r>
      <w:r>
        <w:rPr>
          <w:rFonts w:hint="eastAsia"/>
          <w:lang w:val="en-US" w:eastAsia="zh-CN"/>
        </w:rPr>
        <w:t>排序</w:t>
      </w:r>
      <w:r>
        <w:rPr>
          <w:rFonts w:ascii="宋体" w:hAnsi="宋体"/>
          <w:spacing w:val="-31"/>
          <w:kern w:val="0"/>
          <w:szCs w:val="21"/>
        </w:rPr>
        <w:t>。</w:t>
      </w:r>
    </w:p>
    <w:p w14:paraId="58B5CEF5">
      <w:pPr>
        <w:pStyle w:val="3"/>
        <w:spacing w:before="0" w:after="0" w:line="360" w:lineRule="auto"/>
        <w:rPr>
          <w:rFonts w:ascii="宋体" w:hAnsi="宋体"/>
          <w:b w:val="0"/>
          <w:snapToGrid w:val="0"/>
        </w:rPr>
      </w:pPr>
      <w:bookmarkStart w:id="526" w:name="_Toc287620752"/>
      <w:bookmarkStart w:id="527" w:name="_Toc11608"/>
      <w:bookmarkStart w:id="528" w:name="_Toc200513199"/>
      <w:bookmarkStart w:id="529" w:name="_Toc287607813"/>
      <w:bookmarkStart w:id="530" w:name="_Toc509218777"/>
      <w:bookmarkStart w:id="531" w:name="_Toc25801"/>
      <w:bookmarkStart w:id="532" w:name="_Toc430530501"/>
      <w:bookmarkStart w:id="533" w:name="_Toc224103385"/>
      <w:bookmarkStart w:id="534" w:name="_Toc277082619"/>
      <w:r>
        <w:rPr>
          <w:rFonts w:ascii="宋体" w:hAnsi="宋体"/>
          <w:b w:val="0"/>
          <w:snapToGrid w:val="0"/>
        </w:rPr>
        <w:t>2.  评审标准</w:t>
      </w:r>
      <w:bookmarkEnd w:id="526"/>
      <w:bookmarkEnd w:id="527"/>
      <w:bookmarkEnd w:id="528"/>
      <w:bookmarkEnd w:id="529"/>
      <w:bookmarkEnd w:id="530"/>
      <w:bookmarkEnd w:id="531"/>
      <w:bookmarkEnd w:id="532"/>
      <w:bookmarkEnd w:id="533"/>
      <w:bookmarkEnd w:id="534"/>
    </w:p>
    <w:p w14:paraId="15A566A3">
      <w:pPr>
        <w:pStyle w:val="4"/>
        <w:snapToGrid w:val="0"/>
        <w:spacing w:before="0" w:after="0" w:line="360" w:lineRule="auto"/>
        <w:rPr>
          <w:rFonts w:ascii="宋体" w:hAnsi="宋体"/>
          <w:b w:val="0"/>
          <w:snapToGrid w:val="0"/>
          <w:sz w:val="24"/>
          <w:szCs w:val="24"/>
        </w:rPr>
      </w:pPr>
      <w:bookmarkStart w:id="535" w:name="_Toc509218778"/>
      <w:bookmarkStart w:id="536" w:name="_Toc664"/>
      <w:bookmarkStart w:id="537" w:name="_Toc103"/>
      <w:bookmarkStart w:id="538" w:name="_Toc277082620"/>
      <w:bookmarkStart w:id="539" w:name="_Toc287607814"/>
      <w:bookmarkStart w:id="540" w:name="_Toc430530502"/>
      <w:bookmarkStart w:id="541" w:name="_Toc287620753"/>
      <w:bookmarkStart w:id="542" w:name="_Toc200513200"/>
      <w:bookmarkStart w:id="543" w:name="_Toc224103386"/>
      <w:r>
        <w:rPr>
          <w:rFonts w:ascii="宋体" w:hAnsi="宋体"/>
          <w:b w:val="0"/>
          <w:snapToGrid w:val="0"/>
          <w:sz w:val="24"/>
          <w:szCs w:val="24"/>
        </w:rPr>
        <w:t>2.1  初步评审标准</w:t>
      </w:r>
      <w:bookmarkEnd w:id="535"/>
      <w:bookmarkEnd w:id="536"/>
      <w:bookmarkEnd w:id="537"/>
      <w:bookmarkEnd w:id="538"/>
      <w:bookmarkEnd w:id="539"/>
      <w:bookmarkEnd w:id="540"/>
      <w:bookmarkEnd w:id="541"/>
      <w:bookmarkEnd w:id="542"/>
      <w:bookmarkEnd w:id="543"/>
    </w:p>
    <w:p w14:paraId="163B8C2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1A</w:t>
      </w:r>
      <w:r>
        <w:rPr>
          <w:rFonts w:ascii="宋体" w:hAnsi="宋体"/>
          <w:kern w:val="0"/>
          <w:szCs w:val="21"/>
        </w:rPr>
        <w:t xml:space="preserve">  资格评审标准：见评标办法前附表（适用于未进行资格预审的）。</w:t>
      </w:r>
    </w:p>
    <w:p w14:paraId="0D59988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1B</w:t>
      </w:r>
      <w:r>
        <w:rPr>
          <w:rFonts w:ascii="宋体" w:hAnsi="宋体"/>
          <w:kern w:val="0"/>
          <w:szCs w:val="21"/>
        </w:rPr>
        <w:t xml:space="preserve">  资格评审标准：见资格预审文件第三章“资格审查办法”详细审查标准（适用于已进行资格预审的）。</w:t>
      </w:r>
    </w:p>
    <w:p w14:paraId="4B84AA9B">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w:t>
      </w:r>
      <w:r>
        <w:rPr>
          <w:rFonts w:hint="eastAsia" w:ascii="宋体" w:hAnsi="宋体"/>
          <w:kern w:val="0"/>
          <w:szCs w:val="21"/>
        </w:rPr>
        <w:t>2</w:t>
      </w:r>
      <w:r>
        <w:rPr>
          <w:rFonts w:ascii="宋体" w:hAnsi="宋体"/>
          <w:kern w:val="0"/>
          <w:szCs w:val="21"/>
        </w:rPr>
        <w:t xml:space="preserve">  形式评审标准：见评标办法前附表。</w:t>
      </w:r>
    </w:p>
    <w:p w14:paraId="1FBCC95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2.1.3  响应性评审标准：见评标办法前附表。</w:t>
      </w:r>
    </w:p>
    <w:p w14:paraId="45CA064A">
      <w:pPr>
        <w:pStyle w:val="4"/>
        <w:snapToGrid w:val="0"/>
        <w:spacing w:before="0" w:after="0" w:line="360" w:lineRule="auto"/>
        <w:rPr>
          <w:rFonts w:ascii="宋体" w:hAnsi="宋体"/>
          <w:b w:val="0"/>
          <w:snapToGrid w:val="0"/>
          <w:sz w:val="24"/>
          <w:szCs w:val="24"/>
        </w:rPr>
      </w:pPr>
      <w:bookmarkStart w:id="544" w:name="_Toc430530503"/>
      <w:bookmarkStart w:id="545" w:name="_Toc287620754"/>
      <w:bookmarkStart w:id="546" w:name="_Toc26090"/>
      <w:bookmarkStart w:id="547" w:name="_Toc287607815"/>
      <w:bookmarkStart w:id="548" w:name="_Toc5446"/>
      <w:bookmarkStart w:id="549" w:name="_Toc200513201"/>
      <w:bookmarkStart w:id="550" w:name="_Toc277082621"/>
      <w:bookmarkStart w:id="551" w:name="_Toc224103387"/>
      <w:bookmarkStart w:id="552" w:name="_Toc509218779"/>
      <w:r>
        <w:rPr>
          <w:rFonts w:ascii="宋体" w:hAnsi="宋体"/>
          <w:b w:val="0"/>
          <w:snapToGrid w:val="0"/>
          <w:sz w:val="24"/>
          <w:szCs w:val="24"/>
        </w:rPr>
        <w:t>2.2  分值构成与</w:t>
      </w:r>
      <w:r>
        <w:rPr>
          <w:rFonts w:hint="eastAsia" w:ascii="宋体" w:hAnsi="宋体"/>
          <w:b w:val="0"/>
          <w:snapToGrid w:val="0"/>
          <w:sz w:val="24"/>
          <w:szCs w:val="24"/>
        </w:rPr>
        <w:t>评审</w:t>
      </w:r>
      <w:r>
        <w:rPr>
          <w:rFonts w:ascii="宋体" w:hAnsi="宋体"/>
          <w:b w:val="0"/>
          <w:snapToGrid w:val="0"/>
          <w:sz w:val="24"/>
          <w:szCs w:val="24"/>
        </w:rPr>
        <w:t>标准</w:t>
      </w:r>
      <w:bookmarkEnd w:id="544"/>
      <w:bookmarkEnd w:id="545"/>
      <w:bookmarkEnd w:id="546"/>
      <w:bookmarkEnd w:id="547"/>
      <w:bookmarkEnd w:id="548"/>
      <w:bookmarkEnd w:id="549"/>
      <w:bookmarkEnd w:id="550"/>
      <w:bookmarkEnd w:id="551"/>
      <w:bookmarkEnd w:id="552"/>
    </w:p>
    <w:p w14:paraId="420BDFE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2.2.1  分值构成</w:t>
      </w:r>
    </w:p>
    <w:p w14:paraId="6323D464">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1</w:t>
      </w:r>
      <w:r>
        <w:rPr>
          <w:rFonts w:ascii="宋体" w:hAnsi="宋体"/>
          <w:kern w:val="0"/>
          <w:szCs w:val="21"/>
        </w:rPr>
        <w:t>）技术</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3E8F5EFF">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ascii="宋体" w:hAnsi="宋体"/>
          <w:spacing w:val="1"/>
          <w:kern w:val="0"/>
          <w:szCs w:val="21"/>
        </w:rPr>
        <w:t>2</w:t>
      </w:r>
      <w:r>
        <w:rPr>
          <w:rFonts w:ascii="宋体" w:hAnsi="宋体"/>
          <w:kern w:val="0"/>
          <w:szCs w:val="21"/>
        </w:rPr>
        <w:t>）</w:t>
      </w:r>
      <w:r>
        <w:rPr>
          <w:rFonts w:hint="eastAsia" w:ascii="宋体" w:hAnsi="宋体"/>
          <w:kern w:val="0"/>
          <w:szCs w:val="21"/>
        </w:rPr>
        <w:t>商务</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7804530C">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spacing w:val="1"/>
          <w:kern w:val="0"/>
          <w:szCs w:val="21"/>
        </w:rPr>
        <w:t>3</w:t>
      </w:r>
      <w:r>
        <w:rPr>
          <w:rFonts w:ascii="宋体" w:hAnsi="宋体"/>
          <w:kern w:val="0"/>
          <w:szCs w:val="21"/>
        </w:rPr>
        <w:t>）</w:t>
      </w:r>
      <w:r>
        <w:rPr>
          <w:rFonts w:ascii="宋体" w:hAnsi="宋体"/>
          <w:spacing w:val="-1"/>
          <w:kern w:val="0"/>
          <w:szCs w:val="21"/>
        </w:rPr>
        <w:t>报</w:t>
      </w:r>
      <w:r>
        <w:rPr>
          <w:rFonts w:ascii="宋体" w:hAnsi="宋体"/>
          <w:kern w:val="0"/>
          <w:szCs w:val="21"/>
        </w:rPr>
        <w:t>价</w:t>
      </w:r>
      <w:r>
        <w:rPr>
          <w:rFonts w:hint="eastAsia" w:ascii="宋体" w:hAnsi="宋体"/>
          <w:kern w:val="0"/>
          <w:szCs w:val="21"/>
          <w:lang w:val="en-US" w:eastAsia="zh-CN"/>
        </w:rPr>
        <w:t>评审分值</w:t>
      </w:r>
      <w:r>
        <w:rPr>
          <w:rFonts w:ascii="宋体" w:hAnsi="宋体"/>
          <w:kern w:val="0"/>
          <w:szCs w:val="21"/>
        </w:rPr>
        <w:t>：见评标办法前附表</w:t>
      </w:r>
      <w:r>
        <w:rPr>
          <w:rFonts w:hint="eastAsia" w:ascii="宋体" w:hAnsi="宋体"/>
          <w:kern w:val="0"/>
          <w:szCs w:val="21"/>
        </w:rPr>
        <w:t>。</w:t>
      </w:r>
    </w:p>
    <w:p w14:paraId="5E279D23">
      <w:pPr>
        <w:autoSpaceDE w:val="0"/>
        <w:autoSpaceDN w:val="0"/>
        <w:adjustRightInd w:val="0"/>
        <w:snapToGrid w:val="0"/>
        <w:spacing w:line="360" w:lineRule="auto"/>
        <w:ind w:firstLine="420" w:firstLineChars="200"/>
        <w:rPr>
          <w:rFonts w:ascii="宋体" w:hAnsi="宋体"/>
          <w:kern w:val="0"/>
          <w:szCs w:val="21"/>
        </w:rPr>
      </w:pPr>
      <w:r>
        <w:rPr>
          <w:rFonts w:hint="eastAsia" w:ascii="宋体" w:hAnsi="宋体"/>
          <w:kern w:val="0"/>
          <w:szCs w:val="21"/>
        </w:rPr>
        <w:t>2</w:t>
      </w:r>
      <w:r>
        <w:rPr>
          <w:rFonts w:ascii="宋体" w:hAnsi="宋体"/>
          <w:kern w:val="0"/>
          <w:szCs w:val="21"/>
        </w:rPr>
        <w:t>.2.</w:t>
      </w:r>
      <w:r>
        <w:rPr>
          <w:rFonts w:hint="eastAsia" w:ascii="宋体" w:hAnsi="宋体"/>
          <w:kern w:val="0"/>
          <w:szCs w:val="21"/>
          <w:lang w:val="en-US" w:eastAsia="zh-CN"/>
        </w:rPr>
        <w:t>2</w:t>
      </w:r>
      <w:r>
        <w:rPr>
          <w:rFonts w:ascii="宋体" w:hAnsi="宋体"/>
          <w:kern w:val="0"/>
          <w:szCs w:val="21"/>
        </w:rPr>
        <w:t xml:space="preserve">  评</w:t>
      </w:r>
      <w:r>
        <w:rPr>
          <w:rFonts w:hint="eastAsia" w:ascii="宋体" w:hAnsi="宋体"/>
          <w:kern w:val="0"/>
          <w:szCs w:val="21"/>
        </w:rPr>
        <w:t>审</w:t>
      </w:r>
      <w:r>
        <w:rPr>
          <w:rFonts w:ascii="宋体" w:hAnsi="宋体"/>
          <w:kern w:val="0"/>
          <w:szCs w:val="21"/>
        </w:rPr>
        <w:t>标准</w:t>
      </w:r>
    </w:p>
    <w:p w14:paraId="654ED5D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（1）</w:t>
      </w:r>
      <w:r>
        <w:rPr>
          <w:rFonts w:hint="eastAsia" w:ascii="宋体" w:hAnsi="宋体"/>
          <w:kern w:val="0"/>
          <w:szCs w:val="21"/>
        </w:rPr>
        <w:t>技术</w:t>
      </w:r>
      <w:r>
        <w:rPr>
          <w:rFonts w:hint="eastAsia" w:ascii="宋体" w:hAnsi="宋体"/>
          <w:kern w:val="0"/>
          <w:szCs w:val="21"/>
          <w:lang w:val="en-US" w:eastAsia="zh-CN"/>
        </w:rPr>
        <w:t>评审</w:t>
      </w:r>
      <w:r>
        <w:rPr>
          <w:rFonts w:ascii="宋体" w:hAnsi="宋体"/>
          <w:kern w:val="0"/>
          <w:szCs w:val="21"/>
        </w:rPr>
        <w:t>标准：见评标办法前附表；</w:t>
      </w:r>
    </w:p>
    <w:p w14:paraId="18618C56">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w:t>
      </w:r>
      <w:r>
        <w:rPr>
          <w:rFonts w:hint="eastAsia" w:ascii="宋体" w:hAnsi="宋体"/>
          <w:kern w:val="0"/>
          <w:szCs w:val="21"/>
        </w:rPr>
        <w:t>商务</w:t>
      </w:r>
      <w:r>
        <w:rPr>
          <w:rFonts w:hint="eastAsia" w:ascii="宋体" w:hAnsi="宋体"/>
          <w:kern w:val="0"/>
          <w:szCs w:val="21"/>
          <w:lang w:val="en-US" w:eastAsia="zh-CN"/>
        </w:rPr>
        <w:t>评审</w:t>
      </w:r>
      <w:r>
        <w:rPr>
          <w:rFonts w:ascii="宋体" w:hAnsi="宋体"/>
          <w:kern w:val="0"/>
          <w:szCs w:val="21"/>
        </w:rPr>
        <w:t>标准：见评标办法前附表；</w:t>
      </w:r>
    </w:p>
    <w:p w14:paraId="15A8C689">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3</w:t>
      </w:r>
      <w:r>
        <w:rPr>
          <w:rFonts w:ascii="宋体" w:hAnsi="宋体"/>
          <w:kern w:val="0"/>
          <w:szCs w:val="21"/>
        </w:rPr>
        <w:t>）</w:t>
      </w:r>
      <w:r>
        <w:rPr>
          <w:rFonts w:hint="eastAsia" w:ascii="宋体" w:hAnsi="宋体"/>
          <w:kern w:val="0"/>
          <w:szCs w:val="21"/>
        </w:rPr>
        <w:t>投标函部分评审</w:t>
      </w:r>
      <w:r>
        <w:rPr>
          <w:rFonts w:ascii="宋体" w:hAnsi="宋体"/>
          <w:kern w:val="0"/>
          <w:szCs w:val="21"/>
        </w:rPr>
        <w:t>标准：见评标办法前附表；</w:t>
      </w:r>
    </w:p>
    <w:p w14:paraId="461D0DEB">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w:t>
      </w:r>
      <w:r>
        <w:rPr>
          <w:rFonts w:hint="eastAsia" w:ascii="宋体" w:hAnsi="宋体"/>
          <w:kern w:val="0"/>
          <w:szCs w:val="21"/>
        </w:rPr>
        <w:t>4</w:t>
      </w:r>
      <w:r>
        <w:rPr>
          <w:rFonts w:ascii="宋体" w:hAnsi="宋体"/>
          <w:kern w:val="0"/>
          <w:szCs w:val="21"/>
        </w:rPr>
        <w:t>）</w:t>
      </w:r>
      <w:r>
        <w:rPr>
          <w:rFonts w:hint="eastAsia" w:ascii="宋体" w:hAnsi="宋体"/>
          <w:kern w:val="0"/>
          <w:szCs w:val="21"/>
        </w:rPr>
        <w:t>报价</w:t>
      </w:r>
      <w:r>
        <w:rPr>
          <w:rFonts w:hint="eastAsia" w:ascii="宋体" w:hAnsi="宋体"/>
          <w:kern w:val="0"/>
          <w:szCs w:val="21"/>
          <w:lang w:val="en-US" w:eastAsia="zh-CN"/>
        </w:rPr>
        <w:t>评审</w:t>
      </w:r>
      <w:r>
        <w:rPr>
          <w:rFonts w:ascii="宋体" w:hAnsi="宋体"/>
          <w:kern w:val="0"/>
          <w:szCs w:val="21"/>
        </w:rPr>
        <w:t>标准：见评标办法前附表。</w:t>
      </w:r>
    </w:p>
    <w:p w14:paraId="62CCF21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3</w:t>
      </w:r>
      <w:r>
        <w:rPr>
          <w:rFonts w:hint="eastAsia" w:ascii="宋体" w:hAnsi="宋体"/>
          <w:kern w:val="0"/>
          <w:szCs w:val="21"/>
        </w:rPr>
        <w:t xml:space="preserve">  </w:t>
      </w:r>
      <w:r>
        <w:rPr>
          <w:rFonts w:ascii="宋体" w:hAnsi="宋体"/>
          <w:kern w:val="0"/>
          <w:szCs w:val="21"/>
        </w:rPr>
        <w:t>评标基准价计算</w:t>
      </w:r>
    </w:p>
    <w:p w14:paraId="5B00C6A7">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评标基准价计算方法：见评标办法前附表。</w:t>
      </w:r>
    </w:p>
    <w:p w14:paraId="16860779">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2.2.</w:t>
      </w:r>
      <w:r>
        <w:rPr>
          <w:rFonts w:hint="eastAsia" w:ascii="宋体" w:hAnsi="宋体"/>
          <w:kern w:val="0"/>
          <w:szCs w:val="21"/>
          <w:lang w:val="en-US" w:eastAsia="zh-CN"/>
        </w:rPr>
        <w:t>4</w:t>
      </w:r>
      <w:r>
        <w:rPr>
          <w:rFonts w:ascii="宋体" w:hAnsi="宋体"/>
          <w:kern w:val="0"/>
          <w:szCs w:val="21"/>
        </w:rPr>
        <w:t xml:space="preserve"> </w:t>
      </w:r>
      <w:r>
        <w:rPr>
          <w:rFonts w:hint="eastAsia" w:ascii="宋体" w:hAnsi="宋体"/>
          <w:kern w:val="0"/>
          <w:szCs w:val="21"/>
        </w:rPr>
        <w:t xml:space="preserve"> </w:t>
      </w:r>
      <w:r>
        <w:rPr>
          <w:rFonts w:ascii="宋体" w:hAnsi="宋体"/>
          <w:kern w:val="0"/>
          <w:szCs w:val="21"/>
        </w:rPr>
        <w:t>投标报价的偏差率计算</w:t>
      </w:r>
    </w:p>
    <w:p w14:paraId="5B09A4E3">
      <w:pPr>
        <w:autoSpaceDE w:val="0"/>
        <w:autoSpaceDN w:val="0"/>
        <w:adjustRightInd w:val="0"/>
        <w:snapToGrid w:val="0"/>
        <w:spacing w:line="360" w:lineRule="auto"/>
        <w:ind w:firstLine="420" w:firstLineChars="200"/>
      </w:pPr>
      <w:r>
        <w:rPr>
          <w:rFonts w:ascii="宋体" w:hAnsi="宋体"/>
          <w:kern w:val="0"/>
          <w:szCs w:val="21"/>
        </w:rPr>
        <w:t>投标报价的偏差率计算公式：见评标办法前附表</w:t>
      </w:r>
      <w:r>
        <w:rPr>
          <w:rFonts w:hint="eastAsia" w:ascii="宋体" w:hAnsi="宋体"/>
          <w:kern w:val="0"/>
          <w:szCs w:val="21"/>
        </w:rPr>
        <w:t>；</w:t>
      </w:r>
    </w:p>
    <w:p w14:paraId="0B650241">
      <w:pPr>
        <w:pStyle w:val="3"/>
        <w:spacing w:before="0" w:after="0" w:line="360" w:lineRule="auto"/>
        <w:rPr>
          <w:rFonts w:ascii="宋体" w:hAnsi="宋体"/>
          <w:b w:val="0"/>
          <w:snapToGrid w:val="0"/>
        </w:rPr>
      </w:pPr>
      <w:bookmarkStart w:id="553" w:name="_Toc430530504"/>
      <w:bookmarkStart w:id="554" w:name="_Toc509218780"/>
      <w:bookmarkStart w:id="555" w:name="_Toc16285"/>
      <w:bookmarkStart w:id="556" w:name="_Toc32251"/>
      <w:bookmarkStart w:id="557" w:name="_Toc287607816"/>
      <w:bookmarkStart w:id="558" w:name="_Toc287620755"/>
      <w:bookmarkStart w:id="559" w:name="_Toc277082622"/>
      <w:bookmarkStart w:id="560" w:name="_Toc200513202"/>
      <w:bookmarkStart w:id="561" w:name="_Toc224103388"/>
      <w:r>
        <w:rPr>
          <w:rFonts w:ascii="宋体" w:hAnsi="宋体"/>
          <w:b w:val="0"/>
          <w:snapToGrid w:val="0"/>
        </w:rPr>
        <w:t>3.  评标程序</w:t>
      </w:r>
      <w:bookmarkEnd w:id="553"/>
      <w:bookmarkEnd w:id="554"/>
      <w:bookmarkEnd w:id="555"/>
      <w:bookmarkEnd w:id="556"/>
      <w:bookmarkEnd w:id="557"/>
      <w:bookmarkEnd w:id="558"/>
      <w:bookmarkEnd w:id="559"/>
      <w:bookmarkEnd w:id="560"/>
      <w:bookmarkEnd w:id="561"/>
    </w:p>
    <w:p w14:paraId="026EDD56">
      <w:pPr>
        <w:pStyle w:val="4"/>
        <w:snapToGrid w:val="0"/>
        <w:spacing w:before="0" w:after="0" w:line="360" w:lineRule="auto"/>
        <w:rPr>
          <w:rFonts w:ascii="宋体" w:hAnsi="宋体"/>
          <w:b w:val="0"/>
          <w:snapToGrid w:val="0"/>
          <w:sz w:val="24"/>
          <w:szCs w:val="24"/>
        </w:rPr>
      </w:pPr>
      <w:bookmarkStart w:id="562" w:name="_Toc224103389"/>
      <w:bookmarkStart w:id="563" w:name="_Toc277082623"/>
      <w:bookmarkStart w:id="564" w:name="_Toc509218781"/>
      <w:bookmarkStart w:id="565" w:name="_Toc430530505"/>
      <w:bookmarkStart w:id="566" w:name="_Toc287620756"/>
      <w:bookmarkStart w:id="567" w:name="_Toc200513203"/>
      <w:bookmarkStart w:id="568" w:name="_Toc28133"/>
      <w:bookmarkStart w:id="569" w:name="_Toc25953"/>
      <w:bookmarkStart w:id="570" w:name="_Toc287607817"/>
      <w:r>
        <w:rPr>
          <w:rFonts w:ascii="宋体" w:hAnsi="宋体"/>
          <w:b w:val="0"/>
          <w:snapToGrid w:val="0"/>
          <w:sz w:val="24"/>
          <w:szCs w:val="24"/>
        </w:rPr>
        <w:t>3.1  初步评审</w:t>
      </w:r>
      <w:bookmarkEnd w:id="562"/>
      <w:bookmarkEnd w:id="563"/>
      <w:bookmarkEnd w:id="564"/>
      <w:bookmarkEnd w:id="565"/>
      <w:bookmarkEnd w:id="566"/>
      <w:bookmarkEnd w:id="567"/>
      <w:bookmarkEnd w:id="568"/>
      <w:bookmarkEnd w:id="569"/>
      <w:bookmarkEnd w:id="570"/>
    </w:p>
    <w:p w14:paraId="77D68C82">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 2.1 款规定的标准对投标文件进行初步评审。有一项不符合评审标准的，作否决投标处理。（适用于未进行资格预审的）</w:t>
      </w:r>
    </w:p>
    <w:p w14:paraId="4899102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3.1.1  评标委员会依据本章第2.1.2项</w:t>
      </w:r>
      <w:r>
        <w:rPr>
          <w:rFonts w:hint="eastAsia" w:ascii="宋体" w:hAnsi="宋体"/>
          <w:kern w:val="0"/>
          <w:szCs w:val="21"/>
        </w:rPr>
        <w:t>、</w:t>
      </w:r>
      <w:r>
        <w:rPr>
          <w:rFonts w:ascii="宋体" w:hAnsi="宋体"/>
          <w:kern w:val="0"/>
          <w:szCs w:val="21"/>
        </w:rPr>
        <w:t>第2.1.3项规定的评审标准对投标文件进行初步评审。有一项不符合评审标准的，作否决投标处理。当投标人资格预审申请文件的内容发生重大变化时，评标委员会依据本章第2.1.1项规定的标准对其更新资料进行评审。（适用于已进行资格预审的）</w:t>
      </w:r>
    </w:p>
    <w:p w14:paraId="2C75A813">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3.1.2  投标文件中的大写金额与小写金额不一致的，评标委员会按</w:t>
      </w:r>
      <w:r>
        <w:rPr>
          <w:rFonts w:hint="eastAsia" w:ascii="宋体" w:hAnsi="宋体"/>
          <w:kern w:val="0"/>
          <w:szCs w:val="21"/>
          <w:lang w:val="en-US" w:eastAsia="zh-CN"/>
        </w:rPr>
        <w:t>照以大写金额为准的</w:t>
      </w:r>
      <w:r>
        <w:rPr>
          <w:rFonts w:ascii="宋体" w:hAnsi="宋体"/>
          <w:kern w:val="0"/>
          <w:szCs w:val="21"/>
        </w:rPr>
        <w:t>原则对投标报价进行修正，修正的价格经投标人书面确认后具有约束力。</w:t>
      </w:r>
    </w:p>
    <w:p w14:paraId="511C4CEB">
      <w:pPr>
        <w:pStyle w:val="4"/>
        <w:snapToGrid w:val="0"/>
        <w:spacing w:before="0" w:after="0" w:line="360" w:lineRule="auto"/>
        <w:rPr>
          <w:rFonts w:ascii="宋体" w:hAnsi="宋体"/>
          <w:b w:val="0"/>
          <w:snapToGrid w:val="0"/>
          <w:sz w:val="24"/>
          <w:szCs w:val="24"/>
        </w:rPr>
      </w:pPr>
      <w:bookmarkStart w:id="571" w:name="_Toc287620757"/>
      <w:bookmarkStart w:id="572" w:name="_Toc200513204"/>
      <w:bookmarkStart w:id="573" w:name="_Toc430530506"/>
      <w:bookmarkStart w:id="574" w:name="_Toc1"/>
      <w:bookmarkStart w:id="575" w:name="_Toc277082624"/>
      <w:bookmarkStart w:id="576" w:name="_Toc224103390"/>
      <w:bookmarkStart w:id="577" w:name="_Toc25066"/>
      <w:bookmarkStart w:id="578" w:name="_Toc509218782"/>
      <w:bookmarkStart w:id="579" w:name="_Toc287607818"/>
      <w:r>
        <w:rPr>
          <w:rFonts w:ascii="宋体" w:hAnsi="宋体"/>
          <w:b w:val="0"/>
          <w:snapToGrid w:val="0"/>
          <w:sz w:val="24"/>
          <w:szCs w:val="24"/>
        </w:rPr>
        <w:t>3.2  详细评审</w:t>
      </w:r>
      <w:bookmarkEnd w:id="571"/>
      <w:bookmarkEnd w:id="572"/>
      <w:bookmarkEnd w:id="573"/>
      <w:bookmarkEnd w:id="574"/>
      <w:bookmarkEnd w:id="575"/>
      <w:bookmarkEnd w:id="576"/>
      <w:bookmarkEnd w:id="577"/>
      <w:bookmarkEnd w:id="578"/>
      <w:bookmarkEnd w:id="579"/>
    </w:p>
    <w:p w14:paraId="3A671004">
      <w:pPr>
        <w:autoSpaceDE w:val="0"/>
        <w:autoSpaceDN w:val="0"/>
        <w:adjustRightInd w:val="0"/>
        <w:snapToGrid w:val="0"/>
        <w:spacing w:line="360" w:lineRule="auto"/>
        <w:ind w:firstLine="420" w:firstLineChars="200"/>
        <w:rPr>
          <w:rFonts w:hint="eastAsia" w:ascii="宋体" w:hAnsi="宋体" w:eastAsia="宋体"/>
          <w:kern w:val="0"/>
          <w:szCs w:val="21"/>
          <w:lang w:eastAsia="zh-CN"/>
        </w:rPr>
      </w:pPr>
      <w:r>
        <w:rPr>
          <w:rFonts w:ascii="宋体" w:hAnsi="宋体"/>
          <w:kern w:val="0"/>
          <w:szCs w:val="21"/>
        </w:rPr>
        <w:t xml:space="preserve">3.2.1  </w:t>
      </w:r>
      <w:r>
        <w:rPr>
          <w:rFonts w:hint="eastAsia" w:ascii="宋体" w:hAnsi="宋体" w:cs="宋体"/>
          <w:color w:val="auto"/>
          <w:szCs w:val="22"/>
          <w:highlight w:val="none"/>
          <w:lang w:val="en-US" w:eastAsia="zh-CN"/>
        </w:rPr>
        <w:t>详细评标程序：</w:t>
      </w:r>
      <w:r>
        <w:rPr>
          <w:rFonts w:hint="eastAsia" w:ascii="宋体" w:hAnsi="宋体" w:eastAsia="宋体" w:cs="宋体"/>
          <w:color w:val="auto"/>
          <w:kern w:val="2"/>
          <w:szCs w:val="22"/>
          <w:highlight w:val="none"/>
        </w:rPr>
        <w:t>见评标办法前附表</w:t>
      </w:r>
      <w:r>
        <w:rPr>
          <w:rFonts w:hint="eastAsia" w:ascii="宋体" w:hAnsi="宋体"/>
          <w:kern w:val="0"/>
          <w:szCs w:val="21"/>
          <w:lang w:eastAsia="zh-CN"/>
        </w:rPr>
        <w:t>。</w:t>
      </w:r>
    </w:p>
    <w:p w14:paraId="4EFB3A21">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3.2.2  各类评分分值的最终计算结果保留</w:t>
      </w:r>
      <w:r>
        <w:rPr>
          <w:rFonts w:hint="eastAsia" w:ascii="宋体" w:hAnsi="宋体"/>
          <w:kern w:val="0"/>
          <w:szCs w:val="21"/>
        </w:rPr>
        <w:t>两位小数</w:t>
      </w:r>
      <w:r>
        <w:rPr>
          <w:rFonts w:ascii="宋体" w:hAnsi="宋体"/>
          <w:kern w:val="0"/>
          <w:szCs w:val="21"/>
        </w:rPr>
        <w:t>，小数点后第三位“四舍五入”。</w:t>
      </w:r>
    </w:p>
    <w:p w14:paraId="02620A60">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3.2.3  投标人得分=A+B</w:t>
      </w:r>
      <w:r>
        <w:rPr>
          <w:rFonts w:hint="eastAsia" w:ascii="宋体" w:hAnsi="宋体"/>
          <w:kern w:val="0"/>
          <w:szCs w:val="21"/>
        </w:rPr>
        <w:t>+</w:t>
      </w:r>
      <w:r>
        <w:rPr>
          <w:rFonts w:ascii="宋体" w:hAnsi="宋体"/>
          <w:kern w:val="0"/>
          <w:szCs w:val="21"/>
        </w:rPr>
        <w:t>C</w:t>
      </w:r>
      <w:r>
        <w:rPr>
          <w:rFonts w:hint="eastAsia" w:ascii="宋体" w:hAnsi="宋体"/>
          <w:kern w:val="0"/>
          <w:szCs w:val="21"/>
        </w:rPr>
        <w:t>。</w:t>
      </w:r>
    </w:p>
    <w:p w14:paraId="1E4D830C">
      <w:pPr>
        <w:pStyle w:val="4"/>
        <w:snapToGrid w:val="0"/>
        <w:spacing w:before="0" w:after="0" w:line="360" w:lineRule="auto"/>
        <w:rPr>
          <w:rFonts w:ascii="宋体" w:hAnsi="宋体"/>
          <w:b w:val="0"/>
          <w:snapToGrid w:val="0"/>
          <w:sz w:val="24"/>
          <w:szCs w:val="24"/>
        </w:rPr>
      </w:pPr>
      <w:bookmarkStart w:id="580" w:name="_Toc17810"/>
      <w:bookmarkStart w:id="581" w:name="_Toc509218783"/>
      <w:bookmarkStart w:id="582" w:name="_Toc430530507"/>
      <w:bookmarkStart w:id="583" w:name="_Toc20035"/>
      <w:bookmarkStart w:id="584" w:name="_Toc277082625"/>
      <w:bookmarkStart w:id="585" w:name="_Toc200513205"/>
      <w:bookmarkStart w:id="586" w:name="_Toc287620758"/>
      <w:bookmarkStart w:id="587" w:name="_Toc224103391"/>
      <w:bookmarkStart w:id="588" w:name="_Toc287607819"/>
      <w:r>
        <w:rPr>
          <w:rFonts w:ascii="宋体" w:hAnsi="宋体"/>
          <w:b w:val="0"/>
          <w:snapToGrid w:val="0"/>
          <w:sz w:val="24"/>
          <w:szCs w:val="24"/>
        </w:rPr>
        <w:t>3.3  投标文件的澄清</w:t>
      </w:r>
      <w:bookmarkEnd w:id="580"/>
      <w:bookmarkEnd w:id="581"/>
      <w:bookmarkEnd w:id="582"/>
      <w:bookmarkEnd w:id="583"/>
      <w:bookmarkEnd w:id="584"/>
      <w:bookmarkEnd w:id="585"/>
      <w:bookmarkEnd w:id="586"/>
      <w:bookmarkEnd w:id="587"/>
      <w:bookmarkEnd w:id="588"/>
    </w:p>
    <w:p w14:paraId="6E42C977">
      <w:pPr>
        <w:autoSpaceDE w:val="0"/>
        <w:autoSpaceDN w:val="0"/>
        <w:adjustRightInd w:val="0"/>
        <w:snapToGrid w:val="0"/>
        <w:spacing w:line="360" w:lineRule="auto"/>
        <w:ind w:firstLine="420" w:firstLineChars="200"/>
        <w:rPr>
          <w:rFonts w:ascii="宋体" w:hAnsi="宋体"/>
          <w:kern w:val="0"/>
          <w:szCs w:val="21"/>
        </w:rPr>
      </w:pPr>
      <w:bookmarkStart w:id="589" w:name="_Hlk71569932"/>
      <w:r>
        <w:rPr>
          <w:rFonts w:ascii="宋体" w:hAnsi="宋体"/>
          <w:kern w:val="0"/>
          <w:szCs w:val="21"/>
        </w:rPr>
        <w:t>3.3.1  在评标过程中，评标委员会可以书面形式要求投标人对所提交投标文件中不明确的内容进行</w:t>
      </w:r>
      <w:r>
        <w:rPr>
          <w:rFonts w:hint="eastAsia" w:ascii="宋体" w:hAnsi="宋体"/>
          <w:kern w:val="0"/>
          <w:szCs w:val="21"/>
          <w:lang w:val="en-US" w:eastAsia="zh-CN"/>
        </w:rPr>
        <w:t>书面</w:t>
      </w:r>
      <w:r>
        <w:rPr>
          <w:rFonts w:hint="eastAsia" w:ascii="宋体" w:hAnsi="宋体"/>
          <w:kern w:val="0"/>
          <w:szCs w:val="21"/>
        </w:rPr>
        <w:t>澄清、说明或补正。评标委员会不接受投标人主动提出的澄清、说明或补正。</w:t>
      </w:r>
    </w:p>
    <w:p w14:paraId="3DCBB6E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3.3.2  澄清、说明或补正不得超出投标文件的范围且不得改变投标文件的实质性内容，并构成投标文件的组成部分。</w:t>
      </w:r>
    </w:p>
    <w:p w14:paraId="6CB0BBB5">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3.3.3  评标委员会对投标人提交的澄清、说明或补正有疑问的，可以要求投标人进一步澄清、说明或补正，直至满足评标委员会的要求。</w:t>
      </w:r>
      <w:bookmarkEnd w:id="589"/>
    </w:p>
    <w:p w14:paraId="6B31F0F8">
      <w:pPr>
        <w:pStyle w:val="4"/>
        <w:snapToGrid w:val="0"/>
        <w:spacing w:before="0" w:after="0" w:line="360" w:lineRule="auto"/>
        <w:rPr>
          <w:rFonts w:ascii="宋体" w:hAnsi="宋体"/>
          <w:b w:val="0"/>
          <w:snapToGrid w:val="0"/>
          <w:sz w:val="24"/>
          <w:szCs w:val="24"/>
        </w:rPr>
      </w:pPr>
      <w:bookmarkStart w:id="590" w:name="_Toc8460"/>
      <w:bookmarkStart w:id="591" w:name="_Toc287607820"/>
      <w:bookmarkStart w:id="592" w:name="_Toc200513206"/>
      <w:bookmarkStart w:id="593" w:name="_Toc224103392"/>
      <w:bookmarkStart w:id="594" w:name="_Toc430530508"/>
      <w:bookmarkStart w:id="595" w:name="_Toc277082626"/>
      <w:bookmarkStart w:id="596" w:name="_Toc509218784"/>
      <w:bookmarkStart w:id="597" w:name="_Toc287620759"/>
      <w:bookmarkStart w:id="598" w:name="_Toc23781"/>
      <w:r>
        <w:rPr>
          <w:rFonts w:ascii="宋体" w:hAnsi="宋体"/>
          <w:b w:val="0"/>
          <w:snapToGrid w:val="0"/>
          <w:sz w:val="24"/>
          <w:szCs w:val="24"/>
        </w:rPr>
        <w:t>3.4  评标结果</w:t>
      </w:r>
      <w:bookmarkEnd w:id="590"/>
      <w:bookmarkEnd w:id="591"/>
      <w:bookmarkEnd w:id="592"/>
      <w:bookmarkEnd w:id="593"/>
      <w:bookmarkEnd w:id="594"/>
      <w:bookmarkEnd w:id="595"/>
      <w:bookmarkEnd w:id="596"/>
      <w:bookmarkEnd w:id="597"/>
      <w:bookmarkEnd w:id="598"/>
    </w:p>
    <w:p w14:paraId="30EE6D7D">
      <w:pPr>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3.</w:t>
      </w:r>
      <w:r>
        <w:rPr>
          <w:rFonts w:ascii="宋体" w:hAnsi="宋体"/>
          <w:spacing w:val="-1"/>
          <w:kern w:val="0"/>
          <w:szCs w:val="21"/>
        </w:rPr>
        <w:t>4</w:t>
      </w:r>
      <w:r>
        <w:rPr>
          <w:rFonts w:ascii="宋体" w:hAnsi="宋体"/>
          <w:kern w:val="0"/>
          <w:szCs w:val="21"/>
        </w:rPr>
        <w:t xml:space="preserve">.1 </w:t>
      </w:r>
      <w:r>
        <w:rPr>
          <w:rFonts w:ascii="宋体" w:hAnsi="宋体"/>
          <w:spacing w:val="1"/>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员会按照</w:t>
      </w:r>
      <w:r>
        <w:rPr>
          <w:rFonts w:ascii="宋体" w:hAnsi="宋体"/>
          <w:spacing w:val="1"/>
          <w:kern w:val="0"/>
          <w:szCs w:val="21"/>
        </w:rPr>
        <w:t>得分</w:t>
      </w:r>
      <w:r>
        <w:rPr>
          <w:rFonts w:ascii="宋体" w:hAnsi="宋体"/>
          <w:kern w:val="0"/>
          <w:szCs w:val="21"/>
        </w:rPr>
        <w:t>由高到低的顺序推荐中标候选人。</w:t>
      </w:r>
    </w:p>
    <w:p w14:paraId="0BD33696">
      <w:pPr>
        <w:autoSpaceDE w:val="0"/>
        <w:autoSpaceDN w:val="0"/>
        <w:adjustRightInd w:val="0"/>
        <w:snapToGrid w:val="0"/>
        <w:spacing w:line="360" w:lineRule="auto"/>
        <w:ind w:firstLine="424" w:firstLineChars="200"/>
        <w:rPr>
          <w:rFonts w:ascii="宋体" w:hAnsi="宋体"/>
          <w:kern w:val="0"/>
          <w:szCs w:val="21"/>
        </w:rPr>
      </w:pPr>
      <w:r>
        <w:rPr>
          <w:rFonts w:ascii="宋体" w:hAnsi="宋体"/>
          <w:spacing w:val="1"/>
          <w:kern w:val="0"/>
          <w:szCs w:val="21"/>
        </w:rPr>
        <w:t>3</w:t>
      </w:r>
      <w:r>
        <w:rPr>
          <w:rFonts w:ascii="宋体" w:hAnsi="宋体"/>
          <w:kern w:val="0"/>
          <w:szCs w:val="21"/>
        </w:rPr>
        <w:t>.4.2  评标委员会完成评标后，应当向招标人提交书面评标报告和中标候选人名单。</w:t>
      </w:r>
    </w:p>
    <w:p w14:paraId="7471EF97">
      <w:pPr>
        <w:autoSpaceDE w:val="0"/>
        <w:autoSpaceDN w:val="0"/>
        <w:adjustRightInd w:val="0"/>
        <w:snapToGrid w:val="0"/>
        <w:spacing w:line="360" w:lineRule="auto"/>
        <w:ind w:firstLine="420" w:firstLineChars="200"/>
      </w:pPr>
      <w:r>
        <w:rPr>
          <w:rFonts w:hint="eastAsia" w:ascii="宋体" w:hAnsi="宋体" w:eastAsia="宋体" w:cs="宋体"/>
          <w:color w:val="auto"/>
          <w:kern w:val="0"/>
          <w:szCs w:val="21"/>
          <w:highlight w:val="none"/>
          <w:lang w:val="en-US" w:eastAsia="zh-CN"/>
        </w:rPr>
        <w:t>3.4.3 有效投标人不足三个的，</w:t>
      </w:r>
      <w:r>
        <w:rPr>
          <w:rFonts w:hint="eastAsia" w:ascii="宋体" w:hAnsi="宋体" w:eastAsia="宋体" w:cs="宋体"/>
          <w:color w:val="auto"/>
          <w:kern w:val="0"/>
          <w:szCs w:val="21"/>
          <w:highlight w:val="none"/>
        </w:rPr>
        <w:t>评标委员会应当对有效投标人是否仍具有竞争性进行论证</w:t>
      </w:r>
      <w:r>
        <w:rPr>
          <w:rFonts w:hint="eastAsia" w:ascii="宋体" w:hAnsi="宋体" w:eastAsia="宋体" w:cs="宋体"/>
          <w:color w:val="auto"/>
          <w:kern w:val="0"/>
          <w:szCs w:val="21"/>
          <w:highlight w:val="none"/>
          <w:lang w:val="en-US" w:eastAsia="zh-CN"/>
        </w:rPr>
        <w:t>，并在评标报告中记载论证过程和结果。</w:t>
      </w:r>
    </w:p>
    <w:p w14:paraId="6C407E15">
      <w:pPr>
        <w:spacing w:line="360" w:lineRule="auto"/>
        <w:rPr>
          <w:rFonts w:ascii="宋体" w:hAnsi="宋体"/>
          <w:b/>
          <w:szCs w:val="20"/>
        </w:rPr>
      </w:pPr>
      <w:r>
        <w:rPr>
          <w:rFonts w:ascii="宋体" w:hAnsi="宋体"/>
          <w:kern w:val="0"/>
          <w:sz w:val="20"/>
          <w:szCs w:val="20"/>
        </w:rPr>
        <w:br w:type="page"/>
      </w:r>
    </w:p>
    <w:p w14:paraId="2416F80F">
      <w:pPr>
        <w:pStyle w:val="33"/>
        <w:spacing w:line="360" w:lineRule="auto"/>
        <w:outlineLvl w:val="1"/>
        <w:rPr>
          <w:rFonts w:ascii="宋体" w:hAnsi="宋体"/>
          <w:b/>
          <w:sz w:val="28"/>
          <w:szCs w:val="28"/>
          <w:u w:val="none"/>
          <w:lang w:eastAsia="zh-CN"/>
        </w:rPr>
      </w:pPr>
      <w:bookmarkStart w:id="599" w:name="招标文件04章合同条款及格式"/>
      <w:bookmarkEnd w:id="599"/>
      <w:bookmarkStart w:id="600" w:name="招标文件03章02评标办法综合评估法02附件02"/>
      <w:bookmarkEnd w:id="600"/>
      <w:bookmarkStart w:id="601" w:name="_Toc230410480"/>
      <w:bookmarkStart w:id="602" w:name="_Toc277082627"/>
      <w:r>
        <w:rPr>
          <w:rFonts w:ascii="宋体" w:hAnsi="宋体"/>
          <w:b/>
          <w:sz w:val="28"/>
          <w:szCs w:val="28"/>
          <w:u w:val="none"/>
          <w:lang w:eastAsia="zh-CN"/>
        </w:rPr>
        <w:t>附件A：综合评估法否决投标情况一览表</w:t>
      </w:r>
      <w:bookmarkEnd w:id="601"/>
    </w:p>
    <w:bookmarkEnd w:id="602"/>
    <w:p w14:paraId="4FB5E516">
      <w:pPr>
        <w:pStyle w:val="33"/>
        <w:spacing w:line="360" w:lineRule="auto"/>
        <w:ind w:firstLine="420" w:firstLineChars="200"/>
        <w:jc w:val="both"/>
        <w:rPr>
          <w:rFonts w:ascii="宋体" w:hAnsi="宋体"/>
          <w:sz w:val="21"/>
          <w:szCs w:val="21"/>
          <w:u w:val="none"/>
          <w:lang w:eastAsia="zh-CN"/>
        </w:rPr>
      </w:pPr>
      <w:r>
        <w:rPr>
          <w:rFonts w:hint="eastAsia" w:ascii="宋体" w:hAnsi="宋体"/>
          <w:sz w:val="21"/>
          <w:szCs w:val="21"/>
          <w:u w:val="none"/>
          <w:lang w:eastAsia="zh-CN"/>
        </w:rPr>
        <w:t>投标文件存在本一览表下列情形之一的，投标文件视为重大偏差并作否决投标处理，否则，评标委员会不得视为重大偏差而否决投标人的投标文件</w:t>
      </w:r>
      <w:r>
        <w:rPr>
          <w:rFonts w:ascii="宋体" w:hAnsi="宋体"/>
          <w:sz w:val="21"/>
          <w:szCs w:val="21"/>
          <w:u w:val="none"/>
          <w:lang w:eastAsia="zh-CN"/>
        </w:rPr>
        <w:t>。</w:t>
      </w:r>
    </w:p>
    <w:tbl>
      <w:tblPr>
        <w:tblStyle w:val="46"/>
        <w:tblW w:w="9455" w:type="dxa"/>
        <w:jc w:val="center"/>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Layout w:type="fixed"/>
        <w:tblCellMar>
          <w:top w:w="0" w:type="dxa"/>
          <w:left w:w="108" w:type="dxa"/>
          <w:bottom w:w="0" w:type="dxa"/>
          <w:right w:w="108" w:type="dxa"/>
        </w:tblCellMar>
      </w:tblPr>
      <w:tblGrid>
        <w:gridCol w:w="1044"/>
        <w:gridCol w:w="1550"/>
        <w:gridCol w:w="6861"/>
      </w:tblGrid>
      <w:tr w14:paraId="28DAF40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37E71F6C">
            <w:pPr>
              <w:spacing w:line="400" w:lineRule="exact"/>
              <w:jc w:val="center"/>
              <w:rPr>
                <w:rFonts w:hint="eastAsia" w:ascii="宋体" w:hAnsi="宋体" w:eastAsia="宋体"/>
                <w:b/>
                <w:szCs w:val="21"/>
                <w:lang w:val="en-US" w:eastAsia="zh-CN"/>
              </w:rPr>
            </w:pPr>
            <w:r>
              <w:rPr>
                <w:rFonts w:hint="eastAsia" w:ascii="宋体" w:hAnsi="宋体"/>
                <w:b/>
                <w:szCs w:val="21"/>
                <w:lang w:val="en-US" w:eastAsia="zh-CN"/>
              </w:rPr>
              <w:t>章节号</w:t>
            </w:r>
          </w:p>
        </w:tc>
        <w:tc>
          <w:tcPr>
            <w:tcW w:w="1550" w:type="dxa"/>
            <w:vAlign w:val="center"/>
          </w:tcPr>
          <w:p w14:paraId="322C5975">
            <w:pPr>
              <w:spacing w:line="400" w:lineRule="exact"/>
              <w:jc w:val="center"/>
              <w:rPr>
                <w:rFonts w:ascii="宋体" w:hAnsi="宋体"/>
                <w:b/>
                <w:szCs w:val="21"/>
              </w:rPr>
            </w:pPr>
            <w:r>
              <w:rPr>
                <w:rFonts w:ascii="宋体" w:hAnsi="宋体"/>
                <w:b/>
                <w:szCs w:val="21"/>
              </w:rPr>
              <w:t>条款名称</w:t>
            </w:r>
          </w:p>
        </w:tc>
        <w:tc>
          <w:tcPr>
            <w:tcW w:w="6861" w:type="dxa"/>
            <w:vAlign w:val="center"/>
          </w:tcPr>
          <w:p w14:paraId="2CCFD78F">
            <w:pPr>
              <w:spacing w:line="400" w:lineRule="exact"/>
              <w:jc w:val="center"/>
              <w:rPr>
                <w:rFonts w:ascii="宋体" w:hAnsi="宋体"/>
                <w:b/>
                <w:szCs w:val="21"/>
              </w:rPr>
            </w:pPr>
            <w:r>
              <w:rPr>
                <w:rFonts w:ascii="宋体" w:hAnsi="宋体"/>
                <w:b/>
                <w:szCs w:val="21"/>
              </w:rPr>
              <w:t>否决投标条件</w:t>
            </w:r>
          </w:p>
        </w:tc>
      </w:tr>
      <w:tr w14:paraId="7FE6F87F">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restart"/>
            <w:vAlign w:val="center"/>
          </w:tcPr>
          <w:p w14:paraId="3A94F7C4">
            <w:pPr>
              <w:spacing w:line="400" w:lineRule="exact"/>
              <w:jc w:val="center"/>
              <w:rPr>
                <w:rFonts w:hint="eastAsia" w:ascii="宋体" w:hAnsi="宋体" w:eastAsia="宋体"/>
                <w:szCs w:val="21"/>
                <w:lang w:val="en-US" w:eastAsia="zh-CN"/>
              </w:rPr>
            </w:pPr>
            <w:r>
              <w:rPr>
                <w:rFonts w:hint="eastAsia" w:ascii="宋体" w:hAnsi="宋体"/>
                <w:szCs w:val="21"/>
                <w:lang w:val="en-US" w:eastAsia="zh-CN"/>
              </w:rPr>
              <w:t>第三章</w:t>
            </w:r>
          </w:p>
        </w:tc>
        <w:tc>
          <w:tcPr>
            <w:tcW w:w="1550" w:type="dxa"/>
            <w:vMerge w:val="restart"/>
            <w:vAlign w:val="center"/>
          </w:tcPr>
          <w:p w14:paraId="6079E071">
            <w:pPr>
              <w:spacing w:line="400" w:lineRule="exact"/>
              <w:jc w:val="center"/>
              <w:rPr>
                <w:rFonts w:ascii="宋体" w:hAnsi="宋体"/>
                <w:szCs w:val="21"/>
              </w:rPr>
            </w:pPr>
            <w:r>
              <w:rPr>
                <w:rFonts w:hint="eastAsia" w:ascii="宋体" w:hAnsi="宋体"/>
                <w:szCs w:val="21"/>
              </w:rPr>
              <w:t>资格评审</w:t>
            </w:r>
          </w:p>
        </w:tc>
        <w:tc>
          <w:tcPr>
            <w:tcW w:w="6861" w:type="dxa"/>
            <w:vAlign w:val="center"/>
          </w:tcPr>
          <w:p w14:paraId="71653A4B">
            <w:pPr>
              <w:spacing w:line="400" w:lineRule="exact"/>
              <w:ind w:firstLine="420" w:firstLineChars="200"/>
              <w:rPr>
                <w:rFonts w:ascii="宋体" w:hAnsi="宋体"/>
                <w:szCs w:val="21"/>
              </w:rPr>
            </w:pPr>
            <w:r>
              <w:rPr>
                <w:rFonts w:hint="eastAsia" w:ascii="宋体" w:hAnsi="宋体"/>
                <w:szCs w:val="21"/>
              </w:rPr>
              <w:t>A-1投标人的</w:t>
            </w:r>
            <w:r>
              <w:rPr>
                <w:rFonts w:hint="eastAsia" w:ascii="宋体" w:hAnsi="宋体"/>
                <w:szCs w:val="21"/>
                <w:lang w:val="en-US" w:eastAsia="zh-CN"/>
              </w:rPr>
              <w:t>独立法人资格</w:t>
            </w:r>
            <w:r>
              <w:rPr>
                <w:rFonts w:hint="eastAsia" w:ascii="宋体" w:hAnsi="宋体"/>
                <w:szCs w:val="21"/>
              </w:rPr>
              <w:t>、资质条件（如有）</w:t>
            </w:r>
            <w:r>
              <w:rPr>
                <w:rFonts w:hint="eastAsia" w:ascii="宋体" w:hAnsi="宋体"/>
                <w:szCs w:val="21"/>
                <w:lang w:val="en-US" w:eastAsia="zh-CN"/>
              </w:rPr>
              <w:t>不</w:t>
            </w:r>
            <w:r>
              <w:rPr>
                <w:rFonts w:hint="eastAsia" w:ascii="宋体" w:hAnsi="宋体"/>
                <w:szCs w:val="21"/>
              </w:rPr>
              <w:t>满足投标人须知前附表1.4.1项的要求。</w:t>
            </w:r>
          </w:p>
        </w:tc>
      </w:tr>
      <w:tr w14:paraId="5F0C3DD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57417616">
            <w:pPr>
              <w:spacing w:line="400" w:lineRule="exact"/>
              <w:jc w:val="center"/>
              <w:rPr>
                <w:rFonts w:ascii="宋体" w:hAnsi="宋体"/>
                <w:szCs w:val="21"/>
              </w:rPr>
            </w:pPr>
          </w:p>
        </w:tc>
        <w:tc>
          <w:tcPr>
            <w:tcW w:w="1550" w:type="dxa"/>
            <w:vMerge w:val="continue"/>
            <w:vAlign w:val="center"/>
          </w:tcPr>
          <w:p w14:paraId="19362A87">
            <w:pPr>
              <w:spacing w:line="400" w:lineRule="exact"/>
              <w:jc w:val="center"/>
              <w:rPr>
                <w:rFonts w:ascii="宋体" w:hAnsi="宋体"/>
                <w:szCs w:val="21"/>
              </w:rPr>
            </w:pPr>
          </w:p>
        </w:tc>
        <w:tc>
          <w:tcPr>
            <w:tcW w:w="6861" w:type="dxa"/>
            <w:vAlign w:val="center"/>
          </w:tcPr>
          <w:p w14:paraId="26AE603D">
            <w:pPr>
              <w:spacing w:line="400" w:lineRule="exact"/>
              <w:ind w:firstLine="420" w:firstLineChars="200"/>
              <w:rPr>
                <w:rFonts w:ascii="宋体" w:hAnsi="宋体"/>
                <w:szCs w:val="21"/>
              </w:rPr>
            </w:pPr>
            <w:r>
              <w:rPr>
                <w:rFonts w:hint="eastAsia" w:ascii="宋体" w:hAnsi="宋体"/>
                <w:szCs w:val="21"/>
              </w:rPr>
              <w:t>A-2投标人的财务</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17CC3FD2">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738F7E5E">
            <w:pPr>
              <w:spacing w:line="400" w:lineRule="exact"/>
              <w:jc w:val="center"/>
              <w:rPr>
                <w:rFonts w:ascii="宋体" w:hAnsi="宋体"/>
                <w:szCs w:val="21"/>
              </w:rPr>
            </w:pPr>
          </w:p>
        </w:tc>
        <w:tc>
          <w:tcPr>
            <w:tcW w:w="1550" w:type="dxa"/>
            <w:vMerge w:val="continue"/>
            <w:vAlign w:val="center"/>
          </w:tcPr>
          <w:p w14:paraId="4CB0B34B">
            <w:pPr>
              <w:spacing w:line="400" w:lineRule="exact"/>
              <w:jc w:val="center"/>
              <w:rPr>
                <w:rFonts w:ascii="宋体" w:hAnsi="宋体"/>
                <w:szCs w:val="21"/>
              </w:rPr>
            </w:pPr>
          </w:p>
        </w:tc>
        <w:tc>
          <w:tcPr>
            <w:tcW w:w="6861" w:type="dxa"/>
            <w:vAlign w:val="center"/>
          </w:tcPr>
          <w:p w14:paraId="18597EF6">
            <w:pPr>
              <w:spacing w:line="400" w:lineRule="exact"/>
              <w:ind w:firstLine="420" w:firstLineChars="200"/>
              <w:rPr>
                <w:rFonts w:ascii="宋体" w:hAnsi="宋体"/>
                <w:szCs w:val="21"/>
              </w:rPr>
            </w:pPr>
            <w:r>
              <w:rPr>
                <w:rFonts w:hint="eastAsia" w:ascii="宋体" w:hAnsi="宋体"/>
                <w:szCs w:val="21"/>
              </w:rPr>
              <w:t>A-3投标人的业绩</w:t>
            </w:r>
            <w:r>
              <w:rPr>
                <w:rFonts w:hint="eastAsia" w:ascii="宋体" w:hAnsi="宋体"/>
                <w:szCs w:val="21"/>
                <w:lang w:val="en-US" w:eastAsia="zh-CN"/>
              </w:rPr>
              <w:t>不</w:t>
            </w:r>
            <w:r>
              <w:rPr>
                <w:rFonts w:hint="eastAsia" w:ascii="宋体" w:hAnsi="宋体"/>
                <w:szCs w:val="21"/>
              </w:rPr>
              <w:t>满足投标人须知前附表第1.4.1项的要求（如有）。</w:t>
            </w:r>
          </w:p>
        </w:tc>
      </w:tr>
      <w:tr w14:paraId="4698B78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34D89D94">
            <w:pPr>
              <w:spacing w:line="400" w:lineRule="exact"/>
              <w:jc w:val="center"/>
              <w:rPr>
                <w:rFonts w:ascii="宋体" w:hAnsi="宋体"/>
                <w:szCs w:val="21"/>
              </w:rPr>
            </w:pPr>
          </w:p>
        </w:tc>
        <w:tc>
          <w:tcPr>
            <w:tcW w:w="1550" w:type="dxa"/>
            <w:vMerge w:val="continue"/>
            <w:vAlign w:val="center"/>
          </w:tcPr>
          <w:p w14:paraId="2F1EB7EA">
            <w:pPr>
              <w:spacing w:line="400" w:lineRule="exact"/>
              <w:jc w:val="center"/>
              <w:rPr>
                <w:rFonts w:ascii="宋体" w:hAnsi="宋体"/>
                <w:szCs w:val="21"/>
              </w:rPr>
            </w:pPr>
          </w:p>
        </w:tc>
        <w:tc>
          <w:tcPr>
            <w:tcW w:w="6861" w:type="dxa"/>
            <w:vAlign w:val="center"/>
          </w:tcPr>
          <w:p w14:paraId="7E04009F">
            <w:pPr>
              <w:spacing w:line="400" w:lineRule="exact"/>
              <w:ind w:firstLine="420" w:firstLineChars="200"/>
              <w:rPr>
                <w:rFonts w:ascii="宋体" w:hAnsi="宋体"/>
                <w:szCs w:val="21"/>
              </w:rPr>
            </w:pPr>
            <w:r>
              <w:rPr>
                <w:rFonts w:hint="eastAsia" w:ascii="宋体" w:hAnsi="宋体"/>
                <w:szCs w:val="21"/>
              </w:rPr>
              <w:t>A-4投标人的</w:t>
            </w:r>
            <w:r>
              <w:rPr>
                <w:rFonts w:hint="eastAsia" w:ascii="宋体" w:hAnsi="宋体" w:cs="宋体"/>
                <w:szCs w:val="21"/>
              </w:rPr>
              <w:t>投标截止日投标资格情况</w:t>
            </w:r>
            <w:r>
              <w:rPr>
                <w:rFonts w:hint="eastAsia" w:ascii="宋体" w:hAnsi="宋体"/>
                <w:szCs w:val="21"/>
                <w:lang w:val="en-US" w:eastAsia="zh-CN"/>
              </w:rPr>
              <w:t>不</w:t>
            </w:r>
            <w:r>
              <w:rPr>
                <w:rFonts w:hint="eastAsia" w:ascii="宋体" w:hAnsi="宋体"/>
                <w:szCs w:val="21"/>
              </w:rPr>
              <w:t>满足投标人须知前附表第1.4.1项的要求。</w:t>
            </w:r>
          </w:p>
        </w:tc>
      </w:tr>
      <w:tr w14:paraId="6A91B89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tblHeader/>
          <w:jc w:val="center"/>
        </w:trPr>
        <w:tc>
          <w:tcPr>
            <w:tcW w:w="1044" w:type="dxa"/>
            <w:vMerge w:val="continue"/>
            <w:vAlign w:val="center"/>
          </w:tcPr>
          <w:p w14:paraId="0E0CB671">
            <w:pPr>
              <w:spacing w:line="400" w:lineRule="exact"/>
              <w:jc w:val="center"/>
              <w:rPr>
                <w:rFonts w:ascii="宋体" w:hAnsi="宋体"/>
                <w:szCs w:val="21"/>
              </w:rPr>
            </w:pPr>
          </w:p>
        </w:tc>
        <w:tc>
          <w:tcPr>
            <w:tcW w:w="1550" w:type="dxa"/>
            <w:vMerge w:val="continue"/>
            <w:vAlign w:val="center"/>
          </w:tcPr>
          <w:p w14:paraId="1663ADC3">
            <w:pPr>
              <w:spacing w:line="400" w:lineRule="exact"/>
              <w:jc w:val="center"/>
              <w:rPr>
                <w:rFonts w:ascii="宋体" w:hAnsi="宋体"/>
                <w:szCs w:val="21"/>
              </w:rPr>
            </w:pPr>
          </w:p>
        </w:tc>
        <w:tc>
          <w:tcPr>
            <w:tcW w:w="6861" w:type="dxa"/>
            <w:vAlign w:val="center"/>
          </w:tcPr>
          <w:p w14:paraId="5AFCF925">
            <w:pPr>
              <w:spacing w:line="400" w:lineRule="exact"/>
              <w:ind w:firstLine="420" w:firstLineChars="200"/>
              <w:rPr>
                <w:rFonts w:ascii="宋体" w:hAnsi="宋体"/>
                <w:szCs w:val="21"/>
              </w:rPr>
            </w:pPr>
            <w:r>
              <w:rPr>
                <w:rFonts w:hint="eastAsia" w:ascii="宋体" w:hAnsi="宋体"/>
                <w:szCs w:val="21"/>
              </w:rPr>
              <w:t>A-5投标人的其他要求</w:t>
            </w:r>
            <w:r>
              <w:rPr>
                <w:rFonts w:hint="eastAsia" w:ascii="宋体" w:hAnsi="宋体"/>
                <w:szCs w:val="21"/>
                <w:lang w:val="en-US" w:eastAsia="zh-CN"/>
              </w:rPr>
              <w:t>不</w:t>
            </w:r>
            <w:r>
              <w:rPr>
                <w:rFonts w:hint="eastAsia" w:ascii="宋体" w:hAnsi="宋体"/>
                <w:szCs w:val="21"/>
              </w:rPr>
              <w:t>满足投标人须知前附表1.4.1项的要求。</w:t>
            </w:r>
          </w:p>
        </w:tc>
      </w:tr>
      <w:tr w14:paraId="30878A6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95A11D6">
            <w:pPr>
              <w:spacing w:line="400" w:lineRule="exact"/>
              <w:jc w:val="center"/>
              <w:rPr>
                <w:rFonts w:hint="eastAsia" w:ascii="宋体" w:hAnsi="宋体"/>
                <w:szCs w:val="21"/>
              </w:rPr>
            </w:pPr>
          </w:p>
        </w:tc>
        <w:tc>
          <w:tcPr>
            <w:tcW w:w="1550" w:type="dxa"/>
            <w:vMerge w:val="restart"/>
            <w:vAlign w:val="center"/>
          </w:tcPr>
          <w:p w14:paraId="40AD16D3">
            <w:pPr>
              <w:spacing w:line="400" w:lineRule="exact"/>
              <w:jc w:val="center"/>
              <w:rPr>
                <w:rFonts w:ascii="宋体" w:hAnsi="宋体"/>
                <w:szCs w:val="21"/>
              </w:rPr>
            </w:pPr>
            <w:r>
              <w:rPr>
                <w:rFonts w:hint="eastAsia" w:ascii="宋体" w:hAnsi="宋体"/>
                <w:szCs w:val="21"/>
              </w:rPr>
              <w:t>形式评审</w:t>
            </w:r>
          </w:p>
        </w:tc>
        <w:tc>
          <w:tcPr>
            <w:tcW w:w="6861" w:type="dxa"/>
          </w:tcPr>
          <w:p w14:paraId="27A5EF72">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7</w:t>
            </w:r>
            <w:r>
              <w:rPr>
                <w:rFonts w:hint="eastAsia" w:ascii="宋体" w:hAnsi="宋体"/>
                <w:szCs w:val="21"/>
              </w:rPr>
              <w:t>投标人名称与营业执照、资质证书（如有）</w:t>
            </w:r>
            <w:r>
              <w:rPr>
                <w:rFonts w:hint="eastAsia" w:ascii="宋体" w:hAnsi="宋体"/>
                <w:szCs w:val="21"/>
                <w:lang w:val="en-US" w:eastAsia="zh-CN"/>
              </w:rPr>
              <w:t>不</w:t>
            </w:r>
            <w:r>
              <w:rPr>
                <w:rFonts w:hint="eastAsia" w:ascii="宋体" w:hAnsi="宋体"/>
                <w:szCs w:val="21"/>
              </w:rPr>
              <w:t>一致</w:t>
            </w:r>
            <w:r>
              <w:rPr>
                <w:rFonts w:ascii="宋体" w:hAnsi="宋体"/>
                <w:szCs w:val="21"/>
              </w:rPr>
              <w:t>。</w:t>
            </w:r>
          </w:p>
        </w:tc>
      </w:tr>
      <w:tr w14:paraId="16CC079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4BD2EDD">
            <w:pPr>
              <w:spacing w:line="400" w:lineRule="exact"/>
              <w:jc w:val="center"/>
              <w:rPr>
                <w:rFonts w:ascii="宋体" w:hAnsi="宋体"/>
                <w:szCs w:val="21"/>
              </w:rPr>
            </w:pPr>
          </w:p>
        </w:tc>
        <w:tc>
          <w:tcPr>
            <w:tcW w:w="1550" w:type="dxa"/>
            <w:vMerge w:val="continue"/>
            <w:vAlign w:val="center"/>
          </w:tcPr>
          <w:p w14:paraId="01987FC4">
            <w:pPr>
              <w:spacing w:line="400" w:lineRule="exact"/>
              <w:jc w:val="center"/>
              <w:rPr>
                <w:rFonts w:ascii="宋体" w:hAnsi="宋体"/>
                <w:szCs w:val="21"/>
              </w:rPr>
            </w:pPr>
          </w:p>
        </w:tc>
        <w:tc>
          <w:tcPr>
            <w:tcW w:w="6861" w:type="dxa"/>
          </w:tcPr>
          <w:p w14:paraId="1A2478B1">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8</w:t>
            </w:r>
            <w:r>
              <w:rPr>
                <w:rFonts w:hint="eastAsia" w:ascii="宋体" w:hAnsi="宋体"/>
                <w:szCs w:val="21"/>
              </w:rPr>
              <w:t>投标文件格式（不含投标函部分）</w:t>
            </w:r>
            <w:r>
              <w:rPr>
                <w:rFonts w:hint="eastAsia" w:ascii="宋体" w:hAnsi="宋体"/>
                <w:szCs w:val="21"/>
                <w:lang w:val="en-US" w:eastAsia="zh-CN"/>
              </w:rPr>
              <w:t>不</w:t>
            </w:r>
            <w:r>
              <w:rPr>
                <w:rFonts w:hint="eastAsia" w:ascii="宋体" w:hAnsi="宋体"/>
                <w:szCs w:val="21"/>
              </w:rPr>
              <w:t>符合第二章“投标人须知”第3.7款的要求。</w:t>
            </w:r>
          </w:p>
          <w:p w14:paraId="3EC0BBD0">
            <w:pPr>
              <w:spacing w:line="400" w:lineRule="exact"/>
              <w:ind w:firstLine="420" w:firstLineChars="200"/>
              <w:rPr>
                <w:rFonts w:ascii="宋体" w:hAnsi="宋体"/>
                <w:szCs w:val="21"/>
              </w:rPr>
            </w:pPr>
            <w:r>
              <w:rPr>
                <w:rFonts w:hint="eastAsia" w:ascii="宋体" w:hAnsi="宋体"/>
                <w:szCs w:val="21"/>
              </w:rPr>
              <w:t>编制投标文件时对第六章“投标文件格式”的相应要素作实质性修改。</w:t>
            </w:r>
          </w:p>
        </w:tc>
      </w:tr>
      <w:tr w14:paraId="1390639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E6C1A3C">
            <w:pPr>
              <w:spacing w:line="400" w:lineRule="exact"/>
              <w:jc w:val="center"/>
              <w:rPr>
                <w:rFonts w:ascii="宋体" w:hAnsi="宋体"/>
                <w:szCs w:val="21"/>
              </w:rPr>
            </w:pPr>
          </w:p>
        </w:tc>
        <w:tc>
          <w:tcPr>
            <w:tcW w:w="1550" w:type="dxa"/>
            <w:vMerge w:val="continue"/>
            <w:vAlign w:val="center"/>
          </w:tcPr>
          <w:p w14:paraId="0F8195DC">
            <w:pPr>
              <w:spacing w:line="400" w:lineRule="exact"/>
              <w:jc w:val="center"/>
              <w:rPr>
                <w:rFonts w:ascii="宋体" w:hAnsi="宋体"/>
                <w:szCs w:val="21"/>
              </w:rPr>
            </w:pPr>
          </w:p>
        </w:tc>
        <w:tc>
          <w:tcPr>
            <w:tcW w:w="6861" w:type="dxa"/>
          </w:tcPr>
          <w:p w14:paraId="7FE156C7">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0</w:t>
            </w:r>
            <w:r>
              <w:rPr>
                <w:rFonts w:hint="eastAsia" w:ascii="宋体" w:hAnsi="宋体"/>
                <w:szCs w:val="21"/>
              </w:rPr>
              <w:t>第六章 投标文件格式（不含投标函部分）要求法定代表人</w:t>
            </w:r>
            <w:r>
              <w:rPr>
                <w:rFonts w:hint="eastAsia" w:ascii="宋体" w:hAnsi="宋体"/>
                <w:szCs w:val="21"/>
                <w:lang w:eastAsia="zh-CN"/>
              </w:rPr>
              <w:t>（</w:t>
            </w:r>
            <w:r>
              <w:rPr>
                <w:rFonts w:hint="eastAsia" w:ascii="宋体" w:hAnsi="宋体"/>
                <w:szCs w:val="21"/>
              </w:rPr>
              <w:t>或其委托代理人</w:t>
            </w:r>
            <w:r>
              <w:rPr>
                <w:rFonts w:hint="eastAsia" w:ascii="宋体" w:hAnsi="宋体"/>
                <w:szCs w:val="21"/>
                <w:lang w:eastAsia="zh-CN"/>
              </w:rPr>
              <w:t>）</w:t>
            </w:r>
            <w:r>
              <w:rPr>
                <w:rFonts w:hint="eastAsia" w:ascii="宋体" w:hAnsi="宋体"/>
                <w:szCs w:val="21"/>
              </w:rPr>
              <w:t>签名（或盖章）的</w:t>
            </w:r>
            <w:r>
              <w:rPr>
                <w:rFonts w:hint="eastAsia" w:ascii="宋体" w:hAnsi="宋体"/>
                <w:szCs w:val="21"/>
                <w:lang w:val="en-US" w:eastAsia="zh-CN"/>
              </w:rPr>
              <w:t>不</w:t>
            </w:r>
            <w:r>
              <w:rPr>
                <w:rFonts w:hint="eastAsia" w:ascii="宋体" w:hAnsi="宋体"/>
                <w:szCs w:val="21"/>
              </w:rPr>
              <w:t>齐全。要求签名的，</w:t>
            </w:r>
            <w:r>
              <w:rPr>
                <w:rFonts w:hint="eastAsia" w:ascii="宋体" w:hAnsi="宋体" w:cs="宋体"/>
                <w:kern w:val="0"/>
              </w:rPr>
              <w:t>签名</w:t>
            </w:r>
            <w:r>
              <w:rPr>
                <w:rFonts w:hint="eastAsia" w:ascii="宋体" w:hAnsi="宋体" w:cs="宋体"/>
                <w:kern w:val="0"/>
                <w:lang w:val="en-US" w:eastAsia="zh-CN"/>
              </w:rPr>
              <w:t>未</w:t>
            </w:r>
            <w:r>
              <w:rPr>
                <w:rFonts w:hint="eastAsia" w:ascii="宋体" w:hAnsi="宋体" w:cs="宋体"/>
                <w:kern w:val="0"/>
              </w:rPr>
              <w:t>采用手写签名</w:t>
            </w:r>
            <w:r>
              <w:rPr>
                <w:rFonts w:hint="eastAsia" w:ascii="宋体" w:hAnsi="宋体"/>
                <w:szCs w:val="21"/>
              </w:rPr>
              <w:t>或</w:t>
            </w:r>
            <w:r>
              <w:rPr>
                <w:rFonts w:hint="eastAsia" w:ascii="宋体" w:hAnsi="宋体"/>
                <w:szCs w:val="21"/>
                <w:lang w:val="en-US" w:eastAsia="zh-CN"/>
              </w:rPr>
              <w:t>未</w:t>
            </w:r>
            <w:r>
              <w:rPr>
                <w:rFonts w:hint="eastAsia" w:ascii="宋体" w:hAnsi="宋体"/>
                <w:szCs w:val="21"/>
              </w:rPr>
              <w:t>签章</w:t>
            </w:r>
            <w:r>
              <w:rPr>
                <w:rFonts w:hint="eastAsia" w:ascii="宋体" w:hAnsi="宋体" w:cs="宋体"/>
                <w:kern w:val="0"/>
              </w:rPr>
              <w:t>。</w:t>
            </w:r>
          </w:p>
          <w:p w14:paraId="519840F1">
            <w:pPr>
              <w:spacing w:line="400" w:lineRule="exact"/>
              <w:ind w:firstLine="420" w:firstLineChars="200"/>
              <w:rPr>
                <w:rFonts w:ascii="宋体" w:hAnsi="宋体"/>
                <w:szCs w:val="21"/>
              </w:rPr>
            </w:pPr>
            <w:r>
              <w:rPr>
                <w:rFonts w:hint="eastAsia" w:ascii="宋体" w:hAnsi="宋体"/>
                <w:szCs w:val="21"/>
              </w:rPr>
              <w:t>第六章 投标文件格式（不含投标函部分）要求加盖单位法人章的，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p w14:paraId="42DB85E6">
            <w:pPr>
              <w:spacing w:line="400" w:lineRule="exact"/>
              <w:ind w:firstLine="420" w:firstLineChars="200"/>
              <w:rPr>
                <w:rFonts w:ascii="宋体" w:hAnsi="宋体"/>
                <w:szCs w:val="21"/>
              </w:rPr>
            </w:pPr>
          </w:p>
        </w:tc>
      </w:tr>
      <w:tr w14:paraId="0207614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36F6D84">
            <w:pPr>
              <w:spacing w:line="400" w:lineRule="exact"/>
              <w:jc w:val="center"/>
              <w:rPr>
                <w:rFonts w:ascii="宋体" w:hAnsi="宋体"/>
                <w:szCs w:val="21"/>
              </w:rPr>
            </w:pPr>
          </w:p>
        </w:tc>
        <w:tc>
          <w:tcPr>
            <w:tcW w:w="1550" w:type="dxa"/>
            <w:vMerge w:val="continue"/>
            <w:vAlign w:val="center"/>
          </w:tcPr>
          <w:p w14:paraId="47D97DB8">
            <w:pPr>
              <w:spacing w:line="400" w:lineRule="exact"/>
              <w:jc w:val="center"/>
              <w:rPr>
                <w:rFonts w:ascii="宋体" w:hAnsi="宋体"/>
                <w:szCs w:val="21"/>
              </w:rPr>
            </w:pPr>
          </w:p>
        </w:tc>
        <w:tc>
          <w:tcPr>
            <w:tcW w:w="6861" w:type="dxa"/>
          </w:tcPr>
          <w:p w14:paraId="67634E16">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1</w:t>
            </w:r>
            <w:r>
              <w:rPr>
                <w:rFonts w:hint="eastAsia" w:ascii="宋体" w:hAnsi="宋体"/>
                <w:szCs w:val="21"/>
              </w:rPr>
              <w:t>投标人法定代表人的委托代理人</w:t>
            </w:r>
            <w:r>
              <w:rPr>
                <w:rFonts w:hint="eastAsia" w:ascii="宋体" w:hAnsi="宋体"/>
                <w:szCs w:val="21"/>
                <w:lang w:val="en-US" w:eastAsia="zh-CN"/>
              </w:rPr>
              <w:t>无</w:t>
            </w:r>
            <w:r>
              <w:rPr>
                <w:rFonts w:hint="eastAsia" w:ascii="宋体" w:hAnsi="宋体"/>
                <w:szCs w:val="21"/>
              </w:rPr>
              <w:t>法定代表人签署的授权委托书和投标人为其缴纳的养老保险证明材料。</w:t>
            </w:r>
          </w:p>
        </w:tc>
      </w:tr>
      <w:tr w14:paraId="724207F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C1ADFEE">
            <w:pPr>
              <w:spacing w:line="400" w:lineRule="exact"/>
              <w:jc w:val="center"/>
              <w:rPr>
                <w:rFonts w:ascii="宋体" w:hAnsi="宋体"/>
                <w:szCs w:val="21"/>
              </w:rPr>
            </w:pPr>
          </w:p>
        </w:tc>
        <w:tc>
          <w:tcPr>
            <w:tcW w:w="1550" w:type="dxa"/>
            <w:vMerge w:val="continue"/>
            <w:vAlign w:val="center"/>
          </w:tcPr>
          <w:p w14:paraId="04346A33">
            <w:pPr>
              <w:spacing w:line="400" w:lineRule="exact"/>
              <w:jc w:val="center"/>
              <w:rPr>
                <w:rFonts w:ascii="宋体" w:hAnsi="宋体"/>
                <w:szCs w:val="21"/>
              </w:rPr>
            </w:pPr>
          </w:p>
        </w:tc>
        <w:tc>
          <w:tcPr>
            <w:tcW w:w="6861" w:type="dxa"/>
          </w:tcPr>
          <w:p w14:paraId="7BE4662A">
            <w:pPr>
              <w:spacing w:line="400" w:lineRule="exact"/>
              <w:ind w:firstLine="420" w:firstLineChars="200"/>
              <w:rPr>
                <w:rFonts w:ascii="宋体" w:hAnsi="宋体"/>
                <w:szCs w:val="21"/>
              </w:rPr>
            </w:pPr>
            <w:r>
              <w:rPr>
                <w:rFonts w:hint="eastAsia" w:ascii="宋体" w:hAnsi="宋体"/>
                <w:szCs w:val="21"/>
              </w:rPr>
              <w:t>A-</w:t>
            </w:r>
            <w:r>
              <w:rPr>
                <w:rFonts w:ascii="宋体" w:hAnsi="宋体"/>
                <w:szCs w:val="21"/>
              </w:rPr>
              <w:t>1</w:t>
            </w:r>
            <w:r>
              <w:rPr>
                <w:rFonts w:hint="eastAsia" w:ascii="宋体" w:hAnsi="宋体"/>
                <w:szCs w:val="21"/>
                <w:lang w:val="en-US" w:eastAsia="zh-CN"/>
              </w:rPr>
              <w:t>2</w:t>
            </w:r>
            <w:r>
              <w:rPr>
                <w:rFonts w:ascii="宋体" w:hAnsi="宋体"/>
                <w:szCs w:val="21"/>
              </w:rPr>
              <w:t>招标文件</w:t>
            </w:r>
            <w:r>
              <w:rPr>
                <w:rFonts w:hint="eastAsia" w:ascii="宋体" w:hAnsi="宋体"/>
                <w:szCs w:val="21"/>
                <w:lang w:val="en-US" w:eastAsia="zh-CN"/>
              </w:rPr>
              <w:t>未</w:t>
            </w:r>
            <w:r>
              <w:rPr>
                <w:rFonts w:ascii="宋体" w:hAnsi="宋体"/>
                <w:szCs w:val="21"/>
              </w:rPr>
              <w:t>明确允许提交备选投标方案，投标人提交备选投标方案</w:t>
            </w:r>
            <w:r>
              <w:rPr>
                <w:rFonts w:hint="eastAsia" w:ascii="宋体" w:hAnsi="宋体"/>
                <w:szCs w:val="21"/>
              </w:rPr>
              <w:t>。</w:t>
            </w:r>
          </w:p>
        </w:tc>
      </w:tr>
      <w:tr w14:paraId="1261DB3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E9C08C1">
            <w:pPr>
              <w:spacing w:line="400" w:lineRule="exact"/>
              <w:jc w:val="center"/>
              <w:rPr>
                <w:rFonts w:hint="eastAsia" w:ascii="宋体" w:hAnsi="宋体"/>
                <w:szCs w:val="21"/>
              </w:rPr>
            </w:pPr>
          </w:p>
        </w:tc>
        <w:tc>
          <w:tcPr>
            <w:tcW w:w="1550" w:type="dxa"/>
            <w:vMerge w:val="restart"/>
            <w:vAlign w:val="center"/>
          </w:tcPr>
          <w:p w14:paraId="5EE85D51">
            <w:pPr>
              <w:spacing w:line="400" w:lineRule="exact"/>
              <w:jc w:val="center"/>
              <w:rPr>
                <w:rFonts w:ascii="宋体" w:hAnsi="宋体"/>
                <w:szCs w:val="21"/>
              </w:rPr>
            </w:pPr>
            <w:r>
              <w:rPr>
                <w:rFonts w:hint="eastAsia" w:ascii="宋体" w:hAnsi="宋体"/>
                <w:szCs w:val="21"/>
              </w:rPr>
              <w:t>响应性评审</w:t>
            </w:r>
          </w:p>
        </w:tc>
        <w:tc>
          <w:tcPr>
            <w:tcW w:w="6861" w:type="dxa"/>
            <w:vAlign w:val="center"/>
          </w:tcPr>
          <w:p w14:paraId="1EF0A7EF">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3</w:t>
            </w:r>
            <w:r>
              <w:rPr>
                <w:rFonts w:hint="eastAsia" w:ascii="宋体" w:hAnsi="宋体"/>
                <w:szCs w:val="21"/>
              </w:rPr>
              <w:t>投标内容</w:t>
            </w:r>
            <w:r>
              <w:rPr>
                <w:rFonts w:hint="eastAsia" w:ascii="宋体" w:hAnsi="宋体"/>
                <w:szCs w:val="21"/>
                <w:lang w:val="en-US" w:eastAsia="zh-CN"/>
              </w:rPr>
              <w:t>不</w:t>
            </w:r>
            <w:r>
              <w:rPr>
                <w:rFonts w:hint="eastAsia" w:ascii="宋体" w:hAnsi="宋体"/>
                <w:szCs w:val="21"/>
              </w:rPr>
              <w:t>符合第二章“投标人须知”第1.3.1项规定。</w:t>
            </w:r>
          </w:p>
        </w:tc>
      </w:tr>
      <w:tr w14:paraId="07222CA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14DC969">
            <w:pPr>
              <w:spacing w:line="400" w:lineRule="exact"/>
              <w:jc w:val="center"/>
              <w:rPr>
                <w:rFonts w:ascii="宋体" w:hAnsi="宋体"/>
                <w:szCs w:val="21"/>
              </w:rPr>
            </w:pPr>
          </w:p>
        </w:tc>
        <w:tc>
          <w:tcPr>
            <w:tcW w:w="1550" w:type="dxa"/>
            <w:vMerge w:val="continue"/>
            <w:vAlign w:val="center"/>
          </w:tcPr>
          <w:p w14:paraId="489F0E5A">
            <w:pPr>
              <w:spacing w:line="400" w:lineRule="exact"/>
              <w:jc w:val="center"/>
              <w:rPr>
                <w:rFonts w:ascii="宋体" w:hAnsi="宋体"/>
                <w:szCs w:val="21"/>
              </w:rPr>
            </w:pPr>
          </w:p>
        </w:tc>
        <w:tc>
          <w:tcPr>
            <w:tcW w:w="6861" w:type="dxa"/>
            <w:vAlign w:val="center"/>
          </w:tcPr>
          <w:p w14:paraId="03F6DA35">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4</w:t>
            </w:r>
            <w:r>
              <w:rPr>
                <w:rFonts w:hint="eastAsia" w:ascii="宋体" w:hAnsi="宋体" w:cs="宋体"/>
                <w:color w:val="auto"/>
                <w:szCs w:val="21"/>
                <w:highlight w:val="none"/>
              </w:rPr>
              <w:t>投标保证金</w:t>
            </w:r>
            <w:r>
              <w:rPr>
                <w:rFonts w:hint="eastAsia" w:ascii="宋体" w:hAnsi="宋体" w:cs="宋体"/>
                <w:color w:val="auto"/>
                <w:szCs w:val="21"/>
                <w:highlight w:val="none"/>
                <w:lang w:val="en-US" w:eastAsia="zh-CN"/>
              </w:rPr>
              <w:t>不</w:t>
            </w:r>
            <w:r>
              <w:rPr>
                <w:rFonts w:hint="eastAsia" w:ascii="宋体" w:hAnsi="宋体" w:cs="宋体"/>
                <w:kern w:val="0"/>
              </w:rPr>
              <w:t>符合第二章“投标人须知前附表”第3.4</w:t>
            </w:r>
            <w:r>
              <w:rPr>
                <w:rFonts w:hint="eastAsia" w:ascii="宋体" w:hAnsi="宋体" w:cs="宋体"/>
                <w:kern w:val="0"/>
                <w:lang w:val="en-US" w:eastAsia="zh-CN"/>
              </w:rPr>
              <w:t>.1项</w:t>
            </w:r>
            <w:r>
              <w:rPr>
                <w:rFonts w:hint="eastAsia" w:ascii="宋体" w:hAnsi="宋体" w:cs="宋体"/>
                <w:kern w:val="0"/>
              </w:rPr>
              <w:t>规定</w:t>
            </w:r>
            <w:r>
              <w:rPr>
                <w:rFonts w:hint="eastAsia" w:ascii="宋体" w:hAnsi="宋体"/>
                <w:szCs w:val="21"/>
                <w:lang w:eastAsia="zh-CN"/>
              </w:rPr>
              <w:t>。</w:t>
            </w:r>
          </w:p>
        </w:tc>
      </w:tr>
      <w:tr w14:paraId="6CF511D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62AA6F5">
            <w:pPr>
              <w:spacing w:line="400" w:lineRule="exact"/>
              <w:jc w:val="center"/>
              <w:rPr>
                <w:rFonts w:ascii="宋体" w:hAnsi="宋体"/>
                <w:szCs w:val="21"/>
              </w:rPr>
            </w:pPr>
          </w:p>
        </w:tc>
        <w:tc>
          <w:tcPr>
            <w:tcW w:w="1550" w:type="dxa"/>
            <w:vMerge w:val="continue"/>
            <w:vAlign w:val="center"/>
          </w:tcPr>
          <w:p w14:paraId="149C2BE9">
            <w:pPr>
              <w:spacing w:line="400" w:lineRule="exact"/>
              <w:jc w:val="center"/>
              <w:rPr>
                <w:rFonts w:ascii="宋体" w:hAnsi="宋体"/>
                <w:szCs w:val="21"/>
              </w:rPr>
            </w:pPr>
          </w:p>
        </w:tc>
        <w:tc>
          <w:tcPr>
            <w:tcW w:w="6861" w:type="dxa"/>
            <w:vAlign w:val="center"/>
          </w:tcPr>
          <w:p w14:paraId="4CCD8E06">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5不</w:t>
            </w:r>
            <w:r>
              <w:rPr>
                <w:rFonts w:hint="eastAsia" w:ascii="宋体" w:hAnsi="宋体"/>
                <w:kern w:val="0"/>
              </w:rPr>
              <w:t>符合</w:t>
            </w:r>
            <w:r>
              <w:rPr>
                <w:rFonts w:ascii="宋体" w:hAnsi="宋体"/>
                <w:szCs w:val="21"/>
              </w:rPr>
              <w:t>第四章“合同条款及格式”</w:t>
            </w:r>
            <w:r>
              <w:rPr>
                <w:rFonts w:hint="eastAsia" w:ascii="宋体" w:hAnsi="宋体" w:cs="宋体"/>
                <w:kern w:val="0"/>
              </w:rPr>
              <w:t>中的实质性要求和条件</w:t>
            </w:r>
            <w:r>
              <w:rPr>
                <w:rFonts w:ascii="宋体" w:hAnsi="宋体"/>
                <w:szCs w:val="21"/>
              </w:rPr>
              <w:t>，投标文件附有招标人不能接受的条件。</w:t>
            </w:r>
            <w:r>
              <w:rPr>
                <w:rFonts w:hint="eastAsia" w:ascii="宋体" w:hAnsi="宋体"/>
                <w:szCs w:val="21"/>
              </w:rPr>
              <w:t>（由投标人承诺，承诺书格式详见第六章投标文件格式。）</w:t>
            </w:r>
          </w:p>
        </w:tc>
      </w:tr>
      <w:tr w14:paraId="1BCB08AD">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462A782">
            <w:pPr>
              <w:spacing w:line="400" w:lineRule="exact"/>
              <w:jc w:val="center"/>
              <w:rPr>
                <w:rFonts w:ascii="宋体" w:hAnsi="宋体"/>
                <w:szCs w:val="21"/>
              </w:rPr>
            </w:pPr>
          </w:p>
        </w:tc>
        <w:tc>
          <w:tcPr>
            <w:tcW w:w="1550" w:type="dxa"/>
            <w:vMerge w:val="continue"/>
            <w:vAlign w:val="center"/>
          </w:tcPr>
          <w:p w14:paraId="14417B59">
            <w:pPr>
              <w:spacing w:line="400" w:lineRule="exact"/>
              <w:jc w:val="center"/>
              <w:rPr>
                <w:rFonts w:ascii="宋体" w:hAnsi="宋体"/>
                <w:szCs w:val="21"/>
              </w:rPr>
            </w:pPr>
          </w:p>
        </w:tc>
        <w:tc>
          <w:tcPr>
            <w:tcW w:w="6861" w:type="dxa"/>
            <w:vAlign w:val="center"/>
          </w:tcPr>
          <w:p w14:paraId="7478982F">
            <w:pPr>
              <w:spacing w:line="400" w:lineRule="exact"/>
              <w:ind w:firstLine="420" w:firstLineChars="200"/>
              <w:rPr>
                <w:rFonts w:hint="eastAsia" w:ascii="宋体" w:hAnsi="宋体"/>
                <w:szCs w:val="21"/>
              </w:rPr>
            </w:pPr>
            <w:r>
              <w:rPr>
                <w:rFonts w:hint="eastAsia" w:ascii="宋体" w:hAnsi="宋体"/>
                <w:szCs w:val="21"/>
              </w:rPr>
              <w:t>A-1</w:t>
            </w:r>
            <w:r>
              <w:rPr>
                <w:rFonts w:hint="eastAsia" w:ascii="宋体" w:hAnsi="宋体"/>
                <w:szCs w:val="21"/>
                <w:lang w:val="en-US" w:eastAsia="zh-CN"/>
              </w:rPr>
              <w:t>6</w:t>
            </w:r>
            <w:r>
              <w:rPr>
                <w:rFonts w:hint="eastAsia" w:ascii="宋体" w:hAnsi="宋体"/>
                <w:szCs w:val="21"/>
              </w:rPr>
              <w:t xml:space="preserve"> </w:t>
            </w:r>
            <w:r>
              <w:rPr>
                <w:rFonts w:hint="eastAsia" w:ascii="宋体" w:hAnsi="宋体"/>
                <w:kern w:val="0"/>
              </w:rPr>
              <w:t>质量标准</w:t>
            </w:r>
            <w:r>
              <w:rPr>
                <w:rFonts w:hint="eastAsia" w:ascii="宋体" w:hAnsi="宋体"/>
                <w:kern w:val="0"/>
                <w:lang w:val="en-US" w:eastAsia="zh-CN"/>
              </w:rPr>
              <w:t>和</w:t>
            </w:r>
            <w:r>
              <w:rPr>
                <w:rFonts w:hint="eastAsia" w:ascii="宋体" w:hAnsi="宋体"/>
                <w:kern w:val="0"/>
              </w:rPr>
              <w:t>技术性能</w:t>
            </w:r>
            <w:r>
              <w:rPr>
                <w:rFonts w:hint="eastAsia" w:ascii="宋体" w:hAnsi="宋体"/>
                <w:kern w:val="0"/>
                <w:lang w:val="en-US" w:eastAsia="zh-CN"/>
              </w:rPr>
              <w:t>不</w:t>
            </w:r>
            <w:r>
              <w:rPr>
                <w:rFonts w:ascii="宋体" w:hAnsi="宋体"/>
                <w:kern w:val="0"/>
              </w:rPr>
              <w:t>符合第二章“投标人须知”</w:t>
            </w:r>
            <w:r>
              <w:rPr>
                <w:rFonts w:ascii="宋体" w:hAnsi="宋体"/>
                <w:kern w:val="0"/>
                <w:szCs w:val="21"/>
              </w:rPr>
              <w:t>第</w:t>
            </w:r>
            <w:r>
              <w:rPr>
                <w:rFonts w:hint="eastAsia" w:ascii="宋体" w:hAnsi="宋体"/>
                <w:kern w:val="0"/>
                <w:szCs w:val="21"/>
              </w:rPr>
              <w:t>1</w:t>
            </w:r>
            <w:r>
              <w:rPr>
                <w:rFonts w:ascii="宋体" w:hAnsi="宋体"/>
                <w:kern w:val="0"/>
                <w:szCs w:val="21"/>
              </w:rPr>
              <w:t>.</w:t>
            </w:r>
            <w:r>
              <w:rPr>
                <w:rFonts w:hint="eastAsia" w:ascii="宋体" w:hAnsi="宋体"/>
                <w:kern w:val="0"/>
                <w:szCs w:val="21"/>
              </w:rPr>
              <w:t>3.4项</w:t>
            </w:r>
            <w:r>
              <w:rPr>
                <w:rFonts w:ascii="宋体" w:hAnsi="宋体"/>
                <w:kern w:val="0"/>
              </w:rPr>
              <w:t>规定</w:t>
            </w:r>
            <w:r>
              <w:rPr>
                <w:rFonts w:hint="eastAsia" w:ascii="宋体" w:hAnsi="宋体"/>
                <w:szCs w:val="21"/>
              </w:rPr>
              <w:t>。</w:t>
            </w:r>
          </w:p>
        </w:tc>
      </w:tr>
      <w:tr w14:paraId="791ADB1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8DEA318">
            <w:pPr>
              <w:spacing w:line="400" w:lineRule="exact"/>
              <w:jc w:val="center"/>
              <w:rPr>
                <w:rFonts w:ascii="宋体" w:hAnsi="宋体"/>
                <w:szCs w:val="21"/>
              </w:rPr>
            </w:pPr>
          </w:p>
        </w:tc>
        <w:tc>
          <w:tcPr>
            <w:tcW w:w="1550" w:type="dxa"/>
            <w:vMerge w:val="continue"/>
            <w:vAlign w:val="center"/>
          </w:tcPr>
          <w:p w14:paraId="3294DFA5">
            <w:pPr>
              <w:spacing w:line="400" w:lineRule="exact"/>
              <w:jc w:val="center"/>
              <w:rPr>
                <w:rFonts w:ascii="宋体" w:hAnsi="宋体"/>
                <w:szCs w:val="21"/>
              </w:rPr>
            </w:pPr>
          </w:p>
        </w:tc>
        <w:tc>
          <w:tcPr>
            <w:tcW w:w="6861" w:type="dxa"/>
            <w:vAlign w:val="center"/>
          </w:tcPr>
          <w:p w14:paraId="57097C42">
            <w:pPr>
              <w:spacing w:line="400" w:lineRule="exact"/>
              <w:ind w:firstLine="420" w:firstLineChars="200"/>
              <w:rPr>
                <w:rFonts w:ascii="宋体" w:hAnsi="宋体"/>
                <w:szCs w:val="21"/>
              </w:rPr>
            </w:pPr>
            <w:r>
              <w:rPr>
                <w:rFonts w:hint="eastAsia" w:ascii="宋体" w:hAnsi="宋体"/>
                <w:szCs w:val="21"/>
              </w:rPr>
              <w:t>A-1</w:t>
            </w:r>
            <w:r>
              <w:rPr>
                <w:rFonts w:hint="eastAsia" w:ascii="宋体" w:hAnsi="宋体"/>
                <w:szCs w:val="21"/>
                <w:lang w:val="en-US" w:eastAsia="zh-CN"/>
              </w:rPr>
              <w:t>7</w:t>
            </w:r>
            <w:r>
              <w:rPr>
                <w:rFonts w:hint="eastAsia" w:ascii="宋体" w:hAnsi="宋体"/>
                <w:szCs w:val="21"/>
              </w:rPr>
              <w:t>投标人有以下情形之一的：</w:t>
            </w:r>
          </w:p>
          <w:p w14:paraId="13B1A531">
            <w:pPr>
              <w:spacing w:line="400" w:lineRule="exact"/>
              <w:ind w:firstLine="420" w:firstLineChars="200"/>
              <w:rPr>
                <w:rFonts w:ascii="宋体" w:hAnsi="宋体"/>
                <w:szCs w:val="21"/>
              </w:rPr>
            </w:pPr>
            <w:r>
              <w:rPr>
                <w:rFonts w:hint="eastAsia" w:ascii="宋体" w:hAnsi="宋体"/>
                <w:szCs w:val="21"/>
              </w:rPr>
              <w:t>1.本次投标</w:t>
            </w:r>
            <w:r>
              <w:rPr>
                <w:rFonts w:hint="eastAsia" w:ascii="宋体" w:hAnsi="宋体"/>
                <w:kern w:val="0"/>
                <w:lang w:val="en-US" w:eastAsia="zh-CN"/>
              </w:rPr>
              <w:t>存在</w:t>
            </w:r>
            <w:r>
              <w:t>弄虚作假</w:t>
            </w:r>
            <w:r>
              <w:rPr>
                <w:rFonts w:ascii="宋体" w:hAnsi="宋体"/>
                <w:kern w:val="0"/>
              </w:rPr>
              <w:t>等其他违反招投标相关法律、法规行为</w:t>
            </w:r>
            <w:r>
              <w:rPr>
                <w:rFonts w:hint="eastAsia" w:ascii="宋体" w:hAnsi="宋体"/>
                <w:szCs w:val="21"/>
              </w:rPr>
              <w:t>；</w:t>
            </w:r>
          </w:p>
          <w:p w14:paraId="0B26DFED">
            <w:pPr>
              <w:spacing w:line="400" w:lineRule="exact"/>
              <w:ind w:firstLine="420" w:firstLineChars="200"/>
              <w:rPr>
                <w:rFonts w:ascii="宋体" w:hAnsi="宋体"/>
                <w:szCs w:val="21"/>
              </w:rPr>
            </w:pPr>
            <w:r>
              <w:rPr>
                <w:rFonts w:hint="eastAsia" w:ascii="宋体" w:hAnsi="宋体"/>
                <w:szCs w:val="21"/>
              </w:rPr>
              <w:t>2.拒绝按评标委员会要求澄清、说明或补正的。</w:t>
            </w:r>
          </w:p>
        </w:tc>
      </w:tr>
      <w:tr w14:paraId="6083F934">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8E4E9C5">
            <w:pPr>
              <w:spacing w:line="400" w:lineRule="exact"/>
              <w:jc w:val="center"/>
              <w:rPr>
                <w:rFonts w:hint="eastAsia" w:ascii="宋体" w:hAnsi="宋体"/>
                <w:szCs w:val="21"/>
              </w:rPr>
            </w:pPr>
          </w:p>
        </w:tc>
        <w:tc>
          <w:tcPr>
            <w:tcW w:w="1550" w:type="dxa"/>
            <w:vMerge w:val="restart"/>
            <w:vAlign w:val="center"/>
          </w:tcPr>
          <w:p w14:paraId="3C87BC3E">
            <w:pPr>
              <w:spacing w:line="400" w:lineRule="exact"/>
              <w:jc w:val="center"/>
              <w:rPr>
                <w:rFonts w:ascii="宋体" w:hAnsi="宋体"/>
                <w:szCs w:val="21"/>
              </w:rPr>
            </w:pPr>
            <w:r>
              <w:rPr>
                <w:rFonts w:hint="eastAsia" w:ascii="宋体" w:hAnsi="宋体"/>
                <w:szCs w:val="21"/>
              </w:rPr>
              <w:t>投标函部分评审</w:t>
            </w:r>
          </w:p>
        </w:tc>
        <w:tc>
          <w:tcPr>
            <w:tcW w:w="6861" w:type="dxa"/>
          </w:tcPr>
          <w:p w14:paraId="338F8975">
            <w:pPr>
              <w:spacing w:line="400" w:lineRule="exact"/>
              <w:ind w:firstLine="420" w:firstLineChars="200"/>
              <w:rPr>
                <w:rFonts w:ascii="宋体" w:hAnsi="宋体"/>
                <w:szCs w:val="21"/>
              </w:rPr>
            </w:pPr>
            <w:r>
              <w:rPr>
                <w:rFonts w:hint="eastAsia" w:ascii="宋体" w:hAnsi="宋体"/>
                <w:szCs w:val="21"/>
              </w:rPr>
              <w:t>A-</w:t>
            </w:r>
            <w:r>
              <w:rPr>
                <w:rFonts w:hint="eastAsia" w:ascii="宋体" w:hAnsi="宋体"/>
                <w:szCs w:val="21"/>
                <w:lang w:val="en-US" w:eastAsia="zh-CN"/>
              </w:rPr>
              <w:t>18</w:t>
            </w:r>
            <w:r>
              <w:rPr>
                <w:rFonts w:hint="eastAsia" w:ascii="宋体" w:hAnsi="宋体" w:cs="宋体"/>
                <w:kern w:val="0"/>
              </w:rPr>
              <w:t>投标函部分的格式要求法定代表人</w:t>
            </w:r>
            <w:r>
              <w:rPr>
                <w:rFonts w:hint="eastAsia" w:ascii="宋体" w:hAnsi="宋体" w:cs="宋体"/>
                <w:kern w:val="0"/>
                <w:lang w:eastAsia="zh-CN"/>
              </w:rPr>
              <w:t>（</w:t>
            </w:r>
            <w:r>
              <w:rPr>
                <w:rFonts w:hint="eastAsia" w:ascii="宋体" w:hAnsi="宋体" w:cs="宋体"/>
                <w:kern w:val="0"/>
              </w:rPr>
              <w:t>或其委托代理人</w:t>
            </w:r>
            <w:r>
              <w:rPr>
                <w:rFonts w:hint="eastAsia" w:ascii="宋体" w:hAnsi="宋体" w:cs="宋体"/>
                <w:kern w:val="0"/>
                <w:lang w:eastAsia="zh-CN"/>
              </w:rPr>
              <w:t>）</w:t>
            </w:r>
            <w:r>
              <w:rPr>
                <w:rFonts w:hint="eastAsia" w:ascii="宋体" w:hAnsi="宋体" w:cs="宋体"/>
                <w:kern w:val="0"/>
              </w:rPr>
              <w:t>签名（或盖章）的</w:t>
            </w:r>
            <w:r>
              <w:rPr>
                <w:rFonts w:hint="eastAsia" w:ascii="宋体" w:hAnsi="宋体" w:cs="宋体"/>
                <w:kern w:val="0"/>
                <w:lang w:val="en-US" w:eastAsia="zh-CN"/>
              </w:rPr>
              <w:t>不</w:t>
            </w:r>
            <w:r>
              <w:rPr>
                <w:rFonts w:hint="eastAsia" w:ascii="宋体" w:hAnsi="宋体" w:cs="宋体"/>
                <w:kern w:val="0"/>
              </w:rPr>
              <w:t>齐全</w:t>
            </w:r>
            <w:r>
              <w:rPr>
                <w:rFonts w:hint="eastAsia" w:ascii="宋体" w:hAnsi="宋体" w:cs="宋体"/>
                <w:kern w:val="0"/>
                <w:lang w:eastAsia="zh-CN"/>
              </w:rPr>
              <w:t>。</w:t>
            </w:r>
            <w:r>
              <w:rPr>
                <w:rFonts w:hint="eastAsia" w:ascii="宋体" w:hAnsi="宋体"/>
                <w:szCs w:val="21"/>
              </w:rPr>
              <w:t>要求签名的，</w:t>
            </w:r>
            <w:r>
              <w:rPr>
                <w:rFonts w:hint="eastAsia" w:ascii="宋体" w:hAnsi="宋体" w:cs="宋体"/>
                <w:kern w:val="0"/>
              </w:rPr>
              <w:t>签名</w:t>
            </w:r>
            <w:r>
              <w:rPr>
                <w:rFonts w:hint="eastAsia" w:ascii="宋体" w:hAnsi="宋体" w:cs="宋体"/>
                <w:kern w:val="0"/>
                <w:lang w:val="en-US" w:eastAsia="zh-CN"/>
              </w:rPr>
              <w:t>未</w:t>
            </w:r>
            <w:r>
              <w:rPr>
                <w:rFonts w:hint="eastAsia" w:ascii="宋体" w:hAnsi="宋体" w:cs="宋体"/>
                <w:kern w:val="0"/>
              </w:rPr>
              <w:t>采用手写签名</w:t>
            </w:r>
            <w:r>
              <w:rPr>
                <w:rFonts w:hint="eastAsia" w:ascii="宋体" w:hAnsi="宋体"/>
                <w:szCs w:val="21"/>
              </w:rPr>
              <w:t>或</w:t>
            </w:r>
            <w:r>
              <w:rPr>
                <w:rFonts w:hint="eastAsia" w:ascii="宋体" w:hAnsi="宋体"/>
                <w:szCs w:val="21"/>
                <w:lang w:val="en-US" w:eastAsia="zh-CN"/>
              </w:rPr>
              <w:t>未</w:t>
            </w:r>
            <w:r>
              <w:rPr>
                <w:rFonts w:hint="eastAsia" w:ascii="宋体" w:hAnsi="宋体"/>
                <w:szCs w:val="21"/>
              </w:rPr>
              <w:t>签章</w:t>
            </w:r>
            <w:r>
              <w:rPr>
                <w:rFonts w:hint="eastAsia" w:ascii="宋体" w:hAnsi="宋体" w:cs="宋体"/>
                <w:kern w:val="0"/>
              </w:rPr>
              <w:t>。要求加盖单位法人章的，</w:t>
            </w:r>
            <w:r>
              <w:rPr>
                <w:rFonts w:hint="eastAsia" w:ascii="宋体" w:hAnsi="宋体"/>
                <w:b/>
                <w:bCs/>
                <w:szCs w:val="21"/>
              </w:rPr>
              <w:t>未加盖</w:t>
            </w:r>
            <w:r>
              <w:rPr>
                <w:rFonts w:hint="eastAsia" w:ascii="宋体" w:hAnsi="宋体"/>
                <w:szCs w:val="21"/>
              </w:rPr>
              <w:t>投标人单位法人章或</w:t>
            </w:r>
            <w:r>
              <w:rPr>
                <w:rFonts w:hint="eastAsia" w:ascii="宋体" w:hAnsi="宋体"/>
                <w:b/>
                <w:bCs/>
                <w:szCs w:val="21"/>
              </w:rPr>
              <w:t>未加盖</w:t>
            </w:r>
            <w:r>
              <w:rPr>
                <w:rFonts w:hint="eastAsia" w:ascii="宋体" w:hAnsi="宋体"/>
                <w:szCs w:val="21"/>
              </w:rPr>
              <w:t>投标人的单位电子印章。</w:t>
            </w:r>
          </w:p>
          <w:p w14:paraId="4E2CFE43">
            <w:pPr>
              <w:spacing w:line="400" w:lineRule="exact"/>
              <w:ind w:firstLine="420" w:firstLineChars="200"/>
              <w:rPr>
                <w:rFonts w:ascii="宋体" w:hAnsi="宋体"/>
                <w:i/>
                <w:szCs w:val="21"/>
              </w:rPr>
            </w:pPr>
          </w:p>
        </w:tc>
      </w:tr>
      <w:tr w14:paraId="23420DEA">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1FFF7C5">
            <w:pPr>
              <w:spacing w:line="400" w:lineRule="exact"/>
              <w:jc w:val="center"/>
              <w:rPr>
                <w:rFonts w:hint="eastAsia" w:ascii="宋体" w:hAnsi="宋体"/>
                <w:szCs w:val="21"/>
              </w:rPr>
            </w:pPr>
          </w:p>
        </w:tc>
        <w:tc>
          <w:tcPr>
            <w:tcW w:w="1550" w:type="dxa"/>
            <w:vMerge w:val="continue"/>
            <w:vAlign w:val="center"/>
          </w:tcPr>
          <w:p w14:paraId="39A978A2">
            <w:pPr>
              <w:spacing w:line="400" w:lineRule="exact"/>
              <w:jc w:val="center"/>
              <w:rPr>
                <w:rFonts w:hint="eastAsia" w:ascii="宋体" w:hAnsi="宋体"/>
                <w:szCs w:val="21"/>
              </w:rPr>
            </w:pPr>
          </w:p>
        </w:tc>
        <w:tc>
          <w:tcPr>
            <w:tcW w:w="6861" w:type="dxa"/>
          </w:tcPr>
          <w:p w14:paraId="6B9E9524">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0</w:t>
            </w:r>
            <w:r>
              <w:rPr>
                <w:rFonts w:hint="eastAsia" w:ascii="宋体" w:hAnsi="宋体"/>
                <w:szCs w:val="21"/>
              </w:rPr>
              <w:t>交货期</w:t>
            </w:r>
            <w:r>
              <w:rPr>
                <w:rFonts w:hint="eastAsia" w:ascii="宋体" w:hAnsi="宋体"/>
                <w:szCs w:val="21"/>
                <w:lang w:val="en-US" w:eastAsia="zh-CN"/>
              </w:rPr>
              <w:t>不</w:t>
            </w:r>
            <w:r>
              <w:rPr>
                <w:rFonts w:hint="eastAsia" w:ascii="宋体" w:hAnsi="宋体"/>
                <w:szCs w:val="21"/>
              </w:rPr>
              <w:t>符合第二章“投标人须知”第1.3.2项规定。</w:t>
            </w:r>
          </w:p>
        </w:tc>
      </w:tr>
      <w:tr w14:paraId="0BA66A1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5823E3DD">
            <w:pPr>
              <w:spacing w:line="400" w:lineRule="exact"/>
              <w:jc w:val="center"/>
              <w:rPr>
                <w:rFonts w:hint="eastAsia" w:ascii="宋体" w:hAnsi="宋体"/>
                <w:szCs w:val="21"/>
              </w:rPr>
            </w:pPr>
          </w:p>
        </w:tc>
        <w:tc>
          <w:tcPr>
            <w:tcW w:w="1550" w:type="dxa"/>
            <w:vMerge w:val="continue"/>
            <w:vAlign w:val="center"/>
          </w:tcPr>
          <w:p w14:paraId="685A2964">
            <w:pPr>
              <w:spacing w:line="400" w:lineRule="exact"/>
              <w:jc w:val="center"/>
              <w:rPr>
                <w:rFonts w:hint="eastAsia" w:ascii="宋体" w:hAnsi="宋体"/>
                <w:szCs w:val="21"/>
              </w:rPr>
            </w:pPr>
          </w:p>
        </w:tc>
        <w:tc>
          <w:tcPr>
            <w:tcW w:w="6861" w:type="dxa"/>
          </w:tcPr>
          <w:p w14:paraId="529701C1">
            <w:pPr>
              <w:spacing w:line="400" w:lineRule="exact"/>
              <w:ind w:firstLine="420" w:firstLineChars="200"/>
              <w:rPr>
                <w:rFonts w:hint="eastAsia" w:ascii="宋体" w:hAnsi="宋体"/>
                <w:szCs w:val="21"/>
              </w:rPr>
            </w:pPr>
            <w:r>
              <w:rPr>
                <w:rFonts w:hint="eastAsia" w:ascii="宋体" w:hAnsi="宋体"/>
                <w:szCs w:val="21"/>
              </w:rPr>
              <w:t>A-2</w:t>
            </w:r>
            <w:r>
              <w:rPr>
                <w:rFonts w:hint="eastAsia" w:ascii="宋体" w:hAnsi="宋体"/>
                <w:szCs w:val="21"/>
                <w:lang w:val="en-US" w:eastAsia="zh-CN"/>
              </w:rPr>
              <w:t>1</w:t>
            </w:r>
            <w:r>
              <w:rPr>
                <w:rFonts w:hint="eastAsia" w:ascii="宋体" w:hAnsi="宋体"/>
                <w:szCs w:val="21"/>
              </w:rPr>
              <w:t>交货地点</w:t>
            </w:r>
            <w:r>
              <w:rPr>
                <w:rFonts w:hint="eastAsia" w:ascii="宋体" w:hAnsi="宋体"/>
                <w:szCs w:val="21"/>
                <w:lang w:val="en-US" w:eastAsia="zh-CN"/>
              </w:rPr>
              <w:t>不</w:t>
            </w:r>
            <w:r>
              <w:rPr>
                <w:rFonts w:hint="eastAsia" w:ascii="宋体" w:hAnsi="宋体"/>
                <w:szCs w:val="21"/>
              </w:rPr>
              <w:t>符合第二章“投标人须知”第1.3.3项规定。</w:t>
            </w:r>
          </w:p>
        </w:tc>
      </w:tr>
      <w:tr w14:paraId="1B91303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B9781B4">
            <w:pPr>
              <w:spacing w:line="400" w:lineRule="exact"/>
              <w:jc w:val="center"/>
              <w:rPr>
                <w:rFonts w:hint="eastAsia" w:ascii="宋体" w:hAnsi="宋体"/>
                <w:szCs w:val="21"/>
              </w:rPr>
            </w:pPr>
          </w:p>
        </w:tc>
        <w:tc>
          <w:tcPr>
            <w:tcW w:w="1550" w:type="dxa"/>
            <w:vMerge w:val="continue"/>
            <w:vAlign w:val="center"/>
          </w:tcPr>
          <w:p w14:paraId="0FB047BE">
            <w:pPr>
              <w:spacing w:line="400" w:lineRule="exact"/>
              <w:jc w:val="center"/>
              <w:rPr>
                <w:rFonts w:hint="eastAsia" w:ascii="宋体" w:hAnsi="宋体"/>
                <w:szCs w:val="21"/>
              </w:rPr>
            </w:pPr>
          </w:p>
        </w:tc>
        <w:tc>
          <w:tcPr>
            <w:tcW w:w="6861" w:type="dxa"/>
          </w:tcPr>
          <w:p w14:paraId="50992EB2">
            <w:pPr>
              <w:spacing w:line="400" w:lineRule="exact"/>
              <w:ind w:firstLine="420" w:firstLineChars="200"/>
              <w:rPr>
                <w:rFonts w:hint="eastAsia" w:ascii="宋体" w:hAnsi="宋体"/>
                <w:szCs w:val="21"/>
              </w:rPr>
            </w:pPr>
            <w:r>
              <w:rPr>
                <w:rFonts w:hint="eastAsia" w:ascii="宋体" w:hAnsi="宋体"/>
                <w:szCs w:val="21"/>
              </w:rPr>
              <w:t>A-</w:t>
            </w:r>
            <w:r>
              <w:rPr>
                <w:rFonts w:hint="eastAsia" w:ascii="宋体" w:hAnsi="宋体"/>
                <w:szCs w:val="21"/>
                <w:lang w:val="en-US" w:eastAsia="zh-CN"/>
              </w:rPr>
              <w:t>22</w:t>
            </w:r>
            <w:r>
              <w:rPr>
                <w:rFonts w:hint="eastAsia" w:ascii="宋体" w:hAnsi="宋体"/>
                <w:szCs w:val="21"/>
              </w:rPr>
              <w:t>投标有效期</w:t>
            </w:r>
            <w:r>
              <w:rPr>
                <w:rFonts w:hint="eastAsia" w:ascii="宋体" w:hAnsi="宋体"/>
                <w:szCs w:val="21"/>
                <w:lang w:val="en-US" w:eastAsia="zh-CN"/>
              </w:rPr>
              <w:t>不</w:t>
            </w:r>
            <w:r>
              <w:rPr>
                <w:rFonts w:hint="eastAsia" w:ascii="宋体" w:hAnsi="宋体"/>
                <w:szCs w:val="21"/>
              </w:rPr>
              <w:t>符合第二章“投标人须知”第3.3.1项规定。</w:t>
            </w:r>
          </w:p>
        </w:tc>
      </w:tr>
      <w:tr w14:paraId="0B3613D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32DD9B41">
            <w:pPr>
              <w:spacing w:line="400" w:lineRule="exact"/>
              <w:jc w:val="center"/>
              <w:rPr>
                <w:rFonts w:ascii="宋体" w:hAnsi="宋体"/>
                <w:szCs w:val="21"/>
              </w:rPr>
            </w:pPr>
          </w:p>
        </w:tc>
        <w:tc>
          <w:tcPr>
            <w:tcW w:w="1550" w:type="dxa"/>
            <w:vMerge w:val="continue"/>
            <w:vAlign w:val="center"/>
          </w:tcPr>
          <w:p w14:paraId="1F872993">
            <w:pPr>
              <w:spacing w:line="400" w:lineRule="exact"/>
              <w:jc w:val="center"/>
              <w:rPr>
                <w:rFonts w:ascii="宋体" w:hAnsi="宋体"/>
                <w:szCs w:val="21"/>
              </w:rPr>
            </w:pPr>
          </w:p>
        </w:tc>
        <w:tc>
          <w:tcPr>
            <w:tcW w:w="6861" w:type="dxa"/>
          </w:tcPr>
          <w:p w14:paraId="6CD909BF">
            <w:pPr>
              <w:spacing w:line="400" w:lineRule="exact"/>
              <w:ind w:firstLine="420" w:firstLineChars="200"/>
            </w:pPr>
            <w:r>
              <w:rPr>
                <w:rFonts w:hint="eastAsia" w:ascii="宋体" w:hAnsi="宋体"/>
                <w:szCs w:val="21"/>
              </w:rPr>
              <w:t>A-</w:t>
            </w:r>
            <w:r>
              <w:rPr>
                <w:rFonts w:hint="eastAsia" w:ascii="宋体" w:hAnsi="宋体"/>
                <w:szCs w:val="21"/>
                <w:lang w:val="en-US" w:eastAsia="zh-CN"/>
              </w:rPr>
              <w:t>23</w:t>
            </w:r>
            <w:r>
              <w:rPr>
                <w:rFonts w:hint="eastAsia" w:ascii="宋体" w:hAnsi="宋体" w:cs="宋体"/>
                <w:szCs w:val="21"/>
              </w:rPr>
              <w:t>投标函</w:t>
            </w:r>
            <w:r>
              <w:rPr>
                <w:rFonts w:hint="eastAsia" w:ascii="宋体" w:hAnsi="宋体" w:cs="宋体"/>
                <w:szCs w:val="21"/>
                <w:lang w:val="en-US" w:eastAsia="zh-CN"/>
              </w:rPr>
              <w:t>及分项报价表</w:t>
            </w:r>
            <w:r>
              <w:rPr>
                <w:rFonts w:hint="eastAsia" w:ascii="宋体" w:hAnsi="宋体" w:cs="宋体"/>
                <w:szCs w:val="21"/>
              </w:rPr>
              <w:t>中的投标报价高于招标人公布的投标报价最高限价。</w:t>
            </w:r>
            <w:r>
              <w:rPr>
                <w:rFonts w:hint="eastAsia" w:ascii="宋体" w:hAnsi="宋体" w:cs="宋体"/>
                <w:color w:val="auto"/>
                <w:szCs w:val="21"/>
                <w:highlight w:val="none"/>
              </w:rPr>
              <w:t>投标函中的</w:t>
            </w:r>
            <w:r>
              <w:rPr>
                <w:rFonts w:hint="eastAsia" w:ascii="宋体" w:hAnsi="宋体" w:cs="宋体"/>
                <w:color w:val="auto"/>
                <w:szCs w:val="21"/>
                <w:highlight w:val="none"/>
                <w:lang w:val="en-US" w:eastAsia="zh-CN"/>
              </w:rPr>
              <w:t>投标</w:t>
            </w:r>
            <w:r>
              <w:rPr>
                <w:rFonts w:hint="eastAsia" w:ascii="宋体" w:hAnsi="宋体" w:cs="宋体"/>
                <w:color w:val="auto"/>
                <w:szCs w:val="21"/>
                <w:highlight w:val="none"/>
              </w:rPr>
              <w:t>总报价与已</w:t>
            </w:r>
            <w:r>
              <w:rPr>
                <w:rFonts w:hint="eastAsia" w:ascii="宋体" w:hAnsi="宋体" w:cs="宋体"/>
                <w:color w:val="auto"/>
                <w:szCs w:val="21"/>
                <w:highlight w:val="none"/>
                <w:lang w:val="en-US" w:eastAsia="zh-CN"/>
              </w:rPr>
              <w:t>报价的分项报价表中的投标</w:t>
            </w:r>
            <w:r>
              <w:rPr>
                <w:rFonts w:hint="eastAsia" w:ascii="宋体" w:hAnsi="宋体" w:cs="宋体"/>
                <w:color w:val="auto"/>
                <w:szCs w:val="21"/>
                <w:highlight w:val="none"/>
              </w:rPr>
              <w:t>总报价</w:t>
            </w:r>
            <w:r>
              <w:rPr>
                <w:rFonts w:hint="eastAsia" w:ascii="宋体" w:hAnsi="宋体" w:cs="宋体"/>
                <w:color w:val="auto"/>
                <w:szCs w:val="21"/>
                <w:highlight w:val="none"/>
                <w:lang w:val="en-US" w:eastAsia="zh-CN"/>
              </w:rPr>
              <w:t>不</w:t>
            </w:r>
            <w:r>
              <w:rPr>
                <w:rFonts w:hint="eastAsia" w:ascii="宋体" w:hAnsi="宋体" w:cs="宋体"/>
                <w:color w:val="auto"/>
                <w:szCs w:val="21"/>
                <w:highlight w:val="none"/>
              </w:rPr>
              <w:t>一致</w:t>
            </w:r>
            <w:r>
              <w:rPr>
                <w:rFonts w:hint="eastAsia"/>
              </w:rPr>
              <w:t>。</w:t>
            </w:r>
          </w:p>
        </w:tc>
      </w:tr>
      <w:tr w14:paraId="35ABBFAB">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617B489D">
            <w:pPr>
              <w:spacing w:line="400" w:lineRule="exact"/>
              <w:jc w:val="center"/>
              <w:rPr>
                <w:rFonts w:ascii="宋体" w:hAnsi="宋体"/>
                <w:szCs w:val="21"/>
              </w:rPr>
            </w:pPr>
          </w:p>
        </w:tc>
        <w:tc>
          <w:tcPr>
            <w:tcW w:w="1550" w:type="dxa"/>
            <w:vMerge w:val="continue"/>
            <w:vAlign w:val="center"/>
          </w:tcPr>
          <w:p w14:paraId="767DE30E">
            <w:pPr>
              <w:spacing w:line="400" w:lineRule="exact"/>
              <w:jc w:val="center"/>
              <w:rPr>
                <w:rFonts w:ascii="宋体" w:hAnsi="宋体"/>
                <w:szCs w:val="21"/>
              </w:rPr>
            </w:pPr>
          </w:p>
        </w:tc>
        <w:tc>
          <w:tcPr>
            <w:tcW w:w="6861" w:type="dxa"/>
            <w:vAlign w:val="center"/>
          </w:tcPr>
          <w:p w14:paraId="4C60222E">
            <w:pPr>
              <w:spacing w:line="400" w:lineRule="exact"/>
              <w:ind w:firstLine="420" w:firstLineChars="200"/>
              <w:rPr>
                <w:rFonts w:ascii="宋体" w:hAnsi="宋体"/>
                <w:i/>
                <w:szCs w:val="21"/>
              </w:rPr>
            </w:pPr>
            <w:r>
              <w:rPr>
                <w:rFonts w:hint="eastAsia" w:ascii="宋体" w:hAnsi="宋体"/>
                <w:szCs w:val="21"/>
              </w:rPr>
              <w:t>A-2</w:t>
            </w:r>
            <w:r>
              <w:rPr>
                <w:rFonts w:hint="eastAsia" w:ascii="宋体" w:hAnsi="宋体"/>
                <w:szCs w:val="21"/>
                <w:lang w:val="en-US" w:eastAsia="zh-CN"/>
              </w:rPr>
              <w:t>4</w:t>
            </w:r>
            <w:r>
              <w:rPr>
                <w:rFonts w:hint="eastAsia" w:ascii="宋体" w:hAnsi="宋体" w:eastAsia="宋体" w:cs="宋体"/>
                <w:lang w:val="en-US" w:eastAsia="zh-CN"/>
              </w:rPr>
              <w:t>投标人</w:t>
            </w:r>
            <w:r>
              <w:rPr>
                <w:rFonts w:hint="eastAsia"/>
              </w:rPr>
              <w:t>分项报价表中各分项</w:t>
            </w:r>
            <w:r>
              <w:rPr>
                <w:rFonts w:hint="eastAsia"/>
                <w:lang w:val="en-US" w:eastAsia="zh-CN"/>
              </w:rPr>
              <w:t>合价</w:t>
            </w:r>
            <w:r>
              <w:rPr>
                <w:rFonts w:hint="eastAsia"/>
              </w:rPr>
              <w:t>与依据</w:t>
            </w:r>
            <w:r>
              <w:t>单价</w:t>
            </w:r>
            <w:r>
              <w:rPr>
                <w:rFonts w:hint="eastAsia"/>
                <w:lang w:val="en-US" w:eastAsia="zh-CN"/>
              </w:rPr>
              <w:t>和数量</w:t>
            </w:r>
            <w:r>
              <w:rPr>
                <w:rFonts w:hint="eastAsia"/>
              </w:rPr>
              <w:t>计算出的结果</w:t>
            </w:r>
            <w:r>
              <w:rPr>
                <w:rFonts w:hint="eastAsia"/>
                <w:lang w:val="en-US" w:eastAsia="zh-CN"/>
              </w:rPr>
              <w:t>不</w:t>
            </w:r>
            <w:r>
              <w:t>一致</w:t>
            </w:r>
            <w:r>
              <w:rPr>
                <w:rFonts w:hint="eastAsia"/>
              </w:rPr>
              <w:t>，</w:t>
            </w:r>
            <w:r>
              <w:t>投标</w:t>
            </w:r>
            <w:r>
              <w:rPr>
                <w:rFonts w:hint="eastAsia"/>
                <w:lang w:val="en-US" w:eastAsia="zh-CN"/>
              </w:rPr>
              <w:t>总</w:t>
            </w:r>
            <w:r>
              <w:t>报价与</w:t>
            </w:r>
            <w:r>
              <w:rPr>
                <w:rFonts w:hint="eastAsia"/>
              </w:rPr>
              <w:t>各</w:t>
            </w:r>
            <w:r>
              <w:t>分项合价</w:t>
            </w:r>
            <w:r>
              <w:rPr>
                <w:rFonts w:hint="eastAsia"/>
                <w:lang w:val="en-US" w:eastAsia="zh-CN"/>
              </w:rPr>
              <w:t>汇总计算出的结果不</w:t>
            </w:r>
            <w:r>
              <w:t>一致</w:t>
            </w:r>
            <w:r>
              <w:rPr>
                <w:rFonts w:hint="eastAsia"/>
                <w:lang w:eastAsia="zh-CN"/>
              </w:rPr>
              <w:t>。</w:t>
            </w:r>
          </w:p>
        </w:tc>
      </w:tr>
      <w:tr w14:paraId="5DACFA01">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4C966992">
            <w:pPr>
              <w:spacing w:line="400" w:lineRule="exact"/>
              <w:jc w:val="center"/>
              <w:rPr>
                <w:rFonts w:ascii="宋体" w:hAnsi="宋体"/>
                <w:szCs w:val="21"/>
              </w:rPr>
            </w:pPr>
          </w:p>
        </w:tc>
        <w:tc>
          <w:tcPr>
            <w:tcW w:w="1550" w:type="dxa"/>
            <w:vMerge w:val="continue"/>
            <w:vAlign w:val="center"/>
          </w:tcPr>
          <w:p w14:paraId="5A5037C8">
            <w:pPr>
              <w:spacing w:line="400" w:lineRule="exact"/>
              <w:jc w:val="center"/>
              <w:rPr>
                <w:rFonts w:ascii="宋体" w:hAnsi="宋体"/>
                <w:szCs w:val="21"/>
              </w:rPr>
            </w:pPr>
          </w:p>
        </w:tc>
        <w:tc>
          <w:tcPr>
            <w:tcW w:w="6861" w:type="dxa"/>
            <w:vAlign w:val="center"/>
          </w:tcPr>
          <w:p w14:paraId="12EE9F93">
            <w:pPr>
              <w:spacing w:line="400" w:lineRule="exact"/>
              <w:ind w:firstLine="420" w:firstLineChars="200"/>
              <w:rPr>
                <w:rFonts w:hint="eastAsia" w:ascii="宋体" w:hAnsi="宋体"/>
                <w:szCs w:val="21"/>
              </w:rPr>
            </w:pPr>
            <w:r>
              <w:rPr>
                <w:rFonts w:hint="eastAsia" w:ascii="宋体" w:hAnsi="宋体"/>
                <w:szCs w:val="21"/>
              </w:rPr>
              <w:t>A-</w:t>
            </w:r>
            <w:r>
              <w:rPr>
                <w:rFonts w:ascii="宋体" w:hAnsi="宋体"/>
                <w:szCs w:val="21"/>
              </w:rPr>
              <w:t>2</w:t>
            </w:r>
            <w:r>
              <w:rPr>
                <w:rFonts w:hint="eastAsia" w:ascii="宋体" w:hAnsi="宋体"/>
                <w:szCs w:val="21"/>
                <w:lang w:val="en-US" w:eastAsia="zh-CN"/>
              </w:rPr>
              <w:t>5</w:t>
            </w:r>
            <w:r>
              <w:rPr>
                <w:rFonts w:hint="eastAsia" w:ascii="宋体" w:hAnsi="宋体" w:cs="宋体"/>
                <w:kern w:val="0"/>
              </w:rPr>
              <w:t>投标人投标总报价或者部分单项</w:t>
            </w:r>
            <w:r>
              <w:rPr>
                <w:rFonts w:hint="eastAsia" w:ascii="宋体" w:hAnsi="宋体" w:cs="宋体"/>
                <w:kern w:val="0"/>
                <w:lang w:val="en-US" w:eastAsia="zh-CN"/>
              </w:rPr>
              <w:t>报价</w:t>
            </w:r>
            <w:r>
              <w:rPr>
                <w:rFonts w:hint="eastAsia" w:ascii="宋体" w:hAnsi="宋体" w:cs="宋体"/>
                <w:kern w:val="0"/>
              </w:rPr>
              <w:t>低于招标文件规定的对应的异常低价警戒线的，</w:t>
            </w:r>
            <w:r>
              <w:rPr>
                <w:rFonts w:hint="eastAsia" w:ascii="宋体" w:hAnsi="宋体" w:cs="宋体"/>
                <w:kern w:val="0"/>
                <w:lang w:val="en-US" w:eastAsia="zh-CN"/>
              </w:rPr>
              <w:t>未</w:t>
            </w:r>
            <w:r>
              <w:rPr>
                <w:rFonts w:hint="eastAsia" w:ascii="宋体" w:hAnsi="宋体" w:cs="宋体"/>
                <w:kern w:val="0"/>
              </w:rPr>
              <w:t>提供报价合理性说明，</w:t>
            </w:r>
            <w:r>
              <w:rPr>
                <w:rFonts w:hint="eastAsia" w:ascii="宋体" w:hAnsi="宋体" w:cs="宋体"/>
                <w:kern w:val="0"/>
                <w:lang w:val="en-US" w:eastAsia="zh-CN"/>
              </w:rPr>
              <w:t>或未</w:t>
            </w:r>
            <w:r>
              <w:rPr>
                <w:rFonts w:hint="eastAsia" w:ascii="宋体" w:hAnsi="宋体" w:cs="宋体"/>
                <w:kern w:val="0"/>
              </w:rPr>
              <w:t>提供必要的证明材料</w:t>
            </w:r>
            <w:r>
              <w:rPr>
                <w:rFonts w:hint="eastAsia" w:ascii="宋体" w:hAnsi="宋体" w:cs="宋体"/>
                <w:kern w:val="0"/>
                <w:lang w:eastAsia="zh-CN"/>
              </w:rPr>
              <w:t>，</w:t>
            </w:r>
            <w:r>
              <w:rPr>
                <w:rFonts w:hint="eastAsia" w:ascii="宋体" w:hAnsi="宋体" w:cs="宋体"/>
                <w:kern w:val="0"/>
                <w:lang w:val="en-US" w:eastAsia="zh-CN"/>
              </w:rPr>
              <w:t>或提供的证明材料不能说明其报价的合理性</w:t>
            </w:r>
            <w:r>
              <w:rPr>
                <w:rFonts w:hint="eastAsia" w:ascii="宋体" w:hAnsi="宋体" w:cs="宋体"/>
                <w:kern w:val="0"/>
                <w:lang w:eastAsia="zh-CN"/>
              </w:rPr>
              <w:t>（如有）</w:t>
            </w:r>
            <w:r>
              <w:rPr>
                <w:rFonts w:hint="eastAsia" w:ascii="宋体" w:hAnsi="宋体" w:cs="宋体"/>
                <w:kern w:val="0"/>
              </w:rPr>
              <w:t>。</w:t>
            </w:r>
          </w:p>
        </w:tc>
      </w:tr>
      <w:tr w14:paraId="53464AEC">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525F049">
            <w:pPr>
              <w:spacing w:line="400" w:lineRule="exact"/>
              <w:jc w:val="center"/>
              <w:rPr>
                <w:rFonts w:ascii="宋体" w:hAnsi="宋体"/>
                <w:szCs w:val="21"/>
              </w:rPr>
            </w:pPr>
          </w:p>
        </w:tc>
        <w:tc>
          <w:tcPr>
            <w:tcW w:w="1550" w:type="dxa"/>
            <w:vMerge w:val="continue"/>
            <w:vAlign w:val="center"/>
          </w:tcPr>
          <w:p w14:paraId="4758AE1E">
            <w:pPr>
              <w:spacing w:line="400" w:lineRule="exact"/>
              <w:jc w:val="center"/>
              <w:rPr>
                <w:rFonts w:ascii="宋体" w:hAnsi="宋体"/>
                <w:szCs w:val="21"/>
              </w:rPr>
            </w:pPr>
          </w:p>
        </w:tc>
        <w:tc>
          <w:tcPr>
            <w:tcW w:w="6861" w:type="dxa"/>
            <w:vAlign w:val="center"/>
          </w:tcPr>
          <w:p w14:paraId="451B6481">
            <w:pPr>
              <w:spacing w:line="400" w:lineRule="exact"/>
              <w:ind w:firstLine="420" w:firstLineChars="200"/>
              <w:rPr>
                <w:rFonts w:hint="eastAsia" w:ascii="宋体" w:hAnsi="宋体"/>
                <w:szCs w:val="21"/>
              </w:rPr>
            </w:pPr>
            <w:r>
              <w:rPr>
                <w:rFonts w:hint="eastAsia" w:ascii="宋体" w:hAnsi="宋体"/>
                <w:szCs w:val="21"/>
              </w:rPr>
              <w:t>A-</w:t>
            </w:r>
            <w:r>
              <w:rPr>
                <w:rFonts w:ascii="宋体" w:hAnsi="宋体"/>
                <w:szCs w:val="21"/>
              </w:rPr>
              <w:t>2</w:t>
            </w:r>
            <w:r>
              <w:rPr>
                <w:rFonts w:hint="eastAsia" w:ascii="宋体" w:hAnsi="宋体"/>
                <w:szCs w:val="21"/>
                <w:lang w:val="en-US" w:eastAsia="zh-CN"/>
              </w:rPr>
              <w:t>6</w:t>
            </w:r>
            <w:r>
              <w:rPr>
                <w:rFonts w:hint="default" w:ascii="宋体" w:hAnsi="宋体"/>
                <w:kern w:val="0"/>
                <w:szCs w:val="21"/>
                <w:u w:val="none"/>
              </w:rPr>
              <w:t>投标人的</w:t>
            </w:r>
            <w:r>
              <w:rPr>
                <w:rFonts w:hint="eastAsia" w:ascii="宋体" w:hAnsi="宋体"/>
                <w:kern w:val="0"/>
                <w:szCs w:val="21"/>
                <w:u w:val="none"/>
                <w:lang w:val="en-US" w:eastAsia="zh-CN"/>
              </w:rPr>
              <w:t>单项报价为零报价</w:t>
            </w:r>
            <w:r>
              <w:rPr>
                <w:rFonts w:hint="eastAsia" w:ascii="宋体" w:hAnsi="宋体" w:eastAsia="宋体" w:cs="Times New Roman"/>
                <w:b w:val="0"/>
                <w:bCs w:val="0"/>
                <w:i w:val="0"/>
                <w:iCs w:val="0"/>
                <w:caps w:val="0"/>
                <w:spacing w:val="0"/>
                <w:kern w:val="0"/>
                <w:sz w:val="21"/>
                <w:szCs w:val="21"/>
                <w:u w:val="none"/>
                <w:shd w:val="clear"/>
              </w:rPr>
              <w:t>（招标人提供的单项报价最高限价中金额为零的除外）</w:t>
            </w:r>
            <w:r>
              <w:rPr>
                <w:rFonts w:hint="eastAsia" w:ascii="宋体" w:hAnsi="宋体"/>
                <w:kern w:val="0"/>
                <w:szCs w:val="21"/>
                <w:u w:val="none"/>
                <w:lang w:val="en-US" w:eastAsia="zh-CN"/>
              </w:rPr>
              <w:t>或者负数报价（如有）。</w:t>
            </w:r>
          </w:p>
        </w:tc>
      </w:tr>
      <w:tr w14:paraId="6E10E493">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1D523748">
            <w:pPr>
              <w:spacing w:line="400" w:lineRule="exact"/>
              <w:jc w:val="center"/>
              <w:rPr>
                <w:rFonts w:ascii="宋体" w:hAnsi="宋体"/>
                <w:szCs w:val="21"/>
              </w:rPr>
            </w:pPr>
          </w:p>
        </w:tc>
        <w:tc>
          <w:tcPr>
            <w:tcW w:w="1550" w:type="dxa"/>
            <w:vMerge w:val="continue"/>
            <w:vAlign w:val="center"/>
          </w:tcPr>
          <w:p w14:paraId="37CAC3ED">
            <w:pPr>
              <w:spacing w:line="400" w:lineRule="exact"/>
              <w:jc w:val="center"/>
              <w:rPr>
                <w:rFonts w:ascii="宋体" w:hAnsi="宋体"/>
                <w:szCs w:val="21"/>
              </w:rPr>
            </w:pPr>
          </w:p>
        </w:tc>
        <w:tc>
          <w:tcPr>
            <w:tcW w:w="6861" w:type="dxa"/>
            <w:vAlign w:val="center"/>
          </w:tcPr>
          <w:p w14:paraId="2801BE87">
            <w:pPr>
              <w:spacing w:line="400" w:lineRule="exact"/>
              <w:ind w:firstLine="420" w:firstLineChars="200"/>
              <w:rPr>
                <w:rFonts w:hint="eastAsia" w:ascii="宋体" w:hAnsi="宋体"/>
                <w:szCs w:val="21"/>
              </w:rPr>
            </w:pPr>
            <w:r>
              <w:rPr>
                <w:rFonts w:hint="eastAsia" w:ascii="宋体" w:hAnsi="宋体"/>
                <w:szCs w:val="21"/>
              </w:rPr>
              <w:t>A-</w:t>
            </w:r>
            <w:r>
              <w:rPr>
                <w:rFonts w:ascii="宋体" w:hAnsi="宋体"/>
                <w:szCs w:val="21"/>
              </w:rPr>
              <w:t>2</w:t>
            </w:r>
            <w:r>
              <w:rPr>
                <w:rFonts w:hint="eastAsia" w:ascii="宋体" w:hAnsi="宋体"/>
                <w:szCs w:val="21"/>
                <w:lang w:val="en-US" w:eastAsia="zh-CN"/>
              </w:rPr>
              <w:t>7</w:t>
            </w:r>
            <w:r>
              <w:rPr>
                <w:rFonts w:hint="default" w:ascii="宋体" w:hAnsi="宋体"/>
                <w:kern w:val="0"/>
                <w:szCs w:val="21"/>
                <w:u w:val="none"/>
              </w:rPr>
              <w:t>投标人</w:t>
            </w:r>
            <w:r>
              <w:rPr>
                <w:rFonts w:hint="eastAsia" w:ascii="宋体" w:hAnsi="宋体"/>
                <w:kern w:val="0"/>
                <w:szCs w:val="21"/>
                <w:u w:val="none"/>
                <w:lang w:val="en-US" w:eastAsia="zh-CN"/>
              </w:rPr>
              <w:t>分项报价表中有不平衡报价的，不符合第二章“投标人须知前附表”第3.2.5项关于不平衡报价的要求（如有）。</w:t>
            </w:r>
          </w:p>
        </w:tc>
      </w:tr>
      <w:tr w14:paraId="335FE200">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25DC4FB3">
            <w:pPr>
              <w:spacing w:line="400" w:lineRule="exact"/>
              <w:jc w:val="center"/>
              <w:rPr>
                <w:rFonts w:ascii="宋体" w:hAnsi="宋体"/>
                <w:szCs w:val="21"/>
              </w:rPr>
            </w:pPr>
          </w:p>
        </w:tc>
        <w:tc>
          <w:tcPr>
            <w:tcW w:w="1550" w:type="dxa"/>
            <w:vMerge w:val="continue"/>
            <w:vAlign w:val="center"/>
          </w:tcPr>
          <w:p w14:paraId="56C09F9D">
            <w:pPr>
              <w:spacing w:line="400" w:lineRule="exact"/>
              <w:jc w:val="center"/>
              <w:rPr>
                <w:rFonts w:ascii="宋体" w:hAnsi="宋体"/>
                <w:szCs w:val="21"/>
              </w:rPr>
            </w:pPr>
          </w:p>
        </w:tc>
        <w:tc>
          <w:tcPr>
            <w:tcW w:w="6861" w:type="dxa"/>
          </w:tcPr>
          <w:p w14:paraId="4E5797F7">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8</w:t>
            </w:r>
            <w:r>
              <w:rPr>
                <w:rFonts w:hint="eastAsia" w:ascii="宋体" w:hAnsi="宋体"/>
                <w:szCs w:val="21"/>
              </w:rPr>
              <w:t>有</w:t>
            </w:r>
            <w:r>
              <w:rPr>
                <w:rFonts w:hint="eastAsia" w:ascii="宋体" w:hAnsi="宋体"/>
                <w:szCs w:val="21"/>
                <w:lang w:val="en-US" w:eastAsia="zh-CN"/>
              </w:rPr>
              <w:t>多</w:t>
            </w:r>
            <w:r>
              <w:rPr>
                <w:rFonts w:hint="eastAsia" w:ascii="宋体" w:hAnsi="宋体"/>
                <w:szCs w:val="21"/>
              </w:rPr>
              <w:t>个有效报价。在招标文件没有规定的情况下，提交选择性报价。</w:t>
            </w:r>
          </w:p>
        </w:tc>
      </w:tr>
      <w:tr w14:paraId="463B7CA5">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Merge w:val="continue"/>
            <w:vAlign w:val="center"/>
          </w:tcPr>
          <w:p w14:paraId="073CAD14">
            <w:pPr>
              <w:spacing w:line="400" w:lineRule="exact"/>
              <w:jc w:val="center"/>
              <w:rPr>
                <w:rFonts w:ascii="宋体" w:hAnsi="宋体"/>
                <w:szCs w:val="21"/>
              </w:rPr>
            </w:pPr>
          </w:p>
        </w:tc>
        <w:tc>
          <w:tcPr>
            <w:tcW w:w="1550" w:type="dxa"/>
            <w:vMerge w:val="continue"/>
            <w:vAlign w:val="center"/>
          </w:tcPr>
          <w:p w14:paraId="0DAF9EC6">
            <w:pPr>
              <w:spacing w:line="400" w:lineRule="exact"/>
              <w:jc w:val="center"/>
              <w:rPr>
                <w:rFonts w:ascii="宋体" w:hAnsi="宋体"/>
                <w:szCs w:val="21"/>
              </w:rPr>
            </w:pPr>
          </w:p>
        </w:tc>
        <w:tc>
          <w:tcPr>
            <w:tcW w:w="6861" w:type="dxa"/>
          </w:tcPr>
          <w:p w14:paraId="50C04B38">
            <w:pPr>
              <w:spacing w:line="400" w:lineRule="exact"/>
              <w:ind w:firstLine="420" w:firstLineChars="200"/>
              <w:rPr>
                <w:rFonts w:ascii="宋体" w:hAnsi="宋体"/>
                <w:szCs w:val="21"/>
              </w:rPr>
            </w:pPr>
            <w:r>
              <w:rPr>
                <w:rFonts w:hint="eastAsia" w:ascii="宋体" w:hAnsi="宋体"/>
                <w:szCs w:val="21"/>
              </w:rPr>
              <w:t>A-2</w:t>
            </w:r>
            <w:r>
              <w:rPr>
                <w:rFonts w:hint="eastAsia" w:ascii="宋体" w:hAnsi="宋体"/>
                <w:szCs w:val="21"/>
                <w:lang w:val="en-US" w:eastAsia="zh-CN"/>
              </w:rPr>
              <w:t>9</w:t>
            </w:r>
            <w:r>
              <w:rPr>
                <w:rFonts w:hint="eastAsia" w:ascii="宋体" w:hAnsi="宋体"/>
                <w:szCs w:val="21"/>
              </w:rPr>
              <w:t>投标报价</w:t>
            </w:r>
            <w:r>
              <w:rPr>
                <w:rFonts w:hint="eastAsia" w:ascii="宋体" w:hAnsi="宋体"/>
                <w:szCs w:val="21"/>
                <w:lang w:val="en-US" w:eastAsia="zh-CN"/>
              </w:rPr>
              <w:t>有大小写不一致</w:t>
            </w:r>
            <w:r>
              <w:rPr>
                <w:rFonts w:hint="eastAsia" w:ascii="宋体" w:hAnsi="宋体"/>
                <w:szCs w:val="21"/>
              </w:rPr>
              <w:t>的，</w:t>
            </w:r>
            <w:r>
              <w:rPr>
                <w:rFonts w:hint="eastAsia" w:ascii="宋体" w:hAnsi="宋体"/>
                <w:szCs w:val="21"/>
                <w:lang w:val="en-US" w:eastAsia="zh-CN"/>
              </w:rPr>
              <w:t>未</w:t>
            </w:r>
            <w:r>
              <w:rPr>
                <w:rFonts w:hint="eastAsia" w:ascii="宋体" w:hAnsi="宋体"/>
                <w:szCs w:val="21"/>
              </w:rPr>
              <w:t>按照第三章“评标办法”第3.1.</w:t>
            </w:r>
            <w:r>
              <w:rPr>
                <w:rFonts w:hint="eastAsia" w:ascii="宋体" w:hAnsi="宋体"/>
                <w:szCs w:val="21"/>
                <w:lang w:val="en-US" w:eastAsia="zh-CN"/>
              </w:rPr>
              <w:t>2</w:t>
            </w:r>
            <w:r>
              <w:rPr>
                <w:rFonts w:hint="eastAsia" w:ascii="宋体" w:hAnsi="宋体"/>
                <w:szCs w:val="21"/>
              </w:rPr>
              <w:t>项规定执行。</w:t>
            </w:r>
          </w:p>
        </w:tc>
      </w:tr>
      <w:tr w14:paraId="16810DD7">
        <w:tblPrEx>
          <w:tblBorders>
            <w:top w:val="single" w:color="000000" w:sz="8" w:space="0"/>
            <w:left w:val="single" w:color="000000" w:sz="8" w:space="0"/>
            <w:bottom w:val="single" w:color="000000" w:sz="8" w:space="0"/>
            <w:right w:val="single" w:color="000000" w:sz="8" w:space="0"/>
            <w:insideH w:val="single" w:color="000000" w:sz="4" w:space="0"/>
            <w:insideV w:val="single" w:color="000000" w:sz="4" w:space="0"/>
          </w:tblBorders>
          <w:tblCellMar>
            <w:top w:w="0" w:type="dxa"/>
            <w:left w:w="108" w:type="dxa"/>
            <w:bottom w:w="0" w:type="dxa"/>
            <w:right w:w="108" w:type="dxa"/>
          </w:tblCellMar>
        </w:tblPrEx>
        <w:trPr>
          <w:jc w:val="center"/>
        </w:trPr>
        <w:tc>
          <w:tcPr>
            <w:tcW w:w="1044" w:type="dxa"/>
            <w:vAlign w:val="center"/>
          </w:tcPr>
          <w:p w14:paraId="7E0C1554">
            <w:pPr>
              <w:spacing w:line="400" w:lineRule="exact"/>
              <w:jc w:val="center"/>
              <w:rPr>
                <w:rFonts w:hint="eastAsia" w:ascii="宋体" w:hAnsi="宋体" w:eastAsia="宋体"/>
                <w:szCs w:val="21"/>
                <w:lang w:val="en-US" w:eastAsia="zh-CN"/>
              </w:rPr>
            </w:pPr>
            <w:r>
              <w:rPr>
                <w:rFonts w:hint="eastAsia" w:ascii="宋体" w:hAnsi="宋体"/>
                <w:szCs w:val="21"/>
                <w:lang w:val="en-US" w:eastAsia="zh-CN"/>
              </w:rPr>
              <w:t>其他</w:t>
            </w:r>
          </w:p>
        </w:tc>
        <w:tc>
          <w:tcPr>
            <w:tcW w:w="1550" w:type="dxa"/>
            <w:vAlign w:val="center"/>
          </w:tcPr>
          <w:p w14:paraId="145790DA">
            <w:pPr>
              <w:spacing w:line="400" w:lineRule="exact"/>
              <w:jc w:val="center"/>
              <w:rPr>
                <w:rFonts w:ascii="宋体" w:hAnsi="宋体"/>
                <w:szCs w:val="21"/>
              </w:rPr>
            </w:pPr>
          </w:p>
        </w:tc>
        <w:tc>
          <w:tcPr>
            <w:tcW w:w="6861" w:type="dxa"/>
          </w:tcPr>
          <w:p w14:paraId="18C643E9">
            <w:pPr>
              <w:spacing w:line="400" w:lineRule="exact"/>
              <w:ind w:firstLine="420" w:firstLineChars="200"/>
              <w:rPr>
                <w:rFonts w:hint="eastAsia" w:ascii="宋体" w:hAnsi="宋体" w:eastAsia="宋体"/>
                <w:i/>
                <w:szCs w:val="21"/>
                <w:lang w:eastAsia="zh-CN"/>
              </w:rPr>
            </w:pPr>
            <w:r>
              <w:rPr>
                <w:rFonts w:hint="eastAsia" w:ascii="宋体" w:hAnsi="宋体"/>
                <w:i/>
                <w:szCs w:val="21"/>
                <w:lang w:val="en-US" w:eastAsia="zh-CN"/>
              </w:rPr>
              <w:t>/</w:t>
            </w:r>
          </w:p>
        </w:tc>
      </w:tr>
    </w:tbl>
    <w:p w14:paraId="363D7FAC">
      <w:pPr>
        <w:autoSpaceDE w:val="0"/>
        <w:autoSpaceDN w:val="0"/>
        <w:adjustRightInd w:val="0"/>
        <w:snapToGrid w:val="0"/>
        <w:spacing w:line="360" w:lineRule="auto"/>
        <w:jc w:val="left"/>
        <w:rPr>
          <w:rFonts w:ascii="宋体" w:hAnsi="宋体"/>
          <w:b/>
          <w:kern w:val="0"/>
          <w:sz w:val="20"/>
          <w:szCs w:val="20"/>
        </w:rPr>
      </w:pPr>
    </w:p>
    <w:p w14:paraId="11745551"/>
    <w:p w14:paraId="410B254F">
      <w:pPr>
        <w:rPr>
          <w:rFonts w:ascii="宋体" w:hAnsi="宋体"/>
          <w:snapToGrid w:val="0"/>
          <w:kern w:val="0"/>
        </w:rPr>
      </w:pPr>
      <w:bookmarkStart w:id="603" w:name="_Toc58860121"/>
      <w:r>
        <w:rPr>
          <w:rFonts w:ascii="宋体" w:hAnsi="宋体"/>
          <w:snapToGrid w:val="0"/>
          <w:kern w:val="0"/>
        </w:rPr>
        <w:br w:type="page"/>
      </w:r>
    </w:p>
    <w:bookmarkEnd w:id="603"/>
    <w:p w14:paraId="0FADF0E6">
      <w:pPr>
        <w:pStyle w:val="2"/>
        <w:spacing w:line="360" w:lineRule="auto"/>
        <w:jc w:val="center"/>
        <w:rPr>
          <w:rFonts w:ascii="宋体" w:hAnsi="宋体"/>
          <w:kern w:val="0"/>
        </w:rPr>
      </w:pPr>
      <w:bookmarkStart w:id="604" w:name="_Toc430530509"/>
      <w:bookmarkStart w:id="605" w:name="_Toc509218785"/>
      <w:bookmarkStart w:id="606" w:name="_Toc26660"/>
      <w:r>
        <w:rPr>
          <w:rFonts w:hint="eastAsia" w:ascii="宋体" w:hAnsi="宋体"/>
          <w:kern w:val="0"/>
        </w:rPr>
        <w:t>第四章  合同条款及格式</w:t>
      </w:r>
      <w:bookmarkEnd w:id="604"/>
      <w:bookmarkEnd w:id="605"/>
      <w:bookmarkEnd w:id="606"/>
    </w:p>
    <w:p w14:paraId="6B2385F3"/>
    <w:p w14:paraId="25B5C063">
      <w:r>
        <w:br w:type="page"/>
      </w:r>
    </w:p>
    <w:p w14:paraId="3D7D56A3">
      <w:pPr>
        <w:rPr>
          <w:sz w:val="32"/>
          <w:szCs w:val="32"/>
        </w:rPr>
      </w:pPr>
    </w:p>
    <w:p w14:paraId="50D57955">
      <w:pPr>
        <w:pStyle w:val="17"/>
        <w:rPr>
          <w:sz w:val="32"/>
          <w:szCs w:val="32"/>
        </w:rPr>
      </w:pPr>
    </w:p>
    <w:p w14:paraId="36EF88F0">
      <w:pPr>
        <w:jc w:val="center"/>
        <w:outlineLvl w:val="0"/>
      </w:pPr>
      <w:bookmarkStart w:id="607" w:name="_Toc32695"/>
      <w:r>
        <w:rPr>
          <w:rFonts w:ascii="宋体" w:hAnsi="宋体"/>
          <w:b/>
          <w:bCs/>
          <w:kern w:val="0"/>
          <w:sz w:val="28"/>
          <w:szCs w:val="28"/>
        </w:rPr>
        <w:t>设备采购合同示范文本</w:t>
      </w:r>
      <w:bookmarkEnd w:id="607"/>
    </w:p>
    <w:p w14:paraId="1DF85E40">
      <w:pPr>
        <w:rPr>
          <w:rFonts w:ascii="宋体" w:hAnsi="宋体"/>
          <w:sz w:val="44"/>
          <w:szCs w:val="44"/>
        </w:rPr>
      </w:pPr>
      <w:r>
        <w:rPr>
          <w:rFonts w:ascii="宋体" w:hAnsi="宋体"/>
        </w:rPr>
        <w:br w:type="page"/>
      </w:r>
      <w:bookmarkStart w:id="608" w:name="_Toc351203480"/>
      <w:bookmarkStart w:id="609" w:name="_Toc296503025"/>
      <w:bookmarkStart w:id="610" w:name="_Toc296890982"/>
    </w:p>
    <w:p w14:paraId="28B0B8DF">
      <w:pPr>
        <w:pStyle w:val="3"/>
        <w:spacing w:line="360" w:lineRule="auto"/>
        <w:jc w:val="center"/>
        <w:rPr>
          <w:rFonts w:ascii="宋体" w:hAnsi="宋体"/>
          <w:bCs w:val="0"/>
          <w:sz w:val="21"/>
          <w:szCs w:val="21"/>
        </w:rPr>
      </w:pPr>
      <w:bookmarkStart w:id="611" w:name="_Toc11011"/>
      <w:bookmarkStart w:id="612" w:name="_Toc532375586"/>
      <w:bookmarkStart w:id="613" w:name="_Toc12503"/>
      <w:bookmarkStart w:id="614" w:name="_Toc532377179"/>
      <w:bookmarkStart w:id="615" w:name="_Toc529388289"/>
      <w:bookmarkStart w:id="616" w:name="_Toc267261701"/>
      <w:bookmarkStart w:id="617" w:name="_Toc351203632"/>
      <w:r>
        <w:rPr>
          <w:rFonts w:hint="eastAsia" w:ascii="宋体" w:hAnsi="宋体"/>
          <w:kern w:val="0"/>
          <w:sz w:val="28"/>
          <w:szCs w:val="28"/>
        </w:rPr>
        <w:t>第</w:t>
      </w:r>
      <w:r>
        <w:rPr>
          <w:rFonts w:hint="eastAsia" w:ascii="宋体" w:hAnsi="宋体"/>
          <w:kern w:val="0"/>
          <w:sz w:val="28"/>
          <w:szCs w:val="28"/>
          <w:lang w:val="en-US" w:eastAsia="zh-CN"/>
        </w:rPr>
        <w:t>一</w:t>
      </w:r>
      <w:r>
        <w:rPr>
          <w:rFonts w:hint="eastAsia" w:ascii="宋体" w:hAnsi="宋体"/>
          <w:kern w:val="0"/>
          <w:sz w:val="28"/>
          <w:szCs w:val="28"/>
        </w:rPr>
        <w:t>节 通用合同条款</w:t>
      </w:r>
      <w:bookmarkEnd w:id="611"/>
      <w:bookmarkEnd w:id="612"/>
      <w:bookmarkEnd w:id="613"/>
      <w:bookmarkEnd w:id="614"/>
      <w:bookmarkEnd w:id="615"/>
    </w:p>
    <w:p w14:paraId="011A5794">
      <w:pPr>
        <w:pStyle w:val="97"/>
        <w:keepNext w:val="0"/>
        <w:keepLines w:val="0"/>
        <w:tabs>
          <w:tab w:val="left" w:pos="567"/>
        </w:tabs>
        <w:spacing w:before="156" w:after="156"/>
        <w:rPr>
          <w:rFonts w:eastAsia="宋体" w:cs="Times New Roman"/>
          <w:b/>
          <w:bCs/>
          <w:sz w:val="32"/>
          <w:szCs w:val="32"/>
        </w:rPr>
      </w:pPr>
      <w:bookmarkStart w:id="618" w:name="_Toc7119"/>
      <w:bookmarkStart w:id="619" w:name="_Toc13998"/>
      <w:bookmarkStart w:id="620" w:name="_Toc15005"/>
      <w:bookmarkStart w:id="621" w:name="_Toc2881580"/>
      <w:bookmarkStart w:id="622" w:name="_Toc31355"/>
      <w:bookmarkStart w:id="623" w:name="_Toc19477"/>
      <w:bookmarkStart w:id="624" w:name="_Toc7639"/>
      <w:r>
        <w:rPr>
          <w:rFonts w:hint="eastAsia" w:eastAsia="宋体" w:cs="Times New Roman"/>
          <w:b/>
          <w:bCs/>
          <w:sz w:val="32"/>
          <w:szCs w:val="32"/>
        </w:rPr>
        <w:t>1.一般约定</w:t>
      </w:r>
      <w:bookmarkEnd w:id="618"/>
      <w:bookmarkEnd w:id="619"/>
      <w:bookmarkEnd w:id="620"/>
      <w:bookmarkEnd w:id="621"/>
      <w:bookmarkEnd w:id="622"/>
      <w:bookmarkEnd w:id="623"/>
      <w:bookmarkEnd w:id="624"/>
    </w:p>
    <w:p w14:paraId="37D73CB1">
      <w:pPr>
        <w:tabs>
          <w:tab w:val="left" w:pos="1134"/>
        </w:tabs>
        <w:spacing w:line="360" w:lineRule="auto"/>
        <w:ind w:firstLine="420" w:firstLineChars="200"/>
        <w:rPr>
          <w:rFonts w:ascii="微软雅黑" w:eastAsia="微软雅黑" w:cs="微软雅黑"/>
          <w:kern w:val="0"/>
          <w:sz w:val="17"/>
          <w:szCs w:val="17"/>
        </w:rPr>
      </w:pPr>
      <w:r>
        <w:rPr>
          <w:rFonts w:ascii="宋体" w:hAnsi="宋体"/>
          <w:szCs w:val="21"/>
        </w:rPr>
        <w:t xml:space="preserve">1.1 </w:t>
      </w:r>
      <w:r>
        <w:rPr>
          <w:rFonts w:hint="eastAsia" w:ascii="宋体" w:hAnsi="宋体"/>
          <w:szCs w:val="21"/>
        </w:rPr>
        <w:t>词语定义</w:t>
      </w:r>
    </w:p>
    <w:p w14:paraId="70C10863">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b/>
          <w:szCs w:val="21"/>
        </w:rPr>
        <w:t>专用合同条款</w:t>
      </w:r>
      <w:r>
        <w:rPr>
          <w:rFonts w:hint="eastAsia" w:ascii="宋体" w:hAnsi="宋体"/>
          <w:szCs w:val="21"/>
        </w:rPr>
        <w:t>另有约定外，合同中的下列词语应具有本款所赋予的含义。</w:t>
      </w:r>
    </w:p>
    <w:p w14:paraId="799348B0">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合同</w:t>
      </w:r>
    </w:p>
    <w:p w14:paraId="14AC01C0">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合同文件（或称合同）：指合同协议书、中标通知书、投标函、商务和技术偏差表、专用合同条款、通用合同条款、供货要求、分项报价表、中标设备技术性能指标的详细描述、技术服务和</w:t>
      </w:r>
      <w:r>
        <w:rPr>
          <w:rFonts w:hint="eastAsia" w:ascii="宋体" w:hAnsi="宋体"/>
          <w:szCs w:val="21"/>
          <w:lang w:eastAsia="zh-CN"/>
        </w:rPr>
        <w:t>质量保证期</w:t>
      </w:r>
      <w:r>
        <w:rPr>
          <w:rFonts w:hint="eastAsia" w:ascii="宋体" w:hAnsi="宋体"/>
          <w:szCs w:val="21"/>
        </w:rPr>
        <w:t>服务计划，以及其他构成合同组成部分的文件。</w:t>
      </w:r>
    </w:p>
    <w:p w14:paraId="7581A009">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rPr>
        <w:t>合同协议书：指买方和卖方共同签署的合同协议书。</w:t>
      </w:r>
    </w:p>
    <w:p w14:paraId="472764A8">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中标通知书：指买方通知卖方中标的函件。</w:t>
      </w:r>
    </w:p>
    <w:p w14:paraId="00D3AFC1">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投标函：指由卖方填写并签署的，名为“投标函”的函件。</w:t>
      </w:r>
    </w:p>
    <w:p w14:paraId="760EFC96">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商务和技术偏差表：指卖方投标文件中的商务和技术偏差表。</w:t>
      </w:r>
    </w:p>
    <w:p w14:paraId="2568A6F0">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供货要求：指合同文件中名为“供货要求”的文件。</w:t>
      </w:r>
    </w:p>
    <w:p w14:paraId="3AFF22BE">
      <w:pPr>
        <w:tabs>
          <w:tab w:val="left" w:pos="1134"/>
        </w:tabs>
        <w:spacing w:line="360" w:lineRule="auto"/>
        <w:ind w:firstLine="420" w:firstLineChars="200"/>
        <w:rPr>
          <w:rFonts w:ascii="宋体" w:hAnsi="宋体"/>
          <w:szCs w:val="21"/>
        </w:rPr>
      </w:pPr>
      <w:r>
        <w:rPr>
          <w:rFonts w:ascii="宋体" w:hAnsi="宋体"/>
          <w:szCs w:val="21"/>
        </w:rPr>
        <w:t xml:space="preserve">1.1.1.7 </w:t>
      </w:r>
      <w:r>
        <w:rPr>
          <w:rFonts w:hint="eastAsia" w:ascii="宋体" w:hAnsi="宋体"/>
          <w:szCs w:val="21"/>
        </w:rPr>
        <w:t>中标设备技术性能指标的详细描述：指卖方投标文件中的投标设备技术性能指标的详细描述。</w:t>
      </w:r>
    </w:p>
    <w:p w14:paraId="3C8A5BD9">
      <w:pPr>
        <w:tabs>
          <w:tab w:val="left" w:pos="1134"/>
        </w:tabs>
        <w:spacing w:line="360" w:lineRule="auto"/>
        <w:ind w:firstLine="420" w:firstLineChars="200"/>
        <w:rPr>
          <w:rFonts w:ascii="宋体" w:hAnsi="宋体"/>
          <w:szCs w:val="21"/>
        </w:rPr>
      </w:pPr>
      <w:r>
        <w:rPr>
          <w:rFonts w:ascii="宋体" w:hAnsi="宋体"/>
          <w:szCs w:val="21"/>
        </w:rPr>
        <w:t xml:space="preserve">1.1.1.8 </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服务计划：指卖方投标文件中的技术服务和</w:t>
      </w:r>
      <w:r>
        <w:rPr>
          <w:rFonts w:hint="eastAsia" w:ascii="宋体" w:hAnsi="宋体"/>
          <w:szCs w:val="21"/>
          <w:lang w:eastAsia="zh-CN"/>
        </w:rPr>
        <w:t>质量保证期</w:t>
      </w:r>
      <w:r>
        <w:rPr>
          <w:rFonts w:hint="eastAsia" w:ascii="宋体" w:hAnsi="宋体"/>
          <w:szCs w:val="21"/>
        </w:rPr>
        <w:t>服务计划。</w:t>
      </w:r>
    </w:p>
    <w:p w14:paraId="591F470C">
      <w:pPr>
        <w:tabs>
          <w:tab w:val="left" w:pos="1134"/>
        </w:tabs>
        <w:spacing w:line="360" w:lineRule="auto"/>
        <w:ind w:firstLine="420" w:firstLineChars="200"/>
        <w:rPr>
          <w:rFonts w:ascii="宋体" w:hAnsi="宋体"/>
          <w:szCs w:val="21"/>
        </w:rPr>
      </w:pPr>
      <w:r>
        <w:rPr>
          <w:rFonts w:ascii="宋体" w:hAnsi="宋体"/>
          <w:szCs w:val="21"/>
        </w:rPr>
        <w:t xml:space="preserve">1.1.1.9 </w:t>
      </w:r>
      <w:r>
        <w:rPr>
          <w:rFonts w:hint="eastAsia" w:ascii="宋体" w:hAnsi="宋体"/>
          <w:szCs w:val="21"/>
        </w:rPr>
        <w:t>分项报价表：指卖方投标文件中的分项报价表。</w:t>
      </w:r>
    </w:p>
    <w:p w14:paraId="1FD4B6A3">
      <w:pPr>
        <w:tabs>
          <w:tab w:val="left" w:pos="1134"/>
        </w:tabs>
        <w:spacing w:line="360" w:lineRule="auto"/>
        <w:ind w:firstLine="420" w:firstLineChars="200"/>
        <w:rPr>
          <w:rFonts w:ascii="宋体" w:hAnsi="宋体"/>
          <w:szCs w:val="21"/>
        </w:rPr>
      </w:pPr>
      <w:r>
        <w:rPr>
          <w:rFonts w:ascii="宋体" w:hAnsi="宋体"/>
          <w:szCs w:val="21"/>
        </w:rPr>
        <w:t xml:space="preserve">1.1.1.10 </w:t>
      </w:r>
      <w:r>
        <w:rPr>
          <w:rFonts w:hint="eastAsia" w:ascii="宋体" w:hAnsi="宋体"/>
          <w:szCs w:val="21"/>
        </w:rPr>
        <w:t>其他合同文件：指经合同双方当事人确认构成合同文件的其他文件。</w:t>
      </w:r>
    </w:p>
    <w:p w14:paraId="43629B86">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合同当事人</w:t>
      </w:r>
    </w:p>
    <w:p w14:paraId="65821F40">
      <w:pPr>
        <w:tabs>
          <w:tab w:val="left" w:pos="1134"/>
        </w:tabs>
        <w:spacing w:line="360" w:lineRule="auto"/>
        <w:ind w:firstLine="420" w:firstLineChars="200"/>
        <w:rPr>
          <w:rFonts w:ascii="宋体" w:hAnsi="宋体"/>
          <w:szCs w:val="21"/>
        </w:rPr>
      </w:pPr>
      <w:r>
        <w:rPr>
          <w:rFonts w:ascii="宋体" w:hAnsi="宋体"/>
          <w:szCs w:val="21"/>
        </w:rPr>
        <w:t xml:space="preserve">1.1.2.1 </w:t>
      </w:r>
      <w:r>
        <w:rPr>
          <w:rFonts w:hint="eastAsia" w:ascii="宋体" w:hAnsi="宋体"/>
          <w:szCs w:val="21"/>
        </w:rPr>
        <w:t>合同当事人：指买方和（或）卖方。</w:t>
      </w:r>
    </w:p>
    <w:p w14:paraId="41B696E2">
      <w:pPr>
        <w:tabs>
          <w:tab w:val="left" w:pos="1134"/>
        </w:tabs>
        <w:spacing w:line="360" w:lineRule="auto"/>
        <w:ind w:firstLine="420" w:firstLineChars="200"/>
        <w:rPr>
          <w:rFonts w:ascii="宋体" w:hAnsi="宋体"/>
          <w:szCs w:val="21"/>
        </w:rPr>
      </w:pPr>
      <w:r>
        <w:rPr>
          <w:rFonts w:ascii="宋体" w:hAnsi="宋体"/>
          <w:szCs w:val="21"/>
        </w:rPr>
        <w:t xml:space="preserve">1.1.2.2 </w:t>
      </w:r>
      <w:r>
        <w:rPr>
          <w:rFonts w:hint="eastAsia" w:ascii="宋体" w:hAnsi="宋体"/>
          <w:szCs w:val="21"/>
        </w:rPr>
        <w:t>买方：指与卖方签订合同协议书，购买合同设备和技术服务和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4EE183BF">
      <w:pPr>
        <w:tabs>
          <w:tab w:val="left" w:pos="1134"/>
        </w:tabs>
        <w:spacing w:line="360" w:lineRule="auto"/>
        <w:ind w:firstLine="420" w:firstLineChars="200"/>
        <w:rPr>
          <w:rFonts w:ascii="宋体" w:hAnsi="宋体"/>
          <w:szCs w:val="21"/>
        </w:rPr>
      </w:pPr>
      <w:r>
        <w:rPr>
          <w:rFonts w:ascii="宋体" w:hAnsi="宋体"/>
          <w:szCs w:val="21"/>
        </w:rPr>
        <w:t xml:space="preserve">1.1.2.3 </w:t>
      </w:r>
      <w:r>
        <w:rPr>
          <w:rFonts w:hint="eastAsia" w:ascii="宋体" w:hAnsi="宋体"/>
          <w:szCs w:val="21"/>
        </w:rPr>
        <w:t>卖方：指与买方签订合同协议书，提供合同设备和技术服务和</w:t>
      </w:r>
      <w:r>
        <w:rPr>
          <w:rFonts w:hint="eastAsia" w:ascii="宋体" w:hAnsi="宋体"/>
          <w:szCs w:val="21"/>
          <w:lang w:eastAsia="zh-CN"/>
        </w:rPr>
        <w:t>质量保证期</w:t>
      </w:r>
      <w:r>
        <w:rPr>
          <w:rFonts w:hint="eastAsia" w:ascii="宋体" w:hAnsi="宋体"/>
          <w:szCs w:val="21"/>
        </w:rPr>
        <w:t>服务的当事人，及其合法继承人。</w:t>
      </w:r>
    </w:p>
    <w:p w14:paraId="3FB3250F">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合同价格</w:t>
      </w:r>
    </w:p>
    <w:p w14:paraId="027F5399">
      <w:pPr>
        <w:tabs>
          <w:tab w:val="left" w:pos="1134"/>
        </w:tabs>
        <w:spacing w:line="360" w:lineRule="auto"/>
        <w:ind w:firstLine="420" w:firstLineChars="200"/>
        <w:rPr>
          <w:rFonts w:ascii="宋体" w:hAnsi="宋体"/>
          <w:szCs w:val="21"/>
        </w:rPr>
      </w:pPr>
      <w:r>
        <w:rPr>
          <w:rFonts w:ascii="宋体" w:hAnsi="宋体"/>
          <w:szCs w:val="21"/>
        </w:rPr>
        <w:t xml:space="preserve">1.1.3.1 </w:t>
      </w:r>
      <w:r>
        <w:rPr>
          <w:rFonts w:hint="eastAsia" w:ascii="宋体" w:hAnsi="宋体"/>
          <w:szCs w:val="21"/>
        </w:rPr>
        <w:t>签约合同价：是签订合同时合同协议书中写明的合同总金额。</w:t>
      </w:r>
    </w:p>
    <w:p w14:paraId="799D6AC4">
      <w:pPr>
        <w:tabs>
          <w:tab w:val="left" w:pos="1134"/>
        </w:tabs>
        <w:spacing w:line="360" w:lineRule="auto"/>
        <w:ind w:firstLine="420" w:firstLineChars="200"/>
        <w:rPr>
          <w:rFonts w:ascii="宋体" w:hAnsi="宋体"/>
          <w:szCs w:val="21"/>
        </w:rPr>
      </w:pPr>
      <w:r>
        <w:rPr>
          <w:rFonts w:ascii="宋体" w:hAnsi="宋体"/>
          <w:szCs w:val="21"/>
        </w:rPr>
        <w:t xml:space="preserve">1.1.3.2 </w:t>
      </w:r>
      <w:r>
        <w:rPr>
          <w:rFonts w:hint="eastAsia" w:ascii="宋体" w:hAnsi="宋体"/>
          <w:szCs w:val="21"/>
        </w:rPr>
        <w:t>合同价格：指卖方按合同约定履行了全部合同义务后，买方应付给卖方的金额。</w:t>
      </w:r>
    </w:p>
    <w:p w14:paraId="39E414CB">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合同设备：指卖方按合同约定应向买方提供的设备、装置、备品、备件、易损易耗件、配套使用的软件或其他辅助电子应用程序及技术资料，或其中任何一部分。</w:t>
      </w:r>
    </w:p>
    <w:p w14:paraId="72A40E05">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技术资料：指各种纸质及电子载体的与合同设备的设计、检验、安装、调试、考核、操作、维修以及保养等有关的技术指标、规格、图纸和说明文件。</w:t>
      </w:r>
    </w:p>
    <w:p w14:paraId="49838BA2">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安装：指对合同设备进行的组装、连接以及根据需要将合同设备固定在施工场地内一定的位置上，使其就位并与相关设备、工程实现连接。</w:t>
      </w:r>
    </w:p>
    <w:p w14:paraId="3181EA27">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调试：指在合同设备安装完成后，对合同设备所进行的调校和测试。</w:t>
      </w:r>
    </w:p>
    <w:p w14:paraId="39CFD7D3">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考核：指在合同设备调试完成后，对合同设备进行的用于确定其是否达到合同约定的技术性能考核指标的考核。</w:t>
      </w:r>
    </w:p>
    <w:p w14:paraId="7B4B5E33">
      <w:pPr>
        <w:tabs>
          <w:tab w:val="left" w:pos="1134"/>
        </w:tabs>
        <w:spacing w:line="360" w:lineRule="auto"/>
        <w:ind w:firstLine="420" w:firstLineChars="200"/>
        <w:rPr>
          <w:rFonts w:ascii="宋体" w:hAnsi="宋体"/>
          <w:szCs w:val="21"/>
        </w:rPr>
      </w:pPr>
      <w:r>
        <w:rPr>
          <w:rFonts w:ascii="宋体" w:hAnsi="宋体"/>
          <w:szCs w:val="21"/>
        </w:rPr>
        <w:t xml:space="preserve">1.1.9 </w:t>
      </w:r>
      <w:r>
        <w:rPr>
          <w:rFonts w:hint="eastAsia" w:ascii="宋体" w:hAnsi="宋体"/>
          <w:szCs w:val="21"/>
        </w:rPr>
        <w:t>验收：指合同设备通过考核达到合同约定的技术性能考核指标后，买方作出接受合同设备的确认。</w:t>
      </w:r>
    </w:p>
    <w:p w14:paraId="6BE07B5F">
      <w:pPr>
        <w:tabs>
          <w:tab w:val="left" w:pos="1134"/>
        </w:tabs>
        <w:spacing w:line="360" w:lineRule="auto"/>
        <w:ind w:firstLine="420" w:firstLineChars="200"/>
        <w:rPr>
          <w:rFonts w:ascii="宋体" w:hAnsi="宋体"/>
          <w:szCs w:val="21"/>
        </w:rPr>
      </w:pPr>
      <w:r>
        <w:rPr>
          <w:rFonts w:ascii="宋体" w:hAnsi="宋体"/>
          <w:szCs w:val="21"/>
        </w:rPr>
        <w:t xml:space="preserve">1.1.10 </w:t>
      </w:r>
      <w:r>
        <w:rPr>
          <w:rFonts w:hint="eastAsia" w:ascii="宋体" w:hAnsi="宋体"/>
          <w:szCs w:val="21"/>
        </w:rPr>
        <w:t>技术服务：指卖方按合同约定，在合同设备验收前，向买方提供的安装、调试服务，或者在由买方负责的安装、调试、考核中对买方进行的技术指导、协助、监督和培训等。</w:t>
      </w:r>
    </w:p>
    <w:p w14:paraId="04483F53">
      <w:pPr>
        <w:tabs>
          <w:tab w:val="left" w:pos="1134"/>
        </w:tabs>
        <w:spacing w:line="360" w:lineRule="auto"/>
        <w:ind w:firstLine="420" w:firstLineChars="200"/>
        <w:rPr>
          <w:rFonts w:ascii="宋体" w:hAnsi="宋体"/>
          <w:szCs w:val="21"/>
        </w:rPr>
      </w:pPr>
      <w:r>
        <w:rPr>
          <w:rFonts w:ascii="宋体" w:hAnsi="宋体"/>
          <w:szCs w:val="21"/>
        </w:rPr>
        <w:t xml:space="preserve">1.1.11 </w:t>
      </w:r>
      <w:r>
        <w:rPr>
          <w:rFonts w:hint="eastAsia" w:ascii="宋体" w:hAnsi="宋体"/>
          <w:szCs w:val="21"/>
        </w:rPr>
        <w:t>质量保证期：指合同设备验收后，卖方按合同约定保证合同设备适当、稳定运行，并负责消除合同设备故障的期限。</w:t>
      </w:r>
    </w:p>
    <w:p w14:paraId="471A7CD6">
      <w:pPr>
        <w:tabs>
          <w:tab w:val="left" w:pos="1134"/>
        </w:tabs>
        <w:spacing w:line="360" w:lineRule="auto"/>
        <w:ind w:firstLine="420" w:firstLineChars="200"/>
        <w:rPr>
          <w:rFonts w:ascii="宋体" w:hAnsi="宋体"/>
          <w:szCs w:val="21"/>
        </w:rPr>
      </w:pPr>
      <w:r>
        <w:rPr>
          <w:rFonts w:ascii="宋体" w:hAnsi="宋体"/>
          <w:szCs w:val="21"/>
        </w:rPr>
        <w:t xml:space="preserve">1.1.12 </w:t>
      </w:r>
      <w:r>
        <w:rPr>
          <w:rFonts w:hint="eastAsia" w:ascii="宋体" w:hAnsi="宋体"/>
          <w:szCs w:val="21"/>
          <w:lang w:eastAsia="zh-CN"/>
        </w:rPr>
        <w:t>质量保证期</w:t>
      </w:r>
      <w:r>
        <w:rPr>
          <w:rFonts w:hint="eastAsia" w:ascii="宋体" w:hAnsi="宋体"/>
          <w:szCs w:val="21"/>
        </w:rPr>
        <w:t>服务：指在质量保证期内，卖方向买方提供的合同设备维护服务、咨询服务、技术指导、协助以及对出现故障的合同设备进行修理或更换的服务。</w:t>
      </w:r>
    </w:p>
    <w:p w14:paraId="2D7246B0">
      <w:pPr>
        <w:tabs>
          <w:tab w:val="left" w:pos="1134"/>
        </w:tabs>
        <w:spacing w:line="360" w:lineRule="auto"/>
        <w:ind w:firstLine="420" w:firstLineChars="200"/>
        <w:rPr>
          <w:rFonts w:ascii="宋体" w:hAnsi="宋体"/>
          <w:szCs w:val="21"/>
        </w:rPr>
      </w:pPr>
      <w:r>
        <w:rPr>
          <w:rFonts w:ascii="宋体" w:hAnsi="宋体"/>
          <w:szCs w:val="21"/>
        </w:rPr>
        <w:t xml:space="preserve">1.1.13 </w:t>
      </w:r>
      <w:r>
        <w:rPr>
          <w:rFonts w:hint="eastAsia" w:ascii="宋体" w:hAnsi="宋体"/>
          <w:szCs w:val="21"/>
        </w:rPr>
        <w:t>工程</w:t>
      </w:r>
    </w:p>
    <w:p w14:paraId="79D42CF3">
      <w:pPr>
        <w:tabs>
          <w:tab w:val="left" w:pos="1134"/>
        </w:tabs>
        <w:spacing w:line="360" w:lineRule="auto"/>
        <w:ind w:firstLine="420" w:firstLineChars="200"/>
        <w:rPr>
          <w:rFonts w:ascii="宋体" w:hAnsi="宋体"/>
          <w:szCs w:val="21"/>
        </w:rPr>
      </w:pPr>
      <w:r>
        <w:rPr>
          <w:rFonts w:ascii="宋体" w:hAnsi="宋体"/>
          <w:szCs w:val="21"/>
        </w:rPr>
        <w:t xml:space="preserve">1.1.13.1 </w:t>
      </w:r>
      <w:r>
        <w:rPr>
          <w:rFonts w:hint="eastAsia" w:ascii="宋体" w:hAnsi="宋体"/>
          <w:szCs w:val="21"/>
        </w:rPr>
        <w:t>工程：指在</w:t>
      </w:r>
      <w:r>
        <w:rPr>
          <w:rFonts w:hint="eastAsia" w:ascii="宋体" w:hAnsi="宋体" w:eastAsia="黑体"/>
          <w:b/>
          <w:szCs w:val="21"/>
        </w:rPr>
        <w:t>专用合同条款</w:t>
      </w:r>
      <w:r>
        <w:rPr>
          <w:rFonts w:hint="eastAsia" w:ascii="宋体" w:hAnsi="宋体"/>
          <w:szCs w:val="21"/>
        </w:rPr>
        <w:t>中指明的，安装运行合同设备的工程。</w:t>
      </w:r>
    </w:p>
    <w:p w14:paraId="0FFACA77">
      <w:pPr>
        <w:tabs>
          <w:tab w:val="left" w:pos="1134"/>
        </w:tabs>
        <w:spacing w:line="360" w:lineRule="auto"/>
        <w:ind w:firstLine="420" w:firstLineChars="200"/>
        <w:rPr>
          <w:rFonts w:ascii="宋体" w:hAnsi="宋体"/>
          <w:szCs w:val="21"/>
        </w:rPr>
      </w:pPr>
      <w:r>
        <w:rPr>
          <w:rFonts w:ascii="宋体" w:hAnsi="宋体"/>
          <w:szCs w:val="21"/>
        </w:rPr>
        <w:t xml:space="preserve">1.1.13.2 </w:t>
      </w:r>
      <w:r>
        <w:rPr>
          <w:rFonts w:hint="eastAsia" w:ascii="宋体" w:hAnsi="宋体"/>
          <w:szCs w:val="21"/>
        </w:rPr>
        <w:t>施工场地（或称工地、施工现场）：指</w:t>
      </w:r>
      <w:r>
        <w:rPr>
          <w:rFonts w:hint="eastAsia" w:ascii="宋体" w:hAnsi="宋体" w:eastAsia="黑体"/>
          <w:b/>
          <w:szCs w:val="21"/>
        </w:rPr>
        <w:t>专用合同条款</w:t>
      </w:r>
      <w:r>
        <w:rPr>
          <w:rFonts w:hint="eastAsia" w:ascii="宋体" w:hAnsi="宋体"/>
          <w:szCs w:val="21"/>
        </w:rPr>
        <w:t>中指明的工程所在场所。</w:t>
      </w:r>
    </w:p>
    <w:p w14:paraId="108396CF">
      <w:pPr>
        <w:tabs>
          <w:tab w:val="left" w:pos="1134"/>
        </w:tabs>
        <w:spacing w:line="360" w:lineRule="auto"/>
        <w:ind w:firstLine="420" w:firstLineChars="200"/>
        <w:rPr>
          <w:rFonts w:ascii="宋体" w:hAnsi="宋体"/>
          <w:szCs w:val="21"/>
        </w:rPr>
      </w:pPr>
      <w:r>
        <w:rPr>
          <w:rFonts w:ascii="宋体" w:hAnsi="宋体"/>
          <w:szCs w:val="21"/>
        </w:rPr>
        <w:t xml:space="preserve">1.1.14 </w:t>
      </w:r>
      <w:r>
        <w:rPr>
          <w:rFonts w:hint="eastAsia" w:ascii="宋体" w:hAnsi="宋体"/>
          <w:szCs w:val="21"/>
        </w:rPr>
        <w:t>天（或称日）：除特别指明外，指日历天。合同中按天计算时间的，开始当天不计入，从次日开始计算。合同约定的期间的最后一天是星期日或者其他法定休假日的，以休假日的次日为期间的最后一天。</w:t>
      </w:r>
    </w:p>
    <w:p w14:paraId="409A6011">
      <w:pPr>
        <w:tabs>
          <w:tab w:val="left" w:pos="1134"/>
        </w:tabs>
        <w:spacing w:line="360" w:lineRule="auto"/>
        <w:ind w:firstLine="420" w:firstLineChars="200"/>
        <w:rPr>
          <w:rFonts w:ascii="宋体" w:hAnsi="宋体"/>
          <w:szCs w:val="21"/>
        </w:rPr>
      </w:pPr>
      <w:r>
        <w:rPr>
          <w:rFonts w:ascii="宋体" w:hAnsi="宋体"/>
          <w:szCs w:val="21"/>
        </w:rPr>
        <w:t xml:space="preserve">1.1.15 </w:t>
      </w:r>
      <w:r>
        <w:rPr>
          <w:rFonts w:hint="eastAsia" w:ascii="宋体" w:hAnsi="宋体"/>
          <w:szCs w:val="21"/>
        </w:rPr>
        <w:t>月：按照公历月计算。合同中按月计算时间的，开始当天不计入，从次日开始计算。合同约定的期间的最后一天是星期日或者其他法定休假日的，以休假日的次日为期间的最后一天。</w:t>
      </w:r>
    </w:p>
    <w:p w14:paraId="345C3BE0">
      <w:pPr>
        <w:tabs>
          <w:tab w:val="left" w:pos="1134"/>
        </w:tabs>
        <w:spacing w:line="360" w:lineRule="auto"/>
        <w:ind w:firstLine="420" w:firstLineChars="200"/>
        <w:rPr>
          <w:rFonts w:ascii="宋体" w:hAnsi="宋体"/>
          <w:szCs w:val="21"/>
        </w:rPr>
      </w:pPr>
      <w:r>
        <w:rPr>
          <w:rFonts w:ascii="宋体" w:hAnsi="宋体"/>
          <w:szCs w:val="21"/>
        </w:rPr>
        <w:t xml:space="preserve">1.1.16 </w:t>
      </w:r>
      <w:r>
        <w:rPr>
          <w:rFonts w:hint="eastAsia" w:ascii="宋体" w:hAnsi="宋体"/>
          <w:szCs w:val="21"/>
        </w:rPr>
        <w:t>书面形式：指合同文件、信件和数据电文（包括电报、电传、传真、电子数据交换和电子邮件）等可以有形地表现所载内容的形式。</w:t>
      </w:r>
    </w:p>
    <w:p w14:paraId="7988A9E4">
      <w:pPr>
        <w:tabs>
          <w:tab w:val="left" w:pos="1134"/>
        </w:tabs>
        <w:spacing w:line="360" w:lineRule="auto"/>
        <w:ind w:firstLine="420" w:firstLineChars="200"/>
        <w:rPr>
          <w:rFonts w:ascii="宋体" w:hAnsi="宋体"/>
          <w:szCs w:val="21"/>
        </w:rPr>
      </w:pPr>
      <w:r>
        <w:rPr>
          <w:rFonts w:ascii="宋体" w:hAnsi="宋体"/>
          <w:szCs w:val="21"/>
        </w:rPr>
        <w:t xml:space="preserve">1.2 </w:t>
      </w:r>
      <w:r>
        <w:rPr>
          <w:rFonts w:hint="eastAsia" w:ascii="宋体" w:hAnsi="宋体"/>
          <w:szCs w:val="21"/>
        </w:rPr>
        <w:t>语言文字</w:t>
      </w:r>
    </w:p>
    <w:p w14:paraId="1907B96E">
      <w:pPr>
        <w:tabs>
          <w:tab w:val="left" w:pos="1134"/>
        </w:tabs>
        <w:spacing w:line="360" w:lineRule="auto"/>
        <w:ind w:firstLine="420" w:firstLineChars="200"/>
        <w:rPr>
          <w:rFonts w:ascii="宋体" w:hAnsi="宋体"/>
          <w:szCs w:val="21"/>
        </w:rPr>
      </w:pPr>
      <w:r>
        <w:rPr>
          <w:rFonts w:hint="eastAsia" w:ascii="宋体" w:hAnsi="宋体"/>
          <w:szCs w:val="21"/>
        </w:rPr>
        <w:t>合同使用的语言文字为中文。专用术语使用外文的，应附有中文注释。</w:t>
      </w:r>
    </w:p>
    <w:p w14:paraId="419B6A87">
      <w:pPr>
        <w:tabs>
          <w:tab w:val="left" w:pos="1134"/>
        </w:tabs>
        <w:spacing w:line="360" w:lineRule="auto"/>
        <w:ind w:firstLine="420" w:firstLineChars="200"/>
        <w:rPr>
          <w:rFonts w:ascii="宋体" w:hAnsi="宋体"/>
          <w:szCs w:val="21"/>
        </w:rPr>
      </w:pPr>
      <w:r>
        <w:rPr>
          <w:rFonts w:ascii="宋体" w:hAnsi="宋体"/>
          <w:szCs w:val="21"/>
        </w:rPr>
        <w:t xml:space="preserve">1.3 </w:t>
      </w:r>
      <w:r>
        <w:rPr>
          <w:rFonts w:hint="eastAsia" w:ascii="宋体" w:hAnsi="宋体"/>
          <w:szCs w:val="21"/>
        </w:rPr>
        <w:t>合同文件的优先顺序</w:t>
      </w:r>
    </w:p>
    <w:p w14:paraId="3FED53AF">
      <w:pPr>
        <w:tabs>
          <w:tab w:val="left" w:pos="1134"/>
        </w:tabs>
        <w:spacing w:line="360" w:lineRule="auto"/>
        <w:ind w:firstLine="420" w:firstLineChars="200"/>
        <w:rPr>
          <w:rFonts w:ascii="宋体" w:hAnsi="宋体"/>
          <w:szCs w:val="21"/>
        </w:rPr>
      </w:pPr>
      <w:r>
        <w:rPr>
          <w:rFonts w:hint="eastAsia" w:ascii="宋体" w:hAnsi="宋体"/>
          <w:szCs w:val="21"/>
        </w:rPr>
        <w:t>组成合同的各项文件应互相解释，互为说明。除</w:t>
      </w:r>
      <w:r>
        <w:rPr>
          <w:rFonts w:hint="eastAsia" w:ascii="宋体" w:hAnsi="宋体" w:eastAsia="黑体"/>
          <w:b/>
          <w:szCs w:val="21"/>
        </w:rPr>
        <w:t>专用合同条款</w:t>
      </w:r>
      <w:r>
        <w:rPr>
          <w:rFonts w:hint="eastAsia" w:ascii="宋体" w:hAnsi="宋体"/>
          <w:szCs w:val="21"/>
        </w:rPr>
        <w:t>另有约定外，解释合同文件的优先顺序如下：</w:t>
      </w:r>
    </w:p>
    <w:p w14:paraId="6A4FCCD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）合同协议书；</w:t>
      </w:r>
    </w:p>
    <w:p w14:paraId="29C1C658">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）中标通知书；</w:t>
      </w:r>
    </w:p>
    <w:p w14:paraId="2BEA663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）投标函；</w:t>
      </w:r>
    </w:p>
    <w:p w14:paraId="2975ED5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）商务和技术偏差表；</w:t>
      </w:r>
    </w:p>
    <w:p w14:paraId="412FD31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）专用合同条款；</w:t>
      </w:r>
    </w:p>
    <w:p w14:paraId="71FFC8D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6</w:t>
      </w:r>
      <w:r>
        <w:rPr>
          <w:rFonts w:hint="eastAsia" w:ascii="宋体" w:hAnsi="宋体"/>
          <w:szCs w:val="21"/>
        </w:rPr>
        <w:t>）通用合同条款；</w:t>
      </w:r>
    </w:p>
    <w:p w14:paraId="6300A04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7</w:t>
      </w:r>
      <w:r>
        <w:rPr>
          <w:rFonts w:hint="eastAsia" w:ascii="宋体" w:hAnsi="宋体"/>
          <w:szCs w:val="21"/>
        </w:rPr>
        <w:t>）供货要求；</w:t>
      </w:r>
    </w:p>
    <w:p w14:paraId="3A49E5F6">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8</w:t>
      </w:r>
      <w:r>
        <w:rPr>
          <w:rFonts w:hint="eastAsia" w:ascii="宋体" w:hAnsi="宋体"/>
          <w:szCs w:val="21"/>
        </w:rPr>
        <w:t>）分项报价表；</w:t>
      </w:r>
    </w:p>
    <w:p w14:paraId="5FE140BE">
      <w:pPr>
        <w:tabs>
          <w:tab w:val="left" w:pos="1134"/>
        </w:tabs>
        <w:spacing w:line="360" w:lineRule="auto"/>
        <w:ind w:firstLine="420" w:firstLineChars="200"/>
        <w:rPr>
          <w:rFonts w:ascii="宋体" w:hAnsi="宋体"/>
          <w:szCs w:val="21"/>
        </w:rPr>
      </w:pPr>
      <w:bookmarkStart w:id="625" w:name="_Hlk2542503"/>
      <w:r>
        <w:rPr>
          <w:rFonts w:hint="eastAsia" w:ascii="宋体" w:hAnsi="宋体"/>
          <w:szCs w:val="21"/>
        </w:rPr>
        <w:t>（</w:t>
      </w:r>
      <w:r>
        <w:rPr>
          <w:rFonts w:ascii="宋体" w:hAnsi="宋体"/>
          <w:szCs w:val="21"/>
        </w:rPr>
        <w:t>9</w:t>
      </w:r>
      <w:r>
        <w:rPr>
          <w:rFonts w:hint="eastAsia" w:ascii="宋体" w:hAnsi="宋体"/>
          <w:szCs w:val="21"/>
        </w:rPr>
        <w:t>）中标设备技术性能指标的详细描述；</w:t>
      </w:r>
    </w:p>
    <w:p w14:paraId="7485138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10</w:t>
      </w:r>
      <w:r>
        <w:rPr>
          <w:rFonts w:hint="eastAsia" w:ascii="宋体" w:hAnsi="宋体"/>
          <w:szCs w:val="21"/>
        </w:rPr>
        <w:t>）技术服务和</w:t>
      </w:r>
      <w:r>
        <w:rPr>
          <w:rFonts w:hint="eastAsia" w:ascii="宋体" w:hAnsi="宋体"/>
          <w:szCs w:val="21"/>
          <w:lang w:eastAsia="zh-CN"/>
        </w:rPr>
        <w:t>质量保证期</w:t>
      </w:r>
      <w:r>
        <w:rPr>
          <w:rFonts w:hint="eastAsia" w:ascii="宋体" w:hAnsi="宋体"/>
          <w:szCs w:val="21"/>
        </w:rPr>
        <w:t>服务计划；</w:t>
      </w:r>
    </w:p>
    <w:bookmarkEnd w:id="625"/>
    <w:p w14:paraId="153D854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11</w:t>
      </w:r>
      <w:r>
        <w:rPr>
          <w:rFonts w:hint="eastAsia" w:ascii="宋体" w:hAnsi="宋体"/>
          <w:szCs w:val="21"/>
        </w:rPr>
        <w:t>）其他合同文件。</w:t>
      </w:r>
    </w:p>
    <w:p w14:paraId="3B0CAE98">
      <w:pPr>
        <w:tabs>
          <w:tab w:val="left" w:pos="1134"/>
        </w:tabs>
        <w:spacing w:line="360" w:lineRule="auto"/>
        <w:ind w:firstLine="420" w:firstLineChars="200"/>
        <w:rPr>
          <w:rFonts w:ascii="宋体" w:hAnsi="宋体"/>
          <w:szCs w:val="21"/>
        </w:rPr>
      </w:pPr>
      <w:r>
        <w:rPr>
          <w:rFonts w:ascii="宋体" w:hAnsi="宋体"/>
          <w:szCs w:val="21"/>
        </w:rPr>
        <w:t xml:space="preserve">1.4 </w:t>
      </w:r>
      <w:r>
        <w:rPr>
          <w:rFonts w:hint="eastAsia" w:ascii="宋体" w:hAnsi="宋体"/>
          <w:szCs w:val="21"/>
        </w:rPr>
        <w:t>合同的生效及变更</w:t>
      </w:r>
    </w:p>
    <w:p w14:paraId="4FAFC3CE">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另有约定外，买方和卖方的法定代表人或其授权代表在合同协议书上签字并加盖单位章后，合同生效。</w:t>
      </w:r>
    </w:p>
    <w:p w14:paraId="3955EB73">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另有约定外，在合同履行过程中，如需对合同进行变更，双方应签订书面协议，并经双方法定代表人或其授权代表签字并加盖单位章后生效。</w:t>
      </w:r>
    </w:p>
    <w:p w14:paraId="53D20857">
      <w:pPr>
        <w:tabs>
          <w:tab w:val="left" w:pos="1134"/>
        </w:tabs>
        <w:spacing w:line="360" w:lineRule="auto"/>
        <w:ind w:firstLine="420" w:firstLineChars="200"/>
        <w:rPr>
          <w:rFonts w:ascii="宋体" w:hAnsi="宋体"/>
          <w:szCs w:val="21"/>
        </w:rPr>
      </w:pPr>
      <w:r>
        <w:rPr>
          <w:rFonts w:ascii="宋体" w:hAnsi="宋体"/>
          <w:szCs w:val="21"/>
        </w:rPr>
        <w:t xml:space="preserve">1.5 </w:t>
      </w:r>
      <w:r>
        <w:rPr>
          <w:rFonts w:hint="eastAsia" w:ascii="宋体" w:hAnsi="宋体"/>
          <w:szCs w:val="21"/>
        </w:rPr>
        <w:t>联络</w:t>
      </w:r>
    </w:p>
    <w:p w14:paraId="6BA0F82D">
      <w:pPr>
        <w:tabs>
          <w:tab w:val="left" w:pos="1134"/>
        </w:tabs>
        <w:spacing w:line="360" w:lineRule="auto"/>
        <w:ind w:firstLine="420" w:firstLineChars="200"/>
        <w:rPr>
          <w:rFonts w:ascii="宋体" w:hAnsi="宋体"/>
          <w:szCs w:val="21"/>
        </w:rPr>
      </w:pPr>
      <w:r>
        <w:rPr>
          <w:rFonts w:ascii="宋体" w:hAnsi="宋体"/>
          <w:szCs w:val="21"/>
        </w:rPr>
        <w:t xml:space="preserve">1.5.1 </w:t>
      </w:r>
      <w:r>
        <w:rPr>
          <w:rFonts w:hint="eastAsia" w:ascii="宋体" w:hAnsi="宋体"/>
          <w:szCs w:val="21"/>
        </w:rPr>
        <w:t>买卖双方应就合同履行中有关的事项及时进行联络，重要事项应通过书面形式进行联络或确认。合同履行过程中的任何联络及相关文件的签署，均应通过</w:t>
      </w:r>
      <w:r>
        <w:rPr>
          <w:rFonts w:hint="eastAsia" w:ascii="宋体" w:hAnsi="宋体" w:eastAsia="黑体"/>
          <w:b/>
          <w:szCs w:val="21"/>
        </w:rPr>
        <w:t>专用合同条款</w:t>
      </w:r>
      <w:r>
        <w:rPr>
          <w:rFonts w:hint="eastAsia" w:ascii="宋体" w:hAnsi="宋体"/>
          <w:szCs w:val="21"/>
        </w:rPr>
        <w:t>指定的联系人和联系方式进行。合同履行过程中，双方可以书面形式增加或变更指定联系人。</w:t>
      </w:r>
    </w:p>
    <w:p w14:paraId="6DD75208">
      <w:pPr>
        <w:tabs>
          <w:tab w:val="left" w:pos="1134"/>
        </w:tabs>
        <w:spacing w:line="360" w:lineRule="auto"/>
        <w:ind w:firstLine="420" w:firstLineChars="200"/>
        <w:rPr>
          <w:rFonts w:ascii="宋体" w:hAnsi="宋体"/>
          <w:szCs w:val="21"/>
        </w:rPr>
      </w:pPr>
      <w:r>
        <w:rPr>
          <w:rFonts w:ascii="宋体" w:hAnsi="宋体"/>
          <w:szCs w:val="21"/>
        </w:rPr>
        <w:t xml:space="preserve">1.5.2 </w:t>
      </w:r>
      <w:r>
        <w:rPr>
          <w:rFonts w:hint="eastAsia" w:ascii="宋体" w:hAnsi="宋体"/>
          <w:szCs w:val="21"/>
        </w:rPr>
        <w:t>合同履行中或与合同有关的任何联络，送达到第</w:t>
      </w:r>
      <w:r>
        <w:rPr>
          <w:rFonts w:ascii="宋体" w:hAnsi="宋体"/>
          <w:szCs w:val="21"/>
        </w:rPr>
        <w:t xml:space="preserve"> 1.5.1 </w:t>
      </w:r>
      <w:r>
        <w:rPr>
          <w:rFonts w:hint="eastAsia" w:ascii="宋体" w:hAnsi="宋体"/>
          <w:szCs w:val="21"/>
        </w:rPr>
        <w:t>项指定的联系人即视为送达。</w:t>
      </w:r>
    </w:p>
    <w:p w14:paraId="28CD45CA">
      <w:pPr>
        <w:tabs>
          <w:tab w:val="left" w:pos="1134"/>
        </w:tabs>
        <w:spacing w:line="360" w:lineRule="auto"/>
        <w:ind w:firstLine="420" w:firstLineChars="200"/>
        <w:rPr>
          <w:rFonts w:ascii="宋体" w:hAnsi="宋体"/>
          <w:szCs w:val="21"/>
        </w:rPr>
      </w:pPr>
      <w:r>
        <w:rPr>
          <w:rFonts w:ascii="宋体" w:hAnsi="宋体"/>
          <w:szCs w:val="21"/>
        </w:rPr>
        <w:t xml:space="preserve">1.5.3 </w:t>
      </w:r>
      <w:r>
        <w:rPr>
          <w:rFonts w:hint="eastAsia" w:ascii="宋体" w:hAnsi="宋体"/>
          <w:szCs w:val="21"/>
        </w:rPr>
        <w:t>买方可以安排监理等相关人员作为买方人员，与卖方进行联络或参加合同设备的监造（如有）、交货前检验（如有）、开箱检验、安装、调试、考核、验收等，但应按照第</w:t>
      </w:r>
      <w:r>
        <w:rPr>
          <w:rFonts w:ascii="宋体" w:hAnsi="宋体"/>
          <w:szCs w:val="21"/>
        </w:rPr>
        <w:t xml:space="preserve"> 1.5.1 </w:t>
      </w:r>
      <w:r>
        <w:rPr>
          <w:rFonts w:hint="eastAsia" w:ascii="宋体" w:hAnsi="宋体"/>
          <w:szCs w:val="21"/>
        </w:rPr>
        <w:t>项的约定事先书面通知卖方。</w:t>
      </w:r>
    </w:p>
    <w:p w14:paraId="374EE902">
      <w:pPr>
        <w:tabs>
          <w:tab w:val="left" w:pos="1134"/>
        </w:tabs>
        <w:spacing w:line="360" w:lineRule="auto"/>
        <w:ind w:firstLine="420" w:firstLineChars="200"/>
        <w:rPr>
          <w:rFonts w:ascii="宋体" w:hAnsi="宋体"/>
          <w:szCs w:val="21"/>
        </w:rPr>
      </w:pPr>
      <w:r>
        <w:rPr>
          <w:rFonts w:ascii="宋体" w:hAnsi="宋体"/>
          <w:szCs w:val="21"/>
        </w:rPr>
        <w:t xml:space="preserve">1.6 </w:t>
      </w:r>
      <w:r>
        <w:rPr>
          <w:rFonts w:hint="eastAsia" w:ascii="宋体" w:hAnsi="宋体"/>
          <w:szCs w:val="21"/>
        </w:rPr>
        <w:t>联合体</w:t>
      </w:r>
    </w:p>
    <w:p w14:paraId="49C63F25">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卖方为联合体的，联合体各方应当共同与买方签订合同，并向买方为履行合同承担连带责任。</w:t>
      </w:r>
    </w:p>
    <w:p w14:paraId="708B6C7A">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在合同履行过程中，未经买方同意，不得修改</w:t>
      </w:r>
      <w:r>
        <w:rPr>
          <w:rFonts w:hint="eastAsia" w:ascii="宋体" w:hAnsi="宋体"/>
          <w:szCs w:val="21"/>
          <w:lang w:eastAsia="zh-CN"/>
        </w:rPr>
        <w:t>共同投标协议</w:t>
      </w:r>
      <w:r>
        <w:rPr>
          <w:rFonts w:hint="eastAsia" w:ascii="宋体" w:hAnsi="宋体"/>
          <w:szCs w:val="21"/>
        </w:rPr>
        <w:t>。</w:t>
      </w:r>
      <w:r>
        <w:rPr>
          <w:rFonts w:hint="eastAsia" w:ascii="宋体" w:hAnsi="宋体"/>
          <w:szCs w:val="21"/>
          <w:lang w:eastAsia="zh-CN"/>
        </w:rPr>
        <w:t>共同投标协议</w:t>
      </w:r>
      <w:r>
        <w:rPr>
          <w:rFonts w:hint="eastAsia" w:ascii="宋体" w:hAnsi="宋体"/>
          <w:szCs w:val="21"/>
        </w:rPr>
        <w:t>中关于联合体</w:t>
      </w:r>
      <w:r>
        <w:rPr>
          <w:rFonts w:ascii="宋体" w:hAnsi="宋体"/>
          <w:szCs w:val="21"/>
        </w:rPr>
        <w:t xml:space="preserve"> </w:t>
      </w:r>
      <w:r>
        <w:rPr>
          <w:rFonts w:hint="eastAsia" w:ascii="宋体" w:hAnsi="宋体"/>
          <w:szCs w:val="21"/>
        </w:rPr>
        <w:t>成员间权利义务的划分，并不影响或减损联合体各方应就履行合同向买方承担的连带责任。</w:t>
      </w:r>
    </w:p>
    <w:p w14:paraId="1E908800">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联合体牵头人代表联合体与买方联系，并接受指示，负责组织联合体各成员全面履行合同。除非</w:t>
      </w:r>
      <w:r>
        <w:rPr>
          <w:rFonts w:hint="eastAsia" w:ascii="宋体" w:hAnsi="宋体" w:eastAsia="黑体"/>
          <w:b/>
          <w:szCs w:val="21"/>
        </w:rPr>
        <w:t>专用合同条款</w:t>
      </w:r>
      <w:r>
        <w:rPr>
          <w:rFonts w:hint="eastAsia" w:ascii="宋体" w:hAnsi="宋体"/>
          <w:szCs w:val="21"/>
        </w:rPr>
        <w:t>另有约定，牵头人在履行合同中的所有行为均视为已获得联合体各方的授权。买方可将合同价款全部支付给牵头人并视为其已适当履行了付款义务。如牵头人的行为将构成对合同内容的变更，则牵头人须事先获得联合体各方的特别授权。</w:t>
      </w:r>
    </w:p>
    <w:p w14:paraId="00F7924C">
      <w:pPr>
        <w:tabs>
          <w:tab w:val="left" w:pos="1134"/>
        </w:tabs>
        <w:spacing w:line="360" w:lineRule="auto"/>
        <w:ind w:firstLine="420" w:firstLineChars="200"/>
        <w:rPr>
          <w:rFonts w:ascii="宋体" w:hAnsi="宋体"/>
          <w:szCs w:val="21"/>
        </w:rPr>
      </w:pPr>
      <w:r>
        <w:rPr>
          <w:rFonts w:ascii="宋体" w:hAnsi="宋体"/>
          <w:szCs w:val="21"/>
        </w:rPr>
        <w:t xml:space="preserve">1.7 </w:t>
      </w:r>
      <w:r>
        <w:rPr>
          <w:rFonts w:hint="eastAsia" w:ascii="宋体" w:hAnsi="宋体"/>
          <w:szCs w:val="21"/>
        </w:rPr>
        <w:t>转让</w:t>
      </w:r>
    </w:p>
    <w:p w14:paraId="70565CD3">
      <w:pPr>
        <w:tabs>
          <w:tab w:val="left" w:pos="1134"/>
        </w:tabs>
        <w:spacing w:line="360" w:lineRule="auto"/>
        <w:ind w:firstLine="420" w:firstLineChars="200"/>
        <w:rPr>
          <w:rFonts w:ascii="宋体" w:hAnsi="宋体"/>
          <w:szCs w:val="21"/>
        </w:rPr>
      </w:pPr>
      <w:r>
        <w:rPr>
          <w:rFonts w:hint="eastAsia" w:ascii="宋体" w:hAnsi="宋体"/>
          <w:szCs w:val="21"/>
        </w:rPr>
        <w:t>未经对方当事人书面同意，合同任何一方均不得转让其在合同项下的权利和（或）义务。</w:t>
      </w:r>
    </w:p>
    <w:p w14:paraId="7DFA3EA3">
      <w:pPr>
        <w:pStyle w:val="97"/>
        <w:keepNext w:val="0"/>
        <w:keepLines w:val="0"/>
        <w:tabs>
          <w:tab w:val="left" w:pos="567"/>
        </w:tabs>
        <w:spacing w:before="156" w:after="156"/>
        <w:rPr>
          <w:rFonts w:eastAsia="宋体" w:cs="Times New Roman"/>
          <w:b/>
          <w:bCs/>
          <w:sz w:val="32"/>
          <w:szCs w:val="32"/>
        </w:rPr>
      </w:pPr>
      <w:bookmarkStart w:id="626" w:name="_Toc12458"/>
      <w:bookmarkStart w:id="627" w:name="_Toc3276"/>
      <w:bookmarkStart w:id="628" w:name="_Toc9091"/>
      <w:bookmarkStart w:id="629" w:name="_Toc15901"/>
      <w:bookmarkStart w:id="630" w:name="_Toc2881581"/>
      <w:bookmarkStart w:id="631" w:name="_Toc30671"/>
      <w:bookmarkStart w:id="632" w:name="_Toc25460"/>
      <w:r>
        <w:rPr>
          <w:rFonts w:hint="eastAsia" w:eastAsia="宋体" w:cs="Times New Roman"/>
          <w:b/>
          <w:bCs/>
          <w:sz w:val="32"/>
          <w:szCs w:val="32"/>
        </w:rPr>
        <w:t>2.合同范围</w:t>
      </w:r>
      <w:bookmarkEnd w:id="626"/>
      <w:bookmarkEnd w:id="627"/>
      <w:bookmarkEnd w:id="628"/>
      <w:bookmarkEnd w:id="629"/>
      <w:bookmarkEnd w:id="630"/>
      <w:bookmarkEnd w:id="631"/>
      <w:bookmarkEnd w:id="632"/>
    </w:p>
    <w:p w14:paraId="2E5EE67C">
      <w:pPr>
        <w:tabs>
          <w:tab w:val="left" w:pos="1134"/>
        </w:tabs>
        <w:spacing w:line="360" w:lineRule="auto"/>
        <w:ind w:firstLine="420" w:firstLineChars="200"/>
        <w:rPr>
          <w:rFonts w:ascii="宋体" w:hAnsi="宋体"/>
          <w:szCs w:val="21"/>
        </w:rPr>
      </w:pPr>
      <w:r>
        <w:rPr>
          <w:rFonts w:hint="eastAsia" w:ascii="宋体" w:hAnsi="宋体"/>
          <w:szCs w:val="21"/>
        </w:rPr>
        <w:t>卖方应根据供货要求、中标设备技术性能指标的详细描述、技术服务和</w:t>
      </w:r>
      <w:r>
        <w:rPr>
          <w:rFonts w:hint="eastAsia" w:ascii="宋体" w:hAnsi="宋体"/>
          <w:szCs w:val="21"/>
          <w:lang w:eastAsia="zh-CN"/>
        </w:rPr>
        <w:t>质量保证期</w:t>
      </w:r>
      <w:r>
        <w:rPr>
          <w:rFonts w:hint="eastAsia" w:ascii="宋体" w:hAnsi="宋体"/>
          <w:szCs w:val="21"/>
        </w:rPr>
        <w:t>服务计划等合同文件的约定向买方提供合同设备、技术服务和</w:t>
      </w:r>
      <w:r>
        <w:rPr>
          <w:rFonts w:hint="eastAsia" w:ascii="宋体" w:hAnsi="宋体"/>
          <w:szCs w:val="21"/>
          <w:lang w:eastAsia="zh-CN"/>
        </w:rPr>
        <w:t>质量保证期</w:t>
      </w:r>
      <w:r>
        <w:rPr>
          <w:rFonts w:hint="eastAsia" w:ascii="宋体" w:hAnsi="宋体"/>
          <w:szCs w:val="21"/>
        </w:rPr>
        <w:t>服务。</w:t>
      </w:r>
    </w:p>
    <w:p w14:paraId="29D1D90B">
      <w:pPr>
        <w:pStyle w:val="97"/>
        <w:keepNext w:val="0"/>
        <w:keepLines w:val="0"/>
        <w:tabs>
          <w:tab w:val="left" w:pos="567"/>
        </w:tabs>
        <w:spacing w:before="156" w:after="156"/>
        <w:rPr>
          <w:rFonts w:eastAsia="宋体" w:cs="Times New Roman"/>
          <w:b/>
          <w:bCs/>
          <w:sz w:val="32"/>
          <w:szCs w:val="32"/>
        </w:rPr>
      </w:pPr>
      <w:bookmarkStart w:id="633" w:name="_Toc31330"/>
      <w:bookmarkStart w:id="634" w:name="_Toc22809"/>
      <w:bookmarkStart w:id="635" w:name="_Toc23259"/>
      <w:bookmarkStart w:id="636" w:name="_Toc2881582"/>
      <w:bookmarkStart w:id="637" w:name="_Toc9282"/>
      <w:bookmarkStart w:id="638" w:name="_Toc30953"/>
      <w:bookmarkStart w:id="639" w:name="_Toc4892"/>
      <w:r>
        <w:rPr>
          <w:rFonts w:hint="eastAsia" w:eastAsia="宋体" w:cs="Times New Roman"/>
          <w:b/>
          <w:bCs/>
          <w:sz w:val="32"/>
          <w:szCs w:val="32"/>
        </w:rPr>
        <w:t>3.合同价格与支付</w:t>
      </w:r>
      <w:bookmarkEnd w:id="633"/>
      <w:bookmarkEnd w:id="634"/>
      <w:bookmarkEnd w:id="635"/>
      <w:bookmarkEnd w:id="636"/>
      <w:bookmarkEnd w:id="637"/>
      <w:bookmarkEnd w:id="638"/>
      <w:bookmarkEnd w:id="639"/>
    </w:p>
    <w:p w14:paraId="16060090">
      <w:pPr>
        <w:tabs>
          <w:tab w:val="left" w:pos="1134"/>
        </w:tabs>
        <w:spacing w:line="360" w:lineRule="auto"/>
        <w:ind w:firstLine="420" w:firstLineChars="200"/>
        <w:rPr>
          <w:rFonts w:ascii="宋体" w:hAnsi="宋体"/>
          <w:szCs w:val="21"/>
        </w:rPr>
      </w:pPr>
      <w:r>
        <w:rPr>
          <w:rFonts w:ascii="宋体" w:hAnsi="宋体"/>
          <w:szCs w:val="21"/>
        </w:rPr>
        <w:t xml:space="preserve">3.1 </w:t>
      </w:r>
      <w:r>
        <w:rPr>
          <w:rFonts w:hint="eastAsia" w:ascii="宋体" w:hAnsi="宋体"/>
          <w:szCs w:val="21"/>
        </w:rPr>
        <w:t>合同价格</w:t>
      </w:r>
    </w:p>
    <w:p w14:paraId="755C1C5B">
      <w:pPr>
        <w:tabs>
          <w:tab w:val="left" w:pos="1134"/>
        </w:tabs>
        <w:spacing w:line="360" w:lineRule="auto"/>
        <w:ind w:firstLine="420" w:firstLineChars="200"/>
        <w:rPr>
          <w:rFonts w:ascii="宋体" w:hAnsi="宋体"/>
          <w:szCs w:val="21"/>
        </w:rPr>
      </w:pPr>
      <w:r>
        <w:rPr>
          <w:rFonts w:ascii="宋体" w:hAnsi="宋体"/>
          <w:szCs w:val="21"/>
        </w:rPr>
        <w:t xml:space="preserve">3.1.1 </w:t>
      </w:r>
      <w:r>
        <w:rPr>
          <w:rFonts w:hint="eastAsia" w:ascii="宋体" w:hAnsi="宋体"/>
          <w:szCs w:val="21"/>
        </w:rPr>
        <w:t>合同协议书中载明的签约合同价包括卖方为完成合同全部义务应承担的一切成本、费用和支出以及卖方的合理利润和税金。</w:t>
      </w:r>
    </w:p>
    <w:p w14:paraId="6E7CFCEF">
      <w:pPr>
        <w:tabs>
          <w:tab w:val="left" w:pos="1134"/>
        </w:tabs>
        <w:spacing w:line="360" w:lineRule="auto"/>
        <w:ind w:firstLine="420" w:firstLineChars="200"/>
        <w:rPr>
          <w:rFonts w:ascii="宋体" w:hAnsi="宋体"/>
          <w:szCs w:val="21"/>
        </w:rPr>
      </w:pPr>
      <w:r>
        <w:rPr>
          <w:rFonts w:ascii="宋体" w:hAnsi="宋体"/>
          <w:szCs w:val="21"/>
        </w:rPr>
        <w:t xml:space="preserve">3.1.2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另有约定外，签约合同价为固定价格。</w:t>
      </w:r>
    </w:p>
    <w:p w14:paraId="3413B084">
      <w:pPr>
        <w:tabs>
          <w:tab w:val="left" w:pos="1134"/>
        </w:tabs>
        <w:spacing w:line="360" w:lineRule="auto"/>
        <w:ind w:firstLine="420" w:firstLineChars="200"/>
        <w:rPr>
          <w:rFonts w:ascii="宋体" w:hAnsi="宋体"/>
          <w:szCs w:val="21"/>
        </w:rPr>
      </w:pPr>
      <w:r>
        <w:rPr>
          <w:rFonts w:ascii="宋体" w:hAnsi="宋体"/>
          <w:szCs w:val="21"/>
        </w:rPr>
        <w:t xml:space="preserve">3.2 </w:t>
      </w:r>
      <w:r>
        <w:rPr>
          <w:rFonts w:hint="eastAsia" w:ascii="宋体" w:hAnsi="宋体"/>
          <w:szCs w:val="21"/>
        </w:rPr>
        <w:t>合同价款的支付</w:t>
      </w:r>
    </w:p>
    <w:p w14:paraId="221F8F74">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另有约定外，买方应通过以下方式和比例向卖方支付合同价款：</w:t>
      </w:r>
    </w:p>
    <w:p w14:paraId="024C8283">
      <w:pPr>
        <w:tabs>
          <w:tab w:val="left" w:pos="1134"/>
        </w:tabs>
        <w:spacing w:line="360" w:lineRule="auto"/>
        <w:ind w:firstLine="420" w:firstLineChars="200"/>
        <w:rPr>
          <w:rFonts w:ascii="宋体" w:hAnsi="宋体"/>
          <w:szCs w:val="21"/>
        </w:rPr>
      </w:pPr>
      <w:r>
        <w:rPr>
          <w:rFonts w:ascii="宋体" w:hAnsi="宋体"/>
          <w:szCs w:val="21"/>
        </w:rPr>
        <w:t xml:space="preserve">3.2.1 </w:t>
      </w:r>
      <w:r>
        <w:rPr>
          <w:rFonts w:hint="eastAsia" w:ascii="宋体" w:hAnsi="宋体"/>
          <w:szCs w:val="21"/>
        </w:rPr>
        <w:t>预付款</w:t>
      </w:r>
    </w:p>
    <w:p w14:paraId="1C4A7351">
      <w:pPr>
        <w:tabs>
          <w:tab w:val="left" w:pos="1134"/>
        </w:tabs>
        <w:spacing w:line="360" w:lineRule="auto"/>
        <w:ind w:firstLine="420" w:firstLineChars="200"/>
        <w:rPr>
          <w:rFonts w:ascii="宋体" w:hAnsi="宋体"/>
          <w:szCs w:val="21"/>
        </w:rPr>
      </w:pPr>
      <w:r>
        <w:rPr>
          <w:rFonts w:hint="eastAsia" w:ascii="宋体" w:hAnsi="宋体"/>
          <w:szCs w:val="21"/>
        </w:rPr>
        <w:t>合同生效后，买方在收到卖方开具的注明应付预付款金额的财务收据正本一份并经审核无误后</w:t>
      </w:r>
      <w:r>
        <w:rPr>
          <w:rFonts w:ascii="宋体" w:hAnsi="宋体"/>
          <w:szCs w:val="21"/>
        </w:rPr>
        <w:t xml:space="preserve"> 28 </w:t>
      </w:r>
      <w:r>
        <w:rPr>
          <w:rFonts w:hint="eastAsia" w:ascii="宋体" w:hAnsi="宋体"/>
          <w:szCs w:val="21"/>
        </w:rPr>
        <w:t>日内，向卖方支付签约合同价的</w:t>
      </w:r>
      <w:r>
        <w:rPr>
          <w:rFonts w:ascii="宋体" w:hAnsi="宋体"/>
          <w:szCs w:val="21"/>
        </w:rPr>
        <w:t xml:space="preserve"> 10%</w:t>
      </w:r>
      <w:r>
        <w:rPr>
          <w:rFonts w:hint="eastAsia" w:ascii="宋体" w:hAnsi="宋体"/>
          <w:szCs w:val="21"/>
        </w:rPr>
        <w:t>作为预付款。</w:t>
      </w:r>
    </w:p>
    <w:p w14:paraId="22866BAB">
      <w:pPr>
        <w:tabs>
          <w:tab w:val="left" w:pos="1134"/>
        </w:tabs>
        <w:spacing w:line="360" w:lineRule="auto"/>
        <w:ind w:firstLine="420" w:firstLineChars="200"/>
        <w:rPr>
          <w:rFonts w:ascii="宋体" w:hAnsi="宋体"/>
          <w:szCs w:val="21"/>
        </w:rPr>
      </w:pPr>
      <w:r>
        <w:rPr>
          <w:rFonts w:hint="eastAsia" w:ascii="宋体" w:hAnsi="宋体"/>
          <w:szCs w:val="21"/>
        </w:rPr>
        <w:t>买方支付预付款后，如卖方未履行合同义务，则买方有权收回预付款；如卖方依约履行了合同义务，则预付款抵作合同价款。</w:t>
      </w:r>
    </w:p>
    <w:p w14:paraId="62729214">
      <w:pPr>
        <w:tabs>
          <w:tab w:val="left" w:pos="1134"/>
        </w:tabs>
        <w:spacing w:line="360" w:lineRule="auto"/>
        <w:ind w:firstLine="420" w:firstLineChars="200"/>
        <w:rPr>
          <w:rFonts w:ascii="宋体" w:hAnsi="宋体"/>
          <w:szCs w:val="21"/>
        </w:rPr>
      </w:pPr>
      <w:r>
        <w:rPr>
          <w:rFonts w:ascii="宋体" w:hAnsi="宋体"/>
          <w:szCs w:val="21"/>
        </w:rPr>
        <w:t xml:space="preserve">3.2.2 </w:t>
      </w:r>
      <w:r>
        <w:rPr>
          <w:rFonts w:hint="eastAsia" w:ascii="宋体" w:hAnsi="宋体"/>
          <w:szCs w:val="21"/>
        </w:rPr>
        <w:t>交货款</w:t>
      </w:r>
      <w:r>
        <w:rPr>
          <w:rFonts w:ascii="宋体" w:hAnsi="宋体"/>
          <w:szCs w:val="21"/>
        </w:rPr>
        <w:t xml:space="preserve"> </w:t>
      </w:r>
    </w:p>
    <w:p w14:paraId="6A5F7611">
      <w:pPr>
        <w:tabs>
          <w:tab w:val="left" w:pos="1134"/>
        </w:tabs>
        <w:spacing w:line="360" w:lineRule="auto"/>
        <w:ind w:firstLine="420" w:firstLineChars="200"/>
        <w:rPr>
          <w:rFonts w:ascii="宋体" w:hAnsi="宋体"/>
          <w:szCs w:val="21"/>
        </w:rPr>
      </w:pPr>
      <w:r>
        <w:rPr>
          <w:rFonts w:hint="eastAsia" w:ascii="宋体" w:hAnsi="宋体"/>
          <w:szCs w:val="21"/>
        </w:rPr>
        <w:t>卖方按合同约定交付全部合同设备后，买方在收到卖方提交的下列全部单据并经审核无误后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60%</w:t>
      </w:r>
      <w:r>
        <w:rPr>
          <w:rFonts w:hint="eastAsia" w:ascii="宋体" w:hAnsi="宋体"/>
          <w:szCs w:val="21"/>
        </w:rPr>
        <w:t>：</w:t>
      </w:r>
    </w:p>
    <w:p w14:paraId="20BB51E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）卖方出具的交货清单正本一份；</w:t>
      </w:r>
    </w:p>
    <w:p w14:paraId="4F166E6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）买方签署的收货清单正本一份；</w:t>
      </w:r>
    </w:p>
    <w:p w14:paraId="00904C3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）制造商出具的出厂质量合格证正本一份；</w:t>
      </w:r>
    </w:p>
    <w:p w14:paraId="239CF54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）合同价格</w:t>
      </w:r>
      <w:r>
        <w:rPr>
          <w:rFonts w:ascii="宋体" w:hAnsi="宋体"/>
          <w:szCs w:val="21"/>
        </w:rPr>
        <w:t>100%</w:t>
      </w:r>
      <w:r>
        <w:rPr>
          <w:rFonts w:hint="eastAsia" w:ascii="宋体" w:hAnsi="宋体"/>
          <w:szCs w:val="21"/>
        </w:rPr>
        <w:t>金额的增值税发票正本一份。</w:t>
      </w:r>
    </w:p>
    <w:p w14:paraId="269C92B6">
      <w:pPr>
        <w:tabs>
          <w:tab w:val="left" w:pos="1134"/>
        </w:tabs>
        <w:spacing w:line="360" w:lineRule="auto"/>
        <w:ind w:firstLine="420" w:firstLineChars="200"/>
        <w:rPr>
          <w:rFonts w:ascii="宋体" w:hAnsi="宋体"/>
          <w:szCs w:val="21"/>
        </w:rPr>
      </w:pPr>
      <w:r>
        <w:rPr>
          <w:rFonts w:ascii="宋体" w:hAnsi="宋体"/>
          <w:szCs w:val="21"/>
        </w:rPr>
        <w:t xml:space="preserve">3.2.3 </w:t>
      </w:r>
      <w:r>
        <w:rPr>
          <w:rFonts w:hint="eastAsia" w:ascii="宋体" w:hAnsi="宋体"/>
          <w:szCs w:val="21"/>
        </w:rPr>
        <w:t>验收款</w:t>
      </w:r>
      <w:r>
        <w:rPr>
          <w:rFonts w:ascii="宋体" w:hAnsi="宋体"/>
          <w:szCs w:val="21"/>
        </w:rPr>
        <w:t xml:space="preserve"> </w:t>
      </w:r>
    </w:p>
    <w:p w14:paraId="1C763E35">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买方在收到卖方提交的买卖双方签署的合同设备验收证书或已生效的验收款支付函正本一份并经审核无误后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25%</w:t>
      </w:r>
      <w:r>
        <w:rPr>
          <w:rFonts w:hint="eastAsia" w:ascii="宋体" w:hAnsi="宋体"/>
          <w:szCs w:val="21"/>
        </w:rPr>
        <w:t>。</w:t>
      </w:r>
    </w:p>
    <w:p w14:paraId="494B0384">
      <w:pPr>
        <w:tabs>
          <w:tab w:val="left" w:pos="1134"/>
        </w:tabs>
        <w:spacing w:line="360" w:lineRule="auto"/>
        <w:ind w:firstLine="420" w:firstLineChars="200"/>
        <w:rPr>
          <w:rFonts w:ascii="宋体" w:hAnsi="宋体"/>
          <w:szCs w:val="21"/>
        </w:rPr>
      </w:pPr>
      <w:r>
        <w:rPr>
          <w:rFonts w:ascii="宋体" w:hAnsi="宋体"/>
          <w:szCs w:val="21"/>
        </w:rPr>
        <w:t xml:space="preserve">3.2.4 </w:t>
      </w:r>
      <w:r>
        <w:rPr>
          <w:rFonts w:hint="eastAsia" w:ascii="宋体" w:hAnsi="宋体"/>
          <w:szCs w:val="21"/>
        </w:rPr>
        <w:t>结清款</w:t>
      </w:r>
      <w:r>
        <w:rPr>
          <w:rFonts w:ascii="宋体" w:hAnsi="宋体"/>
          <w:szCs w:val="21"/>
        </w:rPr>
        <w:t xml:space="preserve"> </w:t>
      </w:r>
    </w:p>
    <w:p w14:paraId="3BB5D9E0">
      <w:pPr>
        <w:tabs>
          <w:tab w:val="left" w:pos="1134"/>
        </w:tabs>
        <w:spacing w:line="360" w:lineRule="auto"/>
        <w:ind w:firstLine="420" w:firstLineChars="200"/>
        <w:rPr>
          <w:rFonts w:ascii="宋体" w:hAnsi="宋体"/>
          <w:szCs w:val="21"/>
        </w:rPr>
      </w:pPr>
      <w:r>
        <w:rPr>
          <w:rFonts w:hint="eastAsia" w:ascii="宋体" w:hAnsi="宋体"/>
          <w:szCs w:val="21"/>
        </w:rPr>
        <w:t>买方在收到卖方提交的买方签署的质量保证期届满证书或已生效的结清款支付函正本一份并经审核无误后</w:t>
      </w:r>
      <w:r>
        <w:rPr>
          <w:rFonts w:ascii="宋体" w:hAnsi="宋体"/>
          <w:szCs w:val="21"/>
        </w:rPr>
        <w:t xml:space="preserve"> 28 </w:t>
      </w:r>
      <w:r>
        <w:rPr>
          <w:rFonts w:hint="eastAsia" w:ascii="宋体" w:hAnsi="宋体"/>
          <w:szCs w:val="21"/>
        </w:rPr>
        <w:t>日内，向卖方支付合同价格的</w:t>
      </w:r>
      <w:r>
        <w:rPr>
          <w:rFonts w:ascii="宋体" w:hAnsi="宋体"/>
          <w:szCs w:val="21"/>
        </w:rPr>
        <w:t xml:space="preserve"> 5%</w:t>
      </w:r>
      <w:r>
        <w:rPr>
          <w:rFonts w:hint="eastAsia" w:ascii="宋体" w:hAnsi="宋体"/>
          <w:szCs w:val="21"/>
        </w:rPr>
        <w:t>。</w:t>
      </w:r>
    </w:p>
    <w:p w14:paraId="634A7A4F">
      <w:pPr>
        <w:tabs>
          <w:tab w:val="left" w:pos="1134"/>
        </w:tabs>
        <w:spacing w:line="360" w:lineRule="auto"/>
        <w:ind w:firstLine="420" w:firstLineChars="200"/>
        <w:rPr>
          <w:rFonts w:ascii="宋体" w:hAnsi="宋体"/>
          <w:szCs w:val="21"/>
        </w:rPr>
      </w:pPr>
      <w:r>
        <w:rPr>
          <w:rFonts w:hint="eastAsia" w:ascii="宋体" w:hAnsi="宋体"/>
          <w:szCs w:val="21"/>
        </w:rPr>
        <w:t>如果依照合同第</w:t>
      </w:r>
      <w:r>
        <w:rPr>
          <w:rFonts w:ascii="宋体" w:hAnsi="宋体"/>
          <w:szCs w:val="21"/>
        </w:rPr>
        <w:t xml:space="preserve"> 9.1 </w:t>
      </w:r>
      <w:r>
        <w:rPr>
          <w:rFonts w:hint="eastAsia" w:ascii="宋体" w:hAnsi="宋体"/>
          <w:szCs w:val="21"/>
        </w:rPr>
        <w:t>项，卖方应向买方支付费用的，买方有权从结清款中直接扣除该笔费用。</w:t>
      </w:r>
    </w:p>
    <w:p w14:paraId="07E95A84">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另有约定外，在买方向卖方支付验收款的同时或其后的任何时间内，卖方可在向买方提交买方可接受的金额为合同价格</w:t>
      </w:r>
      <w:r>
        <w:rPr>
          <w:rFonts w:ascii="宋体" w:hAnsi="宋体"/>
          <w:szCs w:val="21"/>
        </w:rPr>
        <w:t xml:space="preserve"> 5%</w:t>
      </w:r>
      <w:r>
        <w:rPr>
          <w:rFonts w:hint="eastAsia" w:ascii="宋体" w:hAnsi="宋体"/>
          <w:szCs w:val="21"/>
        </w:rPr>
        <w:t>的合同结清款保函的前提下，要求买方支付合同结清款，买方不得拒绝。</w:t>
      </w:r>
    </w:p>
    <w:p w14:paraId="6B394CAA">
      <w:pPr>
        <w:tabs>
          <w:tab w:val="left" w:pos="1134"/>
        </w:tabs>
        <w:spacing w:line="360" w:lineRule="auto"/>
        <w:ind w:firstLine="420" w:firstLineChars="200"/>
        <w:rPr>
          <w:rFonts w:ascii="宋体" w:hAnsi="宋体"/>
          <w:szCs w:val="21"/>
        </w:rPr>
      </w:pPr>
      <w:r>
        <w:rPr>
          <w:rFonts w:ascii="宋体" w:hAnsi="宋体"/>
          <w:szCs w:val="21"/>
        </w:rPr>
        <w:t xml:space="preserve">3.3 </w:t>
      </w:r>
      <w:r>
        <w:rPr>
          <w:rFonts w:hint="eastAsia" w:ascii="宋体" w:hAnsi="宋体"/>
          <w:szCs w:val="21"/>
        </w:rPr>
        <w:t>买方扣款的权利</w:t>
      </w:r>
    </w:p>
    <w:p w14:paraId="23389B58">
      <w:pPr>
        <w:tabs>
          <w:tab w:val="left" w:pos="1134"/>
        </w:tabs>
        <w:spacing w:line="360" w:lineRule="auto"/>
        <w:ind w:firstLine="420" w:firstLineChars="200"/>
        <w:rPr>
          <w:rFonts w:ascii="宋体" w:hAnsi="宋体"/>
          <w:szCs w:val="21"/>
        </w:rPr>
      </w:pPr>
      <w:r>
        <w:rPr>
          <w:rFonts w:hint="eastAsia" w:ascii="宋体" w:hAnsi="宋体"/>
          <w:szCs w:val="21"/>
        </w:rPr>
        <w:t>当卖方应向买方支付合同项下的违约金或赔偿金时，买方有权从上述任何一笔应付款中予以直接扣除和（或）兑付履约保证金。</w:t>
      </w:r>
    </w:p>
    <w:p w14:paraId="31B7D2A8">
      <w:pPr>
        <w:pStyle w:val="97"/>
        <w:keepNext w:val="0"/>
        <w:keepLines w:val="0"/>
        <w:tabs>
          <w:tab w:val="left" w:pos="567"/>
        </w:tabs>
        <w:spacing w:before="156" w:after="156"/>
        <w:rPr>
          <w:rFonts w:eastAsia="宋体" w:cs="Times New Roman"/>
          <w:b/>
          <w:bCs/>
          <w:sz w:val="32"/>
          <w:szCs w:val="32"/>
        </w:rPr>
      </w:pPr>
      <w:bookmarkStart w:id="640" w:name="_Toc20684"/>
      <w:bookmarkStart w:id="641" w:name="_Toc3886"/>
      <w:bookmarkStart w:id="642" w:name="_Toc5960"/>
      <w:bookmarkStart w:id="643" w:name="_Toc32618"/>
      <w:bookmarkStart w:id="644" w:name="_Toc24979"/>
      <w:bookmarkStart w:id="645" w:name="_Toc9024"/>
      <w:bookmarkStart w:id="646" w:name="_Toc2881583"/>
      <w:r>
        <w:rPr>
          <w:rFonts w:hint="eastAsia" w:eastAsia="宋体" w:cs="Times New Roman"/>
          <w:b/>
          <w:bCs/>
          <w:sz w:val="32"/>
          <w:szCs w:val="32"/>
        </w:rPr>
        <w:t>4.监造及交货前检验</w:t>
      </w:r>
      <w:bookmarkEnd w:id="640"/>
      <w:bookmarkEnd w:id="641"/>
      <w:bookmarkEnd w:id="642"/>
      <w:bookmarkEnd w:id="643"/>
      <w:bookmarkEnd w:id="644"/>
      <w:bookmarkEnd w:id="645"/>
      <w:bookmarkEnd w:id="646"/>
    </w:p>
    <w:p w14:paraId="73682898">
      <w:pPr>
        <w:tabs>
          <w:tab w:val="left" w:pos="1134"/>
        </w:tabs>
        <w:spacing w:line="360" w:lineRule="auto"/>
        <w:ind w:firstLine="420" w:firstLineChars="200"/>
        <w:rPr>
          <w:rFonts w:ascii="宋体" w:hAnsi="宋体"/>
          <w:szCs w:val="21"/>
        </w:rPr>
      </w:pPr>
      <w:r>
        <w:rPr>
          <w:rFonts w:ascii="宋体" w:hAnsi="宋体"/>
          <w:szCs w:val="21"/>
        </w:rPr>
        <w:t xml:space="preserve">4.1 </w:t>
      </w:r>
      <w:r>
        <w:rPr>
          <w:rFonts w:hint="eastAsia" w:ascii="宋体" w:hAnsi="宋体"/>
          <w:szCs w:val="21"/>
        </w:rPr>
        <w:t>监造</w:t>
      </w:r>
    </w:p>
    <w:p w14:paraId="7EDC71F4">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约定买方对合同设备进行监造的，双方应按本款及</w:t>
      </w:r>
      <w:r>
        <w:rPr>
          <w:rFonts w:hint="eastAsia" w:ascii="宋体" w:hAnsi="宋体" w:eastAsia="黑体"/>
          <w:b/>
          <w:szCs w:val="21"/>
        </w:rPr>
        <w:t>专用合同条款</w:t>
      </w:r>
      <w:r>
        <w:rPr>
          <w:rFonts w:hint="eastAsia" w:ascii="宋体" w:hAnsi="宋体"/>
          <w:szCs w:val="21"/>
        </w:rPr>
        <w:t>约定履行。</w:t>
      </w:r>
    </w:p>
    <w:p w14:paraId="5E1DBB46">
      <w:pPr>
        <w:tabs>
          <w:tab w:val="left" w:pos="1134"/>
        </w:tabs>
        <w:spacing w:line="360" w:lineRule="auto"/>
        <w:ind w:firstLine="420" w:firstLineChars="200"/>
        <w:rPr>
          <w:rFonts w:ascii="宋体" w:hAnsi="宋体"/>
          <w:szCs w:val="21"/>
        </w:rPr>
      </w:pPr>
      <w:r>
        <w:rPr>
          <w:rFonts w:ascii="宋体" w:hAnsi="宋体"/>
          <w:szCs w:val="21"/>
        </w:rPr>
        <w:t xml:space="preserve">4.1.1 </w:t>
      </w:r>
      <w:r>
        <w:rPr>
          <w:rFonts w:hint="eastAsia" w:ascii="宋体" w:hAnsi="宋体"/>
          <w:szCs w:val="21"/>
        </w:rPr>
        <w:t>在合同设备的制造过程中，买方可派出监造人员，对合同设备的生产制造进行监造，监督合同设备制造、检验等情况。监造的范围、方式等应符合</w:t>
      </w:r>
      <w:r>
        <w:rPr>
          <w:rFonts w:hint="eastAsia" w:ascii="宋体" w:hAnsi="宋体" w:eastAsia="黑体"/>
          <w:b/>
          <w:szCs w:val="21"/>
        </w:rPr>
        <w:t>专用合同条款</w:t>
      </w:r>
      <w:r>
        <w:rPr>
          <w:rFonts w:hint="eastAsia" w:ascii="宋体" w:hAnsi="宋体"/>
          <w:szCs w:val="21"/>
        </w:rPr>
        <w:t>和（或）供货要求等合同文件的约定。</w:t>
      </w:r>
    </w:p>
    <w:p w14:paraId="29D854AB">
      <w:pPr>
        <w:tabs>
          <w:tab w:val="left" w:pos="1134"/>
        </w:tabs>
        <w:spacing w:line="360" w:lineRule="auto"/>
        <w:ind w:firstLine="420" w:firstLineChars="200"/>
        <w:rPr>
          <w:rFonts w:ascii="宋体" w:hAnsi="宋体"/>
          <w:szCs w:val="21"/>
        </w:rPr>
      </w:pPr>
      <w:r>
        <w:rPr>
          <w:rFonts w:ascii="宋体" w:hAnsi="宋体"/>
          <w:szCs w:val="21"/>
        </w:rPr>
        <w:t xml:space="preserve">4.1.2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买方监造人员可到合同设备及其关键部件的生产制造现场进行监造，卖方应予配合。卖方应免费为买方监造人员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另有约定外，买方监造人员的交通、食宿费用由买方承担。</w:t>
      </w:r>
    </w:p>
    <w:p w14:paraId="62368F2A">
      <w:pPr>
        <w:tabs>
          <w:tab w:val="left" w:pos="1134"/>
        </w:tabs>
        <w:spacing w:line="360" w:lineRule="auto"/>
        <w:ind w:firstLine="420" w:firstLineChars="200"/>
        <w:rPr>
          <w:rFonts w:ascii="宋体" w:hAnsi="宋体"/>
          <w:szCs w:val="21"/>
        </w:rPr>
      </w:pPr>
      <w:r>
        <w:rPr>
          <w:rFonts w:ascii="宋体" w:hAnsi="宋体"/>
          <w:szCs w:val="21"/>
        </w:rPr>
        <w:t xml:space="preserve">4.1.3 </w:t>
      </w:r>
      <w:r>
        <w:rPr>
          <w:rFonts w:hint="eastAsia" w:ascii="宋体" w:hAnsi="宋体"/>
          <w:szCs w:val="21"/>
        </w:rPr>
        <w:t>卖方制订生产制造合同设备的进度计划时，应将买方监造纳入计划安排，并提前通知买方；买方进行监造不应影响合同设备的正常生产。除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日将需要买方监造人员现场监造事项通知买方；如买方监造人员未按通知出席，不影响合同设备及其关键部件的制造或检验，但买方监造人员有权事后了解、查阅、复制相关制造或检验记录。</w:t>
      </w:r>
    </w:p>
    <w:p w14:paraId="27E0E21C">
      <w:pPr>
        <w:tabs>
          <w:tab w:val="left" w:pos="1134"/>
        </w:tabs>
        <w:spacing w:line="360" w:lineRule="auto"/>
        <w:ind w:firstLine="420" w:firstLineChars="200"/>
        <w:rPr>
          <w:rFonts w:ascii="宋体" w:hAnsi="宋体"/>
          <w:szCs w:val="21"/>
        </w:rPr>
      </w:pPr>
      <w:r>
        <w:rPr>
          <w:rFonts w:ascii="宋体" w:hAnsi="宋体"/>
          <w:szCs w:val="21"/>
        </w:rPr>
        <w:t xml:space="preserve">4.1.4 </w:t>
      </w:r>
      <w:r>
        <w:rPr>
          <w:rFonts w:hint="eastAsia" w:ascii="宋体" w:hAnsi="宋体"/>
          <w:szCs w:val="21"/>
        </w:rPr>
        <w:t>买方监造人员在监造中如发现合同设备及其关键部件不符合合同约定的标准，则有权提出意见和建议。卖方应采取必要措施消除合同设备的不符，由此增加的费用和（或）造成的延误由卖方负责。</w:t>
      </w:r>
    </w:p>
    <w:p w14:paraId="081CF9D7">
      <w:pPr>
        <w:tabs>
          <w:tab w:val="left" w:pos="1134"/>
        </w:tabs>
        <w:spacing w:line="360" w:lineRule="auto"/>
        <w:ind w:firstLine="420" w:firstLineChars="200"/>
        <w:rPr>
          <w:rFonts w:ascii="宋体" w:hAnsi="宋体"/>
          <w:szCs w:val="21"/>
        </w:rPr>
      </w:pPr>
      <w:r>
        <w:rPr>
          <w:rFonts w:ascii="宋体" w:hAnsi="宋体"/>
          <w:szCs w:val="21"/>
        </w:rPr>
        <w:t xml:space="preserve">4.1.5 </w:t>
      </w:r>
      <w:r>
        <w:rPr>
          <w:rFonts w:hint="eastAsia" w:ascii="宋体" w:hAnsi="宋体"/>
          <w:szCs w:val="21"/>
        </w:rPr>
        <w:t>买方监造人员对合同设备的监造，不视为对合同设备质量的确认，不影响卖方交货后买方依照合同约定对合同设备提出质量异议和（或）退货的权利，也不免除卖方依照合同约定对合同设备所应承担的任何义务或责任。</w:t>
      </w:r>
    </w:p>
    <w:p w14:paraId="6E798355">
      <w:pPr>
        <w:tabs>
          <w:tab w:val="left" w:pos="1134"/>
        </w:tabs>
        <w:spacing w:line="360" w:lineRule="auto"/>
        <w:ind w:firstLine="420" w:firstLineChars="200"/>
        <w:rPr>
          <w:rFonts w:ascii="宋体" w:hAnsi="宋体"/>
          <w:szCs w:val="21"/>
        </w:rPr>
      </w:pPr>
      <w:r>
        <w:rPr>
          <w:rFonts w:ascii="宋体" w:hAnsi="宋体"/>
          <w:szCs w:val="21"/>
        </w:rPr>
        <w:t xml:space="preserve">4.2 </w:t>
      </w:r>
      <w:r>
        <w:rPr>
          <w:rFonts w:hint="eastAsia" w:ascii="宋体" w:hAnsi="宋体"/>
          <w:szCs w:val="21"/>
        </w:rPr>
        <w:t>交货前检验</w:t>
      </w:r>
    </w:p>
    <w:p w14:paraId="5FD2A8F2">
      <w:pPr>
        <w:tabs>
          <w:tab w:val="left" w:pos="1134"/>
        </w:tabs>
        <w:spacing w:line="360" w:lineRule="auto"/>
        <w:ind w:firstLine="422" w:firstLineChars="200"/>
        <w:rPr>
          <w:rFonts w:ascii="宋体" w:hAnsi="宋体"/>
          <w:szCs w:val="21"/>
        </w:rPr>
      </w:pPr>
      <w:r>
        <w:rPr>
          <w:rFonts w:hint="eastAsia" w:ascii="宋体" w:hAnsi="宋体" w:eastAsia="黑体"/>
          <w:b/>
          <w:szCs w:val="21"/>
        </w:rPr>
        <w:t>专用合同条款</w:t>
      </w:r>
      <w:r>
        <w:rPr>
          <w:rFonts w:hint="eastAsia" w:ascii="宋体" w:hAnsi="宋体"/>
          <w:szCs w:val="21"/>
        </w:rPr>
        <w:t>约定买方参与交货前检验的，双方应按本款及</w:t>
      </w:r>
      <w:r>
        <w:rPr>
          <w:rFonts w:hint="eastAsia" w:ascii="宋体" w:hAnsi="宋体" w:eastAsia="黑体"/>
          <w:b/>
          <w:szCs w:val="21"/>
        </w:rPr>
        <w:t>专用合同条款</w:t>
      </w:r>
      <w:r>
        <w:rPr>
          <w:rFonts w:hint="eastAsia" w:ascii="宋体" w:hAnsi="宋体"/>
          <w:szCs w:val="21"/>
        </w:rPr>
        <w:t>约定履行。</w:t>
      </w:r>
    </w:p>
    <w:p w14:paraId="0FFE9DCC">
      <w:pPr>
        <w:tabs>
          <w:tab w:val="left" w:pos="1134"/>
        </w:tabs>
        <w:spacing w:line="360" w:lineRule="auto"/>
        <w:ind w:firstLine="420" w:firstLineChars="200"/>
        <w:rPr>
          <w:rFonts w:ascii="宋体" w:hAnsi="宋体"/>
          <w:szCs w:val="21"/>
        </w:rPr>
      </w:pPr>
      <w:r>
        <w:rPr>
          <w:rFonts w:ascii="宋体" w:hAnsi="宋体"/>
          <w:szCs w:val="21"/>
        </w:rPr>
        <w:t xml:space="preserve">4.2.1 </w:t>
      </w:r>
      <w:r>
        <w:rPr>
          <w:rFonts w:hint="eastAsia" w:ascii="宋体" w:hAnsi="宋体"/>
          <w:szCs w:val="21"/>
        </w:rPr>
        <w:t>合同设备交货前，卖方应会同买方代表根据合同约定对合同设备进行交货前检验并出具交货前检验记录，有关费用由卖方承担。卖方应免费为买方代表提供工作条件及便利，包括但不限于必要的办公场所、技术资料、检测工具及出入许可等。除</w:t>
      </w:r>
      <w:r>
        <w:rPr>
          <w:rFonts w:hint="eastAsia" w:ascii="宋体" w:hAnsi="宋体" w:eastAsia="黑体"/>
          <w:b/>
          <w:szCs w:val="21"/>
        </w:rPr>
        <w:t>专用合同条款</w:t>
      </w:r>
      <w:r>
        <w:rPr>
          <w:rFonts w:hint="eastAsia" w:ascii="宋体" w:hAnsi="宋体"/>
          <w:szCs w:val="21"/>
        </w:rPr>
        <w:t>另有约定外，买方代表的交通、食宿费用由买方承担。</w:t>
      </w:r>
    </w:p>
    <w:p w14:paraId="106F925D">
      <w:pPr>
        <w:tabs>
          <w:tab w:val="left" w:pos="1134"/>
        </w:tabs>
        <w:spacing w:line="360" w:lineRule="auto"/>
        <w:ind w:firstLine="420" w:firstLineChars="200"/>
        <w:rPr>
          <w:rFonts w:ascii="宋体" w:hAnsi="宋体"/>
          <w:szCs w:val="21"/>
        </w:rPr>
      </w:pPr>
      <w:r>
        <w:rPr>
          <w:rFonts w:ascii="宋体" w:hAnsi="宋体"/>
          <w:szCs w:val="21"/>
        </w:rPr>
        <w:t xml:space="preserve">4.2.2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和（或）供货要求等合同文件另有约定外，卖方应提前</w:t>
      </w:r>
      <w:r>
        <w:rPr>
          <w:rFonts w:ascii="宋体" w:hAnsi="宋体"/>
          <w:szCs w:val="21"/>
        </w:rPr>
        <w:t xml:space="preserve"> 7 </w:t>
      </w:r>
      <w:r>
        <w:rPr>
          <w:rFonts w:hint="eastAsia" w:ascii="宋体" w:hAnsi="宋体"/>
          <w:szCs w:val="21"/>
        </w:rPr>
        <w:t>日将需要买方代表检验事项通知买方；如买方代表未按通知出席，不影响合同设备的检验。若卖方未依照合同约定提前通知买方而自行检验，则买方有权要求卖方暂停发货并重新进行检验，由此增加的费用和（或）造成的延误由卖方负责。</w:t>
      </w:r>
    </w:p>
    <w:p w14:paraId="3AEC9FC6">
      <w:pPr>
        <w:tabs>
          <w:tab w:val="left" w:pos="1134"/>
        </w:tabs>
        <w:spacing w:line="360" w:lineRule="auto"/>
        <w:ind w:firstLine="420" w:firstLineChars="200"/>
        <w:rPr>
          <w:rFonts w:ascii="宋体" w:hAnsi="宋体"/>
          <w:szCs w:val="21"/>
        </w:rPr>
      </w:pPr>
      <w:r>
        <w:rPr>
          <w:rFonts w:ascii="宋体" w:hAnsi="宋体"/>
          <w:szCs w:val="21"/>
        </w:rPr>
        <w:t xml:space="preserve">4.2.3 </w:t>
      </w:r>
      <w:r>
        <w:rPr>
          <w:rFonts w:hint="eastAsia" w:ascii="宋体" w:hAnsi="宋体"/>
          <w:szCs w:val="21"/>
        </w:rPr>
        <w:t>买方代表在检验中如发现合同设备不符合合同约定的标准，则有权提出异议。卖方应采取必要措施消除合同设备的不符，由此增加的费用和（或）造成的延误由卖方负责。</w:t>
      </w:r>
    </w:p>
    <w:p w14:paraId="7E5DE6D1">
      <w:pPr>
        <w:tabs>
          <w:tab w:val="left" w:pos="1134"/>
        </w:tabs>
        <w:spacing w:line="360" w:lineRule="auto"/>
        <w:ind w:firstLine="420" w:firstLineChars="200"/>
        <w:rPr>
          <w:rFonts w:ascii="宋体" w:hAnsi="宋体"/>
          <w:szCs w:val="21"/>
        </w:rPr>
      </w:pPr>
      <w:r>
        <w:rPr>
          <w:rFonts w:ascii="宋体" w:hAnsi="宋体"/>
          <w:szCs w:val="21"/>
        </w:rPr>
        <w:t xml:space="preserve">4.2.4 </w:t>
      </w:r>
      <w:r>
        <w:rPr>
          <w:rFonts w:hint="eastAsia" w:ascii="宋体" w:hAnsi="宋体"/>
          <w:szCs w:val="21"/>
        </w:rPr>
        <w:t>买方代表参与交货前检验及签署交货前检验记录的行为，不视为对合同设备质量的确认，不影响卖方交货后买方依照合同约定对合同设备提出质量异议和（或）退货的权利，也不免除卖方依照合同约定对合同设备所应承担的任何义务或责任。</w:t>
      </w:r>
    </w:p>
    <w:p w14:paraId="7150FF60">
      <w:pPr>
        <w:pStyle w:val="97"/>
        <w:keepNext w:val="0"/>
        <w:keepLines w:val="0"/>
        <w:tabs>
          <w:tab w:val="left" w:pos="567"/>
        </w:tabs>
        <w:spacing w:before="156" w:after="156"/>
        <w:rPr>
          <w:rFonts w:eastAsia="宋体" w:cs="Times New Roman"/>
          <w:b/>
          <w:bCs/>
          <w:sz w:val="32"/>
          <w:szCs w:val="32"/>
        </w:rPr>
      </w:pPr>
      <w:bookmarkStart w:id="647" w:name="_Toc15764"/>
      <w:bookmarkStart w:id="648" w:name="_Toc2881584"/>
      <w:bookmarkStart w:id="649" w:name="_Toc10432"/>
      <w:bookmarkStart w:id="650" w:name="_Toc7682"/>
      <w:bookmarkStart w:id="651" w:name="_Toc12083"/>
      <w:bookmarkStart w:id="652" w:name="_Toc1835"/>
      <w:bookmarkStart w:id="653" w:name="_Toc28960"/>
      <w:r>
        <w:rPr>
          <w:rFonts w:hint="eastAsia" w:eastAsia="宋体" w:cs="Times New Roman"/>
          <w:b/>
          <w:bCs/>
          <w:sz w:val="32"/>
          <w:szCs w:val="32"/>
        </w:rPr>
        <w:t>5.包装、标记、运输和交付</w:t>
      </w:r>
      <w:bookmarkEnd w:id="647"/>
      <w:bookmarkEnd w:id="648"/>
      <w:bookmarkEnd w:id="649"/>
      <w:bookmarkEnd w:id="650"/>
      <w:bookmarkEnd w:id="651"/>
      <w:bookmarkEnd w:id="652"/>
      <w:bookmarkEnd w:id="653"/>
    </w:p>
    <w:p w14:paraId="5B32577A">
      <w:pPr>
        <w:tabs>
          <w:tab w:val="left" w:pos="1134"/>
        </w:tabs>
        <w:spacing w:line="360" w:lineRule="auto"/>
        <w:ind w:firstLine="420" w:firstLineChars="200"/>
        <w:rPr>
          <w:rFonts w:ascii="宋体" w:hAnsi="宋体"/>
          <w:szCs w:val="21"/>
        </w:rPr>
      </w:pPr>
      <w:r>
        <w:rPr>
          <w:rFonts w:ascii="宋体" w:hAnsi="宋体"/>
          <w:szCs w:val="21"/>
        </w:rPr>
        <w:t xml:space="preserve">5.1 </w:t>
      </w:r>
      <w:r>
        <w:rPr>
          <w:rFonts w:hint="eastAsia" w:ascii="宋体" w:hAnsi="宋体"/>
          <w:szCs w:val="21"/>
        </w:rPr>
        <w:t>包装</w:t>
      </w:r>
    </w:p>
    <w:p w14:paraId="1EA1B2E3">
      <w:pPr>
        <w:tabs>
          <w:tab w:val="left" w:pos="1134"/>
        </w:tabs>
        <w:spacing w:line="360" w:lineRule="auto"/>
        <w:ind w:firstLine="420" w:firstLineChars="200"/>
        <w:rPr>
          <w:rFonts w:ascii="宋体" w:hAnsi="宋体"/>
          <w:szCs w:val="21"/>
        </w:rPr>
      </w:pPr>
      <w:r>
        <w:rPr>
          <w:rFonts w:ascii="宋体" w:hAnsi="宋体"/>
          <w:szCs w:val="21"/>
        </w:rPr>
        <w:t xml:space="preserve">5.1.1 </w:t>
      </w:r>
      <w:r>
        <w:rPr>
          <w:rFonts w:hint="eastAsia" w:ascii="宋体" w:hAnsi="宋体"/>
          <w:szCs w:val="21"/>
        </w:rPr>
        <w:t>卖方应对合同设备进行妥善包装，以满足合同设备运至施工场地及在施工场地保管的需要。包装应采取防潮、防晒、防锈、防腐蚀、防震动及防止其它损坏的必要保护措施，从而保护合同设备能够经受多次搬运、装卸、长途运输并适宜保管。</w:t>
      </w:r>
    </w:p>
    <w:p w14:paraId="07D010C3">
      <w:pPr>
        <w:tabs>
          <w:tab w:val="left" w:pos="1134"/>
        </w:tabs>
        <w:spacing w:line="360" w:lineRule="auto"/>
        <w:ind w:firstLine="420" w:firstLineChars="200"/>
        <w:rPr>
          <w:rFonts w:ascii="宋体" w:hAnsi="宋体"/>
          <w:szCs w:val="21"/>
        </w:rPr>
      </w:pPr>
      <w:r>
        <w:rPr>
          <w:rFonts w:ascii="宋体" w:hAnsi="宋体"/>
          <w:szCs w:val="21"/>
        </w:rPr>
        <w:t xml:space="preserve">5.1.2 </w:t>
      </w:r>
      <w:r>
        <w:rPr>
          <w:rFonts w:hint="eastAsia" w:ascii="宋体" w:hAnsi="宋体"/>
          <w:szCs w:val="21"/>
        </w:rPr>
        <w:t>每个独立包装箱内应附装箱清单、质量合格证、装配图、说明书、操作指南等资料。</w:t>
      </w:r>
    </w:p>
    <w:p w14:paraId="1B3D2A23">
      <w:pPr>
        <w:tabs>
          <w:tab w:val="left" w:pos="1134"/>
        </w:tabs>
        <w:spacing w:line="360" w:lineRule="auto"/>
        <w:ind w:firstLine="420" w:firstLineChars="200"/>
        <w:rPr>
          <w:rFonts w:ascii="宋体" w:hAnsi="宋体"/>
          <w:szCs w:val="21"/>
        </w:rPr>
      </w:pPr>
      <w:r>
        <w:rPr>
          <w:rFonts w:ascii="宋体" w:hAnsi="宋体"/>
          <w:szCs w:val="21"/>
        </w:rPr>
        <w:t xml:space="preserve">5.1.3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另有约定外，买方无需将包装物退还给卖方。</w:t>
      </w:r>
    </w:p>
    <w:p w14:paraId="7AB92193">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7C880BB0">
      <w:pPr>
        <w:tabs>
          <w:tab w:val="left" w:pos="1134"/>
        </w:tabs>
        <w:spacing w:line="360" w:lineRule="auto"/>
        <w:ind w:firstLine="420" w:firstLineChars="200"/>
        <w:rPr>
          <w:rFonts w:ascii="宋体" w:hAnsi="宋体"/>
          <w:szCs w:val="21"/>
        </w:rPr>
      </w:pPr>
      <w:r>
        <w:rPr>
          <w:rFonts w:ascii="宋体" w:hAnsi="宋体"/>
          <w:szCs w:val="21"/>
        </w:rPr>
        <w:t xml:space="preserve">5.2.1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另有约定外，卖方应在每一包装箱相邻的四个侧面以不可擦除的、明显的方式标记必要的装运信息和标记，以满足合同设备运输和保管的需要。</w:t>
      </w:r>
    </w:p>
    <w:p w14:paraId="60B4BA0D">
      <w:pPr>
        <w:tabs>
          <w:tab w:val="left" w:pos="1134"/>
        </w:tabs>
        <w:spacing w:line="360" w:lineRule="auto"/>
        <w:ind w:firstLine="420" w:firstLineChars="200"/>
        <w:rPr>
          <w:rFonts w:ascii="宋体" w:hAnsi="宋体"/>
          <w:szCs w:val="21"/>
        </w:rPr>
      </w:pPr>
      <w:r>
        <w:rPr>
          <w:rFonts w:ascii="宋体" w:hAnsi="宋体"/>
          <w:szCs w:val="21"/>
        </w:rPr>
        <w:t xml:space="preserve">5.2.2 </w:t>
      </w:r>
      <w:r>
        <w:rPr>
          <w:rFonts w:hint="eastAsia" w:ascii="宋体" w:hAnsi="宋体"/>
          <w:szCs w:val="21"/>
        </w:rPr>
        <w:t>根据合同设备的特点和运输、保管的不同要求，卖方应在包装箱上清楚地标注</w:t>
      </w:r>
      <w:r>
        <w:rPr>
          <w:rFonts w:ascii="宋体" w:hAnsi="宋体"/>
          <w:szCs w:val="21"/>
        </w:rPr>
        <w:t>“</w:t>
      </w:r>
      <w:r>
        <w:rPr>
          <w:rFonts w:hint="eastAsia" w:ascii="宋体" w:hAnsi="宋体"/>
          <w:szCs w:val="21"/>
        </w:rPr>
        <w:t>小心轻放</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此端朝上，请勿倒置</w:t>
      </w:r>
      <w:r>
        <w:rPr>
          <w:rFonts w:ascii="宋体" w:hAnsi="宋体"/>
          <w:szCs w:val="21"/>
        </w:rPr>
        <w:t>”</w:t>
      </w:r>
      <w:r>
        <w:rPr>
          <w:rFonts w:hint="eastAsia" w:ascii="宋体" w:hAnsi="宋体"/>
          <w:szCs w:val="21"/>
        </w:rPr>
        <w:t>、</w:t>
      </w:r>
      <w:r>
        <w:rPr>
          <w:rFonts w:ascii="宋体" w:hAnsi="宋体"/>
          <w:szCs w:val="21"/>
        </w:rPr>
        <w:t>“</w:t>
      </w:r>
      <w:r>
        <w:rPr>
          <w:rFonts w:hint="eastAsia" w:ascii="宋体" w:hAnsi="宋体"/>
          <w:szCs w:val="21"/>
        </w:rPr>
        <w:t>保持干燥</w:t>
      </w:r>
      <w:r>
        <w:rPr>
          <w:rFonts w:ascii="宋体" w:hAnsi="宋体"/>
          <w:szCs w:val="21"/>
        </w:rPr>
        <w:t>”</w:t>
      </w:r>
      <w:r>
        <w:rPr>
          <w:rFonts w:hint="eastAsia" w:ascii="宋体" w:hAnsi="宋体"/>
          <w:szCs w:val="21"/>
        </w:rPr>
        <w:t>等字样和其他适当标记。对于</w:t>
      </w:r>
      <w:r>
        <w:rPr>
          <w:rFonts w:hint="eastAsia" w:ascii="宋体" w:hAnsi="宋体" w:eastAsia="黑体"/>
          <w:b/>
          <w:szCs w:val="21"/>
        </w:rPr>
        <w:t>专用合同条款</w:t>
      </w:r>
      <w:r>
        <w:rPr>
          <w:rFonts w:hint="eastAsia" w:ascii="宋体" w:hAnsi="宋体"/>
          <w:szCs w:val="21"/>
        </w:rPr>
        <w:t>约定的超大超重件，卖方应在包装箱两侧标注</w:t>
      </w:r>
      <w:r>
        <w:rPr>
          <w:rFonts w:ascii="宋体" w:hAnsi="宋体"/>
          <w:szCs w:val="21"/>
        </w:rPr>
        <w:t>“</w:t>
      </w:r>
      <w:r>
        <w:rPr>
          <w:rFonts w:hint="eastAsia" w:ascii="宋体" w:hAnsi="宋体"/>
          <w:szCs w:val="21"/>
        </w:rPr>
        <w:t>重心</w:t>
      </w:r>
      <w:r>
        <w:rPr>
          <w:rFonts w:ascii="宋体" w:hAnsi="宋体"/>
          <w:szCs w:val="21"/>
        </w:rPr>
        <w:t>”</w:t>
      </w:r>
      <w:r>
        <w:rPr>
          <w:rFonts w:hint="eastAsia" w:ascii="宋体" w:hAnsi="宋体"/>
          <w:szCs w:val="21"/>
        </w:rPr>
        <w:t>和</w:t>
      </w:r>
      <w:r>
        <w:rPr>
          <w:rFonts w:ascii="宋体" w:hAnsi="宋体"/>
          <w:szCs w:val="21"/>
        </w:rPr>
        <w:t>“</w:t>
      </w:r>
      <w:r>
        <w:rPr>
          <w:rFonts w:hint="eastAsia" w:ascii="宋体" w:hAnsi="宋体"/>
          <w:szCs w:val="21"/>
        </w:rPr>
        <w:t>起吊点</w:t>
      </w:r>
      <w:r>
        <w:rPr>
          <w:rFonts w:ascii="宋体" w:hAnsi="宋体"/>
          <w:szCs w:val="21"/>
        </w:rPr>
        <w:t>”</w:t>
      </w:r>
      <w:r>
        <w:rPr>
          <w:rFonts w:hint="eastAsia" w:ascii="宋体" w:hAnsi="宋体"/>
          <w:szCs w:val="21"/>
        </w:rPr>
        <w:t>以便装卸和搬运。如果发运合同设备中含有易燃易爆物品、腐蚀物品、放射性物质等危险品，则应在包装箱上标明危险品标志。</w:t>
      </w:r>
    </w:p>
    <w:p w14:paraId="50C87542">
      <w:pPr>
        <w:tabs>
          <w:tab w:val="left" w:pos="1134"/>
        </w:tabs>
        <w:spacing w:line="360" w:lineRule="auto"/>
        <w:ind w:firstLine="420" w:firstLineChars="200"/>
        <w:rPr>
          <w:rFonts w:ascii="宋体" w:hAnsi="宋体"/>
          <w:szCs w:val="21"/>
        </w:rPr>
      </w:pPr>
      <w:r>
        <w:rPr>
          <w:rFonts w:ascii="宋体" w:hAnsi="宋体"/>
          <w:szCs w:val="21"/>
        </w:rPr>
        <w:t xml:space="preserve">5.3 </w:t>
      </w:r>
      <w:r>
        <w:rPr>
          <w:rFonts w:hint="eastAsia" w:ascii="宋体" w:hAnsi="宋体"/>
          <w:szCs w:val="21"/>
        </w:rPr>
        <w:t>运输</w:t>
      </w:r>
    </w:p>
    <w:p w14:paraId="3A31E875">
      <w:pPr>
        <w:tabs>
          <w:tab w:val="left" w:pos="1134"/>
        </w:tabs>
        <w:spacing w:line="360" w:lineRule="auto"/>
        <w:ind w:firstLine="420" w:firstLineChars="200"/>
        <w:rPr>
          <w:rFonts w:ascii="宋体" w:hAnsi="宋体"/>
          <w:szCs w:val="21"/>
        </w:rPr>
      </w:pPr>
      <w:r>
        <w:rPr>
          <w:rFonts w:ascii="宋体" w:hAnsi="宋体"/>
          <w:szCs w:val="21"/>
        </w:rPr>
        <w:t xml:space="preserve">5.3.1 </w:t>
      </w:r>
      <w:r>
        <w:rPr>
          <w:rFonts w:hint="eastAsia" w:ascii="宋体" w:hAnsi="宋体"/>
          <w:szCs w:val="21"/>
        </w:rPr>
        <w:t>卖方应自行选择适宜的运输工具及线路安排合同设备运输。</w:t>
      </w:r>
    </w:p>
    <w:p w14:paraId="422AB1FF">
      <w:pPr>
        <w:tabs>
          <w:tab w:val="left" w:pos="1134"/>
        </w:tabs>
        <w:spacing w:line="360" w:lineRule="auto"/>
        <w:ind w:firstLine="420" w:firstLineChars="200"/>
        <w:rPr>
          <w:rFonts w:ascii="宋体" w:hAnsi="宋体"/>
          <w:szCs w:val="21"/>
        </w:rPr>
      </w:pPr>
      <w:r>
        <w:rPr>
          <w:rFonts w:ascii="宋体" w:hAnsi="宋体"/>
          <w:szCs w:val="21"/>
        </w:rPr>
        <w:t xml:space="preserve">5.3.2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另有约定外，每件能够独立运行的设备应整套装运。该设备安装、调试、考核和运行所使用的备品、备件、易损易耗件等应随相关的主机一齐装运。</w:t>
      </w:r>
    </w:p>
    <w:p w14:paraId="011999AD">
      <w:pPr>
        <w:tabs>
          <w:tab w:val="left" w:pos="1134"/>
        </w:tabs>
        <w:spacing w:line="360" w:lineRule="auto"/>
        <w:ind w:firstLine="420" w:firstLineChars="200"/>
        <w:rPr>
          <w:rFonts w:ascii="宋体" w:hAnsi="宋体"/>
          <w:szCs w:val="21"/>
        </w:rPr>
      </w:pPr>
      <w:r>
        <w:rPr>
          <w:rFonts w:ascii="宋体" w:hAnsi="宋体"/>
          <w:szCs w:val="21"/>
        </w:rPr>
        <w:t xml:space="preserve">5.3.3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另有约定外，卖方应在合同设备预计启运</w:t>
      </w:r>
      <w:r>
        <w:rPr>
          <w:rFonts w:ascii="宋体" w:hAnsi="宋体"/>
          <w:szCs w:val="21"/>
        </w:rPr>
        <w:t xml:space="preserve"> 7 </w:t>
      </w:r>
      <w:r>
        <w:rPr>
          <w:rFonts w:hint="eastAsia" w:ascii="宋体" w:hAnsi="宋体"/>
          <w:szCs w:val="21"/>
        </w:rPr>
        <w:t>日前，将合同设备名称、数量、箱数、总毛重、总体积（用</w:t>
      </w:r>
      <w:r>
        <w:rPr>
          <w:rFonts w:ascii="宋体" w:hAnsi="宋体"/>
          <w:szCs w:val="21"/>
        </w:rPr>
        <w:t xml:space="preserve"> m3 </w:t>
      </w:r>
      <w:r>
        <w:rPr>
          <w:rFonts w:hint="eastAsia" w:ascii="宋体" w:hAnsi="宋体"/>
          <w:szCs w:val="21"/>
        </w:rPr>
        <w:t>表示）、每箱尺寸（长</w:t>
      </w:r>
      <w:r>
        <w:rPr>
          <w:rFonts w:ascii="宋体" w:hAnsi="宋体"/>
          <w:szCs w:val="21"/>
        </w:rPr>
        <w:t>×</w:t>
      </w:r>
      <w:r>
        <w:rPr>
          <w:rFonts w:hint="eastAsia" w:ascii="宋体" w:hAnsi="宋体"/>
          <w:szCs w:val="21"/>
        </w:rPr>
        <w:t>宽</w:t>
      </w:r>
      <w:r>
        <w:rPr>
          <w:rFonts w:ascii="宋体" w:hAnsi="宋体"/>
          <w:szCs w:val="21"/>
        </w:rPr>
        <w:t>×</w:t>
      </w:r>
      <w:r>
        <w:rPr>
          <w:rFonts w:hint="eastAsia" w:ascii="宋体" w:hAnsi="宋体"/>
          <w:szCs w:val="21"/>
        </w:rPr>
        <w:t>高）、装运合同设备总金额、运输方式、预计交付日期和合同设备在运输、装卸、保管中的注意事项等预通知买方，并在合同设备启运后</w:t>
      </w:r>
      <w:r>
        <w:rPr>
          <w:rFonts w:ascii="宋体" w:hAnsi="宋体"/>
          <w:szCs w:val="21"/>
        </w:rPr>
        <w:t xml:space="preserve"> 24 </w:t>
      </w:r>
      <w:r>
        <w:rPr>
          <w:rFonts w:hint="eastAsia" w:ascii="宋体" w:hAnsi="宋体"/>
          <w:szCs w:val="21"/>
        </w:rPr>
        <w:t>小时之内正式通知买方。</w:t>
      </w:r>
    </w:p>
    <w:p w14:paraId="1E90431F">
      <w:pPr>
        <w:tabs>
          <w:tab w:val="left" w:pos="1134"/>
        </w:tabs>
        <w:spacing w:line="360" w:lineRule="auto"/>
        <w:ind w:firstLine="420" w:firstLineChars="200"/>
        <w:rPr>
          <w:rFonts w:ascii="宋体" w:hAnsi="宋体"/>
          <w:szCs w:val="21"/>
        </w:rPr>
      </w:pPr>
      <w:r>
        <w:rPr>
          <w:rFonts w:ascii="宋体" w:hAnsi="宋体"/>
          <w:szCs w:val="21"/>
        </w:rPr>
        <w:t xml:space="preserve">5.3.4 </w:t>
      </w:r>
      <w:r>
        <w:rPr>
          <w:rFonts w:hint="eastAsia" w:ascii="宋体" w:hAnsi="宋体"/>
          <w:szCs w:val="21"/>
        </w:rPr>
        <w:t>卖方在根据第</w:t>
      </w:r>
      <w:r>
        <w:rPr>
          <w:rFonts w:ascii="宋体" w:hAnsi="宋体"/>
          <w:szCs w:val="21"/>
        </w:rPr>
        <w:t xml:space="preserve"> 5.3.3 </w:t>
      </w:r>
      <w:r>
        <w:rPr>
          <w:rFonts w:hint="eastAsia" w:ascii="宋体" w:hAnsi="宋体"/>
          <w:szCs w:val="21"/>
        </w:rPr>
        <w:t>项进行通知时，如果发运合同设备中包括</w:t>
      </w:r>
      <w:r>
        <w:rPr>
          <w:rFonts w:hint="eastAsia" w:ascii="宋体" w:hAnsi="宋体" w:eastAsia="黑体"/>
          <w:b/>
          <w:szCs w:val="21"/>
        </w:rPr>
        <w:t>专用合同条款</w:t>
      </w:r>
      <w:r>
        <w:rPr>
          <w:rFonts w:hint="eastAsia" w:ascii="宋体" w:hAnsi="宋体"/>
          <w:szCs w:val="21"/>
        </w:rPr>
        <w:t>约定的超大超重包装，则卖方应将超大和（或）超重的每个包装箱的重量和尺寸通知买方；如果发运合同设备中包括易燃易爆物品、腐蚀物品、放射性物质等危险品，则危险品的品名、性质、在运输、装卸、保管方面的特殊要求、注意事项和处理意外情况的方法等，也应一并通知买方。</w:t>
      </w:r>
    </w:p>
    <w:p w14:paraId="11DA4496">
      <w:pPr>
        <w:tabs>
          <w:tab w:val="left" w:pos="1134"/>
        </w:tabs>
        <w:spacing w:line="360" w:lineRule="auto"/>
        <w:ind w:firstLine="420" w:firstLineChars="200"/>
        <w:rPr>
          <w:rFonts w:ascii="宋体" w:hAnsi="宋体"/>
          <w:szCs w:val="21"/>
        </w:rPr>
      </w:pPr>
      <w:r>
        <w:rPr>
          <w:rFonts w:ascii="宋体" w:hAnsi="宋体"/>
          <w:szCs w:val="21"/>
        </w:rPr>
        <w:t xml:space="preserve">5.4 </w:t>
      </w:r>
      <w:r>
        <w:rPr>
          <w:rFonts w:hint="eastAsia" w:ascii="宋体" w:hAnsi="宋体"/>
          <w:szCs w:val="21"/>
        </w:rPr>
        <w:t>交付</w:t>
      </w:r>
    </w:p>
    <w:p w14:paraId="17896560">
      <w:pPr>
        <w:tabs>
          <w:tab w:val="left" w:pos="1134"/>
        </w:tabs>
        <w:spacing w:line="360" w:lineRule="auto"/>
        <w:ind w:firstLine="420" w:firstLineChars="200"/>
        <w:rPr>
          <w:rFonts w:ascii="宋体" w:hAnsi="宋体"/>
          <w:szCs w:val="21"/>
        </w:rPr>
      </w:pPr>
      <w:r>
        <w:rPr>
          <w:rFonts w:ascii="宋体" w:hAnsi="宋体"/>
          <w:szCs w:val="21"/>
        </w:rPr>
        <w:t xml:space="preserve">5.4.1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根据合同约定的交付时间和批次在施工场地卸货后将合同设备交付给买方，买方对卖方交付的合同设备的外观及件数进行清点核验后应签发收货清单。买方签发收货清单不代表对合同设备的接受，双方还应按合同约定进行后续的检验和验收。</w:t>
      </w:r>
    </w:p>
    <w:p w14:paraId="6835C061">
      <w:pPr>
        <w:tabs>
          <w:tab w:val="left" w:pos="1134"/>
        </w:tabs>
        <w:spacing w:line="360" w:lineRule="auto"/>
        <w:ind w:firstLine="420" w:firstLineChars="200"/>
        <w:rPr>
          <w:rFonts w:ascii="宋体" w:hAnsi="宋体"/>
          <w:szCs w:val="21"/>
        </w:rPr>
      </w:pPr>
      <w:r>
        <w:rPr>
          <w:rFonts w:ascii="宋体" w:hAnsi="宋体"/>
          <w:szCs w:val="21"/>
        </w:rPr>
        <w:t xml:space="preserve">5.4.2 </w:t>
      </w:r>
      <w:r>
        <w:rPr>
          <w:rFonts w:hint="eastAsia" w:ascii="宋体" w:hAnsi="宋体"/>
          <w:szCs w:val="21"/>
        </w:rPr>
        <w:t>合同设备的所有权和风险自交付时起由卖方转移至买方，合同设备交付给买方之前包括运输在内的所有风险均由卖方承担。</w:t>
      </w:r>
    </w:p>
    <w:p w14:paraId="401AD38E">
      <w:pPr>
        <w:tabs>
          <w:tab w:val="left" w:pos="1134"/>
        </w:tabs>
        <w:spacing w:line="360" w:lineRule="auto"/>
        <w:ind w:firstLine="420" w:firstLineChars="200"/>
        <w:rPr>
          <w:rFonts w:ascii="宋体" w:hAnsi="宋体"/>
          <w:szCs w:val="21"/>
        </w:rPr>
      </w:pPr>
      <w:r>
        <w:rPr>
          <w:rFonts w:ascii="宋体" w:hAnsi="宋体"/>
          <w:szCs w:val="21"/>
        </w:rPr>
        <w:t xml:space="preserve">5.4.3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另有约定外，买方如果发现技术资料存在短缺和（或）损坏，卖方应在收到买方的通知后</w:t>
      </w:r>
      <w:r>
        <w:rPr>
          <w:rFonts w:ascii="宋体" w:hAnsi="宋体"/>
          <w:szCs w:val="21"/>
        </w:rPr>
        <w:t xml:space="preserve"> 7 </w:t>
      </w:r>
      <w:r>
        <w:rPr>
          <w:rFonts w:hint="eastAsia" w:ascii="宋体" w:hAnsi="宋体"/>
          <w:szCs w:val="21"/>
        </w:rPr>
        <w:t>日内免费补齐短缺和（或）损坏的部分。如果买方发现卖方提供的技术资料有误，卖方应在收到买方通知后</w:t>
      </w:r>
      <w:r>
        <w:rPr>
          <w:rFonts w:ascii="宋体" w:hAnsi="宋体"/>
          <w:szCs w:val="21"/>
        </w:rPr>
        <w:t xml:space="preserve"> 7 </w:t>
      </w:r>
      <w:r>
        <w:rPr>
          <w:rFonts w:hint="eastAsia" w:ascii="宋体" w:hAnsi="宋体"/>
          <w:szCs w:val="21"/>
        </w:rPr>
        <w:t>日内免费替换。如由于买方原因导致技术资料丢失和（或）损坏，卖方应在收到买方的通知后</w:t>
      </w:r>
      <w:r>
        <w:rPr>
          <w:rFonts w:ascii="宋体" w:hAnsi="宋体"/>
          <w:szCs w:val="21"/>
        </w:rPr>
        <w:t xml:space="preserve"> 7 </w:t>
      </w:r>
      <w:r>
        <w:rPr>
          <w:rFonts w:hint="eastAsia" w:ascii="宋体" w:hAnsi="宋体"/>
          <w:szCs w:val="21"/>
        </w:rPr>
        <w:t>日内补齐丢失和（或）损坏的部分，但买方应向卖方支付合理的复制、邮寄费用。</w:t>
      </w:r>
    </w:p>
    <w:p w14:paraId="7E9BF9ED">
      <w:pPr>
        <w:pStyle w:val="97"/>
        <w:keepNext w:val="0"/>
        <w:keepLines w:val="0"/>
        <w:tabs>
          <w:tab w:val="left" w:pos="567"/>
        </w:tabs>
        <w:spacing w:before="156" w:after="156"/>
        <w:rPr>
          <w:rFonts w:eastAsia="宋体" w:cs="Times New Roman"/>
          <w:b/>
          <w:bCs/>
          <w:sz w:val="32"/>
          <w:szCs w:val="32"/>
        </w:rPr>
      </w:pPr>
      <w:bookmarkStart w:id="654" w:name="_Toc10483"/>
      <w:bookmarkStart w:id="655" w:name="_Toc8331"/>
      <w:bookmarkStart w:id="656" w:name="_Toc24391"/>
      <w:bookmarkStart w:id="657" w:name="_Toc2881585"/>
      <w:bookmarkStart w:id="658" w:name="_Toc20469"/>
      <w:bookmarkStart w:id="659" w:name="_Toc19740"/>
      <w:bookmarkStart w:id="660" w:name="_Toc2751"/>
      <w:r>
        <w:rPr>
          <w:rFonts w:hint="eastAsia" w:eastAsia="宋体" w:cs="Times New Roman"/>
          <w:b/>
          <w:bCs/>
          <w:sz w:val="32"/>
          <w:szCs w:val="32"/>
        </w:rPr>
        <w:t>6.</w:t>
      </w:r>
      <w:bookmarkStart w:id="661" w:name="_Hlk2544388"/>
      <w:r>
        <w:rPr>
          <w:rFonts w:hint="eastAsia" w:eastAsia="宋体" w:cs="Times New Roman"/>
          <w:b/>
          <w:bCs/>
          <w:sz w:val="32"/>
          <w:szCs w:val="32"/>
        </w:rPr>
        <w:t>开箱检验、安装、调试、考核、验收</w:t>
      </w:r>
      <w:bookmarkEnd w:id="654"/>
      <w:bookmarkEnd w:id="655"/>
      <w:bookmarkEnd w:id="656"/>
      <w:bookmarkEnd w:id="657"/>
      <w:bookmarkEnd w:id="658"/>
      <w:bookmarkEnd w:id="659"/>
      <w:bookmarkEnd w:id="660"/>
      <w:bookmarkEnd w:id="661"/>
    </w:p>
    <w:p w14:paraId="63126F1D">
      <w:pPr>
        <w:tabs>
          <w:tab w:val="left" w:pos="1134"/>
        </w:tabs>
        <w:spacing w:line="360" w:lineRule="auto"/>
        <w:ind w:firstLine="420" w:firstLineChars="200"/>
        <w:rPr>
          <w:rFonts w:ascii="宋体" w:hAnsi="宋体"/>
          <w:szCs w:val="21"/>
        </w:rPr>
      </w:pPr>
      <w:bookmarkStart w:id="662" w:name="_Hlk2544430"/>
      <w:r>
        <w:rPr>
          <w:rFonts w:ascii="宋体" w:hAnsi="宋体"/>
          <w:szCs w:val="21"/>
        </w:rPr>
        <w:t xml:space="preserve">6.1 </w:t>
      </w:r>
      <w:r>
        <w:rPr>
          <w:rFonts w:hint="eastAsia" w:ascii="宋体" w:hAnsi="宋体"/>
          <w:szCs w:val="21"/>
        </w:rPr>
        <w:t>开箱检验</w:t>
      </w:r>
    </w:p>
    <w:p w14:paraId="0F19B53B">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合同设备交付后应进行开箱检验，即合同设备数量及外观检验。开箱检验在</w:t>
      </w:r>
      <w:r>
        <w:rPr>
          <w:rFonts w:hint="eastAsia" w:ascii="宋体" w:hAnsi="宋体" w:eastAsia="黑体"/>
          <w:b/>
          <w:szCs w:val="21"/>
        </w:rPr>
        <w:t>专用合同条款</w:t>
      </w:r>
      <w:r>
        <w:rPr>
          <w:rFonts w:hint="eastAsia" w:ascii="宋体" w:hAnsi="宋体"/>
          <w:szCs w:val="21"/>
        </w:rPr>
        <w:t>约定的下列任一种时间进行：</w:t>
      </w:r>
    </w:p>
    <w:p w14:paraId="64C31F7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w:t>
      </w:r>
      <w:bookmarkStart w:id="663" w:name="_Hlk2544566"/>
      <w:r>
        <w:rPr>
          <w:rFonts w:hint="eastAsia" w:ascii="宋体" w:hAnsi="宋体"/>
          <w:szCs w:val="21"/>
        </w:rPr>
        <w:t>合同设备交付时</w:t>
      </w:r>
      <w:bookmarkEnd w:id="663"/>
      <w:r>
        <w:rPr>
          <w:rFonts w:hint="eastAsia" w:ascii="宋体" w:hAnsi="宋体"/>
          <w:szCs w:val="21"/>
        </w:rPr>
        <w:t>；</w:t>
      </w:r>
    </w:p>
    <w:p w14:paraId="390E19C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w:t>
      </w:r>
      <w:bookmarkStart w:id="664" w:name="_Hlk2544586"/>
      <w:r>
        <w:rPr>
          <w:rFonts w:hint="eastAsia" w:ascii="宋体" w:hAnsi="宋体"/>
          <w:szCs w:val="21"/>
        </w:rPr>
        <w:t>合同设备交付后的一定期限内</w:t>
      </w:r>
      <w:bookmarkEnd w:id="664"/>
      <w:r>
        <w:rPr>
          <w:rFonts w:hint="eastAsia" w:ascii="宋体" w:hAnsi="宋体"/>
          <w:szCs w:val="21"/>
        </w:rPr>
        <w:t>。如开箱检验不在合同设备交付时进行，买方应在开箱检验</w:t>
      </w:r>
      <w:r>
        <w:rPr>
          <w:rFonts w:ascii="宋体" w:hAnsi="宋体"/>
          <w:szCs w:val="21"/>
        </w:rPr>
        <w:t xml:space="preserve"> 3 </w:t>
      </w:r>
      <w:r>
        <w:rPr>
          <w:rFonts w:hint="eastAsia" w:ascii="宋体" w:hAnsi="宋体"/>
          <w:szCs w:val="21"/>
        </w:rPr>
        <w:t>日前将开箱检验的时间和地点通知卖方。</w:t>
      </w:r>
    </w:p>
    <w:bookmarkEnd w:id="662"/>
    <w:p w14:paraId="25C5E9EB">
      <w:pPr>
        <w:tabs>
          <w:tab w:val="left" w:pos="1134"/>
        </w:tabs>
        <w:spacing w:line="360" w:lineRule="auto"/>
        <w:ind w:firstLine="420" w:firstLineChars="200"/>
        <w:rPr>
          <w:rFonts w:ascii="宋体" w:hAnsi="宋体"/>
          <w:szCs w:val="21"/>
        </w:rPr>
      </w:pPr>
      <w:r>
        <w:rPr>
          <w:rFonts w:ascii="宋体" w:hAnsi="宋体"/>
          <w:szCs w:val="21"/>
        </w:rPr>
        <w:t xml:space="preserve">6.1.2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另有约定外，合同设备的开箱检验应在施工场地进行。</w:t>
      </w:r>
    </w:p>
    <w:p w14:paraId="650E6DAB">
      <w:pPr>
        <w:tabs>
          <w:tab w:val="left" w:pos="1134"/>
        </w:tabs>
        <w:spacing w:line="360" w:lineRule="auto"/>
        <w:ind w:firstLine="420" w:firstLineChars="200"/>
        <w:rPr>
          <w:rFonts w:ascii="宋体" w:hAnsi="宋体"/>
          <w:szCs w:val="21"/>
        </w:rPr>
      </w:pPr>
      <w:r>
        <w:rPr>
          <w:rFonts w:ascii="宋体" w:hAnsi="宋体"/>
          <w:szCs w:val="21"/>
        </w:rPr>
        <w:t xml:space="preserve">6.1.3 </w:t>
      </w:r>
      <w:r>
        <w:rPr>
          <w:rFonts w:hint="eastAsia" w:ascii="宋体" w:hAnsi="宋体"/>
          <w:szCs w:val="21"/>
        </w:rPr>
        <w:t>开箱检验由买卖双方共同进行，卖方应自负费用派遣代表到场参加开箱检验。</w:t>
      </w:r>
    </w:p>
    <w:p w14:paraId="1914EF78">
      <w:pPr>
        <w:tabs>
          <w:tab w:val="left" w:pos="1134"/>
        </w:tabs>
        <w:spacing w:line="360" w:lineRule="auto"/>
        <w:ind w:firstLine="420" w:firstLineChars="200"/>
        <w:rPr>
          <w:rFonts w:ascii="宋体" w:hAnsi="宋体"/>
          <w:szCs w:val="21"/>
        </w:rPr>
      </w:pPr>
      <w:r>
        <w:rPr>
          <w:rFonts w:ascii="宋体" w:hAnsi="宋体"/>
          <w:szCs w:val="21"/>
        </w:rPr>
        <w:t xml:space="preserve">6.1.4 </w:t>
      </w:r>
      <w:r>
        <w:rPr>
          <w:rFonts w:hint="eastAsia" w:ascii="宋体" w:hAnsi="宋体"/>
          <w:szCs w:val="21"/>
        </w:rPr>
        <w:t>在开箱检验中，买方和卖方应共同签署数量、外观检验报告，报告应列明检验结果，包括检验合格或发现的任何短缺、损坏或其它与合同约定不符的情形。</w:t>
      </w:r>
    </w:p>
    <w:p w14:paraId="4D0463A0">
      <w:pPr>
        <w:tabs>
          <w:tab w:val="left" w:pos="1134"/>
        </w:tabs>
        <w:spacing w:line="360" w:lineRule="auto"/>
        <w:ind w:firstLine="420" w:firstLineChars="200"/>
        <w:rPr>
          <w:rFonts w:ascii="宋体" w:hAnsi="宋体"/>
          <w:szCs w:val="21"/>
        </w:rPr>
      </w:pPr>
      <w:r>
        <w:rPr>
          <w:rFonts w:ascii="宋体" w:hAnsi="宋体"/>
          <w:szCs w:val="21"/>
        </w:rPr>
        <w:t xml:space="preserve">6.1.5 </w:t>
      </w:r>
      <w:r>
        <w:rPr>
          <w:rFonts w:hint="eastAsia" w:ascii="宋体" w:hAnsi="宋体"/>
          <w:szCs w:val="21"/>
        </w:rPr>
        <w:t>如果卖方代表未能依约或按买方通知到场参加开箱检验，买方有权在卖方代表未在场的情况下进行开箱检验，并签署数量、外观检验报告，对于该检验报告和检验结果，视为卖方已接受，但卖方确有合理理由且事先与买方协商推迟开箱检验时间的除外。</w:t>
      </w:r>
    </w:p>
    <w:p w14:paraId="3A8D5DA2">
      <w:pPr>
        <w:tabs>
          <w:tab w:val="left" w:pos="1134"/>
        </w:tabs>
        <w:spacing w:line="360" w:lineRule="auto"/>
        <w:ind w:firstLine="420" w:firstLineChars="200"/>
        <w:rPr>
          <w:rFonts w:ascii="宋体" w:hAnsi="宋体"/>
          <w:szCs w:val="21"/>
        </w:rPr>
      </w:pPr>
      <w:r>
        <w:rPr>
          <w:rFonts w:ascii="宋体" w:hAnsi="宋体"/>
          <w:szCs w:val="21"/>
        </w:rPr>
        <w:t xml:space="preserve">6.1.6 </w:t>
      </w:r>
      <w:r>
        <w:rPr>
          <w:rFonts w:hint="eastAsia" w:ascii="宋体" w:hAnsi="宋体"/>
          <w:szCs w:val="21"/>
        </w:rPr>
        <w:t>如开箱检验不在合同设备交付时进行，则合同设备交付以后到开箱检验之前，应由买方负责按交货时外包装原样对合同设备进行妥善保管。除</w:t>
      </w:r>
      <w:r>
        <w:rPr>
          <w:rFonts w:hint="eastAsia" w:ascii="宋体" w:hAnsi="宋体" w:eastAsia="黑体"/>
          <w:b/>
          <w:szCs w:val="21"/>
        </w:rPr>
        <w:t>专用合同条款</w:t>
      </w:r>
      <w:r>
        <w:rPr>
          <w:rFonts w:hint="eastAsia" w:ascii="宋体" w:hAnsi="宋体"/>
          <w:szCs w:val="21"/>
        </w:rPr>
        <w:t>另有约定外，在开箱检验时如果合同设备外包装与交货时一致，则开箱检验中发现的合同设备的短缺、损坏或其它与合同约定不符的情形，由卖方负责，卖方应补齐、更换及采取其他补救措施。如果在开箱检验时合同设备外包装不是交货时的包装或虽是交货时的包装但与交货时不一致且出现很可能导致合同设备短缺或损坏的包装破损，则开箱检验中发现合同设备短缺、损坏或其它与合同约定不符的情形的风险，由买方承担，但买方能够证明是由于卖方原因或合同设备交付前非买方原因</w:t>
      </w:r>
      <w:r>
        <w:rPr>
          <w:rFonts w:ascii="宋体" w:hAnsi="宋体"/>
          <w:szCs w:val="21"/>
        </w:rPr>
        <w:t xml:space="preserve"> </w:t>
      </w:r>
      <w:r>
        <w:rPr>
          <w:rFonts w:hint="eastAsia" w:ascii="宋体" w:hAnsi="宋体"/>
          <w:szCs w:val="21"/>
        </w:rPr>
        <w:t>导致的除外。</w:t>
      </w:r>
    </w:p>
    <w:p w14:paraId="6FAC8255">
      <w:pPr>
        <w:tabs>
          <w:tab w:val="left" w:pos="1134"/>
        </w:tabs>
        <w:spacing w:line="360" w:lineRule="auto"/>
        <w:ind w:firstLine="420" w:firstLineChars="200"/>
        <w:rPr>
          <w:rFonts w:ascii="宋体" w:hAnsi="宋体"/>
          <w:szCs w:val="21"/>
        </w:rPr>
      </w:pPr>
      <w:r>
        <w:rPr>
          <w:rFonts w:ascii="宋体" w:hAnsi="宋体"/>
          <w:szCs w:val="21"/>
        </w:rPr>
        <w:t xml:space="preserve">6.1.7 </w:t>
      </w:r>
      <w:r>
        <w:rPr>
          <w:rFonts w:hint="eastAsia" w:ascii="宋体" w:hAnsi="宋体"/>
          <w:szCs w:val="21"/>
        </w:rPr>
        <w:t>如双方在</w:t>
      </w:r>
      <w:r>
        <w:rPr>
          <w:rFonts w:hint="eastAsia" w:ascii="宋体" w:hAnsi="宋体" w:eastAsia="黑体"/>
          <w:b/>
          <w:szCs w:val="21"/>
        </w:rPr>
        <w:t>专用合同条款</w:t>
      </w:r>
      <w:r>
        <w:rPr>
          <w:rFonts w:hint="eastAsia" w:ascii="宋体" w:hAnsi="宋体"/>
          <w:szCs w:val="21"/>
        </w:rPr>
        <w:t>和（或）供货要求等合同文件中约定由第三方检测机构对合同设备进行开箱检验或在开箱检验过程中另行约定由第三方检验的，则第三方检测机构的检验结果对双方均具有约束力。</w:t>
      </w:r>
    </w:p>
    <w:p w14:paraId="1EF17DAA">
      <w:pPr>
        <w:tabs>
          <w:tab w:val="left" w:pos="1134"/>
        </w:tabs>
        <w:spacing w:line="360" w:lineRule="auto"/>
        <w:ind w:firstLine="420" w:firstLineChars="200"/>
        <w:rPr>
          <w:rFonts w:ascii="宋体" w:hAnsi="宋体"/>
          <w:szCs w:val="21"/>
        </w:rPr>
      </w:pPr>
      <w:r>
        <w:rPr>
          <w:rFonts w:ascii="宋体" w:hAnsi="宋体"/>
          <w:szCs w:val="21"/>
        </w:rPr>
        <w:t xml:space="preserve">6.1.8 </w:t>
      </w:r>
      <w:r>
        <w:rPr>
          <w:rFonts w:hint="eastAsia" w:ascii="宋体" w:hAnsi="宋体"/>
          <w:szCs w:val="21"/>
        </w:rPr>
        <w:t>开箱检验的检验结果不能对抗在合同设备的安装、调试、考核、验收中及质量保证期内发现的合同设备质量问题，也不能免除或影响卖方依照合同约定对买方负有的包括合同设备质量在内的任何义务或责任。</w:t>
      </w:r>
    </w:p>
    <w:p w14:paraId="751EE1F9">
      <w:pPr>
        <w:tabs>
          <w:tab w:val="left" w:pos="1134"/>
        </w:tabs>
        <w:spacing w:line="360" w:lineRule="auto"/>
        <w:ind w:firstLine="420" w:firstLineChars="200"/>
        <w:rPr>
          <w:rFonts w:ascii="宋体" w:hAnsi="宋体"/>
          <w:szCs w:val="21"/>
        </w:rPr>
      </w:pPr>
      <w:r>
        <w:rPr>
          <w:rFonts w:ascii="宋体" w:hAnsi="宋体"/>
          <w:szCs w:val="21"/>
        </w:rPr>
        <w:t xml:space="preserve">6.2 </w:t>
      </w:r>
      <w:bookmarkStart w:id="665" w:name="_Hlk2545099"/>
      <w:r>
        <w:rPr>
          <w:rFonts w:hint="eastAsia" w:ascii="宋体" w:hAnsi="宋体"/>
          <w:szCs w:val="21"/>
        </w:rPr>
        <w:t>安装、调试</w:t>
      </w:r>
    </w:p>
    <w:p w14:paraId="19B82FB2">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开箱检验完成后，双方应对合同设备进行安装、调试，以使其具备考核的状态。安装、调试应按照</w:t>
      </w:r>
      <w:r>
        <w:rPr>
          <w:rFonts w:hint="eastAsia" w:ascii="宋体" w:hAnsi="宋体" w:eastAsia="黑体"/>
          <w:b/>
          <w:szCs w:val="21"/>
        </w:rPr>
        <w:t>专用合同条款</w:t>
      </w:r>
      <w:r>
        <w:rPr>
          <w:rFonts w:hint="eastAsia" w:ascii="宋体" w:hAnsi="宋体"/>
          <w:szCs w:val="21"/>
        </w:rPr>
        <w:t>约定的下列任一种方式进行：</w:t>
      </w:r>
    </w:p>
    <w:p w14:paraId="6A24C9FB">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6E40D9D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）买方或买方安排第三方负责合同设备的安装、调试工作，卖方提供技术服务。除</w:t>
      </w:r>
      <w:r>
        <w:rPr>
          <w:rFonts w:hint="eastAsia" w:ascii="宋体" w:hAnsi="宋体" w:eastAsia="黑体"/>
          <w:b/>
          <w:szCs w:val="21"/>
        </w:rPr>
        <w:t>专用合同条款</w:t>
      </w:r>
      <w:r>
        <w:rPr>
          <w:rFonts w:hint="eastAsia" w:ascii="宋体" w:hAnsi="宋体"/>
          <w:szCs w:val="21"/>
        </w:rPr>
        <w:t>另有约定外，在安装、调试过程中，如由于买方或买方安排的第三方未按照卖方现场服务人员的指导导致安装、调试不成功和（或）出现合同设备损坏，买方应自行承担责任。如在买方或买方安排的第三方按照卖方现场服务人员的指导进行安装、调试的情况下出现安装、调试不成功和（或）造成合同设备损坏的情况，卖方应承担责任。</w:t>
      </w:r>
    </w:p>
    <w:bookmarkEnd w:id="665"/>
    <w:p w14:paraId="430F7847">
      <w:pPr>
        <w:tabs>
          <w:tab w:val="left" w:pos="1134"/>
        </w:tabs>
        <w:spacing w:line="360" w:lineRule="auto"/>
        <w:ind w:firstLine="420" w:firstLineChars="200"/>
        <w:rPr>
          <w:rFonts w:ascii="宋体" w:hAnsi="宋体"/>
          <w:szCs w:val="21"/>
        </w:rPr>
      </w:pPr>
      <w:r>
        <w:rPr>
          <w:rFonts w:ascii="宋体" w:hAnsi="宋体"/>
          <w:szCs w:val="21"/>
        </w:rPr>
        <w:t xml:space="preserve">6.2.2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w:t>
      </w:r>
      <w:bookmarkStart w:id="666" w:name="_Hlk2545657"/>
      <w:r>
        <w:rPr>
          <w:rFonts w:hint="eastAsia" w:ascii="宋体" w:hAnsi="宋体"/>
          <w:szCs w:val="21"/>
        </w:rPr>
        <w:t>安装、调试中合同设备运行需要的用水、用电、其他动力和原材料（如需要）等均由买方承担</w:t>
      </w:r>
      <w:bookmarkEnd w:id="666"/>
      <w:r>
        <w:rPr>
          <w:rFonts w:hint="eastAsia" w:ascii="宋体" w:hAnsi="宋体"/>
          <w:szCs w:val="21"/>
        </w:rPr>
        <w:t>。</w:t>
      </w:r>
    </w:p>
    <w:p w14:paraId="59109676">
      <w:pPr>
        <w:tabs>
          <w:tab w:val="left" w:pos="1134"/>
        </w:tabs>
        <w:spacing w:line="360" w:lineRule="auto"/>
        <w:ind w:firstLine="420" w:firstLineChars="200"/>
        <w:rPr>
          <w:rFonts w:ascii="宋体" w:hAnsi="宋体"/>
          <w:szCs w:val="21"/>
        </w:rPr>
      </w:pPr>
      <w:r>
        <w:rPr>
          <w:rFonts w:ascii="宋体" w:hAnsi="宋体"/>
          <w:szCs w:val="21"/>
        </w:rPr>
        <w:t xml:space="preserve">6.2.3 </w:t>
      </w:r>
      <w:r>
        <w:rPr>
          <w:rFonts w:hint="eastAsia" w:ascii="宋体" w:hAnsi="宋体"/>
          <w:szCs w:val="21"/>
        </w:rPr>
        <w:t>双方应对合同设备的安装、调试情况共同及时进行记录。</w:t>
      </w:r>
    </w:p>
    <w:p w14:paraId="65E6F03A">
      <w:pPr>
        <w:tabs>
          <w:tab w:val="left" w:pos="1134"/>
        </w:tabs>
        <w:spacing w:line="360" w:lineRule="auto"/>
        <w:ind w:firstLine="420" w:firstLineChars="200"/>
        <w:rPr>
          <w:rFonts w:ascii="宋体" w:hAnsi="宋体"/>
          <w:szCs w:val="21"/>
        </w:rPr>
      </w:pPr>
      <w:r>
        <w:rPr>
          <w:rFonts w:ascii="宋体" w:hAnsi="宋体"/>
          <w:szCs w:val="21"/>
        </w:rPr>
        <w:t xml:space="preserve">6.3 </w:t>
      </w:r>
      <w:r>
        <w:rPr>
          <w:rFonts w:hint="eastAsia" w:ascii="宋体" w:hAnsi="宋体"/>
          <w:szCs w:val="21"/>
        </w:rPr>
        <w:t>考核</w:t>
      </w:r>
    </w:p>
    <w:p w14:paraId="740534F6">
      <w:pPr>
        <w:tabs>
          <w:tab w:val="left" w:pos="1134"/>
        </w:tabs>
        <w:spacing w:line="360" w:lineRule="auto"/>
        <w:ind w:firstLine="420" w:firstLineChars="200"/>
        <w:rPr>
          <w:rFonts w:ascii="宋体" w:hAnsi="宋体"/>
          <w:szCs w:val="21"/>
        </w:rPr>
      </w:pPr>
      <w:r>
        <w:rPr>
          <w:rFonts w:ascii="宋体" w:hAnsi="宋体"/>
          <w:szCs w:val="21"/>
        </w:rPr>
        <w:t xml:space="preserve">6.3.1 </w:t>
      </w:r>
      <w:r>
        <w:rPr>
          <w:rFonts w:hint="eastAsia" w:ascii="宋体" w:hAnsi="宋体"/>
          <w:szCs w:val="21"/>
        </w:rPr>
        <w:t>安装、调试完成后，双方应对合同设备进行考核，以确定合同设备是否达到合同约定的技术性能考核指标。除</w:t>
      </w:r>
      <w:r>
        <w:rPr>
          <w:rFonts w:hint="eastAsia" w:ascii="宋体" w:hAnsi="宋体" w:eastAsia="黑体"/>
          <w:b/>
          <w:szCs w:val="21"/>
        </w:rPr>
        <w:t>专用合同条款</w:t>
      </w:r>
      <w:r>
        <w:rPr>
          <w:rFonts w:hint="eastAsia" w:ascii="宋体" w:hAnsi="宋体"/>
          <w:szCs w:val="21"/>
        </w:rPr>
        <w:t>另有约定外，考核中合同设备运行需要的用水、用电、其他动力和原材料（如需要）等均由买方承担。</w:t>
      </w:r>
    </w:p>
    <w:p w14:paraId="623A7532">
      <w:pPr>
        <w:tabs>
          <w:tab w:val="left" w:pos="1134"/>
        </w:tabs>
        <w:spacing w:line="360" w:lineRule="auto"/>
        <w:ind w:firstLine="420" w:firstLineChars="200"/>
        <w:rPr>
          <w:rFonts w:ascii="宋体" w:hAnsi="宋体"/>
          <w:szCs w:val="21"/>
        </w:rPr>
      </w:pPr>
      <w:r>
        <w:rPr>
          <w:rFonts w:ascii="宋体" w:hAnsi="宋体"/>
          <w:szCs w:val="21"/>
        </w:rPr>
        <w:t xml:space="preserve">6.3.2 </w:t>
      </w:r>
      <w:r>
        <w:rPr>
          <w:rFonts w:hint="eastAsia" w:ascii="宋体" w:hAnsi="宋体"/>
          <w:szCs w:val="21"/>
        </w:rPr>
        <w:t>如由于卖方原因合同设备在考核中未能达到合同约定的技术性能考核指标，则卖方应在双方同意的期限内采取措施消除合同设备中存在的缺陷，并在缺陷消除以后，尽快进行再次考核。</w:t>
      </w:r>
    </w:p>
    <w:p w14:paraId="70F9DD06">
      <w:pPr>
        <w:tabs>
          <w:tab w:val="left" w:pos="1134"/>
        </w:tabs>
        <w:spacing w:line="360" w:lineRule="auto"/>
        <w:ind w:firstLine="420" w:firstLineChars="200"/>
        <w:rPr>
          <w:rFonts w:ascii="宋体" w:hAnsi="宋体"/>
          <w:szCs w:val="21"/>
        </w:rPr>
      </w:pPr>
      <w:r>
        <w:rPr>
          <w:rFonts w:ascii="宋体" w:hAnsi="宋体"/>
          <w:szCs w:val="21"/>
        </w:rPr>
        <w:t xml:space="preserve">6.3.3 </w:t>
      </w:r>
      <w:r>
        <w:rPr>
          <w:rFonts w:hint="eastAsia" w:ascii="宋体" w:hAnsi="宋体"/>
          <w:szCs w:val="21"/>
        </w:rPr>
        <w:t>由于卖方原因未能达到技术性能考核指标时，为卖方进行考核的机会不超过三次。如果由于卖方原因，三次考核均未能达到合同约定的技术性能考核指标，则买卖双方应就合同的后续履行进行协商，协商不成的，买方有权解除合同。但如合同中约定了或双方在考核中另行达成了合同设备的最低技术性能考核指标，且合同设备达到了最低技术性能考核指标的，视为合同设备已达到技术性能考核指标，买方无权解除合同，且应接受合同设备，但卖方应按</w:t>
      </w:r>
      <w:r>
        <w:rPr>
          <w:rFonts w:hint="eastAsia" w:ascii="宋体" w:hAnsi="宋体" w:eastAsia="黑体"/>
          <w:b/>
          <w:szCs w:val="21"/>
        </w:rPr>
        <w:t>专用合同条款</w:t>
      </w:r>
      <w:r>
        <w:rPr>
          <w:rFonts w:hint="eastAsia" w:ascii="宋体" w:hAnsi="宋体"/>
          <w:szCs w:val="21"/>
        </w:rPr>
        <w:t>的约定进行减价或向买方支付补偿金。</w:t>
      </w:r>
    </w:p>
    <w:p w14:paraId="1837A3D5">
      <w:pPr>
        <w:tabs>
          <w:tab w:val="left" w:pos="1134"/>
        </w:tabs>
        <w:spacing w:line="360" w:lineRule="auto"/>
        <w:ind w:firstLine="420" w:firstLineChars="200"/>
        <w:rPr>
          <w:rFonts w:ascii="宋体" w:hAnsi="宋体"/>
          <w:szCs w:val="21"/>
        </w:rPr>
      </w:pPr>
      <w:r>
        <w:rPr>
          <w:rFonts w:ascii="宋体" w:hAnsi="宋体"/>
          <w:szCs w:val="21"/>
        </w:rPr>
        <w:t xml:space="preserve">6.3.4 </w:t>
      </w:r>
      <w:r>
        <w:rPr>
          <w:rFonts w:hint="eastAsia" w:ascii="宋体" w:hAnsi="宋体"/>
          <w:szCs w:val="21"/>
        </w:rPr>
        <w:t>如由于买方原因合同设备在考核中未能达到合同约定的技术性能考核指标，则卖方应协助买方安排再次考核。由于买方原因未能达到技术性能考核指标时，为买方进行考核的机会不超过三次。</w:t>
      </w:r>
    </w:p>
    <w:p w14:paraId="6EC9FD3F">
      <w:pPr>
        <w:tabs>
          <w:tab w:val="left" w:pos="1134"/>
        </w:tabs>
        <w:spacing w:line="360" w:lineRule="auto"/>
        <w:ind w:firstLine="420" w:firstLineChars="200"/>
        <w:rPr>
          <w:rFonts w:ascii="宋体" w:hAnsi="宋体"/>
          <w:szCs w:val="21"/>
        </w:rPr>
      </w:pPr>
      <w:r>
        <w:rPr>
          <w:rFonts w:ascii="宋体" w:hAnsi="宋体"/>
          <w:szCs w:val="21"/>
        </w:rPr>
        <w:t xml:space="preserve">6.3.5 </w:t>
      </w:r>
      <w:r>
        <w:rPr>
          <w:rFonts w:hint="eastAsia" w:ascii="宋体" w:hAnsi="宋体"/>
          <w:szCs w:val="21"/>
        </w:rPr>
        <w:t>考核期间，双方应及时共同记录合同设备的用水、用电、其他动力和原材料（如有）的使用及设备考核情况。对于未达到技术性能考核指标的，应如实记录设备表现、可能原因及处理情况等。</w:t>
      </w:r>
    </w:p>
    <w:p w14:paraId="77A081A4">
      <w:pPr>
        <w:tabs>
          <w:tab w:val="left" w:pos="1134"/>
        </w:tabs>
        <w:spacing w:line="360" w:lineRule="auto"/>
        <w:ind w:firstLine="420" w:firstLineChars="200"/>
        <w:rPr>
          <w:rFonts w:ascii="宋体" w:hAnsi="宋体"/>
          <w:szCs w:val="21"/>
        </w:rPr>
      </w:pPr>
      <w:r>
        <w:rPr>
          <w:rFonts w:ascii="宋体" w:hAnsi="宋体"/>
          <w:szCs w:val="21"/>
        </w:rPr>
        <w:t xml:space="preserve">6.4 </w:t>
      </w:r>
      <w:r>
        <w:rPr>
          <w:rFonts w:hint="eastAsia" w:ascii="宋体" w:hAnsi="宋体"/>
          <w:szCs w:val="21"/>
        </w:rPr>
        <w:t>验收</w:t>
      </w:r>
    </w:p>
    <w:p w14:paraId="7483420E">
      <w:pPr>
        <w:tabs>
          <w:tab w:val="left" w:pos="1134"/>
        </w:tabs>
        <w:spacing w:line="360" w:lineRule="auto"/>
        <w:ind w:firstLine="420" w:firstLineChars="200"/>
        <w:rPr>
          <w:rFonts w:ascii="宋体" w:hAnsi="宋体"/>
          <w:szCs w:val="21"/>
        </w:rPr>
      </w:pPr>
      <w:r>
        <w:rPr>
          <w:rFonts w:ascii="宋体" w:hAnsi="宋体"/>
          <w:szCs w:val="21"/>
        </w:rPr>
        <w:t xml:space="preserve">6.4.1 </w:t>
      </w:r>
      <w:r>
        <w:rPr>
          <w:rFonts w:hint="eastAsia" w:ascii="宋体" w:hAnsi="宋体"/>
          <w:szCs w:val="21"/>
        </w:rPr>
        <w:t xml:space="preserve">如合同设备在考核中达到或视为达到技术性能考核指标，则买卖双方应在考核完成后 </w:t>
      </w:r>
      <w:r>
        <w:rPr>
          <w:rFonts w:ascii="宋体" w:hAnsi="宋体"/>
          <w:szCs w:val="21"/>
        </w:rPr>
        <w:t xml:space="preserve">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另行约定的时间内签署合同设备验收证书一式二份，双方各持一份。验收日期应为合同设备达到或视为达到技术性能考核指标的日期。</w:t>
      </w:r>
    </w:p>
    <w:p w14:paraId="5CB1AE10">
      <w:pPr>
        <w:tabs>
          <w:tab w:val="left" w:pos="1134"/>
        </w:tabs>
        <w:spacing w:line="360" w:lineRule="auto"/>
        <w:ind w:firstLine="420" w:firstLineChars="200"/>
        <w:rPr>
          <w:rFonts w:ascii="宋体" w:hAnsi="宋体"/>
          <w:szCs w:val="21"/>
        </w:rPr>
      </w:pPr>
      <w:r>
        <w:rPr>
          <w:rFonts w:ascii="宋体" w:hAnsi="宋体"/>
          <w:szCs w:val="21"/>
        </w:rPr>
        <w:t xml:space="preserve">6.4.2 </w:t>
      </w:r>
      <w:r>
        <w:rPr>
          <w:rFonts w:hint="eastAsia" w:ascii="宋体" w:hAnsi="宋体"/>
          <w:szCs w:val="21"/>
        </w:rPr>
        <w:t>如由于买方原因合同设备在三次考核中均未能达到技术性能考核指标，买卖双方应在考核结束后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141E818A">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12 </w:t>
      </w:r>
      <w:r>
        <w:rPr>
          <w:rFonts w:hint="eastAsia" w:ascii="宋体" w:hAnsi="宋体"/>
          <w:szCs w:val="21"/>
        </w:rPr>
        <w:t>个月内应买方要求提供相关技术服务，协助买方采取一切必要措施使合同设备达到技术性能考核指标。买方应承担卖方因此产生的全部费用。</w:t>
      </w:r>
    </w:p>
    <w:p w14:paraId="60EBBF70">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12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128B6F40">
      <w:pPr>
        <w:tabs>
          <w:tab w:val="left" w:pos="1134"/>
        </w:tabs>
        <w:spacing w:line="360" w:lineRule="auto"/>
        <w:ind w:firstLine="420" w:firstLineChars="200"/>
        <w:rPr>
          <w:rFonts w:ascii="宋体" w:hAnsi="宋体"/>
          <w:szCs w:val="21"/>
        </w:rPr>
      </w:pPr>
      <w:r>
        <w:rPr>
          <w:rFonts w:ascii="宋体" w:hAnsi="宋体"/>
          <w:szCs w:val="21"/>
        </w:rPr>
        <w:t xml:space="preserve">6.4.3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另有约定外，如由于买方原因在最后一批合同设备交货后</w:t>
      </w:r>
      <w:r>
        <w:rPr>
          <w:rFonts w:ascii="宋体" w:hAnsi="宋体"/>
          <w:szCs w:val="21"/>
        </w:rPr>
        <w:t xml:space="preserve"> 6 </w:t>
      </w:r>
      <w:r>
        <w:rPr>
          <w:rFonts w:hint="eastAsia" w:ascii="宋体" w:hAnsi="宋体"/>
          <w:szCs w:val="21"/>
        </w:rPr>
        <w:t>个月内未能开始考核，则买卖双方应在上述期限届满后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另行约定的时间内签署验收款支付函。</w:t>
      </w:r>
    </w:p>
    <w:p w14:paraId="29CA8B6F">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另有约定外，卖方有义务在验收款支付函签署后</w:t>
      </w:r>
      <w:r>
        <w:rPr>
          <w:rFonts w:ascii="宋体" w:hAnsi="宋体"/>
          <w:szCs w:val="21"/>
        </w:rPr>
        <w:t xml:space="preserve"> 6 </w:t>
      </w:r>
      <w:r>
        <w:rPr>
          <w:rFonts w:hint="eastAsia" w:ascii="宋体" w:hAnsi="宋体"/>
          <w:szCs w:val="21"/>
        </w:rPr>
        <w:t>个月内应买方要求提供不超出合同范围的技术服务，协助买方采取一切必要措施使合同设备达到技术性能考核指标，且买方无需因此向卖方支付费用。</w:t>
      </w:r>
    </w:p>
    <w:p w14:paraId="7951B588">
      <w:pPr>
        <w:tabs>
          <w:tab w:val="left" w:pos="1134"/>
        </w:tabs>
        <w:spacing w:line="360" w:lineRule="auto"/>
        <w:ind w:firstLine="420" w:firstLineChars="200"/>
        <w:rPr>
          <w:rFonts w:ascii="宋体" w:hAnsi="宋体"/>
          <w:szCs w:val="21"/>
        </w:rPr>
      </w:pPr>
      <w:r>
        <w:rPr>
          <w:rFonts w:hint="eastAsia" w:ascii="宋体" w:hAnsi="宋体"/>
          <w:szCs w:val="21"/>
        </w:rPr>
        <w:t>在上述</w:t>
      </w:r>
      <w:r>
        <w:rPr>
          <w:rFonts w:ascii="宋体" w:hAnsi="宋体"/>
          <w:szCs w:val="21"/>
        </w:rPr>
        <w:t xml:space="preserve"> 6 </w:t>
      </w:r>
      <w:r>
        <w:rPr>
          <w:rFonts w:hint="eastAsia" w:ascii="宋体" w:hAnsi="宋体"/>
          <w:szCs w:val="21"/>
        </w:rPr>
        <w:t>个月的期限内，如合同设备经过考核达到或视为达到技术性能考核指标，则买卖双方应按照第</w:t>
      </w:r>
      <w:r>
        <w:rPr>
          <w:rFonts w:ascii="宋体" w:hAnsi="宋体"/>
          <w:szCs w:val="21"/>
        </w:rPr>
        <w:t xml:space="preserve"> 6.4.1 </w:t>
      </w:r>
      <w:r>
        <w:rPr>
          <w:rFonts w:hint="eastAsia" w:ascii="宋体" w:hAnsi="宋体"/>
          <w:szCs w:val="21"/>
        </w:rPr>
        <w:t>项的约定签署合同设备验收证书。</w:t>
      </w:r>
    </w:p>
    <w:p w14:paraId="539ECD71">
      <w:pPr>
        <w:tabs>
          <w:tab w:val="left" w:pos="1134"/>
        </w:tabs>
        <w:spacing w:line="360" w:lineRule="auto"/>
        <w:ind w:firstLine="420" w:firstLineChars="200"/>
        <w:rPr>
          <w:rFonts w:ascii="宋体" w:hAnsi="宋体"/>
          <w:szCs w:val="21"/>
        </w:rPr>
      </w:pPr>
      <w:r>
        <w:rPr>
          <w:rFonts w:ascii="宋体" w:hAnsi="宋体"/>
          <w:szCs w:val="21"/>
        </w:rPr>
        <w:t xml:space="preserve">6.4.4 </w:t>
      </w:r>
      <w:r>
        <w:rPr>
          <w:rFonts w:hint="eastAsia" w:ascii="宋体" w:hAnsi="宋体"/>
          <w:szCs w:val="21"/>
        </w:rPr>
        <w:t>在第</w:t>
      </w:r>
      <w:r>
        <w:rPr>
          <w:rFonts w:ascii="宋体" w:hAnsi="宋体"/>
          <w:szCs w:val="21"/>
        </w:rPr>
        <w:t xml:space="preserve"> 6.4.2 </w:t>
      </w:r>
      <w:r>
        <w:rPr>
          <w:rFonts w:hint="eastAsia" w:ascii="宋体" w:hAnsi="宋体"/>
          <w:szCs w:val="21"/>
        </w:rPr>
        <w:t>项和第</w:t>
      </w:r>
      <w:r>
        <w:rPr>
          <w:rFonts w:ascii="宋体" w:hAnsi="宋体"/>
          <w:szCs w:val="21"/>
        </w:rPr>
        <w:t xml:space="preserve"> 6.4.3 </w:t>
      </w:r>
      <w:r>
        <w:rPr>
          <w:rFonts w:hint="eastAsia" w:ascii="宋体" w:hAnsi="宋体"/>
          <w:szCs w:val="21"/>
        </w:rPr>
        <w:t>项情形下，卖方也可单方签署验收款支付函提交买方，如果买方在收到卖方签署的验收款支付函后</w:t>
      </w:r>
      <w:r>
        <w:rPr>
          <w:rFonts w:ascii="宋体" w:hAnsi="宋体"/>
          <w:szCs w:val="21"/>
        </w:rPr>
        <w:t xml:space="preserve"> 14 </w:t>
      </w:r>
      <w:r>
        <w:rPr>
          <w:rFonts w:hint="eastAsia" w:ascii="宋体" w:hAnsi="宋体"/>
          <w:szCs w:val="21"/>
        </w:rPr>
        <w:t>日内未向卖方提出书面异议，则验收款支付函自签署之日起生效。</w:t>
      </w:r>
    </w:p>
    <w:p w14:paraId="5AE7B9F4">
      <w:pPr>
        <w:tabs>
          <w:tab w:val="left" w:pos="1134"/>
        </w:tabs>
        <w:spacing w:line="360" w:lineRule="auto"/>
        <w:ind w:firstLine="420" w:firstLineChars="200"/>
        <w:rPr>
          <w:rFonts w:ascii="宋体" w:hAnsi="宋体"/>
          <w:szCs w:val="21"/>
        </w:rPr>
      </w:pPr>
      <w:r>
        <w:rPr>
          <w:rFonts w:ascii="宋体" w:hAnsi="宋体"/>
          <w:szCs w:val="21"/>
        </w:rPr>
        <w:t xml:space="preserve">6.4.5 </w:t>
      </w:r>
      <w:r>
        <w:rPr>
          <w:rFonts w:hint="eastAsia" w:ascii="宋体" w:hAnsi="宋体"/>
          <w:szCs w:val="21"/>
        </w:rPr>
        <w:t>合同设备验收证书的签署不能免除卖方在质量保证期内对合同设备应承担的保证责任。</w:t>
      </w:r>
    </w:p>
    <w:p w14:paraId="01B3795A">
      <w:pPr>
        <w:pStyle w:val="97"/>
        <w:keepNext w:val="0"/>
        <w:keepLines w:val="0"/>
        <w:tabs>
          <w:tab w:val="left" w:pos="567"/>
        </w:tabs>
        <w:spacing w:before="156" w:after="156"/>
        <w:rPr>
          <w:rFonts w:eastAsia="宋体" w:cs="Times New Roman"/>
          <w:b/>
          <w:bCs/>
          <w:sz w:val="32"/>
          <w:szCs w:val="32"/>
        </w:rPr>
      </w:pPr>
      <w:bookmarkStart w:id="667" w:name="_Toc31630"/>
      <w:bookmarkStart w:id="668" w:name="_Toc9440"/>
      <w:bookmarkStart w:id="669" w:name="_Toc21092"/>
      <w:bookmarkStart w:id="670" w:name="_Toc2881586"/>
      <w:bookmarkStart w:id="671" w:name="_Toc12705"/>
      <w:bookmarkStart w:id="672" w:name="_Toc24465"/>
      <w:bookmarkStart w:id="673" w:name="_Toc26292"/>
      <w:r>
        <w:rPr>
          <w:rFonts w:hint="eastAsia" w:eastAsia="宋体" w:cs="Times New Roman"/>
          <w:b/>
          <w:bCs/>
          <w:sz w:val="32"/>
          <w:szCs w:val="32"/>
        </w:rPr>
        <w:t>7.技术服务</w:t>
      </w:r>
      <w:bookmarkEnd w:id="667"/>
      <w:bookmarkEnd w:id="668"/>
      <w:bookmarkEnd w:id="669"/>
      <w:bookmarkEnd w:id="670"/>
      <w:bookmarkEnd w:id="671"/>
      <w:bookmarkEnd w:id="672"/>
      <w:bookmarkEnd w:id="673"/>
    </w:p>
    <w:p w14:paraId="5AD693ED">
      <w:pPr>
        <w:tabs>
          <w:tab w:val="left" w:pos="1134"/>
        </w:tabs>
        <w:spacing w:line="360" w:lineRule="auto"/>
        <w:ind w:firstLine="420" w:firstLineChars="200"/>
        <w:rPr>
          <w:rFonts w:ascii="宋体" w:hAnsi="宋体"/>
          <w:szCs w:val="21"/>
        </w:rPr>
      </w:pPr>
      <w:r>
        <w:rPr>
          <w:rFonts w:ascii="宋体" w:hAnsi="宋体"/>
          <w:szCs w:val="21"/>
        </w:rPr>
        <w:t xml:space="preserve">7.1 </w:t>
      </w:r>
      <w:r>
        <w:rPr>
          <w:rFonts w:hint="eastAsia" w:ascii="宋体" w:hAnsi="宋体"/>
          <w:szCs w:val="21"/>
        </w:rPr>
        <w:t>卖方应派遣技术熟练、称职的技术人员到施工场地为买方提供技术服务。卖方的技术服务应符合合同的约定。</w:t>
      </w:r>
    </w:p>
    <w:p w14:paraId="34AE2DA9">
      <w:pPr>
        <w:tabs>
          <w:tab w:val="left" w:pos="1134"/>
        </w:tabs>
        <w:spacing w:line="360" w:lineRule="auto"/>
        <w:ind w:firstLine="420" w:firstLineChars="200"/>
        <w:rPr>
          <w:rFonts w:ascii="宋体" w:hAnsi="宋体"/>
          <w:szCs w:val="21"/>
        </w:rPr>
      </w:pPr>
      <w:r>
        <w:rPr>
          <w:rFonts w:ascii="宋体" w:hAnsi="宋体"/>
          <w:szCs w:val="21"/>
        </w:rPr>
        <w:t xml:space="preserve">7.2 </w:t>
      </w:r>
      <w:r>
        <w:rPr>
          <w:rFonts w:hint="eastAsia" w:ascii="宋体" w:hAnsi="宋体"/>
          <w:szCs w:val="21"/>
        </w:rPr>
        <w:t>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w:t>
      </w:r>
    </w:p>
    <w:p w14:paraId="76F99071">
      <w:pPr>
        <w:tabs>
          <w:tab w:val="left" w:pos="1134"/>
        </w:tabs>
        <w:spacing w:line="360" w:lineRule="auto"/>
        <w:ind w:firstLine="420" w:firstLineChars="200"/>
        <w:rPr>
          <w:rFonts w:ascii="宋体" w:hAnsi="宋体"/>
          <w:szCs w:val="21"/>
        </w:rPr>
      </w:pPr>
      <w:r>
        <w:rPr>
          <w:rFonts w:ascii="宋体" w:hAnsi="宋体"/>
          <w:szCs w:val="21"/>
        </w:rPr>
        <w:t xml:space="preserve">7.3 </w:t>
      </w:r>
      <w:r>
        <w:rPr>
          <w:rFonts w:hint="eastAsia" w:ascii="宋体" w:hAnsi="宋体"/>
          <w:szCs w:val="21"/>
        </w:rPr>
        <w:t>卖方技术人员应遵守买方施工现场的各项规章制度和安全操作规程，并服从买方的现场管理。</w:t>
      </w:r>
    </w:p>
    <w:p w14:paraId="0892FE0F">
      <w:pPr>
        <w:tabs>
          <w:tab w:val="left" w:pos="1134"/>
        </w:tabs>
        <w:spacing w:line="360" w:lineRule="auto"/>
        <w:ind w:firstLine="420" w:firstLineChars="200"/>
        <w:rPr>
          <w:rFonts w:ascii="宋体" w:hAnsi="宋体"/>
          <w:szCs w:val="21"/>
        </w:rPr>
      </w:pPr>
      <w:r>
        <w:rPr>
          <w:rFonts w:ascii="宋体" w:hAnsi="宋体"/>
          <w:szCs w:val="21"/>
        </w:rPr>
        <w:t xml:space="preserve">7.4 </w:t>
      </w:r>
      <w:r>
        <w:rPr>
          <w:rFonts w:hint="eastAsia" w:ascii="宋体" w:hAnsi="宋体"/>
          <w:szCs w:val="21"/>
        </w:rPr>
        <w:t>如果任何技术人员不合格，买方有权要求卖方撤换，因撤换而产生的费用应由卖方承担。在不影响技术服务并且征得买方同意的条件下，卖方也可自负费用更换其技术人员。</w:t>
      </w:r>
    </w:p>
    <w:p w14:paraId="1039A6F6">
      <w:pPr>
        <w:pStyle w:val="97"/>
        <w:keepNext w:val="0"/>
        <w:keepLines w:val="0"/>
        <w:tabs>
          <w:tab w:val="left" w:pos="567"/>
        </w:tabs>
        <w:spacing w:before="156" w:after="156"/>
        <w:rPr>
          <w:rFonts w:eastAsia="宋体" w:cs="Times New Roman"/>
          <w:b/>
          <w:bCs/>
          <w:sz w:val="32"/>
          <w:szCs w:val="32"/>
        </w:rPr>
      </w:pPr>
      <w:bookmarkStart w:id="674" w:name="_Toc16938"/>
      <w:bookmarkStart w:id="675" w:name="_Toc27126"/>
      <w:bookmarkStart w:id="676" w:name="_Toc22376"/>
      <w:bookmarkStart w:id="677" w:name="_Toc7127"/>
      <w:bookmarkStart w:id="678" w:name="_Toc3893"/>
      <w:bookmarkStart w:id="679" w:name="_Toc2881587"/>
      <w:bookmarkStart w:id="680" w:name="_Toc22441"/>
      <w:r>
        <w:rPr>
          <w:rFonts w:hint="eastAsia" w:eastAsia="宋体" w:cs="Times New Roman"/>
          <w:b/>
          <w:bCs/>
          <w:sz w:val="32"/>
          <w:szCs w:val="32"/>
        </w:rPr>
        <w:t>8.质量保证期</w:t>
      </w:r>
      <w:bookmarkEnd w:id="674"/>
      <w:bookmarkEnd w:id="675"/>
      <w:bookmarkEnd w:id="676"/>
      <w:bookmarkEnd w:id="677"/>
      <w:bookmarkEnd w:id="678"/>
      <w:bookmarkEnd w:id="679"/>
      <w:bookmarkEnd w:id="680"/>
    </w:p>
    <w:p w14:paraId="60C397A2">
      <w:pPr>
        <w:tabs>
          <w:tab w:val="left" w:pos="1134"/>
        </w:tabs>
        <w:spacing w:line="360" w:lineRule="auto"/>
        <w:ind w:firstLine="420" w:firstLineChars="200"/>
        <w:rPr>
          <w:rFonts w:ascii="宋体" w:hAnsi="宋体"/>
          <w:szCs w:val="21"/>
        </w:rPr>
      </w:pPr>
      <w:r>
        <w:rPr>
          <w:rFonts w:ascii="宋体" w:hAnsi="宋体"/>
          <w:szCs w:val="21"/>
        </w:rPr>
        <w:t xml:space="preserve">8.1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和（或）供货要求等合同文件另有约定外，合同设备整体质量保证期为验收之日起</w:t>
      </w:r>
      <w:r>
        <w:rPr>
          <w:rFonts w:ascii="宋体" w:hAnsi="宋体"/>
          <w:szCs w:val="21"/>
        </w:rPr>
        <w:t xml:space="preserve"> 12 </w:t>
      </w:r>
      <w:r>
        <w:rPr>
          <w:rFonts w:hint="eastAsia" w:ascii="宋体" w:hAnsi="宋体"/>
          <w:szCs w:val="21"/>
        </w:rPr>
        <w:t>个月。如对合同设备中关键部件的质量保证期有特殊要求的，买卖双方可在</w:t>
      </w:r>
      <w:r>
        <w:rPr>
          <w:rFonts w:hint="eastAsia" w:ascii="宋体" w:hAnsi="宋体" w:eastAsia="黑体"/>
          <w:b/>
          <w:szCs w:val="21"/>
        </w:rPr>
        <w:t>专用合同条款</w:t>
      </w:r>
      <w:r>
        <w:rPr>
          <w:rFonts w:hint="eastAsia" w:ascii="宋体" w:hAnsi="宋体"/>
          <w:szCs w:val="21"/>
        </w:rPr>
        <w:t>中约定。在合同第</w:t>
      </w:r>
      <w:r>
        <w:rPr>
          <w:rFonts w:ascii="宋体" w:hAnsi="宋体"/>
          <w:szCs w:val="21"/>
        </w:rPr>
        <w:t xml:space="preserve"> 6.4.2 </w:t>
      </w:r>
      <w:r>
        <w:rPr>
          <w:rFonts w:hint="eastAsia" w:ascii="宋体" w:hAnsi="宋体"/>
          <w:szCs w:val="21"/>
        </w:rPr>
        <w:t>项情形下，无论合同设备何时验收，其质量保证期最长为签署验收款支付函后</w:t>
      </w:r>
      <w:r>
        <w:rPr>
          <w:rFonts w:ascii="宋体" w:hAnsi="宋体"/>
          <w:szCs w:val="21"/>
        </w:rPr>
        <w:t xml:space="preserve"> 12 </w:t>
      </w:r>
      <w:r>
        <w:rPr>
          <w:rFonts w:hint="eastAsia" w:ascii="宋体" w:hAnsi="宋体"/>
          <w:szCs w:val="21"/>
        </w:rPr>
        <w:t>个月。在合同第</w:t>
      </w:r>
      <w:r>
        <w:rPr>
          <w:rFonts w:ascii="宋体" w:hAnsi="宋体"/>
          <w:szCs w:val="21"/>
        </w:rPr>
        <w:t xml:space="preserve"> 6.4.3 </w:t>
      </w:r>
      <w:r>
        <w:rPr>
          <w:rFonts w:hint="eastAsia" w:ascii="宋体" w:hAnsi="宋体"/>
          <w:szCs w:val="21"/>
        </w:rPr>
        <w:t>项情形下，无论合同设备何时验收，其质量保证期最长为签署验收款支付函后</w:t>
      </w:r>
      <w:r>
        <w:rPr>
          <w:rFonts w:ascii="宋体" w:hAnsi="宋体"/>
          <w:szCs w:val="21"/>
        </w:rPr>
        <w:t xml:space="preserve"> 6 </w:t>
      </w:r>
      <w:r>
        <w:rPr>
          <w:rFonts w:hint="eastAsia" w:ascii="宋体" w:hAnsi="宋体"/>
          <w:szCs w:val="21"/>
        </w:rPr>
        <w:t>个月。</w:t>
      </w:r>
    </w:p>
    <w:p w14:paraId="72B3EC56">
      <w:pPr>
        <w:tabs>
          <w:tab w:val="left" w:pos="1134"/>
        </w:tabs>
        <w:spacing w:line="360" w:lineRule="auto"/>
        <w:ind w:firstLine="420" w:firstLineChars="200"/>
        <w:rPr>
          <w:rFonts w:ascii="宋体" w:hAnsi="宋体"/>
          <w:szCs w:val="21"/>
        </w:rPr>
      </w:pPr>
      <w:r>
        <w:rPr>
          <w:rFonts w:ascii="宋体" w:hAnsi="宋体"/>
          <w:szCs w:val="21"/>
        </w:rPr>
        <w:t xml:space="preserve">8.2 </w:t>
      </w:r>
      <w:r>
        <w:rPr>
          <w:rFonts w:hint="eastAsia" w:ascii="宋体" w:hAnsi="宋体"/>
          <w:szCs w:val="21"/>
        </w:rPr>
        <w:t>在质量保证期内如果合同设备出现故障，卖方应自负费用提供</w:t>
      </w:r>
      <w:r>
        <w:rPr>
          <w:rFonts w:hint="eastAsia" w:ascii="宋体" w:hAnsi="宋体"/>
          <w:szCs w:val="21"/>
          <w:lang w:eastAsia="zh-CN"/>
        </w:rPr>
        <w:t>质量保证期</w:t>
      </w:r>
      <w:r>
        <w:rPr>
          <w:rFonts w:hint="eastAsia" w:ascii="宋体" w:hAnsi="宋体"/>
          <w:szCs w:val="21"/>
        </w:rPr>
        <w:t>服务，对相关合同设备进行修理或更换以消除故障。更换的合同设备和（或）关键部件的质量保证期应重新计算。但如果合同设备的故障是由于买方原因造成的，则对合同设备进行修理和更换的费用应由买方承担。</w:t>
      </w:r>
    </w:p>
    <w:p w14:paraId="7B5C9BF4">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质量保证期届满后，买方应在</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另行约定的时间内向卖方出具合同设备的质量保证期届满证书。</w:t>
      </w:r>
    </w:p>
    <w:p w14:paraId="1416DCC1">
      <w:pPr>
        <w:tabs>
          <w:tab w:val="left" w:pos="1134"/>
        </w:tabs>
        <w:spacing w:line="360" w:lineRule="auto"/>
        <w:ind w:firstLine="420" w:firstLineChars="200"/>
        <w:rPr>
          <w:rFonts w:ascii="宋体" w:hAnsi="宋体"/>
          <w:szCs w:val="21"/>
        </w:rPr>
      </w:pPr>
      <w:r>
        <w:rPr>
          <w:rFonts w:ascii="宋体" w:hAnsi="宋体"/>
          <w:szCs w:val="21"/>
        </w:rPr>
        <w:t xml:space="preserve">8.4 </w:t>
      </w:r>
      <w:r>
        <w:rPr>
          <w:rFonts w:hint="eastAsia" w:ascii="宋体" w:hAnsi="宋体"/>
          <w:szCs w:val="21"/>
        </w:rPr>
        <w:t>在合同第</w:t>
      </w:r>
      <w:r>
        <w:rPr>
          <w:rFonts w:ascii="宋体" w:hAnsi="宋体"/>
          <w:szCs w:val="21"/>
        </w:rPr>
        <w:t xml:space="preserve"> 6.4.2 </w:t>
      </w:r>
      <w:r>
        <w:rPr>
          <w:rFonts w:hint="eastAsia" w:ascii="宋体" w:hAnsi="宋体"/>
          <w:szCs w:val="21"/>
        </w:rPr>
        <w:t>项情形下，如在验收款支付函签署后</w:t>
      </w:r>
      <w:r>
        <w:rPr>
          <w:rFonts w:ascii="宋体" w:hAnsi="宋体"/>
          <w:szCs w:val="21"/>
        </w:rPr>
        <w:t xml:space="preserve"> 12 </w:t>
      </w:r>
      <w:r>
        <w:rPr>
          <w:rFonts w:hint="eastAsia" w:ascii="宋体" w:hAnsi="宋体"/>
          <w:szCs w:val="21"/>
        </w:rPr>
        <w:t>个月内由于买方原因合同设备仍未能达到技术性能考核指标，则买卖双方应在该</w:t>
      </w:r>
      <w:r>
        <w:rPr>
          <w:rFonts w:ascii="宋体" w:hAnsi="宋体"/>
          <w:szCs w:val="21"/>
        </w:rPr>
        <w:t xml:space="preserve"> 12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311A35FC">
      <w:pPr>
        <w:tabs>
          <w:tab w:val="left" w:pos="1134"/>
        </w:tabs>
        <w:spacing w:line="360" w:lineRule="auto"/>
        <w:ind w:firstLine="420" w:firstLineChars="200"/>
        <w:rPr>
          <w:rFonts w:ascii="宋体" w:hAnsi="宋体"/>
          <w:szCs w:val="21"/>
        </w:rPr>
      </w:pPr>
      <w:r>
        <w:rPr>
          <w:rFonts w:ascii="宋体" w:hAnsi="宋体"/>
          <w:szCs w:val="21"/>
        </w:rPr>
        <w:t xml:space="preserve">8.5 </w:t>
      </w:r>
      <w:r>
        <w:rPr>
          <w:rFonts w:hint="eastAsia" w:ascii="宋体" w:hAnsi="宋体"/>
          <w:szCs w:val="21"/>
        </w:rPr>
        <w:t>在合同第</w:t>
      </w:r>
      <w:r>
        <w:rPr>
          <w:rFonts w:ascii="宋体" w:hAnsi="宋体"/>
          <w:szCs w:val="21"/>
        </w:rPr>
        <w:t xml:space="preserve"> 6.4.3 </w:t>
      </w:r>
      <w:r>
        <w:rPr>
          <w:rFonts w:hint="eastAsia" w:ascii="宋体" w:hAnsi="宋体"/>
          <w:szCs w:val="21"/>
        </w:rPr>
        <w:t>项情形下，如在验收款支付函签署后</w:t>
      </w:r>
      <w:r>
        <w:rPr>
          <w:rFonts w:ascii="宋体" w:hAnsi="宋体"/>
          <w:szCs w:val="21"/>
        </w:rPr>
        <w:t xml:space="preserve"> 6 </w:t>
      </w:r>
      <w:r>
        <w:rPr>
          <w:rFonts w:hint="eastAsia" w:ascii="宋体" w:hAnsi="宋体"/>
          <w:szCs w:val="21"/>
        </w:rPr>
        <w:t>个月内由于买方原因合同设备仍未进行考核或仍未达到技术性能考核指标，则买卖双方应在该</w:t>
      </w:r>
      <w:r>
        <w:rPr>
          <w:rFonts w:ascii="宋体" w:hAnsi="宋体"/>
          <w:szCs w:val="21"/>
        </w:rPr>
        <w:t xml:space="preserve"> 6 </w:t>
      </w:r>
      <w:r>
        <w:rPr>
          <w:rFonts w:hint="eastAsia" w:ascii="宋体" w:hAnsi="宋体"/>
          <w:szCs w:val="21"/>
        </w:rPr>
        <w:t>个月届满后</w:t>
      </w:r>
      <w:r>
        <w:rPr>
          <w:rFonts w:ascii="宋体" w:hAnsi="宋体"/>
          <w:szCs w:val="21"/>
        </w:rPr>
        <w:t xml:space="preserve"> 7 </w:t>
      </w:r>
      <w:r>
        <w:rPr>
          <w:rFonts w:hint="eastAsia" w:ascii="宋体" w:hAnsi="宋体"/>
          <w:szCs w:val="21"/>
        </w:rPr>
        <w:t>日内或</w:t>
      </w:r>
      <w:r>
        <w:rPr>
          <w:rFonts w:hint="eastAsia" w:ascii="宋体" w:hAnsi="宋体" w:eastAsia="黑体"/>
          <w:b/>
          <w:szCs w:val="21"/>
        </w:rPr>
        <w:t>专用合同条款</w:t>
      </w:r>
      <w:r>
        <w:rPr>
          <w:rFonts w:hint="eastAsia" w:ascii="宋体" w:hAnsi="宋体"/>
          <w:szCs w:val="21"/>
        </w:rPr>
        <w:t>另行约定的时间内签署结清款支付函。</w:t>
      </w:r>
    </w:p>
    <w:p w14:paraId="3006618F">
      <w:pPr>
        <w:tabs>
          <w:tab w:val="left" w:pos="1134"/>
        </w:tabs>
        <w:spacing w:line="360" w:lineRule="auto"/>
        <w:ind w:firstLine="420" w:firstLineChars="200"/>
        <w:rPr>
          <w:rFonts w:ascii="宋体" w:hAnsi="宋体"/>
          <w:szCs w:val="21"/>
        </w:rPr>
      </w:pPr>
      <w:r>
        <w:rPr>
          <w:rFonts w:ascii="宋体" w:hAnsi="宋体"/>
          <w:szCs w:val="21"/>
        </w:rPr>
        <w:t xml:space="preserve">8.6 </w:t>
      </w:r>
      <w:r>
        <w:rPr>
          <w:rFonts w:hint="eastAsia" w:ascii="宋体" w:hAnsi="宋体"/>
          <w:szCs w:val="21"/>
        </w:rPr>
        <w:t>在第</w:t>
      </w:r>
      <w:r>
        <w:rPr>
          <w:rFonts w:ascii="宋体" w:hAnsi="宋体"/>
          <w:szCs w:val="21"/>
        </w:rPr>
        <w:t xml:space="preserve"> 8.4 </w:t>
      </w:r>
      <w:r>
        <w:rPr>
          <w:rFonts w:hint="eastAsia" w:ascii="宋体" w:hAnsi="宋体"/>
          <w:szCs w:val="21"/>
        </w:rPr>
        <w:t>款和第</w:t>
      </w:r>
      <w:r>
        <w:rPr>
          <w:rFonts w:ascii="宋体" w:hAnsi="宋体"/>
          <w:szCs w:val="21"/>
        </w:rPr>
        <w:t xml:space="preserve"> 8.5 </w:t>
      </w:r>
      <w:r>
        <w:rPr>
          <w:rFonts w:hint="eastAsia" w:ascii="宋体" w:hAnsi="宋体"/>
          <w:szCs w:val="21"/>
        </w:rPr>
        <w:t>款情形下，卖方也可单方签署结清款支付函提交买方，如果买方在收到卖方签署的结清款支付函后</w:t>
      </w:r>
      <w:r>
        <w:rPr>
          <w:rFonts w:ascii="宋体" w:hAnsi="宋体"/>
          <w:szCs w:val="21"/>
        </w:rPr>
        <w:t xml:space="preserve"> 14 </w:t>
      </w:r>
      <w:r>
        <w:rPr>
          <w:rFonts w:hint="eastAsia" w:ascii="宋体" w:hAnsi="宋体"/>
          <w:szCs w:val="21"/>
        </w:rPr>
        <w:t>日内未向卖方提出书面异议，则结清款支付函自签署之日起生效。</w:t>
      </w:r>
    </w:p>
    <w:p w14:paraId="5105D13F">
      <w:pPr>
        <w:pStyle w:val="97"/>
        <w:keepNext w:val="0"/>
        <w:keepLines w:val="0"/>
        <w:tabs>
          <w:tab w:val="left" w:pos="567"/>
        </w:tabs>
        <w:spacing w:before="156" w:after="156"/>
        <w:rPr>
          <w:rFonts w:eastAsia="宋体" w:cs="Times New Roman"/>
          <w:b/>
          <w:bCs/>
          <w:sz w:val="32"/>
          <w:szCs w:val="32"/>
        </w:rPr>
      </w:pPr>
      <w:bookmarkStart w:id="681" w:name="_Toc31752"/>
      <w:bookmarkStart w:id="682" w:name="_Toc10481"/>
      <w:bookmarkStart w:id="683" w:name="_Toc30016"/>
      <w:bookmarkStart w:id="684" w:name="_Toc12830"/>
      <w:bookmarkStart w:id="685" w:name="_Toc6690"/>
      <w:bookmarkStart w:id="686" w:name="_Toc1552"/>
      <w:bookmarkStart w:id="687" w:name="_Toc2881588"/>
      <w:r>
        <w:rPr>
          <w:rFonts w:hint="eastAsia" w:eastAsia="宋体" w:cs="Times New Roman"/>
          <w:b/>
          <w:bCs/>
          <w:sz w:val="32"/>
          <w:szCs w:val="32"/>
        </w:rPr>
        <w:t>9.</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681"/>
      <w:bookmarkEnd w:id="682"/>
      <w:bookmarkEnd w:id="683"/>
      <w:bookmarkEnd w:id="684"/>
      <w:bookmarkEnd w:id="685"/>
      <w:bookmarkEnd w:id="686"/>
      <w:bookmarkEnd w:id="687"/>
    </w:p>
    <w:p w14:paraId="264E6C4A">
      <w:pPr>
        <w:tabs>
          <w:tab w:val="left" w:pos="1134"/>
        </w:tabs>
        <w:spacing w:line="360" w:lineRule="auto"/>
        <w:ind w:firstLine="420" w:firstLineChars="200"/>
        <w:rPr>
          <w:rFonts w:ascii="宋体" w:hAnsi="宋体"/>
          <w:szCs w:val="21"/>
        </w:rPr>
      </w:pPr>
      <w:r>
        <w:rPr>
          <w:rFonts w:ascii="宋体" w:hAnsi="宋体"/>
          <w:szCs w:val="21"/>
        </w:rPr>
        <w:t xml:space="preserve">9.1 </w:t>
      </w:r>
      <w:r>
        <w:rPr>
          <w:rFonts w:hint="eastAsia" w:ascii="宋体" w:hAnsi="宋体"/>
          <w:szCs w:val="21"/>
        </w:rPr>
        <w:t>卖方应为</w:t>
      </w:r>
      <w:r>
        <w:rPr>
          <w:rFonts w:hint="eastAsia" w:ascii="宋体" w:hAnsi="宋体"/>
          <w:szCs w:val="21"/>
          <w:lang w:eastAsia="zh-CN"/>
        </w:rPr>
        <w:t>质量保证期</w:t>
      </w:r>
      <w:r>
        <w:rPr>
          <w:rFonts w:hint="eastAsia" w:ascii="宋体" w:hAnsi="宋体"/>
          <w:szCs w:val="21"/>
        </w:rPr>
        <w:t>服务配备充足的技术人员、工具和备件并保证提供的联系方式畅通。除</w:t>
      </w:r>
      <w:r>
        <w:rPr>
          <w:rFonts w:hint="eastAsia" w:ascii="宋体" w:hAnsi="宋体" w:eastAsia="黑体"/>
          <w:b/>
          <w:szCs w:val="21"/>
        </w:rPr>
        <w:t>专用合同条款</w:t>
      </w:r>
      <w:r>
        <w:rPr>
          <w:rFonts w:hint="eastAsia" w:ascii="宋体" w:hAnsi="宋体"/>
          <w:szCs w:val="21"/>
        </w:rPr>
        <w:t>和（或）供货要求等合同文件另有约定外，卖方应在收到买方通知后</w:t>
      </w:r>
      <w:r>
        <w:rPr>
          <w:rFonts w:ascii="宋体" w:hAnsi="宋体"/>
          <w:szCs w:val="21"/>
        </w:rPr>
        <w:t xml:space="preserve"> 24 </w:t>
      </w:r>
      <w:r>
        <w:rPr>
          <w:rFonts w:hint="eastAsia" w:ascii="宋体" w:hAnsi="宋体"/>
          <w:szCs w:val="21"/>
        </w:rPr>
        <w:t>小时内做出响应，如需卖方到合同设备现场，卖方应在收到买方通知后</w:t>
      </w:r>
      <w:r>
        <w:rPr>
          <w:rFonts w:ascii="宋体" w:hAnsi="宋体"/>
          <w:szCs w:val="21"/>
        </w:rPr>
        <w:t xml:space="preserve"> 48 </w:t>
      </w:r>
      <w:r>
        <w:rPr>
          <w:rFonts w:hint="eastAsia" w:ascii="宋体" w:hAnsi="宋体"/>
          <w:szCs w:val="21"/>
        </w:rPr>
        <w:t>小时内到达，并在到达后</w:t>
      </w:r>
      <w:r>
        <w:rPr>
          <w:rFonts w:ascii="宋体" w:hAnsi="宋体"/>
          <w:szCs w:val="21"/>
        </w:rPr>
        <w:t xml:space="preserve"> 7 </w:t>
      </w:r>
      <w:r>
        <w:rPr>
          <w:rFonts w:hint="eastAsia" w:ascii="宋体" w:hAnsi="宋体"/>
          <w:szCs w:val="21"/>
        </w:rPr>
        <w:t>日内解决合同设备的故障（重大故障除外）。如果卖方未在上述时间内作出响应，则买方有权自行或委托他人解决相关问题或查找和解决合同设备的故障，卖方应承担由此发生的全部费用。</w:t>
      </w:r>
    </w:p>
    <w:p w14:paraId="30F15F36">
      <w:pPr>
        <w:tabs>
          <w:tab w:val="left" w:pos="1134"/>
        </w:tabs>
        <w:spacing w:line="360" w:lineRule="auto"/>
        <w:ind w:firstLine="420" w:firstLineChars="200"/>
        <w:rPr>
          <w:rFonts w:ascii="宋体" w:hAnsi="宋体"/>
          <w:szCs w:val="21"/>
        </w:rPr>
      </w:pPr>
      <w:r>
        <w:rPr>
          <w:rFonts w:ascii="宋体" w:hAnsi="宋体"/>
          <w:szCs w:val="21"/>
        </w:rPr>
        <w:t xml:space="preserve">9.2 </w:t>
      </w:r>
      <w:r>
        <w:rPr>
          <w:rFonts w:hint="eastAsia" w:ascii="宋体" w:hAnsi="宋体"/>
          <w:szCs w:val="21"/>
        </w:rPr>
        <w:t>如卖方技术人员需到合同设备现场进行</w:t>
      </w:r>
      <w:r>
        <w:rPr>
          <w:rFonts w:hint="eastAsia" w:ascii="宋体" w:hAnsi="宋体"/>
          <w:szCs w:val="21"/>
          <w:lang w:eastAsia="zh-CN"/>
        </w:rPr>
        <w:t>质量保证期</w:t>
      </w:r>
      <w:r>
        <w:rPr>
          <w:rFonts w:hint="eastAsia" w:ascii="宋体" w:hAnsi="宋体"/>
          <w:szCs w:val="21"/>
        </w:rPr>
        <w:t>服务，则买方应免费为卖方技术人员提供工作条件及便利，包括但不限于必要的办公场所、技术资料及出入许可等。除</w:t>
      </w:r>
      <w:r>
        <w:rPr>
          <w:rFonts w:hint="eastAsia" w:ascii="宋体" w:hAnsi="宋体" w:eastAsia="黑体"/>
          <w:b/>
          <w:szCs w:val="21"/>
        </w:rPr>
        <w:t>专用合同条款</w:t>
      </w:r>
      <w:r>
        <w:rPr>
          <w:rFonts w:hint="eastAsia" w:ascii="宋体" w:hAnsi="宋体"/>
          <w:szCs w:val="21"/>
        </w:rPr>
        <w:t>另有约定外，卖方技术人员的交通、食宿费用由卖方承担。卖方技术人员应遵守买方施工现场的各项规章制度和安全操作规程，并服从买方的现场管理。</w:t>
      </w:r>
    </w:p>
    <w:p w14:paraId="721CAEF0">
      <w:pPr>
        <w:tabs>
          <w:tab w:val="left" w:pos="1134"/>
        </w:tabs>
        <w:spacing w:line="360" w:lineRule="auto"/>
        <w:ind w:firstLine="420" w:firstLineChars="200"/>
        <w:rPr>
          <w:rFonts w:ascii="宋体" w:hAnsi="宋体"/>
          <w:szCs w:val="21"/>
        </w:rPr>
      </w:pPr>
      <w:r>
        <w:rPr>
          <w:rFonts w:ascii="宋体" w:hAnsi="宋体"/>
          <w:szCs w:val="21"/>
        </w:rPr>
        <w:t xml:space="preserve">9.3 </w:t>
      </w:r>
      <w:r>
        <w:rPr>
          <w:rFonts w:hint="eastAsia" w:ascii="宋体" w:hAnsi="宋体"/>
          <w:szCs w:val="21"/>
        </w:rPr>
        <w:t>如果任何技术人员不合格，买方有权要求卖方撤换，因撤换而产生的费用应由卖方承担。在不影响</w:t>
      </w:r>
      <w:r>
        <w:rPr>
          <w:rFonts w:hint="eastAsia" w:ascii="宋体" w:hAnsi="宋体"/>
          <w:szCs w:val="21"/>
          <w:lang w:eastAsia="zh-CN"/>
        </w:rPr>
        <w:t>质量保证期</w:t>
      </w:r>
      <w:r>
        <w:rPr>
          <w:rFonts w:hint="eastAsia" w:ascii="宋体" w:hAnsi="宋体"/>
          <w:szCs w:val="21"/>
        </w:rPr>
        <w:t>服务并且征得买方同意的条件下，卖方也可自负费用更换其技术人员。</w:t>
      </w:r>
    </w:p>
    <w:p w14:paraId="42F219F7">
      <w:pPr>
        <w:tabs>
          <w:tab w:val="left" w:pos="1134"/>
        </w:tabs>
        <w:spacing w:line="360" w:lineRule="auto"/>
        <w:ind w:firstLine="420" w:firstLineChars="200"/>
        <w:rPr>
          <w:rFonts w:ascii="宋体" w:hAnsi="宋体"/>
          <w:szCs w:val="21"/>
        </w:rPr>
      </w:pPr>
      <w:r>
        <w:rPr>
          <w:rFonts w:ascii="宋体" w:hAnsi="宋体"/>
          <w:szCs w:val="21"/>
        </w:rPr>
        <w:t xml:space="preserve">9.4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另有约定外，卖方应就在施工现场进行</w:t>
      </w:r>
      <w:r>
        <w:rPr>
          <w:rFonts w:hint="eastAsia" w:ascii="宋体" w:hAnsi="宋体"/>
          <w:szCs w:val="21"/>
          <w:lang w:eastAsia="zh-CN"/>
        </w:rPr>
        <w:t>质量保证期</w:t>
      </w:r>
      <w:r>
        <w:rPr>
          <w:rFonts w:hint="eastAsia" w:ascii="宋体" w:hAnsi="宋体"/>
          <w:szCs w:val="21"/>
        </w:rPr>
        <w:t>服务的情况进行记录，记载合同设备故障发生的时间、原因及解决情况等，由买方签字确认，并在质量保证期结束后提交给买方。</w:t>
      </w:r>
    </w:p>
    <w:p w14:paraId="7C88D697">
      <w:pPr>
        <w:pStyle w:val="97"/>
        <w:keepNext w:val="0"/>
        <w:keepLines w:val="0"/>
        <w:tabs>
          <w:tab w:val="left" w:pos="567"/>
        </w:tabs>
        <w:spacing w:before="156" w:after="156"/>
        <w:rPr>
          <w:rFonts w:eastAsia="宋体" w:cs="Times New Roman"/>
          <w:b/>
          <w:bCs/>
          <w:sz w:val="32"/>
          <w:szCs w:val="32"/>
        </w:rPr>
      </w:pPr>
      <w:bookmarkStart w:id="688" w:name="_Toc27268"/>
      <w:bookmarkStart w:id="689" w:name="_Toc23167"/>
      <w:bookmarkStart w:id="690" w:name="_Toc2881589"/>
      <w:bookmarkStart w:id="691" w:name="_Toc17161"/>
      <w:bookmarkStart w:id="692" w:name="_Toc29560"/>
      <w:bookmarkStart w:id="693" w:name="_Toc15312"/>
      <w:bookmarkStart w:id="694" w:name="_Toc29670"/>
      <w:r>
        <w:rPr>
          <w:rFonts w:hint="eastAsia" w:eastAsia="宋体" w:cs="Times New Roman"/>
          <w:b/>
          <w:bCs/>
          <w:sz w:val="32"/>
          <w:szCs w:val="32"/>
        </w:rPr>
        <w:t>10.履约保证金</w:t>
      </w:r>
      <w:bookmarkEnd w:id="688"/>
      <w:bookmarkEnd w:id="689"/>
      <w:bookmarkEnd w:id="690"/>
      <w:bookmarkEnd w:id="691"/>
      <w:bookmarkEnd w:id="692"/>
      <w:bookmarkEnd w:id="693"/>
      <w:bookmarkEnd w:id="694"/>
    </w:p>
    <w:p w14:paraId="7C0D1948">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另有约定外，履约保证金自合同生效之日起生效，在合同设备验收证书或验收款支付函签署之日起</w:t>
      </w:r>
      <w:r>
        <w:rPr>
          <w:rFonts w:ascii="宋体" w:hAnsi="宋体"/>
          <w:szCs w:val="21"/>
        </w:rPr>
        <w:t xml:space="preserve"> 28 </w:t>
      </w:r>
      <w:r>
        <w:rPr>
          <w:rFonts w:hint="eastAsia" w:ascii="宋体" w:hAnsi="宋体"/>
          <w:szCs w:val="21"/>
        </w:rPr>
        <w:t>日后失效。如果卖方不履行合同约定的义务或其履行不符合合同的约定，买方有权扣划相应金额的履约保证金。</w:t>
      </w:r>
    </w:p>
    <w:p w14:paraId="37B647CA">
      <w:pPr>
        <w:pStyle w:val="97"/>
        <w:keepNext w:val="0"/>
        <w:keepLines w:val="0"/>
        <w:tabs>
          <w:tab w:val="left" w:pos="567"/>
        </w:tabs>
        <w:spacing w:before="156" w:after="156"/>
        <w:rPr>
          <w:rFonts w:eastAsia="宋体" w:cs="Times New Roman"/>
          <w:b/>
          <w:bCs/>
          <w:sz w:val="32"/>
          <w:szCs w:val="32"/>
        </w:rPr>
      </w:pPr>
      <w:bookmarkStart w:id="695" w:name="_Toc19263"/>
      <w:bookmarkStart w:id="696" w:name="_Toc32146"/>
      <w:bookmarkStart w:id="697" w:name="_Toc31004"/>
      <w:bookmarkStart w:id="698" w:name="_Toc2168"/>
      <w:bookmarkStart w:id="699" w:name="_Toc19274"/>
      <w:bookmarkStart w:id="700" w:name="_Toc12371"/>
      <w:bookmarkStart w:id="701" w:name="_Toc2881590"/>
      <w:r>
        <w:rPr>
          <w:rFonts w:hint="eastAsia" w:eastAsia="宋体" w:cs="Times New Roman"/>
          <w:b/>
          <w:bCs/>
          <w:sz w:val="32"/>
          <w:szCs w:val="32"/>
        </w:rPr>
        <w:t>11.保证</w:t>
      </w:r>
      <w:bookmarkEnd w:id="695"/>
      <w:bookmarkEnd w:id="696"/>
      <w:bookmarkEnd w:id="697"/>
      <w:bookmarkEnd w:id="698"/>
      <w:bookmarkEnd w:id="699"/>
      <w:bookmarkEnd w:id="700"/>
      <w:bookmarkEnd w:id="701"/>
    </w:p>
    <w:p w14:paraId="24E27A52">
      <w:pPr>
        <w:tabs>
          <w:tab w:val="left" w:pos="1134"/>
        </w:tabs>
        <w:spacing w:line="360" w:lineRule="auto"/>
        <w:ind w:firstLine="420" w:firstLineChars="200"/>
        <w:rPr>
          <w:rFonts w:ascii="宋体" w:hAnsi="宋体"/>
          <w:szCs w:val="21"/>
        </w:rPr>
      </w:pPr>
      <w:r>
        <w:rPr>
          <w:rFonts w:ascii="宋体" w:hAnsi="宋体"/>
          <w:szCs w:val="21"/>
        </w:rPr>
        <w:t xml:space="preserve">11.1 </w:t>
      </w:r>
      <w:r>
        <w:rPr>
          <w:rFonts w:hint="eastAsia" w:ascii="宋体" w:hAnsi="宋体"/>
          <w:szCs w:val="21"/>
        </w:rPr>
        <w:t>卖方保证其具有完全的能力履行本合同项下的全部义务。</w:t>
      </w:r>
    </w:p>
    <w:p w14:paraId="18DC84B7">
      <w:pPr>
        <w:tabs>
          <w:tab w:val="left" w:pos="1134"/>
        </w:tabs>
        <w:spacing w:line="360" w:lineRule="auto"/>
        <w:ind w:firstLine="420" w:firstLineChars="200"/>
        <w:rPr>
          <w:rFonts w:ascii="宋体" w:hAnsi="宋体"/>
          <w:szCs w:val="21"/>
        </w:rPr>
      </w:pPr>
      <w:r>
        <w:rPr>
          <w:rFonts w:ascii="宋体" w:hAnsi="宋体"/>
          <w:szCs w:val="21"/>
        </w:rPr>
        <w:t xml:space="preserve">11.2 </w:t>
      </w:r>
      <w:r>
        <w:rPr>
          <w:rFonts w:hint="eastAsia" w:ascii="宋体" w:hAnsi="宋体"/>
          <w:szCs w:val="21"/>
        </w:rPr>
        <w:t>卖方保证其所提供的合同设备及对合同的履行符合所有应适用的法律、行政法规、地方性法规、自治条例和单行条例、规章及其他规范性文件的强制性规定。</w:t>
      </w:r>
    </w:p>
    <w:p w14:paraId="0964A399">
      <w:pPr>
        <w:tabs>
          <w:tab w:val="left" w:pos="1134"/>
        </w:tabs>
        <w:spacing w:line="360" w:lineRule="auto"/>
        <w:ind w:firstLine="420" w:firstLineChars="200"/>
        <w:rPr>
          <w:rFonts w:ascii="宋体" w:hAnsi="宋体"/>
          <w:szCs w:val="21"/>
        </w:rPr>
      </w:pPr>
      <w:r>
        <w:rPr>
          <w:rFonts w:ascii="宋体" w:hAnsi="宋体"/>
          <w:szCs w:val="21"/>
        </w:rPr>
        <w:t xml:space="preserve">11.3 </w:t>
      </w:r>
      <w:r>
        <w:rPr>
          <w:rFonts w:hint="eastAsia" w:ascii="宋体" w:hAnsi="宋体"/>
          <w:szCs w:val="21"/>
        </w:rPr>
        <w:t>卖方保证其对合同设备的销售不损害任何第三方的合法权益和社会公众利益。任何第三方不会因卖方原因而基于所有权、抵押权、留置权或其他任何权利或事由对合同设备主张权利。</w:t>
      </w:r>
    </w:p>
    <w:p w14:paraId="06226139">
      <w:pPr>
        <w:tabs>
          <w:tab w:val="left" w:pos="1134"/>
        </w:tabs>
        <w:spacing w:line="360" w:lineRule="auto"/>
        <w:ind w:firstLine="420" w:firstLineChars="200"/>
        <w:rPr>
          <w:rFonts w:ascii="宋体" w:hAnsi="宋体"/>
          <w:szCs w:val="21"/>
        </w:rPr>
      </w:pPr>
      <w:r>
        <w:rPr>
          <w:rFonts w:ascii="宋体" w:hAnsi="宋体"/>
          <w:szCs w:val="21"/>
        </w:rPr>
        <w:t xml:space="preserve">11.4 </w:t>
      </w:r>
      <w:r>
        <w:rPr>
          <w:rFonts w:hint="eastAsia" w:ascii="宋体" w:hAnsi="宋体"/>
          <w:szCs w:val="21"/>
        </w:rPr>
        <w:t>卖方保证合同设备符合合同约定的规格、标准、技术性能考核指标等，能够安全和稳定地运行，且合同设备（包括全部部件）全新、完整、未使用过，除非</w:t>
      </w:r>
      <w:r>
        <w:rPr>
          <w:rFonts w:hint="eastAsia" w:ascii="宋体" w:hAnsi="宋体" w:eastAsia="黑体"/>
          <w:b/>
          <w:szCs w:val="21"/>
        </w:rPr>
        <w:t>专用合同条款</w:t>
      </w:r>
      <w:r>
        <w:rPr>
          <w:rFonts w:hint="eastAsia" w:ascii="宋体" w:hAnsi="宋体"/>
          <w:szCs w:val="21"/>
        </w:rPr>
        <w:t>和（或）供货要求等合同文件另有约定。</w:t>
      </w:r>
    </w:p>
    <w:p w14:paraId="43DC27DE">
      <w:pPr>
        <w:tabs>
          <w:tab w:val="left" w:pos="1134"/>
        </w:tabs>
        <w:spacing w:line="360" w:lineRule="auto"/>
        <w:ind w:firstLine="420" w:firstLineChars="200"/>
        <w:rPr>
          <w:rFonts w:ascii="宋体" w:hAnsi="宋体"/>
          <w:szCs w:val="21"/>
        </w:rPr>
      </w:pPr>
      <w:r>
        <w:rPr>
          <w:rFonts w:ascii="宋体" w:hAnsi="宋体"/>
          <w:szCs w:val="21"/>
        </w:rPr>
        <w:t xml:space="preserve">11.5 </w:t>
      </w:r>
      <w:r>
        <w:rPr>
          <w:rFonts w:hint="eastAsia" w:ascii="宋体" w:hAnsi="宋体"/>
          <w:szCs w:val="21"/>
        </w:rPr>
        <w:t>卖方保证，卖方所提供的技术资料完整、清晰、准确，符合合同约定并且能够满足合同设备的安装、调试、考核、操作以及维修和保养的需要。</w:t>
      </w:r>
    </w:p>
    <w:p w14:paraId="69C3B610">
      <w:pPr>
        <w:tabs>
          <w:tab w:val="left" w:pos="1134"/>
        </w:tabs>
        <w:spacing w:line="360" w:lineRule="auto"/>
        <w:ind w:firstLine="420" w:firstLineChars="200"/>
        <w:rPr>
          <w:rFonts w:ascii="宋体" w:hAnsi="宋体"/>
          <w:szCs w:val="21"/>
        </w:rPr>
      </w:pPr>
      <w:r>
        <w:rPr>
          <w:rFonts w:ascii="宋体" w:hAnsi="宋体"/>
          <w:szCs w:val="21"/>
        </w:rPr>
        <w:t xml:space="preserve">11.6 </w:t>
      </w:r>
      <w:r>
        <w:rPr>
          <w:rFonts w:hint="eastAsia" w:ascii="宋体" w:hAnsi="宋体"/>
          <w:szCs w:val="21"/>
        </w:rPr>
        <w:t>卖方保证合同范围内提供的备品备件能够满足合同设备在质量保证期结束前正常运行及维修的需要，如在质量保证期结束前因卖方原因出现备品备件短缺影响合同设备正常运行的，卖方应免费提供。</w:t>
      </w:r>
    </w:p>
    <w:p w14:paraId="30184EC4">
      <w:pPr>
        <w:tabs>
          <w:tab w:val="left" w:pos="1134"/>
        </w:tabs>
        <w:spacing w:line="360" w:lineRule="auto"/>
        <w:ind w:firstLine="420" w:firstLineChars="200"/>
        <w:rPr>
          <w:rFonts w:ascii="宋体" w:hAnsi="宋体"/>
          <w:szCs w:val="21"/>
        </w:rPr>
      </w:pPr>
      <w:r>
        <w:rPr>
          <w:rFonts w:ascii="宋体" w:hAnsi="宋体"/>
          <w:szCs w:val="21"/>
        </w:rPr>
        <w:t xml:space="preserve">11.7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和（或）供货要求等合同文件另有约定外，如果在合同设备设计使用寿命期内发生合同项下备品备件停止生产的情况，卖方应事先将拟停止生产的计划通知买方，使买方有足够的时间考虑备品备件的需求量。根据买方要求，卖方应：</w:t>
      </w:r>
    </w:p>
    <w:p w14:paraId="272BD24A">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）以不高于同期市场价格或其向任何第三方销售同类产品的价格提供合同设备正常运行所需的全部备品备件。或</w:t>
      </w:r>
    </w:p>
    <w:p w14:paraId="4F8CA903">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免费提供可供买方或第三方制造停产备品备件所需的全部技术资料，以便买方持续获得上述备品备件以满足合同设备在寿命期内正常运行的需要。卖方保证买方或买方委托的第三方制造及买方使用这些备品备件不侵犯任何人的知识产权。</w:t>
      </w:r>
    </w:p>
    <w:p w14:paraId="40D3C21F">
      <w:pPr>
        <w:tabs>
          <w:tab w:val="left" w:pos="1134"/>
        </w:tabs>
        <w:spacing w:line="360" w:lineRule="auto"/>
        <w:ind w:firstLine="420" w:firstLineChars="200"/>
        <w:rPr>
          <w:rFonts w:ascii="宋体" w:hAnsi="宋体"/>
          <w:szCs w:val="21"/>
        </w:rPr>
      </w:pPr>
      <w:r>
        <w:rPr>
          <w:rFonts w:ascii="宋体" w:hAnsi="宋体"/>
          <w:szCs w:val="21"/>
        </w:rPr>
        <w:t xml:space="preserve">11.8 </w:t>
      </w:r>
      <w:r>
        <w:rPr>
          <w:rFonts w:hint="eastAsia" w:ascii="宋体" w:hAnsi="宋体"/>
          <w:szCs w:val="21"/>
        </w:rPr>
        <w:t>卖方保证，在合同设备设计使用寿命期内，如果卖方发现合同设备由于设计、制造、标识等原因存在足以危及人身、财产安全的缺陷，卖方将及时通知买方并及时采取修正或者补充标识、修理、更换等措施消除缺陷。</w:t>
      </w:r>
    </w:p>
    <w:p w14:paraId="6BE34465">
      <w:pPr>
        <w:pStyle w:val="97"/>
        <w:keepNext w:val="0"/>
        <w:keepLines w:val="0"/>
        <w:tabs>
          <w:tab w:val="left" w:pos="567"/>
        </w:tabs>
        <w:spacing w:before="156" w:after="156"/>
        <w:rPr>
          <w:rFonts w:eastAsia="宋体" w:cs="Times New Roman"/>
          <w:b/>
          <w:bCs/>
          <w:sz w:val="32"/>
          <w:szCs w:val="32"/>
        </w:rPr>
      </w:pPr>
      <w:bookmarkStart w:id="702" w:name="_Toc2881591"/>
      <w:bookmarkStart w:id="703" w:name="_Toc14815"/>
      <w:bookmarkStart w:id="704" w:name="_Toc3192"/>
      <w:bookmarkStart w:id="705" w:name="_Toc16903"/>
      <w:bookmarkStart w:id="706" w:name="_Toc32343"/>
      <w:bookmarkStart w:id="707" w:name="_Toc16563"/>
      <w:bookmarkStart w:id="708" w:name="_Toc9929"/>
      <w:r>
        <w:rPr>
          <w:rFonts w:hint="eastAsia" w:eastAsia="宋体" w:cs="Times New Roman"/>
          <w:b/>
          <w:bCs/>
          <w:sz w:val="32"/>
          <w:szCs w:val="32"/>
        </w:rPr>
        <w:t>12.知识产权</w:t>
      </w:r>
      <w:bookmarkEnd w:id="702"/>
      <w:bookmarkEnd w:id="703"/>
      <w:bookmarkEnd w:id="704"/>
      <w:bookmarkEnd w:id="705"/>
      <w:bookmarkEnd w:id="706"/>
      <w:bookmarkEnd w:id="707"/>
      <w:bookmarkEnd w:id="708"/>
    </w:p>
    <w:p w14:paraId="6C798A59">
      <w:pPr>
        <w:tabs>
          <w:tab w:val="left" w:pos="1134"/>
        </w:tabs>
        <w:spacing w:line="360" w:lineRule="auto"/>
        <w:ind w:firstLine="420" w:firstLineChars="200"/>
        <w:rPr>
          <w:rFonts w:ascii="宋体" w:hAnsi="宋体"/>
          <w:szCs w:val="21"/>
        </w:rPr>
      </w:pPr>
      <w:r>
        <w:rPr>
          <w:rFonts w:ascii="宋体" w:hAnsi="宋体"/>
          <w:szCs w:val="21"/>
        </w:rPr>
        <w:t xml:space="preserve">12.1 </w:t>
      </w:r>
      <w:r>
        <w:rPr>
          <w:rFonts w:hint="eastAsia" w:ascii="宋体" w:hAnsi="宋体"/>
          <w:szCs w:val="21"/>
        </w:rPr>
        <w:t>买方在履行合同过程中提供给卖方的全部图纸、文件和其他含有数据和信息的资料，其知识产权属于买方。</w:t>
      </w:r>
    </w:p>
    <w:p w14:paraId="59711356">
      <w:pPr>
        <w:tabs>
          <w:tab w:val="left" w:pos="1134"/>
        </w:tabs>
        <w:spacing w:line="360" w:lineRule="auto"/>
        <w:ind w:firstLine="420" w:firstLineChars="200"/>
        <w:rPr>
          <w:rFonts w:ascii="宋体" w:hAnsi="宋体"/>
          <w:szCs w:val="21"/>
        </w:rPr>
      </w:pPr>
      <w:r>
        <w:rPr>
          <w:rFonts w:ascii="宋体" w:hAnsi="宋体"/>
          <w:szCs w:val="21"/>
        </w:rPr>
        <w:t xml:space="preserve">12.2 </w:t>
      </w: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另有约定外，买方不因签署和履行合同而享有卖方在履行合同过程中提供给买方的图纸、文件、配套软件、电子辅助程序和其他含有数据和信息的资料的知识产权。</w:t>
      </w:r>
    </w:p>
    <w:p w14:paraId="536F305C">
      <w:pPr>
        <w:tabs>
          <w:tab w:val="left" w:pos="1134"/>
        </w:tabs>
        <w:spacing w:line="360" w:lineRule="auto"/>
        <w:ind w:firstLine="420" w:firstLineChars="200"/>
        <w:rPr>
          <w:rFonts w:ascii="宋体" w:hAnsi="宋体"/>
          <w:szCs w:val="21"/>
        </w:rPr>
      </w:pPr>
      <w:r>
        <w:rPr>
          <w:rFonts w:ascii="宋体" w:hAnsi="宋体"/>
          <w:szCs w:val="21"/>
        </w:rPr>
        <w:t xml:space="preserve">12.3 </w:t>
      </w:r>
      <w:r>
        <w:rPr>
          <w:rFonts w:hint="eastAsia" w:ascii="宋体" w:hAnsi="宋体"/>
          <w:szCs w:val="21"/>
        </w:rPr>
        <w:t>如合同设备涉及知识产权，则卖方保证买方在使用合同设备过程中免于受到第三方提出的有关知识产权侵权的主张、索赔或诉讼的伤害。</w:t>
      </w:r>
    </w:p>
    <w:p w14:paraId="2CA24F53">
      <w:pPr>
        <w:tabs>
          <w:tab w:val="left" w:pos="1134"/>
        </w:tabs>
        <w:spacing w:line="360" w:lineRule="auto"/>
        <w:ind w:firstLine="420" w:firstLineChars="200"/>
        <w:rPr>
          <w:rFonts w:ascii="宋体" w:hAnsi="宋体"/>
          <w:szCs w:val="21"/>
        </w:rPr>
      </w:pPr>
      <w:r>
        <w:rPr>
          <w:rFonts w:ascii="宋体" w:hAnsi="宋体"/>
          <w:szCs w:val="21"/>
        </w:rPr>
        <w:t xml:space="preserve">12.4 </w:t>
      </w:r>
      <w:r>
        <w:rPr>
          <w:rFonts w:hint="eastAsia" w:ascii="宋体" w:hAnsi="宋体"/>
          <w:szCs w:val="21"/>
        </w:rPr>
        <w:t>如果买方收到任何第三方有关知识产权的主张、索赔或诉讼，卖方在收到买方通知后，应以买方名义并在买方的协助下，自负费用处理与第三方的索赔或诉讼，并赔偿买方因此发生的费用和遭受的损失。除</w:t>
      </w:r>
      <w:r>
        <w:rPr>
          <w:rFonts w:hint="eastAsia" w:ascii="宋体" w:hAnsi="宋体" w:eastAsia="黑体"/>
          <w:b/>
          <w:szCs w:val="21"/>
        </w:rPr>
        <w:t>专用合同条款</w:t>
      </w:r>
      <w:r>
        <w:rPr>
          <w:rFonts w:hint="eastAsia" w:ascii="宋体" w:hAnsi="宋体"/>
          <w:szCs w:val="21"/>
        </w:rPr>
        <w:t>另有约定外，如果卖方拒绝处理前述索赔或诉讼或在收到买方通知后</w:t>
      </w:r>
      <w:r>
        <w:rPr>
          <w:rFonts w:ascii="宋体" w:hAnsi="宋体"/>
          <w:szCs w:val="21"/>
        </w:rPr>
        <w:t xml:space="preserve"> 28 </w:t>
      </w:r>
      <w:r>
        <w:rPr>
          <w:rFonts w:hint="eastAsia" w:ascii="宋体" w:hAnsi="宋体"/>
          <w:szCs w:val="21"/>
        </w:rPr>
        <w:t>日内未作表示，买方可以自己的名义进行这些索赔或诉讼，因此发生的费用和遭受的损失均应由卖方承担。</w:t>
      </w:r>
    </w:p>
    <w:p w14:paraId="646CC792">
      <w:pPr>
        <w:pStyle w:val="97"/>
        <w:keepNext w:val="0"/>
        <w:keepLines w:val="0"/>
        <w:tabs>
          <w:tab w:val="left" w:pos="567"/>
        </w:tabs>
        <w:spacing w:before="156" w:after="156"/>
        <w:rPr>
          <w:rFonts w:eastAsia="宋体" w:cs="Times New Roman"/>
          <w:b/>
          <w:bCs/>
          <w:sz w:val="32"/>
          <w:szCs w:val="32"/>
        </w:rPr>
      </w:pPr>
      <w:bookmarkStart w:id="709" w:name="_Toc26033"/>
      <w:bookmarkStart w:id="710" w:name="_Toc28004"/>
      <w:bookmarkStart w:id="711" w:name="_Toc19253"/>
      <w:bookmarkStart w:id="712" w:name="_Toc14021"/>
      <w:bookmarkStart w:id="713" w:name="_Toc2881592"/>
      <w:bookmarkStart w:id="714" w:name="_Toc18260"/>
      <w:bookmarkStart w:id="715" w:name="_Toc30790"/>
      <w:r>
        <w:rPr>
          <w:rFonts w:hint="eastAsia" w:eastAsia="宋体" w:cs="Times New Roman"/>
          <w:b/>
          <w:bCs/>
          <w:sz w:val="32"/>
          <w:szCs w:val="32"/>
        </w:rPr>
        <w:t>13.保密</w:t>
      </w:r>
      <w:bookmarkEnd w:id="709"/>
      <w:bookmarkEnd w:id="710"/>
      <w:bookmarkEnd w:id="711"/>
      <w:bookmarkEnd w:id="712"/>
      <w:bookmarkEnd w:id="713"/>
      <w:bookmarkEnd w:id="714"/>
      <w:bookmarkEnd w:id="715"/>
    </w:p>
    <w:p w14:paraId="0DBB2BAE">
      <w:pPr>
        <w:tabs>
          <w:tab w:val="left" w:pos="1134"/>
        </w:tabs>
        <w:spacing w:line="360" w:lineRule="auto"/>
        <w:ind w:firstLine="420" w:firstLineChars="200"/>
        <w:rPr>
          <w:rFonts w:ascii="宋体" w:hAnsi="宋体"/>
          <w:szCs w:val="21"/>
        </w:rPr>
      </w:pPr>
      <w:r>
        <w:rPr>
          <w:rFonts w:hint="eastAsia" w:ascii="宋体" w:hAnsi="宋体"/>
          <w:szCs w:val="21"/>
        </w:rPr>
        <w:t>合同双方应对因履行合同而取得的另一方当事人的信息、资料等予以保密。未经另一方当事人书面同意，任何一方均不得为与履行合同无关的目的使用或向第三方披露另一方当事人提供的信息、资料。</w:t>
      </w:r>
    </w:p>
    <w:p w14:paraId="18A3A832">
      <w:pPr>
        <w:tabs>
          <w:tab w:val="left" w:pos="1134"/>
        </w:tabs>
        <w:spacing w:line="360" w:lineRule="auto"/>
        <w:ind w:firstLine="420" w:firstLineChars="200"/>
        <w:rPr>
          <w:rFonts w:ascii="宋体" w:hAnsi="宋体"/>
          <w:szCs w:val="21"/>
        </w:rPr>
      </w:pPr>
      <w:r>
        <w:rPr>
          <w:rFonts w:hint="eastAsia" w:ascii="宋体" w:hAnsi="宋体"/>
          <w:szCs w:val="21"/>
        </w:rPr>
        <w:t>合同当事人的保密义务不适用于下列信息：</w:t>
      </w:r>
    </w:p>
    <w:p w14:paraId="7060D64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）非因接受信息一方的过失现在或以后进入公共领域的信息；</w:t>
      </w:r>
    </w:p>
    <w:p w14:paraId="14B8D7B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）接受信息一方当事人合法地从第三方获得并且据其善意了解第三方也不对此承担保密义务的信息；</w:t>
      </w:r>
    </w:p>
    <w:p w14:paraId="01D7AB3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）法律或法律的执行要求披露的信息。</w:t>
      </w:r>
    </w:p>
    <w:p w14:paraId="593E2CD8">
      <w:pPr>
        <w:pStyle w:val="97"/>
        <w:keepNext w:val="0"/>
        <w:keepLines w:val="0"/>
        <w:tabs>
          <w:tab w:val="left" w:pos="567"/>
        </w:tabs>
        <w:spacing w:before="156" w:after="156"/>
        <w:rPr>
          <w:rFonts w:eastAsia="宋体" w:cs="Times New Roman"/>
          <w:b/>
          <w:bCs/>
          <w:sz w:val="32"/>
          <w:szCs w:val="32"/>
        </w:rPr>
      </w:pPr>
      <w:bookmarkStart w:id="716" w:name="_Toc17398"/>
      <w:bookmarkStart w:id="717" w:name="_Toc16422"/>
      <w:bookmarkStart w:id="718" w:name="_Toc1836"/>
      <w:bookmarkStart w:id="719" w:name="_Toc4859"/>
      <w:bookmarkStart w:id="720" w:name="_Toc15738"/>
      <w:bookmarkStart w:id="721" w:name="_Toc20124"/>
      <w:bookmarkStart w:id="722" w:name="_Toc2881593"/>
      <w:r>
        <w:rPr>
          <w:rFonts w:hint="eastAsia" w:eastAsia="宋体" w:cs="Times New Roman"/>
          <w:b/>
          <w:bCs/>
          <w:sz w:val="32"/>
          <w:szCs w:val="32"/>
        </w:rPr>
        <w:t>14.违约责任</w:t>
      </w:r>
      <w:bookmarkEnd w:id="716"/>
      <w:bookmarkEnd w:id="717"/>
      <w:bookmarkEnd w:id="718"/>
      <w:bookmarkEnd w:id="719"/>
      <w:bookmarkEnd w:id="720"/>
      <w:bookmarkEnd w:id="721"/>
      <w:bookmarkEnd w:id="722"/>
    </w:p>
    <w:p w14:paraId="420C1713">
      <w:pPr>
        <w:tabs>
          <w:tab w:val="left" w:pos="1134"/>
        </w:tabs>
        <w:spacing w:line="360" w:lineRule="auto"/>
        <w:ind w:firstLine="420" w:firstLineChars="200"/>
        <w:rPr>
          <w:rFonts w:ascii="宋体" w:hAnsi="宋体"/>
          <w:szCs w:val="21"/>
        </w:rPr>
      </w:pPr>
      <w:r>
        <w:rPr>
          <w:rFonts w:ascii="宋体" w:hAnsi="宋体"/>
          <w:szCs w:val="21"/>
        </w:rPr>
        <w:t xml:space="preserve">14.1 </w:t>
      </w:r>
      <w:r>
        <w:rPr>
          <w:rFonts w:hint="eastAsia" w:ascii="宋体" w:hAnsi="宋体"/>
          <w:szCs w:val="21"/>
        </w:rPr>
        <w:t>合同一方不履行合同义务、履行合同义务不符合约定或者违反合同项下所作保证的，应向对方承担继续履行、采取修理、更换、退货等补救措施或者赔偿损失等违约责任。</w:t>
      </w:r>
    </w:p>
    <w:p w14:paraId="6D679027">
      <w:pPr>
        <w:tabs>
          <w:tab w:val="left" w:pos="1134"/>
        </w:tabs>
        <w:spacing w:line="360" w:lineRule="auto"/>
        <w:ind w:firstLine="420" w:firstLineChars="200"/>
        <w:rPr>
          <w:rFonts w:ascii="宋体" w:hAnsi="宋体"/>
          <w:szCs w:val="21"/>
        </w:rPr>
      </w:pPr>
      <w:r>
        <w:rPr>
          <w:rFonts w:ascii="宋体" w:hAnsi="宋体"/>
          <w:szCs w:val="21"/>
        </w:rPr>
        <w:t xml:space="preserve">14.2 </w:t>
      </w:r>
      <w:r>
        <w:rPr>
          <w:rFonts w:hint="eastAsia" w:ascii="宋体" w:hAnsi="宋体"/>
          <w:szCs w:val="21"/>
        </w:rPr>
        <w:t>卖方未能按时交付合同设备（包括仅迟延交付技术资料但足以导致合同设备安装、调</w:t>
      </w:r>
      <w:r>
        <w:rPr>
          <w:rFonts w:ascii="宋体" w:hAnsi="宋体"/>
          <w:szCs w:val="21"/>
        </w:rPr>
        <w:t xml:space="preserve"> </w:t>
      </w:r>
      <w:r>
        <w:rPr>
          <w:rFonts w:hint="eastAsia" w:ascii="宋体" w:hAnsi="宋体"/>
          <w:szCs w:val="21"/>
        </w:rPr>
        <w:t>试、考核、验收工作推迟的）的，应向买方支付迟延交付违约金。除</w:t>
      </w:r>
      <w:r>
        <w:rPr>
          <w:rFonts w:hint="eastAsia" w:ascii="宋体" w:hAnsi="宋体" w:eastAsia="黑体"/>
          <w:b/>
          <w:szCs w:val="21"/>
        </w:rPr>
        <w:t>专用合同条款</w:t>
      </w:r>
      <w:r>
        <w:rPr>
          <w:rFonts w:hint="eastAsia" w:ascii="宋体" w:hAnsi="宋体"/>
          <w:szCs w:val="21"/>
        </w:rPr>
        <w:t>另有约定外，迟延交付违约金的计算方法如下：</w:t>
      </w:r>
    </w:p>
    <w:p w14:paraId="0FFA105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）从迟交的第一周到第四周，每周迟延交付违约金为迟交合同设备价格的</w:t>
      </w:r>
      <w:r>
        <w:rPr>
          <w:rFonts w:ascii="宋体" w:hAnsi="宋体"/>
          <w:szCs w:val="21"/>
        </w:rPr>
        <w:t xml:space="preserve"> 0.5%</w:t>
      </w:r>
      <w:r>
        <w:rPr>
          <w:rFonts w:hint="eastAsia" w:ascii="宋体" w:hAnsi="宋体"/>
          <w:szCs w:val="21"/>
        </w:rPr>
        <w:t>；</w:t>
      </w:r>
    </w:p>
    <w:p w14:paraId="16A257C5">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）从迟交的第五周到第八周，每周迟延交付违约金为迟交合同设备价格的</w:t>
      </w:r>
      <w:r>
        <w:rPr>
          <w:rFonts w:ascii="宋体" w:hAnsi="宋体"/>
          <w:szCs w:val="21"/>
        </w:rPr>
        <w:t xml:space="preserve"> 1%</w:t>
      </w:r>
      <w:r>
        <w:rPr>
          <w:rFonts w:hint="eastAsia" w:ascii="宋体" w:hAnsi="宋体"/>
          <w:szCs w:val="21"/>
        </w:rPr>
        <w:t>；</w:t>
      </w:r>
    </w:p>
    <w:p w14:paraId="664AACC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）从迟交第九周起，每周迟延交付违约金为迟交合同设备价格的</w:t>
      </w:r>
      <w:r>
        <w:rPr>
          <w:rFonts w:ascii="宋体" w:hAnsi="宋体"/>
          <w:szCs w:val="21"/>
        </w:rPr>
        <w:t xml:space="preserve"> 1.5%</w:t>
      </w:r>
      <w:r>
        <w:rPr>
          <w:rFonts w:hint="eastAsia" w:ascii="宋体" w:hAnsi="宋体"/>
          <w:szCs w:val="21"/>
        </w:rPr>
        <w:t>。在计算迟延交付违约金时，迟交不足一周的按一周计算。迟延交付违约金的总额不得超过合同价格的</w:t>
      </w:r>
      <w:r>
        <w:rPr>
          <w:rFonts w:ascii="宋体" w:hAnsi="宋体"/>
          <w:szCs w:val="21"/>
        </w:rPr>
        <w:t>10%</w:t>
      </w:r>
      <w:r>
        <w:rPr>
          <w:rFonts w:hint="eastAsia" w:ascii="宋体" w:hAnsi="宋体"/>
          <w:szCs w:val="21"/>
        </w:rPr>
        <w:t>。迟延交付违约金的支付不能免除卖方继续交付相关合同设备的义务，但如迟延交付必然导致合同设备安装、调试、考核、验收工作推迟的，相关工作应相应顺延。</w:t>
      </w:r>
    </w:p>
    <w:p w14:paraId="12F0C501">
      <w:pPr>
        <w:tabs>
          <w:tab w:val="left" w:pos="1134"/>
        </w:tabs>
        <w:spacing w:line="360" w:lineRule="auto"/>
        <w:ind w:firstLine="420" w:firstLineChars="200"/>
        <w:rPr>
          <w:rFonts w:ascii="宋体" w:hAnsi="宋体"/>
          <w:szCs w:val="21"/>
        </w:rPr>
      </w:pPr>
      <w:r>
        <w:rPr>
          <w:rFonts w:ascii="宋体" w:hAnsi="宋体"/>
          <w:szCs w:val="21"/>
        </w:rPr>
        <w:t xml:space="preserve">14.3 </w:t>
      </w:r>
      <w:r>
        <w:rPr>
          <w:rFonts w:hint="eastAsia" w:ascii="宋体" w:hAnsi="宋体"/>
          <w:szCs w:val="21"/>
        </w:rPr>
        <w:t>买方未能按合同约定支付合同价款的，应向卖方支付延迟付款违约金。除</w:t>
      </w:r>
      <w:r>
        <w:rPr>
          <w:rFonts w:hint="eastAsia" w:ascii="宋体" w:hAnsi="宋体" w:eastAsia="黑体"/>
          <w:b/>
          <w:szCs w:val="21"/>
        </w:rPr>
        <w:t>专用合同条款</w:t>
      </w:r>
      <w:r>
        <w:rPr>
          <w:rFonts w:hint="eastAsia" w:ascii="宋体" w:hAnsi="宋体"/>
          <w:szCs w:val="21"/>
        </w:rPr>
        <w:t>另有约定外，迟延付款违约金的计算方法如下：</w:t>
      </w:r>
    </w:p>
    <w:p w14:paraId="725AAFFC">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）从迟付的第一周到第四周，每周迟延付款违约金为迟延付款金额的</w:t>
      </w:r>
      <w:r>
        <w:rPr>
          <w:rFonts w:ascii="宋体" w:hAnsi="宋体"/>
          <w:szCs w:val="21"/>
        </w:rPr>
        <w:t xml:space="preserve"> 0.5%</w:t>
      </w:r>
      <w:r>
        <w:rPr>
          <w:rFonts w:hint="eastAsia" w:ascii="宋体" w:hAnsi="宋体"/>
          <w:szCs w:val="21"/>
        </w:rPr>
        <w:t>；</w:t>
      </w:r>
    </w:p>
    <w:p w14:paraId="31357781">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）从迟付的第五周到第八周，每周迟延付款违约金为迟延付款金额的</w:t>
      </w:r>
      <w:r>
        <w:rPr>
          <w:rFonts w:ascii="宋体" w:hAnsi="宋体"/>
          <w:szCs w:val="21"/>
        </w:rPr>
        <w:t xml:space="preserve"> 1%</w:t>
      </w:r>
      <w:r>
        <w:rPr>
          <w:rFonts w:hint="eastAsia" w:ascii="宋体" w:hAnsi="宋体"/>
          <w:szCs w:val="21"/>
        </w:rPr>
        <w:t>；</w:t>
      </w:r>
    </w:p>
    <w:p w14:paraId="373C72D0">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）从迟付第九周起，每周迟延付款违约金为迟延付款金额的</w:t>
      </w:r>
      <w:r>
        <w:rPr>
          <w:rFonts w:ascii="宋体" w:hAnsi="宋体"/>
          <w:szCs w:val="21"/>
        </w:rPr>
        <w:t xml:space="preserve"> 1.5%</w:t>
      </w:r>
      <w:r>
        <w:rPr>
          <w:rFonts w:hint="eastAsia" w:ascii="宋体" w:hAnsi="宋体"/>
          <w:szCs w:val="21"/>
        </w:rPr>
        <w:t>。在计算迟延付款违约金时，迟付不足一周的按一周计算。迟延付款违约金的总额不得超过合同价格的</w:t>
      </w:r>
      <w:r>
        <w:rPr>
          <w:rFonts w:ascii="宋体" w:hAnsi="宋体"/>
          <w:szCs w:val="21"/>
        </w:rPr>
        <w:t xml:space="preserve"> 10%</w:t>
      </w:r>
      <w:r>
        <w:rPr>
          <w:rFonts w:hint="eastAsia" w:ascii="宋体" w:hAnsi="宋体"/>
          <w:szCs w:val="21"/>
        </w:rPr>
        <w:t>。</w:t>
      </w:r>
    </w:p>
    <w:p w14:paraId="2C7D90E0">
      <w:pPr>
        <w:pStyle w:val="97"/>
        <w:keepNext w:val="0"/>
        <w:keepLines w:val="0"/>
        <w:tabs>
          <w:tab w:val="left" w:pos="567"/>
        </w:tabs>
        <w:spacing w:before="156" w:after="156"/>
        <w:rPr>
          <w:rFonts w:eastAsia="宋体" w:cs="Times New Roman"/>
          <w:b/>
          <w:bCs/>
          <w:sz w:val="32"/>
          <w:szCs w:val="32"/>
        </w:rPr>
      </w:pPr>
      <w:bookmarkStart w:id="723" w:name="_Toc18597"/>
      <w:bookmarkStart w:id="724" w:name="_Toc25260"/>
      <w:bookmarkStart w:id="725" w:name="_Toc2881594"/>
      <w:bookmarkStart w:id="726" w:name="_Toc15866"/>
      <w:bookmarkStart w:id="727" w:name="_Toc14410"/>
      <w:bookmarkStart w:id="728" w:name="_Toc31553"/>
      <w:bookmarkStart w:id="729" w:name="_Toc32460"/>
      <w:r>
        <w:rPr>
          <w:rFonts w:hint="eastAsia" w:eastAsia="宋体" w:cs="Times New Roman"/>
          <w:b/>
          <w:bCs/>
          <w:sz w:val="32"/>
          <w:szCs w:val="32"/>
        </w:rPr>
        <w:t>15.合同的解除</w:t>
      </w:r>
      <w:bookmarkEnd w:id="723"/>
      <w:bookmarkEnd w:id="724"/>
      <w:bookmarkEnd w:id="725"/>
      <w:bookmarkEnd w:id="726"/>
      <w:bookmarkEnd w:id="727"/>
      <w:bookmarkEnd w:id="728"/>
      <w:bookmarkEnd w:id="729"/>
    </w:p>
    <w:p w14:paraId="0BE2BDB9">
      <w:pPr>
        <w:tabs>
          <w:tab w:val="left" w:pos="1134"/>
        </w:tabs>
        <w:spacing w:line="360" w:lineRule="auto"/>
        <w:ind w:firstLine="420" w:firstLineChars="200"/>
        <w:rPr>
          <w:rFonts w:ascii="宋体" w:hAnsi="宋体"/>
          <w:szCs w:val="21"/>
        </w:rPr>
      </w:pPr>
      <w:r>
        <w:rPr>
          <w:rFonts w:hint="eastAsia" w:ascii="宋体" w:hAnsi="宋体"/>
          <w:szCs w:val="21"/>
        </w:rPr>
        <w:t>除</w:t>
      </w:r>
      <w:r>
        <w:rPr>
          <w:rFonts w:hint="eastAsia" w:ascii="宋体" w:hAnsi="宋体" w:eastAsia="黑体"/>
          <w:b/>
          <w:szCs w:val="21"/>
        </w:rPr>
        <w:t>专用合同条款</w:t>
      </w:r>
      <w:r>
        <w:rPr>
          <w:rFonts w:hint="eastAsia" w:ascii="宋体" w:hAnsi="宋体"/>
          <w:szCs w:val="21"/>
        </w:rPr>
        <w:t>另有约定外，有下述情形之一，当事人可发出书面通知全部或部分地解除合同，合同自通知到达对方时全部或部分地解除：</w:t>
      </w:r>
    </w:p>
    <w:p w14:paraId="49989692">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）卖方迟延交付合同设备超过</w:t>
      </w:r>
      <w:r>
        <w:rPr>
          <w:rFonts w:ascii="宋体" w:hAnsi="宋体"/>
          <w:szCs w:val="21"/>
        </w:rPr>
        <w:t xml:space="preserve"> 3 </w:t>
      </w:r>
      <w:r>
        <w:rPr>
          <w:rFonts w:hint="eastAsia" w:ascii="宋体" w:hAnsi="宋体"/>
          <w:szCs w:val="21"/>
        </w:rPr>
        <w:t>个月；</w:t>
      </w:r>
    </w:p>
    <w:p w14:paraId="0EE0DB5F">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合同设备由于卖方原因三次考核均未能达到技术性能考核指标或在合同约定了或双方在考核中另行达成了最低技术性能考核指标时均未能达到最低技术性能考核指标，且买卖双方未就合同的后续履行协商达成一致；</w:t>
      </w:r>
    </w:p>
    <w:p w14:paraId="77DD1F4D">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3</w:t>
      </w:r>
      <w:r>
        <w:rPr>
          <w:rFonts w:hint="eastAsia" w:ascii="宋体" w:hAnsi="宋体"/>
          <w:szCs w:val="21"/>
        </w:rPr>
        <w:t>）买方迟延付款超过</w:t>
      </w:r>
      <w:r>
        <w:rPr>
          <w:rFonts w:ascii="宋体" w:hAnsi="宋体"/>
          <w:szCs w:val="21"/>
        </w:rPr>
        <w:t xml:space="preserve"> 3 </w:t>
      </w:r>
      <w:r>
        <w:rPr>
          <w:rFonts w:hint="eastAsia" w:ascii="宋体" w:hAnsi="宋体"/>
          <w:szCs w:val="21"/>
        </w:rPr>
        <w:t>个月；</w:t>
      </w:r>
    </w:p>
    <w:p w14:paraId="712E5ED4">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4</w:t>
      </w:r>
      <w:r>
        <w:rPr>
          <w:rFonts w:hint="eastAsia" w:ascii="宋体" w:hAnsi="宋体"/>
          <w:szCs w:val="21"/>
        </w:rPr>
        <w:t>）合同一方当事人未能履行合同项下任何其它义务（细微义务除外），或在未事先征得另一方当事人同意的情况下，从事任何可能在实质上不利影响其履行合同能力的活动，经另一方当事人书面通知后</w:t>
      </w:r>
      <w:r>
        <w:rPr>
          <w:rFonts w:ascii="宋体" w:hAnsi="宋体"/>
          <w:szCs w:val="21"/>
        </w:rPr>
        <w:t xml:space="preserve"> 14 </w:t>
      </w:r>
      <w:r>
        <w:rPr>
          <w:rFonts w:hint="eastAsia" w:ascii="宋体" w:hAnsi="宋体"/>
          <w:szCs w:val="21"/>
        </w:rPr>
        <w:t>日内或在</w:t>
      </w:r>
      <w:r>
        <w:rPr>
          <w:rFonts w:hint="eastAsia" w:ascii="宋体" w:hAnsi="宋体" w:eastAsia="黑体"/>
          <w:b/>
          <w:szCs w:val="21"/>
        </w:rPr>
        <w:t>专用合同条款</w:t>
      </w:r>
      <w:r>
        <w:rPr>
          <w:rFonts w:hint="eastAsia" w:ascii="宋体" w:hAnsi="宋体"/>
          <w:szCs w:val="21"/>
        </w:rPr>
        <w:t>约定的其他期限内未能对其行为作出补救；</w:t>
      </w:r>
    </w:p>
    <w:p w14:paraId="57C39151">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5</w:t>
      </w:r>
      <w:r>
        <w:rPr>
          <w:rFonts w:hint="eastAsia" w:ascii="宋体" w:hAnsi="宋体"/>
          <w:szCs w:val="21"/>
        </w:rPr>
        <w:t>）合同一方当事人出现破产、清算、资不抵债、成为失信被执行人等可能丧失履约能力的情形，且未能提供令对方满意的履约保证金。</w:t>
      </w:r>
    </w:p>
    <w:p w14:paraId="11EF7DA5">
      <w:pPr>
        <w:pStyle w:val="97"/>
        <w:keepNext w:val="0"/>
        <w:keepLines w:val="0"/>
        <w:tabs>
          <w:tab w:val="left" w:pos="567"/>
        </w:tabs>
        <w:spacing w:before="156" w:after="156"/>
        <w:rPr>
          <w:rFonts w:eastAsia="宋体" w:cs="Times New Roman"/>
          <w:b/>
          <w:bCs/>
          <w:sz w:val="32"/>
          <w:szCs w:val="32"/>
        </w:rPr>
      </w:pPr>
      <w:bookmarkStart w:id="730" w:name="_Toc23845"/>
      <w:bookmarkStart w:id="731" w:name="_Toc26267"/>
      <w:bookmarkStart w:id="732" w:name="_Toc28995"/>
      <w:bookmarkStart w:id="733" w:name="_Toc2881595"/>
      <w:bookmarkStart w:id="734" w:name="_Toc1809"/>
      <w:bookmarkStart w:id="735" w:name="_Toc4332"/>
      <w:bookmarkStart w:id="736" w:name="_Toc31448"/>
      <w:r>
        <w:rPr>
          <w:rFonts w:hint="eastAsia" w:eastAsia="宋体" w:cs="Times New Roman"/>
          <w:b/>
          <w:bCs/>
          <w:sz w:val="32"/>
          <w:szCs w:val="32"/>
        </w:rPr>
        <w:t>16.不可抗力</w:t>
      </w:r>
      <w:bookmarkEnd w:id="730"/>
      <w:bookmarkEnd w:id="731"/>
      <w:bookmarkEnd w:id="732"/>
      <w:bookmarkEnd w:id="733"/>
      <w:bookmarkEnd w:id="734"/>
      <w:bookmarkEnd w:id="735"/>
      <w:bookmarkEnd w:id="736"/>
    </w:p>
    <w:p w14:paraId="7E42A7FE">
      <w:pPr>
        <w:tabs>
          <w:tab w:val="left" w:pos="1134"/>
        </w:tabs>
        <w:spacing w:line="360" w:lineRule="auto"/>
        <w:ind w:firstLine="420" w:firstLineChars="200"/>
        <w:rPr>
          <w:rFonts w:ascii="宋体" w:hAnsi="宋体"/>
          <w:szCs w:val="21"/>
        </w:rPr>
      </w:pPr>
      <w:r>
        <w:rPr>
          <w:rFonts w:ascii="宋体" w:hAnsi="宋体"/>
          <w:szCs w:val="21"/>
        </w:rPr>
        <w:t xml:space="preserve">16.1 </w:t>
      </w:r>
      <w:r>
        <w:rPr>
          <w:rFonts w:hint="eastAsia" w:ascii="宋体" w:hAnsi="宋体"/>
          <w:szCs w:val="21"/>
        </w:rPr>
        <w:t>如果任何一方当事人受到不能预见、不能避免且不能克服的不可抗力事件的影响，例如战争、严重的火灾、台风、地震、洪水和</w:t>
      </w:r>
      <w:r>
        <w:rPr>
          <w:rFonts w:hint="eastAsia" w:ascii="宋体" w:hAnsi="宋体" w:eastAsia="黑体"/>
          <w:b/>
          <w:szCs w:val="21"/>
        </w:rPr>
        <w:t>专用合同条款</w:t>
      </w:r>
      <w:r>
        <w:rPr>
          <w:rFonts w:hint="eastAsia" w:ascii="宋体" w:hAnsi="宋体"/>
          <w:szCs w:val="21"/>
        </w:rPr>
        <w:t>约定的其他情形，而无法履行合同项下的任何义务，则受影响的一方当事人应立即将此类事件的发生通知另一方当事人，并应在不可抗力事件发生后</w:t>
      </w:r>
      <w:r>
        <w:rPr>
          <w:rFonts w:ascii="宋体" w:hAnsi="宋体"/>
          <w:szCs w:val="21"/>
        </w:rPr>
        <w:t xml:space="preserve"> 28 </w:t>
      </w:r>
      <w:r>
        <w:rPr>
          <w:rFonts w:hint="eastAsia" w:ascii="宋体" w:hAnsi="宋体"/>
          <w:szCs w:val="21"/>
        </w:rPr>
        <w:t>日内将有关当局或机构出具的证明文件提交给另一方当事人。</w:t>
      </w:r>
    </w:p>
    <w:p w14:paraId="3704DC25">
      <w:pPr>
        <w:tabs>
          <w:tab w:val="left" w:pos="1134"/>
        </w:tabs>
        <w:spacing w:line="360" w:lineRule="auto"/>
        <w:ind w:firstLine="420" w:firstLineChars="200"/>
        <w:rPr>
          <w:rFonts w:ascii="宋体" w:hAnsi="宋体"/>
          <w:szCs w:val="21"/>
        </w:rPr>
      </w:pPr>
      <w:r>
        <w:rPr>
          <w:rFonts w:ascii="宋体" w:hAnsi="宋体"/>
          <w:szCs w:val="21"/>
        </w:rPr>
        <w:t xml:space="preserve">16.2 </w:t>
      </w:r>
      <w:r>
        <w:rPr>
          <w:rFonts w:hint="eastAsia" w:ascii="宋体" w:hAnsi="宋体"/>
          <w:szCs w:val="21"/>
        </w:rPr>
        <w:t>受不可抗力事件影响的一方当事人对于不可抗力事件导致的任何合同义务的迟延履行或不能履行不承担违约责任。但该方当事人应尽快将不可抗力事件结束或消除的情况通知另一方当事人。</w:t>
      </w:r>
    </w:p>
    <w:p w14:paraId="0ADC2CF8">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双方当事人应在不可抗力事件结束或其影响消除后立即继续履行其合同义务，合同期限也应相应顺延。除</w:t>
      </w:r>
      <w:r>
        <w:rPr>
          <w:rFonts w:hint="eastAsia" w:ascii="宋体" w:hAnsi="宋体" w:eastAsia="黑体"/>
          <w:b/>
          <w:szCs w:val="21"/>
        </w:rPr>
        <w:t>专用合同条款</w:t>
      </w:r>
      <w:r>
        <w:rPr>
          <w:rFonts w:hint="eastAsia" w:ascii="宋体" w:hAnsi="宋体"/>
          <w:szCs w:val="21"/>
        </w:rPr>
        <w:t>另有约定外，如果不可抗力事件的影响持续超过</w:t>
      </w:r>
      <w:r>
        <w:rPr>
          <w:rFonts w:ascii="宋体" w:hAnsi="宋体"/>
          <w:szCs w:val="21"/>
        </w:rPr>
        <w:t xml:space="preserve"> 140 </w:t>
      </w:r>
      <w:r>
        <w:rPr>
          <w:rFonts w:hint="eastAsia" w:ascii="宋体" w:hAnsi="宋体"/>
          <w:szCs w:val="21"/>
        </w:rPr>
        <w:t>日，则任何一方当事人均有权以书面通知解除合同。</w:t>
      </w:r>
    </w:p>
    <w:p w14:paraId="409E239F">
      <w:pPr>
        <w:pStyle w:val="97"/>
        <w:keepNext w:val="0"/>
        <w:keepLines w:val="0"/>
        <w:tabs>
          <w:tab w:val="left" w:pos="567"/>
        </w:tabs>
        <w:spacing w:before="156" w:after="156"/>
        <w:rPr>
          <w:rFonts w:eastAsia="宋体" w:cs="Times New Roman"/>
          <w:b/>
          <w:bCs/>
          <w:sz w:val="32"/>
          <w:szCs w:val="32"/>
        </w:rPr>
      </w:pPr>
      <w:bookmarkStart w:id="737" w:name="_Toc2881596"/>
      <w:bookmarkStart w:id="738" w:name="_Toc19430"/>
      <w:bookmarkStart w:id="739" w:name="_Toc30225"/>
      <w:bookmarkStart w:id="740" w:name="_Toc20272"/>
      <w:bookmarkStart w:id="741" w:name="_Toc8951"/>
      <w:bookmarkStart w:id="742" w:name="_Toc10377"/>
      <w:bookmarkStart w:id="743" w:name="_Toc8452"/>
      <w:r>
        <w:rPr>
          <w:rFonts w:hint="eastAsia" w:eastAsia="宋体" w:cs="Times New Roman"/>
          <w:b/>
          <w:bCs/>
          <w:sz w:val="32"/>
          <w:szCs w:val="32"/>
        </w:rPr>
        <w:t>17.争议的解决</w:t>
      </w:r>
      <w:bookmarkEnd w:id="737"/>
      <w:bookmarkEnd w:id="738"/>
      <w:bookmarkEnd w:id="739"/>
      <w:bookmarkEnd w:id="740"/>
      <w:bookmarkEnd w:id="741"/>
      <w:bookmarkEnd w:id="742"/>
      <w:bookmarkEnd w:id="743"/>
    </w:p>
    <w:p w14:paraId="17B0BD11">
      <w:pPr>
        <w:tabs>
          <w:tab w:val="left" w:pos="1134"/>
        </w:tabs>
        <w:spacing w:line="360" w:lineRule="auto"/>
        <w:ind w:firstLine="420" w:firstLineChars="200"/>
        <w:rPr>
          <w:rFonts w:ascii="宋体" w:hAnsi="宋体"/>
          <w:szCs w:val="21"/>
        </w:rPr>
      </w:pPr>
      <w:r>
        <w:rPr>
          <w:rFonts w:hint="eastAsia" w:ascii="宋体" w:hAnsi="宋体"/>
          <w:szCs w:val="21"/>
        </w:rPr>
        <w:t>因本合同引起的或与本合同有关的任何争议</w:t>
      </w:r>
      <w:r>
        <w:rPr>
          <w:rFonts w:ascii="宋体" w:hAnsi="宋体"/>
          <w:szCs w:val="21"/>
        </w:rPr>
        <w:t>,</w:t>
      </w:r>
      <w:r>
        <w:rPr>
          <w:rFonts w:hint="eastAsia" w:ascii="宋体" w:hAnsi="宋体"/>
          <w:szCs w:val="21"/>
        </w:rPr>
        <w:t>双方可通过友好协商解决。友好协商解决不成的，可在</w:t>
      </w:r>
      <w:r>
        <w:rPr>
          <w:rFonts w:hint="eastAsia" w:ascii="宋体" w:hAnsi="宋体" w:eastAsia="黑体"/>
          <w:b/>
          <w:szCs w:val="21"/>
        </w:rPr>
        <w:t>专用合同条款</w:t>
      </w:r>
      <w:r>
        <w:rPr>
          <w:rFonts w:hint="eastAsia" w:ascii="宋体" w:hAnsi="宋体"/>
          <w:szCs w:val="21"/>
        </w:rPr>
        <w:t>中约定下列一种方式解决：</w:t>
      </w:r>
    </w:p>
    <w:p w14:paraId="57075DF9">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）向约定的仲裁委员会申请仲裁；</w:t>
      </w:r>
    </w:p>
    <w:p w14:paraId="6047DC7F">
      <w:pPr>
        <w:spacing w:line="360" w:lineRule="auto"/>
        <w:ind w:firstLine="420" w:firstLineChars="200"/>
        <w:rPr>
          <w:rFonts w:ascii="宋体" w:hAnsi="宋体"/>
        </w:rPr>
      </w:pPr>
      <w:r>
        <w:rPr>
          <w:rFonts w:hint="eastAsia" w:ascii="宋体" w:hAnsi="宋体"/>
          <w:szCs w:val="21"/>
        </w:rPr>
        <w:t>（</w:t>
      </w:r>
      <w:r>
        <w:rPr>
          <w:rFonts w:ascii="宋体" w:hAnsi="宋体"/>
          <w:szCs w:val="21"/>
        </w:rPr>
        <w:t>2</w:t>
      </w:r>
      <w:r>
        <w:rPr>
          <w:rFonts w:hint="eastAsia" w:ascii="宋体" w:hAnsi="宋体"/>
          <w:szCs w:val="21"/>
        </w:rPr>
        <w:t>）向有管辖权的人民法院提起诉讼。</w:t>
      </w:r>
    </w:p>
    <w:p w14:paraId="31853FFD">
      <w:pPr>
        <w:keepNext/>
        <w:keepLines/>
        <w:snapToGrid w:val="0"/>
        <w:spacing w:before="260" w:after="260" w:line="360" w:lineRule="auto"/>
        <w:outlineLvl w:val="2"/>
        <w:rPr>
          <w:rFonts w:ascii="宋体" w:hAnsi="宋体"/>
          <w:kern w:val="0"/>
          <w:sz w:val="28"/>
          <w:szCs w:val="28"/>
        </w:rPr>
      </w:pPr>
      <w:r>
        <w:rPr>
          <w:rFonts w:hint="eastAsia" w:ascii="宋体" w:hAnsi="宋体"/>
          <w:b/>
          <w:bCs/>
          <w:szCs w:val="21"/>
          <w:lang w:val="zh-CN"/>
        </w:rPr>
        <w:br w:type="page"/>
      </w:r>
      <w:bookmarkStart w:id="744" w:name="_Toc532377320"/>
      <w:bookmarkStart w:id="745" w:name="_Toc19799"/>
      <w:bookmarkStart w:id="746" w:name="_Toc529388290"/>
      <w:bookmarkStart w:id="747" w:name="_Toc22691"/>
      <w:bookmarkStart w:id="748" w:name="_Toc532375607"/>
      <w:r>
        <w:rPr>
          <w:rFonts w:hint="eastAsia" w:ascii="宋体" w:hAnsi="宋体"/>
          <w:kern w:val="0"/>
          <w:sz w:val="28"/>
          <w:szCs w:val="28"/>
        </w:rPr>
        <w:t>第</w:t>
      </w:r>
      <w:r>
        <w:rPr>
          <w:rFonts w:hint="eastAsia" w:ascii="宋体" w:hAnsi="宋体"/>
          <w:kern w:val="0"/>
          <w:sz w:val="28"/>
          <w:szCs w:val="28"/>
          <w:lang w:val="en-US" w:eastAsia="zh-CN"/>
        </w:rPr>
        <w:t>二</w:t>
      </w:r>
      <w:r>
        <w:rPr>
          <w:rFonts w:hint="eastAsia" w:ascii="宋体" w:hAnsi="宋体"/>
          <w:kern w:val="0"/>
          <w:sz w:val="28"/>
          <w:szCs w:val="28"/>
        </w:rPr>
        <w:t>节 专用合同条款</w:t>
      </w:r>
      <w:bookmarkEnd w:id="744"/>
      <w:bookmarkEnd w:id="745"/>
      <w:bookmarkEnd w:id="746"/>
      <w:bookmarkEnd w:id="747"/>
      <w:bookmarkEnd w:id="748"/>
    </w:p>
    <w:p w14:paraId="62BD7A16">
      <w:pPr>
        <w:pStyle w:val="97"/>
        <w:keepNext w:val="0"/>
        <w:keepLines w:val="0"/>
        <w:tabs>
          <w:tab w:val="left" w:pos="567"/>
        </w:tabs>
        <w:spacing w:before="156" w:after="156"/>
        <w:rPr>
          <w:rFonts w:eastAsia="宋体" w:cs="Times New Roman"/>
          <w:b/>
          <w:bCs/>
          <w:sz w:val="32"/>
          <w:szCs w:val="32"/>
        </w:rPr>
      </w:pPr>
      <w:bookmarkStart w:id="749" w:name="baidusnap7"/>
      <w:bookmarkEnd w:id="749"/>
      <w:bookmarkStart w:id="750" w:name="baidusnap3"/>
      <w:bookmarkEnd w:id="750"/>
      <w:bookmarkStart w:id="751" w:name="_Toc21206"/>
      <w:bookmarkStart w:id="752" w:name="_Toc27196"/>
      <w:bookmarkStart w:id="753" w:name="_Toc29901"/>
      <w:bookmarkStart w:id="754" w:name="_Toc27170"/>
      <w:bookmarkStart w:id="755" w:name="_Toc531098981"/>
      <w:bookmarkStart w:id="756" w:name="_Toc10484"/>
      <w:bookmarkStart w:id="757" w:name="_Toc26514"/>
      <w:bookmarkStart w:id="758" w:name="_Toc2881827"/>
      <w:bookmarkStart w:id="759" w:name="_Toc381358675"/>
      <w:bookmarkStart w:id="760" w:name="_Toc218048833"/>
      <w:bookmarkStart w:id="761" w:name="_Toc218049013"/>
      <w:bookmarkStart w:id="762" w:name="_Toc256955766"/>
      <w:bookmarkStart w:id="763" w:name="_Toc375218810"/>
      <w:bookmarkStart w:id="764" w:name="_Toc255494563"/>
      <w:bookmarkStart w:id="765" w:name="_Toc217443411"/>
      <w:bookmarkStart w:id="766" w:name="_Toc138323411"/>
      <w:bookmarkStart w:id="767" w:name="_Toc152696792"/>
      <w:bookmarkStart w:id="768" w:name="_Toc138638817"/>
      <w:bookmarkStart w:id="769" w:name="_Toc153629149"/>
      <w:bookmarkStart w:id="770" w:name="_Toc153629207"/>
      <w:bookmarkStart w:id="771" w:name="_Toc153270596"/>
      <w:bookmarkStart w:id="772" w:name="_Toc139194405"/>
      <w:bookmarkStart w:id="773" w:name="_Toc15767"/>
      <w:bookmarkStart w:id="774" w:name="_Toc31567"/>
      <w:r>
        <w:rPr>
          <w:rFonts w:hint="eastAsia" w:eastAsia="宋体" w:cs="Times New Roman"/>
          <w:b/>
          <w:bCs/>
          <w:sz w:val="32"/>
          <w:szCs w:val="32"/>
        </w:rPr>
        <w:t>1. 一般规定</w:t>
      </w:r>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p>
    <w:p w14:paraId="25BEC779">
      <w:pPr>
        <w:spacing w:line="360" w:lineRule="auto"/>
        <w:ind w:firstLine="420" w:firstLineChars="200"/>
        <w:rPr>
          <w:rFonts w:ascii="宋体" w:hAnsi="宋体"/>
          <w:szCs w:val="21"/>
        </w:rPr>
      </w:pPr>
      <w:bookmarkStart w:id="775" w:name="_Toc531098982"/>
      <w:r>
        <w:rPr>
          <w:rFonts w:hint="eastAsia" w:ascii="宋体" w:hAnsi="宋体"/>
          <w:szCs w:val="21"/>
        </w:rPr>
        <w:t>1.1</w:t>
      </w:r>
      <w:r>
        <w:rPr>
          <w:rFonts w:ascii="宋体" w:hAnsi="宋体"/>
          <w:szCs w:val="21"/>
        </w:rPr>
        <w:t xml:space="preserve"> </w:t>
      </w:r>
      <w:r>
        <w:rPr>
          <w:rFonts w:hint="eastAsia" w:ascii="宋体" w:hAnsi="宋体"/>
          <w:szCs w:val="21"/>
        </w:rPr>
        <w:t>词语定义</w:t>
      </w:r>
      <w:bookmarkEnd w:id="775"/>
    </w:p>
    <w:p w14:paraId="16E7AB96">
      <w:pPr>
        <w:spacing w:line="360" w:lineRule="auto"/>
        <w:ind w:firstLine="420" w:firstLineChars="200"/>
        <w:rPr>
          <w:rFonts w:ascii="宋体" w:hAnsi="宋体"/>
          <w:szCs w:val="21"/>
        </w:rPr>
      </w:pPr>
      <w:r>
        <w:rPr>
          <w:rFonts w:ascii="宋体" w:hAnsi="宋体"/>
          <w:szCs w:val="21"/>
        </w:rPr>
        <w:t>1.1.</w:t>
      </w:r>
      <w:r>
        <w:rPr>
          <w:rFonts w:hint="eastAsia" w:ascii="宋体" w:hAnsi="宋体"/>
          <w:szCs w:val="21"/>
        </w:rPr>
        <w:t>13</w:t>
      </w:r>
      <w:r>
        <w:rPr>
          <w:rFonts w:ascii="宋体" w:hAnsi="宋体"/>
          <w:szCs w:val="21"/>
        </w:rPr>
        <w:t xml:space="preserve"> </w:t>
      </w:r>
      <w:r>
        <w:rPr>
          <w:rFonts w:hint="eastAsia" w:ascii="宋体" w:hAnsi="宋体"/>
          <w:szCs w:val="21"/>
        </w:rPr>
        <w:t>工程</w:t>
      </w:r>
    </w:p>
    <w:p w14:paraId="189298FC">
      <w:pPr>
        <w:spacing w:line="360" w:lineRule="auto"/>
        <w:ind w:firstLine="630" w:firstLineChars="300"/>
        <w:rPr>
          <w:rFonts w:ascii="宋体" w:hAnsi="宋体" w:cs="Arial"/>
          <w:szCs w:val="21"/>
          <w:u w:val="single"/>
        </w:rPr>
      </w:pPr>
      <w:r>
        <w:rPr>
          <w:rFonts w:hint="eastAsia" w:ascii="宋体" w:hAnsi="宋体"/>
          <w:szCs w:val="21"/>
        </w:rPr>
        <w:t>1.1.13.1</w:t>
      </w:r>
      <w:r>
        <w:rPr>
          <w:rFonts w:ascii="宋体" w:hAnsi="宋体"/>
          <w:szCs w:val="21"/>
        </w:rPr>
        <w:t xml:space="preserve"> </w:t>
      </w:r>
      <w:r>
        <w:rPr>
          <w:rFonts w:hint="eastAsia" w:ascii="宋体" w:hAnsi="宋体"/>
          <w:szCs w:val="21"/>
        </w:rPr>
        <w:t>工程：</w:t>
      </w:r>
      <w:r>
        <w:rPr>
          <w:rFonts w:ascii="宋体" w:hAnsi="宋体" w:cs="Arial"/>
          <w:szCs w:val="21"/>
          <w:u w:val="single"/>
        </w:rPr>
        <w:t xml:space="preserve"> </w:t>
      </w:r>
      <w:r>
        <w:rPr>
          <w:rFonts w:hint="eastAsia" w:ascii="宋体" w:hAnsi="宋体" w:eastAsia="宋体" w:cs="宋体"/>
          <w:caps w:val="0"/>
          <w:smallCaps w:val="0"/>
          <w:snapToGrid w:val="0"/>
          <w:color w:val="auto"/>
          <w:kern w:val="0"/>
          <w:sz w:val="21"/>
          <w:szCs w:val="21"/>
          <w:u w:val="single"/>
          <w:lang w:val="en-US" w:eastAsia="zh-CN"/>
        </w:rPr>
        <w:t>乌江涪陵榨菜绿色智能化生产基地(一期)项目</w:t>
      </w:r>
      <w:r>
        <w:rPr>
          <w:rFonts w:ascii="宋体" w:hAnsi="宋体" w:cs="Arial"/>
          <w:szCs w:val="21"/>
          <w:u w:val="single"/>
        </w:rPr>
        <w:t xml:space="preserve">  </w:t>
      </w:r>
      <w:r>
        <w:rPr>
          <w:rFonts w:hint="eastAsia" w:ascii="宋体" w:hAnsi="宋体" w:cs="Arial"/>
          <w:szCs w:val="21"/>
        </w:rPr>
        <w:t>。</w:t>
      </w:r>
    </w:p>
    <w:p w14:paraId="07735B49">
      <w:pPr>
        <w:spacing w:line="360" w:lineRule="auto"/>
        <w:ind w:firstLine="630" w:firstLineChars="300"/>
        <w:rPr>
          <w:rFonts w:ascii="宋体" w:hAnsi="宋体" w:cs="Arial"/>
          <w:szCs w:val="21"/>
          <w:u w:val="single"/>
        </w:rPr>
      </w:pPr>
      <w:r>
        <w:rPr>
          <w:rFonts w:hint="eastAsia" w:ascii="宋体" w:hAnsi="宋体" w:cs="Arial"/>
          <w:szCs w:val="21"/>
        </w:rPr>
        <w:t>1.1.13.2</w:t>
      </w:r>
      <w:r>
        <w:rPr>
          <w:rFonts w:ascii="宋体" w:hAnsi="宋体" w:cs="Arial"/>
          <w:szCs w:val="21"/>
        </w:rPr>
        <w:t xml:space="preserve"> </w:t>
      </w:r>
      <w:r>
        <w:rPr>
          <w:rFonts w:hint="eastAsia" w:ascii="宋体" w:hAnsi="宋体" w:cs="Arial"/>
          <w:szCs w:val="21"/>
        </w:rPr>
        <w:t>施工场地（或称工地、施工现场）：</w:t>
      </w:r>
      <w:r>
        <w:rPr>
          <w:rFonts w:hint="eastAsia" w:ascii="宋体" w:hAnsi="宋体" w:cs="Arial"/>
          <w:szCs w:val="21"/>
          <w:u w:val="single"/>
        </w:rPr>
        <w:t xml:space="preserve">  </w:t>
      </w:r>
      <w:r>
        <w:rPr>
          <w:rFonts w:hint="eastAsia" w:ascii="宋体" w:hAnsi="宋体" w:eastAsia="宋体" w:cs="宋体"/>
          <w:caps w:val="0"/>
          <w:smallCaps w:val="0"/>
          <w:color w:val="auto"/>
          <w:sz w:val="21"/>
          <w:szCs w:val="21"/>
          <w:u w:val="single"/>
        </w:rPr>
        <w:t>重庆市涪陵区马鞍街道人和社区</w:t>
      </w:r>
      <w:r>
        <w:rPr>
          <w:rFonts w:hint="eastAsia" w:ascii="宋体" w:hAnsi="宋体" w:cs="Arial"/>
          <w:szCs w:val="21"/>
          <w:u w:val="single"/>
        </w:rPr>
        <w:t xml:space="preserve">  </w:t>
      </w:r>
      <w:r>
        <w:rPr>
          <w:rFonts w:hint="eastAsia" w:ascii="宋体" w:hAnsi="宋体" w:cs="Arial"/>
          <w:szCs w:val="21"/>
        </w:rPr>
        <w:t>。</w:t>
      </w:r>
    </w:p>
    <w:p w14:paraId="0AA4EB5E">
      <w:pPr>
        <w:spacing w:line="360" w:lineRule="auto"/>
        <w:ind w:firstLine="420" w:firstLineChars="200"/>
        <w:rPr>
          <w:rFonts w:ascii="宋体" w:hAnsi="宋体"/>
          <w:szCs w:val="21"/>
        </w:rPr>
      </w:pPr>
      <w:bookmarkStart w:id="776" w:name="_Toc531098983"/>
      <w:r>
        <w:rPr>
          <w:rFonts w:ascii="宋体" w:hAnsi="宋体"/>
          <w:szCs w:val="21"/>
        </w:rPr>
        <w:t xml:space="preserve">1.3 </w:t>
      </w:r>
      <w:r>
        <w:rPr>
          <w:rFonts w:hint="eastAsia" w:ascii="宋体" w:hAnsi="宋体"/>
          <w:szCs w:val="21"/>
        </w:rPr>
        <w:t>合同文件的优先顺序</w:t>
      </w:r>
      <w:bookmarkEnd w:id="776"/>
    </w:p>
    <w:p w14:paraId="08A83D6C">
      <w:pPr>
        <w:widowControl/>
        <w:tabs>
          <w:tab w:val="left" w:pos="1044"/>
          <w:tab w:val="left" w:pos="9072"/>
          <w:tab w:val="left" w:pos="9781"/>
        </w:tabs>
        <w:spacing w:line="360" w:lineRule="auto"/>
        <w:ind w:firstLine="420" w:firstLineChars="200"/>
        <w:jc w:val="left"/>
        <w:rPr>
          <w:u w:val="single"/>
        </w:rPr>
      </w:pPr>
      <w:r>
        <w:rPr>
          <w:rFonts w:hint="eastAsia" w:ascii="宋体" w:hAnsi="宋体"/>
          <w:szCs w:val="21"/>
        </w:rPr>
        <w:t>解释合同文件优先顺序的约定：</w:t>
      </w:r>
      <w:r>
        <w:rPr>
          <w:rFonts w:hint="eastAsia" w:ascii="宋体" w:hAnsi="宋体"/>
          <w:szCs w:val="21"/>
          <w:u w:val="single"/>
        </w:rPr>
        <w:t>按照合同协议书</w:t>
      </w:r>
      <w:r>
        <w:rPr>
          <w:rFonts w:hint="eastAsia" w:ascii="宋体" w:hAnsi="宋体"/>
          <w:bCs/>
          <w:szCs w:val="21"/>
          <w:u w:val="single"/>
        </w:rPr>
        <w:t>〔</w:t>
      </w:r>
      <w:r>
        <w:rPr>
          <w:rFonts w:hint="eastAsia" w:ascii="宋体" w:hAnsi="宋体"/>
          <w:szCs w:val="21"/>
          <w:u w:val="single"/>
        </w:rPr>
        <w:t>第2条</w:t>
      </w:r>
      <w:r>
        <w:rPr>
          <w:rFonts w:hint="eastAsia" w:ascii="宋体" w:hAnsi="宋体"/>
          <w:bCs/>
          <w:szCs w:val="21"/>
          <w:u w:val="single"/>
        </w:rPr>
        <w:t>〕</w:t>
      </w:r>
      <w:r>
        <w:rPr>
          <w:rFonts w:hint="eastAsia" w:ascii="宋体" w:hAnsi="宋体"/>
          <w:szCs w:val="21"/>
          <w:u w:val="single"/>
        </w:rPr>
        <w:t>约定执行</w:t>
      </w:r>
      <w:r>
        <w:rPr>
          <w:rFonts w:hint="eastAsia" w:ascii="宋体" w:hAnsi="宋体"/>
          <w:szCs w:val="21"/>
        </w:rPr>
        <w:t>。</w:t>
      </w:r>
    </w:p>
    <w:p w14:paraId="30786A45">
      <w:pPr>
        <w:tabs>
          <w:tab w:val="left" w:pos="1134"/>
        </w:tabs>
        <w:spacing w:line="360" w:lineRule="auto"/>
        <w:ind w:firstLine="420" w:firstLineChars="200"/>
        <w:rPr>
          <w:rFonts w:ascii="宋体" w:hAnsi="宋体"/>
          <w:szCs w:val="21"/>
          <w:u w:val="single"/>
        </w:rPr>
      </w:pPr>
      <w:r>
        <w:rPr>
          <w:rFonts w:hint="eastAsia" w:ascii="宋体" w:hAnsi="宋体"/>
          <w:szCs w:val="21"/>
        </w:rPr>
        <w:t>其他合同文件包括：</w:t>
      </w:r>
      <w:r>
        <w:rPr>
          <w:rFonts w:ascii="宋体" w:hAnsi="宋体"/>
          <w:szCs w:val="21"/>
          <w:u w:val="single"/>
        </w:rPr>
        <w:tab/>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320CB5D5">
      <w:pPr>
        <w:tabs>
          <w:tab w:val="left" w:pos="1134"/>
        </w:tabs>
        <w:spacing w:line="360" w:lineRule="auto"/>
        <w:ind w:firstLine="420" w:firstLineChars="200"/>
        <w:rPr>
          <w:rFonts w:ascii="宋体" w:hAnsi="宋体"/>
          <w:color w:val="auto"/>
          <w:szCs w:val="21"/>
        </w:rPr>
      </w:pPr>
      <w:r>
        <w:rPr>
          <w:rFonts w:hint="eastAsia" w:ascii="宋体" w:hAnsi="宋体"/>
          <w:szCs w:val="21"/>
        </w:rPr>
        <w:t>1.4</w:t>
      </w:r>
      <w:r>
        <w:rPr>
          <w:rFonts w:ascii="宋体" w:hAnsi="宋体"/>
          <w:szCs w:val="21"/>
        </w:rPr>
        <w:t xml:space="preserve"> </w:t>
      </w:r>
      <w:r>
        <w:rPr>
          <w:rFonts w:hint="eastAsia" w:ascii="宋体" w:hAnsi="宋体"/>
          <w:szCs w:val="21"/>
        </w:rPr>
        <w:t>合同的生</w:t>
      </w:r>
      <w:r>
        <w:rPr>
          <w:rFonts w:hint="eastAsia" w:ascii="宋体" w:hAnsi="宋体"/>
          <w:color w:val="auto"/>
          <w:szCs w:val="21"/>
        </w:rPr>
        <w:t>效及变更</w:t>
      </w:r>
    </w:p>
    <w:p w14:paraId="30B92416">
      <w:pPr>
        <w:pageBreakBefore w:val="0"/>
        <w:kinsoku/>
        <w:topLinePunct w:val="0"/>
        <w:bidi w:val="0"/>
        <w:spacing w:line="360" w:lineRule="auto"/>
        <w:ind w:firstLine="420" w:firstLineChars="200"/>
        <w:rPr>
          <w:rFonts w:hint="eastAsia" w:ascii="宋体" w:hAnsi="宋体"/>
          <w:color w:val="auto"/>
          <w:szCs w:val="21"/>
        </w:rPr>
      </w:pPr>
      <w:r>
        <w:rPr>
          <w:rFonts w:ascii="宋体" w:hAnsi="宋体"/>
          <w:color w:val="auto"/>
          <w:szCs w:val="21"/>
        </w:rPr>
        <w:t xml:space="preserve">1.4.1 </w:t>
      </w:r>
      <w:r>
        <w:rPr>
          <w:rFonts w:hint="eastAsia" w:ascii="宋体" w:hAnsi="宋体"/>
          <w:color w:val="auto"/>
          <w:szCs w:val="21"/>
        </w:rPr>
        <w:t>合同生效的约定：</w:t>
      </w:r>
      <w:r>
        <w:rPr>
          <w:rFonts w:ascii="宋体" w:hAnsi="宋体"/>
          <w:szCs w:val="21"/>
          <w:u w:val="single"/>
        </w:rPr>
        <w:tab/>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6A45F496">
      <w:pPr>
        <w:tabs>
          <w:tab w:val="left" w:pos="1134"/>
        </w:tabs>
        <w:spacing w:line="360" w:lineRule="auto"/>
        <w:ind w:firstLine="420" w:firstLineChars="200"/>
        <w:rPr>
          <w:rFonts w:hint="eastAsia" w:ascii="宋体" w:hAnsi="宋体"/>
          <w:color w:val="auto"/>
          <w:szCs w:val="21"/>
        </w:rPr>
      </w:pPr>
      <w:r>
        <w:rPr>
          <w:rFonts w:hint="eastAsia" w:ascii="宋体" w:hAnsi="宋体"/>
          <w:color w:val="auto"/>
          <w:szCs w:val="21"/>
        </w:rPr>
        <w:t>1.4.2</w:t>
      </w:r>
      <w:r>
        <w:rPr>
          <w:rFonts w:ascii="宋体" w:hAnsi="宋体"/>
          <w:color w:val="auto"/>
          <w:szCs w:val="21"/>
        </w:rPr>
        <w:t xml:space="preserve"> </w:t>
      </w:r>
      <w:r>
        <w:rPr>
          <w:rFonts w:hint="eastAsia" w:ascii="宋体" w:hAnsi="宋体"/>
          <w:color w:val="auto"/>
          <w:szCs w:val="21"/>
        </w:rPr>
        <w:t>合同变更的约定：</w:t>
      </w:r>
      <w:r>
        <w:rPr>
          <w:rFonts w:ascii="宋体" w:hAnsi="宋体"/>
          <w:szCs w:val="21"/>
          <w:u w:val="single"/>
        </w:rPr>
        <w:tab/>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04C8D1EB">
      <w:pPr>
        <w:tabs>
          <w:tab w:val="left" w:pos="1134"/>
        </w:tabs>
        <w:spacing w:line="360" w:lineRule="auto"/>
        <w:ind w:firstLine="420" w:firstLineChars="200"/>
        <w:rPr>
          <w:rFonts w:ascii="宋体" w:hAnsi="宋体"/>
          <w:color w:val="auto"/>
          <w:szCs w:val="21"/>
        </w:rPr>
      </w:pPr>
      <w:r>
        <w:rPr>
          <w:rFonts w:hint="eastAsia" w:ascii="宋体" w:hAnsi="宋体"/>
          <w:color w:val="auto"/>
          <w:szCs w:val="21"/>
        </w:rPr>
        <w:t>1.5</w:t>
      </w:r>
      <w:r>
        <w:rPr>
          <w:rFonts w:ascii="宋体" w:hAnsi="宋体"/>
          <w:color w:val="auto"/>
          <w:szCs w:val="21"/>
        </w:rPr>
        <w:t xml:space="preserve"> </w:t>
      </w:r>
      <w:r>
        <w:rPr>
          <w:rFonts w:hint="eastAsia" w:ascii="宋体" w:hAnsi="宋体"/>
          <w:color w:val="auto"/>
          <w:szCs w:val="21"/>
        </w:rPr>
        <w:t>联络</w:t>
      </w:r>
    </w:p>
    <w:p w14:paraId="01931CD4">
      <w:pPr>
        <w:tabs>
          <w:tab w:val="left" w:pos="1134"/>
        </w:tabs>
        <w:spacing w:line="360" w:lineRule="auto"/>
        <w:ind w:firstLine="420"/>
        <w:rPr>
          <w:rFonts w:hint="eastAsia" w:ascii="宋体" w:hAnsi="宋体"/>
          <w:color w:val="auto"/>
          <w:szCs w:val="21"/>
        </w:rPr>
      </w:pPr>
      <w:r>
        <w:rPr>
          <w:rFonts w:hint="eastAsia" w:ascii="宋体" w:hAnsi="宋体"/>
          <w:color w:val="auto"/>
          <w:szCs w:val="21"/>
        </w:rPr>
        <w:t>1.5.1</w:t>
      </w:r>
      <w:r>
        <w:rPr>
          <w:rFonts w:ascii="宋体" w:hAnsi="宋体"/>
          <w:color w:val="auto"/>
          <w:szCs w:val="21"/>
        </w:rPr>
        <w:t xml:space="preserve"> </w:t>
      </w:r>
      <w:r>
        <w:rPr>
          <w:rFonts w:hint="eastAsia" w:ascii="宋体" w:hAnsi="宋体"/>
          <w:color w:val="auto"/>
          <w:szCs w:val="21"/>
        </w:rPr>
        <w:t>买方指定的联系人及联系方式：</w:t>
      </w:r>
      <w:r>
        <w:rPr>
          <w:rFonts w:hint="eastAsia" w:ascii="宋体" w:hAnsi="宋体"/>
          <w:color w:val="auto"/>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color w:val="auto"/>
          <w:szCs w:val="21"/>
          <w:u w:val="single"/>
        </w:rPr>
        <w:t xml:space="preserve">       </w:t>
      </w:r>
      <w:r>
        <w:rPr>
          <w:rFonts w:hint="eastAsia" w:ascii="宋体" w:hAnsi="宋体"/>
          <w:color w:val="auto"/>
          <w:szCs w:val="21"/>
        </w:rPr>
        <w:t>。</w:t>
      </w:r>
    </w:p>
    <w:p w14:paraId="52E8772C">
      <w:pPr>
        <w:tabs>
          <w:tab w:val="left" w:pos="1134"/>
        </w:tabs>
        <w:spacing w:line="360" w:lineRule="auto"/>
        <w:ind w:firstLine="420"/>
        <w:rPr>
          <w:rFonts w:hint="eastAsia" w:ascii="宋体" w:hAnsi="宋体"/>
          <w:color w:val="auto"/>
          <w:szCs w:val="21"/>
        </w:rPr>
      </w:pPr>
      <w:r>
        <w:rPr>
          <w:rFonts w:hint="eastAsia" w:ascii="宋体" w:hAnsi="宋体"/>
          <w:color w:val="auto"/>
          <w:szCs w:val="21"/>
        </w:rPr>
        <w:t>卖方指定的联系人及联系方式：</w:t>
      </w:r>
      <w:r>
        <w:rPr>
          <w:rFonts w:hint="eastAsia" w:ascii="宋体" w:hAnsi="宋体"/>
          <w:color w:val="auto"/>
          <w:szCs w:val="21"/>
          <w:u w:val="single"/>
        </w:rPr>
        <w:t xml:space="preserve">  </w:t>
      </w:r>
      <w:r>
        <w:rPr>
          <w:rFonts w:hint="eastAsia" w:ascii="宋体" w:hAnsi="宋体"/>
          <w:color w:val="auto"/>
          <w:szCs w:val="21"/>
          <w:u w:val="single"/>
          <w:lang w:val="en-US" w:eastAsia="zh-CN"/>
        </w:rPr>
        <w:t xml:space="preserve"> </w:t>
      </w:r>
      <w:r>
        <w:rPr>
          <w:rFonts w:hint="eastAsia" w:ascii="宋体" w:hAnsi="宋体"/>
          <w:color w:val="auto"/>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color w:val="auto"/>
          <w:szCs w:val="21"/>
          <w:u w:val="single"/>
        </w:rPr>
        <w:t xml:space="preserve">      </w:t>
      </w:r>
      <w:r>
        <w:rPr>
          <w:rFonts w:hint="eastAsia" w:ascii="宋体" w:hAnsi="宋体"/>
          <w:color w:val="auto"/>
          <w:szCs w:val="21"/>
        </w:rPr>
        <w:t>。</w:t>
      </w:r>
    </w:p>
    <w:p w14:paraId="4A933D1B">
      <w:pPr>
        <w:tabs>
          <w:tab w:val="left" w:pos="1134"/>
        </w:tabs>
        <w:spacing w:line="360" w:lineRule="auto"/>
        <w:ind w:firstLine="420" w:firstLineChars="200"/>
        <w:rPr>
          <w:rFonts w:ascii="宋体" w:hAnsi="宋体"/>
          <w:color w:val="auto"/>
          <w:szCs w:val="21"/>
        </w:rPr>
      </w:pPr>
      <w:r>
        <w:rPr>
          <w:rFonts w:hint="eastAsia" w:ascii="宋体" w:hAnsi="宋体"/>
          <w:color w:val="auto"/>
          <w:szCs w:val="21"/>
        </w:rPr>
        <w:t>1.6</w:t>
      </w:r>
      <w:r>
        <w:rPr>
          <w:rFonts w:ascii="宋体" w:hAnsi="宋体"/>
          <w:color w:val="auto"/>
          <w:szCs w:val="21"/>
        </w:rPr>
        <w:t xml:space="preserve"> </w:t>
      </w:r>
      <w:r>
        <w:rPr>
          <w:rFonts w:hint="eastAsia" w:ascii="宋体" w:hAnsi="宋体"/>
          <w:color w:val="auto"/>
          <w:szCs w:val="21"/>
        </w:rPr>
        <w:t>联合体</w:t>
      </w:r>
    </w:p>
    <w:p w14:paraId="447099EA">
      <w:pPr>
        <w:tabs>
          <w:tab w:val="left" w:pos="1134"/>
        </w:tabs>
        <w:spacing w:line="360" w:lineRule="auto"/>
        <w:ind w:firstLine="420"/>
        <w:rPr>
          <w:rFonts w:ascii="宋体" w:hAnsi="宋体"/>
          <w:szCs w:val="21"/>
        </w:rPr>
      </w:pPr>
      <w:r>
        <w:rPr>
          <w:rFonts w:ascii="宋体" w:hAnsi="宋体"/>
          <w:szCs w:val="21"/>
        </w:rPr>
        <w:t xml:space="preserve">1.6.3 </w:t>
      </w:r>
      <w:r>
        <w:rPr>
          <w:rFonts w:hint="eastAsia" w:ascii="宋体" w:hAnsi="宋体"/>
          <w:szCs w:val="21"/>
        </w:rPr>
        <w:t>牵头人行为效力的约定：</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w:t>
      </w:r>
      <w:r>
        <w:rPr>
          <w:rFonts w:hint="eastAsia" w:ascii="宋体" w:hAnsi="宋体"/>
          <w:szCs w:val="21"/>
          <w:u w:val="single"/>
          <w:lang w:val="en-US" w:eastAsia="zh-CN"/>
        </w:rPr>
        <w:t xml:space="preserve">   </w:t>
      </w:r>
      <w:r>
        <w:rPr>
          <w:rFonts w:hint="eastAsia" w:ascii="宋体" w:hAnsi="宋体"/>
          <w:szCs w:val="21"/>
          <w:u w:val="single"/>
        </w:rPr>
        <w:t xml:space="preserve"> </w:t>
      </w:r>
      <w:r>
        <w:rPr>
          <w:rFonts w:hint="eastAsia" w:ascii="宋体" w:hAnsi="宋体"/>
          <w:szCs w:val="21"/>
        </w:rPr>
        <w:t>。</w:t>
      </w:r>
    </w:p>
    <w:p w14:paraId="602C0F03">
      <w:pPr>
        <w:pStyle w:val="97"/>
        <w:keepNext w:val="0"/>
        <w:keepLines w:val="0"/>
        <w:tabs>
          <w:tab w:val="left" w:pos="567"/>
        </w:tabs>
        <w:spacing w:before="156" w:after="156"/>
        <w:rPr>
          <w:rFonts w:eastAsia="宋体" w:cs="Times New Roman"/>
          <w:b/>
          <w:bCs/>
          <w:sz w:val="32"/>
          <w:szCs w:val="32"/>
        </w:rPr>
      </w:pPr>
      <w:bookmarkStart w:id="777" w:name="_Toc1168"/>
      <w:bookmarkStart w:id="778" w:name="_Toc2859382"/>
      <w:bookmarkStart w:id="779" w:name="_Toc17351"/>
      <w:bookmarkStart w:id="780" w:name="_Toc19197"/>
      <w:bookmarkStart w:id="781" w:name="_Toc26156"/>
      <w:bookmarkStart w:id="782" w:name="_Toc531098984"/>
      <w:bookmarkStart w:id="783" w:name="_Toc24363"/>
      <w:bookmarkStart w:id="784" w:name="_Toc23081"/>
      <w:r>
        <w:rPr>
          <w:rFonts w:hint="eastAsia" w:eastAsia="宋体" w:cs="Times New Roman"/>
          <w:b/>
          <w:bCs/>
          <w:sz w:val="32"/>
          <w:szCs w:val="32"/>
        </w:rPr>
        <w:t>3. 合同价格与支付</w:t>
      </w:r>
      <w:bookmarkEnd w:id="777"/>
      <w:bookmarkEnd w:id="778"/>
      <w:bookmarkEnd w:id="779"/>
      <w:bookmarkEnd w:id="780"/>
      <w:bookmarkEnd w:id="781"/>
      <w:bookmarkEnd w:id="782"/>
      <w:bookmarkEnd w:id="783"/>
      <w:bookmarkEnd w:id="784"/>
    </w:p>
    <w:p w14:paraId="4F53E2B4">
      <w:pPr>
        <w:tabs>
          <w:tab w:val="left" w:pos="1134"/>
        </w:tabs>
        <w:spacing w:line="360" w:lineRule="auto"/>
        <w:ind w:firstLine="420" w:firstLineChars="200"/>
        <w:rPr>
          <w:rFonts w:hint="eastAsia" w:ascii="宋体" w:hAnsi="宋体"/>
          <w:szCs w:val="21"/>
        </w:rPr>
      </w:pPr>
      <w:r>
        <w:rPr>
          <w:rFonts w:ascii="宋体" w:hAnsi="宋体"/>
          <w:szCs w:val="21"/>
        </w:rPr>
        <w:t xml:space="preserve">3.1 </w:t>
      </w:r>
      <w:r>
        <w:rPr>
          <w:rFonts w:hint="eastAsia" w:ascii="宋体" w:hAnsi="宋体"/>
          <w:szCs w:val="21"/>
        </w:rPr>
        <w:t>合同价格</w:t>
      </w:r>
    </w:p>
    <w:p w14:paraId="4DB6B642">
      <w:pPr>
        <w:tabs>
          <w:tab w:val="left" w:pos="1134"/>
        </w:tabs>
        <w:spacing w:line="360" w:lineRule="auto"/>
        <w:ind w:firstLine="420"/>
        <w:rPr>
          <w:rFonts w:hint="eastAsia" w:ascii="宋体" w:hAnsi="宋体"/>
          <w:szCs w:val="21"/>
        </w:rPr>
      </w:pPr>
      <w:r>
        <w:rPr>
          <w:rFonts w:ascii="宋体" w:hAnsi="宋体"/>
          <w:szCs w:val="21"/>
        </w:rPr>
        <w:t xml:space="preserve">3.1.2 </w:t>
      </w:r>
      <w:r>
        <w:rPr>
          <w:rFonts w:hint="eastAsia" w:ascii="宋体" w:hAnsi="宋体"/>
          <w:szCs w:val="21"/>
        </w:rPr>
        <w:t>签约合同价的约定：</w:t>
      </w:r>
    </w:p>
    <w:p w14:paraId="529E8672">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vertAlign w:val="baseline"/>
          <w:lang w:val="en-US" w:eastAsia="zh-CN"/>
        </w:rPr>
      </w:pPr>
      <w:r>
        <w:rPr>
          <w:rFonts w:hint="eastAsia" w:ascii="宋体" w:hAnsi="宋体" w:eastAsia="宋体" w:cs="宋体"/>
          <w:caps w:val="0"/>
          <w:smallCaps w:val="0"/>
          <w:color w:val="auto"/>
          <w:sz w:val="21"/>
          <w:szCs w:val="21"/>
          <w:highlight w:val="none"/>
          <w:u w:val="single"/>
          <w:lang w:val="en-US" w:eastAsia="zh-CN"/>
        </w:rPr>
        <w:t>（1）本合同为总价包干合同；</w:t>
      </w:r>
      <w:r>
        <w:rPr>
          <w:rFonts w:hint="eastAsia" w:ascii="宋体" w:hAnsi="宋体" w:eastAsia="宋体" w:cs="宋体"/>
          <w:caps w:val="0"/>
          <w:smallCaps w:val="0"/>
          <w:color w:val="auto"/>
          <w:kern w:val="2"/>
          <w:sz w:val="21"/>
          <w:szCs w:val="21"/>
          <w:highlight w:val="none"/>
          <w:u w:val="single"/>
          <w:lang w:val="en-US" w:eastAsia="zh-CN" w:bidi="ar-SA"/>
        </w:rPr>
        <w:t>除合同约定扣除违约金的情况为外，合同价不调整。合同价款</w:t>
      </w:r>
      <w:r>
        <w:rPr>
          <w:rFonts w:hint="eastAsia" w:ascii="宋体" w:hAnsi="宋体" w:eastAsia="宋体" w:cs="宋体"/>
          <w:caps w:val="0"/>
          <w:smallCaps w:val="0"/>
          <w:color w:val="auto"/>
          <w:sz w:val="21"/>
          <w:szCs w:val="21"/>
          <w:highlight w:val="none"/>
          <w:u w:val="single"/>
          <w:lang w:val="en-US" w:eastAsia="zh-CN"/>
        </w:rPr>
        <w:t>包含了完成合同</w:t>
      </w:r>
      <w:r>
        <w:rPr>
          <w:rFonts w:hint="eastAsia" w:ascii="宋体" w:hAnsi="宋体" w:eastAsia="宋体" w:cs="宋体"/>
          <w:caps w:val="0"/>
          <w:smallCaps w:val="0"/>
          <w:color w:val="auto"/>
          <w:sz w:val="21"/>
          <w:szCs w:val="21"/>
          <w:highlight w:val="none"/>
          <w:u w:val="single"/>
        </w:rPr>
        <w:t>全部内容，如果有任何遗漏，均被视为</w:t>
      </w:r>
      <w:r>
        <w:rPr>
          <w:rFonts w:hint="eastAsia" w:ascii="宋体" w:hAnsi="宋体" w:eastAsia="宋体" w:cs="宋体"/>
          <w:caps w:val="0"/>
          <w:smallCaps w:val="0"/>
          <w:color w:val="auto"/>
          <w:sz w:val="21"/>
          <w:szCs w:val="21"/>
          <w:highlight w:val="none"/>
          <w:u w:val="single"/>
          <w:lang w:val="en-US" w:eastAsia="zh-CN"/>
        </w:rPr>
        <w:t>卖方</w:t>
      </w:r>
      <w:r>
        <w:rPr>
          <w:rFonts w:hint="eastAsia" w:ascii="宋体" w:hAnsi="宋体" w:eastAsia="宋体" w:cs="宋体"/>
          <w:caps w:val="0"/>
          <w:smallCaps w:val="0"/>
          <w:color w:val="auto"/>
          <w:sz w:val="21"/>
          <w:szCs w:val="21"/>
          <w:highlight w:val="none"/>
          <w:u w:val="single"/>
        </w:rPr>
        <w:t>已经在</w:t>
      </w:r>
      <w:r>
        <w:rPr>
          <w:rFonts w:hint="eastAsia" w:ascii="宋体" w:hAnsi="宋体" w:eastAsia="宋体" w:cs="宋体"/>
          <w:caps w:val="0"/>
          <w:smallCaps w:val="0"/>
          <w:color w:val="auto"/>
          <w:sz w:val="21"/>
          <w:szCs w:val="21"/>
          <w:highlight w:val="none"/>
          <w:u w:val="single"/>
          <w:lang w:val="en-US" w:eastAsia="zh-CN"/>
        </w:rPr>
        <w:t>合同</w:t>
      </w:r>
      <w:r>
        <w:rPr>
          <w:rFonts w:hint="eastAsia" w:ascii="宋体" w:hAnsi="宋体" w:eastAsia="宋体" w:cs="宋体"/>
          <w:caps w:val="0"/>
          <w:smallCaps w:val="0"/>
          <w:color w:val="auto"/>
          <w:sz w:val="21"/>
          <w:szCs w:val="21"/>
          <w:highlight w:val="none"/>
          <w:u w:val="single"/>
        </w:rPr>
        <w:t>价中考虑。</w:t>
      </w:r>
      <w:r>
        <w:rPr>
          <w:rFonts w:hint="eastAsia" w:ascii="宋体" w:hAnsi="宋体" w:eastAsia="宋体" w:cs="宋体"/>
          <w:caps w:val="0"/>
          <w:smallCaps w:val="0"/>
          <w:color w:val="auto"/>
          <w:sz w:val="21"/>
          <w:szCs w:val="21"/>
          <w:highlight w:val="none"/>
          <w:u w:val="single"/>
          <w:lang w:val="en-US" w:eastAsia="zh-CN"/>
        </w:rPr>
        <w:t>合同价包含设备费用、设计费、专利费、设备到项目施工现场运输费、保险、落地初验、转运、仓储、设备基础</w:t>
      </w:r>
      <w:r>
        <w:rPr>
          <w:rFonts w:hint="eastAsia" w:ascii="宋体" w:hAnsi="宋体" w:cs="宋体"/>
          <w:caps w:val="0"/>
          <w:smallCaps w:val="0"/>
          <w:color w:val="auto"/>
          <w:sz w:val="21"/>
          <w:szCs w:val="21"/>
          <w:highlight w:val="none"/>
          <w:u w:val="single"/>
          <w:lang w:val="en-US" w:eastAsia="zh-CN"/>
        </w:rPr>
        <w:t>、水池、水池防腐、孔洞、孔洞封堵</w:t>
      </w:r>
      <w:r>
        <w:rPr>
          <w:rFonts w:hint="eastAsia" w:ascii="宋体" w:hAnsi="宋体" w:eastAsia="宋体" w:cs="宋体"/>
          <w:caps w:val="0"/>
          <w:smallCaps w:val="0"/>
          <w:color w:val="auto"/>
          <w:sz w:val="21"/>
          <w:szCs w:val="21"/>
          <w:highlight w:val="none"/>
          <w:u w:val="single"/>
          <w:lang w:val="en-US" w:eastAsia="zh-CN"/>
        </w:rPr>
        <w:t>、预埋件、二次浇筑、安装、检测、验收合格及质量保证期的各项费用等相关费用。包括但不限于所有</w:t>
      </w:r>
      <w:r>
        <w:rPr>
          <w:rFonts w:hint="eastAsia" w:ascii="宋体" w:hAnsi="宋体" w:eastAsia="宋体" w:cs="宋体"/>
          <w:caps w:val="0"/>
          <w:smallCaps w:val="0"/>
          <w:color w:val="auto"/>
          <w:sz w:val="21"/>
          <w:szCs w:val="21"/>
          <w:highlight w:val="none"/>
          <w:u w:val="single"/>
          <w:vertAlign w:val="baseline"/>
          <w:lang w:val="en-US" w:eastAsia="zh-CN"/>
        </w:rPr>
        <w:t>人工费、材料费、机械费、企业管理费、利润、风险费、措施费（含安全文明施工费、疫情常态化防疫措施费等）、规费、税金（含增值税、城建税、教育费附加、地方教育附加）、配合费、二次或多次转运费、建设工程竣工档案编制费、垃圾清运费、成品保护费、养护费、政策性文件规定费用，以及专用合同条款明示或暗示的所有责任、义务和风险。是卖方在对招标项目充分了解及对风险充分估计后，为实施和完成该合同全部内容所作的完备报价。</w:t>
      </w:r>
    </w:p>
    <w:p w14:paraId="5BC1F62E">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vertAlign w:val="baseline"/>
          <w:lang w:val="en-US" w:eastAsia="zh-CN"/>
        </w:rPr>
      </w:pPr>
      <w:r>
        <w:rPr>
          <w:rFonts w:hint="eastAsia" w:ascii="宋体" w:hAnsi="宋体" w:eastAsia="宋体" w:cs="宋体"/>
          <w:caps w:val="0"/>
          <w:smallCaps w:val="0"/>
          <w:color w:val="auto"/>
          <w:sz w:val="21"/>
          <w:szCs w:val="21"/>
          <w:highlight w:val="none"/>
          <w:u w:val="single"/>
          <w:vertAlign w:val="baseline"/>
          <w:lang w:val="en-US" w:eastAsia="zh-CN"/>
        </w:rPr>
        <w:t>（2）合同内容实施期间，买方有权要求卖方对中标方案进行优化，对合同设计内容变更（含系统结构图及其它详图），卖方应书面报买方书面审批后方可进行修改，修改版本以数字形式在图标的版本栏内表示出来。卖方负责向海外制造商取得所需的资料（如有）。</w:t>
      </w:r>
    </w:p>
    <w:p w14:paraId="02F86888">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vertAlign w:val="baseline"/>
          <w:lang w:val="en-US" w:eastAsia="zh-CN"/>
        </w:rPr>
      </w:pPr>
      <w:r>
        <w:rPr>
          <w:rFonts w:hint="eastAsia" w:ascii="宋体" w:hAnsi="宋体" w:eastAsia="宋体" w:cs="宋体"/>
          <w:caps w:val="0"/>
          <w:smallCaps w:val="0"/>
          <w:color w:val="auto"/>
          <w:sz w:val="21"/>
          <w:szCs w:val="21"/>
          <w:highlight w:val="none"/>
          <w:u w:val="single"/>
          <w:vertAlign w:val="baseline"/>
          <w:lang w:val="en-US" w:eastAsia="zh-CN"/>
        </w:rPr>
        <w:t>（3）合同实施期间，导致卖方人工、材料、机械设备窝工及相关损失的包含在签约合同价中。</w:t>
      </w:r>
    </w:p>
    <w:p w14:paraId="3DE3BE02">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vertAlign w:val="baseline"/>
          <w:lang w:val="en-US" w:eastAsia="zh-CN"/>
        </w:rPr>
      </w:pPr>
      <w:r>
        <w:rPr>
          <w:rFonts w:hint="eastAsia" w:ascii="宋体" w:hAnsi="宋体" w:eastAsia="宋体" w:cs="宋体"/>
          <w:caps w:val="0"/>
          <w:smallCaps w:val="0"/>
          <w:color w:val="auto"/>
          <w:sz w:val="21"/>
          <w:szCs w:val="21"/>
          <w:highlight w:val="none"/>
          <w:u w:val="single"/>
          <w:vertAlign w:val="baseline"/>
          <w:lang w:val="en-US" w:eastAsia="zh-CN"/>
        </w:rPr>
        <w:t>（4）在合同实施期间，若卖方需对合同技术方案进行变更，卖方应于采购前28天将技术方案的相关变更材料以书面的形式报送买方，经买方书面审批同意后，卖方方可采购实施，若买方未同意，则卖方必须按合同要求执行。涉及到与本合同约定不相符的，卖方书面申请，经买方组织评审后书面批复后方可实施，书面批复必须是加盖买方公章，否则，按不合格（或未按合同约定履约）处理。</w:t>
      </w:r>
    </w:p>
    <w:p w14:paraId="4E3628E2">
      <w:pPr>
        <w:tabs>
          <w:tab w:val="left" w:pos="1134"/>
        </w:tabs>
        <w:spacing w:line="360" w:lineRule="auto"/>
        <w:ind w:firstLine="420" w:firstLineChars="200"/>
        <w:rPr>
          <w:rFonts w:ascii="宋体" w:hAnsi="宋体" w:cs="宋体"/>
          <w:szCs w:val="21"/>
          <w:u w:val="single"/>
        </w:rPr>
      </w:pPr>
      <w:r>
        <w:rPr>
          <w:rFonts w:hint="eastAsia" w:ascii="宋体" w:hAnsi="宋体" w:cs="宋体"/>
          <w:szCs w:val="21"/>
          <w:u w:val="single"/>
        </w:rPr>
        <w:t>3.1.3 合同价格形式</w:t>
      </w:r>
    </w:p>
    <w:p w14:paraId="0ECB5706">
      <w:pPr>
        <w:tabs>
          <w:tab w:val="left" w:pos="1134"/>
        </w:tabs>
        <w:spacing w:line="360" w:lineRule="auto"/>
        <w:ind w:firstLine="420"/>
        <w:rPr>
          <w:rFonts w:ascii="宋体" w:hAnsi="宋体" w:cs="宋体"/>
          <w:szCs w:val="21"/>
          <w:u w:val="single"/>
        </w:rPr>
      </w:pPr>
      <w:r>
        <w:rPr>
          <w:rFonts w:hint="eastAsia" w:ascii="宋体" w:hAnsi="宋体" w:cs="宋体"/>
          <w:szCs w:val="21"/>
          <w:u w:val="single"/>
        </w:rPr>
        <w:t>本合同价格形式采用以下形式：</w:t>
      </w:r>
    </w:p>
    <w:p w14:paraId="29D62A64">
      <w:pPr>
        <w:tabs>
          <w:tab w:val="left" w:pos="1134"/>
        </w:tabs>
        <w:spacing w:line="360" w:lineRule="auto"/>
        <w:ind w:firstLine="420" w:firstLineChars="200"/>
        <w:rPr>
          <w:rFonts w:ascii="宋体" w:hAnsi="宋体" w:cs="宋体"/>
          <w:color w:val="000000" w:themeColor="text1"/>
          <w:szCs w:val="21"/>
          <w:u w:val="single"/>
          <w14:textFill>
            <w14:solidFill>
              <w14:schemeClr w14:val="tx1"/>
            </w14:solidFill>
          </w14:textFill>
        </w:rPr>
      </w:pPr>
      <w:r>
        <w:rPr>
          <w:rFonts w:hint="eastAsia" w:ascii="宋体" w:hAnsi="宋体" w:cs="宋体"/>
          <w:color w:val="000000" w:themeColor="text1"/>
          <w:szCs w:val="21"/>
          <w:u w:val="single"/>
          <w14:textFill>
            <w14:solidFill>
              <w14:schemeClr w14:val="tx1"/>
            </w14:solidFill>
          </w14:textFill>
        </w:rPr>
        <w:t>（1）固定总价形式：合同价格=签约合同价-卖方减价金额或向买方支付的补偿金-违约金或赔偿金±合同变更金额。</w:t>
      </w:r>
    </w:p>
    <w:p w14:paraId="549AB534">
      <w:pPr>
        <w:tabs>
          <w:tab w:val="left" w:pos="1134"/>
        </w:tabs>
        <w:spacing w:line="360" w:lineRule="auto"/>
        <w:ind w:firstLine="420"/>
        <w:rPr>
          <w:rFonts w:ascii="宋体" w:hAnsi="宋体"/>
          <w:color w:val="000000" w:themeColor="text1"/>
          <w:szCs w:val="21"/>
          <w:u w:val="single"/>
          <w14:textFill>
            <w14:solidFill>
              <w14:schemeClr w14:val="tx1"/>
            </w14:solidFill>
          </w14:textFill>
        </w:rPr>
      </w:pPr>
      <w:r>
        <w:rPr>
          <w:rFonts w:hint="eastAsia" w:ascii="宋体" w:hAnsi="宋体" w:cs="宋体"/>
          <w:color w:val="000000" w:themeColor="text1"/>
          <w:szCs w:val="21"/>
          <w:u w:val="single"/>
          <w14:textFill>
            <w14:solidFill>
              <w14:schemeClr w14:val="tx1"/>
            </w14:solidFill>
          </w14:textFill>
        </w:rPr>
        <w:t>（2）合同履约完成后，合同内容变更（本合同和附件《供货要求》中约定以外的内容）计算方式为：增（减）工程量（价）按中标人投标文件相同或相似单项计价原则进行计价，如合同内容变更合计增加（减少）工程价在合同价</w:t>
      </w:r>
      <w:r>
        <w:rPr>
          <w:rFonts w:hint="eastAsia" w:ascii="宋体" w:hAnsi="宋体" w:cs="宋体"/>
          <w:color w:val="000000" w:themeColor="text1"/>
          <w:szCs w:val="21"/>
          <w:u w:val="single"/>
          <w:lang w:val="en-US" w:eastAsia="zh-CN"/>
          <w14:textFill>
            <w14:solidFill>
              <w14:schemeClr w14:val="tx1"/>
            </w14:solidFill>
          </w14:textFill>
        </w:rPr>
        <w:t>2</w:t>
      </w:r>
      <w:r>
        <w:rPr>
          <w:rFonts w:hint="eastAsia" w:ascii="宋体" w:hAnsi="宋体" w:cs="宋体"/>
          <w:color w:val="000000" w:themeColor="text1"/>
          <w:szCs w:val="21"/>
          <w:u w:val="single"/>
          <w14:textFill>
            <w14:solidFill>
              <w14:schemeClr w14:val="tx1"/>
            </w14:solidFill>
          </w14:textFill>
        </w:rPr>
        <w:t>%范围以内的不予调整，增加（减少）</w:t>
      </w:r>
      <w:r>
        <w:rPr>
          <w:rFonts w:hint="eastAsia" w:ascii="宋体" w:hAnsi="宋体" w:cs="宋体"/>
          <w:color w:val="000000" w:themeColor="text1"/>
          <w:szCs w:val="21"/>
          <w:u w:val="single"/>
          <w:lang w:val="en-US" w:eastAsia="zh-CN"/>
          <w14:textFill>
            <w14:solidFill>
              <w14:schemeClr w14:val="tx1"/>
            </w14:solidFill>
          </w14:textFill>
        </w:rPr>
        <w:t>2</w:t>
      </w:r>
      <w:r>
        <w:rPr>
          <w:rFonts w:hint="eastAsia" w:ascii="宋体" w:hAnsi="宋体" w:cs="宋体"/>
          <w:color w:val="000000" w:themeColor="text1"/>
          <w:szCs w:val="21"/>
          <w:u w:val="single"/>
          <w14:textFill>
            <w14:solidFill>
              <w14:schemeClr w14:val="tx1"/>
            </w14:solidFill>
          </w14:textFill>
        </w:rPr>
        <w:t>%范围以外部分据实进行调整，但调整后最终总价不超过买方招标时发布的最高限价。</w:t>
      </w:r>
    </w:p>
    <w:p w14:paraId="4E0E0735">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vertAlign w:val="baseline"/>
          <w:lang w:val="en-US" w:eastAsia="zh-CN"/>
        </w:rPr>
      </w:pPr>
    </w:p>
    <w:p w14:paraId="5F0087DA">
      <w:pPr>
        <w:tabs>
          <w:tab w:val="left" w:pos="1134"/>
        </w:tabs>
        <w:spacing w:line="360" w:lineRule="auto"/>
        <w:ind w:firstLine="420" w:firstLineChars="200"/>
        <w:rPr>
          <w:rFonts w:ascii="宋体" w:hAnsi="宋体"/>
          <w:szCs w:val="21"/>
        </w:rPr>
      </w:pPr>
      <w:r>
        <w:rPr>
          <w:rFonts w:hint="eastAsia" w:ascii="宋体" w:hAnsi="宋体"/>
          <w:szCs w:val="21"/>
        </w:rPr>
        <w:t>3.2</w:t>
      </w:r>
      <w:r>
        <w:rPr>
          <w:rFonts w:ascii="宋体" w:hAnsi="宋体"/>
          <w:szCs w:val="21"/>
        </w:rPr>
        <w:t xml:space="preserve"> </w:t>
      </w:r>
      <w:r>
        <w:rPr>
          <w:rFonts w:hint="eastAsia" w:ascii="宋体" w:hAnsi="宋体"/>
          <w:szCs w:val="21"/>
        </w:rPr>
        <w:t>合同价款的支付</w:t>
      </w:r>
    </w:p>
    <w:p w14:paraId="7D2ACF5F">
      <w:pPr>
        <w:spacing w:line="360" w:lineRule="auto"/>
        <w:ind w:firstLine="420" w:firstLineChars="200"/>
        <w:rPr>
          <w:rFonts w:hint="eastAsia" w:ascii="宋体" w:hAnsi="宋体"/>
          <w:szCs w:val="21"/>
        </w:rPr>
      </w:pPr>
      <w:r>
        <w:rPr>
          <w:rFonts w:hint="eastAsia" w:ascii="宋体" w:hAnsi="宋体"/>
          <w:szCs w:val="21"/>
        </w:rPr>
        <w:t>合同价款支付的约定：</w:t>
      </w:r>
    </w:p>
    <w:p w14:paraId="5A2449EA">
      <w:pPr>
        <w:tabs>
          <w:tab w:val="left" w:pos="1134"/>
        </w:tabs>
        <w:spacing w:line="360" w:lineRule="auto"/>
        <w:ind w:firstLine="420" w:firstLineChars="200"/>
        <w:rPr>
          <w:rFonts w:ascii="宋体" w:hAnsi="宋体"/>
          <w:szCs w:val="21"/>
          <w:u w:val="single"/>
        </w:rPr>
      </w:pPr>
      <w:r>
        <w:rPr>
          <w:rFonts w:ascii="宋体" w:hAnsi="宋体"/>
          <w:szCs w:val="21"/>
          <w:u w:val="single"/>
        </w:rPr>
        <w:t xml:space="preserve">3.2.1 </w:t>
      </w:r>
      <w:r>
        <w:rPr>
          <w:rFonts w:hint="eastAsia" w:ascii="宋体" w:hAnsi="宋体"/>
          <w:szCs w:val="21"/>
          <w:u w:val="single"/>
        </w:rPr>
        <w:t>预付款</w:t>
      </w:r>
    </w:p>
    <w:p w14:paraId="6609BC2B">
      <w:pPr>
        <w:tabs>
          <w:tab w:val="left" w:pos="1134"/>
        </w:tabs>
        <w:spacing w:line="360" w:lineRule="auto"/>
        <w:ind w:firstLine="420" w:firstLineChars="200"/>
        <w:rPr>
          <w:rFonts w:hint="eastAsia" w:ascii="宋体" w:hAnsi="宋体"/>
          <w:color w:val="auto"/>
          <w:szCs w:val="21"/>
          <w:highlight w:val="none"/>
          <w:u w:val="single"/>
        </w:rPr>
      </w:pPr>
      <w:r>
        <w:rPr>
          <w:rFonts w:hint="eastAsia" w:ascii="宋体" w:hAnsi="宋体" w:eastAsia="宋体" w:cs="宋体"/>
          <w:color w:val="auto"/>
          <w:szCs w:val="21"/>
          <w:highlight w:val="none"/>
          <w:u w:val="single"/>
          <w:lang w:val="en-US" w:eastAsia="zh-CN"/>
        </w:rPr>
        <w:t>合同签订</w:t>
      </w:r>
      <w:r>
        <w:rPr>
          <w:rFonts w:hint="eastAsia" w:ascii="宋体" w:hAnsi="宋体" w:cs="宋体"/>
          <w:color w:val="auto"/>
          <w:szCs w:val="21"/>
          <w:highlight w:val="none"/>
          <w:u w:val="single"/>
          <w:lang w:val="en-US" w:eastAsia="zh-CN"/>
        </w:rPr>
        <w:t>生效</w:t>
      </w:r>
      <w:r>
        <w:rPr>
          <w:rFonts w:hint="eastAsia" w:ascii="宋体" w:hAnsi="宋体" w:eastAsia="宋体" w:cs="宋体"/>
          <w:color w:val="auto"/>
          <w:highlight w:val="none"/>
          <w:u w:val="single"/>
        </w:rPr>
        <w:t>后28日内</w:t>
      </w:r>
      <w:r>
        <w:rPr>
          <w:rFonts w:hint="eastAsia" w:ascii="宋体" w:hAnsi="宋体" w:eastAsia="宋体" w:cs="宋体"/>
          <w:color w:val="auto"/>
          <w:szCs w:val="21"/>
          <w:highlight w:val="none"/>
          <w:u w:val="single"/>
          <w:lang w:val="en-US" w:eastAsia="zh-CN"/>
        </w:rPr>
        <w:t>预支付</w:t>
      </w:r>
      <w:r>
        <w:rPr>
          <w:rFonts w:hint="eastAsia" w:ascii="宋体" w:hAnsi="宋体" w:eastAsia="宋体" w:cs="宋体"/>
          <w:snapToGrid/>
          <w:color w:val="auto"/>
          <w:kern w:val="2"/>
          <w:szCs w:val="21"/>
          <w:highlight w:val="none"/>
          <w:u w:val="single"/>
          <w:lang w:val="en-US" w:eastAsia="zh-CN"/>
        </w:rPr>
        <w:t>签约合同价款的</w:t>
      </w:r>
      <w:r>
        <w:rPr>
          <w:rFonts w:ascii="宋体" w:hAnsi="宋体"/>
          <w:color w:val="auto"/>
          <w:szCs w:val="21"/>
          <w:highlight w:val="none"/>
          <w:u w:val="single"/>
        </w:rPr>
        <w:t xml:space="preserve"> </w:t>
      </w:r>
      <w:r>
        <w:rPr>
          <w:rFonts w:hint="eastAsia" w:ascii="宋体" w:hAnsi="宋体"/>
          <w:color w:val="auto"/>
          <w:szCs w:val="21"/>
          <w:highlight w:val="none"/>
          <w:u w:val="single"/>
          <w:lang w:val="en-US" w:eastAsia="zh-CN"/>
        </w:rPr>
        <w:t>3</w:t>
      </w:r>
      <w:r>
        <w:rPr>
          <w:rFonts w:ascii="宋体" w:hAnsi="宋体"/>
          <w:color w:val="auto"/>
          <w:szCs w:val="21"/>
          <w:highlight w:val="none"/>
          <w:u w:val="single"/>
        </w:rPr>
        <w:t>0%</w:t>
      </w:r>
      <w:r>
        <w:rPr>
          <w:rFonts w:hint="eastAsia" w:ascii="宋体" w:hAnsi="宋体"/>
          <w:color w:val="auto"/>
          <w:szCs w:val="21"/>
          <w:highlight w:val="none"/>
          <w:u w:val="single"/>
        </w:rPr>
        <w:t>作为预付款。买方支付预付款后，如卖方未履行合同义务，则买方有权收回预付款；如卖方依约履行了合同义务，则预付款抵作合同价款。</w:t>
      </w:r>
    </w:p>
    <w:p w14:paraId="282C5970">
      <w:pPr>
        <w:pStyle w:val="17"/>
        <w:numPr>
          <w:ilvl w:val="0"/>
          <w:numId w:val="0"/>
        </w:numPr>
        <w:ind w:firstLine="420" w:firstLineChars="200"/>
        <w:rPr>
          <w:rFonts w:hint="eastAsia" w:ascii="宋体" w:hAnsi="宋体" w:eastAsia="宋体" w:cs="宋体"/>
          <w:color w:val="auto"/>
          <w:kern w:val="2"/>
          <w:sz w:val="21"/>
          <w:szCs w:val="21"/>
          <w:highlight w:val="none"/>
          <w:u w:val="single"/>
          <w:lang w:val="en-US" w:eastAsia="zh-CN" w:bidi="ar-SA"/>
        </w:rPr>
      </w:pPr>
      <w:r>
        <w:rPr>
          <w:rFonts w:hint="eastAsia" w:ascii="宋体" w:hAnsi="宋体" w:eastAsia="宋体" w:cs="宋体"/>
          <w:color w:val="auto"/>
          <w:kern w:val="2"/>
          <w:sz w:val="21"/>
          <w:szCs w:val="21"/>
          <w:highlight w:val="none"/>
          <w:u w:val="single"/>
          <w:lang w:val="en-US" w:eastAsia="zh-CN" w:bidi="ar-SA"/>
        </w:rPr>
        <w:t>（1）履约保函正本一份。</w:t>
      </w:r>
    </w:p>
    <w:p w14:paraId="6DB159D0">
      <w:pPr>
        <w:pStyle w:val="17"/>
        <w:numPr>
          <w:ilvl w:val="0"/>
          <w:numId w:val="0"/>
        </w:numPr>
        <w:ind w:firstLine="420" w:firstLineChars="200"/>
        <w:rPr>
          <w:rFonts w:hint="eastAsia" w:eastAsia="宋体"/>
          <w:color w:val="auto"/>
          <w:lang w:val="en-US" w:eastAsia="zh-CN"/>
        </w:rPr>
      </w:pPr>
      <w:r>
        <w:rPr>
          <w:rFonts w:hint="eastAsia" w:ascii="宋体" w:hAnsi="宋体" w:eastAsia="宋体" w:cs="宋体"/>
          <w:color w:val="auto"/>
          <w:kern w:val="2"/>
          <w:sz w:val="21"/>
          <w:szCs w:val="21"/>
          <w:highlight w:val="none"/>
          <w:u w:val="single"/>
          <w:lang w:val="en-US" w:eastAsia="zh-CN" w:bidi="ar-SA"/>
        </w:rPr>
        <w:t>（2）等额增值税发票正本一份。</w:t>
      </w:r>
    </w:p>
    <w:p w14:paraId="13CF203C">
      <w:pPr>
        <w:tabs>
          <w:tab w:val="left" w:pos="1134"/>
        </w:tabs>
        <w:spacing w:line="360" w:lineRule="auto"/>
        <w:ind w:firstLine="420" w:firstLineChars="200"/>
        <w:rPr>
          <w:rFonts w:ascii="宋体" w:hAnsi="宋体"/>
          <w:szCs w:val="21"/>
          <w:u w:val="single"/>
        </w:rPr>
      </w:pPr>
      <w:r>
        <w:rPr>
          <w:rFonts w:ascii="宋体" w:hAnsi="宋体"/>
          <w:szCs w:val="21"/>
          <w:u w:val="single"/>
        </w:rPr>
        <w:t xml:space="preserve">3.2.2 </w:t>
      </w:r>
      <w:r>
        <w:rPr>
          <w:rFonts w:hint="eastAsia" w:ascii="宋体" w:hAnsi="宋体"/>
          <w:szCs w:val="21"/>
          <w:u w:val="single"/>
        </w:rPr>
        <w:t>交货款</w:t>
      </w:r>
      <w:r>
        <w:rPr>
          <w:rFonts w:ascii="宋体" w:hAnsi="宋体"/>
          <w:szCs w:val="21"/>
          <w:u w:val="single"/>
        </w:rPr>
        <w:t xml:space="preserve"> </w:t>
      </w:r>
    </w:p>
    <w:p w14:paraId="2493B6EA">
      <w:pPr>
        <w:tabs>
          <w:tab w:val="left" w:pos="1134"/>
        </w:tabs>
        <w:spacing w:line="360" w:lineRule="auto"/>
        <w:ind w:firstLine="420" w:firstLineChars="200"/>
        <w:rPr>
          <w:rFonts w:ascii="宋体" w:hAnsi="宋体"/>
          <w:szCs w:val="21"/>
          <w:u w:val="single"/>
        </w:rPr>
      </w:pPr>
      <w:r>
        <w:rPr>
          <w:rFonts w:hint="eastAsia" w:ascii="宋体" w:hAnsi="宋体"/>
          <w:szCs w:val="21"/>
          <w:u w:val="single"/>
        </w:rPr>
        <w:t>卖方按合同约定交付全部合同设备后</w:t>
      </w:r>
      <w:r>
        <w:rPr>
          <w:rFonts w:hint="eastAsia" w:ascii="宋体" w:hAnsi="宋体"/>
          <w:color w:val="auto"/>
          <w:szCs w:val="21"/>
          <w:u w:val="single"/>
        </w:rPr>
        <w:t>，</w:t>
      </w:r>
      <w:r>
        <w:rPr>
          <w:rFonts w:hint="eastAsia" w:ascii="宋体" w:hAnsi="宋体" w:eastAsia="宋体"/>
          <w:color w:val="auto"/>
          <w:szCs w:val="21"/>
          <w:u w:val="single"/>
          <w:lang w:val="en-US" w:eastAsia="zh-CN"/>
        </w:rPr>
        <w:t>买卖双方</w:t>
      </w:r>
      <w:r>
        <w:rPr>
          <w:rFonts w:hint="eastAsia" w:ascii="宋体" w:hAnsi="宋体"/>
          <w:color w:val="auto"/>
          <w:szCs w:val="21"/>
          <w:u w:val="single"/>
        </w:rPr>
        <w:t>签署的</w:t>
      </w:r>
      <w:r>
        <w:rPr>
          <w:rFonts w:hint="eastAsia" w:ascii="宋体" w:hAnsi="宋体"/>
          <w:color w:val="auto"/>
          <w:szCs w:val="21"/>
          <w:u w:val="single"/>
          <w:lang w:val="en-US" w:eastAsia="zh-CN"/>
        </w:rPr>
        <w:t>设备到货初检验报告</w:t>
      </w:r>
      <w:r>
        <w:rPr>
          <w:rFonts w:ascii="宋体" w:hAnsi="宋体"/>
          <w:color w:val="auto"/>
          <w:szCs w:val="21"/>
          <w:u w:val="single"/>
        </w:rPr>
        <w:t xml:space="preserve"> 28 </w:t>
      </w:r>
      <w:r>
        <w:rPr>
          <w:rFonts w:hint="eastAsia" w:ascii="宋体" w:hAnsi="宋体"/>
          <w:szCs w:val="21"/>
          <w:u w:val="single"/>
        </w:rPr>
        <w:t>日内，向卖方支付</w:t>
      </w:r>
      <w:r>
        <w:rPr>
          <w:rFonts w:hint="eastAsia" w:ascii="宋体" w:hAnsi="宋体"/>
          <w:szCs w:val="21"/>
          <w:u w:val="single"/>
          <w:lang w:val="en-US" w:eastAsia="zh-CN"/>
        </w:rPr>
        <w:t>至</w:t>
      </w:r>
      <w:r>
        <w:rPr>
          <w:rFonts w:hint="eastAsia" w:ascii="宋体" w:hAnsi="宋体"/>
          <w:szCs w:val="21"/>
          <w:u w:val="single"/>
        </w:rPr>
        <w:t>合同价格的</w:t>
      </w:r>
      <w:r>
        <w:rPr>
          <w:rFonts w:ascii="宋体" w:hAnsi="宋体"/>
          <w:szCs w:val="21"/>
          <w:u w:val="single"/>
        </w:rPr>
        <w:t xml:space="preserve"> 60%</w:t>
      </w:r>
      <w:r>
        <w:rPr>
          <w:rFonts w:hint="eastAsia" w:ascii="宋体" w:hAnsi="宋体" w:eastAsia="宋体" w:cs="宋体"/>
          <w:color w:val="000000" w:themeColor="text1"/>
          <w:szCs w:val="21"/>
          <w:highlight w:val="none"/>
          <w:u w:val="single"/>
          <w14:textFill>
            <w14:solidFill>
              <w14:schemeClr w14:val="tx1"/>
            </w14:solidFill>
          </w14:textFill>
        </w:rPr>
        <w:t>（含预付款）</w:t>
      </w:r>
      <w:r>
        <w:rPr>
          <w:rFonts w:hint="eastAsia" w:ascii="宋体" w:hAnsi="宋体"/>
          <w:szCs w:val="21"/>
          <w:u w:val="single"/>
        </w:rPr>
        <w:t>：</w:t>
      </w:r>
    </w:p>
    <w:p w14:paraId="0A529F39">
      <w:pPr>
        <w:tabs>
          <w:tab w:val="left" w:pos="1134"/>
        </w:tabs>
        <w:spacing w:line="360" w:lineRule="auto"/>
        <w:ind w:firstLine="420" w:firstLineChars="200"/>
        <w:rPr>
          <w:rFonts w:ascii="宋体" w:hAnsi="宋体"/>
          <w:szCs w:val="21"/>
          <w:u w:val="single"/>
        </w:rPr>
      </w:pPr>
      <w:r>
        <w:rPr>
          <w:rFonts w:hint="eastAsia" w:ascii="宋体" w:hAnsi="宋体"/>
          <w:szCs w:val="21"/>
          <w:u w:val="single"/>
        </w:rPr>
        <w:t>（</w:t>
      </w:r>
      <w:r>
        <w:rPr>
          <w:rFonts w:ascii="宋体" w:hAnsi="宋体"/>
          <w:szCs w:val="21"/>
          <w:u w:val="single"/>
        </w:rPr>
        <w:t>1</w:t>
      </w:r>
      <w:r>
        <w:rPr>
          <w:rFonts w:hint="eastAsia" w:ascii="宋体" w:hAnsi="宋体"/>
          <w:szCs w:val="21"/>
          <w:u w:val="single"/>
        </w:rPr>
        <w:t>）</w:t>
      </w:r>
      <w:r>
        <w:rPr>
          <w:rFonts w:hint="eastAsia" w:ascii="宋体" w:hAnsi="宋体" w:eastAsia="宋体"/>
          <w:szCs w:val="21"/>
          <w:u w:val="single"/>
          <w:lang w:val="en-US" w:eastAsia="zh-CN"/>
        </w:rPr>
        <w:t>买卖双方</w:t>
      </w:r>
      <w:r>
        <w:rPr>
          <w:rFonts w:hint="eastAsia" w:ascii="宋体" w:hAnsi="宋体"/>
          <w:szCs w:val="21"/>
          <w:u w:val="single"/>
        </w:rPr>
        <w:t>签署的</w:t>
      </w:r>
      <w:r>
        <w:rPr>
          <w:rFonts w:hint="eastAsia" w:ascii="宋体" w:hAnsi="宋体"/>
          <w:szCs w:val="21"/>
          <w:u w:val="single"/>
          <w:lang w:val="en-US" w:eastAsia="zh-CN"/>
        </w:rPr>
        <w:t>设备到货开箱检验报告</w:t>
      </w:r>
      <w:r>
        <w:rPr>
          <w:rFonts w:hint="eastAsia" w:ascii="宋体" w:hAnsi="宋体"/>
          <w:szCs w:val="21"/>
          <w:u w:val="single"/>
        </w:rPr>
        <w:t>一份；</w:t>
      </w:r>
    </w:p>
    <w:p w14:paraId="010CF8DF">
      <w:pPr>
        <w:tabs>
          <w:tab w:val="left" w:pos="1134"/>
        </w:tabs>
        <w:spacing w:line="360" w:lineRule="auto"/>
        <w:ind w:firstLine="420" w:firstLineChars="200"/>
        <w:rPr>
          <w:rFonts w:ascii="宋体" w:hAnsi="宋体"/>
          <w:szCs w:val="21"/>
          <w:u w:val="single"/>
        </w:rPr>
      </w:pPr>
      <w:r>
        <w:rPr>
          <w:rFonts w:hint="eastAsia" w:ascii="宋体" w:hAnsi="宋体"/>
          <w:szCs w:val="21"/>
          <w:u w:val="single"/>
        </w:rPr>
        <w:t>（</w:t>
      </w:r>
      <w:r>
        <w:rPr>
          <w:rFonts w:hint="eastAsia" w:ascii="宋体" w:hAnsi="宋体"/>
          <w:szCs w:val="21"/>
          <w:u w:val="single"/>
          <w:lang w:val="en-US" w:eastAsia="zh-CN"/>
        </w:rPr>
        <w:t>2</w:t>
      </w:r>
      <w:r>
        <w:rPr>
          <w:rFonts w:hint="eastAsia" w:ascii="宋体" w:hAnsi="宋体"/>
          <w:szCs w:val="21"/>
          <w:u w:val="single"/>
        </w:rPr>
        <w:t>）</w:t>
      </w:r>
      <w:r>
        <w:rPr>
          <w:rFonts w:hint="eastAsia" w:ascii="宋体" w:hAnsi="宋体"/>
          <w:szCs w:val="21"/>
          <w:u w:val="single"/>
          <w:lang w:val="en-US" w:eastAsia="zh-CN"/>
        </w:rPr>
        <w:t>等额</w:t>
      </w:r>
      <w:r>
        <w:rPr>
          <w:rFonts w:hint="eastAsia" w:ascii="宋体" w:hAnsi="宋体"/>
          <w:szCs w:val="21"/>
          <w:u w:val="single"/>
        </w:rPr>
        <w:t>增值税发票正本一份。</w:t>
      </w:r>
    </w:p>
    <w:p w14:paraId="761A050D">
      <w:pPr>
        <w:tabs>
          <w:tab w:val="left" w:pos="1134"/>
        </w:tabs>
        <w:spacing w:line="360" w:lineRule="auto"/>
        <w:ind w:firstLine="420" w:firstLineChars="200"/>
        <w:rPr>
          <w:rFonts w:ascii="宋体" w:hAnsi="宋体"/>
          <w:szCs w:val="21"/>
          <w:u w:val="single"/>
        </w:rPr>
      </w:pPr>
      <w:r>
        <w:rPr>
          <w:rFonts w:ascii="宋体" w:hAnsi="宋体"/>
          <w:szCs w:val="21"/>
          <w:u w:val="single"/>
        </w:rPr>
        <w:t xml:space="preserve">3.2.3 </w:t>
      </w:r>
      <w:r>
        <w:rPr>
          <w:rFonts w:hint="eastAsia" w:ascii="宋体" w:hAnsi="宋体"/>
          <w:szCs w:val="21"/>
          <w:u w:val="single"/>
        </w:rPr>
        <w:t>验收款</w:t>
      </w:r>
      <w:r>
        <w:rPr>
          <w:rFonts w:ascii="宋体" w:hAnsi="宋体"/>
          <w:szCs w:val="21"/>
          <w:u w:val="single"/>
        </w:rPr>
        <w:t xml:space="preserve"> </w:t>
      </w:r>
    </w:p>
    <w:p w14:paraId="1B628DDD">
      <w:pPr>
        <w:tabs>
          <w:tab w:val="left" w:pos="1134"/>
        </w:tabs>
        <w:spacing w:line="360" w:lineRule="auto"/>
        <w:ind w:firstLine="420" w:firstLineChars="200"/>
        <w:rPr>
          <w:rFonts w:hint="eastAsia" w:ascii="宋体" w:hAnsi="宋体" w:eastAsia="宋体"/>
          <w:szCs w:val="21"/>
          <w:u w:val="single"/>
        </w:rPr>
      </w:pPr>
      <w:r>
        <w:rPr>
          <w:rFonts w:hint="eastAsia" w:ascii="宋体" w:hAnsi="宋体"/>
          <w:szCs w:val="21"/>
          <w:u w:val="single"/>
        </w:rPr>
        <w:t>买方在收到卖方提交的买卖双方签署的合同设备验收</w:t>
      </w:r>
      <w:r>
        <w:rPr>
          <w:rFonts w:hint="eastAsia" w:ascii="宋体" w:hAnsi="宋体"/>
          <w:szCs w:val="21"/>
          <w:u w:val="single"/>
          <w:lang w:val="en-US" w:eastAsia="zh-CN"/>
        </w:rPr>
        <w:t>合格报告</w:t>
      </w:r>
      <w:r>
        <w:rPr>
          <w:rFonts w:ascii="宋体" w:hAnsi="宋体"/>
          <w:szCs w:val="21"/>
          <w:u w:val="single"/>
        </w:rPr>
        <w:t xml:space="preserve"> 28 </w:t>
      </w:r>
      <w:r>
        <w:rPr>
          <w:rFonts w:hint="eastAsia" w:ascii="宋体" w:hAnsi="宋体"/>
          <w:szCs w:val="21"/>
          <w:u w:val="single"/>
        </w:rPr>
        <w:t>日内，向卖方支付</w:t>
      </w:r>
      <w:r>
        <w:rPr>
          <w:rFonts w:hint="eastAsia" w:ascii="宋体" w:hAnsi="宋体"/>
          <w:szCs w:val="21"/>
          <w:u w:val="single"/>
          <w:lang w:val="en-US" w:eastAsia="zh-CN"/>
        </w:rPr>
        <w:t>至合同结算审定</w:t>
      </w:r>
      <w:r>
        <w:rPr>
          <w:rFonts w:hint="eastAsia" w:ascii="宋体" w:hAnsi="宋体" w:eastAsia="宋体"/>
          <w:szCs w:val="21"/>
          <w:u w:val="single"/>
        </w:rPr>
        <w:t xml:space="preserve">价格的 </w:t>
      </w:r>
      <w:r>
        <w:rPr>
          <w:rFonts w:hint="eastAsia" w:ascii="宋体" w:hAnsi="宋体" w:eastAsia="宋体"/>
          <w:szCs w:val="21"/>
          <w:u w:val="single"/>
          <w:lang w:val="en-US" w:eastAsia="zh-CN"/>
        </w:rPr>
        <w:t>90</w:t>
      </w:r>
      <w:r>
        <w:rPr>
          <w:rFonts w:hint="eastAsia" w:ascii="宋体" w:hAnsi="宋体" w:eastAsia="宋体"/>
          <w:szCs w:val="21"/>
          <w:u w:val="single"/>
        </w:rPr>
        <w:t>%。</w:t>
      </w:r>
    </w:p>
    <w:p w14:paraId="2C35C43B">
      <w:pPr>
        <w:tabs>
          <w:tab w:val="left" w:pos="1134"/>
        </w:tabs>
        <w:spacing w:line="360" w:lineRule="auto"/>
        <w:ind w:firstLine="420" w:firstLineChars="200"/>
        <w:rPr>
          <w:rFonts w:hint="eastAsia" w:ascii="宋体" w:hAnsi="宋体" w:eastAsia="宋体"/>
          <w:szCs w:val="21"/>
          <w:u w:val="single"/>
          <w:lang w:eastAsia="zh-CN"/>
        </w:rPr>
      </w:pPr>
      <w:r>
        <w:rPr>
          <w:rFonts w:hint="eastAsia" w:ascii="宋体" w:hAnsi="宋体" w:eastAsia="宋体"/>
          <w:szCs w:val="21"/>
          <w:u w:val="single"/>
          <w:lang w:val="en-US" w:eastAsia="zh-CN"/>
        </w:rPr>
        <w:t>（1）设备竣工验收报告</w:t>
      </w:r>
      <w:r>
        <w:rPr>
          <w:rFonts w:hint="eastAsia" w:ascii="宋体" w:hAnsi="宋体" w:eastAsia="宋体"/>
          <w:szCs w:val="21"/>
          <w:u w:val="single"/>
        </w:rPr>
        <w:t>一份</w:t>
      </w:r>
      <w:r>
        <w:rPr>
          <w:rFonts w:hint="eastAsia" w:ascii="宋体" w:hAnsi="宋体" w:eastAsia="宋体"/>
          <w:szCs w:val="21"/>
          <w:u w:val="single"/>
          <w:lang w:eastAsia="zh-CN"/>
        </w:rPr>
        <w:t>；</w:t>
      </w:r>
    </w:p>
    <w:p w14:paraId="646DE864">
      <w:pPr>
        <w:tabs>
          <w:tab w:val="left" w:pos="1134"/>
        </w:tabs>
        <w:spacing w:line="360" w:lineRule="auto"/>
        <w:ind w:firstLine="420" w:firstLineChars="200"/>
        <w:rPr>
          <w:rFonts w:hint="eastAsia" w:ascii="宋体" w:hAnsi="宋体" w:eastAsia="宋体"/>
          <w:szCs w:val="21"/>
          <w:u w:val="single"/>
          <w:lang w:eastAsia="zh-CN"/>
        </w:rPr>
      </w:pPr>
      <w:r>
        <w:rPr>
          <w:rFonts w:hint="eastAsia" w:ascii="宋体" w:hAnsi="宋体" w:eastAsia="宋体"/>
          <w:szCs w:val="21"/>
          <w:u w:val="single"/>
          <w:lang w:eastAsia="zh-CN"/>
        </w:rPr>
        <w:t>（</w:t>
      </w:r>
      <w:r>
        <w:rPr>
          <w:rFonts w:hint="eastAsia" w:ascii="宋体" w:hAnsi="宋体" w:eastAsia="宋体"/>
          <w:szCs w:val="21"/>
          <w:u w:val="single"/>
          <w:lang w:val="en-US" w:eastAsia="zh-CN"/>
        </w:rPr>
        <w:t>2</w:t>
      </w:r>
      <w:r>
        <w:rPr>
          <w:rFonts w:hint="eastAsia" w:ascii="宋体" w:hAnsi="宋体" w:eastAsia="宋体"/>
          <w:szCs w:val="21"/>
          <w:u w:val="single"/>
          <w:lang w:eastAsia="zh-CN"/>
        </w:rPr>
        <w:t>）</w:t>
      </w:r>
      <w:r>
        <w:rPr>
          <w:rFonts w:hint="eastAsia" w:ascii="宋体" w:hAnsi="宋体" w:eastAsia="宋体"/>
          <w:szCs w:val="21"/>
          <w:u w:val="single"/>
          <w:lang w:val="en-US" w:eastAsia="zh-CN"/>
        </w:rPr>
        <w:t>买卖双方</w:t>
      </w:r>
      <w:r>
        <w:rPr>
          <w:rFonts w:hint="eastAsia" w:ascii="宋体" w:hAnsi="宋体"/>
          <w:szCs w:val="21"/>
          <w:u w:val="single"/>
        </w:rPr>
        <w:t>签署的</w:t>
      </w:r>
      <w:r>
        <w:rPr>
          <w:rFonts w:hint="eastAsia" w:ascii="宋体" w:hAnsi="宋体" w:eastAsia="宋体"/>
          <w:szCs w:val="21"/>
          <w:u w:val="single"/>
          <w:lang w:val="en-US" w:eastAsia="zh-CN"/>
        </w:rPr>
        <w:t>设备移交清单</w:t>
      </w:r>
      <w:r>
        <w:rPr>
          <w:rFonts w:hint="eastAsia" w:ascii="宋体" w:hAnsi="宋体" w:eastAsia="宋体"/>
          <w:szCs w:val="21"/>
          <w:u w:val="single"/>
        </w:rPr>
        <w:t>一份</w:t>
      </w:r>
      <w:r>
        <w:rPr>
          <w:rFonts w:hint="eastAsia" w:ascii="宋体" w:hAnsi="宋体" w:eastAsia="宋体"/>
          <w:szCs w:val="21"/>
          <w:u w:val="single"/>
          <w:lang w:eastAsia="zh-CN"/>
        </w:rPr>
        <w:t>；</w:t>
      </w:r>
    </w:p>
    <w:p w14:paraId="56622581">
      <w:pPr>
        <w:tabs>
          <w:tab w:val="left" w:pos="1134"/>
        </w:tabs>
        <w:spacing w:line="360" w:lineRule="auto"/>
        <w:ind w:firstLine="420" w:firstLineChars="200"/>
        <w:rPr>
          <w:rFonts w:hint="eastAsia" w:ascii="宋体" w:hAnsi="宋体" w:eastAsia="宋体"/>
          <w:szCs w:val="21"/>
          <w:u w:val="single"/>
          <w:lang w:val="en-US" w:eastAsia="zh-CN"/>
        </w:rPr>
      </w:pPr>
      <w:r>
        <w:rPr>
          <w:rFonts w:hint="eastAsia" w:ascii="宋体" w:hAnsi="宋体" w:eastAsia="宋体"/>
          <w:szCs w:val="21"/>
          <w:u w:val="single"/>
          <w:lang w:eastAsia="zh-CN"/>
        </w:rPr>
        <w:t>（</w:t>
      </w:r>
      <w:r>
        <w:rPr>
          <w:rFonts w:hint="eastAsia" w:ascii="宋体" w:hAnsi="宋体" w:eastAsia="宋体"/>
          <w:szCs w:val="21"/>
          <w:u w:val="single"/>
          <w:lang w:val="en-US" w:eastAsia="zh-CN"/>
        </w:rPr>
        <w:t>3</w:t>
      </w:r>
      <w:r>
        <w:rPr>
          <w:rFonts w:hint="eastAsia" w:ascii="宋体" w:hAnsi="宋体" w:eastAsia="宋体"/>
          <w:szCs w:val="21"/>
          <w:u w:val="single"/>
          <w:lang w:eastAsia="zh-CN"/>
        </w:rPr>
        <w:t>）</w:t>
      </w:r>
      <w:r>
        <w:rPr>
          <w:rFonts w:hint="eastAsia" w:ascii="宋体" w:hAnsi="宋体" w:eastAsia="宋体"/>
          <w:szCs w:val="21"/>
          <w:u w:val="single"/>
          <w:lang w:val="en-US" w:eastAsia="zh-CN"/>
        </w:rPr>
        <w:t>买卖双方</w:t>
      </w:r>
      <w:r>
        <w:rPr>
          <w:rFonts w:hint="eastAsia" w:ascii="宋体" w:hAnsi="宋体"/>
          <w:szCs w:val="21"/>
          <w:u w:val="single"/>
        </w:rPr>
        <w:t>签署的</w:t>
      </w:r>
      <w:r>
        <w:rPr>
          <w:rFonts w:hint="eastAsia" w:ascii="宋体" w:hAnsi="宋体" w:eastAsia="宋体"/>
          <w:szCs w:val="21"/>
          <w:u w:val="single"/>
          <w:lang w:val="en-US" w:eastAsia="zh-CN"/>
        </w:rPr>
        <w:t>资料移交清单</w:t>
      </w:r>
      <w:r>
        <w:rPr>
          <w:rFonts w:hint="eastAsia" w:ascii="宋体" w:hAnsi="宋体" w:eastAsia="宋体"/>
          <w:szCs w:val="21"/>
          <w:u w:val="single"/>
        </w:rPr>
        <w:t>一份</w:t>
      </w:r>
      <w:r>
        <w:rPr>
          <w:rFonts w:hint="eastAsia" w:ascii="宋体" w:hAnsi="宋体" w:eastAsia="宋体"/>
          <w:szCs w:val="21"/>
          <w:u w:val="single"/>
          <w:lang w:eastAsia="zh-CN"/>
        </w:rPr>
        <w:t>；</w:t>
      </w:r>
    </w:p>
    <w:p w14:paraId="6A048AE5">
      <w:pPr>
        <w:tabs>
          <w:tab w:val="left" w:pos="1134"/>
        </w:tabs>
        <w:spacing w:line="360" w:lineRule="auto"/>
        <w:ind w:firstLine="420" w:firstLineChars="200"/>
        <w:rPr>
          <w:rFonts w:hint="eastAsia" w:ascii="宋体" w:hAnsi="宋体" w:eastAsia="宋体"/>
          <w:szCs w:val="21"/>
          <w:u w:val="single"/>
          <w:lang w:eastAsia="zh-CN"/>
        </w:rPr>
      </w:pPr>
      <w:r>
        <w:rPr>
          <w:rFonts w:hint="eastAsia" w:ascii="宋体" w:hAnsi="宋体" w:eastAsia="宋体"/>
          <w:szCs w:val="21"/>
          <w:u w:val="single"/>
          <w:lang w:eastAsia="zh-CN"/>
        </w:rPr>
        <w:t>（</w:t>
      </w:r>
      <w:r>
        <w:rPr>
          <w:rFonts w:hint="eastAsia" w:ascii="宋体" w:hAnsi="宋体" w:eastAsia="宋体"/>
          <w:szCs w:val="21"/>
          <w:u w:val="single"/>
          <w:lang w:val="en-US" w:eastAsia="zh-CN"/>
        </w:rPr>
        <w:t>4</w:t>
      </w:r>
      <w:r>
        <w:rPr>
          <w:rFonts w:hint="eastAsia" w:ascii="宋体" w:hAnsi="宋体" w:eastAsia="宋体"/>
          <w:szCs w:val="21"/>
          <w:u w:val="single"/>
          <w:lang w:eastAsia="zh-CN"/>
        </w:rPr>
        <w:t>）</w:t>
      </w:r>
      <w:r>
        <w:rPr>
          <w:rFonts w:hint="eastAsia" w:ascii="宋体" w:hAnsi="宋体" w:eastAsia="宋体"/>
          <w:szCs w:val="21"/>
          <w:u w:val="single"/>
          <w:lang w:val="en-US" w:eastAsia="zh-CN"/>
        </w:rPr>
        <w:t>设备结算书</w:t>
      </w:r>
      <w:r>
        <w:rPr>
          <w:rFonts w:hint="eastAsia" w:ascii="宋体" w:hAnsi="宋体" w:eastAsia="宋体"/>
          <w:szCs w:val="21"/>
          <w:u w:val="single"/>
        </w:rPr>
        <w:t>正本一份</w:t>
      </w:r>
      <w:r>
        <w:rPr>
          <w:rFonts w:hint="eastAsia" w:ascii="宋体" w:hAnsi="宋体" w:eastAsia="宋体"/>
          <w:szCs w:val="21"/>
          <w:u w:val="single"/>
          <w:lang w:eastAsia="zh-CN"/>
        </w:rPr>
        <w:t>；</w:t>
      </w:r>
    </w:p>
    <w:p w14:paraId="0A498D97">
      <w:pPr>
        <w:tabs>
          <w:tab w:val="left" w:pos="1134"/>
        </w:tabs>
        <w:spacing w:line="360" w:lineRule="auto"/>
        <w:ind w:firstLine="420" w:firstLineChars="200"/>
        <w:rPr>
          <w:rFonts w:ascii="宋体" w:hAnsi="宋体"/>
          <w:szCs w:val="21"/>
          <w:u w:val="single"/>
        </w:rPr>
      </w:pPr>
      <w:r>
        <w:rPr>
          <w:rFonts w:hint="eastAsia" w:ascii="宋体" w:hAnsi="宋体"/>
          <w:szCs w:val="21"/>
          <w:u w:val="single"/>
        </w:rPr>
        <w:t>（</w:t>
      </w:r>
      <w:r>
        <w:rPr>
          <w:rFonts w:hint="eastAsia" w:ascii="宋体" w:hAnsi="宋体"/>
          <w:szCs w:val="21"/>
          <w:u w:val="single"/>
          <w:lang w:val="en-US" w:eastAsia="zh-CN"/>
        </w:rPr>
        <w:t>5</w:t>
      </w:r>
      <w:r>
        <w:rPr>
          <w:rFonts w:hint="eastAsia" w:ascii="宋体" w:hAnsi="宋体"/>
          <w:szCs w:val="21"/>
          <w:u w:val="single"/>
        </w:rPr>
        <w:t>）</w:t>
      </w:r>
      <w:r>
        <w:rPr>
          <w:rFonts w:hint="eastAsia" w:ascii="宋体" w:hAnsi="宋体"/>
          <w:szCs w:val="21"/>
          <w:u w:val="single"/>
          <w:lang w:val="en-US" w:eastAsia="zh-CN"/>
        </w:rPr>
        <w:t>等额</w:t>
      </w:r>
      <w:r>
        <w:rPr>
          <w:rFonts w:hint="eastAsia" w:ascii="宋体" w:hAnsi="宋体"/>
          <w:szCs w:val="21"/>
          <w:u w:val="single"/>
        </w:rPr>
        <w:t>增值税发票正本一份。</w:t>
      </w:r>
    </w:p>
    <w:p w14:paraId="4CA577FF">
      <w:pPr>
        <w:tabs>
          <w:tab w:val="left" w:pos="1134"/>
        </w:tabs>
        <w:spacing w:line="360" w:lineRule="auto"/>
        <w:ind w:firstLine="420" w:firstLineChars="200"/>
        <w:rPr>
          <w:rFonts w:ascii="宋体" w:hAnsi="宋体"/>
          <w:color w:val="auto"/>
          <w:szCs w:val="21"/>
          <w:u w:val="single"/>
        </w:rPr>
      </w:pPr>
      <w:r>
        <w:rPr>
          <w:rFonts w:ascii="宋体" w:hAnsi="宋体"/>
          <w:szCs w:val="21"/>
          <w:u w:val="single"/>
        </w:rPr>
        <w:t>3</w:t>
      </w:r>
      <w:r>
        <w:rPr>
          <w:rFonts w:ascii="宋体" w:hAnsi="宋体"/>
          <w:color w:val="auto"/>
          <w:szCs w:val="21"/>
          <w:u w:val="single"/>
        </w:rPr>
        <w:t xml:space="preserve">.2.4 </w:t>
      </w:r>
      <w:r>
        <w:rPr>
          <w:rFonts w:hint="eastAsia" w:ascii="宋体" w:hAnsi="宋体"/>
          <w:color w:val="auto"/>
          <w:szCs w:val="21"/>
          <w:u w:val="single"/>
        </w:rPr>
        <w:t>结清款</w:t>
      </w:r>
      <w:r>
        <w:rPr>
          <w:rFonts w:ascii="宋体" w:hAnsi="宋体"/>
          <w:color w:val="auto"/>
          <w:szCs w:val="21"/>
          <w:u w:val="single"/>
        </w:rPr>
        <w:t xml:space="preserve"> </w:t>
      </w:r>
    </w:p>
    <w:p w14:paraId="255308C9">
      <w:pPr>
        <w:tabs>
          <w:tab w:val="left" w:pos="1134"/>
        </w:tabs>
        <w:spacing w:line="360" w:lineRule="auto"/>
        <w:ind w:firstLine="420" w:firstLineChars="200"/>
        <w:rPr>
          <w:rFonts w:ascii="宋体" w:hAnsi="宋体"/>
          <w:color w:val="auto"/>
          <w:szCs w:val="21"/>
          <w:u w:val="single"/>
        </w:rPr>
      </w:pPr>
      <w:r>
        <w:rPr>
          <w:rFonts w:hint="eastAsia" w:ascii="宋体" w:hAnsi="宋体"/>
          <w:color w:val="auto"/>
          <w:szCs w:val="21"/>
          <w:u w:val="single"/>
        </w:rPr>
        <w:t>买方在收到卖方提交的买方签署的</w:t>
      </w:r>
      <w:r>
        <w:rPr>
          <w:rFonts w:hint="eastAsia" w:ascii="宋体" w:hAnsi="宋体"/>
          <w:color w:val="auto"/>
          <w:szCs w:val="21"/>
          <w:u w:val="single"/>
          <w:lang w:val="en-US" w:eastAsia="zh-CN"/>
        </w:rPr>
        <w:t>质保</w:t>
      </w:r>
      <w:r>
        <w:rPr>
          <w:rFonts w:hint="eastAsia" w:ascii="宋体" w:hAnsi="宋体"/>
          <w:color w:val="auto"/>
          <w:szCs w:val="21"/>
          <w:u w:val="single"/>
        </w:rPr>
        <w:t>期</w:t>
      </w:r>
      <w:r>
        <w:rPr>
          <w:rFonts w:hint="eastAsia" w:ascii="宋体" w:hAnsi="宋体"/>
          <w:color w:val="auto"/>
          <w:szCs w:val="21"/>
          <w:u w:val="single"/>
          <w:lang w:eastAsia="zh-CN"/>
        </w:rPr>
        <w:t>（</w:t>
      </w:r>
      <w:r>
        <w:rPr>
          <w:rFonts w:hint="eastAsia" w:ascii="宋体" w:hAnsi="宋体"/>
          <w:color w:val="auto"/>
          <w:szCs w:val="21"/>
          <w:u w:val="single"/>
          <w:lang w:val="en-US" w:eastAsia="zh-CN"/>
        </w:rPr>
        <w:t>按投标文件约定执行，但最低为24个月）</w:t>
      </w:r>
      <w:r>
        <w:rPr>
          <w:rFonts w:hint="eastAsia" w:ascii="宋体" w:hAnsi="宋体"/>
          <w:color w:val="auto"/>
          <w:szCs w:val="21"/>
          <w:u w:val="single"/>
        </w:rPr>
        <w:t>届满</w:t>
      </w:r>
      <w:r>
        <w:rPr>
          <w:rFonts w:hint="eastAsia" w:ascii="宋体" w:hAnsi="宋体"/>
          <w:color w:val="auto"/>
          <w:szCs w:val="21"/>
          <w:u w:val="single"/>
          <w:lang w:eastAsia="zh-CN"/>
        </w:rPr>
        <w:t>，</w:t>
      </w:r>
      <w:r>
        <w:rPr>
          <w:rFonts w:hint="eastAsia" w:ascii="宋体" w:hAnsi="宋体" w:eastAsia="宋体" w:cs="宋体"/>
          <w:color w:val="auto"/>
          <w:szCs w:val="21"/>
          <w:highlight w:val="none"/>
          <w:u w:val="single"/>
          <w:lang w:val="en-US" w:eastAsia="zh-CN"/>
        </w:rPr>
        <w:t>卖方</w:t>
      </w:r>
      <w:r>
        <w:rPr>
          <w:rFonts w:hint="eastAsia" w:ascii="宋体" w:hAnsi="宋体" w:eastAsia="宋体" w:cs="宋体"/>
          <w:color w:val="auto"/>
          <w:szCs w:val="21"/>
          <w:highlight w:val="none"/>
          <w:u w:val="single"/>
        </w:rPr>
        <w:t>向</w:t>
      </w:r>
      <w:r>
        <w:rPr>
          <w:rFonts w:hint="eastAsia" w:ascii="宋体" w:hAnsi="宋体" w:eastAsia="宋体" w:cs="宋体"/>
          <w:color w:val="auto"/>
          <w:szCs w:val="21"/>
          <w:highlight w:val="none"/>
          <w:u w:val="single"/>
          <w:lang w:val="en-US" w:eastAsia="zh-CN"/>
        </w:rPr>
        <w:t>买方</w:t>
      </w:r>
      <w:r>
        <w:rPr>
          <w:rFonts w:hint="eastAsia" w:ascii="宋体" w:hAnsi="宋体" w:eastAsia="宋体" w:cs="宋体"/>
          <w:color w:val="auto"/>
          <w:szCs w:val="21"/>
          <w:highlight w:val="none"/>
          <w:u w:val="single"/>
        </w:rPr>
        <w:t>申请，</w:t>
      </w:r>
      <w:r>
        <w:rPr>
          <w:rFonts w:hint="eastAsia" w:ascii="宋体" w:hAnsi="宋体" w:eastAsia="宋体" w:cs="宋体"/>
          <w:color w:val="auto"/>
          <w:szCs w:val="21"/>
          <w:highlight w:val="none"/>
          <w:u w:val="single"/>
          <w:lang w:val="en-US" w:eastAsia="zh-CN"/>
        </w:rPr>
        <w:t>买方</w:t>
      </w:r>
      <w:r>
        <w:rPr>
          <w:rFonts w:hint="eastAsia" w:ascii="宋体" w:hAnsi="宋体" w:eastAsia="宋体" w:cs="宋体"/>
          <w:color w:val="auto"/>
          <w:szCs w:val="21"/>
          <w:highlight w:val="none"/>
          <w:u w:val="single"/>
        </w:rPr>
        <w:t>审核，</w:t>
      </w:r>
      <w:r>
        <w:rPr>
          <w:rFonts w:hint="eastAsia" w:ascii="宋体" w:hAnsi="宋体" w:eastAsia="宋体" w:cs="宋体"/>
          <w:color w:val="auto"/>
          <w:szCs w:val="21"/>
          <w:highlight w:val="none"/>
          <w:u w:val="single"/>
          <w:lang w:val="en-US" w:eastAsia="zh-CN"/>
        </w:rPr>
        <w:t>卖方</w:t>
      </w:r>
      <w:r>
        <w:rPr>
          <w:rFonts w:hint="eastAsia" w:ascii="宋体" w:hAnsi="宋体" w:eastAsia="宋体" w:cs="宋体"/>
          <w:color w:val="auto"/>
          <w:szCs w:val="21"/>
          <w:highlight w:val="none"/>
          <w:u w:val="single"/>
        </w:rPr>
        <w:t>无任何违约责任及应赔偿</w:t>
      </w:r>
      <w:r>
        <w:rPr>
          <w:rFonts w:hint="eastAsia" w:ascii="宋体" w:hAnsi="宋体" w:eastAsia="宋体" w:cs="宋体"/>
          <w:color w:val="auto"/>
          <w:szCs w:val="21"/>
          <w:highlight w:val="none"/>
          <w:u w:val="single"/>
          <w:lang w:val="en-US" w:eastAsia="zh-CN"/>
        </w:rPr>
        <w:t>买方</w:t>
      </w:r>
      <w:r>
        <w:rPr>
          <w:rFonts w:hint="eastAsia" w:ascii="宋体" w:hAnsi="宋体" w:eastAsia="宋体" w:cs="宋体"/>
          <w:color w:val="auto"/>
          <w:szCs w:val="21"/>
          <w:highlight w:val="none"/>
          <w:u w:val="single"/>
        </w:rPr>
        <w:t>情形的</w:t>
      </w:r>
      <w:r>
        <w:rPr>
          <w:rFonts w:hint="eastAsia" w:ascii="宋体" w:hAnsi="宋体" w:eastAsia="宋体" w:cs="宋体"/>
          <w:color w:val="auto"/>
          <w:szCs w:val="21"/>
          <w:highlight w:val="none"/>
          <w:u w:val="single"/>
          <w:lang w:eastAsia="zh-CN"/>
        </w:rPr>
        <w:t>（</w:t>
      </w:r>
      <w:r>
        <w:rPr>
          <w:rFonts w:hint="eastAsia" w:ascii="宋体" w:hAnsi="宋体" w:eastAsia="宋体" w:cs="宋体"/>
          <w:color w:val="auto"/>
          <w:szCs w:val="21"/>
          <w:highlight w:val="none"/>
          <w:u w:val="single"/>
          <w:lang w:val="en-US" w:eastAsia="zh-CN"/>
        </w:rPr>
        <w:t>如有按时扣除后剩余部分</w:t>
      </w:r>
      <w:r>
        <w:rPr>
          <w:rFonts w:hint="eastAsia" w:ascii="宋体" w:hAnsi="宋体" w:eastAsia="宋体" w:cs="宋体"/>
          <w:color w:val="auto"/>
          <w:szCs w:val="21"/>
          <w:highlight w:val="none"/>
          <w:u w:val="single"/>
          <w:lang w:eastAsia="zh-CN"/>
        </w:rPr>
        <w:t>）</w:t>
      </w:r>
      <w:r>
        <w:rPr>
          <w:rFonts w:hint="eastAsia" w:ascii="宋体" w:hAnsi="宋体" w:eastAsia="宋体" w:cs="宋体"/>
          <w:color w:val="auto"/>
          <w:szCs w:val="21"/>
          <w:highlight w:val="none"/>
          <w:u w:val="single"/>
        </w:rPr>
        <w:t>，</w:t>
      </w:r>
      <w:r>
        <w:rPr>
          <w:rFonts w:hint="eastAsia" w:ascii="宋体" w:hAnsi="宋体" w:eastAsia="宋体" w:cs="宋体"/>
          <w:color w:val="auto"/>
          <w:szCs w:val="21"/>
          <w:highlight w:val="none"/>
          <w:u w:val="single"/>
          <w:lang w:val="en-US" w:eastAsia="zh-CN"/>
        </w:rPr>
        <w:t>买方</w:t>
      </w:r>
      <w:r>
        <w:rPr>
          <w:rFonts w:hint="eastAsia" w:ascii="宋体" w:hAnsi="宋体" w:eastAsia="宋体" w:cs="宋体"/>
          <w:color w:val="auto"/>
          <w:szCs w:val="21"/>
          <w:highlight w:val="none"/>
          <w:u w:val="single"/>
        </w:rPr>
        <w:t>在28天内</w:t>
      </w:r>
      <w:r>
        <w:rPr>
          <w:rFonts w:hint="eastAsia" w:ascii="宋体" w:hAnsi="宋体"/>
          <w:color w:val="auto"/>
          <w:szCs w:val="21"/>
          <w:u w:val="single"/>
        </w:rPr>
        <w:t>向卖方支付</w:t>
      </w:r>
      <w:r>
        <w:rPr>
          <w:rFonts w:hint="eastAsia" w:ascii="宋体" w:hAnsi="宋体"/>
          <w:color w:val="auto"/>
          <w:szCs w:val="21"/>
          <w:u w:val="single"/>
          <w:lang w:val="en-US" w:eastAsia="zh-CN"/>
        </w:rPr>
        <w:t>至合同结算审定</w:t>
      </w:r>
      <w:r>
        <w:rPr>
          <w:rFonts w:hint="eastAsia" w:ascii="宋体" w:hAnsi="宋体"/>
          <w:color w:val="auto"/>
          <w:szCs w:val="21"/>
          <w:u w:val="single"/>
        </w:rPr>
        <w:t>价格的</w:t>
      </w:r>
      <w:r>
        <w:rPr>
          <w:rFonts w:hint="eastAsia" w:ascii="宋体" w:hAnsi="宋体"/>
          <w:color w:val="auto"/>
          <w:szCs w:val="21"/>
          <w:u w:val="single"/>
          <w:lang w:val="en-US" w:eastAsia="zh-CN"/>
        </w:rPr>
        <w:t>100</w:t>
      </w:r>
      <w:r>
        <w:rPr>
          <w:rFonts w:ascii="宋体" w:hAnsi="宋体"/>
          <w:color w:val="auto"/>
          <w:szCs w:val="21"/>
          <w:u w:val="single"/>
        </w:rPr>
        <w:t>%</w:t>
      </w:r>
      <w:r>
        <w:rPr>
          <w:rFonts w:hint="eastAsia" w:ascii="宋体" w:hAnsi="宋体"/>
          <w:color w:val="auto"/>
          <w:szCs w:val="21"/>
          <w:u w:val="single"/>
          <w:lang w:eastAsia="zh-CN"/>
        </w:rPr>
        <w:t>（</w:t>
      </w:r>
      <w:r>
        <w:rPr>
          <w:rFonts w:hint="eastAsia" w:ascii="宋体" w:hAnsi="宋体"/>
          <w:color w:val="auto"/>
          <w:szCs w:val="21"/>
          <w:u w:val="single"/>
          <w:lang w:val="en-US" w:eastAsia="zh-CN"/>
        </w:rPr>
        <w:t>如有违约等扣除</w:t>
      </w:r>
      <w:r>
        <w:rPr>
          <w:rFonts w:hint="eastAsia" w:ascii="宋体" w:hAnsi="宋体"/>
          <w:color w:val="auto"/>
          <w:szCs w:val="21"/>
          <w:u w:val="single"/>
          <w:lang w:eastAsia="zh-CN"/>
        </w:rPr>
        <w:t>）</w:t>
      </w:r>
      <w:r>
        <w:rPr>
          <w:rFonts w:hint="eastAsia" w:ascii="宋体" w:hAnsi="宋体"/>
          <w:color w:val="auto"/>
          <w:szCs w:val="21"/>
          <w:u w:val="single"/>
        </w:rPr>
        <w:t>。</w:t>
      </w:r>
    </w:p>
    <w:p w14:paraId="503F691A">
      <w:pPr>
        <w:pageBreakBefore w:val="0"/>
        <w:kinsoku/>
        <w:wordWrap/>
        <w:overflowPunct/>
        <w:topLinePunct w:val="0"/>
        <w:bidi w:val="0"/>
        <w:spacing w:line="360" w:lineRule="auto"/>
        <w:ind w:firstLine="420" w:firstLineChars="200"/>
        <w:jc w:val="left"/>
        <w:rPr>
          <w:rFonts w:hint="eastAsia" w:ascii="宋体" w:hAnsi="宋体" w:eastAsia="宋体" w:cs="宋体"/>
          <w:color w:val="auto"/>
          <w:szCs w:val="21"/>
          <w:highlight w:val="none"/>
          <w:u w:val="single"/>
          <w:lang w:val="zh-CN" w:eastAsia="zh-CN"/>
        </w:rPr>
      </w:pPr>
      <w:r>
        <w:rPr>
          <w:rFonts w:hint="eastAsia" w:ascii="宋体" w:hAnsi="宋体" w:eastAsia="宋体" w:cs="宋体"/>
          <w:color w:val="auto"/>
          <w:szCs w:val="21"/>
          <w:highlight w:val="none"/>
          <w:u w:val="single"/>
          <w:lang w:val="en-US" w:eastAsia="zh-CN"/>
        </w:rPr>
        <w:t xml:space="preserve">3.2.5 </w:t>
      </w:r>
      <w:r>
        <w:rPr>
          <w:rFonts w:hint="eastAsia" w:ascii="宋体" w:hAnsi="宋体" w:eastAsia="宋体" w:cs="宋体"/>
          <w:color w:val="auto"/>
          <w:szCs w:val="21"/>
          <w:highlight w:val="none"/>
          <w:u w:val="single"/>
          <w:lang w:val="zh-CN" w:eastAsia="zh-CN"/>
        </w:rPr>
        <w:t>在</w:t>
      </w:r>
      <w:r>
        <w:rPr>
          <w:rFonts w:hint="eastAsia" w:ascii="宋体" w:hAnsi="宋体" w:eastAsia="宋体" w:cs="宋体"/>
          <w:color w:val="auto"/>
          <w:szCs w:val="21"/>
          <w:highlight w:val="none"/>
          <w:u w:val="single"/>
          <w:lang w:val="en-US" w:eastAsia="zh-CN"/>
        </w:rPr>
        <w:t>买方</w:t>
      </w:r>
      <w:r>
        <w:rPr>
          <w:rFonts w:hint="eastAsia" w:ascii="宋体" w:hAnsi="宋体" w:eastAsia="宋体" w:cs="宋体"/>
          <w:color w:val="auto"/>
          <w:szCs w:val="21"/>
          <w:highlight w:val="none"/>
          <w:u w:val="single"/>
          <w:lang w:val="zh-CN" w:eastAsia="zh-CN"/>
        </w:rPr>
        <w:t>每次向</w:t>
      </w:r>
      <w:r>
        <w:rPr>
          <w:rFonts w:hint="eastAsia" w:ascii="宋体" w:hAnsi="宋体" w:eastAsia="宋体" w:cs="宋体"/>
          <w:color w:val="auto"/>
          <w:szCs w:val="21"/>
          <w:highlight w:val="none"/>
          <w:u w:val="single"/>
          <w:lang w:val="en-US" w:eastAsia="zh-CN"/>
        </w:rPr>
        <w:t>卖方</w:t>
      </w:r>
      <w:r>
        <w:rPr>
          <w:rFonts w:hint="eastAsia" w:ascii="宋体" w:hAnsi="宋体" w:eastAsia="宋体" w:cs="宋体"/>
          <w:color w:val="auto"/>
          <w:szCs w:val="21"/>
          <w:highlight w:val="none"/>
          <w:u w:val="single"/>
          <w:lang w:val="zh-CN" w:eastAsia="zh-CN"/>
        </w:rPr>
        <w:t>支付合同</w:t>
      </w:r>
      <w:r>
        <w:rPr>
          <w:rFonts w:hint="eastAsia" w:ascii="宋体" w:hAnsi="宋体" w:cs="宋体"/>
          <w:color w:val="auto"/>
          <w:szCs w:val="21"/>
          <w:highlight w:val="none"/>
          <w:u w:val="single"/>
          <w:lang w:val="en-US" w:eastAsia="zh-CN"/>
        </w:rPr>
        <w:t>价</w:t>
      </w:r>
      <w:r>
        <w:rPr>
          <w:rFonts w:hint="eastAsia" w:ascii="宋体" w:hAnsi="宋体" w:eastAsia="宋体" w:cs="宋体"/>
          <w:color w:val="auto"/>
          <w:szCs w:val="21"/>
          <w:highlight w:val="none"/>
          <w:u w:val="single"/>
          <w:lang w:val="zh-CN" w:eastAsia="zh-CN"/>
        </w:rPr>
        <w:t>款及结算价款前，</w:t>
      </w:r>
      <w:r>
        <w:rPr>
          <w:rFonts w:hint="eastAsia" w:ascii="宋体" w:hAnsi="宋体" w:eastAsia="宋体" w:cs="宋体"/>
          <w:color w:val="auto"/>
          <w:szCs w:val="21"/>
          <w:highlight w:val="none"/>
          <w:u w:val="single"/>
          <w:lang w:val="en-US" w:eastAsia="zh-CN"/>
        </w:rPr>
        <w:t>卖方</w:t>
      </w:r>
      <w:r>
        <w:rPr>
          <w:rFonts w:hint="eastAsia" w:ascii="宋体" w:hAnsi="宋体" w:eastAsia="宋体" w:cs="宋体"/>
          <w:color w:val="auto"/>
          <w:szCs w:val="21"/>
          <w:highlight w:val="none"/>
          <w:u w:val="single"/>
          <w:lang w:val="zh-CN" w:eastAsia="zh-CN"/>
        </w:rPr>
        <w:t>应向</w:t>
      </w:r>
      <w:r>
        <w:rPr>
          <w:rFonts w:hint="eastAsia" w:ascii="宋体" w:hAnsi="宋体" w:eastAsia="宋体" w:cs="宋体"/>
          <w:color w:val="auto"/>
          <w:szCs w:val="21"/>
          <w:highlight w:val="none"/>
          <w:u w:val="single"/>
          <w:lang w:val="en-US" w:eastAsia="zh-CN"/>
        </w:rPr>
        <w:t>买方</w:t>
      </w:r>
      <w:r>
        <w:rPr>
          <w:rFonts w:hint="eastAsia" w:ascii="宋体" w:hAnsi="宋体" w:eastAsia="宋体" w:cs="宋体"/>
          <w:color w:val="auto"/>
          <w:szCs w:val="21"/>
          <w:highlight w:val="none"/>
          <w:u w:val="single"/>
          <w:lang w:val="zh-CN" w:eastAsia="zh-CN"/>
        </w:rPr>
        <w:t>开具</w:t>
      </w:r>
      <w:r>
        <w:rPr>
          <w:rFonts w:hint="eastAsia" w:ascii="宋体" w:hAnsi="宋体" w:eastAsia="宋体" w:cs="宋体"/>
          <w:color w:val="auto"/>
          <w:szCs w:val="21"/>
          <w:highlight w:val="none"/>
          <w:u w:val="single"/>
          <w:lang w:val="en-US" w:eastAsia="zh-CN"/>
        </w:rPr>
        <w:t>13</w:t>
      </w:r>
      <w:r>
        <w:rPr>
          <w:rFonts w:hint="eastAsia" w:ascii="宋体" w:hAnsi="宋体" w:eastAsia="宋体" w:cs="宋体"/>
          <w:color w:val="auto"/>
          <w:szCs w:val="21"/>
          <w:highlight w:val="none"/>
          <w:u w:val="single"/>
          <w:lang w:val="zh-CN" w:eastAsia="zh-CN"/>
        </w:rPr>
        <w:t>%的增值税专用发票。否则，</w:t>
      </w:r>
      <w:r>
        <w:rPr>
          <w:rFonts w:hint="eastAsia" w:ascii="宋体" w:hAnsi="宋体" w:eastAsia="宋体" w:cs="宋体"/>
          <w:color w:val="auto"/>
          <w:szCs w:val="21"/>
          <w:highlight w:val="none"/>
          <w:u w:val="single"/>
          <w:lang w:val="en-US" w:eastAsia="zh-CN"/>
        </w:rPr>
        <w:t>买方</w:t>
      </w:r>
      <w:r>
        <w:rPr>
          <w:rFonts w:hint="eastAsia" w:ascii="宋体" w:hAnsi="宋体" w:eastAsia="宋体" w:cs="宋体"/>
          <w:color w:val="auto"/>
          <w:szCs w:val="21"/>
          <w:highlight w:val="none"/>
          <w:u w:val="single"/>
          <w:lang w:val="zh-CN" w:eastAsia="zh-CN"/>
        </w:rPr>
        <w:t>有权拒绝付款</w:t>
      </w:r>
      <w:r>
        <w:rPr>
          <w:rFonts w:hint="eastAsia" w:ascii="宋体" w:hAnsi="宋体" w:eastAsia="宋体" w:cs="宋体"/>
          <w:color w:val="auto"/>
          <w:szCs w:val="21"/>
          <w:highlight w:val="none"/>
          <w:u w:val="single"/>
          <w:lang w:val="en-US" w:eastAsia="zh-CN"/>
        </w:rPr>
        <w:t>或</w:t>
      </w:r>
      <w:r>
        <w:rPr>
          <w:rFonts w:hint="eastAsia" w:ascii="宋体" w:hAnsi="宋体" w:eastAsia="宋体" w:cs="宋体"/>
          <w:color w:val="auto"/>
          <w:szCs w:val="21"/>
          <w:highlight w:val="none"/>
          <w:u w:val="single"/>
          <w:lang w:val="zh-CN" w:eastAsia="zh-CN"/>
        </w:rPr>
        <w:t>顺延付款时间。因</w:t>
      </w:r>
      <w:r>
        <w:rPr>
          <w:rFonts w:hint="eastAsia" w:ascii="宋体" w:hAnsi="宋体" w:eastAsia="宋体" w:cs="宋体"/>
          <w:color w:val="auto"/>
          <w:szCs w:val="21"/>
          <w:highlight w:val="none"/>
          <w:u w:val="single"/>
          <w:lang w:val="en-US" w:eastAsia="zh-CN"/>
        </w:rPr>
        <w:t>卖方</w:t>
      </w:r>
      <w:r>
        <w:rPr>
          <w:rFonts w:hint="eastAsia" w:ascii="宋体" w:hAnsi="宋体" w:eastAsia="宋体" w:cs="宋体"/>
          <w:color w:val="auto"/>
          <w:szCs w:val="21"/>
          <w:highlight w:val="none"/>
          <w:u w:val="single"/>
          <w:lang w:val="zh-CN" w:eastAsia="zh-CN"/>
        </w:rPr>
        <w:t>开具的发票不规范、不合法或涉嫌虚开发票引起税务问题的，</w:t>
      </w:r>
      <w:r>
        <w:rPr>
          <w:rFonts w:hint="eastAsia" w:ascii="宋体" w:hAnsi="宋体" w:eastAsia="宋体" w:cs="宋体"/>
          <w:color w:val="auto"/>
          <w:szCs w:val="21"/>
          <w:highlight w:val="none"/>
          <w:u w:val="single"/>
          <w:lang w:val="en-US" w:eastAsia="zh-CN"/>
        </w:rPr>
        <w:t>卖方</w:t>
      </w:r>
      <w:r>
        <w:rPr>
          <w:rFonts w:hint="eastAsia" w:ascii="宋体" w:hAnsi="宋体" w:eastAsia="宋体" w:cs="宋体"/>
          <w:color w:val="auto"/>
          <w:szCs w:val="21"/>
          <w:highlight w:val="none"/>
          <w:u w:val="single"/>
          <w:lang w:val="zh-CN" w:eastAsia="zh-CN"/>
        </w:rPr>
        <w:t>需依法向</w:t>
      </w:r>
      <w:r>
        <w:rPr>
          <w:rFonts w:hint="eastAsia" w:ascii="宋体" w:hAnsi="宋体" w:eastAsia="宋体" w:cs="宋体"/>
          <w:color w:val="auto"/>
          <w:szCs w:val="21"/>
          <w:highlight w:val="none"/>
          <w:u w:val="single"/>
          <w:lang w:val="en-US" w:eastAsia="zh-CN"/>
        </w:rPr>
        <w:t>买方</w:t>
      </w:r>
      <w:r>
        <w:rPr>
          <w:rFonts w:hint="eastAsia" w:ascii="宋体" w:hAnsi="宋体" w:eastAsia="宋体" w:cs="宋体"/>
          <w:color w:val="auto"/>
          <w:szCs w:val="21"/>
          <w:highlight w:val="none"/>
          <w:u w:val="single"/>
          <w:lang w:val="zh-CN" w:eastAsia="zh-CN"/>
        </w:rPr>
        <w:t>重新开具发票，并向</w:t>
      </w:r>
      <w:r>
        <w:rPr>
          <w:rFonts w:hint="eastAsia" w:ascii="宋体" w:hAnsi="宋体" w:eastAsia="宋体" w:cs="宋体"/>
          <w:color w:val="auto"/>
          <w:szCs w:val="21"/>
          <w:highlight w:val="none"/>
          <w:u w:val="single"/>
          <w:lang w:val="en-US" w:eastAsia="zh-CN"/>
        </w:rPr>
        <w:t>买方</w:t>
      </w:r>
      <w:r>
        <w:rPr>
          <w:rFonts w:hint="eastAsia" w:ascii="宋体" w:hAnsi="宋体" w:eastAsia="宋体" w:cs="宋体"/>
          <w:color w:val="auto"/>
          <w:szCs w:val="21"/>
          <w:highlight w:val="none"/>
          <w:u w:val="single"/>
          <w:lang w:val="zh-CN" w:eastAsia="zh-CN"/>
        </w:rPr>
        <w:t>承担赔偿责任，包括但不限于税款、滞纳金、罚款及相关损失等。</w:t>
      </w:r>
    </w:p>
    <w:p w14:paraId="59C74A0D">
      <w:pPr>
        <w:pageBreakBefore w:val="0"/>
        <w:kinsoku/>
        <w:topLinePunct w:val="0"/>
        <w:bidi w:val="0"/>
        <w:spacing w:line="360" w:lineRule="auto"/>
        <w:ind w:firstLine="420" w:firstLineChars="200"/>
        <w:jc w:val="left"/>
        <w:rPr>
          <w:rFonts w:hint="eastAsia" w:ascii="宋体" w:hAnsi="宋体" w:eastAsia="宋体" w:cs="宋体"/>
          <w:color w:val="auto"/>
          <w:szCs w:val="21"/>
          <w:highlight w:val="none"/>
          <w:u w:val="single"/>
          <w:lang w:val="en-US" w:eastAsia="zh-CN"/>
        </w:rPr>
      </w:pPr>
      <w:r>
        <w:rPr>
          <w:rFonts w:hint="eastAsia" w:ascii="宋体" w:hAnsi="宋体" w:eastAsia="宋体" w:cs="宋体"/>
          <w:color w:val="auto"/>
          <w:szCs w:val="21"/>
          <w:highlight w:val="none"/>
          <w:u w:val="single"/>
          <w:lang w:val="en-US" w:eastAsia="zh-CN"/>
        </w:rPr>
        <w:t>3.2.6 卖方向买方开具的增值税专用发票，卖方必须确保发票票面信息全部真实，相关项目、价款等内容与本合同一致。因发票票面信息有误导致发票不能抵扣税款或者被认定为虚开的，卖方需向买方承担赔偿责任，包括但不限于税款、滞纳金、罚款及相关损失等。</w:t>
      </w:r>
    </w:p>
    <w:p w14:paraId="0C486435">
      <w:pPr>
        <w:bidi w:val="0"/>
        <w:rPr>
          <w:rFonts w:hint="eastAsia" w:ascii="宋体" w:hAnsi="宋体" w:eastAsia="宋体" w:cs="宋体"/>
          <w:b w:val="0"/>
          <w:bCs w:val="0"/>
          <w:color w:val="auto"/>
          <w:kern w:val="2"/>
          <w:sz w:val="21"/>
          <w:szCs w:val="21"/>
          <w:highlight w:val="none"/>
          <w:u w:val="none"/>
          <w:lang w:val="en-US" w:eastAsia="zh-CN" w:bidi="ar-SA"/>
        </w:rPr>
      </w:pPr>
      <w:r>
        <w:rPr>
          <w:rFonts w:hint="eastAsia" w:ascii="宋体" w:hAnsi="宋体" w:cs="宋体"/>
          <w:color w:val="auto"/>
          <w:szCs w:val="21"/>
          <w:highlight w:val="none"/>
          <w:u w:val="none"/>
          <w:lang w:val="en-US" w:eastAsia="zh-CN"/>
        </w:rPr>
        <w:t xml:space="preserve"> </w:t>
      </w:r>
      <w:r>
        <w:rPr>
          <w:rFonts w:hint="eastAsia" w:ascii="宋体" w:hAnsi="宋体" w:eastAsia="宋体" w:cs="宋体"/>
          <w:b w:val="0"/>
          <w:bCs w:val="0"/>
          <w:color w:val="auto"/>
          <w:kern w:val="2"/>
          <w:sz w:val="21"/>
          <w:szCs w:val="21"/>
          <w:highlight w:val="none"/>
          <w:u w:val="none"/>
          <w:lang w:val="en-US" w:eastAsia="zh-CN" w:bidi="ar-SA"/>
        </w:rPr>
        <w:t xml:space="preserve">  3.2.7卖方收款账户</w:t>
      </w:r>
    </w:p>
    <w:p w14:paraId="02C44029">
      <w:pPr>
        <w:spacing w:line="360" w:lineRule="auto"/>
        <w:ind w:firstLine="420" w:firstLineChars="200"/>
        <w:jc w:val="left"/>
        <w:rPr>
          <w:rFonts w:hint="eastAsia" w:ascii="宋体" w:hAnsi="宋体" w:eastAsia="宋体" w:cs="宋体"/>
          <w:b w:val="0"/>
          <w:bCs w:val="0"/>
          <w:color w:val="auto"/>
          <w:kern w:val="2"/>
          <w:sz w:val="21"/>
          <w:szCs w:val="21"/>
          <w:highlight w:val="none"/>
          <w:u w:val="none"/>
          <w:lang w:val="en-US" w:eastAsia="zh-CN" w:bidi="ar-SA"/>
        </w:rPr>
      </w:pPr>
      <w:r>
        <w:rPr>
          <w:rFonts w:hint="eastAsia" w:ascii="宋体" w:hAnsi="宋体" w:eastAsia="宋体" w:cs="宋体"/>
          <w:b w:val="0"/>
          <w:bCs w:val="0"/>
          <w:color w:val="auto"/>
          <w:kern w:val="2"/>
          <w:sz w:val="21"/>
          <w:szCs w:val="21"/>
          <w:highlight w:val="none"/>
          <w:u w:val="none"/>
          <w:lang w:val="en-US" w:eastAsia="zh-CN" w:bidi="ar-SA"/>
        </w:rPr>
        <w:t>买方应将合同价款支付至如下卖方指定的开户银行及银行账户：</w:t>
      </w:r>
    </w:p>
    <w:p w14:paraId="469CD25B">
      <w:pPr>
        <w:spacing w:line="360" w:lineRule="auto"/>
        <w:ind w:firstLine="420" w:firstLineChars="200"/>
        <w:jc w:val="left"/>
        <w:rPr>
          <w:rFonts w:hint="eastAsia" w:ascii="宋体" w:hAnsi="宋体" w:eastAsia="宋体" w:cs="宋体"/>
          <w:b w:val="0"/>
          <w:bCs w:val="0"/>
          <w:color w:val="auto"/>
          <w:kern w:val="2"/>
          <w:sz w:val="21"/>
          <w:szCs w:val="21"/>
          <w:highlight w:val="none"/>
          <w:u w:val="none"/>
          <w:lang w:val="en-US" w:eastAsia="zh-CN" w:bidi="ar-SA"/>
        </w:rPr>
      </w:pPr>
      <w:r>
        <w:rPr>
          <w:rFonts w:hint="eastAsia" w:ascii="宋体" w:hAnsi="宋体" w:eastAsia="宋体" w:cs="宋体"/>
          <w:b w:val="0"/>
          <w:bCs w:val="0"/>
          <w:color w:val="auto"/>
          <w:kern w:val="2"/>
          <w:sz w:val="21"/>
          <w:szCs w:val="21"/>
          <w:highlight w:val="none"/>
          <w:u w:val="none"/>
          <w:lang w:val="en-US" w:eastAsia="zh-CN" w:bidi="ar-SA"/>
        </w:rPr>
        <w:t>收款单位名称：</w:t>
      </w:r>
      <w:r>
        <w:rPr>
          <w:rFonts w:hint="eastAsia" w:ascii="宋体" w:hAnsi="宋体" w:eastAsia="宋体" w:cs="宋体"/>
          <w:b w:val="0"/>
          <w:bCs w:val="0"/>
          <w:color w:val="auto"/>
          <w:kern w:val="2"/>
          <w:sz w:val="21"/>
          <w:szCs w:val="21"/>
          <w:highlight w:val="none"/>
          <w:u w:val="single"/>
          <w:lang w:val="en-US" w:eastAsia="zh-CN" w:bidi="ar-SA"/>
        </w:rPr>
        <w:t xml:space="preserve">                             </w:t>
      </w:r>
      <w:r>
        <w:rPr>
          <w:rFonts w:hint="eastAsia" w:ascii="宋体" w:hAnsi="宋体" w:eastAsia="宋体" w:cs="宋体"/>
          <w:b w:val="0"/>
          <w:bCs w:val="0"/>
          <w:color w:val="auto"/>
          <w:kern w:val="2"/>
          <w:sz w:val="21"/>
          <w:szCs w:val="21"/>
          <w:highlight w:val="none"/>
          <w:u w:val="none"/>
          <w:lang w:val="en-US" w:eastAsia="zh-CN" w:bidi="ar-SA"/>
        </w:rPr>
        <w:t xml:space="preserve"> ；</w:t>
      </w:r>
    </w:p>
    <w:p w14:paraId="2C1FB59C">
      <w:pPr>
        <w:spacing w:line="360" w:lineRule="auto"/>
        <w:ind w:firstLine="420" w:firstLineChars="200"/>
        <w:jc w:val="left"/>
        <w:rPr>
          <w:rFonts w:hint="eastAsia" w:ascii="宋体" w:hAnsi="宋体" w:eastAsia="宋体" w:cs="宋体"/>
          <w:b w:val="0"/>
          <w:bCs w:val="0"/>
          <w:color w:val="auto"/>
          <w:kern w:val="2"/>
          <w:sz w:val="21"/>
          <w:szCs w:val="21"/>
          <w:highlight w:val="none"/>
          <w:u w:val="none"/>
          <w:lang w:val="en-US" w:eastAsia="zh-CN" w:bidi="ar-SA"/>
        </w:rPr>
      </w:pPr>
      <w:r>
        <w:rPr>
          <w:rFonts w:hint="eastAsia" w:ascii="宋体" w:hAnsi="宋体" w:eastAsia="宋体" w:cs="宋体"/>
          <w:b w:val="0"/>
          <w:bCs w:val="0"/>
          <w:color w:val="auto"/>
          <w:kern w:val="2"/>
          <w:sz w:val="21"/>
          <w:szCs w:val="21"/>
          <w:highlight w:val="none"/>
          <w:u w:val="none"/>
          <w:lang w:val="en-US" w:eastAsia="zh-CN" w:bidi="ar-SA"/>
        </w:rPr>
        <w:t xml:space="preserve">收款账号： </w:t>
      </w:r>
      <w:r>
        <w:rPr>
          <w:rFonts w:hint="eastAsia" w:ascii="宋体" w:hAnsi="宋体" w:eastAsia="宋体" w:cs="宋体"/>
          <w:b w:val="0"/>
          <w:bCs w:val="0"/>
          <w:color w:val="auto"/>
          <w:kern w:val="2"/>
          <w:sz w:val="21"/>
          <w:szCs w:val="21"/>
          <w:highlight w:val="none"/>
          <w:u w:val="single"/>
          <w:lang w:val="en-US" w:eastAsia="zh-CN" w:bidi="ar-SA"/>
        </w:rPr>
        <w:t xml:space="preserve">                               </w:t>
      </w:r>
      <w:r>
        <w:rPr>
          <w:rFonts w:hint="eastAsia" w:ascii="宋体" w:hAnsi="宋体" w:eastAsia="宋体" w:cs="宋体"/>
          <w:b w:val="0"/>
          <w:bCs w:val="0"/>
          <w:color w:val="auto"/>
          <w:kern w:val="2"/>
          <w:sz w:val="21"/>
          <w:szCs w:val="21"/>
          <w:highlight w:val="none"/>
          <w:u w:val="none"/>
          <w:lang w:val="en-US" w:eastAsia="zh-CN" w:bidi="ar-SA"/>
        </w:rPr>
        <w:t xml:space="preserve">  ；</w:t>
      </w:r>
    </w:p>
    <w:p w14:paraId="0D7095D8">
      <w:pPr>
        <w:spacing w:line="360" w:lineRule="auto"/>
        <w:ind w:firstLine="420" w:firstLineChars="200"/>
        <w:jc w:val="left"/>
        <w:rPr>
          <w:rFonts w:hint="default" w:ascii="宋体" w:hAnsi="宋体" w:eastAsia="宋体" w:cs="宋体"/>
          <w:b w:val="0"/>
          <w:bCs w:val="0"/>
          <w:color w:val="auto"/>
          <w:kern w:val="2"/>
          <w:sz w:val="21"/>
          <w:szCs w:val="21"/>
          <w:highlight w:val="none"/>
          <w:u w:val="none"/>
          <w:lang w:val="en-US" w:eastAsia="zh-CN" w:bidi="ar-SA"/>
        </w:rPr>
      </w:pPr>
      <w:r>
        <w:rPr>
          <w:rFonts w:hint="eastAsia" w:ascii="宋体" w:hAnsi="宋体" w:eastAsia="宋体" w:cs="宋体"/>
          <w:b w:val="0"/>
          <w:bCs w:val="0"/>
          <w:color w:val="auto"/>
          <w:kern w:val="2"/>
          <w:sz w:val="21"/>
          <w:szCs w:val="21"/>
          <w:highlight w:val="none"/>
          <w:u w:val="none"/>
          <w:lang w:val="en-US" w:eastAsia="zh-CN" w:bidi="ar-SA"/>
        </w:rPr>
        <w:t>收款开户银行：</w:t>
      </w:r>
      <w:r>
        <w:rPr>
          <w:rFonts w:hint="eastAsia" w:ascii="宋体" w:hAnsi="宋体" w:eastAsia="宋体" w:cs="宋体"/>
          <w:b w:val="0"/>
          <w:bCs w:val="0"/>
          <w:color w:val="auto"/>
          <w:kern w:val="2"/>
          <w:sz w:val="21"/>
          <w:szCs w:val="21"/>
          <w:highlight w:val="none"/>
          <w:u w:val="single"/>
          <w:lang w:val="en-US" w:eastAsia="zh-CN" w:bidi="ar-SA"/>
        </w:rPr>
        <w:t xml:space="preserve">                            </w:t>
      </w:r>
      <w:r>
        <w:rPr>
          <w:rFonts w:hint="eastAsia" w:ascii="宋体" w:hAnsi="宋体" w:eastAsia="宋体" w:cs="宋体"/>
          <w:b w:val="0"/>
          <w:bCs w:val="0"/>
          <w:color w:val="auto"/>
          <w:kern w:val="2"/>
          <w:sz w:val="21"/>
          <w:szCs w:val="21"/>
          <w:highlight w:val="none"/>
          <w:u w:val="none"/>
          <w:lang w:val="en-US" w:eastAsia="zh-CN" w:bidi="ar-SA"/>
        </w:rPr>
        <w:t xml:space="preserve">  。</w:t>
      </w:r>
    </w:p>
    <w:p w14:paraId="2331A3FF">
      <w:pPr>
        <w:tabs>
          <w:tab w:val="left" w:pos="1134"/>
        </w:tabs>
        <w:spacing w:line="360" w:lineRule="auto"/>
        <w:ind w:firstLine="420" w:firstLineChars="200"/>
        <w:rPr>
          <w:rFonts w:ascii="宋体" w:hAnsi="宋体"/>
          <w:szCs w:val="21"/>
          <w:u w:val="single"/>
        </w:rPr>
      </w:pPr>
    </w:p>
    <w:p w14:paraId="000C56D0">
      <w:pPr>
        <w:pStyle w:val="97"/>
        <w:keepNext w:val="0"/>
        <w:keepLines w:val="0"/>
        <w:tabs>
          <w:tab w:val="left" w:pos="567"/>
        </w:tabs>
        <w:spacing w:before="156" w:after="156"/>
        <w:rPr>
          <w:rFonts w:eastAsia="宋体" w:cs="Times New Roman"/>
          <w:b/>
          <w:bCs/>
          <w:sz w:val="32"/>
          <w:szCs w:val="32"/>
        </w:rPr>
      </w:pPr>
      <w:bookmarkStart w:id="785" w:name="_Toc22694"/>
      <w:bookmarkStart w:id="786" w:name="_Toc18535"/>
      <w:bookmarkStart w:id="787" w:name="_Toc28373"/>
      <w:bookmarkStart w:id="788" w:name="_Toc2881828"/>
      <w:bookmarkStart w:id="789" w:name="_Toc9926"/>
      <w:bookmarkStart w:id="790" w:name="_Toc31833"/>
      <w:bookmarkStart w:id="791" w:name="_Toc14894"/>
      <w:bookmarkStart w:id="792" w:name="_Toc531098985"/>
      <w:r>
        <w:rPr>
          <w:rFonts w:hint="eastAsia" w:eastAsia="宋体" w:cs="Times New Roman"/>
          <w:b/>
          <w:bCs/>
          <w:sz w:val="32"/>
          <w:szCs w:val="32"/>
        </w:rPr>
        <w:t>4. 监造及交货前检验</w:t>
      </w:r>
      <w:bookmarkEnd w:id="785"/>
      <w:bookmarkEnd w:id="786"/>
      <w:bookmarkEnd w:id="787"/>
      <w:bookmarkEnd w:id="788"/>
      <w:bookmarkEnd w:id="789"/>
      <w:bookmarkEnd w:id="790"/>
      <w:bookmarkEnd w:id="791"/>
    </w:p>
    <w:p w14:paraId="714EF625">
      <w:pPr>
        <w:tabs>
          <w:tab w:val="left" w:pos="1134"/>
        </w:tabs>
        <w:spacing w:line="360" w:lineRule="auto"/>
        <w:ind w:firstLine="420" w:firstLineChars="200"/>
        <w:rPr>
          <w:rFonts w:ascii="宋体" w:hAnsi="宋体"/>
        </w:rPr>
      </w:pPr>
      <w:r>
        <w:rPr>
          <w:rFonts w:hint="eastAsia" w:ascii="宋体" w:hAnsi="宋体"/>
        </w:rPr>
        <w:t>4.1</w:t>
      </w:r>
      <w:r>
        <w:rPr>
          <w:rFonts w:ascii="宋体" w:hAnsi="宋体"/>
        </w:rPr>
        <w:t xml:space="preserve"> </w:t>
      </w:r>
      <w:r>
        <w:rPr>
          <w:rFonts w:hint="eastAsia" w:ascii="宋体" w:hAnsi="宋体"/>
        </w:rPr>
        <w:t>监造</w:t>
      </w:r>
    </w:p>
    <w:p w14:paraId="71DF312E">
      <w:pPr>
        <w:tabs>
          <w:tab w:val="left" w:pos="1134"/>
        </w:tabs>
        <w:spacing w:line="360" w:lineRule="auto"/>
        <w:ind w:firstLine="420" w:firstLineChars="200"/>
        <w:rPr>
          <w:rFonts w:hint="eastAsia" w:ascii="宋体" w:hAnsi="宋体" w:eastAsia="宋体" w:cs="宋体"/>
          <w:caps w:val="0"/>
          <w:smallCaps w:val="0"/>
          <w:color w:val="000000"/>
          <w:highlight w:val="none"/>
          <w:lang w:val="en-US" w:eastAsia="zh-CN"/>
        </w:rPr>
      </w:pPr>
      <w:r>
        <w:rPr>
          <w:rFonts w:hint="eastAsia" w:ascii="宋体" w:hAnsi="宋体" w:eastAsia="宋体" w:cs="宋体"/>
          <w:caps w:val="0"/>
          <w:smallCaps w:val="0"/>
          <w:color w:val="000000"/>
          <w:highlight w:val="none"/>
          <w:lang w:val="en-US" w:eastAsia="zh-CN"/>
        </w:rPr>
        <w:t>买方</w:t>
      </w:r>
      <w:r>
        <w:rPr>
          <w:rFonts w:hint="eastAsia" w:ascii="宋体" w:hAnsi="宋体" w:eastAsia="宋体" w:cs="宋体"/>
          <w:caps w:val="0"/>
          <w:smallCaps w:val="0"/>
          <w:color w:val="000000"/>
          <w:highlight w:val="none"/>
        </w:rPr>
        <w:t>对合同</w:t>
      </w:r>
      <w:r>
        <w:rPr>
          <w:rFonts w:hint="eastAsia" w:ascii="宋体" w:hAnsi="宋体" w:eastAsia="宋体" w:cs="宋体"/>
          <w:caps w:val="0"/>
          <w:smallCaps w:val="0"/>
          <w:color w:val="000000"/>
          <w:highlight w:val="none"/>
          <w:lang w:val="en-US" w:eastAsia="zh-CN"/>
        </w:rPr>
        <w:t>设备实施不定期的</w:t>
      </w:r>
      <w:r>
        <w:rPr>
          <w:rFonts w:hint="eastAsia" w:ascii="宋体" w:hAnsi="宋体" w:eastAsia="宋体" w:cs="宋体"/>
          <w:caps w:val="0"/>
          <w:smallCaps w:val="0"/>
          <w:color w:val="000000"/>
          <w:highlight w:val="none"/>
        </w:rPr>
        <w:t>监造</w:t>
      </w:r>
      <w:r>
        <w:rPr>
          <w:rFonts w:hint="eastAsia" w:ascii="宋体" w:hAnsi="宋体" w:eastAsia="宋体" w:cs="宋体"/>
          <w:caps w:val="0"/>
          <w:smallCaps w:val="0"/>
          <w:color w:val="000000"/>
          <w:highlight w:val="none"/>
          <w:lang w:eastAsia="zh-CN"/>
        </w:rPr>
        <w:t>，</w:t>
      </w:r>
      <w:r>
        <w:rPr>
          <w:rFonts w:hint="eastAsia" w:ascii="宋体" w:hAnsi="宋体" w:eastAsia="宋体" w:cs="宋体"/>
          <w:caps w:val="0"/>
          <w:smallCaps w:val="0"/>
          <w:color w:val="000000"/>
          <w:highlight w:val="none"/>
          <w:lang w:val="en-US" w:eastAsia="zh-CN"/>
        </w:rPr>
        <w:t>买方在对设备监造时可指派第三方单位参与。</w:t>
      </w:r>
    </w:p>
    <w:p w14:paraId="7DE8BBBA">
      <w:pPr>
        <w:tabs>
          <w:tab w:val="left" w:pos="1134"/>
        </w:tabs>
        <w:spacing w:line="360" w:lineRule="auto"/>
        <w:ind w:firstLine="420" w:firstLineChars="200"/>
        <w:rPr>
          <w:rFonts w:hint="eastAsia" w:ascii="宋体" w:hAnsi="宋体"/>
        </w:rPr>
      </w:pPr>
      <w:r>
        <w:rPr>
          <w:rFonts w:hint="eastAsia" w:ascii="宋体" w:hAnsi="宋体"/>
        </w:rPr>
        <w:t>4.1.1 监造的范围、方式等的约定：</w:t>
      </w:r>
    </w:p>
    <w:p w14:paraId="1DCE65A7">
      <w:pPr>
        <w:pageBreakBefore w:val="0"/>
        <w:tabs>
          <w:tab w:val="left" w:pos="1134"/>
        </w:tabs>
        <w:topLinePunct w:val="0"/>
        <w:bidi w:val="0"/>
        <w:spacing w:line="360" w:lineRule="auto"/>
        <w:ind w:firstLine="422" w:firstLineChars="200"/>
        <w:rPr>
          <w:rFonts w:hint="eastAsia" w:ascii="宋体" w:hAnsi="宋体" w:eastAsia="宋体" w:cs="宋体"/>
          <w:b/>
          <w:bCs/>
          <w:caps w:val="0"/>
          <w:smallCaps w:val="0"/>
          <w:color w:val="000000"/>
          <w:sz w:val="21"/>
          <w:szCs w:val="21"/>
          <w:highlight w:val="none"/>
          <w:u w:val="single"/>
          <w:lang w:val="en-US" w:eastAsia="zh-CN"/>
        </w:rPr>
      </w:pPr>
      <w:r>
        <w:rPr>
          <w:rFonts w:hint="eastAsia" w:ascii="宋体" w:hAnsi="宋体" w:eastAsia="宋体" w:cs="宋体"/>
          <w:b/>
          <w:bCs/>
          <w:caps w:val="0"/>
          <w:smallCaps w:val="0"/>
          <w:color w:val="000000"/>
          <w:sz w:val="21"/>
          <w:szCs w:val="21"/>
          <w:highlight w:val="none"/>
          <w:u w:val="single"/>
          <w:lang w:val="en-US" w:eastAsia="zh-CN"/>
        </w:rPr>
        <w:t>（1）关于买方对合同设备实施不定期的监造，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033E3DD9">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在</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的制造过程中，</w:t>
      </w:r>
      <w:r>
        <w:rPr>
          <w:rFonts w:hint="eastAsia" w:ascii="宋体" w:hAnsi="宋体" w:eastAsia="宋体" w:cs="宋体"/>
          <w:caps w:val="0"/>
          <w:smallCaps w:val="0"/>
          <w:color w:val="000000"/>
          <w:szCs w:val="21"/>
          <w:highlight w:val="none"/>
          <w:u w:val="single"/>
          <w:lang w:val="en-US" w:eastAsia="zh-CN"/>
        </w:rPr>
        <w:t>买方</w:t>
      </w:r>
      <w:r>
        <w:rPr>
          <w:rFonts w:hint="eastAsia" w:ascii="宋体" w:hAnsi="宋体" w:eastAsia="宋体" w:cs="宋体"/>
          <w:caps w:val="0"/>
          <w:smallCaps w:val="0"/>
          <w:color w:val="000000"/>
          <w:szCs w:val="21"/>
          <w:highlight w:val="none"/>
          <w:u w:val="single"/>
        </w:rPr>
        <w:t>可</w:t>
      </w:r>
      <w:r>
        <w:rPr>
          <w:rFonts w:hint="eastAsia" w:ascii="宋体" w:hAnsi="宋体" w:eastAsia="宋体" w:cs="宋体"/>
          <w:caps w:val="0"/>
          <w:smallCaps w:val="0"/>
          <w:color w:val="000000"/>
          <w:szCs w:val="21"/>
          <w:highlight w:val="none"/>
          <w:u w:val="single"/>
          <w:lang w:val="en-US" w:eastAsia="zh-CN"/>
        </w:rPr>
        <w:t>随时</w:t>
      </w:r>
      <w:r>
        <w:rPr>
          <w:rFonts w:hint="eastAsia" w:ascii="宋体" w:hAnsi="宋体" w:eastAsia="宋体" w:cs="宋体"/>
          <w:caps w:val="0"/>
          <w:smallCaps w:val="0"/>
          <w:color w:val="000000"/>
          <w:szCs w:val="21"/>
          <w:highlight w:val="none"/>
          <w:u w:val="single"/>
        </w:rPr>
        <w:t>派出监造人员，</w:t>
      </w:r>
      <w:r>
        <w:rPr>
          <w:rFonts w:hint="eastAsia" w:ascii="宋体" w:hAnsi="宋体" w:eastAsia="宋体" w:cs="宋体"/>
          <w:caps w:val="0"/>
          <w:smallCaps w:val="0"/>
          <w:color w:val="000000"/>
          <w:szCs w:val="21"/>
          <w:highlight w:val="none"/>
          <w:u w:val="single"/>
          <w:lang w:val="en-US" w:eastAsia="zh-CN"/>
        </w:rPr>
        <w:t>到</w:t>
      </w:r>
      <w:r>
        <w:rPr>
          <w:rFonts w:hint="eastAsia" w:ascii="宋体" w:hAnsi="宋体" w:eastAsia="宋体" w:cs="宋体"/>
          <w:caps w:val="0"/>
          <w:smallCaps w:val="0"/>
          <w:color w:val="000000"/>
          <w:szCs w:val="21"/>
          <w:highlight w:val="none"/>
          <w:u w:val="single"/>
        </w:rPr>
        <w:t>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及其关键部件的生产制造</w:t>
      </w:r>
      <w:r>
        <w:rPr>
          <w:rFonts w:hint="eastAsia" w:ascii="宋体" w:hAnsi="宋体" w:eastAsia="宋体" w:cs="宋体"/>
          <w:caps w:val="0"/>
          <w:smallCaps w:val="0"/>
          <w:color w:val="000000"/>
          <w:szCs w:val="21"/>
          <w:highlight w:val="none"/>
          <w:u w:val="single"/>
          <w:lang w:val="en-US" w:eastAsia="zh-CN"/>
        </w:rPr>
        <w:t>现场</w:t>
      </w:r>
      <w:r>
        <w:rPr>
          <w:rFonts w:hint="eastAsia" w:ascii="宋体" w:hAnsi="宋体" w:eastAsia="宋体" w:cs="宋体"/>
          <w:caps w:val="0"/>
          <w:smallCaps w:val="0"/>
          <w:color w:val="000000"/>
          <w:szCs w:val="21"/>
          <w:highlight w:val="none"/>
          <w:u w:val="single"/>
        </w:rPr>
        <w:t>进行监造</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highlight w:val="none"/>
          <w:u w:val="single"/>
          <w:lang w:val="en-US" w:eastAsia="zh-CN"/>
        </w:rPr>
        <w:t>卖方需配合买方</w:t>
      </w:r>
      <w:r>
        <w:rPr>
          <w:rFonts w:hint="eastAsia" w:ascii="宋体" w:hAnsi="宋体" w:eastAsia="宋体" w:cs="宋体"/>
          <w:caps w:val="0"/>
          <w:smallCaps w:val="0"/>
          <w:color w:val="000000"/>
          <w:highlight w:val="none"/>
          <w:u w:val="single"/>
        </w:rPr>
        <w:t>监造人员</w:t>
      </w:r>
      <w:r>
        <w:rPr>
          <w:rFonts w:hint="eastAsia" w:ascii="宋体" w:hAnsi="宋体" w:eastAsia="宋体" w:cs="宋体"/>
          <w:caps w:val="0"/>
          <w:smallCaps w:val="0"/>
          <w:color w:val="000000"/>
          <w:highlight w:val="none"/>
          <w:u w:val="single"/>
          <w:lang w:eastAsia="zh-CN"/>
        </w:rPr>
        <w:t>，</w:t>
      </w:r>
      <w:r>
        <w:rPr>
          <w:rFonts w:hint="eastAsia" w:ascii="宋体" w:hAnsi="宋体" w:eastAsia="宋体" w:cs="宋体"/>
          <w:caps w:val="0"/>
          <w:smallCaps w:val="0"/>
          <w:color w:val="000000"/>
          <w:highlight w:val="none"/>
          <w:u w:val="single"/>
        </w:rPr>
        <w:t>为</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监造人员提供工作条件及便利</w:t>
      </w:r>
      <w:r>
        <w:rPr>
          <w:rFonts w:hint="eastAsia" w:ascii="宋体" w:hAnsi="宋体" w:eastAsia="宋体" w:cs="宋体"/>
          <w:caps w:val="0"/>
          <w:smallCaps w:val="0"/>
          <w:color w:val="000000"/>
          <w:highlight w:val="none"/>
          <w:u w:val="single"/>
          <w:lang w:val="en-US" w:eastAsia="zh-CN"/>
        </w:rPr>
        <w:t>，</w:t>
      </w:r>
      <w:r>
        <w:rPr>
          <w:rFonts w:hint="eastAsia" w:ascii="宋体" w:hAnsi="宋体" w:eastAsia="宋体" w:cs="宋体"/>
          <w:caps w:val="0"/>
          <w:smallCaps w:val="0"/>
          <w:color w:val="000000"/>
          <w:szCs w:val="21"/>
          <w:highlight w:val="none"/>
          <w:u w:val="single"/>
        </w:rPr>
        <w:t>包括但不限于必要的办公场所、技术资料、检测工具及出入许可等。</w:t>
      </w:r>
    </w:p>
    <w:p w14:paraId="66FA1CAA">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3）</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制订生产制造合同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的进度计划时，应将</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监造纳入计划安排</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应提前 7 日将需要</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监造人员现场监造事项通知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如</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监造人员未按通知出席，不影响合同设备及其关键部件的制造或检验，但</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监造人员有权事后了解、查阅、复制相关制造或检验记录。</w:t>
      </w:r>
    </w:p>
    <w:p w14:paraId="4A067BB1">
      <w:pPr>
        <w:tabs>
          <w:tab w:val="left" w:pos="1134"/>
        </w:tabs>
        <w:spacing w:line="360" w:lineRule="auto"/>
        <w:ind w:firstLine="420" w:firstLineChars="200"/>
        <w:rPr>
          <w:rFonts w:ascii="宋体" w:hAnsi="宋体"/>
        </w:rPr>
      </w:pPr>
      <w:r>
        <w:rPr>
          <w:rFonts w:hint="eastAsia" w:ascii="宋体" w:hAnsi="宋体" w:eastAsia="宋体" w:cs="宋体"/>
          <w:caps w:val="0"/>
          <w:smallCaps w:val="0"/>
          <w:color w:val="000000"/>
          <w:szCs w:val="21"/>
          <w:highlight w:val="none"/>
          <w:u w:val="single"/>
          <w:lang w:val="en-US" w:eastAsia="zh-CN"/>
        </w:rPr>
        <w:t>（4）</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监造人员在监造中如发现合同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及其关键部件不符合合同约定的标准，有权提出意见和建议</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应采取必要措施消除，由此增加的费用和（或）造成的延误由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负责。</w:t>
      </w:r>
    </w:p>
    <w:p w14:paraId="65F4AFF1">
      <w:pPr>
        <w:tabs>
          <w:tab w:val="left" w:pos="1134"/>
        </w:tabs>
        <w:spacing w:line="360" w:lineRule="auto"/>
        <w:ind w:firstLine="420" w:firstLineChars="200"/>
        <w:rPr>
          <w:rFonts w:ascii="宋体" w:hAnsi="宋体"/>
        </w:rPr>
      </w:pPr>
      <w:r>
        <w:rPr>
          <w:rFonts w:hint="eastAsia" w:ascii="宋体" w:hAnsi="宋体"/>
        </w:rPr>
        <w:t>4.1.2 卖方配合买方监造人员，为买方监造人员提供工作条件及便利的约定：</w:t>
      </w:r>
      <w:r>
        <w:rPr>
          <w:rFonts w:hint="eastAsia" w:ascii="宋体" w:hAnsi="宋体"/>
          <w:szCs w:val="21"/>
          <w:u w:val="single"/>
        </w:rPr>
        <w:t xml:space="preserve"> </w:t>
      </w:r>
      <w:r>
        <w:rPr>
          <w:rFonts w:hint="eastAsia" w:ascii="宋体" w:hAnsi="宋体"/>
          <w:szCs w:val="21"/>
          <w:u w:val="single"/>
          <w:lang w:val="en-US" w:eastAsia="zh-CN"/>
        </w:rPr>
        <w:t>必要的办公条件</w:t>
      </w:r>
      <w:r>
        <w:rPr>
          <w:rFonts w:hint="eastAsia" w:ascii="宋体" w:hAnsi="宋体"/>
          <w:szCs w:val="21"/>
          <w:u w:val="single"/>
        </w:rPr>
        <w:t xml:space="preserve"> </w:t>
      </w:r>
      <w:r>
        <w:rPr>
          <w:rFonts w:hint="eastAsia" w:ascii="宋体" w:hAnsi="宋体"/>
          <w:szCs w:val="21"/>
        </w:rPr>
        <w:t>。</w:t>
      </w:r>
    </w:p>
    <w:p w14:paraId="08FA96B9">
      <w:pPr>
        <w:tabs>
          <w:tab w:val="left" w:pos="1134"/>
        </w:tabs>
        <w:spacing w:line="360" w:lineRule="auto"/>
        <w:ind w:firstLine="420" w:firstLineChars="200"/>
        <w:rPr>
          <w:rFonts w:ascii="宋体" w:hAnsi="宋体"/>
        </w:rPr>
      </w:pPr>
      <w:r>
        <w:rPr>
          <w:rFonts w:hint="eastAsia" w:ascii="宋体" w:hAnsi="宋体"/>
        </w:rPr>
        <w:t>买方监造人员的交通、食宿费用承担的约定：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highlight w:val="none"/>
          <w:u w:val="single"/>
          <w:lang w:val="en-US" w:eastAsia="zh-CN"/>
        </w:rPr>
        <w:t>买方</w:t>
      </w:r>
      <w:r>
        <w:rPr>
          <w:rFonts w:hint="eastAsia" w:ascii="宋体" w:hAnsi="宋体" w:eastAsia="宋体" w:cs="宋体"/>
          <w:caps w:val="0"/>
          <w:smallCaps w:val="0"/>
          <w:color w:val="000000"/>
          <w:highlight w:val="none"/>
          <w:u w:val="single"/>
        </w:rPr>
        <w:t>监造人员的交通、食宿费用</w:t>
      </w:r>
      <w:r>
        <w:rPr>
          <w:rFonts w:hint="eastAsia" w:ascii="宋体" w:hAnsi="宋体" w:eastAsia="宋体" w:cs="宋体"/>
          <w:caps w:val="0"/>
          <w:smallCaps w:val="0"/>
          <w:color w:val="000000"/>
          <w:highlight w:val="none"/>
          <w:u w:val="single"/>
          <w:lang w:val="en-US" w:eastAsia="zh-CN"/>
        </w:rPr>
        <w:t>由买方自行承担</w:t>
      </w:r>
      <w:r>
        <w:rPr>
          <w:rFonts w:hint="eastAsia" w:ascii="宋体" w:hAnsi="宋体" w:eastAsia="宋体" w:cs="宋体"/>
          <w:caps w:val="0"/>
          <w:smallCaps w:val="0"/>
          <w:color w:val="000000"/>
          <w:szCs w:val="21"/>
          <w:highlight w:val="none"/>
          <w:u w:val="single"/>
          <w:lang w:eastAsia="zh-CN"/>
        </w:rPr>
        <w:t>。</w:t>
      </w:r>
      <w:r>
        <w:rPr>
          <w:rFonts w:hint="eastAsia" w:ascii="宋体" w:hAnsi="宋体"/>
          <w:szCs w:val="21"/>
          <w:u w:val="single"/>
        </w:rPr>
        <w:t xml:space="preserve"> </w:t>
      </w:r>
      <w:r>
        <w:rPr>
          <w:rFonts w:hint="eastAsia" w:ascii="宋体" w:hAnsi="宋体"/>
          <w:szCs w:val="21"/>
        </w:rPr>
        <w:t>。</w:t>
      </w:r>
    </w:p>
    <w:p w14:paraId="5D63E9B5">
      <w:pPr>
        <w:tabs>
          <w:tab w:val="left" w:pos="1134"/>
        </w:tabs>
        <w:spacing w:line="360" w:lineRule="auto"/>
        <w:ind w:firstLine="420" w:firstLineChars="200"/>
        <w:rPr>
          <w:rFonts w:ascii="宋体" w:hAnsi="宋体"/>
        </w:rPr>
      </w:pPr>
      <w:r>
        <w:rPr>
          <w:rFonts w:hint="eastAsia" w:ascii="宋体" w:hAnsi="宋体"/>
        </w:rPr>
        <w:t>4.1.3 卖方将需要买方监造人员现场监造事项通知买方的时间约定：</w:t>
      </w:r>
      <w:r>
        <w:rPr>
          <w:rFonts w:hint="eastAsia" w:ascii="宋体" w:hAnsi="宋体"/>
          <w:szCs w:val="21"/>
          <w:u w:val="single"/>
        </w:rPr>
        <w:t>提前7日</w:t>
      </w:r>
      <w:r>
        <w:rPr>
          <w:rFonts w:hint="eastAsia" w:ascii="宋体" w:hAnsi="宋体"/>
          <w:szCs w:val="21"/>
        </w:rPr>
        <w:t>。</w:t>
      </w:r>
    </w:p>
    <w:p w14:paraId="550424A6">
      <w:pPr>
        <w:tabs>
          <w:tab w:val="left" w:pos="1134"/>
        </w:tabs>
        <w:spacing w:line="360" w:lineRule="auto"/>
        <w:ind w:firstLine="420" w:firstLineChars="200"/>
        <w:rPr>
          <w:rFonts w:ascii="宋体" w:hAnsi="宋体"/>
        </w:rPr>
      </w:pPr>
      <w:r>
        <w:rPr>
          <w:rFonts w:hint="eastAsia" w:ascii="宋体" w:hAnsi="宋体"/>
        </w:rPr>
        <w:t>4.2</w:t>
      </w:r>
      <w:r>
        <w:rPr>
          <w:rFonts w:ascii="宋体" w:hAnsi="宋体"/>
        </w:rPr>
        <w:t xml:space="preserve"> </w:t>
      </w:r>
      <w:r>
        <w:rPr>
          <w:rFonts w:hint="eastAsia" w:ascii="宋体" w:hAnsi="宋体"/>
        </w:rPr>
        <w:t>交货前检验</w:t>
      </w:r>
    </w:p>
    <w:p w14:paraId="31785B7A">
      <w:pPr>
        <w:tabs>
          <w:tab w:val="left" w:pos="1134"/>
        </w:tabs>
        <w:spacing w:line="360" w:lineRule="auto"/>
        <w:ind w:firstLine="420" w:firstLineChars="200"/>
        <w:rPr>
          <w:rFonts w:hint="eastAsia" w:ascii="宋体" w:hAnsi="宋体"/>
        </w:rPr>
      </w:pPr>
      <w:r>
        <w:rPr>
          <w:rFonts w:hint="eastAsia" w:ascii="宋体" w:hAnsi="宋体"/>
        </w:rPr>
        <w:t>对合同设备进行交货前检验的具体约定：</w:t>
      </w:r>
    </w:p>
    <w:p w14:paraId="17349319">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aps w:val="0"/>
          <w:smallCaps w:val="0"/>
          <w:color w:val="000000"/>
          <w:u w:val="single"/>
          <w:lang w:val="en-US" w:eastAsia="zh-CN"/>
        </w:rPr>
      </w:pPr>
      <w:r>
        <w:rPr>
          <w:rFonts w:hint="eastAsia" w:ascii="宋体" w:hAnsi="宋体" w:eastAsia="宋体" w:cs="宋体"/>
          <w:b/>
          <w:bCs/>
          <w:caps w:val="0"/>
          <w:smallCaps w:val="0"/>
          <w:color w:val="000000"/>
          <w:sz w:val="21"/>
          <w:szCs w:val="21"/>
          <w:highlight w:val="none"/>
          <w:u w:val="single"/>
          <w:lang w:val="en-US" w:eastAsia="zh-CN"/>
        </w:rPr>
        <w:t>（1）关于设备发货前的核验，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5043891B">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u w:val="single"/>
          <w:lang w:val="en-US" w:eastAsia="zh-CN"/>
        </w:rPr>
      </w:pPr>
      <w:r>
        <w:rPr>
          <w:rFonts w:hint="eastAsia" w:ascii="宋体" w:hAnsi="宋体" w:eastAsia="宋体" w:cs="宋体"/>
          <w:caps w:val="0"/>
          <w:smallCaps w:val="0"/>
          <w:color w:val="000000"/>
          <w:szCs w:val="21"/>
          <w:highlight w:val="none"/>
          <w:u w:val="single"/>
          <w:lang w:val="en-US" w:eastAsia="zh-CN"/>
        </w:rPr>
        <w:t>（2）卖方在设备具备发货条件且在发货前应书面通知买方，买方在收到书面通知后7个工作日内组织相关人员到设备生产地按合同约定对其进行抽检；且卖方在买方书面同意后方可组织发货。</w:t>
      </w:r>
    </w:p>
    <w:p w14:paraId="752BE167">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3）</w:t>
      </w:r>
      <w:r>
        <w:rPr>
          <w:rFonts w:hint="eastAsia" w:ascii="宋体" w:hAnsi="宋体" w:eastAsia="宋体" w:cs="宋体"/>
          <w:caps w:val="0"/>
          <w:smallCaps w:val="0"/>
          <w:color w:val="000000"/>
          <w:szCs w:val="21"/>
          <w:highlight w:val="none"/>
          <w:u w:val="single"/>
        </w:rPr>
        <w:t>若</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未提前通知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而自行检验</w:t>
      </w:r>
      <w:r>
        <w:rPr>
          <w:rFonts w:hint="eastAsia" w:ascii="宋体" w:hAnsi="宋体" w:eastAsia="宋体" w:cs="宋体"/>
          <w:caps w:val="0"/>
          <w:smallCaps w:val="0"/>
          <w:color w:val="000000"/>
          <w:szCs w:val="21"/>
          <w:highlight w:val="none"/>
          <w:u w:val="single"/>
          <w:lang w:val="en-US" w:eastAsia="zh-CN"/>
        </w:rPr>
        <w:t>的</w:t>
      </w:r>
      <w:r>
        <w:rPr>
          <w:rFonts w:hint="eastAsia" w:ascii="宋体" w:hAnsi="宋体" w:eastAsia="宋体" w:cs="宋体"/>
          <w:caps w:val="0"/>
          <w:smallCaps w:val="0"/>
          <w:color w:val="000000"/>
          <w:szCs w:val="21"/>
          <w:highlight w:val="none"/>
          <w:u w:val="single"/>
        </w:rPr>
        <w:t>，则</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有权要求</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暂停发货并重新进行检验，由此增加的费用和（或）造成的延误由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负责。</w:t>
      </w:r>
    </w:p>
    <w:p w14:paraId="0B5BCCD5">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4）</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代表在检验中如发现合同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不符合合同约定的，有权提出异议。</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应采取必要措施消除，</w:t>
      </w:r>
      <w:r>
        <w:rPr>
          <w:rFonts w:hint="eastAsia" w:ascii="宋体" w:hAnsi="宋体" w:eastAsia="宋体" w:cs="宋体"/>
          <w:caps w:val="0"/>
          <w:smallCaps w:val="0"/>
          <w:color w:val="000000"/>
          <w:szCs w:val="21"/>
          <w:highlight w:val="none"/>
          <w:u w:val="single"/>
          <w:lang w:val="en-US" w:eastAsia="zh-CN"/>
        </w:rPr>
        <w:t>消除后需再通知买方组织再次检验，再次检验卖方在买方书面同意后方可组织发货。因检验不合格整改</w:t>
      </w:r>
      <w:r>
        <w:rPr>
          <w:rFonts w:hint="eastAsia" w:ascii="宋体" w:hAnsi="宋体" w:eastAsia="宋体" w:cs="宋体"/>
          <w:caps w:val="0"/>
          <w:smallCaps w:val="0"/>
          <w:color w:val="000000"/>
          <w:szCs w:val="21"/>
          <w:highlight w:val="none"/>
          <w:u w:val="single"/>
        </w:rPr>
        <w:t>增加的费用和（或）造成的延误由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负责。</w:t>
      </w:r>
    </w:p>
    <w:p w14:paraId="79F1A222">
      <w:pPr>
        <w:tabs>
          <w:tab w:val="left" w:pos="1134"/>
        </w:tabs>
        <w:spacing w:line="360" w:lineRule="auto"/>
        <w:ind w:firstLine="420" w:firstLineChars="200"/>
        <w:rPr>
          <w:rFonts w:ascii="宋体" w:hAnsi="宋体"/>
          <w:szCs w:val="21"/>
        </w:rPr>
      </w:pPr>
      <w:r>
        <w:rPr>
          <w:rFonts w:hint="eastAsia" w:ascii="宋体" w:hAnsi="宋体"/>
          <w:szCs w:val="21"/>
        </w:rPr>
        <w:t xml:space="preserve">4.2.1 </w:t>
      </w:r>
      <w:r>
        <w:rPr>
          <w:rFonts w:hint="eastAsia" w:ascii="宋体" w:hAnsi="宋体"/>
        </w:rPr>
        <w:t>参与交货前检验的买方代表的交通、食宿费用承担的约定：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szCs w:val="21"/>
          <w:highlight w:val="none"/>
          <w:u w:val="single"/>
          <w:lang w:val="en-US" w:eastAsia="zh-CN"/>
        </w:rPr>
        <w:t>买方交货前验收</w:t>
      </w:r>
      <w:r>
        <w:rPr>
          <w:rFonts w:hint="eastAsia" w:ascii="宋体" w:hAnsi="宋体" w:eastAsia="宋体" w:cs="宋体"/>
          <w:caps w:val="0"/>
          <w:smallCaps w:val="0"/>
          <w:color w:val="000000"/>
          <w:szCs w:val="21"/>
          <w:highlight w:val="none"/>
          <w:u w:val="single"/>
        </w:rPr>
        <w:t>人员的交通、食宿费用</w:t>
      </w:r>
      <w:r>
        <w:rPr>
          <w:rFonts w:hint="eastAsia" w:ascii="宋体" w:hAnsi="宋体" w:eastAsia="宋体" w:cs="宋体"/>
          <w:caps w:val="0"/>
          <w:smallCaps w:val="0"/>
          <w:color w:val="000000"/>
          <w:szCs w:val="21"/>
          <w:highlight w:val="none"/>
          <w:u w:val="single"/>
          <w:lang w:val="en-US" w:eastAsia="zh-CN"/>
        </w:rPr>
        <w:t>由买方自行承担</w:t>
      </w:r>
      <w:r>
        <w:rPr>
          <w:rFonts w:hint="eastAsia" w:ascii="宋体" w:hAnsi="宋体"/>
          <w:szCs w:val="21"/>
          <w:u w:val="single"/>
        </w:rPr>
        <w:t xml:space="preserve"> </w:t>
      </w:r>
      <w:r>
        <w:rPr>
          <w:rFonts w:hint="eastAsia" w:ascii="宋体" w:hAnsi="宋体"/>
          <w:szCs w:val="21"/>
        </w:rPr>
        <w:t>。</w:t>
      </w:r>
    </w:p>
    <w:p w14:paraId="71452A70">
      <w:pPr>
        <w:tabs>
          <w:tab w:val="left" w:pos="1134"/>
        </w:tabs>
        <w:spacing w:line="360" w:lineRule="auto"/>
        <w:ind w:firstLine="420" w:firstLineChars="200"/>
        <w:rPr>
          <w:rFonts w:ascii="宋体" w:hAnsi="宋体"/>
        </w:rPr>
      </w:pPr>
      <w:r>
        <w:rPr>
          <w:rFonts w:hint="eastAsia" w:ascii="宋体" w:hAnsi="宋体"/>
          <w:szCs w:val="21"/>
        </w:rPr>
        <w:t xml:space="preserve">4.2.2 </w:t>
      </w:r>
      <w:r>
        <w:rPr>
          <w:rFonts w:hint="eastAsia" w:ascii="宋体" w:hAnsi="宋体"/>
        </w:rPr>
        <w:t>卖方将需要买方代表检验事项通知买方的时间约定：</w:t>
      </w:r>
      <w:r>
        <w:rPr>
          <w:rFonts w:hint="eastAsia" w:ascii="宋体" w:hAnsi="宋体"/>
          <w:szCs w:val="21"/>
          <w:u w:val="single"/>
        </w:rPr>
        <w:t>提前7日</w:t>
      </w:r>
      <w:r>
        <w:rPr>
          <w:rFonts w:hint="eastAsia" w:ascii="宋体" w:hAnsi="宋体"/>
          <w:szCs w:val="21"/>
        </w:rPr>
        <w:t>。</w:t>
      </w:r>
    </w:p>
    <w:p w14:paraId="5611FECA">
      <w:pPr>
        <w:pStyle w:val="97"/>
        <w:keepNext w:val="0"/>
        <w:keepLines w:val="0"/>
        <w:tabs>
          <w:tab w:val="left" w:pos="567"/>
        </w:tabs>
        <w:spacing w:before="156" w:after="156"/>
        <w:rPr>
          <w:rFonts w:eastAsia="宋体" w:cs="Times New Roman"/>
          <w:b/>
          <w:bCs/>
          <w:sz w:val="32"/>
          <w:szCs w:val="32"/>
        </w:rPr>
      </w:pPr>
      <w:bookmarkStart w:id="793" w:name="_Toc7006"/>
      <w:bookmarkStart w:id="794" w:name="_Toc12723"/>
      <w:bookmarkStart w:id="795" w:name="_Toc26925"/>
      <w:bookmarkStart w:id="796" w:name="_Toc2881829"/>
      <w:bookmarkStart w:id="797" w:name="_Toc12044"/>
      <w:bookmarkStart w:id="798" w:name="_Toc26531"/>
      <w:bookmarkStart w:id="799" w:name="_Toc24338"/>
      <w:r>
        <w:rPr>
          <w:rFonts w:hint="eastAsia" w:eastAsia="宋体" w:cs="Times New Roman"/>
          <w:b/>
          <w:bCs/>
          <w:sz w:val="32"/>
          <w:szCs w:val="32"/>
        </w:rPr>
        <w:t>5. 包装、标记、运输和交付</w:t>
      </w:r>
      <w:bookmarkEnd w:id="792"/>
      <w:bookmarkEnd w:id="793"/>
      <w:bookmarkEnd w:id="794"/>
      <w:bookmarkEnd w:id="795"/>
      <w:bookmarkEnd w:id="796"/>
      <w:bookmarkEnd w:id="797"/>
      <w:bookmarkEnd w:id="798"/>
      <w:bookmarkEnd w:id="799"/>
    </w:p>
    <w:p w14:paraId="311FC2BA">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.1 </w:t>
      </w:r>
      <w:r>
        <w:rPr>
          <w:rFonts w:hint="eastAsia" w:ascii="宋体" w:hAnsi="宋体"/>
          <w:szCs w:val="21"/>
        </w:rPr>
        <w:t>包装</w:t>
      </w:r>
    </w:p>
    <w:p w14:paraId="42D1D60D">
      <w:pPr>
        <w:tabs>
          <w:tab w:val="left" w:pos="1134"/>
        </w:tabs>
        <w:spacing w:line="360" w:lineRule="auto"/>
        <w:ind w:firstLine="420"/>
        <w:rPr>
          <w:rFonts w:hint="eastAsia" w:ascii="宋体" w:hAnsi="宋体"/>
          <w:szCs w:val="21"/>
        </w:rPr>
      </w:pPr>
      <w:r>
        <w:rPr>
          <w:rFonts w:hint="eastAsia" w:ascii="宋体" w:hAnsi="宋体"/>
          <w:szCs w:val="21"/>
        </w:rPr>
        <w:t>5</w:t>
      </w:r>
      <w:r>
        <w:rPr>
          <w:rFonts w:ascii="宋体" w:hAnsi="宋体"/>
          <w:szCs w:val="21"/>
        </w:rPr>
        <w:t>.1.</w:t>
      </w:r>
      <w:r>
        <w:rPr>
          <w:rFonts w:hint="eastAsia" w:ascii="宋体" w:hAnsi="宋体"/>
          <w:szCs w:val="21"/>
        </w:rPr>
        <w:t>3</w:t>
      </w:r>
      <w:r>
        <w:rPr>
          <w:rFonts w:ascii="宋体" w:hAnsi="宋体"/>
          <w:szCs w:val="21"/>
        </w:rPr>
        <w:t xml:space="preserve"> </w:t>
      </w:r>
      <w:r>
        <w:rPr>
          <w:rFonts w:hint="eastAsia" w:ascii="宋体" w:hAnsi="宋体"/>
          <w:szCs w:val="21"/>
        </w:rPr>
        <w:t>包装物处理方式的约定：</w:t>
      </w:r>
    </w:p>
    <w:p w14:paraId="3CB88037">
      <w:pPr>
        <w:pageBreakBefore w:val="0"/>
        <w:tabs>
          <w:tab w:val="left" w:pos="1134"/>
        </w:tabs>
        <w:topLinePunct w:val="0"/>
        <w:bidi w:val="0"/>
        <w:spacing w:line="360" w:lineRule="auto"/>
        <w:ind w:firstLine="42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应对合同设备进行妥善包装，以满足合同设备运至施工场地及在施工场地保管的需要</w:t>
      </w:r>
      <w:r>
        <w:rPr>
          <w:rFonts w:hint="eastAsia" w:ascii="宋体" w:hAnsi="宋体" w:eastAsia="宋体" w:cs="宋体"/>
          <w:caps w:val="0"/>
          <w:smallCaps w:val="0"/>
          <w:color w:val="000000"/>
          <w:sz w:val="21"/>
          <w:szCs w:val="21"/>
          <w:highlight w:val="none"/>
          <w:u w:val="single"/>
          <w:lang w:val="en-US" w:eastAsia="zh-CN"/>
        </w:rPr>
        <w:t>并符合包装和运输的有关标准，包装应为制造商时的原包装</w:t>
      </w:r>
      <w:r>
        <w:rPr>
          <w:rFonts w:hint="eastAsia" w:ascii="宋体" w:hAnsi="宋体" w:eastAsia="宋体" w:cs="宋体"/>
          <w:caps w:val="0"/>
          <w:smallCaps w:val="0"/>
          <w:color w:val="000000"/>
          <w:szCs w:val="21"/>
          <w:highlight w:val="none"/>
          <w:u w:val="single"/>
        </w:rPr>
        <w:t>。包装应采取防潮、防晒、防锈、防腐蚀、防震动</w:t>
      </w:r>
      <w:r>
        <w:rPr>
          <w:rFonts w:hint="eastAsia" w:ascii="宋体" w:hAnsi="宋体" w:eastAsia="宋体" w:cs="宋体"/>
          <w:caps w:val="0"/>
          <w:smallCaps w:val="0"/>
          <w:color w:val="000000"/>
          <w:sz w:val="21"/>
          <w:szCs w:val="21"/>
          <w:highlight w:val="none"/>
          <w:u w:val="single"/>
          <w:lang w:val="en-US" w:eastAsia="zh-CN"/>
        </w:rPr>
        <w:t>以及其他不可预见的损坏</w:t>
      </w:r>
      <w:r>
        <w:rPr>
          <w:rFonts w:hint="eastAsia" w:ascii="宋体" w:hAnsi="宋体" w:eastAsia="宋体" w:cs="宋体"/>
          <w:caps w:val="0"/>
          <w:smallCaps w:val="0"/>
          <w:color w:val="000000"/>
          <w:szCs w:val="21"/>
          <w:highlight w:val="none"/>
          <w:u w:val="single"/>
        </w:rPr>
        <w:t>的必要保护措施，从而保护合同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能够经受多次搬运、装卸、长途运输并适宜保管。</w:t>
      </w:r>
    </w:p>
    <w:p w14:paraId="090BB30C">
      <w:pPr>
        <w:tabs>
          <w:tab w:val="left" w:pos="1134"/>
        </w:tabs>
        <w:spacing w:line="360" w:lineRule="auto"/>
        <w:ind w:firstLine="420"/>
        <w:rPr>
          <w:rFonts w:ascii="宋体" w:hAnsi="宋体"/>
          <w:szCs w:val="21"/>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 xml:space="preserve"> 每个独立包装箱内应附装箱清单、质量合格证、装配图、说明书、操作指南等资料。</w:t>
      </w:r>
    </w:p>
    <w:p w14:paraId="46D22A20">
      <w:pPr>
        <w:tabs>
          <w:tab w:val="left" w:pos="1134"/>
        </w:tabs>
        <w:spacing w:line="360" w:lineRule="auto"/>
        <w:ind w:firstLine="420" w:firstLineChars="200"/>
        <w:rPr>
          <w:rFonts w:ascii="宋体" w:hAnsi="宋体"/>
          <w:szCs w:val="21"/>
        </w:rPr>
      </w:pPr>
      <w:r>
        <w:rPr>
          <w:rFonts w:ascii="宋体" w:hAnsi="宋体"/>
          <w:szCs w:val="21"/>
        </w:rPr>
        <w:t xml:space="preserve">5.2 </w:t>
      </w:r>
      <w:r>
        <w:rPr>
          <w:rFonts w:hint="eastAsia" w:ascii="宋体" w:hAnsi="宋体"/>
          <w:szCs w:val="21"/>
        </w:rPr>
        <w:t>标记</w:t>
      </w:r>
    </w:p>
    <w:p w14:paraId="7EA32E88">
      <w:pPr>
        <w:adjustRightInd w:val="0"/>
        <w:snapToGrid w:val="0"/>
        <w:spacing w:line="360" w:lineRule="auto"/>
        <w:ind w:firstLine="420" w:firstLineChars="200"/>
        <w:rPr>
          <w:rFonts w:hint="eastAsia" w:ascii="宋体" w:hAnsi="宋体"/>
          <w:szCs w:val="21"/>
        </w:rPr>
      </w:pPr>
      <w:r>
        <w:rPr>
          <w:rFonts w:hint="eastAsia" w:ascii="宋体" w:hAnsi="宋体"/>
          <w:szCs w:val="21"/>
        </w:rPr>
        <w:t>5</w:t>
      </w:r>
      <w:r>
        <w:rPr>
          <w:rFonts w:ascii="宋体" w:hAnsi="宋体"/>
          <w:szCs w:val="21"/>
        </w:rPr>
        <w:t xml:space="preserve">.2.1 </w:t>
      </w:r>
      <w:r>
        <w:rPr>
          <w:rFonts w:hint="eastAsia" w:ascii="宋体" w:hAnsi="宋体"/>
          <w:szCs w:val="21"/>
          <w:lang w:val="en-US" w:eastAsia="zh-CN"/>
        </w:rPr>
        <w:t>进行标记的约定</w:t>
      </w:r>
      <w:r>
        <w:rPr>
          <w:rFonts w:hint="eastAsia" w:ascii="宋体" w:hAnsi="宋体"/>
          <w:szCs w:val="21"/>
        </w:rPr>
        <w:t>：</w:t>
      </w:r>
    </w:p>
    <w:p w14:paraId="4CFD6A21">
      <w:pPr>
        <w:pageBreakBefore w:val="0"/>
        <w:tabs>
          <w:tab w:val="left" w:pos="1134"/>
        </w:tabs>
        <w:topLinePunct w:val="0"/>
        <w:bidi w:val="0"/>
        <w:spacing w:line="360" w:lineRule="auto"/>
        <w:ind w:firstLine="420"/>
        <w:rPr>
          <w:rFonts w:hint="eastAsia" w:ascii="宋体" w:hAnsi="宋体" w:eastAsia="宋体" w:cs="宋体"/>
          <w:caps w:val="0"/>
          <w:smallCaps w:val="0"/>
          <w:color w:val="000000"/>
          <w:szCs w:val="21"/>
          <w:highlight w:val="none"/>
          <w:u w:val="single"/>
          <w:lang w:eastAsia="zh-CN"/>
        </w:rPr>
      </w:pP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应在每一包装箱</w:t>
      </w:r>
      <w:r>
        <w:rPr>
          <w:rFonts w:hint="eastAsia" w:ascii="宋体" w:hAnsi="宋体" w:eastAsia="宋体" w:cs="宋体"/>
          <w:caps w:val="0"/>
          <w:smallCaps w:val="0"/>
          <w:color w:val="000000"/>
          <w:szCs w:val="21"/>
          <w:highlight w:val="none"/>
          <w:u w:val="single"/>
          <w:lang w:val="en-US" w:eastAsia="zh-CN"/>
        </w:rPr>
        <w:t>醒目位置</w:t>
      </w:r>
      <w:r>
        <w:rPr>
          <w:rFonts w:hint="eastAsia" w:ascii="宋体" w:hAnsi="宋体" w:eastAsia="宋体" w:cs="宋体"/>
          <w:caps w:val="0"/>
          <w:smallCaps w:val="0"/>
          <w:color w:val="000000"/>
          <w:szCs w:val="21"/>
          <w:highlight w:val="none"/>
          <w:u w:val="single"/>
        </w:rPr>
        <w:t>不可擦除、明显的方式标记必要的装运信息和标记，以满足合同设备运输和保管的需要</w:t>
      </w:r>
      <w:r>
        <w:rPr>
          <w:rFonts w:hint="eastAsia" w:ascii="宋体" w:hAnsi="宋体" w:eastAsia="宋体" w:cs="宋体"/>
          <w:caps w:val="0"/>
          <w:smallCaps w:val="0"/>
          <w:color w:val="000000"/>
          <w:szCs w:val="21"/>
          <w:highlight w:val="none"/>
          <w:u w:val="single"/>
          <w:lang w:eastAsia="zh-CN"/>
        </w:rPr>
        <w:t>。</w:t>
      </w:r>
    </w:p>
    <w:p w14:paraId="415F1C01">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highlight w:val="none"/>
          <w:u w:val="single"/>
          <w:lang w:val="en-US" w:eastAsia="zh-CN"/>
        </w:rPr>
      </w:pPr>
      <w:r>
        <w:rPr>
          <w:rFonts w:hint="eastAsia" w:ascii="宋体" w:hAnsi="宋体" w:eastAsia="宋体" w:cs="宋体"/>
          <w:caps w:val="0"/>
          <w:smallCaps w:val="0"/>
          <w:color w:val="000000"/>
          <w:szCs w:val="21"/>
          <w:highlight w:val="none"/>
          <w:u w:val="single"/>
          <w:lang w:val="en-US" w:eastAsia="zh-CN"/>
        </w:rPr>
        <w:t>具体包括</w:t>
      </w:r>
      <w:r>
        <w:rPr>
          <w:rFonts w:hint="eastAsia" w:ascii="宋体" w:hAnsi="宋体" w:eastAsia="宋体" w:cs="宋体"/>
          <w:caps w:val="0"/>
          <w:smallCaps w:val="0"/>
          <w:color w:val="000000"/>
          <w:sz w:val="21"/>
          <w:szCs w:val="21"/>
          <w:highlight w:val="none"/>
          <w:u w:val="single"/>
        </w:rPr>
        <w:t>目的站</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合同设备名称；箱号/件号；毛重/净重（公斤）；体积（长×宽×高，以毫米表示）；吊点；合同设备运输警示标示。</w:t>
      </w:r>
    </w:p>
    <w:p w14:paraId="20F8BE5E">
      <w:pPr>
        <w:tabs>
          <w:tab w:val="left" w:pos="1134"/>
        </w:tabs>
        <w:spacing w:line="360" w:lineRule="auto"/>
        <w:ind w:firstLine="420"/>
        <w:rPr>
          <w:rFonts w:ascii="宋体" w:hAnsi="宋体"/>
          <w:szCs w:val="21"/>
        </w:rPr>
      </w:pPr>
      <w:r>
        <w:rPr>
          <w:rFonts w:ascii="宋体" w:hAnsi="宋体"/>
          <w:szCs w:val="21"/>
        </w:rPr>
        <w:t xml:space="preserve">5.2.2 </w:t>
      </w:r>
      <w:r>
        <w:rPr>
          <w:rFonts w:hint="eastAsia" w:ascii="宋体" w:hAnsi="宋体"/>
          <w:szCs w:val="21"/>
        </w:rPr>
        <w:t>超大超重件包括：</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cs="宋体"/>
          <w:szCs w:val="21"/>
        </w:rPr>
        <w:t>。</w:t>
      </w:r>
    </w:p>
    <w:p w14:paraId="2BDA0445">
      <w:pPr>
        <w:tabs>
          <w:tab w:val="left" w:pos="1134"/>
        </w:tabs>
        <w:spacing w:line="360" w:lineRule="auto"/>
        <w:ind w:firstLine="420" w:firstLineChars="200"/>
        <w:rPr>
          <w:rFonts w:ascii="宋体" w:hAnsi="宋体"/>
          <w:szCs w:val="21"/>
          <w:u w:val="single"/>
        </w:rPr>
      </w:pPr>
      <w:r>
        <w:rPr>
          <w:rFonts w:hint="eastAsia" w:ascii="宋体" w:hAnsi="宋体"/>
          <w:szCs w:val="21"/>
        </w:rPr>
        <w:t>5</w:t>
      </w:r>
      <w:r>
        <w:rPr>
          <w:rFonts w:ascii="宋体" w:hAnsi="宋体"/>
          <w:szCs w:val="21"/>
        </w:rPr>
        <w:t>.3</w:t>
      </w:r>
      <w:r>
        <w:rPr>
          <w:rFonts w:hint="eastAsia" w:ascii="宋体" w:hAnsi="宋体"/>
          <w:szCs w:val="21"/>
        </w:rPr>
        <w:t>运输</w:t>
      </w:r>
    </w:p>
    <w:p w14:paraId="6B33FD8F">
      <w:pPr>
        <w:tabs>
          <w:tab w:val="left" w:pos="1134"/>
        </w:tabs>
        <w:spacing w:line="360" w:lineRule="auto"/>
        <w:ind w:firstLine="420"/>
        <w:rPr>
          <w:rFonts w:hint="eastAsia" w:ascii="宋体" w:hAnsi="宋体"/>
          <w:szCs w:val="21"/>
        </w:rPr>
      </w:pPr>
      <w:r>
        <w:rPr>
          <w:rFonts w:hint="eastAsia" w:ascii="宋体" w:hAnsi="宋体"/>
          <w:szCs w:val="21"/>
        </w:rPr>
        <w:t>5</w:t>
      </w:r>
      <w:r>
        <w:rPr>
          <w:rFonts w:ascii="宋体" w:hAnsi="宋体"/>
          <w:szCs w:val="21"/>
        </w:rPr>
        <w:t>.3.</w:t>
      </w:r>
      <w:r>
        <w:rPr>
          <w:rFonts w:hint="eastAsia" w:ascii="宋体" w:hAnsi="宋体"/>
          <w:szCs w:val="21"/>
        </w:rPr>
        <w:t>2</w:t>
      </w:r>
      <w:r>
        <w:rPr>
          <w:rFonts w:ascii="宋体" w:hAnsi="宋体"/>
          <w:szCs w:val="21"/>
        </w:rPr>
        <w:t xml:space="preserve"> </w:t>
      </w:r>
      <w:r>
        <w:rPr>
          <w:rFonts w:hint="eastAsia" w:ascii="宋体" w:hAnsi="宋体"/>
          <w:szCs w:val="21"/>
        </w:rPr>
        <w:t>装运方式的约定：</w:t>
      </w:r>
    </w:p>
    <w:p w14:paraId="2F39D65A">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应根据约定的</w:t>
      </w:r>
      <w:r>
        <w:rPr>
          <w:rFonts w:hint="eastAsia" w:ascii="宋体" w:hAnsi="宋体" w:eastAsia="宋体" w:cs="宋体"/>
          <w:caps w:val="0"/>
          <w:smallCaps w:val="0"/>
          <w:color w:val="000000"/>
          <w:szCs w:val="21"/>
          <w:highlight w:val="none"/>
          <w:u w:val="single"/>
          <w:lang w:val="en-US" w:eastAsia="zh-CN"/>
        </w:rPr>
        <w:t>发货</w:t>
      </w:r>
      <w:r>
        <w:rPr>
          <w:rFonts w:hint="eastAsia" w:ascii="宋体" w:hAnsi="宋体" w:eastAsia="宋体" w:cs="宋体"/>
          <w:caps w:val="0"/>
          <w:smallCaps w:val="0"/>
          <w:color w:val="000000"/>
          <w:szCs w:val="21"/>
          <w:highlight w:val="none"/>
          <w:u w:val="single"/>
        </w:rPr>
        <w:t>时间和批次自行选择适宜的运输工具及线路安排合同设备运输</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w:t>
      </w:r>
    </w:p>
    <w:p w14:paraId="1595C099">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Cs w:val="21"/>
          <w:highlight w:val="none"/>
          <w:u w:val="single"/>
          <w:lang w:val="en-US" w:eastAsia="zh-CN"/>
        </w:rPr>
        <w:t>（2）</w:t>
      </w:r>
      <w:r>
        <w:rPr>
          <w:rFonts w:hint="eastAsia" w:ascii="宋体" w:hAnsi="宋体" w:eastAsia="宋体" w:cs="宋体"/>
          <w:caps w:val="0"/>
          <w:smallCaps w:val="0"/>
          <w:color w:val="000000"/>
          <w:szCs w:val="21"/>
          <w:highlight w:val="none"/>
          <w:u w:val="single"/>
        </w:rPr>
        <w:t>每件能够独立运行的设备应整套装运。该设备安装、调试、考核和运行所使用的备品、备件、易损易耗件等应随相关的主机一</w:t>
      </w:r>
      <w:r>
        <w:rPr>
          <w:rFonts w:hint="eastAsia" w:ascii="宋体" w:hAnsi="宋体" w:eastAsia="宋体" w:cs="宋体"/>
          <w:caps w:val="0"/>
          <w:smallCaps w:val="0"/>
          <w:color w:val="000000"/>
          <w:szCs w:val="21"/>
          <w:highlight w:val="none"/>
          <w:u w:val="single"/>
          <w:lang w:val="en-US" w:eastAsia="zh-CN"/>
        </w:rPr>
        <w:t>起</w:t>
      </w:r>
      <w:r>
        <w:rPr>
          <w:rFonts w:hint="eastAsia" w:ascii="宋体" w:hAnsi="宋体" w:eastAsia="宋体" w:cs="宋体"/>
          <w:caps w:val="0"/>
          <w:smallCaps w:val="0"/>
          <w:color w:val="000000"/>
          <w:szCs w:val="21"/>
          <w:highlight w:val="none"/>
          <w:u w:val="single"/>
        </w:rPr>
        <w:t>装运。</w:t>
      </w:r>
    </w:p>
    <w:p w14:paraId="4B7B1056">
      <w:pPr>
        <w:tabs>
          <w:tab w:val="left" w:pos="1134"/>
        </w:tabs>
        <w:spacing w:line="360" w:lineRule="auto"/>
        <w:ind w:firstLine="420"/>
        <w:rPr>
          <w:rFonts w:ascii="宋体" w:hAnsi="宋体"/>
          <w:szCs w:val="21"/>
        </w:rPr>
      </w:pPr>
      <w:r>
        <w:rPr>
          <w:rFonts w:hint="eastAsia" w:ascii="宋体" w:hAnsi="宋体" w:eastAsia="宋体" w:cs="宋体"/>
          <w:caps w:val="0"/>
          <w:smallCaps w:val="0"/>
          <w:color w:val="000000"/>
          <w:szCs w:val="21"/>
          <w:highlight w:val="none"/>
          <w:u w:val="single"/>
          <w:lang w:val="en-US" w:eastAsia="zh-CN"/>
        </w:rPr>
        <w:t>（3）</w:t>
      </w:r>
      <w:r>
        <w:rPr>
          <w:rFonts w:hint="eastAsia" w:ascii="宋体" w:hAnsi="宋体" w:eastAsia="宋体" w:cs="宋体"/>
          <w:caps w:val="0"/>
          <w:smallCaps w:val="0"/>
          <w:color w:val="000000"/>
          <w:szCs w:val="21"/>
          <w:highlight w:val="none"/>
          <w:u w:val="single"/>
        </w:rPr>
        <w:t>如果发运合同</w:t>
      </w:r>
      <w:r>
        <w:rPr>
          <w:rFonts w:hint="eastAsia" w:ascii="宋体" w:hAnsi="宋体" w:eastAsia="宋体" w:cs="宋体"/>
          <w:caps w:val="0"/>
          <w:smallCaps w:val="0"/>
          <w:color w:val="000000"/>
          <w:szCs w:val="21"/>
          <w:highlight w:val="none"/>
          <w:u w:val="single"/>
          <w:lang w:val="en-US" w:eastAsia="zh-CN"/>
        </w:rPr>
        <w:t>设备</w:t>
      </w:r>
      <w:r>
        <w:rPr>
          <w:rFonts w:hint="eastAsia" w:ascii="宋体" w:hAnsi="宋体" w:eastAsia="宋体" w:cs="宋体"/>
          <w:caps w:val="0"/>
          <w:smallCaps w:val="0"/>
          <w:color w:val="000000"/>
          <w:szCs w:val="21"/>
          <w:highlight w:val="none"/>
          <w:u w:val="single"/>
        </w:rPr>
        <w:t>中包括超大超重包装，则</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应将超大和（或）超重的每个包装箱的重量和尺寸通知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；如果发运合同设备中包括易燃易爆物品、腐蚀物品、放射性物质等危险品，则危险品的品名、性质、在运输、装卸、保管方面的特殊要求、注意事项和处理意外情况的方法等，也应一并通知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lang w:val="en-US" w:eastAsia="zh-CN"/>
        </w:rPr>
        <w:t>但应由卖方协调相关部门，</w:t>
      </w:r>
      <w:r>
        <w:rPr>
          <w:rFonts w:hint="eastAsia" w:ascii="宋体" w:hAnsi="宋体" w:eastAsia="宋体" w:cs="宋体"/>
          <w:caps w:val="0"/>
          <w:smallCaps w:val="0"/>
          <w:color w:val="000000"/>
          <w:sz w:val="21"/>
          <w:szCs w:val="21"/>
          <w:highlight w:val="none"/>
          <w:u w:val="single"/>
          <w:lang w:val="en-US" w:eastAsia="zh-CN"/>
        </w:rPr>
        <w:t>所有设备</w:t>
      </w:r>
      <w:r>
        <w:rPr>
          <w:rFonts w:hint="eastAsia" w:ascii="宋体" w:hAnsi="宋体" w:eastAsia="宋体" w:cs="宋体"/>
          <w:caps w:val="0"/>
          <w:smallCaps w:val="0"/>
          <w:color w:val="000000"/>
          <w:szCs w:val="21"/>
          <w:highlight w:val="none"/>
          <w:u w:val="single"/>
        </w:rPr>
        <w:t>运输</w:t>
      </w:r>
      <w:r>
        <w:rPr>
          <w:rFonts w:hint="eastAsia" w:ascii="宋体" w:hAnsi="宋体" w:eastAsia="宋体" w:cs="宋体"/>
          <w:caps w:val="0"/>
          <w:smallCaps w:val="0"/>
          <w:color w:val="000000"/>
          <w:szCs w:val="21"/>
          <w:highlight w:val="none"/>
          <w:u w:val="single"/>
          <w:lang w:val="en-US" w:eastAsia="zh-CN"/>
        </w:rPr>
        <w:t>费用，以及</w:t>
      </w:r>
      <w:r>
        <w:rPr>
          <w:rFonts w:hint="eastAsia" w:ascii="宋体" w:hAnsi="宋体" w:eastAsia="宋体" w:cs="宋体"/>
          <w:caps w:val="0"/>
          <w:smallCaps w:val="0"/>
          <w:color w:val="000000"/>
          <w:szCs w:val="21"/>
          <w:highlight w:val="none"/>
          <w:u w:val="single"/>
        </w:rPr>
        <w:t>需</w:t>
      </w:r>
      <w:r>
        <w:rPr>
          <w:rFonts w:hint="eastAsia" w:ascii="宋体" w:hAnsi="宋体" w:eastAsia="宋体" w:cs="宋体"/>
          <w:caps w:val="0"/>
          <w:smallCaps w:val="0"/>
          <w:color w:val="000000"/>
          <w:szCs w:val="21"/>
          <w:highlight w:val="none"/>
          <w:u w:val="single"/>
          <w:lang w:val="en-US" w:eastAsia="zh-CN"/>
        </w:rPr>
        <w:t>要对</w:t>
      </w:r>
      <w:r>
        <w:rPr>
          <w:rFonts w:hint="eastAsia" w:ascii="宋体" w:hAnsi="宋体" w:eastAsia="宋体" w:cs="宋体"/>
          <w:caps w:val="0"/>
          <w:smallCaps w:val="0"/>
          <w:color w:val="000000"/>
          <w:szCs w:val="21"/>
          <w:highlight w:val="none"/>
          <w:u w:val="single"/>
        </w:rPr>
        <w:t>道路和桥梁临时加固改造费用</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装卸费用</w:t>
      </w:r>
      <w:r>
        <w:rPr>
          <w:rFonts w:hint="eastAsia" w:ascii="宋体" w:hAnsi="宋体" w:eastAsia="宋体" w:cs="宋体"/>
          <w:caps w:val="0"/>
          <w:smallCaps w:val="0"/>
          <w:color w:val="000000"/>
          <w:szCs w:val="21"/>
          <w:highlight w:val="none"/>
          <w:u w:val="single"/>
        </w:rPr>
        <w:t>和其他有关费用由</w:t>
      </w:r>
      <w:r>
        <w:rPr>
          <w:rFonts w:hint="eastAsia" w:ascii="宋体" w:hAnsi="宋体" w:eastAsia="宋体" w:cs="宋体"/>
          <w:caps w:val="0"/>
          <w:smallCaps w:val="0"/>
          <w:color w:val="000000"/>
          <w:szCs w:val="21"/>
          <w:highlight w:val="none"/>
          <w:u w:val="single"/>
          <w:lang w:val="en-US"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eastAsia="宋体" w:cs="宋体"/>
          <w:caps w:val="0"/>
          <w:smallCaps w:val="0"/>
          <w:color w:val="000000"/>
          <w:szCs w:val="21"/>
          <w:highlight w:val="none"/>
          <w:u w:val="single"/>
          <w:lang w:val="en-US" w:eastAsia="zh-CN"/>
        </w:rPr>
        <w:t>。</w:t>
      </w:r>
    </w:p>
    <w:p w14:paraId="3950D051">
      <w:pPr>
        <w:tabs>
          <w:tab w:val="left" w:pos="1134"/>
        </w:tabs>
        <w:spacing w:line="360" w:lineRule="auto"/>
        <w:ind w:firstLine="420"/>
        <w:rPr>
          <w:rFonts w:hint="eastAsia" w:ascii="宋体" w:hAnsi="宋体"/>
          <w:szCs w:val="21"/>
        </w:rPr>
      </w:pPr>
      <w:r>
        <w:rPr>
          <w:rFonts w:hint="eastAsia" w:ascii="宋体" w:hAnsi="宋体"/>
          <w:szCs w:val="21"/>
        </w:rPr>
        <w:t>5</w:t>
      </w:r>
      <w:r>
        <w:rPr>
          <w:rFonts w:ascii="宋体" w:hAnsi="宋体"/>
          <w:szCs w:val="21"/>
        </w:rPr>
        <w:t>.3.</w:t>
      </w:r>
      <w:r>
        <w:rPr>
          <w:rFonts w:hint="eastAsia" w:ascii="宋体" w:hAnsi="宋体"/>
          <w:szCs w:val="21"/>
        </w:rPr>
        <w:t>3</w:t>
      </w:r>
      <w:r>
        <w:rPr>
          <w:rFonts w:ascii="宋体" w:hAnsi="宋体"/>
          <w:szCs w:val="21"/>
        </w:rPr>
        <w:t xml:space="preserve"> </w:t>
      </w:r>
      <w:r>
        <w:rPr>
          <w:rFonts w:hint="eastAsia" w:ascii="宋体" w:hAnsi="宋体"/>
        </w:rPr>
        <w:t>卖方通知</w:t>
      </w:r>
      <w:r>
        <w:rPr>
          <w:rFonts w:hint="eastAsia" w:ascii="宋体" w:hAnsi="宋体"/>
          <w:lang w:val="en-US" w:eastAsia="zh-CN"/>
        </w:rPr>
        <w:t>的约定</w:t>
      </w:r>
      <w:r>
        <w:rPr>
          <w:rFonts w:hint="eastAsia" w:ascii="宋体" w:hAnsi="宋体"/>
          <w:szCs w:val="21"/>
        </w:rPr>
        <w:t>：</w:t>
      </w:r>
    </w:p>
    <w:p w14:paraId="546978E0">
      <w:pPr>
        <w:tabs>
          <w:tab w:val="left" w:pos="1134"/>
        </w:tabs>
        <w:spacing w:line="360" w:lineRule="auto"/>
        <w:ind w:firstLine="420"/>
        <w:rPr>
          <w:rFonts w:ascii="宋体" w:hAnsi="宋体"/>
          <w:szCs w:val="21"/>
        </w:rPr>
      </w:pPr>
      <w:r>
        <w:rPr>
          <w:rFonts w:hint="eastAsia" w:ascii="宋体" w:hAnsi="宋体" w:eastAsia="宋体" w:cs="宋体"/>
          <w:caps w:val="0"/>
          <w:smallCaps w:val="0"/>
          <w:color w:val="auto"/>
          <w:szCs w:val="21"/>
          <w:highlight w:val="none"/>
          <w:u w:val="single"/>
          <w:lang w:eastAsia="zh-CN"/>
        </w:rPr>
        <w:t>卖方</w:t>
      </w:r>
      <w:r>
        <w:rPr>
          <w:rFonts w:hint="eastAsia" w:ascii="宋体" w:hAnsi="宋体" w:eastAsia="宋体" w:cs="宋体"/>
          <w:caps w:val="0"/>
          <w:smallCaps w:val="0"/>
          <w:color w:val="auto"/>
          <w:szCs w:val="21"/>
          <w:highlight w:val="none"/>
          <w:u w:val="single"/>
        </w:rPr>
        <w:t>应在合同</w:t>
      </w:r>
      <w:r>
        <w:rPr>
          <w:rFonts w:hint="eastAsia" w:ascii="宋体" w:hAnsi="宋体" w:eastAsia="宋体" w:cs="宋体"/>
          <w:caps w:val="0"/>
          <w:smallCaps w:val="0"/>
          <w:color w:val="auto"/>
          <w:szCs w:val="21"/>
          <w:highlight w:val="none"/>
          <w:u w:val="single"/>
          <w:lang w:val="en-US" w:eastAsia="zh-CN"/>
        </w:rPr>
        <w:t>设备</w:t>
      </w:r>
      <w:r>
        <w:rPr>
          <w:rFonts w:hint="eastAsia" w:ascii="宋体" w:hAnsi="宋体" w:eastAsia="宋体" w:cs="宋体"/>
          <w:caps w:val="0"/>
          <w:smallCaps w:val="0"/>
          <w:color w:val="auto"/>
          <w:szCs w:val="21"/>
          <w:highlight w:val="none"/>
          <w:u w:val="single"/>
        </w:rPr>
        <w:t>预计启运 7 日前</w:t>
      </w:r>
      <w:r>
        <w:rPr>
          <w:rFonts w:hint="eastAsia" w:ascii="宋体" w:hAnsi="宋体" w:eastAsia="宋体" w:cs="宋体"/>
          <w:caps w:val="0"/>
          <w:smallCaps w:val="0"/>
          <w:color w:val="auto"/>
          <w:sz w:val="21"/>
          <w:szCs w:val="21"/>
          <w:highlight w:val="none"/>
          <w:u w:val="single"/>
          <w:lang w:val="en-US" w:eastAsia="zh-CN"/>
        </w:rPr>
        <w:t>预通知买方</w:t>
      </w:r>
      <w:r>
        <w:rPr>
          <w:rFonts w:hint="eastAsia" w:ascii="宋体" w:hAnsi="宋体" w:eastAsia="宋体" w:cs="宋体"/>
          <w:caps w:val="0"/>
          <w:smallCaps w:val="0"/>
          <w:color w:val="auto"/>
          <w:szCs w:val="21"/>
          <w:highlight w:val="none"/>
          <w:u w:val="single"/>
        </w:rPr>
        <w:t>，</w:t>
      </w:r>
      <w:r>
        <w:rPr>
          <w:rFonts w:hint="eastAsia" w:ascii="宋体" w:hAnsi="宋体" w:eastAsia="宋体" w:cs="宋体"/>
          <w:caps w:val="0"/>
          <w:smallCaps w:val="0"/>
          <w:color w:val="auto"/>
          <w:sz w:val="21"/>
          <w:szCs w:val="21"/>
          <w:highlight w:val="none"/>
          <w:u w:val="single"/>
        </w:rPr>
        <w:t>并在合同</w:t>
      </w:r>
      <w:r>
        <w:rPr>
          <w:rFonts w:hint="eastAsia" w:ascii="宋体" w:hAnsi="宋体" w:eastAsia="宋体" w:cs="宋体"/>
          <w:caps w:val="0"/>
          <w:smallCaps w:val="0"/>
          <w:color w:val="auto"/>
          <w:sz w:val="21"/>
          <w:szCs w:val="21"/>
          <w:highlight w:val="none"/>
          <w:u w:val="single"/>
          <w:lang w:val="en-US" w:eastAsia="zh-CN"/>
        </w:rPr>
        <w:t>设备</w:t>
      </w:r>
      <w:r>
        <w:rPr>
          <w:rFonts w:hint="eastAsia" w:ascii="宋体" w:hAnsi="宋体" w:eastAsia="宋体" w:cs="宋体"/>
          <w:caps w:val="0"/>
          <w:smallCaps w:val="0"/>
          <w:color w:val="auto"/>
          <w:sz w:val="21"/>
          <w:szCs w:val="21"/>
          <w:highlight w:val="none"/>
          <w:u w:val="single"/>
        </w:rPr>
        <w:t>启运后</w:t>
      </w:r>
      <w:r>
        <w:rPr>
          <w:rFonts w:hint="eastAsia" w:ascii="宋体" w:hAnsi="宋体" w:eastAsia="宋体" w:cs="宋体"/>
          <w:caps w:val="0"/>
          <w:smallCaps w:val="0"/>
          <w:color w:val="auto"/>
          <w:sz w:val="21"/>
          <w:szCs w:val="21"/>
          <w:highlight w:val="none"/>
          <w:u w:val="single"/>
          <w:lang w:val="en-US" w:eastAsia="zh-CN"/>
        </w:rPr>
        <w:t xml:space="preserve">  12 </w:t>
      </w:r>
      <w:r>
        <w:rPr>
          <w:rFonts w:hint="eastAsia" w:ascii="宋体" w:hAnsi="宋体" w:eastAsia="宋体" w:cs="宋体"/>
          <w:caps w:val="0"/>
          <w:smallCaps w:val="0"/>
          <w:color w:val="auto"/>
          <w:sz w:val="21"/>
          <w:szCs w:val="21"/>
          <w:highlight w:val="none"/>
          <w:u w:val="single"/>
        </w:rPr>
        <w:t>小时之内正式通知</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lang w:val="en-US" w:eastAsia="zh-CN"/>
        </w:rPr>
        <w:t>具体包括合</w:t>
      </w:r>
      <w:r>
        <w:rPr>
          <w:rFonts w:hint="eastAsia" w:ascii="宋体" w:hAnsi="宋体" w:eastAsia="宋体" w:cs="宋体"/>
          <w:caps w:val="0"/>
          <w:smallCaps w:val="0"/>
          <w:color w:val="auto"/>
          <w:sz w:val="21"/>
          <w:szCs w:val="21"/>
          <w:highlight w:val="none"/>
          <w:u w:val="single"/>
        </w:rPr>
        <w:t>同设备名称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数量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箱数</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总毛重</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总体积（用m</w:t>
      </w:r>
      <w:r>
        <w:rPr>
          <w:rFonts w:hint="eastAsia" w:ascii="宋体" w:hAnsi="宋体" w:eastAsia="宋体" w:cs="宋体"/>
          <w:caps w:val="0"/>
          <w:smallCaps w:val="0"/>
          <w:color w:val="auto"/>
          <w:sz w:val="21"/>
          <w:szCs w:val="21"/>
          <w:highlight w:val="none"/>
          <w:u w:val="single"/>
          <w:vertAlign w:val="superscript"/>
        </w:rPr>
        <w:t>3</w:t>
      </w:r>
      <w:r>
        <w:rPr>
          <w:rFonts w:hint="eastAsia" w:ascii="宋体" w:hAnsi="宋体" w:eastAsia="宋体" w:cs="宋体"/>
          <w:caps w:val="0"/>
          <w:smallCaps w:val="0"/>
          <w:color w:val="auto"/>
          <w:sz w:val="21"/>
          <w:szCs w:val="21"/>
          <w:highlight w:val="none"/>
          <w:u w:val="single"/>
        </w:rPr>
        <w:t>表示）</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每箱尺寸（长×宽×高）</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装运合同设备总金额</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合同设备装箱单（应注明包装</w:t>
      </w:r>
      <w:r>
        <w:rPr>
          <w:rFonts w:hint="eastAsia" w:ascii="宋体" w:hAnsi="宋体" w:eastAsia="宋体" w:cs="宋体"/>
          <w:caps w:val="0"/>
          <w:smallCaps w:val="0"/>
          <w:color w:val="auto"/>
          <w:sz w:val="21"/>
          <w:szCs w:val="21"/>
          <w:highlight w:val="none"/>
          <w:u w:val="single"/>
          <w:lang w:val="en-US" w:eastAsia="zh-CN"/>
        </w:rPr>
        <w:t>箱内设备</w:t>
      </w:r>
      <w:r>
        <w:rPr>
          <w:rFonts w:hint="eastAsia" w:ascii="宋体" w:hAnsi="宋体" w:eastAsia="宋体" w:cs="宋体"/>
          <w:caps w:val="0"/>
          <w:smallCaps w:val="0"/>
          <w:color w:val="auto"/>
          <w:sz w:val="21"/>
          <w:szCs w:val="21"/>
          <w:highlight w:val="none"/>
          <w:u w:val="single"/>
        </w:rPr>
        <w:t>名称、数量、价格</w:t>
      </w:r>
      <w:r>
        <w:rPr>
          <w:rFonts w:hint="eastAsia" w:ascii="宋体" w:hAnsi="宋体" w:eastAsia="宋体" w:cs="宋体"/>
          <w:caps w:val="0"/>
          <w:smallCaps w:val="0"/>
          <w:color w:val="auto"/>
          <w:sz w:val="21"/>
          <w:szCs w:val="21"/>
          <w:highlight w:val="none"/>
          <w:u w:val="single"/>
          <w:lang w:val="en-US" w:eastAsia="zh-CN"/>
        </w:rPr>
        <w:t>等</w:t>
      </w:r>
      <w:r>
        <w:rPr>
          <w:rFonts w:hint="eastAsia" w:ascii="宋体" w:hAnsi="宋体" w:eastAsia="宋体" w:cs="宋体"/>
          <w:caps w:val="0"/>
          <w:smallCaps w:val="0"/>
          <w:color w:val="auto"/>
          <w:sz w:val="21"/>
          <w:szCs w:val="21"/>
          <w:highlight w:val="none"/>
          <w:u w:val="single"/>
        </w:rPr>
        <w:t>详细信息）</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运输方式</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预计</w:t>
      </w:r>
      <w:r>
        <w:rPr>
          <w:rFonts w:hint="eastAsia" w:ascii="宋体" w:hAnsi="宋体" w:eastAsia="宋体" w:cs="宋体"/>
          <w:caps w:val="0"/>
          <w:smallCaps w:val="0"/>
          <w:color w:val="auto"/>
          <w:sz w:val="21"/>
          <w:szCs w:val="21"/>
          <w:highlight w:val="none"/>
          <w:u w:val="single"/>
          <w:lang w:val="en-US" w:eastAsia="zh-CN"/>
        </w:rPr>
        <w:t>到货</w:t>
      </w:r>
      <w:r>
        <w:rPr>
          <w:rFonts w:hint="eastAsia" w:ascii="宋体" w:hAnsi="宋体" w:eastAsia="宋体" w:cs="宋体"/>
          <w:caps w:val="0"/>
          <w:smallCaps w:val="0"/>
          <w:color w:val="auto"/>
          <w:sz w:val="21"/>
          <w:szCs w:val="21"/>
          <w:highlight w:val="none"/>
          <w:u w:val="single"/>
        </w:rPr>
        <w:t>日期</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车（船）号、运单号</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合同设备在运输、装卸、保管中的注意事项</w:t>
      </w:r>
      <w:r>
        <w:rPr>
          <w:rFonts w:hint="eastAsia" w:ascii="宋体" w:hAnsi="宋体" w:eastAsia="宋体" w:cs="宋体"/>
          <w:caps w:val="0"/>
          <w:smallCaps w:val="0"/>
          <w:color w:val="auto"/>
          <w:szCs w:val="21"/>
          <w:highlight w:val="none"/>
          <w:u w:val="single"/>
        </w:rPr>
        <w:t>等</w:t>
      </w:r>
      <w:r>
        <w:rPr>
          <w:rFonts w:hint="eastAsia" w:ascii="宋体" w:hAnsi="宋体" w:eastAsia="宋体" w:cs="宋体"/>
          <w:caps w:val="0"/>
          <w:smallCaps w:val="0"/>
          <w:color w:val="auto"/>
          <w:szCs w:val="21"/>
          <w:highlight w:val="none"/>
          <w:u w:val="single"/>
          <w:lang w:val="en-US" w:eastAsia="zh-CN"/>
        </w:rPr>
        <w:t>内容。</w:t>
      </w:r>
    </w:p>
    <w:p w14:paraId="5A9C9996">
      <w:pPr>
        <w:tabs>
          <w:tab w:val="left" w:pos="1134"/>
        </w:tabs>
        <w:spacing w:line="360" w:lineRule="auto"/>
        <w:ind w:firstLine="420" w:firstLineChars="200"/>
        <w:rPr>
          <w:rFonts w:ascii="宋体" w:hAnsi="宋体"/>
          <w:szCs w:val="21"/>
        </w:rPr>
      </w:pPr>
      <w:r>
        <w:rPr>
          <w:rFonts w:hint="eastAsia" w:ascii="宋体" w:hAnsi="宋体"/>
          <w:szCs w:val="21"/>
        </w:rPr>
        <w:t>5.3.4</w:t>
      </w:r>
      <w:r>
        <w:rPr>
          <w:rFonts w:ascii="宋体" w:hAnsi="宋体"/>
          <w:szCs w:val="21"/>
        </w:rPr>
        <w:t xml:space="preserve"> </w:t>
      </w:r>
      <w:r>
        <w:rPr>
          <w:rFonts w:hint="eastAsia" w:ascii="宋体" w:hAnsi="宋体"/>
          <w:szCs w:val="21"/>
        </w:rPr>
        <w:t>超大超重包装的约定：</w:t>
      </w:r>
      <w:r>
        <w:rPr>
          <w:rFonts w:hint="eastAsia" w:ascii="宋体" w:hAnsi="宋体" w:eastAsia="宋体" w:cs="宋体"/>
          <w:caps w:val="0"/>
          <w:smallCaps w:val="0"/>
          <w:color w:val="000000"/>
          <w:sz w:val="21"/>
          <w:szCs w:val="21"/>
          <w:highlight w:val="none"/>
          <w:u w:val="single"/>
          <w:lang w:val="en-US" w:eastAsia="zh-CN"/>
        </w:rPr>
        <w:t>按照国家规定执行，相关费用由卖方承担</w:t>
      </w:r>
      <w:r>
        <w:rPr>
          <w:rFonts w:hint="eastAsia" w:ascii="宋体" w:hAnsi="宋体"/>
          <w:szCs w:val="21"/>
        </w:rPr>
        <w:t>。</w:t>
      </w:r>
    </w:p>
    <w:p w14:paraId="39F3E77A">
      <w:pPr>
        <w:tabs>
          <w:tab w:val="left" w:pos="1134"/>
        </w:tabs>
        <w:spacing w:line="360" w:lineRule="auto"/>
        <w:ind w:firstLine="420" w:firstLineChars="200"/>
        <w:rPr>
          <w:rFonts w:ascii="宋体" w:hAnsi="宋体"/>
          <w:szCs w:val="21"/>
        </w:rPr>
      </w:pPr>
      <w:r>
        <w:rPr>
          <w:rFonts w:hint="eastAsia" w:ascii="宋体" w:hAnsi="宋体"/>
          <w:szCs w:val="21"/>
        </w:rPr>
        <w:t>5</w:t>
      </w:r>
      <w:r>
        <w:rPr>
          <w:rFonts w:ascii="宋体" w:hAnsi="宋体"/>
          <w:szCs w:val="21"/>
        </w:rPr>
        <w:t xml:space="preserve">.4 </w:t>
      </w:r>
      <w:r>
        <w:rPr>
          <w:rFonts w:hint="eastAsia" w:ascii="宋体" w:hAnsi="宋体"/>
          <w:szCs w:val="21"/>
        </w:rPr>
        <w:t>交付</w:t>
      </w:r>
    </w:p>
    <w:p w14:paraId="7DEC3D8B">
      <w:pPr>
        <w:tabs>
          <w:tab w:val="left" w:pos="1134"/>
        </w:tabs>
        <w:spacing w:line="360" w:lineRule="auto"/>
        <w:ind w:firstLine="420"/>
        <w:jc w:val="left"/>
        <w:rPr>
          <w:rFonts w:hint="eastAsia" w:ascii="宋体" w:hAnsi="宋体"/>
          <w:szCs w:val="21"/>
        </w:rPr>
      </w:pPr>
      <w:r>
        <w:rPr>
          <w:rFonts w:hint="eastAsia" w:ascii="宋体" w:hAnsi="宋体"/>
          <w:szCs w:val="21"/>
        </w:rPr>
        <w:t>5</w:t>
      </w:r>
      <w:r>
        <w:rPr>
          <w:rFonts w:ascii="宋体" w:hAnsi="宋体"/>
          <w:szCs w:val="21"/>
        </w:rPr>
        <w:t>.4.1交付合同</w:t>
      </w:r>
      <w:r>
        <w:rPr>
          <w:rFonts w:hint="eastAsia" w:ascii="宋体" w:hAnsi="宋体"/>
          <w:szCs w:val="21"/>
        </w:rPr>
        <w:t>设备的约定：</w:t>
      </w:r>
    </w:p>
    <w:p w14:paraId="72EE9035">
      <w:pPr>
        <w:tabs>
          <w:tab w:val="left" w:pos="1134"/>
        </w:tabs>
        <w:spacing w:line="360" w:lineRule="auto"/>
        <w:ind w:firstLine="420"/>
        <w:jc w:val="left"/>
        <w:rPr>
          <w:rFonts w:hint="eastAsia" w:ascii="宋体" w:hAnsi="宋体" w:eastAsia="宋体" w:cs="宋体"/>
          <w:caps w:val="0"/>
          <w:smallCaps w:val="0"/>
          <w:color w:val="000000"/>
          <w:sz w:val="21"/>
          <w:szCs w:val="21"/>
          <w:highlight w:val="none"/>
          <w:u w:val="single"/>
          <w:lang w:val="en-US" w:eastAsia="zh-CN"/>
        </w:rPr>
      </w:pPr>
      <w:r>
        <w:rPr>
          <w:rFonts w:hint="eastAsia" w:ascii="宋体" w:hAnsi="宋体" w:eastAsia="宋体" w:cs="宋体"/>
          <w:caps w:val="0"/>
          <w:smallCaps w:val="0"/>
          <w:color w:val="000000"/>
          <w:sz w:val="21"/>
          <w:szCs w:val="21"/>
          <w:highlight w:val="none"/>
          <w:u w:val="single"/>
          <w:lang w:val="en-US" w:eastAsia="zh-CN"/>
        </w:rPr>
        <w:t>合同约定的设备至竣工验收合格前，期间货物（设备)损毁、灭失，以及导致合同当事方及第三方的人身、财产损失都由卖方承担全部责任，当竣工验收合格后设备的所有权及其他责任自动转移到买方。</w:t>
      </w:r>
    </w:p>
    <w:p w14:paraId="53CD3B6D">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val="en-US" w:eastAsia="zh-CN"/>
        </w:rPr>
        <w:t>在</w:t>
      </w:r>
      <w:r>
        <w:rPr>
          <w:rFonts w:hint="eastAsia" w:ascii="宋体" w:hAnsi="宋体" w:eastAsia="宋体" w:cs="宋体"/>
          <w:caps w:val="0"/>
          <w:smallCaps w:val="0"/>
          <w:color w:val="auto"/>
          <w:sz w:val="21"/>
          <w:szCs w:val="21"/>
          <w:highlight w:val="none"/>
          <w:u w:val="single"/>
        </w:rPr>
        <w:t>合同设备交付的同时</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还应</w:t>
      </w:r>
      <w:r>
        <w:rPr>
          <w:rFonts w:hint="eastAsia" w:ascii="宋体" w:hAnsi="宋体" w:eastAsia="宋体" w:cs="宋体"/>
          <w:caps w:val="0"/>
          <w:smallCaps w:val="0"/>
          <w:color w:val="auto"/>
          <w:sz w:val="21"/>
          <w:szCs w:val="21"/>
          <w:highlight w:val="none"/>
          <w:u w:val="single"/>
        </w:rPr>
        <w:t>向</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提供以下资料：</w:t>
      </w:r>
    </w:p>
    <w:p w14:paraId="0D8E71B5">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single"/>
        </w:rPr>
        <w:t>（1）合同设备原产地证明，一式2份；</w:t>
      </w:r>
    </w:p>
    <w:p w14:paraId="4062A6EC">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single"/>
        </w:rPr>
        <w:t>（2）合同设备质量合格证明，一式2份；</w:t>
      </w:r>
    </w:p>
    <w:p w14:paraId="2D1CEFCE">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auto"/>
          <w:sz w:val="21"/>
          <w:szCs w:val="21"/>
          <w:highlight w:val="none"/>
          <w:u w:val="single"/>
        </w:rPr>
      </w:pPr>
      <w:r>
        <w:rPr>
          <w:rFonts w:hint="eastAsia" w:ascii="宋体" w:hAnsi="宋体" w:eastAsia="宋体" w:cs="宋体"/>
          <w:caps w:val="0"/>
          <w:smallCaps w:val="0"/>
          <w:color w:val="auto"/>
          <w:sz w:val="21"/>
          <w:szCs w:val="21"/>
          <w:highlight w:val="none"/>
          <w:u w:val="single"/>
        </w:rPr>
        <w:t>（</w:t>
      </w:r>
      <w:r>
        <w:rPr>
          <w:rFonts w:hint="eastAsia" w:ascii="宋体" w:hAnsi="宋体" w:eastAsia="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rPr>
        <w:t>）合同设备出厂检验纪录，一式2份；</w:t>
      </w:r>
    </w:p>
    <w:p w14:paraId="32FC3E7A">
      <w:pPr>
        <w:tabs>
          <w:tab w:val="left" w:pos="1134"/>
        </w:tabs>
        <w:spacing w:line="360" w:lineRule="auto"/>
        <w:ind w:firstLine="420"/>
        <w:jc w:val="left"/>
        <w:rPr>
          <w:rFonts w:hint="eastAsia" w:ascii="宋体" w:hAnsi="宋体" w:eastAsia="宋体" w:cs="宋体"/>
          <w:caps w:val="0"/>
          <w:smallCaps w:val="0"/>
          <w:color w:val="000000"/>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rPr>
        <w:t>（</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rPr>
        <w:t>）合同设备</w:t>
      </w:r>
      <w:r>
        <w:rPr>
          <w:rFonts w:hint="eastAsia" w:ascii="宋体" w:hAnsi="宋体" w:cs="宋体"/>
          <w:caps w:val="0"/>
          <w:smallCaps w:val="0"/>
          <w:color w:val="auto"/>
          <w:sz w:val="21"/>
          <w:szCs w:val="21"/>
          <w:highlight w:val="none"/>
          <w:u w:val="single"/>
          <w:lang w:val="en-US" w:eastAsia="zh-CN"/>
        </w:rPr>
        <w:t>验收</w:t>
      </w:r>
      <w:r>
        <w:rPr>
          <w:rFonts w:hint="eastAsia" w:ascii="宋体" w:hAnsi="宋体" w:eastAsia="宋体" w:cs="宋体"/>
          <w:caps w:val="0"/>
          <w:smallCaps w:val="0"/>
          <w:color w:val="auto"/>
          <w:sz w:val="21"/>
          <w:szCs w:val="21"/>
          <w:highlight w:val="none"/>
          <w:u w:val="single"/>
        </w:rPr>
        <w:t>报告，一式2份。</w:t>
      </w:r>
    </w:p>
    <w:p w14:paraId="2BF47AF5">
      <w:pPr>
        <w:tabs>
          <w:tab w:val="left" w:pos="1134"/>
        </w:tabs>
        <w:spacing w:line="360" w:lineRule="auto"/>
        <w:ind w:firstLine="420"/>
        <w:rPr>
          <w:rFonts w:hint="eastAsia" w:ascii="宋体" w:hAnsi="宋体"/>
          <w:szCs w:val="21"/>
        </w:rPr>
      </w:pPr>
      <w:r>
        <w:rPr>
          <w:rFonts w:hint="eastAsia" w:ascii="宋体" w:hAnsi="宋体"/>
          <w:szCs w:val="21"/>
        </w:rPr>
        <w:t>5</w:t>
      </w:r>
      <w:r>
        <w:rPr>
          <w:rFonts w:ascii="宋体" w:hAnsi="宋体"/>
          <w:szCs w:val="21"/>
        </w:rPr>
        <w:t>.4.3</w:t>
      </w:r>
      <w:r>
        <w:rPr>
          <w:rFonts w:hint="eastAsia" w:ascii="宋体" w:hAnsi="宋体"/>
          <w:szCs w:val="21"/>
        </w:rPr>
        <w:t xml:space="preserve"> </w:t>
      </w:r>
      <w:r>
        <w:rPr>
          <w:rFonts w:hint="eastAsia" w:ascii="宋体" w:hAnsi="宋体" w:cs="宋体"/>
          <w:szCs w:val="21"/>
        </w:rPr>
        <w:t>卖方应根据本合同的要求向买方提供与合同设备相关的技术资料，技术资料的范围和交付进度详见本合同附件一。如技术资料不满足合同的要求或交付不符合合同规定的交付进度，卖方应承担违约责任。</w:t>
      </w:r>
      <w:r>
        <w:rPr>
          <w:rFonts w:ascii="宋体" w:hAnsi="宋体"/>
          <w:szCs w:val="21"/>
        </w:rPr>
        <w:t>技术资料短缺</w:t>
      </w:r>
      <w:r>
        <w:rPr>
          <w:rFonts w:hint="eastAsia" w:ascii="宋体" w:hAnsi="宋体"/>
          <w:szCs w:val="21"/>
        </w:rPr>
        <w:t>和（或）</w:t>
      </w:r>
      <w:r>
        <w:rPr>
          <w:rFonts w:ascii="宋体" w:hAnsi="宋体"/>
          <w:szCs w:val="21"/>
        </w:rPr>
        <w:t>损坏</w:t>
      </w:r>
      <w:r>
        <w:rPr>
          <w:rFonts w:hint="eastAsia" w:ascii="宋体" w:hAnsi="宋体"/>
          <w:szCs w:val="21"/>
        </w:rPr>
        <w:t>的约定：</w:t>
      </w:r>
    </w:p>
    <w:p w14:paraId="4C4C4791">
      <w:pPr>
        <w:tabs>
          <w:tab w:val="left" w:pos="1134"/>
        </w:tabs>
        <w:spacing w:line="360" w:lineRule="auto"/>
        <w:ind w:firstLine="420"/>
        <w:rPr>
          <w:rFonts w:hint="eastAsia" w:ascii="宋体" w:hAnsi="宋体" w:eastAsia="宋体" w:cs="宋体"/>
          <w:caps w:val="0"/>
          <w:smallCaps w:val="0"/>
          <w:color w:val="000000"/>
          <w:szCs w:val="21"/>
          <w:highlight w:val="none"/>
          <w:u w:val="single"/>
          <w:lang w:eastAsia="zh-CN"/>
        </w:rPr>
      </w:pPr>
      <w:r>
        <w:rPr>
          <w:rFonts w:hint="eastAsia" w:ascii="宋体" w:hAnsi="宋体" w:eastAsia="宋体" w:cs="宋体"/>
          <w:caps w:val="0"/>
          <w:smallCaps w:val="0"/>
          <w:color w:val="000000"/>
          <w:sz w:val="21"/>
          <w:szCs w:val="21"/>
          <w:highlight w:val="none"/>
          <w:u w:val="single"/>
          <w:lang w:val="en-US" w:eastAsia="zh-CN"/>
        </w:rPr>
        <w:t>卖方应在</w:t>
      </w:r>
      <w:r>
        <w:rPr>
          <w:rFonts w:hint="eastAsia" w:ascii="宋体" w:hAnsi="宋体" w:eastAsia="宋体" w:cs="宋体"/>
          <w:caps w:val="0"/>
          <w:smallCaps w:val="0"/>
          <w:color w:val="000000"/>
          <w:szCs w:val="21"/>
          <w:highlight w:val="none"/>
          <w:u w:val="single"/>
        </w:rPr>
        <w:t>买方收货</w:t>
      </w:r>
      <w:r>
        <w:rPr>
          <w:rFonts w:hint="eastAsia" w:ascii="宋体" w:hAnsi="宋体" w:eastAsia="宋体" w:cs="宋体"/>
          <w:caps w:val="0"/>
          <w:smallCaps w:val="0"/>
          <w:color w:val="000000"/>
          <w:szCs w:val="21"/>
          <w:highlight w:val="none"/>
          <w:u w:val="single"/>
          <w:lang w:val="en-US" w:eastAsia="zh-CN"/>
        </w:rPr>
        <w:t>前</w:t>
      </w:r>
      <w:r>
        <w:rPr>
          <w:rFonts w:hint="eastAsia" w:ascii="宋体" w:hAnsi="宋体" w:eastAsia="宋体" w:cs="宋体"/>
          <w:caps w:val="0"/>
          <w:smallCaps w:val="0"/>
          <w:color w:val="000000"/>
          <w:szCs w:val="21"/>
          <w:highlight w:val="none"/>
          <w:u w:val="single"/>
        </w:rPr>
        <w:t xml:space="preserve"> 7个工作日</w:t>
      </w:r>
      <w:r>
        <w:rPr>
          <w:rFonts w:hint="eastAsia" w:ascii="宋体" w:hAnsi="宋体" w:eastAsia="宋体" w:cs="宋体"/>
          <w:caps w:val="0"/>
          <w:smallCaps w:val="0"/>
          <w:color w:val="000000"/>
          <w:szCs w:val="21"/>
          <w:highlight w:val="none"/>
          <w:u w:val="single"/>
          <w:lang w:val="en-US" w:eastAsia="zh-CN"/>
        </w:rPr>
        <w:t>内将相关技术资料书面交买方</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买方对</w:t>
      </w:r>
      <w:r>
        <w:rPr>
          <w:rFonts w:hint="eastAsia" w:ascii="宋体" w:hAnsi="宋体" w:eastAsia="宋体" w:cs="宋体"/>
          <w:caps w:val="0"/>
          <w:smallCaps w:val="0"/>
          <w:color w:val="000000"/>
          <w:szCs w:val="21"/>
          <w:highlight w:val="none"/>
          <w:u w:val="single"/>
        </w:rPr>
        <w:t>技术资料</w:t>
      </w:r>
      <w:r>
        <w:rPr>
          <w:rFonts w:hint="eastAsia" w:ascii="宋体" w:hAnsi="宋体" w:eastAsia="宋体" w:cs="宋体"/>
          <w:caps w:val="0"/>
          <w:smallCaps w:val="0"/>
          <w:color w:val="000000"/>
          <w:szCs w:val="21"/>
          <w:highlight w:val="none"/>
          <w:u w:val="single"/>
          <w:lang w:val="en-US" w:eastAsia="zh-CN"/>
        </w:rPr>
        <w:t>审查后</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可</w:t>
      </w:r>
      <w:r>
        <w:rPr>
          <w:rFonts w:hint="eastAsia" w:ascii="宋体" w:hAnsi="宋体" w:eastAsia="宋体" w:cs="宋体"/>
          <w:caps w:val="0"/>
          <w:smallCaps w:val="0"/>
          <w:color w:val="000000"/>
          <w:szCs w:val="21"/>
          <w:highlight w:val="none"/>
          <w:u w:val="single"/>
        </w:rPr>
        <w:t>以书面形式（如“资料短缺通知单”）通知卖方短缺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情况</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卖方在收到通知后，必须在</w:t>
      </w:r>
      <w:r>
        <w:rPr>
          <w:rFonts w:hint="eastAsia" w:ascii="宋体" w:hAnsi="宋体" w:eastAsia="宋体" w:cs="宋体"/>
          <w:caps w:val="0"/>
          <w:smallCaps w:val="0"/>
          <w:color w:val="000000"/>
          <w:szCs w:val="21"/>
          <w:highlight w:val="none"/>
          <w:u w:val="single"/>
          <w:lang w:eastAsia="zh-CN"/>
        </w:rPr>
        <w:t>4</w:t>
      </w:r>
      <w:r>
        <w:rPr>
          <w:rFonts w:hint="eastAsia" w:ascii="宋体" w:hAnsi="宋体" w:eastAsia="宋体" w:cs="宋体"/>
          <w:caps w:val="0"/>
          <w:smallCaps w:val="0"/>
          <w:color w:val="000000"/>
          <w:szCs w:val="21"/>
          <w:highlight w:val="none"/>
          <w:u w:val="single"/>
          <w:lang w:val="en-US" w:eastAsia="zh-CN"/>
        </w:rPr>
        <w:t>8小时内</w:t>
      </w:r>
      <w:r>
        <w:rPr>
          <w:rFonts w:hint="eastAsia" w:ascii="宋体" w:hAnsi="宋体" w:eastAsia="宋体" w:cs="宋体"/>
          <w:caps w:val="0"/>
          <w:smallCaps w:val="0"/>
          <w:color w:val="000000"/>
          <w:szCs w:val="21"/>
          <w:highlight w:val="none"/>
          <w:u w:val="single"/>
        </w:rPr>
        <w:t>确认，并无条件免费补寄所短缺</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损坏</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的资料</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rPr>
        <w:t>所有因补寄产生的费用（如快递费、关税等）</w:t>
      </w:r>
      <w:r>
        <w:rPr>
          <w:rFonts w:hint="eastAsia" w:ascii="宋体" w:hAnsi="宋体" w:eastAsia="宋体" w:cs="宋体"/>
          <w:caps w:val="0"/>
          <w:smallCaps w:val="0"/>
          <w:color w:val="000000"/>
          <w:szCs w:val="21"/>
          <w:highlight w:val="none"/>
          <w:u w:val="single"/>
          <w:lang w:val="en-US" w:eastAsia="zh-CN"/>
        </w:rPr>
        <w:t>及工期损失</w:t>
      </w:r>
      <w:r>
        <w:rPr>
          <w:rFonts w:hint="eastAsia" w:ascii="宋体" w:hAnsi="宋体" w:eastAsia="宋体" w:cs="宋体"/>
          <w:caps w:val="0"/>
          <w:smallCaps w:val="0"/>
          <w:color w:val="000000"/>
          <w:szCs w:val="21"/>
          <w:highlight w:val="none"/>
          <w:u w:val="single"/>
        </w:rPr>
        <w:t>均由卖方承担</w:t>
      </w:r>
      <w:r>
        <w:rPr>
          <w:rFonts w:hint="eastAsia" w:ascii="宋体" w:hAnsi="宋体" w:eastAsia="宋体" w:cs="宋体"/>
          <w:caps w:val="0"/>
          <w:smallCaps w:val="0"/>
          <w:color w:val="000000"/>
          <w:szCs w:val="21"/>
          <w:highlight w:val="none"/>
          <w:u w:val="single"/>
          <w:lang w:eastAsia="zh-CN"/>
        </w:rPr>
        <w:t>。</w:t>
      </w:r>
    </w:p>
    <w:p w14:paraId="5E2CC1C3">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val="en-US" w:eastAsia="zh-CN"/>
        </w:rPr>
        <w:t>（1）卖方应确保其提供的技术资料完整、正确、整洁、书写明确、符合本合同要求，卖方对技术资料的充分性、完整性和准确性负责。如果技术资料包含有非中文内容，买方有权要求卖方提供中文译本。如果卖方提供技术资料中文译本的，卖方应对翻译文本的准确性负责。</w:t>
      </w:r>
    </w:p>
    <w:p w14:paraId="6073E731">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val="en-US" w:eastAsia="zh-CN"/>
        </w:rPr>
        <w:t>（2）买方应收到技术资料后 7 日内完成对该批技术资料进行审查，并向卖方提供审核意见。</w:t>
      </w:r>
    </w:p>
    <w:p w14:paraId="4D3B64B6">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u w:val="single"/>
          <w:lang w:val="en-US" w:eastAsia="zh-CN"/>
        </w:rPr>
        <w:t>（3）卖方收到买方的审核意见后，应于 7日内完成对技术资料修改，并再次提交买方审查，直至获得买方认可。如果卖方未在  2 日内对买方审查意见予以答复，视为卖方全部接受买方审查意见。</w:t>
      </w:r>
    </w:p>
    <w:p w14:paraId="2DCDE968">
      <w:pPr>
        <w:pStyle w:val="97"/>
        <w:keepNext w:val="0"/>
        <w:keepLines w:val="0"/>
        <w:tabs>
          <w:tab w:val="left" w:pos="567"/>
        </w:tabs>
        <w:spacing w:before="156" w:after="156"/>
        <w:rPr>
          <w:rFonts w:eastAsia="宋体" w:cs="Times New Roman"/>
          <w:b/>
          <w:bCs/>
          <w:sz w:val="32"/>
          <w:szCs w:val="32"/>
        </w:rPr>
      </w:pPr>
      <w:bookmarkStart w:id="800" w:name="_Toc531098986"/>
      <w:bookmarkStart w:id="801" w:name="_Toc10787"/>
      <w:bookmarkStart w:id="802" w:name="_Toc28845"/>
      <w:bookmarkStart w:id="803" w:name="_Toc2881830"/>
      <w:bookmarkStart w:id="804" w:name="_Toc22530"/>
      <w:bookmarkStart w:id="805" w:name="_Toc3310"/>
      <w:bookmarkStart w:id="806" w:name="_Toc11690"/>
      <w:bookmarkStart w:id="807" w:name="_Toc19494"/>
      <w:r>
        <w:rPr>
          <w:rFonts w:hint="eastAsia" w:eastAsia="宋体" w:cs="Times New Roman"/>
          <w:b/>
          <w:bCs/>
          <w:sz w:val="32"/>
          <w:szCs w:val="32"/>
        </w:rPr>
        <w:t>6.</w:t>
      </w:r>
      <w:bookmarkEnd w:id="800"/>
      <w:r>
        <w:rPr>
          <w:rFonts w:hint="eastAsia" w:eastAsia="宋体" w:cs="Times New Roman"/>
          <w:b/>
          <w:bCs/>
          <w:sz w:val="32"/>
          <w:szCs w:val="32"/>
        </w:rPr>
        <w:t xml:space="preserve"> 开箱检验、安装、调试、考核、验收</w:t>
      </w:r>
      <w:bookmarkEnd w:id="801"/>
      <w:bookmarkEnd w:id="802"/>
      <w:bookmarkEnd w:id="803"/>
      <w:bookmarkEnd w:id="804"/>
      <w:bookmarkEnd w:id="805"/>
      <w:bookmarkEnd w:id="806"/>
      <w:bookmarkEnd w:id="807"/>
    </w:p>
    <w:p w14:paraId="04A69A51">
      <w:pPr>
        <w:tabs>
          <w:tab w:val="left" w:pos="1134"/>
        </w:tabs>
        <w:spacing w:line="360" w:lineRule="auto"/>
        <w:ind w:firstLine="420" w:firstLineChars="200"/>
        <w:rPr>
          <w:rFonts w:ascii="宋体" w:hAnsi="宋体"/>
          <w:szCs w:val="21"/>
        </w:rPr>
      </w:pPr>
      <w:r>
        <w:rPr>
          <w:rFonts w:ascii="宋体" w:hAnsi="宋体"/>
          <w:szCs w:val="21"/>
        </w:rPr>
        <w:t xml:space="preserve">6.1 </w:t>
      </w:r>
      <w:r>
        <w:rPr>
          <w:rFonts w:hint="eastAsia" w:ascii="宋体" w:hAnsi="宋体"/>
          <w:szCs w:val="21"/>
        </w:rPr>
        <w:t>开箱检验</w:t>
      </w:r>
    </w:p>
    <w:p w14:paraId="30FCCE03">
      <w:pPr>
        <w:tabs>
          <w:tab w:val="left" w:pos="1134"/>
        </w:tabs>
        <w:spacing w:line="360" w:lineRule="auto"/>
        <w:ind w:firstLine="420" w:firstLineChars="200"/>
        <w:rPr>
          <w:rFonts w:ascii="宋体" w:hAnsi="宋体"/>
          <w:szCs w:val="21"/>
        </w:rPr>
      </w:pPr>
      <w:r>
        <w:rPr>
          <w:rFonts w:ascii="宋体" w:hAnsi="宋体"/>
          <w:szCs w:val="21"/>
        </w:rPr>
        <w:t xml:space="preserve">6.1.1 </w:t>
      </w:r>
      <w:r>
        <w:rPr>
          <w:rFonts w:hint="eastAsia" w:ascii="宋体" w:hAnsi="宋体"/>
          <w:szCs w:val="21"/>
        </w:rPr>
        <w:t>开箱检验时间：</w:t>
      </w:r>
    </w:p>
    <w:p w14:paraId="15931D4A">
      <w:pPr>
        <w:tabs>
          <w:tab w:val="left" w:pos="1134"/>
        </w:tabs>
        <w:spacing w:line="360" w:lineRule="auto"/>
        <w:ind w:firstLine="420" w:firstLineChars="200"/>
        <w:rPr>
          <w:rFonts w:ascii="宋体" w:hAnsi="宋体"/>
          <w:szCs w:val="21"/>
        </w:rPr>
      </w:pPr>
      <w:r>
        <w:rPr>
          <w:rFonts w:hint="eastAsia" w:ascii="宋体" w:hAnsi="宋体"/>
          <w:szCs w:val="21"/>
        </w:rPr>
        <w:t>具体时间要求：</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到达现场</w:t>
      </w:r>
      <w:r>
        <w:rPr>
          <w:rFonts w:hint="eastAsia" w:ascii="宋体" w:hAnsi="宋体" w:eastAsia="宋体" w:cs="宋体"/>
          <w:caps w:val="0"/>
          <w:smallCaps w:val="0"/>
          <w:color w:val="auto"/>
          <w:sz w:val="21"/>
          <w:szCs w:val="21"/>
          <w:highlight w:val="none"/>
          <w:u w:val="single"/>
        </w:rPr>
        <w:t>后</w:t>
      </w:r>
      <w:r>
        <w:rPr>
          <w:rFonts w:hint="eastAsia" w:ascii="宋体" w:hAnsi="宋体" w:eastAsia="宋体" w:cs="宋体"/>
          <w:caps w:val="0"/>
          <w:smallCaps w:val="0"/>
          <w:color w:val="auto"/>
          <w:sz w:val="21"/>
          <w:szCs w:val="21"/>
          <w:highlight w:val="none"/>
          <w:u w:val="single"/>
          <w:lang w:val="en-US" w:eastAsia="zh-CN"/>
        </w:rPr>
        <w:t>7日</w:t>
      </w:r>
      <w:r>
        <w:rPr>
          <w:rFonts w:hint="eastAsia" w:ascii="宋体" w:hAnsi="宋体" w:eastAsia="宋体" w:cs="宋体"/>
          <w:caps w:val="0"/>
          <w:smallCaps w:val="0"/>
          <w:color w:val="auto"/>
          <w:sz w:val="21"/>
          <w:szCs w:val="21"/>
          <w:highlight w:val="none"/>
          <w:u w:val="single"/>
        </w:rPr>
        <w:t>内</w:t>
      </w:r>
      <w:r>
        <w:rPr>
          <w:rFonts w:hint="eastAsia" w:ascii="宋体" w:hAnsi="宋体" w:cs="宋体"/>
          <w:szCs w:val="21"/>
        </w:rPr>
        <w:t>。</w:t>
      </w:r>
    </w:p>
    <w:p w14:paraId="2D9B862D">
      <w:pPr>
        <w:tabs>
          <w:tab w:val="left" w:pos="1134"/>
        </w:tabs>
        <w:spacing w:line="360" w:lineRule="auto"/>
        <w:ind w:firstLine="420" w:firstLineChars="200"/>
        <w:rPr>
          <w:rFonts w:ascii="宋体" w:hAnsi="宋体"/>
          <w:szCs w:val="21"/>
        </w:rPr>
      </w:pPr>
      <w:r>
        <w:rPr>
          <w:rFonts w:ascii="宋体" w:hAnsi="宋体"/>
          <w:szCs w:val="21"/>
        </w:rPr>
        <w:t>6.1.</w:t>
      </w:r>
      <w:r>
        <w:rPr>
          <w:rFonts w:hint="eastAsia" w:ascii="宋体" w:hAnsi="宋体"/>
          <w:szCs w:val="21"/>
        </w:rPr>
        <w:t>2</w:t>
      </w:r>
      <w:r>
        <w:rPr>
          <w:rFonts w:ascii="宋体" w:hAnsi="宋体"/>
          <w:szCs w:val="21"/>
        </w:rPr>
        <w:t xml:space="preserve"> </w:t>
      </w:r>
      <w:r>
        <w:rPr>
          <w:rFonts w:hint="eastAsia" w:ascii="宋体" w:hAnsi="宋体"/>
          <w:szCs w:val="21"/>
        </w:rPr>
        <w:t>开箱检验地点的约定：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乌江涪陵榨菜绿色智能化生产基地（一期）项目所在地</w:t>
      </w:r>
      <w:r>
        <w:rPr>
          <w:rFonts w:hint="eastAsia" w:ascii="宋体" w:hAnsi="宋体"/>
          <w:szCs w:val="21"/>
          <w:u w:val="single"/>
        </w:rPr>
        <w:t xml:space="preserve"> </w:t>
      </w:r>
      <w:r>
        <w:rPr>
          <w:rFonts w:hint="eastAsia" w:ascii="宋体" w:hAnsi="宋体"/>
          <w:szCs w:val="21"/>
        </w:rPr>
        <w:t>。</w:t>
      </w:r>
    </w:p>
    <w:p w14:paraId="2007CFAF">
      <w:pPr>
        <w:tabs>
          <w:tab w:val="left" w:pos="1134"/>
        </w:tabs>
        <w:spacing w:line="360" w:lineRule="auto"/>
        <w:ind w:firstLine="420" w:firstLineChars="200"/>
        <w:rPr>
          <w:rFonts w:hint="eastAsia" w:ascii="宋体" w:hAnsi="宋体"/>
          <w:szCs w:val="21"/>
        </w:rPr>
      </w:pPr>
      <w:r>
        <w:rPr>
          <w:rFonts w:ascii="宋体" w:hAnsi="宋体"/>
          <w:szCs w:val="21"/>
        </w:rPr>
        <w:t>6.1.</w:t>
      </w:r>
      <w:r>
        <w:rPr>
          <w:rFonts w:hint="eastAsia" w:ascii="宋体" w:hAnsi="宋体"/>
          <w:szCs w:val="21"/>
        </w:rPr>
        <w:t>6</w:t>
      </w:r>
      <w:r>
        <w:rPr>
          <w:rFonts w:ascii="宋体" w:hAnsi="宋体"/>
          <w:szCs w:val="21"/>
        </w:rPr>
        <w:t xml:space="preserve"> </w:t>
      </w:r>
      <w:r>
        <w:rPr>
          <w:rFonts w:hint="eastAsia" w:ascii="宋体" w:hAnsi="宋体"/>
          <w:szCs w:val="21"/>
        </w:rPr>
        <w:t>合同设备交付后进行的开箱检验中发现相关问题时的处理方式约定：</w:t>
      </w:r>
    </w:p>
    <w:p w14:paraId="1AE61FD6">
      <w:pPr>
        <w:keepNext w:val="0"/>
        <w:keepLines w:val="0"/>
        <w:pageBreakBefore w:val="0"/>
        <w:widowControl w:val="0"/>
        <w:tabs>
          <w:tab w:val="left" w:pos="1134"/>
        </w:tabs>
        <w:kinsoku/>
        <w:wordWrap/>
        <w:overflowPunct/>
        <w:topLinePunct w:val="0"/>
        <w:autoSpaceDE/>
        <w:autoSpaceDN/>
        <w:bidi w:val="0"/>
        <w:adjustRightInd/>
        <w:snapToGrid/>
        <w:spacing w:line="360" w:lineRule="auto"/>
        <w:ind w:firstLine="422" w:firstLineChars="200"/>
        <w:textAlignment w:val="auto"/>
        <w:rPr>
          <w:rFonts w:hint="eastAsia" w:ascii="宋体" w:hAnsi="宋体" w:eastAsia="宋体" w:cs="宋体"/>
          <w:b/>
          <w:bCs/>
          <w:caps w:val="0"/>
          <w:smallCaps w:val="0"/>
          <w:color w:val="000000"/>
          <w:highlight w:val="none"/>
          <w:u w:val="single"/>
          <w:lang w:val="en-US" w:eastAsia="zh-CN"/>
        </w:rPr>
      </w:pPr>
      <w:r>
        <w:rPr>
          <w:rFonts w:hint="eastAsia" w:ascii="宋体" w:hAnsi="宋体" w:eastAsia="宋体" w:cs="宋体"/>
          <w:b/>
          <w:bCs/>
          <w:caps w:val="0"/>
          <w:smallCaps w:val="0"/>
          <w:color w:val="000000"/>
          <w:sz w:val="21"/>
          <w:szCs w:val="21"/>
          <w:highlight w:val="none"/>
          <w:u w:val="single"/>
          <w:lang w:val="en-US" w:eastAsia="zh-CN"/>
        </w:rPr>
        <w:t>（1）合同设备运送至买方项目现场后，由买方和卖方双方共同开箱检验，验收只作为买方对卖方合同履约的过程检查，不代表买方已经对卖方的设备的质量的验收和确认，不影响在合同履约期间买方依照合同约定对合同设备提出质量异议和（或）退货的权利，也不免除卖方依照合同约定对合同设备所应承担的义务和责任。设备的质量是否合格以工程竣工验收合格为准。</w:t>
      </w:r>
    </w:p>
    <w:p w14:paraId="7367BEBA">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rPr>
      </w:pPr>
      <w:r>
        <w:rPr>
          <w:rFonts w:hint="eastAsia" w:ascii="宋体" w:hAnsi="宋体" w:eastAsia="宋体" w:cs="宋体"/>
          <w:caps w:val="0"/>
          <w:smallCaps w:val="0"/>
          <w:color w:val="000000"/>
          <w:sz w:val="21"/>
          <w:szCs w:val="21"/>
          <w:highlight w:val="none"/>
          <w:u w:val="single"/>
          <w:lang w:val="en-US" w:eastAsia="zh-CN"/>
        </w:rPr>
        <w:t>（2）</w:t>
      </w:r>
      <w:r>
        <w:rPr>
          <w:rFonts w:hint="eastAsia" w:ascii="宋体" w:hAnsi="宋体" w:eastAsia="宋体" w:cs="宋体"/>
          <w:caps w:val="0"/>
          <w:smallCaps w:val="0"/>
          <w:color w:val="000000"/>
          <w:szCs w:val="21"/>
          <w:highlight w:val="none"/>
          <w:u w:val="single"/>
          <w:lang w:val="en-US" w:eastAsia="zh-CN"/>
        </w:rPr>
        <w:t>到货</w:t>
      </w:r>
      <w:r>
        <w:rPr>
          <w:rFonts w:hint="eastAsia" w:ascii="宋体" w:hAnsi="宋体" w:eastAsia="宋体" w:cs="宋体"/>
          <w:caps w:val="0"/>
          <w:smallCaps w:val="0"/>
          <w:color w:val="000000"/>
          <w:szCs w:val="21"/>
          <w:highlight w:val="none"/>
          <w:u w:val="single"/>
        </w:rPr>
        <w:t>检验时</w:t>
      </w:r>
      <w:r>
        <w:rPr>
          <w:rFonts w:hint="eastAsia" w:ascii="宋体" w:hAnsi="宋体" w:eastAsia="宋体" w:cs="宋体"/>
          <w:caps w:val="0"/>
          <w:smallCaps w:val="0"/>
          <w:color w:val="000000"/>
          <w:szCs w:val="21"/>
          <w:highlight w:val="none"/>
          <w:u w:val="single"/>
          <w:lang w:val="en-US" w:eastAsia="zh-CN"/>
        </w:rPr>
        <w:t>卖方应</w:t>
      </w:r>
      <w:r>
        <w:rPr>
          <w:rFonts w:hint="eastAsia" w:ascii="宋体" w:hAnsi="宋体" w:eastAsia="宋体" w:cs="宋体"/>
          <w:caps w:val="0"/>
          <w:smallCaps w:val="0"/>
          <w:color w:val="000000"/>
          <w:sz w:val="21"/>
          <w:szCs w:val="21"/>
          <w:highlight w:val="none"/>
          <w:u w:val="single"/>
          <w:lang w:val="en-US" w:eastAsia="zh-CN"/>
        </w:rPr>
        <w:t>提交相关的合格资料，买方按合同约定核对到场设备与发货前核准的是否一致，并抽查设备部件是否损坏，</w:t>
      </w:r>
      <w:r>
        <w:rPr>
          <w:rFonts w:hint="eastAsia" w:ascii="宋体" w:hAnsi="宋体" w:eastAsia="宋体" w:cs="宋体"/>
          <w:caps w:val="0"/>
          <w:smallCaps w:val="0"/>
          <w:color w:val="000000"/>
          <w:szCs w:val="21"/>
          <w:highlight w:val="none"/>
          <w:u w:val="single"/>
        </w:rPr>
        <w:t>如果合同设备</w:t>
      </w:r>
      <w:r>
        <w:rPr>
          <w:rFonts w:hint="eastAsia" w:ascii="宋体" w:hAnsi="宋体" w:eastAsia="宋体" w:cs="宋体"/>
          <w:caps w:val="0"/>
          <w:smallCaps w:val="0"/>
          <w:color w:val="000000"/>
          <w:szCs w:val="21"/>
          <w:highlight w:val="none"/>
          <w:u w:val="single"/>
          <w:lang w:val="en-US" w:eastAsia="zh-CN"/>
        </w:rPr>
        <w:t>有缺失、破损或其它与发</w:t>
      </w:r>
      <w:r>
        <w:rPr>
          <w:rFonts w:hint="eastAsia" w:ascii="宋体" w:hAnsi="宋体" w:eastAsia="宋体" w:cs="宋体"/>
          <w:caps w:val="0"/>
          <w:smallCaps w:val="0"/>
          <w:color w:val="000000"/>
          <w:szCs w:val="21"/>
          <w:highlight w:val="none"/>
          <w:u w:val="single"/>
        </w:rPr>
        <w:t>货时</w:t>
      </w:r>
      <w:r>
        <w:rPr>
          <w:rFonts w:hint="eastAsia" w:ascii="宋体" w:hAnsi="宋体" w:eastAsia="宋体" w:cs="宋体"/>
          <w:caps w:val="0"/>
          <w:smallCaps w:val="0"/>
          <w:color w:val="000000"/>
          <w:szCs w:val="21"/>
          <w:highlight w:val="none"/>
          <w:u w:val="single"/>
          <w:lang w:val="en-US" w:eastAsia="zh-CN"/>
        </w:rPr>
        <w:t>不</w:t>
      </w:r>
      <w:r>
        <w:rPr>
          <w:rFonts w:hint="eastAsia" w:ascii="宋体" w:hAnsi="宋体" w:eastAsia="宋体" w:cs="宋体"/>
          <w:caps w:val="0"/>
          <w:smallCaps w:val="0"/>
          <w:color w:val="000000"/>
          <w:szCs w:val="21"/>
          <w:highlight w:val="none"/>
          <w:u w:val="single"/>
        </w:rPr>
        <w:t>一致</w:t>
      </w:r>
      <w:r>
        <w:rPr>
          <w:rFonts w:hint="eastAsia" w:ascii="宋体" w:hAnsi="宋体" w:eastAsia="宋体" w:cs="宋体"/>
          <w:caps w:val="0"/>
          <w:smallCaps w:val="0"/>
          <w:color w:val="000000"/>
          <w:szCs w:val="21"/>
          <w:highlight w:val="none"/>
          <w:u w:val="single"/>
          <w:lang w:val="en-US" w:eastAsia="zh-CN"/>
        </w:rPr>
        <w:t>的情况</w:t>
      </w:r>
      <w:r>
        <w:rPr>
          <w:rFonts w:hint="eastAsia" w:ascii="宋体" w:hAnsi="宋体" w:eastAsia="宋体" w:cs="宋体"/>
          <w:caps w:val="0"/>
          <w:smallCaps w:val="0"/>
          <w:color w:val="000000"/>
          <w:szCs w:val="21"/>
          <w:highlight w:val="none"/>
          <w:u w:val="single"/>
        </w:rPr>
        <w:t>，由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负责补齐、更换及采取其他补救措施</w:t>
      </w:r>
      <w:r>
        <w:rPr>
          <w:rFonts w:hint="eastAsia" w:ascii="宋体" w:hAnsi="宋体" w:eastAsia="宋体" w:cs="宋体"/>
          <w:caps w:val="0"/>
          <w:smallCaps w:val="0"/>
          <w:color w:val="000000"/>
          <w:szCs w:val="21"/>
          <w:highlight w:val="none"/>
          <w:u w:val="single"/>
          <w:lang w:eastAsia="zh-CN"/>
        </w:rPr>
        <w:t>，</w:t>
      </w:r>
      <w:r>
        <w:rPr>
          <w:rFonts w:hint="eastAsia" w:ascii="宋体" w:hAnsi="宋体" w:eastAsia="宋体" w:cs="宋体"/>
          <w:caps w:val="0"/>
          <w:smallCaps w:val="0"/>
          <w:color w:val="000000"/>
          <w:szCs w:val="21"/>
          <w:highlight w:val="none"/>
          <w:u w:val="single"/>
          <w:lang w:val="en-US" w:eastAsia="zh-CN"/>
        </w:rPr>
        <w:t>双方对到货的</w:t>
      </w:r>
      <w:r>
        <w:rPr>
          <w:rFonts w:hint="eastAsia" w:ascii="宋体" w:hAnsi="宋体" w:eastAsia="宋体" w:cs="宋体"/>
          <w:caps w:val="0"/>
          <w:smallCaps w:val="0"/>
          <w:color w:val="000000"/>
          <w:szCs w:val="21"/>
          <w:highlight w:val="none"/>
          <w:u w:val="single"/>
        </w:rPr>
        <w:t>合同设备的外观及件数进行清点核验后签发收货清单</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签发收货清单不代表对合同设备的</w:t>
      </w:r>
      <w:r>
        <w:rPr>
          <w:rFonts w:hint="eastAsia" w:ascii="宋体" w:hAnsi="宋体" w:eastAsia="宋体" w:cs="宋体"/>
          <w:caps w:val="0"/>
          <w:smallCaps w:val="0"/>
          <w:color w:val="000000"/>
          <w:szCs w:val="21"/>
          <w:highlight w:val="none"/>
          <w:u w:val="single"/>
          <w:lang w:val="en-US" w:eastAsia="zh-CN"/>
        </w:rPr>
        <w:t>最终验收</w:t>
      </w:r>
      <w:r>
        <w:rPr>
          <w:rFonts w:hint="eastAsia" w:ascii="宋体" w:hAnsi="宋体" w:eastAsia="宋体" w:cs="宋体"/>
          <w:caps w:val="0"/>
          <w:smallCaps w:val="0"/>
          <w:color w:val="000000"/>
          <w:szCs w:val="21"/>
          <w:highlight w:val="none"/>
          <w:u w:val="single"/>
        </w:rPr>
        <w:t>。</w:t>
      </w:r>
    </w:p>
    <w:p w14:paraId="6AE71173">
      <w:pPr>
        <w:pageBreakBefore w:val="0"/>
        <w:numPr>
          <w:ilvl w:val="0"/>
          <w:numId w:val="0"/>
        </w:numPr>
        <w:tabs>
          <w:tab w:val="left" w:pos="1134"/>
        </w:tabs>
        <w:topLinePunct w:val="0"/>
        <w:bidi w:val="0"/>
        <w:spacing w:line="360" w:lineRule="auto"/>
        <w:ind w:firstLine="420" w:firstLineChars="200"/>
        <w:rPr>
          <w:rFonts w:hint="eastAsia" w:ascii="宋体" w:hAnsi="宋体" w:eastAsia="宋体" w:cs="宋体"/>
          <w:color w:val="000000"/>
          <w:u w:val="single"/>
        </w:rPr>
      </w:pPr>
      <w:r>
        <w:rPr>
          <w:rFonts w:hint="eastAsia" w:ascii="宋体" w:hAnsi="宋体" w:eastAsia="宋体" w:cs="宋体"/>
          <w:caps w:val="0"/>
          <w:smallCaps w:val="0"/>
          <w:color w:val="000000"/>
          <w:sz w:val="21"/>
          <w:szCs w:val="21"/>
          <w:highlight w:val="none"/>
          <w:u w:val="single"/>
          <w:lang w:val="en-US" w:eastAsia="zh-CN"/>
        </w:rPr>
        <w:t>（3）如果卖方未按买方书面通知到场参加开箱检验，买方有权单独进行开箱检验，并签署检验文件，对于检验结果，视为卖方已接受，但卖方确有合理理由且事先与买方协商推迟开箱检验时间的除外。</w:t>
      </w:r>
    </w:p>
    <w:p w14:paraId="7200171E">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Cs w:val="21"/>
          <w:highlight w:val="none"/>
          <w:u w:val="single"/>
          <w:lang w:val="en-US" w:eastAsia="zh-CN"/>
        </w:rPr>
      </w:pPr>
      <w:r>
        <w:rPr>
          <w:rFonts w:hint="eastAsia" w:ascii="宋体" w:hAnsi="宋体" w:eastAsia="宋体" w:cs="宋体"/>
          <w:caps w:val="0"/>
          <w:smallCaps w:val="0"/>
          <w:color w:val="000000"/>
          <w:sz w:val="21"/>
          <w:szCs w:val="21"/>
          <w:highlight w:val="none"/>
          <w:u w:val="single"/>
          <w:lang w:val="en-US" w:eastAsia="zh-CN"/>
        </w:rPr>
        <w:t>（4）未达到验收标准的，卖方应无条件将不合格设备退出场地，重新组织设备进场；卖方也可申请第三方机构检测，第三方机构必须是买方书面认可的单位，如第三方机构检测合格，检测费用由买方承担，设备按合同约定继续安装，导致工期延误的，买方只承担工期顺延的责任，不承担其他违约责和费用，如第三方机构检测不合格，卖方应无条件将不合格设备退场，重新组织设备进场。因进场设备不合格给买方造成损失的，卖方应全额赔偿，卖方如无能力履约的，可申请解除合同，合同解除后卖方应全额</w:t>
      </w:r>
      <w:r>
        <w:rPr>
          <w:rFonts w:hint="eastAsia" w:ascii="宋体" w:hAnsi="宋体" w:eastAsia="宋体" w:cs="宋体"/>
          <w:caps w:val="0"/>
          <w:smallCaps w:val="0"/>
          <w:color w:val="000000"/>
          <w:szCs w:val="21"/>
          <w:highlight w:val="none"/>
          <w:u w:val="single"/>
          <w:lang w:val="en-US" w:eastAsia="zh-CN"/>
        </w:rPr>
        <w:t>退还买方已经支付的款项并承担违约责任。</w:t>
      </w:r>
    </w:p>
    <w:p w14:paraId="2AD8B484">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u w:val="single"/>
          <w:lang w:eastAsia="zh-CN"/>
        </w:rPr>
      </w:pPr>
      <w:r>
        <w:rPr>
          <w:rFonts w:hint="eastAsia" w:ascii="宋体" w:hAnsi="宋体" w:eastAsia="宋体" w:cs="宋体"/>
          <w:caps w:val="0"/>
          <w:smallCaps w:val="0"/>
          <w:color w:val="000000"/>
          <w:szCs w:val="21"/>
          <w:highlight w:val="none"/>
          <w:u w:val="single"/>
          <w:lang w:val="en-US" w:eastAsia="zh-CN"/>
        </w:rPr>
        <w:t>（5）由卖方负责所供设备在买方项目现场的保管，买方提供场地协助保管，若设备发生损坏或遗失，由卖方负责修复、更换及补齐。</w:t>
      </w:r>
    </w:p>
    <w:p w14:paraId="5FB11181">
      <w:pPr>
        <w:tabs>
          <w:tab w:val="left" w:pos="1134"/>
        </w:tabs>
        <w:spacing w:line="360" w:lineRule="auto"/>
        <w:ind w:firstLine="420" w:firstLineChars="200"/>
        <w:rPr>
          <w:rFonts w:hint="eastAsia" w:ascii="宋体" w:hAnsi="宋体"/>
          <w:szCs w:val="21"/>
        </w:rPr>
      </w:pPr>
      <w:r>
        <w:rPr>
          <w:rFonts w:ascii="宋体" w:hAnsi="宋体"/>
          <w:szCs w:val="21"/>
        </w:rPr>
        <w:t>6.1.</w:t>
      </w:r>
      <w:r>
        <w:rPr>
          <w:rFonts w:hint="eastAsia" w:ascii="宋体" w:hAnsi="宋体"/>
          <w:szCs w:val="21"/>
        </w:rPr>
        <w:t>7</w:t>
      </w:r>
      <w:r>
        <w:rPr>
          <w:rFonts w:ascii="宋体" w:hAnsi="宋体"/>
          <w:szCs w:val="21"/>
        </w:rPr>
        <w:t xml:space="preserve"> </w:t>
      </w:r>
      <w:r>
        <w:rPr>
          <w:rFonts w:hint="eastAsia" w:ascii="宋体" w:hAnsi="宋体"/>
          <w:szCs w:val="21"/>
        </w:rPr>
        <w:t>第三方检测机构对合同设备进行检验的约定：</w:t>
      </w:r>
    </w:p>
    <w:p w14:paraId="48408397">
      <w:pPr>
        <w:tabs>
          <w:tab w:val="left" w:pos="1134"/>
        </w:tabs>
        <w:spacing w:line="360" w:lineRule="auto"/>
        <w:ind w:firstLine="420" w:firstLineChars="200"/>
        <w:rPr>
          <w:rFonts w:ascii="宋体" w:hAnsi="宋体"/>
          <w:szCs w:val="21"/>
        </w:rPr>
      </w:pPr>
      <w:r>
        <w:rPr>
          <w:rFonts w:hint="eastAsia" w:ascii="宋体" w:hAnsi="宋体" w:eastAsia="宋体" w:cs="宋体"/>
          <w:caps w:val="0"/>
          <w:smallCaps w:val="0"/>
          <w:color w:val="000000"/>
          <w:sz w:val="21"/>
          <w:szCs w:val="21"/>
          <w:highlight w:val="none"/>
          <w:u w:val="single"/>
          <w:lang w:val="en-US" w:eastAsia="zh-CN"/>
        </w:rPr>
        <w:t>所有检测由卖方组织完成，并提交检测报告，完成相关证件办理；如确需要委托第三方机构对合同设备进行检测的 ，第三方机构必须是买方书面认可的单位；第三方检测试验机构检测试验的试件所需的材料、取样、送检及相关配合工作由卖方人负责完成并承担由此产生的所有相关费用</w:t>
      </w:r>
      <w:r>
        <w:rPr>
          <w:rFonts w:hint="eastAsia" w:ascii="宋体" w:hAnsi="宋体"/>
          <w:szCs w:val="21"/>
        </w:rPr>
        <w:t>。</w:t>
      </w:r>
    </w:p>
    <w:p w14:paraId="3C3B1BDC">
      <w:pPr>
        <w:tabs>
          <w:tab w:val="left" w:pos="1134"/>
        </w:tabs>
        <w:spacing w:line="360" w:lineRule="auto"/>
        <w:ind w:firstLine="420" w:firstLineChars="200"/>
        <w:rPr>
          <w:rFonts w:ascii="宋体" w:hAnsi="宋体"/>
          <w:szCs w:val="21"/>
        </w:rPr>
      </w:pPr>
      <w:r>
        <w:rPr>
          <w:rFonts w:hint="eastAsia" w:ascii="宋体" w:hAnsi="宋体"/>
          <w:szCs w:val="21"/>
        </w:rPr>
        <w:t>6.2</w:t>
      </w:r>
      <w:r>
        <w:rPr>
          <w:rFonts w:ascii="宋体" w:hAnsi="宋体"/>
          <w:szCs w:val="21"/>
        </w:rPr>
        <w:t xml:space="preserve"> </w:t>
      </w:r>
      <w:r>
        <w:rPr>
          <w:rFonts w:hint="eastAsia" w:ascii="宋体" w:hAnsi="宋体"/>
          <w:szCs w:val="21"/>
        </w:rPr>
        <w:t>安装、调试</w:t>
      </w:r>
    </w:p>
    <w:p w14:paraId="64BFDEC2">
      <w:pPr>
        <w:tabs>
          <w:tab w:val="left" w:pos="1134"/>
        </w:tabs>
        <w:spacing w:line="360" w:lineRule="auto"/>
        <w:ind w:firstLine="420" w:firstLineChars="200"/>
        <w:rPr>
          <w:rFonts w:ascii="宋体" w:hAnsi="宋体"/>
          <w:szCs w:val="21"/>
        </w:rPr>
      </w:pPr>
      <w:r>
        <w:rPr>
          <w:rFonts w:ascii="宋体" w:hAnsi="宋体"/>
          <w:szCs w:val="21"/>
        </w:rPr>
        <w:t xml:space="preserve">6.2.1 </w:t>
      </w:r>
      <w:r>
        <w:rPr>
          <w:rFonts w:hint="eastAsia" w:ascii="宋体" w:hAnsi="宋体"/>
          <w:szCs w:val="21"/>
        </w:rPr>
        <w:t>合同设备的安装、调试按照第</w:t>
      </w:r>
      <w:r>
        <w:rPr>
          <w:rFonts w:hint="eastAsia" w:ascii="宋体" w:hAnsi="宋体"/>
          <w:szCs w:val="21"/>
          <w:u w:val="single"/>
        </w:rPr>
        <w:t>（</w:t>
      </w:r>
      <w:r>
        <w:rPr>
          <w:rFonts w:ascii="宋体" w:hAnsi="宋体"/>
          <w:szCs w:val="21"/>
          <w:u w:val="single"/>
        </w:rPr>
        <w:t>1</w:t>
      </w:r>
      <w:r>
        <w:rPr>
          <w:rFonts w:hint="eastAsia" w:ascii="宋体" w:hAnsi="宋体"/>
          <w:szCs w:val="21"/>
          <w:u w:val="single"/>
        </w:rPr>
        <w:t>）</w:t>
      </w:r>
      <w:r>
        <w:rPr>
          <w:rFonts w:hint="eastAsia" w:ascii="宋体" w:hAnsi="宋体"/>
          <w:szCs w:val="21"/>
        </w:rPr>
        <w:t>种方式进行：</w:t>
      </w:r>
    </w:p>
    <w:p w14:paraId="78E48871">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1</w:t>
      </w:r>
      <w:r>
        <w:rPr>
          <w:rFonts w:hint="eastAsia" w:ascii="宋体" w:hAnsi="宋体"/>
          <w:szCs w:val="21"/>
        </w:rPr>
        <w:t>）卖方按照合同约定完成合同设备的安装、调试工作；</w:t>
      </w:r>
    </w:p>
    <w:p w14:paraId="4692C40E">
      <w:pPr>
        <w:tabs>
          <w:tab w:val="left" w:pos="1134"/>
        </w:tabs>
        <w:spacing w:line="360" w:lineRule="auto"/>
        <w:ind w:firstLine="420" w:firstLineChars="200"/>
        <w:rPr>
          <w:rFonts w:ascii="宋体" w:hAnsi="宋体"/>
          <w:szCs w:val="21"/>
        </w:rPr>
      </w:pPr>
      <w:r>
        <w:rPr>
          <w:rFonts w:hint="eastAsia" w:ascii="宋体" w:hAnsi="宋体"/>
          <w:szCs w:val="21"/>
        </w:rPr>
        <w:t>（</w:t>
      </w:r>
      <w:r>
        <w:rPr>
          <w:rFonts w:ascii="宋体" w:hAnsi="宋体"/>
          <w:szCs w:val="21"/>
        </w:rPr>
        <w:t>2</w:t>
      </w:r>
      <w:r>
        <w:rPr>
          <w:rFonts w:hint="eastAsia" w:ascii="宋体" w:hAnsi="宋体"/>
          <w:szCs w:val="21"/>
        </w:rPr>
        <w:t>）买方或买方安排第三方负责合同设备的安装、调试工作，卖方提供技术服务。</w:t>
      </w:r>
    </w:p>
    <w:p w14:paraId="4413B406">
      <w:pPr>
        <w:tabs>
          <w:tab w:val="left" w:pos="1134"/>
        </w:tabs>
        <w:spacing w:line="360" w:lineRule="auto"/>
        <w:ind w:firstLine="420" w:firstLineChars="200"/>
        <w:rPr>
          <w:rFonts w:ascii="宋体" w:hAnsi="宋体"/>
          <w:szCs w:val="21"/>
        </w:rPr>
      </w:pPr>
      <w:r>
        <w:rPr>
          <w:rFonts w:hint="eastAsia" w:ascii="宋体" w:hAnsi="宋体"/>
          <w:szCs w:val="21"/>
        </w:rPr>
        <w:t>采用第（2）种方式时，相关责任划分的约定：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ascii="宋体" w:hAnsi="宋体"/>
          <w:szCs w:val="21"/>
          <w:u w:val="single"/>
        </w:rPr>
        <w:tab/>
      </w:r>
      <w:r>
        <w:rPr>
          <w:rFonts w:ascii="宋体" w:hAnsi="宋体"/>
          <w:szCs w:val="21"/>
          <w:u w:val="single"/>
        </w:rPr>
        <w:tab/>
      </w:r>
      <w:r>
        <w:rPr>
          <w:rFonts w:hint="eastAsia" w:ascii="宋体" w:hAnsi="宋体"/>
          <w:szCs w:val="21"/>
        </w:rPr>
        <w:t>。</w:t>
      </w:r>
    </w:p>
    <w:p w14:paraId="1CF5D2C4">
      <w:pPr>
        <w:tabs>
          <w:tab w:val="left" w:pos="1134"/>
        </w:tabs>
        <w:spacing w:line="360" w:lineRule="auto"/>
        <w:ind w:firstLine="420" w:firstLineChars="200"/>
        <w:rPr>
          <w:rFonts w:hint="eastAsia" w:ascii="宋体" w:hAnsi="宋体"/>
          <w:szCs w:val="21"/>
        </w:rPr>
      </w:pPr>
      <w:r>
        <w:rPr>
          <w:rFonts w:hint="eastAsia" w:ascii="宋体" w:hAnsi="宋体"/>
          <w:szCs w:val="21"/>
        </w:rPr>
        <w:t xml:space="preserve">6.2.2 </w:t>
      </w:r>
      <w:r>
        <w:rPr>
          <w:rFonts w:hint="eastAsia" w:ascii="宋体" w:hAnsi="宋体"/>
        </w:rPr>
        <w:t>安装、调试中合同设备运行需要的用水、用电、其他动力和原材料（如需要）等</w:t>
      </w:r>
      <w:r>
        <w:rPr>
          <w:rFonts w:hint="eastAsia" w:ascii="宋体" w:hAnsi="宋体"/>
          <w:szCs w:val="21"/>
        </w:rPr>
        <w:t>承担主体及方式的约定：</w:t>
      </w:r>
    </w:p>
    <w:p w14:paraId="14FB1B17">
      <w:pPr>
        <w:keepNext w:val="0"/>
        <w:keepLines w:val="0"/>
        <w:pageBreakBefore w:val="0"/>
        <w:widowControl w:val="0"/>
        <w:tabs>
          <w:tab w:val="left" w:pos="1134"/>
        </w:tabs>
        <w:kinsoku/>
        <w:wordWrap/>
        <w:overflowPunct/>
        <w:topLinePunct w:val="0"/>
        <w:autoSpaceDE w:val="0"/>
        <w:autoSpaceDN w:val="0"/>
        <w:bidi w:val="0"/>
        <w:adjustRightInd/>
        <w:snapToGrid/>
        <w:spacing w:line="360" w:lineRule="auto"/>
        <w:ind w:left="0" w:leftChars="0" w:firstLine="420" w:firstLineChars="200"/>
        <w:textAlignment w:val="auto"/>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1）合同设备安装期间所需的水、电费用由卖方承担。施工用电卖方到买方指定配电柜取电。</w:t>
      </w:r>
    </w:p>
    <w:p w14:paraId="64D290BD">
      <w:pPr>
        <w:keepNext w:val="0"/>
        <w:keepLines w:val="0"/>
        <w:pageBreakBefore w:val="0"/>
        <w:widowControl w:val="0"/>
        <w:tabs>
          <w:tab w:val="left" w:pos="1134"/>
        </w:tabs>
        <w:kinsoku/>
        <w:wordWrap/>
        <w:overflowPunct/>
        <w:topLinePunct w:val="0"/>
        <w:autoSpaceDE w:val="0"/>
        <w:autoSpaceDN w:val="0"/>
        <w:bidi w:val="0"/>
        <w:adjustRightInd/>
        <w:snapToGrid/>
        <w:spacing w:line="360" w:lineRule="auto"/>
        <w:ind w:left="0" w:leftChars="0" w:firstLine="420" w:firstLineChars="200"/>
        <w:textAlignment w:val="auto"/>
        <w:rPr>
          <w:rFonts w:hint="default"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val="en-US" w:eastAsia="zh-CN"/>
        </w:rPr>
        <w:t>（2）合同设备调试期间所需的水、电、榨菜原材料费用由买方承担。</w:t>
      </w:r>
    </w:p>
    <w:p w14:paraId="285ACC99">
      <w:pPr>
        <w:tabs>
          <w:tab w:val="left" w:pos="1134"/>
        </w:tabs>
        <w:spacing w:line="360" w:lineRule="auto"/>
        <w:ind w:firstLine="420" w:firstLineChars="200"/>
        <w:rPr>
          <w:rFonts w:ascii="宋体" w:hAnsi="宋体"/>
          <w:szCs w:val="21"/>
        </w:rPr>
      </w:pPr>
      <w:r>
        <w:rPr>
          <w:rFonts w:hint="eastAsia" w:ascii="宋体" w:hAnsi="宋体" w:eastAsia="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eastAsia="zh-CN"/>
        </w:rPr>
        <w:t>合同设备的安装、调试、</w:t>
      </w:r>
      <w:r>
        <w:rPr>
          <w:rFonts w:hint="eastAsia" w:ascii="宋体" w:hAnsi="宋体" w:eastAsia="宋体" w:cs="宋体"/>
          <w:caps w:val="0"/>
          <w:smallCaps w:val="0"/>
          <w:color w:val="auto"/>
          <w:sz w:val="21"/>
          <w:szCs w:val="21"/>
          <w:highlight w:val="none"/>
          <w:u w:val="single"/>
          <w:lang w:val="en-US" w:eastAsia="zh-CN"/>
        </w:rPr>
        <w:t>送检等</w:t>
      </w:r>
      <w:r>
        <w:rPr>
          <w:rFonts w:hint="eastAsia" w:ascii="宋体" w:hAnsi="宋体" w:eastAsia="宋体" w:cs="宋体"/>
          <w:caps w:val="0"/>
          <w:smallCaps w:val="0"/>
          <w:color w:val="auto"/>
          <w:sz w:val="21"/>
          <w:szCs w:val="21"/>
          <w:highlight w:val="none"/>
          <w:u w:val="single"/>
          <w:lang w:eastAsia="zh-CN"/>
        </w:rPr>
        <w:t>工作</w:t>
      </w:r>
      <w:r>
        <w:rPr>
          <w:rFonts w:hint="eastAsia" w:ascii="宋体" w:hAnsi="宋体" w:eastAsia="宋体" w:cs="宋体"/>
          <w:caps w:val="0"/>
          <w:smallCaps w:val="0"/>
          <w:color w:val="auto"/>
          <w:sz w:val="21"/>
          <w:szCs w:val="21"/>
          <w:highlight w:val="none"/>
          <w:u w:val="single"/>
          <w:lang w:val="en-US" w:eastAsia="zh-CN"/>
        </w:rPr>
        <w:t>中涉及的其他费用均由卖方承担。</w:t>
      </w:r>
    </w:p>
    <w:p w14:paraId="229B9593">
      <w:pPr>
        <w:tabs>
          <w:tab w:val="left" w:pos="1134"/>
        </w:tabs>
        <w:spacing w:line="360" w:lineRule="auto"/>
        <w:ind w:firstLine="420" w:firstLineChars="200"/>
        <w:rPr>
          <w:rFonts w:ascii="宋体" w:hAnsi="宋体"/>
          <w:szCs w:val="21"/>
        </w:rPr>
      </w:pPr>
      <w:r>
        <w:rPr>
          <w:rFonts w:hint="eastAsia" w:ascii="宋体" w:hAnsi="宋体"/>
          <w:szCs w:val="21"/>
        </w:rPr>
        <w:t>6.3</w:t>
      </w:r>
      <w:r>
        <w:rPr>
          <w:rFonts w:ascii="宋体" w:hAnsi="宋体"/>
          <w:szCs w:val="21"/>
        </w:rPr>
        <w:t xml:space="preserve"> </w:t>
      </w:r>
      <w:r>
        <w:rPr>
          <w:rFonts w:hint="eastAsia" w:ascii="宋体" w:hAnsi="宋体"/>
          <w:szCs w:val="21"/>
        </w:rPr>
        <w:t>考核</w:t>
      </w:r>
    </w:p>
    <w:p w14:paraId="3D0F9238">
      <w:pPr>
        <w:tabs>
          <w:tab w:val="left" w:pos="1134"/>
        </w:tabs>
        <w:spacing w:line="360" w:lineRule="auto"/>
        <w:ind w:firstLine="420" w:firstLineChars="200"/>
        <w:rPr>
          <w:rFonts w:hint="eastAsia" w:ascii="宋体" w:hAnsi="宋体"/>
          <w:szCs w:val="21"/>
        </w:rPr>
      </w:pPr>
      <w:r>
        <w:rPr>
          <w:rFonts w:ascii="宋体" w:hAnsi="宋体"/>
          <w:szCs w:val="21"/>
        </w:rPr>
        <w:t>6.</w:t>
      </w:r>
      <w:r>
        <w:rPr>
          <w:rFonts w:hint="eastAsia" w:ascii="宋体" w:hAnsi="宋体"/>
          <w:szCs w:val="21"/>
        </w:rPr>
        <w:t>3</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考核中合同设备运行需要的用水、用电、其他动力和原材料（如需要）等承担主体及方式的约定：</w:t>
      </w:r>
    </w:p>
    <w:p w14:paraId="02EFBEAB">
      <w:pPr>
        <w:keepNext w:val="0"/>
        <w:keepLines w:val="0"/>
        <w:pageBreakBefore w:val="0"/>
        <w:widowControl w:val="0"/>
        <w:tabs>
          <w:tab w:val="left" w:pos="1134"/>
        </w:tabs>
        <w:kinsoku/>
        <w:wordWrap/>
        <w:overflowPunct/>
        <w:topLinePunct w:val="0"/>
        <w:autoSpaceDE w:val="0"/>
        <w:autoSpaceDN w:val="0"/>
        <w:bidi w:val="0"/>
        <w:adjustRightInd/>
        <w:snapToGrid/>
        <w:spacing w:line="360" w:lineRule="auto"/>
        <w:ind w:left="0" w:leftChars="0" w:firstLine="420" w:firstLineChars="200"/>
        <w:textAlignment w:val="auto"/>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1）设备安装调试完成，考核期间（试运行期间）所需的水、电、榨菜原料由买方承担。</w:t>
      </w:r>
    </w:p>
    <w:p w14:paraId="0E69EEE9">
      <w:pPr>
        <w:pageBreakBefore w:val="0"/>
        <w:tabs>
          <w:tab w:val="left" w:pos="1134"/>
        </w:tabs>
        <w:kinsoku/>
        <w:overflowPunct/>
        <w:topLinePunct w:val="0"/>
        <w:bidi w:val="0"/>
        <w:spacing w:line="360" w:lineRule="auto"/>
        <w:ind w:firstLine="420" w:firstLineChars="200"/>
        <w:rPr>
          <w:rFonts w:hint="eastAsia" w:ascii="宋体" w:hAnsi="宋体" w:eastAsia="宋体" w:cs="宋体"/>
          <w:color w:val="auto"/>
          <w:u w:val="single"/>
          <w:lang w:val="en-US" w:eastAsia="zh-CN"/>
        </w:rPr>
      </w:pP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eastAsia="宋体" w:cs="宋体"/>
          <w:caps w:val="0"/>
          <w:smallCaps w:val="0"/>
          <w:color w:val="auto"/>
          <w:sz w:val="21"/>
          <w:szCs w:val="21"/>
          <w:highlight w:val="none"/>
          <w:u w:val="single"/>
        </w:rPr>
        <w:t>合同设备的</w:t>
      </w:r>
      <w:r>
        <w:rPr>
          <w:rFonts w:hint="eastAsia" w:ascii="宋体" w:hAnsi="宋体" w:eastAsia="宋体" w:cs="宋体"/>
          <w:caps w:val="0"/>
          <w:smallCaps w:val="0"/>
          <w:color w:val="auto"/>
          <w:sz w:val="21"/>
          <w:szCs w:val="21"/>
          <w:highlight w:val="none"/>
          <w:u w:val="single"/>
          <w:lang w:val="en-US" w:eastAsia="zh-CN"/>
        </w:rPr>
        <w:t>考核</w:t>
      </w:r>
      <w:r>
        <w:rPr>
          <w:rFonts w:hint="eastAsia" w:ascii="宋体" w:hAnsi="宋体" w:eastAsia="宋体" w:cs="宋体"/>
          <w:caps w:val="0"/>
          <w:smallCaps w:val="0"/>
          <w:color w:val="auto"/>
          <w:sz w:val="21"/>
          <w:szCs w:val="21"/>
          <w:highlight w:val="none"/>
          <w:u w:val="single"/>
        </w:rPr>
        <w:t>工作</w:t>
      </w:r>
      <w:r>
        <w:rPr>
          <w:rFonts w:hint="eastAsia" w:ascii="宋体" w:hAnsi="宋体" w:eastAsia="宋体" w:cs="宋体"/>
          <w:caps w:val="0"/>
          <w:smallCaps w:val="0"/>
          <w:color w:val="auto"/>
          <w:sz w:val="21"/>
          <w:szCs w:val="21"/>
          <w:highlight w:val="none"/>
          <w:u w:val="single"/>
          <w:lang w:val="en-US" w:eastAsia="zh-CN"/>
        </w:rPr>
        <w:t>中涉及的其他费用均由卖方承担。</w:t>
      </w:r>
    </w:p>
    <w:p w14:paraId="7AAACCD6">
      <w:pPr>
        <w:tabs>
          <w:tab w:val="left" w:pos="1134"/>
        </w:tabs>
        <w:spacing w:line="360" w:lineRule="auto"/>
        <w:ind w:firstLine="420" w:firstLineChars="200"/>
        <w:rPr>
          <w:rFonts w:ascii="宋体" w:hAnsi="宋体"/>
          <w:szCs w:val="21"/>
          <w:u w:val="single"/>
        </w:rPr>
      </w:pPr>
      <w:bookmarkStart w:id="808" w:name="_Toc531098988"/>
      <w:r>
        <w:rPr>
          <w:rFonts w:hint="eastAsia" w:ascii="宋体" w:hAnsi="宋体"/>
          <w:szCs w:val="21"/>
        </w:rPr>
        <w:t>6.3.3</w:t>
      </w:r>
      <w:r>
        <w:rPr>
          <w:rFonts w:ascii="宋体" w:hAnsi="宋体"/>
          <w:szCs w:val="21"/>
        </w:rPr>
        <w:t xml:space="preserve"> </w:t>
      </w:r>
      <w:r>
        <w:rPr>
          <w:rFonts w:hint="eastAsia" w:ascii="宋体" w:hAnsi="宋体"/>
          <w:szCs w:val="21"/>
        </w:rPr>
        <w:t>若合同设备在考核中仅达到</w:t>
      </w:r>
      <w:r>
        <w:rPr>
          <w:rFonts w:hint="eastAsia" w:ascii="宋体" w:hAnsi="宋体"/>
        </w:rPr>
        <w:t>合同约定的或双方在考核中另行达成的最低技术性能考核指标，</w:t>
      </w:r>
      <w:r>
        <w:rPr>
          <w:rFonts w:hint="eastAsia" w:ascii="宋体" w:hAnsi="宋体"/>
          <w:szCs w:val="21"/>
        </w:rPr>
        <w:t>卖方应进行减价或向买方支付补偿金的约定：</w:t>
      </w:r>
      <w:r>
        <w:rPr>
          <w:rFonts w:hint="eastAsia" w:ascii="宋体" w:hAnsi="宋体"/>
          <w:szCs w:val="21"/>
          <w:u w:val="single"/>
        </w:rPr>
        <w:t xml:space="preserve"> </w:t>
      </w:r>
      <w:r>
        <w:rPr>
          <w:rFonts w:hint="eastAsia" w:ascii="宋体" w:hAnsi="宋体" w:eastAsia="宋体" w:cs="宋体"/>
          <w:b w:val="0"/>
          <w:bCs w:val="0"/>
          <w:caps w:val="0"/>
          <w:smallCaps w:val="0"/>
          <w:color w:val="000000"/>
          <w:kern w:val="2"/>
          <w:sz w:val="21"/>
          <w:szCs w:val="21"/>
          <w:highlight w:val="none"/>
          <w:u w:val="single"/>
          <w:lang w:val="en-US" w:eastAsia="zh-CN" w:bidi="ar-SA"/>
        </w:rPr>
        <w:t>按14.2条（4）小条执行</w:t>
      </w:r>
      <w:r>
        <w:rPr>
          <w:rFonts w:hint="eastAsia" w:ascii="宋体" w:hAnsi="宋体"/>
          <w:szCs w:val="21"/>
          <w:u w:val="single"/>
        </w:rPr>
        <w:t xml:space="preserve"> </w:t>
      </w:r>
      <w:r>
        <w:rPr>
          <w:rFonts w:hint="eastAsia" w:ascii="宋体" w:hAnsi="宋体"/>
          <w:szCs w:val="21"/>
        </w:rPr>
        <w:t>。</w:t>
      </w:r>
    </w:p>
    <w:p w14:paraId="56C5E30D">
      <w:pPr>
        <w:tabs>
          <w:tab w:val="left" w:pos="1134"/>
        </w:tabs>
        <w:spacing w:line="360" w:lineRule="auto"/>
        <w:ind w:firstLine="420" w:firstLineChars="200"/>
        <w:rPr>
          <w:rFonts w:ascii="宋体" w:hAnsi="宋体"/>
          <w:szCs w:val="21"/>
        </w:rPr>
      </w:pPr>
      <w:r>
        <w:rPr>
          <w:rFonts w:hint="eastAsia" w:ascii="宋体" w:hAnsi="宋体"/>
          <w:szCs w:val="21"/>
        </w:rPr>
        <w:t>6.4</w:t>
      </w:r>
      <w:r>
        <w:rPr>
          <w:rFonts w:ascii="宋体" w:hAnsi="宋体"/>
          <w:szCs w:val="21"/>
        </w:rPr>
        <w:t xml:space="preserve"> </w:t>
      </w:r>
      <w:r>
        <w:rPr>
          <w:rFonts w:hint="eastAsia" w:ascii="宋体" w:hAnsi="宋体"/>
          <w:szCs w:val="21"/>
        </w:rPr>
        <w:t>验收</w:t>
      </w:r>
    </w:p>
    <w:p w14:paraId="5BEA717C">
      <w:pPr>
        <w:tabs>
          <w:tab w:val="left" w:pos="1134"/>
        </w:tabs>
        <w:spacing w:line="360" w:lineRule="auto"/>
        <w:ind w:firstLine="420" w:firstLineChars="200"/>
        <w:rPr>
          <w:rFonts w:ascii="宋体" w:hAnsi="宋体"/>
          <w:szCs w:val="21"/>
        </w:rPr>
      </w:pPr>
      <w:r>
        <w:rPr>
          <w:rFonts w:ascii="宋体" w:hAnsi="宋体"/>
          <w:szCs w:val="21"/>
        </w:rPr>
        <w:t>6.</w:t>
      </w:r>
      <w:r>
        <w:rPr>
          <w:rFonts w:hint="eastAsia" w:ascii="宋体" w:hAnsi="宋体"/>
          <w:szCs w:val="21"/>
        </w:rPr>
        <w:t>4</w:t>
      </w:r>
      <w:r>
        <w:rPr>
          <w:rFonts w:ascii="宋体" w:hAnsi="宋体"/>
          <w:szCs w:val="21"/>
        </w:rPr>
        <w:t>.</w:t>
      </w:r>
      <w:r>
        <w:rPr>
          <w:rFonts w:hint="eastAsia" w:ascii="宋体" w:hAnsi="宋体"/>
          <w:szCs w:val="21"/>
        </w:rPr>
        <w:t>1</w:t>
      </w:r>
      <w:r>
        <w:rPr>
          <w:rFonts w:ascii="宋体" w:hAnsi="宋体"/>
          <w:szCs w:val="21"/>
        </w:rPr>
        <w:t xml:space="preserve"> </w:t>
      </w:r>
      <w:r>
        <w:rPr>
          <w:rFonts w:hint="eastAsia" w:ascii="宋体" w:hAnsi="宋体"/>
          <w:szCs w:val="21"/>
        </w:rPr>
        <w:t>签署合同设备验收证书时间的约定：</w:t>
      </w:r>
      <w:r>
        <w:rPr>
          <w:rFonts w:hint="eastAsia" w:ascii="宋体" w:hAnsi="宋体"/>
          <w:u w:val="single"/>
        </w:rPr>
        <w:t>在考核完成后</w:t>
      </w:r>
      <w:r>
        <w:rPr>
          <w:rFonts w:hint="eastAsia"/>
          <w:u w:val="single"/>
          <w:lang w:val="en-US" w:eastAsia="zh-CN"/>
        </w:rPr>
        <w:t>14</w:t>
      </w:r>
      <w:r>
        <w:rPr>
          <w:rFonts w:hint="eastAsia" w:ascii="宋体" w:hAnsi="宋体"/>
          <w:u w:val="single"/>
        </w:rPr>
        <w:t>日内</w:t>
      </w:r>
      <w:r>
        <w:rPr>
          <w:rFonts w:hint="eastAsia" w:ascii="宋体" w:hAnsi="宋体"/>
          <w:szCs w:val="21"/>
        </w:rPr>
        <w:t>。</w:t>
      </w:r>
    </w:p>
    <w:p w14:paraId="14E11CBA">
      <w:pPr>
        <w:tabs>
          <w:tab w:val="left" w:pos="1134"/>
        </w:tabs>
        <w:spacing w:line="360" w:lineRule="auto"/>
        <w:ind w:firstLine="420" w:firstLineChars="200"/>
        <w:rPr>
          <w:rFonts w:ascii="宋体" w:hAnsi="宋体"/>
          <w:szCs w:val="21"/>
          <w:u w:val="single"/>
        </w:rPr>
      </w:pPr>
      <w:r>
        <w:rPr>
          <w:rFonts w:hint="eastAsia" w:ascii="宋体" w:hAnsi="宋体"/>
          <w:szCs w:val="21"/>
        </w:rPr>
        <w:t>6.4.2</w:t>
      </w:r>
      <w:r>
        <w:rPr>
          <w:rFonts w:ascii="宋体" w:hAnsi="宋体"/>
          <w:szCs w:val="21"/>
        </w:rPr>
        <w:t xml:space="preserve"> </w:t>
      </w:r>
      <w:r>
        <w:rPr>
          <w:rFonts w:hint="eastAsia" w:ascii="宋体" w:hAnsi="宋体"/>
        </w:rPr>
        <w:t>如由于买方原因合同设备在三次考核中均未能达到技术性能考核指标，买卖双方应在</w:t>
      </w:r>
      <w:r>
        <w:rPr>
          <w:rFonts w:hint="eastAsia" w:ascii="宋体" w:hAnsi="宋体"/>
          <w:u w:val="single"/>
        </w:rPr>
        <w:t>考核结束后</w:t>
      </w:r>
      <w:r>
        <w:rPr>
          <w:u w:val="single"/>
        </w:rPr>
        <w:t>7</w:t>
      </w:r>
      <w:r>
        <w:rPr>
          <w:rFonts w:hint="eastAsia" w:ascii="宋体" w:hAnsi="宋体"/>
          <w:u w:val="single"/>
        </w:rPr>
        <w:t>日内</w:t>
      </w:r>
      <w:r>
        <w:rPr>
          <w:rFonts w:hint="eastAsia" w:ascii="宋体" w:hAnsi="宋体"/>
        </w:rPr>
        <w:t>签署验收款支付函。</w:t>
      </w:r>
    </w:p>
    <w:p w14:paraId="0283D48F">
      <w:pPr>
        <w:tabs>
          <w:tab w:val="left" w:pos="1134"/>
        </w:tabs>
        <w:spacing w:line="360" w:lineRule="auto"/>
        <w:ind w:firstLine="420" w:firstLineChars="200"/>
        <w:rPr>
          <w:rFonts w:hint="eastAsia" w:ascii="宋体" w:hAnsi="宋体"/>
          <w:szCs w:val="21"/>
        </w:rPr>
      </w:pPr>
      <w:r>
        <w:rPr>
          <w:rFonts w:hint="eastAsia" w:ascii="宋体" w:hAnsi="宋体"/>
          <w:szCs w:val="21"/>
        </w:rPr>
        <w:t>签署验收款支付函后，卖方提供相关技术服务的约定：</w:t>
      </w:r>
    </w:p>
    <w:p w14:paraId="349AC2EF">
      <w:pPr>
        <w:tabs>
          <w:tab w:val="left" w:pos="1134"/>
        </w:tabs>
        <w:spacing w:line="360" w:lineRule="auto"/>
        <w:ind w:firstLine="420" w:firstLineChars="200"/>
        <w:rPr>
          <w:rFonts w:ascii="宋体" w:hAnsi="宋体"/>
          <w:szCs w:val="21"/>
          <w:u w:val="single"/>
        </w:rPr>
      </w:pPr>
      <w:r>
        <w:rPr>
          <w:rFonts w:hint="eastAsia" w:ascii="宋体" w:hAnsi="宋体" w:eastAsia="宋体" w:cs="宋体"/>
          <w:caps w:val="0"/>
          <w:smallCaps w:val="0"/>
          <w:color w:val="000000"/>
          <w:sz w:val="21"/>
          <w:szCs w:val="21"/>
          <w:highlight w:val="none"/>
          <w:u w:val="single"/>
        </w:rPr>
        <w:t>在质保期内，卖方应无偿提技术服务与支持</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每半年至少进行一次定期巡检，巡检内容包括</w:t>
      </w:r>
      <w:r>
        <w:rPr>
          <w:rFonts w:hint="eastAsia" w:ascii="宋体" w:hAnsi="宋体" w:eastAsia="宋体" w:cs="宋体"/>
          <w:caps w:val="0"/>
          <w:smallCaps w:val="0"/>
          <w:color w:val="000000"/>
          <w:sz w:val="21"/>
          <w:szCs w:val="21"/>
          <w:highlight w:val="none"/>
          <w:u w:val="single"/>
        </w:rPr>
        <w:t>检查</w:t>
      </w:r>
      <w:r>
        <w:rPr>
          <w:rFonts w:hint="eastAsia" w:ascii="宋体" w:hAnsi="宋体" w:eastAsia="宋体" w:cs="宋体"/>
          <w:caps w:val="0"/>
          <w:smallCaps w:val="0"/>
          <w:color w:val="000000"/>
          <w:sz w:val="21"/>
          <w:szCs w:val="21"/>
          <w:highlight w:val="none"/>
          <w:u w:val="single"/>
          <w:lang w:val="en-US" w:eastAsia="zh-CN"/>
        </w:rPr>
        <w:t>设备</w:t>
      </w:r>
      <w:r>
        <w:rPr>
          <w:rFonts w:hint="eastAsia" w:ascii="宋体" w:hAnsi="宋体" w:eastAsia="宋体" w:cs="宋体"/>
          <w:caps w:val="0"/>
          <w:smallCaps w:val="0"/>
          <w:color w:val="000000"/>
          <w:sz w:val="21"/>
          <w:szCs w:val="21"/>
          <w:highlight w:val="none"/>
          <w:u w:val="single"/>
        </w:rPr>
        <w:t>运行状态、调试数据、检查安全附件、对买方的操作和维护人员进行现场指导、提供</w:t>
      </w:r>
      <w:r>
        <w:rPr>
          <w:rFonts w:hint="eastAsia" w:ascii="宋体" w:hAnsi="宋体" w:cs="宋体"/>
          <w:caps w:val="0"/>
          <w:smallCaps w:val="0"/>
          <w:color w:val="000000"/>
          <w:sz w:val="21"/>
          <w:szCs w:val="21"/>
          <w:highlight w:val="none"/>
          <w:u w:val="single"/>
          <w:lang w:val="en-US" w:eastAsia="zh-CN"/>
        </w:rPr>
        <w:t>系统统</w:t>
      </w:r>
      <w:r>
        <w:rPr>
          <w:rFonts w:hint="eastAsia" w:ascii="宋体" w:hAnsi="宋体" w:eastAsia="宋体" w:cs="宋体"/>
          <w:caps w:val="0"/>
          <w:smallCaps w:val="0"/>
          <w:color w:val="000000"/>
          <w:sz w:val="21"/>
          <w:szCs w:val="21"/>
          <w:highlight w:val="none"/>
          <w:u w:val="single"/>
        </w:rPr>
        <w:t>运行优化</w:t>
      </w:r>
      <w:r>
        <w:rPr>
          <w:rFonts w:hint="eastAsia" w:ascii="宋体" w:hAnsi="宋体" w:eastAsia="宋体" w:cs="宋体"/>
          <w:caps w:val="0"/>
          <w:smallCaps w:val="0"/>
          <w:color w:val="000000"/>
          <w:sz w:val="21"/>
          <w:szCs w:val="21"/>
          <w:highlight w:val="none"/>
          <w:u w:val="single"/>
          <w:lang w:val="en-US" w:eastAsia="zh-CN"/>
        </w:rPr>
        <w:t>措施</w:t>
      </w:r>
      <w:r>
        <w:rPr>
          <w:rFonts w:hint="eastAsia" w:ascii="宋体" w:hAnsi="宋体" w:eastAsia="宋体" w:cs="宋体"/>
          <w:caps w:val="0"/>
          <w:smallCaps w:val="0"/>
          <w:color w:val="000000"/>
          <w:sz w:val="21"/>
          <w:szCs w:val="21"/>
          <w:highlight w:val="none"/>
          <w:u w:val="single"/>
        </w:rPr>
        <w:t>并提交书面巡检报告</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 xml:space="preserve"> 提供</w:t>
      </w:r>
      <w:r>
        <w:rPr>
          <w:rFonts w:hint="eastAsia" w:ascii="宋体" w:hAnsi="宋体" w:eastAsia="宋体" w:cs="宋体"/>
          <w:caps w:val="0"/>
          <w:smallCaps w:val="0"/>
          <w:color w:val="000000"/>
          <w:sz w:val="21"/>
          <w:szCs w:val="21"/>
          <w:highlight w:val="none"/>
          <w:u w:val="single"/>
          <w:lang w:val="en-US" w:eastAsia="zh-CN"/>
        </w:rPr>
        <w:t>全天</w:t>
      </w:r>
      <w:r>
        <w:rPr>
          <w:rFonts w:hint="eastAsia" w:ascii="宋体" w:hAnsi="宋体" w:eastAsia="宋体" w:cs="宋体"/>
          <w:caps w:val="0"/>
          <w:smallCaps w:val="0"/>
          <w:color w:val="000000"/>
          <w:sz w:val="21"/>
          <w:szCs w:val="21"/>
          <w:highlight w:val="none"/>
          <w:u w:val="single"/>
        </w:rPr>
        <w:t>免费热线电话或在线支持，解答买方操作人员提出的技术问题，指导进行故障排查和应急处理。</w:t>
      </w:r>
    </w:p>
    <w:p w14:paraId="267CB767">
      <w:pPr>
        <w:tabs>
          <w:tab w:val="left" w:pos="1134"/>
        </w:tabs>
        <w:spacing w:line="360" w:lineRule="auto"/>
        <w:ind w:firstLine="420" w:firstLineChars="200"/>
        <w:rPr>
          <w:rFonts w:ascii="宋体" w:hAnsi="宋体"/>
          <w:szCs w:val="21"/>
        </w:rPr>
      </w:pPr>
      <w:r>
        <w:rPr>
          <w:rFonts w:hint="eastAsia" w:ascii="宋体" w:hAnsi="宋体"/>
          <w:szCs w:val="21"/>
        </w:rPr>
        <w:t>6.4.3</w:t>
      </w:r>
      <w:r>
        <w:rPr>
          <w:rFonts w:ascii="宋体" w:hAnsi="宋体"/>
          <w:szCs w:val="21"/>
        </w:rPr>
        <w:t xml:space="preserve"> </w:t>
      </w:r>
      <w:r>
        <w:rPr>
          <w:rFonts w:hint="eastAsia" w:ascii="宋体" w:hAnsi="宋体"/>
          <w:szCs w:val="21"/>
        </w:rPr>
        <w:t>因买方原因未能及时组织考核的约定：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008ED5A3">
      <w:pPr>
        <w:tabs>
          <w:tab w:val="left" w:pos="1134"/>
        </w:tabs>
        <w:spacing w:line="360" w:lineRule="auto"/>
        <w:ind w:firstLine="420" w:firstLineChars="200"/>
        <w:rPr>
          <w:rFonts w:ascii="宋体" w:hAnsi="宋体"/>
          <w:szCs w:val="21"/>
          <w:u w:val="single"/>
        </w:rPr>
      </w:pPr>
      <w:r>
        <w:rPr>
          <w:rFonts w:hint="eastAsia" w:ascii="宋体" w:hAnsi="宋体"/>
          <w:szCs w:val="21"/>
        </w:rPr>
        <w:t>因买方原因未能及时组织考核，签署验收款支付函时间的约定：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1EB194FE">
      <w:pPr>
        <w:tabs>
          <w:tab w:val="left" w:pos="1134"/>
        </w:tabs>
        <w:spacing w:line="360" w:lineRule="auto"/>
        <w:ind w:firstLine="420" w:firstLineChars="200"/>
        <w:rPr>
          <w:rFonts w:ascii="宋体" w:hAnsi="宋体"/>
          <w:szCs w:val="21"/>
          <w:u w:val="single"/>
        </w:rPr>
      </w:pPr>
      <w:r>
        <w:rPr>
          <w:rFonts w:hint="eastAsia" w:ascii="宋体" w:hAnsi="宋体"/>
          <w:szCs w:val="21"/>
        </w:rPr>
        <w:t>签署验收款支付函后，卖方提供相关技术服务的约定：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szCs w:val="21"/>
          <w:u w:val="single"/>
        </w:rPr>
        <w:t xml:space="preserve">      </w:t>
      </w:r>
      <w:r>
        <w:rPr>
          <w:rFonts w:hint="eastAsia" w:ascii="宋体" w:hAnsi="宋体"/>
          <w:szCs w:val="21"/>
        </w:rPr>
        <w:t>。</w:t>
      </w:r>
    </w:p>
    <w:p w14:paraId="52C04E7E">
      <w:pPr>
        <w:pStyle w:val="97"/>
        <w:keepNext w:val="0"/>
        <w:keepLines w:val="0"/>
        <w:tabs>
          <w:tab w:val="left" w:pos="567"/>
        </w:tabs>
        <w:spacing w:before="156" w:after="156"/>
        <w:rPr>
          <w:rFonts w:eastAsia="宋体" w:cs="Times New Roman"/>
          <w:b/>
          <w:bCs/>
          <w:sz w:val="32"/>
          <w:szCs w:val="32"/>
        </w:rPr>
      </w:pPr>
      <w:bookmarkStart w:id="809" w:name="_Toc531098987"/>
      <w:bookmarkStart w:id="810" w:name="_Toc5727"/>
      <w:bookmarkStart w:id="811" w:name="_Toc1656"/>
      <w:bookmarkStart w:id="812" w:name="_Toc30086"/>
      <w:bookmarkStart w:id="813" w:name="_Toc32030"/>
      <w:bookmarkStart w:id="814" w:name="_Toc4686"/>
      <w:bookmarkStart w:id="815" w:name="_Toc22072"/>
      <w:bookmarkStart w:id="816" w:name="_Toc531606351"/>
      <w:r>
        <w:rPr>
          <w:rFonts w:hint="eastAsia" w:eastAsia="宋体" w:cs="Times New Roman"/>
          <w:b/>
          <w:bCs/>
          <w:sz w:val="32"/>
          <w:szCs w:val="32"/>
        </w:rPr>
        <w:t>7. 技术服务</w:t>
      </w:r>
      <w:bookmarkEnd w:id="809"/>
      <w:bookmarkEnd w:id="810"/>
      <w:bookmarkEnd w:id="811"/>
      <w:bookmarkEnd w:id="812"/>
      <w:bookmarkEnd w:id="813"/>
      <w:bookmarkEnd w:id="814"/>
      <w:bookmarkEnd w:id="815"/>
      <w:bookmarkEnd w:id="816"/>
    </w:p>
    <w:p w14:paraId="63F84AE9">
      <w:pPr>
        <w:tabs>
          <w:tab w:val="left" w:pos="1134"/>
        </w:tabs>
        <w:spacing w:line="360" w:lineRule="auto"/>
        <w:ind w:firstLine="420" w:firstLineChars="200"/>
        <w:rPr>
          <w:rFonts w:hint="eastAsia" w:ascii="宋体" w:hAnsi="宋体"/>
          <w:szCs w:val="21"/>
        </w:rPr>
      </w:pPr>
      <w:r>
        <w:rPr>
          <w:rFonts w:hint="eastAsia" w:ascii="宋体" w:hAnsi="宋体"/>
          <w:szCs w:val="21"/>
        </w:rPr>
        <w:t>7</w:t>
      </w:r>
      <w:r>
        <w:rPr>
          <w:rFonts w:ascii="宋体" w:hAnsi="宋体"/>
          <w:szCs w:val="21"/>
        </w:rPr>
        <w:t xml:space="preserve">.2 </w:t>
      </w:r>
      <w:r>
        <w:rPr>
          <w:rFonts w:hint="eastAsia" w:ascii="宋体" w:hAnsi="宋体"/>
          <w:szCs w:val="21"/>
        </w:rPr>
        <w:t>卖方技术人员的交通、食宿费用承担的约定：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000000"/>
          <w:sz w:val="21"/>
          <w:szCs w:val="21"/>
          <w:highlight w:val="none"/>
          <w:u w:val="single"/>
          <w:lang w:val="en-US" w:eastAsia="zh-CN"/>
        </w:rPr>
        <w:t>由卖方承担</w:t>
      </w:r>
      <w:r>
        <w:rPr>
          <w:rFonts w:hint="eastAsia" w:ascii="宋体" w:hAnsi="宋体"/>
          <w:szCs w:val="21"/>
          <w:u w:val="single"/>
        </w:rPr>
        <w:t xml:space="preserve">   </w:t>
      </w:r>
      <w:r>
        <w:rPr>
          <w:rFonts w:hint="eastAsia" w:ascii="宋体" w:hAnsi="宋体"/>
          <w:szCs w:val="21"/>
        </w:rPr>
        <w:t>。</w:t>
      </w:r>
    </w:p>
    <w:p w14:paraId="76ACB932">
      <w:pPr>
        <w:tabs>
          <w:tab w:val="left" w:pos="1134"/>
        </w:tabs>
        <w:spacing w:line="360" w:lineRule="auto"/>
        <w:ind w:firstLine="420" w:firstLineChars="200"/>
        <w:rPr>
          <w:rFonts w:ascii="宋体" w:hAnsi="宋体" w:cs="宋体"/>
          <w:szCs w:val="21"/>
          <w:u w:val="single"/>
        </w:rPr>
      </w:pPr>
      <w:r>
        <w:rPr>
          <w:rFonts w:hint="eastAsia" w:ascii="宋体" w:hAnsi="宋体"/>
          <w:szCs w:val="21"/>
          <w:lang w:val="en-US" w:eastAsia="zh-CN"/>
        </w:rPr>
        <w:t>7.5</w:t>
      </w:r>
      <w:r>
        <w:rPr>
          <w:rFonts w:hint="eastAsia" w:ascii="宋体" w:hAnsi="宋体" w:cs="宋体"/>
          <w:szCs w:val="21"/>
        </w:rPr>
        <w:t>卖方的技术服务包括但不限于：</w:t>
      </w:r>
      <w:r>
        <w:rPr>
          <w:rFonts w:hint="eastAsia" w:ascii="宋体" w:hAnsi="宋体" w:cs="宋体"/>
          <w:szCs w:val="21"/>
          <w:u w:val="single"/>
        </w:rPr>
        <w:t>就本合同设备的安装和调试进行技术服务，对预试车、投料试车、考核等给予技术服务指导并对买方现场人员进行培训。</w:t>
      </w:r>
    </w:p>
    <w:p w14:paraId="734FD222">
      <w:pPr>
        <w:pStyle w:val="17"/>
        <w:rPr>
          <w:rFonts w:hint="default" w:eastAsia="宋体"/>
          <w:lang w:val="en-US" w:eastAsia="zh-CN"/>
        </w:rPr>
      </w:pPr>
    </w:p>
    <w:p w14:paraId="3A924FB7">
      <w:pPr>
        <w:pStyle w:val="97"/>
        <w:keepNext w:val="0"/>
        <w:keepLines w:val="0"/>
        <w:tabs>
          <w:tab w:val="left" w:pos="567"/>
        </w:tabs>
        <w:spacing w:before="156" w:after="156"/>
        <w:rPr>
          <w:rFonts w:eastAsia="宋体" w:cs="Times New Roman"/>
          <w:b/>
          <w:bCs/>
          <w:sz w:val="32"/>
          <w:szCs w:val="32"/>
        </w:rPr>
      </w:pPr>
      <w:bookmarkStart w:id="817" w:name="_Toc18897"/>
      <w:bookmarkStart w:id="818" w:name="_Toc2881831"/>
      <w:bookmarkStart w:id="819" w:name="_Toc1172"/>
      <w:bookmarkStart w:id="820" w:name="_Toc867"/>
      <w:bookmarkStart w:id="821" w:name="_Toc11636"/>
      <w:bookmarkStart w:id="822" w:name="_Toc17139"/>
      <w:bookmarkStart w:id="823" w:name="_Toc30125"/>
      <w:r>
        <w:rPr>
          <w:rFonts w:hint="eastAsia" w:eastAsia="宋体" w:cs="Times New Roman"/>
          <w:b/>
          <w:bCs/>
          <w:sz w:val="32"/>
          <w:szCs w:val="32"/>
        </w:rPr>
        <w:t>8. 质量保证期</w:t>
      </w:r>
      <w:bookmarkEnd w:id="808"/>
      <w:bookmarkEnd w:id="817"/>
      <w:bookmarkEnd w:id="818"/>
      <w:bookmarkEnd w:id="819"/>
      <w:bookmarkEnd w:id="820"/>
      <w:bookmarkEnd w:id="821"/>
      <w:bookmarkEnd w:id="822"/>
      <w:bookmarkEnd w:id="823"/>
    </w:p>
    <w:p w14:paraId="06BB29CC">
      <w:pPr>
        <w:tabs>
          <w:tab w:val="left" w:pos="1134"/>
        </w:tabs>
        <w:spacing w:line="360" w:lineRule="auto"/>
        <w:ind w:firstLine="420" w:firstLineChars="200"/>
        <w:rPr>
          <w:rFonts w:ascii="宋体" w:hAnsi="宋体"/>
          <w:szCs w:val="21"/>
          <w:u w:val="single"/>
        </w:rPr>
      </w:pPr>
      <w:r>
        <w:rPr>
          <w:rFonts w:hint="eastAsia" w:ascii="宋体" w:hAnsi="宋体"/>
          <w:szCs w:val="21"/>
        </w:rPr>
        <w:t>8</w:t>
      </w:r>
      <w:r>
        <w:rPr>
          <w:rFonts w:ascii="宋体" w:hAnsi="宋体"/>
          <w:szCs w:val="21"/>
        </w:rPr>
        <w:t xml:space="preserve">.1 </w:t>
      </w:r>
      <w:r>
        <w:rPr>
          <w:rFonts w:hint="eastAsia" w:ascii="宋体" w:hAnsi="宋体"/>
          <w:szCs w:val="21"/>
        </w:rPr>
        <w:t>合同设备整体质量保证期</w:t>
      </w:r>
      <w:r>
        <w:rPr>
          <w:rFonts w:hint="eastAsia" w:ascii="宋体" w:hAnsi="宋体"/>
        </w:rPr>
        <w:t>为</w:t>
      </w:r>
      <w:r>
        <w:rPr>
          <w:rFonts w:hint="eastAsia" w:ascii="宋体" w:hAnsi="宋体"/>
          <w:u w:val="single"/>
        </w:rPr>
        <w:t>验收合格之日起</w:t>
      </w:r>
      <w:r>
        <w:rPr>
          <w:rFonts w:hint="eastAsia"/>
          <w:u w:val="single"/>
          <w:lang w:val="en-US" w:eastAsia="zh-CN"/>
        </w:rPr>
        <w:t xml:space="preserve">        </w:t>
      </w:r>
      <w:r>
        <w:rPr>
          <w:rFonts w:hint="eastAsia" w:ascii="宋体" w:hAnsi="宋体"/>
          <w:u w:val="single"/>
        </w:rPr>
        <w:t>个月</w:t>
      </w:r>
      <w:r>
        <w:rPr>
          <w:rFonts w:hint="eastAsia" w:ascii="宋体" w:hAnsi="宋体"/>
        </w:rPr>
        <w:t>。</w:t>
      </w:r>
    </w:p>
    <w:p w14:paraId="14AFEB26">
      <w:pPr>
        <w:tabs>
          <w:tab w:val="left" w:pos="1134"/>
        </w:tabs>
        <w:spacing w:line="360" w:lineRule="auto"/>
        <w:ind w:firstLine="420" w:firstLineChars="200"/>
        <w:rPr>
          <w:rFonts w:ascii="宋体" w:hAnsi="宋体"/>
          <w:szCs w:val="21"/>
          <w:u w:val="single"/>
        </w:rPr>
      </w:pPr>
      <w:r>
        <w:rPr>
          <w:rFonts w:hint="eastAsia" w:ascii="宋体" w:hAnsi="宋体"/>
          <w:szCs w:val="21"/>
        </w:rPr>
        <w:t>合同设备中关键部件的质量保证期的特殊要</w:t>
      </w:r>
      <w:r>
        <w:rPr>
          <w:rFonts w:hint="eastAsia" w:ascii="宋体" w:hAnsi="宋体"/>
          <w:color w:val="auto"/>
          <w:szCs w:val="21"/>
        </w:rPr>
        <w:t>求：</w:t>
      </w:r>
      <w:r>
        <w:rPr>
          <w:rFonts w:hint="eastAsia" w:ascii="宋体" w:hAnsi="宋体"/>
          <w:color w:val="auto"/>
          <w:szCs w:val="21"/>
          <w:u w:val="single"/>
        </w:rPr>
        <w:t xml:space="preserve">  </w:t>
      </w:r>
      <w:r>
        <w:rPr>
          <w:rFonts w:hint="eastAsia" w:ascii="宋体" w:hAnsi="宋体"/>
          <w:b/>
          <w:bCs/>
          <w:snapToGrid w:val="0"/>
          <w:color w:val="auto"/>
          <w:kern w:val="0"/>
          <w:sz w:val="21"/>
          <w:szCs w:val="21"/>
          <w:highlight w:val="none"/>
          <w:u w:val="single"/>
          <w:lang w:val="en-US" w:eastAsia="zh-CN"/>
        </w:rPr>
        <w:t xml:space="preserve">/ </w:t>
      </w:r>
      <w:r>
        <w:rPr>
          <w:rFonts w:hint="eastAsia" w:ascii="宋体" w:hAnsi="宋体"/>
          <w:color w:val="auto"/>
          <w:szCs w:val="21"/>
          <w:u w:val="single"/>
        </w:rPr>
        <w:t xml:space="preserve"> </w:t>
      </w:r>
      <w:r>
        <w:rPr>
          <w:rFonts w:hint="eastAsia" w:ascii="宋体" w:hAnsi="宋体"/>
          <w:color w:val="auto"/>
          <w:szCs w:val="21"/>
        </w:rPr>
        <w:t>。</w:t>
      </w:r>
    </w:p>
    <w:p w14:paraId="667EBE23">
      <w:pPr>
        <w:tabs>
          <w:tab w:val="left" w:pos="1134"/>
        </w:tabs>
        <w:spacing w:line="360" w:lineRule="auto"/>
        <w:ind w:firstLine="420" w:firstLineChars="200"/>
        <w:rPr>
          <w:rFonts w:ascii="宋体" w:hAnsi="宋体"/>
          <w:szCs w:val="21"/>
        </w:rPr>
      </w:pPr>
      <w:r>
        <w:rPr>
          <w:rFonts w:ascii="宋体" w:hAnsi="宋体"/>
          <w:szCs w:val="21"/>
        </w:rPr>
        <w:t xml:space="preserve">8.3 </w:t>
      </w:r>
      <w:r>
        <w:rPr>
          <w:rFonts w:hint="eastAsia" w:ascii="宋体" w:hAnsi="宋体"/>
          <w:szCs w:val="21"/>
        </w:rPr>
        <w:t>买方向卖方出具合同设备的质量保证期届满证书时间的约定：</w:t>
      </w:r>
      <w:r>
        <w:rPr>
          <w:rFonts w:hint="eastAsia" w:ascii="宋体" w:hAnsi="宋体"/>
          <w:szCs w:val="21"/>
          <w:u w:val="single"/>
        </w:rPr>
        <w:t>在</w:t>
      </w:r>
      <w:r>
        <w:rPr>
          <w:rFonts w:hint="eastAsia" w:ascii="宋体" w:hAnsi="宋体"/>
          <w:u w:val="single"/>
        </w:rPr>
        <w:t>质量保证期届满后</w:t>
      </w:r>
      <w:r>
        <w:rPr>
          <w:rFonts w:hint="eastAsia" w:ascii="宋体" w:hAnsi="宋体"/>
          <w:u w:val="single"/>
          <w:lang w:val="en-US" w:eastAsia="zh-CN"/>
        </w:rPr>
        <w:t>14</w:t>
      </w:r>
      <w:r>
        <w:rPr>
          <w:rFonts w:hint="eastAsia" w:ascii="宋体" w:hAnsi="宋体"/>
          <w:u w:val="single"/>
        </w:rPr>
        <w:t>日内</w:t>
      </w:r>
      <w:r>
        <w:rPr>
          <w:rFonts w:hint="eastAsia" w:ascii="宋体" w:hAnsi="宋体"/>
        </w:rPr>
        <w:t>。</w:t>
      </w:r>
    </w:p>
    <w:p w14:paraId="046033AD">
      <w:pPr>
        <w:tabs>
          <w:tab w:val="left" w:pos="1134"/>
        </w:tabs>
        <w:spacing w:line="360" w:lineRule="auto"/>
        <w:ind w:firstLine="420" w:firstLineChars="200"/>
        <w:rPr>
          <w:rFonts w:ascii="宋体" w:hAnsi="宋体"/>
          <w:color w:val="auto"/>
          <w:szCs w:val="21"/>
          <w:u w:val="single"/>
        </w:rPr>
      </w:pPr>
      <w:bookmarkStart w:id="824" w:name="_Toc15068"/>
      <w:bookmarkStart w:id="825" w:name="_Toc20907"/>
      <w:bookmarkStart w:id="826" w:name="_Toc6749"/>
      <w:bookmarkStart w:id="827" w:name="_Toc15063"/>
      <w:bookmarkStart w:id="828" w:name="_Toc32645"/>
      <w:r>
        <w:rPr>
          <w:rFonts w:ascii="宋体" w:hAnsi="宋体"/>
          <w:color w:val="auto"/>
          <w:szCs w:val="21"/>
        </w:rPr>
        <w:t>8.</w:t>
      </w:r>
      <w:r>
        <w:rPr>
          <w:rFonts w:hint="eastAsia" w:ascii="宋体" w:hAnsi="宋体"/>
          <w:color w:val="auto"/>
          <w:szCs w:val="21"/>
        </w:rPr>
        <w:t>4</w:t>
      </w:r>
      <w:r>
        <w:rPr>
          <w:rFonts w:ascii="宋体" w:hAnsi="宋体"/>
          <w:color w:val="auto"/>
          <w:szCs w:val="21"/>
        </w:rPr>
        <w:t xml:space="preserve"> </w:t>
      </w:r>
      <w:r>
        <w:rPr>
          <w:rFonts w:hint="eastAsia" w:ascii="宋体" w:hAnsi="宋体"/>
          <w:color w:val="auto"/>
        </w:rPr>
        <w:t>在通用合同条款第</w:t>
      </w:r>
      <w:r>
        <w:rPr>
          <w:color w:val="auto"/>
        </w:rPr>
        <w:t>6.4.2</w:t>
      </w:r>
      <w:r>
        <w:rPr>
          <w:rFonts w:hint="eastAsia" w:ascii="宋体" w:hAnsi="宋体"/>
          <w:color w:val="auto"/>
        </w:rPr>
        <w:t>项情形下，如在验收款支付函签署后</w:t>
      </w:r>
      <w:r>
        <w:rPr>
          <w:color w:val="auto"/>
        </w:rPr>
        <w:t>12</w:t>
      </w:r>
      <w:r>
        <w:rPr>
          <w:rFonts w:hint="eastAsia" w:ascii="宋体" w:hAnsi="宋体"/>
          <w:color w:val="auto"/>
        </w:rPr>
        <w:t>个月内由于买方原因合同设备仍未能达到技术性能考核指标，则买卖双方应在</w:t>
      </w:r>
      <w:r>
        <w:rPr>
          <w:rFonts w:hint="eastAsia" w:ascii="宋体" w:hAnsi="宋体"/>
          <w:color w:val="auto"/>
          <w:u w:val="single"/>
          <w:lang w:val="en-US" w:eastAsia="zh-CN"/>
        </w:rPr>
        <w:t>30</w:t>
      </w:r>
      <w:r>
        <w:rPr>
          <w:rFonts w:hint="eastAsia" w:ascii="宋体" w:hAnsi="宋体"/>
          <w:color w:val="auto"/>
        </w:rPr>
        <w:t>日内签署结清款支付函。</w:t>
      </w:r>
    </w:p>
    <w:p w14:paraId="31B79333">
      <w:pPr>
        <w:tabs>
          <w:tab w:val="left" w:pos="1134"/>
        </w:tabs>
        <w:spacing w:line="360" w:lineRule="auto"/>
        <w:ind w:firstLine="420" w:firstLineChars="200"/>
        <w:rPr>
          <w:rFonts w:ascii="宋体" w:hAnsi="宋体"/>
          <w:color w:val="auto"/>
          <w:szCs w:val="21"/>
          <w:u w:val="single"/>
        </w:rPr>
      </w:pPr>
      <w:r>
        <w:rPr>
          <w:rFonts w:ascii="宋体" w:hAnsi="宋体"/>
          <w:color w:val="auto"/>
          <w:szCs w:val="21"/>
        </w:rPr>
        <w:t>8.</w:t>
      </w:r>
      <w:r>
        <w:rPr>
          <w:rFonts w:hint="eastAsia" w:ascii="宋体" w:hAnsi="宋体"/>
          <w:color w:val="auto"/>
          <w:szCs w:val="21"/>
        </w:rPr>
        <w:t>5</w:t>
      </w:r>
      <w:r>
        <w:rPr>
          <w:rFonts w:ascii="宋体" w:hAnsi="宋体"/>
          <w:color w:val="auto"/>
          <w:szCs w:val="21"/>
        </w:rPr>
        <w:t xml:space="preserve"> </w:t>
      </w:r>
      <w:r>
        <w:rPr>
          <w:rFonts w:hint="eastAsia" w:ascii="宋体" w:hAnsi="宋体"/>
          <w:color w:val="auto"/>
        </w:rPr>
        <w:t>在通用合同条款第</w:t>
      </w:r>
      <w:r>
        <w:rPr>
          <w:color w:val="auto"/>
        </w:rPr>
        <w:t>6.4.3</w:t>
      </w:r>
      <w:r>
        <w:rPr>
          <w:rFonts w:hint="eastAsia" w:ascii="宋体" w:hAnsi="宋体"/>
          <w:color w:val="auto"/>
        </w:rPr>
        <w:t>项情形下，如在验收款支付函签署后</w:t>
      </w:r>
      <w:r>
        <w:rPr>
          <w:color w:val="auto"/>
        </w:rPr>
        <w:t>6</w:t>
      </w:r>
      <w:r>
        <w:rPr>
          <w:rFonts w:hint="eastAsia" w:ascii="宋体" w:hAnsi="宋体"/>
          <w:color w:val="auto"/>
        </w:rPr>
        <w:t>个月内由于买方原因合同设备仍未进行考核或仍未达到技术性能考核指标，则买卖双方应在</w:t>
      </w:r>
      <w:r>
        <w:rPr>
          <w:rFonts w:hint="eastAsia" w:ascii="宋体" w:hAnsi="宋体"/>
          <w:color w:val="auto"/>
          <w:u w:val="single"/>
        </w:rPr>
        <w:t xml:space="preserve"> </w:t>
      </w:r>
      <w:r>
        <w:rPr>
          <w:rFonts w:hint="eastAsia" w:ascii="宋体" w:hAnsi="宋体"/>
          <w:color w:val="auto"/>
          <w:u w:val="single"/>
          <w:lang w:val="en-US" w:eastAsia="zh-CN"/>
        </w:rPr>
        <w:t>30</w:t>
      </w:r>
      <w:r>
        <w:rPr>
          <w:rFonts w:hint="eastAsia" w:ascii="宋体" w:hAnsi="宋体"/>
          <w:color w:val="auto"/>
          <w:u w:val="single"/>
        </w:rPr>
        <w:t xml:space="preserve"> </w:t>
      </w:r>
      <w:r>
        <w:rPr>
          <w:rFonts w:hint="eastAsia" w:ascii="宋体" w:hAnsi="宋体"/>
          <w:color w:val="auto"/>
        </w:rPr>
        <w:t>日内签署结清款支付函。</w:t>
      </w:r>
    </w:p>
    <w:p w14:paraId="3D42E7D1">
      <w:pPr>
        <w:pStyle w:val="97"/>
        <w:keepNext w:val="0"/>
        <w:keepLines w:val="0"/>
        <w:tabs>
          <w:tab w:val="left" w:pos="567"/>
        </w:tabs>
        <w:spacing w:before="156" w:after="156"/>
        <w:rPr>
          <w:rFonts w:eastAsia="宋体" w:cs="Times New Roman"/>
          <w:b/>
          <w:bCs/>
          <w:sz w:val="32"/>
          <w:szCs w:val="32"/>
        </w:rPr>
      </w:pPr>
      <w:bookmarkStart w:id="829" w:name="_Toc5008"/>
      <w:r>
        <w:rPr>
          <w:rFonts w:hint="eastAsia" w:eastAsia="宋体" w:cs="Times New Roman"/>
          <w:b/>
          <w:bCs/>
          <w:sz w:val="32"/>
          <w:szCs w:val="32"/>
        </w:rPr>
        <w:t xml:space="preserve">9. </w:t>
      </w:r>
      <w:r>
        <w:rPr>
          <w:rFonts w:hint="eastAsia" w:eastAsia="宋体" w:cs="Times New Roman"/>
          <w:b/>
          <w:bCs/>
          <w:sz w:val="32"/>
          <w:szCs w:val="32"/>
          <w:lang w:eastAsia="zh-CN"/>
        </w:rPr>
        <w:t>质量保证期</w:t>
      </w:r>
      <w:r>
        <w:rPr>
          <w:rFonts w:hint="eastAsia" w:eastAsia="宋体" w:cs="Times New Roman"/>
          <w:b/>
          <w:bCs/>
          <w:sz w:val="32"/>
          <w:szCs w:val="32"/>
        </w:rPr>
        <w:t>服务</w:t>
      </w:r>
      <w:bookmarkEnd w:id="824"/>
      <w:bookmarkEnd w:id="825"/>
      <w:bookmarkEnd w:id="826"/>
      <w:bookmarkEnd w:id="827"/>
      <w:bookmarkEnd w:id="828"/>
      <w:bookmarkEnd w:id="829"/>
    </w:p>
    <w:p w14:paraId="7F802597">
      <w:pPr>
        <w:tabs>
          <w:tab w:val="left" w:pos="1134"/>
        </w:tabs>
        <w:spacing w:line="360" w:lineRule="auto"/>
        <w:ind w:firstLine="420" w:firstLineChars="200"/>
        <w:rPr>
          <w:rFonts w:ascii="宋体" w:hAnsi="宋体"/>
          <w:szCs w:val="21"/>
        </w:rPr>
      </w:pPr>
      <w:r>
        <w:rPr>
          <w:rFonts w:hint="eastAsia" w:ascii="宋体" w:hAnsi="宋体"/>
          <w:szCs w:val="21"/>
        </w:rPr>
        <w:t>9</w:t>
      </w:r>
      <w:r>
        <w:rPr>
          <w:rFonts w:ascii="宋体" w:hAnsi="宋体"/>
          <w:szCs w:val="21"/>
        </w:rPr>
        <w:t xml:space="preserve">.1 </w:t>
      </w:r>
      <w:r>
        <w:rPr>
          <w:rFonts w:hint="eastAsia" w:ascii="宋体" w:hAnsi="宋体"/>
          <w:szCs w:val="21"/>
          <w:lang w:eastAsia="zh-CN"/>
        </w:rPr>
        <w:t>质量保证期</w:t>
      </w:r>
      <w:r>
        <w:rPr>
          <w:rFonts w:hint="eastAsia" w:ascii="宋体" w:hAnsi="宋体"/>
          <w:szCs w:val="21"/>
        </w:rPr>
        <w:t>服务响应的约定：</w:t>
      </w:r>
    </w:p>
    <w:p w14:paraId="798B6731">
      <w:pPr>
        <w:tabs>
          <w:tab w:val="left" w:pos="1134"/>
        </w:tabs>
        <w:spacing w:line="360" w:lineRule="auto"/>
        <w:ind w:firstLine="420" w:firstLineChars="200"/>
        <w:rPr>
          <w:rFonts w:ascii="宋体" w:hAnsi="宋体"/>
          <w:szCs w:val="21"/>
          <w:u w:val="single"/>
        </w:rPr>
      </w:pPr>
      <w:r>
        <w:rPr>
          <w:rFonts w:hint="eastAsia" w:ascii="宋体" w:hAnsi="宋体"/>
          <w:szCs w:val="21"/>
          <w:u w:val="single"/>
        </w:rPr>
        <w:t xml:space="preserve">（1）卖方应在收到买方通知后 </w:t>
      </w:r>
      <w:r>
        <w:rPr>
          <w:rFonts w:hint="eastAsia" w:ascii="宋体" w:hAnsi="宋体"/>
          <w:szCs w:val="21"/>
          <w:u w:val="single"/>
          <w:lang w:val="en-US" w:eastAsia="zh-CN"/>
        </w:rPr>
        <w:t>2</w:t>
      </w:r>
      <w:r>
        <w:rPr>
          <w:rFonts w:hint="eastAsia" w:ascii="宋体" w:hAnsi="宋体"/>
          <w:szCs w:val="21"/>
          <w:u w:val="single"/>
        </w:rPr>
        <w:t xml:space="preserve"> 小时内做出响应；</w:t>
      </w:r>
    </w:p>
    <w:p w14:paraId="20269351">
      <w:pPr>
        <w:tabs>
          <w:tab w:val="left" w:pos="1134"/>
        </w:tabs>
        <w:spacing w:line="360" w:lineRule="auto"/>
        <w:ind w:firstLine="420" w:firstLineChars="200"/>
        <w:rPr>
          <w:rFonts w:ascii="宋体" w:hAnsi="宋体"/>
          <w:szCs w:val="21"/>
          <w:u w:val="single"/>
        </w:rPr>
      </w:pPr>
      <w:r>
        <w:rPr>
          <w:rFonts w:hint="eastAsia" w:ascii="宋体" w:hAnsi="宋体"/>
          <w:szCs w:val="21"/>
          <w:u w:val="single"/>
        </w:rPr>
        <w:t xml:space="preserve">（2）卖方应在收到买方通知后 </w:t>
      </w:r>
      <w:r>
        <w:rPr>
          <w:rFonts w:hint="eastAsia" w:ascii="宋体" w:hAnsi="宋体"/>
          <w:szCs w:val="21"/>
          <w:u w:val="single"/>
          <w:lang w:val="en-US" w:eastAsia="zh-CN"/>
        </w:rPr>
        <w:t>24</w:t>
      </w:r>
      <w:r>
        <w:rPr>
          <w:rFonts w:hint="eastAsia" w:ascii="宋体" w:hAnsi="宋体"/>
          <w:szCs w:val="21"/>
          <w:u w:val="single"/>
        </w:rPr>
        <w:t xml:space="preserve"> 小时内到达合同设备现场；</w:t>
      </w:r>
    </w:p>
    <w:p w14:paraId="445C7386">
      <w:pPr>
        <w:tabs>
          <w:tab w:val="left" w:pos="1134"/>
        </w:tabs>
        <w:spacing w:line="360" w:lineRule="auto"/>
        <w:ind w:firstLine="420" w:firstLineChars="200"/>
        <w:rPr>
          <w:rFonts w:hint="eastAsia" w:ascii="宋体" w:hAnsi="宋体"/>
          <w:szCs w:val="21"/>
          <w:u w:val="single"/>
        </w:rPr>
      </w:pPr>
      <w:r>
        <w:rPr>
          <w:rFonts w:hint="eastAsia" w:ascii="宋体" w:hAnsi="宋体"/>
          <w:szCs w:val="21"/>
          <w:u w:val="single"/>
        </w:rPr>
        <w:t xml:space="preserve">（3）卖方应在到达现场后 </w:t>
      </w:r>
      <w:r>
        <w:rPr>
          <w:rFonts w:hint="eastAsia" w:ascii="宋体" w:hAnsi="宋体"/>
          <w:szCs w:val="21"/>
          <w:u w:val="single"/>
          <w:lang w:val="en-US" w:eastAsia="zh-CN"/>
        </w:rPr>
        <w:t>1</w:t>
      </w:r>
      <w:r>
        <w:rPr>
          <w:rFonts w:hint="eastAsia" w:ascii="宋体" w:hAnsi="宋体"/>
          <w:szCs w:val="21"/>
          <w:u w:val="single"/>
        </w:rPr>
        <w:t xml:space="preserve"> 日内解决合同设备的故障（重大故障除外）；</w:t>
      </w:r>
    </w:p>
    <w:p w14:paraId="532848AB">
      <w:pPr>
        <w:pageBreakBefore w:val="0"/>
        <w:tabs>
          <w:tab w:val="left" w:pos="1134"/>
        </w:tabs>
        <w:topLinePunct w:val="0"/>
        <w:bidi w:val="0"/>
        <w:spacing w:line="360" w:lineRule="auto"/>
        <w:ind w:firstLine="420" w:firstLineChars="200"/>
        <w:rPr>
          <w:rFonts w:hint="default" w:ascii="宋体" w:hAnsi="宋体" w:eastAsia="宋体" w:cs="宋体"/>
          <w:caps w:val="0"/>
          <w:smallCaps w:val="0"/>
          <w:color w:val="000000"/>
          <w:szCs w:val="21"/>
          <w:highlight w:val="none"/>
          <w:u w:val="single"/>
          <w:lang w:val="en-US" w:eastAsia="zh-CN"/>
        </w:rPr>
      </w:pPr>
      <w:r>
        <w:rPr>
          <w:rFonts w:hint="eastAsia" w:ascii="宋体" w:hAnsi="宋体" w:eastAsia="宋体" w:cs="宋体"/>
          <w:caps w:val="0"/>
          <w:smallCaps w:val="0"/>
          <w:color w:val="000000"/>
          <w:szCs w:val="21"/>
          <w:highlight w:val="none"/>
          <w:u w:val="single"/>
          <w:lang w:val="en-US" w:eastAsia="zh-CN"/>
        </w:rPr>
        <w:t>（4）验收完成后，根据买方时间要求，卖</w:t>
      </w:r>
      <w:r>
        <w:rPr>
          <w:rFonts w:hint="eastAsia" w:ascii="宋体" w:hAnsi="宋体" w:eastAsia="宋体" w:cs="宋体"/>
          <w:caps w:val="0"/>
          <w:smallCaps w:val="0"/>
          <w:color w:val="auto"/>
          <w:szCs w:val="21"/>
          <w:highlight w:val="none"/>
          <w:u w:val="single"/>
          <w:lang w:val="en-US" w:eastAsia="zh-CN"/>
        </w:rPr>
        <w:t>方提供</w:t>
      </w:r>
      <w:r>
        <w:rPr>
          <w:rFonts w:hint="eastAsia" w:ascii="宋体" w:hAnsi="宋体" w:cs="宋体"/>
          <w:caps w:val="0"/>
          <w:smallCaps w:val="0"/>
          <w:color w:val="auto"/>
          <w:szCs w:val="21"/>
          <w:highlight w:val="none"/>
          <w:u w:val="single"/>
          <w:lang w:val="en-US" w:eastAsia="zh-CN"/>
        </w:rPr>
        <w:t>累</w:t>
      </w:r>
      <w:r>
        <w:rPr>
          <w:rFonts w:hint="eastAsia" w:ascii="宋体" w:hAnsi="宋体" w:eastAsia="宋体" w:cs="宋体"/>
          <w:caps w:val="0"/>
          <w:smallCaps w:val="0"/>
          <w:color w:val="auto"/>
          <w:szCs w:val="21"/>
          <w:highlight w:val="none"/>
          <w:u w:val="single"/>
          <w:lang w:val="en-US" w:eastAsia="zh-CN"/>
        </w:rPr>
        <w:t>计不低于</w:t>
      </w:r>
      <w:r>
        <w:rPr>
          <w:rFonts w:hint="eastAsia" w:ascii="宋体" w:hAnsi="宋体" w:cs="宋体"/>
          <w:caps w:val="0"/>
          <w:smallCaps w:val="0"/>
          <w:color w:val="auto"/>
          <w:szCs w:val="21"/>
          <w:highlight w:val="none"/>
          <w:u w:val="single"/>
          <w:lang w:val="en-US" w:eastAsia="zh-CN"/>
        </w:rPr>
        <w:t>12个月</w:t>
      </w:r>
      <w:r>
        <w:rPr>
          <w:rFonts w:hint="eastAsia" w:ascii="宋体" w:hAnsi="宋体" w:eastAsia="宋体" w:cs="宋体"/>
          <w:caps w:val="0"/>
          <w:smallCaps w:val="0"/>
          <w:color w:val="auto"/>
          <w:szCs w:val="21"/>
          <w:highlight w:val="none"/>
          <w:u w:val="single"/>
          <w:lang w:val="en-US" w:eastAsia="zh-CN"/>
        </w:rPr>
        <w:t>的陪</w:t>
      </w:r>
      <w:r>
        <w:rPr>
          <w:rFonts w:hint="eastAsia" w:ascii="宋体" w:hAnsi="宋体" w:eastAsia="宋体" w:cs="宋体"/>
          <w:caps w:val="0"/>
          <w:smallCaps w:val="0"/>
          <w:color w:val="000000"/>
          <w:szCs w:val="21"/>
          <w:highlight w:val="none"/>
          <w:u w:val="single"/>
          <w:lang w:val="en-US" w:eastAsia="zh-CN"/>
        </w:rPr>
        <w:t>产服务</w:t>
      </w:r>
      <w:r>
        <w:rPr>
          <w:rFonts w:hint="eastAsia" w:ascii="宋体" w:hAnsi="宋体" w:cs="宋体"/>
          <w:caps w:val="0"/>
          <w:smallCaps w:val="0"/>
          <w:color w:val="000000"/>
          <w:szCs w:val="21"/>
          <w:highlight w:val="none"/>
          <w:u w:val="single"/>
          <w:lang w:val="en-US" w:eastAsia="zh-CN"/>
        </w:rPr>
        <w:t>，单次陪产时间不低于1个月</w:t>
      </w:r>
      <w:r>
        <w:rPr>
          <w:rFonts w:hint="eastAsia" w:ascii="宋体" w:hAnsi="宋体" w:eastAsia="宋体" w:cs="宋体"/>
          <w:caps w:val="0"/>
          <w:smallCaps w:val="0"/>
          <w:color w:val="000000"/>
          <w:szCs w:val="21"/>
          <w:highlight w:val="none"/>
          <w:u w:val="single"/>
          <w:lang w:val="en-US" w:eastAsia="zh-CN"/>
        </w:rPr>
        <w:t>，</w:t>
      </w:r>
      <w:r>
        <w:rPr>
          <w:rFonts w:hint="eastAsia" w:ascii="宋体" w:hAnsi="宋体" w:cs="宋体"/>
          <w:caps w:val="0"/>
          <w:smallCaps w:val="0"/>
          <w:color w:val="000000"/>
          <w:szCs w:val="21"/>
          <w:highlight w:val="none"/>
          <w:u w:val="single"/>
          <w:lang w:val="en-US" w:eastAsia="zh-CN"/>
        </w:rPr>
        <w:t>具体陪产时间以买方通知为准，</w:t>
      </w:r>
      <w:r>
        <w:rPr>
          <w:rFonts w:hint="eastAsia" w:ascii="宋体" w:hAnsi="宋体" w:eastAsia="宋体" w:cs="宋体"/>
          <w:caps w:val="0"/>
          <w:smallCaps w:val="0"/>
          <w:color w:val="000000"/>
          <w:szCs w:val="21"/>
          <w:highlight w:val="none"/>
          <w:u w:val="single"/>
          <w:lang w:val="en-US" w:eastAsia="zh-CN"/>
        </w:rPr>
        <w:t>陪产人员按买方生产需求不低于 1 人</w:t>
      </w:r>
      <w:r>
        <w:rPr>
          <w:rFonts w:hint="eastAsia" w:ascii="宋体" w:hAnsi="宋体" w:cs="宋体"/>
          <w:caps w:val="0"/>
          <w:smallCaps w:val="0"/>
          <w:color w:val="000000"/>
          <w:szCs w:val="21"/>
          <w:highlight w:val="none"/>
          <w:u w:val="single"/>
          <w:lang w:val="en-US" w:eastAsia="zh-CN"/>
        </w:rPr>
        <w:t>，陪产人员应具备解决现场发生问题的能力。</w:t>
      </w:r>
    </w:p>
    <w:p w14:paraId="2F27B5DA">
      <w:pPr>
        <w:tabs>
          <w:tab w:val="left" w:pos="1134"/>
        </w:tabs>
        <w:spacing w:line="360" w:lineRule="auto"/>
        <w:ind w:firstLine="420" w:firstLineChars="200"/>
        <w:rPr>
          <w:rFonts w:hint="eastAsia" w:ascii="宋体" w:hAnsi="宋体"/>
          <w:szCs w:val="21"/>
          <w:u w:val="single"/>
        </w:rPr>
      </w:pPr>
      <w:r>
        <w:rPr>
          <w:rFonts w:hint="eastAsia" w:ascii="宋体" w:hAnsi="宋体" w:eastAsia="宋体" w:cs="宋体"/>
          <w:caps w:val="0"/>
          <w:smallCaps w:val="0"/>
          <w:color w:val="000000"/>
          <w:kern w:val="2"/>
          <w:sz w:val="21"/>
          <w:szCs w:val="21"/>
          <w:highlight w:val="none"/>
          <w:u w:val="single"/>
          <w:lang w:val="en-US" w:eastAsia="zh-CN" w:bidi="ar-SA"/>
        </w:rPr>
        <w:t>（5）验收完成后，根据买方时间要求，</w:t>
      </w:r>
      <w:r>
        <w:rPr>
          <w:rFonts w:hint="eastAsia" w:ascii="宋体" w:hAnsi="宋体" w:cs="宋体"/>
          <w:caps w:val="0"/>
          <w:smallCaps w:val="0"/>
          <w:color w:val="000000"/>
          <w:kern w:val="2"/>
          <w:sz w:val="21"/>
          <w:szCs w:val="21"/>
          <w:highlight w:val="none"/>
          <w:u w:val="single"/>
          <w:lang w:val="en-US" w:eastAsia="zh-CN" w:bidi="ar-SA"/>
        </w:rPr>
        <w:t>卖方</w:t>
      </w:r>
      <w:r>
        <w:rPr>
          <w:rFonts w:hint="eastAsia" w:ascii="宋体" w:hAnsi="宋体" w:eastAsia="宋体" w:cs="宋体"/>
          <w:caps w:val="0"/>
          <w:smallCaps w:val="0"/>
          <w:color w:val="000000"/>
          <w:kern w:val="2"/>
          <w:sz w:val="21"/>
          <w:szCs w:val="21"/>
          <w:highlight w:val="none"/>
          <w:u w:val="single"/>
          <w:lang w:val="en-US" w:eastAsia="zh-CN" w:bidi="ar-SA"/>
        </w:rPr>
        <w:t>为买方的操作及维护人员提供至少</w:t>
      </w:r>
      <w:r>
        <w:rPr>
          <w:rFonts w:hint="eastAsia" w:ascii="宋体" w:hAnsi="宋体" w:eastAsia="宋体" w:cs="宋体"/>
          <w:caps w:val="0"/>
          <w:smallCaps w:val="0"/>
          <w:color w:val="auto"/>
          <w:kern w:val="2"/>
          <w:sz w:val="21"/>
          <w:szCs w:val="21"/>
          <w:highlight w:val="none"/>
          <w:u w:val="single"/>
          <w:lang w:val="en-US" w:eastAsia="zh-CN" w:bidi="ar-SA"/>
        </w:rPr>
        <w:t>3次</w:t>
      </w:r>
      <w:r>
        <w:rPr>
          <w:rFonts w:hint="eastAsia" w:ascii="宋体" w:hAnsi="宋体" w:eastAsia="宋体" w:cs="宋体"/>
          <w:caps w:val="0"/>
          <w:smallCaps w:val="0"/>
          <w:color w:val="000000"/>
          <w:kern w:val="2"/>
          <w:sz w:val="21"/>
          <w:szCs w:val="21"/>
          <w:highlight w:val="none"/>
          <w:u w:val="single"/>
          <w:lang w:val="en-US" w:eastAsia="zh-CN" w:bidi="ar-SA"/>
        </w:rPr>
        <w:t>免费的集中强化培训。培训内容应包括设备的日常操作、常规维护、故障识别与应急处理等，并提供中文版的操作及维护手册。</w:t>
      </w:r>
    </w:p>
    <w:p w14:paraId="5F5424F9">
      <w:pPr>
        <w:tabs>
          <w:tab w:val="left" w:pos="1134"/>
        </w:tabs>
        <w:spacing w:line="360" w:lineRule="auto"/>
        <w:ind w:firstLine="420" w:firstLineChars="200"/>
        <w:rPr>
          <w:rFonts w:hint="eastAsia" w:ascii="宋体" w:hAnsi="宋体"/>
          <w:u w:val="single"/>
        </w:rPr>
      </w:pPr>
      <w:r>
        <w:rPr>
          <w:rFonts w:hint="eastAsia" w:ascii="宋体" w:hAnsi="宋体"/>
          <w:u w:val="single"/>
        </w:rPr>
        <w:t>如果卖方未在上述时间内作出响应，则买方有权自行或委托第三方解决相关问题或查找和解决合同设备的故障，卖方应承担由此发生的全部费用，</w:t>
      </w:r>
      <w:r>
        <w:rPr>
          <w:rFonts w:hint="eastAsia" w:ascii="宋体" w:hAnsi="宋体" w:cs="宋体"/>
          <w:szCs w:val="21"/>
          <w:u w:val="single"/>
        </w:rPr>
        <w:t>包括但不限于向委托的第三方支付的费用、设备费用、材料费用、零部件费用等，买方可直接扣</w:t>
      </w:r>
      <w:r>
        <w:rPr>
          <w:rFonts w:hint="eastAsia" w:ascii="宋体" w:hAnsi="宋体"/>
          <w:u w:val="single"/>
        </w:rPr>
        <w:t>减质保金或要求卖方退还部分合同价款。</w:t>
      </w:r>
    </w:p>
    <w:p w14:paraId="65E4AD96">
      <w:pPr>
        <w:tabs>
          <w:tab w:val="left" w:pos="1134"/>
        </w:tabs>
        <w:spacing w:line="360" w:lineRule="auto"/>
        <w:ind w:firstLine="420" w:firstLineChars="200"/>
        <w:rPr>
          <w:rFonts w:hint="eastAsia" w:ascii="宋体" w:hAnsi="宋体"/>
          <w:u w:val="single"/>
        </w:rPr>
      </w:pPr>
      <w:r>
        <w:rPr>
          <w:rFonts w:hint="eastAsia" w:ascii="宋体" w:hAnsi="宋体"/>
          <w:u w:val="single"/>
        </w:rPr>
        <w:t>（6）验收完成后，根据买方时间要求，卖方提供累计不低于2个月的陪产服务，单次陪产时间不低于半个月，具体陪产时间以买方通知为准，陪产人员按买方生产需求不低于 1 人，陪产人员应具备解决现场发生问题的能力。</w:t>
      </w:r>
    </w:p>
    <w:p w14:paraId="50D96FEB">
      <w:pPr>
        <w:tabs>
          <w:tab w:val="left" w:pos="1134"/>
        </w:tabs>
        <w:spacing w:line="360" w:lineRule="auto"/>
        <w:ind w:firstLine="420" w:firstLineChars="200"/>
        <w:rPr>
          <w:rFonts w:ascii="宋体" w:hAnsi="宋体"/>
          <w:szCs w:val="21"/>
          <w:u w:val="single"/>
        </w:rPr>
      </w:pPr>
      <w:r>
        <w:rPr>
          <w:rFonts w:hint="eastAsia" w:ascii="宋体" w:hAnsi="宋体"/>
          <w:szCs w:val="21"/>
        </w:rPr>
        <w:t>9</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卖方</w:t>
      </w:r>
      <w:r>
        <w:rPr>
          <w:rFonts w:hint="eastAsia" w:ascii="宋体" w:hAnsi="宋体"/>
          <w:szCs w:val="21"/>
          <w:lang w:eastAsia="zh-CN"/>
        </w:rPr>
        <w:t>质量保证期</w:t>
      </w:r>
      <w:r>
        <w:rPr>
          <w:rFonts w:hint="eastAsia" w:ascii="宋体" w:hAnsi="宋体"/>
          <w:szCs w:val="21"/>
        </w:rPr>
        <w:t>服务技术人员的交通、食宿费用承担的约定：</w:t>
      </w:r>
      <w:r>
        <w:rPr>
          <w:rFonts w:hint="eastAsia" w:ascii="宋体" w:hAnsi="宋体"/>
          <w:szCs w:val="21"/>
          <w:u w:val="single"/>
        </w:rPr>
        <w:t xml:space="preserve">   </w:t>
      </w:r>
      <w:r>
        <w:rPr>
          <w:rFonts w:hint="eastAsia" w:ascii="宋体" w:hAnsi="宋体" w:eastAsia="宋体" w:cs="宋体"/>
          <w:caps w:val="0"/>
          <w:smallCaps w:val="0"/>
          <w:color w:val="auto"/>
          <w:sz w:val="21"/>
          <w:szCs w:val="21"/>
          <w:highlight w:val="none"/>
          <w:u w:val="single"/>
          <w:lang w:val="en-US" w:eastAsia="zh-CN"/>
        </w:rPr>
        <w:t>由卖方承担</w:t>
      </w:r>
      <w:r>
        <w:rPr>
          <w:rFonts w:hint="eastAsia" w:ascii="宋体" w:hAnsi="宋体"/>
          <w:szCs w:val="21"/>
          <w:u w:val="single"/>
        </w:rPr>
        <w:t xml:space="preserve">    </w:t>
      </w:r>
      <w:r>
        <w:rPr>
          <w:rFonts w:hint="eastAsia" w:ascii="宋体" w:hAnsi="宋体"/>
          <w:szCs w:val="21"/>
        </w:rPr>
        <w:t>。</w:t>
      </w:r>
    </w:p>
    <w:p w14:paraId="676FC544">
      <w:pPr>
        <w:tabs>
          <w:tab w:val="left" w:pos="1134"/>
        </w:tabs>
        <w:spacing w:line="360" w:lineRule="auto"/>
        <w:ind w:firstLine="420" w:firstLineChars="200"/>
        <w:rPr>
          <w:rFonts w:hint="eastAsia" w:ascii="宋体" w:hAnsi="宋体"/>
          <w:szCs w:val="21"/>
        </w:rPr>
      </w:pPr>
      <w:r>
        <w:rPr>
          <w:rFonts w:hint="eastAsia" w:ascii="宋体" w:hAnsi="宋体"/>
          <w:szCs w:val="21"/>
        </w:rPr>
        <w:t>9</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卖方记录</w:t>
      </w:r>
      <w:r>
        <w:rPr>
          <w:rFonts w:hint="eastAsia" w:ascii="宋体" w:hAnsi="宋体"/>
          <w:szCs w:val="21"/>
          <w:lang w:eastAsia="zh-CN"/>
        </w:rPr>
        <w:t>质量保证期</w:t>
      </w:r>
      <w:r>
        <w:rPr>
          <w:rFonts w:hint="eastAsia" w:ascii="宋体" w:hAnsi="宋体"/>
          <w:szCs w:val="21"/>
        </w:rPr>
        <w:t>服务情况的约定：</w:t>
      </w:r>
    </w:p>
    <w:p w14:paraId="7831EE03">
      <w:pPr>
        <w:tabs>
          <w:tab w:val="left" w:pos="1134"/>
        </w:tabs>
        <w:spacing w:line="360" w:lineRule="auto"/>
        <w:ind w:firstLine="420" w:firstLineChars="200"/>
        <w:rPr>
          <w:rFonts w:ascii="宋体" w:hAnsi="宋体"/>
          <w:szCs w:val="21"/>
          <w:u w:val="single"/>
        </w:rPr>
      </w:pPr>
      <w:r>
        <w:rPr>
          <w:rFonts w:hint="eastAsia" w:ascii="宋体" w:hAnsi="宋体" w:eastAsia="宋体" w:cs="宋体"/>
          <w:caps w:val="0"/>
          <w:smallCaps w:val="0"/>
          <w:color w:val="auto"/>
          <w:sz w:val="21"/>
          <w:szCs w:val="21"/>
          <w:highlight w:val="none"/>
          <w:u w:val="single"/>
        </w:rPr>
        <w:t xml:space="preserve"> </w:t>
      </w:r>
      <w:r>
        <w:rPr>
          <w:rFonts w:hint="eastAsia" w:ascii="宋体" w:hAnsi="宋体" w:eastAsia="宋体" w:cs="宋体"/>
          <w:caps w:val="0"/>
          <w:smallCaps w:val="0"/>
          <w:color w:val="auto"/>
          <w:szCs w:val="21"/>
          <w:highlight w:val="none"/>
          <w:u w:val="single"/>
          <w:lang w:val="en-US" w:eastAsia="zh-CN"/>
        </w:rPr>
        <w:t>卖方对在买方现场进行质保期服务的情况进行记录，记载设备故障发生的时间、原因及解决情况等，由买方签字确认，并在质量保证期结束后进行整理并提交给买方。</w:t>
      </w:r>
    </w:p>
    <w:p w14:paraId="5079E963">
      <w:pPr>
        <w:pStyle w:val="97"/>
        <w:keepNext w:val="0"/>
        <w:keepLines w:val="0"/>
        <w:tabs>
          <w:tab w:val="left" w:pos="567"/>
        </w:tabs>
        <w:spacing w:before="156" w:after="156"/>
        <w:rPr>
          <w:rFonts w:eastAsia="宋体" w:cs="Times New Roman"/>
          <w:b/>
          <w:bCs/>
          <w:sz w:val="32"/>
          <w:szCs w:val="32"/>
        </w:rPr>
      </w:pPr>
      <w:bookmarkStart w:id="830" w:name="_Toc15100"/>
      <w:bookmarkStart w:id="831" w:name="_Toc29689"/>
      <w:bookmarkStart w:id="832" w:name="_Toc852"/>
      <w:bookmarkStart w:id="833" w:name="_Toc5701"/>
      <w:bookmarkStart w:id="834" w:name="_Toc32169"/>
      <w:bookmarkStart w:id="835" w:name="_Toc531098989"/>
      <w:bookmarkStart w:id="836" w:name="_Toc30678"/>
      <w:bookmarkStart w:id="837" w:name="_Toc531606353"/>
      <w:bookmarkStart w:id="838" w:name="_Toc2881832"/>
      <w:r>
        <w:rPr>
          <w:rFonts w:hint="eastAsia" w:eastAsia="宋体" w:cs="Times New Roman"/>
          <w:b/>
          <w:bCs/>
          <w:sz w:val="32"/>
          <w:szCs w:val="32"/>
        </w:rPr>
        <w:t>10. 履约保证金</w:t>
      </w:r>
      <w:bookmarkEnd w:id="830"/>
      <w:bookmarkEnd w:id="831"/>
      <w:bookmarkEnd w:id="832"/>
      <w:bookmarkEnd w:id="833"/>
      <w:bookmarkEnd w:id="834"/>
      <w:bookmarkEnd w:id="835"/>
      <w:bookmarkEnd w:id="836"/>
      <w:bookmarkEnd w:id="837"/>
    </w:p>
    <w:p w14:paraId="2F33A3C8">
      <w:pPr>
        <w:spacing w:line="360" w:lineRule="auto"/>
        <w:ind w:firstLine="420" w:firstLineChars="200"/>
        <w:jc w:val="left"/>
        <w:rPr>
          <w:rFonts w:ascii="宋体" w:hAnsi="宋体"/>
          <w:szCs w:val="21"/>
        </w:rPr>
      </w:pPr>
      <w:r>
        <w:rPr>
          <w:rFonts w:hint="eastAsia" w:ascii="宋体" w:hAnsi="宋体"/>
          <w:szCs w:val="21"/>
        </w:rPr>
        <w:t>卖方是否需提供履约保证金：</w:t>
      </w:r>
    </w:p>
    <w:p w14:paraId="0D5F2052">
      <w:pPr>
        <w:numPr>
          <w:ilvl w:val="0"/>
          <w:numId w:val="2"/>
        </w:numPr>
        <w:spacing w:line="360" w:lineRule="auto"/>
        <w:ind w:firstLine="420" w:firstLineChars="200"/>
        <w:jc w:val="left"/>
        <w:rPr>
          <w:rFonts w:hint="eastAsia" w:ascii="宋体" w:hAnsi="宋体"/>
          <w:szCs w:val="21"/>
        </w:rPr>
      </w:pPr>
      <w:r>
        <w:rPr>
          <w:rFonts w:hint="eastAsia" w:ascii="宋体" w:hAnsi="宋体"/>
          <w:szCs w:val="21"/>
        </w:rPr>
        <w:t>履约保证金的形式：</w:t>
      </w:r>
    </w:p>
    <w:p w14:paraId="378849E3">
      <w:pPr>
        <w:numPr>
          <w:ilvl w:val="0"/>
          <w:numId w:val="0"/>
        </w:numPr>
        <w:spacing w:line="360" w:lineRule="auto"/>
        <w:ind w:firstLine="420" w:firstLineChars="200"/>
        <w:jc w:val="left"/>
        <w:rPr>
          <w:rFonts w:hint="default" w:ascii="宋体" w:hAnsi="宋体"/>
          <w:szCs w:val="21"/>
          <w:lang w:val="en-US"/>
        </w:rPr>
      </w:pPr>
      <w:r>
        <w:rPr>
          <w:rFonts w:hint="eastAsia" w:ascii="宋体" w:hAnsi="宋体"/>
          <w:szCs w:val="21"/>
          <w:u w:val="single"/>
        </w:rPr>
        <w:t>现金或银行保函；</w:t>
      </w:r>
      <w:r>
        <w:rPr>
          <w:rFonts w:hint="eastAsia" w:ascii="宋体" w:hAnsi="宋体" w:eastAsia="宋体" w:cs="宋体"/>
          <w:caps w:val="0"/>
          <w:smallCaps w:val="0"/>
          <w:color w:val="auto"/>
          <w:kern w:val="0"/>
          <w:sz w:val="21"/>
          <w:szCs w:val="21"/>
          <w:u w:val="single"/>
          <w:lang w:val="en-US" w:eastAsia="zh-CN"/>
        </w:rPr>
        <w:t>银行</w:t>
      </w:r>
      <w:r>
        <w:rPr>
          <w:rFonts w:hint="eastAsia" w:ascii="宋体" w:hAnsi="宋体" w:eastAsia="宋体" w:cs="宋体"/>
          <w:caps w:val="0"/>
          <w:smallCaps w:val="0"/>
          <w:color w:val="auto"/>
          <w:kern w:val="0"/>
          <w:sz w:val="21"/>
          <w:szCs w:val="21"/>
          <w:u w:val="single"/>
        </w:rPr>
        <w:t>保函</w:t>
      </w:r>
      <w:r>
        <w:rPr>
          <w:rFonts w:hint="eastAsia" w:ascii="宋体" w:hAnsi="宋体" w:eastAsia="宋体" w:cs="宋体"/>
          <w:caps w:val="0"/>
          <w:smallCaps w:val="0"/>
          <w:color w:val="auto"/>
          <w:kern w:val="0"/>
          <w:sz w:val="21"/>
          <w:szCs w:val="21"/>
          <w:u w:val="single"/>
          <w:lang w:val="en-US" w:eastAsia="zh-CN"/>
        </w:rPr>
        <w:t>必须是</w:t>
      </w:r>
      <w:r>
        <w:rPr>
          <w:rFonts w:hint="eastAsia" w:ascii="宋体" w:hAnsi="宋体" w:eastAsia="宋体" w:cs="宋体"/>
          <w:caps w:val="0"/>
          <w:smallCaps w:val="0"/>
          <w:color w:val="auto"/>
          <w:sz w:val="21"/>
          <w:szCs w:val="21"/>
          <w:u w:val="single"/>
          <w:lang w:val="en-US" w:eastAsia="zh-CN"/>
        </w:rPr>
        <w:t>在国有商业银行或全国性股份制商业银行开具，且纸质保函能在开立人在渝的总部或者分支机构进行核验，纸质保函为不可撤销、见索即付的独立保函。</w:t>
      </w:r>
    </w:p>
    <w:p w14:paraId="5EFAA004">
      <w:pPr>
        <w:tabs>
          <w:tab w:val="left" w:pos="1134"/>
        </w:tabs>
        <w:spacing w:line="360" w:lineRule="auto"/>
        <w:ind w:firstLine="420" w:firstLineChars="200"/>
        <w:jc w:val="left"/>
        <w:rPr>
          <w:rFonts w:ascii="宋体" w:hAnsi="宋体"/>
          <w:szCs w:val="21"/>
        </w:rPr>
      </w:pPr>
      <w:r>
        <w:rPr>
          <w:rFonts w:hint="eastAsia" w:ascii="宋体" w:hAnsi="宋体"/>
          <w:szCs w:val="21"/>
        </w:rPr>
        <w:t>（2）履约保证金的金额：</w:t>
      </w:r>
      <w:r>
        <w:rPr>
          <w:rFonts w:hint="eastAsia" w:ascii="宋体" w:hAnsi="宋体" w:eastAsia="宋体" w:cs="宋体"/>
          <w:caps w:val="0"/>
          <w:smallCaps w:val="0"/>
          <w:color w:val="auto"/>
          <w:sz w:val="21"/>
          <w:szCs w:val="21"/>
          <w:highlight w:val="none"/>
          <w:u w:val="single"/>
        </w:rPr>
        <w:t>履约保证金为中标</w:t>
      </w:r>
      <w:r>
        <w:rPr>
          <w:rFonts w:hint="eastAsia" w:ascii="宋体" w:hAnsi="宋体" w:eastAsia="宋体" w:cs="宋体"/>
          <w:caps w:val="0"/>
          <w:smallCaps w:val="0"/>
          <w:color w:val="auto"/>
          <w:sz w:val="21"/>
          <w:szCs w:val="21"/>
          <w:highlight w:val="none"/>
          <w:u w:val="single"/>
          <w:lang w:val="en-US" w:eastAsia="zh-CN"/>
        </w:rPr>
        <w:t>合同</w:t>
      </w:r>
      <w:r>
        <w:rPr>
          <w:rFonts w:hint="eastAsia" w:ascii="宋体" w:hAnsi="宋体" w:eastAsia="宋体" w:cs="宋体"/>
          <w:caps w:val="0"/>
          <w:smallCaps w:val="0"/>
          <w:color w:val="auto"/>
          <w:sz w:val="21"/>
          <w:szCs w:val="21"/>
          <w:highlight w:val="none"/>
          <w:u w:val="single"/>
        </w:rPr>
        <w:t>价的10%</w:t>
      </w:r>
      <w:r>
        <w:rPr>
          <w:rFonts w:hint="eastAsia" w:ascii="宋体" w:hAnsi="宋体"/>
          <w:szCs w:val="21"/>
        </w:rPr>
        <w:t>；</w:t>
      </w:r>
    </w:p>
    <w:p w14:paraId="038CF2E1">
      <w:pPr>
        <w:tabs>
          <w:tab w:val="left" w:pos="1134"/>
        </w:tabs>
        <w:spacing w:line="360" w:lineRule="auto"/>
        <w:ind w:firstLine="420" w:firstLineChars="200"/>
        <w:jc w:val="left"/>
        <w:rPr>
          <w:rFonts w:ascii="宋体" w:hAnsi="宋体"/>
          <w:szCs w:val="21"/>
        </w:rPr>
      </w:pPr>
      <w:r>
        <w:rPr>
          <w:rFonts w:hint="eastAsia" w:ascii="宋体" w:hAnsi="宋体"/>
          <w:szCs w:val="21"/>
        </w:rPr>
        <w:t>（3）履约保证金的提交时间：</w:t>
      </w:r>
      <w:r>
        <w:rPr>
          <w:rFonts w:hint="eastAsia" w:ascii="宋体" w:hAnsi="宋体"/>
          <w:kern w:val="0"/>
          <w:szCs w:val="21"/>
        </w:rPr>
        <w:t>中标人收到中标通知书后</w:t>
      </w:r>
      <w:r>
        <w:rPr>
          <w:rFonts w:hint="eastAsia" w:ascii="宋体" w:hAnsi="宋体"/>
          <w:kern w:val="0"/>
          <w:szCs w:val="21"/>
          <w:u w:val="single"/>
        </w:rPr>
        <w:t xml:space="preserve"> </w:t>
      </w:r>
      <w:r>
        <w:rPr>
          <w:rFonts w:hint="eastAsia" w:ascii="宋体" w:hAnsi="宋体"/>
          <w:kern w:val="0"/>
          <w:szCs w:val="21"/>
          <w:u w:val="single"/>
          <w:lang w:val="en-US" w:eastAsia="zh-CN"/>
        </w:rPr>
        <w:t>30</w:t>
      </w:r>
      <w:r>
        <w:rPr>
          <w:rFonts w:hint="eastAsia" w:ascii="宋体" w:hAnsi="宋体"/>
          <w:kern w:val="0"/>
          <w:szCs w:val="21"/>
          <w:u w:val="single"/>
        </w:rPr>
        <w:t xml:space="preserve"> </w:t>
      </w:r>
      <w:r>
        <w:rPr>
          <w:rFonts w:hint="eastAsia" w:ascii="宋体" w:hAnsi="宋体"/>
          <w:kern w:val="0"/>
          <w:szCs w:val="21"/>
        </w:rPr>
        <w:t>日内提交</w:t>
      </w:r>
      <w:r>
        <w:rPr>
          <w:rFonts w:hint="eastAsia" w:ascii="宋体" w:hAnsi="宋体"/>
          <w:szCs w:val="21"/>
        </w:rPr>
        <w:t>。</w:t>
      </w:r>
    </w:p>
    <w:p w14:paraId="76A04CC0">
      <w:pPr>
        <w:tabs>
          <w:tab w:val="left" w:pos="1134"/>
        </w:tabs>
        <w:spacing w:line="360" w:lineRule="auto"/>
        <w:ind w:firstLine="420" w:firstLineChars="200"/>
        <w:jc w:val="left"/>
        <w:rPr>
          <w:rFonts w:ascii="宋体" w:hAnsi="宋体"/>
          <w:szCs w:val="21"/>
        </w:rPr>
      </w:pPr>
      <w:r>
        <w:rPr>
          <w:rFonts w:hint="eastAsia" w:ascii="宋体" w:hAnsi="宋体"/>
          <w:szCs w:val="21"/>
        </w:rPr>
        <w:t>（4）履约保证金的期限：</w:t>
      </w:r>
      <w:r>
        <w:rPr>
          <w:rFonts w:hint="eastAsia" w:ascii="宋体" w:hAnsi="宋体"/>
          <w:szCs w:val="21"/>
          <w:u w:val="single"/>
        </w:rPr>
        <w:t>自合同生效之日起至</w:t>
      </w:r>
      <w:r>
        <w:rPr>
          <w:rFonts w:hint="eastAsia" w:ascii="宋体" w:hAnsi="宋体"/>
          <w:u w:val="single"/>
        </w:rPr>
        <w:t>合同设备验收证书或验收款支付函签署之日</w:t>
      </w:r>
      <w:r>
        <w:rPr>
          <w:rFonts w:hint="eastAsia" w:ascii="宋体" w:hAnsi="宋体"/>
          <w:szCs w:val="21"/>
          <w:u w:val="single"/>
        </w:rPr>
        <w:t>止</w:t>
      </w:r>
      <w:r>
        <w:rPr>
          <w:rFonts w:hint="eastAsia" w:ascii="宋体" w:hAnsi="宋体"/>
          <w:szCs w:val="21"/>
        </w:rPr>
        <w:t>。</w:t>
      </w:r>
    </w:p>
    <w:p w14:paraId="4232A1F9">
      <w:pPr>
        <w:tabs>
          <w:tab w:val="left" w:pos="1134"/>
        </w:tabs>
        <w:spacing w:line="360" w:lineRule="auto"/>
        <w:ind w:firstLine="420" w:firstLineChars="200"/>
        <w:jc w:val="left"/>
        <w:rPr>
          <w:rFonts w:ascii="宋体" w:hAnsi="宋体"/>
          <w:szCs w:val="21"/>
        </w:rPr>
      </w:pPr>
      <w:r>
        <w:rPr>
          <w:rFonts w:hint="eastAsia" w:ascii="宋体" w:hAnsi="宋体"/>
          <w:szCs w:val="21"/>
        </w:rPr>
        <w:t>（5）履约担保的退还时间：</w:t>
      </w:r>
      <w:r>
        <w:rPr>
          <w:rFonts w:hint="eastAsia" w:ascii="宋体" w:hAnsi="宋体"/>
          <w:szCs w:val="21"/>
          <w:u w:val="single"/>
        </w:rPr>
        <w:t>采用现金担保的，在</w:t>
      </w:r>
      <w:r>
        <w:rPr>
          <w:rFonts w:hint="eastAsia" w:ascii="宋体" w:hAnsi="宋体"/>
          <w:u w:val="single"/>
        </w:rPr>
        <w:t>合同设备验收证书或验收款支付函签署</w:t>
      </w:r>
      <w:r>
        <w:rPr>
          <w:rFonts w:hint="eastAsia" w:ascii="宋体" w:hAnsi="宋体"/>
          <w:szCs w:val="21"/>
          <w:u w:val="single"/>
        </w:rPr>
        <w:t>后28天内退还；采用银行保函的，在</w:t>
      </w:r>
      <w:r>
        <w:rPr>
          <w:rFonts w:hint="eastAsia" w:ascii="宋体" w:hAnsi="宋体"/>
          <w:u w:val="single"/>
        </w:rPr>
        <w:t>合同设备验收证书或验收款支付函签署</w:t>
      </w:r>
      <w:r>
        <w:rPr>
          <w:rFonts w:hint="eastAsia" w:ascii="宋体" w:hAnsi="宋体"/>
          <w:szCs w:val="21"/>
          <w:u w:val="single"/>
        </w:rPr>
        <w:t>后28天内退还。</w:t>
      </w:r>
    </w:p>
    <w:p w14:paraId="26CABDF3">
      <w:pPr>
        <w:pStyle w:val="97"/>
        <w:keepNext w:val="0"/>
        <w:keepLines w:val="0"/>
        <w:tabs>
          <w:tab w:val="left" w:pos="567"/>
        </w:tabs>
        <w:spacing w:before="156" w:after="156"/>
        <w:rPr>
          <w:rFonts w:eastAsia="宋体" w:cs="Times New Roman"/>
          <w:b/>
          <w:bCs/>
          <w:sz w:val="32"/>
          <w:szCs w:val="32"/>
        </w:rPr>
      </w:pPr>
      <w:bookmarkStart w:id="839" w:name="_Toc14891"/>
      <w:bookmarkStart w:id="840" w:name="_Toc531098990"/>
      <w:bookmarkStart w:id="841" w:name="_Toc16066"/>
      <w:bookmarkStart w:id="842" w:name="_Toc531606354"/>
      <w:bookmarkStart w:id="843" w:name="_Toc6412"/>
      <w:bookmarkStart w:id="844" w:name="_Toc25149"/>
      <w:bookmarkStart w:id="845" w:name="_Toc2577"/>
      <w:bookmarkStart w:id="846" w:name="_Toc729"/>
      <w:r>
        <w:rPr>
          <w:rFonts w:hint="eastAsia" w:eastAsia="宋体" w:cs="Times New Roman"/>
          <w:b/>
          <w:bCs/>
          <w:sz w:val="32"/>
          <w:szCs w:val="32"/>
        </w:rPr>
        <w:t>11. 保证</w:t>
      </w:r>
      <w:bookmarkEnd w:id="839"/>
      <w:bookmarkEnd w:id="840"/>
      <w:bookmarkEnd w:id="841"/>
      <w:bookmarkEnd w:id="842"/>
      <w:bookmarkEnd w:id="843"/>
      <w:bookmarkEnd w:id="844"/>
      <w:bookmarkEnd w:id="845"/>
      <w:bookmarkEnd w:id="846"/>
    </w:p>
    <w:p w14:paraId="39560521">
      <w:pPr>
        <w:tabs>
          <w:tab w:val="left" w:pos="1134"/>
        </w:tabs>
        <w:spacing w:line="360" w:lineRule="auto"/>
        <w:ind w:firstLine="420" w:firstLineChars="200"/>
        <w:rPr>
          <w:rFonts w:ascii="宋体" w:hAnsi="宋体"/>
          <w:szCs w:val="21"/>
        </w:rPr>
      </w:pPr>
      <w:r>
        <w:rPr>
          <w:rFonts w:hint="eastAsia" w:ascii="宋体" w:hAnsi="宋体"/>
          <w:szCs w:val="21"/>
        </w:rPr>
        <w:t>11</w:t>
      </w:r>
      <w:r>
        <w:rPr>
          <w:rFonts w:ascii="宋体" w:hAnsi="宋体"/>
          <w:szCs w:val="21"/>
        </w:rPr>
        <w:t xml:space="preserve">.4 </w:t>
      </w:r>
      <w:r>
        <w:rPr>
          <w:rFonts w:hint="eastAsia" w:ascii="宋体" w:hAnsi="宋体"/>
          <w:szCs w:val="21"/>
        </w:rPr>
        <w:t>对合同设备品质的约定：</w:t>
      </w:r>
      <w:r>
        <w:rPr>
          <w:rFonts w:hint="eastAsia" w:ascii="宋体" w:hAnsi="宋体"/>
          <w:szCs w:val="21"/>
          <w:u w:val="single"/>
        </w:rPr>
        <w:t xml:space="preserve">  </w:t>
      </w:r>
      <w:r>
        <w:rPr>
          <w:rFonts w:hint="eastAsia" w:ascii="宋体" w:hAnsi="宋体" w:eastAsia="宋体" w:cs="宋体"/>
          <w:caps w:val="0"/>
          <w:smallCaps w:val="0"/>
          <w:color w:val="auto"/>
          <w:sz w:val="21"/>
          <w:szCs w:val="21"/>
          <w:highlight w:val="none"/>
          <w:u w:val="single"/>
        </w:rPr>
        <w:t>见</w:t>
      </w:r>
      <w:r>
        <w:rPr>
          <w:rFonts w:hint="eastAsia" w:ascii="宋体" w:hAnsi="宋体" w:eastAsia="宋体" w:cs="宋体"/>
          <w:caps w:val="0"/>
          <w:smallCaps w:val="0"/>
          <w:color w:val="auto"/>
          <w:sz w:val="21"/>
          <w:szCs w:val="21"/>
          <w:highlight w:val="none"/>
          <w:u w:val="single"/>
          <w:lang w:val="en-US" w:eastAsia="zh-CN"/>
        </w:rPr>
        <w:t>技术文件要求</w:t>
      </w:r>
      <w:r>
        <w:rPr>
          <w:rFonts w:hint="eastAsia" w:ascii="宋体" w:hAnsi="宋体"/>
          <w:szCs w:val="21"/>
          <w:u w:val="single"/>
        </w:rPr>
        <w:t xml:space="preserve"> </w:t>
      </w:r>
      <w:r>
        <w:rPr>
          <w:rFonts w:hint="eastAsia" w:ascii="宋体" w:hAnsi="宋体"/>
          <w:szCs w:val="21"/>
        </w:rPr>
        <w:t>。</w:t>
      </w:r>
    </w:p>
    <w:p w14:paraId="7FDF08B0">
      <w:pPr>
        <w:tabs>
          <w:tab w:val="left" w:pos="1134"/>
        </w:tabs>
        <w:spacing w:line="360" w:lineRule="auto"/>
        <w:ind w:firstLine="420" w:firstLineChars="200"/>
        <w:rPr>
          <w:rFonts w:hint="eastAsia" w:ascii="宋体" w:hAnsi="宋体"/>
          <w:szCs w:val="21"/>
        </w:rPr>
      </w:pPr>
      <w:r>
        <w:rPr>
          <w:rFonts w:hint="eastAsia" w:ascii="宋体" w:hAnsi="宋体"/>
          <w:szCs w:val="21"/>
        </w:rPr>
        <w:t>11</w:t>
      </w:r>
      <w:r>
        <w:rPr>
          <w:rFonts w:ascii="宋体" w:hAnsi="宋体"/>
          <w:szCs w:val="21"/>
        </w:rPr>
        <w:t>.</w:t>
      </w:r>
      <w:r>
        <w:rPr>
          <w:rFonts w:hint="eastAsia" w:ascii="宋体" w:hAnsi="宋体"/>
          <w:szCs w:val="21"/>
        </w:rPr>
        <w:t>7</w:t>
      </w:r>
      <w:r>
        <w:rPr>
          <w:rFonts w:ascii="宋体" w:hAnsi="宋体"/>
          <w:szCs w:val="21"/>
        </w:rPr>
        <w:t xml:space="preserve"> </w:t>
      </w:r>
      <w:r>
        <w:rPr>
          <w:rFonts w:hint="eastAsia" w:ascii="宋体" w:hAnsi="宋体"/>
          <w:szCs w:val="21"/>
        </w:rPr>
        <w:t>合同设备使用寿命期内，卖方保障买方获取备品备件的约定：</w:t>
      </w:r>
      <w:r>
        <w:rPr>
          <w:rFonts w:hint="eastAsia" w:ascii="宋体" w:hAnsi="宋体"/>
          <w:szCs w:val="21"/>
          <w:u w:val="single"/>
        </w:rPr>
        <w:t xml:space="preserve"> </w:t>
      </w:r>
      <w:r>
        <w:rPr>
          <w:rFonts w:hint="eastAsia" w:ascii="宋体" w:hAnsi="宋体" w:eastAsia="宋体" w:cs="宋体"/>
          <w:caps w:val="0"/>
          <w:smallCaps w:val="0"/>
          <w:color w:val="auto"/>
          <w:sz w:val="21"/>
          <w:szCs w:val="21"/>
          <w:highlight w:val="none"/>
          <w:u w:val="single"/>
        </w:rPr>
        <w:t>卖方无偿提供产品的技术咨询，并负责产品的终身维修，10年内</w:t>
      </w:r>
      <w:r>
        <w:rPr>
          <w:rFonts w:hint="eastAsia" w:ascii="宋体" w:hAnsi="宋体" w:eastAsia="宋体" w:cs="宋体"/>
          <w:caps w:val="0"/>
          <w:smallCaps w:val="0"/>
          <w:color w:val="auto"/>
          <w:sz w:val="21"/>
          <w:szCs w:val="21"/>
          <w:highlight w:val="none"/>
          <w:u w:val="single"/>
          <w:lang w:val="en-US" w:eastAsia="zh-CN"/>
        </w:rPr>
        <w:t>按</w:t>
      </w:r>
      <w:r>
        <w:rPr>
          <w:rFonts w:hint="eastAsia" w:ascii="宋体" w:hAnsi="宋体" w:eastAsia="宋体" w:cs="宋体"/>
          <w:caps w:val="0"/>
          <w:smallCaps w:val="0"/>
          <w:color w:val="auto"/>
          <w:sz w:val="21"/>
          <w:szCs w:val="21"/>
          <w:highlight w:val="none"/>
          <w:u w:val="single"/>
        </w:rPr>
        <w:t>合同签订</w:t>
      </w:r>
      <w:r>
        <w:rPr>
          <w:rFonts w:hint="eastAsia" w:ascii="宋体" w:hAnsi="宋体" w:eastAsia="宋体" w:cs="宋体"/>
          <w:caps w:val="0"/>
          <w:smallCaps w:val="0"/>
          <w:color w:val="auto"/>
          <w:sz w:val="21"/>
          <w:szCs w:val="21"/>
          <w:highlight w:val="none"/>
          <w:u w:val="single"/>
          <w:lang w:val="en-US" w:eastAsia="zh-CN"/>
        </w:rPr>
        <w:t>的备品备件</w:t>
      </w:r>
      <w:r>
        <w:rPr>
          <w:rFonts w:hint="eastAsia" w:ascii="宋体" w:hAnsi="宋体" w:eastAsia="宋体" w:cs="宋体"/>
          <w:caps w:val="0"/>
          <w:smallCaps w:val="0"/>
          <w:color w:val="auto"/>
          <w:sz w:val="21"/>
          <w:szCs w:val="21"/>
          <w:highlight w:val="none"/>
          <w:u w:val="single"/>
        </w:rPr>
        <w:t>价格提供备品备件，单次人工费用不超过</w:t>
      </w:r>
      <w:r>
        <w:rPr>
          <w:rFonts w:hint="eastAsia" w:ascii="宋体" w:hAnsi="宋体" w:eastAsia="宋体" w:cs="宋体"/>
          <w:caps w:val="0"/>
          <w:smallCaps w:val="0"/>
          <w:color w:val="auto"/>
          <w:sz w:val="21"/>
          <w:szCs w:val="21"/>
          <w:highlight w:val="none"/>
          <w:u w:val="single"/>
          <w:lang w:val="en-US" w:eastAsia="zh-CN"/>
        </w:rPr>
        <w:t>1</w:t>
      </w:r>
      <w:r>
        <w:rPr>
          <w:rFonts w:hint="eastAsia" w:ascii="宋体" w:hAnsi="宋体" w:cs="宋体"/>
          <w:caps w:val="0"/>
          <w:smallCaps w:val="0"/>
          <w:color w:val="auto"/>
          <w:sz w:val="21"/>
          <w:szCs w:val="21"/>
          <w:highlight w:val="none"/>
          <w:u w:val="single"/>
          <w:lang w:val="en-US" w:eastAsia="zh-CN"/>
        </w:rPr>
        <w:t>5</w:t>
      </w:r>
      <w:r>
        <w:rPr>
          <w:rFonts w:hint="eastAsia" w:ascii="宋体" w:hAnsi="宋体" w:eastAsia="宋体" w:cs="宋体"/>
          <w:caps w:val="0"/>
          <w:smallCaps w:val="0"/>
          <w:color w:val="auto"/>
          <w:sz w:val="21"/>
          <w:szCs w:val="21"/>
          <w:highlight w:val="none"/>
          <w:u w:val="single"/>
        </w:rPr>
        <w:t>00元（包括但不限于人员的出场费、住宿费、交通费等）</w:t>
      </w:r>
      <w:r>
        <w:rPr>
          <w:rFonts w:hint="eastAsia" w:ascii="宋体" w:hAnsi="宋体"/>
          <w:szCs w:val="21"/>
          <w:u w:val="single"/>
        </w:rPr>
        <w:t xml:space="preserve"> </w:t>
      </w:r>
      <w:r>
        <w:rPr>
          <w:rFonts w:hint="eastAsia" w:ascii="宋体" w:hAnsi="宋体"/>
          <w:szCs w:val="21"/>
        </w:rPr>
        <w:t>。</w:t>
      </w:r>
    </w:p>
    <w:p w14:paraId="44393BAE">
      <w:pPr>
        <w:pStyle w:val="45"/>
        <w:keepNext w:val="0"/>
        <w:keepLines w:val="0"/>
        <w:pageBreakBefore w:val="0"/>
        <w:widowControl w:val="0"/>
        <w:kinsoku/>
        <w:wordWrap/>
        <w:overflowPunct/>
        <w:topLinePunct w:val="0"/>
        <w:autoSpaceDE/>
        <w:autoSpaceDN/>
        <w:bidi w:val="0"/>
        <w:adjustRightInd/>
        <w:snapToGrid/>
        <w:spacing w:after="0" w:line="360" w:lineRule="auto"/>
        <w:ind w:left="0" w:leftChars="0"/>
        <w:textAlignment w:val="auto"/>
        <w:rPr>
          <w:rFonts w:hint="eastAsia" w:ascii="宋体" w:hAnsi="宋体" w:eastAsia="宋体" w:cs="宋体"/>
          <w:color w:val="auto"/>
          <w:u w:val="single"/>
          <w:lang w:val="en-US" w:eastAsia="zh-CN"/>
        </w:rPr>
      </w:pPr>
      <w:r>
        <w:rPr>
          <w:rFonts w:hint="eastAsia" w:ascii="宋体" w:hAnsi="宋体" w:eastAsia="宋体" w:cs="宋体"/>
          <w:caps w:val="0"/>
          <w:smallCaps w:val="0"/>
          <w:color w:val="auto"/>
          <w:sz w:val="21"/>
          <w:szCs w:val="21"/>
          <w:highlight w:val="none"/>
          <w:u w:val="single"/>
          <w:lang w:eastAsia="zh-CN"/>
        </w:rPr>
        <w:t>卖方须在设备使用寿命期内，以不高于投标报价的价格提供备品备件，且不得以停产为由拒绝供应。</w:t>
      </w:r>
    </w:p>
    <w:p w14:paraId="28B11D2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u w:val="single"/>
        </w:rPr>
      </w:pPr>
      <w:r>
        <w:rPr>
          <w:rFonts w:hint="eastAsia" w:ascii="宋体" w:hAnsi="宋体" w:eastAsia="宋体" w:cs="宋体"/>
          <w:caps w:val="0"/>
          <w:smallCaps w:val="0"/>
          <w:color w:val="auto"/>
          <w:sz w:val="21"/>
          <w:szCs w:val="21"/>
          <w:highlight w:val="none"/>
          <w:u w:val="single"/>
          <w:lang w:val="en-US" w:eastAsia="zh-CN"/>
        </w:rPr>
        <w:t>本条补充</w:t>
      </w:r>
      <w:r>
        <w:rPr>
          <w:rFonts w:hint="eastAsia" w:ascii="宋体" w:hAnsi="宋体" w:eastAsia="宋体" w:cs="宋体"/>
          <w:caps w:val="0"/>
          <w:smallCaps w:val="0"/>
          <w:color w:val="auto"/>
          <w:kern w:val="0"/>
          <w:sz w:val="21"/>
          <w:szCs w:val="21"/>
          <w:highlight w:val="none"/>
          <w:u w:val="single"/>
        </w:rPr>
        <w:t>：</w:t>
      </w:r>
    </w:p>
    <w:p w14:paraId="46103358">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u w:val="single"/>
          <w:lang w:val="en-US" w:eastAsia="zh-CN"/>
        </w:rPr>
      </w:pPr>
      <w:r>
        <w:rPr>
          <w:rFonts w:hint="eastAsia" w:ascii="宋体" w:hAnsi="宋体" w:eastAsia="宋体" w:cs="宋体"/>
          <w:caps w:val="0"/>
          <w:smallCaps w:val="0"/>
          <w:color w:val="auto"/>
          <w:kern w:val="0"/>
          <w:sz w:val="21"/>
          <w:szCs w:val="21"/>
          <w:highlight w:val="none"/>
          <w:u w:val="single"/>
          <w:lang w:val="en-US" w:eastAsia="zh-CN"/>
        </w:rPr>
        <w:t xml:space="preserve">11.9 </w:t>
      </w:r>
      <w:r>
        <w:rPr>
          <w:rFonts w:hint="eastAsia" w:ascii="宋体" w:hAnsi="宋体" w:eastAsia="宋体" w:cs="宋体"/>
          <w:caps w:val="0"/>
          <w:smallCaps w:val="0"/>
          <w:color w:val="auto"/>
          <w:sz w:val="21"/>
          <w:szCs w:val="21"/>
          <w:highlight w:val="none"/>
          <w:u w:val="single"/>
        </w:rPr>
        <w:t>对于根据有关法律必须持证生产或经营的</w:t>
      </w:r>
      <w:r>
        <w:rPr>
          <w:rFonts w:hint="eastAsia" w:ascii="宋体" w:hAnsi="宋体" w:eastAsia="宋体" w:cs="宋体"/>
          <w:caps w:val="0"/>
          <w:smallCaps w:val="0"/>
          <w:color w:val="auto"/>
          <w:sz w:val="21"/>
          <w:szCs w:val="21"/>
          <w:highlight w:val="none"/>
          <w:u w:val="single"/>
          <w:lang w:val="en-US" w:eastAsia="zh-CN"/>
        </w:rPr>
        <w:t>合同设备</w:t>
      </w:r>
      <w:r>
        <w:rPr>
          <w:rFonts w:hint="eastAsia" w:ascii="宋体" w:hAnsi="宋体" w:eastAsia="宋体" w:cs="宋体"/>
          <w:caps w:val="0"/>
          <w:smallCaps w:val="0"/>
          <w:color w:val="auto"/>
          <w:sz w:val="21"/>
          <w:szCs w:val="21"/>
          <w:highlight w:val="none"/>
          <w:u w:val="single"/>
        </w:rPr>
        <w:t>，</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保证</w:t>
      </w:r>
      <w:r>
        <w:rPr>
          <w:rFonts w:hint="eastAsia" w:ascii="宋体" w:hAnsi="宋体" w:eastAsia="宋体" w:cs="宋体"/>
          <w:caps w:val="0"/>
          <w:smallCaps w:val="0"/>
          <w:color w:val="auto"/>
          <w:sz w:val="21"/>
          <w:szCs w:val="21"/>
          <w:highlight w:val="none"/>
          <w:u w:val="single"/>
        </w:rPr>
        <w:t>在生产或经营时应持有全套有效的生产许可证或经营许可证</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保证合同设备制造现场符合</w:t>
      </w:r>
      <w:r>
        <w:rPr>
          <w:rFonts w:hint="eastAsia" w:ascii="宋体" w:hAnsi="宋体" w:eastAsia="宋体" w:cs="宋体"/>
          <w:caps w:val="0"/>
          <w:smallCaps w:val="0"/>
          <w:color w:val="auto"/>
          <w:sz w:val="21"/>
          <w:szCs w:val="21"/>
          <w:highlight w:val="none"/>
          <w:u w:val="single"/>
          <w:lang w:val="en-US" w:eastAsia="zh-CN"/>
        </w:rPr>
        <w:t>有关</w:t>
      </w:r>
      <w:r>
        <w:rPr>
          <w:rFonts w:hint="eastAsia" w:ascii="宋体" w:hAnsi="宋体" w:eastAsia="宋体" w:cs="宋体"/>
          <w:caps w:val="0"/>
          <w:smallCaps w:val="0"/>
          <w:color w:val="auto"/>
          <w:sz w:val="21"/>
          <w:szCs w:val="21"/>
          <w:highlight w:val="none"/>
          <w:u w:val="single"/>
        </w:rPr>
        <w:t>法律的要求。</w:t>
      </w:r>
    </w:p>
    <w:p w14:paraId="22940BF6">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u w:val="single"/>
          <w:lang w:val="en-US" w:eastAsia="zh-CN"/>
        </w:rPr>
      </w:pPr>
      <w:r>
        <w:rPr>
          <w:rFonts w:hint="eastAsia" w:ascii="宋体" w:hAnsi="宋体" w:eastAsia="宋体" w:cs="宋体"/>
          <w:caps w:val="0"/>
          <w:smallCaps w:val="0"/>
          <w:color w:val="auto"/>
          <w:kern w:val="0"/>
          <w:sz w:val="21"/>
          <w:szCs w:val="21"/>
          <w:highlight w:val="none"/>
          <w:u w:val="single"/>
          <w:lang w:val="en-US" w:eastAsia="zh-CN"/>
        </w:rPr>
        <w:t xml:space="preserve">11.10 </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保证</w:t>
      </w:r>
      <w:r>
        <w:rPr>
          <w:rFonts w:hint="eastAsia" w:ascii="宋体" w:hAnsi="宋体" w:eastAsia="宋体" w:cs="宋体"/>
          <w:caps w:val="0"/>
          <w:smallCaps w:val="0"/>
          <w:color w:val="auto"/>
          <w:sz w:val="21"/>
          <w:szCs w:val="21"/>
          <w:highlight w:val="none"/>
          <w:u w:val="single"/>
        </w:rPr>
        <w:t>合同设备制造使用的材料和制作工艺符合国家标准，不包含任何禁用物质</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保证</w:t>
      </w:r>
      <w:r>
        <w:rPr>
          <w:rFonts w:hint="eastAsia" w:ascii="宋体" w:hAnsi="宋体" w:eastAsia="宋体" w:cs="宋体"/>
          <w:caps w:val="0"/>
          <w:smallCaps w:val="0"/>
          <w:color w:val="auto"/>
          <w:sz w:val="21"/>
          <w:szCs w:val="21"/>
          <w:highlight w:val="none"/>
          <w:u w:val="single"/>
        </w:rPr>
        <w:t>用于合同设备的包装材料应是符合环保要求的包装材料。</w:t>
      </w:r>
    </w:p>
    <w:p w14:paraId="7648619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auto"/>
          <w:kern w:val="0"/>
          <w:sz w:val="21"/>
          <w:szCs w:val="21"/>
          <w:highlight w:val="none"/>
          <w:u w:val="single"/>
          <w:lang w:val="en-US" w:eastAsia="zh-CN"/>
        </w:rPr>
      </w:pPr>
      <w:r>
        <w:rPr>
          <w:rFonts w:hint="eastAsia" w:ascii="宋体" w:hAnsi="宋体" w:eastAsia="宋体" w:cs="宋体"/>
          <w:caps w:val="0"/>
          <w:smallCaps w:val="0"/>
          <w:color w:val="auto"/>
          <w:kern w:val="0"/>
          <w:sz w:val="21"/>
          <w:szCs w:val="21"/>
          <w:highlight w:val="none"/>
          <w:u w:val="single"/>
          <w:lang w:val="en-US" w:eastAsia="zh-CN"/>
        </w:rPr>
        <w:t xml:space="preserve">11.11 </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保证</w:t>
      </w:r>
      <w:r>
        <w:rPr>
          <w:rFonts w:hint="eastAsia" w:ascii="宋体" w:hAnsi="宋体" w:eastAsia="宋体" w:cs="宋体"/>
          <w:caps w:val="0"/>
          <w:smallCaps w:val="0"/>
          <w:color w:val="auto"/>
          <w:sz w:val="21"/>
          <w:szCs w:val="21"/>
          <w:highlight w:val="none"/>
          <w:u w:val="single"/>
        </w:rPr>
        <w:t>不得将其在本合同</w:t>
      </w:r>
      <w:r>
        <w:rPr>
          <w:rFonts w:hint="eastAsia" w:ascii="宋体" w:hAnsi="宋体" w:eastAsia="宋体" w:cs="宋体"/>
          <w:caps w:val="0"/>
          <w:smallCaps w:val="0"/>
          <w:color w:val="auto"/>
          <w:sz w:val="21"/>
          <w:szCs w:val="21"/>
          <w:highlight w:val="none"/>
          <w:u w:val="single"/>
          <w:lang w:val="en-US" w:eastAsia="zh-CN"/>
        </w:rPr>
        <w:t>中</w:t>
      </w:r>
      <w:r>
        <w:rPr>
          <w:rFonts w:hint="eastAsia" w:ascii="宋体" w:hAnsi="宋体" w:eastAsia="宋体" w:cs="宋体"/>
          <w:caps w:val="0"/>
          <w:smallCaps w:val="0"/>
          <w:color w:val="auto"/>
          <w:sz w:val="21"/>
          <w:szCs w:val="21"/>
          <w:highlight w:val="none"/>
          <w:u w:val="single"/>
        </w:rPr>
        <w:t>的任何权利和义务全部或部分转让给任何第三方，包括</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的关联企业。</w:t>
      </w:r>
    </w:p>
    <w:p w14:paraId="6030FD53">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auto"/>
          <w:kern w:val="0"/>
          <w:sz w:val="21"/>
          <w:szCs w:val="21"/>
          <w:highlight w:val="none"/>
          <w:u w:val="single"/>
          <w:lang w:val="en-US" w:eastAsia="zh-CN"/>
        </w:rPr>
        <w:t xml:space="preserve">11.12 </w:t>
      </w:r>
      <w:r>
        <w:rPr>
          <w:rFonts w:hint="eastAsia" w:ascii="宋体" w:hAnsi="宋体" w:eastAsia="宋体" w:cs="宋体"/>
          <w:caps w:val="0"/>
          <w:smallCaps w:val="0"/>
          <w:color w:val="auto"/>
          <w:sz w:val="21"/>
          <w:szCs w:val="21"/>
          <w:highlight w:val="none"/>
          <w:u w:val="single"/>
        </w:rPr>
        <w:t>未经</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事先书面同意，</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保证</w:t>
      </w:r>
      <w:r>
        <w:rPr>
          <w:rFonts w:hint="eastAsia" w:ascii="宋体" w:hAnsi="宋体" w:eastAsia="宋体" w:cs="宋体"/>
          <w:caps w:val="0"/>
          <w:smallCaps w:val="0"/>
          <w:color w:val="auto"/>
          <w:sz w:val="21"/>
          <w:szCs w:val="21"/>
          <w:highlight w:val="none"/>
          <w:u w:val="single"/>
        </w:rPr>
        <w:t>不得将其在本合同</w:t>
      </w:r>
      <w:r>
        <w:rPr>
          <w:rFonts w:hint="eastAsia" w:ascii="宋体" w:hAnsi="宋体" w:eastAsia="宋体" w:cs="宋体"/>
          <w:caps w:val="0"/>
          <w:smallCaps w:val="0"/>
          <w:color w:val="auto"/>
          <w:sz w:val="21"/>
          <w:szCs w:val="21"/>
          <w:highlight w:val="none"/>
          <w:u w:val="single"/>
          <w:lang w:val="en-US" w:eastAsia="zh-CN"/>
        </w:rPr>
        <w:t>中</w:t>
      </w:r>
      <w:r>
        <w:rPr>
          <w:rFonts w:hint="eastAsia" w:ascii="宋体" w:hAnsi="宋体" w:eastAsia="宋体" w:cs="宋体"/>
          <w:caps w:val="0"/>
          <w:smallCaps w:val="0"/>
          <w:color w:val="auto"/>
          <w:sz w:val="21"/>
          <w:szCs w:val="21"/>
          <w:highlight w:val="none"/>
          <w:u w:val="single"/>
        </w:rPr>
        <w:t>的任何义务分包给任何第三方，包括</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的关联企业。即使</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批准</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将其在本合同</w:t>
      </w:r>
      <w:r>
        <w:rPr>
          <w:rFonts w:hint="eastAsia" w:ascii="宋体" w:hAnsi="宋体" w:eastAsia="宋体" w:cs="宋体"/>
          <w:caps w:val="0"/>
          <w:smallCaps w:val="0"/>
          <w:color w:val="auto"/>
          <w:sz w:val="21"/>
          <w:szCs w:val="21"/>
          <w:highlight w:val="none"/>
          <w:u w:val="single"/>
          <w:lang w:val="en-US" w:eastAsia="zh-CN"/>
        </w:rPr>
        <w:t>中</w:t>
      </w:r>
      <w:r>
        <w:rPr>
          <w:rFonts w:hint="eastAsia" w:ascii="宋体" w:hAnsi="宋体" w:eastAsia="宋体" w:cs="宋体"/>
          <w:caps w:val="0"/>
          <w:smallCaps w:val="0"/>
          <w:color w:val="auto"/>
          <w:sz w:val="21"/>
          <w:szCs w:val="21"/>
          <w:highlight w:val="none"/>
          <w:u w:val="single"/>
        </w:rPr>
        <w:t>的任何部分义务分包给第三方，</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lang w:val="en-US" w:eastAsia="zh-CN"/>
        </w:rPr>
        <w:t>保证</w:t>
      </w:r>
      <w:r>
        <w:rPr>
          <w:rFonts w:hint="eastAsia" w:ascii="宋体" w:hAnsi="宋体" w:eastAsia="宋体" w:cs="宋体"/>
          <w:caps w:val="0"/>
          <w:smallCaps w:val="0"/>
          <w:color w:val="000000"/>
          <w:sz w:val="21"/>
          <w:szCs w:val="21"/>
          <w:highlight w:val="none"/>
          <w:u w:val="single"/>
        </w:rPr>
        <w:t>对分包商</w:t>
      </w:r>
      <w:r>
        <w:rPr>
          <w:rFonts w:hint="eastAsia" w:ascii="宋体" w:hAnsi="宋体" w:eastAsia="宋体" w:cs="宋体"/>
          <w:caps w:val="0"/>
          <w:smallCaps w:val="0"/>
          <w:color w:val="000000"/>
          <w:sz w:val="21"/>
          <w:szCs w:val="21"/>
          <w:highlight w:val="none"/>
          <w:u w:val="single"/>
          <w:lang w:val="en-US" w:eastAsia="zh-CN"/>
        </w:rPr>
        <w:t>的资格和</w:t>
      </w:r>
      <w:r>
        <w:rPr>
          <w:rFonts w:hint="eastAsia" w:ascii="宋体" w:hAnsi="宋体" w:eastAsia="宋体" w:cs="宋体"/>
          <w:caps w:val="0"/>
          <w:smallCaps w:val="0"/>
          <w:color w:val="000000"/>
          <w:sz w:val="21"/>
          <w:szCs w:val="21"/>
          <w:highlight w:val="none"/>
          <w:u w:val="single"/>
        </w:rPr>
        <w:t>工作负责，并承担本合同</w:t>
      </w:r>
      <w:r>
        <w:rPr>
          <w:rFonts w:hint="eastAsia" w:ascii="宋体" w:hAnsi="宋体" w:eastAsia="宋体" w:cs="宋体"/>
          <w:caps w:val="0"/>
          <w:smallCaps w:val="0"/>
          <w:color w:val="000000"/>
          <w:sz w:val="21"/>
          <w:szCs w:val="21"/>
          <w:highlight w:val="none"/>
          <w:u w:val="single"/>
          <w:lang w:val="en-US" w:eastAsia="zh-CN"/>
        </w:rPr>
        <w:t>中</w:t>
      </w:r>
      <w:r>
        <w:rPr>
          <w:rFonts w:hint="eastAsia" w:ascii="宋体" w:hAnsi="宋体" w:eastAsia="宋体" w:cs="宋体"/>
          <w:caps w:val="0"/>
          <w:smallCaps w:val="0"/>
          <w:color w:val="000000"/>
          <w:sz w:val="21"/>
          <w:szCs w:val="21"/>
          <w:highlight w:val="none"/>
          <w:u w:val="single"/>
        </w:rPr>
        <w:t>的全部责任和义务，不因分包而减轻或免除。</w:t>
      </w:r>
    </w:p>
    <w:p w14:paraId="52FEC654">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000000"/>
          <w:sz w:val="21"/>
          <w:szCs w:val="21"/>
          <w:highlight w:val="none"/>
          <w:u w:val="single"/>
          <w:lang w:val="en-US" w:eastAsia="zh-CN"/>
        </w:rPr>
        <w:t>11.13 卖方按</w:t>
      </w:r>
      <w:r>
        <w:rPr>
          <w:rFonts w:hint="eastAsia" w:ascii="宋体" w:hAnsi="宋体" w:eastAsia="宋体" w:cs="宋体"/>
          <w:caps w:val="0"/>
          <w:smallCaps w:val="0"/>
          <w:color w:val="000000"/>
          <w:sz w:val="21"/>
          <w:szCs w:val="21"/>
          <w:highlight w:val="none"/>
          <w:u w:val="single"/>
        </w:rPr>
        <w:t>法律规定和合同约定</w:t>
      </w:r>
      <w:r>
        <w:rPr>
          <w:rFonts w:hint="eastAsia" w:ascii="宋体" w:hAnsi="宋体" w:eastAsia="宋体" w:cs="宋体"/>
          <w:caps w:val="0"/>
          <w:smallCaps w:val="0"/>
          <w:color w:val="000000"/>
          <w:sz w:val="21"/>
          <w:szCs w:val="21"/>
          <w:highlight w:val="none"/>
          <w:u w:val="single"/>
          <w:lang w:val="en-US" w:eastAsia="zh-CN"/>
        </w:rPr>
        <w:t>完成</w:t>
      </w:r>
      <w:r>
        <w:rPr>
          <w:rFonts w:hint="eastAsia" w:ascii="宋体" w:hAnsi="宋体" w:eastAsia="宋体" w:cs="宋体"/>
          <w:caps w:val="0"/>
          <w:smallCaps w:val="0"/>
          <w:color w:val="000000"/>
          <w:sz w:val="21"/>
          <w:szCs w:val="21"/>
          <w:highlight w:val="none"/>
          <w:u w:val="single"/>
        </w:rPr>
        <w:t>应由</w:t>
      </w:r>
      <w:r>
        <w:rPr>
          <w:rFonts w:hint="eastAsia" w:ascii="宋体" w:hAnsi="宋体" w:eastAsia="宋体" w:cs="宋体"/>
          <w:caps w:val="0"/>
          <w:smallCaps w:val="0"/>
          <w:color w:val="000000"/>
          <w:sz w:val="21"/>
          <w:szCs w:val="21"/>
          <w:highlight w:val="none"/>
          <w:u w:val="single"/>
          <w:lang w:val="en-US" w:eastAsia="zh-CN"/>
        </w:rPr>
        <w:t>卖方</w:t>
      </w:r>
      <w:r>
        <w:rPr>
          <w:rFonts w:hint="eastAsia" w:ascii="宋体" w:hAnsi="宋体" w:eastAsia="宋体" w:cs="宋体"/>
          <w:caps w:val="0"/>
          <w:smallCaps w:val="0"/>
          <w:color w:val="000000"/>
          <w:sz w:val="21"/>
          <w:szCs w:val="21"/>
          <w:highlight w:val="none"/>
          <w:u w:val="single"/>
        </w:rPr>
        <w:t>办理的许可和批准，将办理结果书面报送</w:t>
      </w:r>
      <w:r>
        <w:rPr>
          <w:rFonts w:hint="eastAsia" w:ascii="宋体" w:hAnsi="宋体" w:eastAsia="宋体" w:cs="宋体"/>
          <w:caps w:val="0"/>
          <w:smallCaps w:val="0"/>
          <w:color w:val="000000"/>
          <w:sz w:val="21"/>
          <w:szCs w:val="21"/>
          <w:highlight w:val="none"/>
          <w:u w:val="single"/>
          <w:lang w:val="en-US" w:eastAsia="zh-CN"/>
        </w:rPr>
        <w:t>买方</w:t>
      </w:r>
      <w:r>
        <w:rPr>
          <w:rFonts w:hint="eastAsia" w:ascii="宋体" w:hAnsi="宋体" w:eastAsia="宋体" w:cs="宋体"/>
          <w:caps w:val="0"/>
          <w:smallCaps w:val="0"/>
          <w:color w:val="000000"/>
          <w:sz w:val="21"/>
          <w:szCs w:val="21"/>
          <w:highlight w:val="none"/>
          <w:u w:val="single"/>
        </w:rPr>
        <w:t>留存。</w:t>
      </w:r>
    </w:p>
    <w:p w14:paraId="4981086A">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000000"/>
          <w:sz w:val="21"/>
          <w:szCs w:val="21"/>
          <w:highlight w:val="none"/>
          <w:u w:val="single"/>
          <w:lang w:val="en-US" w:eastAsia="zh-CN"/>
        </w:rPr>
        <w:t>11.14卖方</w:t>
      </w:r>
      <w:r>
        <w:rPr>
          <w:rFonts w:hint="eastAsia" w:ascii="宋体" w:hAnsi="宋体" w:eastAsia="宋体" w:cs="宋体"/>
          <w:caps w:val="0"/>
          <w:smallCaps w:val="0"/>
          <w:color w:val="000000"/>
          <w:sz w:val="21"/>
          <w:szCs w:val="21"/>
          <w:highlight w:val="none"/>
          <w:u w:val="single"/>
        </w:rPr>
        <w:t>按法律规定和合同约定完成工程，包括满足合同所必需的或合同隐含的以及由承包人义务而产生的任何工程，还应包括合同根据相关法律法规、技术规范等对工程的稳定性、完整性或安全、可靠、有效运行所必需的所有工程，并在保修期内承担保修义务。</w:t>
      </w:r>
    </w:p>
    <w:p w14:paraId="365FBA95">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lang w:val="en-US" w:eastAsia="zh-CN"/>
        </w:rPr>
      </w:pPr>
      <w:r>
        <w:rPr>
          <w:rFonts w:hint="eastAsia" w:ascii="宋体" w:hAnsi="宋体" w:eastAsia="宋体" w:cs="宋体"/>
          <w:caps w:val="0"/>
          <w:smallCaps w:val="0"/>
          <w:color w:val="000000"/>
          <w:sz w:val="21"/>
          <w:szCs w:val="21"/>
          <w:highlight w:val="none"/>
          <w:u w:val="single"/>
          <w:lang w:val="en-US" w:eastAsia="zh-CN"/>
        </w:rPr>
        <w:t>11.15卖方</w:t>
      </w:r>
      <w:r>
        <w:rPr>
          <w:rFonts w:hint="eastAsia" w:ascii="宋体" w:hAnsi="宋体" w:eastAsia="宋体" w:cs="宋体"/>
          <w:caps w:val="0"/>
          <w:smallCaps w:val="0"/>
          <w:color w:val="000000"/>
          <w:sz w:val="21"/>
          <w:szCs w:val="21"/>
          <w:highlight w:val="none"/>
          <w:u w:val="single"/>
        </w:rPr>
        <w:t>按法律规定和合同约定采取</w:t>
      </w:r>
      <w:r>
        <w:rPr>
          <w:rFonts w:hint="eastAsia" w:ascii="宋体" w:hAnsi="宋体" w:eastAsia="宋体" w:cs="宋体"/>
          <w:caps w:val="0"/>
          <w:smallCaps w:val="0"/>
          <w:color w:val="000000"/>
          <w:sz w:val="21"/>
          <w:szCs w:val="21"/>
          <w:highlight w:val="none"/>
          <w:u w:val="single"/>
          <w:lang w:val="en-US" w:eastAsia="zh-CN"/>
        </w:rPr>
        <w:t>必要的</w:t>
      </w:r>
      <w:r>
        <w:rPr>
          <w:rFonts w:hint="eastAsia" w:ascii="宋体" w:hAnsi="宋体" w:eastAsia="宋体" w:cs="宋体"/>
          <w:caps w:val="0"/>
          <w:smallCaps w:val="0"/>
          <w:color w:val="000000"/>
          <w:sz w:val="21"/>
          <w:szCs w:val="21"/>
          <w:highlight w:val="none"/>
          <w:u w:val="single"/>
        </w:rPr>
        <w:t>施工安全和环境保护措施，</w:t>
      </w:r>
      <w:r>
        <w:rPr>
          <w:rFonts w:hint="eastAsia" w:ascii="宋体" w:hAnsi="宋体" w:eastAsia="宋体" w:cs="宋体"/>
          <w:caps w:val="0"/>
          <w:smallCaps w:val="0"/>
          <w:color w:val="000000"/>
          <w:sz w:val="21"/>
          <w:szCs w:val="21"/>
          <w:highlight w:val="none"/>
          <w:u w:val="single"/>
          <w:lang w:val="en-US" w:eastAsia="zh-CN"/>
        </w:rPr>
        <w:t>购买</w:t>
      </w:r>
      <w:r>
        <w:rPr>
          <w:rFonts w:hint="eastAsia" w:ascii="宋体" w:hAnsi="宋体" w:eastAsia="宋体" w:cs="宋体"/>
          <w:caps w:val="0"/>
          <w:smallCaps w:val="0"/>
          <w:color w:val="000000"/>
          <w:sz w:val="21"/>
          <w:szCs w:val="21"/>
          <w:highlight w:val="none"/>
          <w:u w:val="single"/>
        </w:rPr>
        <w:t>保险，确保人员、材料、设备和设施的安全</w:t>
      </w:r>
      <w:r>
        <w:rPr>
          <w:rFonts w:hint="eastAsia" w:ascii="宋体" w:hAnsi="宋体" w:eastAsia="宋体" w:cs="宋体"/>
          <w:caps w:val="0"/>
          <w:smallCaps w:val="0"/>
          <w:color w:val="000000"/>
          <w:sz w:val="21"/>
          <w:szCs w:val="21"/>
          <w:highlight w:val="none"/>
          <w:u w:val="single"/>
          <w:lang w:val="en-US" w:eastAsia="zh-CN"/>
        </w:rPr>
        <w:t>和第三方的人身、财产安全，并承担一切经济、法律责任</w:t>
      </w:r>
      <w:r>
        <w:rPr>
          <w:rFonts w:hint="eastAsia" w:ascii="宋体" w:hAnsi="宋体" w:eastAsia="宋体" w:cs="宋体"/>
          <w:caps w:val="0"/>
          <w:smallCaps w:val="0"/>
          <w:color w:val="000000"/>
          <w:sz w:val="21"/>
          <w:szCs w:val="21"/>
          <w:highlight w:val="none"/>
          <w:u w:val="single"/>
        </w:rPr>
        <w:t>。</w:t>
      </w:r>
    </w:p>
    <w:p w14:paraId="63E3B3A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000000"/>
          <w:sz w:val="21"/>
          <w:szCs w:val="21"/>
          <w:highlight w:val="none"/>
          <w:u w:val="single"/>
          <w:lang w:val="en-US" w:eastAsia="zh-CN"/>
        </w:rPr>
        <w:t>11.16</w:t>
      </w:r>
      <w:r>
        <w:rPr>
          <w:rFonts w:hint="eastAsia" w:ascii="宋体" w:hAnsi="宋体" w:eastAsia="宋体" w:cs="宋体"/>
          <w:caps w:val="0"/>
          <w:smallCaps w:val="0"/>
          <w:color w:val="000000"/>
          <w:sz w:val="21"/>
          <w:szCs w:val="21"/>
          <w:highlight w:val="none"/>
          <w:u w:val="single"/>
        </w:rPr>
        <w:t>按合同约定的工作内容和施工进度要求，编制施工组织设计和施工措施计划</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lang w:val="en-US" w:eastAsia="zh-CN"/>
        </w:rPr>
        <w:t>报买方审批后实施，含工厂组装计划、出厂之前的调试和试验计划、运抵现场后的安装调试和考核验收计划，</w:t>
      </w:r>
      <w:r>
        <w:rPr>
          <w:rFonts w:hint="eastAsia" w:ascii="宋体" w:hAnsi="宋体" w:eastAsia="宋体" w:cs="宋体"/>
          <w:caps w:val="0"/>
          <w:smallCaps w:val="0"/>
          <w:color w:val="000000"/>
          <w:sz w:val="21"/>
          <w:szCs w:val="21"/>
          <w:highlight w:val="none"/>
          <w:u w:val="single"/>
        </w:rPr>
        <w:t>并对所有施工作业和施工方法的完备性和安全可靠性负责</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施工组织设计中的措施保障水平应满足按合同进度实施的需要，且不得低于投标时施工组织设计的措施保障水平。</w:t>
      </w:r>
    </w:p>
    <w:p w14:paraId="57B82547">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lang w:val="en-US" w:eastAsia="zh-CN"/>
        </w:rPr>
      </w:pPr>
      <w:r>
        <w:rPr>
          <w:rFonts w:hint="eastAsia" w:ascii="宋体" w:hAnsi="宋体" w:eastAsia="宋体" w:cs="宋体"/>
          <w:caps w:val="0"/>
          <w:smallCaps w:val="0"/>
          <w:color w:val="000000"/>
          <w:sz w:val="21"/>
          <w:szCs w:val="21"/>
          <w:highlight w:val="none"/>
          <w:u w:val="single"/>
          <w:lang w:val="en-US" w:eastAsia="zh-CN"/>
        </w:rPr>
        <w:t>11.17卖方</w:t>
      </w:r>
      <w:r>
        <w:rPr>
          <w:rFonts w:hint="eastAsia" w:ascii="宋体" w:hAnsi="宋体" w:eastAsia="宋体" w:cs="宋体"/>
          <w:caps w:val="0"/>
          <w:smallCaps w:val="0"/>
          <w:color w:val="000000"/>
          <w:sz w:val="21"/>
          <w:szCs w:val="21"/>
          <w:highlight w:val="none"/>
          <w:u w:val="single"/>
        </w:rPr>
        <w:t>服从</w:t>
      </w:r>
      <w:r>
        <w:rPr>
          <w:rFonts w:hint="eastAsia" w:ascii="宋体" w:hAnsi="宋体" w:eastAsia="宋体" w:cs="宋体"/>
          <w:caps w:val="0"/>
          <w:smallCaps w:val="0"/>
          <w:color w:val="000000"/>
          <w:sz w:val="21"/>
          <w:szCs w:val="21"/>
          <w:highlight w:val="none"/>
          <w:u w:val="single"/>
          <w:lang w:val="en-US" w:eastAsia="zh-CN"/>
        </w:rPr>
        <w:t>买方</w:t>
      </w:r>
      <w:r>
        <w:rPr>
          <w:rFonts w:hint="eastAsia" w:ascii="宋体" w:hAnsi="宋体" w:eastAsia="宋体" w:cs="宋体"/>
          <w:caps w:val="0"/>
          <w:smallCaps w:val="0"/>
          <w:color w:val="000000"/>
          <w:sz w:val="21"/>
          <w:szCs w:val="21"/>
          <w:highlight w:val="none"/>
          <w:u w:val="single"/>
        </w:rPr>
        <w:t>的管理模式、工作方式和工作要求</w:t>
      </w:r>
      <w:r>
        <w:rPr>
          <w:rFonts w:hint="eastAsia" w:ascii="宋体" w:hAnsi="宋体" w:eastAsia="宋体" w:cs="宋体"/>
          <w:caps w:val="0"/>
          <w:smallCaps w:val="0"/>
          <w:color w:val="000000"/>
          <w:sz w:val="21"/>
          <w:szCs w:val="21"/>
          <w:highlight w:val="none"/>
          <w:u w:val="single"/>
          <w:lang w:eastAsia="zh-CN"/>
        </w:rPr>
        <w:t>。</w:t>
      </w:r>
    </w:p>
    <w:p w14:paraId="2AAC3BE0">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lang w:val="en-US" w:eastAsia="zh-CN"/>
        </w:rPr>
      </w:pPr>
      <w:r>
        <w:rPr>
          <w:rFonts w:hint="eastAsia" w:ascii="宋体" w:hAnsi="宋体" w:eastAsia="宋体" w:cs="宋体"/>
          <w:caps w:val="0"/>
          <w:smallCaps w:val="0"/>
          <w:color w:val="000000"/>
          <w:sz w:val="21"/>
          <w:szCs w:val="21"/>
          <w:highlight w:val="none"/>
          <w:u w:val="single"/>
          <w:lang w:val="en-US" w:eastAsia="zh-CN"/>
        </w:rPr>
        <w:t>11.18</w:t>
      </w:r>
      <w:r>
        <w:rPr>
          <w:rFonts w:hint="eastAsia" w:ascii="宋体" w:hAnsi="宋体" w:eastAsia="宋体" w:cs="宋体"/>
          <w:caps w:val="0"/>
          <w:smallCaps w:val="0"/>
          <w:color w:val="000000"/>
          <w:sz w:val="21"/>
          <w:szCs w:val="21"/>
          <w:highlight w:val="none"/>
          <w:u w:val="single"/>
        </w:rPr>
        <w:t>若因</w:t>
      </w:r>
      <w:r>
        <w:rPr>
          <w:rFonts w:hint="eastAsia" w:ascii="宋体" w:hAnsi="宋体" w:eastAsia="宋体" w:cs="宋体"/>
          <w:caps w:val="0"/>
          <w:smallCaps w:val="0"/>
          <w:color w:val="000000"/>
          <w:sz w:val="21"/>
          <w:szCs w:val="21"/>
          <w:highlight w:val="none"/>
          <w:u w:val="single"/>
          <w:lang w:val="en-US" w:eastAsia="zh-CN"/>
        </w:rPr>
        <w:t>买方</w:t>
      </w:r>
      <w:r>
        <w:rPr>
          <w:rFonts w:hint="eastAsia" w:ascii="宋体" w:hAnsi="宋体" w:eastAsia="宋体" w:cs="宋体"/>
          <w:caps w:val="0"/>
          <w:smallCaps w:val="0"/>
          <w:color w:val="000000"/>
          <w:sz w:val="21"/>
          <w:szCs w:val="21"/>
          <w:highlight w:val="none"/>
          <w:u w:val="single"/>
        </w:rPr>
        <w:t>原因（如:工程</w:t>
      </w:r>
      <w:r>
        <w:rPr>
          <w:rFonts w:hint="eastAsia" w:ascii="宋体" w:hAnsi="宋体" w:eastAsia="宋体" w:cs="宋体"/>
          <w:caps w:val="0"/>
          <w:smallCaps w:val="0"/>
          <w:color w:val="000000"/>
          <w:sz w:val="21"/>
          <w:szCs w:val="21"/>
          <w:highlight w:val="none"/>
          <w:u w:val="single"/>
          <w:lang w:val="en-US" w:eastAsia="zh-CN"/>
        </w:rPr>
        <w:t>设计变更、认质核价不及时</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项目增</w:t>
      </w:r>
      <w:r>
        <w:rPr>
          <w:rFonts w:hint="eastAsia" w:ascii="宋体" w:hAnsi="宋体" w:eastAsia="宋体" w:cs="宋体"/>
          <w:caps w:val="0"/>
          <w:smallCaps w:val="0"/>
          <w:color w:val="000000"/>
          <w:sz w:val="21"/>
          <w:szCs w:val="21"/>
          <w:highlight w:val="none"/>
          <w:u w:val="single"/>
          <w:lang w:val="en-US" w:eastAsia="zh-CN"/>
        </w:rPr>
        <w:t>加或者减少，暂停工程施工</w:t>
      </w:r>
      <w:r>
        <w:rPr>
          <w:rFonts w:hint="eastAsia" w:ascii="宋体" w:hAnsi="宋体" w:eastAsia="宋体" w:cs="宋体"/>
          <w:caps w:val="0"/>
          <w:smallCaps w:val="0"/>
          <w:color w:val="000000"/>
          <w:sz w:val="21"/>
          <w:szCs w:val="21"/>
          <w:highlight w:val="none"/>
          <w:u w:val="single"/>
        </w:rPr>
        <w:t>等）</w:t>
      </w:r>
      <w:r>
        <w:rPr>
          <w:rFonts w:hint="eastAsia" w:ascii="宋体" w:hAnsi="宋体" w:eastAsia="宋体" w:cs="宋体"/>
          <w:caps w:val="0"/>
          <w:smallCaps w:val="0"/>
          <w:color w:val="000000"/>
          <w:sz w:val="21"/>
          <w:szCs w:val="21"/>
          <w:highlight w:val="none"/>
          <w:u w:val="single"/>
          <w:lang w:val="en-US" w:eastAsia="zh-CN"/>
        </w:rPr>
        <w:t>造成买方的</w:t>
      </w:r>
      <w:r>
        <w:rPr>
          <w:rFonts w:hint="eastAsia" w:ascii="宋体" w:hAnsi="宋体" w:eastAsia="宋体" w:cs="宋体"/>
          <w:caps w:val="0"/>
          <w:smallCaps w:val="0"/>
          <w:color w:val="000000"/>
          <w:sz w:val="21"/>
          <w:szCs w:val="21"/>
          <w:highlight w:val="none"/>
          <w:u w:val="single"/>
        </w:rPr>
        <w:t>人、材、机停（窝）工</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rPr>
        <w:t>工期延长等</w:t>
      </w:r>
      <w:r>
        <w:rPr>
          <w:rFonts w:hint="eastAsia" w:ascii="宋体" w:hAnsi="宋体" w:eastAsia="宋体" w:cs="宋体"/>
          <w:caps w:val="0"/>
          <w:smallCaps w:val="0"/>
          <w:color w:val="000000"/>
          <w:sz w:val="21"/>
          <w:szCs w:val="21"/>
          <w:highlight w:val="none"/>
          <w:u w:val="single"/>
          <w:lang w:val="en-US" w:eastAsia="zh-CN"/>
        </w:rPr>
        <w:t>的相关费用由卖方承担。</w:t>
      </w:r>
    </w:p>
    <w:p w14:paraId="38A4E4A4">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lang w:val="en-US" w:eastAsia="zh-CN"/>
        </w:rPr>
      </w:pPr>
      <w:r>
        <w:rPr>
          <w:rFonts w:hint="eastAsia" w:ascii="宋体" w:hAnsi="宋体" w:eastAsia="宋体" w:cs="宋体"/>
          <w:caps w:val="0"/>
          <w:smallCaps w:val="0"/>
          <w:color w:val="000000"/>
          <w:sz w:val="21"/>
          <w:szCs w:val="21"/>
          <w:highlight w:val="none"/>
          <w:u w:val="single"/>
          <w:lang w:val="en-US" w:eastAsia="zh-CN"/>
        </w:rPr>
        <w:t xml:space="preserve">11.19卖方已经在投标前，对该工程进行全面了解，已经充分评估该合同履约存在的风险，对合同履约中排除相关风险的相关工作承担责任；   </w:t>
      </w:r>
    </w:p>
    <w:p w14:paraId="1A425746">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000000"/>
          <w:sz w:val="21"/>
          <w:szCs w:val="21"/>
          <w:highlight w:val="none"/>
          <w:u w:val="single"/>
          <w:lang w:val="en-US" w:eastAsia="zh-CN"/>
        </w:rPr>
        <w:t>11.20为迎接相关职能部门、买方上级部门的检查、参观学习，买方提出的迎检布置要求，由卖方完成迎检工作</w:t>
      </w:r>
      <w:r>
        <w:rPr>
          <w:rFonts w:hint="eastAsia" w:ascii="宋体" w:hAnsi="宋体" w:eastAsia="宋体" w:cs="宋体"/>
          <w:caps w:val="0"/>
          <w:smallCaps w:val="0"/>
          <w:color w:val="000000"/>
          <w:sz w:val="21"/>
          <w:szCs w:val="21"/>
          <w:highlight w:val="none"/>
          <w:u w:val="single"/>
        </w:rPr>
        <w:t>。</w:t>
      </w:r>
    </w:p>
    <w:p w14:paraId="7E79A7EB">
      <w:pPr>
        <w:pageBreakBefore w:val="0"/>
        <w:tabs>
          <w:tab w:val="left" w:pos="1134"/>
        </w:tabs>
        <w:kinsoku/>
        <w:overflowPunct/>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lang w:val="en-US" w:eastAsia="zh-CN"/>
        </w:rPr>
      </w:pPr>
      <w:r>
        <w:rPr>
          <w:rFonts w:hint="eastAsia" w:ascii="宋体" w:hAnsi="宋体" w:eastAsia="宋体" w:cs="宋体"/>
          <w:color w:val="000000"/>
          <w:szCs w:val="28"/>
          <w:u w:val="single"/>
          <w:lang w:val="en-US" w:eastAsia="zh-CN"/>
        </w:rPr>
        <w:t>11.2</w:t>
      </w:r>
      <w:r>
        <w:rPr>
          <w:rFonts w:hint="eastAsia" w:ascii="宋体" w:hAnsi="宋体" w:cs="宋体"/>
          <w:color w:val="000000"/>
          <w:szCs w:val="28"/>
          <w:u w:val="single"/>
          <w:lang w:val="en-US" w:eastAsia="zh-CN"/>
        </w:rPr>
        <w:t>1</w:t>
      </w:r>
      <w:r>
        <w:rPr>
          <w:rFonts w:hint="eastAsia" w:ascii="宋体" w:hAnsi="宋体" w:eastAsia="宋体" w:cs="宋体"/>
          <w:color w:val="000000"/>
          <w:szCs w:val="28"/>
          <w:u w:val="single"/>
          <w:lang w:val="en-US" w:eastAsia="zh-CN"/>
        </w:rPr>
        <w:t>卖方</w:t>
      </w:r>
      <w:r>
        <w:rPr>
          <w:rFonts w:hint="eastAsia" w:ascii="宋体" w:hAnsi="宋体" w:eastAsia="宋体" w:cs="宋体"/>
          <w:color w:val="000000"/>
          <w:szCs w:val="28"/>
          <w:u w:val="single"/>
        </w:rPr>
        <w:t>无条件配合</w:t>
      </w:r>
      <w:r>
        <w:rPr>
          <w:rFonts w:hint="eastAsia" w:ascii="宋体" w:hAnsi="宋体" w:eastAsia="宋体" w:cs="宋体"/>
          <w:color w:val="000000"/>
          <w:szCs w:val="28"/>
          <w:u w:val="single"/>
          <w:lang w:val="en-US" w:eastAsia="zh-CN"/>
        </w:rPr>
        <w:t>买方完成合同设备及系统与买方</w:t>
      </w:r>
      <w:r>
        <w:rPr>
          <w:rFonts w:hint="eastAsia" w:ascii="宋体" w:hAnsi="宋体" w:cs="宋体"/>
          <w:color w:val="000000"/>
          <w:szCs w:val="28"/>
          <w:u w:val="single"/>
          <w:lang w:val="en-US" w:eastAsia="zh-CN"/>
        </w:rPr>
        <w:t>各</w:t>
      </w:r>
      <w:r>
        <w:rPr>
          <w:rFonts w:hint="eastAsia" w:ascii="宋体" w:hAnsi="宋体" w:eastAsia="宋体" w:cs="宋体"/>
          <w:color w:val="000000"/>
          <w:szCs w:val="28"/>
          <w:u w:val="single"/>
          <w:lang w:val="en-US" w:eastAsia="zh-CN"/>
        </w:rPr>
        <w:t>系统的联调工作</w:t>
      </w:r>
      <w:r>
        <w:rPr>
          <w:rFonts w:hint="eastAsia" w:ascii="宋体" w:hAnsi="宋体" w:eastAsia="宋体" w:cs="宋体"/>
          <w:color w:val="000000"/>
          <w:szCs w:val="28"/>
          <w:u w:val="single"/>
        </w:rPr>
        <w:t>，不</w:t>
      </w:r>
      <w:r>
        <w:rPr>
          <w:rFonts w:hint="eastAsia" w:ascii="宋体" w:hAnsi="宋体" w:eastAsia="宋体" w:cs="宋体"/>
          <w:color w:val="000000"/>
          <w:szCs w:val="28"/>
          <w:u w:val="single"/>
          <w:lang w:val="en-US" w:eastAsia="zh-CN"/>
        </w:rPr>
        <w:t>再</w:t>
      </w:r>
      <w:r>
        <w:rPr>
          <w:rFonts w:hint="eastAsia" w:ascii="宋体" w:hAnsi="宋体" w:eastAsia="宋体" w:cs="宋体"/>
          <w:color w:val="000000"/>
          <w:szCs w:val="28"/>
          <w:u w:val="single"/>
        </w:rPr>
        <w:t>收取任何费用，不得设置技术障碍</w:t>
      </w:r>
      <w:r>
        <w:rPr>
          <w:rFonts w:hint="eastAsia" w:ascii="宋体" w:hAnsi="宋体" w:eastAsia="宋体" w:cs="宋体"/>
          <w:color w:val="000000"/>
          <w:szCs w:val="28"/>
          <w:u w:val="single"/>
          <w:lang w:eastAsia="zh-CN"/>
        </w:rPr>
        <w:t>，</w:t>
      </w:r>
      <w:r>
        <w:rPr>
          <w:rFonts w:hint="eastAsia" w:ascii="宋体" w:hAnsi="宋体" w:eastAsia="宋体" w:cs="宋体"/>
          <w:color w:val="000000"/>
          <w:szCs w:val="28"/>
          <w:u w:val="single"/>
          <w:lang w:val="en-US" w:eastAsia="zh-CN"/>
        </w:rPr>
        <w:t>所有所涉及的硬件、软件、人工、差旅等费用均已包含在签约合同总价内</w:t>
      </w:r>
      <w:r>
        <w:rPr>
          <w:rFonts w:hint="eastAsia" w:ascii="宋体" w:hAnsi="宋体" w:eastAsia="宋体" w:cs="宋体"/>
          <w:color w:val="000000"/>
          <w:szCs w:val="28"/>
          <w:u w:val="single"/>
        </w:rPr>
        <w:t>。</w:t>
      </w:r>
    </w:p>
    <w:p w14:paraId="65DE5C4F">
      <w:pPr>
        <w:pStyle w:val="15"/>
        <w:pageBreakBefore w:val="0"/>
        <w:kinsoku/>
        <w:wordWrap/>
        <w:overflowPunct/>
        <w:topLinePunct w:val="0"/>
        <w:bidi w:val="0"/>
        <w:spacing w:line="360" w:lineRule="auto"/>
        <w:ind w:firstLine="422" w:firstLineChars="200"/>
        <w:rPr>
          <w:rFonts w:hint="eastAsia" w:ascii="宋体" w:hAnsi="宋体" w:eastAsia="宋体" w:cs="宋体"/>
          <w:color w:val="auto"/>
          <w:u w:val="single"/>
          <w:lang w:val="en-US" w:eastAsia="zh-CN"/>
        </w:rPr>
      </w:pPr>
      <w:r>
        <w:rPr>
          <w:rFonts w:hint="eastAsia" w:ascii="宋体" w:hAnsi="宋体" w:eastAsia="宋体" w:cs="宋体"/>
          <w:b/>
          <w:bCs/>
          <w:color w:val="auto"/>
          <w:szCs w:val="21"/>
          <w:highlight w:val="none"/>
          <w:u w:val="single"/>
          <w:lang w:val="en-US" w:eastAsia="zh-CN"/>
        </w:rPr>
        <w:t>以上卖方的保证</w:t>
      </w:r>
      <w:r>
        <w:rPr>
          <w:rFonts w:hint="eastAsia" w:ascii="宋体" w:hAnsi="宋体" w:eastAsia="宋体" w:cs="宋体"/>
          <w:b/>
          <w:bCs/>
          <w:color w:val="auto"/>
          <w:szCs w:val="21"/>
          <w:highlight w:val="none"/>
          <w:u w:val="single"/>
          <w:lang w:eastAsia="zh-CN"/>
        </w:rPr>
        <w:t>，</w:t>
      </w:r>
      <w:r>
        <w:rPr>
          <w:rFonts w:hint="eastAsia" w:ascii="宋体" w:hAnsi="宋体" w:eastAsia="宋体" w:cs="宋体"/>
          <w:b/>
          <w:bCs/>
          <w:color w:val="auto"/>
          <w:szCs w:val="21"/>
          <w:highlight w:val="none"/>
          <w:u w:val="single"/>
          <w:lang w:val="en-US" w:eastAsia="zh-CN"/>
        </w:rPr>
        <w:t>在合同履约中产生的</w:t>
      </w:r>
      <w:r>
        <w:rPr>
          <w:rFonts w:hint="eastAsia" w:ascii="宋体" w:hAnsi="宋体" w:eastAsia="宋体" w:cs="宋体"/>
          <w:b/>
          <w:bCs/>
          <w:color w:val="auto"/>
          <w:szCs w:val="21"/>
          <w:highlight w:val="none"/>
          <w:u w:val="single"/>
        </w:rPr>
        <w:t>相关费用已</w:t>
      </w:r>
      <w:r>
        <w:rPr>
          <w:rFonts w:hint="eastAsia" w:ascii="宋体" w:hAnsi="宋体" w:eastAsia="宋体" w:cs="宋体"/>
          <w:b/>
          <w:bCs/>
          <w:color w:val="auto"/>
          <w:szCs w:val="21"/>
          <w:highlight w:val="none"/>
          <w:u w:val="single"/>
          <w:lang w:val="en-US" w:eastAsia="zh-CN"/>
        </w:rPr>
        <w:t>包含在签约合同价格</w:t>
      </w:r>
      <w:r>
        <w:rPr>
          <w:rFonts w:hint="eastAsia" w:ascii="宋体" w:hAnsi="宋体" w:eastAsia="宋体" w:cs="宋体"/>
          <w:b/>
          <w:bCs/>
          <w:color w:val="auto"/>
          <w:szCs w:val="21"/>
          <w:highlight w:val="none"/>
          <w:u w:val="single"/>
        </w:rPr>
        <w:t>中</w:t>
      </w:r>
      <w:r>
        <w:rPr>
          <w:rFonts w:hint="eastAsia" w:ascii="宋体" w:hAnsi="宋体" w:eastAsia="宋体" w:cs="宋体"/>
          <w:b/>
          <w:bCs/>
          <w:color w:val="auto"/>
          <w:szCs w:val="21"/>
          <w:highlight w:val="none"/>
          <w:u w:val="single"/>
          <w:lang w:eastAsia="zh-CN"/>
        </w:rPr>
        <w:t>（</w:t>
      </w:r>
      <w:r>
        <w:rPr>
          <w:rFonts w:hint="eastAsia" w:ascii="宋体" w:hAnsi="宋体" w:eastAsia="宋体" w:cs="宋体"/>
          <w:b/>
          <w:bCs/>
          <w:color w:val="auto"/>
          <w:szCs w:val="21"/>
          <w:highlight w:val="none"/>
          <w:u w:val="single"/>
          <w:lang w:val="en-US" w:eastAsia="zh-CN"/>
        </w:rPr>
        <w:t>如清单中未体现，卖方已经综合考虑将其纳入到其他清单中进行了综合报价）</w:t>
      </w:r>
      <w:r>
        <w:rPr>
          <w:rFonts w:hint="eastAsia" w:ascii="宋体" w:hAnsi="宋体" w:eastAsia="宋体" w:cs="宋体"/>
          <w:b/>
          <w:bCs/>
          <w:color w:val="auto"/>
          <w:szCs w:val="21"/>
          <w:highlight w:val="none"/>
          <w:u w:val="single"/>
        </w:rPr>
        <w:t>，结算时</w:t>
      </w:r>
      <w:r>
        <w:rPr>
          <w:rFonts w:hint="eastAsia" w:ascii="宋体" w:hAnsi="宋体" w:eastAsia="宋体" w:cs="宋体"/>
          <w:b/>
          <w:bCs/>
          <w:color w:val="auto"/>
          <w:szCs w:val="21"/>
          <w:highlight w:val="none"/>
          <w:u w:val="single"/>
          <w:lang w:val="en-US" w:eastAsia="zh-CN"/>
        </w:rPr>
        <w:t>买方</w:t>
      </w:r>
      <w:r>
        <w:rPr>
          <w:rFonts w:hint="eastAsia" w:ascii="宋体" w:hAnsi="宋体" w:eastAsia="宋体" w:cs="宋体"/>
          <w:b/>
          <w:bCs/>
          <w:color w:val="auto"/>
          <w:szCs w:val="21"/>
          <w:highlight w:val="none"/>
          <w:u w:val="single"/>
        </w:rPr>
        <w:t>对此类费用不再另行支付</w:t>
      </w:r>
      <w:r>
        <w:rPr>
          <w:rFonts w:hint="eastAsia" w:ascii="宋体" w:hAnsi="宋体" w:eastAsia="宋体" w:cs="宋体"/>
          <w:b/>
          <w:bCs/>
          <w:color w:val="auto"/>
          <w:szCs w:val="21"/>
          <w:highlight w:val="none"/>
          <w:u w:val="single"/>
          <w:lang w:eastAsia="zh-CN"/>
        </w:rPr>
        <w:t>；</w:t>
      </w:r>
      <w:r>
        <w:rPr>
          <w:rFonts w:hint="eastAsia" w:ascii="宋体" w:hAnsi="宋体" w:eastAsia="宋体" w:cs="宋体"/>
          <w:b/>
          <w:bCs/>
          <w:color w:val="auto"/>
          <w:szCs w:val="21"/>
          <w:highlight w:val="none"/>
          <w:u w:val="single"/>
          <w:lang w:val="en-US" w:eastAsia="zh-CN"/>
        </w:rPr>
        <w:t>如因卖方原因，造成工期延误由卖方承担，如</w:t>
      </w:r>
      <w:r>
        <w:rPr>
          <w:rFonts w:hint="eastAsia" w:ascii="宋体" w:hAnsi="宋体" w:eastAsia="宋体" w:cs="宋体"/>
          <w:b/>
          <w:bCs/>
          <w:color w:val="auto"/>
          <w:szCs w:val="21"/>
          <w:highlight w:val="none"/>
          <w:u w:val="single"/>
        </w:rPr>
        <w:t>因</w:t>
      </w:r>
      <w:r>
        <w:rPr>
          <w:rFonts w:hint="eastAsia" w:ascii="宋体" w:hAnsi="宋体" w:eastAsia="宋体" w:cs="宋体"/>
          <w:b/>
          <w:bCs/>
          <w:color w:val="auto"/>
          <w:szCs w:val="21"/>
          <w:highlight w:val="none"/>
          <w:u w:val="single"/>
          <w:lang w:val="en-US" w:eastAsia="zh-CN"/>
        </w:rPr>
        <w:t>买方原因导致</w:t>
      </w:r>
      <w:r>
        <w:rPr>
          <w:rFonts w:hint="eastAsia" w:ascii="宋体" w:hAnsi="宋体" w:eastAsia="宋体" w:cs="宋体"/>
          <w:b/>
          <w:bCs/>
          <w:color w:val="auto"/>
          <w:szCs w:val="21"/>
          <w:highlight w:val="none"/>
          <w:u w:val="single"/>
        </w:rPr>
        <w:t>工期</w:t>
      </w:r>
      <w:r>
        <w:rPr>
          <w:rFonts w:hint="eastAsia" w:ascii="宋体" w:hAnsi="宋体" w:eastAsia="宋体" w:cs="宋体"/>
          <w:b/>
          <w:bCs/>
          <w:color w:val="auto"/>
          <w:szCs w:val="21"/>
          <w:highlight w:val="none"/>
          <w:u w:val="single"/>
          <w:lang w:val="en-US" w:eastAsia="zh-CN"/>
        </w:rPr>
        <w:t>延误的</w:t>
      </w:r>
      <w:r>
        <w:rPr>
          <w:rFonts w:hint="eastAsia" w:ascii="宋体" w:hAnsi="宋体" w:eastAsia="宋体" w:cs="宋体"/>
          <w:b/>
          <w:bCs/>
          <w:color w:val="auto"/>
          <w:szCs w:val="21"/>
          <w:highlight w:val="none"/>
          <w:u w:val="single"/>
        </w:rPr>
        <w:t>，</w:t>
      </w:r>
      <w:r>
        <w:rPr>
          <w:rFonts w:hint="eastAsia" w:ascii="宋体" w:hAnsi="宋体" w:eastAsia="宋体" w:cs="宋体"/>
          <w:b/>
          <w:bCs/>
          <w:color w:val="auto"/>
          <w:szCs w:val="21"/>
          <w:highlight w:val="none"/>
          <w:u w:val="single"/>
          <w:lang w:val="en-US" w:eastAsia="zh-CN"/>
        </w:rPr>
        <w:t>买方只</w:t>
      </w:r>
      <w:r>
        <w:rPr>
          <w:rFonts w:hint="eastAsia" w:ascii="宋体" w:hAnsi="宋体" w:eastAsia="宋体" w:cs="宋体"/>
          <w:b/>
          <w:bCs/>
          <w:color w:val="auto"/>
          <w:szCs w:val="21"/>
          <w:highlight w:val="none"/>
          <w:u w:val="single"/>
        </w:rPr>
        <w:t>同意</w:t>
      </w:r>
      <w:r>
        <w:rPr>
          <w:rFonts w:hint="eastAsia" w:ascii="宋体" w:hAnsi="宋体" w:eastAsia="宋体" w:cs="宋体"/>
          <w:b/>
          <w:bCs/>
          <w:color w:val="auto"/>
          <w:szCs w:val="21"/>
          <w:highlight w:val="none"/>
          <w:u w:val="single"/>
          <w:lang w:val="en-US" w:eastAsia="zh-CN"/>
        </w:rPr>
        <w:t>工期</w:t>
      </w:r>
      <w:r>
        <w:rPr>
          <w:rFonts w:hint="eastAsia" w:ascii="宋体" w:hAnsi="宋体" w:eastAsia="宋体" w:cs="宋体"/>
          <w:b/>
          <w:bCs/>
          <w:color w:val="auto"/>
          <w:szCs w:val="21"/>
          <w:highlight w:val="none"/>
          <w:u w:val="single"/>
        </w:rPr>
        <w:t>顺延。</w:t>
      </w:r>
    </w:p>
    <w:p w14:paraId="7FA2DC47">
      <w:pPr>
        <w:pStyle w:val="97"/>
        <w:keepNext w:val="0"/>
        <w:keepLines w:val="0"/>
        <w:tabs>
          <w:tab w:val="left" w:pos="567"/>
        </w:tabs>
        <w:spacing w:before="156" w:after="156"/>
        <w:rPr>
          <w:rFonts w:eastAsia="宋体" w:cs="Times New Roman"/>
          <w:b/>
          <w:bCs/>
          <w:sz w:val="32"/>
          <w:szCs w:val="32"/>
        </w:rPr>
      </w:pPr>
      <w:bookmarkStart w:id="847" w:name="_Toc548"/>
      <w:bookmarkStart w:id="848" w:name="_Toc32464"/>
      <w:bookmarkStart w:id="849" w:name="_Toc17955"/>
      <w:bookmarkStart w:id="850" w:name="_Toc30305"/>
      <w:bookmarkStart w:id="851" w:name="_Toc11968"/>
      <w:bookmarkStart w:id="852" w:name="_Toc4600"/>
      <w:r>
        <w:rPr>
          <w:rFonts w:hint="eastAsia" w:eastAsia="宋体" w:cs="Times New Roman"/>
          <w:b/>
          <w:bCs/>
          <w:sz w:val="32"/>
          <w:szCs w:val="32"/>
        </w:rPr>
        <w:t>12.知识产权</w:t>
      </w:r>
      <w:bookmarkEnd w:id="847"/>
      <w:bookmarkEnd w:id="848"/>
      <w:bookmarkEnd w:id="849"/>
      <w:bookmarkEnd w:id="850"/>
      <w:bookmarkEnd w:id="851"/>
      <w:bookmarkEnd w:id="852"/>
    </w:p>
    <w:p w14:paraId="244C0ADB">
      <w:pPr>
        <w:tabs>
          <w:tab w:val="left" w:pos="1134"/>
        </w:tabs>
        <w:spacing w:line="360" w:lineRule="auto"/>
        <w:ind w:firstLine="420" w:firstLineChars="200"/>
        <w:rPr>
          <w:rFonts w:ascii="宋体" w:hAnsi="宋体"/>
          <w:szCs w:val="21"/>
          <w:u w:val="single"/>
        </w:rPr>
      </w:pPr>
      <w:r>
        <w:rPr>
          <w:rFonts w:hint="eastAsia" w:ascii="宋体" w:hAnsi="宋体"/>
          <w:szCs w:val="21"/>
        </w:rPr>
        <w:t>12</w:t>
      </w:r>
      <w:r>
        <w:rPr>
          <w:rFonts w:ascii="宋体" w:hAnsi="宋体"/>
          <w:szCs w:val="21"/>
        </w:rPr>
        <w:t>.</w:t>
      </w:r>
      <w:r>
        <w:rPr>
          <w:rFonts w:hint="eastAsia" w:ascii="宋体" w:hAnsi="宋体"/>
          <w:szCs w:val="21"/>
        </w:rPr>
        <w:t>2</w:t>
      </w:r>
      <w:r>
        <w:rPr>
          <w:rFonts w:ascii="宋体" w:hAnsi="宋体"/>
          <w:szCs w:val="21"/>
        </w:rPr>
        <w:t xml:space="preserve"> </w:t>
      </w:r>
      <w:r>
        <w:rPr>
          <w:rFonts w:hint="eastAsia" w:ascii="宋体" w:hAnsi="宋体"/>
          <w:szCs w:val="21"/>
        </w:rPr>
        <w:t>买方对卖方提供相关技术资料享有相关知识产权的约定：</w:t>
      </w:r>
      <w:r>
        <w:rPr>
          <w:rFonts w:hint="eastAsia" w:ascii="宋体" w:hAnsi="宋体" w:eastAsia="宋体" w:cs="宋体"/>
          <w:caps w:val="0"/>
          <w:smallCaps w:val="0"/>
          <w:color w:val="000000"/>
          <w:sz w:val="21"/>
          <w:szCs w:val="21"/>
          <w:highlight w:val="none"/>
          <w:u w:val="single"/>
          <w:lang w:val="en-US" w:eastAsia="zh-CN"/>
        </w:rPr>
        <w:t>买方对卖方</w:t>
      </w:r>
      <w:r>
        <w:rPr>
          <w:rFonts w:hint="eastAsia" w:ascii="宋体" w:hAnsi="宋体" w:eastAsia="宋体" w:cs="宋体"/>
          <w:caps w:val="0"/>
          <w:smallCaps w:val="0"/>
          <w:color w:val="000000"/>
          <w:sz w:val="21"/>
          <w:szCs w:val="21"/>
          <w:highlight w:val="none"/>
          <w:u w:val="single"/>
        </w:rPr>
        <w:t>提供</w:t>
      </w:r>
      <w:r>
        <w:rPr>
          <w:rFonts w:hint="eastAsia" w:ascii="宋体" w:hAnsi="宋体" w:eastAsia="宋体" w:cs="宋体"/>
          <w:caps w:val="0"/>
          <w:smallCaps w:val="0"/>
          <w:color w:val="000000"/>
          <w:sz w:val="21"/>
          <w:szCs w:val="21"/>
          <w:highlight w:val="none"/>
          <w:u w:val="single"/>
          <w:lang w:val="en-US" w:eastAsia="zh-CN"/>
        </w:rPr>
        <w:t>的</w:t>
      </w:r>
      <w:r>
        <w:rPr>
          <w:rFonts w:hint="eastAsia" w:ascii="宋体" w:hAnsi="宋体" w:eastAsia="宋体" w:cs="宋体"/>
          <w:caps w:val="0"/>
          <w:smallCaps w:val="0"/>
          <w:color w:val="000000"/>
          <w:sz w:val="21"/>
          <w:szCs w:val="21"/>
          <w:highlight w:val="none"/>
          <w:u w:val="single"/>
        </w:rPr>
        <w:t>相关技术资料</w:t>
      </w:r>
      <w:r>
        <w:rPr>
          <w:rFonts w:hint="eastAsia" w:ascii="宋体" w:hAnsi="宋体" w:eastAsia="宋体" w:cs="宋体"/>
          <w:caps w:val="0"/>
          <w:smallCaps w:val="0"/>
          <w:color w:val="000000"/>
          <w:sz w:val="21"/>
          <w:szCs w:val="21"/>
          <w:highlight w:val="none"/>
          <w:u w:val="single"/>
          <w:lang w:val="en-US" w:eastAsia="zh-CN"/>
        </w:rPr>
        <w:t>永久、无偿</w:t>
      </w:r>
      <w:r>
        <w:rPr>
          <w:rFonts w:hint="eastAsia" w:ascii="宋体" w:hAnsi="宋体" w:eastAsia="宋体" w:cs="宋体"/>
          <w:caps w:val="0"/>
          <w:smallCaps w:val="0"/>
          <w:color w:val="000000"/>
          <w:sz w:val="21"/>
          <w:szCs w:val="21"/>
          <w:highlight w:val="none"/>
          <w:u w:val="single"/>
        </w:rPr>
        <w:t>享有相关知识产权</w:t>
      </w:r>
      <w:r>
        <w:rPr>
          <w:rFonts w:hint="eastAsia" w:ascii="宋体" w:hAnsi="宋体"/>
          <w:szCs w:val="21"/>
          <w:u w:val="single"/>
        </w:rPr>
        <w:t>。</w:t>
      </w:r>
    </w:p>
    <w:p w14:paraId="78D145F4">
      <w:pPr>
        <w:tabs>
          <w:tab w:val="left" w:pos="1134"/>
        </w:tabs>
        <w:spacing w:line="360" w:lineRule="auto"/>
        <w:ind w:firstLine="420" w:firstLineChars="200"/>
        <w:rPr>
          <w:rFonts w:ascii="宋体" w:hAnsi="宋体"/>
          <w:szCs w:val="21"/>
        </w:rPr>
      </w:pPr>
      <w:r>
        <w:rPr>
          <w:rFonts w:hint="eastAsia" w:ascii="宋体" w:hAnsi="宋体"/>
          <w:szCs w:val="21"/>
        </w:rPr>
        <w:t>12</w:t>
      </w:r>
      <w:r>
        <w:rPr>
          <w:rFonts w:ascii="宋体" w:hAnsi="宋体"/>
          <w:szCs w:val="21"/>
        </w:rPr>
        <w:t>.</w:t>
      </w:r>
      <w:r>
        <w:rPr>
          <w:rFonts w:hint="eastAsia" w:ascii="宋体" w:hAnsi="宋体"/>
          <w:szCs w:val="21"/>
        </w:rPr>
        <w:t>4</w:t>
      </w:r>
      <w:r>
        <w:rPr>
          <w:rFonts w:ascii="宋体" w:hAnsi="宋体"/>
          <w:szCs w:val="21"/>
        </w:rPr>
        <w:t xml:space="preserve"> </w:t>
      </w:r>
      <w:r>
        <w:rPr>
          <w:rFonts w:hint="eastAsia" w:ascii="宋体" w:hAnsi="宋体"/>
          <w:szCs w:val="21"/>
        </w:rPr>
        <w:t>买方应对第三方有关知识产权的主张、索赔或诉讼的约定：</w:t>
      </w:r>
      <w:r>
        <w:rPr>
          <w:rFonts w:hint="eastAsia" w:ascii="宋体" w:hAnsi="宋体" w:eastAsia="宋体" w:cs="宋体"/>
          <w:caps w:val="0"/>
          <w:smallCaps w:val="0"/>
          <w:color w:val="000000"/>
          <w:szCs w:val="21"/>
          <w:highlight w:val="none"/>
          <w:u w:val="single"/>
        </w:rPr>
        <w:t>如果</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收到任何第三方有关知识产权的主张、索赔或诉讼，</w:t>
      </w:r>
      <w:r>
        <w:rPr>
          <w:rFonts w:hint="eastAsia" w:ascii="宋体" w:hAnsi="宋体" w:eastAsia="宋体" w:cs="宋体"/>
          <w:caps w:val="0"/>
          <w:smallCaps w:val="0"/>
          <w:color w:val="000000"/>
          <w:sz w:val="21"/>
          <w:szCs w:val="21"/>
          <w:highlight w:val="none"/>
          <w:u w:val="single"/>
          <w:lang w:val="en-US" w:eastAsia="zh-CN"/>
        </w:rPr>
        <w:t>由买方通知卖方独立处置，</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通知后，应以</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名义</w:t>
      </w:r>
      <w:r>
        <w:rPr>
          <w:rFonts w:hint="eastAsia" w:ascii="宋体" w:hAnsi="宋体" w:eastAsia="宋体" w:cs="宋体"/>
          <w:caps w:val="0"/>
          <w:smallCaps w:val="0"/>
          <w:color w:val="000000"/>
          <w:szCs w:val="21"/>
          <w:highlight w:val="none"/>
          <w:u w:val="single"/>
          <w:lang w:val="en-US" w:eastAsia="zh-CN"/>
        </w:rPr>
        <w:t>(或买方配合）</w:t>
      </w:r>
      <w:r>
        <w:rPr>
          <w:rFonts w:hint="eastAsia" w:ascii="宋体" w:hAnsi="宋体" w:eastAsia="宋体" w:cs="宋体"/>
          <w:caps w:val="0"/>
          <w:smallCaps w:val="0"/>
          <w:color w:val="000000"/>
          <w:szCs w:val="21"/>
          <w:highlight w:val="none"/>
          <w:u w:val="single"/>
        </w:rPr>
        <w:t>自负费用处理与第三方的索赔或诉讼，并赔偿</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因此发生的费用和遭受的损失。如果</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拒绝处理前述索赔或诉讼或在收到</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 xml:space="preserve">通知后 </w:t>
      </w:r>
      <w:r>
        <w:rPr>
          <w:rFonts w:hint="eastAsia" w:ascii="宋体" w:hAnsi="宋体" w:eastAsia="宋体" w:cs="宋体"/>
          <w:caps w:val="0"/>
          <w:smallCaps w:val="0"/>
          <w:color w:val="000000"/>
          <w:szCs w:val="21"/>
          <w:highlight w:val="none"/>
          <w:u w:val="single"/>
          <w:lang w:val="en-US" w:eastAsia="zh-CN"/>
        </w:rPr>
        <w:t>7</w:t>
      </w:r>
      <w:r>
        <w:rPr>
          <w:rFonts w:hint="eastAsia" w:ascii="宋体" w:hAnsi="宋体" w:eastAsia="宋体" w:cs="宋体"/>
          <w:caps w:val="0"/>
          <w:smallCaps w:val="0"/>
          <w:color w:val="000000"/>
          <w:szCs w:val="21"/>
          <w:highlight w:val="none"/>
          <w:u w:val="single"/>
        </w:rPr>
        <w:t xml:space="preserve"> 日内未作表示，</w:t>
      </w:r>
      <w:r>
        <w:rPr>
          <w:rFonts w:hint="eastAsia" w:ascii="宋体" w:hAnsi="宋体" w:eastAsia="宋体" w:cs="宋体"/>
          <w:caps w:val="0"/>
          <w:smallCaps w:val="0"/>
          <w:color w:val="000000"/>
          <w:szCs w:val="21"/>
          <w:highlight w:val="none"/>
          <w:u w:val="single"/>
          <w:lang w:eastAsia="zh-CN"/>
        </w:rPr>
        <w:t>买方</w:t>
      </w:r>
      <w:r>
        <w:rPr>
          <w:rFonts w:hint="eastAsia" w:ascii="宋体" w:hAnsi="宋体" w:eastAsia="宋体" w:cs="宋体"/>
          <w:caps w:val="0"/>
          <w:smallCaps w:val="0"/>
          <w:color w:val="000000"/>
          <w:szCs w:val="21"/>
          <w:highlight w:val="none"/>
          <w:u w:val="single"/>
        </w:rPr>
        <w:t>可以自己的名义进行索赔或诉讼，因此发生的费用和遭受的损失均应由</w:t>
      </w:r>
      <w:r>
        <w:rPr>
          <w:rFonts w:hint="eastAsia" w:ascii="宋体" w:hAnsi="宋体" w:eastAsia="宋体" w:cs="宋体"/>
          <w:caps w:val="0"/>
          <w:smallCaps w:val="0"/>
          <w:color w:val="000000"/>
          <w:szCs w:val="21"/>
          <w:highlight w:val="none"/>
          <w:u w:val="single"/>
          <w:lang w:eastAsia="zh-CN"/>
        </w:rPr>
        <w:t>卖方</w:t>
      </w:r>
      <w:r>
        <w:rPr>
          <w:rFonts w:hint="eastAsia" w:ascii="宋体" w:hAnsi="宋体" w:eastAsia="宋体" w:cs="宋体"/>
          <w:caps w:val="0"/>
          <w:smallCaps w:val="0"/>
          <w:color w:val="000000"/>
          <w:szCs w:val="21"/>
          <w:highlight w:val="none"/>
          <w:u w:val="single"/>
        </w:rPr>
        <w:t>承担</w:t>
      </w:r>
      <w:r>
        <w:rPr>
          <w:rFonts w:hint="eastAsia" w:ascii="宋体" w:hAnsi="宋体" w:eastAsia="宋体" w:cs="宋体"/>
          <w:caps w:val="0"/>
          <w:smallCaps w:val="0"/>
          <w:color w:val="000000"/>
          <w:sz w:val="21"/>
          <w:szCs w:val="21"/>
          <w:highlight w:val="none"/>
          <w:u w:val="single"/>
          <w:lang w:val="en-US" w:eastAsia="zh-CN"/>
        </w:rPr>
        <w:t>。</w:t>
      </w:r>
    </w:p>
    <w:p w14:paraId="4954E103">
      <w:pPr>
        <w:pStyle w:val="97"/>
        <w:keepNext w:val="0"/>
        <w:keepLines w:val="0"/>
        <w:tabs>
          <w:tab w:val="left" w:pos="567"/>
        </w:tabs>
        <w:spacing w:before="156" w:after="156"/>
        <w:rPr>
          <w:rFonts w:eastAsia="宋体" w:cs="Times New Roman"/>
          <w:b/>
          <w:bCs/>
          <w:sz w:val="32"/>
          <w:szCs w:val="32"/>
        </w:rPr>
      </w:pPr>
      <w:bookmarkStart w:id="853" w:name="_Toc10608"/>
      <w:bookmarkStart w:id="854" w:name="_Toc1892"/>
      <w:bookmarkStart w:id="855" w:name="_Toc531098991"/>
      <w:bookmarkStart w:id="856" w:name="_Toc31564"/>
      <w:bookmarkStart w:id="857" w:name="_Toc13276"/>
      <w:bookmarkStart w:id="858" w:name="_Toc27903"/>
      <w:bookmarkStart w:id="859" w:name="_Toc531606355"/>
      <w:bookmarkStart w:id="860" w:name="_Toc32592"/>
      <w:r>
        <w:rPr>
          <w:rFonts w:hint="eastAsia" w:eastAsia="宋体" w:cs="Times New Roman"/>
          <w:b/>
          <w:bCs/>
          <w:sz w:val="32"/>
          <w:szCs w:val="32"/>
        </w:rPr>
        <w:t>14. 违约责任</w:t>
      </w:r>
      <w:bookmarkEnd w:id="853"/>
      <w:bookmarkEnd w:id="854"/>
      <w:bookmarkEnd w:id="855"/>
      <w:bookmarkEnd w:id="856"/>
      <w:bookmarkEnd w:id="857"/>
      <w:bookmarkEnd w:id="858"/>
      <w:bookmarkEnd w:id="859"/>
      <w:bookmarkEnd w:id="860"/>
    </w:p>
    <w:p w14:paraId="5C0A487C">
      <w:pPr>
        <w:tabs>
          <w:tab w:val="left" w:pos="1134"/>
        </w:tabs>
        <w:spacing w:line="360" w:lineRule="auto"/>
        <w:ind w:firstLine="420" w:firstLineChars="200"/>
        <w:rPr>
          <w:rFonts w:ascii="宋体" w:hAnsi="宋体"/>
          <w:szCs w:val="21"/>
        </w:rPr>
      </w:pPr>
      <w:r>
        <w:rPr>
          <w:rFonts w:hint="eastAsia" w:ascii="宋体" w:hAnsi="宋体"/>
          <w:szCs w:val="21"/>
        </w:rPr>
        <w:t xml:space="preserve">14.1 </w:t>
      </w:r>
      <w:r>
        <w:rPr>
          <w:rFonts w:hint="eastAsia" w:ascii="宋体" w:hAnsi="宋体"/>
        </w:rPr>
        <w:t>合同任意一方支付的违约金总额不得超过合同价格的</w:t>
      </w:r>
      <w:r>
        <w:rPr>
          <w:rFonts w:hint="eastAsia"/>
          <w:u w:val="single"/>
        </w:rPr>
        <w:t>20</w:t>
      </w:r>
      <w:r>
        <w:t>%</w:t>
      </w:r>
      <w:r>
        <w:rPr>
          <w:rFonts w:hint="eastAsia" w:ascii="宋体" w:hAnsi="宋体"/>
        </w:rPr>
        <w:t>。</w:t>
      </w:r>
    </w:p>
    <w:p w14:paraId="1226D958">
      <w:pPr>
        <w:tabs>
          <w:tab w:val="left" w:pos="1134"/>
        </w:tabs>
        <w:spacing w:line="360" w:lineRule="auto"/>
        <w:ind w:firstLine="420" w:firstLineChars="200"/>
        <w:rPr>
          <w:rFonts w:hint="eastAsia" w:ascii="宋体" w:hAnsi="宋体"/>
          <w:szCs w:val="21"/>
          <w:lang w:val="en-US" w:eastAsia="zh-CN"/>
        </w:rPr>
      </w:pPr>
      <w:r>
        <w:rPr>
          <w:rFonts w:ascii="宋体" w:hAnsi="宋体"/>
          <w:szCs w:val="21"/>
        </w:rPr>
        <w:t>1</w:t>
      </w:r>
      <w:r>
        <w:rPr>
          <w:rFonts w:hint="eastAsia" w:ascii="宋体" w:hAnsi="宋体"/>
          <w:szCs w:val="21"/>
        </w:rPr>
        <w:t>4</w:t>
      </w:r>
      <w:r>
        <w:rPr>
          <w:rFonts w:ascii="宋体" w:hAnsi="宋体"/>
          <w:szCs w:val="21"/>
        </w:rPr>
        <w:t xml:space="preserve">.2 </w:t>
      </w:r>
      <w:r>
        <w:rPr>
          <w:rFonts w:hint="eastAsia" w:ascii="宋体" w:hAnsi="宋体"/>
          <w:szCs w:val="21"/>
        </w:rPr>
        <w:t>卖方违约责任</w:t>
      </w:r>
      <w:r>
        <w:rPr>
          <w:rFonts w:hint="eastAsia" w:ascii="宋体" w:hAnsi="宋体"/>
          <w:szCs w:val="21"/>
          <w:lang w:val="en-US" w:eastAsia="zh-CN"/>
        </w:rPr>
        <w:t>的约定：</w:t>
      </w:r>
    </w:p>
    <w:p w14:paraId="18B31659">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u w:val="single"/>
          <w:lang w:eastAsia="zh-CN"/>
        </w:rPr>
      </w:pPr>
      <w:r>
        <w:rPr>
          <w:rFonts w:hint="eastAsia" w:ascii="宋体" w:hAnsi="宋体" w:eastAsia="宋体" w:cs="宋体"/>
          <w:caps w:val="0"/>
          <w:smallCaps w:val="0"/>
          <w:color w:val="auto"/>
          <w:sz w:val="21"/>
          <w:szCs w:val="21"/>
          <w:highlight w:val="none"/>
          <w:u w:val="single"/>
          <w:lang w:val="en-US" w:eastAsia="zh-CN"/>
        </w:rPr>
        <w:t>14.2.1</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发生下列任一违约行为时，应向</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支付违约金，并赔偿</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因此遭受的超出违约金数额的全部损失。同时，</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有权向</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发出整改通知，要求其在指定的期限内纠正，由此增加的费用由</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承担。如</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未在指定的期限内纠正，</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有权解除合同</w:t>
      </w:r>
      <w:r>
        <w:rPr>
          <w:rFonts w:hint="eastAsia" w:ascii="宋体" w:hAnsi="宋体" w:eastAsia="宋体" w:cs="宋体"/>
          <w:caps w:val="0"/>
          <w:smallCaps w:val="0"/>
          <w:color w:val="auto"/>
          <w:sz w:val="21"/>
          <w:szCs w:val="21"/>
          <w:highlight w:val="none"/>
          <w:u w:val="single"/>
          <w:lang w:eastAsia="zh-CN"/>
        </w:rPr>
        <w:t>。</w:t>
      </w:r>
    </w:p>
    <w:p w14:paraId="41F8F8D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rPr>
        <w:t>（</w:t>
      </w:r>
      <w:r>
        <w:rPr>
          <w:rFonts w:hint="eastAsia" w:ascii="宋体" w:hAnsi="宋体" w:eastAsia="宋体" w:cs="宋体"/>
          <w:caps w:val="0"/>
          <w:smallCaps w:val="0"/>
          <w:color w:val="auto"/>
          <w:sz w:val="21"/>
          <w:szCs w:val="21"/>
          <w:highlight w:val="none"/>
          <w:u w:val="single"/>
          <w:lang w:val="en-US" w:eastAsia="zh-CN"/>
        </w:rPr>
        <w:t>1</w:t>
      </w:r>
      <w:r>
        <w:rPr>
          <w:rFonts w:hint="eastAsia" w:ascii="宋体" w:hAnsi="宋体" w:eastAsia="宋体" w:cs="宋体"/>
          <w:caps w:val="0"/>
          <w:smallCaps w:val="0"/>
          <w:color w:val="auto"/>
          <w:sz w:val="21"/>
          <w:szCs w:val="21"/>
          <w:highlight w:val="none"/>
          <w:u w:val="single"/>
        </w:rPr>
        <w:t>）</w:t>
      </w:r>
      <w:r>
        <w:rPr>
          <w:rFonts w:hint="eastAsia" w:ascii="宋体" w:hAnsi="宋体" w:eastAsia="宋体" w:cs="宋体"/>
          <w:caps w:val="0"/>
          <w:smallCaps w:val="0"/>
          <w:color w:val="000000"/>
          <w:sz w:val="21"/>
          <w:szCs w:val="21"/>
          <w:highlight w:val="none"/>
          <w:u w:val="single"/>
        </w:rPr>
        <w:t>在制造过程中，</w:t>
      </w:r>
      <w:r>
        <w:rPr>
          <w:rFonts w:hint="eastAsia" w:ascii="宋体" w:hAnsi="宋体" w:eastAsia="宋体" w:cs="宋体"/>
          <w:caps w:val="0"/>
          <w:smallCaps w:val="0"/>
          <w:color w:val="000000"/>
          <w:sz w:val="21"/>
          <w:szCs w:val="21"/>
          <w:highlight w:val="none"/>
          <w:u w:val="single"/>
          <w:lang w:val="en-US" w:eastAsia="zh-CN"/>
        </w:rPr>
        <w:t>买方监造人员发现</w:t>
      </w:r>
      <w:r>
        <w:rPr>
          <w:rFonts w:hint="eastAsia" w:ascii="宋体" w:hAnsi="宋体" w:eastAsia="宋体" w:cs="宋体"/>
          <w:caps w:val="0"/>
          <w:smallCaps w:val="0"/>
          <w:color w:val="000000"/>
          <w:sz w:val="21"/>
          <w:szCs w:val="21"/>
          <w:highlight w:val="none"/>
          <w:u w:val="single"/>
        </w:rPr>
        <w:t>合同设备</w:t>
      </w:r>
      <w:r>
        <w:rPr>
          <w:rFonts w:hint="eastAsia" w:ascii="宋体" w:hAnsi="宋体" w:eastAsia="宋体" w:cs="宋体"/>
          <w:caps w:val="0"/>
          <w:smallCaps w:val="0"/>
          <w:color w:val="000000"/>
          <w:sz w:val="21"/>
          <w:szCs w:val="21"/>
          <w:highlight w:val="none"/>
          <w:u w:val="single"/>
          <w:lang w:val="en-US" w:eastAsia="zh-CN"/>
        </w:rPr>
        <w:t>零部件或制造工艺</w:t>
      </w:r>
      <w:r>
        <w:rPr>
          <w:rFonts w:hint="eastAsia" w:ascii="宋体" w:hAnsi="宋体" w:eastAsia="宋体" w:cs="宋体"/>
          <w:caps w:val="0"/>
          <w:smallCaps w:val="0"/>
          <w:color w:val="000000"/>
          <w:sz w:val="21"/>
          <w:szCs w:val="21"/>
          <w:highlight w:val="none"/>
          <w:u w:val="single"/>
        </w:rPr>
        <w:t>不符合合同</w:t>
      </w:r>
      <w:r>
        <w:rPr>
          <w:rFonts w:hint="eastAsia" w:ascii="宋体" w:hAnsi="宋体" w:eastAsia="宋体" w:cs="宋体"/>
          <w:caps w:val="0"/>
          <w:smallCaps w:val="0"/>
          <w:color w:val="000000"/>
          <w:sz w:val="21"/>
          <w:szCs w:val="21"/>
          <w:highlight w:val="none"/>
          <w:u w:val="single"/>
          <w:lang w:val="en-US" w:eastAsia="zh-CN"/>
        </w:rPr>
        <w:t>要求的，卖方应立即整改</w:t>
      </w:r>
      <w:r>
        <w:rPr>
          <w:rFonts w:hint="eastAsia" w:ascii="宋体" w:hAnsi="宋体" w:eastAsia="宋体" w:cs="宋体"/>
          <w:caps w:val="0"/>
          <w:smallCaps w:val="0"/>
          <w:color w:val="000000"/>
          <w:szCs w:val="21"/>
          <w:highlight w:val="none"/>
          <w:u w:val="single"/>
        </w:rPr>
        <w:t>；</w:t>
      </w:r>
      <w:r>
        <w:rPr>
          <w:rFonts w:hint="eastAsia" w:ascii="宋体" w:hAnsi="宋体" w:eastAsia="宋体" w:cs="宋体"/>
          <w:caps w:val="0"/>
          <w:smallCaps w:val="0"/>
          <w:color w:val="000000"/>
          <w:szCs w:val="21"/>
          <w:highlight w:val="none"/>
          <w:u w:val="single"/>
          <w:lang w:val="en-US" w:eastAsia="zh-CN"/>
        </w:rPr>
        <w:t>并重新制造或更换不符合要求合同设备，拒不整改不纳入验收。</w:t>
      </w:r>
    </w:p>
    <w:p w14:paraId="65CFCFD2">
      <w:pPr>
        <w:pageBreakBefore w:val="0"/>
        <w:tabs>
          <w:tab w:val="left" w:pos="1134"/>
        </w:tabs>
        <w:topLinePunct w:val="0"/>
        <w:bidi w:val="0"/>
        <w:spacing w:line="360" w:lineRule="auto"/>
        <w:ind w:firstLine="420" w:firstLineChars="200"/>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eastAsia="宋体" w:cs="宋体"/>
          <w:caps w:val="0"/>
          <w:smallCaps w:val="0"/>
          <w:color w:val="auto"/>
          <w:sz w:val="21"/>
          <w:szCs w:val="21"/>
          <w:highlight w:val="none"/>
          <w:u w:val="single"/>
        </w:rPr>
        <w:t>未能按时交付合同设备（包括仅迟延交付技术资料但足以导致合同设备安装、调试、考</w:t>
      </w:r>
      <w:r>
        <w:rPr>
          <w:rFonts w:hint="eastAsia" w:ascii="宋体" w:hAnsi="宋体" w:eastAsia="宋体" w:cs="宋体"/>
          <w:caps w:val="0"/>
          <w:smallCaps w:val="0"/>
          <w:color w:val="000000"/>
          <w:sz w:val="21"/>
          <w:szCs w:val="21"/>
          <w:highlight w:val="none"/>
          <w:u w:val="single"/>
        </w:rPr>
        <w:t>核、验收工作推迟的）的，</w:t>
      </w:r>
      <w:r>
        <w:rPr>
          <w:rFonts w:hint="eastAsia" w:ascii="宋体" w:hAnsi="宋体" w:eastAsia="宋体" w:cs="宋体"/>
          <w:caps w:val="0"/>
          <w:smallCaps w:val="0"/>
          <w:color w:val="000000"/>
          <w:sz w:val="21"/>
          <w:szCs w:val="21"/>
          <w:highlight w:val="none"/>
          <w:u w:val="single"/>
          <w:lang w:eastAsia="zh-CN"/>
        </w:rPr>
        <w:t>卖方</w:t>
      </w:r>
      <w:r>
        <w:rPr>
          <w:rFonts w:hint="eastAsia" w:ascii="宋体" w:hAnsi="宋体" w:eastAsia="宋体" w:cs="宋体"/>
          <w:caps w:val="0"/>
          <w:smallCaps w:val="0"/>
          <w:color w:val="000000"/>
          <w:sz w:val="21"/>
          <w:szCs w:val="21"/>
          <w:highlight w:val="none"/>
          <w:u w:val="single"/>
        </w:rPr>
        <w:t>应向</w:t>
      </w:r>
      <w:r>
        <w:rPr>
          <w:rFonts w:hint="eastAsia" w:ascii="宋体" w:hAnsi="宋体" w:eastAsia="宋体" w:cs="宋体"/>
          <w:caps w:val="0"/>
          <w:smallCaps w:val="0"/>
          <w:color w:val="000000"/>
          <w:sz w:val="21"/>
          <w:szCs w:val="21"/>
          <w:highlight w:val="none"/>
          <w:u w:val="single"/>
          <w:lang w:eastAsia="zh-CN"/>
        </w:rPr>
        <w:t>买方</w:t>
      </w:r>
      <w:r>
        <w:rPr>
          <w:rFonts w:hint="eastAsia" w:ascii="宋体" w:hAnsi="宋体" w:eastAsia="宋体" w:cs="宋体"/>
          <w:caps w:val="0"/>
          <w:smallCaps w:val="0"/>
          <w:color w:val="000000"/>
          <w:sz w:val="21"/>
          <w:szCs w:val="21"/>
          <w:highlight w:val="none"/>
          <w:u w:val="single"/>
        </w:rPr>
        <w:t>支付迟延交付违约金</w:t>
      </w:r>
      <w:r>
        <w:rPr>
          <w:rFonts w:hint="eastAsia" w:ascii="宋体" w:hAnsi="宋体" w:eastAsia="宋体" w:cs="宋体"/>
          <w:caps w:val="0"/>
          <w:smallCaps w:val="0"/>
          <w:color w:val="000000"/>
          <w:sz w:val="21"/>
          <w:szCs w:val="21"/>
          <w:highlight w:val="none"/>
          <w:u w:val="single"/>
          <w:lang w:eastAsia="zh-CN"/>
        </w:rPr>
        <w:t>，</w:t>
      </w:r>
      <w:r>
        <w:rPr>
          <w:rFonts w:hint="eastAsia" w:ascii="宋体" w:hAnsi="宋体" w:eastAsia="宋体" w:cs="宋体"/>
          <w:caps w:val="0"/>
          <w:smallCaps w:val="0"/>
          <w:color w:val="000000"/>
          <w:sz w:val="21"/>
          <w:szCs w:val="21"/>
          <w:highlight w:val="none"/>
          <w:u w:val="single"/>
          <w:lang w:val="en-US" w:eastAsia="zh-CN"/>
        </w:rPr>
        <w:t>卖方延迟交付违约金计算方法的约定： 卖方应向买方支付</w:t>
      </w:r>
      <w:r>
        <w:rPr>
          <w:rFonts w:hint="eastAsia" w:ascii="宋体" w:hAnsi="宋体" w:eastAsia="宋体" w:cs="宋体"/>
          <w:caps w:val="0"/>
          <w:smallCaps w:val="0"/>
          <w:color w:val="000000"/>
          <w:szCs w:val="21"/>
          <w:highlight w:val="none"/>
          <w:u w:val="single"/>
          <w:lang w:val="en-US" w:eastAsia="zh-CN"/>
        </w:rPr>
        <w:t>从延迟交付的次日起，按延迟交付合同设备价格 0.</w:t>
      </w:r>
      <w:r>
        <w:rPr>
          <w:rFonts w:hint="eastAsia" w:ascii="宋体" w:hAnsi="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lang w:val="en-US" w:eastAsia="zh-CN"/>
        </w:rPr>
        <w:t>%/天累计计算违约金，如延迟交付技术资料等按500/天累积计算违约金</w:t>
      </w:r>
      <w:r>
        <w:rPr>
          <w:rFonts w:hint="eastAsia" w:ascii="宋体" w:hAnsi="宋体" w:eastAsia="宋体" w:cs="宋体"/>
          <w:caps w:val="0"/>
          <w:smallCaps w:val="0"/>
          <w:color w:val="000000"/>
          <w:sz w:val="21"/>
          <w:szCs w:val="21"/>
          <w:highlight w:val="none"/>
          <w:u w:val="single"/>
          <w:lang w:val="en-US" w:eastAsia="zh-CN"/>
        </w:rPr>
        <w:t>。</w:t>
      </w:r>
      <w:r>
        <w:rPr>
          <w:rFonts w:hint="eastAsia" w:ascii="宋体" w:hAnsi="宋体" w:eastAsia="宋体" w:cs="宋体"/>
          <w:caps w:val="0"/>
          <w:smallCaps w:val="0"/>
          <w:color w:val="000000"/>
          <w:szCs w:val="21"/>
          <w:highlight w:val="none"/>
          <w:u w:val="single"/>
          <w:lang w:val="en-US" w:eastAsia="zh-CN"/>
        </w:rPr>
        <w:t>迟延交付违约金的支付不能免除卖方继续交付相关合同设备的义务，如迟延交付必然导致合同设备安装、调试、考核、验收工作推迟的，工期不顺延，由卖方承担一切责任。</w:t>
      </w:r>
    </w:p>
    <w:p w14:paraId="0D41799B">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u w:val="single"/>
          <w:lang w:eastAsia="zh-CN"/>
        </w:rPr>
      </w:pPr>
      <w:r>
        <w:rPr>
          <w:rFonts w:hint="eastAsia" w:ascii="宋体" w:hAnsi="宋体" w:eastAsia="宋体" w:cs="宋体"/>
          <w:caps w:val="0"/>
          <w:smallCaps w:val="0"/>
          <w:color w:val="000000"/>
          <w:sz w:val="21"/>
          <w:szCs w:val="21"/>
          <w:highlight w:val="none"/>
          <w:u w:val="single"/>
        </w:rPr>
        <w:t>（</w:t>
      </w:r>
      <w:r>
        <w:rPr>
          <w:rFonts w:hint="eastAsia" w:ascii="宋体" w:hAnsi="宋体" w:eastAsia="宋体" w:cs="宋体"/>
          <w:caps w:val="0"/>
          <w:smallCaps w:val="0"/>
          <w:color w:val="000000"/>
          <w:sz w:val="21"/>
          <w:szCs w:val="21"/>
          <w:highlight w:val="none"/>
          <w:u w:val="single"/>
          <w:lang w:val="en-US" w:eastAsia="zh-CN"/>
        </w:rPr>
        <w:t>3</w:t>
      </w:r>
      <w:r>
        <w:rPr>
          <w:rFonts w:hint="eastAsia" w:ascii="宋体" w:hAnsi="宋体" w:eastAsia="宋体" w:cs="宋体"/>
          <w:caps w:val="0"/>
          <w:smallCaps w:val="0"/>
          <w:color w:val="000000"/>
          <w:sz w:val="21"/>
          <w:szCs w:val="21"/>
          <w:highlight w:val="none"/>
          <w:u w:val="single"/>
        </w:rPr>
        <w:t>）到货检验中发现存在合同设备不符合本合同</w:t>
      </w:r>
      <w:r>
        <w:rPr>
          <w:rFonts w:hint="eastAsia" w:ascii="宋体" w:hAnsi="宋体" w:eastAsia="宋体" w:cs="宋体"/>
          <w:caps w:val="0"/>
          <w:smallCaps w:val="0"/>
          <w:color w:val="000000"/>
          <w:sz w:val="21"/>
          <w:szCs w:val="21"/>
          <w:highlight w:val="none"/>
          <w:u w:val="single"/>
          <w:lang w:val="en-US" w:eastAsia="zh-CN"/>
        </w:rPr>
        <w:t>要求，对卖方处以不符合合同要求</w:t>
      </w:r>
      <w:r>
        <w:rPr>
          <w:rFonts w:hint="eastAsia" w:ascii="宋体" w:hAnsi="宋体" w:eastAsia="宋体" w:cs="宋体"/>
          <w:caps w:val="0"/>
          <w:smallCaps w:val="0"/>
          <w:color w:val="000000"/>
          <w:sz w:val="21"/>
          <w:szCs w:val="21"/>
          <w:highlight w:val="none"/>
          <w:u w:val="single"/>
        </w:rPr>
        <w:t>设备价格</w:t>
      </w:r>
      <w:r>
        <w:rPr>
          <w:rFonts w:hint="eastAsia" w:ascii="宋体" w:hAnsi="宋体" w:eastAsia="宋体" w:cs="宋体"/>
          <w:caps w:val="0"/>
          <w:smallCaps w:val="0"/>
          <w:color w:val="000000"/>
          <w:sz w:val="21"/>
          <w:szCs w:val="21"/>
          <w:highlight w:val="none"/>
          <w:u w:val="single"/>
          <w:lang w:val="en-US" w:eastAsia="zh-CN"/>
        </w:rPr>
        <w:t>的</w:t>
      </w:r>
      <w:r>
        <w:rPr>
          <w:rFonts w:hint="eastAsia" w:ascii="宋体" w:hAnsi="宋体" w:eastAsia="宋体" w:cs="宋体"/>
          <w:caps w:val="0"/>
          <w:smallCaps w:val="0"/>
          <w:color w:val="000000"/>
          <w:sz w:val="21"/>
          <w:szCs w:val="21"/>
          <w:highlight w:val="none"/>
          <w:u w:val="single"/>
        </w:rPr>
        <w:t xml:space="preserve"> </w:t>
      </w:r>
      <w:r>
        <w:rPr>
          <w:rFonts w:hint="eastAsia" w:ascii="宋体" w:hAnsi="宋体" w:eastAsia="宋体" w:cs="宋体"/>
          <w:caps w:val="0"/>
          <w:smallCaps w:val="0"/>
          <w:color w:val="000000"/>
          <w:sz w:val="21"/>
          <w:szCs w:val="21"/>
          <w:highlight w:val="none"/>
          <w:u w:val="single"/>
          <w:lang w:val="en-US" w:eastAsia="zh-CN"/>
        </w:rPr>
        <w:t>10</w:t>
      </w:r>
      <w:r>
        <w:rPr>
          <w:rFonts w:hint="eastAsia" w:ascii="宋体" w:hAnsi="宋体" w:eastAsia="宋体" w:cs="宋体"/>
          <w:caps w:val="0"/>
          <w:smallCaps w:val="0"/>
          <w:color w:val="000000"/>
          <w:sz w:val="21"/>
          <w:szCs w:val="21"/>
          <w:highlight w:val="none"/>
          <w:u w:val="single"/>
        </w:rPr>
        <w:t>%</w:t>
      </w:r>
      <w:r>
        <w:rPr>
          <w:rFonts w:hint="eastAsia" w:ascii="宋体" w:hAnsi="宋体" w:eastAsia="宋体" w:cs="宋体"/>
          <w:caps w:val="0"/>
          <w:smallCaps w:val="0"/>
          <w:color w:val="000000"/>
          <w:sz w:val="21"/>
          <w:szCs w:val="21"/>
          <w:highlight w:val="none"/>
          <w:u w:val="single"/>
          <w:lang w:val="en-US" w:eastAsia="zh-CN"/>
        </w:rPr>
        <w:t>的违约金，</w:t>
      </w:r>
      <w:r>
        <w:rPr>
          <w:rFonts w:hint="eastAsia" w:ascii="宋体" w:hAnsi="宋体" w:eastAsia="宋体" w:cs="宋体"/>
          <w:caps w:val="0"/>
          <w:smallCaps w:val="0"/>
          <w:color w:val="000000"/>
          <w:szCs w:val="21"/>
          <w:highlight w:val="none"/>
          <w:u w:val="single"/>
          <w:lang w:val="en-US" w:eastAsia="zh-CN"/>
        </w:rPr>
        <w:t>并由卖方负更换不符合要求合同设备，直至验收合格</w:t>
      </w:r>
      <w:r>
        <w:rPr>
          <w:rFonts w:hint="eastAsia" w:ascii="宋体" w:hAnsi="宋体" w:eastAsia="宋体" w:cs="宋体"/>
          <w:caps w:val="0"/>
          <w:smallCaps w:val="0"/>
          <w:color w:val="000000"/>
          <w:sz w:val="21"/>
          <w:szCs w:val="21"/>
          <w:highlight w:val="none"/>
          <w:u w:val="single"/>
          <w:lang w:eastAsia="zh-CN"/>
        </w:rPr>
        <w:t>。</w:t>
      </w:r>
    </w:p>
    <w:p w14:paraId="2176FE87">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b/>
          <w:bCs/>
          <w:caps w:val="0"/>
          <w:smallCaps w:val="0"/>
          <w:color w:val="000000"/>
          <w:sz w:val="21"/>
          <w:szCs w:val="21"/>
          <w:highlight w:val="none"/>
          <w:u w:val="single"/>
          <w:lang w:val="en-US" w:eastAsia="zh-CN"/>
        </w:rPr>
      </w:pPr>
      <w:r>
        <w:rPr>
          <w:rFonts w:hint="eastAsia" w:ascii="宋体" w:hAnsi="宋体" w:eastAsia="宋体" w:cs="宋体"/>
          <w:caps w:val="0"/>
          <w:smallCaps w:val="0"/>
          <w:color w:val="000000"/>
          <w:sz w:val="21"/>
          <w:szCs w:val="21"/>
          <w:highlight w:val="none"/>
          <w:u w:val="single"/>
        </w:rPr>
        <w:t>（</w:t>
      </w:r>
      <w:r>
        <w:rPr>
          <w:rFonts w:hint="eastAsia" w:ascii="宋体" w:hAnsi="宋体" w:eastAsia="宋体" w:cs="宋体"/>
          <w:caps w:val="0"/>
          <w:smallCaps w:val="0"/>
          <w:color w:val="000000"/>
          <w:sz w:val="21"/>
          <w:szCs w:val="21"/>
          <w:highlight w:val="none"/>
          <w:u w:val="single"/>
          <w:lang w:val="en-US" w:eastAsia="zh-CN"/>
        </w:rPr>
        <w:t>4</w:t>
      </w:r>
      <w:r>
        <w:rPr>
          <w:rFonts w:hint="eastAsia" w:ascii="宋体" w:hAnsi="宋体" w:eastAsia="宋体" w:cs="宋体"/>
          <w:caps w:val="0"/>
          <w:smallCaps w:val="0"/>
          <w:color w:val="000000"/>
          <w:sz w:val="21"/>
          <w:szCs w:val="21"/>
          <w:highlight w:val="none"/>
          <w:u w:val="single"/>
        </w:rPr>
        <w:t>）</w:t>
      </w:r>
      <w:r>
        <w:rPr>
          <w:rFonts w:hint="eastAsia" w:ascii="宋体" w:hAnsi="宋体" w:eastAsia="宋体" w:cs="宋体"/>
          <w:b/>
          <w:bCs/>
          <w:caps w:val="0"/>
          <w:smallCaps w:val="0"/>
          <w:color w:val="000000"/>
          <w:sz w:val="21"/>
          <w:szCs w:val="21"/>
          <w:highlight w:val="none"/>
          <w:u w:val="single"/>
          <w:lang w:val="en-US" w:eastAsia="zh-CN"/>
        </w:rPr>
        <w:t>合同设备</w:t>
      </w:r>
      <w:r>
        <w:rPr>
          <w:rFonts w:hint="eastAsia" w:ascii="宋体" w:hAnsi="宋体" w:eastAsia="宋体" w:cs="宋体"/>
          <w:b/>
          <w:bCs/>
          <w:caps w:val="0"/>
          <w:smallCaps w:val="0"/>
          <w:color w:val="000000"/>
          <w:sz w:val="21"/>
          <w:szCs w:val="21"/>
          <w:highlight w:val="none"/>
          <w:u w:val="single"/>
        </w:rPr>
        <w:t>由于</w:t>
      </w:r>
      <w:r>
        <w:rPr>
          <w:rFonts w:hint="eastAsia" w:ascii="宋体" w:hAnsi="宋体" w:eastAsia="宋体" w:cs="宋体"/>
          <w:b/>
          <w:bCs/>
          <w:caps w:val="0"/>
          <w:smallCaps w:val="0"/>
          <w:color w:val="000000"/>
          <w:sz w:val="21"/>
          <w:szCs w:val="21"/>
          <w:highlight w:val="none"/>
          <w:u w:val="single"/>
          <w:lang w:eastAsia="zh-CN"/>
        </w:rPr>
        <w:t>卖方</w:t>
      </w:r>
      <w:r>
        <w:rPr>
          <w:rFonts w:hint="eastAsia" w:ascii="宋体" w:hAnsi="宋体" w:eastAsia="宋体" w:cs="宋体"/>
          <w:b/>
          <w:bCs/>
          <w:caps w:val="0"/>
          <w:smallCaps w:val="0"/>
          <w:color w:val="000000"/>
          <w:sz w:val="21"/>
          <w:szCs w:val="21"/>
          <w:highlight w:val="none"/>
          <w:u w:val="single"/>
        </w:rPr>
        <w:t>原因三次考核均未能达到合同约定的技术性能考核指标</w:t>
      </w:r>
      <w:r>
        <w:rPr>
          <w:rFonts w:hint="eastAsia" w:ascii="宋体" w:hAnsi="宋体" w:eastAsia="宋体" w:cs="宋体"/>
          <w:b/>
          <w:bCs/>
          <w:caps w:val="0"/>
          <w:smallCaps w:val="0"/>
          <w:color w:val="000000"/>
          <w:sz w:val="21"/>
          <w:szCs w:val="21"/>
          <w:highlight w:val="none"/>
          <w:u w:val="single"/>
          <w:lang w:val="en-US" w:eastAsia="zh-CN"/>
        </w:rPr>
        <w:t>的</w:t>
      </w:r>
      <w:r>
        <w:rPr>
          <w:rFonts w:hint="eastAsia" w:ascii="宋体" w:hAnsi="宋体" w:eastAsia="宋体" w:cs="宋体"/>
          <w:b/>
          <w:bCs/>
          <w:caps w:val="0"/>
          <w:smallCaps w:val="0"/>
          <w:color w:val="000000"/>
          <w:sz w:val="21"/>
          <w:szCs w:val="21"/>
          <w:highlight w:val="none"/>
          <w:u w:val="single"/>
          <w:lang w:eastAsia="zh-CN"/>
        </w:rPr>
        <w:t>，</w:t>
      </w:r>
      <w:r>
        <w:rPr>
          <w:rFonts w:hint="eastAsia" w:ascii="宋体" w:hAnsi="宋体" w:eastAsia="宋体" w:cs="宋体"/>
          <w:b/>
          <w:bCs/>
          <w:caps w:val="0"/>
          <w:smallCaps w:val="0"/>
          <w:color w:val="000000"/>
          <w:sz w:val="21"/>
          <w:szCs w:val="21"/>
          <w:highlight w:val="none"/>
          <w:u w:val="single"/>
          <w:lang w:val="en-US" w:eastAsia="zh-CN"/>
        </w:rPr>
        <w:t>按如下条款执行：</w:t>
      </w:r>
    </w:p>
    <w:p w14:paraId="4B366A37">
      <w:pPr>
        <w:keepNext w:val="0"/>
        <w:keepLines w:val="0"/>
        <w:pageBreakBefore w:val="0"/>
        <w:widowControl w:val="0"/>
        <w:kinsoku/>
        <w:wordWrap/>
        <w:overflowPunct/>
        <w:topLinePunct w:val="0"/>
        <w:autoSpaceDE/>
        <w:autoSpaceDN/>
        <w:bidi w:val="0"/>
        <w:adjustRightInd w:val="0"/>
        <w:snapToGrid w:val="0"/>
        <w:spacing w:line="360" w:lineRule="auto"/>
        <w:ind w:right="0" w:rightChars="0" w:firstLine="420" w:firstLineChars="200"/>
        <w:textAlignment w:val="auto"/>
        <w:outlineLvl w:val="9"/>
        <w:rPr>
          <w:rFonts w:hint="eastAsia" w:ascii="宋体" w:hAnsi="宋体" w:eastAsia="宋体" w:cs="宋体"/>
          <w:caps w:val="0"/>
          <w:smallCaps w:val="0"/>
          <w:color w:val="auto"/>
          <w:kern w:val="2"/>
          <w:sz w:val="21"/>
          <w:szCs w:val="21"/>
          <w:highlight w:val="none"/>
          <w:u w:val="single"/>
          <w:lang w:val="en-US" w:eastAsia="zh-CN" w:bidi="ar-SA"/>
        </w:rPr>
      </w:pPr>
      <w:r>
        <w:rPr>
          <w:rFonts w:hint="eastAsia" w:ascii="宋体" w:hAnsi="宋体" w:eastAsia="宋体" w:cs="宋体"/>
          <w:caps w:val="0"/>
          <w:smallCaps w:val="0"/>
          <w:color w:val="auto"/>
          <w:kern w:val="2"/>
          <w:sz w:val="21"/>
          <w:szCs w:val="21"/>
          <w:highlight w:val="none"/>
          <w:u w:val="single"/>
          <w:lang w:val="en-US" w:eastAsia="zh-CN" w:bidi="ar-SA"/>
        </w:rPr>
        <w:t>合同设备由于卖方原因三次考核均未能达到合同约定的技术性能考核指</w:t>
      </w:r>
      <w:r>
        <w:rPr>
          <w:rFonts w:hint="eastAsia" w:ascii="宋体" w:hAnsi="宋体" w:cs="宋体"/>
          <w:caps w:val="0"/>
          <w:smallCaps w:val="0"/>
          <w:color w:val="auto"/>
          <w:kern w:val="2"/>
          <w:sz w:val="21"/>
          <w:szCs w:val="21"/>
          <w:highlight w:val="none"/>
          <w:u w:val="single"/>
          <w:lang w:val="en-US" w:eastAsia="zh-CN" w:bidi="ar-SA"/>
        </w:rPr>
        <w:t>标，</w:t>
      </w:r>
      <w:r>
        <w:rPr>
          <w:rFonts w:hint="eastAsia" w:ascii="宋体" w:hAnsi="宋体" w:eastAsia="宋体" w:cs="宋体"/>
          <w:caps w:val="0"/>
          <w:smallCaps w:val="0"/>
          <w:color w:val="auto"/>
          <w:kern w:val="2"/>
          <w:sz w:val="21"/>
          <w:szCs w:val="21"/>
          <w:highlight w:val="none"/>
          <w:u w:val="single"/>
          <w:lang w:val="en-US" w:eastAsia="zh-CN" w:bidi="ar-SA"/>
        </w:rPr>
        <w:t>若95%≦产能＜100%时，卖方应向买方支付合同价 5 %的违约金；若90%≦产能＜95%时，卖方应向买方支付合同价 10 %的违约金</w:t>
      </w:r>
      <w:r>
        <w:rPr>
          <w:rFonts w:hint="eastAsia" w:ascii="宋体" w:hAnsi="宋体" w:cs="宋体"/>
          <w:caps w:val="0"/>
          <w:smallCaps w:val="0"/>
          <w:color w:val="auto"/>
          <w:kern w:val="2"/>
          <w:sz w:val="21"/>
          <w:szCs w:val="21"/>
          <w:highlight w:val="none"/>
          <w:u w:val="single"/>
          <w:lang w:val="en-US" w:eastAsia="zh-CN" w:bidi="ar-SA"/>
        </w:rPr>
        <w:t>。</w:t>
      </w:r>
      <w:r>
        <w:rPr>
          <w:rFonts w:hint="eastAsia" w:ascii="宋体" w:hAnsi="宋体" w:eastAsia="宋体" w:cs="宋体"/>
          <w:caps w:val="0"/>
          <w:smallCaps w:val="0"/>
          <w:color w:val="auto"/>
          <w:kern w:val="2"/>
          <w:sz w:val="21"/>
          <w:szCs w:val="21"/>
          <w:highlight w:val="none"/>
          <w:u w:val="single"/>
          <w:lang w:val="en-US" w:eastAsia="zh-CN" w:bidi="ar-SA"/>
        </w:rPr>
        <w:t>若2.5%≤破损率率＜3%时，卖方应向买方支付合同价 5 %的违约金；若3%≤破损率率＜3.5%时，卖方应向买方支付合同价 10 %的违约金。合同设备由于卖方原因三次考核均未能达到合同约定的技术性能考核指标，且买方不同意降低标准验收的，在买方下达验收不合格通知书30日内，卖方退还买方已经支付的合同价款中不合格设备价款后自行拆除设备并恢复原样，且卖方还应向买方支付未通过考核的合同设备价 20 %的违约金</w:t>
      </w:r>
      <w:r>
        <w:rPr>
          <w:rFonts w:hint="eastAsia" w:ascii="宋体" w:hAnsi="宋体" w:cs="宋体"/>
          <w:caps w:val="0"/>
          <w:smallCaps w:val="0"/>
          <w:color w:val="auto"/>
          <w:kern w:val="2"/>
          <w:sz w:val="21"/>
          <w:szCs w:val="21"/>
          <w:highlight w:val="none"/>
          <w:u w:val="single"/>
          <w:lang w:val="en-US" w:eastAsia="zh-CN" w:bidi="ar-SA"/>
        </w:rPr>
        <w:t>。</w:t>
      </w:r>
    </w:p>
    <w:p w14:paraId="4B87C24D">
      <w:pPr>
        <w:pStyle w:val="17"/>
        <w:ind w:firstLine="420" w:firstLineChars="200"/>
        <w:rPr>
          <w:rFonts w:hint="default"/>
          <w:color w:val="auto"/>
          <w:u w:val="none"/>
          <w:lang w:val="en-US" w:eastAsia="zh-CN"/>
        </w:rPr>
      </w:pPr>
      <w:r>
        <w:rPr>
          <w:rFonts w:hint="eastAsia" w:ascii="宋体" w:hAnsi="宋体" w:eastAsia="宋体" w:cs="宋体"/>
          <w:caps w:val="0"/>
          <w:smallCaps w:val="0"/>
          <w:color w:val="auto"/>
          <w:kern w:val="2"/>
          <w:sz w:val="21"/>
          <w:szCs w:val="21"/>
          <w:highlight w:val="none"/>
          <w:u w:val="single"/>
          <w:lang w:val="en-US" w:eastAsia="zh-CN" w:bidi="ar-SA"/>
        </w:rPr>
        <w:t>三次考核</w:t>
      </w:r>
      <w:r>
        <w:rPr>
          <w:rFonts w:hint="eastAsia" w:ascii="宋体" w:hAnsi="宋体" w:cs="宋体"/>
          <w:caps w:val="0"/>
          <w:smallCaps w:val="0"/>
          <w:color w:val="auto"/>
          <w:kern w:val="2"/>
          <w:sz w:val="21"/>
          <w:szCs w:val="21"/>
          <w:highlight w:val="none"/>
          <w:u w:val="single"/>
          <w:lang w:val="en-US" w:eastAsia="zh-CN" w:bidi="ar-SA"/>
        </w:rPr>
        <w:t>时长不超过2个青菜头收购季。</w:t>
      </w:r>
    </w:p>
    <w:p w14:paraId="286FC323">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000000"/>
          <w:sz w:val="21"/>
          <w:szCs w:val="21"/>
          <w:highlight w:val="none"/>
          <w:u w:val="single"/>
        </w:rPr>
        <w:t>（</w:t>
      </w:r>
      <w:r>
        <w:rPr>
          <w:rFonts w:hint="eastAsia" w:ascii="宋体" w:hAnsi="宋体" w:eastAsia="宋体" w:cs="宋体"/>
          <w:caps w:val="0"/>
          <w:smallCaps w:val="0"/>
          <w:color w:val="000000"/>
          <w:sz w:val="21"/>
          <w:szCs w:val="21"/>
          <w:highlight w:val="none"/>
          <w:u w:val="single"/>
          <w:lang w:val="en-US" w:eastAsia="zh-CN"/>
        </w:rPr>
        <w:t>5</w:t>
      </w:r>
      <w:r>
        <w:rPr>
          <w:rFonts w:hint="eastAsia" w:ascii="宋体" w:hAnsi="宋体" w:eastAsia="宋体" w:cs="宋体"/>
          <w:caps w:val="0"/>
          <w:smallCaps w:val="0"/>
          <w:color w:val="000000"/>
          <w:sz w:val="21"/>
          <w:szCs w:val="21"/>
          <w:highlight w:val="none"/>
          <w:u w:val="single"/>
        </w:rPr>
        <w:t>）质量保证期内，如合同设备被发现存在任何缺陷，且</w:t>
      </w:r>
      <w:r>
        <w:rPr>
          <w:rFonts w:hint="eastAsia" w:ascii="宋体" w:hAnsi="宋体" w:eastAsia="宋体" w:cs="宋体"/>
          <w:caps w:val="0"/>
          <w:smallCaps w:val="0"/>
          <w:color w:val="000000"/>
          <w:sz w:val="21"/>
          <w:szCs w:val="21"/>
          <w:highlight w:val="none"/>
          <w:u w:val="single"/>
          <w:lang w:eastAsia="zh-CN"/>
        </w:rPr>
        <w:t>卖方</w:t>
      </w:r>
      <w:r>
        <w:rPr>
          <w:rFonts w:hint="eastAsia" w:ascii="宋体" w:hAnsi="宋体" w:eastAsia="宋体" w:cs="宋体"/>
          <w:caps w:val="0"/>
          <w:smallCaps w:val="0"/>
          <w:color w:val="000000"/>
          <w:sz w:val="21"/>
          <w:szCs w:val="21"/>
          <w:highlight w:val="none"/>
          <w:u w:val="single"/>
        </w:rPr>
        <w:t>拒绝根据合同进行修理、更换或经修理、更换仍无法消除该等缺陷</w:t>
      </w:r>
      <w:r>
        <w:rPr>
          <w:rFonts w:hint="eastAsia" w:ascii="宋体" w:hAnsi="宋体" w:eastAsia="宋体" w:cs="宋体"/>
          <w:caps w:val="0"/>
          <w:smallCaps w:val="0"/>
          <w:color w:val="000000"/>
          <w:sz w:val="21"/>
          <w:szCs w:val="21"/>
          <w:highlight w:val="none"/>
          <w:u w:val="single"/>
          <w:lang w:val="en-US" w:eastAsia="zh-CN"/>
        </w:rPr>
        <w:t>的，买方有权退还该台设备，卖方应退还该设备的全部价款，且卖方应向买方支付存在缺陷</w:t>
      </w:r>
      <w:r>
        <w:rPr>
          <w:rFonts w:hint="eastAsia" w:ascii="宋体" w:hAnsi="宋体" w:eastAsia="宋体" w:cs="宋体"/>
          <w:caps w:val="0"/>
          <w:smallCaps w:val="0"/>
          <w:color w:val="000000"/>
          <w:sz w:val="21"/>
          <w:szCs w:val="21"/>
          <w:highlight w:val="none"/>
          <w:u w:val="single"/>
        </w:rPr>
        <w:t xml:space="preserve">合同设备价格 </w:t>
      </w:r>
      <w:r>
        <w:rPr>
          <w:rFonts w:hint="eastAsia" w:ascii="宋体" w:hAnsi="宋体" w:eastAsia="宋体" w:cs="宋体"/>
          <w:caps w:val="0"/>
          <w:smallCaps w:val="0"/>
          <w:color w:val="000000"/>
          <w:sz w:val="21"/>
          <w:szCs w:val="21"/>
          <w:highlight w:val="none"/>
          <w:u w:val="single"/>
          <w:lang w:val="en-US" w:eastAsia="zh-CN"/>
        </w:rPr>
        <w:t xml:space="preserve">10 </w:t>
      </w:r>
      <w:r>
        <w:rPr>
          <w:rFonts w:hint="eastAsia" w:ascii="宋体" w:hAnsi="宋体" w:eastAsia="宋体" w:cs="宋体"/>
          <w:caps w:val="0"/>
          <w:smallCaps w:val="0"/>
          <w:color w:val="000000"/>
          <w:sz w:val="21"/>
          <w:szCs w:val="21"/>
          <w:highlight w:val="none"/>
          <w:u w:val="single"/>
        </w:rPr>
        <w:t>%</w:t>
      </w:r>
      <w:r>
        <w:rPr>
          <w:rFonts w:hint="eastAsia" w:ascii="宋体" w:hAnsi="宋体" w:eastAsia="宋体" w:cs="宋体"/>
          <w:caps w:val="0"/>
          <w:smallCaps w:val="0"/>
          <w:color w:val="000000"/>
          <w:sz w:val="21"/>
          <w:szCs w:val="21"/>
          <w:highlight w:val="none"/>
          <w:u w:val="single"/>
          <w:lang w:val="en-US" w:eastAsia="zh-CN"/>
        </w:rPr>
        <w:t>的违约金</w:t>
      </w:r>
      <w:r>
        <w:rPr>
          <w:rFonts w:hint="eastAsia" w:ascii="宋体" w:hAnsi="宋体" w:eastAsia="宋体" w:cs="宋体"/>
          <w:caps w:val="0"/>
          <w:smallCaps w:val="0"/>
          <w:color w:val="000000"/>
          <w:sz w:val="21"/>
          <w:szCs w:val="21"/>
          <w:highlight w:val="none"/>
          <w:u w:val="single"/>
        </w:rPr>
        <w:t>；</w:t>
      </w:r>
    </w:p>
    <w:p w14:paraId="2C4CE671">
      <w:pPr>
        <w:keepNext w:val="0"/>
        <w:keepLines w:val="0"/>
        <w:pageBreakBefore w:val="0"/>
        <w:widowControl w:val="0"/>
        <w:kinsoku/>
        <w:wordWrap/>
        <w:overflowPunct/>
        <w:topLinePunct w:val="0"/>
        <w:autoSpaceDE/>
        <w:autoSpaceDN/>
        <w:bidi w:val="0"/>
        <w:adjustRightInd w:val="0"/>
        <w:snapToGrid w:val="0"/>
        <w:spacing w:line="360" w:lineRule="auto"/>
        <w:ind w:left="0" w:leftChars="0" w:right="0" w:rightChars="0" w:firstLine="420" w:firstLineChars="200"/>
        <w:textAlignment w:val="auto"/>
        <w:outlineLvl w:val="9"/>
        <w:rPr>
          <w:rFonts w:hint="eastAsia" w:ascii="宋体" w:hAnsi="宋体" w:eastAsia="宋体" w:cs="宋体"/>
          <w:caps w:val="0"/>
          <w:smallCaps w:val="0"/>
          <w:color w:val="000000"/>
          <w:lang w:eastAsia="zh-CN"/>
        </w:rPr>
      </w:pPr>
      <w:r>
        <w:rPr>
          <w:rFonts w:hint="eastAsia" w:ascii="宋体" w:hAnsi="宋体" w:eastAsia="宋体" w:cs="宋体"/>
          <w:caps w:val="0"/>
          <w:smallCaps w:val="0"/>
          <w:color w:val="000000"/>
          <w:sz w:val="21"/>
          <w:szCs w:val="21"/>
          <w:highlight w:val="none"/>
          <w:u w:val="single"/>
          <w:lang w:val="en-US" w:eastAsia="zh-CN"/>
        </w:rPr>
        <w:t>14.2.2卖方违反本合同第11条所作保证，在买方指定期限内纠正或采取的补救措施经买方认可的，卖方应向买方支付</w:t>
      </w:r>
      <w:r>
        <w:rPr>
          <w:rFonts w:hint="eastAsia" w:ascii="宋体" w:hAnsi="宋体" w:eastAsia="宋体" w:cs="宋体"/>
          <w:caps w:val="0"/>
          <w:smallCaps w:val="0"/>
          <w:color w:val="000000"/>
          <w:sz w:val="21"/>
          <w:szCs w:val="21"/>
          <w:highlight w:val="none"/>
          <w:u w:val="single"/>
        </w:rPr>
        <w:t xml:space="preserve">合同设备价格 </w:t>
      </w:r>
      <w:r>
        <w:rPr>
          <w:rFonts w:hint="eastAsia" w:ascii="宋体" w:hAnsi="宋体" w:eastAsia="宋体" w:cs="宋体"/>
          <w:caps w:val="0"/>
          <w:smallCaps w:val="0"/>
          <w:color w:val="000000"/>
          <w:sz w:val="21"/>
          <w:szCs w:val="21"/>
          <w:highlight w:val="none"/>
          <w:u w:val="single"/>
          <w:lang w:val="en-US" w:eastAsia="zh-CN"/>
        </w:rPr>
        <w:t xml:space="preserve">5 </w:t>
      </w:r>
      <w:r>
        <w:rPr>
          <w:rFonts w:hint="eastAsia" w:ascii="宋体" w:hAnsi="宋体" w:eastAsia="宋体" w:cs="宋体"/>
          <w:caps w:val="0"/>
          <w:smallCaps w:val="0"/>
          <w:color w:val="000000"/>
          <w:sz w:val="21"/>
          <w:szCs w:val="21"/>
          <w:highlight w:val="none"/>
          <w:u w:val="single"/>
        </w:rPr>
        <w:t>%</w:t>
      </w:r>
      <w:r>
        <w:rPr>
          <w:rFonts w:hint="eastAsia" w:ascii="宋体" w:hAnsi="宋体" w:eastAsia="宋体" w:cs="宋体"/>
          <w:caps w:val="0"/>
          <w:smallCaps w:val="0"/>
          <w:color w:val="000000"/>
          <w:sz w:val="21"/>
          <w:szCs w:val="21"/>
          <w:highlight w:val="none"/>
          <w:u w:val="single"/>
          <w:lang w:val="en-US" w:eastAsia="zh-CN"/>
        </w:rPr>
        <w:t>的违约金，</w:t>
      </w:r>
      <w:r>
        <w:rPr>
          <w:rFonts w:hint="eastAsia" w:ascii="宋体" w:hAnsi="宋体" w:eastAsia="宋体" w:cs="宋体"/>
          <w:caps w:val="0"/>
          <w:smallCaps w:val="0"/>
          <w:color w:val="000000"/>
          <w:sz w:val="21"/>
          <w:szCs w:val="21"/>
          <w:highlight w:val="none"/>
          <w:u w:val="single"/>
        </w:rPr>
        <w:t>并赔偿</w:t>
      </w:r>
      <w:r>
        <w:rPr>
          <w:rFonts w:hint="eastAsia" w:ascii="宋体" w:hAnsi="宋体" w:eastAsia="宋体" w:cs="宋体"/>
          <w:caps w:val="0"/>
          <w:smallCaps w:val="0"/>
          <w:color w:val="000000"/>
          <w:sz w:val="21"/>
          <w:szCs w:val="21"/>
          <w:highlight w:val="none"/>
          <w:u w:val="single"/>
          <w:lang w:eastAsia="zh-CN"/>
        </w:rPr>
        <w:t>买方</w:t>
      </w:r>
      <w:r>
        <w:rPr>
          <w:rFonts w:hint="eastAsia" w:ascii="宋体" w:hAnsi="宋体" w:eastAsia="宋体" w:cs="宋体"/>
          <w:caps w:val="0"/>
          <w:smallCaps w:val="0"/>
          <w:color w:val="000000"/>
          <w:sz w:val="21"/>
          <w:szCs w:val="21"/>
          <w:highlight w:val="none"/>
          <w:u w:val="single"/>
        </w:rPr>
        <w:t>因此遭受的超出违约金数额的全部损失</w:t>
      </w:r>
      <w:r>
        <w:rPr>
          <w:rFonts w:hint="eastAsia" w:ascii="宋体" w:hAnsi="宋体" w:eastAsia="宋体" w:cs="宋体"/>
          <w:caps w:val="0"/>
          <w:smallCaps w:val="0"/>
          <w:color w:val="000000"/>
          <w:sz w:val="21"/>
          <w:szCs w:val="21"/>
          <w:highlight w:val="none"/>
          <w:u w:val="single"/>
          <w:lang w:eastAsia="zh-CN"/>
        </w:rPr>
        <w:t>。</w:t>
      </w:r>
    </w:p>
    <w:p w14:paraId="408191D7">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rPr>
        <w:t>14.3</w:t>
      </w:r>
      <w:r>
        <w:rPr>
          <w:rFonts w:ascii="宋体" w:hAnsi="宋体"/>
          <w:szCs w:val="21"/>
        </w:rPr>
        <w:t xml:space="preserve"> </w:t>
      </w:r>
      <w:r>
        <w:rPr>
          <w:rFonts w:hint="eastAsia" w:ascii="宋体" w:hAnsi="宋体"/>
          <w:szCs w:val="21"/>
        </w:rPr>
        <w:t>买方违约责任</w:t>
      </w:r>
      <w:r>
        <w:rPr>
          <w:rFonts w:hint="eastAsia" w:ascii="宋体" w:hAnsi="宋体"/>
          <w:szCs w:val="21"/>
          <w:lang w:val="en-US" w:eastAsia="zh-CN"/>
        </w:rPr>
        <w:t>的约定：</w:t>
      </w:r>
    </w:p>
    <w:p w14:paraId="50E43474">
      <w:pPr>
        <w:tabs>
          <w:tab w:val="left" w:pos="1134"/>
        </w:tabs>
        <w:spacing w:line="360" w:lineRule="auto"/>
        <w:ind w:firstLine="420" w:firstLineChars="200"/>
        <w:rPr>
          <w:rFonts w:hint="default" w:ascii="宋体" w:hAnsi="宋体" w:eastAsia="宋体"/>
          <w:szCs w:val="21"/>
          <w:lang w:val="en-US" w:eastAsia="zh-CN"/>
        </w:rPr>
      </w:pPr>
      <w:r>
        <w:rPr>
          <w:rFonts w:hint="eastAsia" w:ascii="宋体" w:hAnsi="宋体" w:eastAsia="宋体" w:cs="宋体"/>
          <w:caps w:val="0"/>
          <w:smallCaps w:val="0"/>
          <w:color w:val="auto"/>
          <w:sz w:val="21"/>
          <w:szCs w:val="21"/>
          <w:highlight w:val="none"/>
          <w:u w:val="single"/>
        </w:rPr>
        <w:t>未能按合同约定支付合同价款的，</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应向</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支付延迟付款违约金。</w:t>
      </w:r>
      <w:r>
        <w:rPr>
          <w:rFonts w:hint="eastAsia" w:ascii="宋体" w:hAnsi="宋体" w:eastAsia="宋体" w:cs="宋体"/>
          <w:caps w:val="0"/>
          <w:smallCaps w:val="0"/>
          <w:color w:val="auto"/>
          <w:sz w:val="21"/>
          <w:szCs w:val="21"/>
          <w:highlight w:val="none"/>
          <w:u w:val="single"/>
          <w:lang w:eastAsia="zh-CN"/>
        </w:rPr>
        <w:t>买方</w:t>
      </w:r>
      <w:r>
        <w:rPr>
          <w:rFonts w:hint="eastAsia" w:ascii="宋体" w:hAnsi="宋体" w:eastAsia="宋体" w:cs="宋体"/>
          <w:caps w:val="0"/>
          <w:smallCaps w:val="0"/>
          <w:color w:val="auto"/>
          <w:sz w:val="21"/>
          <w:szCs w:val="21"/>
          <w:highlight w:val="none"/>
          <w:u w:val="single"/>
        </w:rPr>
        <w:t>延迟付款违</w:t>
      </w:r>
      <w:r>
        <w:rPr>
          <w:rFonts w:hint="eastAsia" w:ascii="宋体" w:hAnsi="宋体" w:eastAsia="宋体" w:cs="宋体"/>
          <w:caps w:val="0"/>
          <w:smallCaps w:val="0"/>
          <w:color w:val="000000"/>
          <w:sz w:val="21"/>
          <w:szCs w:val="21"/>
          <w:highlight w:val="none"/>
          <w:u w:val="single"/>
        </w:rPr>
        <w:t>约金计算方法的约定：</w:t>
      </w:r>
      <w:r>
        <w:rPr>
          <w:rFonts w:hint="eastAsia" w:ascii="宋体" w:hAnsi="宋体" w:eastAsia="宋体" w:cs="宋体"/>
          <w:caps w:val="0"/>
          <w:smallCaps w:val="0"/>
          <w:color w:val="000000"/>
          <w:szCs w:val="21"/>
          <w:highlight w:val="none"/>
          <w:u w:val="single"/>
        </w:rPr>
        <w:t>违约金=未能按合同约定支付合同价款金额×中国人民银行 202</w:t>
      </w:r>
      <w:r>
        <w:rPr>
          <w:rFonts w:hint="eastAsia" w:ascii="宋体" w:hAnsi="宋体" w:cs="宋体"/>
          <w:caps w:val="0"/>
          <w:smallCaps w:val="0"/>
          <w:color w:val="000000"/>
          <w:szCs w:val="21"/>
          <w:highlight w:val="none"/>
          <w:u w:val="single"/>
          <w:lang w:val="en-US" w:eastAsia="zh-CN"/>
        </w:rPr>
        <w:t>6</w:t>
      </w:r>
      <w:r>
        <w:rPr>
          <w:rFonts w:hint="eastAsia" w:ascii="宋体" w:hAnsi="宋体" w:eastAsia="宋体" w:cs="宋体"/>
          <w:caps w:val="0"/>
          <w:smallCaps w:val="0"/>
          <w:color w:val="000000"/>
          <w:szCs w:val="21"/>
          <w:highlight w:val="none"/>
          <w:u w:val="single"/>
        </w:rPr>
        <w:t>年</w:t>
      </w:r>
      <w:r>
        <w:rPr>
          <w:rFonts w:hint="eastAsia" w:ascii="宋体" w:hAnsi="宋体" w:cs="宋体"/>
          <w:caps w:val="0"/>
          <w:smallCaps w:val="0"/>
          <w:color w:val="000000"/>
          <w:szCs w:val="21"/>
          <w:highlight w:val="none"/>
          <w:u w:val="single"/>
          <w:lang w:val="en-US" w:eastAsia="zh-CN"/>
        </w:rPr>
        <w:t>1</w:t>
      </w:r>
      <w:r>
        <w:rPr>
          <w:rFonts w:hint="eastAsia" w:ascii="宋体" w:hAnsi="宋体" w:eastAsia="宋体" w:cs="宋体"/>
          <w:caps w:val="0"/>
          <w:smallCaps w:val="0"/>
          <w:color w:val="000000"/>
          <w:szCs w:val="21"/>
          <w:highlight w:val="none"/>
          <w:u w:val="single"/>
        </w:rPr>
        <w:t>月公布的5年期贷款市场报价利率/360天×逾期天数（自第29天起计算）</w:t>
      </w:r>
      <w:r>
        <w:rPr>
          <w:rFonts w:hint="eastAsia" w:ascii="宋体" w:hAnsi="宋体" w:eastAsia="宋体" w:cs="宋体"/>
          <w:caps w:val="0"/>
          <w:smallCaps w:val="0"/>
          <w:color w:val="000000"/>
          <w:sz w:val="21"/>
          <w:szCs w:val="21"/>
          <w:highlight w:val="none"/>
          <w:u w:val="single"/>
          <w:lang w:val="en-US" w:eastAsia="zh-CN"/>
        </w:rPr>
        <w:t>。</w:t>
      </w:r>
    </w:p>
    <w:p w14:paraId="6D7E1DDB">
      <w:pPr>
        <w:pStyle w:val="97"/>
        <w:keepNext w:val="0"/>
        <w:keepLines w:val="0"/>
        <w:tabs>
          <w:tab w:val="left" w:pos="567"/>
        </w:tabs>
        <w:spacing w:before="156" w:after="156"/>
        <w:rPr>
          <w:rFonts w:eastAsia="宋体" w:cs="Times New Roman"/>
          <w:b/>
          <w:bCs/>
          <w:sz w:val="32"/>
          <w:szCs w:val="32"/>
        </w:rPr>
      </w:pPr>
      <w:bookmarkStart w:id="861" w:name="_Toc6277"/>
      <w:bookmarkStart w:id="862" w:name="_Toc19438"/>
      <w:bookmarkStart w:id="863" w:name="_Toc31345"/>
      <w:bookmarkStart w:id="864" w:name="_Toc27036"/>
      <w:bookmarkStart w:id="865" w:name="_Toc531098992"/>
      <w:bookmarkStart w:id="866" w:name="_Toc29729"/>
      <w:bookmarkStart w:id="867" w:name="_Toc3357"/>
      <w:bookmarkStart w:id="868" w:name="_Toc531606356"/>
      <w:r>
        <w:rPr>
          <w:rFonts w:hint="eastAsia" w:eastAsia="宋体" w:cs="Times New Roman"/>
          <w:b/>
          <w:bCs/>
          <w:sz w:val="32"/>
          <w:szCs w:val="32"/>
        </w:rPr>
        <w:t>15. 合同的解除</w:t>
      </w:r>
      <w:bookmarkEnd w:id="861"/>
      <w:bookmarkEnd w:id="862"/>
      <w:bookmarkEnd w:id="863"/>
      <w:bookmarkEnd w:id="864"/>
      <w:bookmarkEnd w:id="865"/>
      <w:bookmarkEnd w:id="866"/>
      <w:bookmarkEnd w:id="867"/>
      <w:bookmarkEnd w:id="868"/>
    </w:p>
    <w:p w14:paraId="73005F4B">
      <w:pPr>
        <w:tabs>
          <w:tab w:val="left" w:pos="1134"/>
        </w:tabs>
        <w:spacing w:line="360" w:lineRule="auto"/>
        <w:ind w:firstLine="420"/>
        <w:rPr>
          <w:rFonts w:hint="eastAsia" w:ascii="宋体" w:hAnsi="宋体"/>
          <w:szCs w:val="21"/>
        </w:rPr>
      </w:pPr>
      <w:r>
        <w:rPr>
          <w:rFonts w:hint="eastAsia" w:ascii="宋体" w:hAnsi="宋体"/>
          <w:szCs w:val="21"/>
        </w:rPr>
        <w:t>合同解除的</w:t>
      </w:r>
      <w:r>
        <w:rPr>
          <w:rFonts w:hint="eastAsia" w:ascii="宋体" w:hAnsi="宋体"/>
          <w:szCs w:val="21"/>
          <w:lang w:val="en-US" w:eastAsia="zh-CN"/>
        </w:rPr>
        <w:t>约定</w:t>
      </w:r>
      <w:r>
        <w:rPr>
          <w:rFonts w:hint="eastAsia" w:ascii="宋体" w:hAnsi="宋体"/>
          <w:szCs w:val="21"/>
        </w:rPr>
        <w:t>：</w:t>
      </w:r>
    </w:p>
    <w:p w14:paraId="4D4EC7E8">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val="en-US" w:eastAsia="zh-CN"/>
        </w:rPr>
        <w:t>15.1 除通用合同条款约定的情形外，</w:t>
      </w:r>
      <w:r>
        <w:rPr>
          <w:rFonts w:hint="eastAsia" w:ascii="宋体" w:hAnsi="宋体" w:eastAsia="宋体" w:cs="宋体"/>
          <w:caps w:val="0"/>
          <w:smallCaps w:val="0"/>
          <w:color w:val="auto"/>
          <w:sz w:val="21"/>
          <w:szCs w:val="21"/>
          <w:highlight w:val="none"/>
          <w:u w:val="single"/>
        </w:rPr>
        <w:t>合同</w:t>
      </w:r>
      <w:r>
        <w:rPr>
          <w:rFonts w:hint="eastAsia" w:ascii="宋体" w:hAnsi="宋体" w:eastAsia="宋体" w:cs="宋体"/>
          <w:caps w:val="0"/>
          <w:smallCaps w:val="0"/>
          <w:color w:val="auto"/>
          <w:sz w:val="21"/>
          <w:szCs w:val="21"/>
          <w:highlight w:val="none"/>
          <w:u w:val="single"/>
          <w:lang w:val="en-US" w:eastAsia="zh-CN"/>
        </w:rPr>
        <w:t>可</w:t>
      </w:r>
      <w:r>
        <w:rPr>
          <w:rFonts w:hint="eastAsia" w:ascii="宋体" w:hAnsi="宋体" w:eastAsia="宋体" w:cs="宋体"/>
          <w:caps w:val="0"/>
          <w:smallCaps w:val="0"/>
          <w:color w:val="auto"/>
          <w:sz w:val="21"/>
          <w:szCs w:val="21"/>
          <w:highlight w:val="none"/>
          <w:u w:val="single"/>
        </w:rPr>
        <w:t>解除的</w:t>
      </w:r>
      <w:r>
        <w:rPr>
          <w:rFonts w:hint="eastAsia" w:ascii="宋体" w:hAnsi="宋体" w:eastAsia="宋体" w:cs="宋体"/>
          <w:caps w:val="0"/>
          <w:smallCaps w:val="0"/>
          <w:color w:val="auto"/>
          <w:sz w:val="21"/>
          <w:szCs w:val="21"/>
          <w:highlight w:val="none"/>
          <w:u w:val="single"/>
          <w:lang w:val="en-US" w:eastAsia="zh-CN"/>
        </w:rPr>
        <w:t>其他情形如下：</w:t>
      </w:r>
    </w:p>
    <w:p w14:paraId="4F8CCD80">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1</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在制造过程中，</w:t>
      </w:r>
      <w:r>
        <w:rPr>
          <w:rFonts w:hint="eastAsia" w:ascii="宋体" w:hAnsi="宋体" w:eastAsia="宋体" w:cs="宋体"/>
          <w:caps w:val="0"/>
          <w:smallCaps w:val="0"/>
          <w:color w:val="auto"/>
          <w:sz w:val="21"/>
          <w:szCs w:val="21"/>
          <w:highlight w:val="none"/>
          <w:u w:val="single"/>
          <w:lang w:val="en-US" w:eastAsia="zh-CN"/>
        </w:rPr>
        <w:t>买方监造人员发现</w:t>
      </w:r>
      <w:r>
        <w:rPr>
          <w:rFonts w:hint="eastAsia" w:ascii="宋体" w:hAnsi="宋体" w:eastAsia="宋体" w:cs="宋体"/>
          <w:caps w:val="0"/>
          <w:smallCaps w:val="0"/>
          <w:color w:val="auto"/>
          <w:sz w:val="21"/>
          <w:szCs w:val="21"/>
          <w:highlight w:val="none"/>
          <w:u w:val="single"/>
        </w:rPr>
        <w:t>合同设备</w:t>
      </w:r>
      <w:r>
        <w:rPr>
          <w:rFonts w:hint="eastAsia" w:ascii="宋体" w:hAnsi="宋体" w:eastAsia="宋体" w:cs="宋体"/>
          <w:caps w:val="0"/>
          <w:smallCaps w:val="0"/>
          <w:color w:val="auto"/>
          <w:sz w:val="21"/>
          <w:szCs w:val="21"/>
          <w:highlight w:val="none"/>
          <w:u w:val="single"/>
          <w:lang w:val="en-US" w:eastAsia="zh-CN"/>
        </w:rPr>
        <w:t>零部件或制造工艺</w:t>
      </w:r>
      <w:r>
        <w:rPr>
          <w:rFonts w:hint="eastAsia" w:ascii="宋体" w:hAnsi="宋体" w:eastAsia="宋体" w:cs="宋体"/>
          <w:caps w:val="0"/>
          <w:smallCaps w:val="0"/>
          <w:color w:val="auto"/>
          <w:sz w:val="21"/>
          <w:szCs w:val="21"/>
          <w:highlight w:val="none"/>
          <w:u w:val="single"/>
        </w:rPr>
        <w:t>不符合合同</w:t>
      </w:r>
      <w:r>
        <w:rPr>
          <w:rFonts w:hint="eastAsia" w:ascii="宋体" w:hAnsi="宋体" w:eastAsia="宋体" w:cs="宋体"/>
          <w:caps w:val="0"/>
          <w:smallCaps w:val="0"/>
          <w:color w:val="auto"/>
          <w:sz w:val="21"/>
          <w:szCs w:val="21"/>
          <w:highlight w:val="none"/>
          <w:u w:val="single"/>
          <w:lang w:val="en-US" w:eastAsia="zh-CN"/>
        </w:rPr>
        <w:t>要求，且未在买方指定期限内纠正的；</w:t>
      </w:r>
    </w:p>
    <w:p w14:paraId="57DE09E6">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2</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到货检验中发现存在合同设备不符合本合同要求，</w:t>
      </w:r>
      <w:r>
        <w:rPr>
          <w:rFonts w:hint="eastAsia" w:ascii="宋体" w:hAnsi="宋体" w:eastAsia="宋体" w:cs="宋体"/>
          <w:caps w:val="0"/>
          <w:smallCaps w:val="0"/>
          <w:color w:val="auto"/>
          <w:sz w:val="21"/>
          <w:szCs w:val="21"/>
          <w:highlight w:val="none"/>
          <w:u w:val="single"/>
          <w:lang w:val="en-US" w:eastAsia="zh-CN"/>
        </w:rPr>
        <w:t>且未在买方指定期限内纠正的；</w:t>
      </w:r>
    </w:p>
    <w:p w14:paraId="099067C0">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3</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rPr>
        <w:t>质量保证期内，如合同设备被发现存在任何缺陷，</w:t>
      </w:r>
      <w:r>
        <w:rPr>
          <w:rFonts w:hint="eastAsia" w:ascii="宋体" w:hAnsi="宋体" w:eastAsia="宋体" w:cs="宋体"/>
          <w:caps w:val="0"/>
          <w:smallCaps w:val="0"/>
          <w:color w:val="auto"/>
          <w:sz w:val="21"/>
          <w:szCs w:val="21"/>
          <w:highlight w:val="none"/>
          <w:u w:val="single"/>
          <w:lang w:eastAsia="zh-CN"/>
        </w:rPr>
        <w:t>卖方</w:t>
      </w:r>
      <w:r>
        <w:rPr>
          <w:rFonts w:hint="eastAsia" w:ascii="宋体" w:hAnsi="宋体" w:eastAsia="宋体" w:cs="宋体"/>
          <w:caps w:val="0"/>
          <w:smallCaps w:val="0"/>
          <w:color w:val="auto"/>
          <w:sz w:val="21"/>
          <w:szCs w:val="21"/>
          <w:highlight w:val="none"/>
          <w:u w:val="single"/>
        </w:rPr>
        <w:t>拒绝根据合同进行修理、更换或经修理、更换仍无法消除该等缺陷</w:t>
      </w:r>
      <w:r>
        <w:rPr>
          <w:rFonts w:hint="eastAsia" w:ascii="宋体" w:hAnsi="宋体" w:eastAsia="宋体" w:cs="宋体"/>
          <w:caps w:val="0"/>
          <w:smallCaps w:val="0"/>
          <w:color w:val="auto"/>
          <w:sz w:val="21"/>
          <w:szCs w:val="21"/>
          <w:highlight w:val="none"/>
          <w:u w:val="single"/>
          <w:lang w:val="en-US" w:eastAsia="zh-CN"/>
        </w:rPr>
        <w:t>的，且未在买方指定期限内纠正的；</w:t>
      </w:r>
    </w:p>
    <w:p w14:paraId="3008BAAA">
      <w:pPr>
        <w:pageBreakBefore w:val="0"/>
        <w:tabs>
          <w:tab w:val="left" w:pos="1134"/>
        </w:tabs>
        <w:topLinePunct w:val="0"/>
        <w:bidi w:val="0"/>
        <w:spacing w:line="360" w:lineRule="auto"/>
        <w:ind w:firstLine="420"/>
        <w:rPr>
          <w:rFonts w:hint="eastAsia" w:ascii="宋体" w:hAnsi="宋体" w:eastAsia="宋体" w:cs="宋体"/>
          <w:caps w:val="0"/>
          <w:smallCaps w:val="0"/>
          <w:color w:val="auto"/>
          <w:sz w:val="21"/>
          <w:szCs w:val="21"/>
          <w:highlight w:val="none"/>
          <w:u w:val="single"/>
          <w:lang w:val="en-US" w:eastAsia="zh-CN"/>
        </w:rPr>
      </w:pP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4</w:t>
      </w:r>
      <w:r>
        <w:rPr>
          <w:rFonts w:hint="eastAsia" w:ascii="宋体" w:hAnsi="宋体" w:eastAsia="宋体" w:cs="宋体"/>
          <w:caps w:val="0"/>
          <w:smallCaps w:val="0"/>
          <w:color w:val="auto"/>
          <w:sz w:val="21"/>
          <w:szCs w:val="21"/>
          <w:highlight w:val="none"/>
          <w:u w:val="single"/>
          <w:lang w:eastAsia="zh-CN"/>
        </w:rPr>
        <w:t>）</w:t>
      </w:r>
      <w:r>
        <w:rPr>
          <w:rFonts w:hint="eastAsia" w:ascii="宋体" w:hAnsi="宋体" w:eastAsia="宋体" w:cs="宋体"/>
          <w:caps w:val="0"/>
          <w:smallCaps w:val="0"/>
          <w:color w:val="auto"/>
          <w:sz w:val="21"/>
          <w:szCs w:val="21"/>
          <w:highlight w:val="none"/>
          <w:u w:val="single"/>
          <w:lang w:val="en-US" w:eastAsia="zh-CN"/>
        </w:rPr>
        <w:t>卖方违反本合同第11条所作保证，且未在买方指定期限内纠正或无法纠正的；</w:t>
      </w:r>
    </w:p>
    <w:p w14:paraId="05E3C3C6">
      <w:pPr>
        <w:pageBreakBefore w:val="0"/>
        <w:tabs>
          <w:tab w:val="left" w:pos="1134"/>
        </w:tabs>
        <w:topLinePunct w:val="0"/>
        <w:bidi w:val="0"/>
        <w:spacing w:line="360" w:lineRule="auto"/>
        <w:ind w:firstLine="420"/>
        <w:rPr>
          <w:rFonts w:hint="eastAsia" w:ascii="宋体" w:hAnsi="宋体" w:eastAsia="宋体" w:cs="宋体"/>
          <w:caps w:val="0"/>
          <w:smallCaps w:val="0"/>
          <w:color w:val="auto"/>
          <w:kern w:val="0"/>
          <w:sz w:val="21"/>
          <w:szCs w:val="21"/>
          <w:highlight w:val="none"/>
          <w:u w:val="single"/>
        </w:rPr>
      </w:pPr>
      <w:r>
        <w:rPr>
          <w:rFonts w:hint="eastAsia" w:ascii="宋体" w:hAnsi="宋体" w:eastAsia="宋体" w:cs="宋体"/>
          <w:caps w:val="0"/>
          <w:smallCaps w:val="0"/>
          <w:color w:val="auto"/>
          <w:sz w:val="21"/>
          <w:szCs w:val="21"/>
          <w:highlight w:val="none"/>
          <w:u w:val="single"/>
          <w:lang w:val="en-US" w:eastAsia="zh-CN"/>
        </w:rPr>
        <w:t>本条补充</w:t>
      </w:r>
      <w:r>
        <w:rPr>
          <w:rFonts w:hint="eastAsia" w:ascii="宋体" w:hAnsi="宋体" w:eastAsia="宋体" w:cs="宋体"/>
          <w:caps w:val="0"/>
          <w:smallCaps w:val="0"/>
          <w:color w:val="auto"/>
          <w:kern w:val="0"/>
          <w:sz w:val="21"/>
          <w:szCs w:val="21"/>
          <w:highlight w:val="none"/>
          <w:u w:val="single"/>
          <w:lang w:val="en-US" w:eastAsia="zh-CN"/>
        </w:rPr>
        <w:t>15.2款</w:t>
      </w:r>
      <w:r>
        <w:rPr>
          <w:rFonts w:hint="eastAsia" w:ascii="宋体" w:hAnsi="宋体" w:eastAsia="宋体" w:cs="宋体"/>
          <w:caps w:val="0"/>
          <w:smallCaps w:val="0"/>
          <w:color w:val="auto"/>
          <w:kern w:val="0"/>
          <w:sz w:val="21"/>
          <w:szCs w:val="21"/>
          <w:highlight w:val="none"/>
          <w:u w:val="single"/>
        </w:rPr>
        <w:t>：</w:t>
      </w:r>
    </w:p>
    <w:p w14:paraId="15534406">
      <w:pPr>
        <w:pageBreakBefore w:val="0"/>
        <w:tabs>
          <w:tab w:val="left" w:pos="1134"/>
        </w:tabs>
        <w:topLinePunct w:val="0"/>
        <w:bidi w:val="0"/>
        <w:spacing w:line="360" w:lineRule="auto"/>
        <w:ind w:firstLine="420"/>
        <w:rPr>
          <w:rFonts w:hint="eastAsia" w:ascii="宋体" w:hAnsi="宋体" w:eastAsia="宋体" w:cs="宋体"/>
          <w:caps w:val="0"/>
          <w:smallCaps w:val="0"/>
          <w:color w:val="000000"/>
          <w:sz w:val="21"/>
          <w:szCs w:val="21"/>
          <w:highlight w:val="none"/>
          <w:u w:val="single"/>
        </w:rPr>
      </w:pPr>
      <w:r>
        <w:rPr>
          <w:rFonts w:hint="eastAsia" w:ascii="宋体" w:hAnsi="宋体" w:eastAsia="宋体" w:cs="宋体"/>
          <w:caps w:val="0"/>
          <w:smallCaps w:val="0"/>
          <w:color w:val="000000"/>
          <w:sz w:val="21"/>
          <w:szCs w:val="21"/>
          <w:highlight w:val="none"/>
          <w:u w:val="single"/>
          <w:lang w:val="en-US" w:eastAsia="zh-CN"/>
        </w:rPr>
        <w:t xml:space="preserve">15.2 </w:t>
      </w:r>
      <w:r>
        <w:rPr>
          <w:rFonts w:hint="eastAsia" w:ascii="宋体" w:hAnsi="宋体" w:eastAsia="宋体" w:cs="宋体"/>
          <w:caps w:val="0"/>
          <w:smallCaps w:val="0"/>
          <w:color w:val="000000"/>
          <w:sz w:val="21"/>
          <w:szCs w:val="21"/>
          <w:highlight w:val="none"/>
          <w:u w:val="single"/>
        </w:rPr>
        <w:t>合同一方当事人收到</w:t>
      </w:r>
      <w:r>
        <w:rPr>
          <w:rFonts w:hint="eastAsia" w:ascii="宋体" w:hAnsi="宋体" w:eastAsia="宋体" w:cs="宋体"/>
          <w:caps w:val="0"/>
          <w:smallCaps w:val="0"/>
          <w:color w:val="000000"/>
          <w:sz w:val="21"/>
          <w:szCs w:val="21"/>
          <w:highlight w:val="none"/>
          <w:u w:val="single"/>
          <w:lang w:val="en-US" w:eastAsia="zh-CN"/>
        </w:rPr>
        <w:t>另一方解除</w:t>
      </w:r>
      <w:r>
        <w:rPr>
          <w:rFonts w:hint="eastAsia" w:ascii="宋体" w:hAnsi="宋体" w:eastAsia="宋体" w:cs="宋体"/>
          <w:caps w:val="0"/>
          <w:smallCaps w:val="0"/>
          <w:color w:val="000000"/>
          <w:sz w:val="21"/>
          <w:szCs w:val="21"/>
          <w:highlight w:val="none"/>
          <w:u w:val="single"/>
        </w:rPr>
        <w:t>合同的书面通知后，应立即停止</w:t>
      </w:r>
      <w:r>
        <w:rPr>
          <w:rFonts w:hint="eastAsia" w:ascii="宋体" w:hAnsi="宋体" w:eastAsia="宋体" w:cs="宋体"/>
          <w:caps w:val="0"/>
          <w:smallCaps w:val="0"/>
          <w:color w:val="000000"/>
          <w:sz w:val="21"/>
          <w:szCs w:val="21"/>
          <w:highlight w:val="none"/>
          <w:u w:val="single"/>
          <w:lang w:val="en-US" w:eastAsia="zh-CN"/>
        </w:rPr>
        <w:t>履行合同相关工作</w:t>
      </w:r>
      <w:r>
        <w:rPr>
          <w:rFonts w:hint="eastAsia" w:ascii="宋体" w:hAnsi="宋体" w:eastAsia="宋体" w:cs="宋体"/>
          <w:caps w:val="0"/>
          <w:smallCaps w:val="0"/>
          <w:color w:val="000000"/>
          <w:sz w:val="21"/>
          <w:szCs w:val="21"/>
          <w:highlight w:val="none"/>
          <w:u w:val="single"/>
        </w:rPr>
        <w:t>，并对已履行的部分进行结算。</w:t>
      </w:r>
      <w:r>
        <w:rPr>
          <w:rFonts w:hint="eastAsia" w:ascii="宋体" w:hAnsi="宋体" w:eastAsia="宋体" w:cs="宋体"/>
          <w:caps w:val="0"/>
          <w:smallCaps w:val="0"/>
          <w:color w:val="000000"/>
          <w:sz w:val="21"/>
          <w:szCs w:val="21"/>
          <w:highlight w:val="none"/>
          <w:u w:val="single"/>
          <w:lang w:val="zh-CN"/>
        </w:rPr>
        <w:t>对于合同</w:t>
      </w:r>
      <w:r>
        <w:rPr>
          <w:rFonts w:hint="eastAsia" w:ascii="宋体" w:hAnsi="宋体" w:eastAsia="宋体" w:cs="宋体"/>
          <w:caps w:val="0"/>
          <w:smallCaps w:val="0"/>
          <w:color w:val="000000"/>
          <w:sz w:val="21"/>
          <w:szCs w:val="21"/>
          <w:highlight w:val="none"/>
          <w:u w:val="single"/>
          <w:lang w:val="en-US" w:eastAsia="zh-CN"/>
        </w:rPr>
        <w:t>解除</w:t>
      </w:r>
      <w:r>
        <w:rPr>
          <w:rFonts w:hint="eastAsia" w:ascii="宋体" w:hAnsi="宋体" w:eastAsia="宋体" w:cs="宋体"/>
          <w:caps w:val="0"/>
          <w:smallCaps w:val="0"/>
          <w:color w:val="000000"/>
          <w:sz w:val="21"/>
          <w:szCs w:val="21"/>
          <w:highlight w:val="none"/>
          <w:u w:val="single"/>
          <w:lang w:val="zh-CN"/>
        </w:rPr>
        <w:t>前买方已经支付合同价款的合同设备（</w:t>
      </w:r>
      <w:r>
        <w:rPr>
          <w:rFonts w:hint="eastAsia" w:ascii="宋体" w:hAnsi="宋体" w:eastAsia="宋体" w:cs="宋体"/>
          <w:caps w:val="0"/>
          <w:smallCaps w:val="0"/>
          <w:color w:val="000000"/>
          <w:sz w:val="21"/>
          <w:szCs w:val="21"/>
          <w:highlight w:val="none"/>
          <w:u w:val="single"/>
          <w:lang w:val="en-US" w:eastAsia="zh-CN"/>
        </w:rPr>
        <w:t>不包含预付款）</w:t>
      </w:r>
      <w:r>
        <w:rPr>
          <w:rFonts w:hint="eastAsia" w:ascii="宋体" w:hAnsi="宋体" w:eastAsia="宋体" w:cs="宋体"/>
          <w:caps w:val="0"/>
          <w:smallCaps w:val="0"/>
          <w:color w:val="000000"/>
          <w:sz w:val="21"/>
          <w:szCs w:val="21"/>
          <w:highlight w:val="none"/>
          <w:u w:val="single"/>
          <w:lang w:val="zh-CN"/>
        </w:rPr>
        <w:t>，卖方应立即移交给买方，</w:t>
      </w:r>
      <w:r>
        <w:rPr>
          <w:rFonts w:hint="eastAsia" w:ascii="宋体" w:hAnsi="宋体" w:eastAsia="宋体" w:cs="宋体"/>
          <w:caps w:val="0"/>
          <w:smallCaps w:val="0"/>
          <w:color w:val="000000"/>
          <w:sz w:val="21"/>
          <w:szCs w:val="21"/>
          <w:highlight w:val="none"/>
          <w:u w:val="single"/>
          <w:lang w:val="en-US" w:eastAsia="zh-CN"/>
        </w:rPr>
        <w:t>且保证设备完全符合合同约定</w:t>
      </w:r>
      <w:r>
        <w:rPr>
          <w:rFonts w:hint="eastAsia" w:ascii="宋体" w:hAnsi="宋体" w:eastAsia="宋体" w:cs="宋体"/>
          <w:caps w:val="0"/>
          <w:smallCaps w:val="0"/>
          <w:color w:val="000000"/>
          <w:sz w:val="21"/>
          <w:szCs w:val="21"/>
          <w:highlight w:val="none"/>
          <w:u w:val="single"/>
          <w:lang w:val="zh-CN"/>
        </w:rPr>
        <w:t>，买方拥有相关合同设备的全部权益。</w:t>
      </w:r>
      <w:r>
        <w:rPr>
          <w:rFonts w:hint="eastAsia" w:ascii="宋体" w:hAnsi="宋体" w:eastAsia="宋体" w:cs="宋体"/>
          <w:caps w:val="0"/>
          <w:smallCaps w:val="0"/>
          <w:color w:val="000000"/>
          <w:sz w:val="21"/>
          <w:szCs w:val="21"/>
          <w:highlight w:val="none"/>
          <w:u w:val="single"/>
          <w:lang w:val="en-US" w:eastAsia="zh-CN"/>
        </w:rPr>
        <w:t>因卖方违约导致解除合同的，买方应支付卖方已履行部分结算款的80%（超出</w:t>
      </w:r>
      <w:r>
        <w:rPr>
          <w:rFonts w:hint="eastAsia" w:ascii="宋体" w:hAnsi="宋体" w:cs="宋体"/>
          <w:caps w:val="0"/>
          <w:smallCaps w:val="0"/>
          <w:color w:val="000000"/>
          <w:sz w:val="21"/>
          <w:szCs w:val="21"/>
          <w:highlight w:val="none"/>
          <w:u w:val="single"/>
          <w:lang w:val="en-US" w:eastAsia="zh-CN"/>
        </w:rPr>
        <w:t>部分</w:t>
      </w:r>
      <w:r>
        <w:rPr>
          <w:rFonts w:hint="eastAsia" w:ascii="宋体" w:hAnsi="宋体" w:eastAsia="宋体" w:cs="宋体"/>
          <w:caps w:val="0"/>
          <w:smallCaps w:val="0"/>
          <w:color w:val="000000"/>
          <w:sz w:val="21"/>
          <w:szCs w:val="21"/>
          <w:highlight w:val="none"/>
          <w:u w:val="single"/>
          <w:lang w:val="en-US" w:eastAsia="zh-CN"/>
        </w:rPr>
        <w:t>金额由卖方退回买方），余下部分的结算款作为卖方向买方支付合同解除的违约金；因买方原因解除合同的，买方除支付卖方已履行部分的结算款外，不再进行任何补偿</w:t>
      </w:r>
      <w:r>
        <w:rPr>
          <w:rFonts w:hint="eastAsia" w:ascii="宋体" w:hAnsi="宋体" w:eastAsia="宋体" w:cs="宋体"/>
          <w:caps w:val="0"/>
          <w:smallCaps w:val="0"/>
          <w:color w:val="000000"/>
          <w:sz w:val="21"/>
          <w:szCs w:val="21"/>
          <w:highlight w:val="none"/>
          <w:u w:val="single"/>
        </w:rPr>
        <w:t>。任何时候</w:t>
      </w:r>
      <w:r>
        <w:rPr>
          <w:rFonts w:hint="eastAsia" w:ascii="宋体" w:hAnsi="宋体" w:eastAsia="宋体" w:cs="宋体"/>
          <w:caps w:val="0"/>
          <w:smallCaps w:val="0"/>
          <w:color w:val="000000"/>
          <w:sz w:val="21"/>
          <w:szCs w:val="21"/>
          <w:highlight w:val="none"/>
          <w:u w:val="single"/>
          <w:lang w:eastAsia="zh-CN"/>
        </w:rPr>
        <w:t>卖方</w:t>
      </w:r>
      <w:r>
        <w:rPr>
          <w:rFonts w:hint="eastAsia" w:ascii="宋体" w:hAnsi="宋体" w:eastAsia="宋体" w:cs="宋体"/>
          <w:caps w:val="0"/>
          <w:smallCaps w:val="0"/>
          <w:color w:val="000000"/>
          <w:sz w:val="21"/>
          <w:szCs w:val="21"/>
          <w:highlight w:val="none"/>
          <w:u w:val="single"/>
        </w:rPr>
        <w:t>均无权要求</w:t>
      </w:r>
      <w:r>
        <w:rPr>
          <w:rFonts w:hint="eastAsia" w:ascii="宋体" w:hAnsi="宋体" w:eastAsia="宋体" w:cs="宋体"/>
          <w:caps w:val="0"/>
          <w:smallCaps w:val="0"/>
          <w:color w:val="000000"/>
          <w:sz w:val="21"/>
          <w:szCs w:val="21"/>
          <w:highlight w:val="none"/>
          <w:u w:val="single"/>
          <w:lang w:eastAsia="zh-CN"/>
        </w:rPr>
        <w:t>买方</w:t>
      </w:r>
      <w:r>
        <w:rPr>
          <w:rFonts w:hint="eastAsia" w:ascii="宋体" w:hAnsi="宋体" w:eastAsia="宋体" w:cs="宋体"/>
          <w:caps w:val="0"/>
          <w:smallCaps w:val="0"/>
          <w:color w:val="000000"/>
          <w:sz w:val="21"/>
          <w:szCs w:val="21"/>
          <w:highlight w:val="none"/>
          <w:u w:val="single"/>
        </w:rPr>
        <w:t>赔偿因合同</w:t>
      </w:r>
      <w:r>
        <w:rPr>
          <w:rFonts w:hint="eastAsia" w:ascii="宋体" w:hAnsi="宋体" w:eastAsia="宋体" w:cs="宋体"/>
          <w:caps w:val="0"/>
          <w:smallCaps w:val="0"/>
          <w:color w:val="000000"/>
          <w:sz w:val="21"/>
          <w:szCs w:val="21"/>
          <w:highlight w:val="none"/>
          <w:u w:val="single"/>
          <w:lang w:val="en-US" w:eastAsia="zh-CN"/>
        </w:rPr>
        <w:t>解除（终止）</w:t>
      </w:r>
      <w:r>
        <w:rPr>
          <w:rFonts w:hint="eastAsia" w:ascii="宋体" w:hAnsi="宋体" w:eastAsia="宋体" w:cs="宋体"/>
          <w:caps w:val="0"/>
          <w:smallCaps w:val="0"/>
          <w:color w:val="000000"/>
          <w:sz w:val="21"/>
          <w:szCs w:val="21"/>
          <w:highlight w:val="none"/>
          <w:u w:val="single"/>
        </w:rPr>
        <w:t>而引起的预期利润的损失或损害。</w:t>
      </w:r>
    </w:p>
    <w:p w14:paraId="56D18809">
      <w:pPr>
        <w:pStyle w:val="97"/>
        <w:keepNext w:val="0"/>
        <w:keepLines w:val="0"/>
        <w:tabs>
          <w:tab w:val="left" w:pos="567"/>
        </w:tabs>
        <w:spacing w:before="156" w:after="156"/>
        <w:rPr>
          <w:rFonts w:eastAsia="宋体" w:cs="Times New Roman"/>
          <w:b/>
          <w:bCs/>
          <w:sz w:val="32"/>
          <w:szCs w:val="32"/>
        </w:rPr>
      </w:pPr>
      <w:bookmarkStart w:id="869" w:name="_Toc19356"/>
      <w:bookmarkStart w:id="870" w:name="_Toc9026"/>
      <w:bookmarkStart w:id="871" w:name="_Toc4421"/>
      <w:bookmarkStart w:id="872" w:name="_Toc11214"/>
      <w:bookmarkStart w:id="873" w:name="_Toc7576"/>
      <w:bookmarkStart w:id="874" w:name="_Toc10668"/>
      <w:r>
        <w:rPr>
          <w:rFonts w:hint="eastAsia" w:eastAsia="宋体" w:cs="Times New Roman"/>
          <w:b/>
          <w:bCs/>
          <w:sz w:val="32"/>
          <w:szCs w:val="32"/>
        </w:rPr>
        <w:t>16. 不可抗力</w:t>
      </w:r>
      <w:bookmarkEnd w:id="838"/>
      <w:bookmarkEnd w:id="869"/>
      <w:bookmarkEnd w:id="870"/>
      <w:bookmarkEnd w:id="871"/>
      <w:bookmarkEnd w:id="872"/>
      <w:bookmarkEnd w:id="873"/>
      <w:bookmarkEnd w:id="874"/>
    </w:p>
    <w:p w14:paraId="54BFB541">
      <w:pPr>
        <w:spacing w:line="360" w:lineRule="auto"/>
        <w:ind w:right="105" w:rightChars="50" w:firstLine="420" w:firstLineChars="200"/>
        <w:jc w:val="left"/>
        <w:rPr>
          <w:rFonts w:ascii="宋体" w:hAnsi="宋体"/>
          <w:szCs w:val="21"/>
        </w:rPr>
      </w:pPr>
      <w:r>
        <w:rPr>
          <w:rFonts w:hint="eastAsia" w:ascii="宋体" w:hAnsi="宋体"/>
          <w:szCs w:val="21"/>
        </w:rPr>
        <w:t>16.1</w:t>
      </w:r>
      <w:r>
        <w:rPr>
          <w:rFonts w:ascii="宋体" w:hAnsi="宋体"/>
          <w:szCs w:val="21"/>
        </w:rPr>
        <w:t xml:space="preserve"> </w:t>
      </w:r>
      <w:r>
        <w:rPr>
          <w:rFonts w:hint="eastAsia" w:ascii="宋体" w:hAnsi="宋体"/>
          <w:szCs w:val="21"/>
        </w:rPr>
        <w:t>除通用合同条款约定的不可抗力事件之外，视为不可抗力的其他情形包括：</w:t>
      </w:r>
      <w:bookmarkStart w:id="875" w:name="_Hlk524379638"/>
    </w:p>
    <w:p w14:paraId="7ED25C84">
      <w:pPr>
        <w:spacing w:line="360" w:lineRule="auto"/>
        <w:ind w:right="105" w:rightChars="50" w:firstLine="420" w:firstLineChars="200"/>
        <w:jc w:val="left"/>
        <w:rPr>
          <w:rFonts w:ascii="宋体" w:hAnsi="宋体"/>
          <w:szCs w:val="21"/>
        </w:rPr>
      </w:pPr>
      <w:r>
        <w:rPr>
          <w:rFonts w:hint="eastAsia" w:ascii="宋体" w:hAnsi="宋体"/>
          <w:szCs w:val="21"/>
        </w:rPr>
        <w:t>（1）火山爆发、山崩、山体滑坡、泥石流、龙卷风、不可预测的突发性地质或自然灾害；</w:t>
      </w:r>
    </w:p>
    <w:p w14:paraId="330E7DC9">
      <w:pPr>
        <w:spacing w:line="360" w:lineRule="auto"/>
        <w:ind w:right="105" w:rightChars="50" w:firstLine="420" w:firstLineChars="200"/>
        <w:jc w:val="left"/>
        <w:rPr>
          <w:rFonts w:ascii="宋体" w:hAnsi="宋体"/>
          <w:szCs w:val="21"/>
        </w:rPr>
      </w:pPr>
      <w:r>
        <w:rPr>
          <w:rFonts w:hint="eastAsia" w:ascii="宋体" w:hAnsi="宋体"/>
          <w:szCs w:val="21"/>
        </w:rPr>
        <w:t>（2）</w:t>
      </w:r>
      <w:r>
        <w:rPr>
          <w:rFonts w:hint="eastAsia" w:ascii="宋体" w:hAnsi="宋体" w:cs="宋体"/>
          <w:szCs w:val="21"/>
        </w:rPr>
        <w:t>瘟疫、严重流行病及防疫限制；</w:t>
      </w:r>
    </w:p>
    <w:p w14:paraId="0A1418F7">
      <w:pPr>
        <w:spacing w:line="360" w:lineRule="auto"/>
        <w:ind w:right="105" w:rightChars="50" w:firstLine="420" w:firstLineChars="200"/>
        <w:jc w:val="left"/>
        <w:rPr>
          <w:rFonts w:ascii="宋体" w:hAnsi="宋体"/>
          <w:szCs w:val="21"/>
        </w:rPr>
      </w:pPr>
      <w:r>
        <w:rPr>
          <w:rFonts w:hint="eastAsia" w:ascii="宋体" w:hAnsi="宋体"/>
          <w:szCs w:val="21"/>
        </w:rPr>
        <w:t>（3）骚乱、戒严、封锁、禁运、恐怖行为等社会行为，但卖方或其分包人派遣与雇佣的人员由于履行合同原因引起的除外；</w:t>
      </w:r>
    </w:p>
    <w:p w14:paraId="3449FE34">
      <w:pPr>
        <w:spacing w:line="360" w:lineRule="auto"/>
        <w:ind w:right="105" w:rightChars="50" w:firstLine="420" w:firstLineChars="200"/>
        <w:jc w:val="left"/>
        <w:rPr>
          <w:rFonts w:ascii="宋体" w:hAnsi="宋体"/>
          <w:szCs w:val="21"/>
        </w:rPr>
      </w:pPr>
      <w:r>
        <w:rPr>
          <w:rFonts w:hint="eastAsia" w:ascii="宋体" w:hAnsi="宋体"/>
          <w:szCs w:val="21"/>
        </w:rPr>
        <w:t>（4）不能合理预见的重大交通阻滞、停运、交通事故，非双方责任引起的爆炸、船舶撞击等情形；</w:t>
      </w:r>
    </w:p>
    <w:p w14:paraId="76A5F29A">
      <w:pPr>
        <w:spacing w:line="360" w:lineRule="auto"/>
        <w:ind w:right="105" w:rightChars="50" w:firstLine="420" w:firstLineChars="200"/>
        <w:jc w:val="left"/>
        <w:rPr>
          <w:rFonts w:ascii="宋体" w:hAnsi="宋体"/>
          <w:szCs w:val="21"/>
        </w:rPr>
      </w:pPr>
      <w:r>
        <w:rPr>
          <w:rFonts w:hint="eastAsia" w:ascii="宋体" w:hAnsi="宋体"/>
          <w:szCs w:val="21"/>
        </w:rPr>
        <w:t>（5）化学、放射性污染或核辐射；</w:t>
      </w:r>
    </w:p>
    <w:p w14:paraId="5A071DDF">
      <w:pPr>
        <w:spacing w:line="360" w:lineRule="auto"/>
        <w:ind w:right="105" w:rightChars="50" w:firstLine="420" w:firstLineChars="200"/>
        <w:jc w:val="left"/>
        <w:rPr>
          <w:rFonts w:ascii="宋体" w:hAnsi="宋体"/>
          <w:szCs w:val="21"/>
        </w:rPr>
      </w:pPr>
      <w:r>
        <w:rPr>
          <w:rFonts w:hint="eastAsia" w:ascii="宋体" w:hAnsi="宋体"/>
          <w:szCs w:val="21"/>
        </w:rPr>
        <w:t>（6）政府或主管部门行为导致项目暂停或取消</w:t>
      </w:r>
      <w:bookmarkEnd w:id="875"/>
      <w:r>
        <w:rPr>
          <w:rFonts w:hint="eastAsia" w:ascii="宋体" w:hAnsi="宋体"/>
          <w:szCs w:val="21"/>
        </w:rPr>
        <w:t>；</w:t>
      </w:r>
    </w:p>
    <w:p w14:paraId="7CD37C1E">
      <w:pPr>
        <w:tabs>
          <w:tab w:val="left" w:pos="1134"/>
        </w:tabs>
        <w:spacing w:line="360" w:lineRule="auto"/>
        <w:ind w:firstLine="420" w:firstLineChars="200"/>
        <w:rPr>
          <w:rFonts w:ascii="宋体" w:hAnsi="宋体"/>
          <w:szCs w:val="21"/>
          <w:u w:val="single"/>
        </w:rPr>
      </w:pPr>
      <w:r>
        <w:rPr>
          <w:rFonts w:hint="eastAsia" w:ascii="宋体" w:hAnsi="宋体"/>
          <w:szCs w:val="21"/>
        </w:rPr>
        <w:t>（7）</w:t>
      </w:r>
      <w:r>
        <w:rPr>
          <w:rFonts w:hint="eastAsia" w:ascii="宋体" w:hAnsi="宋体"/>
          <w:szCs w:val="21"/>
          <w:u w:val="single"/>
        </w:rPr>
        <w:t xml:space="preserve">   </w:t>
      </w:r>
      <w:r>
        <w:rPr>
          <w:rFonts w:hint="eastAsia" w:ascii="宋体" w:hAnsi="宋体"/>
          <w:szCs w:val="21"/>
          <w:u w:val="single"/>
          <w:lang w:val="en-US" w:eastAsia="zh-CN"/>
        </w:rPr>
        <w:t>/</w:t>
      </w:r>
      <w:r>
        <w:rPr>
          <w:rFonts w:hint="eastAsia" w:ascii="宋体" w:hAnsi="宋体"/>
          <w:szCs w:val="21"/>
          <w:u w:val="single"/>
        </w:rPr>
        <w:t xml:space="preserve">  </w:t>
      </w:r>
      <w:r>
        <w:rPr>
          <w:rFonts w:hint="eastAsia" w:ascii="宋体" w:hAnsi="宋体"/>
          <w:szCs w:val="21"/>
        </w:rPr>
        <w:t>。</w:t>
      </w:r>
    </w:p>
    <w:p w14:paraId="57D701AE">
      <w:pPr>
        <w:tabs>
          <w:tab w:val="left" w:pos="1134"/>
        </w:tabs>
        <w:spacing w:line="360" w:lineRule="auto"/>
        <w:ind w:firstLine="420" w:firstLineChars="200"/>
        <w:rPr>
          <w:rFonts w:ascii="宋体" w:hAnsi="宋体"/>
          <w:szCs w:val="21"/>
        </w:rPr>
      </w:pPr>
      <w:r>
        <w:rPr>
          <w:rFonts w:ascii="宋体" w:hAnsi="宋体"/>
          <w:szCs w:val="21"/>
        </w:rPr>
        <w:t xml:space="preserve">16.3 </w:t>
      </w:r>
      <w:r>
        <w:rPr>
          <w:rFonts w:hint="eastAsia" w:ascii="宋体" w:hAnsi="宋体"/>
          <w:szCs w:val="21"/>
        </w:rPr>
        <w:t>因不可抗力事件引发持续影响，双方解除合同的约定：</w:t>
      </w:r>
      <w:r>
        <w:rPr>
          <w:rFonts w:hint="eastAsia" w:ascii="宋体" w:hAnsi="宋体"/>
          <w:u w:val="single"/>
        </w:rPr>
        <w:t>不可抗力事件的影响持续超过</w:t>
      </w:r>
      <w:r>
        <w:rPr>
          <w:rFonts w:hint="eastAsia"/>
          <w:u w:val="single"/>
        </w:rPr>
        <w:t xml:space="preserve"> </w:t>
      </w:r>
      <w:r>
        <w:rPr>
          <w:rFonts w:hint="eastAsia"/>
          <w:u w:val="single"/>
          <w:lang w:val="en-US" w:eastAsia="zh-CN"/>
        </w:rPr>
        <w:t>30</w:t>
      </w:r>
      <w:r>
        <w:rPr>
          <w:rFonts w:hint="eastAsia" w:ascii="宋体" w:hAnsi="宋体"/>
          <w:u w:val="single"/>
        </w:rPr>
        <w:t>日，则任何一方当事人均有权以书面通知解除合同</w:t>
      </w:r>
      <w:r>
        <w:rPr>
          <w:rFonts w:hint="eastAsia" w:ascii="宋体" w:hAnsi="宋体"/>
          <w:szCs w:val="21"/>
        </w:rPr>
        <w:t>。</w:t>
      </w:r>
    </w:p>
    <w:p w14:paraId="0D647C2A">
      <w:pPr>
        <w:pStyle w:val="97"/>
        <w:keepNext w:val="0"/>
        <w:keepLines w:val="0"/>
        <w:tabs>
          <w:tab w:val="left" w:pos="567"/>
        </w:tabs>
        <w:spacing w:before="156" w:after="156"/>
        <w:rPr>
          <w:rFonts w:eastAsia="宋体" w:cs="Times New Roman"/>
          <w:b/>
          <w:bCs/>
          <w:sz w:val="32"/>
          <w:szCs w:val="32"/>
        </w:rPr>
      </w:pPr>
      <w:bookmarkStart w:id="876" w:name="_Toc22979"/>
      <w:bookmarkStart w:id="877" w:name="_Toc23750"/>
      <w:bookmarkStart w:id="878" w:name="_Toc10293"/>
      <w:bookmarkStart w:id="879" w:name="_Toc531098993"/>
      <w:bookmarkStart w:id="880" w:name="_Toc28939"/>
      <w:bookmarkStart w:id="881" w:name="_Toc2881833"/>
      <w:bookmarkStart w:id="882" w:name="_Toc23385"/>
      <w:bookmarkStart w:id="883" w:name="_Toc23252"/>
      <w:r>
        <w:rPr>
          <w:rFonts w:hint="eastAsia" w:eastAsia="宋体" w:cs="Times New Roman"/>
          <w:b/>
          <w:bCs/>
          <w:sz w:val="32"/>
          <w:szCs w:val="32"/>
        </w:rPr>
        <w:t>17.争议的解决</w:t>
      </w:r>
      <w:bookmarkEnd w:id="876"/>
      <w:bookmarkEnd w:id="877"/>
      <w:bookmarkEnd w:id="878"/>
      <w:bookmarkEnd w:id="879"/>
      <w:bookmarkEnd w:id="880"/>
      <w:bookmarkEnd w:id="881"/>
      <w:bookmarkEnd w:id="882"/>
      <w:bookmarkEnd w:id="883"/>
    </w:p>
    <w:p w14:paraId="132B19EA">
      <w:pPr>
        <w:tabs>
          <w:tab w:val="left" w:pos="1134"/>
        </w:tabs>
        <w:spacing w:line="360" w:lineRule="auto"/>
        <w:ind w:firstLine="420" w:firstLineChars="200"/>
        <w:rPr>
          <w:rFonts w:ascii="宋体" w:hAnsi="宋体"/>
          <w:szCs w:val="21"/>
        </w:rPr>
      </w:pPr>
      <w:r>
        <w:rPr>
          <w:rFonts w:hint="eastAsia" w:ascii="宋体" w:hAnsi="宋体"/>
          <w:szCs w:val="21"/>
        </w:rPr>
        <w:t>因本合同引起的或与本合同有关的任何争议，双方可通过友好协商解决。友好协商解决不成的，</w:t>
      </w:r>
      <w:r>
        <w:rPr>
          <w:rFonts w:hint="eastAsia" w:ascii="宋体" w:hAnsi="宋体"/>
          <w:szCs w:val="21"/>
          <w:shd w:val="clear" w:color="auto" w:fill="FFFFFF"/>
        </w:rPr>
        <w:t>选择下列第</w:t>
      </w:r>
      <w:r>
        <w:rPr>
          <w:rFonts w:hint="eastAsia" w:ascii="宋体" w:hAnsi="宋体"/>
          <w:szCs w:val="21"/>
          <w:u w:val="single"/>
          <w:shd w:val="clear" w:color="auto" w:fill="FFFFFF"/>
        </w:rPr>
        <w:t xml:space="preserve">  （2） </w:t>
      </w:r>
      <w:r>
        <w:rPr>
          <w:rFonts w:hint="eastAsia" w:ascii="宋体" w:hAnsi="宋体"/>
          <w:szCs w:val="21"/>
          <w:shd w:val="clear" w:color="auto" w:fill="FFFFFF"/>
        </w:rPr>
        <w:t>种方式解决：</w:t>
      </w:r>
    </w:p>
    <w:p w14:paraId="00408346">
      <w:pPr>
        <w:spacing w:line="360" w:lineRule="auto"/>
        <w:ind w:firstLine="420" w:firstLineChars="200"/>
        <w:rPr>
          <w:rFonts w:ascii="宋体" w:hAnsi="宋体"/>
          <w:shd w:val="clear" w:color="auto" w:fill="FFFFFF"/>
        </w:rPr>
      </w:pPr>
      <w:r>
        <w:rPr>
          <w:rFonts w:hint="eastAsia" w:ascii="宋体" w:hAnsi="宋体"/>
          <w:shd w:val="clear" w:color="auto" w:fill="FFFFFF"/>
        </w:rPr>
        <w:t>（1）</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ascii="宋体" w:hAnsi="宋体"/>
          <w:szCs w:val="21"/>
          <w:u w:val="single"/>
        </w:rPr>
        <w:t xml:space="preserve"> </w:t>
      </w:r>
      <w:r>
        <w:rPr>
          <w:rFonts w:ascii="宋体" w:hAnsi="宋体"/>
          <w:szCs w:val="21"/>
        </w:rPr>
        <w:t>仲裁委员会申请仲裁；</w:t>
      </w:r>
    </w:p>
    <w:p w14:paraId="6BE272E4">
      <w:pPr>
        <w:tabs>
          <w:tab w:val="left" w:pos="1134"/>
        </w:tabs>
        <w:spacing w:line="360" w:lineRule="auto"/>
        <w:ind w:firstLine="420"/>
        <w:rPr>
          <w:rFonts w:ascii="宋体" w:hAnsi="宋体"/>
          <w:szCs w:val="21"/>
          <w:shd w:val="clear" w:color="auto" w:fill="FFFFFF"/>
        </w:rPr>
      </w:pPr>
      <w:r>
        <w:rPr>
          <w:rFonts w:hint="eastAsia" w:ascii="宋体" w:hAnsi="宋体"/>
          <w:szCs w:val="21"/>
          <w:shd w:val="clear" w:color="auto" w:fill="FFFFFF"/>
        </w:rPr>
        <w:t>（2）</w:t>
      </w:r>
      <w:r>
        <w:rPr>
          <w:rFonts w:ascii="宋体" w:hAnsi="宋体"/>
          <w:szCs w:val="21"/>
        </w:rPr>
        <w:t>向</w:t>
      </w:r>
      <w:r>
        <w:rPr>
          <w:rFonts w:ascii="宋体" w:hAnsi="宋体"/>
          <w:szCs w:val="21"/>
          <w:u w:val="single"/>
        </w:rPr>
        <w:t xml:space="preserve"> </w:t>
      </w:r>
      <w:r>
        <w:rPr>
          <w:rFonts w:hint="eastAsia" w:ascii="宋体" w:hAnsi="宋体" w:eastAsia="宋体" w:cs="宋体"/>
          <w:caps w:val="0"/>
          <w:smallCaps w:val="0"/>
          <w:color w:val="auto"/>
          <w:szCs w:val="21"/>
          <w:highlight w:val="none"/>
          <w:u w:val="single"/>
        </w:rPr>
        <w:t>工程项目所在地</w:t>
      </w:r>
      <w:r>
        <w:rPr>
          <w:rFonts w:hint="eastAsia" w:ascii="宋体" w:hAnsi="宋体"/>
          <w:szCs w:val="21"/>
          <w:u w:val="single"/>
        </w:rPr>
        <w:t xml:space="preserve"> </w:t>
      </w:r>
      <w:r>
        <w:rPr>
          <w:rFonts w:ascii="宋体" w:hAnsi="宋体"/>
          <w:szCs w:val="21"/>
        </w:rPr>
        <w:t>人民法院</w:t>
      </w:r>
      <w:r>
        <w:rPr>
          <w:rFonts w:hint="eastAsia" w:ascii="宋体" w:hAnsi="宋体"/>
          <w:szCs w:val="21"/>
          <w:shd w:val="clear" w:color="auto" w:fill="FFFFFF"/>
        </w:rPr>
        <w:t>提起诉讼。</w:t>
      </w:r>
    </w:p>
    <w:p w14:paraId="54FDBEC5">
      <w:pPr>
        <w:pStyle w:val="97"/>
        <w:keepNext w:val="0"/>
        <w:keepLines w:val="0"/>
        <w:tabs>
          <w:tab w:val="left" w:pos="567"/>
        </w:tabs>
        <w:spacing w:before="156" w:after="156"/>
        <w:rPr>
          <w:rFonts w:eastAsia="宋体" w:cs="Times New Roman"/>
          <w:b/>
          <w:bCs/>
          <w:sz w:val="32"/>
          <w:szCs w:val="32"/>
        </w:rPr>
      </w:pPr>
      <w:bookmarkStart w:id="884" w:name="_Toc7114"/>
      <w:bookmarkStart w:id="885" w:name="_Toc255494584"/>
      <w:bookmarkStart w:id="886" w:name="_Toc9195"/>
      <w:bookmarkStart w:id="887" w:name="_Toc375218864"/>
      <w:bookmarkStart w:id="888" w:name="_Toc256955788"/>
      <w:bookmarkStart w:id="889" w:name="_Toc22474"/>
      <w:bookmarkStart w:id="890" w:name="_Toc2881834"/>
      <w:bookmarkStart w:id="891" w:name="_Toc15416"/>
      <w:bookmarkStart w:id="892" w:name="_Toc381358697"/>
      <w:bookmarkStart w:id="893" w:name="_Toc26355"/>
      <w:bookmarkStart w:id="894" w:name="_Toc1990"/>
      <w:bookmarkStart w:id="895" w:name="_Toc531098994"/>
      <w:bookmarkStart w:id="896" w:name="_Toc218048858"/>
      <w:r>
        <w:rPr>
          <w:rFonts w:hint="eastAsia" w:eastAsia="宋体" w:cs="Times New Roman"/>
          <w:b/>
          <w:bCs/>
          <w:sz w:val="32"/>
          <w:szCs w:val="32"/>
        </w:rPr>
        <w:t>18.补充条款</w:t>
      </w:r>
      <w:bookmarkEnd w:id="884"/>
      <w:bookmarkEnd w:id="885"/>
      <w:bookmarkEnd w:id="886"/>
      <w:bookmarkEnd w:id="887"/>
      <w:bookmarkEnd w:id="888"/>
      <w:bookmarkEnd w:id="889"/>
      <w:bookmarkEnd w:id="890"/>
      <w:bookmarkEnd w:id="891"/>
      <w:bookmarkEnd w:id="892"/>
      <w:bookmarkEnd w:id="893"/>
      <w:bookmarkEnd w:id="894"/>
      <w:bookmarkEnd w:id="895"/>
      <w:bookmarkEnd w:id="896"/>
    </w:p>
    <w:bookmarkEnd w:id="766"/>
    <w:bookmarkEnd w:id="767"/>
    <w:bookmarkEnd w:id="768"/>
    <w:bookmarkEnd w:id="769"/>
    <w:bookmarkEnd w:id="770"/>
    <w:bookmarkEnd w:id="771"/>
    <w:bookmarkEnd w:id="772"/>
    <w:p w14:paraId="1021F220">
      <w:pPr>
        <w:tabs>
          <w:tab w:val="left" w:pos="1134"/>
        </w:tabs>
        <w:spacing w:line="360" w:lineRule="auto"/>
        <w:ind w:firstLine="420"/>
        <w:rPr>
          <w:rFonts w:ascii="宋体" w:hAnsi="宋体"/>
          <w:u w:val="single"/>
          <w:shd w:val="clear" w:color="auto" w:fill="FFFFFF"/>
        </w:rPr>
      </w:pPr>
      <w:r>
        <w:rPr>
          <w:rFonts w:hint="eastAsia" w:ascii="宋体" w:hAnsi="宋体"/>
          <w:u w:val="single"/>
          <w:shd w:val="clear" w:color="auto" w:fill="FFFFFF"/>
        </w:rPr>
        <w:t xml:space="preserve">                   </w:t>
      </w:r>
      <w:bookmarkEnd w:id="773"/>
      <w:bookmarkEnd w:id="774"/>
      <w:bookmarkStart w:id="897" w:name="_Toc531632627"/>
      <w:bookmarkStart w:id="898" w:name="_Toc532384193"/>
      <w:bookmarkStart w:id="899" w:name="_Toc1231"/>
    </w:p>
    <w:p w14:paraId="2C912ECF">
      <w:pPr>
        <w:pStyle w:val="17"/>
      </w:pPr>
    </w:p>
    <w:bookmarkEnd w:id="897"/>
    <w:bookmarkEnd w:id="898"/>
    <w:bookmarkEnd w:id="899"/>
    <w:p w14:paraId="1D6E3554">
      <w:pPr>
        <w:spacing w:line="240" w:lineRule="auto"/>
        <w:jc w:val="center"/>
        <w:outlineLvl w:val="1"/>
        <w:rPr>
          <w:rFonts w:hint="eastAsia" w:ascii="宋体" w:hAnsi="宋体"/>
          <w:szCs w:val="21"/>
        </w:rPr>
      </w:pPr>
      <w:r>
        <w:rPr>
          <w:rFonts w:hint="eastAsia" w:ascii="宋体" w:hAnsi="宋体"/>
          <w:szCs w:val="21"/>
        </w:rPr>
        <w:br w:type="page"/>
      </w:r>
      <w:bookmarkStart w:id="900" w:name="_Toc12816"/>
      <w:r>
        <w:rPr>
          <w:rFonts w:hint="eastAsia" w:ascii="宋体" w:hAnsi="宋体" w:eastAsia="宋体" w:cs="Times New Roman"/>
          <w:b/>
          <w:bCs/>
          <w:kern w:val="0"/>
          <w:sz w:val="28"/>
          <w:szCs w:val="28"/>
          <w:lang w:val="en-US" w:eastAsia="zh-CN" w:bidi="ar-SA"/>
        </w:rPr>
        <w:t>第三节 合同附件格式</w:t>
      </w:r>
      <w:r>
        <w:rPr>
          <w:rFonts w:hint="eastAsia" w:ascii="宋体" w:hAnsi="宋体"/>
          <w:szCs w:val="21"/>
        </w:rPr>
        <w:br w:type="page"/>
      </w:r>
      <w:bookmarkEnd w:id="900"/>
    </w:p>
    <w:p w14:paraId="19D4A06B">
      <w:pPr>
        <w:spacing w:line="360" w:lineRule="auto"/>
        <w:rPr>
          <w:rFonts w:hint="default" w:ascii="宋体" w:hAnsi="宋体" w:eastAsia="宋体"/>
          <w:szCs w:val="21"/>
          <w:lang w:val="en-US" w:eastAsia="zh-CN"/>
        </w:rPr>
      </w:pPr>
      <w:r>
        <w:rPr>
          <w:rFonts w:hint="eastAsia" w:ascii="宋体" w:hAnsi="宋体"/>
          <w:szCs w:val="21"/>
        </w:rPr>
        <w:t>附件</w:t>
      </w:r>
      <w:r>
        <w:rPr>
          <w:rFonts w:hint="eastAsia" w:ascii="宋体" w:hAnsi="宋体"/>
          <w:szCs w:val="21"/>
          <w:lang w:val="en-US" w:eastAsia="zh-CN"/>
        </w:rPr>
        <w:t>一</w:t>
      </w:r>
      <w:r>
        <w:rPr>
          <w:rFonts w:hint="eastAsia" w:ascii="宋体" w:hAnsi="宋体"/>
          <w:szCs w:val="21"/>
        </w:rPr>
        <w:t>：</w:t>
      </w:r>
      <w:r>
        <w:rPr>
          <w:rFonts w:hint="eastAsia" w:ascii="宋体" w:hAnsi="宋体"/>
          <w:szCs w:val="21"/>
          <w:lang w:val="en-US" w:eastAsia="zh-CN"/>
        </w:rPr>
        <w:t>合同协议书</w:t>
      </w:r>
    </w:p>
    <w:p w14:paraId="53DCC0D2">
      <w:pPr>
        <w:keepNext/>
        <w:keepLines/>
        <w:pageBreakBefore w:val="0"/>
        <w:widowControl w:val="0"/>
        <w:kinsoku/>
        <w:wordWrap/>
        <w:overflowPunct/>
        <w:topLinePunct w:val="0"/>
        <w:autoSpaceDE/>
        <w:autoSpaceDN/>
        <w:bidi w:val="0"/>
        <w:adjustRightInd/>
        <w:snapToGrid/>
        <w:spacing w:line="360" w:lineRule="auto"/>
        <w:jc w:val="center"/>
        <w:textAlignment w:val="auto"/>
        <w:outlineLvl w:val="9"/>
        <w:rPr>
          <w:rFonts w:ascii="宋体" w:hAnsi="宋体"/>
          <w:b w:val="0"/>
          <w:bCs w:val="0"/>
          <w:kern w:val="0"/>
          <w:sz w:val="28"/>
          <w:szCs w:val="28"/>
        </w:rPr>
      </w:pPr>
      <w:r>
        <w:rPr>
          <w:rFonts w:ascii="宋体" w:hAnsi="宋体"/>
          <w:b w:val="0"/>
          <w:bCs w:val="0"/>
          <w:kern w:val="0"/>
          <w:sz w:val="28"/>
          <w:szCs w:val="28"/>
        </w:rPr>
        <w:t>合同协议书</w:t>
      </w:r>
    </w:p>
    <w:p w14:paraId="42B0C68E">
      <w:pPr>
        <w:widowControl/>
        <w:tabs>
          <w:tab w:val="left" w:pos="1044"/>
          <w:tab w:val="left" w:pos="9072"/>
          <w:tab w:val="left" w:pos="9781"/>
        </w:tabs>
        <w:spacing w:line="360" w:lineRule="auto"/>
        <w:ind w:firstLine="420" w:firstLineChars="200"/>
        <w:jc w:val="left"/>
        <w:rPr>
          <w:rFonts w:hint="eastAsia" w:eastAsia="宋体"/>
          <w:lang w:eastAsia="zh-CN"/>
        </w:rPr>
      </w:pPr>
      <w:r>
        <w:rPr>
          <w:u w:val="single"/>
        </w:rPr>
        <w:t xml:space="preserve">     </w:t>
      </w:r>
      <w:r>
        <w:rPr>
          <w:rFonts w:hint="eastAsia"/>
          <w:u w:val="single"/>
        </w:rPr>
        <w:t xml:space="preserve">        </w:t>
      </w:r>
      <w:r>
        <w:rPr>
          <w:u w:val="single"/>
        </w:rPr>
        <w:t xml:space="preserve">  </w:t>
      </w:r>
      <w:r>
        <w:t>（买方名称，以下简称</w:t>
      </w:r>
      <w:r>
        <w:rPr>
          <w:rFonts w:hint="eastAsia" w:ascii="宋体" w:hAnsi="宋体" w:cs="宋体"/>
        </w:rPr>
        <w:t>“</w:t>
      </w:r>
      <w:r>
        <w:t>买方</w:t>
      </w:r>
      <w:r>
        <w:rPr>
          <w:rFonts w:hint="eastAsia" w:ascii="宋体" w:hAnsi="宋体" w:cs="宋体"/>
        </w:rPr>
        <w:t>”）</w:t>
      </w:r>
      <w:r>
        <w:t>为获得</w:t>
      </w:r>
      <w:r>
        <w:rPr>
          <w:rFonts w:hint="eastAsia"/>
          <w:u w:val="single"/>
        </w:rPr>
        <w:t xml:space="preserve"> </w:t>
      </w:r>
      <w:r>
        <w:rPr>
          <w:u w:val="single"/>
        </w:rPr>
        <w:t xml:space="preserve">    （项目名称）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t>，已接</w:t>
      </w:r>
      <w:r>
        <w:rPr>
          <w:rFonts w:hint="eastAsia"/>
        </w:rPr>
        <w:t>受</w:t>
      </w:r>
      <w:r>
        <w:rPr>
          <w:rFonts w:hint="eastAsia"/>
          <w:u w:val="single"/>
        </w:rPr>
        <w:t xml:space="preserve">     </w:t>
      </w:r>
      <w:r>
        <w:rPr>
          <w:u w:val="single"/>
        </w:rPr>
        <w:t xml:space="preserve">    </w:t>
      </w:r>
      <w:r>
        <w:t>（卖方名称，以下简称</w:t>
      </w:r>
      <w:r>
        <w:rPr>
          <w:rFonts w:hint="eastAsia"/>
        </w:rPr>
        <w:t>“</w:t>
      </w:r>
      <w:r>
        <w:t>卖方</w:t>
      </w:r>
      <w:r>
        <w:rPr>
          <w:rFonts w:hint="eastAsia"/>
        </w:rPr>
        <w:t>”</w:t>
      </w:r>
      <w:r>
        <w:t>）</w:t>
      </w:r>
      <w:r>
        <w:rPr>
          <w:rFonts w:hint="eastAsia"/>
          <w:lang w:val="en-US" w:eastAsia="zh-CN"/>
        </w:rPr>
        <w:t>为提供</w:t>
      </w:r>
      <w:r>
        <w:t>上述</w:t>
      </w:r>
      <w:r>
        <w:rPr>
          <w:rFonts w:hint="eastAsia"/>
        </w:rPr>
        <w:t>合同</w:t>
      </w:r>
      <w:r>
        <w:rPr>
          <w:rFonts w:hint="eastAsia" w:cs="微软雅黑"/>
          <w:spacing w:val="-2"/>
          <w:kern w:val="0"/>
        </w:rPr>
        <w:t>设</w:t>
      </w:r>
      <w:r>
        <w:rPr>
          <w:rFonts w:hint="eastAsia" w:cs="微软雅黑"/>
          <w:kern w:val="0"/>
        </w:rPr>
        <w:t>备</w:t>
      </w:r>
      <w:r>
        <w:rPr>
          <w:rFonts w:hint="eastAsia" w:cs="微软雅黑"/>
          <w:spacing w:val="-2"/>
          <w:kern w:val="0"/>
          <w:lang w:val="en-US" w:eastAsia="zh-CN"/>
        </w:rPr>
        <w:t>和</w:t>
      </w:r>
      <w:r>
        <w:rPr>
          <w:rFonts w:hint="eastAsia" w:cs="微软雅黑"/>
          <w:kern w:val="0"/>
        </w:rPr>
        <w:t>技</w:t>
      </w:r>
      <w:r>
        <w:rPr>
          <w:rFonts w:hint="eastAsia" w:cs="微软雅黑"/>
          <w:spacing w:val="-2"/>
          <w:kern w:val="0"/>
        </w:rPr>
        <w:t>术</w:t>
      </w:r>
      <w:r>
        <w:rPr>
          <w:rFonts w:hint="eastAsia" w:cs="微软雅黑"/>
          <w:kern w:val="0"/>
        </w:rPr>
        <w:t>服</w:t>
      </w:r>
      <w:r>
        <w:rPr>
          <w:rFonts w:hint="eastAsia" w:cs="微软雅黑"/>
          <w:spacing w:val="-2"/>
          <w:kern w:val="0"/>
        </w:rPr>
        <w:t>务</w:t>
      </w:r>
      <w:r>
        <w:rPr>
          <w:rFonts w:hint="eastAsia" w:cs="微软雅黑"/>
          <w:kern w:val="0"/>
        </w:rPr>
        <w:t>和</w:t>
      </w:r>
      <w:r>
        <w:rPr>
          <w:rFonts w:hint="eastAsia" w:cs="微软雅黑"/>
          <w:spacing w:val="-2"/>
          <w:kern w:val="0"/>
          <w:lang w:eastAsia="zh-CN"/>
        </w:rPr>
        <w:t>质保期</w:t>
      </w:r>
      <w:r>
        <w:rPr>
          <w:rFonts w:hint="eastAsia" w:cs="微软雅黑"/>
          <w:spacing w:val="-2"/>
          <w:kern w:val="0"/>
        </w:rPr>
        <w:t>服务</w:t>
      </w:r>
      <w:r>
        <w:rPr>
          <w:rFonts w:hint="eastAsia" w:cs="微软雅黑"/>
          <w:spacing w:val="-2"/>
          <w:kern w:val="0"/>
          <w:lang w:val="en-US" w:eastAsia="zh-CN"/>
        </w:rPr>
        <w:t>所作</w:t>
      </w:r>
      <w:r>
        <w:t>的投标。买卖双方共同达成如下协议</w:t>
      </w:r>
      <w:r>
        <w:rPr>
          <w:rFonts w:hint="eastAsia"/>
          <w:lang w:eastAsia="zh-CN"/>
        </w:rPr>
        <w:t>：</w:t>
      </w:r>
    </w:p>
    <w:p w14:paraId="29958911">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1.</w:t>
      </w:r>
      <w:r>
        <w:rPr>
          <w:rFonts w:hint="eastAsia" w:ascii="宋体" w:hAnsi="宋体"/>
          <w:kern w:val="0"/>
          <w:szCs w:val="21"/>
          <w:lang w:val="en-US" w:eastAsia="zh-CN"/>
        </w:rPr>
        <w:t>本协议书与</w:t>
      </w:r>
      <w:r>
        <w:rPr>
          <w:rFonts w:ascii="宋体" w:hAnsi="宋体"/>
          <w:kern w:val="0"/>
          <w:szCs w:val="21"/>
        </w:rPr>
        <w:t>下列文件一起构成合同文件：</w:t>
      </w:r>
    </w:p>
    <w:p w14:paraId="0575AABF">
      <w:pPr>
        <w:widowControl/>
        <w:tabs>
          <w:tab w:val="left" w:pos="9072"/>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lang w:val="en-US" w:eastAsia="zh-CN"/>
        </w:rPr>
        <w:t>1</w:t>
      </w:r>
      <w:r>
        <w:rPr>
          <w:rFonts w:ascii="宋体" w:hAnsi="宋体"/>
          <w:kern w:val="0"/>
          <w:szCs w:val="21"/>
        </w:rPr>
        <w:t>）中标通知书；</w:t>
      </w:r>
    </w:p>
    <w:p w14:paraId="0AC4D5E2">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2</w:t>
      </w:r>
      <w:r>
        <w:rPr>
          <w:rFonts w:hint="eastAsia" w:ascii="宋体" w:hAnsi="宋体"/>
          <w:kern w:val="0"/>
          <w:szCs w:val="21"/>
        </w:rPr>
        <w:t>）投标函；</w:t>
      </w:r>
    </w:p>
    <w:p w14:paraId="0182A66A">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3</w:t>
      </w:r>
      <w:r>
        <w:rPr>
          <w:rFonts w:hint="eastAsia" w:ascii="宋体" w:hAnsi="宋体"/>
          <w:kern w:val="0"/>
          <w:szCs w:val="21"/>
        </w:rPr>
        <w:t>）</w:t>
      </w:r>
      <w:r>
        <w:rPr>
          <w:rFonts w:hint="eastAsia"/>
        </w:rPr>
        <w:t>商务和技术偏差表</w:t>
      </w:r>
      <w:r>
        <w:rPr>
          <w:rFonts w:hint="eastAsia" w:ascii="宋体" w:hAnsi="宋体"/>
          <w:kern w:val="0"/>
          <w:szCs w:val="21"/>
        </w:rPr>
        <w:t>；</w:t>
      </w:r>
    </w:p>
    <w:p w14:paraId="63A5ED3F">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4</w:t>
      </w:r>
      <w:r>
        <w:rPr>
          <w:rFonts w:hint="eastAsia" w:ascii="宋体" w:hAnsi="宋体"/>
          <w:kern w:val="0"/>
          <w:szCs w:val="21"/>
        </w:rPr>
        <w:t>）专用合同条款；</w:t>
      </w:r>
    </w:p>
    <w:p w14:paraId="00E6BE51">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5</w:t>
      </w:r>
      <w:r>
        <w:rPr>
          <w:rFonts w:hint="eastAsia" w:ascii="宋体" w:hAnsi="宋体"/>
          <w:kern w:val="0"/>
          <w:szCs w:val="21"/>
        </w:rPr>
        <w:t>）通用合同条款；</w:t>
      </w:r>
    </w:p>
    <w:p w14:paraId="448C83B3">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6</w:t>
      </w:r>
      <w:r>
        <w:rPr>
          <w:rFonts w:hint="eastAsia" w:ascii="宋体" w:hAnsi="宋体"/>
          <w:kern w:val="0"/>
          <w:szCs w:val="21"/>
        </w:rPr>
        <w:t>）供货要求；</w:t>
      </w:r>
    </w:p>
    <w:p w14:paraId="3C63964D">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7</w:t>
      </w:r>
      <w:r>
        <w:rPr>
          <w:rFonts w:hint="eastAsia" w:ascii="宋体" w:hAnsi="宋体"/>
          <w:kern w:val="0"/>
          <w:szCs w:val="21"/>
        </w:rPr>
        <w:t>）分项报价表；</w:t>
      </w:r>
    </w:p>
    <w:p w14:paraId="118B7000">
      <w:pPr>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8</w:t>
      </w:r>
      <w:r>
        <w:rPr>
          <w:rFonts w:hint="eastAsia" w:ascii="宋体" w:hAnsi="宋体"/>
          <w:kern w:val="0"/>
          <w:szCs w:val="21"/>
        </w:rPr>
        <w:t>）</w:t>
      </w:r>
      <w:r>
        <w:rPr>
          <w:rFonts w:ascii="宋体" w:hAnsi="宋体" w:cs="Arial"/>
        </w:rPr>
        <w:t>中标设备技术性能指标的详细描述</w:t>
      </w:r>
      <w:r>
        <w:rPr>
          <w:rFonts w:hint="eastAsia" w:ascii="宋体" w:hAnsi="宋体"/>
          <w:kern w:val="0"/>
          <w:szCs w:val="21"/>
        </w:rPr>
        <w:t>；</w:t>
      </w:r>
    </w:p>
    <w:p w14:paraId="439CB101">
      <w:pPr>
        <w:widowControl/>
        <w:tabs>
          <w:tab w:val="left" w:pos="9072"/>
        </w:tabs>
        <w:spacing w:line="360" w:lineRule="auto"/>
        <w:ind w:firstLine="420" w:firstLineChars="200"/>
        <w:jc w:val="left"/>
        <w:rPr>
          <w:rFonts w:ascii="宋体" w:hAnsi="宋体"/>
          <w:kern w:val="0"/>
          <w:szCs w:val="21"/>
        </w:rPr>
      </w:pPr>
      <w:r>
        <w:rPr>
          <w:rFonts w:hint="eastAsia" w:ascii="宋体" w:hAnsi="宋体"/>
          <w:kern w:val="0"/>
          <w:szCs w:val="21"/>
        </w:rPr>
        <w:t>（</w:t>
      </w:r>
      <w:r>
        <w:rPr>
          <w:rFonts w:hint="eastAsia" w:ascii="宋体" w:hAnsi="宋体"/>
          <w:kern w:val="0"/>
          <w:szCs w:val="21"/>
          <w:lang w:val="en-US" w:eastAsia="zh-CN"/>
        </w:rPr>
        <w:t>9</w:t>
      </w:r>
      <w:r>
        <w:rPr>
          <w:rFonts w:hint="eastAsia" w:ascii="宋体" w:hAnsi="宋体"/>
          <w:kern w:val="0"/>
          <w:szCs w:val="21"/>
        </w:rPr>
        <w:t>）</w:t>
      </w:r>
      <w:r>
        <w:rPr>
          <w:rFonts w:ascii="宋体" w:hAnsi="宋体" w:cs="Arial"/>
        </w:rPr>
        <w:t>技术服务和</w:t>
      </w:r>
      <w:r>
        <w:rPr>
          <w:rFonts w:hint="eastAsia" w:ascii="宋体" w:hAnsi="宋体" w:cs="Arial"/>
          <w:lang w:eastAsia="zh-CN"/>
        </w:rPr>
        <w:t>质保期</w:t>
      </w:r>
      <w:r>
        <w:rPr>
          <w:rFonts w:ascii="宋体" w:hAnsi="宋体" w:cs="Arial"/>
        </w:rPr>
        <w:t>服务计划</w:t>
      </w:r>
      <w:r>
        <w:rPr>
          <w:rFonts w:hint="eastAsia" w:ascii="宋体" w:hAnsi="宋体"/>
          <w:kern w:val="0"/>
          <w:szCs w:val="21"/>
        </w:rPr>
        <w:t>；</w:t>
      </w:r>
    </w:p>
    <w:p w14:paraId="0AF4ECEA">
      <w:pPr>
        <w:widowControl/>
        <w:tabs>
          <w:tab w:val="left" w:pos="1044"/>
          <w:tab w:val="left" w:pos="9072"/>
          <w:tab w:val="left" w:pos="9781"/>
        </w:tabs>
        <w:spacing w:line="360" w:lineRule="auto"/>
        <w:ind w:firstLine="420" w:firstLineChars="200"/>
        <w:jc w:val="left"/>
        <w:rPr>
          <w:rFonts w:ascii="宋体" w:hAnsi="宋体"/>
          <w:kern w:val="0"/>
          <w:szCs w:val="21"/>
        </w:rPr>
      </w:pPr>
      <w:r>
        <w:rPr>
          <w:rFonts w:ascii="宋体" w:hAnsi="宋体"/>
          <w:kern w:val="0"/>
          <w:szCs w:val="21"/>
        </w:rPr>
        <w:t>（</w:t>
      </w:r>
      <w:r>
        <w:rPr>
          <w:rFonts w:hint="eastAsia" w:ascii="宋体" w:hAnsi="宋体"/>
          <w:kern w:val="0"/>
          <w:szCs w:val="21"/>
        </w:rPr>
        <w:t>1</w:t>
      </w:r>
      <w:r>
        <w:rPr>
          <w:rFonts w:hint="eastAsia" w:ascii="宋体" w:hAnsi="宋体"/>
          <w:kern w:val="0"/>
          <w:szCs w:val="21"/>
          <w:lang w:val="en-US" w:eastAsia="zh-CN"/>
        </w:rPr>
        <w:t>0</w:t>
      </w:r>
      <w:r>
        <w:rPr>
          <w:rFonts w:ascii="宋体" w:hAnsi="宋体"/>
          <w:kern w:val="0"/>
          <w:szCs w:val="21"/>
        </w:rPr>
        <w:t>）其他合同文件。</w:t>
      </w:r>
    </w:p>
    <w:p w14:paraId="673EB7BB">
      <w:pPr>
        <w:widowControl/>
        <w:tabs>
          <w:tab w:val="left" w:pos="1044"/>
          <w:tab w:val="left" w:pos="9072"/>
          <w:tab w:val="left" w:pos="9781"/>
        </w:tabs>
        <w:spacing w:line="360" w:lineRule="auto"/>
        <w:ind w:firstLine="422" w:firstLineChars="200"/>
        <w:jc w:val="left"/>
        <w:rPr>
          <w:rFonts w:ascii="宋体" w:hAnsi="宋体"/>
          <w:b/>
          <w:bCs/>
          <w:kern w:val="0"/>
          <w:szCs w:val="21"/>
        </w:rPr>
      </w:pPr>
      <w:r>
        <w:rPr>
          <w:rFonts w:ascii="宋体" w:hAnsi="宋体"/>
          <w:b/>
          <w:bCs/>
          <w:kern w:val="0"/>
          <w:szCs w:val="21"/>
        </w:rPr>
        <w:t>2.上述合同文件互相补充和解释。如果合同文件之间存在矛盾或不一致之处，以上述文件的排列顺序在先者为准。</w:t>
      </w:r>
    </w:p>
    <w:p w14:paraId="03DAC383">
      <w:pPr>
        <w:widowControl/>
        <w:tabs>
          <w:tab w:val="left" w:pos="9072"/>
          <w:tab w:val="left" w:pos="9640"/>
        </w:tabs>
        <w:spacing w:line="360" w:lineRule="auto"/>
        <w:ind w:firstLine="420" w:firstLineChars="200"/>
        <w:jc w:val="left"/>
        <w:rPr>
          <w:rFonts w:ascii="宋体" w:hAnsi="宋体"/>
          <w:kern w:val="0"/>
          <w:szCs w:val="21"/>
          <w:highlight w:val="none"/>
        </w:rPr>
      </w:pPr>
      <w:r>
        <w:rPr>
          <w:rFonts w:ascii="宋体" w:hAnsi="宋体"/>
          <w:kern w:val="0"/>
          <w:szCs w:val="21"/>
        </w:rPr>
        <w:t>3.</w:t>
      </w:r>
      <w:r>
        <w:rPr>
          <w:rFonts w:hint="eastAsia" w:ascii="宋体" w:hAnsi="宋体"/>
          <w:kern w:val="0"/>
          <w:szCs w:val="21"/>
        </w:rPr>
        <w:t>签约</w:t>
      </w:r>
      <w:r>
        <w:rPr>
          <w:rFonts w:hint="eastAsia" w:ascii="宋体" w:hAnsi="宋体"/>
          <w:kern w:val="0"/>
          <w:szCs w:val="21"/>
          <w:highlight w:val="none"/>
        </w:rPr>
        <w:t>合同价：</w:t>
      </w:r>
      <w:r>
        <w:rPr>
          <w:rFonts w:ascii="宋体" w:hAnsi="宋体"/>
          <w:kern w:val="0"/>
          <w:szCs w:val="21"/>
          <w:highlight w:val="none"/>
        </w:rPr>
        <w:t>人民币（大写）</w:t>
      </w:r>
      <w:r>
        <w:rPr>
          <w:rFonts w:ascii="宋体" w:hAnsi="宋体"/>
          <w:kern w:val="0"/>
          <w:szCs w:val="21"/>
          <w:highlight w:val="none"/>
          <w:u w:val="single"/>
        </w:rPr>
        <w:t xml:space="preserve">              </w:t>
      </w:r>
      <w:r>
        <w:rPr>
          <w:spacing w:val="-3"/>
          <w:highlight w:val="none"/>
        </w:rPr>
        <w:t>（</w:t>
      </w:r>
      <w:r>
        <w:rPr>
          <w:rFonts w:eastAsia="Times New Roman"/>
          <w:spacing w:val="-3"/>
          <w:highlight w:val="none"/>
        </w:rPr>
        <w:t>¥</w:t>
      </w:r>
      <w:r>
        <w:rPr>
          <w:rFonts w:hint="eastAsia"/>
          <w:spacing w:val="-3"/>
          <w:highlight w:val="none"/>
          <w:u w:val="single"/>
        </w:rPr>
        <w:t xml:space="preserve">               </w:t>
      </w:r>
      <w:r>
        <w:rPr>
          <w:rFonts w:hint="eastAsia"/>
          <w:spacing w:val="-3"/>
          <w:highlight w:val="none"/>
        </w:rPr>
        <w:t>）</w:t>
      </w:r>
      <w:r>
        <w:rPr>
          <w:rFonts w:hint="eastAsia" w:ascii="宋体" w:hAnsi="宋体" w:eastAsia="宋体" w:cs="宋体"/>
          <w:color w:val="auto"/>
          <w:szCs w:val="21"/>
          <w:highlight w:val="none"/>
        </w:rPr>
        <w:t>含增值税，发票类型增值税专用发票，发票税率</w:t>
      </w:r>
      <w:r>
        <w:rPr>
          <w:rFonts w:hint="eastAsia" w:ascii="宋体" w:hAnsi="宋体" w:eastAsia="宋体" w:cs="宋体"/>
          <w:color w:val="auto"/>
          <w:szCs w:val="21"/>
          <w:highlight w:val="none"/>
          <w:lang w:val="en-US" w:eastAsia="zh-CN"/>
        </w:rPr>
        <w:t>13</w:t>
      </w:r>
      <w:r>
        <w:rPr>
          <w:rFonts w:hint="eastAsia" w:ascii="宋体" w:hAnsi="宋体" w:eastAsia="宋体" w:cs="宋体"/>
          <w:color w:val="auto"/>
          <w:szCs w:val="21"/>
          <w:highlight w:val="none"/>
        </w:rPr>
        <w:t>%（增值税税率随国家税务政策调整而相应变动）</w:t>
      </w:r>
      <w:r>
        <w:rPr>
          <w:rFonts w:hint="eastAsia"/>
          <w:spacing w:val="-3"/>
          <w:highlight w:val="none"/>
        </w:rPr>
        <w:t>。</w:t>
      </w:r>
    </w:p>
    <w:p w14:paraId="13717EB6">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4.</w:t>
      </w:r>
      <w:r>
        <w:rPr>
          <w:rFonts w:hint="eastAsia"/>
        </w:rPr>
        <w:t>卖方承诺保证完全按照合同约定提供合同设备</w:t>
      </w:r>
      <w:r>
        <w:rPr>
          <w:rFonts w:hint="eastAsia"/>
          <w:lang w:val="en-US" w:eastAsia="zh-CN"/>
        </w:rPr>
        <w:t>和</w:t>
      </w:r>
      <w:r>
        <w:rPr>
          <w:rFonts w:hint="eastAsia"/>
        </w:rPr>
        <w:t>技术服务和</w:t>
      </w:r>
      <w:r>
        <w:rPr>
          <w:rFonts w:hint="eastAsia"/>
          <w:lang w:eastAsia="zh-CN"/>
        </w:rPr>
        <w:t>质保期</w:t>
      </w:r>
      <w:r>
        <w:rPr>
          <w:rFonts w:hint="eastAsia"/>
        </w:rPr>
        <w:t>服务并修补缺陷。</w:t>
      </w:r>
    </w:p>
    <w:p w14:paraId="62529F04">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5.</w:t>
      </w:r>
      <w:r>
        <w:rPr>
          <w:rFonts w:hint="eastAsia"/>
        </w:rPr>
        <w:t>买方承诺保证按照合同约定的条件、时间和方式向卖方支付合同价款。</w:t>
      </w:r>
    </w:p>
    <w:p w14:paraId="08058152">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6.</w:t>
      </w:r>
      <w:r>
        <w:rPr>
          <w:rFonts w:hAnsi="宋体"/>
        </w:rPr>
        <w:t>本合同</w:t>
      </w:r>
      <w:r>
        <w:rPr>
          <w:rFonts w:hint="eastAsia" w:hAnsi="宋体"/>
          <w:lang w:val="en-US" w:eastAsia="zh-CN"/>
        </w:rPr>
        <w:t>协议书</w:t>
      </w:r>
      <w:r>
        <w:rPr>
          <w:rFonts w:hAnsi="宋体"/>
        </w:rPr>
        <w:t>一式</w:t>
      </w:r>
      <w:r>
        <w:rPr>
          <w:rFonts w:hint="eastAsia" w:hAnsi="宋体"/>
          <w:u w:val="single"/>
        </w:rPr>
        <w:t xml:space="preserve">   </w:t>
      </w:r>
      <w:r>
        <w:rPr>
          <w:rFonts w:hAnsi="宋体"/>
        </w:rPr>
        <w:t>份，</w:t>
      </w:r>
      <w:r>
        <w:rPr>
          <w:rFonts w:hint="eastAsia" w:hAnsi="宋体"/>
          <w:lang w:val="en-US" w:eastAsia="zh-CN"/>
        </w:rPr>
        <w:t>合同</w:t>
      </w:r>
      <w:r>
        <w:rPr>
          <w:rFonts w:hint="eastAsia" w:hAnsi="宋体"/>
        </w:rPr>
        <w:t>双</w:t>
      </w:r>
      <w:r>
        <w:rPr>
          <w:rFonts w:hAnsi="宋体"/>
        </w:rPr>
        <w:t>方各执</w:t>
      </w:r>
      <w:r>
        <w:rPr>
          <w:rFonts w:hint="eastAsia" w:hAnsi="宋体"/>
        </w:rPr>
        <w:t xml:space="preserve"> </w:t>
      </w:r>
      <w:r>
        <w:rPr>
          <w:rFonts w:hint="eastAsia" w:hAnsi="宋体"/>
          <w:u w:val="single"/>
        </w:rPr>
        <w:t xml:space="preserve">   </w:t>
      </w:r>
      <w:r>
        <w:rPr>
          <w:rFonts w:hAnsi="宋体"/>
        </w:rPr>
        <w:t>份。</w:t>
      </w:r>
    </w:p>
    <w:p w14:paraId="763B467B">
      <w:pPr>
        <w:widowControl/>
        <w:tabs>
          <w:tab w:val="left" w:pos="9640"/>
        </w:tabs>
        <w:spacing w:line="360" w:lineRule="auto"/>
        <w:ind w:firstLine="420" w:firstLineChars="200"/>
        <w:jc w:val="left"/>
        <w:rPr>
          <w:rFonts w:ascii="宋体" w:hAnsi="宋体"/>
          <w:kern w:val="0"/>
          <w:szCs w:val="21"/>
        </w:rPr>
      </w:pPr>
      <w:r>
        <w:rPr>
          <w:rFonts w:hint="eastAsia" w:ascii="宋体" w:hAnsi="宋体"/>
          <w:kern w:val="0"/>
          <w:szCs w:val="21"/>
        </w:rPr>
        <w:t>7.</w:t>
      </w:r>
      <w:r>
        <w:rPr>
          <w:rFonts w:hAnsi="宋体"/>
          <w:szCs w:val="21"/>
        </w:rPr>
        <w:t>合同未尽事宜，双方另行签订补充协议</w:t>
      </w:r>
      <w:r>
        <w:rPr>
          <w:rFonts w:hint="eastAsia" w:hAnsi="宋体"/>
          <w:szCs w:val="21"/>
          <w:lang w:eastAsia="zh-CN"/>
        </w:rPr>
        <w:t>，</w:t>
      </w:r>
      <w:r>
        <w:rPr>
          <w:rFonts w:hAnsi="宋体"/>
          <w:szCs w:val="21"/>
        </w:rPr>
        <w:t>补充协议是合同的组成部分。</w:t>
      </w:r>
    </w:p>
    <w:p w14:paraId="7B677DB1">
      <w:pPr>
        <w:widowControl/>
        <w:tabs>
          <w:tab w:val="left" w:pos="9640"/>
        </w:tabs>
        <w:spacing w:line="360" w:lineRule="auto"/>
        <w:ind w:firstLine="420" w:firstLineChars="200"/>
        <w:jc w:val="left"/>
        <w:rPr>
          <w:rFonts w:hint="eastAsia" w:ascii="宋体" w:hAnsi="宋体"/>
          <w:kern w:val="0"/>
          <w:szCs w:val="21"/>
        </w:rPr>
      </w:pPr>
    </w:p>
    <w:p w14:paraId="244454CE">
      <w:pPr>
        <w:pStyle w:val="17"/>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pPr>
      <w:r>
        <w:t>买方：</w:t>
      </w:r>
      <w:r>
        <w:rPr>
          <w:u w:val="single"/>
        </w:rPr>
        <w:t xml:space="preserve"> </w:t>
      </w:r>
      <w:r>
        <w:rPr>
          <w:rFonts w:hint="eastAsia"/>
          <w:u w:val="single"/>
          <w:lang w:val="en-US" w:eastAsia="zh-CN"/>
        </w:rPr>
        <w:t xml:space="preserve">                           </w:t>
      </w:r>
      <w:r>
        <w:t>（盖单位章）</w:t>
      </w:r>
    </w:p>
    <w:p w14:paraId="54946245">
      <w:pPr>
        <w:pStyle w:val="17"/>
        <w:keepNext w:val="0"/>
        <w:keepLines w:val="0"/>
        <w:pageBreakBefore w:val="0"/>
        <w:widowControl w:val="0"/>
        <w:tabs>
          <w:tab w:val="left" w:pos="7854"/>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rPr>
          <w:spacing w:val="-3"/>
        </w:rPr>
        <w:t>（</w:t>
      </w:r>
      <w:r>
        <w:t>签</w:t>
      </w:r>
      <w:r>
        <w:rPr>
          <w:spacing w:val="-3"/>
        </w:rPr>
        <w:t>字</w:t>
      </w:r>
      <w:r>
        <w:t>）</w:t>
      </w:r>
    </w:p>
    <w:p w14:paraId="679590FE">
      <w:pPr>
        <w:pStyle w:val="17"/>
        <w:keepNext w:val="0"/>
        <w:keepLines w:val="0"/>
        <w:pageBreakBefore w:val="0"/>
        <w:widowControl w:val="0"/>
        <w:tabs>
          <w:tab w:val="left" w:pos="5438"/>
          <w:tab w:val="left" w:pos="6383"/>
          <w:tab w:val="left" w:pos="7326"/>
        </w:tabs>
        <w:kinsoku/>
        <w:wordWrap/>
        <w:overflowPunct/>
        <w:topLinePunct w:val="0"/>
        <w:autoSpaceDE w:val="0"/>
        <w:autoSpaceDN w:val="0"/>
        <w:bidi w:val="0"/>
        <w:adjustRightInd/>
        <w:snapToGrid/>
        <w:spacing w:before="0" w:after="0" w:line="360" w:lineRule="auto"/>
        <w:ind w:left="0"/>
        <w:jc w:val="right"/>
        <w:textAlignment w:val="auto"/>
      </w:pPr>
      <w:r>
        <w:rPr>
          <w:rFonts w:ascii="Times New Roman" w:eastAsia="Times New Roman"/>
          <w:w w:val="100"/>
          <w:u w:val="single"/>
        </w:rPr>
        <w:t xml:space="preserve"> </w:t>
      </w:r>
      <w:r>
        <w:rPr>
          <w:rFonts w:hint="eastAsia" w:ascii="Times New Roman"/>
          <w:w w:val="100"/>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4FE46E12">
      <w:pPr>
        <w:pStyle w:val="17"/>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pPr>
    </w:p>
    <w:p w14:paraId="35E30C52">
      <w:pPr>
        <w:pStyle w:val="17"/>
        <w:keepNext w:val="0"/>
        <w:keepLines w:val="0"/>
        <w:pageBreakBefore w:val="0"/>
        <w:widowControl w:val="0"/>
        <w:tabs>
          <w:tab w:val="left" w:pos="7430"/>
        </w:tabs>
        <w:kinsoku/>
        <w:wordWrap/>
        <w:overflowPunct/>
        <w:topLinePunct w:val="0"/>
        <w:autoSpaceDE w:val="0"/>
        <w:autoSpaceDN w:val="0"/>
        <w:bidi w:val="0"/>
        <w:adjustRightInd/>
        <w:snapToGrid/>
        <w:spacing w:before="0" w:after="0" w:line="360" w:lineRule="auto"/>
        <w:ind w:left="0"/>
        <w:jc w:val="right"/>
        <w:textAlignment w:val="auto"/>
        <w:rPr>
          <w:sz w:val="9"/>
        </w:rPr>
      </w:pPr>
      <w:r>
        <w:t>卖方</w:t>
      </w:r>
      <w:r>
        <w:rPr>
          <w:spacing w:val="-3"/>
        </w:rPr>
        <w:t>：</w:t>
      </w:r>
      <w:r>
        <w:rPr>
          <w:spacing w:val="-3"/>
          <w:u w:val="single"/>
        </w:rPr>
        <w:t xml:space="preserve"> </w:t>
      </w:r>
      <w:r>
        <w:rPr>
          <w:rFonts w:hint="eastAsia"/>
          <w:spacing w:val="-3"/>
          <w:u w:val="single"/>
          <w:lang w:val="en-US" w:eastAsia="zh-CN"/>
        </w:rPr>
        <w:t xml:space="preserve">                            </w:t>
      </w:r>
      <w:r>
        <w:t>（盖</w:t>
      </w:r>
      <w:r>
        <w:rPr>
          <w:spacing w:val="-3"/>
        </w:rPr>
        <w:t>单</w:t>
      </w:r>
      <w:r>
        <w:t>位</w:t>
      </w:r>
      <w:r>
        <w:rPr>
          <w:spacing w:val="-3"/>
        </w:rPr>
        <w:t>章</w:t>
      </w:r>
      <w:r>
        <w:t>）</w:t>
      </w:r>
    </w:p>
    <w:p w14:paraId="53ACC977">
      <w:pPr>
        <w:pStyle w:val="17"/>
        <w:keepNext w:val="0"/>
        <w:keepLines w:val="0"/>
        <w:pageBreakBefore w:val="0"/>
        <w:widowControl w:val="0"/>
        <w:tabs>
          <w:tab w:val="left" w:pos="7852"/>
        </w:tabs>
        <w:kinsoku/>
        <w:wordWrap/>
        <w:overflowPunct/>
        <w:topLinePunct w:val="0"/>
        <w:autoSpaceDE w:val="0"/>
        <w:autoSpaceDN w:val="0"/>
        <w:bidi w:val="0"/>
        <w:adjustRightInd/>
        <w:snapToGrid/>
        <w:spacing w:before="0" w:after="0" w:line="360" w:lineRule="auto"/>
        <w:ind w:left="0"/>
        <w:jc w:val="right"/>
        <w:textAlignment w:val="auto"/>
        <w:rPr>
          <w:sz w:val="19"/>
        </w:rPr>
      </w:pPr>
      <w:r>
        <w:t>法定</w:t>
      </w:r>
      <w:r>
        <w:rPr>
          <w:spacing w:val="-3"/>
        </w:rPr>
        <w:t>代</w:t>
      </w:r>
      <w:r>
        <w:t>表</w:t>
      </w:r>
      <w:r>
        <w:rPr>
          <w:spacing w:val="-3"/>
        </w:rPr>
        <w:t>人</w:t>
      </w:r>
      <w:r>
        <w:t>（</w:t>
      </w:r>
      <w:r>
        <w:rPr>
          <w:spacing w:val="-3"/>
        </w:rPr>
        <w:t>单</w:t>
      </w:r>
      <w:r>
        <w:t>位</w:t>
      </w:r>
      <w:r>
        <w:rPr>
          <w:spacing w:val="-3"/>
        </w:rPr>
        <w:t>负</w:t>
      </w:r>
      <w:r>
        <w:t>责</w:t>
      </w:r>
      <w:r>
        <w:rPr>
          <w:spacing w:val="-3"/>
        </w:rPr>
        <w:t>人</w:t>
      </w:r>
      <w:r>
        <w:t>）或</w:t>
      </w:r>
      <w:r>
        <w:rPr>
          <w:spacing w:val="-3"/>
        </w:rPr>
        <w:t>其</w:t>
      </w:r>
      <w:r>
        <w:t>委</w:t>
      </w:r>
      <w:r>
        <w:rPr>
          <w:spacing w:val="-3"/>
        </w:rPr>
        <w:t>托</w:t>
      </w:r>
      <w:r>
        <w:t>代</w:t>
      </w:r>
      <w:r>
        <w:rPr>
          <w:spacing w:val="-3"/>
        </w:rPr>
        <w:t>理</w:t>
      </w:r>
      <w:r>
        <w:t>人</w:t>
      </w:r>
      <w:r>
        <w:rPr>
          <w:spacing w:val="-3"/>
        </w:rPr>
        <w:t>：</w:t>
      </w:r>
      <w:r>
        <w:rPr>
          <w:spacing w:val="-3"/>
          <w:u w:val="single"/>
        </w:rPr>
        <w:t xml:space="preserve"> </w:t>
      </w:r>
      <w:r>
        <w:rPr>
          <w:rFonts w:hint="eastAsia"/>
          <w:spacing w:val="-3"/>
          <w:u w:val="single"/>
          <w:lang w:val="en-US" w:eastAsia="zh-CN"/>
        </w:rPr>
        <w:t xml:space="preserve">            </w:t>
      </w:r>
      <w:r>
        <w:t>（</w:t>
      </w:r>
      <w:r>
        <w:rPr>
          <w:spacing w:val="-3"/>
        </w:rPr>
        <w:t>签</w:t>
      </w:r>
      <w:r>
        <w:t>字）</w:t>
      </w:r>
    </w:p>
    <w:p w14:paraId="403EAF93">
      <w:pPr>
        <w:spacing w:line="360" w:lineRule="auto"/>
        <w:jc w:val="right"/>
      </w:pPr>
      <w:r>
        <w:rPr>
          <w:rFonts w:ascii="Times New Roman" w:eastAsia="Times New Roman"/>
          <w:w w:val="100"/>
          <w:u w:val="single"/>
        </w:rPr>
        <w:t xml:space="preserve"> </w:t>
      </w:r>
      <w:r>
        <w:rPr>
          <w:rFonts w:ascii="Times New Roman" w:eastAsia="Times New Roman"/>
          <w:u w:val="single"/>
        </w:rPr>
        <w:tab/>
      </w:r>
      <w:r>
        <w:t>年</w:t>
      </w:r>
      <w:r>
        <w:rPr>
          <w:u w:val="single"/>
        </w:rPr>
        <w:t xml:space="preserve"> </w:t>
      </w:r>
      <w:r>
        <w:rPr>
          <w:u w:val="single"/>
        </w:rPr>
        <w:tab/>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p>
    <w:p w14:paraId="5EAB937F">
      <w:pPr>
        <w:pStyle w:val="17"/>
        <w:jc w:val="center"/>
      </w:pPr>
    </w:p>
    <w:p w14:paraId="38B15568">
      <w:pPr>
        <w:spacing w:line="360" w:lineRule="auto"/>
        <w:rPr>
          <w:rFonts w:ascii="宋体" w:hAnsi="宋体"/>
          <w:szCs w:val="21"/>
        </w:rPr>
      </w:pPr>
    </w:p>
    <w:p w14:paraId="5B2B0A8C">
      <w:pPr>
        <w:spacing w:line="360" w:lineRule="auto"/>
        <w:rPr>
          <w:rFonts w:ascii="宋体" w:hAnsi="宋体"/>
          <w:szCs w:val="21"/>
        </w:rPr>
      </w:pPr>
      <w:r>
        <w:rPr>
          <w:rFonts w:hint="eastAsia" w:ascii="宋体" w:hAnsi="宋体"/>
          <w:szCs w:val="21"/>
        </w:rPr>
        <w:br w:type="page"/>
      </w:r>
      <w:r>
        <w:rPr>
          <w:rFonts w:hint="eastAsia" w:ascii="宋体" w:hAnsi="宋体"/>
          <w:szCs w:val="21"/>
        </w:rPr>
        <w:t>附</w:t>
      </w:r>
      <w:bookmarkStart w:id="901" w:name="_Toc296891054"/>
      <w:bookmarkStart w:id="902" w:name="_Toc296346727"/>
      <w:bookmarkStart w:id="903" w:name="_Toc296891266"/>
      <w:bookmarkStart w:id="904" w:name="_Toc296503226"/>
      <w:bookmarkStart w:id="905" w:name="_Toc267261693"/>
      <w:bookmarkStart w:id="906" w:name="_Toc296347225"/>
      <w:bookmarkStart w:id="907" w:name="_Toc296944565"/>
      <w:r>
        <w:rPr>
          <w:rFonts w:hint="eastAsia" w:ascii="宋体" w:hAnsi="宋体"/>
          <w:szCs w:val="21"/>
        </w:rPr>
        <w:t>件</w:t>
      </w:r>
      <w:r>
        <w:rPr>
          <w:rFonts w:hint="eastAsia" w:ascii="宋体" w:hAnsi="宋体"/>
          <w:szCs w:val="21"/>
          <w:lang w:val="en-US" w:eastAsia="zh-CN"/>
        </w:rPr>
        <w:t>二</w:t>
      </w:r>
      <w:r>
        <w:rPr>
          <w:rFonts w:hint="eastAsia" w:ascii="宋体" w:hAnsi="宋体"/>
          <w:szCs w:val="21"/>
        </w:rPr>
        <w:t>：</w:t>
      </w:r>
      <w:bookmarkEnd w:id="901"/>
      <w:bookmarkEnd w:id="902"/>
      <w:bookmarkEnd w:id="903"/>
      <w:bookmarkEnd w:id="904"/>
      <w:bookmarkEnd w:id="905"/>
      <w:bookmarkEnd w:id="906"/>
      <w:bookmarkEnd w:id="907"/>
      <w:r>
        <w:rPr>
          <w:rFonts w:hint="eastAsia" w:ascii="宋体" w:hAnsi="宋体"/>
          <w:szCs w:val="21"/>
        </w:rPr>
        <w:t>履约保证金格式</w:t>
      </w:r>
    </w:p>
    <w:p w14:paraId="7BD149FC">
      <w:pPr>
        <w:pStyle w:val="17"/>
        <w:tabs>
          <w:tab w:val="left" w:pos="2305"/>
        </w:tabs>
        <w:spacing w:before="43"/>
      </w:pPr>
    </w:p>
    <w:p w14:paraId="1A6F5C58">
      <w:pPr>
        <w:pStyle w:val="17"/>
        <w:tabs>
          <w:tab w:val="left" w:pos="2305"/>
        </w:tabs>
        <w:spacing w:before="43"/>
      </w:pPr>
      <w:r>
        <w:t>如采用银行保函，格式如下。</w:t>
      </w:r>
    </w:p>
    <w:p w14:paraId="14612ECD">
      <w:pPr>
        <w:pStyle w:val="17"/>
        <w:tabs>
          <w:tab w:val="left" w:pos="2305"/>
        </w:tabs>
        <w:spacing w:before="43"/>
        <w:ind w:left="100"/>
        <w:jc w:val="center"/>
        <w:rPr>
          <w:sz w:val="28"/>
        </w:rPr>
      </w:pPr>
    </w:p>
    <w:p w14:paraId="58CF7691">
      <w:pPr>
        <w:pStyle w:val="17"/>
        <w:tabs>
          <w:tab w:val="left" w:pos="2305"/>
        </w:tabs>
        <w:spacing w:before="43"/>
        <w:ind w:left="100"/>
        <w:jc w:val="center"/>
      </w:pPr>
      <w:r>
        <w:rPr>
          <w:sz w:val="28"/>
        </w:rPr>
        <w:t>履约保证金</w:t>
      </w:r>
    </w:p>
    <w:p w14:paraId="19A917EE">
      <w:pPr>
        <w:pStyle w:val="17"/>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w w:val="100"/>
          <w:sz w:val="21"/>
          <w:szCs w:val="21"/>
          <w:u w:val="single"/>
        </w:rPr>
      </w:pPr>
    </w:p>
    <w:p w14:paraId="66A3BFA5">
      <w:pPr>
        <w:pStyle w:val="17"/>
        <w:keepNext w:val="0"/>
        <w:keepLines w:val="0"/>
        <w:pageBreakBefore w:val="0"/>
        <w:widowControl w:val="0"/>
        <w:tabs>
          <w:tab w:val="left" w:pos="2305"/>
        </w:tabs>
        <w:kinsoku/>
        <w:wordWrap/>
        <w:overflowPunct/>
        <w:topLinePunct w:val="0"/>
        <w:autoSpaceDE w:val="0"/>
        <w:autoSpaceDN w:val="0"/>
        <w:bidi w:val="0"/>
        <w:adjustRightInd/>
        <w:snapToGrid/>
        <w:spacing w:before="0" w:line="360" w:lineRule="auto"/>
        <w:ind w:left="0"/>
        <w:textAlignment w:val="auto"/>
        <w:rPr>
          <w:rFonts w:hint="eastAsia" w:ascii="宋体" w:hAnsi="宋体" w:eastAsia="宋体" w:cs="宋体"/>
          <w:sz w:val="21"/>
          <w:szCs w:val="21"/>
        </w:rPr>
      </w:pPr>
      <w:r>
        <w:rPr>
          <w:rFonts w:hint="eastAsia" w:ascii="宋体" w:hAnsi="宋体" w:eastAsia="宋体" w:cs="宋体"/>
          <w:w w:val="100"/>
          <w:sz w:val="21"/>
          <w:szCs w:val="21"/>
          <w:u w:val="single"/>
        </w:rPr>
        <w:t xml:space="preserve"> </w:t>
      </w:r>
      <w:r>
        <w:rPr>
          <w:rFonts w:hint="eastAsia" w:ascii="宋体" w:hAnsi="宋体" w:eastAsia="宋体" w:cs="宋体"/>
          <w:sz w:val="21"/>
          <w:szCs w:val="21"/>
          <w:u w:val="single"/>
        </w:rPr>
        <w:tab/>
      </w:r>
      <w:r>
        <w:rPr>
          <w:rFonts w:hint="eastAsia" w:cs="宋体"/>
          <w:spacing w:val="-3"/>
          <w:w w:val="100"/>
          <w:sz w:val="21"/>
          <w:szCs w:val="21"/>
          <w:lang w:eastAsia="zh-CN"/>
        </w:rPr>
        <w:t>（</w:t>
      </w:r>
      <w:r>
        <w:rPr>
          <w:rFonts w:hint="eastAsia" w:ascii="宋体" w:hAnsi="宋体" w:eastAsia="宋体" w:cs="宋体"/>
          <w:spacing w:val="-1"/>
          <w:w w:val="100"/>
          <w:sz w:val="21"/>
          <w:szCs w:val="21"/>
        </w:rPr>
        <w:t>买方名称</w:t>
      </w:r>
      <w:r>
        <w:rPr>
          <w:rFonts w:hint="eastAsia" w:cs="宋体"/>
          <w:spacing w:val="-3"/>
          <w:w w:val="100"/>
          <w:sz w:val="21"/>
          <w:szCs w:val="21"/>
          <w:lang w:eastAsia="zh-CN"/>
        </w:rPr>
        <w:t>）：</w:t>
      </w:r>
    </w:p>
    <w:p w14:paraId="64C0A09A">
      <w:pPr>
        <w:pStyle w:val="17"/>
        <w:keepNext w:val="0"/>
        <w:keepLines w:val="0"/>
        <w:pageBreakBefore w:val="0"/>
        <w:widowControl w:val="0"/>
        <w:tabs>
          <w:tab w:val="left" w:pos="7586"/>
          <w:tab w:val="left" w:pos="8533"/>
        </w:tabs>
        <w:kinsoku/>
        <w:wordWrap/>
        <w:overflowPunct/>
        <w:topLinePunct w:val="0"/>
        <w:autoSpaceDE w:val="0"/>
        <w:autoSpaceDN w:val="0"/>
        <w:bidi w:val="0"/>
        <w:adjustRightInd/>
        <w:snapToGrid/>
        <w:spacing w:before="0" w:line="360" w:lineRule="auto"/>
        <w:ind w:left="0" w:firstLine="420" w:firstLineChars="200"/>
        <w:textAlignment w:val="auto"/>
        <w:rPr>
          <w:rFonts w:hint="default" w:ascii="宋体" w:hAnsi="宋体" w:eastAsia="宋体" w:cs="宋体"/>
          <w:sz w:val="21"/>
          <w:szCs w:val="21"/>
          <w:u w:val="single"/>
          <w:lang w:val="en-US" w:eastAsia="zh-CN"/>
        </w:rPr>
      </w:pPr>
      <w:r>
        <w:rPr>
          <w:rFonts w:hint="eastAsia" w:cs="宋体"/>
          <w:sz w:val="21"/>
          <w:szCs w:val="21"/>
          <w:lang w:val="en-US" w:eastAsia="zh-CN"/>
        </w:rPr>
        <w:t>鉴于（</w:t>
      </w:r>
      <w:r>
        <w:rPr>
          <w:rFonts w:hint="eastAsia" w:ascii="宋体" w:hAnsi="宋体" w:eastAsia="宋体" w:cs="宋体"/>
          <w:sz w:val="21"/>
          <w:szCs w:val="21"/>
        </w:rPr>
        <w:t>买</w:t>
      </w:r>
      <w:r>
        <w:rPr>
          <w:rFonts w:hint="eastAsia" w:ascii="宋体" w:hAnsi="宋体" w:eastAsia="宋体" w:cs="宋体"/>
          <w:spacing w:val="-3"/>
          <w:sz w:val="21"/>
          <w:szCs w:val="21"/>
        </w:rPr>
        <w:t>方</w:t>
      </w:r>
      <w:r>
        <w:rPr>
          <w:rFonts w:hint="eastAsia" w:ascii="宋体" w:hAnsi="宋体" w:eastAsia="宋体" w:cs="宋体"/>
          <w:sz w:val="21"/>
          <w:szCs w:val="21"/>
        </w:rPr>
        <w:t>名</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以</w:t>
      </w:r>
      <w:r>
        <w:rPr>
          <w:rFonts w:hint="eastAsia" w:ascii="宋体" w:hAnsi="宋体" w:eastAsia="宋体" w:cs="宋体"/>
          <w:sz w:val="21"/>
          <w:szCs w:val="21"/>
        </w:rPr>
        <w:t>下</w:t>
      </w:r>
      <w:r>
        <w:rPr>
          <w:rFonts w:hint="eastAsia" w:ascii="宋体" w:hAnsi="宋体" w:eastAsia="宋体" w:cs="宋体"/>
          <w:spacing w:val="-3"/>
          <w:sz w:val="21"/>
          <w:szCs w:val="21"/>
        </w:rPr>
        <w:t>简称</w:t>
      </w:r>
      <w:r>
        <w:rPr>
          <w:rFonts w:hint="eastAsia" w:cs="宋体"/>
          <w:i w:val="0"/>
          <w:iCs/>
          <w:sz w:val="21"/>
          <w:szCs w:val="21"/>
          <w:lang w:eastAsia="zh-CN"/>
        </w:rPr>
        <w:t>“</w:t>
      </w:r>
      <w:r>
        <w:rPr>
          <w:rFonts w:hint="eastAsia" w:ascii="宋体" w:hAnsi="宋体" w:eastAsia="宋体" w:cs="宋体"/>
          <w:sz w:val="21"/>
          <w:szCs w:val="21"/>
        </w:rPr>
        <w:t>买方</w:t>
      </w:r>
      <w:r>
        <w:rPr>
          <w:rFonts w:hint="eastAsia" w:cs="宋体"/>
          <w:i w:val="0"/>
          <w:iCs/>
          <w:sz w:val="21"/>
          <w:szCs w:val="21"/>
          <w:lang w:eastAsia="zh-CN"/>
        </w:rPr>
        <w:t>”</w:t>
      </w:r>
      <w:r>
        <w:rPr>
          <w:rFonts w:hint="eastAsia" w:cs="宋体"/>
          <w:sz w:val="21"/>
          <w:szCs w:val="21"/>
          <w:lang w:val="en-US" w:eastAsia="zh-CN"/>
        </w:rPr>
        <w:t>）</w:t>
      </w:r>
      <w:r>
        <w:rPr>
          <w:rFonts w:hint="eastAsia" w:cs="宋体"/>
          <w:spacing w:val="-3"/>
          <w:sz w:val="21"/>
          <w:szCs w:val="21"/>
          <w:lang w:val="en-US" w:eastAsia="zh-CN"/>
        </w:rPr>
        <w:t>接受（</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ascii="宋体" w:hAnsi="宋体" w:eastAsia="宋体" w:cs="宋体"/>
          <w:spacing w:val="-3"/>
          <w:sz w:val="21"/>
          <w:szCs w:val="21"/>
        </w:rPr>
        <w:t>名</w:t>
      </w:r>
      <w:r>
        <w:rPr>
          <w:rFonts w:hint="eastAsia" w:ascii="宋体" w:hAnsi="宋体" w:eastAsia="宋体" w:cs="宋体"/>
          <w:sz w:val="21"/>
          <w:szCs w:val="21"/>
        </w:rPr>
        <w:t>称</w:t>
      </w:r>
      <w:r>
        <w:rPr>
          <w:rFonts w:hint="eastAsia" w:cs="宋体"/>
          <w:sz w:val="21"/>
          <w:szCs w:val="21"/>
          <w:lang w:eastAsia="zh-CN"/>
        </w:rPr>
        <w:t>，</w:t>
      </w:r>
      <w:r>
        <w:rPr>
          <w:rFonts w:hint="eastAsia" w:ascii="宋体" w:hAnsi="宋体" w:eastAsia="宋体" w:cs="宋体"/>
          <w:sz w:val="21"/>
          <w:szCs w:val="21"/>
        </w:rPr>
        <w:t>以下</w:t>
      </w:r>
      <w:r>
        <w:rPr>
          <w:rFonts w:hint="eastAsia" w:cs="宋体"/>
          <w:sz w:val="21"/>
          <w:szCs w:val="21"/>
          <w:lang w:val="en-US" w:eastAsia="zh-CN"/>
        </w:rPr>
        <w:t>简</w:t>
      </w:r>
      <w:r>
        <w:rPr>
          <w:rFonts w:hint="eastAsia" w:ascii="宋体" w:hAnsi="宋体" w:eastAsia="宋体" w:cs="宋体"/>
          <w:spacing w:val="-3"/>
          <w:sz w:val="21"/>
          <w:szCs w:val="21"/>
        </w:rPr>
        <w:t>称</w:t>
      </w:r>
      <w:r>
        <w:rPr>
          <w:rFonts w:hint="eastAsia" w:cs="宋体"/>
          <w:spacing w:val="-3"/>
          <w:sz w:val="21"/>
          <w:szCs w:val="21"/>
          <w:lang w:eastAsia="zh-CN"/>
        </w:rPr>
        <w:t>“</w:t>
      </w:r>
      <w:r>
        <w:rPr>
          <w:rFonts w:hint="eastAsia" w:ascii="宋体" w:hAnsi="宋体" w:eastAsia="宋体" w:cs="宋体"/>
          <w:spacing w:val="-3"/>
          <w:sz w:val="21"/>
          <w:szCs w:val="21"/>
        </w:rPr>
        <w:t>卖</w:t>
      </w:r>
      <w:r>
        <w:rPr>
          <w:rFonts w:hint="eastAsia" w:ascii="宋体" w:hAnsi="宋体" w:eastAsia="宋体" w:cs="宋体"/>
          <w:sz w:val="21"/>
          <w:szCs w:val="21"/>
        </w:rPr>
        <w:t>方</w:t>
      </w:r>
      <w:r>
        <w:rPr>
          <w:rFonts w:hint="eastAsia" w:cs="宋体"/>
          <w:spacing w:val="-3"/>
          <w:sz w:val="21"/>
          <w:szCs w:val="21"/>
          <w:lang w:eastAsia="zh-CN"/>
        </w:rPr>
        <w:t>”</w:t>
      </w:r>
      <w:r>
        <w:rPr>
          <w:rFonts w:hint="eastAsia" w:cs="宋体"/>
          <w:spacing w:val="-3"/>
          <w:sz w:val="21"/>
          <w:szCs w:val="21"/>
          <w:lang w:val="en-US" w:eastAsia="zh-CN"/>
        </w:rPr>
        <w:t>）</w:t>
      </w:r>
      <w:r>
        <w:rPr>
          <w:rFonts w:hint="eastAsia" w:ascii="宋体" w:hAnsi="宋体" w:eastAsia="宋体" w:cs="宋体"/>
          <w:sz w:val="21"/>
          <w:szCs w:val="21"/>
        </w:rPr>
        <w:t>于</w:t>
      </w:r>
      <w:r>
        <w:rPr>
          <w:rFonts w:hint="eastAsia" w:cs="宋体"/>
          <w:sz w:val="21"/>
          <w:szCs w:val="21"/>
          <w:u w:val="single"/>
          <w:lang w:val="en-US" w:eastAsia="zh-CN"/>
        </w:rPr>
        <w:t xml:space="preserve">    </w:t>
      </w:r>
      <w:r>
        <w:rPr>
          <w:rFonts w:hint="eastAsia" w:cs="宋体"/>
          <w:sz w:val="21"/>
          <w:szCs w:val="21"/>
          <w:u w:val="none"/>
          <w:lang w:val="en-US" w:eastAsia="zh-CN"/>
        </w:rPr>
        <w:t>年</w:t>
      </w:r>
      <w:r>
        <w:rPr>
          <w:rFonts w:hint="eastAsia" w:cs="宋体"/>
          <w:sz w:val="21"/>
          <w:szCs w:val="21"/>
          <w:u w:val="single"/>
          <w:lang w:val="en-US" w:eastAsia="zh-CN"/>
        </w:rPr>
        <w:t xml:space="preserve">   </w:t>
      </w:r>
      <w:r>
        <w:rPr>
          <w:rFonts w:hint="eastAsia" w:cs="宋体"/>
          <w:sz w:val="21"/>
          <w:szCs w:val="21"/>
          <w:u w:val="none"/>
          <w:lang w:val="en-US" w:eastAsia="zh-CN"/>
        </w:rPr>
        <w:t>月</w:t>
      </w:r>
      <w:r>
        <w:rPr>
          <w:rFonts w:hint="eastAsia" w:cs="宋体"/>
          <w:sz w:val="21"/>
          <w:szCs w:val="21"/>
          <w:u w:val="single"/>
          <w:lang w:val="en-US" w:eastAsia="zh-CN"/>
        </w:rPr>
        <w:t xml:space="preserve">   </w:t>
      </w:r>
      <w:r>
        <w:rPr>
          <w:rFonts w:hint="eastAsia" w:cs="宋体"/>
          <w:sz w:val="21"/>
          <w:szCs w:val="21"/>
          <w:u w:val="none"/>
          <w:lang w:val="en-US" w:eastAsia="zh-CN"/>
        </w:rPr>
        <w:t>日参加</w:t>
      </w:r>
      <w:r>
        <w:rPr>
          <w:rFonts w:hint="eastAsia" w:cs="宋体"/>
          <w:sz w:val="21"/>
          <w:szCs w:val="21"/>
          <w:u w:val="single"/>
          <w:lang w:val="en-US" w:eastAsia="zh-CN"/>
        </w:rPr>
        <w:t xml:space="preserve">             （项目名称）</w:t>
      </w:r>
      <w:r>
        <w:rPr>
          <w:rFonts w:hint="eastAsia" w:cs="宋体"/>
          <w:sz w:val="21"/>
          <w:szCs w:val="21"/>
          <w:u w:val="none"/>
          <w:lang w:val="en-US" w:eastAsia="zh-CN"/>
        </w:rPr>
        <w:t>设备采购招标项目的投标。我方愿意无条件地、不可撤销地就卖方履行与你方订立的合同，向你方提供担保。</w:t>
      </w:r>
    </w:p>
    <w:p w14:paraId="045B8A77">
      <w:pPr>
        <w:pStyle w:val="330"/>
        <w:keepNext w:val="0"/>
        <w:keepLines w:val="0"/>
        <w:pageBreakBefore w:val="0"/>
        <w:widowControl w:val="0"/>
        <w:numPr>
          <w:ilvl w:val="0"/>
          <w:numId w:val="0"/>
        </w:numPr>
        <w:tabs>
          <w:tab w:val="left" w:pos="785"/>
          <w:tab w:val="left" w:pos="4564"/>
          <w:tab w:val="left" w:pos="6559"/>
        </w:tabs>
        <w:kinsoku/>
        <w:wordWrap/>
        <w:overflowPunct/>
        <w:topLinePunct w:val="0"/>
        <w:autoSpaceDE w:val="0"/>
        <w:autoSpaceDN w:val="0"/>
        <w:bidi w:val="0"/>
        <w:adjustRightInd/>
        <w:snapToGrid/>
        <w:spacing w:before="0" w:after="0" w:line="360" w:lineRule="auto"/>
        <w:ind w:leftChars="0" w:right="0" w:rightChars="0" w:firstLine="408" w:firstLineChars="200"/>
        <w:jc w:val="left"/>
        <w:textAlignment w:val="auto"/>
        <w:rPr>
          <w:rFonts w:hint="eastAsia" w:ascii="宋体" w:hAnsi="宋体" w:eastAsia="宋体" w:cs="宋体"/>
          <w:sz w:val="21"/>
          <w:szCs w:val="21"/>
        </w:rPr>
      </w:pPr>
      <w:r>
        <w:rPr>
          <w:rFonts w:hint="eastAsia" w:cs="宋体"/>
          <w:spacing w:val="-3"/>
          <w:sz w:val="21"/>
          <w:szCs w:val="21"/>
          <w:lang w:val="en-US" w:eastAsia="zh-CN"/>
        </w:rPr>
        <w:t>1.</w:t>
      </w:r>
      <w:r>
        <w:rPr>
          <w:rFonts w:hint="eastAsia" w:ascii="宋体" w:hAnsi="宋体" w:eastAsia="宋体" w:cs="宋体"/>
          <w:spacing w:val="-3"/>
          <w:sz w:val="21"/>
          <w:szCs w:val="21"/>
        </w:rPr>
        <w:t>担</w:t>
      </w:r>
      <w:r>
        <w:rPr>
          <w:rFonts w:hint="eastAsia" w:ascii="宋体" w:hAnsi="宋体" w:eastAsia="宋体" w:cs="宋体"/>
          <w:sz w:val="21"/>
          <w:szCs w:val="21"/>
        </w:rPr>
        <w:t>保</w:t>
      </w:r>
      <w:r>
        <w:rPr>
          <w:rFonts w:hint="eastAsia" w:ascii="宋体" w:hAnsi="宋体" w:eastAsia="宋体" w:cs="宋体"/>
          <w:spacing w:val="-3"/>
          <w:sz w:val="21"/>
          <w:szCs w:val="21"/>
        </w:rPr>
        <w:t>金</w:t>
      </w:r>
      <w:r>
        <w:rPr>
          <w:rFonts w:hint="eastAsia" w:ascii="宋体" w:hAnsi="宋体" w:eastAsia="宋体" w:cs="宋体"/>
          <w:sz w:val="21"/>
          <w:szCs w:val="21"/>
        </w:rPr>
        <w:t>额</w:t>
      </w:r>
      <w:r>
        <w:rPr>
          <w:rFonts w:hint="eastAsia" w:ascii="宋体" w:hAnsi="宋体" w:eastAsia="宋体" w:cs="宋体"/>
          <w:spacing w:val="-3"/>
          <w:sz w:val="21"/>
          <w:szCs w:val="21"/>
        </w:rPr>
        <w:t>人</w:t>
      </w:r>
      <w:r>
        <w:rPr>
          <w:rFonts w:hint="eastAsia" w:ascii="宋体" w:hAnsi="宋体" w:eastAsia="宋体" w:cs="宋体"/>
          <w:sz w:val="21"/>
          <w:szCs w:val="21"/>
        </w:rPr>
        <w:t>民</w:t>
      </w:r>
      <w:r>
        <w:rPr>
          <w:rFonts w:hint="eastAsia" w:ascii="宋体" w:hAnsi="宋体" w:eastAsia="宋体" w:cs="宋体"/>
          <w:spacing w:val="-3"/>
          <w:sz w:val="21"/>
          <w:szCs w:val="21"/>
        </w:rPr>
        <w:t>币</w:t>
      </w:r>
      <w:r>
        <w:rPr>
          <w:rFonts w:hint="eastAsia" w:ascii="宋体" w:hAnsi="宋体" w:eastAsia="宋体" w:cs="宋体"/>
          <w:sz w:val="21"/>
          <w:szCs w:val="21"/>
        </w:rPr>
        <w:t>（</w:t>
      </w:r>
      <w:r>
        <w:rPr>
          <w:rFonts w:hint="eastAsia" w:ascii="宋体" w:hAnsi="宋体" w:eastAsia="宋体" w:cs="宋体"/>
          <w:spacing w:val="-3"/>
          <w:sz w:val="21"/>
          <w:szCs w:val="21"/>
        </w:rPr>
        <w:t>大写</w:t>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r>
        <w:rPr>
          <w:rFonts w:hint="eastAsia" w:ascii="宋体" w:hAnsi="宋体" w:eastAsia="宋体" w:cs="宋体"/>
          <w:sz w:val="21"/>
          <w:szCs w:val="21"/>
          <w:u w:val="single"/>
        </w:rPr>
        <w:t xml:space="preserve"> </w:t>
      </w:r>
      <w:r>
        <w:rPr>
          <w:rFonts w:hint="eastAsia" w:ascii="宋体" w:hAnsi="宋体" w:eastAsia="宋体" w:cs="宋体"/>
          <w:sz w:val="21"/>
          <w:szCs w:val="21"/>
          <w:u w:val="single"/>
        </w:rPr>
        <w:tab/>
      </w:r>
      <w:r>
        <w:rPr>
          <w:rFonts w:hint="eastAsia" w:ascii="宋体" w:hAnsi="宋体" w:eastAsia="宋体" w:cs="宋体"/>
          <w:sz w:val="21"/>
          <w:szCs w:val="21"/>
        </w:rPr>
        <w:t>。</w:t>
      </w:r>
    </w:p>
    <w:p w14:paraId="1FCDF7AE">
      <w:pPr>
        <w:pStyle w:val="330"/>
        <w:keepNext w:val="0"/>
        <w:keepLines w:val="0"/>
        <w:pageBreakBefore w:val="0"/>
        <w:widowControl w:val="0"/>
        <w:numPr>
          <w:ilvl w:val="0"/>
          <w:numId w:val="0"/>
        </w:numPr>
        <w:tabs>
          <w:tab w:val="left" w:pos="790"/>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z w:val="21"/>
          <w:szCs w:val="21"/>
        </w:rPr>
      </w:pPr>
      <w:r>
        <w:rPr>
          <w:rFonts w:hint="eastAsia" w:cs="宋体"/>
          <w:sz w:val="21"/>
          <w:szCs w:val="21"/>
          <w:lang w:val="en-US" w:eastAsia="zh-CN"/>
        </w:rPr>
        <w:t>2.</w:t>
      </w:r>
      <w:r>
        <w:rPr>
          <w:rFonts w:hint="eastAsia" w:ascii="宋体" w:hAnsi="宋体" w:eastAsia="宋体" w:cs="宋体"/>
          <w:spacing w:val="0"/>
          <w:sz w:val="21"/>
          <w:szCs w:val="21"/>
        </w:rPr>
        <w:t>担保有效期自买方与卖方签订的合同生效之日起至合同设备验收证书或验收款支付函签署之日起28日后失效。</w:t>
      </w:r>
    </w:p>
    <w:p w14:paraId="3E03F003">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3.</w:t>
      </w:r>
      <w:r>
        <w:rPr>
          <w:rFonts w:hint="eastAsia" w:ascii="宋体" w:hAnsi="宋体" w:eastAsia="宋体" w:cs="宋体"/>
          <w:spacing w:val="0"/>
          <w:sz w:val="21"/>
          <w:szCs w:val="21"/>
        </w:rPr>
        <w:t>在本担保有效期内，如果卖方不履行合同约定的义务或其履行不符合合同的约定，我方在收到你方以书面形式提出的在担保金额内的赔偿要求后，在7日内无条件支付。</w:t>
      </w:r>
    </w:p>
    <w:p w14:paraId="2267FD33">
      <w:pPr>
        <w:pStyle w:val="330"/>
        <w:keepNext w:val="0"/>
        <w:keepLines w:val="0"/>
        <w:pageBreakBefore w:val="0"/>
        <w:widowControl w:val="0"/>
        <w:numPr>
          <w:ilvl w:val="0"/>
          <w:numId w:val="0"/>
        </w:numPr>
        <w:tabs>
          <w:tab w:val="left" w:pos="785"/>
        </w:tabs>
        <w:kinsoku/>
        <w:wordWrap/>
        <w:overflowPunct/>
        <w:topLinePunct w:val="0"/>
        <w:autoSpaceDE w:val="0"/>
        <w:autoSpaceDN w:val="0"/>
        <w:bidi w:val="0"/>
        <w:adjustRightInd/>
        <w:snapToGrid/>
        <w:spacing w:before="0" w:after="0" w:line="360" w:lineRule="auto"/>
        <w:ind w:leftChars="0" w:right="0" w:rightChars="0" w:firstLine="420" w:firstLineChars="200"/>
        <w:jc w:val="left"/>
        <w:textAlignment w:val="auto"/>
        <w:rPr>
          <w:rFonts w:hint="eastAsia" w:ascii="宋体" w:hAnsi="宋体" w:eastAsia="宋体" w:cs="宋体"/>
          <w:spacing w:val="0"/>
          <w:sz w:val="21"/>
          <w:szCs w:val="21"/>
        </w:rPr>
      </w:pPr>
      <w:r>
        <w:rPr>
          <w:rFonts w:hint="eastAsia" w:cs="宋体"/>
          <w:spacing w:val="0"/>
          <w:sz w:val="21"/>
          <w:szCs w:val="21"/>
          <w:lang w:val="en-US" w:eastAsia="zh-CN"/>
        </w:rPr>
        <w:t>4.</w:t>
      </w:r>
      <w:r>
        <w:rPr>
          <w:rFonts w:hint="eastAsia" w:ascii="宋体" w:hAnsi="宋体" w:eastAsia="宋体" w:cs="宋体"/>
          <w:spacing w:val="0"/>
          <w:sz w:val="21"/>
          <w:szCs w:val="21"/>
        </w:rPr>
        <w:t>买方和卖方变更合同时，无论我方是否收到该变更，我方承担本担保规定的义务不变。</w:t>
      </w:r>
    </w:p>
    <w:p w14:paraId="21C6DA0C">
      <w:pPr>
        <w:pStyle w:val="17"/>
        <w:rPr>
          <w:sz w:val="22"/>
        </w:rPr>
      </w:pPr>
    </w:p>
    <w:p w14:paraId="2258A2D3">
      <w:pPr>
        <w:pStyle w:val="17"/>
        <w:spacing w:before="10"/>
        <w:rPr>
          <w:sz w:val="32"/>
        </w:rPr>
      </w:pPr>
    </w:p>
    <w:p w14:paraId="728A8DD4">
      <w:pPr>
        <w:pStyle w:val="17"/>
        <w:keepNext w:val="0"/>
        <w:keepLines w:val="0"/>
        <w:pageBreakBefore w:val="0"/>
        <w:widowControl w:val="0"/>
        <w:tabs>
          <w:tab w:val="left" w:pos="7589"/>
        </w:tabs>
        <w:kinsoku/>
        <w:wordWrap/>
        <w:overflowPunct/>
        <w:topLinePunct w:val="0"/>
        <w:autoSpaceDE w:val="0"/>
        <w:autoSpaceDN w:val="0"/>
        <w:bidi w:val="0"/>
        <w:adjustRightInd/>
        <w:snapToGrid/>
        <w:spacing w:before="0" w:line="360" w:lineRule="auto"/>
        <w:ind w:left="0"/>
        <w:jc w:val="right"/>
        <w:textAlignment w:val="auto"/>
        <w:rPr>
          <w:sz w:val="22"/>
        </w:rPr>
      </w:pPr>
      <w:r>
        <w:t>担保</w:t>
      </w:r>
      <w:r>
        <w:rPr>
          <w:spacing w:val="-3"/>
        </w:rPr>
        <w:t>人</w:t>
      </w:r>
      <w:r>
        <w:t>名称</w:t>
      </w:r>
      <w:r>
        <w:rPr>
          <w:spacing w:val="0"/>
        </w:rPr>
        <w:t xml:space="preserve"> </w:t>
      </w:r>
      <w:r>
        <w:t>：</w:t>
      </w:r>
      <w:r>
        <w:rPr>
          <w:rFonts w:hint="eastAsia"/>
          <w:u w:val="single"/>
          <w:lang w:val="en-US" w:eastAsia="zh-CN"/>
        </w:rPr>
        <w:t xml:space="preserve">                           </w:t>
      </w:r>
      <w:r>
        <w:rPr>
          <w:u w:val="none"/>
        </w:rPr>
        <w:t>（</w:t>
      </w:r>
      <w:r>
        <w:rPr>
          <w:spacing w:val="-3"/>
        </w:rPr>
        <w:t>盖</w:t>
      </w:r>
      <w:r>
        <w:t>单</w:t>
      </w:r>
      <w:r>
        <w:rPr>
          <w:spacing w:val="-3"/>
        </w:rPr>
        <w:t>位章</w:t>
      </w:r>
      <w:r>
        <w:t>）</w:t>
      </w:r>
    </w:p>
    <w:p w14:paraId="1D4087B2">
      <w:pPr>
        <w:pStyle w:val="17"/>
        <w:keepNext w:val="0"/>
        <w:keepLines w:val="0"/>
        <w:pageBreakBefore w:val="0"/>
        <w:widowControl w:val="0"/>
        <w:tabs>
          <w:tab w:val="left" w:pos="7906"/>
        </w:tabs>
        <w:kinsoku/>
        <w:wordWrap/>
        <w:overflowPunct/>
        <w:topLinePunct w:val="0"/>
        <w:autoSpaceDE w:val="0"/>
        <w:autoSpaceDN w:val="0"/>
        <w:bidi w:val="0"/>
        <w:adjustRightInd/>
        <w:snapToGrid/>
        <w:spacing w:before="0" w:line="360" w:lineRule="auto"/>
        <w:ind w:left="0"/>
        <w:jc w:val="right"/>
        <w:textAlignment w:val="auto"/>
      </w:pPr>
      <w:r>
        <w:t>法定</w:t>
      </w:r>
      <w:r>
        <w:rPr>
          <w:spacing w:val="-3"/>
        </w:rPr>
        <w:t>代</w:t>
      </w:r>
      <w:r>
        <w:t>表</w:t>
      </w:r>
      <w:r>
        <w:rPr>
          <w:spacing w:val="-48"/>
        </w:rPr>
        <w:t>人</w:t>
      </w:r>
      <w:r>
        <w:t>（</w:t>
      </w:r>
      <w:r>
        <w:rPr>
          <w:spacing w:val="-3"/>
        </w:rPr>
        <w:t>单</w:t>
      </w:r>
      <w:r>
        <w:t>位</w:t>
      </w:r>
      <w:r>
        <w:rPr>
          <w:spacing w:val="-3"/>
        </w:rPr>
        <w:t>负</w:t>
      </w:r>
      <w:r>
        <w:t>责人</w:t>
      </w:r>
      <w:r>
        <w:rPr>
          <w:spacing w:val="-48"/>
        </w:rPr>
        <w:t>）</w:t>
      </w:r>
      <w:r>
        <w:t>或其</w:t>
      </w:r>
      <w:r>
        <w:rPr>
          <w:spacing w:val="-3"/>
        </w:rPr>
        <w:t>委</w:t>
      </w:r>
      <w:r>
        <w:t>托</w:t>
      </w:r>
      <w:r>
        <w:rPr>
          <w:spacing w:val="-3"/>
        </w:rPr>
        <w:t>代</w:t>
      </w:r>
      <w:r>
        <w:t>理</w:t>
      </w:r>
      <w:r>
        <w:rPr>
          <w:spacing w:val="-3"/>
        </w:rPr>
        <w:t>人</w:t>
      </w:r>
      <w:r>
        <w:t>：</w:t>
      </w:r>
      <w:r>
        <w:rPr>
          <w:rFonts w:hint="eastAsia"/>
          <w:u w:val="single"/>
          <w:lang w:val="en-US" w:eastAsia="zh-CN"/>
        </w:rPr>
        <w:t xml:space="preserve">       </w:t>
      </w:r>
      <w:r>
        <w:rPr>
          <w:spacing w:val="-3"/>
          <w:u w:val="none"/>
        </w:rPr>
        <w:t>（</w:t>
      </w:r>
      <w:r>
        <w:rPr>
          <w:spacing w:val="-3"/>
        </w:rPr>
        <w:t>签字）</w:t>
      </w:r>
    </w:p>
    <w:p w14:paraId="6BDBF276">
      <w:pPr>
        <w:pStyle w:val="17"/>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firstLine="4830" w:firstLineChars="2300"/>
        <w:jc w:val="both"/>
        <w:textAlignment w:val="auto"/>
        <w:rPr>
          <w:rFonts w:hint="default" w:ascii="Times New Roman" w:eastAsia="宋体"/>
          <w:sz w:val="24"/>
          <w:lang w:val="en-US" w:eastAsia="zh-CN"/>
        </w:rPr>
      </w:pPr>
      <w:r>
        <w:t>地址</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610DBFEE">
      <w:pPr>
        <w:pStyle w:val="17"/>
        <w:keepNext w:val="0"/>
        <w:keepLines w:val="0"/>
        <w:pageBreakBefore w:val="0"/>
        <w:widowControl w:val="0"/>
        <w:tabs>
          <w:tab w:val="left" w:pos="8760"/>
        </w:tabs>
        <w:kinsoku/>
        <w:wordWrap/>
        <w:overflowPunct/>
        <w:topLinePunct w:val="0"/>
        <w:autoSpaceDE w:val="0"/>
        <w:autoSpaceDN w:val="0"/>
        <w:bidi w:val="0"/>
        <w:adjustRightInd/>
        <w:snapToGrid/>
        <w:spacing w:before="0" w:line="360" w:lineRule="auto"/>
        <w:ind w:left="0" w:firstLine="4410" w:firstLineChars="2100"/>
        <w:jc w:val="both"/>
        <w:textAlignment w:val="auto"/>
        <w:rPr>
          <w:rFonts w:hint="default" w:ascii="Times New Roman" w:eastAsia="宋体"/>
          <w:sz w:val="24"/>
          <w:lang w:val="en-US" w:eastAsia="zh-CN"/>
        </w:rPr>
      </w:pPr>
      <w:r>
        <w:t>邮政</w:t>
      </w:r>
      <w:r>
        <w:rPr>
          <w:spacing w:val="-3"/>
        </w:rPr>
        <w:t>编</w:t>
      </w:r>
      <w:r>
        <w:t>码</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54A99CA2">
      <w:pPr>
        <w:pStyle w:val="17"/>
        <w:keepNext w:val="0"/>
        <w:keepLines w:val="0"/>
        <w:pageBreakBefore w:val="0"/>
        <w:widowControl w:val="0"/>
        <w:tabs>
          <w:tab w:val="left" w:pos="3043"/>
          <w:tab w:val="left" w:pos="8760"/>
        </w:tabs>
        <w:kinsoku/>
        <w:wordWrap/>
        <w:overflowPunct/>
        <w:topLinePunct w:val="0"/>
        <w:autoSpaceDE w:val="0"/>
        <w:autoSpaceDN w:val="0"/>
        <w:bidi w:val="0"/>
        <w:adjustRightInd/>
        <w:snapToGrid/>
        <w:spacing w:before="0" w:line="360" w:lineRule="auto"/>
        <w:ind w:left="0" w:firstLine="4830" w:firstLineChars="2300"/>
        <w:jc w:val="both"/>
        <w:textAlignment w:val="auto"/>
        <w:rPr>
          <w:rFonts w:hint="default" w:ascii="Times New Roman" w:eastAsia="宋体"/>
          <w:sz w:val="25"/>
          <w:lang w:val="en-US" w:eastAsia="zh-CN"/>
        </w:rPr>
      </w:pPr>
      <w:r>
        <w:t>电话</w:t>
      </w:r>
      <w:r>
        <w:rPr>
          <w:spacing w:val="-3"/>
        </w:rPr>
        <w:t>：</w:t>
      </w:r>
      <w:r>
        <w:rPr>
          <w:rFonts w:ascii="Times New Roman" w:eastAsia="Times New Roman"/>
          <w:u w:val="single"/>
        </w:rPr>
        <w:t xml:space="preserve"> </w:t>
      </w:r>
      <w:r>
        <w:rPr>
          <w:rFonts w:hint="eastAsia" w:ascii="Times New Roman"/>
          <w:u w:val="single"/>
          <w:lang w:val="en-US" w:eastAsia="zh-CN"/>
        </w:rPr>
        <w:t xml:space="preserve">                                     </w:t>
      </w:r>
    </w:p>
    <w:p w14:paraId="1F98B34E">
      <w:pPr>
        <w:widowControl/>
        <w:spacing w:line="360" w:lineRule="auto"/>
        <w:ind w:firstLine="6510" w:firstLineChars="3100"/>
        <w:jc w:val="left"/>
        <w:rPr>
          <w:rFonts w:ascii="宋体" w:hAnsi="宋体"/>
          <w:szCs w:val="21"/>
          <w:u w:val="single"/>
        </w:rPr>
      </w:pPr>
      <w:r>
        <w:rPr>
          <w:rFonts w:ascii="Times New Roman" w:eastAsia="Times New Roman"/>
          <w:w w:val="100"/>
          <w:u w:val="single"/>
        </w:rPr>
        <w:t xml:space="preserve"> </w:t>
      </w:r>
      <w:r>
        <w:rPr>
          <w:rFonts w:hint="eastAsia" w:ascii="Times New Roman"/>
          <w:u w:val="single"/>
          <w:lang w:val="en-US" w:eastAsia="zh-CN"/>
        </w:rPr>
        <w:t xml:space="preserve">       </w:t>
      </w:r>
      <w:r>
        <w:t>年</w:t>
      </w:r>
      <w:r>
        <w:rPr>
          <w:u w:val="single"/>
        </w:rPr>
        <w:t xml:space="preserve"> </w:t>
      </w:r>
      <w:r>
        <w:rPr>
          <w:rFonts w:hint="eastAsia"/>
          <w:u w:val="single"/>
          <w:lang w:val="en-US" w:eastAsia="zh-CN"/>
        </w:rPr>
        <w:t xml:space="preserve">      </w:t>
      </w:r>
      <w:r>
        <w:rPr>
          <w:spacing w:val="-3"/>
        </w:rPr>
        <w:t>月</w:t>
      </w:r>
      <w:r>
        <w:rPr>
          <w:spacing w:val="-3"/>
          <w:u w:val="single"/>
        </w:rPr>
        <w:t xml:space="preserve"> </w:t>
      </w:r>
      <w:r>
        <w:rPr>
          <w:rFonts w:hint="eastAsia"/>
          <w:spacing w:val="-3"/>
          <w:u w:val="single"/>
          <w:lang w:val="en-US" w:eastAsia="zh-CN"/>
        </w:rPr>
        <w:t xml:space="preserve">      </w:t>
      </w:r>
      <w:r>
        <w:t>日</w:t>
      </w:r>
      <w:r>
        <w:rPr>
          <w:rFonts w:hint="eastAsia" w:ascii="宋体" w:hAnsi="宋体"/>
          <w:szCs w:val="21"/>
        </w:rPr>
        <w:br w:type="page"/>
      </w:r>
    </w:p>
    <w:p w14:paraId="7DE1C77D">
      <w:pPr>
        <w:widowControl/>
        <w:spacing w:line="360" w:lineRule="auto"/>
        <w:ind w:firstLine="6510" w:firstLineChars="3100"/>
        <w:jc w:val="left"/>
        <w:rPr>
          <w:rFonts w:ascii="宋体" w:hAnsi="宋体"/>
          <w:szCs w:val="21"/>
          <w:u w:val="single"/>
        </w:rPr>
      </w:pPr>
      <w:bookmarkStart w:id="908" w:name="_Toc2859385"/>
    </w:p>
    <w:bookmarkEnd w:id="616"/>
    <w:bookmarkEnd w:id="617"/>
    <w:bookmarkEnd w:id="908"/>
    <w:p w14:paraId="790D0106">
      <w:pPr>
        <w:ind w:right="561"/>
        <w:rPr>
          <w:rFonts w:ascii="宋体" w:hAnsi="宋体"/>
          <w:szCs w:val="21"/>
        </w:rPr>
      </w:pPr>
      <w:bookmarkStart w:id="909" w:name="招标文件05章工程量清单"/>
      <w:bookmarkEnd w:id="909"/>
    </w:p>
    <w:p w14:paraId="51A32997">
      <w:pPr>
        <w:pStyle w:val="2"/>
        <w:spacing w:line="360" w:lineRule="auto"/>
        <w:jc w:val="center"/>
        <w:rPr>
          <w:rFonts w:ascii="宋体" w:hAnsi="宋体"/>
        </w:rPr>
      </w:pPr>
      <w:bookmarkStart w:id="910" w:name="招标文件06章图纸"/>
      <w:bookmarkEnd w:id="910"/>
      <w:bookmarkStart w:id="911" w:name="_Toc287607861"/>
      <w:bookmarkStart w:id="912" w:name="_Toc287620803"/>
      <w:bookmarkStart w:id="913" w:name="_Toc430530519"/>
      <w:bookmarkStart w:id="914" w:name="_Toc534185825"/>
      <w:bookmarkStart w:id="915" w:name="_Toc509218846"/>
      <w:bookmarkStart w:id="916" w:name="_Toc8160"/>
      <w:r>
        <w:rPr>
          <w:rFonts w:hint="eastAsia" w:ascii="宋体" w:hAnsi="宋体"/>
        </w:rPr>
        <w:t xml:space="preserve">第五章  </w:t>
      </w:r>
      <w:bookmarkEnd w:id="911"/>
      <w:bookmarkEnd w:id="912"/>
      <w:bookmarkEnd w:id="913"/>
      <w:bookmarkEnd w:id="914"/>
      <w:bookmarkEnd w:id="915"/>
      <w:r>
        <w:rPr>
          <w:rFonts w:hint="eastAsia" w:ascii="宋体" w:hAnsi="宋体"/>
        </w:rPr>
        <w:t>供货要求</w:t>
      </w:r>
      <w:bookmarkEnd w:id="916"/>
    </w:p>
    <w:p w14:paraId="0123F063">
      <w:pPr>
        <w:spacing w:line="360" w:lineRule="auto"/>
        <w:rPr>
          <w:rFonts w:ascii="宋体" w:hAnsi="宋体"/>
          <w:szCs w:val="20"/>
        </w:rPr>
      </w:pPr>
    </w:p>
    <w:p w14:paraId="0278D1C5">
      <w:pPr>
        <w:widowControl/>
        <w:jc w:val="left"/>
        <w:rPr>
          <w:rFonts w:ascii="宋体" w:hAnsi="宋体"/>
          <w:szCs w:val="20"/>
        </w:rPr>
      </w:pPr>
      <w:bookmarkStart w:id="917" w:name="招标文件06章图纸01"/>
      <w:bookmarkEnd w:id="917"/>
      <w:bookmarkStart w:id="918" w:name="_Toc287620804"/>
      <w:bookmarkStart w:id="919" w:name="_Toc430530520"/>
      <w:r>
        <w:rPr>
          <w:rFonts w:ascii="宋体" w:hAnsi="宋体"/>
          <w:szCs w:val="20"/>
        </w:rPr>
        <w:br w:type="page"/>
      </w:r>
    </w:p>
    <w:p w14:paraId="2D483A3B">
      <w:pPr>
        <w:autoSpaceDE w:val="0"/>
        <w:autoSpaceDN w:val="0"/>
        <w:adjustRightInd w:val="0"/>
        <w:spacing w:before="7" w:line="100" w:lineRule="exact"/>
        <w:jc w:val="left"/>
        <w:rPr>
          <w:rFonts w:ascii="微软雅黑" w:eastAsia="微软雅黑" w:cs="微软雅黑"/>
          <w:kern w:val="0"/>
          <w:sz w:val="10"/>
          <w:szCs w:val="10"/>
        </w:rPr>
      </w:pPr>
    </w:p>
    <w:bookmarkEnd w:id="918"/>
    <w:bookmarkEnd w:id="919"/>
    <w:p w14:paraId="04A70AAB">
      <w:pPr>
        <w:pStyle w:val="4"/>
        <w:rPr>
          <w:szCs w:val="28"/>
        </w:rPr>
      </w:pPr>
      <w:bookmarkStart w:id="920" w:name="_Toc20607"/>
      <w:bookmarkStart w:id="921" w:name="_Toc32242"/>
      <w:bookmarkStart w:id="922" w:name="_Toc13122"/>
      <w:bookmarkStart w:id="923" w:name="_Toc13810"/>
      <w:bookmarkStart w:id="924" w:name="_Toc32322"/>
      <w:bookmarkStart w:id="925" w:name="_Toc20777"/>
      <w:r>
        <w:rPr>
          <w:rFonts w:hint="eastAsia"/>
          <w:szCs w:val="28"/>
        </w:rPr>
        <w:t>一、项目概况及总体要求</w:t>
      </w:r>
      <w:bookmarkEnd w:id="920"/>
      <w:bookmarkEnd w:id="921"/>
      <w:bookmarkEnd w:id="922"/>
      <w:bookmarkEnd w:id="923"/>
      <w:bookmarkEnd w:id="924"/>
      <w:bookmarkEnd w:id="925"/>
    </w:p>
    <w:p w14:paraId="1F7642B8">
      <w:pPr>
        <w:autoSpaceDE w:val="0"/>
        <w:autoSpaceDN w:val="0"/>
        <w:adjustRightInd w:val="0"/>
        <w:spacing w:before="9" w:line="110" w:lineRule="exact"/>
        <w:jc w:val="left"/>
        <w:rPr>
          <w:rFonts w:ascii="微软雅黑" w:eastAsia="微软雅黑" w:cs="微软雅黑"/>
          <w:kern w:val="0"/>
          <w:sz w:val="11"/>
          <w:szCs w:val="11"/>
        </w:rPr>
      </w:pPr>
    </w:p>
    <w:p w14:paraId="444DF9AB">
      <w:pPr>
        <w:pStyle w:val="6"/>
        <w:bidi w:val="0"/>
        <w:rPr>
          <w:rFonts w:hint="eastAsia"/>
        </w:rPr>
      </w:pPr>
      <w:r>
        <w:rPr>
          <w:rFonts w:hint="eastAsia"/>
          <w:lang w:val="en-US" w:eastAsia="zh-CN"/>
        </w:rPr>
        <w:t>1</w:t>
      </w:r>
      <w:r>
        <w:rPr>
          <w:rFonts w:hint="eastAsia"/>
          <w:lang w:eastAsia="zh-CN"/>
        </w:rPr>
        <w:t>、</w:t>
      </w:r>
      <w:r>
        <w:rPr>
          <w:rFonts w:hint="eastAsia"/>
        </w:rPr>
        <w:t>项目概况</w:t>
      </w:r>
    </w:p>
    <w:p w14:paraId="7C77A6BD">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项目名称：</w:t>
      </w:r>
      <w:r>
        <w:rPr>
          <w:rFonts w:hint="eastAsia" w:ascii="宋体" w:hAnsi="宋体" w:cs="宋体"/>
          <w:caps w:val="0"/>
          <w:smallCaps w:val="0"/>
          <w:color w:val="auto"/>
          <w:sz w:val="21"/>
          <w:szCs w:val="21"/>
          <w:highlight w:val="none"/>
          <w:lang w:eastAsia="zh-CN"/>
        </w:rPr>
        <w:t>乌江涪陵榨菜绿色智能化生产基地（一期）5#车间原料清洁化加工非标设备采购及安装</w:t>
      </w:r>
      <w:r>
        <w:rPr>
          <w:rFonts w:hint="eastAsia" w:ascii="宋体" w:hAnsi="宋体" w:eastAsia="宋体" w:cs="宋体"/>
          <w:caps w:val="0"/>
          <w:smallCaps w:val="0"/>
          <w:color w:val="auto"/>
          <w:sz w:val="21"/>
          <w:szCs w:val="21"/>
          <w:highlight w:val="none"/>
        </w:rPr>
        <w:t>。</w:t>
      </w:r>
    </w:p>
    <w:p w14:paraId="1A675BC6">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建设单位：重庆市涪陵榨菜集团股份有限公司。</w:t>
      </w:r>
    </w:p>
    <w:p w14:paraId="6797BAB5">
      <w:pPr>
        <w:keepNext w:val="0"/>
        <w:keepLines w:val="0"/>
        <w:pageBreakBefore w:val="0"/>
        <w:kinsoku/>
        <w:wordWrap/>
        <w:overflowPunct/>
        <w:topLinePunct w:val="0"/>
        <w:bidi w:val="0"/>
        <w:spacing w:line="360" w:lineRule="auto"/>
        <w:ind w:firstLine="420" w:firstLineChars="200"/>
        <w:rPr>
          <w:rFonts w:hint="eastAsia" w:ascii="宋体" w:hAnsi="宋体" w:cs="宋体"/>
          <w:caps w:val="0"/>
          <w:smallCaps w:val="0"/>
          <w:color w:val="auto"/>
          <w:sz w:val="21"/>
          <w:szCs w:val="21"/>
          <w:highlight w:val="none"/>
          <w:lang w:eastAsia="zh-CN"/>
        </w:rPr>
      </w:pPr>
      <w:r>
        <w:rPr>
          <w:rFonts w:hint="eastAsia" w:ascii="宋体" w:hAnsi="宋体" w:eastAsia="宋体" w:cs="宋体"/>
          <w:caps w:val="0"/>
          <w:smallCaps w:val="0"/>
          <w:color w:val="auto"/>
          <w:sz w:val="21"/>
          <w:szCs w:val="21"/>
          <w:highlight w:val="none"/>
        </w:rPr>
        <w:t>项目地址：重庆市涪陵区马鞍街道</w:t>
      </w:r>
      <w:r>
        <w:rPr>
          <w:rFonts w:hint="eastAsia" w:ascii="宋体" w:hAnsi="宋体" w:cs="宋体"/>
          <w:caps w:val="0"/>
          <w:smallCaps w:val="0"/>
          <w:color w:val="auto"/>
          <w:sz w:val="21"/>
          <w:szCs w:val="21"/>
          <w:highlight w:val="none"/>
          <w:lang w:eastAsia="zh-CN"/>
        </w:rPr>
        <w:t>人和社区。</w:t>
      </w:r>
    </w:p>
    <w:p w14:paraId="359482C7">
      <w:pPr>
        <w:keepNext w:val="0"/>
        <w:keepLines w:val="0"/>
        <w:pageBreakBefore w:val="0"/>
        <w:kinsoku/>
        <w:wordWrap/>
        <w:overflowPunct/>
        <w:topLinePunct w:val="0"/>
        <w:bidi w:val="0"/>
        <w:spacing w:line="360" w:lineRule="auto"/>
        <w:ind w:firstLine="420" w:firstLineChars="200"/>
        <w:rPr>
          <w:rFonts w:hint="eastAsia" w:ascii="宋体" w:hAnsi="宋体" w:cs="宋体"/>
          <w:caps w:val="0"/>
          <w:smallCaps w:val="0"/>
          <w:color w:val="auto"/>
          <w:sz w:val="21"/>
          <w:szCs w:val="21"/>
          <w:highlight w:val="none"/>
          <w:lang w:eastAsia="zh-CN"/>
        </w:rPr>
      </w:pPr>
      <w:r>
        <w:rPr>
          <w:rFonts w:hint="eastAsia" w:ascii="宋体" w:hAnsi="宋体" w:cs="宋体"/>
          <w:caps w:val="0"/>
          <w:smallCaps w:val="0"/>
          <w:color w:val="auto"/>
          <w:sz w:val="21"/>
          <w:szCs w:val="21"/>
          <w:highlight w:val="none"/>
          <w:lang w:eastAsia="zh-CN"/>
        </w:rPr>
        <w:t>项目规模：</w:t>
      </w:r>
      <w:r>
        <w:rPr>
          <w:rFonts w:hint="eastAsia" w:ascii="宋体" w:hAnsi="宋体" w:cs="宋体"/>
          <w:caps w:val="0"/>
          <w:smallCaps w:val="0"/>
          <w:color w:val="auto"/>
          <w:sz w:val="21"/>
          <w:szCs w:val="21"/>
          <w:highlight w:val="none"/>
          <w:lang w:val="en-US" w:eastAsia="zh-CN"/>
        </w:rPr>
        <w:t>5#车间338个窖池，容量约4万立方米。青菜头通过</w:t>
      </w:r>
      <w:r>
        <w:rPr>
          <w:rFonts w:hint="eastAsia" w:ascii="宋体" w:hAnsi="宋体" w:cs="宋体"/>
          <w:caps w:val="0"/>
          <w:smallCaps w:val="0"/>
          <w:color w:val="auto"/>
          <w:sz w:val="21"/>
          <w:szCs w:val="21"/>
          <w:highlight w:val="none"/>
          <w:lang w:eastAsia="zh-CN"/>
        </w:rPr>
        <w:t>原料清洁化加工非标设备</w:t>
      </w:r>
      <w:r>
        <w:rPr>
          <w:rFonts w:hint="eastAsia" w:ascii="宋体" w:hAnsi="宋体" w:cs="宋体"/>
          <w:caps w:val="0"/>
          <w:smallCaps w:val="0"/>
          <w:color w:val="auto"/>
          <w:sz w:val="21"/>
          <w:szCs w:val="21"/>
          <w:highlight w:val="none"/>
          <w:lang w:val="en-US" w:eastAsia="zh-CN"/>
        </w:rPr>
        <w:t>清洗筛分后输送入车间，再用电动自卸货车转运入池腌制。窖池腌制封池采用水袋模式。本车间榨菜原料（青菜头）收购加工能力为150t/h，菜原料（盐菜块）收购加工能力为120t/h。设备须满足连续不停机运行要求</w:t>
      </w:r>
      <w:r>
        <w:rPr>
          <w:rFonts w:hint="eastAsia" w:ascii="宋体" w:hAnsi="宋体" w:cs="宋体"/>
          <w:caps w:val="0"/>
          <w:smallCaps w:val="0"/>
          <w:color w:val="auto"/>
          <w:sz w:val="21"/>
          <w:szCs w:val="21"/>
          <w:highlight w:val="none"/>
          <w:lang w:eastAsia="zh-CN"/>
        </w:rPr>
        <w:t>。</w:t>
      </w:r>
    </w:p>
    <w:p w14:paraId="2079E5F8">
      <w:pPr>
        <w:keepNext w:val="0"/>
        <w:keepLines w:val="0"/>
        <w:pageBreakBefore w:val="0"/>
        <w:kinsoku/>
        <w:wordWrap/>
        <w:overflowPunct/>
        <w:topLinePunct w:val="0"/>
        <w:bidi w:val="0"/>
        <w:spacing w:line="360" w:lineRule="auto"/>
        <w:ind w:firstLine="420" w:firstLineChars="200"/>
        <w:rPr>
          <w:rFonts w:hint="eastAsia" w:ascii="宋体" w:hAnsi="宋体" w:cs="宋体"/>
          <w:caps w:val="0"/>
          <w:smallCaps w:val="0"/>
          <w:color w:val="auto"/>
          <w:sz w:val="21"/>
          <w:szCs w:val="21"/>
          <w:highlight w:val="none"/>
          <w:lang w:eastAsia="zh-CN"/>
        </w:rPr>
      </w:pPr>
      <w:r>
        <w:rPr>
          <w:rFonts w:hint="eastAsia" w:ascii="宋体" w:hAnsi="宋体" w:cs="宋体"/>
          <w:caps w:val="0"/>
          <w:smallCaps w:val="0"/>
          <w:color w:val="auto"/>
          <w:sz w:val="21"/>
          <w:szCs w:val="21"/>
          <w:highlight w:val="none"/>
          <w:lang w:eastAsia="zh-CN"/>
        </w:rPr>
        <w:t>项目工期：</w:t>
      </w:r>
      <w:r>
        <w:rPr>
          <w:rFonts w:hint="eastAsia" w:ascii="宋体" w:hAnsi="宋体" w:cs="宋体"/>
          <w:caps w:val="0"/>
          <w:smallCaps w:val="0"/>
          <w:color w:val="auto"/>
          <w:sz w:val="21"/>
          <w:szCs w:val="21"/>
          <w:highlight w:val="none"/>
          <w:lang w:val="en-US" w:eastAsia="zh-CN"/>
        </w:rPr>
        <w:t>总工期160日历天，含设备安装调试工期40日历天</w:t>
      </w:r>
      <w:r>
        <w:rPr>
          <w:rFonts w:hint="eastAsia" w:ascii="宋体" w:hAnsi="宋体" w:cs="宋体"/>
          <w:caps w:val="0"/>
          <w:smallCaps w:val="0"/>
          <w:color w:val="auto"/>
          <w:sz w:val="21"/>
          <w:szCs w:val="21"/>
          <w:highlight w:val="none"/>
          <w:lang w:eastAsia="zh-CN"/>
        </w:rPr>
        <w:t>。</w:t>
      </w:r>
    </w:p>
    <w:p w14:paraId="78F46026">
      <w:pPr>
        <w:pStyle w:val="6"/>
        <w:bidi w:val="0"/>
        <w:rPr>
          <w:rFonts w:hint="eastAsia"/>
        </w:rPr>
      </w:pPr>
      <w:r>
        <w:rPr>
          <w:rFonts w:hint="eastAsia"/>
          <w:lang w:val="en-US" w:eastAsia="zh-CN"/>
        </w:rPr>
        <w:t>2、</w:t>
      </w:r>
      <w:r>
        <w:rPr>
          <w:rFonts w:hint="eastAsia"/>
        </w:rPr>
        <w:t>主要工作内容及实施范围</w:t>
      </w:r>
    </w:p>
    <w:p w14:paraId="32F5C993">
      <w:pPr>
        <w:keepNext w:val="0"/>
        <w:keepLines w:val="0"/>
        <w:pageBreakBefore w:val="0"/>
        <w:widowControl w:val="0"/>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eastAsia" w:ascii="宋体" w:hAnsi="宋体"/>
          <w:snapToGrid w:val="0"/>
          <w:color w:val="auto"/>
          <w:kern w:val="0"/>
          <w:sz w:val="21"/>
          <w:szCs w:val="21"/>
          <w:highlight w:val="none"/>
          <w:u w:val="none"/>
          <w:lang w:val="en-US" w:eastAsia="zh-CN"/>
        </w:rPr>
        <w:t>购置一套非标榨菜原料清洁化加工系统设备</w:t>
      </w:r>
      <w:r>
        <w:rPr>
          <w:rFonts w:hint="eastAsia" w:ascii="宋体" w:hAnsi="宋体"/>
          <w:snapToGrid w:val="0"/>
          <w:color w:val="auto"/>
          <w:kern w:val="0"/>
          <w:sz w:val="21"/>
          <w:szCs w:val="21"/>
          <w:highlight w:val="none"/>
          <w:u w:val="none"/>
          <w:lang w:eastAsia="zh-CN"/>
        </w:rPr>
        <w:t>及</w:t>
      </w:r>
      <w:r>
        <w:rPr>
          <w:rFonts w:hint="eastAsia" w:ascii="宋体" w:hAnsi="宋体"/>
          <w:snapToGrid w:val="0"/>
          <w:color w:val="auto"/>
          <w:kern w:val="0"/>
          <w:sz w:val="21"/>
          <w:szCs w:val="21"/>
          <w:highlight w:val="none"/>
          <w:u w:val="none"/>
          <w:lang w:val="en-US" w:eastAsia="zh-CN"/>
        </w:rPr>
        <w:t>其配套设备</w:t>
      </w:r>
      <w:r>
        <w:rPr>
          <w:rFonts w:hint="eastAsia" w:ascii="宋体" w:hAnsi="宋体"/>
          <w:snapToGrid w:val="0"/>
          <w:color w:val="auto"/>
          <w:kern w:val="0"/>
          <w:sz w:val="21"/>
          <w:szCs w:val="21"/>
          <w:highlight w:val="none"/>
          <w:u w:val="none"/>
          <w:lang w:eastAsia="zh-CN"/>
        </w:rPr>
        <w:t>，</w:t>
      </w:r>
      <w:r>
        <w:rPr>
          <w:rFonts w:hint="eastAsia" w:ascii="宋体" w:hAnsi="宋体"/>
          <w:snapToGrid w:val="0"/>
          <w:color w:val="auto"/>
          <w:kern w:val="0"/>
          <w:sz w:val="21"/>
          <w:szCs w:val="21"/>
          <w:highlight w:val="none"/>
          <w:u w:val="none"/>
          <w:lang w:val="en-US" w:eastAsia="zh-CN"/>
        </w:rPr>
        <w:t>实现青菜头的清洁化收购与加工，具体包括但不限于以下内容：</w:t>
      </w:r>
    </w:p>
    <w:p w14:paraId="453E0977">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（15）</w:t>
      </w:r>
      <w:r>
        <w:rPr>
          <w:rFonts w:hint="eastAsia" w:ascii="宋体" w:hAnsi="宋体"/>
          <w:snapToGrid w:val="0"/>
          <w:color w:val="auto"/>
          <w:kern w:val="0"/>
          <w:sz w:val="21"/>
          <w:szCs w:val="21"/>
          <w:highlight w:val="none"/>
          <w:u w:val="none"/>
          <w:lang w:val="en-US" w:eastAsia="zh-CN"/>
        </w:rPr>
        <w:t>榨菜原料清洁化加工：称重卸车、缓冲水池初清洗、筛分除渣、二次清洗、输送系统、转运车接料系统等设施设备。</w:t>
      </w:r>
    </w:p>
    <w:p w14:paraId="3218394E">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（16）</w:t>
      </w:r>
      <w:r>
        <w:rPr>
          <w:rFonts w:hint="eastAsia" w:ascii="宋体" w:hAnsi="宋体"/>
          <w:snapToGrid w:val="0"/>
          <w:color w:val="auto"/>
          <w:kern w:val="0"/>
          <w:sz w:val="21"/>
          <w:szCs w:val="21"/>
          <w:highlight w:val="none"/>
          <w:u w:val="none"/>
          <w:lang w:val="en-US" w:eastAsia="zh-CN"/>
        </w:rPr>
        <w:t>辅助设备：封池水袋、叉车。</w:t>
      </w:r>
    </w:p>
    <w:p w14:paraId="648DFEB8">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（17）</w:t>
      </w:r>
      <w:r>
        <w:rPr>
          <w:rFonts w:hint="eastAsia" w:ascii="宋体" w:hAnsi="宋体"/>
          <w:snapToGrid w:val="0"/>
          <w:color w:val="auto"/>
          <w:kern w:val="0"/>
          <w:sz w:val="21"/>
          <w:szCs w:val="21"/>
          <w:highlight w:val="none"/>
          <w:u w:val="none"/>
          <w:lang w:val="en-US" w:eastAsia="zh-CN"/>
        </w:rPr>
        <w:t>视频监控系统：设备区域全覆盖。</w:t>
      </w:r>
    </w:p>
    <w:p w14:paraId="4D94CA43">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default"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（18）</w:t>
      </w:r>
      <w:r>
        <w:rPr>
          <w:rFonts w:hint="eastAsia" w:ascii="宋体" w:hAnsi="宋体"/>
          <w:snapToGrid w:val="0"/>
          <w:color w:val="auto"/>
          <w:kern w:val="0"/>
          <w:sz w:val="21"/>
          <w:szCs w:val="21"/>
          <w:highlight w:val="none"/>
          <w:u w:val="none"/>
          <w:lang w:val="en-US" w:eastAsia="zh-CN"/>
        </w:rPr>
        <w:t>土建部分：磅房、设备基础(含水池、水渠、地坑等)、预埋件、孔洞及孔洞封堵、管沟（如有）等。</w:t>
      </w:r>
    </w:p>
    <w:p w14:paraId="1917B20C">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（19）</w:t>
      </w:r>
      <w:r>
        <w:rPr>
          <w:rFonts w:hint="eastAsia" w:ascii="宋体" w:hAnsi="宋体"/>
          <w:snapToGrid w:val="0"/>
          <w:color w:val="auto"/>
          <w:kern w:val="0"/>
          <w:sz w:val="21"/>
          <w:szCs w:val="21"/>
          <w:highlight w:val="none"/>
          <w:u w:val="none"/>
          <w:lang w:val="en-US" w:eastAsia="zh-CN"/>
        </w:rPr>
        <w:t>投标人负责项目的设计、安装、调试、</w:t>
      </w:r>
      <w:r>
        <w:rPr>
          <w:rFonts w:hint="default" w:ascii="宋体" w:hAnsi="宋体"/>
          <w:snapToGrid w:val="0"/>
          <w:color w:val="auto"/>
          <w:kern w:val="0"/>
          <w:sz w:val="21"/>
          <w:szCs w:val="21"/>
          <w:highlight w:val="none"/>
          <w:u w:val="none"/>
          <w:lang w:val="en-US" w:eastAsia="zh-CN"/>
        </w:rPr>
        <w:t>运输</w:t>
      </w:r>
      <w:r>
        <w:rPr>
          <w:rFonts w:hint="eastAsia" w:ascii="宋体" w:hAnsi="宋体"/>
          <w:snapToGrid w:val="0"/>
          <w:color w:val="auto"/>
          <w:kern w:val="0"/>
          <w:sz w:val="21"/>
          <w:szCs w:val="21"/>
          <w:highlight w:val="none"/>
          <w:u w:val="none"/>
          <w:lang w:val="en-US" w:eastAsia="zh-CN"/>
        </w:rPr>
        <w:t>（含包装、装卸、保险、二次或多次转运）、存储、人员培训、设备试运行、设备性能测试、设备验收、设备移交、竣工图移交、设备资料移交和售后服务等事项。</w:t>
      </w:r>
    </w:p>
    <w:p w14:paraId="78EA1EA3">
      <w:pPr>
        <w:keepNext w:val="0"/>
        <w:keepLines w:val="0"/>
        <w:pageBreakBefore w:val="0"/>
        <w:widowControl w:val="0"/>
        <w:numPr>
          <w:ilvl w:val="0"/>
          <w:numId w:val="0"/>
        </w:numPr>
        <w:tabs>
          <w:tab w:val="left" w:pos="3840"/>
          <w:tab w:val="left" w:pos="5300"/>
        </w:tabs>
        <w:kinsoku/>
        <w:wordWrap/>
        <w:overflowPunct/>
        <w:topLinePunct w:val="0"/>
        <w:autoSpaceDE w:val="0"/>
        <w:autoSpaceDN w:val="0"/>
        <w:bidi w:val="0"/>
        <w:adjustRightInd w:val="0"/>
        <w:snapToGrid w:val="0"/>
        <w:spacing w:line="360" w:lineRule="auto"/>
        <w:ind w:firstLine="420" w:firstLineChars="200"/>
        <w:jc w:val="left"/>
        <w:textAlignment w:val="auto"/>
        <w:rPr>
          <w:rFonts w:hint="eastAsia" w:ascii="宋体" w:hAnsi="宋体"/>
          <w:snapToGrid w:val="0"/>
          <w:color w:val="auto"/>
          <w:kern w:val="0"/>
          <w:sz w:val="21"/>
          <w:szCs w:val="21"/>
          <w:highlight w:val="none"/>
          <w:u w:val="none"/>
          <w:lang w:val="en-US" w:eastAsia="zh-CN"/>
        </w:rPr>
      </w:pPr>
      <w:r>
        <w:rPr>
          <w:rFonts w:hint="default" w:ascii="宋体" w:hAnsi="宋体" w:eastAsia="宋体" w:cs="Times New Roman"/>
          <w:i w:val="0"/>
          <w:iCs w:val="0"/>
          <w:snapToGrid w:val="0"/>
          <w:color w:val="auto"/>
          <w:kern w:val="0"/>
          <w:sz w:val="21"/>
          <w:szCs w:val="21"/>
          <w:lang w:val="en-US" w:eastAsia="zh-CN" w:bidi="ar-SA"/>
        </w:rPr>
        <w:t>（20）</w:t>
      </w:r>
      <w:r>
        <w:rPr>
          <w:rFonts w:hint="eastAsia" w:ascii="宋体" w:hAnsi="宋体"/>
          <w:snapToGrid w:val="0"/>
          <w:color w:val="auto"/>
          <w:kern w:val="0"/>
          <w:sz w:val="21"/>
          <w:szCs w:val="21"/>
          <w:highlight w:val="none"/>
          <w:u w:val="none"/>
          <w:lang w:val="en-US" w:eastAsia="zh-CN"/>
        </w:rPr>
        <w:t xml:space="preserve">投标人最终向招标人交付一个符合设计容量、关键技术参数、安全环保要求且具备稳定运行条件的完整榨菜原料清洁化加工非标设备（不含电动自卸货车），所有设备为全新未使用过的。且第五章“供货要求”未注明由招标人负责的但5#车间原料加工系统运行不可缺的设备和功能均属于投标人供货施工范围。 </w:t>
      </w:r>
    </w:p>
    <w:p w14:paraId="7DD55FBD">
      <w:pPr>
        <w:pStyle w:val="6"/>
        <w:bidi w:val="0"/>
        <w:rPr>
          <w:rFonts w:hint="eastAsia" w:ascii="宋体" w:hAnsi="宋体" w:eastAsia="宋体" w:cs="宋体"/>
          <w:caps w:val="0"/>
          <w:smallCaps w:val="0"/>
          <w:color w:val="auto"/>
          <w:sz w:val="21"/>
          <w:szCs w:val="21"/>
          <w:highlight w:val="none"/>
          <w:lang w:val="en-US" w:eastAsia="zh-CN"/>
        </w:rPr>
      </w:pPr>
      <w:r>
        <w:rPr>
          <w:rFonts w:hint="eastAsia"/>
          <w:lang w:val="en-US" w:eastAsia="zh-CN"/>
        </w:rPr>
        <w:t>3、</w:t>
      </w:r>
      <w:r>
        <w:rPr>
          <w:rFonts w:hint="eastAsia"/>
        </w:rPr>
        <w:t>工程界限</w:t>
      </w:r>
    </w:p>
    <w:p w14:paraId="16C23BC7">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1、水：</w:t>
      </w:r>
      <w:r>
        <w:rPr>
          <w:rFonts w:hint="eastAsia" w:ascii="宋体" w:hAnsi="宋体" w:eastAsia="宋体" w:cs="宋体"/>
          <w:color w:val="000000"/>
          <w:spacing w:val="-2"/>
          <w:sz w:val="21"/>
          <w:szCs w:val="21"/>
          <w:lang w:eastAsia="zh-CN"/>
        </w:rPr>
        <w:t>投标人</w:t>
      </w:r>
      <w:r>
        <w:rPr>
          <w:rFonts w:hint="eastAsia" w:ascii="宋体" w:hAnsi="宋体" w:eastAsia="宋体" w:cs="宋体"/>
          <w:color w:val="000000"/>
          <w:spacing w:val="-2"/>
          <w:sz w:val="21"/>
          <w:szCs w:val="21"/>
        </w:rPr>
        <w:t>负责</w:t>
      </w:r>
      <w:r>
        <w:rPr>
          <w:rFonts w:hint="eastAsia" w:ascii="宋体" w:hAnsi="宋体" w:eastAsia="宋体" w:cs="宋体"/>
          <w:color w:val="000000"/>
          <w:spacing w:val="-2"/>
          <w:sz w:val="21"/>
          <w:szCs w:val="21"/>
          <w:lang w:val="en-US" w:eastAsia="zh-CN"/>
        </w:rPr>
        <w:t>从招标人指定位置搭接，</w:t>
      </w:r>
      <w:r>
        <w:rPr>
          <w:rFonts w:hint="eastAsia" w:ascii="宋体" w:hAnsi="宋体" w:cs="宋体"/>
          <w:caps w:val="0"/>
          <w:smallCaps w:val="0"/>
          <w:color w:val="auto"/>
          <w:sz w:val="21"/>
          <w:szCs w:val="21"/>
          <w:highlight w:val="none"/>
          <w:lang w:val="en-US" w:eastAsia="zh-CN"/>
        </w:rPr>
        <w:t>负责</w:t>
      </w:r>
      <w:r>
        <w:rPr>
          <w:rFonts w:hint="eastAsia" w:ascii="宋体" w:hAnsi="宋体" w:eastAsia="宋体" w:cs="宋体"/>
          <w:caps w:val="0"/>
          <w:smallCaps w:val="0"/>
          <w:color w:val="auto"/>
          <w:sz w:val="21"/>
          <w:szCs w:val="21"/>
          <w:highlight w:val="none"/>
        </w:rPr>
        <w:t>接驳点</w:t>
      </w:r>
      <w:r>
        <w:rPr>
          <w:rFonts w:hint="eastAsia" w:ascii="宋体" w:hAnsi="宋体" w:eastAsia="宋体" w:cs="宋体"/>
          <w:caps w:val="0"/>
          <w:smallCaps w:val="0"/>
          <w:color w:val="auto"/>
          <w:sz w:val="21"/>
          <w:szCs w:val="21"/>
          <w:highlight w:val="none"/>
          <w:lang w:val="en-US" w:eastAsia="zh-CN"/>
        </w:rPr>
        <w:t>计量</w:t>
      </w:r>
      <w:r>
        <w:rPr>
          <w:rFonts w:hint="eastAsia" w:ascii="宋体" w:hAnsi="宋体" w:cs="宋体"/>
          <w:caps w:val="0"/>
          <w:smallCaps w:val="0"/>
          <w:color w:val="auto"/>
          <w:sz w:val="21"/>
          <w:szCs w:val="21"/>
          <w:highlight w:val="none"/>
          <w:lang w:val="en-US" w:eastAsia="zh-CN"/>
        </w:rPr>
        <w:t>、阀门、</w:t>
      </w:r>
      <w:r>
        <w:rPr>
          <w:rFonts w:hint="eastAsia" w:ascii="宋体" w:hAnsi="宋体" w:eastAsia="宋体" w:cs="宋体"/>
          <w:caps w:val="0"/>
          <w:smallCaps w:val="0"/>
          <w:color w:val="auto"/>
          <w:sz w:val="21"/>
          <w:szCs w:val="21"/>
          <w:highlight w:val="none"/>
        </w:rPr>
        <w:t>施工</w:t>
      </w:r>
      <w:r>
        <w:rPr>
          <w:rFonts w:hint="eastAsia" w:ascii="宋体" w:hAnsi="宋体" w:cs="宋体"/>
          <w:caps w:val="0"/>
          <w:smallCaps w:val="0"/>
          <w:color w:val="auto"/>
          <w:sz w:val="21"/>
          <w:szCs w:val="21"/>
          <w:highlight w:val="none"/>
          <w:lang w:val="en-US" w:eastAsia="zh-CN"/>
        </w:rPr>
        <w:t>等；</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自来水送</w:t>
      </w:r>
      <w:r>
        <w:rPr>
          <w:rFonts w:hint="eastAsia" w:ascii="宋体" w:hAnsi="宋体" w:cs="宋体"/>
          <w:caps w:val="0"/>
          <w:smallCaps w:val="0"/>
          <w:color w:val="auto"/>
          <w:sz w:val="21"/>
          <w:szCs w:val="21"/>
          <w:highlight w:val="none"/>
          <w:lang w:val="en-US" w:eastAsia="zh-CN"/>
        </w:rPr>
        <w:t>至5#车间1层</w:t>
      </w:r>
      <w:r>
        <w:rPr>
          <w:rFonts w:hint="eastAsia" w:ascii="宋体" w:hAnsi="宋体" w:eastAsia="宋体" w:cs="宋体"/>
          <w:caps w:val="0"/>
          <w:smallCaps w:val="0"/>
          <w:color w:val="auto"/>
          <w:sz w:val="21"/>
          <w:szCs w:val="21"/>
          <w:highlight w:val="none"/>
        </w:rPr>
        <w:t>。</w:t>
      </w:r>
    </w:p>
    <w:p w14:paraId="2A7EB884">
      <w:pPr>
        <w:keepNext w:val="0"/>
        <w:keepLines w:val="0"/>
        <w:pageBreakBefore w:val="0"/>
        <w:kinsoku/>
        <w:wordWrap/>
        <w:overflowPunct/>
        <w:topLinePunct w:val="0"/>
        <w:bidi w:val="0"/>
        <w:spacing w:line="360" w:lineRule="auto"/>
        <w:ind w:firstLine="420" w:firstLineChars="200"/>
        <w:rPr>
          <w:rFonts w:hint="eastAsia" w:ascii="宋体" w:hAnsi="宋体" w:eastAsia="宋体" w:cs="宋体"/>
          <w:color w:val="auto"/>
          <w:spacing w:val="-2"/>
          <w:sz w:val="21"/>
          <w:szCs w:val="21"/>
          <w:lang w:val="en-US" w:eastAsia="zh-CN"/>
        </w:rPr>
      </w:pPr>
      <w:r>
        <w:rPr>
          <w:rFonts w:hint="eastAsia" w:ascii="宋体" w:hAnsi="宋体" w:cs="宋体"/>
          <w:caps w:val="0"/>
          <w:smallCaps w:val="0"/>
          <w:color w:val="auto"/>
          <w:sz w:val="21"/>
          <w:szCs w:val="21"/>
          <w:highlight w:val="none"/>
          <w:lang w:val="en-US" w:eastAsia="zh-CN"/>
        </w:rPr>
        <w:t>2、循环水：</w:t>
      </w:r>
      <w:r>
        <w:rPr>
          <w:rFonts w:hint="eastAsia" w:ascii="宋体" w:hAnsi="宋体" w:eastAsia="宋体" w:cs="宋体"/>
          <w:color w:val="000000"/>
          <w:spacing w:val="-2"/>
          <w:sz w:val="21"/>
          <w:szCs w:val="21"/>
          <w:lang w:val="en-US" w:eastAsia="zh-CN"/>
        </w:rPr>
        <w:t>投标人负责</w:t>
      </w:r>
      <w:r>
        <w:rPr>
          <w:rFonts w:hint="eastAsia" w:ascii="宋体" w:hAnsi="宋体" w:eastAsia="宋体" w:cs="宋体"/>
          <w:color w:val="auto"/>
          <w:spacing w:val="-2"/>
          <w:sz w:val="21"/>
          <w:szCs w:val="21"/>
          <w:lang w:val="en-US" w:eastAsia="zh-CN"/>
        </w:rPr>
        <w:t>循环水（含水池、过滤设备、水泵和管道等）设计和施工。</w:t>
      </w:r>
    </w:p>
    <w:p w14:paraId="787CA0A2">
      <w:pPr>
        <w:keepNext w:val="0"/>
        <w:keepLines w:val="0"/>
        <w:pageBreakBefore w:val="0"/>
        <w:kinsoku/>
        <w:wordWrap/>
        <w:overflowPunct/>
        <w:topLinePunct w:val="0"/>
        <w:bidi w:val="0"/>
        <w:spacing w:line="360" w:lineRule="auto"/>
        <w:ind w:firstLine="412" w:firstLineChars="200"/>
        <w:rPr>
          <w:rFonts w:hint="default" w:ascii="宋体" w:hAnsi="宋体" w:cs="宋体"/>
          <w:color w:val="auto"/>
          <w:spacing w:val="-2"/>
          <w:sz w:val="21"/>
          <w:szCs w:val="21"/>
          <w:lang w:val="en-US" w:eastAsia="zh-CN"/>
        </w:rPr>
      </w:pPr>
      <w:r>
        <w:rPr>
          <w:rFonts w:hint="eastAsia" w:ascii="宋体" w:hAnsi="宋体" w:eastAsia="宋体" w:cs="宋体"/>
          <w:color w:val="auto"/>
          <w:spacing w:val="-2"/>
          <w:sz w:val="21"/>
          <w:szCs w:val="21"/>
          <w:lang w:val="en-US" w:eastAsia="zh-CN"/>
        </w:rPr>
        <w:t>3、</w:t>
      </w:r>
      <w:r>
        <w:rPr>
          <w:rFonts w:hint="eastAsia" w:ascii="宋体" w:hAnsi="宋体" w:cs="宋体"/>
          <w:color w:val="auto"/>
          <w:spacing w:val="-2"/>
          <w:sz w:val="21"/>
          <w:szCs w:val="21"/>
          <w:lang w:val="en-US" w:eastAsia="zh-CN"/>
        </w:rPr>
        <w:t>盐水：投标人负责盐菜块收购的盐水，盐水取水位置5#车间1层窖池处，循环使用的盐水过滤后送至5#车间1层中间位置的盐水中转池，接驳点施工由投标人负责。</w:t>
      </w:r>
    </w:p>
    <w:p w14:paraId="677B555F">
      <w:pPr>
        <w:keepNext w:val="0"/>
        <w:keepLines w:val="0"/>
        <w:pageBreakBefore w:val="0"/>
        <w:kinsoku/>
        <w:wordWrap/>
        <w:overflowPunct/>
        <w:topLinePunct w:val="0"/>
        <w:bidi w:val="0"/>
        <w:spacing w:line="360" w:lineRule="auto"/>
        <w:ind w:firstLine="412" w:firstLineChars="200"/>
        <w:rPr>
          <w:rFonts w:hint="default" w:ascii="宋体" w:hAnsi="宋体" w:eastAsia="宋体" w:cs="宋体"/>
          <w:color w:val="000000"/>
          <w:spacing w:val="-2"/>
          <w:sz w:val="21"/>
          <w:szCs w:val="21"/>
          <w:lang w:val="en-US" w:eastAsia="zh-CN"/>
        </w:rPr>
      </w:pPr>
      <w:r>
        <w:rPr>
          <w:rFonts w:hint="eastAsia" w:ascii="宋体" w:hAnsi="宋体" w:eastAsia="宋体" w:cs="宋体"/>
          <w:color w:val="auto"/>
          <w:spacing w:val="-2"/>
          <w:sz w:val="21"/>
          <w:szCs w:val="21"/>
          <w:lang w:val="en-US" w:eastAsia="zh-CN"/>
        </w:rPr>
        <w:t>4、电：投标人负责提出</w:t>
      </w:r>
      <w:r>
        <w:rPr>
          <w:rFonts w:hint="eastAsia" w:ascii="宋体" w:hAnsi="宋体" w:eastAsia="宋体" w:cs="Times New Roman"/>
          <w:snapToGrid w:val="0"/>
          <w:color w:val="auto"/>
          <w:kern w:val="0"/>
          <w:sz w:val="21"/>
          <w:szCs w:val="21"/>
          <w:highlight w:val="none"/>
          <w:u w:val="none"/>
          <w:lang w:val="en-US" w:eastAsia="zh-CN" w:bidi="ar-SA"/>
        </w:rPr>
        <w:t>用电需求并从招</w:t>
      </w:r>
      <w:r>
        <w:rPr>
          <w:rFonts w:hint="eastAsia" w:ascii="宋体" w:hAnsi="宋体" w:eastAsia="宋体" w:cs="宋体"/>
          <w:color w:val="auto"/>
          <w:spacing w:val="-2"/>
          <w:sz w:val="21"/>
          <w:szCs w:val="21"/>
          <w:lang w:val="en-US" w:eastAsia="zh-CN"/>
        </w:rPr>
        <w:t>标人指定位置搭</w:t>
      </w:r>
      <w:r>
        <w:rPr>
          <w:rFonts w:hint="eastAsia" w:ascii="宋体" w:hAnsi="宋体" w:eastAsia="宋体" w:cs="宋体"/>
          <w:color w:val="000000"/>
          <w:spacing w:val="-2"/>
          <w:sz w:val="21"/>
          <w:szCs w:val="21"/>
          <w:lang w:val="en-US" w:eastAsia="zh-CN"/>
        </w:rPr>
        <w:t>接，招标人电源送至5#车间1层配电柜。</w:t>
      </w:r>
    </w:p>
    <w:p w14:paraId="7D78DAAB">
      <w:pPr>
        <w:keepNext w:val="0"/>
        <w:keepLines w:val="0"/>
        <w:pageBreakBefore w:val="0"/>
        <w:kinsoku/>
        <w:wordWrap/>
        <w:overflowPunct/>
        <w:topLinePunct w:val="0"/>
        <w:bidi w:val="0"/>
        <w:spacing w:line="360" w:lineRule="auto"/>
        <w:ind w:firstLine="412" w:firstLineChars="200"/>
        <w:rPr>
          <w:rFonts w:hint="eastAsia" w:ascii="宋体" w:hAnsi="宋体" w:eastAsia="宋体" w:cs="宋体"/>
          <w:color w:val="000000"/>
          <w:spacing w:val="-2"/>
          <w:sz w:val="21"/>
          <w:szCs w:val="21"/>
          <w:lang w:val="en-US" w:eastAsia="zh-CN"/>
        </w:rPr>
      </w:pPr>
      <w:r>
        <w:rPr>
          <w:rFonts w:hint="eastAsia" w:ascii="宋体" w:hAnsi="宋体" w:cs="宋体"/>
          <w:color w:val="000000"/>
          <w:spacing w:val="-2"/>
          <w:sz w:val="21"/>
          <w:szCs w:val="21"/>
          <w:lang w:val="en-US" w:eastAsia="zh-CN"/>
        </w:rPr>
        <w:t>5</w:t>
      </w:r>
      <w:r>
        <w:rPr>
          <w:rFonts w:hint="eastAsia" w:ascii="宋体" w:hAnsi="宋体" w:eastAsia="宋体" w:cs="宋体"/>
          <w:color w:val="000000"/>
          <w:spacing w:val="-2"/>
          <w:sz w:val="21"/>
          <w:szCs w:val="21"/>
          <w:lang w:val="en-US" w:eastAsia="zh-CN"/>
        </w:rPr>
        <w:t>、废水：原料收购系统生产污水收集过滤后排放到招标人指定的园区污水井，接驳点施工由投标人负责。</w:t>
      </w:r>
    </w:p>
    <w:p w14:paraId="0141B71C">
      <w:pPr>
        <w:keepNext w:val="0"/>
        <w:keepLines w:val="0"/>
        <w:pageBreakBefore w:val="0"/>
        <w:kinsoku/>
        <w:wordWrap/>
        <w:overflowPunct/>
        <w:topLinePunct w:val="0"/>
        <w:bidi w:val="0"/>
        <w:spacing w:line="360" w:lineRule="auto"/>
        <w:ind w:firstLine="412" w:firstLineChars="200"/>
        <w:rPr>
          <w:rFonts w:hint="eastAsia" w:ascii="宋体" w:hAnsi="宋体" w:eastAsia="宋体" w:cs="宋体"/>
          <w:color w:val="000000"/>
          <w:spacing w:val="-2"/>
          <w:sz w:val="21"/>
          <w:szCs w:val="21"/>
          <w:lang w:val="en-US" w:eastAsia="zh-CN"/>
        </w:rPr>
      </w:pPr>
      <w:r>
        <w:rPr>
          <w:rFonts w:hint="eastAsia" w:ascii="宋体" w:hAnsi="宋体" w:cs="宋体"/>
          <w:color w:val="000000"/>
          <w:spacing w:val="-2"/>
          <w:sz w:val="21"/>
          <w:szCs w:val="21"/>
          <w:lang w:val="en-US" w:eastAsia="zh-CN"/>
        </w:rPr>
        <w:t>6</w:t>
      </w:r>
      <w:r>
        <w:rPr>
          <w:rFonts w:hint="eastAsia" w:ascii="宋体" w:hAnsi="宋体" w:eastAsia="宋体" w:cs="宋体"/>
          <w:color w:val="000000"/>
          <w:spacing w:val="-2"/>
          <w:sz w:val="21"/>
          <w:szCs w:val="21"/>
          <w:lang w:val="en-US" w:eastAsia="zh-CN"/>
        </w:rPr>
        <w:t>、照明及检修箱：投标人负责车间外设备区域照明及检修箱，并独立设备供电回路。</w:t>
      </w:r>
    </w:p>
    <w:p w14:paraId="326D0401">
      <w:pPr>
        <w:keepNext w:val="0"/>
        <w:keepLines w:val="0"/>
        <w:pageBreakBefore w:val="0"/>
        <w:kinsoku/>
        <w:wordWrap/>
        <w:overflowPunct/>
        <w:topLinePunct w:val="0"/>
        <w:bidi w:val="0"/>
        <w:spacing w:line="360" w:lineRule="auto"/>
        <w:ind w:firstLine="412"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cs="宋体"/>
          <w:color w:val="000000"/>
          <w:spacing w:val="-2"/>
          <w:sz w:val="21"/>
          <w:szCs w:val="21"/>
          <w:lang w:val="en-US" w:eastAsia="zh-CN"/>
        </w:rPr>
        <w:t>7</w:t>
      </w:r>
      <w:r>
        <w:rPr>
          <w:rFonts w:hint="eastAsia" w:ascii="宋体" w:hAnsi="宋体" w:eastAsia="宋体" w:cs="宋体"/>
          <w:color w:val="000000"/>
          <w:spacing w:val="-2"/>
          <w:sz w:val="21"/>
          <w:szCs w:val="21"/>
          <w:lang w:val="en-US" w:eastAsia="zh-CN"/>
        </w:rPr>
        <w:t>、基础设施：投标人负责设备基础、水池、</w:t>
      </w:r>
      <w:r>
        <w:rPr>
          <w:rFonts w:hint="eastAsia" w:ascii="宋体" w:hAnsi="宋体" w:eastAsia="宋体" w:cs="宋体"/>
          <w:caps w:val="0"/>
          <w:smallCaps w:val="0"/>
          <w:color w:val="auto"/>
          <w:sz w:val="21"/>
          <w:szCs w:val="21"/>
          <w:highlight w:val="none"/>
          <w:lang w:val="en-US" w:eastAsia="zh-CN"/>
        </w:rPr>
        <w:t>预埋件</w:t>
      </w:r>
      <w:r>
        <w:rPr>
          <w:rFonts w:hint="eastAsia" w:ascii="宋体" w:hAnsi="宋体" w:cs="宋体"/>
          <w:caps w:val="0"/>
          <w:smallCaps w:val="0"/>
          <w:color w:val="auto"/>
          <w:sz w:val="21"/>
          <w:szCs w:val="21"/>
          <w:highlight w:val="none"/>
          <w:lang w:val="en-US" w:eastAsia="zh-CN"/>
        </w:rPr>
        <w:t>的供货、设计、施工</w:t>
      </w:r>
      <w:r>
        <w:rPr>
          <w:rFonts w:hint="eastAsia" w:ascii="宋体" w:hAnsi="宋体" w:eastAsia="宋体" w:cs="宋体"/>
          <w:caps w:val="0"/>
          <w:smallCaps w:val="0"/>
          <w:color w:val="auto"/>
          <w:sz w:val="21"/>
          <w:szCs w:val="21"/>
          <w:highlight w:val="none"/>
          <w:lang w:val="en-US" w:eastAsia="zh-CN"/>
        </w:rPr>
        <w:t>。</w:t>
      </w:r>
    </w:p>
    <w:p w14:paraId="5D9DF063">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p>
    <w:p w14:paraId="2F2DED07">
      <w:pPr>
        <w:pStyle w:val="6"/>
        <w:bidi w:val="0"/>
        <w:rPr>
          <w:rFonts w:hint="eastAsia"/>
          <w:lang w:val="en-US" w:eastAsia="zh-CN"/>
        </w:rPr>
      </w:pPr>
      <w:r>
        <w:rPr>
          <w:rFonts w:hint="eastAsia"/>
          <w:lang w:val="en-US" w:eastAsia="zh-CN"/>
        </w:rPr>
        <w:t>4、车间平面图</w:t>
      </w:r>
    </w:p>
    <w:p w14:paraId="3270C084">
      <w:pPr>
        <w:ind w:firstLine="420" w:firstLineChars="200"/>
        <w:rPr>
          <w:rFonts w:hint="default"/>
          <w:lang w:val="en-US" w:eastAsia="zh-CN"/>
        </w:rPr>
      </w:pPr>
      <w:r>
        <w:rPr>
          <w:rFonts w:hint="eastAsia"/>
          <w:lang w:val="en-US" w:eastAsia="zh-CN"/>
        </w:rPr>
        <w:t>榨菜原料（青菜头）在5#车间西侧红色图框区域进行卸车、清洗、筛分后送入车间内装入自卸货车。</w:t>
      </w:r>
    </w:p>
    <w:p w14:paraId="498C1516">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p>
    <w:p w14:paraId="01351C22">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drawing>
          <wp:inline distT="0" distB="0" distL="114300" distR="114300">
            <wp:extent cx="6009005" cy="2594610"/>
            <wp:effectExtent l="0" t="0" r="10795" b="15240"/>
            <wp:docPr id="1" name="图片 1" descr="1307a8c4-a310-4f39-bea1-c731d83dc4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307a8c4-a310-4f39-bea1-c731d83dc47a"/>
                    <pic:cNvPicPr>
                      <a:picLocks noChangeAspect="1"/>
                    </pic:cNvPicPr>
                  </pic:nvPicPr>
                  <pic:blipFill>
                    <a:blip r:embed="rId11"/>
                    <a:srcRect t="2714"/>
                    <a:stretch>
                      <a:fillRect/>
                    </a:stretch>
                  </pic:blipFill>
                  <pic:spPr>
                    <a:xfrm>
                      <a:off x="0" y="0"/>
                      <a:ext cx="6009005" cy="2594610"/>
                    </a:xfrm>
                    <a:prstGeom prst="rect">
                      <a:avLst/>
                    </a:prstGeom>
                  </pic:spPr>
                </pic:pic>
              </a:graphicData>
            </a:graphic>
          </wp:inline>
        </w:drawing>
      </w:r>
    </w:p>
    <w:p w14:paraId="7CAE54EE">
      <w:pPr>
        <w:keepNext w:val="0"/>
        <w:keepLines w:val="0"/>
        <w:pageBreakBefore w:val="0"/>
        <w:kinsoku/>
        <w:wordWrap/>
        <w:overflowPunct/>
        <w:topLinePunct w:val="0"/>
        <w:bidi w:val="0"/>
        <w:spacing w:line="360" w:lineRule="auto"/>
        <w:ind w:firstLine="420" w:firstLineChars="200"/>
        <w:jc w:val="center"/>
        <w:rPr>
          <w:rFonts w:hint="default"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5#车间1层平面图</w:t>
      </w:r>
    </w:p>
    <w:p w14:paraId="5BEFA776">
      <w:pPr>
        <w:pStyle w:val="4"/>
        <w:numPr>
          <w:ilvl w:val="0"/>
          <w:numId w:val="3"/>
        </w:numPr>
        <w:rPr>
          <w:rFonts w:hint="eastAsia"/>
          <w:szCs w:val="28"/>
        </w:rPr>
      </w:pPr>
      <w:bookmarkStart w:id="926" w:name="_Toc16550"/>
      <w:bookmarkStart w:id="927" w:name="_Toc19689"/>
      <w:bookmarkStart w:id="928" w:name="_Toc18697"/>
      <w:bookmarkStart w:id="929" w:name="_Toc25145"/>
      <w:bookmarkStart w:id="930" w:name="_Toc5250"/>
      <w:bookmarkStart w:id="931" w:name="_Toc11088"/>
      <w:r>
        <w:rPr>
          <w:rFonts w:hint="eastAsia"/>
          <w:szCs w:val="28"/>
        </w:rPr>
        <w:t>设备需求一览表</w:t>
      </w:r>
      <w:bookmarkEnd w:id="926"/>
      <w:bookmarkEnd w:id="927"/>
      <w:bookmarkEnd w:id="928"/>
      <w:bookmarkEnd w:id="929"/>
      <w:bookmarkEnd w:id="930"/>
      <w:bookmarkEnd w:id="931"/>
    </w:p>
    <w:p w14:paraId="10070F93">
      <w:pPr>
        <w:pStyle w:val="6"/>
        <w:numPr>
          <w:ilvl w:val="0"/>
          <w:numId w:val="4"/>
        </w:numPr>
        <w:bidi w:val="0"/>
        <w:rPr>
          <w:rFonts w:hint="eastAsia"/>
          <w:lang w:val="en-US" w:eastAsia="zh-CN"/>
        </w:rPr>
      </w:pPr>
      <w:r>
        <w:rPr>
          <w:rFonts w:hint="eastAsia"/>
          <w:lang w:val="en-US" w:eastAsia="zh-CN"/>
        </w:rPr>
        <w:t>主要设备一览表</w:t>
      </w:r>
    </w:p>
    <w:tbl>
      <w:tblPr>
        <w:tblStyle w:val="46"/>
        <w:tblW w:w="5044" w:type="pct"/>
        <w:tblInd w:w="0" w:type="dxa"/>
        <w:tblLayout w:type="autofit"/>
        <w:tblCellMar>
          <w:top w:w="0" w:type="dxa"/>
          <w:left w:w="0" w:type="dxa"/>
          <w:bottom w:w="0" w:type="dxa"/>
          <w:right w:w="0" w:type="dxa"/>
        </w:tblCellMar>
      </w:tblPr>
      <w:tblGrid>
        <w:gridCol w:w="728"/>
        <w:gridCol w:w="1452"/>
        <w:gridCol w:w="1297"/>
        <w:gridCol w:w="6084"/>
      </w:tblGrid>
      <w:tr w14:paraId="1C2BD21D">
        <w:trPr>
          <w:trHeight w:val="440" w:hRule="exact"/>
        </w:trPr>
        <w:tc>
          <w:tcPr>
            <w:tcW w:w="381" w:type="pct"/>
            <w:tcBorders>
              <w:top w:val="single" w:color="000000" w:sz="4" w:space="0"/>
              <w:left w:val="single" w:color="000000" w:sz="4" w:space="0"/>
              <w:bottom w:val="single" w:color="000000" w:sz="4" w:space="0"/>
              <w:right w:val="single" w:color="000000" w:sz="4" w:space="0"/>
            </w:tcBorders>
            <w:vAlign w:val="center"/>
          </w:tcPr>
          <w:p w14:paraId="0BA99976">
            <w:pPr>
              <w:spacing w:line="440" w:lineRule="exact"/>
              <w:jc w:val="center"/>
              <w:rPr>
                <w:szCs w:val="21"/>
              </w:rPr>
            </w:pPr>
            <w:r>
              <w:rPr>
                <w:rFonts w:hint="eastAsia"/>
                <w:szCs w:val="21"/>
              </w:rPr>
              <w:t>序号</w:t>
            </w:r>
          </w:p>
        </w:tc>
        <w:tc>
          <w:tcPr>
            <w:tcW w:w="759" w:type="pct"/>
            <w:tcBorders>
              <w:top w:val="single" w:color="000000" w:sz="4" w:space="0"/>
              <w:left w:val="single" w:color="000000" w:sz="4" w:space="0"/>
              <w:bottom w:val="single" w:color="000000" w:sz="4" w:space="0"/>
              <w:right w:val="single" w:color="000000" w:sz="4" w:space="0"/>
            </w:tcBorders>
            <w:vAlign w:val="center"/>
          </w:tcPr>
          <w:p w14:paraId="460A739F">
            <w:pPr>
              <w:spacing w:line="440" w:lineRule="exact"/>
              <w:jc w:val="center"/>
              <w:rPr>
                <w:szCs w:val="21"/>
              </w:rPr>
            </w:pPr>
            <w:r>
              <w:rPr>
                <w:rFonts w:hint="eastAsia"/>
                <w:szCs w:val="21"/>
              </w:rPr>
              <w:t>设备（材料）名称</w:t>
            </w:r>
          </w:p>
        </w:tc>
        <w:tc>
          <w:tcPr>
            <w:tcW w:w="678" w:type="pct"/>
            <w:tcBorders>
              <w:top w:val="single" w:color="000000" w:sz="4" w:space="0"/>
              <w:left w:val="single" w:color="000000" w:sz="4" w:space="0"/>
              <w:bottom w:val="single" w:color="000000" w:sz="4" w:space="0"/>
              <w:right w:val="single" w:color="000000" w:sz="4" w:space="0"/>
            </w:tcBorders>
            <w:vAlign w:val="center"/>
          </w:tcPr>
          <w:p w14:paraId="6084431F">
            <w:pPr>
              <w:spacing w:line="440" w:lineRule="exact"/>
              <w:jc w:val="center"/>
              <w:rPr>
                <w:szCs w:val="21"/>
              </w:rPr>
            </w:pPr>
            <w:r>
              <w:rPr>
                <w:rFonts w:hint="eastAsia"/>
                <w:szCs w:val="21"/>
              </w:rPr>
              <w:t>数量</w:t>
            </w:r>
          </w:p>
        </w:tc>
        <w:tc>
          <w:tcPr>
            <w:tcW w:w="3181" w:type="pct"/>
            <w:tcBorders>
              <w:top w:val="single" w:color="000000" w:sz="4" w:space="0"/>
              <w:left w:val="single" w:color="000000" w:sz="4" w:space="0"/>
              <w:bottom w:val="single" w:color="000000" w:sz="4" w:space="0"/>
              <w:right w:val="single" w:color="000000" w:sz="4" w:space="0"/>
            </w:tcBorders>
            <w:vAlign w:val="center"/>
          </w:tcPr>
          <w:p w14:paraId="6C06CD4B">
            <w:pPr>
              <w:spacing w:line="440" w:lineRule="exact"/>
              <w:jc w:val="center"/>
              <w:rPr>
                <w:rFonts w:hint="default" w:eastAsia="宋体"/>
                <w:szCs w:val="21"/>
                <w:lang w:val="en-US" w:eastAsia="zh-CN"/>
              </w:rPr>
            </w:pPr>
            <w:r>
              <w:rPr>
                <w:rFonts w:hint="eastAsia"/>
                <w:szCs w:val="21"/>
                <w:lang w:val="en-US" w:eastAsia="zh-CN"/>
              </w:rPr>
              <w:t>设备要求</w:t>
            </w:r>
          </w:p>
        </w:tc>
      </w:tr>
      <w:tr w14:paraId="16F34B24">
        <w:tblPrEx>
          <w:tblCellMar>
            <w:top w:w="0" w:type="dxa"/>
            <w:left w:w="0" w:type="dxa"/>
            <w:bottom w:w="0" w:type="dxa"/>
            <w:right w:w="0" w:type="dxa"/>
          </w:tblCellMar>
        </w:tblPrEx>
        <w:trPr>
          <w:trHeight w:val="6791" w:hRule="exact"/>
        </w:trPr>
        <w:tc>
          <w:tcPr>
            <w:tcW w:w="381" w:type="pct"/>
            <w:tcBorders>
              <w:top w:val="single" w:color="000000" w:sz="4" w:space="0"/>
              <w:left w:val="single" w:color="000000" w:sz="4" w:space="0"/>
              <w:bottom w:val="single" w:color="000000" w:sz="4" w:space="0"/>
              <w:right w:val="single" w:color="000000" w:sz="4" w:space="0"/>
            </w:tcBorders>
          </w:tcPr>
          <w:p w14:paraId="7A8A76FE">
            <w:pPr>
              <w:spacing w:line="440" w:lineRule="exact"/>
              <w:jc w:val="center"/>
              <w:rPr>
                <w:szCs w:val="21"/>
              </w:rPr>
            </w:pPr>
            <w:r>
              <w:rPr>
                <w:rFonts w:hint="eastAsia"/>
                <w:szCs w:val="21"/>
              </w:rPr>
              <w:t>1</w:t>
            </w:r>
          </w:p>
          <w:p w14:paraId="23144065">
            <w:pPr>
              <w:spacing w:line="440" w:lineRule="exact"/>
              <w:ind w:firstLine="420" w:firstLineChars="200"/>
              <w:jc w:val="center"/>
              <w:rPr>
                <w:szCs w:val="21"/>
              </w:rPr>
            </w:pPr>
          </w:p>
        </w:tc>
        <w:tc>
          <w:tcPr>
            <w:tcW w:w="759" w:type="pct"/>
            <w:tcBorders>
              <w:top w:val="single" w:color="000000" w:sz="4" w:space="0"/>
              <w:left w:val="single" w:color="000000" w:sz="4" w:space="0"/>
              <w:bottom w:val="single" w:color="000000" w:sz="4" w:space="0"/>
              <w:right w:val="single" w:color="000000" w:sz="4" w:space="0"/>
            </w:tcBorders>
            <w:vAlign w:val="top"/>
          </w:tcPr>
          <w:p w14:paraId="3EAB22D1">
            <w:pPr>
              <w:spacing w:line="440" w:lineRule="exact"/>
              <w:jc w:val="center"/>
              <w:rPr>
                <w:rFonts w:hint="default" w:ascii="宋体" w:hAnsi="宋体" w:eastAsia="宋体" w:cs="宋体"/>
                <w:caps w:val="0"/>
                <w:smallCaps w:val="0"/>
                <w:color w:val="auto"/>
                <w:sz w:val="21"/>
                <w:szCs w:val="21"/>
                <w:highlight w:val="none"/>
                <w:lang w:val="en-US" w:eastAsia="zh-CN"/>
              </w:rPr>
            </w:pPr>
            <w:r>
              <w:rPr>
                <w:rFonts w:hint="eastAsia" w:ascii="宋体" w:hAnsi="宋体"/>
                <w:snapToGrid w:val="0"/>
                <w:color w:val="auto"/>
                <w:kern w:val="0"/>
                <w:sz w:val="21"/>
                <w:szCs w:val="21"/>
                <w:highlight w:val="none"/>
                <w:u w:val="none"/>
                <w:lang w:val="en-US" w:eastAsia="zh-CN"/>
              </w:rPr>
              <w:t>称重卸车设备</w:t>
            </w:r>
          </w:p>
        </w:tc>
        <w:tc>
          <w:tcPr>
            <w:tcW w:w="678" w:type="pct"/>
            <w:tcBorders>
              <w:top w:val="single" w:color="000000" w:sz="4" w:space="0"/>
              <w:left w:val="single" w:color="000000" w:sz="4" w:space="0"/>
              <w:bottom w:val="single" w:color="000000" w:sz="4" w:space="0"/>
              <w:right w:val="single" w:color="000000" w:sz="4" w:space="0"/>
            </w:tcBorders>
          </w:tcPr>
          <w:p w14:paraId="55744A45">
            <w:pPr>
              <w:spacing w:line="440" w:lineRule="exact"/>
              <w:ind w:firstLine="420" w:firstLineChars="200"/>
              <w:jc w:val="both"/>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w:t>
            </w:r>
            <w:r>
              <w:rPr>
                <w:rFonts w:hint="eastAsia" w:ascii="宋体" w:hAnsi="宋体" w:cs="宋体"/>
                <w:caps w:val="0"/>
                <w:smallCaps w:val="0"/>
                <w:color w:val="auto"/>
                <w:sz w:val="21"/>
                <w:szCs w:val="21"/>
                <w:highlight w:val="none"/>
                <w:lang w:val="en-US" w:eastAsia="zh-CN"/>
              </w:rPr>
              <w:t>套</w:t>
            </w:r>
          </w:p>
        </w:tc>
        <w:tc>
          <w:tcPr>
            <w:tcW w:w="3181" w:type="pct"/>
            <w:tcBorders>
              <w:top w:val="single" w:color="000000" w:sz="4" w:space="0"/>
              <w:left w:val="single" w:color="000000" w:sz="4" w:space="0"/>
              <w:bottom w:val="single" w:color="000000" w:sz="4" w:space="0"/>
              <w:right w:val="single" w:color="000000" w:sz="4" w:space="0"/>
            </w:tcBorders>
            <w:vAlign w:val="top"/>
          </w:tcPr>
          <w:p w14:paraId="0A041529">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1）秤台尺寸：≥18*3米，台面防滑钢板厚度10mm。</w:t>
            </w:r>
          </w:p>
          <w:p w14:paraId="359B8BE3">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2）举升能力100吨。</w:t>
            </w:r>
          </w:p>
          <w:p w14:paraId="10D095C5">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3）采用液压传动系统，举升角度0-45°，任意角度停留保持。</w:t>
            </w:r>
          </w:p>
          <w:p w14:paraId="66623272">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4）车牌自动识别，并上传上位机（如有车牌）。</w:t>
            </w:r>
          </w:p>
          <w:p w14:paraId="76DA7A6E">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5）额定称重量100吨，称重精度小于等于10Kg。</w:t>
            </w:r>
          </w:p>
          <w:p w14:paraId="52418817">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6）设备易清洁，不积水、不藏菜渣。</w:t>
            </w:r>
          </w:p>
          <w:p w14:paraId="0AE0323B">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7）设置自卸车能够安全打开车厢后门的操作平台。</w:t>
            </w:r>
          </w:p>
          <w:p w14:paraId="38570A79">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8）卸车平台采用高强度碳钢材质，防腐采用防腐涂层处理。</w:t>
            </w:r>
          </w:p>
          <w:p w14:paraId="04C2CDAA">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9）就地手动控制和远程控制。</w:t>
            </w:r>
          </w:p>
          <w:p w14:paraId="5177A17B">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10）称重台全方位视频监控。</w:t>
            </w:r>
          </w:p>
          <w:p w14:paraId="44DBC098">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11）称重设备兼容招标单位现有称重结算系统。</w:t>
            </w:r>
          </w:p>
          <w:p w14:paraId="1A33E150">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12）司磅操作站、不锈钢操作台，网状不锈钢椅子。</w:t>
            </w:r>
          </w:p>
          <w:p w14:paraId="16FC2662">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13）磅单打印机采用A4激光打印机。</w:t>
            </w:r>
          </w:p>
          <w:p w14:paraId="741D887F">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14）盐菜块沥水盐水收集过滤，沥水盐水不滴落、不飞溅到卸车设备上</w:t>
            </w:r>
          </w:p>
        </w:tc>
      </w:tr>
      <w:tr w14:paraId="294A9C10">
        <w:tblPrEx>
          <w:tblCellMar>
            <w:top w:w="0" w:type="dxa"/>
            <w:left w:w="0" w:type="dxa"/>
            <w:bottom w:w="0" w:type="dxa"/>
            <w:right w:w="0" w:type="dxa"/>
          </w:tblCellMar>
        </w:tblPrEx>
        <w:trPr>
          <w:trHeight w:val="6732" w:hRule="exact"/>
        </w:trPr>
        <w:tc>
          <w:tcPr>
            <w:tcW w:w="381" w:type="pct"/>
            <w:tcBorders>
              <w:top w:val="single" w:color="000000" w:sz="4" w:space="0"/>
              <w:left w:val="single" w:color="000000" w:sz="4" w:space="0"/>
              <w:bottom w:val="single" w:color="000000" w:sz="4" w:space="0"/>
              <w:right w:val="single" w:color="000000" w:sz="4" w:space="0"/>
            </w:tcBorders>
          </w:tcPr>
          <w:p w14:paraId="10710759">
            <w:pPr>
              <w:spacing w:line="440" w:lineRule="exact"/>
              <w:jc w:val="center"/>
              <w:rPr>
                <w:szCs w:val="21"/>
              </w:rPr>
            </w:pPr>
            <w:r>
              <w:rPr>
                <w:rFonts w:hint="eastAsia"/>
                <w:szCs w:val="21"/>
              </w:rPr>
              <w:t>2</w:t>
            </w:r>
          </w:p>
          <w:p w14:paraId="2BEB8975">
            <w:pPr>
              <w:spacing w:line="440" w:lineRule="exact"/>
              <w:ind w:firstLine="420" w:firstLineChars="200"/>
              <w:jc w:val="center"/>
              <w:rPr>
                <w:szCs w:val="21"/>
              </w:rPr>
            </w:pPr>
          </w:p>
        </w:tc>
        <w:tc>
          <w:tcPr>
            <w:tcW w:w="759" w:type="pct"/>
            <w:tcBorders>
              <w:top w:val="single" w:color="000000" w:sz="4" w:space="0"/>
              <w:left w:val="single" w:color="000000" w:sz="4" w:space="0"/>
              <w:bottom w:val="single" w:color="000000" w:sz="4" w:space="0"/>
              <w:right w:val="single" w:color="000000" w:sz="4" w:space="0"/>
            </w:tcBorders>
          </w:tcPr>
          <w:p w14:paraId="35C9D52C">
            <w:pPr>
              <w:spacing w:line="440" w:lineRule="exact"/>
              <w:jc w:val="center"/>
              <w:rPr>
                <w:rFonts w:hint="default" w:ascii="宋体" w:hAnsi="宋体" w:eastAsia="宋体" w:cs="宋体"/>
                <w:caps w:val="0"/>
                <w:smallCaps w:val="0"/>
                <w:color w:val="auto"/>
                <w:sz w:val="21"/>
                <w:szCs w:val="21"/>
                <w:highlight w:val="none"/>
                <w:lang w:val="en-US" w:eastAsia="zh-CN"/>
              </w:rPr>
            </w:pPr>
            <w:r>
              <w:rPr>
                <w:rFonts w:hint="eastAsia" w:ascii="宋体" w:hAnsi="宋体"/>
                <w:snapToGrid w:val="0"/>
                <w:color w:val="auto"/>
                <w:kern w:val="0"/>
                <w:sz w:val="21"/>
                <w:szCs w:val="21"/>
                <w:highlight w:val="none"/>
                <w:u w:val="none"/>
                <w:lang w:val="en-US" w:eastAsia="zh-CN"/>
              </w:rPr>
              <w:t>缓冲水池初清洗</w:t>
            </w:r>
          </w:p>
        </w:tc>
        <w:tc>
          <w:tcPr>
            <w:tcW w:w="678" w:type="pct"/>
            <w:tcBorders>
              <w:top w:val="single" w:color="000000" w:sz="4" w:space="0"/>
              <w:left w:val="single" w:color="000000" w:sz="4" w:space="0"/>
              <w:bottom w:val="single" w:color="000000" w:sz="4" w:space="0"/>
              <w:right w:val="single" w:color="000000" w:sz="4" w:space="0"/>
            </w:tcBorders>
          </w:tcPr>
          <w:p w14:paraId="360AEC06">
            <w:pPr>
              <w:spacing w:line="440" w:lineRule="exact"/>
              <w:ind w:firstLine="420" w:firstLineChars="200"/>
              <w:jc w:val="both"/>
              <w:rPr>
                <w:rFonts w:hint="default"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w:t>
            </w:r>
            <w:r>
              <w:rPr>
                <w:rFonts w:hint="eastAsia" w:ascii="宋体" w:hAnsi="宋体" w:eastAsia="宋体" w:cs="宋体"/>
                <w:caps w:val="0"/>
                <w:smallCaps w:val="0"/>
                <w:color w:val="auto"/>
                <w:sz w:val="21"/>
                <w:szCs w:val="21"/>
                <w:highlight w:val="none"/>
                <w:lang w:val="en-US" w:eastAsia="zh-CN"/>
              </w:rPr>
              <w:t>套</w:t>
            </w:r>
          </w:p>
        </w:tc>
        <w:tc>
          <w:tcPr>
            <w:tcW w:w="3181" w:type="pct"/>
            <w:tcBorders>
              <w:top w:val="single" w:color="000000" w:sz="4" w:space="0"/>
              <w:left w:val="single" w:color="000000" w:sz="4" w:space="0"/>
              <w:bottom w:val="single" w:color="000000" w:sz="4" w:space="0"/>
              <w:right w:val="single" w:color="000000" w:sz="4" w:space="0"/>
            </w:tcBorders>
          </w:tcPr>
          <w:p w14:paraId="49BED220">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1）具备连续出料和间断出料功能，青菜头处理能力满足车间≥150吨/小时收购能力，出料速度可调节控制，出料顺畅，不滞留。</w:t>
            </w:r>
          </w:p>
          <w:p w14:paraId="34F28447">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2）水池满足青菜头自动卸货的缓冲功能，避免青菜头破损。</w:t>
            </w:r>
          </w:p>
          <w:p w14:paraId="2F5922AD">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3）缓冲水池进行青菜头的初次清洗，去除青菜头表面附着泥沙。</w:t>
            </w:r>
          </w:p>
          <w:p w14:paraId="0B4A6C0A">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4）水槽内部结构设计合理，便于清洗排污。水循环使用，排污和补水水量可调，进行青菜头初次清洗。水循环系统处理能力满足连续生产要求，污水自动排入污水井。</w:t>
            </w:r>
          </w:p>
          <w:p w14:paraId="6DF2EA6B">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5）清洗水过滤、沉淀处理后循环使用，泥沙、泥浆自动化处理。</w:t>
            </w:r>
          </w:p>
          <w:p w14:paraId="77993256">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6）剔除漂浮杂质（如：毛发、线绳、口袋等）。</w:t>
            </w:r>
          </w:p>
          <w:p w14:paraId="20D7D403">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7）水池（如有）防腐涂层榨菜原料接触部分须满足食品卫生要求。</w:t>
            </w:r>
          </w:p>
          <w:p w14:paraId="09A6C92D">
            <w:pPr>
              <w:spacing w:line="440" w:lineRule="exact"/>
              <w:jc w:val="left"/>
              <w:rPr>
                <w:rFonts w:hint="eastAsia" w:ascii="宋体" w:hAnsi="宋体" w:cs="宋体"/>
                <w:caps w:val="0"/>
                <w:smallCaps w:val="0"/>
                <w:color w:val="auto"/>
                <w:sz w:val="21"/>
                <w:szCs w:val="21"/>
                <w:highlight w:val="none"/>
                <w:lang w:val="en-US" w:eastAsia="zh-CN"/>
              </w:rPr>
            </w:pPr>
            <w:r>
              <w:rPr>
                <w:rFonts w:hint="eastAsia"/>
                <w:color w:val="auto"/>
                <w:lang w:val="en-US" w:eastAsia="zh-CN"/>
              </w:rPr>
              <w:t>8）盐菜块收购不</w:t>
            </w:r>
            <w:r>
              <w:rPr>
                <w:rFonts w:hint="eastAsia" w:ascii="宋体" w:hAnsi="宋体" w:cs="宋体"/>
                <w:caps w:val="0"/>
                <w:smallCaps w:val="0"/>
                <w:color w:val="auto"/>
                <w:sz w:val="21"/>
                <w:szCs w:val="21"/>
                <w:highlight w:val="none"/>
                <w:lang w:val="en-US" w:eastAsia="zh-CN"/>
              </w:rPr>
              <w:t>能用清水（如自来水）清洗或浸泡。</w:t>
            </w:r>
          </w:p>
          <w:p w14:paraId="345272FC">
            <w:pPr>
              <w:spacing w:line="440" w:lineRule="exact"/>
              <w:jc w:val="left"/>
              <w:rPr>
                <w:rFonts w:hint="default"/>
                <w:lang w:val="en-US" w:eastAsia="zh-CN"/>
              </w:rPr>
            </w:pPr>
            <w:r>
              <w:rPr>
                <w:rFonts w:hint="eastAsia" w:ascii="宋体" w:hAnsi="宋体" w:cs="宋体"/>
                <w:caps w:val="0"/>
                <w:smallCaps w:val="0"/>
                <w:color w:val="auto"/>
                <w:sz w:val="21"/>
                <w:szCs w:val="21"/>
                <w:highlight w:val="none"/>
                <w:lang w:val="en-US" w:eastAsia="zh-CN"/>
              </w:rPr>
              <w:t>9）盐菜块卸车缓存能力须满足一次卸货20吨设备不停机、榨菜原料不溢出。</w:t>
            </w:r>
          </w:p>
        </w:tc>
      </w:tr>
      <w:tr w14:paraId="6577A549">
        <w:tblPrEx>
          <w:tblCellMar>
            <w:top w:w="0" w:type="dxa"/>
            <w:left w:w="0" w:type="dxa"/>
            <w:bottom w:w="0" w:type="dxa"/>
            <w:right w:w="0" w:type="dxa"/>
          </w:tblCellMar>
        </w:tblPrEx>
        <w:trPr>
          <w:trHeight w:val="3115" w:hRule="exact"/>
        </w:trPr>
        <w:tc>
          <w:tcPr>
            <w:tcW w:w="381" w:type="pct"/>
            <w:tcBorders>
              <w:top w:val="single" w:color="000000" w:sz="4" w:space="0"/>
              <w:left w:val="single" w:color="000000" w:sz="4" w:space="0"/>
              <w:bottom w:val="single" w:color="000000" w:sz="4" w:space="0"/>
              <w:right w:val="single" w:color="000000" w:sz="4" w:space="0"/>
            </w:tcBorders>
          </w:tcPr>
          <w:p w14:paraId="4BA023BF">
            <w:pPr>
              <w:spacing w:line="440" w:lineRule="exact"/>
              <w:jc w:val="center"/>
              <w:rPr>
                <w:rFonts w:hint="eastAsia" w:eastAsia="宋体"/>
                <w:szCs w:val="21"/>
                <w:lang w:val="en-US" w:eastAsia="zh-CN"/>
              </w:rPr>
            </w:pPr>
            <w:r>
              <w:rPr>
                <w:rFonts w:hint="eastAsia"/>
                <w:szCs w:val="21"/>
                <w:lang w:val="en-US" w:eastAsia="zh-CN"/>
              </w:rPr>
              <w:t>3</w:t>
            </w:r>
          </w:p>
        </w:tc>
        <w:tc>
          <w:tcPr>
            <w:tcW w:w="759" w:type="pct"/>
            <w:tcBorders>
              <w:top w:val="single" w:color="000000" w:sz="4" w:space="0"/>
              <w:left w:val="single" w:color="000000" w:sz="4" w:space="0"/>
              <w:bottom w:val="single" w:color="000000" w:sz="4" w:space="0"/>
              <w:right w:val="single" w:color="000000" w:sz="4" w:space="0"/>
            </w:tcBorders>
          </w:tcPr>
          <w:p w14:paraId="35208923">
            <w:pPr>
              <w:spacing w:line="440" w:lineRule="exact"/>
              <w:jc w:val="center"/>
              <w:rPr>
                <w:rFonts w:hint="default" w:ascii="宋体" w:hAnsi="宋体" w:eastAsia="宋体" w:cs="宋体"/>
                <w:caps w:val="0"/>
                <w:smallCaps w:val="0"/>
                <w:color w:val="auto"/>
                <w:sz w:val="21"/>
                <w:szCs w:val="21"/>
                <w:highlight w:val="none"/>
                <w:lang w:val="en-US" w:eastAsia="zh-CN"/>
              </w:rPr>
            </w:pPr>
            <w:r>
              <w:rPr>
                <w:rFonts w:hint="eastAsia" w:ascii="宋体" w:hAnsi="宋体"/>
                <w:snapToGrid w:val="0"/>
                <w:color w:val="auto"/>
                <w:kern w:val="0"/>
                <w:sz w:val="21"/>
                <w:szCs w:val="21"/>
                <w:highlight w:val="none"/>
                <w:u w:val="none"/>
                <w:lang w:val="en-US" w:eastAsia="zh-CN"/>
              </w:rPr>
              <w:t>筛分、清洗、除渣</w:t>
            </w:r>
          </w:p>
        </w:tc>
        <w:tc>
          <w:tcPr>
            <w:tcW w:w="678" w:type="pct"/>
            <w:tcBorders>
              <w:top w:val="single" w:color="000000" w:sz="4" w:space="0"/>
              <w:left w:val="single" w:color="000000" w:sz="4" w:space="0"/>
              <w:bottom w:val="single" w:color="000000" w:sz="4" w:space="0"/>
              <w:right w:val="single" w:color="000000" w:sz="4" w:space="0"/>
            </w:tcBorders>
          </w:tcPr>
          <w:p w14:paraId="66056D30">
            <w:pPr>
              <w:spacing w:line="440" w:lineRule="exact"/>
              <w:ind w:firstLine="420" w:firstLineChars="200"/>
              <w:jc w:val="both"/>
              <w:rPr>
                <w:rFonts w:hint="default"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1套</w:t>
            </w:r>
          </w:p>
        </w:tc>
        <w:tc>
          <w:tcPr>
            <w:tcW w:w="3181" w:type="pct"/>
            <w:tcBorders>
              <w:top w:val="single" w:color="000000" w:sz="4" w:space="0"/>
              <w:left w:val="single" w:color="000000" w:sz="4" w:space="0"/>
              <w:bottom w:val="single" w:color="000000" w:sz="4" w:space="0"/>
              <w:right w:val="single" w:color="000000" w:sz="4" w:space="0"/>
            </w:tcBorders>
          </w:tcPr>
          <w:p w14:paraId="259F04B6">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1）筛分</w:t>
            </w:r>
            <w:r>
              <w:rPr>
                <w:rFonts w:hint="default" w:ascii="宋体" w:hAnsi="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val="en-US" w:eastAsia="zh-CN"/>
              </w:rPr>
              <w:t>3cm以下粒径的菜渣，并用清水对榨菜原料二次清洗。</w:t>
            </w:r>
          </w:p>
          <w:p w14:paraId="00108CD0">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2）筛分能力≥150吨/小时，菜渣收集处理能力≥5吨/小时。</w:t>
            </w:r>
          </w:p>
          <w:p w14:paraId="67C8920B">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3）生产全过程菜渣不堵塞。</w:t>
            </w:r>
          </w:p>
          <w:p w14:paraId="13361002">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4）筛分的菜渣自动收集后装车处理。</w:t>
            </w:r>
          </w:p>
          <w:p w14:paraId="02381BEA">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5）物料初次清洗后再二次清洗，二次清洗后需沥水处理。</w:t>
            </w:r>
          </w:p>
          <w:p w14:paraId="49753390">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6）青菜头采用清水清洗，盐菜块采用盐水清洗。</w:t>
            </w:r>
          </w:p>
        </w:tc>
      </w:tr>
      <w:tr w14:paraId="2C950F56">
        <w:tblPrEx>
          <w:tblCellMar>
            <w:top w:w="0" w:type="dxa"/>
            <w:left w:w="0" w:type="dxa"/>
            <w:bottom w:w="0" w:type="dxa"/>
            <w:right w:w="0" w:type="dxa"/>
          </w:tblCellMar>
        </w:tblPrEx>
        <w:trPr>
          <w:trHeight w:val="2236" w:hRule="exact"/>
        </w:trPr>
        <w:tc>
          <w:tcPr>
            <w:tcW w:w="381" w:type="pct"/>
            <w:tcBorders>
              <w:top w:val="single" w:color="000000" w:sz="4" w:space="0"/>
              <w:left w:val="single" w:color="000000" w:sz="4" w:space="0"/>
              <w:bottom w:val="single" w:color="000000" w:sz="4" w:space="0"/>
              <w:right w:val="single" w:color="000000" w:sz="4" w:space="0"/>
            </w:tcBorders>
          </w:tcPr>
          <w:p w14:paraId="780D12FB">
            <w:pPr>
              <w:spacing w:line="440" w:lineRule="exact"/>
              <w:jc w:val="center"/>
              <w:rPr>
                <w:rFonts w:hint="eastAsia" w:eastAsia="宋体"/>
                <w:szCs w:val="21"/>
                <w:lang w:val="en-US" w:eastAsia="zh-CN"/>
              </w:rPr>
            </w:pPr>
            <w:r>
              <w:rPr>
                <w:rFonts w:hint="eastAsia"/>
                <w:szCs w:val="21"/>
                <w:lang w:val="en-US" w:eastAsia="zh-CN"/>
              </w:rPr>
              <w:t>4</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top"/>
          </w:tcPr>
          <w:p w14:paraId="3C9451FD">
            <w:pPr>
              <w:spacing w:line="440" w:lineRule="exact"/>
              <w:jc w:val="center"/>
              <w:rPr>
                <w:rFonts w:hint="eastAsia" w:ascii="宋体" w:hAnsi="宋体" w:eastAsia="宋体" w:cs="宋体"/>
                <w:caps w:val="0"/>
                <w:smallCaps w:val="0"/>
                <w:color w:val="auto"/>
                <w:sz w:val="21"/>
                <w:szCs w:val="21"/>
                <w:highlight w:val="none"/>
                <w:lang w:val="en-US" w:eastAsia="zh-CN"/>
              </w:rPr>
            </w:pPr>
            <w:r>
              <w:rPr>
                <w:rFonts w:hint="eastAsia" w:ascii="宋体" w:hAnsi="宋体"/>
                <w:snapToGrid w:val="0"/>
                <w:color w:val="auto"/>
                <w:kern w:val="0"/>
                <w:sz w:val="21"/>
                <w:szCs w:val="21"/>
                <w:highlight w:val="none"/>
                <w:u w:val="none"/>
                <w:lang w:val="en-US" w:eastAsia="zh-CN"/>
              </w:rPr>
              <w:t>输送系统</w:t>
            </w:r>
          </w:p>
        </w:tc>
        <w:tc>
          <w:tcPr>
            <w:tcW w:w="678" w:type="pct"/>
            <w:tcBorders>
              <w:top w:val="single" w:color="000000" w:sz="4" w:space="0"/>
              <w:left w:val="single" w:color="000000" w:sz="4" w:space="0"/>
              <w:bottom w:val="single" w:color="000000" w:sz="4" w:space="0"/>
              <w:right w:val="single" w:color="000000" w:sz="4" w:space="0"/>
            </w:tcBorders>
          </w:tcPr>
          <w:p w14:paraId="45FF0631">
            <w:pPr>
              <w:spacing w:line="440" w:lineRule="exact"/>
              <w:ind w:firstLine="420" w:firstLineChars="200"/>
              <w:jc w:val="both"/>
              <w:rPr>
                <w:rFonts w:hint="default"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1台</w:t>
            </w:r>
          </w:p>
        </w:tc>
        <w:tc>
          <w:tcPr>
            <w:tcW w:w="3181" w:type="pct"/>
            <w:tcBorders>
              <w:top w:val="single" w:color="000000" w:sz="4" w:space="0"/>
              <w:left w:val="single" w:color="000000" w:sz="4" w:space="0"/>
              <w:bottom w:val="single" w:color="000000" w:sz="4" w:space="0"/>
              <w:right w:val="single" w:color="000000" w:sz="4" w:space="0"/>
            </w:tcBorders>
          </w:tcPr>
          <w:p w14:paraId="5ABFB7A5">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1）输送能力≥150吨/小时。输送至车间内接料点。</w:t>
            </w:r>
          </w:p>
          <w:p w14:paraId="13FB0AE1">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2）输送速度≤0.5m/s，且速度变频可调。</w:t>
            </w:r>
          </w:p>
          <w:p w14:paraId="066FA211">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3）设置接水盘收集滴水集中处理，确保地面无积水，输送设备便于清洗。</w:t>
            </w:r>
          </w:p>
        </w:tc>
      </w:tr>
      <w:tr w14:paraId="6957DBE0">
        <w:tblPrEx>
          <w:tblCellMar>
            <w:top w:w="0" w:type="dxa"/>
            <w:left w:w="0" w:type="dxa"/>
            <w:bottom w:w="0" w:type="dxa"/>
            <w:right w:w="0" w:type="dxa"/>
          </w:tblCellMar>
        </w:tblPrEx>
        <w:trPr>
          <w:trHeight w:val="3011" w:hRule="exact"/>
        </w:trPr>
        <w:tc>
          <w:tcPr>
            <w:tcW w:w="381" w:type="pct"/>
            <w:tcBorders>
              <w:top w:val="single" w:color="000000" w:sz="4" w:space="0"/>
              <w:left w:val="single" w:color="000000" w:sz="4" w:space="0"/>
              <w:bottom w:val="single" w:color="000000" w:sz="4" w:space="0"/>
              <w:right w:val="single" w:color="000000" w:sz="4" w:space="0"/>
            </w:tcBorders>
          </w:tcPr>
          <w:p w14:paraId="39F81E73">
            <w:pPr>
              <w:spacing w:line="440" w:lineRule="exact"/>
              <w:ind w:firstLine="420" w:firstLineChars="200"/>
              <w:rPr>
                <w:rFonts w:hint="eastAsia" w:eastAsia="宋体"/>
                <w:szCs w:val="21"/>
                <w:lang w:val="en-US" w:eastAsia="zh-CN"/>
              </w:rPr>
            </w:pPr>
            <w:r>
              <w:rPr>
                <w:rFonts w:hint="eastAsia"/>
                <w:szCs w:val="21"/>
                <w:lang w:val="en-US" w:eastAsia="zh-CN"/>
              </w:rPr>
              <w:t>5</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top"/>
          </w:tcPr>
          <w:p w14:paraId="15B88DB8">
            <w:pPr>
              <w:spacing w:line="440" w:lineRule="exact"/>
              <w:jc w:val="center"/>
              <w:rPr>
                <w:rFonts w:hint="eastAsia" w:ascii="宋体" w:hAnsi="宋体" w:eastAsia="宋体" w:cs="宋体"/>
                <w:caps w:val="0"/>
                <w:smallCaps w:val="0"/>
                <w:color w:val="auto"/>
                <w:sz w:val="21"/>
                <w:szCs w:val="21"/>
                <w:highlight w:val="none"/>
                <w:lang w:val="en-US" w:eastAsia="zh-CN"/>
              </w:rPr>
            </w:pPr>
            <w:r>
              <w:rPr>
                <w:rFonts w:hint="eastAsia" w:ascii="宋体" w:hAnsi="宋体"/>
                <w:snapToGrid w:val="0"/>
                <w:color w:val="auto"/>
                <w:kern w:val="0"/>
                <w:sz w:val="21"/>
                <w:szCs w:val="21"/>
                <w:highlight w:val="none"/>
                <w:u w:val="none"/>
                <w:lang w:val="en-US" w:eastAsia="zh-CN"/>
              </w:rPr>
              <w:t>转运车接料系统</w:t>
            </w:r>
          </w:p>
        </w:tc>
        <w:tc>
          <w:tcPr>
            <w:tcW w:w="678" w:type="pct"/>
            <w:tcBorders>
              <w:top w:val="single" w:color="000000" w:sz="4" w:space="0"/>
              <w:left w:val="single" w:color="000000" w:sz="4" w:space="0"/>
              <w:bottom w:val="single" w:color="000000" w:sz="4" w:space="0"/>
              <w:right w:val="single" w:color="000000" w:sz="4" w:space="0"/>
            </w:tcBorders>
          </w:tcPr>
          <w:p w14:paraId="687D2065">
            <w:pPr>
              <w:spacing w:line="440" w:lineRule="exact"/>
              <w:jc w:val="center"/>
              <w:rPr>
                <w:rFonts w:hint="eastAsia"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1套</w:t>
            </w:r>
          </w:p>
        </w:tc>
        <w:tc>
          <w:tcPr>
            <w:tcW w:w="3181" w:type="pct"/>
            <w:tcBorders>
              <w:top w:val="single" w:color="000000" w:sz="4" w:space="0"/>
              <w:left w:val="single" w:color="000000" w:sz="4" w:space="0"/>
              <w:bottom w:val="single" w:color="000000" w:sz="4" w:space="0"/>
              <w:right w:val="single" w:color="000000" w:sz="4" w:space="0"/>
            </w:tcBorders>
          </w:tcPr>
          <w:p w14:paraId="02C00FE1">
            <w:pPr>
              <w:numPr>
                <w:ilvl w:val="0"/>
                <w:numId w:val="5"/>
              </w:num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车间内设置2个及以上接料点与自卸货车对接，接料点自动切换和自动装料。</w:t>
            </w:r>
          </w:p>
          <w:p w14:paraId="41D159E0">
            <w:pPr>
              <w:numPr>
                <w:ilvl w:val="0"/>
                <w:numId w:val="5"/>
              </w:num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卸料口与自卸车间设置缓冲装置，减少青菜头破损。</w:t>
            </w:r>
          </w:p>
          <w:p w14:paraId="50631360">
            <w:pPr>
              <w:numPr>
                <w:ilvl w:val="0"/>
                <w:numId w:val="5"/>
              </w:num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卸料点下自卸货车顺畅通行，净空高度3米。</w:t>
            </w:r>
          </w:p>
          <w:p w14:paraId="21FDE4D8">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4）设置人工安全操作的平台、楼梯、栏杆。</w:t>
            </w:r>
          </w:p>
          <w:p w14:paraId="07B283DF">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5）</w:t>
            </w:r>
            <w:r>
              <w:rPr>
                <w:rFonts w:hint="eastAsia" w:ascii="宋体" w:hAnsi="宋体"/>
                <w:snapToGrid w:val="0"/>
                <w:color w:val="auto"/>
                <w:kern w:val="0"/>
                <w:sz w:val="21"/>
                <w:szCs w:val="21"/>
                <w:highlight w:val="none"/>
                <w:u w:val="none"/>
                <w:lang w:val="en-US" w:eastAsia="zh-CN"/>
              </w:rPr>
              <w:t>转运车接料系统与自卸货车对接顺畅。</w:t>
            </w:r>
          </w:p>
          <w:p w14:paraId="3550096C">
            <w:pPr>
              <w:spacing w:line="440" w:lineRule="exact"/>
              <w:jc w:val="left"/>
              <w:rPr>
                <w:rFonts w:hint="eastAsia" w:ascii="宋体" w:hAnsi="宋体" w:cs="宋体"/>
                <w:caps w:val="0"/>
                <w:smallCaps w:val="0"/>
                <w:color w:val="auto"/>
                <w:sz w:val="21"/>
                <w:szCs w:val="21"/>
                <w:highlight w:val="none"/>
                <w:lang w:val="en-US" w:eastAsia="zh-CN"/>
              </w:rPr>
            </w:pPr>
          </w:p>
          <w:p w14:paraId="1F21EFD9">
            <w:pPr>
              <w:spacing w:line="440" w:lineRule="exact"/>
              <w:jc w:val="left"/>
              <w:rPr>
                <w:rFonts w:hint="eastAsia" w:ascii="宋体" w:hAnsi="宋体" w:cs="宋体"/>
                <w:caps w:val="0"/>
                <w:smallCaps w:val="0"/>
                <w:color w:val="auto"/>
                <w:sz w:val="21"/>
                <w:szCs w:val="21"/>
                <w:highlight w:val="none"/>
                <w:lang w:val="en-US" w:eastAsia="zh-CN"/>
              </w:rPr>
            </w:pPr>
          </w:p>
        </w:tc>
      </w:tr>
      <w:tr w14:paraId="07384407">
        <w:tblPrEx>
          <w:tblCellMar>
            <w:top w:w="0" w:type="dxa"/>
            <w:left w:w="0" w:type="dxa"/>
            <w:bottom w:w="0" w:type="dxa"/>
            <w:right w:w="0" w:type="dxa"/>
          </w:tblCellMar>
        </w:tblPrEx>
        <w:trPr>
          <w:trHeight w:val="3458" w:hRule="exact"/>
        </w:trPr>
        <w:tc>
          <w:tcPr>
            <w:tcW w:w="381" w:type="pct"/>
            <w:tcBorders>
              <w:top w:val="single" w:color="000000" w:sz="4" w:space="0"/>
              <w:left w:val="single" w:color="000000" w:sz="4" w:space="0"/>
              <w:bottom w:val="single" w:color="000000" w:sz="4" w:space="0"/>
              <w:right w:val="single" w:color="000000" w:sz="4" w:space="0"/>
            </w:tcBorders>
          </w:tcPr>
          <w:p w14:paraId="3A8D3471">
            <w:pPr>
              <w:spacing w:line="440" w:lineRule="exact"/>
              <w:ind w:firstLine="420" w:firstLineChars="200"/>
              <w:jc w:val="center"/>
              <w:rPr>
                <w:rFonts w:hint="default" w:eastAsia="宋体"/>
                <w:szCs w:val="21"/>
                <w:lang w:val="en-US" w:eastAsia="zh-CN"/>
              </w:rPr>
            </w:pPr>
            <w:r>
              <w:rPr>
                <w:rFonts w:hint="eastAsia"/>
                <w:szCs w:val="21"/>
                <w:lang w:val="en-US" w:eastAsia="zh-CN"/>
              </w:rPr>
              <w:t>6</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top"/>
          </w:tcPr>
          <w:p w14:paraId="0C01E7D1">
            <w:pPr>
              <w:spacing w:line="440" w:lineRule="exact"/>
              <w:jc w:val="center"/>
              <w:rPr>
                <w:rFonts w:hint="default"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封池水袋</w:t>
            </w:r>
          </w:p>
        </w:tc>
        <w:tc>
          <w:tcPr>
            <w:tcW w:w="678" w:type="pct"/>
            <w:tcBorders>
              <w:top w:val="single" w:color="000000" w:sz="4" w:space="0"/>
              <w:left w:val="single" w:color="000000" w:sz="4" w:space="0"/>
              <w:bottom w:val="single" w:color="000000" w:sz="4" w:space="0"/>
              <w:right w:val="single" w:color="000000" w:sz="4" w:space="0"/>
            </w:tcBorders>
          </w:tcPr>
          <w:p w14:paraId="10FE0F3B">
            <w:pPr>
              <w:spacing w:line="440" w:lineRule="exact"/>
              <w:jc w:val="center"/>
              <w:rPr>
                <w:rFonts w:hint="default" w:ascii="宋体" w:hAnsi="宋体" w:eastAsia="宋体" w:cs="宋体"/>
                <w:caps w:val="0"/>
                <w:smallCaps w:val="0"/>
                <w:color w:val="auto"/>
                <w:sz w:val="21"/>
                <w:szCs w:val="21"/>
                <w:highlight w:val="none"/>
                <w:lang w:val="en-US"/>
              </w:rPr>
            </w:pPr>
            <w:r>
              <w:rPr>
                <w:rFonts w:hint="eastAsia" w:ascii="宋体" w:hAnsi="宋体" w:cs="宋体"/>
                <w:caps w:val="0"/>
                <w:smallCaps w:val="0"/>
                <w:color w:val="auto"/>
                <w:sz w:val="21"/>
                <w:szCs w:val="21"/>
                <w:highlight w:val="none"/>
                <w:lang w:val="en-US" w:eastAsia="zh-CN"/>
              </w:rPr>
              <w:t>100套</w:t>
            </w:r>
          </w:p>
        </w:tc>
        <w:tc>
          <w:tcPr>
            <w:tcW w:w="3181" w:type="pct"/>
            <w:tcBorders>
              <w:top w:val="single" w:color="000000" w:sz="4" w:space="0"/>
              <w:left w:val="single" w:color="000000" w:sz="4" w:space="0"/>
              <w:bottom w:val="single" w:color="000000" w:sz="4" w:space="0"/>
              <w:right w:val="single" w:color="000000" w:sz="4" w:space="0"/>
            </w:tcBorders>
          </w:tcPr>
          <w:p w14:paraId="4E1C0CA2">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1）窖池尺寸（宽*长）：5.37*6m。</w:t>
            </w:r>
          </w:p>
          <w:p w14:paraId="0885F85A">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2）封池水深度150-250mm。</w:t>
            </w:r>
          </w:p>
          <w:p w14:paraId="0D65D17D">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3）水袋材质要求防水、耐酸碱腐蚀、耐盐腐蚀、耐磨损、抗撕裂、避光。</w:t>
            </w:r>
          </w:p>
          <w:p w14:paraId="6CFC5FAB">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4）水袋破损能快速修复。</w:t>
            </w:r>
          </w:p>
          <w:p w14:paraId="22DBA0F1">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5）快速加水、排水和排气，便于收纳存放。</w:t>
            </w:r>
          </w:p>
          <w:p w14:paraId="19D06A8C">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6）水袋收纳、转运、存储架。</w:t>
            </w:r>
          </w:p>
          <w:p w14:paraId="4D96134A">
            <w:pPr>
              <w:spacing w:line="440" w:lineRule="exact"/>
              <w:jc w:val="left"/>
              <w:rPr>
                <w:rFonts w:hint="eastAsia" w:ascii="宋体" w:hAnsi="宋体" w:cs="宋体"/>
                <w:caps w:val="0"/>
                <w:smallCaps w:val="0"/>
                <w:color w:val="auto"/>
                <w:sz w:val="21"/>
                <w:szCs w:val="21"/>
                <w:highlight w:val="none"/>
                <w:lang w:val="en-US" w:eastAsia="zh-CN"/>
              </w:rPr>
            </w:pPr>
          </w:p>
          <w:p w14:paraId="0D6A7F2C">
            <w:pPr>
              <w:spacing w:line="440" w:lineRule="exact"/>
              <w:jc w:val="left"/>
              <w:rPr>
                <w:rFonts w:hint="eastAsia" w:ascii="宋体" w:hAnsi="宋体" w:cs="宋体"/>
                <w:caps w:val="0"/>
                <w:smallCaps w:val="0"/>
                <w:color w:val="auto"/>
                <w:sz w:val="21"/>
                <w:szCs w:val="21"/>
                <w:highlight w:val="none"/>
                <w:lang w:val="en-US" w:eastAsia="zh-CN"/>
              </w:rPr>
            </w:pPr>
          </w:p>
        </w:tc>
      </w:tr>
      <w:tr w14:paraId="56FD0D15">
        <w:tblPrEx>
          <w:tblCellMar>
            <w:top w:w="0" w:type="dxa"/>
            <w:left w:w="0" w:type="dxa"/>
            <w:bottom w:w="0" w:type="dxa"/>
            <w:right w:w="0" w:type="dxa"/>
          </w:tblCellMar>
        </w:tblPrEx>
        <w:trPr>
          <w:trHeight w:val="2804" w:hRule="exact"/>
        </w:trPr>
        <w:tc>
          <w:tcPr>
            <w:tcW w:w="381" w:type="pct"/>
            <w:tcBorders>
              <w:top w:val="single" w:color="000000" w:sz="4" w:space="0"/>
              <w:left w:val="single" w:color="000000" w:sz="4" w:space="0"/>
              <w:bottom w:val="single" w:color="000000" w:sz="4" w:space="0"/>
              <w:right w:val="single" w:color="000000" w:sz="4" w:space="0"/>
            </w:tcBorders>
          </w:tcPr>
          <w:p w14:paraId="072F0C2E">
            <w:pPr>
              <w:spacing w:line="440" w:lineRule="exact"/>
              <w:ind w:firstLine="420" w:firstLineChars="200"/>
              <w:jc w:val="center"/>
              <w:rPr>
                <w:rFonts w:hint="default" w:eastAsia="宋体"/>
                <w:szCs w:val="21"/>
                <w:lang w:val="en-US" w:eastAsia="zh-CN"/>
              </w:rPr>
            </w:pPr>
            <w:r>
              <w:rPr>
                <w:rFonts w:hint="eastAsia"/>
                <w:szCs w:val="21"/>
                <w:lang w:val="en-US" w:eastAsia="zh-CN"/>
              </w:rPr>
              <w:t>7</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top"/>
          </w:tcPr>
          <w:p w14:paraId="4D747060">
            <w:pPr>
              <w:spacing w:line="440" w:lineRule="exact"/>
              <w:jc w:val="center"/>
              <w:rPr>
                <w:rFonts w:hint="eastAsia"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电动</w:t>
            </w:r>
            <w:r>
              <w:rPr>
                <w:rFonts w:hint="eastAsia" w:ascii="宋体" w:hAnsi="宋体" w:eastAsia="宋体" w:cs="宋体"/>
                <w:caps w:val="0"/>
                <w:smallCaps w:val="0"/>
                <w:color w:val="auto"/>
                <w:sz w:val="21"/>
                <w:szCs w:val="21"/>
                <w:highlight w:val="none"/>
                <w:lang w:val="en-US" w:eastAsia="zh-CN"/>
              </w:rPr>
              <w:t>叉车</w:t>
            </w:r>
          </w:p>
        </w:tc>
        <w:tc>
          <w:tcPr>
            <w:tcW w:w="678" w:type="pct"/>
            <w:tcBorders>
              <w:top w:val="single" w:color="000000" w:sz="4" w:space="0"/>
              <w:left w:val="single" w:color="000000" w:sz="4" w:space="0"/>
              <w:bottom w:val="single" w:color="000000" w:sz="4" w:space="0"/>
              <w:right w:val="single" w:color="000000" w:sz="4" w:space="0"/>
            </w:tcBorders>
          </w:tcPr>
          <w:p w14:paraId="2E7AE1E7">
            <w:pPr>
              <w:spacing w:line="440" w:lineRule="exact"/>
              <w:ind w:firstLine="420" w:firstLineChars="200"/>
              <w:jc w:val="both"/>
              <w:rPr>
                <w:rFonts w:hint="default" w:ascii="宋体" w:hAnsi="宋体" w:eastAsia="宋体" w:cs="宋体"/>
                <w:caps w:val="0"/>
                <w:smallCaps w:val="0"/>
                <w:color w:val="auto"/>
                <w:sz w:val="21"/>
                <w:szCs w:val="21"/>
                <w:highlight w:val="none"/>
                <w:lang w:val="en-US"/>
              </w:rPr>
            </w:pPr>
            <w:r>
              <w:rPr>
                <w:rFonts w:hint="eastAsia" w:ascii="宋体" w:hAnsi="宋体" w:cs="宋体"/>
                <w:caps w:val="0"/>
                <w:smallCaps w:val="0"/>
                <w:color w:val="auto"/>
                <w:sz w:val="21"/>
                <w:szCs w:val="21"/>
                <w:highlight w:val="none"/>
                <w:lang w:val="en-US" w:eastAsia="zh-CN"/>
              </w:rPr>
              <w:t>2台</w:t>
            </w:r>
          </w:p>
        </w:tc>
        <w:tc>
          <w:tcPr>
            <w:tcW w:w="3181" w:type="pct"/>
            <w:tcBorders>
              <w:top w:val="single" w:color="000000" w:sz="4" w:space="0"/>
              <w:left w:val="single" w:color="000000" w:sz="4" w:space="0"/>
              <w:bottom w:val="single" w:color="000000" w:sz="4" w:space="0"/>
              <w:right w:val="single" w:color="000000" w:sz="4" w:space="0"/>
            </w:tcBorders>
          </w:tcPr>
          <w:p w14:paraId="78406192">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1）规格：3T电动叉车</w:t>
            </w:r>
          </w:p>
          <w:p w14:paraId="0E4110D8">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2）有效举升高度4米</w:t>
            </w:r>
          </w:p>
          <w:p w14:paraId="448603D9">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3）充电设备一机一套</w:t>
            </w:r>
          </w:p>
          <w:p w14:paraId="4656BC6B">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4）蓄电池：采用锂电池60-80V/500-800Ah</w:t>
            </w:r>
          </w:p>
          <w:p w14:paraId="4CB857CC">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5）配置叉车旋转器（用于料框旋转卸料）。</w:t>
            </w:r>
          </w:p>
          <w:p w14:paraId="5B1ABDA9">
            <w:pPr>
              <w:spacing w:line="440" w:lineRule="exact"/>
              <w:jc w:val="left"/>
              <w:rPr>
                <w:rFonts w:hint="default"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6）叉车底盘采用防腐处理。</w:t>
            </w:r>
          </w:p>
        </w:tc>
      </w:tr>
      <w:tr w14:paraId="1B37CC7B">
        <w:tblPrEx>
          <w:tblCellMar>
            <w:top w:w="0" w:type="dxa"/>
            <w:left w:w="0" w:type="dxa"/>
            <w:bottom w:w="0" w:type="dxa"/>
            <w:right w:w="0" w:type="dxa"/>
          </w:tblCellMar>
        </w:tblPrEx>
        <w:trPr>
          <w:trHeight w:val="3858" w:hRule="exact"/>
        </w:trPr>
        <w:tc>
          <w:tcPr>
            <w:tcW w:w="381" w:type="pct"/>
            <w:tcBorders>
              <w:top w:val="single" w:color="000000" w:sz="4" w:space="0"/>
              <w:left w:val="single" w:color="000000" w:sz="4" w:space="0"/>
              <w:bottom w:val="single" w:color="000000" w:sz="4" w:space="0"/>
              <w:right w:val="single" w:color="000000" w:sz="4" w:space="0"/>
            </w:tcBorders>
          </w:tcPr>
          <w:p w14:paraId="6B561B24">
            <w:pPr>
              <w:spacing w:line="440" w:lineRule="exact"/>
              <w:ind w:firstLine="420" w:firstLineChars="200"/>
              <w:jc w:val="center"/>
              <w:rPr>
                <w:rFonts w:hint="default" w:eastAsia="宋体"/>
                <w:szCs w:val="21"/>
                <w:lang w:val="en-US" w:eastAsia="zh-CN"/>
              </w:rPr>
            </w:pPr>
            <w:r>
              <w:rPr>
                <w:rFonts w:hint="eastAsia"/>
                <w:szCs w:val="21"/>
                <w:lang w:val="en-US" w:eastAsia="zh-CN"/>
              </w:rPr>
              <w:t>8</w:t>
            </w:r>
          </w:p>
        </w:tc>
        <w:tc>
          <w:tcPr>
            <w:tcW w:w="759" w:type="pct"/>
            <w:tcBorders>
              <w:top w:val="single" w:color="000000" w:sz="4" w:space="0"/>
              <w:left w:val="single" w:color="000000" w:sz="4" w:space="0"/>
              <w:bottom w:val="single" w:color="000000" w:sz="4" w:space="0"/>
              <w:right w:val="single" w:color="000000" w:sz="4" w:space="0"/>
            </w:tcBorders>
            <w:shd w:val="clear" w:color="auto" w:fill="auto"/>
            <w:vAlign w:val="top"/>
          </w:tcPr>
          <w:p w14:paraId="48A4F460">
            <w:pPr>
              <w:spacing w:line="440" w:lineRule="exact"/>
              <w:jc w:val="center"/>
              <w:rPr>
                <w:rFonts w:hint="default"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视频监控系统</w:t>
            </w:r>
          </w:p>
        </w:tc>
        <w:tc>
          <w:tcPr>
            <w:tcW w:w="678" w:type="pct"/>
            <w:tcBorders>
              <w:top w:val="single" w:color="000000" w:sz="4" w:space="0"/>
              <w:left w:val="single" w:color="000000" w:sz="4" w:space="0"/>
              <w:bottom w:val="single" w:color="000000" w:sz="4" w:space="0"/>
              <w:right w:val="single" w:color="000000" w:sz="4" w:space="0"/>
            </w:tcBorders>
          </w:tcPr>
          <w:p w14:paraId="4D453659">
            <w:pPr>
              <w:spacing w:line="440" w:lineRule="exact"/>
              <w:ind w:firstLine="420" w:firstLineChars="200"/>
              <w:jc w:val="center"/>
              <w:rPr>
                <w:rFonts w:hint="default"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1套</w:t>
            </w:r>
          </w:p>
        </w:tc>
        <w:tc>
          <w:tcPr>
            <w:tcW w:w="3181" w:type="pct"/>
            <w:tcBorders>
              <w:top w:val="single" w:color="000000" w:sz="4" w:space="0"/>
              <w:left w:val="single" w:color="000000" w:sz="4" w:space="0"/>
              <w:bottom w:val="single" w:color="000000" w:sz="4" w:space="0"/>
              <w:right w:val="single" w:color="000000" w:sz="4" w:space="0"/>
            </w:tcBorders>
          </w:tcPr>
          <w:p w14:paraId="32451922">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1）设备区域全覆盖。</w:t>
            </w:r>
          </w:p>
          <w:p w14:paraId="0F2C33B3">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2）储存时间40天。</w:t>
            </w:r>
          </w:p>
          <w:p w14:paraId="699A7710">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3）液晶显示器98寸。</w:t>
            </w:r>
          </w:p>
          <w:p w14:paraId="6B70CACA">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4）千兆以太网。</w:t>
            </w:r>
          </w:p>
          <w:p w14:paraId="5C834D26">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5）支持视频预览、录像回放、图片查看、解码上墙等功能。</w:t>
            </w:r>
          </w:p>
          <w:p w14:paraId="486A5335">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6）最大图像尺寸:2560×1440及以上</w:t>
            </w:r>
          </w:p>
          <w:p w14:paraId="4FC98E83">
            <w:pPr>
              <w:spacing w:line="440" w:lineRule="exact"/>
              <w:jc w:val="left"/>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 xml:space="preserve">7）超宽动态网络摄像机，1/2.8" CMOS </w:t>
            </w:r>
          </w:p>
          <w:p w14:paraId="5A451D93">
            <w:pPr>
              <w:spacing w:line="440" w:lineRule="exact"/>
              <w:jc w:val="left"/>
              <w:rPr>
                <w:rFonts w:hint="default" w:ascii="宋体" w:hAnsi="宋体" w:cs="宋体"/>
                <w:caps w:val="0"/>
                <w:smallCaps w:val="0"/>
                <w:color w:val="auto"/>
                <w:sz w:val="21"/>
                <w:szCs w:val="21"/>
                <w:highlight w:val="none"/>
                <w:lang w:val="en-US" w:eastAsia="zh-CN"/>
              </w:rPr>
            </w:pPr>
          </w:p>
        </w:tc>
      </w:tr>
    </w:tbl>
    <w:p w14:paraId="0A0E0874">
      <w:pPr>
        <w:numPr>
          <w:ilvl w:val="0"/>
          <w:numId w:val="0"/>
        </w:numPr>
        <w:spacing w:line="360" w:lineRule="auto"/>
        <w:rPr>
          <w:rFonts w:hint="eastAsia"/>
          <w:b/>
          <w:bCs/>
          <w:sz w:val="22"/>
          <w:szCs w:val="28"/>
          <w:lang w:val="en-US" w:eastAsia="zh-CN"/>
        </w:rPr>
      </w:pPr>
    </w:p>
    <w:p w14:paraId="2B05E93D">
      <w:pPr>
        <w:numPr>
          <w:ilvl w:val="0"/>
          <w:numId w:val="0"/>
        </w:numPr>
        <w:spacing w:line="360" w:lineRule="auto"/>
        <w:rPr>
          <w:rFonts w:hint="eastAsia"/>
          <w:b/>
          <w:bCs/>
          <w:sz w:val="22"/>
          <w:szCs w:val="28"/>
          <w:lang w:val="en-US" w:eastAsia="zh-CN"/>
        </w:rPr>
      </w:pPr>
      <w:r>
        <w:rPr>
          <w:rFonts w:hint="eastAsia"/>
          <w:b/>
          <w:bCs/>
          <w:sz w:val="22"/>
          <w:szCs w:val="28"/>
          <w:lang w:val="en-US" w:eastAsia="zh-CN"/>
        </w:rPr>
        <w:t>注：以上非标设备功能可以拆分和集成，设备功能不能减少或降低。</w:t>
      </w:r>
    </w:p>
    <w:p w14:paraId="2D3F042C">
      <w:pPr>
        <w:pStyle w:val="6"/>
        <w:bidi w:val="0"/>
        <w:rPr>
          <w:rFonts w:hint="eastAsia"/>
          <w:lang w:val="en-US" w:eastAsia="zh-CN"/>
        </w:rPr>
      </w:pPr>
      <w:r>
        <w:rPr>
          <w:rFonts w:hint="eastAsia"/>
          <w:lang w:val="en-US" w:eastAsia="zh-CN"/>
        </w:rPr>
        <w:t>2、工具和备件</w:t>
      </w:r>
    </w:p>
    <w:p w14:paraId="3ABDF227">
      <w:pPr>
        <w:keepNext w:val="0"/>
        <w:keepLines w:val="0"/>
        <w:pageBreakBefore w:val="0"/>
        <w:kinsoku/>
        <w:wordWrap/>
        <w:overflowPunct/>
        <w:topLinePunct w:val="0"/>
        <w:bidi w:val="0"/>
        <w:spacing w:line="360" w:lineRule="auto"/>
        <w:ind w:firstLine="420" w:firstLineChars="200"/>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1）水泵机封与泵品牌配套，机封密封面采用SiC/WC，使用寿命大于1年，每1台水泵备1套机封。</w:t>
      </w:r>
    </w:p>
    <w:p w14:paraId="028BEC07">
      <w:pPr>
        <w:keepNext w:val="0"/>
        <w:keepLines w:val="0"/>
        <w:pageBreakBefore w:val="0"/>
        <w:kinsoku/>
        <w:wordWrap/>
        <w:overflowPunct/>
        <w:topLinePunct w:val="0"/>
        <w:bidi w:val="0"/>
        <w:spacing w:line="360" w:lineRule="auto"/>
        <w:ind w:firstLine="420" w:firstLineChars="200"/>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2）封池水袋快速修复工具及材料1套。</w:t>
      </w:r>
    </w:p>
    <w:p w14:paraId="730567BD">
      <w:pPr>
        <w:pStyle w:val="17"/>
        <w:rPr>
          <w:rFonts w:hint="default"/>
          <w:lang w:val="en-US" w:eastAsia="zh-CN"/>
        </w:rPr>
      </w:pPr>
    </w:p>
    <w:p w14:paraId="11099D83">
      <w:pPr>
        <w:pStyle w:val="4"/>
        <w:rPr>
          <w:szCs w:val="28"/>
        </w:rPr>
      </w:pPr>
      <w:bookmarkStart w:id="932" w:name="_Toc31579"/>
      <w:bookmarkStart w:id="933" w:name="_Toc29844"/>
      <w:bookmarkStart w:id="934" w:name="_Toc28097"/>
      <w:bookmarkStart w:id="935" w:name="_Toc19335"/>
      <w:bookmarkStart w:id="936" w:name="_Toc20702"/>
      <w:bookmarkStart w:id="937" w:name="_Toc21216"/>
      <w:r>
        <w:rPr>
          <w:rFonts w:hint="eastAsia"/>
          <w:szCs w:val="28"/>
        </w:rPr>
        <w:t>三、技术性能指标</w:t>
      </w:r>
      <w:bookmarkEnd w:id="932"/>
      <w:bookmarkEnd w:id="933"/>
      <w:bookmarkEnd w:id="934"/>
      <w:bookmarkEnd w:id="935"/>
      <w:bookmarkEnd w:id="936"/>
      <w:bookmarkEnd w:id="937"/>
    </w:p>
    <w:p w14:paraId="4EA0A67C">
      <w:pPr>
        <w:pStyle w:val="6"/>
        <w:bidi w:val="0"/>
        <w:rPr>
          <w:rFonts w:hint="default"/>
          <w:lang w:val="en-US" w:eastAsia="zh-CN"/>
        </w:rPr>
      </w:pPr>
      <w:r>
        <w:rPr>
          <w:rFonts w:hint="eastAsia"/>
          <w:lang w:val="en-US" w:eastAsia="zh-CN"/>
        </w:rPr>
        <w:t>1、工艺要求</w:t>
      </w:r>
    </w:p>
    <w:p w14:paraId="7B7E64D9">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w:t>
      </w:r>
      <w:r>
        <w:rPr>
          <w:rFonts w:hint="eastAsia" w:ascii="宋体" w:hAnsi="宋体" w:cs="宋体"/>
          <w:caps w:val="0"/>
          <w:smallCaps w:val="0"/>
          <w:color w:val="auto"/>
          <w:sz w:val="21"/>
          <w:szCs w:val="21"/>
          <w:highlight w:val="none"/>
          <w:lang w:val="en-US" w:eastAsia="zh-CN"/>
        </w:rPr>
        <w:t>榨菜原料（青菜头）</w:t>
      </w:r>
      <w:r>
        <w:rPr>
          <w:rFonts w:hint="eastAsia" w:ascii="宋体" w:hAnsi="宋体" w:eastAsia="宋体" w:cs="宋体"/>
          <w:caps w:val="0"/>
          <w:smallCaps w:val="0"/>
          <w:color w:val="auto"/>
          <w:sz w:val="21"/>
          <w:szCs w:val="21"/>
          <w:highlight w:val="none"/>
          <w:lang w:val="en-US" w:eastAsia="zh-CN"/>
        </w:rPr>
        <w:t>收购</w:t>
      </w:r>
    </w:p>
    <w:p w14:paraId="4AAB2CC3">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1）榨菜原料</w:t>
      </w:r>
      <w:r>
        <w:rPr>
          <w:rFonts w:hint="eastAsia" w:ascii="宋体" w:hAnsi="宋体" w:cs="宋体"/>
          <w:caps w:val="0"/>
          <w:smallCaps w:val="0"/>
          <w:color w:val="auto"/>
          <w:sz w:val="21"/>
          <w:szCs w:val="21"/>
          <w:highlight w:val="none"/>
          <w:lang w:val="en-US" w:eastAsia="zh-CN"/>
        </w:rPr>
        <w:t>（青菜头）</w:t>
      </w:r>
      <w:r>
        <w:rPr>
          <w:rFonts w:hint="eastAsia" w:ascii="宋体" w:hAnsi="宋体" w:eastAsia="宋体" w:cs="宋体"/>
          <w:caps w:val="0"/>
          <w:smallCaps w:val="0"/>
          <w:color w:val="auto"/>
          <w:sz w:val="21"/>
          <w:szCs w:val="21"/>
          <w:highlight w:val="none"/>
          <w:lang w:val="en-US" w:eastAsia="zh-CN"/>
        </w:rPr>
        <w:t>收购流程</w:t>
      </w:r>
    </w:p>
    <w:p w14:paraId="2F7FAE51">
      <w:pPr>
        <w:rPr>
          <w:rFonts w:hint="default"/>
          <w:lang w:val="en-US" w:eastAsia="zh-CN"/>
        </w:rPr>
      </w:pPr>
    </w:p>
    <w:p w14:paraId="5DF973F6">
      <w:pPr>
        <w:jc w:val="center"/>
        <w:rPr>
          <w:rFonts w:hint="default"/>
          <w:lang w:val="en-US" w:eastAsia="zh-CN"/>
        </w:rPr>
      </w:pPr>
      <w:r>
        <w:rPr>
          <w:rFonts w:hint="default"/>
          <w:lang w:val="en-US" w:eastAsia="zh-CN"/>
        </w:rPr>
        <w:drawing>
          <wp:inline distT="0" distB="0" distL="114300" distR="114300">
            <wp:extent cx="5215890" cy="3329940"/>
            <wp:effectExtent l="0" t="0" r="3810" b="3810"/>
            <wp:docPr id="9" name="图片 9" descr="37a67e7c-fe40-49ef-9b13-a6b2a7cc00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7a67e7c-fe40-49ef-9b13-a6b2a7cc007a"/>
                    <pic:cNvPicPr>
                      <a:picLocks noChangeAspect="1"/>
                    </pic:cNvPicPr>
                  </pic:nvPicPr>
                  <pic:blipFill>
                    <a:blip r:embed="rId12"/>
                    <a:stretch>
                      <a:fillRect/>
                    </a:stretch>
                  </pic:blipFill>
                  <pic:spPr>
                    <a:xfrm>
                      <a:off x="0" y="0"/>
                      <a:ext cx="5215890" cy="3329940"/>
                    </a:xfrm>
                    <a:prstGeom prst="rect">
                      <a:avLst/>
                    </a:prstGeom>
                  </pic:spPr>
                </pic:pic>
              </a:graphicData>
            </a:graphic>
          </wp:inline>
        </w:drawing>
      </w:r>
    </w:p>
    <w:p w14:paraId="75F831D8">
      <w:pPr>
        <w:jc w:val="center"/>
        <w:rPr>
          <w:rFonts w:hint="eastAsia"/>
          <w:lang w:val="en-US" w:eastAsia="zh-CN"/>
        </w:rPr>
      </w:pPr>
      <w:r>
        <w:rPr>
          <w:rFonts w:hint="eastAsia"/>
          <w:lang w:val="en-US" w:eastAsia="zh-CN"/>
        </w:rPr>
        <w:t>5#车间青菜头收购流程图</w:t>
      </w:r>
    </w:p>
    <w:p w14:paraId="4AF409C7">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2）工艺要求</w:t>
      </w:r>
    </w:p>
    <w:p w14:paraId="690EFCA1">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计量要求：榨菜原料卸车前、卸车后分别称重，称重信息绑定车牌、货主等信息</w:t>
      </w:r>
      <w:r>
        <w:rPr>
          <w:rFonts w:hint="eastAsia" w:ascii="宋体" w:hAnsi="宋体" w:cs="宋体"/>
          <w:caps w:val="0"/>
          <w:smallCaps w:val="0"/>
          <w:color w:val="auto"/>
          <w:sz w:val="21"/>
          <w:szCs w:val="21"/>
          <w:highlight w:val="none"/>
          <w:lang w:val="en-US" w:eastAsia="zh-CN"/>
        </w:rPr>
        <w:t>，数据对接招标人现有称重结算系统</w:t>
      </w:r>
      <w:r>
        <w:rPr>
          <w:rFonts w:hint="eastAsia" w:ascii="宋体" w:hAnsi="宋体" w:eastAsia="宋体" w:cs="宋体"/>
          <w:caps w:val="0"/>
          <w:smallCaps w:val="0"/>
          <w:color w:val="auto"/>
          <w:sz w:val="21"/>
          <w:szCs w:val="21"/>
          <w:highlight w:val="none"/>
          <w:lang w:val="en-US" w:eastAsia="zh-CN"/>
        </w:rPr>
        <w:t>。</w:t>
      </w:r>
    </w:p>
    <w:p w14:paraId="2EB4FE0D">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清洗要求：</w:t>
      </w:r>
      <w:r>
        <w:rPr>
          <w:rFonts w:hint="eastAsia" w:ascii="宋体" w:hAnsi="宋体" w:cs="宋体"/>
          <w:caps w:val="0"/>
          <w:smallCaps w:val="0"/>
          <w:color w:val="auto"/>
          <w:sz w:val="21"/>
          <w:szCs w:val="21"/>
          <w:highlight w:val="none"/>
          <w:lang w:val="en-US" w:eastAsia="zh-CN"/>
        </w:rPr>
        <w:t>青菜头</w:t>
      </w:r>
      <w:r>
        <w:rPr>
          <w:rFonts w:hint="eastAsia" w:ascii="宋体" w:hAnsi="宋体" w:eastAsia="宋体" w:cs="宋体"/>
          <w:caps w:val="0"/>
          <w:smallCaps w:val="0"/>
          <w:color w:val="auto"/>
          <w:sz w:val="21"/>
          <w:szCs w:val="21"/>
          <w:highlight w:val="none"/>
          <w:lang w:val="en-US" w:eastAsia="zh-CN"/>
        </w:rPr>
        <w:t>原料采用循环水粗洗+自来水精洗去除榨菜原料表面泥土。</w:t>
      </w:r>
    </w:p>
    <w:p w14:paraId="40AF1613">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筛分要求：榨菜原料进窖池腌制前筛分出粒径小于3cm的菜渣</w:t>
      </w:r>
      <w:r>
        <w:rPr>
          <w:rFonts w:hint="eastAsia" w:ascii="宋体" w:hAnsi="宋体" w:cs="宋体"/>
          <w:caps w:val="0"/>
          <w:smallCaps w:val="0"/>
          <w:color w:val="auto"/>
          <w:sz w:val="21"/>
          <w:szCs w:val="21"/>
          <w:highlight w:val="none"/>
          <w:lang w:val="en-US" w:eastAsia="zh-CN"/>
        </w:rPr>
        <w:t>，并</w:t>
      </w:r>
      <w:r>
        <w:rPr>
          <w:rFonts w:hint="eastAsia" w:ascii="宋体" w:hAnsi="宋体" w:eastAsia="宋体" w:cs="宋体"/>
          <w:caps w:val="0"/>
          <w:smallCaps w:val="0"/>
          <w:color w:val="auto"/>
          <w:sz w:val="21"/>
          <w:szCs w:val="21"/>
          <w:highlight w:val="none"/>
          <w:lang w:val="en-US" w:eastAsia="zh-CN"/>
        </w:rPr>
        <w:t>剔除漂浮杂质。</w:t>
      </w:r>
    </w:p>
    <w:p w14:paraId="72231690">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循环水处理要求：循环水需沉沙、过滤后再次使用，泥浆、泥沙自动化处理。</w:t>
      </w:r>
    </w:p>
    <w:p w14:paraId="198874A8">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color w:val="auto"/>
          <w:lang w:val="en-US" w:eastAsia="zh-CN"/>
        </w:rPr>
        <w:t>2、</w:t>
      </w:r>
      <w:r>
        <w:rPr>
          <w:rFonts w:hint="eastAsia" w:ascii="宋体" w:hAnsi="宋体" w:cs="宋体"/>
          <w:caps w:val="0"/>
          <w:smallCaps w:val="0"/>
          <w:color w:val="auto"/>
          <w:sz w:val="21"/>
          <w:szCs w:val="21"/>
          <w:highlight w:val="none"/>
          <w:lang w:val="en-US" w:eastAsia="zh-CN"/>
        </w:rPr>
        <w:t>榨菜原料（盐菜块）</w:t>
      </w:r>
      <w:r>
        <w:rPr>
          <w:rFonts w:hint="eastAsia" w:ascii="宋体" w:hAnsi="宋体" w:eastAsia="宋体" w:cs="宋体"/>
          <w:caps w:val="0"/>
          <w:smallCaps w:val="0"/>
          <w:color w:val="auto"/>
          <w:sz w:val="21"/>
          <w:szCs w:val="21"/>
          <w:highlight w:val="none"/>
          <w:lang w:val="en-US" w:eastAsia="zh-CN"/>
        </w:rPr>
        <w:t>收购</w:t>
      </w:r>
    </w:p>
    <w:p w14:paraId="5CE3376B">
      <w:pPr>
        <w:keepNext w:val="0"/>
        <w:keepLines w:val="0"/>
        <w:pageBreakBefore w:val="0"/>
        <w:kinsoku/>
        <w:wordWrap/>
        <w:overflowPunct/>
        <w:topLinePunct w:val="0"/>
        <w:bidi w:val="0"/>
        <w:spacing w:line="360" w:lineRule="auto"/>
        <w:ind w:firstLine="420" w:firstLineChars="200"/>
        <w:rPr>
          <w:rFonts w:hint="default"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计量要求：榨菜原料</w:t>
      </w:r>
      <w:r>
        <w:rPr>
          <w:rFonts w:hint="eastAsia" w:ascii="宋体" w:hAnsi="宋体" w:cs="宋体"/>
          <w:caps w:val="0"/>
          <w:smallCaps w:val="0"/>
          <w:color w:val="auto"/>
          <w:sz w:val="21"/>
          <w:szCs w:val="21"/>
          <w:highlight w:val="none"/>
          <w:lang w:val="en-US" w:eastAsia="zh-CN"/>
        </w:rPr>
        <w:t>卸车前1次称重、沥水后2次称重、</w:t>
      </w:r>
      <w:r>
        <w:rPr>
          <w:rFonts w:hint="eastAsia" w:ascii="宋体" w:hAnsi="宋体" w:eastAsia="宋体" w:cs="宋体"/>
          <w:caps w:val="0"/>
          <w:smallCaps w:val="0"/>
          <w:color w:val="auto"/>
          <w:sz w:val="21"/>
          <w:szCs w:val="21"/>
          <w:highlight w:val="none"/>
          <w:lang w:val="en-US" w:eastAsia="zh-CN"/>
        </w:rPr>
        <w:t>卸车后分别称重，称重信息绑定车牌、货主等信息</w:t>
      </w:r>
      <w:r>
        <w:rPr>
          <w:rFonts w:hint="eastAsia" w:ascii="宋体" w:hAnsi="宋体" w:cs="宋体"/>
          <w:caps w:val="0"/>
          <w:smallCaps w:val="0"/>
          <w:color w:val="auto"/>
          <w:sz w:val="21"/>
          <w:szCs w:val="21"/>
          <w:highlight w:val="none"/>
          <w:lang w:val="en-US" w:eastAsia="zh-CN"/>
        </w:rPr>
        <w:t>，数据对接招标人现有称重结算系统</w:t>
      </w:r>
      <w:r>
        <w:rPr>
          <w:rFonts w:hint="eastAsia" w:ascii="宋体" w:hAnsi="宋体" w:eastAsia="宋体" w:cs="宋体"/>
          <w:caps w:val="0"/>
          <w:smallCaps w:val="0"/>
          <w:color w:val="auto"/>
          <w:sz w:val="21"/>
          <w:szCs w:val="21"/>
          <w:highlight w:val="none"/>
          <w:lang w:val="en-US" w:eastAsia="zh-CN"/>
        </w:rPr>
        <w:t>。</w:t>
      </w:r>
    </w:p>
    <w:p w14:paraId="53B84981">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筛分要求：榨菜原料进窖池腌制前筛分出粒径小于3cm的菜渣，并剔除漂浮杂质。</w:t>
      </w:r>
    </w:p>
    <w:p w14:paraId="23F2D115">
      <w:pPr>
        <w:keepNext w:val="0"/>
        <w:keepLines w:val="0"/>
        <w:pageBreakBefore w:val="0"/>
        <w:kinsoku/>
        <w:wordWrap/>
        <w:overflowPunct/>
        <w:topLinePunct w:val="0"/>
        <w:bidi w:val="0"/>
        <w:spacing w:line="360" w:lineRule="auto"/>
        <w:ind w:firstLine="420" w:firstLineChars="200"/>
        <w:rPr>
          <w:rFonts w:hint="eastAsia" w:ascii="宋体" w:hAnsi="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清洗要求：</w:t>
      </w:r>
      <w:r>
        <w:rPr>
          <w:rFonts w:hint="eastAsia" w:ascii="宋体" w:hAnsi="宋体" w:cs="宋体"/>
          <w:caps w:val="0"/>
          <w:smallCaps w:val="0"/>
          <w:color w:val="auto"/>
          <w:sz w:val="21"/>
          <w:szCs w:val="21"/>
          <w:highlight w:val="none"/>
          <w:lang w:val="en-US" w:eastAsia="zh-CN"/>
        </w:rPr>
        <w:t>盐菜块采用盐水清洗（不能用清水清洗），盐水过滤后循环使用。</w:t>
      </w:r>
    </w:p>
    <w:p w14:paraId="1DC8BABF">
      <w:pPr>
        <w:pStyle w:val="17"/>
        <w:ind w:firstLine="420" w:firstLineChars="200"/>
        <w:rPr>
          <w:rFonts w:hint="default"/>
          <w:color w:val="auto"/>
          <w:lang w:val="en-US" w:eastAsia="zh-CN"/>
        </w:rPr>
      </w:pPr>
      <w:r>
        <w:rPr>
          <w:rFonts w:hint="eastAsia" w:ascii="宋体" w:hAnsi="宋体" w:cs="宋体"/>
          <w:caps w:val="0"/>
          <w:smallCaps w:val="0"/>
          <w:color w:val="auto"/>
          <w:sz w:val="21"/>
          <w:szCs w:val="21"/>
          <w:highlight w:val="none"/>
          <w:lang w:val="en-US" w:eastAsia="zh-CN"/>
        </w:rPr>
        <w:t>沥水要求：卸车前沥水时长按工艺要求执行，约5-8分钟。</w:t>
      </w:r>
    </w:p>
    <w:p w14:paraId="22DEA9AB">
      <w:pPr>
        <w:keepNext w:val="0"/>
        <w:keepLines w:val="0"/>
        <w:pageBreakBefore w:val="0"/>
        <w:kinsoku/>
        <w:wordWrap/>
        <w:overflowPunct/>
        <w:topLinePunct w:val="0"/>
        <w:bidi w:val="0"/>
        <w:spacing w:line="360" w:lineRule="auto"/>
        <w:ind w:firstLine="420" w:firstLineChars="200"/>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3</w:t>
      </w:r>
      <w:r>
        <w:rPr>
          <w:rFonts w:hint="eastAsia" w:ascii="宋体" w:hAnsi="宋体" w:eastAsia="宋体" w:cs="宋体"/>
          <w:caps w:val="0"/>
          <w:smallCaps w:val="0"/>
          <w:color w:val="auto"/>
          <w:sz w:val="21"/>
          <w:szCs w:val="21"/>
          <w:highlight w:val="none"/>
          <w:lang w:val="en-US" w:eastAsia="zh-CN"/>
        </w:rPr>
        <w:t>、</w:t>
      </w:r>
      <w:r>
        <w:rPr>
          <w:rFonts w:hint="eastAsia" w:ascii="宋体" w:hAnsi="宋体" w:cs="宋体"/>
          <w:caps w:val="0"/>
          <w:smallCaps w:val="0"/>
          <w:color w:val="auto"/>
          <w:sz w:val="21"/>
          <w:szCs w:val="21"/>
          <w:highlight w:val="none"/>
          <w:lang w:val="en-US" w:eastAsia="zh-CN"/>
        </w:rPr>
        <w:t>封池水袋</w:t>
      </w:r>
    </w:p>
    <w:p w14:paraId="7F656950">
      <w:pPr>
        <w:keepNext w:val="0"/>
        <w:keepLines w:val="0"/>
        <w:pageBreakBefore w:val="0"/>
        <w:kinsoku/>
        <w:wordWrap/>
        <w:overflowPunct/>
        <w:topLinePunct w:val="0"/>
        <w:bidi w:val="0"/>
        <w:spacing w:line="360" w:lineRule="auto"/>
        <w:ind w:firstLine="420" w:firstLineChars="200"/>
        <w:rPr>
          <w:rFonts w:hint="eastAsia" w:ascii="宋体" w:hAnsi="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窖池封池水深度150-250mm，四个角、四条边密封严实。</w:t>
      </w:r>
    </w:p>
    <w:p w14:paraId="0D5D0F93">
      <w:pPr>
        <w:pStyle w:val="6"/>
        <w:bidi w:val="0"/>
        <w:rPr>
          <w:rFonts w:hint="eastAsia" w:ascii="宋体" w:hAnsi="宋体" w:cs="宋体"/>
          <w:b/>
          <w:bCs/>
          <w:sz w:val="24"/>
        </w:rPr>
      </w:pPr>
      <w:r>
        <w:rPr>
          <w:rFonts w:hint="eastAsia" w:cs="宋体"/>
          <w:b/>
          <w:bCs/>
          <w:sz w:val="24"/>
          <w:lang w:val="en-US" w:eastAsia="zh-CN"/>
        </w:rPr>
        <w:t>2</w:t>
      </w:r>
      <w:r>
        <w:rPr>
          <w:rFonts w:hint="eastAsia" w:ascii="宋体" w:hAnsi="宋体" w:cs="宋体"/>
          <w:b/>
          <w:bCs/>
          <w:sz w:val="24"/>
          <w:lang w:val="en-US" w:eastAsia="zh-CN"/>
        </w:rPr>
        <w:t>、</w:t>
      </w:r>
      <w:r>
        <w:rPr>
          <w:rFonts w:hint="eastAsia" w:cs="宋体"/>
          <w:b/>
          <w:bCs/>
          <w:sz w:val="24"/>
          <w:lang w:val="en-US" w:eastAsia="zh-CN"/>
        </w:rPr>
        <w:t>一般</w:t>
      </w:r>
      <w:r>
        <w:rPr>
          <w:rStyle w:val="331"/>
          <w:rFonts w:hint="eastAsia"/>
          <w:b/>
          <w:bCs/>
        </w:rPr>
        <w:t>要</w:t>
      </w:r>
      <w:r>
        <w:rPr>
          <w:rFonts w:hint="eastAsia" w:ascii="宋体" w:hAnsi="宋体" w:cs="宋体"/>
          <w:b/>
          <w:bCs/>
          <w:sz w:val="24"/>
        </w:rPr>
        <w:t>求</w:t>
      </w:r>
    </w:p>
    <w:p w14:paraId="6C17C4AE">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1、设备满载运行时距离一米高度1.2-1.5米处的噪音</w:t>
      </w:r>
      <w:r>
        <w:rPr>
          <w:rFonts w:hint="default" w:ascii="宋体" w:hAnsi="宋体" w:eastAsia="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lang w:val="en-US" w:eastAsia="zh-CN"/>
        </w:rPr>
        <w:t>70分贝，职业危害因素的控制符合法律法规的规定。</w:t>
      </w:r>
    </w:p>
    <w:p w14:paraId="7D3CC714">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2、设备</w:t>
      </w:r>
      <w:r>
        <w:rPr>
          <w:rFonts w:hint="eastAsia" w:ascii="宋体" w:hAnsi="宋体" w:cs="宋体"/>
          <w:caps w:val="0"/>
          <w:smallCaps w:val="0"/>
          <w:color w:val="auto"/>
          <w:sz w:val="21"/>
          <w:szCs w:val="21"/>
          <w:highlight w:val="none"/>
          <w:lang w:val="en-US" w:eastAsia="zh-CN"/>
        </w:rPr>
        <w:t>设置</w:t>
      </w:r>
      <w:r>
        <w:rPr>
          <w:rFonts w:hint="eastAsia" w:ascii="宋体" w:hAnsi="宋体" w:eastAsia="宋体" w:cs="宋体"/>
          <w:caps w:val="0"/>
          <w:smallCaps w:val="0"/>
          <w:color w:val="auto"/>
          <w:sz w:val="21"/>
          <w:szCs w:val="21"/>
          <w:highlight w:val="none"/>
          <w:lang w:val="en-US" w:eastAsia="zh-CN"/>
        </w:rPr>
        <w:t>防护设施，具备防夹伤、防压伤、防滑倒等装置，防护装置能完全对操作工进行有效保护，设备具备登高检修与卫生清扫作业时的安全防护设计及配置。</w:t>
      </w:r>
    </w:p>
    <w:p w14:paraId="74B0AEAC">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lang w:val="en-US" w:eastAsia="zh-CN"/>
        </w:rPr>
        <w:t>3、</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所供产品中涉及第三方知识产权，</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自行负责所有相关责权，</w:t>
      </w:r>
      <w:r>
        <w:rPr>
          <w:rFonts w:hint="eastAsia" w:ascii="宋体" w:hAnsi="宋体" w:cs="宋体"/>
          <w:caps w:val="0"/>
          <w:smallCaps w:val="0"/>
          <w:color w:val="auto"/>
          <w:sz w:val="21"/>
          <w:szCs w:val="21"/>
          <w:highlight w:val="none"/>
          <w:lang w:eastAsia="zh-CN"/>
        </w:rPr>
        <w:t>招标人</w:t>
      </w:r>
      <w:r>
        <w:rPr>
          <w:rFonts w:hint="eastAsia" w:ascii="宋体" w:hAnsi="宋体" w:eastAsia="宋体" w:cs="宋体"/>
          <w:caps w:val="0"/>
          <w:smallCaps w:val="0"/>
          <w:color w:val="auto"/>
          <w:sz w:val="21"/>
          <w:szCs w:val="21"/>
          <w:highlight w:val="none"/>
        </w:rPr>
        <w:t>不负任何相关责任。</w:t>
      </w:r>
    </w:p>
    <w:p w14:paraId="1578EC0C">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cs="宋体"/>
          <w:caps w:val="0"/>
          <w:smallCaps w:val="0"/>
          <w:color w:val="auto"/>
          <w:sz w:val="21"/>
          <w:szCs w:val="21"/>
          <w:highlight w:val="none"/>
          <w:lang w:val="en-US" w:eastAsia="zh-CN"/>
        </w:rPr>
        <w:t>4、</w:t>
      </w:r>
      <w:r>
        <w:rPr>
          <w:rFonts w:hint="eastAsia" w:ascii="宋体" w:hAnsi="宋体" w:cs="宋体"/>
          <w:caps w:val="0"/>
          <w:smallCaps w:val="0"/>
          <w:color w:val="auto"/>
          <w:sz w:val="21"/>
          <w:szCs w:val="21"/>
          <w:highlight w:val="none"/>
          <w:lang w:val="zh-CN"/>
        </w:rPr>
        <w:t>投标人</w:t>
      </w:r>
      <w:r>
        <w:rPr>
          <w:rFonts w:hint="eastAsia" w:ascii="宋体" w:hAnsi="宋体" w:eastAsia="宋体" w:cs="宋体"/>
          <w:caps w:val="0"/>
          <w:smallCaps w:val="0"/>
          <w:color w:val="auto"/>
          <w:sz w:val="21"/>
          <w:szCs w:val="21"/>
          <w:highlight w:val="none"/>
          <w:lang w:val="zh-CN"/>
        </w:rPr>
        <w:t>所供设备</w:t>
      </w:r>
      <w:r>
        <w:rPr>
          <w:rFonts w:hint="eastAsia" w:ascii="宋体" w:hAnsi="宋体" w:eastAsia="宋体" w:cs="宋体"/>
          <w:caps w:val="0"/>
          <w:smallCaps w:val="0"/>
          <w:color w:val="auto"/>
          <w:sz w:val="21"/>
          <w:szCs w:val="21"/>
          <w:highlight w:val="none"/>
        </w:rPr>
        <w:t>不允许</w:t>
      </w:r>
      <w:r>
        <w:rPr>
          <w:rFonts w:hint="eastAsia" w:ascii="宋体" w:hAnsi="宋体" w:eastAsia="宋体" w:cs="宋体"/>
          <w:caps w:val="0"/>
          <w:smallCaps w:val="0"/>
          <w:color w:val="auto"/>
          <w:sz w:val="21"/>
          <w:szCs w:val="21"/>
          <w:highlight w:val="none"/>
          <w:lang w:val="en-US" w:eastAsia="zh-CN"/>
        </w:rPr>
        <w:t>出现</w:t>
      </w:r>
      <w:r>
        <w:rPr>
          <w:rFonts w:hint="eastAsia" w:ascii="宋体" w:hAnsi="宋体" w:eastAsia="宋体" w:cs="宋体"/>
          <w:caps w:val="0"/>
          <w:smallCaps w:val="0"/>
          <w:color w:val="auto"/>
          <w:sz w:val="21"/>
          <w:szCs w:val="21"/>
          <w:highlight w:val="none"/>
        </w:rPr>
        <w:t>“跑、冒、滴、漏”现象</w:t>
      </w:r>
      <w:r>
        <w:rPr>
          <w:rFonts w:hint="eastAsia" w:ascii="宋体" w:hAnsi="宋体" w:cs="宋体"/>
          <w:caps w:val="0"/>
          <w:smallCaps w:val="0"/>
          <w:color w:val="auto"/>
          <w:sz w:val="21"/>
          <w:szCs w:val="21"/>
          <w:highlight w:val="none"/>
          <w:lang w:eastAsia="zh-CN"/>
        </w:rPr>
        <w:t>；</w:t>
      </w:r>
      <w:r>
        <w:rPr>
          <w:rFonts w:hint="eastAsia" w:ascii="宋体" w:hAnsi="宋体" w:cs="宋体"/>
          <w:caps w:val="0"/>
          <w:smallCaps w:val="0"/>
          <w:color w:val="auto"/>
          <w:sz w:val="21"/>
          <w:szCs w:val="21"/>
          <w:highlight w:val="none"/>
          <w:lang w:val="en-US" w:eastAsia="zh-CN"/>
        </w:rPr>
        <w:t>设备不堵塞淤积，</w:t>
      </w:r>
      <w:r>
        <w:rPr>
          <w:rFonts w:hint="eastAsia" w:ascii="宋体" w:hAnsi="宋体" w:eastAsia="宋体" w:cs="宋体"/>
          <w:caps w:val="0"/>
          <w:smallCaps w:val="0"/>
          <w:color w:val="auto"/>
          <w:sz w:val="21"/>
          <w:szCs w:val="21"/>
          <w:highlight w:val="none"/>
          <w:lang w:val="en-US" w:eastAsia="zh-CN"/>
        </w:rPr>
        <w:t>清洗完成后设备无积水，管道无残留</w:t>
      </w:r>
      <w:r>
        <w:rPr>
          <w:rFonts w:hint="eastAsia" w:ascii="宋体" w:hAnsi="宋体" w:cs="宋体"/>
          <w:caps w:val="0"/>
          <w:smallCaps w:val="0"/>
          <w:color w:val="auto"/>
          <w:sz w:val="21"/>
          <w:szCs w:val="21"/>
          <w:highlight w:val="none"/>
          <w:lang w:val="zh-CN"/>
        </w:rPr>
        <w:t>。</w:t>
      </w:r>
    </w:p>
    <w:p w14:paraId="1C9C463D">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zh-CN"/>
        </w:rPr>
      </w:pPr>
      <w:r>
        <w:rPr>
          <w:rFonts w:hint="eastAsia" w:ascii="宋体" w:hAnsi="宋体" w:cs="宋体"/>
          <w:caps w:val="0"/>
          <w:smallCaps w:val="0"/>
          <w:color w:val="auto"/>
          <w:sz w:val="21"/>
          <w:szCs w:val="21"/>
          <w:highlight w:val="none"/>
          <w:lang w:val="en-US" w:eastAsia="zh-CN"/>
        </w:rPr>
        <w:t>5</w:t>
      </w:r>
      <w:r>
        <w:rPr>
          <w:rFonts w:hint="eastAsia" w:ascii="宋体" w:hAnsi="宋体" w:eastAsia="宋体" w:cs="宋体"/>
          <w:caps w:val="0"/>
          <w:smallCaps w:val="0"/>
          <w:color w:val="auto"/>
          <w:sz w:val="21"/>
          <w:szCs w:val="21"/>
          <w:highlight w:val="none"/>
        </w:rPr>
        <w:t>、</w:t>
      </w:r>
      <w:r>
        <w:rPr>
          <w:rFonts w:hint="eastAsia" w:ascii="宋体" w:hAnsi="宋体" w:cs="宋体"/>
          <w:caps w:val="0"/>
          <w:smallCaps w:val="0"/>
          <w:color w:val="auto"/>
          <w:sz w:val="21"/>
          <w:szCs w:val="21"/>
          <w:highlight w:val="none"/>
          <w:lang w:eastAsia="zh-CN"/>
        </w:rPr>
        <w:t>投标人</w:t>
      </w:r>
      <w:r>
        <w:rPr>
          <w:rFonts w:hint="eastAsia" w:ascii="宋体" w:hAnsi="宋体" w:eastAsia="宋体" w:cs="宋体"/>
          <w:caps w:val="0"/>
          <w:smallCaps w:val="0"/>
          <w:color w:val="auto"/>
          <w:sz w:val="21"/>
          <w:szCs w:val="21"/>
          <w:highlight w:val="none"/>
        </w:rPr>
        <w:t>提供的设备、设施、和材料须满足《食品机械安全卫生》（GB 16798）</w:t>
      </w:r>
      <w:r>
        <w:rPr>
          <w:rFonts w:hint="eastAsia" w:ascii="宋体" w:hAnsi="宋体" w:cs="宋体"/>
          <w:caps w:val="0"/>
          <w:smallCaps w:val="0"/>
          <w:color w:val="auto"/>
          <w:sz w:val="21"/>
          <w:szCs w:val="21"/>
          <w:highlight w:val="none"/>
          <w:lang w:val="en-US" w:eastAsia="zh-CN"/>
        </w:rPr>
        <w:t>和《</w:t>
      </w:r>
      <w:r>
        <w:rPr>
          <w:rFonts w:hint="eastAsia" w:ascii="宋体" w:hAnsi="宋体" w:eastAsia="宋体" w:cs="宋体"/>
          <w:caps w:val="0"/>
          <w:smallCaps w:val="0"/>
          <w:color w:val="auto"/>
          <w:sz w:val="21"/>
          <w:szCs w:val="21"/>
          <w:highlight w:val="none"/>
          <w:lang w:val="en-US" w:eastAsia="zh-CN"/>
        </w:rPr>
        <w:t>食品安全国家标准食品接触材料及制品通用安全要求》 （GB 4806）</w:t>
      </w:r>
      <w:r>
        <w:rPr>
          <w:rFonts w:hint="eastAsia" w:ascii="宋体" w:hAnsi="宋体" w:eastAsia="宋体" w:cs="宋体"/>
          <w:caps w:val="0"/>
          <w:smallCaps w:val="0"/>
          <w:color w:val="auto"/>
          <w:sz w:val="21"/>
          <w:szCs w:val="21"/>
          <w:highlight w:val="none"/>
          <w:lang w:val="zh-CN"/>
        </w:rPr>
        <w:t>规范要求。</w:t>
      </w:r>
    </w:p>
    <w:p w14:paraId="393B3205">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6、车间外设备区域设置照明，满足设备夜间生产操作要求，采用三防（防水、防尘、防腐）灯具。</w:t>
      </w:r>
    </w:p>
    <w:p w14:paraId="5685D134">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7、设置设备检修箱，所有设备的检修取电位置</w:t>
      </w:r>
      <w:r>
        <w:rPr>
          <w:rFonts w:hint="default" w:ascii="宋体" w:hAnsi="宋体" w:eastAsia="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lang w:val="en-US" w:eastAsia="zh-CN"/>
        </w:rPr>
        <w:t>40米。</w:t>
      </w:r>
    </w:p>
    <w:p w14:paraId="791D7882">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8、设置设备清洗水，所有设备的清洗取水位置</w:t>
      </w:r>
      <w:r>
        <w:rPr>
          <w:rFonts w:hint="default" w:ascii="宋体" w:hAnsi="宋体" w:eastAsia="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lang w:val="en-US" w:eastAsia="zh-CN"/>
        </w:rPr>
        <w:t>10米。</w:t>
      </w:r>
    </w:p>
    <w:p w14:paraId="557D45C2">
      <w:pPr>
        <w:keepNext w:val="0"/>
        <w:keepLines w:val="0"/>
        <w:pageBreakBefore w:val="0"/>
        <w:kinsoku/>
        <w:wordWrap/>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cs="宋体"/>
          <w:caps w:val="0"/>
          <w:smallCaps w:val="0"/>
          <w:color w:val="auto"/>
          <w:sz w:val="21"/>
          <w:szCs w:val="21"/>
          <w:highlight w:val="none"/>
          <w:lang w:val="en-US" w:eastAsia="zh-CN"/>
        </w:rPr>
        <w:t>9</w:t>
      </w:r>
      <w:r>
        <w:rPr>
          <w:rFonts w:hint="eastAsia" w:ascii="宋体" w:hAnsi="宋体" w:eastAsia="宋体" w:cs="宋体"/>
          <w:caps w:val="0"/>
          <w:smallCaps w:val="0"/>
          <w:color w:val="auto"/>
          <w:sz w:val="21"/>
          <w:szCs w:val="21"/>
          <w:highlight w:val="none"/>
          <w:lang w:val="en-US" w:eastAsia="zh-CN"/>
        </w:rPr>
        <w:t>、物料</w:t>
      </w:r>
      <w:r>
        <w:rPr>
          <w:rFonts w:hint="eastAsia" w:ascii="宋体" w:hAnsi="宋体" w:cs="宋体"/>
          <w:caps w:val="0"/>
          <w:smallCaps w:val="0"/>
          <w:color w:val="auto"/>
          <w:sz w:val="21"/>
          <w:szCs w:val="21"/>
          <w:highlight w:val="none"/>
          <w:lang w:val="en-US" w:eastAsia="zh-CN"/>
        </w:rPr>
        <w:t>（含盐水）</w:t>
      </w:r>
      <w:r>
        <w:rPr>
          <w:rFonts w:hint="eastAsia" w:ascii="宋体" w:hAnsi="宋体" w:eastAsia="宋体" w:cs="宋体"/>
          <w:caps w:val="0"/>
          <w:smallCaps w:val="0"/>
          <w:color w:val="auto"/>
          <w:sz w:val="21"/>
          <w:szCs w:val="21"/>
          <w:highlight w:val="none"/>
          <w:lang w:val="en-US" w:eastAsia="zh-CN"/>
        </w:rPr>
        <w:t>接触部分采用</w:t>
      </w:r>
      <w:r>
        <w:rPr>
          <w:rFonts w:hint="eastAsia" w:ascii="宋体" w:hAnsi="宋体" w:cs="宋体"/>
          <w:caps w:val="0"/>
          <w:smallCaps w:val="0"/>
          <w:color w:val="auto"/>
          <w:sz w:val="21"/>
          <w:szCs w:val="21"/>
          <w:highlight w:val="none"/>
          <w:lang w:val="en-US" w:eastAsia="zh-CN"/>
        </w:rPr>
        <w:t>316L</w:t>
      </w:r>
      <w:r>
        <w:rPr>
          <w:rFonts w:hint="eastAsia" w:ascii="宋体" w:hAnsi="宋体" w:eastAsia="宋体" w:cs="宋体"/>
          <w:caps w:val="0"/>
          <w:smallCaps w:val="0"/>
          <w:color w:val="auto"/>
          <w:sz w:val="21"/>
          <w:szCs w:val="21"/>
          <w:highlight w:val="none"/>
          <w:lang w:val="en-US" w:eastAsia="zh-CN"/>
        </w:rPr>
        <w:t>及以上不锈钢或食品</w:t>
      </w:r>
      <w:r>
        <w:rPr>
          <w:rFonts w:hint="eastAsia" w:ascii="宋体" w:hAnsi="宋体" w:cs="宋体"/>
          <w:caps w:val="0"/>
          <w:smallCaps w:val="0"/>
          <w:color w:val="auto"/>
          <w:sz w:val="21"/>
          <w:szCs w:val="21"/>
          <w:highlight w:val="none"/>
          <w:lang w:val="en-US" w:eastAsia="zh-CN"/>
        </w:rPr>
        <w:t>接触</w:t>
      </w:r>
      <w:r>
        <w:rPr>
          <w:rFonts w:hint="eastAsia" w:ascii="宋体" w:hAnsi="宋体" w:eastAsia="宋体" w:cs="宋体"/>
          <w:caps w:val="0"/>
          <w:smallCaps w:val="0"/>
          <w:color w:val="auto"/>
          <w:sz w:val="21"/>
          <w:szCs w:val="21"/>
          <w:highlight w:val="none"/>
          <w:lang w:val="en-US" w:eastAsia="zh-CN"/>
        </w:rPr>
        <w:t>高分子材料</w:t>
      </w:r>
      <w:r>
        <w:rPr>
          <w:rFonts w:hint="eastAsia" w:ascii="宋体" w:hAnsi="宋体" w:cs="宋体"/>
          <w:caps w:val="0"/>
          <w:smallCaps w:val="0"/>
          <w:color w:val="auto"/>
          <w:sz w:val="21"/>
          <w:szCs w:val="21"/>
          <w:highlight w:val="none"/>
          <w:lang w:val="en-US" w:eastAsia="zh-CN"/>
        </w:rPr>
        <w:t>；清水管道、清水阀门采用</w:t>
      </w:r>
      <w:r>
        <w:rPr>
          <w:rFonts w:hint="eastAsia" w:ascii="宋体" w:hAnsi="宋体" w:eastAsia="宋体" w:cs="宋体"/>
          <w:caps w:val="0"/>
          <w:smallCaps w:val="0"/>
          <w:color w:val="auto"/>
          <w:sz w:val="21"/>
          <w:szCs w:val="21"/>
          <w:highlight w:val="none"/>
          <w:lang w:val="en-US" w:eastAsia="zh-CN"/>
        </w:rPr>
        <w:t>304不锈钢材质；桥架</w:t>
      </w:r>
      <w:r>
        <w:rPr>
          <w:rFonts w:hint="eastAsia" w:ascii="宋体" w:hAnsi="宋体" w:cs="宋体"/>
          <w:caps w:val="0"/>
          <w:smallCaps w:val="0"/>
          <w:color w:val="auto"/>
          <w:sz w:val="21"/>
          <w:szCs w:val="21"/>
          <w:highlight w:val="none"/>
          <w:lang w:val="en-US" w:eastAsia="zh-CN"/>
        </w:rPr>
        <w:t>、支架</w:t>
      </w:r>
      <w:r>
        <w:rPr>
          <w:rFonts w:hint="eastAsia" w:ascii="宋体" w:hAnsi="宋体" w:eastAsia="宋体" w:cs="宋体"/>
          <w:caps w:val="0"/>
          <w:smallCaps w:val="0"/>
          <w:color w:val="auto"/>
          <w:sz w:val="21"/>
          <w:szCs w:val="21"/>
          <w:highlight w:val="none"/>
          <w:lang w:val="en-US" w:eastAsia="zh-CN"/>
        </w:rPr>
        <w:t>和穿线管采用304不锈钢材质</w:t>
      </w:r>
      <w:r>
        <w:rPr>
          <w:rFonts w:hint="eastAsia" w:ascii="宋体" w:hAnsi="宋体" w:cs="宋体"/>
          <w:caps w:val="0"/>
          <w:smallCaps w:val="0"/>
          <w:color w:val="auto"/>
          <w:sz w:val="21"/>
          <w:szCs w:val="21"/>
          <w:highlight w:val="none"/>
          <w:lang w:val="en-US" w:eastAsia="zh-CN"/>
        </w:rPr>
        <w:t>；盐水管道、盐水阀门、盐水泵（过流部分）采用2205</w:t>
      </w:r>
      <w:r>
        <w:rPr>
          <w:rFonts w:hint="eastAsia" w:ascii="宋体" w:hAnsi="宋体" w:eastAsia="宋体" w:cs="宋体"/>
          <w:caps w:val="0"/>
          <w:smallCaps w:val="0"/>
          <w:color w:val="auto"/>
          <w:sz w:val="21"/>
          <w:szCs w:val="21"/>
          <w:highlight w:val="none"/>
          <w:lang w:val="en-US" w:eastAsia="zh-CN"/>
        </w:rPr>
        <w:t>不锈钢材质；设备结构件304不锈钢材质</w:t>
      </w:r>
      <w:r>
        <w:rPr>
          <w:rFonts w:hint="eastAsia" w:ascii="宋体" w:hAnsi="宋体" w:cs="宋体"/>
          <w:caps w:val="0"/>
          <w:smallCaps w:val="0"/>
          <w:color w:val="auto"/>
          <w:sz w:val="21"/>
          <w:szCs w:val="21"/>
          <w:highlight w:val="none"/>
          <w:lang w:val="en-US" w:eastAsia="zh-CN"/>
        </w:rPr>
        <w:t>；</w:t>
      </w:r>
      <w:r>
        <w:rPr>
          <w:rFonts w:hint="eastAsia" w:ascii="宋体" w:hAnsi="宋体" w:eastAsia="宋体" w:cs="宋体"/>
          <w:caps w:val="0"/>
          <w:smallCaps w:val="0"/>
          <w:color w:val="auto"/>
          <w:sz w:val="21"/>
          <w:szCs w:val="21"/>
          <w:highlight w:val="none"/>
          <w:lang w:val="en-US" w:eastAsia="zh-CN"/>
        </w:rPr>
        <w:t>人行通道、检修平台、安全栏杆等材质采用304不锈钢。有特殊材质要求的按具体材质要求执行。</w:t>
      </w:r>
    </w:p>
    <w:p w14:paraId="76644CA7">
      <w:pPr>
        <w:ind w:firstLine="420" w:firstLineChars="200"/>
        <w:rPr>
          <w:rFonts w:hint="default"/>
          <w:lang w:val="en-US" w:eastAsia="zh-CN"/>
        </w:rPr>
      </w:pPr>
      <w:r>
        <w:rPr>
          <w:rFonts w:hint="eastAsia"/>
          <w:color w:val="auto"/>
          <w:lang w:val="en-US" w:eastAsia="zh-CN"/>
        </w:rPr>
        <w:t>10、设备不卡堵、不堆积、不滞留</w:t>
      </w:r>
      <w:r>
        <w:rPr>
          <w:rFonts w:hint="eastAsia"/>
          <w:lang w:val="en-US" w:eastAsia="zh-CN"/>
        </w:rPr>
        <w:t>榨菜原料。</w:t>
      </w:r>
    </w:p>
    <w:p w14:paraId="0222ADE9">
      <w:pPr>
        <w:pStyle w:val="6"/>
        <w:pageBreakBefore w:val="0"/>
        <w:kinsoku/>
        <w:overflowPunct/>
        <w:topLinePunct w:val="0"/>
        <w:bidi w:val="0"/>
        <w:spacing w:line="360" w:lineRule="auto"/>
        <w:rPr>
          <w:rFonts w:hint="eastAsia"/>
          <w:color w:val="auto"/>
        </w:rPr>
      </w:pPr>
      <w:r>
        <w:rPr>
          <w:rFonts w:hint="eastAsia"/>
          <w:color w:val="auto"/>
          <w:lang w:val="en-US" w:eastAsia="zh-CN"/>
        </w:rPr>
        <w:t>3、</w:t>
      </w:r>
      <w:r>
        <w:rPr>
          <w:rFonts w:hint="eastAsia"/>
          <w:color w:val="auto"/>
        </w:rPr>
        <w:t>适用</w:t>
      </w:r>
      <w:r>
        <w:rPr>
          <w:rFonts w:hint="eastAsia"/>
          <w:color w:val="auto"/>
          <w:lang w:val="en-US" w:eastAsia="zh-CN"/>
        </w:rPr>
        <w:t>规范</w:t>
      </w:r>
      <w:r>
        <w:rPr>
          <w:rFonts w:hint="eastAsia"/>
          <w:color w:val="auto"/>
        </w:rPr>
        <w:t>标准</w:t>
      </w:r>
    </w:p>
    <w:p w14:paraId="5D7483F5">
      <w:pPr>
        <w:keepNext w:val="0"/>
        <w:keepLines w:val="0"/>
        <w:pageBreakBefore w:val="0"/>
        <w:kinsoku/>
        <w:wordWrap/>
        <w:overflowPunct/>
        <w:topLinePunct w:val="0"/>
        <w:bidi w:val="0"/>
        <w:spacing w:line="360" w:lineRule="auto"/>
        <w:ind w:firstLine="420" w:firstLineChars="200"/>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当相关标准出现新版本时、以最新现行标准为准；如果国际规范与中国规范发生冲突，要遵守所有法定的中国政府颁布的规范。本工程系统及设备设计、制造、施工使用到的规范、标准包括但不限于：</w:t>
      </w:r>
    </w:p>
    <w:p w14:paraId="619D99AA">
      <w:pPr>
        <w:keepNext w:val="0"/>
        <w:keepLines w:val="0"/>
        <w:pageBreakBefore w:val="0"/>
        <w:kinsoku/>
        <w:wordWrap/>
        <w:overflowPunct/>
        <w:topLinePunct w:val="0"/>
        <w:bidi w:val="0"/>
        <w:spacing w:line="360" w:lineRule="auto"/>
        <w:jc w:val="left"/>
        <w:rPr>
          <w:rFonts w:hint="default"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《食品安全国家标准 食品生产通用卫生规范》                 GB 14881-2025</w:t>
      </w:r>
    </w:p>
    <w:p w14:paraId="4067D78C">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 xml:space="preserve">《食品机械安全要求》                                      GB 16798-2023 </w:t>
      </w:r>
    </w:p>
    <w:p w14:paraId="134C158D">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 xml:space="preserve">《食品安全国家标准食品接触材料及制品通用安全要求》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GB 4806.1-2016</w:t>
      </w:r>
    </w:p>
    <w:p w14:paraId="0E3093CC">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 xml:space="preserve">《食品安全国家标准食品接触用塑料树脂》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 xml:space="preserve"> GB 4806.6-2016</w:t>
      </w:r>
    </w:p>
    <w:p w14:paraId="1D229381">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《食品安全国家标准食</w:t>
      </w:r>
      <w:r>
        <w:rPr>
          <w:rFonts w:hint="eastAsia" w:ascii="宋体" w:hAnsi="宋体" w:eastAsia="宋体" w:cs="宋体"/>
          <w:caps w:val="0"/>
          <w:smallCaps w:val="0"/>
          <w:color w:val="auto"/>
          <w:sz w:val="21"/>
          <w:szCs w:val="21"/>
          <w:highlight w:val="none"/>
        </w:rPr>
        <w:t>品接</w:t>
      </w:r>
      <w:r>
        <w:rPr>
          <w:rFonts w:hint="eastAsia" w:ascii="宋体" w:hAnsi="宋体" w:eastAsia="宋体" w:cs="宋体"/>
          <w:caps w:val="0"/>
          <w:smallCaps w:val="0"/>
          <w:color w:val="auto"/>
          <w:sz w:val="21"/>
          <w:szCs w:val="21"/>
          <w:highlight w:val="none"/>
          <w:lang w:val="en-US" w:eastAsia="zh-CN"/>
        </w:rPr>
        <w:t>触用塑料材料及制品》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GB 4806.7-2023 </w:t>
      </w:r>
    </w:p>
    <w:p w14:paraId="3220EF94">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《食品安全国家标准食品接触用金属材料及制品》</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GB 4806.9-2023</w:t>
      </w:r>
    </w:p>
    <w:p w14:paraId="3487AC0F">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 xml:space="preserve">《食品安全国家标准食品接触用涂料及涂层》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 xml:space="preserve">  GB 4806.10-2016  </w:t>
      </w:r>
    </w:p>
    <w:p w14:paraId="33AB4259">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《食品安全国家标准食品接触用橡胶材料及制品》</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GB 4806.11-2023  </w:t>
      </w:r>
    </w:p>
    <w:p w14:paraId="45CF2143">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 xml:space="preserve">《流体输送用不锈钢无缝钢管》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 xml:space="preserve">   GB/T14976-2012</w:t>
      </w:r>
    </w:p>
    <w:p w14:paraId="1BDFB8F5">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 xml:space="preserve">《工业金属管道工程施工规范》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 xml:space="preserve">   GB50235-2010</w:t>
      </w:r>
    </w:p>
    <w:p w14:paraId="373D1F09">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 xml:space="preserve">《工业金属管道工程施工质量验收规范》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 xml:space="preserve">    </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 xml:space="preserve">  GB50184-2011</w:t>
      </w:r>
    </w:p>
    <w:p w14:paraId="31784103">
      <w:pPr>
        <w:keepNext w:val="0"/>
        <w:keepLines w:val="0"/>
        <w:pageBreakBefore w:val="0"/>
        <w:kinsoku/>
        <w:wordWrap/>
        <w:overflowPunct/>
        <w:topLinePunct w:val="0"/>
        <w:bidi w:val="0"/>
        <w:spacing w:line="360" w:lineRule="auto"/>
        <w:jc w:val="left"/>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lang w:val="en-US" w:eastAsia="zh-CN"/>
        </w:rPr>
        <w:t>《固定式钢梯及平台安全要求第3部分工业防护栏杆及钢平台》</w:t>
      </w:r>
      <w:r>
        <w:rPr>
          <w:rFonts w:hint="eastAsia" w:ascii="宋体" w:hAnsi="宋体" w:cs="宋体"/>
          <w:caps w:val="0"/>
          <w:smallCaps w:val="0"/>
          <w:color w:val="auto"/>
          <w:sz w:val="21"/>
          <w:szCs w:val="21"/>
          <w:highlight w:val="none"/>
          <w:lang w:val="en-US" w:eastAsia="zh-CN"/>
        </w:rPr>
        <w:t xml:space="preserve">  </w:t>
      </w:r>
      <w:r>
        <w:rPr>
          <w:rFonts w:hint="eastAsia" w:ascii="宋体" w:hAnsi="宋体" w:eastAsia="宋体" w:cs="宋体"/>
          <w:caps w:val="0"/>
          <w:smallCaps w:val="0"/>
          <w:color w:val="auto"/>
          <w:sz w:val="21"/>
          <w:szCs w:val="21"/>
          <w:highlight w:val="none"/>
          <w:lang w:val="en-US" w:eastAsia="zh-CN"/>
        </w:rPr>
        <w:t>GB 4053.3-2009</w:t>
      </w:r>
    </w:p>
    <w:p w14:paraId="4772B32A">
      <w:pPr>
        <w:pStyle w:val="6"/>
        <w:bidi w:val="0"/>
      </w:pPr>
      <w:r>
        <w:rPr>
          <w:rFonts w:hint="eastAsia"/>
          <w:lang w:val="en-US" w:eastAsia="zh-CN"/>
        </w:rPr>
        <w:t>4、</w:t>
      </w:r>
      <w:r>
        <w:rPr>
          <w:rFonts w:hint="eastAsia"/>
        </w:rPr>
        <w:t xml:space="preserve">电气控制系统要求 </w:t>
      </w:r>
    </w:p>
    <w:p w14:paraId="0D95CE7F">
      <w:pPr>
        <w:pStyle w:val="7"/>
        <w:bidi w:val="0"/>
      </w:pPr>
      <w:r>
        <w:rPr>
          <w:rFonts w:hint="eastAsia"/>
          <w:lang w:val="en-US" w:eastAsia="zh-CN"/>
        </w:rPr>
        <w:t>4.1</w:t>
      </w:r>
      <w:r>
        <w:rPr>
          <w:rFonts w:hint="eastAsia"/>
        </w:rPr>
        <w:t>系统设计要求</w:t>
      </w:r>
    </w:p>
    <w:p w14:paraId="1FD0D732">
      <w:pPr>
        <w:tabs>
          <w:tab w:val="left" w:pos="1134"/>
        </w:tabs>
        <w:spacing w:line="360" w:lineRule="auto"/>
        <w:ind w:firstLine="420" w:firstLineChars="200"/>
        <w:rPr>
          <w:rFonts w:hint="eastAsia" w:ascii="宋体" w:hAnsi="宋体"/>
          <w:szCs w:val="21"/>
        </w:rPr>
      </w:pPr>
      <w:r>
        <w:rPr>
          <w:rFonts w:hint="eastAsia" w:ascii="宋体" w:hAnsi="宋体"/>
          <w:szCs w:val="21"/>
        </w:rPr>
        <w:t>1、</w:t>
      </w:r>
      <w:r>
        <w:rPr>
          <w:rFonts w:hint="eastAsia" w:ascii="仿宋" w:hAnsi="仿宋" w:eastAsia="宋体" w:cs="Times New Roman"/>
          <w:color w:val="auto"/>
          <w:szCs w:val="28"/>
        </w:rPr>
        <w:t>控制系统分为现场运行控制级、车间上位机操作级和园区平台管理级。现场运行控制级采用可靠的工业级PLC控制器。车间管理操作级</w:t>
      </w:r>
      <w:r>
        <w:rPr>
          <w:rFonts w:hint="eastAsia" w:ascii="仿宋" w:hAnsi="仿宋" w:cs="Times New Roman"/>
          <w:color w:val="auto"/>
          <w:szCs w:val="28"/>
          <w:lang w:val="en-US" w:eastAsia="zh-CN"/>
        </w:rPr>
        <w:t>采用工控机</w:t>
      </w:r>
      <w:r>
        <w:rPr>
          <w:rFonts w:hint="eastAsia" w:ascii="仿宋" w:hAnsi="仿宋" w:eastAsia="宋体" w:cs="Times New Roman"/>
          <w:color w:val="auto"/>
          <w:szCs w:val="28"/>
        </w:rPr>
        <w:t>，并可通过通讯网络进入企业管理级系统。投标人应承诺无</w:t>
      </w:r>
      <w:r>
        <w:rPr>
          <w:rFonts w:hint="eastAsia" w:ascii="宋体" w:hAnsi="宋体"/>
          <w:szCs w:val="21"/>
        </w:rPr>
        <w:t>条件配合招标人相关职能部门和前述软件管理系统的数据通讯和采集工作，不得收取任何配合费用，不得设置技术障碍。</w:t>
      </w:r>
    </w:p>
    <w:p w14:paraId="40588B89">
      <w:pPr>
        <w:tabs>
          <w:tab w:val="left" w:pos="1134"/>
        </w:tabs>
        <w:spacing w:line="360" w:lineRule="auto"/>
        <w:ind w:firstLine="420" w:firstLineChars="200"/>
        <w:rPr>
          <w:rFonts w:hint="eastAsia" w:ascii="宋体" w:hAnsi="宋体"/>
          <w:szCs w:val="21"/>
        </w:rPr>
      </w:pPr>
      <w:r>
        <w:rPr>
          <w:rFonts w:hint="eastAsia" w:ascii="宋体" w:hAnsi="宋体"/>
          <w:szCs w:val="21"/>
        </w:rPr>
        <w:t>2、系统要求具备高响应、高实时性和高可靠性，控制系统选型配置符合被控系统的输入输出容量和逻辑的复杂性，能够完成</w:t>
      </w:r>
      <w:r>
        <w:rPr>
          <w:rFonts w:hint="eastAsia" w:ascii="宋体" w:hAnsi="宋体"/>
          <w:szCs w:val="21"/>
          <w:lang w:val="en-US" w:eastAsia="zh-CN"/>
        </w:rPr>
        <w:t>输送、清洗设备</w:t>
      </w:r>
      <w:r>
        <w:rPr>
          <w:rFonts w:hint="eastAsia" w:ascii="宋体" w:hAnsi="宋体"/>
          <w:szCs w:val="21"/>
        </w:rPr>
        <w:t>启停</w:t>
      </w:r>
      <w:r>
        <w:rPr>
          <w:rFonts w:hint="eastAsia" w:ascii="宋体" w:hAnsi="宋体"/>
          <w:szCs w:val="21"/>
          <w:lang w:eastAsia="zh-CN"/>
        </w:rPr>
        <w:t>、</w:t>
      </w:r>
      <w:r>
        <w:rPr>
          <w:rFonts w:hint="eastAsia" w:ascii="宋体" w:hAnsi="宋体"/>
          <w:szCs w:val="21"/>
          <w:lang w:val="en-US" w:eastAsia="zh-CN"/>
        </w:rPr>
        <w:t>调节</w:t>
      </w:r>
      <w:r>
        <w:rPr>
          <w:rFonts w:hint="eastAsia" w:ascii="宋体" w:hAnsi="宋体"/>
          <w:szCs w:val="21"/>
        </w:rPr>
        <w:t>自动控制，实现操作简单、响应快速、输送精准、联动高效、故障率低等目的。</w:t>
      </w:r>
    </w:p>
    <w:p w14:paraId="70B11C08">
      <w:pPr>
        <w:tabs>
          <w:tab w:val="left" w:pos="1134"/>
        </w:tabs>
        <w:spacing w:line="360" w:lineRule="auto"/>
        <w:ind w:firstLine="420" w:firstLineChars="200"/>
        <w:rPr>
          <w:rFonts w:hint="eastAsia" w:ascii="宋体" w:hAnsi="宋体"/>
          <w:szCs w:val="21"/>
        </w:rPr>
      </w:pPr>
      <w:r>
        <w:rPr>
          <w:rFonts w:hint="eastAsia" w:ascii="宋体" w:hAnsi="宋体"/>
          <w:szCs w:val="21"/>
        </w:rPr>
        <w:t>3、上位机控制系统</w:t>
      </w:r>
      <w:r>
        <w:rPr>
          <w:rFonts w:hint="eastAsia" w:ascii="宋体" w:hAnsi="宋体"/>
          <w:szCs w:val="21"/>
          <w:lang w:val="en-US" w:eastAsia="zh-CN"/>
        </w:rPr>
        <w:t>可</w:t>
      </w:r>
      <w:r>
        <w:rPr>
          <w:rFonts w:hint="eastAsia" w:ascii="宋体" w:hAnsi="宋体"/>
          <w:szCs w:val="21"/>
        </w:rPr>
        <w:t>实现对</w:t>
      </w:r>
      <w:r>
        <w:rPr>
          <w:rFonts w:hint="eastAsia" w:ascii="宋体" w:hAnsi="宋体"/>
          <w:szCs w:val="21"/>
          <w:lang w:val="en-US" w:eastAsia="zh-CN"/>
        </w:rPr>
        <w:t>系统</w:t>
      </w:r>
      <w:r>
        <w:rPr>
          <w:rFonts w:hint="eastAsia" w:ascii="宋体" w:hAnsi="宋体"/>
          <w:szCs w:val="21"/>
        </w:rPr>
        <w:t>状态实时监控、生产数据采集</w:t>
      </w:r>
      <w:r>
        <w:rPr>
          <w:rFonts w:hint="eastAsia" w:ascii="宋体" w:hAnsi="宋体"/>
          <w:szCs w:val="21"/>
          <w:lang w:eastAsia="zh-CN"/>
        </w:rPr>
        <w:t>、</w:t>
      </w:r>
      <w:r>
        <w:rPr>
          <w:rFonts w:hint="eastAsia" w:ascii="宋体" w:hAnsi="宋体"/>
          <w:szCs w:val="21"/>
        </w:rPr>
        <w:t>显示记录、参数设定和报警显示及记录，提供实时的工艺数据和各种柱状图、趋势图等功能。</w:t>
      </w:r>
    </w:p>
    <w:p w14:paraId="0CC34027">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4</w:t>
      </w:r>
      <w:r>
        <w:rPr>
          <w:rFonts w:hint="eastAsia" w:ascii="宋体" w:hAnsi="宋体"/>
          <w:szCs w:val="21"/>
        </w:rPr>
        <w:t>、控制系统采用PLC控制系统（集中控制）作为泵阀的主要控制手段，系统须具有远程及本地控制功能，上位机远程控制设在车间控制室；本地控制采用现场操作箱/柜（</w:t>
      </w:r>
      <w:r>
        <w:rPr>
          <w:rFonts w:hint="eastAsia" w:ascii="宋体" w:hAnsi="宋体"/>
          <w:szCs w:val="21"/>
          <w:lang w:val="en-US" w:eastAsia="zh-CN"/>
        </w:rPr>
        <w:t>或</w:t>
      </w:r>
      <w:r>
        <w:rPr>
          <w:rFonts w:hint="eastAsia" w:ascii="宋体" w:hAnsi="宋体"/>
          <w:szCs w:val="21"/>
        </w:rPr>
        <w:t>触摸屏）放置在靠近被控设备且操作者便于操作和观察的</w:t>
      </w:r>
      <w:r>
        <w:rPr>
          <w:rFonts w:hint="eastAsia" w:ascii="仿宋" w:hAnsi="仿宋" w:eastAsia="宋体" w:cs="Times New Roman"/>
          <w:color w:val="auto"/>
          <w:szCs w:val="28"/>
        </w:rPr>
        <w:t>部</w:t>
      </w:r>
      <w:r>
        <w:rPr>
          <w:rFonts w:hint="eastAsia" w:ascii="宋体" w:hAnsi="宋体"/>
          <w:szCs w:val="21"/>
        </w:rPr>
        <w:t>位。</w:t>
      </w:r>
    </w:p>
    <w:p w14:paraId="3DCD5E10">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5</w:t>
      </w:r>
      <w:r>
        <w:rPr>
          <w:rFonts w:hint="eastAsia" w:ascii="宋体" w:hAnsi="宋体"/>
          <w:szCs w:val="21"/>
        </w:rPr>
        <w:t>、系统的设计应充分考虑基于安全生产和设备故障所需要的各种联锁控制、互锁保护等，确保设备的连锁运转、有序启停以</w:t>
      </w:r>
      <w:r>
        <w:rPr>
          <w:rFonts w:hint="eastAsia" w:ascii="宋体" w:hAnsi="宋体"/>
          <w:szCs w:val="21"/>
          <w:lang w:eastAsia="zh-CN"/>
        </w:rPr>
        <w:t>，</w:t>
      </w:r>
      <w:r>
        <w:rPr>
          <w:rFonts w:hint="eastAsia" w:ascii="宋体" w:hAnsi="宋体"/>
          <w:szCs w:val="21"/>
          <w:lang w:val="en-US" w:eastAsia="zh-CN"/>
        </w:rPr>
        <w:t>确保人员及设备安全</w:t>
      </w:r>
      <w:r>
        <w:rPr>
          <w:rFonts w:hint="eastAsia" w:ascii="宋体" w:hAnsi="宋体"/>
          <w:szCs w:val="21"/>
        </w:rPr>
        <w:t>。</w:t>
      </w:r>
    </w:p>
    <w:p w14:paraId="6CDB47E8">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6、</w:t>
      </w:r>
      <w:r>
        <w:rPr>
          <w:rFonts w:hint="eastAsia" w:ascii="宋体" w:hAnsi="宋体"/>
          <w:szCs w:val="21"/>
        </w:rPr>
        <w:t>为保证系统的抗干扰能力，必须加入二次防雷系统的设计。对计算机、控制器等设备采取合理、有效的二次防雷措施。</w:t>
      </w:r>
    </w:p>
    <w:p w14:paraId="6DA5C666">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7</w:t>
      </w:r>
      <w:r>
        <w:rPr>
          <w:rFonts w:hint="eastAsia" w:ascii="宋体" w:hAnsi="宋体"/>
          <w:szCs w:val="21"/>
        </w:rPr>
        <w:t>、</w:t>
      </w:r>
      <w:r>
        <w:rPr>
          <w:rFonts w:hint="eastAsia" w:ascii="宋体" w:hAnsi="宋体"/>
          <w:szCs w:val="21"/>
          <w:lang w:val="en-US" w:eastAsia="zh-CN"/>
        </w:rPr>
        <w:t>本项目采用TN-S</w:t>
      </w:r>
      <w:r>
        <w:rPr>
          <w:rFonts w:hint="eastAsia" w:ascii="宋体" w:hAnsi="宋体"/>
          <w:szCs w:val="21"/>
        </w:rPr>
        <w:t>供电系统，设备</w:t>
      </w:r>
      <w:r>
        <w:rPr>
          <w:rFonts w:hint="eastAsia" w:ascii="宋体" w:hAnsi="宋体"/>
          <w:szCs w:val="21"/>
          <w:lang w:val="en-US" w:eastAsia="zh-CN"/>
        </w:rPr>
        <w:t>金属</w:t>
      </w:r>
      <w:r>
        <w:rPr>
          <w:rFonts w:hint="eastAsia" w:ascii="宋体" w:hAnsi="宋体"/>
          <w:szCs w:val="21"/>
        </w:rPr>
        <w:t>外壳采</w:t>
      </w:r>
      <w:r>
        <w:rPr>
          <w:rFonts w:hint="eastAsia" w:ascii="宋体" w:hAnsi="宋体"/>
          <w:szCs w:val="21"/>
          <w:lang w:val="en-US" w:eastAsia="zh-CN"/>
        </w:rPr>
        <w:t>用独立的</w:t>
      </w:r>
      <w:r>
        <w:rPr>
          <w:rFonts w:hint="eastAsia" w:ascii="宋体" w:hAnsi="宋体"/>
          <w:szCs w:val="21"/>
        </w:rPr>
        <w:t>二次保护接地措施。电机的控制要求具备过载、缺相、短路、断路保护。</w:t>
      </w:r>
    </w:p>
    <w:p w14:paraId="3DD123B3">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8</w:t>
      </w:r>
      <w:r>
        <w:rPr>
          <w:rFonts w:hint="eastAsia" w:ascii="宋体" w:hAnsi="宋体"/>
          <w:szCs w:val="21"/>
        </w:rPr>
        <w:t>、系统所有控制箱/柜、接线端子应留有20%的空间余量；I/O点预留余量≥20%，备用点位不足4个按4个预留；网络端口余量≥10%，备用网络端口不足2个按2个预留。</w:t>
      </w:r>
    </w:p>
    <w:p w14:paraId="2D0AFF84">
      <w:pPr>
        <w:pStyle w:val="7"/>
        <w:bidi w:val="0"/>
        <w:rPr>
          <w:rFonts w:hint="eastAsia"/>
          <w:lang w:val="en-US" w:eastAsia="zh-CN"/>
        </w:rPr>
      </w:pPr>
      <w:r>
        <w:rPr>
          <w:rFonts w:hint="eastAsia"/>
          <w:lang w:val="en-US" w:eastAsia="zh-CN"/>
        </w:rPr>
        <w:t>4.2 PLC</w:t>
      </w:r>
    </w:p>
    <w:p w14:paraId="7EE7F0D6">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1、</w:t>
      </w:r>
      <w:r>
        <w:rPr>
          <w:rFonts w:hint="eastAsia" w:ascii="宋体" w:hAnsi="宋体"/>
          <w:szCs w:val="21"/>
        </w:rPr>
        <w:t>要求应用软件开放</w:t>
      </w:r>
      <w:r>
        <w:rPr>
          <w:rFonts w:hint="eastAsia" w:ascii="仿宋" w:hAnsi="仿宋" w:eastAsia="宋体" w:cs="Times New Roman"/>
          <w:color w:val="auto"/>
          <w:szCs w:val="28"/>
        </w:rPr>
        <w:t>，所有控制</w:t>
      </w:r>
      <w:r>
        <w:rPr>
          <w:rFonts w:hint="eastAsia" w:ascii="宋体" w:hAnsi="宋体"/>
          <w:szCs w:val="21"/>
        </w:rPr>
        <w:t>程序及触摸屏画面源代码开放，不加密，主系统和所有子系统使用同一品牌的PLC。</w:t>
      </w:r>
    </w:p>
    <w:p w14:paraId="794AC306">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2、</w:t>
      </w:r>
      <w:r>
        <w:rPr>
          <w:rFonts w:hint="eastAsia" w:ascii="宋体" w:hAnsi="宋体"/>
          <w:szCs w:val="21"/>
        </w:rPr>
        <w:t>PLC 系统安全、可靠、经济、维护和扩展方便，提供简体中文界面和详细的系统参数，可以监控生产</w:t>
      </w:r>
      <w:r>
        <w:rPr>
          <w:rFonts w:hint="eastAsia" w:ascii="宋体" w:hAnsi="宋体"/>
          <w:szCs w:val="21"/>
          <w:lang w:val="en-US" w:eastAsia="zh-CN"/>
        </w:rPr>
        <w:t>设备和生产过程</w:t>
      </w:r>
      <w:r>
        <w:rPr>
          <w:rFonts w:hint="eastAsia" w:ascii="宋体" w:hAnsi="宋体"/>
          <w:szCs w:val="21"/>
        </w:rPr>
        <w:t>。</w:t>
      </w:r>
    </w:p>
    <w:p w14:paraId="576C5DB0">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3、</w:t>
      </w:r>
      <w:r>
        <w:rPr>
          <w:rFonts w:hint="eastAsia" w:ascii="宋体" w:hAnsi="宋体"/>
          <w:szCs w:val="21"/>
        </w:rPr>
        <w:t>PLC输入输出（I/O）模块备用点位不小于20%，备用点位不足4个的按照4个预留。</w:t>
      </w:r>
    </w:p>
    <w:p w14:paraId="4DFD103A">
      <w:pPr>
        <w:pStyle w:val="7"/>
        <w:bidi w:val="0"/>
        <w:rPr>
          <w:rFonts w:hint="eastAsia"/>
          <w:lang w:val="en-US" w:eastAsia="zh-CN"/>
        </w:rPr>
      </w:pPr>
      <w:r>
        <w:rPr>
          <w:rFonts w:hint="eastAsia"/>
          <w:lang w:val="en-US" w:eastAsia="zh-CN"/>
        </w:rPr>
        <w:t>4.3</w:t>
      </w:r>
      <w:r>
        <w:rPr>
          <w:rFonts w:hint="eastAsia"/>
        </w:rPr>
        <w:t>电缆</w:t>
      </w:r>
    </w:p>
    <w:p w14:paraId="00FCF133">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1、</w:t>
      </w:r>
      <w:r>
        <w:rPr>
          <w:rFonts w:hint="eastAsia" w:ascii="宋体" w:hAnsi="宋体"/>
          <w:szCs w:val="21"/>
          <w:lang w:eastAsia="zh-CN"/>
        </w:rPr>
        <w:t>投标人</w:t>
      </w:r>
      <w:r>
        <w:rPr>
          <w:rFonts w:hint="eastAsia" w:ascii="宋体" w:hAnsi="宋体"/>
          <w:szCs w:val="21"/>
        </w:rPr>
        <w:t>所供应的电缆应都为铜芯，所有电缆（盘、卷）都应附有合格证，注明厂家、电缆尺寸、芯线数目、长度。所有电缆交付时，其端点应可靠密封。当从盘架上割下电缆时，两端应立即密封，以防潮气侵入。</w:t>
      </w:r>
    </w:p>
    <w:p w14:paraId="3C5C4F3E">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2、</w:t>
      </w:r>
      <w:r>
        <w:rPr>
          <w:rFonts w:hint="eastAsia" w:ascii="宋体" w:hAnsi="宋体"/>
          <w:szCs w:val="21"/>
        </w:rPr>
        <w:t>控制电缆为铜芯聚氯乙烯绝缘聚氯乙烯护套屏蔽KVVP电缆，额定电压U0/U为0.45/0.75KV，控制电缆导体长期允许温度为70℃，截面积不少于1.0平方毫米（传感器等用特殊电缆除外）。</w:t>
      </w:r>
    </w:p>
    <w:p w14:paraId="4367A178">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3、</w:t>
      </w:r>
      <w:r>
        <w:rPr>
          <w:rFonts w:hint="eastAsia" w:ascii="宋体" w:hAnsi="宋体"/>
          <w:szCs w:val="21"/>
        </w:rPr>
        <w:t>通信网线使用六类品牌线，100米及以上信号传输采用光纤线。</w:t>
      </w:r>
    </w:p>
    <w:p w14:paraId="6AA7D71D">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4、</w:t>
      </w:r>
      <w:r>
        <w:rPr>
          <w:rFonts w:hint="eastAsia" w:ascii="宋体" w:hAnsi="宋体"/>
          <w:szCs w:val="21"/>
        </w:rPr>
        <w:t>动力电缆采用铜芯YJV型</w:t>
      </w:r>
      <w:r>
        <w:rPr>
          <w:rFonts w:hint="eastAsia" w:ascii="仿宋" w:hAnsi="仿宋" w:eastAsia="宋体" w:cs="Times New Roman"/>
          <w:color w:val="auto"/>
          <w:szCs w:val="28"/>
        </w:rPr>
        <w:t>电缆，导体长期允许</w:t>
      </w:r>
      <w:r>
        <w:rPr>
          <w:rFonts w:hint="eastAsia" w:ascii="宋体" w:hAnsi="宋体"/>
          <w:szCs w:val="21"/>
        </w:rPr>
        <w:t>温度为90℃。截面积根据所载负荷的大小计算后得到。</w:t>
      </w:r>
    </w:p>
    <w:p w14:paraId="749EF527">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5、</w:t>
      </w:r>
      <w:r>
        <w:rPr>
          <w:rFonts w:hint="eastAsia" w:ascii="宋体" w:hAnsi="宋体"/>
          <w:szCs w:val="21"/>
        </w:rPr>
        <w:t>室外埋地、室外电缆沟敷设动力电缆采用铜芯YJV22型铜芯交联聚乙烯绝缘聚氯乙烯护套铠装电缆，导体长期允许温度为90℃。</w:t>
      </w:r>
    </w:p>
    <w:p w14:paraId="2EF9E69F">
      <w:pPr>
        <w:pStyle w:val="7"/>
        <w:bidi w:val="0"/>
        <w:rPr>
          <w:rFonts w:hint="eastAsia"/>
        </w:rPr>
      </w:pPr>
      <w:r>
        <w:rPr>
          <w:rFonts w:hint="eastAsia"/>
          <w:lang w:val="en-US" w:eastAsia="zh-CN"/>
        </w:rPr>
        <w:t>4.4</w:t>
      </w:r>
      <w:r>
        <w:rPr>
          <w:rFonts w:hint="eastAsia"/>
        </w:rPr>
        <w:t>箱、柜、台总体要求</w:t>
      </w:r>
    </w:p>
    <w:p w14:paraId="7C291F05">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1、</w:t>
      </w:r>
      <w:r>
        <w:rPr>
          <w:rFonts w:hint="eastAsia" w:ascii="宋体" w:hAnsi="宋体"/>
          <w:szCs w:val="21"/>
        </w:rPr>
        <w:t>箱、柜、台所使用的钢板应为δ≥</w:t>
      </w:r>
      <w:r>
        <w:rPr>
          <w:rFonts w:hint="eastAsia" w:ascii="宋体" w:hAnsi="宋体"/>
          <w:szCs w:val="21"/>
          <w:lang w:val="en-US" w:eastAsia="zh-CN"/>
        </w:rPr>
        <w:t>1.5</w:t>
      </w:r>
      <w:r>
        <w:rPr>
          <w:rFonts w:hint="eastAsia" w:ascii="宋体" w:hAnsi="宋体"/>
          <w:szCs w:val="21"/>
        </w:rPr>
        <w:t>mm厚的优质304</w:t>
      </w:r>
      <w:r>
        <w:rPr>
          <w:rFonts w:hint="eastAsia" w:ascii="宋体" w:hAnsi="宋体"/>
          <w:szCs w:val="21"/>
          <w:lang w:val="en-US" w:eastAsia="zh-CN"/>
        </w:rPr>
        <w:t>不锈</w:t>
      </w:r>
      <w:r>
        <w:rPr>
          <w:rFonts w:hint="eastAsia" w:ascii="宋体" w:hAnsi="宋体"/>
          <w:szCs w:val="21"/>
        </w:rPr>
        <w:t>钢板，其内部的支撑和框架构件应保证不引起盘柜变形，密封标准符合IP65。</w:t>
      </w:r>
    </w:p>
    <w:p w14:paraId="3A0A977B">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2、</w:t>
      </w:r>
      <w:r>
        <w:rPr>
          <w:rFonts w:hint="eastAsia" w:ascii="宋体" w:hAnsi="宋体"/>
          <w:szCs w:val="21"/>
        </w:rPr>
        <w:t>接线端子应选用进口优质产品。接线端子的容量及盘内布线的线芯大小应充分考虑其回路容量，应与其回路电流相匹配。在箱、柜、台</w:t>
      </w:r>
      <w:r>
        <w:rPr>
          <w:rFonts w:hint="eastAsia" w:ascii="仿宋" w:hAnsi="仿宋" w:eastAsia="宋体" w:cs="Times New Roman"/>
          <w:color w:val="auto"/>
          <w:szCs w:val="28"/>
        </w:rPr>
        <w:t>内，端子排距盘柜底部的距离L≥350mm，端子排之间的距离L≥200mm。每个端子应有编号，每根</w:t>
      </w:r>
      <w:r>
        <w:rPr>
          <w:rFonts w:hint="eastAsia" w:ascii="宋体" w:hAnsi="宋体"/>
          <w:szCs w:val="21"/>
        </w:rPr>
        <w:t>线的两端应有线号并采用热打印方式打印，其编号与图纸一致。</w:t>
      </w:r>
    </w:p>
    <w:p w14:paraId="6819A714">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3、</w:t>
      </w:r>
      <w:r>
        <w:rPr>
          <w:rFonts w:hint="eastAsia" w:ascii="宋体" w:hAnsi="宋体"/>
          <w:szCs w:val="21"/>
        </w:rPr>
        <w:t>端子排、电缆夹头、电缆走线槽及接线槽均应由“阻燃型”型材料制造。</w:t>
      </w:r>
    </w:p>
    <w:p w14:paraId="5CD0625F">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4、</w:t>
      </w:r>
      <w:r>
        <w:rPr>
          <w:rFonts w:hint="eastAsia" w:ascii="宋体" w:hAnsi="宋体"/>
          <w:szCs w:val="21"/>
        </w:rPr>
        <w:t>所有箱、柜、台的设计、材料的选择和工艺应使其内、外表面光滑、整洁，没有焊接、铆钉或外侧出现的螺栓头，整个外表面端正光滑。</w:t>
      </w:r>
    </w:p>
    <w:p w14:paraId="109F35CD">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5、</w:t>
      </w:r>
      <w:r>
        <w:rPr>
          <w:rFonts w:hint="eastAsia" w:ascii="宋体" w:hAnsi="宋体"/>
          <w:szCs w:val="21"/>
        </w:rPr>
        <w:t xml:space="preserve">对需散热的电源装置，应提供排气风扇和内部循环风扇。装有风扇的盘、台均应提供易于更换的空气过滤器。 </w:t>
      </w:r>
    </w:p>
    <w:p w14:paraId="7F57A6D1">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6、</w:t>
      </w:r>
      <w:r>
        <w:rPr>
          <w:rFonts w:hint="eastAsia" w:ascii="宋体" w:hAnsi="宋体"/>
          <w:szCs w:val="21"/>
        </w:rPr>
        <w:t>各动力中心和分配电盘柜均预留15%的备用回路，不足1个的保证至少1个备用回路。</w:t>
      </w:r>
    </w:p>
    <w:p w14:paraId="55921FE9">
      <w:pPr>
        <w:pStyle w:val="7"/>
        <w:bidi w:val="0"/>
        <w:rPr>
          <w:rFonts w:hint="eastAsia"/>
          <w:lang w:val="en-US" w:eastAsia="zh-CN"/>
        </w:rPr>
      </w:pPr>
      <w:r>
        <w:rPr>
          <w:rFonts w:hint="eastAsia"/>
          <w:lang w:val="en-US" w:eastAsia="zh-CN"/>
        </w:rPr>
        <w:t xml:space="preserve">4.5 </w:t>
      </w:r>
      <w:r>
        <w:rPr>
          <w:rFonts w:hint="eastAsia"/>
        </w:rPr>
        <w:t>UPS</w:t>
      </w:r>
    </w:p>
    <w:p w14:paraId="24AD92F6">
      <w:pPr>
        <w:tabs>
          <w:tab w:val="left" w:pos="1134"/>
        </w:tabs>
        <w:spacing w:line="360" w:lineRule="auto"/>
        <w:ind w:firstLine="420" w:firstLineChars="200"/>
        <w:rPr>
          <w:rFonts w:hint="eastAsia" w:ascii="宋体" w:hAnsi="宋体"/>
          <w:szCs w:val="21"/>
        </w:rPr>
      </w:pPr>
      <w:r>
        <w:rPr>
          <w:rFonts w:hint="eastAsia" w:ascii="宋体" w:hAnsi="宋体"/>
          <w:szCs w:val="21"/>
          <w:lang w:val="en-US" w:eastAsia="zh-CN"/>
        </w:rPr>
        <w:t>1、</w:t>
      </w:r>
      <w:r>
        <w:rPr>
          <w:rFonts w:hint="eastAsia" w:ascii="宋体" w:hAnsi="宋体"/>
          <w:szCs w:val="21"/>
        </w:rPr>
        <w:t>PS电源能提供高质量电压、频率、波形的无时间中断的连续、无干扰的交流电源，而与三相交流电源条件无关。本项目不间断电源采用在线式双变换式UPS，</w:t>
      </w:r>
      <w:r>
        <w:rPr>
          <w:rFonts w:hint="eastAsia" w:ascii="宋体" w:hAnsi="宋体"/>
          <w:szCs w:val="21"/>
          <w:lang w:val="en-US" w:eastAsia="zh-CN"/>
        </w:rPr>
        <w:t>电池容量5kvA及以上，并且</w:t>
      </w:r>
      <w:r>
        <w:rPr>
          <w:rFonts w:hint="eastAsia" w:ascii="宋体" w:hAnsi="宋体"/>
          <w:szCs w:val="21"/>
        </w:rPr>
        <w:t>后备时间</w:t>
      </w:r>
      <w:r>
        <w:rPr>
          <w:rFonts w:hint="default" w:ascii="宋体" w:hAnsi="宋体"/>
          <w:szCs w:val="21"/>
        </w:rPr>
        <w:t>≥</w:t>
      </w:r>
      <w:r>
        <w:rPr>
          <w:rFonts w:hint="eastAsia" w:ascii="宋体" w:hAnsi="宋体"/>
          <w:szCs w:val="21"/>
        </w:rPr>
        <w:t>2小时。</w:t>
      </w:r>
    </w:p>
    <w:p w14:paraId="1B966B24">
      <w:pPr>
        <w:tabs>
          <w:tab w:val="left" w:pos="1134"/>
        </w:tabs>
        <w:spacing w:line="360" w:lineRule="auto"/>
        <w:ind w:firstLine="420" w:firstLineChars="200"/>
        <w:rPr>
          <w:rFonts w:hint="eastAsia" w:ascii="仿宋" w:hAnsi="仿宋" w:eastAsia="宋体" w:cs="Times New Roman"/>
          <w:color w:val="auto"/>
          <w:szCs w:val="28"/>
        </w:rPr>
      </w:pPr>
      <w:r>
        <w:rPr>
          <w:rFonts w:hint="eastAsia" w:ascii="宋体" w:hAnsi="宋体"/>
          <w:szCs w:val="21"/>
          <w:lang w:val="en-US" w:eastAsia="zh-CN"/>
        </w:rPr>
        <w:t>2、</w:t>
      </w:r>
      <w:r>
        <w:rPr>
          <w:rFonts w:hint="eastAsia" w:ascii="宋体" w:hAnsi="宋体"/>
          <w:szCs w:val="21"/>
        </w:rPr>
        <w:t>工控机、在线仪表、监控</w:t>
      </w:r>
      <w:r>
        <w:rPr>
          <w:rFonts w:hint="eastAsia" w:ascii="仿宋" w:hAnsi="仿宋" w:eastAsia="宋体" w:cs="Times New Roman"/>
          <w:color w:val="auto"/>
          <w:szCs w:val="28"/>
        </w:rPr>
        <w:t>设备、交换机、PLC和其他通信设备</w:t>
      </w:r>
      <w:r>
        <w:rPr>
          <w:rFonts w:hint="eastAsia" w:ascii="仿宋" w:hAnsi="仿宋" w:cs="Times New Roman"/>
          <w:color w:val="auto"/>
          <w:szCs w:val="28"/>
          <w:lang w:val="en-US" w:eastAsia="zh-CN"/>
        </w:rPr>
        <w:t>等配置</w:t>
      </w:r>
      <w:r>
        <w:rPr>
          <w:rFonts w:hint="eastAsia" w:ascii="仿宋" w:hAnsi="仿宋" w:eastAsia="宋体" w:cs="Times New Roman"/>
          <w:color w:val="auto"/>
          <w:szCs w:val="28"/>
        </w:rPr>
        <w:t>UPS</w:t>
      </w:r>
      <w:r>
        <w:rPr>
          <w:rFonts w:hint="eastAsia" w:ascii="仿宋" w:hAnsi="仿宋" w:cs="Times New Roman"/>
          <w:color w:val="auto"/>
          <w:szCs w:val="28"/>
          <w:lang w:val="en-US" w:eastAsia="zh-CN"/>
        </w:rPr>
        <w:t>电源</w:t>
      </w:r>
      <w:r>
        <w:rPr>
          <w:rFonts w:hint="eastAsia" w:ascii="仿宋" w:hAnsi="仿宋" w:eastAsia="宋体" w:cs="Times New Roman"/>
          <w:color w:val="auto"/>
          <w:szCs w:val="28"/>
        </w:rPr>
        <w:t>，</w:t>
      </w:r>
    </w:p>
    <w:p w14:paraId="1571A32C">
      <w:pPr>
        <w:pStyle w:val="6"/>
        <w:bidi w:val="0"/>
      </w:pPr>
      <w:r>
        <w:rPr>
          <w:rFonts w:hint="eastAsia"/>
          <w:lang w:val="en-US" w:eastAsia="zh-CN"/>
        </w:rPr>
        <w:t>5、</w:t>
      </w:r>
      <w:r>
        <w:rPr>
          <w:rFonts w:hint="eastAsia"/>
        </w:rPr>
        <w:t>自动化信息化要求</w:t>
      </w:r>
    </w:p>
    <w:p w14:paraId="4B9BE662">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1、动态的集中监视和控制</w:t>
      </w:r>
    </w:p>
    <w:p w14:paraId="2FF38430">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系统将所有的电气设备、传感器、执行器全部连接起来，实现全部设备完全从电脑屏幕上监视和控制(启停、调节)。能够动态显示所有设备工作状态。</w:t>
      </w:r>
    </w:p>
    <w:p w14:paraId="2D5AD396">
      <w:pPr>
        <w:tabs>
          <w:tab w:val="left" w:pos="1134"/>
        </w:tabs>
        <w:spacing w:line="360" w:lineRule="auto"/>
        <w:ind w:firstLine="420" w:firstLineChars="200"/>
        <w:rPr>
          <w:rFonts w:hint="default" w:ascii="宋体" w:hAnsi="宋体"/>
          <w:szCs w:val="21"/>
          <w:lang w:val="en-US" w:eastAsia="zh-CN"/>
        </w:rPr>
      </w:pPr>
      <w:r>
        <w:rPr>
          <w:rFonts w:hint="eastAsia" w:ascii="宋体" w:hAnsi="宋体"/>
          <w:szCs w:val="21"/>
          <w:lang w:val="en-US" w:eastAsia="zh-CN"/>
        </w:rPr>
        <w:t>2、系统兼容要求</w:t>
      </w:r>
    </w:p>
    <w:p w14:paraId="077BB894">
      <w:pPr>
        <w:tabs>
          <w:tab w:val="left" w:pos="1134"/>
        </w:tabs>
        <w:spacing w:line="360" w:lineRule="auto"/>
        <w:ind w:firstLine="420" w:firstLineChars="200"/>
        <w:rPr>
          <w:rFonts w:hint="eastAsia" w:ascii="宋体" w:hAnsi="宋体"/>
          <w:szCs w:val="21"/>
          <w:lang w:val="en-US" w:eastAsia="zh-CN"/>
        </w:rPr>
      </w:pPr>
      <w:r>
        <w:rPr>
          <w:rFonts w:hint="eastAsia" w:ascii="宋体" w:hAnsi="宋体"/>
          <w:szCs w:val="21"/>
          <w:lang w:val="en-US" w:eastAsia="zh-CN"/>
        </w:rPr>
        <w:t>称重系统兼容现有青菜头收购称重结算系统。</w:t>
      </w:r>
    </w:p>
    <w:p w14:paraId="36A94B4B">
      <w:pPr>
        <w:pageBreakBefore w:val="0"/>
        <w:kinsoku/>
        <w:overflowPunct/>
        <w:topLinePunct w:val="0"/>
        <w:bidi w:val="0"/>
        <w:spacing w:line="360" w:lineRule="auto"/>
        <w:ind w:firstLine="420" w:firstLineChars="200"/>
        <w:rPr>
          <w:rFonts w:hint="eastAsia"/>
          <w:color w:val="auto"/>
          <w:lang w:val="en-US" w:eastAsia="zh-CN"/>
        </w:rPr>
      </w:pPr>
      <w:r>
        <w:rPr>
          <w:rFonts w:hint="eastAsia"/>
          <w:color w:val="auto"/>
          <w:lang w:val="en-US" w:eastAsia="zh-CN"/>
        </w:rPr>
        <w:t>3、</w:t>
      </w:r>
      <w:r>
        <w:rPr>
          <w:rFonts w:hint="eastAsia"/>
          <w:color w:val="auto"/>
        </w:rPr>
        <w:t>交换机</w:t>
      </w:r>
      <w:r>
        <w:rPr>
          <w:rFonts w:hint="eastAsia"/>
          <w:color w:val="auto"/>
          <w:lang w:val="en-US" w:eastAsia="zh-CN"/>
        </w:rPr>
        <w:t>要求</w:t>
      </w:r>
    </w:p>
    <w:p w14:paraId="526A7433">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rPr>
      </w:pPr>
      <w:r>
        <w:rPr>
          <w:rFonts w:hint="eastAsia"/>
          <w:color w:val="auto"/>
          <w:lang w:val="en-US" w:eastAsia="zh-CN"/>
        </w:rPr>
        <w:t>1）</w:t>
      </w:r>
      <w:r>
        <w:rPr>
          <w:rFonts w:hint="eastAsia"/>
          <w:color w:val="auto"/>
        </w:rPr>
        <w:t>交</w:t>
      </w:r>
      <w:r>
        <w:rPr>
          <w:rFonts w:hint="eastAsia" w:ascii="仿宋" w:hAnsi="仿宋" w:eastAsia="宋体" w:cs="Times New Roman"/>
          <w:color w:val="auto"/>
          <w:szCs w:val="28"/>
        </w:rPr>
        <w:t>换机设备采用千兆以太网电口。</w:t>
      </w:r>
    </w:p>
    <w:p w14:paraId="61DBFF87">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rPr>
      </w:pPr>
      <w:r>
        <w:rPr>
          <w:rFonts w:hint="eastAsia" w:ascii="仿宋" w:hAnsi="仿宋" w:cs="Times New Roman"/>
          <w:color w:val="auto"/>
          <w:szCs w:val="28"/>
          <w:lang w:val="en-US" w:eastAsia="zh-CN"/>
        </w:rPr>
        <w:t>2</w:t>
      </w:r>
      <w:r>
        <w:rPr>
          <w:rFonts w:hint="eastAsia"/>
          <w:color w:val="auto"/>
          <w:lang w:val="en-US" w:eastAsia="zh-CN"/>
        </w:rPr>
        <w:t>）</w:t>
      </w:r>
      <w:r>
        <w:rPr>
          <w:rFonts w:hint="eastAsia" w:ascii="仿宋" w:hAnsi="仿宋" w:eastAsia="宋体" w:cs="Times New Roman"/>
          <w:color w:val="auto"/>
          <w:szCs w:val="28"/>
        </w:rPr>
        <w:t>支持冗余双电源模块，实现了高可靠性和可用性，同时可选的低压和高压电源模块，可满足不同应用的电源需求。</w:t>
      </w:r>
    </w:p>
    <w:p w14:paraId="762F04A0">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rPr>
      </w:pPr>
      <w:r>
        <w:rPr>
          <w:rFonts w:hint="eastAsia" w:ascii="仿宋" w:hAnsi="仿宋" w:cs="Times New Roman"/>
          <w:color w:val="auto"/>
          <w:szCs w:val="28"/>
          <w:lang w:val="en-US" w:eastAsia="zh-CN"/>
        </w:rPr>
        <w:t>3</w:t>
      </w:r>
      <w:r>
        <w:rPr>
          <w:rFonts w:hint="eastAsia"/>
          <w:color w:val="auto"/>
          <w:lang w:val="en-US" w:eastAsia="zh-CN"/>
        </w:rPr>
        <w:t>）</w:t>
      </w:r>
      <w:r>
        <w:rPr>
          <w:rFonts w:hint="eastAsia" w:ascii="仿宋" w:hAnsi="仿宋" w:eastAsia="宋体" w:cs="Times New Roman"/>
          <w:color w:val="auto"/>
          <w:szCs w:val="28"/>
        </w:rPr>
        <w:t>外壳坚固耐用，通过多项工业认证，能够在恶劣和危险的环境下可靠运行。</w:t>
      </w:r>
    </w:p>
    <w:p w14:paraId="62A00334">
      <w:pPr>
        <w:pageBreakBefore w:val="0"/>
        <w:kinsoku/>
        <w:overflowPunct/>
        <w:topLinePunct w:val="0"/>
        <w:bidi w:val="0"/>
        <w:spacing w:line="360" w:lineRule="auto"/>
        <w:ind w:firstLine="420" w:firstLineChars="200"/>
        <w:rPr>
          <w:rFonts w:hint="eastAsia" w:eastAsia="宋体"/>
          <w:color w:val="auto"/>
          <w:lang w:val="en-US" w:eastAsia="zh-CN"/>
        </w:rPr>
      </w:pPr>
      <w:r>
        <w:rPr>
          <w:rFonts w:hint="eastAsia"/>
          <w:color w:val="auto"/>
          <w:lang w:val="en-US" w:eastAsia="zh-CN"/>
        </w:rPr>
        <w:t>4、</w:t>
      </w:r>
      <w:r>
        <w:rPr>
          <w:rFonts w:hint="eastAsia"/>
          <w:color w:val="auto"/>
        </w:rPr>
        <w:t>工控机</w:t>
      </w:r>
      <w:r>
        <w:rPr>
          <w:rFonts w:hint="eastAsia"/>
          <w:color w:val="auto"/>
          <w:lang w:val="en-US" w:eastAsia="zh-CN"/>
        </w:rPr>
        <w:t>要求</w:t>
      </w:r>
    </w:p>
    <w:p w14:paraId="5ADF63B4">
      <w:pPr>
        <w:pageBreakBefore w:val="0"/>
        <w:kinsoku/>
        <w:overflowPunct/>
        <w:topLinePunct w:val="0"/>
        <w:bidi w:val="0"/>
        <w:spacing w:line="360" w:lineRule="auto"/>
        <w:ind w:right="482" w:firstLine="420" w:firstLineChars="200"/>
        <w:rPr>
          <w:rFonts w:hint="eastAsia" w:ascii="仿宋" w:hAnsi="仿宋" w:cs="Times New Roman"/>
          <w:color w:val="auto"/>
          <w:szCs w:val="28"/>
          <w:lang w:val="en-US" w:eastAsia="zh-CN"/>
        </w:rPr>
      </w:pPr>
      <w:r>
        <w:rPr>
          <w:rFonts w:hint="eastAsia" w:ascii="仿宋" w:hAnsi="仿宋" w:cs="Times New Roman"/>
          <w:color w:val="auto"/>
          <w:szCs w:val="28"/>
          <w:lang w:val="en-US" w:eastAsia="zh-CN"/>
        </w:rPr>
        <w:t>1）配置要求：</w:t>
      </w:r>
    </w:p>
    <w:p w14:paraId="2866D1B0">
      <w:pPr>
        <w:pageBreakBefore w:val="0"/>
        <w:kinsoku/>
        <w:overflowPunct/>
        <w:topLinePunct w:val="0"/>
        <w:bidi w:val="0"/>
        <w:spacing w:line="360" w:lineRule="auto"/>
        <w:ind w:right="482" w:firstLine="420" w:firstLineChars="200"/>
        <w:rPr>
          <w:rFonts w:hint="eastAsia" w:ascii="宋体" w:hAnsi="宋体" w:eastAsia="宋体" w:cs="宋体"/>
          <w:color w:val="auto"/>
          <w:sz w:val="21"/>
          <w:szCs w:val="21"/>
          <w:lang w:val="en-US" w:eastAsia="zh-CN"/>
        </w:rPr>
      </w:pPr>
      <w:r>
        <w:rPr>
          <w:rFonts w:hint="eastAsia" w:ascii="仿宋" w:hAnsi="仿宋" w:eastAsia="宋体" w:cs="Times New Roman"/>
          <w:color w:val="auto"/>
          <w:szCs w:val="28"/>
          <w:lang w:eastAsia="zh-CN"/>
        </w:rPr>
        <w:t>（</w:t>
      </w:r>
      <w:r>
        <w:rPr>
          <w:rFonts w:hint="eastAsia" w:ascii="仿宋" w:hAnsi="仿宋" w:eastAsia="宋体" w:cs="Times New Roman"/>
          <w:color w:val="auto"/>
          <w:szCs w:val="28"/>
          <w:lang w:val="en-US" w:eastAsia="zh-CN"/>
        </w:rPr>
        <w:t>1</w:t>
      </w:r>
      <w:r>
        <w:rPr>
          <w:rFonts w:hint="eastAsia" w:ascii="仿宋" w:hAnsi="仿宋" w:eastAsia="宋体" w:cs="Times New Roman"/>
          <w:color w:val="auto"/>
          <w:szCs w:val="28"/>
          <w:lang w:eastAsia="zh-CN"/>
        </w:rPr>
        <w:t>）</w:t>
      </w:r>
      <w:r>
        <w:rPr>
          <w:rFonts w:hint="eastAsia" w:ascii="仿宋" w:hAnsi="仿宋" w:eastAsia="宋体" w:cs="Times New Roman"/>
          <w:color w:val="auto"/>
          <w:szCs w:val="28"/>
        </w:rPr>
        <w:t>工控机</w:t>
      </w:r>
      <w:r>
        <w:rPr>
          <w:rFonts w:hint="eastAsia" w:ascii="宋体" w:hAnsi="宋体" w:eastAsia="宋体" w:cs="宋体"/>
          <w:color w:val="auto"/>
          <w:sz w:val="21"/>
          <w:szCs w:val="21"/>
        </w:rPr>
        <w:t>（上位机）</w:t>
      </w:r>
      <w:r>
        <w:rPr>
          <w:rFonts w:hint="eastAsia" w:ascii="宋体" w:hAnsi="宋体" w:eastAsia="宋体" w:cs="宋体"/>
          <w:color w:val="auto"/>
          <w:sz w:val="21"/>
          <w:szCs w:val="21"/>
          <w:lang w:val="en-US" w:eastAsia="zh-CN"/>
        </w:rPr>
        <w:t>数量要求</w:t>
      </w:r>
      <w:r>
        <w:rPr>
          <w:rFonts w:hint="eastAsia" w:ascii="宋体" w:hAnsi="宋体" w:eastAsia="宋体" w:cs="宋体"/>
          <w:b/>
          <w:bCs/>
          <w:color w:val="auto"/>
          <w:sz w:val="21"/>
          <w:szCs w:val="21"/>
          <w:lang w:val="en-US" w:eastAsia="zh-CN"/>
        </w:rPr>
        <w:t>1用1备配置</w:t>
      </w:r>
      <w:r>
        <w:rPr>
          <w:rFonts w:hint="eastAsia" w:ascii="宋体" w:hAnsi="宋体" w:eastAsia="宋体" w:cs="宋体"/>
          <w:color w:val="auto"/>
          <w:sz w:val="21"/>
          <w:szCs w:val="21"/>
          <w:lang w:val="en-US" w:eastAsia="zh-CN"/>
        </w:rPr>
        <w:t>；</w:t>
      </w:r>
    </w:p>
    <w:p w14:paraId="11F50F27">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rPr>
      </w:pPr>
      <w:r>
        <w:rPr>
          <w:rFonts w:hint="eastAsia" w:ascii="仿宋" w:hAnsi="仿宋" w:cs="Times New Roman"/>
          <w:color w:val="auto"/>
          <w:szCs w:val="28"/>
          <w:lang w:eastAsia="zh-CN"/>
        </w:rPr>
        <w:t>（</w:t>
      </w:r>
      <w:r>
        <w:rPr>
          <w:rFonts w:hint="eastAsia" w:ascii="仿宋" w:hAnsi="仿宋" w:cs="Times New Roman"/>
          <w:color w:val="auto"/>
          <w:szCs w:val="28"/>
          <w:lang w:val="en-US" w:eastAsia="zh-CN"/>
        </w:rPr>
        <w:t>2</w:t>
      </w:r>
      <w:r>
        <w:rPr>
          <w:rFonts w:hint="eastAsia" w:ascii="仿宋" w:hAnsi="仿宋" w:cs="Times New Roman"/>
          <w:color w:val="auto"/>
          <w:szCs w:val="28"/>
          <w:lang w:eastAsia="zh-CN"/>
        </w:rPr>
        <w:t>）</w:t>
      </w:r>
      <w:r>
        <w:rPr>
          <w:rFonts w:hint="eastAsia" w:ascii="仿宋" w:hAnsi="仿宋" w:eastAsia="宋体" w:cs="Times New Roman"/>
          <w:color w:val="auto"/>
          <w:szCs w:val="28"/>
        </w:rPr>
        <w:t>工控机的构成包括</w:t>
      </w:r>
      <w:r>
        <w:rPr>
          <w:rFonts w:hint="eastAsia" w:ascii="仿宋" w:hAnsi="仿宋" w:eastAsia="宋体" w:cs="Times New Roman"/>
          <w:color w:val="auto"/>
          <w:szCs w:val="28"/>
        </w:rPr>
        <w:fldChar w:fldCharType="begin"/>
      </w:r>
      <w:r>
        <w:rPr>
          <w:rFonts w:hint="eastAsia" w:ascii="仿宋" w:hAnsi="仿宋" w:eastAsia="宋体" w:cs="Times New Roman"/>
          <w:color w:val="auto"/>
          <w:szCs w:val="28"/>
        </w:rPr>
        <w:instrText xml:space="preserve"> HYPERLINK "https://baike.baidu.com/item/%E5%A4%84%E7%90%86%E5%99%A8/914419" </w:instrText>
      </w:r>
      <w:r>
        <w:rPr>
          <w:rFonts w:hint="eastAsia" w:ascii="仿宋" w:hAnsi="仿宋" w:eastAsia="宋体" w:cs="Times New Roman"/>
          <w:color w:val="auto"/>
          <w:szCs w:val="28"/>
        </w:rPr>
        <w:fldChar w:fldCharType="separate"/>
      </w:r>
      <w:r>
        <w:rPr>
          <w:rFonts w:hint="eastAsia" w:ascii="仿宋" w:hAnsi="仿宋" w:eastAsia="宋体" w:cs="Times New Roman"/>
          <w:color w:val="auto"/>
          <w:szCs w:val="28"/>
        </w:rPr>
        <w:t>处理器</w:t>
      </w:r>
      <w:r>
        <w:rPr>
          <w:rFonts w:hint="eastAsia" w:ascii="仿宋" w:hAnsi="仿宋" w:eastAsia="宋体" w:cs="Times New Roman"/>
          <w:color w:val="auto"/>
          <w:szCs w:val="28"/>
        </w:rPr>
        <w:fldChar w:fldCharType="end"/>
      </w:r>
      <w:r>
        <w:rPr>
          <w:rFonts w:hint="eastAsia" w:ascii="仿宋" w:hAnsi="仿宋" w:eastAsia="宋体" w:cs="Times New Roman"/>
          <w:color w:val="auto"/>
          <w:szCs w:val="28"/>
        </w:rPr>
        <w:t>、</w:t>
      </w:r>
      <w:r>
        <w:rPr>
          <w:rFonts w:hint="eastAsia" w:ascii="仿宋" w:hAnsi="仿宋" w:eastAsia="宋体" w:cs="Times New Roman"/>
          <w:color w:val="auto"/>
          <w:szCs w:val="28"/>
        </w:rPr>
        <w:fldChar w:fldCharType="begin"/>
      </w:r>
      <w:r>
        <w:rPr>
          <w:rFonts w:hint="eastAsia" w:ascii="仿宋" w:hAnsi="仿宋" w:eastAsia="宋体" w:cs="Times New Roman"/>
          <w:color w:val="auto"/>
          <w:szCs w:val="28"/>
        </w:rPr>
        <w:instrText xml:space="preserve"> HYPERLINK "https://baike.baidu.com/item/%E7%A1%AC%E7%9B%98/159825" </w:instrText>
      </w:r>
      <w:r>
        <w:rPr>
          <w:rFonts w:hint="eastAsia" w:ascii="仿宋" w:hAnsi="仿宋" w:eastAsia="宋体" w:cs="Times New Roman"/>
          <w:color w:val="auto"/>
          <w:szCs w:val="28"/>
        </w:rPr>
        <w:fldChar w:fldCharType="separate"/>
      </w:r>
      <w:r>
        <w:rPr>
          <w:rFonts w:hint="eastAsia" w:ascii="仿宋" w:hAnsi="仿宋" w:eastAsia="宋体" w:cs="Times New Roman"/>
          <w:color w:val="auto"/>
          <w:szCs w:val="28"/>
        </w:rPr>
        <w:t>硬盘</w:t>
      </w:r>
      <w:r>
        <w:rPr>
          <w:rFonts w:hint="eastAsia" w:ascii="仿宋" w:hAnsi="仿宋" w:eastAsia="宋体" w:cs="Times New Roman"/>
          <w:color w:val="auto"/>
          <w:szCs w:val="28"/>
        </w:rPr>
        <w:fldChar w:fldCharType="end"/>
      </w:r>
      <w:r>
        <w:rPr>
          <w:rFonts w:hint="eastAsia" w:ascii="仿宋" w:hAnsi="仿宋" w:eastAsia="宋体" w:cs="Times New Roman"/>
          <w:color w:val="auto"/>
          <w:szCs w:val="28"/>
        </w:rPr>
        <w:t>、</w:t>
      </w:r>
      <w:r>
        <w:rPr>
          <w:rFonts w:hint="eastAsia" w:ascii="仿宋" w:hAnsi="仿宋" w:eastAsia="宋体" w:cs="Times New Roman"/>
          <w:color w:val="auto"/>
          <w:szCs w:val="28"/>
        </w:rPr>
        <w:fldChar w:fldCharType="begin"/>
      </w:r>
      <w:r>
        <w:rPr>
          <w:rFonts w:hint="eastAsia" w:ascii="仿宋" w:hAnsi="仿宋" w:eastAsia="宋体" w:cs="Times New Roman"/>
          <w:color w:val="auto"/>
          <w:szCs w:val="28"/>
        </w:rPr>
        <w:instrText xml:space="preserve"> HYPERLINK "https://baike.baidu.com/item/%E5%86%85%E5%AD%98/103614" </w:instrText>
      </w:r>
      <w:r>
        <w:rPr>
          <w:rFonts w:hint="eastAsia" w:ascii="仿宋" w:hAnsi="仿宋" w:eastAsia="宋体" w:cs="Times New Roman"/>
          <w:color w:val="auto"/>
          <w:szCs w:val="28"/>
        </w:rPr>
        <w:fldChar w:fldCharType="separate"/>
      </w:r>
      <w:r>
        <w:rPr>
          <w:rFonts w:hint="eastAsia" w:ascii="仿宋" w:hAnsi="仿宋" w:eastAsia="宋体" w:cs="Times New Roman"/>
          <w:color w:val="auto"/>
          <w:szCs w:val="28"/>
        </w:rPr>
        <w:t>内存</w:t>
      </w:r>
      <w:r>
        <w:rPr>
          <w:rFonts w:hint="eastAsia" w:ascii="仿宋" w:hAnsi="仿宋" w:eastAsia="宋体" w:cs="Times New Roman"/>
          <w:color w:val="auto"/>
          <w:szCs w:val="28"/>
        </w:rPr>
        <w:fldChar w:fldCharType="end"/>
      </w:r>
      <w:r>
        <w:rPr>
          <w:rFonts w:hint="eastAsia" w:ascii="仿宋" w:hAnsi="仿宋" w:eastAsia="宋体" w:cs="Times New Roman"/>
          <w:color w:val="auto"/>
          <w:szCs w:val="28"/>
        </w:rPr>
        <w:t>、</w:t>
      </w:r>
      <w:r>
        <w:rPr>
          <w:rFonts w:hint="eastAsia" w:ascii="仿宋" w:hAnsi="仿宋" w:eastAsia="宋体" w:cs="Times New Roman"/>
          <w:color w:val="auto"/>
          <w:szCs w:val="28"/>
        </w:rPr>
        <w:fldChar w:fldCharType="begin"/>
      </w:r>
      <w:r>
        <w:rPr>
          <w:rFonts w:hint="eastAsia" w:ascii="仿宋" w:hAnsi="仿宋" w:eastAsia="宋体" w:cs="Times New Roman"/>
          <w:color w:val="auto"/>
          <w:szCs w:val="28"/>
        </w:rPr>
        <w:instrText xml:space="preserve"> HYPERLINK "https://baike.baidu.com/item/%E7%B3%BB%E7%BB%9F" </w:instrText>
      </w:r>
      <w:r>
        <w:rPr>
          <w:rFonts w:hint="eastAsia" w:ascii="仿宋" w:hAnsi="仿宋" w:eastAsia="宋体" w:cs="Times New Roman"/>
          <w:color w:val="auto"/>
          <w:szCs w:val="28"/>
        </w:rPr>
        <w:fldChar w:fldCharType="separate"/>
      </w:r>
      <w:r>
        <w:rPr>
          <w:rFonts w:hint="eastAsia" w:ascii="仿宋" w:hAnsi="仿宋" w:eastAsia="宋体" w:cs="Times New Roman"/>
          <w:color w:val="auto"/>
          <w:szCs w:val="28"/>
        </w:rPr>
        <w:t>系统</w:t>
      </w:r>
      <w:r>
        <w:rPr>
          <w:rFonts w:hint="eastAsia" w:ascii="仿宋" w:hAnsi="仿宋" w:eastAsia="宋体" w:cs="Times New Roman"/>
          <w:color w:val="auto"/>
          <w:szCs w:val="28"/>
        </w:rPr>
        <w:fldChar w:fldCharType="end"/>
      </w:r>
      <w:r>
        <w:rPr>
          <w:rFonts w:hint="eastAsia" w:ascii="仿宋" w:hAnsi="仿宋" w:eastAsia="宋体" w:cs="Times New Roman"/>
          <w:color w:val="auto"/>
          <w:szCs w:val="28"/>
        </w:rPr>
        <w:fldChar w:fldCharType="begin"/>
      </w:r>
      <w:r>
        <w:rPr>
          <w:rFonts w:hint="eastAsia" w:ascii="仿宋" w:hAnsi="仿宋" w:eastAsia="宋体" w:cs="Times New Roman"/>
          <w:color w:val="auto"/>
          <w:szCs w:val="28"/>
        </w:rPr>
        <w:instrText xml:space="preserve"> HYPERLINK "https://baike.baidu.com/item/%E6%80%BB%E7%BA%BF" </w:instrText>
      </w:r>
      <w:r>
        <w:rPr>
          <w:rFonts w:hint="eastAsia" w:ascii="仿宋" w:hAnsi="仿宋" w:eastAsia="宋体" w:cs="Times New Roman"/>
          <w:color w:val="auto"/>
          <w:szCs w:val="28"/>
        </w:rPr>
        <w:fldChar w:fldCharType="separate"/>
      </w:r>
      <w:r>
        <w:rPr>
          <w:rFonts w:hint="eastAsia" w:ascii="仿宋" w:hAnsi="仿宋" w:eastAsia="宋体" w:cs="Times New Roman"/>
          <w:color w:val="auto"/>
          <w:szCs w:val="28"/>
        </w:rPr>
        <w:t>总线</w:t>
      </w:r>
      <w:r>
        <w:rPr>
          <w:rFonts w:hint="eastAsia" w:ascii="仿宋" w:hAnsi="仿宋" w:eastAsia="宋体" w:cs="Times New Roman"/>
          <w:color w:val="auto"/>
          <w:szCs w:val="28"/>
        </w:rPr>
        <w:fldChar w:fldCharType="end"/>
      </w:r>
      <w:r>
        <w:rPr>
          <w:rFonts w:hint="eastAsia" w:ascii="仿宋" w:hAnsi="仿宋" w:eastAsia="宋体" w:cs="Times New Roman"/>
          <w:color w:val="auto"/>
          <w:szCs w:val="28"/>
        </w:rPr>
        <w:t>等，和通用的计算机架构类似，</w:t>
      </w:r>
      <w:r>
        <w:rPr>
          <w:rFonts w:hint="eastAsia" w:ascii="仿宋" w:hAnsi="仿宋" w:cs="Times New Roman"/>
          <w:color w:val="auto"/>
          <w:szCs w:val="28"/>
          <w:lang w:val="en-US" w:eastAsia="zh-CN"/>
        </w:rPr>
        <w:t>须</w:t>
      </w:r>
      <w:r>
        <w:rPr>
          <w:rFonts w:hint="eastAsia" w:ascii="仿宋" w:hAnsi="仿宋" w:eastAsia="宋体" w:cs="Times New Roman"/>
          <w:color w:val="auto"/>
          <w:szCs w:val="28"/>
        </w:rPr>
        <w:t>提供高可靠的控制管理服务，处理能力、稳定性、可靠性、安全性、可扩展性、可管理性等方面</w:t>
      </w:r>
      <w:r>
        <w:rPr>
          <w:rFonts w:hint="eastAsia" w:ascii="仿宋" w:hAnsi="仿宋" w:cs="Times New Roman"/>
          <w:color w:val="auto"/>
          <w:szCs w:val="28"/>
          <w:lang w:val="en-US" w:eastAsia="zh-CN"/>
        </w:rPr>
        <w:t>需冗余设计</w:t>
      </w:r>
      <w:r>
        <w:rPr>
          <w:rFonts w:hint="eastAsia" w:ascii="仿宋" w:hAnsi="仿宋" w:eastAsia="宋体" w:cs="Times New Roman"/>
          <w:color w:val="auto"/>
          <w:szCs w:val="28"/>
        </w:rPr>
        <w:t>。</w:t>
      </w:r>
    </w:p>
    <w:p w14:paraId="6156873D">
      <w:pPr>
        <w:pStyle w:val="332"/>
        <w:pageBreakBefore w:val="0"/>
        <w:kinsoku/>
        <w:overflowPunct/>
        <w:topLinePunct w:val="0"/>
        <w:bidi w:val="0"/>
        <w:spacing w:line="360" w:lineRule="auto"/>
        <w:ind w:firstLine="0" w:firstLineChars="0"/>
        <w:jc w:val="center"/>
        <w:rPr>
          <w:rFonts w:hint="eastAsia" w:ascii="仿宋" w:hAnsi="仿宋" w:eastAsia="宋体" w:cs="Times New Roman"/>
          <w:b w:val="0"/>
          <w:bCs w:val="0"/>
          <w:color w:val="auto"/>
          <w:kern w:val="2"/>
          <w:sz w:val="21"/>
          <w:szCs w:val="28"/>
          <w:lang w:val="en-US" w:eastAsia="zh-CN" w:bidi="ar-SA"/>
        </w:rPr>
      </w:pPr>
      <w:r>
        <w:rPr>
          <w:rFonts w:hint="eastAsia" w:ascii="仿宋" w:hAnsi="仿宋" w:eastAsia="宋体" w:cs="Times New Roman"/>
          <w:b w:val="0"/>
          <w:bCs w:val="0"/>
          <w:color w:val="auto"/>
          <w:kern w:val="2"/>
          <w:sz w:val="21"/>
          <w:szCs w:val="28"/>
          <w:lang w:val="en-US" w:eastAsia="zh-CN" w:bidi="ar-SA"/>
        </w:rPr>
        <w:t>工控机配置要求</w:t>
      </w:r>
    </w:p>
    <w:tbl>
      <w:tblPr>
        <w:tblStyle w:val="46"/>
        <w:tblpPr w:leftFromText="180" w:rightFromText="180" w:vertAnchor="text" w:horzAnchor="margin" w:tblpXSpec="center" w:tblpY="43"/>
        <w:tblW w:w="438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94"/>
        <w:gridCol w:w="593"/>
        <w:gridCol w:w="2084"/>
        <w:gridCol w:w="4926"/>
      </w:tblGrid>
      <w:tr w14:paraId="3B9A9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526" w:type="pct"/>
            <w:noWrap w:val="0"/>
            <w:vAlign w:val="top"/>
          </w:tcPr>
          <w:p w14:paraId="54267D34">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序号</w:t>
            </w:r>
          </w:p>
        </w:tc>
        <w:tc>
          <w:tcPr>
            <w:tcW w:w="1575" w:type="pct"/>
            <w:gridSpan w:val="2"/>
            <w:noWrap/>
            <w:vAlign w:val="top"/>
          </w:tcPr>
          <w:p w14:paraId="62687B15">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名称</w:t>
            </w:r>
          </w:p>
        </w:tc>
        <w:tc>
          <w:tcPr>
            <w:tcW w:w="2898" w:type="pct"/>
            <w:noWrap w:val="0"/>
            <w:vAlign w:val="top"/>
          </w:tcPr>
          <w:p w14:paraId="3D3B635C">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工控机（上位机）</w:t>
            </w:r>
          </w:p>
        </w:tc>
      </w:tr>
      <w:tr w14:paraId="495057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526" w:type="pct"/>
            <w:noWrap w:val="0"/>
            <w:vAlign w:val="top"/>
          </w:tcPr>
          <w:p w14:paraId="11B0FFF3">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w:t>
            </w:r>
          </w:p>
        </w:tc>
        <w:tc>
          <w:tcPr>
            <w:tcW w:w="1575" w:type="pct"/>
            <w:gridSpan w:val="2"/>
            <w:noWrap/>
            <w:vAlign w:val="top"/>
          </w:tcPr>
          <w:p w14:paraId="5A69D0C9">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型号</w:t>
            </w:r>
          </w:p>
        </w:tc>
        <w:tc>
          <w:tcPr>
            <w:tcW w:w="2898" w:type="pct"/>
            <w:noWrap w:val="0"/>
            <w:vAlign w:val="top"/>
          </w:tcPr>
          <w:p w14:paraId="214722E0">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tc>
      </w:tr>
      <w:tr w14:paraId="2BDFC8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7" w:hRule="atLeast"/>
        </w:trPr>
        <w:tc>
          <w:tcPr>
            <w:tcW w:w="526" w:type="pct"/>
            <w:noWrap w:val="0"/>
            <w:vAlign w:val="top"/>
          </w:tcPr>
          <w:p w14:paraId="7199DF92">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2</w:t>
            </w:r>
          </w:p>
        </w:tc>
        <w:tc>
          <w:tcPr>
            <w:tcW w:w="349" w:type="pct"/>
            <w:vMerge w:val="restart"/>
            <w:noWrap/>
            <w:vAlign w:val="top"/>
          </w:tcPr>
          <w:p w14:paraId="2BEDB819">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p w14:paraId="4A58ED74">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p w14:paraId="447D4B13">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主</w:t>
            </w:r>
          </w:p>
          <w:p w14:paraId="504775F1">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p w14:paraId="724F6452">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机</w:t>
            </w:r>
          </w:p>
          <w:p w14:paraId="59F98F7B">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tc>
        <w:tc>
          <w:tcPr>
            <w:tcW w:w="1225" w:type="pct"/>
            <w:noWrap w:val="0"/>
            <w:vAlign w:val="top"/>
          </w:tcPr>
          <w:p w14:paraId="4A54B357">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CPU</w:t>
            </w:r>
          </w:p>
        </w:tc>
        <w:tc>
          <w:tcPr>
            <w:tcW w:w="2898" w:type="pct"/>
            <w:noWrap w:val="0"/>
            <w:vAlign w:val="top"/>
          </w:tcPr>
          <w:p w14:paraId="0A3023F5">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英特尔i7及以上配置或同性能处理器</w:t>
            </w:r>
          </w:p>
        </w:tc>
      </w:tr>
      <w:tr w14:paraId="36A7A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7" w:hRule="atLeast"/>
        </w:trPr>
        <w:tc>
          <w:tcPr>
            <w:tcW w:w="526" w:type="pct"/>
            <w:noWrap w:val="0"/>
            <w:vAlign w:val="top"/>
          </w:tcPr>
          <w:p w14:paraId="22925C51">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3</w:t>
            </w:r>
          </w:p>
        </w:tc>
        <w:tc>
          <w:tcPr>
            <w:tcW w:w="349" w:type="pct"/>
            <w:vMerge w:val="continue"/>
            <w:noWrap/>
            <w:vAlign w:val="top"/>
          </w:tcPr>
          <w:p w14:paraId="4A4F0E15">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tc>
        <w:tc>
          <w:tcPr>
            <w:tcW w:w="1225" w:type="pct"/>
            <w:noWrap w:val="0"/>
            <w:vAlign w:val="top"/>
          </w:tcPr>
          <w:p w14:paraId="4BF94622">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内存</w:t>
            </w:r>
          </w:p>
        </w:tc>
        <w:tc>
          <w:tcPr>
            <w:tcW w:w="2898" w:type="pct"/>
            <w:noWrap w:val="0"/>
            <w:vAlign w:val="top"/>
          </w:tcPr>
          <w:p w14:paraId="07EE1DD7">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64GB及以上配置</w:t>
            </w:r>
          </w:p>
        </w:tc>
      </w:tr>
      <w:tr w14:paraId="0BFDE7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7" w:hRule="atLeast"/>
        </w:trPr>
        <w:tc>
          <w:tcPr>
            <w:tcW w:w="526" w:type="pct"/>
            <w:noWrap w:val="0"/>
            <w:vAlign w:val="top"/>
          </w:tcPr>
          <w:p w14:paraId="0A2F4309">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4</w:t>
            </w:r>
          </w:p>
        </w:tc>
        <w:tc>
          <w:tcPr>
            <w:tcW w:w="349" w:type="pct"/>
            <w:vMerge w:val="continue"/>
            <w:noWrap/>
            <w:vAlign w:val="top"/>
          </w:tcPr>
          <w:p w14:paraId="33578A41">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tc>
        <w:tc>
          <w:tcPr>
            <w:tcW w:w="1225" w:type="pct"/>
            <w:noWrap w:val="0"/>
            <w:vAlign w:val="top"/>
          </w:tcPr>
          <w:p w14:paraId="3ACD746C">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硬盘驱动器</w:t>
            </w:r>
          </w:p>
        </w:tc>
        <w:tc>
          <w:tcPr>
            <w:tcW w:w="2898" w:type="pct"/>
            <w:noWrap w:val="0"/>
            <w:vAlign w:val="top"/>
          </w:tcPr>
          <w:p w14:paraId="1215D93A">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2TB固态硬盘*2及以上配置</w:t>
            </w:r>
          </w:p>
        </w:tc>
      </w:tr>
      <w:tr w14:paraId="2C8961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7" w:hRule="atLeast"/>
        </w:trPr>
        <w:tc>
          <w:tcPr>
            <w:tcW w:w="526" w:type="pct"/>
            <w:noWrap w:val="0"/>
            <w:vAlign w:val="top"/>
          </w:tcPr>
          <w:p w14:paraId="75CDB6E3">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5</w:t>
            </w:r>
          </w:p>
        </w:tc>
        <w:tc>
          <w:tcPr>
            <w:tcW w:w="349" w:type="pct"/>
            <w:vMerge w:val="continue"/>
            <w:noWrap/>
            <w:vAlign w:val="top"/>
          </w:tcPr>
          <w:p w14:paraId="74D977F6">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tc>
        <w:tc>
          <w:tcPr>
            <w:tcW w:w="1225" w:type="pct"/>
            <w:noWrap w:val="0"/>
            <w:vAlign w:val="top"/>
          </w:tcPr>
          <w:p w14:paraId="0C889AEA">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光盘驱动器</w:t>
            </w:r>
          </w:p>
        </w:tc>
        <w:tc>
          <w:tcPr>
            <w:tcW w:w="2898" w:type="pct"/>
            <w:noWrap w:val="0"/>
            <w:vAlign w:val="top"/>
          </w:tcPr>
          <w:p w14:paraId="70204FED">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16X DVD及以上配置</w:t>
            </w:r>
          </w:p>
        </w:tc>
      </w:tr>
      <w:tr w14:paraId="588F85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7" w:hRule="atLeast"/>
        </w:trPr>
        <w:tc>
          <w:tcPr>
            <w:tcW w:w="526" w:type="pct"/>
            <w:noWrap w:val="0"/>
            <w:vAlign w:val="top"/>
          </w:tcPr>
          <w:p w14:paraId="62D1B91E">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6</w:t>
            </w:r>
          </w:p>
        </w:tc>
        <w:tc>
          <w:tcPr>
            <w:tcW w:w="349" w:type="pct"/>
            <w:vMerge w:val="continue"/>
            <w:noWrap/>
            <w:vAlign w:val="top"/>
          </w:tcPr>
          <w:p w14:paraId="164E6C0E">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tc>
        <w:tc>
          <w:tcPr>
            <w:tcW w:w="1225" w:type="pct"/>
            <w:noWrap w:val="0"/>
            <w:vAlign w:val="top"/>
          </w:tcPr>
          <w:p w14:paraId="461EAAE1">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通讯卡</w:t>
            </w:r>
          </w:p>
        </w:tc>
        <w:tc>
          <w:tcPr>
            <w:tcW w:w="2898" w:type="pct"/>
            <w:noWrap w:val="0"/>
            <w:vAlign w:val="top"/>
          </w:tcPr>
          <w:p w14:paraId="731CE435">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Ethernet、10/100/1000 MBPS及以上配置</w:t>
            </w:r>
          </w:p>
        </w:tc>
      </w:tr>
      <w:tr w14:paraId="2A55F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7" w:hRule="atLeast"/>
        </w:trPr>
        <w:tc>
          <w:tcPr>
            <w:tcW w:w="526" w:type="pct"/>
            <w:noWrap w:val="0"/>
            <w:vAlign w:val="top"/>
          </w:tcPr>
          <w:p w14:paraId="772C12BD">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7</w:t>
            </w:r>
          </w:p>
        </w:tc>
        <w:tc>
          <w:tcPr>
            <w:tcW w:w="349" w:type="pct"/>
            <w:vMerge w:val="continue"/>
            <w:noWrap/>
            <w:vAlign w:val="top"/>
          </w:tcPr>
          <w:p w14:paraId="55EF6F21">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p>
        </w:tc>
        <w:tc>
          <w:tcPr>
            <w:tcW w:w="1225" w:type="pct"/>
            <w:noWrap w:val="0"/>
            <w:vAlign w:val="top"/>
          </w:tcPr>
          <w:p w14:paraId="2323D0A1">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图形卡</w:t>
            </w:r>
          </w:p>
        </w:tc>
        <w:tc>
          <w:tcPr>
            <w:tcW w:w="2898" w:type="pct"/>
            <w:noWrap w:val="0"/>
            <w:vAlign w:val="top"/>
          </w:tcPr>
          <w:p w14:paraId="31388FE1">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独立显卡及以上配置</w:t>
            </w:r>
          </w:p>
        </w:tc>
      </w:tr>
      <w:tr w14:paraId="7D9DB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526" w:type="pct"/>
            <w:noWrap w:val="0"/>
            <w:vAlign w:val="top"/>
          </w:tcPr>
          <w:p w14:paraId="1BF51659">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8</w:t>
            </w:r>
          </w:p>
        </w:tc>
        <w:tc>
          <w:tcPr>
            <w:tcW w:w="1575" w:type="pct"/>
            <w:gridSpan w:val="2"/>
            <w:noWrap/>
            <w:vAlign w:val="top"/>
          </w:tcPr>
          <w:p w14:paraId="2506375D">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显示器</w:t>
            </w:r>
          </w:p>
        </w:tc>
        <w:tc>
          <w:tcPr>
            <w:tcW w:w="2898" w:type="pct"/>
            <w:noWrap w:val="0"/>
            <w:vAlign w:val="top"/>
          </w:tcPr>
          <w:p w14:paraId="5F27072A">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27寸液晶显示器，1920X1080</w:t>
            </w:r>
          </w:p>
        </w:tc>
      </w:tr>
      <w:tr w14:paraId="575A7B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526" w:type="pct"/>
            <w:noWrap w:val="0"/>
            <w:vAlign w:val="top"/>
          </w:tcPr>
          <w:p w14:paraId="30A5341A">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9</w:t>
            </w:r>
          </w:p>
        </w:tc>
        <w:tc>
          <w:tcPr>
            <w:tcW w:w="1575" w:type="pct"/>
            <w:gridSpan w:val="2"/>
            <w:noWrap/>
            <w:vAlign w:val="top"/>
          </w:tcPr>
          <w:p w14:paraId="5E5762B7">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键盘</w:t>
            </w:r>
          </w:p>
        </w:tc>
        <w:tc>
          <w:tcPr>
            <w:tcW w:w="2898" w:type="pct"/>
            <w:noWrap w:val="0"/>
            <w:vAlign w:val="top"/>
          </w:tcPr>
          <w:p w14:paraId="7EF17982">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标准键盘</w:t>
            </w:r>
          </w:p>
        </w:tc>
      </w:tr>
      <w:tr w14:paraId="15DB2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7" w:hRule="atLeast"/>
        </w:trPr>
        <w:tc>
          <w:tcPr>
            <w:tcW w:w="526" w:type="pct"/>
            <w:noWrap w:val="0"/>
            <w:vAlign w:val="top"/>
          </w:tcPr>
          <w:p w14:paraId="4FA4DE21">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10</w:t>
            </w:r>
          </w:p>
        </w:tc>
        <w:tc>
          <w:tcPr>
            <w:tcW w:w="1575" w:type="pct"/>
            <w:gridSpan w:val="2"/>
            <w:noWrap/>
            <w:vAlign w:val="top"/>
          </w:tcPr>
          <w:p w14:paraId="617C1274">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鼠标</w:t>
            </w:r>
          </w:p>
        </w:tc>
        <w:tc>
          <w:tcPr>
            <w:tcW w:w="2898" w:type="pct"/>
            <w:noWrap w:val="0"/>
            <w:vAlign w:val="top"/>
          </w:tcPr>
          <w:p w14:paraId="251FEE38">
            <w:pPr>
              <w:pageBreakBefore w:val="0"/>
              <w:kinsoku/>
              <w:overflowPunct/>
              <w:topLinePunct w:val="0"/>
              <w:bidi w:val="0"/>
              <w:spacing w:line="360" w:lineRule="auto"/>
              <w:ind w:firstLine="0" w:firstLineChars="0"/>
              <w:jc w:val="center"/>
              <w:rPr>
                <w:rFonts w:hint="default" w:ascii="宋体" w:hAnsi="宋体" w:eastAsia="宋体" w:cs="宋体"/>
                <w:color w:val="auto"/>
                <w:sz w:val="21"/>
                <w:szCs w:val="21"/>
                <w:lang w:val="en-US" w:eastAsia="zh-CN"/>
              </w:rPr>
            </w:pPr>
            <w:r>
              <w:rPr>
                <w:rFonts w:hint="eastAsia" w:ascii="宋体" w:hAnsi="宋体" w:cs="宋体"/>
                <w:color w:val="auto"/>
                <w:sz w:val="21"/>
                <w:szCs w:val="21"/>
                <w:lang w:val="en-US" w:eastAsia="zh-CN"/>
              </w:rPr>
              <w:t>标准鼠标</w:t>
            </w:r>
          </w:p>
        </w:tc>
      </w:tr>
      <w:tr w14:paraId="7F41A5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 w:hRule="atLeast"/>
        </w:trPr>
        <w:tc>
          <w:tcPr>
            <w:tcW w:w="526" w:type="pct"/>
            <w:noWrap w:val="0"/>
            <w:vAlign w:val="top"/>
          </w:tcPr>
          <w:p w14:paraId="60F087A2">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11</w:t>
            </w:r>
          </w:p>
        </w:tc>
        <w:tc>
          <w:tcPr>
            <w:tcW w:w="1575" w:type="pct"/>
            <w:gridSpan w:val="2"/>
            <w:noWrap/>
            <w:vAlign w:val="top"/>
          </w:tcPr>
          <w:p w14:paraId="7A92A0C9">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操作系统</w:t>
            </w:r>
          </w:p>
        </w:tc>
        <w:tc>
          <w:tcPr>
            <w:tcW w:w="2898" w:type="pct"/>
            <w:noWrap w:val="0"/>
            <w:vAlign w:val="top"/>
          </w:tcPr>
          <w:p w14:paraId="187BE678">
            <w:pPr>
              <w:pageBreakBefore w:val="0"/>
              <w:kinsoku/>
              <w:overflowPunct/>
              <w:topLinePunct w:val="0"/>
              <w:bidi w:val="0"/>
              <w:spacing w:line="360" w:lineRule="auto"/>
              <w:ind w:firstLine="0" w:firstLineChars="0"/>
              <w:jc w:val="center"/>
              <w:rPr>
                <w:rFonts w:hint="eastAsia" w:ascii="宋体" w:hAnsi="宋体" w:eastAsia="宋体" w:cs="宋体"/>
                <w:color w:val="auto"/>
                <w:sz w:val="21"/>
                <w:szCs w:val="21"/>
              </w:rPr>
            </w:pPr>
            <w:r>
              <w:rPr>
                <w:rFonts w:hint="eastAsia" w:ascii="宋体" w:hAnsi="宋体" w:eastAsia="宋体" w:cs="宋体"/>
                <w:color w:val="auto"/>
                <w:sz w:val="21"/>
                <w:szCs w:val="21"/>
              </w:rPr>
              <w:t>Windows10企业版64位系统</w:t>
            </w:r>
          </w:p>
        </w:tc>
      </w:tr>
    </w:tbl>
    <w:p w14:paraId="010D4AC6">
      <w:pPr>
        <w:pageBreakBefore w:val="0"/>
        <w:kinsoku/>
        <w:overflowPunct/>
        <w:topLinePunct w:val="0"/>
        <w:bidi w:val="0"/>
        <w:spacing w:line="360" w:lineRule="auto"/>
        <w:ind w:firstLine="420" w:firstLineChars="200"/>
        <w:rPr>
          <w:rFonts w:hint="eastAsia"/>
          <w:color w:val="auto"/>
          <w:lang w:eastAsia="zh-CN"/>
        </w:rPr>
      </w:pPr>
    </w:p>
    <w:p w14:paraId="7DD64345">
      <w:pPr>
        <w:pageBreakBefore w:val="0"/>
        <w:kinsoku/>
        <w:overflowPunct/>
        <w:topLinePunct w:val="0"/>
        <w:bidi w:val="0"/>
        <w:spacing w:line="360" w:lineRule="auto"/>
        <w:ind w:firstLine="420" w:firstLineChars="200"/>
        <w:rPr>
          <w:rFonts w:hint="eastAsia" w:eastAsia="宋体"/>
          <w:color w:val="auto"/>
          <w:lang w:val="en-US" w:eastAsia="zh-CN"/>
        </w:rPr>
      </w:pPr>
      <w:r>
        <w:rPr>
          <w:rFonts w:hint="eastAsia"/>
          <w:color w:val="auto"/>
          <w:lang w:val="en-US" w:eastAsia="zh-CN"/>
        </w:rPr>
        <w:t>2）</w:t>
      </w:r>
      <w:r>
        <w:rPr>
          <w:rFonts w:hint="eastAsia"/>
          <w:color w:val="auto"/>
        </w:rPr>
        <w:t>工控机预装软件</w:t>
      </w:r>
      <w:r>
        <w:rPr>
          <w:rFonts w:hint="eastAsia"/>
          <w:color w:val="auto"/>
          <w:lang w:val="en-US" w:eastAsia="zh-CN"/>
        </w:rPr>
        <w:t>要求：</w:t>
      </w:r>
    </w:p>
    <w:p w14:paraId="10984D11">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eastAsia="宋体" w:cs="Times New Roman"/>
          <w:color w:val="auto"/>
          <w:szCs w:val="28"/>
        </w:rPr>
        <w:t>工控机预装操作系统、办公软件、工业控制软件等系统、软件均须正版</w:t>
      </w:r>
      <w:r>
        <w:rPr>
          <w:rFonts w:hint="eastAsia" w:ascii="仿宋" w:hAnsi="仿宋" w:eastAsia="宋体" w:cs="Times New Roman"/>
          <w:color w:val="auto"/>
          <w:szCs w:val="28"/>
          <w:lang w:val="en-US" w:eastAsia="zh-CN"/>
        </w:rPr>
        <w:t>永久</w:t>
      </w:r>
      <w:r>
        <w:rPr>
          <w:rFonts w:hint="eastAsia" w:ascii="仿宋" w:hAnsi="仿宋" w:eastAsia="宋体" w:cs="Times New Roman"/>
          <w:color w:val="auto"/>
          <w:szCs w:val="28"/>
        </w:rPr>
        <w:t>授权。</w:t>
      </w:r>
    </w:p>
    <w:p w14:paraId="522DB672">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cs="Times New Roman"/>
          <w:color w:val="auto"/>
          <w:szCs w:val="28"/>
          <w:lang w:val="en-US" w:eastAsia="zh-CN"/>
        </w:rPr>
        <w:t>5、</w:t>
      </w:r>
      <w:r>
        <w:rPr>
          <w:rFonts w:hint="eastAsia" w:ascii="仿宋" w:hAnsi="仿宋" w:eastAsia="宋体" w:cs="Times New Roman"/>
          <w:color w:val="auto"/>
          <w:szCs w:val="28"/>
        </w:rPr>
        <w:t>PLC软件技术要</w:t>
      </w:r>
      <w:r>
        <w:rPr>
          <w:rFonts w:hint="eastAsia" w:ascii="仿宋" w:hAnsi="仿宋" w:eastAsia="宋体" w:cs="Times New Roman"/>
          <w:color w:val="auto"/>
          <w:szCs w:val="28"/>
          <w:lang w:val="en-US" w:eastAsia="zh-CN"/>
        </w:rPr>
        <w:t>求：</w:t>
      </w:r>
    </w:p>
    <w:p w14:paraId="1B8B8616">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cs="Times New Roman"/>
          <w:color w:val="auto"/>
          <w:szCs w:val="28"/>
          <w:lang w:val="en-US" w:eastAsia="zh-CN"/>
        </w:rPr>
        <w:t>1）</w:t>
      </w:r>
      <w:r>
        <w:rPr>
          <w:rFonts w:hint="eastAsia" w:ascii="仿宋" w:hAnsi="仿宋" w:eastAsia="宋体" w:cs="Times New Roman"/>
          <w:color w:val="auto"/>
          <w:szCs w:val="28"/>
          <w:lang w:val="en-US" w:eastAsia="zh-CN"/>
        </w:rPr>
        <w:t>PLC应用软件对客户开放，所有控制程序及触摸屏画面源代码开放，不加密。</w:t>
      </w:r>
    </w:p>
    <w:p w14:paraId="76961AC0">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cs="Times New Roman"/>
          <w:color w:val="auto"/>
          <w:szCs w:val="28"/>
          <w:lang w:val="en-US" w:eastAsia="zh-CN"/>
        </w:rPr>
        <w:t>2）</w:t>
      </w:r>
      <w:r>
        <w:rPr>
          <w:rFonts w:hint="eastAsia" w:ascii="仿宋" w:hAnsi="仿宋" w:eastAsia="宋体" w:cs="Times New Roman"/>
          <w:color w:val="auto"/>
          <w:szCs w:val="28"/>
          <w:lang w:val="en-US" w:eastAsia="zh-CN"/>
        </w:rPr>
        <w:t>PLC 系统安全、可靠、经济、维护和扩展方便，提供简体中文界面和详细的系统参数，可以监控生产过程，确保产品生产质量的监控和稳定。具有中断、停电记忆、自动侦错功能</w:t>
      </w:r>
      <w:r>
        <w:rPr>
          <w:rFonts w:hint="eastAsia" w:ascii="仿宋" w:hAnsi="仿宋" w:cs="Times New Roman"/>
          <w:color w:val="auto"/>
          <w:szCs w:val="28"/>
          <w:lang w:val="en-US" w:eastAsia="zh-CN"/>
        </w:rPr>
        <w:t>，具</w:t>
      </w:r>
      <w:r>
        <w:rPr>
          <w:rFonts w:hint="eastAsia" w:ascii="仿宋" w:hAnsi="仿宋" w:eastAsia="宋体" w:cs="Times New Roman"/>
          <w:color w:val="auto"/>
          <w:szCs w:val="28"/>
          <w:lang w:val="en-US" w:eastAsia="zh-CN"/>
        </w:rPr>
        <w:t>有自动、手动及远程/就地</w:t>
      </w:r>
      <w:r>
        <w:rPr>
          <w:rFonts w:hint="eastAsia" w:ascii="仿宋" w:hAnsi="仿宋" w:cs="Times New Roman"/>
          <w:color w:val="auto"/>
          <w:szCs w:val="28"/>
          <w:lang w:val="en-US" w:eastAsia="zh-CN"/>
        </w:rPr>
        <w:t>控制</w:t>
      </w:r>
      <w:r>
        <w:rPr>
          <w:rFonts w:hint="eastAsia" w:ascii="仿宋" w:hAnsi="仿宋" w:eastAsia="宋体" w:cs="Times New Roman"/>
          <w:color w:val="auto"/>
          <w:szCs w:val="28"/>
          <w:lang w:val="en-US" w:eastAsia="zh-CN"/>
        </w:rPr>
        <w:t>等多种功能。</w:t>
      </w:r>
    </w:p>
    <w:p w14:paraId="7C4CF65C">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eastAsia="宋体" w:cs="Times New Roman"/>
          <w:color w:val="auto"/>
          <w:szCs w:val="28"/>
          <w:lang w:val="en-US" w:eastAsia="zh-CN"/>
        </w:rPr>
        <w:t>3）PLC控制程序编写要求：所有输入输出信号的量程转换设计在PLC程序内部执行，开关量信号输入进行抗干扰延时处理。</w:t>
      </w:r>
    </w:p>
    <w:p w14:paraId="61C75851">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bookmarkStart w:id="938" w:name="_Toc109744096"/>
      <w:bookmarkStart w:id="939" w:name="_Toc112225129"/>
      <w:r>
        <w:rPr>
          <w:rFonts w:hint="eastAsia" w:ascii="仿宋" w:hAnsi="仿宋" w:eastAsia="宋体" w:cs="Times New Roman"/>
          <w:color w:val="auto"/>
          <w:szCs w:val="28"/>
          <w:lang w:val="en-US" w:eastAsia="zh-CN"/>
        </w:rPr>
        <w:t>6、自动化通信接口与数据采集</w:t>
      </w:r>
      <w:bookmarkEnd w:id="938"/>
      <w:bookmarkEnd w:id="939"/>
    </w:p>
    <w:p w14:paraId="1A53F05B">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eastAsia="宋体" w:cs="Times New Roman"/>
          <w:color w:val="auto"/>
          <w:szCs w:val="28"/>
          <w:lang w:val="en-US" w:eastAsia="zh-CN"/>
        </w:rPr>
        <w:t>1）控制系统接口要求：</w:t>
      </w:r>
    </w:p>
    <w:p w14:paraId="3BB77CA7">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eastAsia="宋体" w:cs="Times New Roman"/>
          <w:color w:val="auto"/>
          <w:szCs w:val="28"/>
          <w:lang w:val="en-US" w:eastAsia="zh-CN"/>
        </w:rPr>
        <w:t>上位机控制系统预留园区平台接入标准接口，并配合完成园区平台接入。</w:t>
      </w:r>
    </w:p>
    <w:p w14:paraId="29DABB23">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eastAsia="宋体" w:cs="Times New Roman"/>
          <w:color w:val="auto"/>
          <w:szCs w:val="28"/>
          <w:lang w:val="en-US" w:eastAsia="zh-CN"/>
        </w:rPr>
        <w:t>弱电各个子系统需单独配置交换机实现物理隔离，应预留接口，后期弱电集成方可以免费接入并负责提供技术支持（10年内），免费开放后台监控系统，接入园区平台系统。</w:t>
      </w:r>
    </w:p>
    <w:p w14:paraId="2C067680">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eastAsia="宋体" w:cs="Times New Roman"/>
          <w:color w:val="auto"/>
          <w:szCs w:val="28"/>
          <w:lang w:val="en-US" w:eastAsia="zh-CN"/>
        </w:rPr>
        <w:t>2）数据采集要求：</w:t>
      </w:r>
    </w:p>
    <w:p w14:paraId="2F176CB0">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eastAsia="宋体" w:cs="Times New Roman"/>
          <w:color w:val="auto"/>
          <w:szCs w:val="28"/>
          <w:lang w:val="en-US" w:eastAsia="zh-CN"/>
        </w:rPr>
        <w:t>（1）实时记录和上传生产现场的工艺、设备参数；</w:t>
      </w:r>
    </w:p>
    <w:p w14:paraId="07D08294">
      <w:pPr>
        <w:pageBreakBefore w:val="0"/>
        <w:kinsoku/>
        <w:overflowPunct/>
        <w:topLinePunct w:val="0"/>
        <w:bidi w:val="0"/>
        <w:spacing w:line="360" w:lineRule="auto"/>
        <w:ind w:right="482" w:firstLine="420" w:firstLineChars="200"/>
        <w:rPr>
          <w:rFonts w:hint="eastAsia" w:ascii="仿宋" w:hAnsi="仿宋" w:eastAsia="宋体" w:cs="Times New Roman"/>
          <w:color w:val="auto"/>
          <w:szCs w:val="28"/>
          <w:lang w:val="en-US" w:eastAsia="zh-CN"/>
        </w:rPr>
      </w:pPr>
      <w:r>
        <w:rPr>
          <w:rFonts w:hint="eastAsia" w:ascii="仿宋" w:hAnsi="仿宋" w:eastAsia="宋体" w:cs="Times New Roman"/>
          <w:color w:val="auto"/>
          <w:szCs w:val="28"/>
          <w:lang w:val="en-US" w:eastAsia="zh-CN"/>
        </w:rPr>
        <w:t>（2）实时采集生产过程中的工艺参数，向质量控制系统提供生产、质检数据，实现生产过程质量预警，并通过与生产现场可视化管理系统等进行集成，实现预警信息及时发布；</w:t>
      </w:r>
    </w:p>
    <w:p w14:paraId="5977F22D">
      <w:pPr>
        <w:pStyle w:val="6"/>
        <w:bidi w:val="0"/>
        <w:rPr>
          <w:rFonts w:hint="default"/>
          <w:lang w:val="en-US" w:eastAsia="zh-CN"/>
        </w:rPr>
      </w:pPr>
      <w:r>
        <w:rPr>
          <w:rFonts w:hint="eastAsia"/>
          <w:lang w:val="en-US" w:eastAsia="zh-CN"/>
        </w:rPr>
        <w:t>6、设备安装要求</w:t>
      </w:r>
    </w:p>
    <w:p w14:paraId="4A88A043">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bookmarkStart w:id="940" w:name="_Toc2738"/>
      <w:bookmarkStart w:id="941" w:name="_Toc29652"/>
      <w:bookmarkStart w:id="942" w:name="_Toc10977"/>
      <w:r>
        <w:rPr>
          <w:rFonts w:hint="eastAsia" w:cs="Times New Roman"/>
          <w:color w:val="auto"/>
          <w:lang w:val="en-US" w:eastAsia="zh-CN"/>
        </w:rPr>
        <w:t>1</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管道安装</w:t>
      </w:r>
      <w:bookmarkEnd w:id="940"/>
      <w:bookmarkEnd w:id="941"/>
      <w:bookmarkEnd w:id="942"/>
    </w:p>
    <w:p w14:paraId="55CD30C0">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eastAsia="zh-CN"/>
        </w:rPr>
      </w:pPr>
      <w:r>
        <w:rPr>
          <w:rFonts w:hint="eastAsia" w:cs="Times New Roman"/>
          <w:color w:val="auto"/>
          <w:lang w:val="en-US" w:eastAsia="zh-CN"/>
        </w:rPr>
        <w:t>1</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工艺管道安装材料</w:t>
      </w:r>
    </w:p>
    <w:p w14:paraId="3D0DCE58">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严格按照设计图纸所标注的管道材料型号和材质进行采购，所有的主要材料、配件均要符合现在执行的国家相关标准，并提供材料的质量证明文件。</w:t>
      </w:r>
    </w:p>
    <w:p w14:paraId="76311C1B">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cs="Times New Roman"/>
          <w:color w:val="auto"/>
          <w:lang w:val="en-US" w:eastAsia="zh-CN"/>
        </w:rPr>
        <w:t>2）</w:t>
      </w:r>
      <w:r>
        <w:rPr>
          <w:rFonts w:hint="eastAsia" w:ascii="Times New Roman" w:hAnsi="Times New Roman" w:eastAsia="宋体" w:cs="Times New Roman"/>
          <w:color w:val="auto"/>
        </w:rPr>
        <w:t>工艺管道安装施工质量要求</w:t>
      </w:r>
    </w:p>
    <w:p w14:paraId="39A11928">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工艺管道安装的质量标准为符合现行国家有关工程施工验收规范和标准要求的合格，同时符合施工图设计的要求，并保证设计功能的全部实现，当施工图设计标准低于国家相关标准和规范时，以国家相关标准和规范为准，当施工图设计标准高于国家相关标准时，以施工图设计为准。</w:t>
      </w:r>
    </w:p>
    <w:p w14:paraId="1A041B81">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bookmarkStart w:id="943" w:name="_Toc22358"/>
      <w:bookmarkStart w:id="944" w:name="_Toc16218"/>
      <w:bookmarkStart w:id="945" w:name="_Toc27586"/>
      <w:r>
        <w:rPr>
          <w:rFonts w:hint="eastAsia" w:cs="Times New Roman"/>
          <w:color w:val="auto"/>
          <w:lang w:val="en-US" w:eastAsia="zh-CN"/>
        </w:rPr>
        <w:t>2</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工艺设备安装</w:t>
      </w:r>
      <w:bookmarkEnd w:id="943"/>
      <w:bookmarkEnd w:id="944"/>
      <w:bookmarkEnd w:id="945"/>
    </w:p>
    <w:p w14:paraId="262F1A44">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工艺设备安装的质量标准为符合现行国家有关工程施工验收规范和标准要求的合格，同时符合施工图设计的要求，并保证设计功能的全部实现，当施工图设计标准低于国家相关标准和规范时，以国家相关标准和规范为准，当施工图设计标准高于国家相关标准时，以施工图设计为准。</w:t>
      </w:r>
    </w:p>
    <w:p w14:paraId="2B3093DF">
      <w:pPr>
        <w:pageBreakBefore w:val="0"/>
        <w:kinsoku/>
        <w:overflowPunct/>
        <w:topLinePunct w:val="0"/>
        <w:bidi w:val="0"/>
        <w:spacing w:line="360" w:lineRule="auto"/>
        <w:ind w:right="482" w:firstLine="420"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固定设备安装基础二次灌浆满足安装规范要求，设备基础完成面收光抹平，表面美观。</w:t>
      </w:r>
    </w:p>
    <w:p w14:paraId="69C9E158">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bookmarkStart w:id="946" w:name="_Toc13272"/>
      <w:bookmarkStart w:id="947" w:name="_Toc28869"/>
      <w:bookmarkStart w:id="948" w:name="_Toc26176"/>
      <w:r>
        <w:rPr>
          <w:rFonts w:hint="eastAsia" w:cs="Times New Roman"/>
          <w:color w:val="auto"/>
          <w:lang w:val="en-US" w:eastAsia="zh-CN"/>
        </w:rPr>
        <w:t>3</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电气、仪表和自动化设备安装</w:t>
      </w:r>
      <w:bookmarkEnd w:id="946"/>
      <w:bookmarkEnd w:id="947"/>
      <w:bookmarkEnd w:id="948"/>
    </w:p>
    <w:p w14:paraId="30D26E52">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电气、仪表和自动化设备安装的质量标准为符合现行国家有关工程施工验收规范和标准要求的合格，同时符合施工图设计的要求，并保证设计功能的全部实现，当施工图设计标准低于国家相关标准和规范时，以国家相关标准和规范为准，当施工图设计标准高于国家相关标准时，以施工图设计为准。</w:t>
      </w:r>
    </w:p>
    <w:p w14:paraId="59AF3FB1">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bookmarkStart w:id="949" w:name="_Toc11743"/>
      <w:bookmarkStart w:id="950" w:name="_Toc4693"/>
      <w:bookmarkStart w:id="951" w:name="_Toc12569"/>
      <w:r>
        <w:rPr>
          <w:rFonts w:hint="eastAsia" w:cs="Times New Roman"/>
          <w:color w:val="auto"/>
          <w:lang w:val="en-US" w:eastAsia="zh-CN"/>
        </w:rPr>
        <w:t>4</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电气管线安装</w:t>
      </w:r>
      <w:bookmarkEnd w:id="949"/>
      <w:bookmarkEnd w:id="950"/>
      <w:bookmarkEnd w:id="951"/>
    </w:p>
    <w:p w14:paraId="4043C521">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bookmarkStart w:id="952" w:name="_Toc11446"/>
      <w:bookmarkStart w:id="953" w:name="_Toc22077"/>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电气管线安装材料技术要求</w:t>
      </w:r>
      <w:bookmarkEnd w:id="952"/>
      <w:bookmarkEnd w:id="953"/>
    </w:p>
    <w:p w14:paraId="188B2542">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严格按照设计图纸所标注的电缆、桥架、接地、管线等材料型号和材质进行采购，所有的主要材料、配件均要符合现在执行的国家相关标准，并提供材料的质量证明文件。电气管线安装主要材料技术要求如下：</w:t>
      </w:r>
    </w:p>
    <w:p w14:paraId="72BCE154">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（1）电缆</w:t>
      </w:r>
    </w:p>
    <w:p w14:paraId="73CAF216">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本工程所用到的</w:t>
      </w:r>
      <w:r>
        <w:rPr>
          <w:rFonts w:hint="eastAsia" w:cs="Times New Roman"/>
          <w:color w:val="auto"/>
          <w:lang w:val="en-US" w:eastAsia="zh-CN"/>
        </w:rPr>
        <w:t>动力</w:t>
      </w:r>
      <w:r>
        <w:rPr>
          <w:rFonts w:hint="eastAsia" w:ascii="Times New Roman" w:hAnsi="Times New Roman" w:eastAsia="宋体" w:cs="Times New Roman"/>
          <w:color w:val="auto"/>
        </w:rPr>
        <w:t>电缆、控制电缆、信号电缆等应根据设计文件规定的型号进行采购。</w:t>
      </w:r>
    </w:p>
    <w:p w14:paraId="2E634928">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（2）电缆桥架及穿线管</w:t>
      </w:r>
    </w:p>
    <w:p w14:paraId="3CDC328D">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本工程所用到的电缆桥架采用304不锈钢桥架；穿线管采用304不锈钢材质。</w:t>
      </w:r>
    </w:p>
    <w:p w14:paraId="2C57061E">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bookmarkStart w:id="954" w:name="_Toc21538"/>
      <w:bookmarkStart w:id="955" w:name="_Toc7133"/>
      <w:r>
        <w:rPr>
          <w:rFonts w:hint="eastAsia" w:cs="Times New Roman"/>
          <w:color w:val="auto"/>
          <w:lang w:val="en-US" w:eastAsia="zh-CN"/>
        </w:rPr>
        <w:t>2）电</w:t>
      </w:r>
      <w:r>
        <w:rPr>
          <w:rFonts w:hint="eastAsia" w:ascii="Times New Roman" w:hAnsi="Times New Roman" w:eastAsia="宋体" w:cs="Times New Roman"/>
          <w:color w:val="auto"/>
        </w:rPr>
        <w:t>气管线安装施工质量要求</w:t>
      </w:r>
      <w:bookmarkEnd w:id="954"/>
      <w:bookmarkEnd w:id="955"/>
    </w:p>
    <w:p w14:paraId="4495DC98">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电气管线安装的质量标准为符合现行国家有关工程施工验收规范和标准要求的合格，同时符合施工图设计的要求，并保证设计功能的全部实现，当施工图设计标准低于国家相关标准和规范时，以国家相关标准和规范为准，当施工图设计标准高于国家相关标准时，以施工图设计为准。</w:t>
      </w:r>
    </w:p>
    <w:p w14:paraId="5DF5DF49">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设备、仪表等终端设备动力、控制及信号线缆软套管长度≤0.5m。</w:t>
      </w:r>
    </w:p>
    <w:p w14:paraId="255B8EF3">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设备外壳二次接地软线长度≤0.5m，所有设备外壳二次接地网与TN-S</w:t>
      </w:r>
      <w:r>
        <w:rPr>
          <w:rFonts w:hint="eastAsia" w:cs="Times New Roman"/>
          <w:color w:val="auto"/>
          <w:lang w:val="en-US" w:eastAsia="zh-CN"/>
        </w:rPr>
        <w:t>配</w:t>
      </w:r>
      <w:r>
        <w:rPr>
          <w:rFonts w:hint="eastAsia" w:ascii="Times New Roman" w:hAnsi="Times New Roman" w:eastAsia="宋体" w:cs="Times New Roman"/>
          <w:color w:val="auto"/>
        </w:rPr>
        <w:t>电接地</w:t>
      </w:r>
      <w:r>
        <w:rPr>
          <w:rFonts w:hint="eastAsia" w:cs="Times New Roman"/>
          <w:color w:val="auto"/>
          <w:lang w:val="en-US" w:eastAsia="zh-CN"/>
        </w:rPr>
        <w:t>独立</w:t>
      </w:r>
      <w:r>
        <w:rPr>
          <w:rFonts w:hint="eastAsia" w:ascii="Times New Roman" w:hAnsi="Times New Roman" w:eastAsia="宋体" w:cs="Times New Roman"/>
          <w:color w:val="auto"/>
        </w:rPr>
        <w:t>接地。</w:t>
      </w:r>
    </w:p>
    <w:p w14:paraId="664F1BA4">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电缆进出电柜、操作箱和设备端采用一线一密封，防止</w:t>
      </w:r>
      <w:r>
        <w:rPr>
          <w:rFonts w:hint="eastAsia" w:cs="Times New Roman"/>
          <w:color w:val="auto"/>
          <w:lang w:val="en-US" w:eastAsia="zh-CN"/>
        </w:rPr>
        <w:t>水汽</w:t>
      </w:r>
      <w:r>
        <w:rPr>
          <w:rFonts w:hint="eastAsia" w:ascii="Times New Roman" w:hAnsi="Times New Roman" w:eastAsia="宋体" w:cs="Times New Roman"/>
          <w:color w:val="auto"/>
        </w:rPr>
        <w:t>进入柜内。</w:t>
      </w:r>
    </w:p>
    <w:p w14:paraId="3787F282">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电缆两端标识编码清晰、同竣工图编码一致，截面</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mm2及以下采用喷码套管，</w:t>
      </w:r>
      <w:r>
        <w:rPr>
          <w:rFonts w:hint="eastAsia" w:ascii="Times New Roman" w:hAnsi="Times New Roman" w:eastAsia="宋体" w:cs="Times New Roman"/>
          <w:color w:val="auto"/>
          <w:lang w:val="en-US" w:eastAsia="zh-CN"/>
        </w:rPr>
        <w:t>4</w:t>
      </w:r>
      <w:r>
        <w:rPr>
          <w:rFonts w:hint="eastAsia" w:ascii="Times New Roman" w:hAnsi="Times New Roman" w:eastAsia="宋体" w:cs="Times New Roman"/>
          <w:color w:val="auto"/>
        </w:rPr>
        <w:t>mm2以上采用喷码吊牌</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多芯电缆两端采用喷码吊牌标识</w:t>
      </w:r>
      <w:r>
        <w:rPr>
          <w:rFonts w:hint="eastAsia" w:ascii="Times New Roman" w:hAnsi="Times New Roman" w:eastAsia="宋体" w:cs="Times New Roman"/>
          <w:color w:val="auto"/>
        </w:rPr>
        <w:t>。</w:t>
      </w:r>
    </w:p>
    <w:p w14:paraId="180DABB2">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bookmarkStart w:id="956" w:name="_Toc6950"/>
      <w:bookmarkStart w:id="957" w:name="_Toc6068"/>
      <w:bookmarkStart w:id="958" w:name="_Toc22523"/>
      <w:r>
        <w:rPr>
          <w:rFonts w:hint="eastAsia" w:cs="Times New Roman"/>
          <w:color w:val="auto"/>
          <w:lang w:val="en-US" w:eastAsia="zh-CN"/>
        </w:rPr>
        <w:t>5</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孔洞封堵</w:t>
      </w:r>
      <w:bookmarkEnd w:id="956"/>
      <w:bookmarkEnd w:id="957"/>
      <w:bookmarkEnd w:id="958"/>
    </w:p>
    <w:p w14:paraId="6F7CC4D7">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设备安装或设备工艺需要</w:t>
      </w:r>
      <w:r>
        <w:rPr>
          <w:rFonts w:hint="eastAsia" w:cs="Times New Roman"/>
          <w:color w:val="auto"/>
          <w:lang w:val="en-US" w:eastAsia="zh-CN"/>
        </w:rPr>
        <w:t>穿墙</w:t>
      </w:r>
      <w:r>
        <w:rPr>
          <w:rFonts w:hint="eastAsia" w:ascii="Times New Roman" w:hAnsi="Times New Roman" w:eastAsia="宋体" w:cs="Times New Roman"/>
          <w:color w:val="auto"/>
        </w:rPr>
        <w:t>孔洞，设备安装就位后</w:t>
      </w:r>
      <w:r>
        <w:rPr>
          <w:rFonts w:hint="eastAsia" w:ascii="Times New Roman" w:hAnsi="Times New Roman" w:eastAsia="宋体" w:cs="Times New Roman"/>
          <w:color w:val="auto"/>
          <w:lang w:eastAsia="zh-CN"/>
        </w:rPr>
        <w:t>，投标人</w:t>
      </w:r>
      <w:r>
        <w:rPr>
          <w:rFonts w:hint="eastAsia" w:ascii="Times New Roman" w:hAnsi="Times New Roman" w:eastAsia="宋体" w:cs="Times New Roman"/>
          <w:color w:val="auto"/>
        </w:rPr>
        <w:t>负责按照设计规范和施工规范封堵孔洞；消除安全隐患。</w:t>
      </w:r>
    </w:p>
    <w:p w14:paraId="02E28F15">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预留套管、电缆桥架穿墙</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含楼面</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孔洞、盘柜孔洞等</w:t>
      </w:r>
      <w:r>
        <w:rPr>
          <w:rFonts w:hint="eastAsia" w:ascii="Times New Roman" w:hAnsi="Times New Roman" w:eastAsia="宋体" w:cs="Times New Roman"/>
          <w:color w:val="auto"/>
          <w:lang w:eastAsia="zh-CN"/>
        </w:rPr>
        <w:t>投标人</w:t>
      </w:r>
      <w:r>
        <w:rPr>
          <w:rFonts w:hint="eastAsia" w:ascii="Times New Roman" w:hAnsi="Times New Roman" w:eastAsia="宋体" w:cs="Times New Roman"/>
          <w:color w:val="auto"/>
        </w:rPr>
        <w:t>负责按照设计规范和施工规范封堵孔洞。</w:t>
      </w:r>
    </w:p>
    <w:p w14:paraId="226FCD22">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bookmarkStart w:id="959" w:name="_Toc7496"/>
      <w:bookmarkStart w:id="960" w:name="_Toc25842"/>
      <w:bookmarkStart w:id="961" w:name="_Toc27909"/>
      <w:r>
        <w:rPr>
          <w:rFonts w:hint="eastAsia" w:cs="Times New Roman"/>
          <w:color w:val="auto"/>
          <w:lang w:val="en-US" w:eastAsia="zh-CN"/>
        </w:rPr>
        <w:t>6</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标识标牌</w:t>
      </w:r>
      <w:bookmarkEnd w:id="959"/>
      <w:bookmarkEnd w:id="960"/>
      <w:bookmarkEnd w:id="961"/>
    </w:p>
    <w:p w14:paraId="74D2622D">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设备操作、维修标识牌上墙。</w:t>
      </w:r>
    </w:p>
    <w:p w14:paraId="134FCE20">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w:t>
      </w:r>
      <w:r>
        <w:rPr>
          <w:rFonts w:hint="eastAsia" w:ascii="Times New Roman" w:hAnsi="Times New Roman" w:eastAsia="宋体" w:cs="Times New Roman"/>
          <w:color w:val="auto"/>
        </w:rPr>
        <w:t>设备标识牌固定在设备上，采用304不锈钢材质</w:t>
      </w:r>
      <w:r>
        <w:rPr>
          <w:rFonts w:hint="eastAsia" w:cs="Times New Roman"/>
          <w:color w:val="auto"/>
          <w:lang w:eastAsia="zh-CN"/>
        </w:rPr>
        <w:t>或</w:t>
      </w:r>
      <w:r>
        <w:rPr>
          <w:rFonts w:hint="eastAsia" w:ascii="Times New Roman" w:hAnsi="Times New Roman" w:eastAsia="宋体" w:cs="Times New Roman"/>
          <w:color w:val="auto"/>
        </w:rPr>
        <w:t>腐刻工艺，包含但不限于设备名称、设备编号、主要参数、材质等，标识标牌整齐、美观。</w:t>
      </w:r>
    </w:p>
    <w:p w14:paraId="28DA65D1">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en-US" w:eastAsia="zh-CN"/>
        </w:rPr>
      </w:pPr>
      <w:r>
        <w:rPr>
          <w:rFonts w:hint="eastAsia" w:cs="Times New Roman"/>
          <w:color w:val="auto"/>
          <w:lang w:val="en-US" w:eastAsia="zh-CN"/>
        </w:rPr>
        <w:t>3</w:t>
      </w:r>
      <w:r>
        <w:rPr>
          <w:rFonts w:hint="eastAsia" w:ascii="Times New Roman" w:hAnsi="Times New Roman" w:eastAsia="宋体" w:cs="Times New Roman"/>
          <w:color w:val="auto"/>
          <w:lang w:val="en-US" w:eastAsia="zh-CN"/>
        </w:rPr>
        <w:t>、</w:t>
      </w:r>
      <w:r>
        <w:rPr>
          <w:rFonts w:hint="eastAsia" w:ascii="Times New Roman" w:hAnsi="Times New Roman" w:eastAsia="宋体" w:cs="Times New Roman"/>
          <w:color w:val="auto"/>
        </w:rPr>
        <w:t>管道标识采用环氧喷涂工艺，管道标识整齐、美观、</w:t>
      </w:r>
      <w:r>
        <w:rPr>
          <w:rFonts w:hint="eastAsia" w:ascii="Times New Roman" w:hAnsi="Times New Roman" w:eastAsia="宋体" w:cs="Times New Roman"/>
          <w:color w:val="auto"/>
          <w:lang w:val="en-US" w:eastAsia="zh-CN"/>
        </w:rPr>
        <w:t>辨识度高。</w:t>
      </w:r>
    </w:p>
    <w:p w14:paraId="4B4759D9">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en-US" w:eastAsia="zh-CN"/>
        </w:rPr>
      </w:pPr>
      <w:r>
        <w:rPr>
          <w:rFonts w:hint="eastAsia" w:cs="Times New Roman"/>
          <w:color w:val="auto"/>
          <w:lang w:val="en-US" w:eastAsia="zh-CN"/>
        </w:rPr>
        <w:t>4</w:t>
      </w:r>
      <w:r>
        <w:rPr>
          <w:rFonts w:hint="eastAsia" w:ascii="Times New Roman" w:hAnsi="Times New Roman" w:eastAsia="宋体" w:cs="Times New Roman"/>
          <w:color w:val="auto"/>
          <w:lang w:val="en-US" w:eastAsia="zh-CN"/>
        </w:rPr>
        <w:t>、电缆标识采用套管+吊牌形式，标识喷涂清晰、牢固。</w:t>
      </w:r>
    </w:p>
    <w:p w14:paraId="410D9551">
      <w:pPr>
        <w:pStyle w:val="6"/>
        <w:bidi w:val="0"/>
        <w:rPr>
          <w:rFonts w:hint="eastAsia"/>
          <w:lang w:val="en-US" w:eastAsia="zh-CN"/>
        </w:rPr>
      </w:pPr>
      <w:r>
        <w:rPr>
          <w:rFonts w:hint="eastAsia"/>
          <w:lang w:val="en-US" w:eastAsia="zh-CN"/>
        </w:rPr>
        <w:t>7、主要设备、部件推荐品牌</w:t>
      </w:r>
    </w:p>
    <w:p w14:paraId="22B2355B">
      <w:pPr>
        <w:keepNext w:val="0"/>
        <w:keepLines w:val="0"/>
        <w:pageBreakBefore w:val="0"/>
        <w:widowControl/>
        <w:kinsoku/>
        <w:wordWrap/>
        <w:overflowPunct/>
        <w:topLinePunct w:val="0"/>
        <w:autoSpaceDE/>
        <w:autoSpaceDN/>
        <w:bidi w:val="0"/>
        <w:adjustRightInd/>
        <w:snapToGrid/>
        <w:spacing w:line="360" w:lineRule="auto"/>
        <w:ind w:firstLine="420" w:firstLineChars="200"/>
        <w:jc w:val="left"/>
        <w:textAlignment w:val="auto"/>
      </w:pPr>
      <w:r>
        <w:rPr>
          <w:rFonts w:hint="eastAsia" w:cs="Times New Roman"/>
          <w:lang w:val="en-US" w:eastAsia="zh-CN"/>
        </w:rPr>
        <w:t>卖方</w:t>
      </w:r>
      <w:r>
        <w:rPr>
          <w:rFonts w:hint="eastAsia" w:eastAsia="宋体" w:cs="Times New Roman"/>
          <w:lang w:val="en-US" w:eastAsia="zh-CN"/>
        </w:rPr>
        <w:t>本次项目所</w:t>
      </w:r>
      <w:r>
        <w:rPr>
          <w:rFonts w:hint="eastAsia" w:ascii="Times New Roman" w:hAnsi="Times New Roman" w:eastAsia="宋体" w:cs="Times New Roman"/>
          <w:lang w:val="en-US" w:eastAsia="zh-CN"/>
        </w:rPr>
        <w:t>选择的生产厂家或品牌应满足下列推荐品牌要求或选择</w:t>
      </w:r>
      <w:r>
        <w:rPr>
          <w:rFonts w:hint="eastAsia" w:ascii="Times New Roman" w:hAnsi="Times New Roman" w:eastAsia="宋体" w:cs="Times New Roman"/>
          <w:b/>
          <w:bCs/>
          <w:lang w:val="en-US" w:eastAsia="zh-CN"/>
        </w:rPr>
        <w:t>同等及以上档次</w:t>
      </w:r>
      <w:r>
        <w:rPr>
          <w:rFonts w:hint="eastAsia" w:ascii="Times New Roman" w:hAnsi="Times New Roman" w:eastAsia="宋体" w:cs="Times New Roman"/>
          <w:lang w:val="en-US" w:eastAsia="zh-CN"/>
        </w:rPr>
        <w:t>。</w:t>
      </w:r>
      <w:r>
        <w:rPr>
          <w:rFonts w:hint="eastAsia" w:cs="Times New Roman"/>
          <w:lang w:val="en-US" w:eastAsia="zh-CN"/>
        </w:rPr>
        <w:t>卖方</w:t>
      </w:r>
      <w:r>
        <w:rPr>
          <w:rFonts w:hint="eastAsia" w:ascii="Times New Roman" w:hAnsi="Times New Roman" w:eastAsia="宋体" w:cs="Times New Roman"/>
          <w:lang w:val="en-US" w:eastAsia="zh-CN"/>
        </w:rPr>
        <w:t>在投标文件中应明确品牌选择且需为唯一品牌。若</w:t>
      </w:r>
      <w:r>
        <w:rPr>
          <w:rFonts w:hint="eastAsia" w:cs="Times New Roman"/>
          <w:lang w:val="en-US" w:eastAsia="zh-CN"/>
        </w:rPr>
        <w:t>卖方</w:t>
      </w:r>
      <w:r>
        <w:rPr>
          <w:rFonts w:hint="eastAsia" w:ascii="Times New Roman" w:hAnsi="Times New Roman" w:eastAsia="宋体" w:cs="Times New Roman"/>
          <w:lang w:val="en-US" w:eastAsia="zh-CN"/>
        </w:rPr>
        <w:t>未选用推荐品牌的，必须在技术部分中详细说明所填报品牌情况并提供有关技术参数</w:t>
      </w:r>
      <w:r>
        <w:rPr>
          <w:rFonts w:hint="eastAsia" w:eastAsia="宋体" w:cs="Times New Roman"/>
          <w:lang w:val="en-US" w:eastAsia="zh-CN"/>
        </w:rPr>
        <w:t>、性能、质量标准</w:t>
      </w:r>
      <w:r>
        <w:rPr>
          <w:rFonts w:hint="eastAsia" w:ascii="Times New Roman" w:hAnsi="Times New Roman" w:eastAsia="宋体" w:cs="Times New Roman"/>
          <w:lang w:val="en-US" w:eastAsia="zh-CN"/>
        </w:rPr>
        <w:t>对照资料，以证明该品牌属于所推荐品牌的同等及以上档次。</w:t>
      </w:r>
      <w:r>
        <w:rPr>
          <w:rFonts w:hint="eastAsia" w:eastAsia="宋体" w:cs="Times New Roman"/>
          <w:lang w:val="en-US" w:eastAsia="zh-CN"/>
        </w:rPr>
        <w:t>若中标人提供的其他品牌在</w:t>
      </w:r>
      <w:r>
        <w:rPr>
          <w:rFonts w:hint="eastAsia" w:ascii="Times New Roman" w:hAnsi="Times New Roman" w:eastAsia="宋体" w:cs="Times New Roman"/>
          <w:lang w:val="en-US" w:eastAsia="zh-CN"/>
        </w:rPr>
        <w:t>技术参数</w:t>
      </w:r>
      <w:r>
        <w:rPr>
          <w:rFonts w:hint="eastAsia" w:eastAsia="宋体" w:cs="Times New Roman"/>
          <w:lang w:val="en-US" w:eastAsia="zh-CN"/>
        </w:rPr>
        <w:t>、性能、质量标准等方面无法达到推荐品牌同等及以上标准，</w:t>
      </w:r>
      <w:r>
        <w:rPr>
          <w:rFonts w:hint="eastAsia" w:cs="Times New Roman"/>
          <w:lang w:val="en-US" w:eastAsia="zh-CN"/>
        </w:rPr>
        <w:t>买方</w:t>
      </w:r>
      <w:r>
        <w:rPr>
          <w:rFonts w:hint="eastAsia" w:eastAsia="宋体" w:cs="Times New Roman"/>
          <w:lang w:val="en-US" w:eastAsia="zh-CN"/>
        </w:rPr>
        <w:t>有权要求</w:t>
      </w:r>
      <w:r>
        <w:rPr>
          <w:rFonts w:hint="eastAsia" w:cs="Times New Roman"/>
          <w:lang w:val="en-US" w:eastAsia="zh-CN"/>
        </w:rPr>
        <w:t>卖方</w:t>
      </w:r>
      <w:r>
        <w:rPr>
          <w:rFonts w:hint="eastAsia" w:eastAsia="宋体" w:cs="Times New Roman"/>
          <w:lang w:val="en-US" w:eastAsia="zh-CN"/>
        </w:rPr>
        <w:t>提供推荐品牌用以满足采购要求</w:t>
      </w:r>
      <w:r>
        <w:rPr>
          <w:rFonts w:hint="eastAsia" w:ascii="Times New Roman" w:hAnsi="Times New Roman" w:eastAsia="宋体" w:cs="Times New Roman"/>
          <w:lang w:val="en-US" w:eastAsia="zh-CN"/>
        </w:rPr>
        <w:t>。</w:t>
      </w:r>
    </w:p>
    <w:p w14:paraId="6AB5509E">
      <w:pPr>
        <w:rPr>
          <w:rFonts w:hint="default"/>
          <w:lang w:val="en-US" w:eastAsia="zh-CN"/>
        </w:rPr>
      </w:pPr>
    </w:p>
    <w:tbl>
      <w:tblPr>
        <w:tblStyle w:val="46"/>
        <w:tblW w:w="4643"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4"/>
        <w:gridCol w:w="1695"/>
        <w:gridCol w:w="1621"/>
        <w:gridCol w:w="1562"/>
        <w:gridCol w:w="1490"/>
        <w:gridCol w:w="1691"/>
      </w:tblGrid>
      <w:tr w14:paraId="07E6C0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jc w:val="center"/>
        </w:trPr>
        <w:tc>
          <w:tcPr>
            <w:tcW w:w="519" w:type="pct"/>
            <w:tcBorders>
              <w:top w:val="single" w:color="000000" w:sz="4" w:space="0"/>
              <w:left w:val="single" w:color="000000" w:sz="4" w:space="0"/>
              <w:bottom w:val="single" w:color="auto" w:sz="4" w:space="0"/>
              <w:right w:val="single" w:color="000000" w:sz="4" w:space="0"/>
            </w:tcBorders>
            <w:shd w:val="clear" w:color="auto" w:fill="auto"/>
            <w:vAlign w:val="center"/>
          </w:tcPr>
          <w:p w14:paraId="1AD0951C">
            <w:pPr>
              <w:bidi w:val="0"/>
              <w:rPr>
                <w:rFonts w:hint="eastAsia"/>
              </w:rPr>
            </w:pPr>
            <w:r>
              <w:rPr>
                <w:rFonts w:hint="eastAsia"/>
                <w:lang w:val="en-US" w:eastAsia="zh-CN"/>
              </w:rPr>
              <w:t>类型</w:t>
            </w:r>
          </w:p>
        </w:tc>
        <w:tc>
          <w:tcPr>
            <w:tcW w:w="942" w:type="pct"/>
            <w:tcBorders>
              <w:top w:val="single" w:color="000000" w:sz="4" w:space="0"/>
              <w:left w:val="single" w:color="000000" w:sz="4" w:space="0"/>
              <w:bottom w:val="single" w:color="auto" w:sz="4" w:space="0"/>
              <w:right w:val="single" w:color="000000" w:sz="4" w:space="0"/>
            </w:tcBorders>
            <w:shd w:val="clear" w:color="auto" w:fill="auto"/>
            <w:vAlign w:val="center"/>
          </w:tcPr>
          <w:p w14:paraId="7ED01BF7">
            <w:pPr>
              <w:bidi w:val="0"/>
              <w:rPr>
                <w:rFonts w:hint="eastAsia"/>
              </w:rPr>
            </w:pPr>
            <w:r>
              <w:rPr>
                <w:rFonts w:hint="eastAsia"/>
                <w:lang w:val="en-US" w:eastAsia="zh-CN"/>
              </w:rPr>
              <w:t>名称</w:t>
            </w:r>
          </w:p>
        </w:tc>
        <w:tc>
          <w:tcPr>
            <w:tcW w:w="3537" w:type="pct"/>
            <w:gridSpan w:val="4"/>
            <w:tcBorders>
              <w:top w:val="single" w:color="000000" w:sz="4" w:space="0"/>
              <w:left w:val="single" w:color="000000" w:sz="4" w:space="0"/>
              <w:bottom w:val="single" w:color="auto" w:sz="4" w:space="0"/>
              <w:right w:val="single" w:color="000000" w:sz="4" w:space="0"/>
            </w:tcBorders>
            <w:shd w:val="clear" w:color="auto" w:fill="auto"/>
            <w:vAlign w:val="center"/>
          </w:tcPr>
          <w:p w14:paraId="795E72EB">
            <w:pPr>
              <w:bidi w:val="0"/>
              <w:rPr>
                <w:rFonts w:hint="eastAsia"/>
              </w:rPr>
            </w:pPr>
            <w:r>
              <w:rPr>
                <w:rFonts w:hint="eastAsia"/>
                <w:lang w:val="en-US" w:eastAsia="zh-CN"/>
              </w:rPr>
              <w:t>推荐品牌（同等及以上）</w:t>
            </w:r>
          </w:p>
        </w:tc>
      </w:tr>
      <w:tr w14:paraId="5AD48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7" w:hRule="atLeast"/>
          <w:jc w:val="center"/>
        </w:trPr>
        <w:tc>
          <w:tcPr>
            <w:tcW w:w="519" w:type="pct"/>
            <w:tcBorders>
              <w:top w:val="single" w:color="auto" w:sz="4" w:space="0"/>
              <w:left w:val="single" w:color="auto" w:sz="4" w:space="0"/>
              <w:bottom w:val="single" w:color="auto" w:sz="4" w:space="0"/>
              <w:right w:val="single" w:color="auto" w:sz="4" w:space="0"/>
            </w:tcBorders>
            <w:shd w:val="clear" w:color="auto" w:fill="auto"/>
            <w:vAlign w:val="center"/>
          </w:tcPr>
          <w:p w14:paraId="444A3FD8">
            <w:pPr>
              <w:bidi w:val="0"/>
              <w:rPr>
                <w:rFonts w:hint="default" w:eastAsia="宋体"/>
                <w:lang w:val="en-US" w:eastAsia="zh-CN"/>
              </w:rPr>
            </w:pPr>
            <w:r>
              <w:rPr>
                <w:rFonts w:hint="eastAsia"/>
                <w:lang w:val="en-US" w:eastAsia="zh-CN"/>
              </w:rPr>
              <w:t>单机设备</w:t>
            </w: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72C5DE89">
            <w:pPr>
              <w:bidi w:val="0"/>
              <w:rPr>
                <w:rFonts w:hint="eastAsia"/>
              </w:rPr>
            </w:pPr>
            <w:r>
              <w:rPr>
                <w:rFonts w:hint="eastAsia"/>
                <w:lang w:val="en-US" w:eastAsia="zh-CN"/>
              </w:rPr>
              <w:t>电动叉车</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55D6BDEA">
            <w:pPr>
              <w:bidi w:val="0"/>
              <w:rPr>
                <w:rFonts w:hint="eastAsia"/>
              </w:rPr>
            </w:pPr>
            <w:r>
              <w:rPr>
                <w:rFonts w:hint="eastAsia"/>
                <w:lang w:val="en-US" w:eastAsia="zh-CN"/>
              </w:rPr>
              <w:t>杭叉</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777345D3">
            <w:pPr>
              <w:bidi w:val="0"/>
              <w:rPr>
                <w:rFonts w:hint="eastAsia"/>
              </w:rPr>
            </w:pPr>
            <w:r>
              <w:rPr>
                <w:rFonts w:hint="eastAsia"/>
                <w:lang w:val="en-US" w:eastAsia="zh-CN"/>
              </w:rPr>
              <w:t>合力</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0193E2AB">
            <w:pPr>
              <w:bidi w:val="0"/>
              <w:rPr>
                <w:rFonts w:hint="eastAsia"/>
              </w:rPr>
            </w:pPr>
            <w:r>
              <w:rPr>
                <w:rFonts w:hint="eastAsia"/>
                <w:lang w:val="en-US" w:eastAsia="zh-CN"/>
              </w:rPr>
              <w:t>中力</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0CB5E459">
            <w:pPr>
              <w:bidi w:val="0"/>
              <w:rPr>
                <w:rFonts w:hint="eastAsia"/>
              </w:rPr>
            </w:pPr>
            <w:r>
              <w:rPr>
                <w:rFonts w:hint="eastAsia"/>
                <w:lang w:val="en-US" w:eastAsia="zh-CN"/>
              </w:rPr>
              <w:t>诺力</w:t>
            </w:r>
          </w:p>
        </w:tc>
      </w:tr>
      <w:tr w14:paraId="034AA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7" w:hRule="atLeast"/>
          <w:jc w:val="center"/>
        </w:trPr>
        <w:tc>
          <w:tcPr>
            <w:tcW w:w="519"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7F5CCF5A">
            <w:pPr>
              <w:bidi w:val="0"/>
              <w:rPr>
                <w:rFonts w:hint="eastAsia"/>
              </w:rPr>
            </w:pPr>
            <w:r>
              <w:rPr>
                <w:rFonts w:hint="eastAsia"/>
                <w:lang w:val="en-US" w:eastAsia="zh-CN"/>
              </w:rPr>
              <w:t>机械及电气部件</w:t>
            </w: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465B9724">
            <w:pPr>
              <w:bidi w:val="0"/>
              <w:rPr>
                <w:rFonts w:hint="eastAsia"/>
              </w:rPr>
            </w:pPr>
            <w:r>
              <w:rPr>
                <w:rFonts w:hint="eastAsia"/>
                <w:lang w:val="en-US" w:eastAsia="zh-CN"/>
              </w:rPr>
              <w:t>轴承</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0A2F7150">
            <w:pPr>
              <w:bidi w:val="0"/>
              <w:rPr>
                <w:rFonts w:hint="eastAsia"/>
              </w:rPr>
            </w:pPr>
            <w:r>
              <w:rPr>
                <w:rFonts w:hint="eastAsia"/>
                <w:lang w:val="en-US" w:eastAsia="zh-CN"/>
              </w:rPr>
              <w:t>SKF</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7BFF985A">
            <w:pPr>
              <w:bidi w:val="0"/>
              <w:rPr>
                <w:rFonts w:hint="eastAsia"/>
              </w:rPr>
            </w:pPr>
            <w:r>
              <w:rPr>
                <w:rFonts w:hint="eastAsia"/>
                <w:lang w:val="en-US" w:eastAsia="zh-CN"/>
              </w:rPr>
              <w:t>NSK</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62253D2E">
            <w:pPr>
              <w:bidi w:val="0"/>
              <w:rPr>
                <w:rFonts w:hint="default"/>
                <w:lang w:val="en-US"/>
              </w:rPr>
            </w:pPr>
            <w:r>
              <w:rPr>
                <w:rFonts w:hint="eastAsia"/>
                <w:lang w:val="en-US" w:eastAsia="zh-CN"/>
              </w:rPr>
              <w:t>INA</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31A0512F">
            <w:pPr>
              <w:bidi w:val="0"/>
              <w:rPr>
                <w:rFonts w:hint="eastAsia"/>
              </w:rPr>
            </w:pPr>
            <w:r>
              <w:rPr>
                <w:rFonts w:hint="eastAsia"/>
                <w:lang w:val="en-US" w:eastAsia="zh-CN"/>
              </w:rPr>
              <w:t>FAG</w:t>
            </w:r>
          </w:p>
        </w:tc>
      </w:tr>
      <w:tr w14:paraId="117A8E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6"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8E5C5BD">
            <w:pPr>
              <w:bidi w:val="0"/>
              <w:rPr>
                <w:rFonts w:hint="eastAsia"/>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0330EC04">
            <w:pPr>
              <w:bidi w:val="0"/>
              <w:rPr>
                <w:rFonts w:hint="eastAsia"/>
              </w:rPr>
            </w:pPr>
            <w:r>
              <w:rPr>
                <w:rFonts w:hint="eastAsia"/>
                <w:lang w:val="en-US" w:eastAsia="zh-CN"/>
              </w:rPr>
              <w:t>减速机</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4F0E7D9E">
            <w:pPr>
              <w:bidi w:val="0"/>
              <w:rPr>
                <w:rFonts w:hint="eastAsia"/>
              </w:rPr>
            </w:pPr>
            <w:r>
              <w:rPr>
                <w:rFonts w:hint="eastAsia"/>
                <w:lang w:val="en-US" w:eastAsia="zh-CN"/>
              </w:rPr>
              <w:t>SEW</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3F5D0156">
            <w:pPr>
              <w:bidi w:val="0"/>
              <w:rPr>
                <w:rFonts w:hint="eastAsia"/>
              </w:rPr>
            </w:pPr>
            <w:r>
              <w:rPr>
                <w:rFonts w:hint="eastAsia"/>
                <w:lang w:val="en-US" w:eastAsia="zh-CN"/>
              </w:rPr>
              <w:t>NORD</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1ADEB7BE">
            <w:pPr>
              <w:bidi w:val="0"/>
              <w:rPr>
                <w:rFonts w:hint="eastAsia"/>
              </w:rPr>
            </w:pPr>
            <w:r>
              <w:rPr>
                <w:rFonts w:hint="eastAsia"/>
                <w:lang w:val="en-US" w:eastAsia="zh-CN"/>
              </w:rPr>
              <w:t>LENZE</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0D14B1C7">
            <w:pPr>
              <w:bidi w:val="0"/>
              <w:rPr>
                <w:rFonts w:hint="eastAsia"/>
              </w:rPr>
            </w:pPr>
            <w:r>
              <w:rPr>
                <w:rFonts w:hint="eastAsia"/>
                <w:lang w:val="en-US" w:eastAsia="zh-CN"/>
              </w:rPr>
              <w:t>BAUER</w:t>
            </w:r>
          </w:p>
        </w:tc>
      </w:tr>
      <w:tr w14:paraId="3229FC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E097C57">
            <w:pPr>
              <w:bidi w:val="0"/>
              <w:rPr>
                <w:rFonts w:hint="eastAsia"/>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22D36EFA">
            <w:pPr>
              <w:bidi w:val="0"/>
              <w:rPr>
                <w:rFonts w:hint="eastAsia"/>
              </w:rPr>
            </w:pPr>
            <w:r>
              <w:rPr>
                <w:rFonts w:hint="eastAsia"/>
                <w:lang w:val="en-US" w:eastAsia="zh-CN"/>
              </w:rPr>
              <w:t>变频器</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39A763F1">
            <w:pPr>
              <w:bidi w:val="0"/>
              <w:rPr>
                <w:rFonts w:hint="eastAsia"/>
              </w:rPr>
            </w:pPr>
            <w:r>
              <w:rPr>
                <w:rFonts w:hint="eastAsia"/>
                <w:lang w:val="en-US" w:eastAsia="zh-CN"/>
              </w:rPr>
              <w:t>西门子</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5FFAFCAD">
            <w:pPr>
              <w:bidi w:val="0"/>
              <w:rPr>
                <w:rFonts w:hint="eastAsia"/>
              </w:rPr>
            </w:pPr>
            <w:r>
              <w:rPr>
                <w:rFonts w:hint="eastAsia"/>
                <w:lang w:val="en-US" w:eastAsia="zh-CN"/>
              </w:rPr>
              <w:t>施耐德</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04C51AE7">
            <w:pPr>
              <w:bidi w:val="0"/>
              <w:rPr>
                <w:rFonts w:hint="eastAsia"/>
              </w:rPr>
            </w:pPr>
            <w:r>
              <w:rPr>
                <w:rFonts w:hint="eastAsia"/>
                <w:lang w:val="en-US" w:eastAsia="zh-CN"/>
              </w:rPr>
              <w:t>ABB</w:t>
            </w:r>
          </w:p>
        </w:tc>
        <w:tc>
          <w:tcPr>
            <w:tcW w:w="93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05F91C48">
            <w:pPr>
              <w:bidi w:val="0"/>
              <w:rPr>
                <w:rFonts w:hint="eastAsia"/>
              </w:rPr>
            </w:pPr>
            <w:r>
              <w:rPr>
                <w:rFonts w:hint="eastAsia"/>
                <w:lang w:val="en-US" w:eastAsia="zh-CN"/>
              </w:rPr>
              <w:t>丹佛斯</w:t>
            </w:r>
          </w:p>
        </w:tc>
      </w:tr>
      <w:tr w14:paraId="479EF0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8"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741B73E">
            <w:pPr>
              <w:bidi w:val="0"/>
              <w:rPr>
                <w:rFonts w:hint="eastAsia"/>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39DDC122">
            <w:pPr>
              <w:bidi w:val="0"/>
              <w:rPr>
                <w:rFonts w:hint="eastAsia"/>
              </w:rPr>
            </w:pPr>
            <w:r>
              <w:rPr>
                <w:rFonts w:hint="eastAsia"/>
                <w:lang w:val="en-US" w:eastAsia="zh-CN"/>
              </w:rPr>
              <w:t>触摸屏</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5E48CFE0">
            <w:pPr>
              <w:bidi w:val="0"/>
              <w:rPr>
                <w:rFonts w:hint="eastAsia"/>
              </w:rPr>
            </w:pPr>
            <w:r>
              <w:rPr>
                <w:rFonts w:hint="eastAsia"/>
                <w:lang w:val="en-US" w:eastAsia="zh-CN"/>
              </w:rPr>
              <w:t>西门子</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0F320471">
            <w:pPr>
              <w:bidi w:val="0"/>
              <w:rPr>
                <w:rFonts w:hint="eastAsia"/>
              </w:rPr>
            </w:pPr>
            <w:r>
              <w:rPr>
                <w:rFonts w:hint="eastAsia"/>
                <w:lang w:val="en-US" w:eastAsia="zh-CN"/>
              </w:rPr>
              <w:t>施耐德</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1D432B8C">
            <w:pPr>
              <w:bidi w:val="0"/>
              <w:rPr>
                <w:rFonts w:hint="eastAsia"/>
              </w:rPr>
            </w:pPr>
            <w:r>
              <w:rPr>
                <w:rFonts w:hint="eastAsia"/>
                <w:lang w:val="en-US" w:eastAsia="zh-CN"/>
              </w:rPr>
              <w:t>ROCKWELL</w:t>
            </w:r>
          </w:p>
        </w:tc>
        <w:tc>
          <w:tcPr>
            <w:tcW w:w="939" w:type="pct"/>
            <w:tcBorders>
              <w:top w:val="single" w:color="auto" w:sz="4" w:space="0"/>
              <w:left w:val="single" w:color="auto" w:sz="4" w:space="0"/>
              <w:bottom w:val="single" w:color="auto" w:sz="4" w:space="0"/>
              <w:right w:val="single" w:color="auto" w:sz="4" w:space="0"/>
            </w:tcBorders>
            <w:shd w:val="clear" w:color="auto" w:fill="auto"/>
            <w:noWrap/>
            <w:vAlign w:val="center"/>
          </w:tcPr>
          <w:p w14:paraId="152E03B0">
            <w:pPr>
              <w:bidi w:val="0"/>
              <w:rPr>
                <w:rFonts w:hint="eastAsia"/>
              </w:rPr>
            </w:pPr>
          </w:p>
        </w:tc>
      </w:tr>
      <w:tr w14:paraId="5D1329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0"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E7E9FA2">
            <w:pPr>
              <w:bidi w:val="0"/>
              <w:rPr>
                <w:rFonts w:hint="eastAsia"/>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53EA660B">
            <w:pPr>
              <w:bidi w:val="0"/>
              <w:rPr>
                <w:rFonts w:hint="eastAsia"/>
              </w:rPr>
            </w:pPr>
            <w:r>
              <w:rPr>
                <w:rFonts w:hint="eastAsia"/>
                <w:lang w:val="en-US" w:eastAsia="zh-CN"/>
              </w:rPr>
              <w:t>PLC</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18270C2A">
            <w:pPr>
              <w:bidi w:val="0"/>
              <w:rPr>
                <w:rFonts w:hint="eastAsia"/>
              </w:rPr>
            </w:pPr>
            <w:r>
              <w:rPr>
                <w:rFonts w:hint="eastAsia"/>
                <w:lang w:val="en-US" w:eastAsia="zh-CN"/>
              </w:rPr>
              <w:t>西门子</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70869A91">
            <w:pPr>
              <w:bidi w:val="0"/>
              <w:rPr>
                <w:rFonts w:hint="eastAsia"/>
              </w:rPr>
            </w:pPr>
            <w:r>
              <w:rPr>
                <w:rFonts w:hint="eastAsia"/>
                <w:lang w:val="en-US" w:eastAsia="zh-CN"/>
              </w:rPr>
              <w:t>施耐德</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11BD3021">
            <w:pPr>
              <w:bidi w:val="0"/>
              <w:rPr>
                <w:rFonts w:hint="eastAsia"/>
              </w:rPr>
            </w:pPr>
            <w:r>
              <w:rPr>
                <w:rFonts w:hint="eastAsia"/>
                <w:lang w:val="en-US" w:eastAsia="zh-CN"/>
              </w:rPr>
              <w:t>ABB</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1C59E3B0">
            <w:pPr>
              <w:bidi w:val="0"/>
              <w:rPr>
                <w:rFonts w:hint="eastAsia"/>
              </w:rPr>
            </w:pPr>
          </w:p>
        </w:tc>
      </w:tr>
      <w:tr w14:paraId="6E445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0"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084D8CD">
            <w:pPr>
              <w:bidi w:val="0"/>
              <w:rPr>
                <w:rFonts w:hint="eastAsia"/>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3B6CDA3D">
            <w:pPr>
              <w:bidi w:val="0"/>
              <w:rPr>
                <w:rFonts w:hint="default"/>
                <w:lang w:val="en-US"/>
              </w:rPr>
            </w:pPr>
            <w:r>
              <w:rPr>
                <w:rFonts w:hint="eastAsia"/>
                <w:lang w:val="en-US" w:eastAsia="zh-CN"/>
              </w:rPr>
              <w:t>称重传感器</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66493A41">
            <w:pPr>
              <w:bidi w:val="0"/>
              <w:rPr>
                <w:rFonts w:hint="eastAsia"/>
              </w:rPr>
            </w:pPr>
            <w:r>
              <w:rPr>
                <w:rFonts w:hint="eastAsia"/>
                <w:lang w:val="en-US" w:eastAsia="zh-CN"/>
              </w:rPr>
              <w:t>梅特勒托利多</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2A14F083">
            <w:pPr>
              <w:bidi w:val="0"/>
              <w:rPr>
                <w:rFonts w:hint="eastAsia"/>
              </w:rPr>
            </w:pPr>
            <w:r>
              <w:rPr>
                <w:rFonts w:hint="eastAsia"/>
                <w:lang w:val="en-US" w:eastAsia="zh-CN"/>
              </w:rPr>
              <w:t>碧彩</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38382932">
            <w:pPr>
              <w:bidi w:val="0"/>
              <w:rPr>
                <w:rFonts w:hint="eastAsia"/>
              </w:rPr>
            </w:pPr>
            <w:r>
              <w:rPr>
                <w:rFonts w:hint="eastAsia"/>
                <w:lang w:val="en-US" w:eastAsia="zh-CN"/>
              </w:rPr>
              <w:t>富林泰克</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0E80291F">
            <w:pPr>
              <w:bidi w:val="0"/>
              <w:rPr>
                <w:rFonts w:hint="eastAsia"/>
              </w:rPr>
            </w:pPr>
          </w:p>
        </w:tc>
      </w:tr>
      <w:tr w14:paraId="19B96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7"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C267507">
            <w:pPr>
              <w:bidi w:val="0"/>
              <w:rPr>
                <w:rFonts w:hint="eastAsia"/>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680EF9D6">
            <w:pPr>
              <w:bidi w:val="0"/>
              <w:rPr>
                <w:rFonts w:hint="default"/>
                <w:lang w:val="en-US" w:eastAsia="zh-CN"/>
              </w:rPr>
            </w:pPr>
            <w:r>
              <w:rPr>
                <w:rFonts w:hint="eastAsia"/>
                <w:lang w:val="en-US" w:eastAsia="zh-CN"/>
              </w:rPr>
              <w:t>水泵</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44B3D5C3">
            <w:pPr>
              <w:bidi w:val="0"/>
              <w:rPr>
                <w:rFonts w:hint="default"/>
                <w:lang w:val="en-US" w:eastAsia="zh-CN"/>
              </w:rPr>
            </w:pPr>
            <w:r>
              <w:rPr>
                <w:rFonts w:hint="eastAsia"/>
                <w:lang w:val="en-US" w:eastAsia="zh-CN"/>
              </w:rPr>
              <w:t>南方</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0E1200B8">
            <w:pPr>
              <w:bidi w:val="0"/>
              <w:rPr>
                <w:rFonts w:hint="default"/>
                <w:lang w:val="en-US" w:eastAsia="zh-CN"/>
              </w:rPr>
            </w:pPr>
            <w:r>
              <w:rPr>
                <w:rFonts w:hint="eastAsia"/>
                <w:lang w:val="en-US" w:eastAsia="zh-CN"/>
              </w:rPr>
              <w:t>凯泉</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15776DED">
            <w:pPr>
              <w:bidi w:val="0"/>
              <w:rPr>
                <w:rFonts w:hint="default"/>
                <w:lang w:val="en-US" w:eastAsia="zh-CN"/>
              </w:rPr>
            </w:pPr>
            <w:r>
              <w:rPr>
                <w:rFonts w:hint="eastAsia"/>
                <w:lang w:val="en-US" w:eastAsia="zh-CN"/>
              </w:rPr>
              <w:t>连成</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2DBC21A9">
            <w:pPr>
              <w:bidi w:val="0"/>
              <w:rPr>
                <w:rFonts w:hint="eastAsia"/>
              </w:rPr>
            </w:pPr>
            <w:r>
              <w:rPr>
                <w:rFonts w:hint="eastAsia"/>
                <w:lang w:val="en-US" w:eastAsia="zh-CN"/>
              </w:rPr>
              <w:t>东方泵业</w:t>
            </w:r>
          </w:p>
        </w:tc>
      </w:tr>
      <w:tr w14:paraId="12204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949B128">
            <w:pPr>
              <w:bidi w:val="0"/>
              <w:rPr>
                <w:rFonts w:hint="eastAsia"/>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6C181DC0">
            <w:pPr>
              <w:bidi w:val="0"/>
              <w:rPr>
                <w:rFonts w:hint="default"/>
                <w:lang w:val="en-US"/>
              </w:rPr>
            </w:pPr>
            <w:r>
              <w:rPr>
                <w:rFonts w:hint="eastAsia"/>
                <w:lang w:val="en-US" w:eastAsia="zh-CN"/>
              </w:rPr>
              <w:t>视频监控</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166091DC">
            <w:pPr>
              <w:bidi w:val="0"/>
              <w:rPr>
                <w:rFonts w:hint="eastAsia"/>
              </w:rPr>
            </w:pPr>
            <w:r>
              <w:rPr>
                <w:rFonts w:hint="eastAsia"/>
                <w:lang w:val="en-US" w:eastAsia="zh-CN"/>
              </w:rPr>
              <w:t>海康</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373B577A">
            <w:pPr>
              <w:bidi w:val="0"/>
              <w:rPr>
                <w:rFonts w:hint="eastAsia"/>
              </w:rPr>
            </w:pPr>
            <w:r>
              <w:rPr>
                <w:rFonts w:hint="eastAsia"/>
                <w:lang w:val="en-US" w:eastAsia="zh-CN"/>
              </w:rPr>
              <w:t>大华</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39749B1D">
            <w:pPr>
              <w:bidi w:val="0"/>
              <w:rPr>
                <w:rFonts w:hint="eastAsia"/>
              </w:rPr>
            </w:pPr>
            <w:r>
              <w:rPr>
                <w:rFonts w:hint="eastAsia"/>
                <w:lang w:val="en-US" w:eastAsia="zh-CN"/>
              </w:rPr>
              <w:t>华为</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4BD3246C">
            <w:pPr>
              <w:bidi w:val="0"/>
              <w:rPr>
                <w:rFonts w:hint="eastAsia"/>
              </w:rPr>
            </w:pPr>
          </w:p>
        </w:tc>
      </w:tr>
      <w:tr w14:paraId="04069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2"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8859E8E">
            <w:pPr>
              <w:bidi w:val="0"/>
              <w:rPr>
                <w:rFonts w:hint="eastAsia"/>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0EA989AB">
            <w:pPr>
              <w:bidi w:val="0"/>
              <w:rPr>
                <w:rFonts w:hint="default"/>
                <w:lang w:val="en-US" w:eastAsia="zh-CN"/>
              </w:rPr>
            </w:pPr>
            <w:r>
              <w:rPr>
                <w:rFonts w:hint="eastAsia"/>
                <w:lang w:val="en-US" w:eastAsia="zh-CN"/>
              </w:rPr>
              <w:t>工控机</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7E2B8CE2">
            <w:pPr>
              <w:bidi w:val="0"/>
              <w:rPr>
                <w:rFonts w:hint="default"/>
                <w:lang w:val="en-US" w:eastAsia="zh-CN"/>
              </w:rPr>
            </w:pPr>
            <w:r>
              <w:rPr>
                <w:rFonts w:hint="eastAsia"/>
                <w:lang w:val="en-US" w:eastAsia="zh-CN"/>
              </w:rPr>
              <w:t>研华</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0B2CBF5C">
            <w:pPr>
              <w:bidi w:val="0"/>
              <w:rPr>
                <w:rFonts w:hint="default"/>
                <w:lang w:val="en-US" w:eastAsia="zh-CN"/>
              </w:rPr>
            </w:pPr>
            <w:r>
              <w:rPr>
                <w:rFonts w:hint="eastAsia"/>
                <w:lang w:val="en-US" w:eastAsia="zh-CN"/>
              </w:rPr>
              <w:t>研祥</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0FD21CF8">
            <w:pPr>
              <w:bidi w:val="0"/>
              <w:rPr>
                <w:rFonts w:hint="default"/>
                <w:lang w:val="en-US" w:eastAsia="zh-CN"/>
              </w:rPr>
            </w:pPr>
            <w:r>
              <w:rPr>
                <w:rFonts w:hint="eastAsia"/>
                <w:lang w:val="en-US" w:eastAsia="zh-CN"/>
              </w:rPr>
              <w:t>华北工控</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18BBE72A">
            <w:pPr>
              <w:bidi w:val="0"/>
              <w:rPr>
                <w:rFonts w:hint="eastAsia"/>
              </w:rPr>
            </w:pPr>
          </w:p>
        </w:tc>
      </w:tr>
      <w:tr w14:paraId="6A107C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8"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035809C">
            <w:pPr>
              <w:bidi w:val="0"/>
              <w:rPr>
                <w:rFonts w:hint="default" w:eastAsia="宋体"/>
                <w:lang w:val="en-US" w:eastAsia="zh-CN"/>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3C2CA94A">
            <w:pPr>
              <w:bidi w:val="0"/>
              <w:rPr>
                <w:rFonts w:hint="default" w:ascii="Times New Roman" w:hAnsi="Times New Roman" w:eastAsia="宋体" w:cs="Times New Roman"/>
                <w:kern w:val="2"/>
                <w:sz w:val="21"/>
                <w:szCs w:val="24"/>
                <w:lang w:val="en-US" w:eastAsia="zh-CN" w:bidi="ar-SA"/>
              </w:rPr>
            </w:pPr>
            <w:r>
              <w:rPr>
                <w:rFonts w:hint="eastAsia"/>
                <w:lang w:val="en-US" w:eastAsia="zh-CN"/>
              </w:rPr>
              <w:t>不锈钢材料</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21DFE255">
            <w:pPr>
              <w:bidi w:val="0"/>
              <w:rPr>
                <w:rFonts w:hint="default" w:ascii="Times New Roman" w:hAnsi="Times New Roman" w:eastAsia="宋体" w:cs="Times New Roman"/>
                <w:kern w:val="2"/>
                <w:sz w:val="21"/>
                <w:szCs w:val="24"/>
                <w:lang w:val="en-US" w:eastAsia="zh-CN" w:bidi="ar-SA"/>
              </w:rPr>
            </w:pPr>
            <w:r>
              <w:rPr>
                <w:rFonts w:hint="eastAsia"/>
                <w:lang w:val="en-US" w:eastAsia="zh-CN"/>
              </w:rPr>
              <w:t>太钢</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63C25B9E">
            <w:pPr>
              <w:bidi w:val="0"/>
              <w:rPr>
                <w:rFonts w:hint="default" w:ascii="Times New Roman" w:hAnsi="Times New Roman" w:eastAsia="宋体" w:cs="Times New Roman"/>
                <w:kern w:val="2"/>
                <w:sz w:val="21"/>
                <w:szCs w:val="24"/>
                <w:lang w:val="en-US" w:eastAsia="zh-CN" w:bidi="ar-SA"/>
              </w:rPr>
            </w:pPr>
            <w:r>
              <w:rPr>
                <w:rFonts w:hint="eastAsia"/>
                <w:lang w:val="en-US" w:eastAsia="zh-CN"/>
              </w:rPr>
              <w:t>宝武</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2F3DFE5C">
            <w:pPr>
              <w:bidi w:val="0"/>
              <w:rPr>
                <w:rFonts w:hint="eastAsia" w:ascii="Times New Roman" w:hAnsi="Times New Roman" w:eastAsia="宋体" w:cs="Times New Roman"/>
                <w:kern w:val="2"/>
                <w:sz w:val="21"/>
                <w:szCs w:val="24"/>
                <w:lang w:val="en-US" w:eastAsia="zh-CN" w:bidi="ar-SA"/>
              </w:rPr>
            </w:pPr>
            <w:r>
              <w:rPr>
                <w:rFonts w:hint="eastAsia"/>
                <w:lang w:val="en-US" w:eastAsia="zh-CN"/>
              </w:rPr>
              <w:t>青山</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2FEDB60F">
            <w:pPr>
              <w:bidi w:val="0"/>
              <w:rPr>
                <w:rFonts w:hint="eastAsia"/>
              </w:rPr>
            </w:pPr>
          </w:p>
        </w:tc>
      </w:tr>
      <w:tr w14:paraId="605240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8" w:hRule="atLeast"/>
          <w:jc w:val="center"/>
        </w:trPr>
        <w:tc>
          <w:tcPr>
            <w:tcW w:w="519"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3692DD8B">
            <w:pPr>
              <w:bidi w:val="0"/>
              <w:rPr>
                <w:rFonts w:hint="default" w:eastAsia="宋体"/>
                <w:lang w:val="en-US" w:eastAsia="zh-CN"/>
              </w:rPr>
            </w:pPr>
          </w:p>
        </w:tc>
        <w:tc>
          <w:tcPr>
            <w:tcW w:w="942" w:type="pct"/>
            <w:tcBorders>
              <w:top w:val="single" w:color="auto" w:sz="4" w:space="0"/>
              <w:left w:val="single" w:color="auto" w:sz="4" w:space="0"/>
              <w:bottom w:val="single" w:color="auto" w:sz="4" w:space="0"/>
              <w:right w:val="single" w:color="auto" w:sz="4" w:space="0"/>
            </w:tcBorders>
            <w:shd w:val="clear" w:color="auto" w:fill="auto"/>
            <w:vAlign w:val="center"/>
          </w:tcPr>
          <w:p w14:paraId="5600D396">
            <w:pPr>
              <w:bidi w:val="0"/>
              <w:rPr>
                <w:rFonts w:hint="default"/>
                <w:lang w:val="en-US" w:eastAsia="zh-CN"/>
              </w:rPr>
            </w:pPr>
            <w:r>
              <w:rPr>
                <w:rFonts w:hint="eastAsia"/>
                <w:lang w:val="en-US" w:eastAsia="zh-CN"/>
              </w:rPr>
              <w:t>输送皮带</w:t>
            </w:r>
          </w:p>
        </w:tc>
        <w:tc>
          <w:tcPr>
            <w:tcW w:w="901" w:type="pct"/>
            <w:tcBorders>
              <w:top w:val="single" w:color="auto" w:sz="4" w:space="0"/>
              <w:left w:val="single" w:color="auto" w:sz="4" w:space="0"/>
              <w:bottom w:val="single" w:color="auto" w:sz="4" w:space="0"/>
              <w:right w:val="single" w:color="auto" w:sz="4" w:space="0"/>
            </w:tcBorders>
            <w:shd w:val="clear" w:color="auto" w:fill="auto"/>
            <w:vAlign w:val="center"/>
          </w:tcPr>
          <w:p w14:paraId="7EAC2852">
            <w:pPr>
              <w:bidi w:val="0"/>
              <w:rPr>
                <w:rFonts w:hint="eastAsia"/>
                <w:lang w:val="en-US" w:eastAsia="zh-CN"/>
              </w:rPr>
            </w:pPr>
            <w:r>
              <w:rPr>
                <w:rFonts w:hint="eastAsia"/>
                <w:lang w:val="en-US" w:eastAsia="zh-CN"/>
              </w:rPr>
              <w:t>上海永利</w:t>
            </w:r>
          </w:p>
        </w:tc>
        <w:tc>
          <w:tcPr>
            <w:tcW w:w="868" w:type="pct"/>
            <w:tcBorders>
              <w:top w:val="single" w:color="auto" w:sz="4" w:space="0"/>
              <w:left w:val="single" w:color="auto" w:sz="4" w:space="0"/>
              <w:bottom w:val="single" w:color="auto" w:sz="4" w:space="0"/>
              <w:right w:val="single" w:color="auto" w:sz="4" w:space="0"/>
            </w:tcBorders>
            <w:shd w:val="clear" w:color="auto" w:fill="auto"/>
            <w:vAlign w:val="center"/>
          </w:tcPr>
          <w:p w14:paraId="31672693">
            <w:pPr>
              <w:bidi w:val="0"/>
              <w:rPr>
                <w:rFonts w:hint="eastAsia"/>
                <w:lang w:val="en-US" w:eastAsia="zh-CN"/>
              </w:rPr>
            </w:pPr>
            <w:r>
              <w:rPr>
                <w:rFonts w:hint="eastAsia"/>
                <w:lang w:val="en-US" w:eastAsia="zh-CN"/>
              </w:rPr>
              <w:t>上海艾艾</w:t>
            </w:r>
          </w:p>
        </w:tc>
        <w:tc>
          <w:tcPr>
            <w:tcW w:w="828" w:type="pct"/>
            <w:tcBorders>
              <w:top w:val="single" w:color="auto" w:sz="4" w:space="0"/>
              <w:left w:val="single" w:color="auto" w:sz="4" w:space="0"/>
              <w:bottom w:val="single" w:color="auto" w:sz="4" w:space="0"/>
              <w:right w:val="single" w:color="auto" w:sz="4" w:space="0"/>
            </w:tcBorders>
            <w:shd w:val="clear" w:color="auto" w:fill="auto"/>
            <w:vAlign w:val="center"/>
          </w:tcPr>
          <w:p w14:paraId="09532218">
            <w:pPr>
              <w:bidi w:val="0"/>
              <w:rPr>
                <w:rFonts w:hint="eastAsia"/>
                <w:lang w:val="en-US" w:eastAsia="zh-CN"/>
              </w:rPr>
            </w:pPr>
            <w:r>
              <w:rPr>
                <w:rFonts w:hint="eastAsia"/>
                <w:lang w:val="en-US" w:eastAsia="zh-CN"/>
              </w:rPr>
              <w:t>江阴科强</w:t>
            </w:r>
          </w:p>
        </w:tc>
        <w:tc>
          <w:tcPr>
            <w:tcW w:w="939" w:type="pct"/>
            <w:tcBorders>
              <w:top w:val="single" w:color="auto" w:sz="4" w:space="0"/>
              <w:left w:val="single" w:color="auto" w:sz="4" w:space="0"/>
              <w:bottom w:val="single" w:color="auto" w:sz="4" w:space="0"/>
              <w:right w:val="single" w:color="auto" w:sz="4" w:space="0"/>
            </w:tcBorders>
            <w:shd w:val="clear" w:color="auto" w:fill="auto"/>
            <w:vAlign w:val="center"/>
          </w:tcPr>
          <w:p w14:paraId="1136D0B9">
            <w:pPr>
              <w:bidi w:val="0"/>
              <w:rPr>
                <w:rFonts w:hint="default" w:eastAsia="宋体"/>
                <w:lang w:val="en-US" w:eastAsia="zh-CN"/>
              </w:rPr>
            </w:pPr>
          </w:p>
        </w:tc>
      </w:tr>
    </w:tbl>
    <w:p w14:paraId="53261BB1">
      <w:pPr>
        <w:ind w:firstLine="420"/>
        <w:rPr>
          <w:rFonts w:hint="default"/>
          <w:lang w:val="en-US" w:eastAsia="zh-CN"/>
        </w:rPr>
      </w:pPr>
    </w:p>
    <w:p w14:paraId="2E0E17F8">
      <w:pPr>
        <w:pStyle w:val="17"/>
        <w:rPr>
          <w:rFonts w:hint="eastAsia"/>
          <w:lang w:val="en-US" w:eastAsia="zh-CN"/>
        </w:rPr>
      </w:pPr>
    </w:p>
    <w:p w14:paraId="4A875A4A">
      <w:pPr>
        <w:pStyle w:val="6"/>
        <w:bidi w:val="0"/>
        <w:rPr>
          <w:rFonts w:hint="eastAsia" w:eastAsia="宋体"/>
          <w:lang w:eastAsia="zh-CN"/>
        </w:rPr>
      </w:pPr>
      <w:r>
        <w:rPr>
          <w:rFonts w:hint="eastAsia"/>
          <w:lang w:val="en-US" w:eastAsia="zh-CN"/>
        </w:rPr>
        <w:t>8、</w:t>
      </w:r>
      <w:r>
        <w:rPr>
          <w:rFonts w:hint="eastAsia"/>
        </w:rPr>
        <w:t>技术资料</w:t>
      </w:r>
    </w:p>
    <w:p w14:paraId="4D9F0B75">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bookmarkStart w:id="962" w:name="_Toc8906"/>
      <w:bookmarkStart w:id="963" w:name="_Toc25708"/>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设备随机资料</w:t>
      </w:r>
      <w:bookmarkEnd w:id="962"/>
      <w:bookmarkEnd w:id="963"/>
    </w:p>
    <w:p w14:paraId="17E51F3E">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投标人</w:t>
      </w:r>
      <w:r>
        <w:rPr>
          <w:rFonts w:hint="eastAsia" w:ascii="Times New Roman" w:hAnsi="Times New Roman" w:eastAsia="宋体" w:cs="Times New Roman"/>
          <w:color w:val="auto"/>
        </w:rPr>
        <w:t>在工程竣工前30天向</w:t>
      </w:r>
      <w:r>
        <w:rPr>
          <w:rFonts w:hint="eastAsia" w:ascii="Times New Roman" w:hAnsi="Times New Roman" w:eastAsia="宋体" w:cs="Times New Roman"/>
          <w:color w:val="auto"/>
          <w:lang w:eastAsia="zh-CN"/>
        </w:rPr>
        <w:t>招标人</w:t>
      </w:r>
      <w:r>
        <w:rPr>
          <w:rFonts w:hint="eastAsia" w:ascii="Times New Roman" w:hAnsi="Times New Roman" w:eastAsia="宋体" w:cs="Times New Roman"/>
          <w:color w:val="auto"/>
        </w:rPr>
        <w:t>提供</w:t>
      </w:r>
      <w:r>
        <w:rPr>
          <w:rFonts w:hint="eastAsia" w:cs="Times New Roman"/>
          <w:color w:val="auto"/>
          <w:lang w:val="en-US" w:eastAsia="zh-CN"/>
        </w:rPr>
        <w:t>2</w:t>
      </w:r>
      <w:r>
        <w:rPr>
          <w:rFonts w:hint="eastAsia" w:ascii="Times New Roman" w:hAnsi="Times New Roman" w:eastAsia="宋体" w:cs="Times New Roman"/>
          <w:color w:val="auto"/>
        </w:rPr>
        <w:t>套完整的设备随机资料（</w:t>
      </w:r>
      <w:r>
        <w:rPr>
          <w:rFonts w:hint="eastAsia" w:cs="Times New Roman"/>
          <w:color w:val="auto"/>
          <w:lang w:val="en-US" w:eastAsia="zh-CN"/>
        </w:rPr>
        <w:t>纸质</w:t>
      </w:r>
      <w:r>
        <w:rPr>
          <w:rFonts w:hint="eastAsia" w:ascii="Times New Roman" w:hAnsi="Times New Roman" w:eastAsia="宋体" w:cs="Times New Roman"/>
          <w:color w:val="auto"/>
        </w:rPr>
        <w:t>版</w:t>
      </w:r>
      <w:r>
        <w:rPr>
          <w:rFonts w:hint="eastAsia" w:cs="Times New Roman"/>
          <w:color w:val="auto"/>
          <w:lang w:val="en-US" w:eastAsia="zh-CN"/>
        </w:rPr>
        <w:t>1套</w:t>
      </w:r>
      <w:r>
        <w:rPr>
          <w:rFonts w:hint="eastAsia" w:ascii="Times New Roman" w:hAnsi="Times New Roman" w:eastAsia="宋体" w:cs="Times New Roman"/>
          <w:color w:val="auto"/>
        </w:rPr>
        <w:t>+电子版</w:t>
      </w:r>
      <w:r>
        <w:rPr>
          <w:rFonts w:hint="eastAsia" w:cs="Times New Roman"/>
          <w:color w:val="auto"/>
          <w:lang w:val="en-US" w:eastAsia="zh-CN"/>
        </w:rPr>
        <w:t>1套</w:t>
      </w:r>
      <w:r>
        <w:rPr>
          <w:rFonts w:hint="eastAsia" w:ascii="Times New Roman" w:hAnsi="Times New Roman" w:eastAsia="宋体" w:cs="Times New Roman"/>
          <w:color w:val="auto"/>
        </w:rPr>
        <w:t>）。要求随机资料包括：</w:t>
      </w:r>
      <w:r>
        <w:rPr>
          <w:rFonts w:hint="eastAsia" w:cs="Times New Roman"/>
          <w:color w:val="auto"/>
          <w:lang w:val="en-US" w:eastAsia="zh-CN"/>
        </w:rPr>
        <w:t>维护</w:t>
      </w:r>
      <w:r>
        <w:rPr>
          <w:rFonts w:hint="eastAsia" w:ascii="Times New Roman" w:hAnsi="Times New Roman" w:eastAsia="宋体" w:cs="Times New Roman"/>
          <w:color w:val="auto"/>
        </w:rPr>
        <w:t>手册</w:t>
      </w:r>
      <w:r>
        <w:rPr>
          <w:rFonts w:hint="eastAsia" w:cs="Times New Roman"/>
          <w:color w:val="auto"/>
          <w:lang w:eastAsia="zh-CN"/>
        </w:rPr>
        <w:t>（</w:t>
      </w:r>
      <w:r>
        <w:rPr>
          <w:rFonts w:hint="eastAsia" w:cs="Times New Roman"/>
          <w:color w:val="auto"/>
          <w:lang w:val="en-US" w:eastAsia="zh-CN"/>
        </w:rPr>
        <w:t>说明书等</w:t>
      </w:r>
      <w:r>
        <w:rPr>
          <w:rFonts w:hint="eastAsia" w:cs="Times New Roman"/>
          <w:color w:val="auto"/>
          <w:lang w:eastAsia="zh-CN"/>
        </w:rPr>
        <w:t>）</w:t>
      </w:r>
      <w:r>
        <w:rPr>
          <w:rFonts w:hint="eastAsia" w:ascii="Times New Roman" w:hAnsi="Times New Roman" w:eastAsia="宋体" w:cs="Times New Roman"/>
          <w:color w:val="auto"/>
        </w:rPr>
        <w:t>、设备合格证或出厂检验报告。</w:t>
      </w:r>
    </w:p>
    <w:p w14:paraId="5F415FCF">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eastAsia="zh-CN"/>
        </w:rPr>
      </w:pPr>
      <w:bookmarkStart w:id="964" w:name="_Toc11455"/>
      <w:bookmarkStart w:id="965" w:name="_Toc9798"/>
      <w:r>
        <w:rPr>
          <w:rFonts w:hint="eastAsia" w:ascii="Times New Roman" w:hAnsi="Times New Roman" w:eastAsia="宋体" w:cs="Times New Roman"/>
          <w:color w:val="auto"/>
          <w:lang w:val="en-US" w:eastAsia="zh-CN"/>
        </w:rPr>
        <w:t>2、</w:t>
      </w:r>
      <w:r>
        <w:rPr>
          <w:rFonts w:hint="eastAsia" w:cs="Times New Roman"/>
          <w:color w:val="auto"/>
          <w:lang w:val="en-US" w:eastAsia="zh-CN"/>
        </w:rPr>
        <w:t>技术</w:t>
      </w:r>
      <w:r>
        <w:rPr>
          <w:rFonts w:hint="eastAsia" w:ascii="Times New Roman" w:hAnsi="Times New Roman" w:eastAsia="宋体" w:cs="Times New Roman"/>
          <w:color w:val="auto"/>
        </w:rPr>
        <w:t>资</w:t>
      </w:r>
      <w:r>
        <w:rPr>
          <w:rFonts w:hint="eastAsia" w:ascii="Times New Roman" w:hAnsi="Times New Roman" w:eastAsia="宋体" w:cs="Times New Roman"/>
          <w:color w:val="auto"/>
          <w:lang w:eastAsia="zh-CN"/>
        </w:rPr>
        <w:t>料</w:t>
      </w:r>
      <w:bookmarkEnd w:id="964"/>
      <w:bookmarkEnd w:id="965"/>
    </w:p>
    <w:p w14:paraId="75FA64A6">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eastAsia="zh-CN"/>
        </w:rPr>
        <w:t>投标人在工程竣工前</w:t>
      </w:r>
      <w:r>
        <w:rPr>
          <w:rFonts w:hint="eastAsia" w:ascii="Times New Roman" w:hAnsi="Times New Roman" w:eastAsia="宋体" w:cs="Times New Roman"/>
          <w:color w:val="auto"/>
          <w:lang w:val="en-US" w:eastAsia="zh-CN"/>
        </w:rPr>
        <w:t>一周向招标人提供2套完整的电子版、4套纸质版。包括</w:t>
      </w:r>
      <w:r>
        <w:rPr>
          <w:rFonts w:hint="eastAsia" w:cs="Times New Roman"/>
          <w:color w:val="auto"/>
          <w:lang w:val="en-US" w:eastAsia="zh-CN"/>
        </w:rPr>
        <w:t>但不限于</w:t>
      </w:r>
      <w:r>
        <w:rPr>
          <w:rFonts w:hint="eastAsia" w:ascii="Times New Roman" w:hAnsi="Times New Roman" w:eastAsia="宋体" w:cs="Times New Roman"/>
          <w:color w:val="auto"/>
          <w:lang w:val="en-US" w:eastAsia="zh-CN"/>
        </w:rPr>
        <w:t>：设备管路</w:t>
      </w:r>
      <w:r>
        <w:rPr>
          <w:rFonts w:hint="eastAsia" w:cs="Times New Roman"/>
          <w:color w:val="auto"/>
          <w:lang w:val="en-US" w:eastAsia="zh-CN"/>
        </w:rPr>
        <w:t>图</w:t>
      </w:r>
      <w:r>
        <w:rPr>
          <w:rFonts w:hint="eastAsia" w:ascii="Times New Roman" w:hAnsi="Times New Roman" w:eastAsia="宋体" w:cs="Times New Roman"/>
          <w:color w:val="auto"/>
          <w:lang w:val="en-US" w:eastAsia="zh-CN"/>
        </w:rPr>
        <w:t>、动力配电、控制系统、总平面布置、单体设备图、设备清单、设备供应商清单、控制逻辑关系、网络拓扑图、接线表、I/O点表</w:t>
      </w:r>
      <w:r>
        <w:rPr>
          <w:rFonts w:hint="eastAsia" w:cs="Times New Roman"/>
          <w:color w:val="auto"/>
          <w:lang w:val="en-US" w:eastAsia="zh-CN"/>
        </w:rPr>
        <w:t>、</w:t>
      </w:r>
      <w:r>
        <w:rPr>
          <w:rFonts w:hint="eastAsia" w:ascii="Times New Roman" w:hAnsi="Times New Roman" w:eastAsia="宋体" w:cs="Times New Roman"/>
          <w:color w:val="auto"/>
          <w:lang w:val="en-US" w:eastAsia="zh-CN"/>
        </w:rPr>
        <w:t>软件程序等。</w:t>
      </w:r>
    </w:p>
    <w:p w14:paraId="0F81EFB1">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3、验收资料</w:t>
      </w:r>
    </w:p>
    <w:p w14:paraId="531C5CC5">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投标人在工程竣工前一周向招标人提供1套完整性能测试原始记录资料和性能测试报告。要求性能验收资料包括：设备台账、设备试运行记录、性能试验测试报告和其他检测报告等。</w:t>
      </w:r>
    </w:p>
    <w:p w14:paraId="1138837B">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4、</w:t>
      </w:r>
      <w:r>
        <w:rPr>
          <w:rFonts w:hint="eastAsia" w:cs="Times New Roman"/>
          <w:color w:val="auto"/>
          <w:lang w:val="en-US" w:eastAsia="zh-CN"/>
        </w:rPr>
        <w:t>安全操作手册</w:t>
      </w:r>
    </w:p>
    <w:p w14:paraId="7FBD6595">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包括设备及配套设施的性能参数、安装、调试运行、检修</w:t>
      </w:r>
      <w:r>
        <w:rPr>
          <w:rFonts w:hint="eastAsia" w:cs="Times New Roman"/>
          <w:color w:val="auto"/>
          <w:lang w:val="en-US" w:eastAsia="zh-CN"/>
        </w:rPr>
        <w:t>、</w:t>
      </w:r>
      <w:r>
        <w:rPr>
          <w:rFonts w:hint="eastAsia" w:ascii="Times New Roman" w:hAnsi="Times New Roman" w:eastAsia="宋体" w:cs="Times New Roman"/>
          <w:color w:val="auto"/>
          <w:lang w:val="en-US" w:eastAsia="zh-CN"/>
        </w:rPr>
        <w:t>事故分析及处理办法</w:t>
      </w:r>
      <w:r>
        <w:rPr>
          <w:rFonts w:hint="eastAsia" w:cs="Times New Roman"/>
          <w:color w:val="auto"/>
          <w:lang w:val="en-US" w:eastAsia="zh-CN"/>
        </w:rPr>
        <w:t>的</w:t>
      </w:r>
      <w:r>
        <w:rPr>
          <w:rFonts w:hint="eastAsia" w:ascii="Times New Roman" w:hAnsi="Times New Roman" w:eastAsia="宋体" w:cs="Times New Roman"/>
          <w:color w:val="auto"/>
          <w:lang w:val="en-US" w:eastAsia="zh-CN"/>
        </w:rPr>
        <w:t>操作</w:t>
      </w:r>
      <w:r>
        <w:rPr>
          <w:rFonts w:hint="eastAsia" w:cs="Times New Roman"/>
          <w:color w:val="auto"/>
          <w:lang w:val="en-US" w:eastAsia="zh-CN"/>
        </w:rPr>
        <w:t>维护手册6套</w:t>
      </w:r>
      <w:r>
        <w:rPr>
          <w:rFonts w:hint="eastAsia" w:ascii="Times New Roman" w:hAnsi="Times New Roman" w:eastAsia="宋体" w:cs="Times New Roman"/>
          <w:color w:val="auto"/>
        </w:rPr>
        <w:t>（</w:t>
      </w:r>
      <w:r>
        <w:rPr>
          <w:rFonts w:hint="eastAsia" w:cs="Times New Roman"/>
          <w:color w:val="auto"/>
          <w:lang w:val="en-US" w:eastAsia="zh-CN"/>
        </w:rPr>
        <w:t>纸质</w:t>
      </w:r>
      <w:r>
        <w:rPr>
          <w:rFonts w:hint="eastAsia" w:ascii="Times New Roman" w:hAnsi="Times New Roman" w:eastAsia="宋体" w:cs="Times New Roman"/>
          <w:color w:val="auto"/>
        </w:rPr>
        <w:t>版</w:t>
      </w:r>
      <w:r>
        <w:rPr>
          <w:rFonts w:hint="eastAsia" w:cs="Times New Roman"/>
          <w:color w:val="auto"/>
          <w:lang w:val="en-US" w:eastAsia="zh-CN"/>
        </w:rPr>
        <w:t>4套</w:t>
      </w:r>
      <w:r>
        <w:rPr>
          <w:rFonts w:hint="eastAsia" w:ascii="Times New Roman" w:hAnsi="Times New Roman" w:eastAsia="宋体" w:cs="Times New Roman"/>
          <w:color w:val="auto"/>
        </w:rPr>
        <w:t>+电子版</w:t>
      </w:r>
      <w:r>
        <w:rPr>
          <w:rFonts w:hint="eastAsia" w:cs="Times New Roman"/>
          <w:color w:val="auto"/>
          <w:lang w:val="en-US" w:eastAsia="zh-CN"/>
        </w:rPr>
        <w:t>2套</w:t>
      </w:r>
      <w:r>
        <w:rPr>
          <w:rFonts w:hint="eastAsia" w:ascii="Times New Roman" w:hAnsi="Times New Roman" w:eastAsia="宋体" w:cs="Times New Roman"/>
          <w:color w:val="auto"/>
        </w:rPr>
        <w:t>）</w:t>
      </w:r>
      <w:r>
        <w:rPr>
          <w:rFonts w:hint="eastAsia" w:ascii="Times New Roman" w:hAnsi="Times New Roman" w:eastAsia="宋体" w:cs="Times New Roman"/>
          <w:color w:val="auto"/>
          <w:lang w:val="en-US" w:eastAsia="zh-CN"/>
        </w:rPr>
        <w:t>。</w:t>
      </w:r>
    </w:p>
    <w:p w14:paraId="1CCC7AC2">
      <w:pPr>
        <w:pStyle w:val="17"/>
        <w:rPr>
          <w:rFonts w:hint="default"/>
          <w:lang w:val="en-US" w:eastAsia="zh-CN"/>
        </w:rPr>
      </w:pPr>
      <w:r>
        <w:rPr>
          <w:rFonts w:hint="eastAsia" w:cs="Times New Roman"/>
          <w:color w:val="auto"/>
          <w:lang w:val="en-US" w:eastAsia="zh-CN"/>
        </w:rPr>
        <w:t xml:space="preserve">    以上电子版资料用U盘存储移交，一套资料存储一个U盘。</w:t>
      </w:r>
    </w:p>
    <w:p w14:paraId="189CB584">
      <w:pPr>
        <w:pStyle w:val="4"/>
        <w:rPr>
          <w:szCs w:val="28"/>
        </w:rPr>
      </w:pPr>
      <w:bookmarkStart w:id="966" w:name="_Toc12262"/>
      <w:bookmarkStart w:id="967" w:name="_Toc19986"/>
      <w:bookmarkStart w:id="968" w:name="_Toc27718"/>
      <w:bookmarkStart w:id="969" w:name="_Toc10521"/>
      <w:bookmarkStart w:id="970" w:name="_Toc7210"/>
      <w:bookmarkStart w:id="971" w:name="_Toc2544"/>
      <w:r>
        <w:rPr>
          <w:rFonts w:hint="eastAsia"/>
          <w:szCs w:val="28"/>
        </w:rPr>
        <w:t>四、检验考核要求</w:t>
      </w:r>
      <w:bookmarkEnd w:id="966"/>
      <w:bookmarkEnd w:id="967"/>
      <w:bookmarkEnd w:id="968"/>
      <w:bookmarkEnd w:id="969"/>
      <w:bookmarkEnd w:id="970"/>
      <w:bookmarkEnd w:id="971"/>
    </w:p>
    <w:p w14:paraId="7644DC79">
      <w:pPr>
        <w:pageBreakBefore w:val="0"/>
        <w:kinsoku/>
        <w:overflowPunct/>
        <w:topLinePunct w:val="0"/>
        <w:bidi w:val="0"/>
        <w:spacing w:line="360" w:lineRule="auto"/>
        <w:ind w:right="482" w:firstLine="420" w:firstLineChars="200"/>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系统调试单机调试合格且记录齐全、联动调试合格且记录齐全、投料调试合格且记录齐全、操作人员培训完成且考核合格</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设备</w:t>
      </w:r>
      <w:r>
        <w:rPr>
          <w:rFonts w:hint="eastAsia" w:ascii="Times New Roman" w:hAnsi="Times New Roman" w:eastAsia="宋体" w:cs="Times New Roman"/>
          <w:color w:val="auto"/>
        </w:rPr>
        <w:t>连续</w:t>
      </w:r>
      <w:r>
        <w:rPr>
          <w:rFonts w:hint="eastAsia" w:cs="Times New Roman"/>
          <w:color w:val="auto"/>
          <w:lang w:val="en-US" w:eastAsia="zh-CN"/>
        </w:rPr>
        <w:t>3天</w:t>
      </w:r>
      <w:r>
        <w:rPr>
          <w:rFonts w:hint="eastAsia" w:ascii="Times New Roman" w:hAnsi="Times New Roman" w:eastAsia="宋体" w:cs="Times New Roman"/>
          <w:color w:val="auto"/>
          <w:lang w:val="en-US" w:eastAsia="zh-CN"/>
        </w:rPr>
        <w:t>稳定试</w:t>
      </w:r>
      <w:r>
        <w:rPr>
          <w:rFonts w:hint="eastAsia" w:ascii="Times New Roman" w:hAnsi="Times New Roman" w:eastAsia="宋体" w:cs="Times New Roman"/>
          <w:color w:val="auto"/>
        </w:rPr>
        <w:t>运行无故障</w:t>
      </w:r>
      <w:r>
        <w:rPr>
          <w:rFonts w:hint="eastAsia" w:ascii="Times New Roman" w:hAnsi="Times New Roman" w:eastAsia="宋体" w:cs="Times New Roman"/>
          <w:color w:val="auto"/>
          <w:lang w:eastAsia="zh-CN"/>
        </w:rPr>
        <w:t>投标人</w:t>
      </w:r>
      <w:r>
        <w:rPr>
          <w:rFonts w:hint="eastAsia" w:ascii="Times New Roman" w:hAnsi="Times New Roman" w:eastAsia="宋体" w:cs="Times New Roman"/>
          <w:color w:val="auto"/>
        </w:rPr>
        <w:t>申请</w:t>
      </w:r>
      <w:r>
        <w:rPr>
          <w:rFonts w:hint="eastAsia" w:cs="Times New Roman"/>
          <w:color w:val="auto"/>
          <w:lang w:val="en-US" w:eastAsia="zh-CN"/>
        </w:rPr>
        <w:t>检验</w:t>
      </w:r>
      <w:r>
        <w:rPr>
          <w:rFonts w:hint="eastAsia" w:ascii="Times New Roman" w:hAnsi="Times New Roman" w:eastAsia="宋体" w:cs="Times New Roman"/>
          <w:color w:val="auto"/>
          <w:lang w:val="en-US" w:eastAsia="zh-CN"/>
        </w:rPr>
        <w:t>考核，考核过程设备故障停机次数</w:t>
      </w:r>
      <w:r>
        <w:rPr>
          <w:rFonts w:hint="default" w:ascii="Times New Roman" w:hAnsi="Times New Roman" w:eastAsia="宋体" w:cs="Times New Roman"/>
          <w:color w:val="auto"/>
          <w:lang w:val="en-US" w:eastAsia="zh-CN"/>
        </w:rPr>
        <w:t>≤</w:t>
      </w:r>
      <w:r>
        <w:rPr>
          <w:rFonts w:hint="eastAsia" w:ascii="Times New Roman" w:hAnsi="Times New Roman" w:eastAsia="宋体" w:cs="Times New Roman"/>
          <w:color w:val="auto"/>
          <w:lang w:val="en-US" w:eastAsia="zh-CN"/>
        </w:rPr>
        <w:t>1次且停机时长</w:t>
      </w:r>
      <w:r>
        <w:rPr>
          <w:rFonts w:hint="default" w:ascii="Times New Roman" w:hAnsi="Times New Roman" w:eastAsia="宋体" w:cs="Times New Roman"/>
          <w:color w:val="auto"/>
          <w:lang w:val="en-US" w:eastAsia="zh-CN"/>
        </w:rPr>
        <w:t>≤</w:t>
      </w:r>
      <w:r>
        <w:rPr>
          <w:rFonts w:hint="eastAsia" w:ascii="Times New Roman" w:hAnsi="Times New Roman" w:eastAsia="宋体" w:cs="Times New Roman"/>
          <w:color w:val="auto"/>
          <w:lang w:val="en-US" w:eastAsia="zh-CN"/>
        </w:rPr>
        <w:t>0.5小时。</w:t>
      </w:r>
      <w:r>
        <w:rPr>
          <w:rFonts w:hint="eastAsia" w:cs="Times New Roman"/>
          <w:color w:val="auto"/>
          <w:lang w:val="en-US" w:eastAsia="zh-CN"/>
        </w:rPr>
        <w:t>考核时间连续运行2小时。</w:t>
      </w:r>
      <w:r>
        <w:rPr>
          <w:rFonts w:hint="eastAsia" w:ascii="Times New Roman" w:hAnsi="Times New Roman" w:eastAsia="宋体" w:cs="Times New Roman"/>
          <w:color w:val="auto"/>
          <w:lang w:val="en-US" w:eastAsia="zh-CN"/>
        </w:rPr>
        <w:t>考核测试</w:t>
      </w:r>
      <w:r>
        <w:rPr>
          <w:rFonts w:hint="eastAsia" w:cs="Times New Roman"/>
          <w:color w:val="auto"/>
          <w:lang w:val="en-US" w:eastAsia="zh-CN"/>
        </w:rPr>
        <w:t>考核</w:t>
      </w:r>
      <w:r>
        <w:rPr>
          <w:rFonts w:hint="eastAsia" w:ascii="Times New Roman" w:hAnsi="Times New Roman" w:eastAsia="宋体" w:cs="Times New Roman"/>
          <w:color w:val="auto"/>
          <w:lang w:val="en-US" w:eastAsia="zh-CN"/>
        </w:rPr>
        <w:t>不超过3次测试。</w:t>
      </w:r>
      <w:r>
        <w:rPr>
          <w:rFonts w:hint="eastAsia" w:cs="Times New Roman"/>
          <w:color w:val="auto"/>
          <w:lang w:val="en-US" w:eastAsia="zh-CN"/>
        </w:rPr>
        <w:t>其中青菜头测试在</w:t>
      </w:r>
      <w:r>
        <w:rPr>
          <w:rFonts w:hint="eastAsia" w:ascii="Times New Roman" w:hAnsi="Times New Roman" w:eastAsia="宋体" w:cs="Times New Roman"/>
          <w:color w:val="auto"/>
          <w:lang w:val="en-US" w:eastAsia="zh-CN"/>
        </w:rPr>
        <w:t>青菜头收购季采用青菜头测试。</w:t>
      </w:r>
    </w:p>
    <w:p w14:paraId="3A55343C">
      <w:pPr>
        <w:pStyle w:val="6"/>
        <w:bidi w:val="0"/>
        <w:rPr>
          <w:rFonts w:hint="default" w:ascii="Times New Roman" w:hAnsi="Times New Roman" w:eastAsia="宋体" w:cs="Times New Roman"/>
          <w:b w:val="0"/>
          <w:bCs w:val="0"/>
          <w:color w:val="auto"/>
          <w:kern w:val="2"/>
          <w:sz w:val="21"/>
          <w:szCs w:val="24"/>
          <w:lang w:val="en-US" w:eastAsia="zh-CN" w:bidi="ar-SA"/>
        </w:rPr>
      </w:pPr>
      <w:bookmarkStart w:id="972" w:name="_Toc8372"/>
      <w:bookmarkStart w:id="973" w:name="_Toc22356"/>
      <w:bookmarkStart w:id="974" w:name="_Toc6741"/>
      <w:r>
        <w:rPr>
          <w:rFonts w:hint="eastAsia" w:ascii="Times New Roman" w:hAnsi="Times New Roman" w:eastAsia="宋体" w:cs="Times New Roman"/>
          <w:b w:val="0"/>
          <w:bCs w:val="0"/>
          <w:color w:val="auto"/>
          <w:kern w:val="2"/>
          <w:sz w:val="21"/>
          <w:szCs w:val="24"/>
          <w:lang w:val="en-US" w:eastAsia="zh-CN" w:bidi="ar-SA"/>
        </w:rPr>
        <w:t>1、</w:t>
      </w:r>
      <w:r>
        <w:rPr>
          <w:rFonts w:hint="eastAsia" w:ascii="Times New Roman" w:hAnsi="Times New Roman" w:cs="Times New Roman"/>
          <w:b w:val="0"/>
          <w:bCs w:val="0"/>
          <w:color w:val="auto"/>
          <w:kern w:val="2"/>
          <w:sz w:val="21"/>
          <w:szCs w:val="24"/>
          <w:lang w:val="en-US" w:eastAsia="zh-CN" w:bidi="ar-SA"/>
        </w:rPr>
        <w:t>青菜头</w:t>
      </w:r>
      <w:r>
        <w:rPr>
          <w:rFonts w:hint="eastAsia" w:ascii="Times New Roman" w:hAnsi="Times New Roman" w:eastAsia="宋体" w:cs="Times New Roman"/>
          <w:b w:val="0"/>
          <w:bCs w:val="0"/>
          <w:color w:val="auto"/>
          <w:kern w:val="2"/>
          <w:sz w:val="21"/>
          <w:szCs w:val="24"/>
          <w:lang w:val="en-US" w:eastAsia="zh-CN" w:bidi="ar-SA"/>
        </w:rPr>
        <w:t>测试</w:t>
      </w:r>
      <w:bookmarkEnd w:id="972"/>
      <w:bookmarkEnd w:id="973"/>
      <w:bookmarkEnd w:id="974"/>
      <w:r>
        <w:rPr>
          <w:rFonts w:hint="eastAsia" w:cs="Times New Roman"/>
          <w:b w:val="0"/>
          <w:bCs w:val="0"/>
          <w:color w:val="auto"/>
          <w:kern w:val="2"/>
          <w:sz w:val="21"/>
          <w:szCs w:val="24"/>
          <w:lang w:val="en-US" w:eastAsia="zh-CN" w:bidi="ar-SA"/>
        </w:rPr>
        <w:t>指标</w:t>
      </w:r>
    </w:p>
    <w:p w14:paraId="460FAB6C">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产能：</w:t>
      </w:r>
      <w:r>
        <w:rPr>
          <w:rFonts w:hint="eastAsia" w:ascii="Times New Roman" w:hAnsi="Times New Roman" w:eastAsia="宋体" w:cs="Times New Roman"/>
          <w:color w:val="auto"/>
          <w:u w:val="single"/>
        </w:rPr>
        <w:t>不小于</w:t>
      </w:r>
      <w:r>
        <w:rPr>
          <w:rFonts w:hint="eastAsia" w:cs="Times New Roman"/>
          <w:color w:val="auto"/>
          <w:u w:val="single"/>
          <w:lang w:val="en-US" w:eastAsia="zh-CN"/>
        </w:rPr>
        <w:t>150t/h</w:t>
      </w:r>
      <w:r>
        <w:rPr>
          <w:rFonts w:hint="eastAsia" w:ascii="Times New Roman" w:hAnsi="Times New Roman" w:eastAsia="宋体" w:cs="Times New Roman"/>
          <w:color w:val="auto"/>
        </w:rPr>
        <w:t>(平均值)；</w:t>
      </w:r>
    </w:p>
    <w:p w14:paraId="01F993E5">
      <w:pPr>
        <w:pStyle w:val="17"/>
        <w:ind w:firstLine="420" w:firstLineChars="200"/>
        <w:rPr>
          <w:rFonts w:hint="eastAsia"/>
          <w:color w:val="auto"/>
          <w:u w:val="single"/>
          <w:lang w:val="en-US" w:eastAsia="zh-CN"/>
        </w:rPr>
      </w:pPr>
      <w:r>
        <w:rPr>
          <w:rFonts w:hint="eastAsia"/>
          <w:color w:val="auto"/>
          <w:lang w:val="en-US" w:eastAsia="zh-CN"/>
        </w:rPr>
        <w:t>破损率：</w:t>
      </w:r>
      <w:r>
        <w:rPr>
          <w:rFonts w:hint="eastAsia"/>
          <w:color w:val="auto"/>
          <w:u w:val="single"/>
          <w:lang w:val="en-US" w:eastAsia="zh-CN"/>
        </w:rPr>
        <w:t>不大于2.5%。</w:t>
      </w:r>
    </w:p>
    <w:p w14:paraId="76786247">
      <w:pPr>
        <w:pStyle w:val="6"/>
        <w:bidi w:val="0"/>
        <w:rPr>
          <w:rFonts w:hint="default" w:ascii="Times New Roman" w:hAnsi="Times New Roman" w:eastAsia="宋体" w:cs="Times New Roman"/>
          <w:b w:val="0"/>
          <w:bCs w:val="0"/>
          <w:color w:val="auto"/>
          <w:kern w:val="2"/>
          <w:sz w:val="21"/>
          <w:szCs w:val="24"/>
          <w:lang w:val="en-US" w:eastAsia="zh-CN" w:bidi="ar-SA"/>
        </w:rPr>
      </w:pPr>
      <w:r>
        <w:rPr>
          <w:rFonts w:hint="eastAsia" w:ascii="Times New Roman" w:hAnsi="Times New Roman" w:cs="Times New Roman"/>
          <w:b w:val="0"/>
          <w:bCs w:val="0"/>
          <w:color w:val="auto"/>
          <w:kern w:val="2"/>
          <w:sz w:val="21"/>
          <w:szCs w:val="24"/>
          <w:lang w:val="en-US" w:eastAsia="zh-CN" w:bidi="ar-SA"/>
        </w:rPr>
        <w:t>2、盐菜块</w:t>
      </w:r>
      <w:r>
        <w:rPr>
          <w:rFonts w:hint="eastAsia" w:ascii="Times New Roman" w:hAnsi="Times New Roman" w:eastAsia="宋体" w:cs="Times New Roman"/>
          <w:b w:val="0"/>
          <w:bCs w:val="0"/>
          <w:color w:val="auto"/>
          <w:kern w:val="2"/>
          <w:sz w:val="21"/>
          <w:szCs w:val="24"/>
          <w:lang w:val="en-US" w:eastAsia="zh-CN" w:bidi="ar-SA"/>
        </w:rPr>
        <w:t>测试</w:t>
      </w:r>
      <w:r>
        <w:rPr>
          <w:rFonts w:hint="eastAsia" w:cs="Times New Roman"/>
          <w:b w:val="0"/>
          <w:bCs w:val="0"/>
          <w:color w:val="auto"/>
          <w:kern w:val="2"/>
          <w:sz w:val="21"/>
          <w:szCs w:val="24"/>
          <w:lang w:val="en-US" w:eastAsia="zh-CN" w:bidi="ar-SA"/>
        </w:rPr>
        <w:t>指标</w:t>
      </w:r>
    </w:p>
    <w:p w14:paraId="518FC5AA">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产能：</w:t>
      </w:r>
      <w:r>
        <w:rPr>
          <w:rFonts w:hint="eastAsia" w:ascii="Times New Roman" w:hAnsi="Times New Roman" w:eastAsia="宋体" w:cs="Times New Roman"/>
          <w:color w:val="auto"/>
          <w:u w:val="single"/>
        </w:rPr>
        <w:t>不小于</w:t>
      </w:r>
      <w:r>
        <w:rPr>
          <w:rFonts w:hint="eastAsia" w:cs="Times New Roman"/>
          <w:color w:val="auto"/>
          <w:u w:val="single"/>
          <w:lang w:val="en-US" w:eastAsia="zh-CN"/>
        </w:rPr>
        <w:t>120t/h</w:t>
      </w:r>
      <w:r>
        <w:rPr>
          <w:rFonts w:hint="eastAsia" w:ascii="Times New Roman" w:hAnsi="Times New Roman" w:eastAsia="宋体" w:cs="Times New Roman"/>
          <w:color w:val="auto"/>
        </w:rPr>
        <w:t>(平均值)</w:t>
      </w:r>
      <w:r>
        <w:rPr>
          <w:rFonts w:hint="eastAsia" w:cs="Times New Roman"/>
          <w:color w:val="auto"/>
          <w:lang w:val="en-US" w:eastAsia="zh-CN"/>
        </w:rPr>
        <w:t>。</w:t>
      </w:r>
    </w:p>
    <w:p w14:paraId="25DFDFA5">
      <w:pPr>
        <w:rPr>
          <w:rFonts w:hint="default"/>
          <w:lang w:val="en-US" w:eastAsia="zh-CN"/>
        </w:rPr>
      </w:pPr>
    </w:p>
    <w:p w14:paraId="4C4E4214">
      <w:pPr>
        <w:pStyle w:val="4"/>
        <w:numPr>
          <w:ilvl w:val="0"/>
          <w:numId w:val="6"/>
        </w:numPr>
        <w:rPr>
          <w:rFonts w:hint="eastAsia"/>
          <w:szCs w:val="28"/>
        </w:rPr>
      </w:pPr>
      <w:bookmarkStart w:id="975" w:name="_Toc15023"/>
      <w:bookmarkStart w:id="976" w:name="_Toc24678"/>
      <w:bookmarkStart w:id="977" w:name="_Toc18479"/>
      <w:bookmarkStart w:id="978" w:name="_Toc7577"/>
      <w:bookmarkStart w:id="979" w:name="_Toc10454"/>
      <w:bookmarkStart w:id="980" w:name="_Toc24604"/>
      <w:r>
        <w:rPr>
          <w:rFonts w:hint="eastAsia"/>
          <w:szCs w:val="28"/>
        </w:rPr>
        <w:t>技术服务和</w:t>
      </w:r>
      <w:r>
        <w:rPr>
          <w:rFonts w:hint="eastAsia"/>
          <w:szCs w:val="28"/>
          <w:lang w:eastAsia="zh-CN"/>
        </w:rPr>
        <w:t>质量保证期</w:t>
      </w:r>
      <w:r>
        <w:rPr>
          <w:rFonts w:hint="eastAsia"/>
          <w:szCs w:val="28"/>
        </w:rPr>
        <w:t>服务要求</w:t>
      </w:r>
      <w:bookmarkEnd w:id="975"/>
      <w:bookmarkEnd w:id="976"/>
      <w:bookmarkEnd w:id="977"/>
      <w:bookmarkEnd w:id="978"/>
      <w:bookmarkEnd w:id="979"/>
      <w:bookmarkEnd w:id="980"/>
    </w:p>
    <w:p w14:paraId="08771487">
      <w:pPr>
        <w:pStyle w:val="6"/>
        <w:bidi w:val="0"/>
        <w:rPr>
          <w:rFonts w:hint="eastAsia"/>
          <w:lang w:eastAsia="zh-CN"/>
        </w:rPr>
      </w:pPr>
      <w:bookmarkStart w:id="981" w:name="_Toc29546"/>
      <w:bookmarkStart w:id="982" w:name="_Toc88045790"/>
      <w:bookmarkStart w:id="983" w:name="_Toc16935"/>
      <w:bookmarkStart w:id="984" w:name="_Toc14071"/>
      <w:bookmarkStart w:id="985" w:name="_Toc87181831"/>
      <w:bookmarkStart w:id="986" w:name="_Toc12446"/>
      <w:bookmarkStart w:id="987" w:name="_Toc11414"/>
      <w:r>
        <w:rPr>
          <w:rFonts w:hint="eastAsia"/>
          <w:lang w:val="en-US" w:eastAsia="zh-CN"/>
        </w:rPr>
        <w:t>1、</w:t>
      </w:r>
      <w:r>
        <w:rPr>
          <w:rFonts w:hint="eastAsia"/>
          <w:lang w:eastAsia="zh-CN"/>
        </w:rPr>
        <w:t>投标人</w:t>
      </w:r>
      <w:r>
        <w:rPr>
          <w:rFonts w:hint="eastAsia"/>
        </w:rPr>
        <w:t>现场技术</w:t>
      </w:r>
      <w:bookmarkEnd w:id="981"/>
      <w:bookmarkEnd w:id="982"/>
      <w:bookmarkEnd w:id="983"/>
      <w:bookmarkEnd w:id="984"/>
      <w:bookmarkEnd w:id="985"/>
      <w:bookmarkEnd w:id="986"/>
      <w:bookmarkEnd w:id="987"/>
      <w:r>
        <w:rPr>
          <w:rFonts w:hint="eastAsia"/>
          <w:lang w:val="en-US" w:eastAsia="zh-CN"/>
        </w:rPr>
        <w:t>服务</w:t>
      </w:r>
    </w:p>
    <w:p w14:paraId="53EF9CDE">
      <w:pPr>
        <w:pageBreakBefore w:val="0"/>
        <w:kinsoku/>
        <w:overflowPunct/>
        <w:topLinePunct w:val="0"/>
        <w:bidi w:val="0"/>
        <w:spacing w:line="360" w:lineRule="auto"/>
        <w:ind w:right="482" w:firstLine="420" w:firstLineChars="200"/>
        <w:rPr>
          <w:color w:val="auto"/>
        </w:rPr>
      </w:pPr>
      <w:r>
        <w:rPr>
          <w:rFonts w:hint="eastAsia" w:cs="Times New Roman"/>
          <w:color w:val="auto"/>
          <w:lang w:eastAsia="zh-CN"/>
        </w:rPr>
        <w:t>投标人</w:t>
      </w:r>
      <w:r>
        <w:rPr>
          <w:rFonts w:hint="eastAsia" w:ascii="Times New Roman" w:hAnsi="Times New Roman" w:eastAsia="宋体" w:cs="Times New Roman"/>
          <w:color w:val="auto"/>
        </w:rPr>
        <w:t>现场服务人员的目的是使所有设备安全、正常投运。</w:t>
      </w:r>
      <w:r>
        <w:rPr>
          <w:rFonts w:hint="eastAsia" w:cs="Times New Roman"/>
          <w:color w:val="auto"/>
          <w:lang w:eastAsia="zh-CN"/>
        </w:rPr>
        <w:t>投标人</w:t>
      </w:r>
      <w:r>
        <w:rPr>
          <w:rFonts w:hint="eastAsia" w:ascii="Times New Roman" w:hAnsi="Times New Roman" w:eastAsia="宋体" w:cs="Times New Roman"/>
          <w:color w:val="auto"/>
        </w:rPr>
        <w:t>要派合格的现场服务人员，提供包括服务人月数的现场服务计划表，服务时间为设备到达前一天至</w:t>
      </w:r>
      <w:r>
        <w:rPr>
          <w:rFonts w:hint="eastAsia" w:cs="Times New Roman"/>
          <w:color w:val="auto"/>
          <w:lang w:val="en-US" w:eastAsia="zh-CN"/>
        </w:rPr>
        <w:t>陪产服务结束</w:t>
      </w:r>
      <w:r>
        <w:rPr>
          <w:rFonts w:hint="eastAsia" w:ascii="Times New Roman" w:hAnsi="Times New Roman" w:eastAsia="宋体" w:cs="Times New Roman"/>
          <w:color w:val="auto"/>
        </w:rPr>
        <w:t>，在此期间所发生任何费用均包含在合同总价中，不再另行增加费用。</w:t>
      </w:r>
      <w:r>
        <w:rPr>
          <w:rFonts w:hint="eastAsia" w:cs="Times New Roman"/>
          <w:color w:val="auto"/>
          <w:lang w:val="en-US" w:eastAsia="zh-CN"/>
        </w:rPr>
        <w:t>至少</w:t>
      </w:r>
      <w:r>
        <w:rPr>
          <w:rFonts w:hint="eastAsia" w:ascii="Times New Roman" w:hAnsi="Times New Roman" w:eastAsia="宋体" w:cs="Times New Roman"/>
          <w:color w:val="auto"/>
        </w:rPr>
        <w:t>包含安装工程师1人，电气调试工程师1-2人，项目经理1人。</w:t>
      </w:r>
    </w:p>
    <w:p w14:paraId="7185E6FF">
      <w:pPr>
        <w:pStyle w:val="6"/>
        <w:bidi w:val="0"/>
      </w:pPr>
      <w:bookmarkStart w:id="988" w:name="_Toc28454"/>
      <w:bookmarkStart w:id="989" w:name="_Toc87181832"/>
      <w:bookmarkStart w:id="990" w:name="_Toc27629"/>
      <w:bookmarkStart w:id="991" w:name="_Toc18345"/>
      <w:bookmarkStart w:id="992" w:name="_Toc2078"/>
      <w:bookmarkStart w:id="993" w:name="_Toc88045791"/>
      <w:bookmarkStart w:id="994" w:name="_Toc18306"/>
      <w:r>
        <w:rPr>
          <w:rFonts w:hint="eastAsia"/>
          <w:lang w:val="en-US" w:eastAsia="zh-CN"/>
        </w:rPr>
        <w:t>2、</w:t>
      </w:r>
      <w:r>
        <w:rPr>
          <w:rFonts w:hint="eastAsia"/>
          <w:lang w:eastAsia="zh-CN"/>
        </w:rPr>
        <w:t>投标人</w:t>
      </w:r>
      <w:r>
        <w:rPr>
          <w:rFonts w:hint="eastAsia"/>
        </w:rPr>
        <w:t>现场</w:t>
      </w:r>
      <w:r>
        <w:rPr>
          <w:rFonts w:hint="eastAsia"/>
          <w:lang w:val="en-US" w:eastAsia="zh-CN"/>
        </w:rPr>
        <w:t>技术服务</w:t>
      </w:r>
      <w:r>
        <w:rPr>
          <w:rFonts w:hint="eastAsia"/>
        </w:rPr>
        <w:t>人员应具有下列条件</w:t>
      </w:r>
      <w:bookmarkEnd w:id="988"/>
      <w:bookmarkEnd w:id="989"/>
      <w:bookmarkEnd w:id="990"/>
      <w:bookmarkEnd w:id="991"/>
      <w:bookmarkEnd w:id="992"/>
      <w:bookmarkEnd w:id="993"/>
      <w:bookmarkEnd w:id="994"/>
    </w:p>
    <w:p w14:paraId="745FEAC2">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1、遵守法纪，遵守现场的各项规章和制度；具备与服务设备相应的技术资质。</w:t>
      </w:r>
    </w:p>
    <w:p w14:paraId="624AF109">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2、有较强的责任感和事业心，按时到位。</w:t>
      </w:r>
    </w:p>
    <w:p w14:paraId="260E3CBE">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3、了解合同设备的设计，熟悉其结构，有相同或相近机组的现场工作经验，能够正确地进行现场指导：</w:t>
      </w:r>
    </w:p>
    <w:p w14:paraId="475FCB8C">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4、身体健康，适应现场工作的条件。</w:t>
      </w:r>
    </w:p>
    <w:p w14:paraId="6D72D74A">
      <w:pPr>
        <w:pStyle w:val="6"/>
        <w:bidi w:val="0"/>
      </w:pPr>
      <w:r>
        <w:rPr>
          <w:rFonts w:hint="eastAsia"/>
          <w:lang w:val="en-US" w:eastAsia="zh-CN"/>
        </w:rPr>
        <w:t>3、</w:t>
      </w:r>
      <w:r>
        <w:rPr>
          <w:rFonts w:hint="eastAsia"/>
          <w:lang w:eastAsia="zh-CN"/>
        </w:rPr>
        <w:t>投标人</w:t>
      </w:r>
      <w:r>
        <w:rPr>
          <w:rFonts w:hint="eastAsia"/>
        </w:rPr>
        <w:t>现场</w:t>
      </w:r>
      <w:r>
        <w:rPr>
          <w:rFonts w:hint="eastAsia"/>
          <w:lang w:val="en-US" w:eastAsia="zh-CN"/>
        </w:rPr>
        <w:t>技术</w:t>
      </w:r>
      <w:r>
        <w:rPr>
          <w:rFonts w:hint="eastAsia"/>
        </w:rPr>
        <w:t>服务人员的职责</w:t>
      </w:r>
    </w:p>
    <w:p w14:paraId="1DBD8C1E">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color w:val="auto"/>
        </w:rPr>
        <w:t>1</w:t>
      </w:r>
      <w:r>
        <w:rPr>
          <w:rFonts w:hint="eastAsia" w:ascii="Times New Roman" w:hAnsi="Times New Roman" w:eastAsia="宋体" w:cs="Times New Roman"/>
          <w:color w:val="auto"/>
        </w:rPr>
        <w:t>、</w:t>
      </w:r>
      <w:r>
        <w:rPr>
          <w:rFonts w:hint="eastAsia" w:cs="Times New Roman"/>
          <w:color w:val="auto"/>
          <w:lang w:eastAsia="zh-CN"/>
        </w:rPr>
        <w:t>投标人</w:t>
      </w:r>
      <w:r>
        <w:rPr>
          <w:rFonts w:hint="eastAsia" w:ascii="Times New Roman" w:hAnsi="Times New Roman" w:eastAsia="宋体" w:cs="Times New Roman"/>
          <w:color w:val="auto"/>
        </w:rPr>
        <w:t>现场服务人员的任务主要包括设备催交、货物的开箱检验、设备质量问题的处理、组织安装、调试、试运行指导、参与性能验收测试。</w:t>
      </w:r>
    </w:p>
    <w:p w14:paraId="2982FC63">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w:t>
      </w:r>
      <w:r>
        <w:rPr>
          <w:rFonts w:hint="eastAsia" w:cs="Times New Roman"/>
          <w:color w:val="auto"/>
          <w:lang w:eastAsia="zh-CN"/>
        </w:rPr>
        <w:t>投标人</w:t>
      </w:r>
      <w:r>
        <w:rPr>
          <w:rFonts w:hint="eastAsia" w:ascii="Times New Roman" w:hAnsi="Times New Roman" w:eastAsia="宋体" w:cs="Times New Roman"/>
          <w:color w:val="auto"/>
        </w:rPr>
        <w:t>现场服务人员应有权处理现场出现的一切技术和商务问题。如现场发生质量问题，</w:t>
      </w:r>
      <w:r>
        <w:rPr>
          <w:rFonts w:hint="eastAsia" w:cs="Times New Roman"/>
          <w:color w:val="auto"/>
          <w:lang w:eastAsia="zh-CN"/>
        </w:rPr>
        <w:t>投标人</w:t>
      </w:r>
      <w:r>
        <w:rPr>
          <w:rFonts w:hint="eastAsia" w:ascii="Times New Roman" w:hAnsi="Times New Roman" w:eastAsia="宋体" w:cs="Times New Roman"/>
          <w:color w:val="auto"/>
        </w:rPr>
        <w:t>现场人员要在</w:t>
      </w:r>
      <w:r>
        <w:rPr>
          <w:rFonts w:hint="eastAsia" w:cs="Times New Roman"/>
          <w:color w:val="auto"/>
          <w:lang w:eastAsia="zh-CN"/>
        </w:rPr>
        <w:t>招标人</w:t>
      </w:r>
      <w:r>
        <w:rPr>
          <w:rFonts w:hint="eastAsia" w:ascii="Times New Roman" w:hAnsi="Times New Roman" w:eastAsia="宋体" w:cs="Times New Roman"/>
          <w:color w:val="auto"/>
        </w:rPr>
        <w:t>规定的时间内处理解决。如</w:t>
      </w:r>
      <w:r>
        <w:rPr>
          <w:rFonts w:hint="eastAsia" w:cs="Times New Roman"/>
          <w:color w:val="auto"/>
          <w:lang w:eastAsia="zh-CN"/>
        </w:rPr>
        <w:t>投标人</w:t>
      </w:r>
      <w:r>
        <w:rPr>
          <w:rFonts w:hint="eastAsia" w:ascii="Times New Roman" w:hAnsi="Times New Roman" w:eastAsia="宋体" w:cs="Times New Roman"/>
          <w:color w:val="auto"/>
        </w:rPr>
        <w:t>委托</w:t>
      </w:r>
      <w:r>
        <w:rPr>
          <w:rFonts w:hint="eastAsia" w:cs="Times New Roman"/>
          <w:color w:val="auto"/>
          <w:lang w:eastAsia="zh-CN"/>
        </w:rPr>
        <w:t>招标人</w:t>
      </w:r>
      <w:r>
        <w:rPr>
          <w:rFonts w:hint="eastAsia" w:ascii="Times New Roman" w:hAnsi="Times New Roman" w:eastAsia="宋体" w:cs="Times New Roman"/>
          <w:color w:val="auto"/>
        </w:rPr>
        <w:t>进行处理，</w:t>
      </w:r>
      <w:r>
        <w:rPr>
          <w:rFonts w:hint="eastAsia" w:cs="Times New Roman"/>
          <w:color w:val="auto"/>
          <w:lang w:eastAsia="zh-CN"/>
        </w:rPr>
        <w:t>投标人</w:t>
      </w:r>
      <w:r>
        <w:rPr>
          <w:rFonts w:hint="eastAsia" w:ascii="Times New Roman" w:hAnsi="Times New Roman" w:eastAsia="宋体" w:cs="Times New Roman"/>
          <w:color w:val="auto"/>
        </w:rPr>
        <w:t>现场服务人员要出委托书并承担相应的经济责任。</w:t>
      </w:r>
    </w:p>
    <w:p w14:paraId="7C83F927">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3、</w:t>
      </w:r>
      <w:r>
        <w:rPr>
          <w:rFonts w:hint="eastAsia" w:cs="Times New Roman"/>
          <w:color w:val="auto"/>
          <w:lang w:eastAsia="zh-CN"/>
        </w:rPr>
        <w:t>投标人</w:t>
      </w:r>
      <w:r>
        <w:rPr>
          <w:rFonts w:hint="eastAsia" w:ascii="Times New Roman" w:hAnsi="Times New Roman" w:eastAsia="宋体" w:cs="Times New Roman"/>
          <w:color w:val="auto"/>
        </w:rPr>
        <w:t>对其现场服务人员的一切行为负全部责任。</w:t>
      </w:r>
    </w:p>
    <w:p w14:paraId="3ADF2F94">
      <w:pPr>
        <w:pStyle w:val="6"/>
        <w:bidi w:val="0"/>
      </w:pPr>
      <w:bookmarkStart w:id="995" w:name="_Toc88045794"/>
      <w:bookmarkStart w:id="996" w:name="_Toc15697"/>
      <w:bookmarkStart w:id="997" w:name="_Toc27540"/>
      <w:bookmarkStart w:id="998" w:name="_Toc1931"/>
      <w:bookmarkStart w:id="999" w:name="_Toc9106"/>
      <w:bookmarkStart w:id="1000" w:name="_Toc31374"/>
      <w:bookmarkStart w:id="1001" w:name="_Toc12285642"/>
      <w:bookmarkStart w:id="1002" w:name="_Toc87181835"/>
      <w:r>
        <w:rPr>
          <w:rFonts w:hint="eastAsia"/>
          <w:lang w:val="en-US" w:eastAsia="zh-CN"/>
        </w:rPr>
        <w:t>4、</w:t>
      </w:r>
      <w:r>
        <w:rPr>
          <w:rFonts w:hint="eastAsia"/>
        </w:rPr>
        <w:t>培训</w:t>
      </w:r>
      <w:bookmarkEnd w:id="995"/>
      <w:bookmarkEnd w:id="996"/>
      <w:bookmarkEnd w:id="997"/>
      <w:bookmarkEnd w:id="998"/>
      <w:bookmarkEnd w:id="999"/>
      <w:bookmarkEnd w:id="1000"/>
      <w:bookmarkEnd w:id="1001"/>
      <w:bookmarkEnd w:id="1002"/>
    </w:p>
    <w:p w14:paraId="2D2BE7FE">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w:t>
      </w:r>
      <w:r>
        <w:rPr>
          <w:rFonts w:hint="eastAsia" w:cs="Times New Roman"/>
          <w:color w:val="auto"/>
          <w:lang w:eastAsia="zh-CN"/>
        </w:rPr>
        <w:t>投标人</w:t>
      </w:r>
      <w:r>
        <w:rPr>
          <w:rFonts w:hint="eastAsia" w:ascii="Times New Roman" w:hAnsi="Times New Roman" w:eastAsia="宋体" w:cs="Times New Roman"/>
          <w:color w:val="auto"/>
        </w:rPr>
        <w:t>负责对</w:t>
      </w:r>
      <w:r>
        <w:rPr>
          <w:rFonts w:hint="eastAsia" w:cs="Times New Roman"/>
          <w:color w:val="auto"/>
          <w:lang w:eastAsia="zh-CN"/>
        </w:rPr>
        <w:t>招标人</w:t>
      </w:r>
      <w:r>
        <w:rPr>
          <w:rFonts w:hint="eastAsia" w:ascii="Times New Roman" w:hAnsi="Times New Roman" w:eastAsia="宋体" w:cs="Times New Roman"/>
          <w:color w:val="auto"/>
        </w:rPr>
        <w:t>的操作和维修人员进行技术培训。使其熟悉系统、设备、运行操作方法，对设备进行检查、维修和保养；调试开始前</w:t>
      </w:r>
      <w:r>
        <w:rPr>
          <w:rFonts w:hint="eastAsia" w:cs="Times New Roman"/>
          <w:color w:val="auto"/>
          <w:lang w:val="en-US" w:eastAsia="zh-CN"/>
        </w:rPr>
        <w:t>和</w:t>
      </w:r>
      <w:r>
        <w:rPr>
          <w:rFonts w:hint="eastAsia" w:ascii="Times New Roman" w:hAnsi="Times New Roman" w:eastAsia="宋体" w:cs="Times New Roman"/>
          <w:color w:val="auto"/>
        </w:rPr>
        <w:t>项目移交前</w:t>
      </w:r>
      <w:r>
        <w:rPr>
          <w:rFonts w:hint="eastAsia" w:cs="Times New Roman"/>
          <w:color w:val="auto"/>
          <w:lang w:val="en-US" w:eastAsia="zh-CN"/>
        </w:rPr>
        <w:t>各至少</w:t>
      </w:r>
      <w:r>
        <w:rPr>
          <w:rFonts w:hint="eastAsia" w:ascii="Times New Roman" w:hAnsi="Times New Roman" w:eastAsia="宋体" w:cs="Times New Roman"/>
          <w:color w:val="auto"/>
        </w:rPr>
        <w:t>进行</w:t>
      </w:r>
      <w:r>
        <w:rPr>
          <w:rFonts w:hint="eastAsia" w:cs="Times New Roman"/>
          <w:color w:val="auto"/>
          <w:lang w:val="en-US" w:eastAsia="zh-CN"/>
        </w:rPr>
        <w:t>1次培训</w:t>
      </w:r>
      <w:r>
        <w:rPr>
          <w:rFonts w:hint="eastAsia" w:ascii="Times New Roman" w:hAnsi="Times New Roman" w:eastAsia="宋体" w:cs="Times New Roman"/>
          <w:color w:val="auto"/>
        </w:rPr>
        <w:t>，并使生产运行人员熟练操作。</w:t>
      </w:r>
    </w:p>
    <w:p w14:paraId="36DE2760">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w:t>
      </w:r>
      <w:r>
        <w:rPr>
          <w:rFonts w:hint="eastAsia" w:cs="Times New Roman"/>
          <w:color w:val="auto"/>
          <w:lang w:eastAsia="zh-CN"/>
        </w:rPr>
        <w:t>投标人</w:t>
      </w:r>
      <w:r>
        <w:rPr>
          <w:rFonts w:hint="eastAsia" w:ascii="Times New Roman" w:hAnsi="Times New Roman" w:eastAsia="宋体" w:cs="Times New Roman"/>
          <w:color w:val="auto"/>
        </w:rPr>
        <w:t>提供的培训内容包括：</w:t>
      </w:r>
    </w:p>
    <w:p w14:paraId="7F5C2D0F">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1）理论培训：</w:t>
      </w:r>
      <w:r>
        <w:rPr>
          <w:rFonts w:hint="eastAsia" w:cs="Times New Roman"/>
          <w:color w:val="auto"/>
          <w:lang w:eastAsia="zh-CN"/>
        </w:rPr>
        <w:t>投标人</w:t>
      </w:r>
      <w:r>
        <w:rPr>
          <w:rFonts w:hint="eastAsia" w:ascii="Times New Roman" w:hAnsi="Times New Roman" w:eastAsia="宋体" w:cs="Times New Roman"/>
          <w:color w:val="auto"/>
        </w:rPr>
        <w:t>应雇用或派遣具有丰富运行维护经验以及具有丰富理论知识的专业技术人员，制定培训计划并落实，培训学习有关设备的操作和维修手册，熟悉运行与维护知识。</w:t>
      </w:r>
      <w:r>
        <w:rPr>
          <w:rFonts w:hint="eastAsia" w:cs="Times New Roman"/>
          <w:color w:val="auto"/>
          <w:lang w:eastAsia="zh-CN"/>
        </w:rPr>
        <w:t>投标人</w:t>
      </w:r>
      <w:r>
        <w:rPr>
          <w:rFonts w:hint="eastAsia" w:ascii="Times New Roman" w:hAnsi="Times New Roman" w:eastAsia="宋体" w:cs="Times New Roman"/>
          <w:color w:val="auto"/>
        </w:rPr>
        <w:t>应根据项目特点制定设备操作规程、岗位规程、设备维护规程等，并制作成标牌悬挂在设备操作台边上。结合项目特点制作工艺流程图标牌悬挂在操作室。标牌大小材质以</w:t>
      </w:r>
      <w:r>
        <w:rPr>
          <w:rFonts w:hint="eastAsia" w:cs="Times New Roman"/>
          <w:color w:val="auto"/>
          <w:lang w:eastAsia="zh-CN"/>
        </w:rPr>
        <w:t>招标人</w:t>
      </w:r>
      <w:r>
        <w:rPr>
          <w:rFonts w:hint="eastAsia" w:cs="Times New Roman"/>
          <w:color w:val="auto"/>
          <w:lang w:val="en-US" w:eastAsia="zh-CN"/>
        </w:rPr>
        <w:t>确认</w:t>
      </w:r>
      <w:r>
        <w:rPr>
          <w:rFonts w:hint="eastAsia" w:ascii="Times New Roman" w:hAnsi="Times New Roman" w:eastAsia="宋体" w:cs="Times New Roman"/>
          <w:color w:val="auto"/>
        </w:rPr>
        <w:t>的样本为准。</w:t>
      </w:r>
    </w:p>
    <w:p w14:paraId="5A6EC622">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rPr>
      </w:pPr>
      <w:r>
        <w:rPr>
          <w:rFonts w:hint="eastAsia" w:ascii="Times New Roman" w:hAnsi="Times New Roman" w:eastAsia="宋体" w:cs="Times New Roman"/>
          <w:color w:val="auto"/>
        </w:rPr>
        <w:t>2）现场培训：</w:t>
      </w:r>
      <w:r>
        <w:rPr>
          <w:rFonts w:hint="eastAsia" w:cs="Times New Roman"/>
          <w:color w:val="auto"/>
          <w:lang w:eastAsia="zh-CN"/>
        </w:rPr>
        <w:t>投标人</w:t>
      </w:r>
      <w:r>
        <w:rPr>
          <w:rFonts w:hint="eastAsia" w:ascii="Times New Roman" w:hAnsi="Times New Roman" w:eastAsia="宋体" w:cs="Times New Roman"/>
          <w:color w:val="auto"/>
        </w:rPr>
        <w:t>应有专人全程参与指导监护实习。所有的培训和实习，</w:t>
      </w:r>
      <w:r>
        <w:rPr>
          <w:rFonts w:hint="eastAsia" w:cs="Times New Roman"/>
          <w:color w:val="auto"/>
          <w:lang w:eastAsia="zh-CN"/>
        </w:rPr>
        <w:t>投标人</w:t>
      </w:r>
      <w:r>
        <w:rPr>
          <w:rFonts w:hint="eastAsia" w:ascii="Times New Roman" w:hAnsi="Times New Roman" w:eastAsia="宋体" w:cs="Times New Roman"/>
          <w:color w:val="auto"/>
        </w:rPr>
        <w:t>提供技术文件及图纸。</w:t>
      </w:r>
    </w:p>
    <w:p w14:paraId="30818559">
      <w:pPr>
        <w:pStyle w:val="6"/>
        <w:bidi w:val="0"/>
        <w:rPr>
          <w:rFonts w:hint="eastAsia"/>
        </w:rPr>
      </w:pPr>
      <w:r>
        <w:rPr>
          <w:rFonts w:hint="eastAsia"/>
          <w:lang w:val="en-US" w:eastAsia="zh-CN"/>
        </w:rPr>
        <w:t>5、</w:t>
      </w:r>
      <w:r>
        <w:rPr>
          <w:rFonts w:hint="eastAsia"/>
        </w:rPr>
        <w:t>质保和售后服务</w:t>
      </w:r>
    </w:p>
    <w:p w14:paraId="42788419">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zh-TW" w:eastAsia="zh-TW"/>
        </w:rPr>
      </w:pPr>
      <w:r>
        <w:rPr>
          <w:rFonts w:hint="eastAsia" w:ascii="Times New Roman" w:hAnsi="Times New Roman" w:eastAsia="宋体" w:cs="Times New Roman"/>
          <w:color w:val="auto"/>
        </w:rPr>
        <w:t>1、</w:t>
      </w:r>
      <w:r>
        <w:rPr>
          <w:rFonts w:hint="eastAsia" w:ascii="Times New Roman" w:hAnsi="Times New Roman" w:eastAsia="宋体" w:cs="Times New Roman"/>
          <w:color w:val="auto"/>
          <w:lang w:val="zh-TW" w:eastAsia="zh-TW"/>
        </w:rPr>
        <w:t>设备和系统的质保期为最终验收合格</w:t>
      </w:r>
      <w:r>
        <w:rPr>
          <w:rFonts w:hint="eastAsia" w:ascii="Times New Roman" w:hAnsi="Times New Roman" w:eastAsia="宋体" w:cs="Times New Roman"/>
          <w:color w:val="auto"/>
          <w:lang w:val="zh-TW"/>
        </w:rPr>
        <w:t>之日起</w:t>
      </w:r>
      <w:r>
        <w:rPr>
          <w:rFonts w:hint="eastAsia" w:ascii="Times New Roman" w:hAnsi="Times New Roman" w:eastAsia="宋体" w:cs="Times New Roman"/>
          <w:color w:val="auto"/>
          <w:lang w:val="zh-TW" w:eastAsia="zh-TW"/>
        </w:rPr>
        <w:t>两年（24个月）</w:t>
      </w:r>
      <w:r>
        <w:rPr>
          <w:rFonts w:hint="eastAsia" w:cs="Times New Roman"/>
          <w:color w:val="auto"/>
          <w:lang w:val="zh-TW" w:eastAsia="zh-CN"/>
        </w:rPr>
        <w:t>或投标人承诺高于</w:t>
      </w:r>
      <w:r>
        <w:rPr>
          <w:rFonts w:hint="eastAsia" w:cs="Times New Roman"/>
          <w:color w:val="auto"/>
          <w:lang w:val="en-US" w:eastAsia="zh-CN"/>
        </w:rPr>
        <w:t>24个月的质保期</w:t>
      </w:r>
      <w:r>
        <w:rPr>
          <w:rFonts w:hint="eastAsia" w:ascii="Times New Roman" w:hAnsi="Times New Roman" w:eastAsia="宋体" w:cs="Times New Roman"/>
          <w:color w:val="auto"/>
          <w:lang w:val="zh-TW" w:eastAsia="zh-TW"/>
        </w:rPr>
        <w:t>。</w:t>
      </w:r>
    </w:p>
    <w:p w14:paraId="0BD80D11">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zh-TW"/>
        </w:rPr>
      </w:pPr>
      <w:r>
        <w:rPr>
          <w:rFonts w:hint="eastAsia" w:ascii="Times New Roman" w:hAnsi="Times New Roman" w:eastAsia="宋体" w:cs="Times New Roman"/>
          <w:color w:val="auto"/>
        </w:rPr>
        <w:t>2、</w:t>
      </w:r>
      <w:r>
        <w:rPr>
          <w:rFonts w:hint="eastAsia" w:ascii="Times New Roman" w:hAnsi="Times New Roman" w:eastAsia="宋体" w:cs="Times New Roman"/>
          <w:color w:val="auto"/>
          <w:lang w:val="zh-TW" w:eastAsia="zh-TW"/>
        </w:rPr>
        <w:t>质保期内，乙方应无偿对其售出设备进行免费维修和软件升级，人为损坏的维修收取成本费。</w:t>
      </w:r>
    </w:p>
    <w:p w14:paraId="6F50F697">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zh-TW"/>
        </w:rPr>
      </w:pPr>
      <w:r>
        <w:rPr>
          <w:rFonts w:hint="eastAsia" w:ascii="Times New Roman" w:hAnsi="Times New Roman" w:eastAsia="宋体" w:cs="Times New Roman"/>
          <w:color w:val="auto"/>
        </w:rPr>
        <w:t>3、</w:t>
      </w:r>
      <w:r>
        <w:rPr>
          <w:rFonts w:hint="eastAsia" w:ascii="Times New Roman" w:hAnsi="Times New Roman" w:eastAsia="宋体" w:cs="Times New Roman"/>
          <w:color w:val="auto"/>
          <w:lang w:val="zh-TW"/>
        </w:rPr>
        <w:t>售后服务响应时间：乙方在接到甲方要求对所购设备进行维修的通知后，24小时内响应， 48小时内到达用户现场进行维修。</w:t>
      </w:r>
    </w:p>
    <w:p w14:paraId="417DEB3A">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zh-TW" w:eastAsia="zh-TW"/>
        </w:rPr>
      </w:pPr>
      <w:r>
        <w:rPr>
          <w:rFonts w:hint="eastAsia" w:ascii="Times New Roman" w:hAnsi="Times New Roman" w:eastAsia="宋体" w:cs="Times New Roman"/>
          <w:color w:val="auto"/>
        </w:rPr>
        <w:t>4、</w:t>
      </w:r>
      <w:r>
        <w:rPr>
          <w:rFonts w:hint="eastAsia" w:ascii="Times New Roman" w:hAnsi="Times New Roman" w:eastAsia="宋体" w:cs="Times New Roman"/>
          <w:color w:val="auto"/>
          <w:lang w:val="zh-TW" w:eastAsia="zh-TW"/>
        </w:rPr>
        <w:t>售后服务响应时间判定标准，以甲方电话、传真、邮件通知时间为准。</w:t>
      </w:r>
    </w:p>
    <w:p w14:paraId="37A493FF">
      <w:pPr>
        <w:pageBreakBefore w:val="0"/>
        <w:kinsoku/>
        <w:overflowPunct/>
        <w:topLinePunct w:val="0"/>
        <w:bidi w:val="0"/>
        <w:spacing w:line="360" w:lineRule="auto"/>
        <w:ind w:right="482" w:firstLine="420" w:firstLineChars="200"/>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5、</w:t>
      </w:r>
      <w:r>
        <w:rPr>
          <w:rFonts w:hint="eastAsia" w:ascii="Times New Roman" w:hAnsi="Times New Roman" w:eastAsia="宋体" w:cs="Times New Roman"/>
          <w:color w:val="auto"/>
          <w:lang w:val="zh-TW"/>
        </w:rPr>
        <w:t>如果出现长周期部件更换，在乙方提供替代设备确保生产前提之下，允许乙方进行维修，但维修时间不能超过30天。</w:t>
      </w:r>
    </w:p>
    <w:p w14:paraId="7FFE195C">
      <w:pPr>
        <w:pStyle w:val="4"/>
        <w:keepNext/>
        <w:keepLines/>
        <w:pageBreakBefore w:val="0"/>
        <w:widowControl w:val="0"/>
        <w:kinsoku/>
        <w:wordWrap/>
        <w:overflowPunct/>
        <w:topLinePunct w:val="0"/>
        <w:autoSpaceDE/>
        <w:autoSpaceDN/>
        <w:bidi w:val="0"/>
        <w:adjustRightInd/>
        <w:snapToGrid/>
        <w:spacing w:line="360" w:lineRule="auto"/>
        <w:textAlignment w:val="auto"/>
        <w:rPr>
          <w:rFonts w:hint="eastAsia"/>
          <w:szCs w:val="28"/>
          <w:lang w:val="en-US" w:eastAsia="zh-CN"/>
        </w:rPr>
      </w:pPr>
      <w:r>
        <w:rPr>
          <w:rFonts w:hint="eastAsia"/>
          <w:szCs w:val="28"/>
          <w:lang w:val="en-US" w:eastAsia="zh-CN"/>
        </w:rPr>
        <w:t>六</w:t>
      </w:r>
      <w:r>
        <w:rPr>
          <w:rFonts w:hint="eastAsia"/>
          <w:szCs w:val="28"/>
        </w:rPr>
        <w:t>、</w:t>
      </w:r>
      <w:r>
        <w:rPr>
          <w:rFonts w:hint="eastAsia"/>
          <w:szCs w:val="28"/>
          <w:lang w:val="en-US" w:eastAsia="zh-CN"/>
        </w:rPr>
        <w:t>其他</w:t>
      </w:r>
    </w:p>
    <w:p w14:paraId="766A948D">
      <w:pPr>
        <w:bidi w:val="0"/>
        <w:rPr>
          <w:rFonts w:hint="eastAsia"/>
        </w:rPr>
      </w:pPr>
    </w:p>
    <w:p w14:paraId="5062EAF3">
      <w:pPr>
        <w:pageBreakBefore w:val="0"/>
        <w:kinsoku/>
        <w:topLinePunct w:val="0"/>
        <w:autoSpaceDE w:val="0"/>
        <w:autoSpaceDN w:val="0"/>
        <w:bidi w:val="0"/>
        <w:adjustRightInd w:val="0"/>
        <w:snapToGrid w:val="0"/>
        <w:spacing w:line="360" w:lineRule="auto"/>
        <w:ind w:firstLine="482" w:firstLineChars="200"/>
        <w:rPr>
          <w:rFonts w:hint="default" w:ascii="宋体" w:hAnsi="宋体" w:eastAsia="宋体"/>
          <w:b/>
          <w:bCs/>
          <w:snapToGrid w:val="0"/>
          <w:color w:val="0000FF"/>
          <w:kern w:val="0"/>
          <w:sz w:val="24"/>
          <w:szCs w:val="24"/>
          <w:lang w:val="en-US" w:eastAsia="zh-CN"/>
        </w:rPr>
      </w:pPr>
      <w:r>
        <w:rPr>
          <w:rFonts w:hint="eastAsia" w:ascii="宋体" w:hAnsi="宋体"/>
          <w:b/>
          <w:bCs/>
          <w:snapToGrid w:val="0"/>
          <w:color w:val="0000FF"/>
          <w:kern w:val="0"/>
          <w:sz w:val="24"/>
          <w:szCs w:val="24"/>
        </w:rPr>
        <w:t>各投标人需派技术人员在开标当天就该项目作技术讲解</w:t>
      </w:r>
      <w:r>
        <w:rPr>
          <w:rFonts w:hint="eastAsia" w:ascii="宋体" w:hAnsi="宋体"/>
          <w:b/>
          <w:bCs/>
          <w:snapToGrid w:val="0"/>
          <w:color w:val="0000FF"/>
          <w:kern w:val="0"/>
          <w:sz w:val="24"/>
          <w:szCs w:val="24"/>
          <w:lang w:val="en-US" w:eastAsia="zh-CN"/>
        </w:rPr>
        <w:t>,每一投标人讲解时间控制在20分钟内。</w:t>
      </w:r>
    </w:p>
    <w:p w14:paraId="20703D13">
      <w:pPr>
        <w:rPr>
          <w:rFonts w:hint="eastAsia" w:ascii="宋体" w:hAnsi="宋体"/>
          <w:sz w:val="52"/>
          <w:szCs w:val="52"/>
        </w:rPr>
      </w:pPr>
      <w:r>
        <w:rPr>
          <w:rFonts w:hint="eastAsia" w:ascii="宋体" w:hAnsi="宋体"/>
          <w:sz w:val="52"/>
          <w:szCs w:val="52"/>
        </w:rPr>
        <w:br w:type="page"/>
      </w:r>
    </w:p>
    <w:p w14:paraId="476E674D">
      <w:pPr>
        <w:pStyle w:val="2"/>
        <w:spacing w:line="360" w:lineRule="auto"/>
        <w:jc w:val="center"/>
        <w:rPr>
          <w:rFonts w:ascii="宋体" w:hAnsi="宋体"/>
        </w:rPr>
      </w:pPr>
      <w:bookmarkStart w:id="1003" w:name="招标文件07章技术标准和要求"/>
      <w:bookmarkEnd w:id="1003"/>
      <w:bookmarkStart w:id="1004" w:name="_Toc430530528"/>
      <w:bookmarkStart w:id="1005" w:name="_Toc29194"/>
      <w:bookmarkStart w:id="1006" w:name="_Toc287607865"/>
      <w:bookmarkStart w:id="1007" w:name="_Toc509218852"/>
      <w:bookmarkStart w:id="1008" w:name="_Toc287620812"/>
      <w:bookmarkStart w:id="1009" w:name="_Toc534185829"/>
      <w:r>
        <w:rPr>
          <w:rFonts w:hint="eastAsia" w:ascii="宋体" w:hAnsi="宋体"/>
        </w:rPr>
        <w:t>第六章  投标文件格式</w:t>
      </w:r>
      <w:bookmarkEnd w:id="1004"/>
      <w:bookmarkEnd w:id="1005"/>
      <w:bookmarkEnd w:id="1006"/>
      <w:bookmarkEnd w:id="1007"/>
      <w:bookmarkEnd w:id="1008"/>
      <w:bookmarkEnd w:id="1009"/>
    </w:p>
    <w:p w14:paraId="61989EFB">
      <w:pPr>
        <w:spacing w:line="360" w:lineRule="auto"/>
        <w:rPr>
          <w:rFonts w:ascii="宋体" w:hAnsi="宋体"/>
          <w:sz w:val="32"/>
          <w:szCs w:val="32"/>
        </w:rPr>
      </w:pPr>
    </w:p>
    <w:p w14:paraId="756DA957">
      <w:pPr>
        <w:spacing w:line="360" w:lineRule="auto"/>
        <w:jc w:val="center"/>
        <w:rPr>
          <w:rFonts w:ascii="宋体" w:hAnsi="宋体"/>
          <w:sz w:val="36"/>
          <w:szCs w:val="36"/>
        </w:rPr>
      </w:pPr>
      <w:r>
        <w:rPr>
          <w:rFonts w:ascii="宋体" w:hAnsi="宋体"/>
          <w:szCs w:val="20"/>
        </w:rPr>
        <w:br w:type="page"/>
      </w:r>
      <w:bookmarkStart w:id="1010" w:name="_Toc224103493"/>
      <w:r>
        <w:rPr>
          <w:rFonts w:hint="eastAsia" w:ascii="宋体" w:hAnsi="宋体"/>
          <w:sz w:val="36"/>
          <w:szCs w:val="36"/>
        </w:rPr>
        <w:t>目  录</w:t>
      </w:r>
      <w:bookmarkEnd w:id="1010"/>
    </w:p>
    <w:p w14:paraId="05CDDD8B">
      <w:pPr>
        <w:spacing w:line="360" w:lineRule="auto"/>
        <w:jc w:val="center"/>
        <w:rPr>
          <w:rFonts w:ascii="宋体" w:hAnsi="宋体"/>
          <w:szCs w:val="20"/>
        </w:rPr>
      </w:pPr>
    </w:p>
    <w:p w14:paraId="0F5ACDDF">
      <w:pPr>
        <w:spacing w:line="360" w:lineRule="auto"/>
        <w:rPr>
          <w:rFonts w:ascii="宋体" w:hAnsi="宋体"/>
          <w:b/>
        </w:rPr>
      </w:pPr>
      <w:r>
        <w:rPr>
          <w:rFonts w:hint="eastAsia" w:ascii="宋体" w:hAnsi="宋体"/>
          <w:b/>
        </w:rPr>
        <w:t>一</w:t>
      </w:r>
      <w:r>
        <w:rPr>
          <w:rFonts w:ascii="宋体" w:hAnsi="宋体"/>
          <w:b/>
        </w:rPr>
        <w:t>、投标函部分</w:t>
      </w:r>
    </w:p>
    <w:p w14:paraId="7E6057A0">
      <w:pPr>
        <w:spacing w:line="360" w:lineRule="auto"/>
        <w:ind w:firstLine="420" w:firstLineChars="200"/>
        <w:rPr>
          <w:rFonts w:ascii="宋体" w:hAnsi="宋体"/>
        </w:rPr>
      </w:pPr>
      <w:r>
        <w:rPr>
          <w:rFonts w:ascii="宋体" w:hAnsi="宋体"/>
        </w:rPr>
        <w:t>（一）投标函</w:t>
      </w:r>
    </w:p>
    <w:p w14:paraId="734B0313">
      <w:pPr>
        <w:spacing w:line="360" w:lineRule="auto"/>
        <w:ind w:firstLine="420" w:firstLineChars="200"/>
        <w:rPr>
          <w:rFonts w:ascii="宋体" w:hAnsi="宋体"/>
        </w:rPr>
      </w:pPr>
      <w:r>
        <w:rPr>
          <w:rFonts w:ascii="宋体" w:hAnsi="宋体"/>
        </w:rPr>
        <w:t>（</w:t>
      </w:r>
      <w:r>
        <w:rPr>
          <w:rFonts w:hint="eastAsia" w:ascii="宋体" w:hAnsi="宋体"/>
        </w:rPr>
        <w:t>二</w:t>
      </w:r>
      <w:r>
        <w:rPr>
          <w:rFonts w:ascii="宋体" w:hAnsi="宋体"/>
        </w:rPr>
        <w:t>）</w:t>
      </w:r>
      <w:r>
        <w:rPr>
          <w:rFonts w:hint="eastAsia" w:ascii="宋体" w:hAnsi="宋体"/>
        </w:rPr>
        <w:t>分项报价表</w:t>
      </w:r>
    </w:p>
    <w:p w14:paraId="12970DA7">
      <w:pPr>
        <w:spacing w:line="360" w:lineRule="auto"/>
        <w:ind w:firstLine="420" w:firstLineChars="200"/>
        <w:rPr>
          <w:rFonts w:ascii="宋体" w:hAnsi="宋体"/>
        </w:rPr>
      </w:pPr>
      <w:r>
        <w:rPr>
          <w:rFonts w:ascii="宋体" w:hAnsi="宋体"/>
        </w:rPr>
        <w:t>（</w:t>
      </w:r>
      <w:r>
        <w:rPr>
          <w:rFonts w:hint="eastAsia" w:ascii="宋体" w:hAnsi="宋体"/>
        </w:rPr>
        <w:t>三</w:t>
      </w:r>
      <w:r>
        <w:rPr>
          <w:rFonts w:ascii="宋体" w:hAnsi="宋体"/>
        </w:rPr>
        <w:t>）</w:t>
      </w:r>
      <w:r>
        <w:rPr>
          <w:rFonts w:hint="eastAsia" w:ascii="宋体" w:hAnsi="宋体"/>
        </w:rPr>
        <w:t>法定代表人身份证明或授权委托书</w:t>
      </w:r>
    </w:p>
    <w:p w14:paraId="56765632">
      <w:pPr>
        <w:spacing w:line="360" w:lineRule="auto"/>
        <w:rPr>
          <w:rFonts w:ascii="宋体" w:hAnsi="宋体"/>
          <w:b/>
        </w:rPr>
      </w:pPr>
      <w:r>
        <w:rPr>
          <w:rFonts w:hint="eastAsia" w:ascii="宋体" w:hAnsi="宋体"/>
          <w:b/>
        </w:rPr>
        <w:t>二</w:t>
      </w:r>
      <w:r>
        <w:rPr>
          <w:rFonts w:ascii="宋体" w:hAnsi="宋体"/>
          <w:b/>
        </w:rPr>
        <w:t>、</w:t>
      </w:r>
      <w:r>
        <w:rPr>
          <w:rFonts w:hint="eastAsia" w:ascii="宋体" w:hAnsi="宋体"/>
          <w:b/>
        </w:rPr>
        <w:t>商务</w:t>
      </w:r>
      <w:r>
        <w:rPr>
          <w:rFonts w:ascii="宋体" w:hAnsi="宋体"/>
          <w:b/>
        </w:rPr>
        <w:t>部分</w:t>
      </w:r>
    </w:p>
    <w:p w14:paraId="3226079E">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一）商务偏差表</w:t>
      </w:r>
    </w:p>
    <w:p w14:paraId="4F50ECE0">
      <w:pPr>
        <w:autoSpaceDE w:val="0"/>
        <w:autoSpaceDN w:val="0"/>
        <w:adjustRightInd w:val="0"/>
        <w:snapToGrid w:val="0"/>
        <w:spacing w:line="360" w:lineRule="auto"/>
        <w:ind w:firstLine="420"/>
        <w:rPr>
          <w:rFonts w:hint="eastAsia"/>
          <w:lang w:val="en-US" w:eastAsia="zh-CN"/>
        </w:rPr>
      </w:pPr>
      <w:r>
        <w:rPr>
          <w:rFonts w:hint="eastAsia" w:ascii="宋体" w:hAnsi="宋体" w:cs="宋体"/>
        </w:rPr>
        <w:t>（</w:t>
      </w:r>
      <w:r>
        <w:rPr>
          <w:rFonts w:hint="eastAsia" w:ascii="宋体" w:hAnsi="宋体"/>
          <w:lang w:val="en-US" w:eastAsia="zh-CN"/>
        </w:rPr>
        <w:t>二</w:t>
      </w:r>
      <w:r>
        <w:rPr>
          <w:rFonts w:hint="eastAsia" w:ascii="宋体" w:hAnsi="宋体" w:cs="宋体"/>
        </w:rPr>
        <w:t>）</w:t>
      </w:r>
      <w:r>
        <w:rPr>
          <w:rFonts w:hint="eastAsia"/>
          <w:lang w:val="en-US" w:eastAsia="zh-CN"/>
        </w:rPr>
        <w:t>类似项目业绩情况表</w:t>
      </w:r>
    </w:p>
    <w:p w14:paraId="503D84DC">
      <w:pPr>
        <w:autoSpaceDE w:val="0"/>
        <w:autoSpaceDN w:val="0"/>
        <w:adjustRightInd w:val="0"/>
        <w:snapToGrid w:val="0"/>
        <w:spacing w:line="360" w:lineRule="auto"/>
        <w:ind w:firstLine="420"/>
        <w:rPr>
          <w:rFonts w:ascii="宋体" w:hAnsi="宋体" w:cs="宋体"/>
        </w:rPr>
      </w:pPr>
      <w:r>
        <w:rPr>
          <w:rFonts w:hint="eastAsia" w:ascii="宋体" w:hAnsi="宋体" w:cs="宋体"/>
          <w:lang w:eastAsia="zh-CN"/>
        </w:rPr>
        <w:t>（</w:t>
      </w:r>
      <w:r>
        <w:rPr>
          <w:rFonts w:hint="eastAsia" w:ascii="宋体" w:hAnsi="宋体" w:cs="宋体"/>
          <w:lang w:val="en-US" w:eastAsia="zh-CN"/>
        </w:rPr>
        <w:t>三</w:t>
      </w:r>
      <w:r>
        <w:rPr>
          <w:rFonts w:hint="eastAsia" w:ascii="宋体" w:hAnsi="宋体" w:cs="宋体"/>
          <w:lang w:eastAsia="zh-CN"/>
        </w:rPr>
        <w:t>）</w:t>
      </w:r>
      <w:r>
        <w:rPr>
          <w:rFonts w:hint="eastAsia" w:ascii="宋体" w:hAnsi="宋体" w:cs="宋体"/>
          <w:lang w:val="en-US" w:eastAsia="zh-CN"/>
        </w:rPr>
        <w:t>其他资料</w:t>
      </w:r>
    </w:p>
    <w:p w14:paraId="62275D1C">
      <w:pPr>
        <w:spacing w:line="360" w:lineRule="auto"/>
        <w:rPr>
          <w:rFonts w:ascii="宋体" w:hAnsi="宋体"/>
          <w:b/>
        </w:rPr>
      </w:pPr>
      <w:r>
        <w:rPr>
          <w:rFonts w:hint="eastAsia" w:ascii="宋体" w:hAnsi="宋体"/>
          <w:b/>
        </w:rPr>
        <w:t>三</w:t>
      </w:r>
      <w:r>
        <w:rPr>
          <w:rFonts w:ascii="宋体" w:hAnsi="宋体"/>
          <w:b/>
        </w:rPr>
        <w:t>、技术部分</w:t>
      </w:r>
    </w:p>
    <w:p w14:paraId="40022B23">
      <w:pPr>
        <w:spacing w:line="360" w:lineRule="auto"/>
        <w:rPr>
          <w:rFonts w:ascii="宋体" w:hAnsi="宋体"/>
          <w:b/>
        </w:rPr>
      </w:pPr>
      <w:r>
        <w:rPr>
          <w:rFonts w:hint="eastAsia" w:ascii="宋体" w:hAnsi="宋体"/>
          <w:b/>
        </w:rPr>
        <w:t>四</w:t>
      </w:r>
      <w:r>
        <w:rPr>
          <w:rFonts w:ascii="宋体" w:hAnsi="宋体"/>
          <w:b/>
        </w:rPr>
        <w:t>、</w:t>
      </w:r>
      <w:r>
        <w:rPr>
          <w:rFonts w:hint="eastAsia" w:ascii="宋体" w:hAnsi="宋体"/>
          <w:b/>
        </w:rPr>
        <w:t>资格审查部分</w:t>
      </w:r>
    </w:p>
    <w:p w14:paraId="66309D25">
      <w:pPr>
        <w:autoSpaceDE w:val="0"/>
        <w:autoSpaceDN w:val="0"/>
        <w:adjustRightInd w:val="0"/>
        <w:snapToGrid w:val="0"/>
        <w:spacing w:line="360" w:lineRule="auto"/>
        <w:ind w:firstLine="420"/>
        <w:rPr>
          <w:rFonts w:ascii="宋体" w:hAnsi="宋体"/>
          <w:snapToGrid w:val="0"/>
          <w:highlight w:val="none"/>
        </w:rPr>
      </w:pPr>
      <w:r>
        <w:rPr>
          <w:rFonts w:hint="eastAsia" w:ascii="宋体" w:hAnsi="宋体"/>
          <w:snapToGrid w:val="0"/>
          <w:highlight w:val="none"/>
        </w:rPr>
        <w:t>（一）法定代表人身份证明或授权委托书</w:t>
      </w:r>
    </w:p>
    <w:p w14:paraId="53417E7E">
      <w:pPr>
        <w:autoSpaceDE w:val="0"/>
        <w:autoSpaceDN w:val="0"/>
        <w:adjustRightInd w:val="0"/>
        <w:snapToGrid w:val="0"/>
        <w:spacing w:line="360" w:lineRule="auto"/>
        <w:ind w:firstLine="420"/>
        <w:rPr>
          <w:rFonts w:hint="eastAsia" w:ascii="宋体" w:hAnsi="宋体"/>
          <w:snapToGrid w:val="0"/>
          <w:highlight w:val="none"/>
        </w:rPr>
      </w:pPr>
      <w:r>
        <w:rPr>
          <w:rFonts w:hint="eastAsia" w:ascii="宋体" w:hAnsi="宋体"/>
          <w:snapToGrid w:val="0"/>
          <w:highlight w:val="none"/>
        </w:rPr>
        <w:t>（二）制造商资格声明</w:t>
      </w:r>
    </w:p>
    <w:p w14:paraId="6CA29FC7">
      <w:pPr>
        <w:autoSpaceDE w:val="0"/>
        <w:autoSpaceDN w:val="0"/>
        <w:adjustRightInd w:val="0"/>
        <w:snapToGrid w:val="0"/>
        <w:spacing w:line="360" w:lineRule="auto"/>
        <w:ind w:firstLine="420"/>
        <w:rPr>
          <w:rFonts w:ascii="宋体" w:hAnsi="宋体"/>
          <w:snapToGrid w:val="0"/>
          <w:highlight w:val="none"/>
        </w:rPr>
      </w:pPr>
      <w:r>
        <w:rPr>
          <w:rFonts w:hint="eastAsia" w:ascii="宋体" w:hAnsi="宋体"/>
          <w:snapToGrid w:val="0"/>
          <w:highlight w:val="none"/>
        </w:rPr>
        <w:t>（三）承诺</w:t>
      </w:r>
    </w:p>
    <w:p w14:paraId="7B03EDC2">
      <w:pPr>
        <w:autoSpaceDE w:val="0"/>
        <w:autoSpaceDN w:val="0"/>
        <w:adjustRightInd w:val="0"/>
        <w:snapToGrid w:val="0"/>
        <w:spacing w:line="360" w:lineRule="auto"/>
        <w:ind w:firstLine="420"/>
        <w:rPr>
          <w:rFonts w:ascii="宋体" w:hAnsi="宋体"/>
          <w:szCs w:val="21"/>
          <w:highlight w:val="none"/>
        </w:rPr>
      </w:pPr>
      <w:r>
        <w:rPr>
          <w:rFonts w:hint="eastAsia" w:ascii="宋体" w:hAnsi="宋体"/>
          <w:snapToGrid w:val="0"/>
          <w:highlight w:val="none"/>
        </w:rPr>
        <w:t>（</w:t>
      </w:r>
      <w:r>
        <w:rPr>
          <w:rFonts w:hint="eastAsia" w:ascii="宋体" w:hAnsi="宋体"/>
          <w:snapToGrid w:val="0"/>
          <w:highlight w:val="none"/>
          <w:lang w:val="en-US" w:eastAsia="zh-CN"/>
        </w:rPr>
        <w:t>四</w:t>
      </w:r>
      <w:r>
        <w:rPr>
          <w:rFonts w:hint="eastAsia" w:ascii="宋体" w:hAnsi="宋体"/>
          <w:snapToGrid w:val="0"/>
          <w:highlight w:val="none"/>
        </w:rPr>
        <w:t>）其他资料</w:t>
      </w:r>
    </w:p>
    <w:p w14:paraId="355962B8">
      <w:pPr>
        <w:spacing w:line="360" w:lineRule="auto"/>
        <w:ind w:firstLine="420" w:firstLineChars="200"/>
      </w:pPr>
    </w:p>
    <w:p w14:paraId="001002D8">
      <w:pPr>
        <w:autoSpaceDE w:val="0"/>
        <w:autoSpaceDN w:val="0"/>
        <w:adjustRightInd w:val="0"/>
        <w:spacing w:line="276" w:lineRule="auto"/>
        <w:ind w:right="-23"/>
        <w:jc w:val="left"/>
        <w:rPr>
          <w:rFonts w:ascii="宋体" w:hAnsi="宋体"/>
          <w:kern w:val="0"/>
          <w:szCs w:val="21"/>
          <w:u w:val="single"/>
        </w:rPr>
      </w:pPr>
      <w:r>
        <w:rPr>
          <w:rFonts w:ascii="宋体" w:hAnsi="宋体"/>
          <w:b/>
          <w:kern w:val="0"/>
          <w:sz w:val="24"/>
        </w:rPr>
        <w:br w:type="page"/>
      </w:r>
      <w:bookmarkStart w:id="1011" w:name="_Toc430530529"/>
      <w:bookmarkStart w:id="1012" w:name="_Toc277082642"/>
      <w:bookmarkStart w:id="1013" w:name="_Toc287607866"/>
      <w:bookmarkStart w:id="1014" w:name="_Toc287620813"/>
      <w:bookmarkStart w:id="1015" w:name="_Toc224103494"/>
    </w:p>
    <w:p w14:paraId="7EDA2024">
      <w:pPr>
        <w:pStyle w:val="3"/>
        <w:spacing w:line="360" w:lineRule="auto"/>
        <w:jc w:val="center"/>
        <w:rPr>
          <w:rFonts w:ascii="宋体" w:hAnsi="宋体"/>
          <w:b w:val="0"/>
          <w:bCs w:val="0"/>
          <w:sz w:val="44"/>
          <w:szCs w:val="44"/>
        </w:rPr>
      </w:pPr>
      <w:bookmarkStart w:id="1016" w:name="_Toc27174"/>
      <w:r>
        <w:rPr>
          <w:rFonts w:hint="eastAsia" w:ascii="宋体" w:hAnsi="宋体"/>
          <w:b w:val="0"/>
          <w:bCs w:val="0"/>
          <w:sz w:val="44"/>
          <w:szCs w:val="44"/>
        </w:rPr>
        <w:t>一、投标函部分</w:t>
      </w:r>
      <w:bookmarkEnd w:id="1011"/>
      <w:bookmarkEnd w:id="1012"/>
      <w:bookmarkEnd w:id="1013"/>
      <w:bookmarkEnd w:id="1014"/>
      <w:bookmarkEnd w:id="1015"/>
      <w:bookmarkEnd w:id="1016"/>
    </w:p>
    <w:p w14:paraId="19254CE3">
      <w:pPr>
        <w:tabs>
          <w:tab w:val="left" w:pos="2580"/>
          <w:tab w:val="left" w:pos="5940"/>
        </w:tabs>
        <w:autoSpaceDE w:val="0"/>
        <w:autoSpaceDN w:val="0"/>
        <w:adjustRightInd w:val="0"/>
        <w:snapToGrid w:val="0"/>
        <w:spacing w:line="360" w:lineRule="auto"/>
        <w:jc w:val="left"/>
        <w:rPr>
          <w:rFonts w:ascii="宋体" w:hAnsi="宋体"/>
          <w:kern w:val="0"/>
          <w:sz w:val="28"/>
          <w:szCs w:val="28"/>
        </w:rPr>
      </w:pPr>
      <w:r>
        <w:rPr>
          <w:rFonts w:ascii="宋体" w:hAnsi="宋体"/>
          <w:kern w:val="0"/>
          <w:sz w:val="28"/>
          <w:szCs w:val="28"/>
        </w:rPr>
        <w:br w:type="page"/>
      </w:r>
    </w:p>
    <w:p w14:paraId="5B842E71">
      <w:pPr>
        <w:spacing w:line="360" w:lineRule="auto"/>
        <w:jc w:val="center"/>
        <w:rPr>
          <w:rFonts w:ascii="宋体" w:hAnsi="宋体"/>
          <w:kern w:val="0"/>
          <w:sz w:val="32"/>
          <w:szCs w:val="32"/>
        </w:rPr>
      </w:pPr>
      <w:r>
        <w:rPr>
          <w:rFonts w:hint="eastAsia" w:ascii="宋体" w:hAnsi="宋体"/>
          <w:kern w:val="0"/>
          <w:sz w:val="32"/>
          <w:szCs w:val="32"/>
          <w:u w:val="single"/>
        </w:rPr>
        <w:t xml:space="preserve">                   （项目名称）</w:t>
      </w:r>
    </w:p>
    <w:p w14:paraId="6F1BA6B8">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FEF5D43">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7EF1F658">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0E2DC9ED">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7D83F20A">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17EFDBE">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7C64CC42">
      <w:pPr>
        <w:autoSpaceDE w:val="0"/>
        <w:autoSpaceDN w:val="0"/>
        <w:adjustRightInd w:val="0"/>
        <w:snapToGrid w:val="0"/>
        <w:spacing w:line="360" w:lineRule="auto"/>
        <w:jc w:val="left"/>
        <w:rPr>
          <w:rFonts w:ascii="宋体" w:hAnsi="宋体"/>
          <w:kern w:val="0"/>
          <w:sz w:val="16"/>
          <w:szCs w:val="16"/>
        </w:rPr>
      </w:pPr>
    </w:p>
    <w:p w14:paraId="2BCFCA78">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投标函部分</w:t>
      </w:r>
    </w:p>
    <w:p w14:paraId="54A4ABBC">
      <w:pPr>
        <w:autoSpaceDE w:val="0"/>
        <w:autoSpaceDN w:val="0"/>
        <w:adjustRightInd w:val="0"/>
        <w:snapToGrid w:val="0"/>
        <w:spacing w:line="360" w:lineRule="auto"/>
        <w:jc w:val="left"/>
        <w:rPr>
          <w:rFonts w:ascii="宋体" w:hAnsi="宋体"/>
          <w:b/>
          <w:kern w:val="0"/>
          <w:sz w:val="20"/>
          <w:szCs w:val="20"/>
        </w:rPr>
      </w:pPr>
    </w:p>
    <w:p w14:paraId="18BA4239">
      <w:pPr>
        <w:autoSpaceDE w:val="0"/>
        <w:autoSpaceDN w:val="0"/>
        <w:adjustRightInd w:val="0"/>
        <w:snapToGrid w:val="0"/>
        <w:spacing w:line="360" w:lineRule="auto"/>
        <w:jc w:val="left"/>
        <w:rPr>
          <w:rFonts w:ascii="宋体" w:hAnsi="宋体"/>
          <w:b/>
          <w:kern w:val="0"/>
          <w:sz w:val="20"/>
          <w:szCs w:val="20"/>
        </w:rPr>
      </w:pPr>
    </w:p>
    <w:p w14:paraId="07F446B8">
      <w:pPr>
        <w:autoSpaceDE w:val="0"/>
        <w:autoSpaceDN w:val="0"/>
        <w:adjustRightInd w:val="0"/>
        <w:snapToGrid w:val="0"/>
        <w:spacing w:line="360" w:lineRule="auto"/>
        <w:jc w:val="left"/>
        <w:rPr>
          <w:rFonts w:ascii="宋体" w:hAnsi="宋体"/>
          <w:b/>
          <w:kern w:val="0"/>
          <w:sz w:val="20"/>
          <w:szCs w:val="20"/>
        </w:rPr>
      </w:pPr>
    </w:p>
    <w:p w14:paraId="448FF7A6">
      <w:pPr>
        <w:autoSpaceDE w:val="0"/>
        <w:autoSpaceDN w:val="0"/>
        <w:adjustRightInd w:val="0"/>
        <w:snapToGrid w:val="0"/>
        <w:spacing w:line="360" w:lineRule="auto"/>
        <w:jc w:val="left"/>
        <w:rPr>
          <w:rFonts w:ascii="宋体" w:hAnsi="宋体"/>
          <w:b/>
          <w:kern w:val="0"/>
          <w:sz w:val="20"/>
          <w:szCs w:val="20"/>
        </w:rPr>
      </w:pPr>
    </w:p>
    <w:p w14:paraId="5191711E">
      <w:pPr>
        <w:autoSpaceDE w:val="0"/>
        <w:autoSpaceDN w:val="0"/>
        <w:adjustRightInd w:val="0"/>
        <w:snapToGrid w:val="0"/>
        <w:spacing w:line="360" w:lineRule="auto"/>
        <w:jc w:val="left"/>
        <w:rPr>
          <w:rFonts w:ascii="宋体" w:hAnsi="宋体"/>
          <w:b/>
          <w:kern w:val="0"/>
          <w:sz w:val="20"/>
          <w:szCs w:val="20"/>
        </w:rPr>
      </w:pPr>
    </w:p>
    <w:p w14:paraId="5E71E75E">
      <w:pPr>
        <w:autoSpaceDE w:val="0"/>
        <w:autoSpaceDN w:val="0"/>
        <w:adjustRightInd w:val="0"/>
        <w:snapToGrid w:val="0"/>
        <w:spacing w:line="360" w:lineRule="auto"/>
        <w:jc w:val="left"/>
        <w:rPr>
          <w:rFonts w:ascii="宋体" w:hAnsi="宋体"/>
          <w:b/>
          <w:kern w:val="0"/>
          <w:sz w:val="20"/>
          <w:szCs w:val="20"/>
        </w:rPr>
      </w:pPr>
    </w:p>
    <w:p w14:paraId="7FEC06D1">
      <w:pPr>
        <w:autoSpaceDE w:val="0"/>
        <w:autoSpaceDN w:val="0"/>
        <w:adjustRightInd w:val="0"/>
        <w:snapToGrid w:val="0"/>
        <w:spacing w:line="360" w:lineRule="auto"/>
        <w:jc w:val="left"/>
        <w:rPr>
          <w:rFonts w:ascii="宋体" w:hAnsi="宋体"/>
          <w:b/>
          <w:kern w:val="0"/>
          <w:sz w:val="20"/>
          <w:szCs w:val="20"/>
        </w:rPr>
      </w:pPr>
    </w:p>
    <w:p w14:paraId="19BB90F2">
      <w:pPr>
        <w:autoSpaceDE w:val="0"/>
        <w:autoSpaceDN w:val="0"/>
        <w:adjustRightInd w:val="0"/>
        <w:snapToGrid w:val="0"/>
        <w:spacing w:line="360" w:lineRule="auto"/>
        <w:jc w:val="left"/>
        <w:rPr>
          <w:rFonts w:ascii="宋体" w:hAnsi="宋体"/>
          <w:b/>
          <w:kern w:val="0"/>
          <w:sz w:val="20"/>
          <w:szCs w:val="20"/>
        </w:rPr>
      </w:pPr>
    </w:p>
    <w:p w14:paraId="27D90C0D">
      <w:pPr>
        <w:autoSpaceDE w:val="0"/>
        <w:autoSpaceDN w:val="0"/>
        <w:adjustRightInd w:val="0"/>
        <w:snapToGrid w:val="0"/>
        <w:spacing w:line="360" w:lineRule="auto"/>
        <w:jc w:val="left"/>
        <w:rPr>
          <w:rFonts w:ascii="宋体" w:hAnsi="宋体"/>
          <w:b/>
          <w:kern w:val="0"/>
          <w:sz w:val="20"/>
          <w:szCs w:val="20"/>
        </w:rPr>
      </w:pPr>
    </w:p>
    <w:p w14:paraId="6BEC7B8E">
      <w:pPr>
        <w:autoSpaceDE w:val="0"/>
        <w:autoSpaceDN w:val="0"/>
        <w:adjustRightInd w:val="0"/>
        <w:snapToGrid w:val="0"/>
        <w:spacing w:line="360" w:lineRule="auto"/>
        <w:jc w:val="left"/>
        <w:rPr>
          <w:rFonts w:ascii="宋体" w:hAnsi="宋体"/>
          <w:b/>
          <w:kern w:val="0"/>
          <w:sz w:val="20"/>
          <w:szCs w:val="20"/>
        </w:rPr>
      </w:pPr>
    </w:p>
    <w:p w14:paraId="57357A5C">
      <w:pPr>
        <w:autoSpaceDE w:val="0"/>
        <w:autoSpaceDN w:val="0"/>
        <w:adjustRightInd w:val="0"/>
        <w:snapToGrid w:val="0"/>
        <w:spacing w:line="360" w:lineRule="auto"/>
        <w:jc w:val="left"/>
        <w:rPr>
          <w:rFonts w:ascii="宋体" w:hAnsi="宋体"/>
          <w:b/>
          <w:kern w:val="0"/>
          <w:sz w:val="20"/>
          <w:szCs w:val="20"/>
        </w:rPr>
      </w:pPr>
    </w:p>
    <w:p w14:paraId="117A2035">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34EAB0FF">
      <w:pPr>
        <w:tabs>
          <w:tab w:val="left" w:pos="6080"/>
          <w:tab w:val="left" w:pos="664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3CD547FD">
      <w:pPr>
        <w:autoSpaceDE w:val="0"/>
        <w:autoSpaceDN w:val="0"/>
        <w:adjustRightInd w:val="0"/>
        <w:snapToGrid w:val="0"/>
        <w:spacing w:line="360" w:lineRule="auto"/>
        <w:jc w:val="center"/>
        <w:rPr>
          <w:rFonts w:ascii="宋体" w:hAnsi="宋体"/>
          <w:kern w:val="0"/>
          <w:sz w:val="24"/>
          <w:szCs w:val="21"/>
        </w:rPr>
      </w:pPr>
      <w:r>
        <w:rPr>
          <w:rFonts w:hint="eastAsia" w:ascii="宋体" w:hAnsi="宋体"/>
          <w:w w:val="99"/>
          <w:kern w:val="0"/>
          <w:sz w:val="28"/>
          <w:szCs w:val="28"/>
          <w:u w:val="single"/>
        </w:rPr>
        <w:t xml:space="preserve">    </w:t>
      </w:r>
      <w:r>
        <w:rPr>
          <w:rFonts w:hint="eastAsia" w:ascii="宋体" w:hAnsi="宋体"/>
          <w:w w:val="99"/>
          <w:kern w:val="0"/>
          <w:sz w:val="28"/>
          <w:szCs w:val="28"/>
        </w:rPr>
        <w:t>年</w:t>
      </w:r>
      <w:r>
        <w:rPr>
          <w:rFonts w:hint="eastAsia" w:ascii="宋体" w:hAnsi="宋体"/>
          <w:w w:val="99"/>
          <w:kern w:val="0"/>
          <w:sz w:val="28"/>
          <w:szCs w:val="28"/>
          <w:u w:val="single"/>
        </w:rPr>
        <w:t xml:space="preserve">    </w:t>
      </w:r>
      <w:r>
        <w:rPr>
          <w:rFonts w:hint="eastAsia" w:ascii="宋体" w:hAnsi="宋体"/>
          <w:w w:val="99"/>
          <w:kern w:val="0"/>
          <w:sz w:val="28"/>
          <w:szCs w:val="28"/>
        </w:rPr>
        <w:t>月</w:t>
      </w:r>
      <w:r>
        <w:rPr>
          <w:rFonts w:hint="eastAsia" w:ascii="宋体" w:hAnsi="宋体"/>
          <w:w w:val="99"/>
          <w:kern w:val="0"/>
          <w:sz w:val="28"/>
          <w:szCs w:val="28"/>
          <w:u w:val="single"/>
        </w:rPr>
        <w:t xml:space="preserve">    </w:t>
      </w:r>
      <w:r>
        <w:rPr>
          <w:rFonts w:hint="eastAsia" w:ascii="宋体" w:hAnsi="宋体"/>
          <w:w w:val="99"/>
          <w:kern w:val="0"/>
          <w:sz w:val="28"/>
          <w:szCs w:val="28"/>
        </w:rPr>
        <w:t>日</w:t>
      </w:r>
      <w:r>
        <w:rPr>
          <w:rFonts w:ascii="宋体" w:hAnsi="宋体"/>
          <w:kern w:val="0"/>
          <w:sz w:val="24"/>
          <w:szCs w:val="21"/>
        </w:rPr>
        <w:br w:type="page"/>
      </w:r>
    </w:p>
    <w:p w14:paraId="0FC883B4">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目  录</w:t>
      </w:r>
    </w:p>
    <w:p w14:paraId="7A4ED00B">
      <w:pPr>
        <w:autoSpaceDE w:val="0"/>
        <w:autoSpaceDN w:val="0"/>
        <w:adjustRightInd w:val="0"/>
        <w:snapToGrid w:val="0"/>
        <w:spacing w:line="360" w:lineRule="auto"/>
        <w:jc w:val="left"/>
        <w:rPr>
          <w:rFonts w:ascii="宋体" w:hAnsi="宋体"/>
          <w:kern w:val="0"/>
          <w:sz w:val="24"/>
          <w:szCs w:val="21"/>
        </w:rPr>
      </w:pPr>
    </w:p>
    <w:p w14:paraId="3808CA41">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rPr>
        <w:t>（一）投标函</w:t>
      </w:r>
    </w:p>
    <w:p w14:paraId="61977E40">
      <w:pPr>
        <w:autoSpaceDE w:val="0"/>
        <w:autoSpaceDN w:val="0"/>
        <w:adjustRightInd w:val="0"/>
        <w:spacing w:line="360" w:lineRule="auto"/>
        <w:ind w:firstLine="480" w:firstLineChars="200"/>
        <w:jc w:val="left"/>
        <w:rPr>
          <w:rFonts w:ascii="宋体" w:hAnsi="宋体"/>
          <w:kern w:val="0"/>
          <w:sz w:val="24"/>
          <w:highlight w:val="none"/>
        </w:rPr>
      </w:pPr>
      <w:r>
        <w:rPr>
          <w:rFonts w:ascii="宋体" w:hAnsi="宋体"/>
          <w:kern w:val="0"/>
          <w:sz w:val="24"/>
        </w:rPr>
        <w:t>（二）</w:t>
      </w:r>
      <w:r>
        <w:rPr>
          <w:rFonts w:hint="eastAsia" w:ascii="宋体" w:hAnsi="宋体"/>
          <w:kern w:val="0"/>
          <w:sz w:val="24"/>
        </w:rPr>
        <w:t>分项</w:t>
      </w:r>
      <w:r>
        <w:rPr>
          <w:rFonts w:hint="eastAsia" w:ascii="宋体" w:hAnsi="宋体"/>
          <w:kern w:val="0"/>
          <w:sz w:val="24"/>
          <w:highlight w:val="none"/>
        </w:rPr>
        <w:t>报价表</w:t>
      </w:r>
    </w:p>
    <w:p w14:paraId="77038F82">
      <w:pPr>
        <w:autoSpaceDE w:val="0"/>
        <w:autoSpaceDN w:val="0"/>
        <w:adjustRightInd w:val="0"/>
        <w:spacing w:line="360" w:lineRule="auto"/>
        <w:ind w:firstLine="480" w:firstLineChars="200"/>
        <w:jc w:val="left"/>
        <w:rPr>
          <w:rFonts w:ascii="宋体" w:hAnsi="宋体"/>
          <w:kern w:val="0"/>
          <w:sz w:val="24"/>
        </w:rPr>
      </w:pPr>
      <w:r>
        <w:rPr>
          <w:rFonts w:ascii="宋体" w:hAnsi="宋体"/>
          <w:kern w:val="0"/>
          <w:sz w:val="24"/>
          <w:highlight w:val="none"/>
        </w:rPr>
        <w:t>（三）</w:t>
      </w:r>
      <w:r>
        <w:rPr>
          <w:rFonts w:hint="eastAsia" w:ascii="宋体" w:hAnsi="宋体"/>
          <w:kern w:val="0"/>
          <w:sz w:val="24"/>
          <w:highlight w:val="none"/>
        </w:rPr>
        <w:t>法定</w:t>
      </w:r>
      <w:r>
        <w:rPr>
          <w:rFonts w:hint="eastAsia" w:ascii="宋体" w:hAnsi="宋体"/>
          <w:kern w:val="0"/>
          <w:sz w:val="24"/>
        </w:rPr>
        <w:t>代表人身份证明或授权委托书</w:t>
      </w:r>
    </w:p>
    <w:p w14:paraId="07A2D348">
      <w:pPr>
        <w:pStyle w:val="4"/>
        <w:spacing w:before="0" w:after="0" w:line="240" w:lineRule="auto"/>
        <w:jc w:val="center"/>
        <w:rPr>
          <w:rFonts w:ascii="宋体" w:hAnsi="宋体"/>
          <w:b w:val="0"/>
        </w:rPr>
      </w:pPr>
      <w:bookmarkStart w:id="1017" w:name="_Toc430530530"/>
      <w:bookmarkStart w:id="1018" w:name="_Toc277082643"/>
      <w:bookmarkStart w:id="1019" w:name="_Toc224103495"/>
      <w:bookmarkStart w:id="1020" w:name="_Toc509218854"/>
      <w:bookmarkStart w:id="1021" w:name="_Toc287620814"/>
      <w:bookmarkStart w:id="1022" w:name="_Toc534185831"/>
      <w:bookmarkStart w:id="1023" w:name="_Toc287607867"/>
      <w:r>
        <w:rPr>
          <w:rFonts w:ascii="宋体" w:hAnsi="宋体"/>
        </w:rPr>
        <w:br w:type="page"/>
      </w:r>
      <w:bookmarkStart w:id="1024" w:name="_Toc6793"/>
      <w:r>
        <w:rPr>
          <w:rFonts w:hint="eastAsia" w:ascii="宋体" w:hAnsi="宋体"/>
          <w:b w:val="0"/>
          <w:bCs w:val="0"/>
        </w:rPr>
        <w:t>（一）投标函</w:t>
      </w:r>
      <w:bookmarkEnd w:id="1017"/>
      <w:bookmarkEnd w:id="1018"/>
      <w:bookmarkEnd w:id="1019"/>
      <w:bookmarkEnd w:id="1020"/>
      <w:bookmarkEnd w:id="1021"/>
      <w:bookmarkEnd w:id="1022"/>
      <w:bookmarkEnd w:id="1023"/>
      <w:bookmarkEnd w:id="1024"/>
    </w:p>
    <w:p w14:paraId="098B369B">
      <w:pPr>
        <w:tabs>
          <w:tab w:val="left" w:pos="2640"/>
        </w:tabs>
        <w:autoSpaceDE w:val="0"/>
        <w:autoSpaceDN w:val="0"/>
        <w:adjustRightInd w:val="0"/>
        <w:spacing w:line="400" w:lineRule="exact"/>
        <w:rPr>
          <w:rFonts w:ascii="宋体" w:hAnsi="宋体"/>
          <w:snapToGrid w:val="0"/>
          <w:kern w:val="0"/>
          <w:szCs w:val="21"/>
        </w:rPr>
      </w:pPr>
      <w:r>
        <w:rPr>
          <w:rFonts w:ascii="宋体" w:hAnsi="宋体"/>
          <w:snapToGrid w:val="0"/>
          <w:kern w:val="0"/>
          <w:szCs w:val="21"/>
          <w:u w:val="single"/>
        </w:rPr>
        <w:tab/>
      </w:r>
      <w:r>
        <w:rPr>
          <w:rFonts w:ascii="宋体" w:hAnsi="宋体"/>
          <w:snapToGrid w:val="0"/>
          <w:kern w:val="0"/>
          <w:szCs w:val="21"/>
          <w:u w:val="single"/>
        </w:rPr>
        <w:t>（招标人名称）</w:t>
      </w:r>
      <w:r>
        <w:rPr>
          <w:rFonts w:ascii="宋体" w:hAnsi="宋体"/>
          <w:snapToGrid w:val="0"/>
          <w:kern w:val="0"/>
          <w:szCs w:val="21"/>
        </w:rPr>
        <w:t>：</w:t>
      </w:r>
    </w:p>
    <w:p w14:paraId="32665CD8">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highlight w:val="none"/>
        </w:rPr>
      </w:pPr>
      <w:r>
        <w:rPr>
          <w:rFonts w:ascii="宋体" w:hAnsi="宋体"/>
          <w:snapToGrid w:val="0"/>
          <w:kern w:val="0"/>
          <w:szCs w:val="21"/>
        </w:rPr>
        <w:t>1</w:t>
      </w:r>
      <w:r>
        <w:rPr>
          <w:rFonts w:hint="eastAsia" w:ascii="宋体" w:hAnsi="宋体"/>
          <w:snapToGrid w:val="0"/>
          <w:kern w:val="0"/>
          <w:szCs w:val="21"/>
        </w:rPr>
        <w:t xml:space="preserve">. </w:t>
      </w:r>
      <w:r>
        <w:rPr>
          <w:rFonts w:ascii="宋体" w:hAnsi="宋体"/>
          <w:snapToGrid w:val="0"/>
          <w:kern w:val="0"/>
          <w:szCs w:val="21"/>
        </w:rPr>
        <w:t>我方已仔细研究了</w:t>
      </w:r>
      <w:r>
        <w:rPr>
          <w:rFonts w:ascii="宋体" w:hAnsi="宋体"/>
          <w:snapToGrid w:val="0"/>
          <w:kern w:val="0"/>
          <w:szCs w:val="21"/>
          <w:u w:val="single"/>
        </w:rPr>
        <w:t xml:space="preserve"> </w:t>
      </w:r>
      <w:r>
        <w:rPr>
          <w:rFonts w:ascii="宋体" w:hAnsi="宋体"/>
          <w:snapToGrid w:val="0"/>
          <w:kern w:val="0"/>
          <w:szCs w:val="21"/>
          <w:u w:val="single"/>
        </w:rPr>
        <w:tab/>
      </w:r>
      <w:r>
        <w:rPr>
          <w:rFonts w:ascii="宋体" w:hAnsi="宋体"/>
          <w:snapToGrid w:val="0"/>
          <w:kern w:val="0"/>
          <w:szCs w:val="21"/>
          <w:u w:val="single"/>
        </w:rPr>
        <w:tab/>
      </w:r>
      <w:r>
        <w:rPr>
          <w:rFonts w:ascii="宋体" w:hAnsi="宋体"/>
          <w:snapToGrid w:val="0"/>
          <w:kern w:val="0"/>
          <w:szCs w:val="21"/>
        </w:rPr>
        <w:t>（项目名称）招标文件的全部内容，</w:t>
      </w:r>
      <w:r>
        <w:rPr>
          <w:rFonts w:hint="eastAsia" w:ascii="宋体" w:hAnsi="宋体"/>
          <w:snapToGrid w:val="0"/>
          <w:kern w:val="0"/>
          <w:szCs w:val="21"/>
        </w:rPr>
        <w:t>对投标文件中响应招标文件商务、技术评审要求的投标货物，</w:t>
      </w:r>
      <w:r>
        <w:rPr>
          <w:rFonts w:ascii="宋体" w:hAnsi="宋体"/>
          <w:snapToGrid w:val="0"/>
          <w:kern w:val="0"/>
          <w:szCs w:val="21"/>
        </w:rPr>
        <w:t>愿意以下列方式进行</w:t>
      </w:r>
      <w:r>
        <w:rPr>
          <w:rFonts w:ascii="宋体" w:hAnsi="宋体"/>
          <w:snapToGrid w:val="0"/>
          <w:kern w:val="0"/>
          <w:szCs w:val="21"/>
          <w:highlight w:val="none"/>
        </w:rPr>
        <w:t>报价</w:t>
      </w:r>
      <w:r>
        <w:rPr>
          <w:rFonts w:hint="eastAsia" w:ascii="宋体" w:hAnsi="宋体"/>
          <w:snapToGrid w:val="0"/>
          <w:kern w:val="0"/>
          <w:szCs w:val="21"/>
          <w:highlight w:val="none"/>
        </w:rPr>
        <w:t>：</w:t>
      </w:r>
    </w:p>
    <w:p w14:paraId="6557F49E">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hint="eastAsia" w:ascii="宋体" w:hAnsi="宋体" w:eastAsia="宋体" w:cs="宋体"/>
          <w:szCs w:val="21"/>
          <w:highlight w:val="none"/>
          <w:u w:val="single"/>
          <w:lang w:eastAsia="zh-CN"/>
        </w:rPr>
      </w:pPr>
      <w:r>
        <w:rPr>
          <w:rFonts w:hint="eastAsia" w:ascii="宋体" w:hAnsi="宋体" w:cs="宋体"/>
          <w:szCs w:val="21"/>
          <w:highlight w:val="none"/>
        </w:rPr>
        <w:t>投标报价为人民币（大写）</w:t>
      </w:r>
      <w:r>
        <w:rPr>
          <w:rFonts w:hint="eastAsia" w:ascii="宋体" w:hAnsi="宋体" w:cs="宋体"/>
          <w:szCs w:val="21"/>
          <w:highlight w:val="none"/>
          <w:u w:val="single"/>
        </w:rPr>
        <w:t xml:space="preserve">        </w:t>
      </w:r>
      <w:r>
        <w:rPr>
          <w:rFonts w:hint="eastAsia" w:ascii="宋体" w:hAnsi="宋体" w:cs="宋体"/>
          <w:szCs w:val="21"/>
          <w:highlight w:val="none"/>
        </w:rPr>
        <w:t>（¥</w:t>
      </w:r>
      <w:r>
        <w:rPr>
          <w:rFonts w:hint="eastAsia" w:ascii="宋体" w:hAnsi="宋体" w:cs="宋体"/>
          <w:szCs w:val="21"/>
          <w:highlight w:val="none"/>
          <w:u w:val="single"/>
        </w:rPr>
        <w:t xml:space="preserve">        </w:t>
      </w:r>
      <w:r>
        <w:rPr>
          <w:rFonts w:hint="eastAsia" w:ascii="宋体" w:hAnsi="宋体" w:cs="宋体"/>
          <w:szCs w:val="21"/>
          <w:highlight w:val="none"/>
        </w:rPr>
        <w:t>），</w:t>
      </w:r>
      <w:r>
        <w:rPr>
          <w:highlight w:val="none"/>
        </w:rPr>
        <w:t>增值税</w:t>
      </w:r>
      <w:r>
        <w:rPr>
          <w:spacing w:val="-3"/>
          <w:highlight w:val="none"/>
        </w:rPr>
        <w:t>税</w:t>
      </w:r>
      <w:r>
        <w:rPr>
          <w:highlight w:val="none"/>
        </w:rPr>
        <w:t>率</w:t>
      </w:r>
      <w:r>
        <w:rPr>
          <w:spacing w:val="-1"/>
          <w:highlight w:val="none"/>
        </w:rPr>
        <w:t>为</w:t>
      </w:r>
      <w:r>
        <w:rPr>
          <w:rFonts w:eastAsia="Times New Roman"/>
          <w:highlight w:val="none"/>
          <w:u w:val="single"/>
        </w:rPr>
        <w:t xml:space="preserve"> </w:t>
      </w:r>
      <w:r>
        <w:rPr>
          <w:rFonts w:hint="eastAsia" w:eastAsia="宋体"/>
          <w:highlight w:val="none"/>
          <w:u w:val="single"/>
          <w:lang w:val="en-US" w:eastAsia="zh-CN"/>
        </w:rPr>
        <w:t>13%</w:t>
      </w:r>
      <w:r>
        <w:rPr>
          <w:rFonts w:hint="eastAsia"/>
          <w:spacing w:val="-36"/>
          <w:sz w:val="28"/>
          <w:highlight w:val="none"/>
          <w:u w:val="single"/>
        </w:rPr>
        <w:t xml:space="preserve">  </w:t>
      </w:r>
      <w:r>
        <w:rPr>
          <w:rFonts w:hint="eastAsia"/>
          <w:spacing w:val="-36"/>
          <w:sz w:val="28"/>
          <w:highlight w:val="none"/>
          <w:u w:val="single"/>
          <w:lang w:eastAsia="zh-CN"/>
        </w:rPr>
        <w:t>。</w:t>
      </w:r>
    </w:p>
    <w:p w14:paraId="4236575D">
      <w:pPr>
        <w:tabs>
          <w:tab w:val="left" w:pos="2655"/>
          <w:tab w:val="left" w:pos="3520"/>
          <w:tab w:val="left" w:pos="4920"/>
          <w:tab w:val="left" w:pos="5715"/>
          <w:tab w:val="left" w:pos="6945"/>
          <w:tab w:val="left" w:pos="798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highlight w:val="none"/>
        </w:rPr>
        <w:t>交货期</w:t>
      </w:r>
      <w:r>
        <w:rPr>
          <w:rFonts w:hint="eastAsia" w:ascii="宋体" w:hAnsi="宋体"/>
          <w:snapToGrid w:val="0"/>
          <w:kern w:val="0"/>
          <w:szCs w:val="21"/>
          <w:highlight w:val="none"/>
          <w:lang w:eastAsia="zh-CN"/>
        </w:rPr>
        <w:t>：</w:t>
      </w:r>
      <w:r>
        <w:rPr>
          <w:rFonts w:hint="eastAsia" w:ascii="宋体" w:hAnsi="宋体"/>
          <w:snapToGrid w:val="0"/>
          <w:kern w:val="0"/>
          <w:szCs w:val="21"/>
          <w:highlight w:val="none"/>
          <w:u w:val="single"/>
        </w:rPr>
        <w:t>符合招标文件的要求</w:t>
      </w:r>
      <w:r>
        <w:rPr>
          <w:rFonts w:ascii="宋体" w:hAnsi="宋体"/>
          <w:snapToGrid w:val="0"/>
          <w:kern w:val="0"/>
          <w:szCs w:val="21"/>
          <w:highlight w:val="none"/>
        </w:rPr>
        <w:t>，</w:t>
      </w:r>
      <w:r>
        <w:rPr>
          <w:rFonts w:hint="eastAsia" w:ascii="宋体" w:hAnsi="宋体"/>
          <w:snapToGrid w:val="0"/>
          <w:kern w:val="0"/>
          <w:szCs w:val="21"/>
          <w:highlight w:val="none"/>
        </w:rPr>
        <w:t>交货地点</w:t>
      </w:r>
      <w:r>
        <w:rPr>
          <w:rFonts w:hint="eastAsia" w:ascii="宋体" w:hAnsi="宋体"/>
          <w:snapToGrid w:val="0"/>
          <w:kern w:val="0"/>
          <w:szCs w:val="21"/>
          <w:highlight w:val="none"/>
          <w:lang w:eastAsia="zh-CN"/>
        </w:rPr>
        <w:t>：</w:t>
      </w:r>
      <w:r>
        <w:rPr>
          <w:rFonts w:hint="eastAsia" w:ascii="宋体" w:hAnsi="宋体"/>
          <w:snapToGrid w:val="0"/>
          <w:kern w:val="0"/>
          <w:szCs w:val="21"/>
          <w:highlight w:val="none"/>
          <w:u w:val="single"/>
        </w:rPr>
        <w:t>符合招标文件的要求</w:t>
      </w:r>
      <w:r>
        <w:rPr>
          <w:rFonts w:ascii="宋体" w:hAnsi="宋体"/>
          <w:snapToGrid w:val="0"/>
          <w:kern w:val="0"/>
          <w:szCs w:val="21"/>
          <w:highlight w:val="none"/>
        </w:rPr>
        <w:t>，按</w:t>
      </w:r>
      <w:r>
        <w:rPr>
          <w:rFonts w:ascii="宋体" w:hAnsi="宋体"/>
          <w:snapToGrid w:val="0"/>
          <w:kern w:val="0"/>
          <w:szCs w:val="21"/>
        </w:rPr>
        <w:t>合同约定</w:t>
      </w:r>
      <w:r>
        <w:rPr>
          <w:rFonts w:hint="eastAsia" w:ascii="宋体" w:hAnsi="宋体"/>
          <w:snapToGrid w:val="0"/>
          <w:kern w:val="0"/>
          <w:szCs w:val="21"/>
        </w:rPr>
        <w:t>履行义务</w:t>
      </w:r>
      <w:r>
        <w:rPr>
          <w:rFonts w:ascii="宋体" w:hAnsi="宋体"/>
          <w:snapToGrid w:val="0"/>
          <w:kern w:val="0"/>
          <w:szCs w:val="21"/>
        </w:rPr>
        <w:t>。</w:t>
      </w:r>
    </w:p>
    <w:p w14:paraId="511F8806">
      <w:pPr>
        <w:autoSpaceDE w:val="0"/>
        <w:autoSpaceDN w:val="0"/>
        <w:adjustRightInd w:val="0"/>
        <w:spacing w:line="400" w:lineRule="exact"/>
        <w:ind w:firstLine="420" w:firstLineChars="200"/>
      </w:pPr>
      <w:r>
        <w:rPr>
          <w:rFonts w:ascii="宋体" w:hAnsi="宋体"/>
          <w:snapToGrid w:val="0"/>
          <w:kern w:val="0"/>
          <w:szCs w:val="21"/>
        </w:rPr>
        <w:t>2</w:t>
      </w:r>
      <w:r>
        <w:rPr>
          <w:rFonts w:hint="eastAsia" w:ascii="宋体" w:hAnsi="宋体"/>
          <w:snapToGrid w:val="0"/>
          <w:kern w:val="0"/>
          <w:szCs w:val="21"/>
        </w:rPr>
        <w:t xml:space="preserve">. </w:t>
      </w:r>
      <w:r>
        <w:t>我方响应招标文件的全部要求。</w:t>
      </w:r>
    </w:p>
    <w:p w14:paraId="5FF3EF1A">
      <w:pPr>
        <w:tabs>
          <w:tab w:val="left" w:pos="1620"/>
        </w:tabs>
        <w:adjustRightInd w:val="0"/>
        <w:snapToGrid w:val="0"/>
        <w:spacing w:line="400" w:lineRule="exact"/>
        <w:ind w:firstLine="422" w:firstLineChars="200"/>
        <w:jc w:val="left"/>
        <w:rPr>
          <w:rFonts w:ascii="宋体" w:hAnsi="宋体" w:cs="宋体"/>
          <w:b/>
          <w:bCs/>
          <w:color w:val="000000"/>
          <w:szCs w:val="21"/>
        </w:rPr>
      </w:pPr>
      <w:r>
        <w:rPr>
          <w:rFonts w:hint="eastAsia" w:ascii="宋体" w:hAnsi="宋体" w:cs="宋体"/>
          <w:b/>
          <w:bCs/>
          <w:color w:val="000000"/>
          <w:szCs w:val="21"/>
        </w:rPr>
        <w:t>（</w:t>
      </w:r>
      <w:r>
        <w:rPr>
          <w:rFonts w:hint="eastAsia" w:ascii="宋体" w:hAnsi="宋体" w:cs="宋体"/>
          <w:b/>
          <w:bCs/>
          <w:color w:val="000000"/>
          <w:szCs w:val="21"/>
          <w:lang w:val="en-US" w:eastAsia="zh-CN"/>
        </w:rPr>
        <w:t>1</w:t>
      </w:r>
      <w:r>
        <w:rPr>
          <w:rFonts w:hint="eastAsia" w:ascii="宋体" w:hAnsi="宋体" w:cs="宋体"/>
          <w:b/>
          <w:bCs/>
          <w:color w:val="000000"/>
          <w:szCs w:val="21"/>
        </w:rPr>
        <w:t>）质量保质期：所有设备自验收合格并交付业主使用时起</w:t>
      </w:r>
      <w:r>
        <w:rPr>
          <w:rFonts w:hint="eastAsia" w:ascii="宋体" w:hAnsi="宋体" w:cs="宋体"/>
          <w:b/>
          <w:bCs/>
          <w:color w:val="000000"/>
          <w:szCs w:val="21"/>
          <w:u w:val="single"/>
        </w:rPr>
        <w:t xml:space="preserve">    </w:t>
      </w:r>
      <w:r>
        <w:rPr>
          <w:rFonts w:hint="eastAsia" w:ascii="宋体" w:hAnsi="宋体" w:cs="宋体"/>
          <w:b/>
          <w:bCs/>
          <w:color w:val="000000"/>
          <w:szCs w:val="21"/>
        </w:rPr>
        <w:t>个月。</w:t>
      </w:r>
    </w:p>
    <w:p w14:paraId="1ED8C0ED">
      <w:pPr>
        <w:tabs>
          <w:tab w:val="left" w:pos="1620"/>
        </w:tabs>
        <w:adjustRightInd w:val="0"/>
        <w:snapToGrid w:val="0"/>
        <w:spacing w:line="400" w:lineRule="exact"/>
        <w:ind w:firstLine="422" w:firstLineChars="200"/>
        <w:jc w:val="left"/>
        <w:rPr>
          <w:rFonts w:hint="eastAsia" w:ascii="宋体" w:hAnsi="宋体" w:eastAsia="宋体" w:cs="宋体"/>
          <w:b/>
          <w:bCs/>
          <w:color w:val="000000"/>
          <w:szCs w:val="21"/>
          <w:lang w:eastAsia="zh-CN"/>
        </w:rPr>
      </w:pPr>
      <w:r>
        <w:rPr>
          <w:rFonts w:hint="eastAsia" w:ascii="宋体" w:hAnsi="宋体" w:cs="宋体"/>
          <w:b/>
          <w:bCs/>
          <w:color w:val="000000"/>
          <w:szCs w:val="21"/>
        </w:rPr>
        <w:t>（</w:t>
      </w:r>
      <w:r>
        <w:rPr>
          <w:rFonts w:hint="eastAsia" w:ascii="宋体" w:hAnsi="宋体" w:cs="宋体"/>
          <w:b/>
          <w:bCs/>
          <w:color w:val="000000"/>
          <w:szCs w:val="21"/>
          <w:lang w:val="en-US" w:eastAsia="zh-CN"/>
        </w:rPr>
        <w:t>2</w:t>
      </w:r>
      <w:r>
        <w:rPr>
          <w:rFonts w:hint="eastAsia" w:ascii="宋体" w:hAnsi="宋体" w:cs="宋体"/>
          <w:b/>
          <w:bCs/>
          <w:color w:val="000000"/>
          <w:szCs w:val="21"/>
        </w:rPr>
        <w:t xml:space="preserve">）我方投标中所有设备、部件品牌 </w:t>
      </w:r>
      <w:r>
        <w:rPr>
          <w:rFonts w:hint="eastAsia" w:ascii="宋体" w:hAnsi="宋体" w:cs="宋体"/>
          <w:b/>
          <w:bCs/>
          <w:color w:val="000000"/>
          <w:szCs w:val="21"/>
          <w:lang w:eastAsia="zh-CN"/>
        </w:rPr>
        <w:t>（</w:t>
      </w:r>
      <w:r>
        <w:rPr>
          <w:rFonts w:hint="eastAsia" w:ascii="宋体" w:hAnsi="宋体" w:cs="宋体"/>
          <w:b/>
          <w:bCs/>
          <w:color w:val="000000"/>
          <w:szCs w:val="21"/>
        </w:rPr>
        <w:t xml:space="preserve"> □都满足或□未满足）第五章“供货要求”的所有设备、部件推荐品牌之一</w:t>
      </w:r>
      <w:r>
        <w:rPr>
          <w:rFonts w:hint="eastAsia" w:ascii="宋体" w:hAnsi="宋体" w:cs="宋体"/>
          <w:b/>
          <w:bCs/>
          <w:color w:val="000000"/>
          <w:szCs w:val="21"/>
          <w:lang w:eastAsia="zh-CN"/>
        </w:rPr>
        <w:t>。</w:t>
      </w:r>
    </w:p>
    <w:p w14:paraId="1273B8DC">
      <w:pPr>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3. </w:t>
      </w:r>
      <w:r>
        <w:rPr>
          <w:rFonts w:ascii="宋体" w:hAnsi="宋体"/>
          <w:snapToGrid w:val="0"/>
          <w:kern w:val="0"/>
          <w:szCs w:val="21"/>
        </w:rPr>
        <w:t>我方承诺</w:t>
      </w:r>
      <w:r>
        <w:rPr>
          <w:rFonts w:hint="eastAsia" w:ascii="宋体" w:hAnsi="宋体"/>
          <w:snapToGrid w:val="0"/>
          <w:kern w:val="0"/>
          <w:szCs w:val="21"/>
        </w:rPr>
        <w:t>响应招标文件规定的投标有效期，</w:t>
      </w:r>
      <w:r>
        <w:rPr>
          <w:rFonts w:ascii="宋体" w:hAnsi="宋体"/>
          <w:snapToGrid w:val="0"/>
          <w:kern w:val="0"/>
          <w:szCs w:val="21"/>
        </w:rPr>
        <w:t>在投标有效期内不修改、撤销投标文件。</w:t>
      </w:r>
    </w:p>
    <w:p w14:paraId="2D2F14DE">
      <w:pPr>
        <w:tabs>
          <w:tab w:val="left" w:pos="2730"/>
          <w:tab w:val="left" w:pos="7980"/>
        </w:tabs>
        <w:autoSpaceDE w:val="0"/>
        <w:autoSpaceDN w:val="0"/>
        <w:adjustRightInd w:val="0"/>
        <w:spacing w:line="400" w:lineRule="exact"/>
        <w:ind w:firstLine="420" w:firstLineChars="200"/>
        <w:rPr>
          <w:rFonts w:ascii="宋体" w:hAnsi="宋体"/>
          <w:snapToGrid w:val="0"/>
          <w:kern w:val="0"/>
          <w:sz w:val="10"/>
          <w:szCs w:val="10"/>
        </w:rPr>
      </w:pPr>
      <w:r>
        <w:rPr>
          <w:rFonts w:hint="eastAsia" w:ascii="宋体" w:hAnsi="宋体"/>
          <w:snapToGrid w:val="0"/>
          <w:kern w:val="0"/>
          <w:szCs w:val="21"/>
        </w:rPr>
        <w:t xml:space="preserve">4. </w:t>
      </w:r>
      <w:r>
        <w:rPr>
          <w:rFonts w:ascii="宋体" w:hAnsi="宋体"/>
          <w:snapToGrid w:val="0"/>
          <w:kern w:val="0"/>
          <w:szCs w:val="21"/>
        </w:rPr>
        <w:t>随同本投标函提交投标保证金一份，金额为人民币（大写）</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投标保证金有效期</w:t>
      </w:r>
      <w:r>
        <w:rPr>
          <w:rFonts w:ascii="宋体" w:hAnsi="宋体"/>
          <w:snapToGrid w:val="0"/>
          <w:kern w:val="0"/>
          <w:szCs w:val="21"/>
        </w:rPr>
        <w:t>与</w:t>
      </w:r>
      <w:r>
        <w:rPr>
          <w:rFonts w:hint="eastAsia" w:ascii="宋体" w:hAnsi="宋体"/>
          <w:snapToGrid w:val="0"/>
          <w:kern w:val="0"/>
          <w:szCs w:val="21"/>
        </w:rPr>
        <w:t>投标有效期</w:t>
      </w:r>
      <w:r>
        <w:rPr>
          <w:rFonts w:ascii="宋体" w:hAnsi="宋体"/>
          <w:snapToGrid w:val="0"/>
          <w:kern w:val="0"/>
          <w:szCs w:val="21"/>
        </w:rPr>
        <w:t>一致，在此期间，若我方违反招投标有关法律、法规及本招标文件的相关规定，投标保证金的受益人为招标人。</w:t>
      </w:r>
    </w:p>
    <w:p w14:paraId="43166EC7">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5. </w:t>
      </w:r>
      <w:r>
        <w:rPr>
          <w:rFonts w:ascii="宋体" w:hAnsi="宋体"/>
          <w:snapToGrid w:val="0"/>
          <w:kern w:val="0"/>
          <w:szCs w:val="21"/>
        </w:rPr>
        <w:t>如我方中标</w:t>
      </w:r>
      <w:r>
        <w:rPr>
          <w:rFonts w:hint="eastAsia" w:ascii="宋体" w:hAnsi="宋体"/>
          <w:snapToGrid w:val="0"/>
          <w:kern w:val="0"/>
          <w:szCs w:val="21"/>
        </w:rPr>
        <w:t>，</w:t>
      </w:r>
      <w:r>
        <w:rPr>
          <w:rFonts w:ascii="宋体" w:hAnsi="宋体"/>
          <w:snapToGrid w:val="0"/>
          <w:kern w:val="0"/>
          <w:szCs w:val="21"/>
        </w:rPr>
        <w:t>我方承诺：</w:t>
      </w:r>
    </w:p>
    <w:p w14:paraId="5112B0BA">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（1）在收到中标通知书后，在中标通知书规定的期限内与你方签订合同；</w:t>
      </w:r>
    </w:p>
    <w:p w14:paraId="5836EF6D">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（2）在签订合同时不向你方提出附加条件；</w:t>
      </w:r>
    </w:p>
    <w:p w14:paraId="7D092169">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（3）按照招标文件要求提交履约保证金；</w:t>
      </w:r>
    </w:p>
    <w:p w14:paraId="064D9E87">
      <w:pPr>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（4）在合同约定的期限内完成合同规定的全部义务。</w:t>
      </w:r>
    </w:p>
    <w:p w14:paraId="41C389BF">
      <w:pPr>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 xml:space="preserve">6. </w:t>
      </w:r>
      <w:r>
        <w:rPr>
          <w:rFonts w:ascii="宋体" w:hAnsi="宋体"/>
          <w:snapToGrid w:val="0"/>
          <w:kern w:val="0"/>
          <w:szCs w:val="21"/>
        </w:rPr>
        <w:t>我方</w:t>
      </w:r>
      <w:r>
        <w:rPr>
          <w:rFonts w:ascii="宋体" w:hAnsi="宋体"/>
          <w:snapToGrid w:val="0"/>
          <w:spacing w:val="-2"/>
          <w:kern w:val="0"/>
          <w:szCs w:val="21"/>
        </w:rPr>
        <w:t>在此声明，所递交的投标文件及有关资料内容完整、真实和准确，</w:t>
      </w:r>
      <w:r>
        <w:rPr>
          <w:rFonts w:ascii="宋体" w:hAnsi="宋体"/>
          <w:snapToGrid w:val="0"/>
          <w:kern w:val="0"/>
          <w:szCs w:val="21"/>
        </w:rPr>
        <w:t>同时我方承诺接受招标文件及附件、</w:t>
      </w:r>
      <w:r>
        <w:rPr>
          <w:rFonts w:hint="eastAsia" w:ascii="宋体" w:hAnsi="宋体"/>
          <w:snapToGrid w:val="0"/>
          <w:kern w:val="0"/>
          <w:szCs w:val="21"/>
        </w:rPr>
        <w:t>澄清</w:t>
      </w:r>
      <w:r>
        <w:rPr>
          <w:rFonts w:ascii="宋体" w:hAnsi="宋体"/>
          <w:snapToGrid w:val="0"/>
          <w:kern w:val="0"/>
          <w:szCs w:val="21"/>
        </w:rPr>
        <w:t>及</w:t>
      </w:r>
      <w:r>
        <w:rPr>
          <w:rFonts w:hint="eastAsia" w:ascii="宋体" w:hAnsi="宋体"/>
          <w:snapToGrid w:val="0"/>
          <w:kern w:val="0"/>
          <w:szCs w:val="21"/>
        </w:rPr>
        <w:t>修改</w:t>
      </w:r>
      <w:r>
        <w:rPr>
          <w:rFonts w:ascii="宋体" w:hAnsi="宋体"/>
          <w:snapToGrid w:val="0"/>
          <w:kern w:val="0"/>
          <w:szCs w:val="21"/>
        </w:rPr>
        <w:t>通知中所有的内容。</w:t>
      </w:r>
    </w:p>
    <w:p w14:paraId="2CB6E003">
      <w:pPr>
        <w:pStyle w:val="17"/>
      </w:pPr>
    </w:p>
    <w:p w14:paraId="65A7AC51">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9C97E1C">
      <w:pPr>
        <w:tabs>
          <w:tab w:val="left" w:pos="7140"/>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法定代表人</w:t>
      </w:r>
      <w:r>
        <w:rPr>
          <w:rFonts w:hint="eastAsia" w:ascii="宋体" w:hAnsi="宋体"/>
          <w:snapToGrid w:val="0"/>
          <w:kern w:val="0"/>
          <w:szCs w:val="21"/>
        </w:rPr>
        <w:t>或其委托代理人</w:t>
      </w:r>
      <w:r>
        <w:rPr>
          <w:rFonts w:ascii="宋体" w:hAnsi="宋体"/>
          <w:snapToGrid w:val="0"/>
          <w:kern w:val="0"/>
          <w:szCs w:val="21"/>
        </w:rPr>
        <w:t>：</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或盖章）</w:t>
      </w:r>
    </w:p>
    <w:p w14:paraId="3B562078">
      <w:pPr>
        <w:tabs>
          <w:tab w:val="left" w:pos="7035"/>
          <w:tab w:val="left" w:pos="7560"/>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地</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292AC65B">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网</w:t>
      </w:r>
      <w:r>
        <w:rPr>
          <w:rFonts w:hint="eastAsia" w:ascii="宋体" w:hAnsi="宋体"/>
          <w:snapToGrid w:val="0"/>
          <w:kern w:val="0"/>
          <w:szCs w:val="21"/>
        </w:rPr>
        <w:t xml:space="preserve">    </w:t>
      </w:r>
      <w:r>
        <w:rPr>
          <w:rFonts w:ascii="宋体" w:hAnsi="宋体"/>
          <w:snapToGrid w:val="0"/>
          <w:kern w:val="0"/>
          <w:szCs w:val="21"/>
        </w:rPr>
        <w:t>址：</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05C6FBEC">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hint="eastAsia" w:ascii="宋体" w:hAnsi="宋体"/>
          <w:snapToGrid w:val="0"/>
          <w:kern w:val="0"/>
          <w:szCs w:val="21"/>
        </w:rPr>
        <w:t>单位电话（座机）：</w:t>
      </w:r>
      <w:r>
        <w:rPr>
          <w:rFonts w:hint="eastAsia" w:ascii="宋体" w:hAnsi="宋体"/>
          <w:snapToGrid w:val="0"/>
          <w:kern w:val="0"/>
          <w:szCs w:val="21"/>
          <w:u w:val="single"/>
        </w:rPr>
        <w:t xml:space="preserve">                      </w:t>
      </w:r>
      <w:r>
        <w:rPr>
          <w:rFonts w:hint="eastAsia" w:ascii="宋体" w:hAnsi="宋体"/>
          <w:snapToGrid w:val="0"/>
          <w:kern w:val="0"/>
          <w:szCs w:val="21"/>
        </w:rPr>
        <w:t>委托代理人电话（手机）：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p>
    <w:p w14:paraId="7B7EEE1F">
      <w:pPr>
        <w:tabs>
          <w:tab w:val="left" w:pos="8300"/>
        </w:tabs>
        <w:autoSpaceDE w:val="0"/>
        <w:autoSpaceDN w:val="0"/>
        <w:adjustRightInd w:val="0"/>
        <w:spacing w:line="400" w:lineRule="exact"/>
        <w:ind w:firstLine="420" w:firstLineChars="200"/>
        <w:rPr>
          <w:rFonts w:ascii="宋体" w:hAnsi="宋体"/>
          <w:snapToGrid w:val="0"/>
          <w:kern w:val="0"/>
          <w:szCs w:val="21"/>
        </w:rPr>
      </w:pPr>
      <w:r>
        <w:rPr>
          <w:rFonts w:ascii="宋体" w:hAnsi="宋体"/>
          <w:snapToGrid w:val="0"/>
          <w:kern w:val="0"/>
          <w:szCs w:val="21"/>
        </w:rPr>
        <w:t>传</w:t>
      </w:r>
      <w:r>
        <w:rPr>
          <w:rFonts w:hint="eastAsia" w:ascii="宋体" w:hAnsi="宋体"/>
          <w:snapToGrid w:val="0"/>
          <w:kern w:val="0"/>
          <w:szCs w:val="21"/>
        </w:rPr>
        <w:t xml:space="preserve">    </w:t>
      </w:r>
      <w:r>
        <w:rPr>
          <w:rFonts w:ascii="宋体" w:hAnsi="宋体"/>
          <w:snapToGrid w:val="0"/>
          <w:kern w:val="0"/>
          <w:szCs w:val="21"/>
        </w:rPr>
        <w:t>真：</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397A52EE">
      <w:pPr>
        <w:tabs>
          <w:tab w:val="left" w:pos="8300"/>
        </w:tabs>
        <w:autoSpaceDE w:val="0"/>
        <w:autoSpaceDN w:val="0"/>
        <w:adjustRightInd w:val="0"/>
        <w:spacing w:line="400" w:lineRule="exact"/>
        <w:ind w:firstLine="420" w:firstLineChars="200"/>
        <w:rPr>
          <w:rFonts w:ascii="宋体" w:hAnsi="宋体"/>
          <w:snapToGrid w:val="0"/>
          <w:kern w:val="0"/>
          <w:sz w:val="20"/>
          <w:szCs w:val="20"/>
        </w:rPr>
      </w:pPr>
      <w:r>
        <w:rPr>
          <w:rFonts w:ascii="宋体" w:hAnsi="宋体"/>
          <w:snapToGrid w:val="0"/>
          <w:kern w:val="0"/>
          <w:szCs w:val="21"/>
        </w:rPr>
        <w:t>邮政编码：</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p>
    <w:p w14:paraId="051E6F12">
      <w:pPr>
        <w:tabs>
          <w:tab w:val="left" w:pos="8300"/>
        </w:tabs>
        <w:autoSpaceDE w:val="0"/>
        <w:autoSpaceDN w:val="0"/>
        <w:adjustRightInd w:val="0"/>
        <w:spacing w:line="400" w:lineRule="exact"/>
        <w:ind w:firstLine="420" w:firstLineChars="200"/>
        <w:jc w:val="right"/>
        <w:rPr>
          <w:rFonts w:ascii="宋体" w:hAnsi="宋体"/>
          <w:kern w:val="0"/>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59B10217">
      <w:pPr>
        <w:pStyle w:val="4"/>
        <w:spacing w:before="0" w:after="0" w:line="240" w:lineRule="auto"/>
        <w:jc w:val="center"/>
        <w:rPr>
          <w:rFonts w:ascii="宋体" w:hAnsi="宋体"/>
          <w:b w:val="0"/>
          <w:bCs w:val="0"/>
          <w:szCs w:val="20"/>
        </w:rPr>
      </w:pPr>
      <w:bookmarkStart w:id="1025" w:name="_Toc277082644"/>
      <w:bookmarkStart w:id="1026" w:name="_Toc287620815"/>
      <w:bookmarkStart w:id="1027" w:name="_Toc287607868"/>
      <w:bookmarkStart w:id="1028" w:name="_Toc430530531"/>
      <w:bookmarkStart w:id="1029" w:name="_Toc224103496"/>
      <w:r>
        <w:rPr>
          <w:rFonts w:ascii="宋体" w:hAnsi="宋体"/>
          <w:sz w:val="28"/>
        </w:rPr>
        <w:br w:type="page"/>
      </w:r>
      <w:bookmarkStart w:id="1030" w:name="_Toc509218855"/>
      <w:bookmarkStart w:id="1031" w:name="_Toc534185832"/>
      <w:bookmarkStart w:id="1032" w:name="_Toc15982"/>
      <w:r>
        <w:rPr>
          <w:rFonts w:ascii="宋体" w:hAnsi="宋体"/>
          <w:b w:val="0"/>
          <w:bCs w:val="0"/>
        </w:rPr>
        <w:t>（二）</w:t>
      </w:r>
      <w:bookmarkEnd w:id="1025"/>
      <w:bookmarkEnd w:id="1026"/>
      <w:bookmarkEnd w:id="1027"/>
      <w:bookmarkEnd w:id="1028"/>
      <w:bookmarkEnd w:id="1029"/>
      <w:bookmarkEnd w:id="1030"/>
      <w:bookmarkEnd w:id="1031"/>
      <w:r>
        <w:rPr>
          <w:rFonts w:hint="eastAsia" w:ascii="宋体" w:hAnsi="宋体"/>
          <w:b w:val="0"/>
          <w:bCs w:val="0"/>
          <w:szCs w:val="20"/>
        </w:rPr>
        <w:t>分项报价表</w:t>
      </w:r>
      <w:bookmarkEnd w:id="1032"/>
    </w:p>
    <w:p w14:paraId="3234875C"/>
    <w:p w14:paraId="60793B4D">
      <w:pPr>
        <w:pStyle w:val="328"/>
        <w:tabs>
          <w:tab w:val="left" w:pos="805"/>
        </w:tabs>
        <w:spacing w:before="43"/>
        <w:ind w:left="540" w:firstLine="0"/>
        <w:jc w:val="left"/>
        <w:rPr>
          <w:szCs w:val="21"/>
        </w:rPr>
      </w:pPr>
      <w:r>
        <w:rPr>
          <w:rFonts w:hint="eastAsia"/>
          <w:spacing w:val="-3"/>
          <w:szCs w:val="21"/>
        </w:rPr>
        <w:t>1. 分项报价表说明</w:t>
      </w:r>
    </w:p>
    <w:p w14:paraId="038D8D38">
      <w:pPr>
        <w:pStyle w:val="328"/>
        <w:tabs>
          <w:tab w:val="left" w:pos="805"/>
        </w:tabs>
        <w:spacing w:before="151"/>
        <w:ind w:left="540" w:firstLine="0"/>
        <w:jc w:val="left"/>
        <w:rPr>
          <w:rFonts w:ascii="宋体" w:hAnsi="宋体" w:cs="宋体"/>
          <w:szCs w:val="21"/>
        </w:rPr>
      </w:pPr>
      <w:r>
        <w:rPr>
          <w:rFonts w:hint="eastAsia"/>
          <w:spacing w:val="-3"/>
          <w:szCs w:val="21"/>
        </w:rPr>
        <w:t>2. 投标货物分项报价表</w:t>
      </w:r>
    </w:p>
    <w:p w14:paraId="06BE4DE0">
      <w:pPr>
        <w:pStyle w:val="17"/>
        <w:spacing w:before="37" w:after="57"/>
        <w:ind w:right="274"/>
        <w:jc w:val="center"/>
        <w:rPr>
          <w:rFonts w:ascii="宋体" w:hAnsi="宋体" w:cs="宋体"/>
          <w:szCs w:val="21"/>
        </w:rPr>
      </w:pPr>
      <w:r>
        <w:rPr>
          <w:rFonts w:hint="eastAsia" w:ascii="宋体" w:hAnsi="宋体" w:cs="宋体"/>
          <w:szCs w:val="21"/>
        </w:rPr>
        <w:t xml:space="preserve">                                                         单位：人民币元</w:t>
      </w:r>
    </w:p>
    <w:tbl>
      <w:tblPr>
        <w:tblStyle w:val="46"/>
        <w:tblW w:w="9191" w:type="dxa"/>
        <w:tblInd w:w="12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06"/>
        <w:gridCol w:w="1677"/>
        <w:gridCol w:w="1282"/>
        <w:gridCol w:w="1977"/>
        <w:gridCol w:w="873"/>
        <w:gridCol w:w="886"/>
        <w:gridCol w:w="955"/>
        <w:gridCol w:w="935"/>
      </w:tblGrid>
      <w:tr w14:paraId="585239F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4393179A">
            <w:pPr>
              <w:pStyle w:val="310"/>
              <w:spacing w:line="332" w:lineRule="exact"/>
              <w:ind w:left="115" w:right="108"/>
              <w:jc w:val="center"/>
              <w:rPr>
                <w:bCs/>
                <w:szCs w:val="21"/>
              </w:rPr>
            </w:pPr>
            <w:r>
              <w:rPr>
                <w:rFonts w:hint="eastAsia"/>
                <w:bCs/>
                <w:szCs w:val="21"/>
              </w:rPr>
              <w:t>序号</w:t>
            </w:r>
          </w:p>
        </w:tc>
        <w:tc>
          <w:tcPr>
            <w:tcW w:w="1677" w:type="dxa"/>
            <w:tcBorders>
              <w:right w:val="single" w:color="000000" w:sz="6" w:space="0"/>
            </w:tcBorders>
            <w:vAlign w:val="center"/>
          </w:tcPr>
          <w:p w14:paraId="7A837DD6">
            <w:pPr>
              <w:pStyle w:val="310"/>
              <w:spacing w:line="332" w:lineRule="exact"/>
              <w:jc w:val="center"/>
              <w:rPr>
                <w:bCs/>
                <w:szCs w:val="21"/>
              </w:rPr>
            </w:pPr>
            <w:r>
              <w:rPr>
                <w:rFonts w:hint="eastAsia"/>
                <w:bCs/>
                <w:szCs w:val="21"/>
              </w:rPr>
              <w:t>分项名称</w:t>
            </w:r>
          </w:p>
        </w:tc>
        <w:tc>
          <w:tcPr>
            <w:tcW w:w="1282" w:type="dxa"/>
            <w:tcBorders>
              <w:left w:val="single" w:color="000000" w:sz="6" w:space="0"/>
            </w:tcBorders>
            <w:vAlign w:val="center"/>
          </w:tcPr>
          <w:p w14:paraId="46C6602C">
            <w:pPr>
              <w:pStyle w:val="310"/>
              <w:spacing w:line="332" w:lineRule="exact"/>
              <w:jc w:val="center"/>
              <w:rPr>
                <w:bCs/>
                <w:szCs w:val="21"/>
              </w:rPr>
            </w:pPr>
            <w:r>
              <w:rPr>
                <w:spacing w:val="-10"/>
                <w:szCs w:val="21"/>
              </w:rPr>
              <w:t>规格和型号</w:t>
            </w:r>
          </w:p>
        </w:tc>
        <w:tc>
          <w:tcPr>
            <w:tcW w:w="1977" w:type="dxa"/>
            <w:tcBorders>
              <w:left w:val="single" w:color="000000" w:sz="6" w:space="0"/>
            </w:tcBorders>
            <w:vAlign w:val="center"/>
          </w:tcPr>
          <w:p w14:paraId="217E0AFC">
            <w:pPr>
              <w:pStyle w:val="310"/>
              <w:spacing w:line="332" w:lineRule="exact"/>
              <w:jc w:val="center"/>
              <w:rPr>
                <w:bCs/>
                <w:szCs w:val="21"/>
              </w:rPr>
            </w:pPr>
            <w:r>
              <w:rPr>
                <w:rFonts w:hint="eastAsia"/>
                <w:spacing w:val="-10"/>
                <w:szCs w:val="21"/>
              </w:rPr>
              <w:t>品牌或</w:t>
            </w:r>
            <w:r>
              <w:rPr>
                <w:spacing w:val="-10"/>
                <w:szCs w:val="21"/>
              </w:rPr>
              <w:t>制造厂名称</w:t>
            </w:r>
          </w:p>
        </w:tc>
        <w:tc>
          <w:tcPr>
            <w:tcW w:w="873" w:type="dxa"/>
            <w:vAlign w:val="center"/>
          </w:tcPr>
          <w:p w14:paraId="73FD5EA8">
            <w:pPr>
              <w:pStyle w:val="310"/>
              <w:spacing w:line="332" w:lineRule="exact"/>
              <w:jc w:val="center"/>
              <w:rPr>
                <w:bCs/>
                <w:szCs w:val="21"/>
              </w:rPr>
            </w:pPr>
            <w:r>
              <w:rPr>
                <w:rFonts w:hint="eastAsia"/>
                <w:bCs/>
                <w:szCs w:val="21"/>
              </w:rPr>
              <w:t>数量</w:t>
            </w:r>
          </w:p>
        </w:tc>
        <w:tc>
          <w:tcPr>
            <w:tcW w:w="886" w:type="dxa"/>
            <w:vAlign w:val="center"/>
          </w:tcPr>
          <w:p w14:paraId="122D7E92">
            <w:pPr>
              <w:pStyle w:val="310"/>
              <w:spacing w:line="332" w:lineRule="exact"/>
              <w:jc w:val="center"/>
              <w:rPr>
                <w:bCs/>
                <w:szCs w:val="21"/>
              </w:rPr>
            </w:pPr>
            <w:r>
              <w:rPr>
                <w:rFonts w:hint="eastAsia"/>
                <w:bCs/>
                <w:szCs w:val="21"/>
              </w:rPr>
              <w:t>单价</w:t>
            </w:r>
          </w:p>
        </w:tc>
        <w:tc>
          <w:tcPr>
            <w:tcW w:w="955" w:type="dxa"/>
            <w:vAlign w:val="center"/>
          </w:tcPr>
          <w:p w14:paraId="63BDFEE0">
            <w:pPr>
              <w:pStyle w:val="310"/>
              <w:spacing w:line="332" w:lineRule="exact"/>
              <w:jc w:val="center"/>
              <w:rPr>
                <w:bCs/>
                <w:szCs w:val="21"/>
              </w:rPr>
            </w:pPr>
            <w:r>
              <w:rPr>
                <w:rFonts w:hint="eastAsia"/>
                <w:bCs/>
                <w:szCs w:val="21"/>
              </w:rPr>
              <w:t>合价</w:t>
            </w:r>
          </w:p>
        </w:tc>
        <w:tc>
          <w:tcPr>
            <w:tcW w:w="935" w:type="dxa"/>
            <w:vAlign w:val="center"/>
          </w:tcPr>
          <w:p w14:paraId="11D1E95B">
            <w:pPr>
              <w:pStyle w:val="310"/>
              <w:spacing w:line="332" w:lineRule="exact"/>
              <w:jc w:val="center"/>
              <w:rPr>
                <w:bCs/>
                <w:szCs w:val="21"/>
              </w:rPr>
            </w:pPr>
            <w:r>
              <w:rPr>
                <w:rFonts w:hint="eastAsia"/>
                <w:bCs/>
                <w:szCs w:val="21"/>
              </w:rPr>
              <w:t>备注</w:t>
            </w:r>
          </w:p>
        </w:tc>
      </w:tr>
      <w:tr w14:paraId="7C8015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0817AA9F">
            <w:pPr>
              <w:pStyle w:val="310"/>
              <w:spacing w:before="75"/>
              <w:ind w:left="7"/>
              <w:jc w:val="center"/>
              <w:rPr>
                <w:bCs/>
                <w:szCs w:val="21"/>
              </w:rPr>
            </w:pPr>
            <w:r>
              <w:rPr>
                <w:rFonts w:hint="eastAsia"/>
                <w:bCs/>
                <w:szCs w:val="21"/>
              </w:rPr>
              <w:t>1</w:t>
            </w:r>
          </w:p>
        </w:tc>
        <w:tc>
          <w:tcPr>
            <w:tcW w:w="1677" w:type="dxa"/>
            <w:tcBorders>
              <w:right w:val="single" w:color="000000" w:sz="6" w:space="0"/>
            </w:tcBorders>
          </w:tcPr>
          <w:p w14:paraId="6E802C12">
            <w:pPr>
              <w:pStyle w:val="310"/>
              <w:rPr>
                <w:bCs/>
                <w:szCs w:val="21"/>
              </w:rPr>
            </w:pPr>
          </w:p>
        </w:tc>
        <w:tc>
          <w:tcPr>
            <w:tcW w:w="1282" w:type="dxa"/>
            <w:tcBorders>
              <w:left w:val="single" w:color="000000" w:sz="6" w:space="0"/>
            </w:tcBorders>
          </w:tcPr>
          <w:p w14:paraId="7491AA18">
            <w:pPr>
              <w:pStyle w:val="310"/>
              <w:rPr>
                <w:bCs/>
                <w:szCs w:val="21"/>
              </w:rPr>
            </w:pPr>
          </w:p>
        </w:tc>
        <w:tc>
          <w:tcPr>
            <w:tcW w:w="1977" w:type="dxa"/>
            <w:tcBorders>
              <w:left w:val="single" w:color="000000" w:sz="6" w:space="0"/>
            </w:tcBorders>
          </w:tcPr>
          <w:p w14:paraId="7B9EE5C2">
            <w:pPr>
              <w:pStyle w:val="310"/>
              <w:rPr>
                <w:bCs/>
                <w:szCs w:val="21"/>
              </w:rPr>
            </w:pPr>
          </w:p>
        </w:tc>
        <w:tc>
          <w:tcPr>
            <w:tcW w:w="873" w:type="dxa"/>
          </w:tcPr>
          <w:p w14:paraId="20DD1142">
            <w:pPr>
              <w:pStyle w:val="310"/>
              <w:rPr>
                <w:bCs/>
                <w:szCs w:val="21"/>
              </w:rPr>
            </w:pPr>
          </w:p>
        </w:tc>
        <w:tc>
          <w:tcPr>
            <w:tcW w:w="886" w:type="dxa"/>
          </w:tcPr>
          <w:p w14:paraId="2A4D6846">
            <w:pPr>
              <w:pStyle w:val="310"/>
              <w:rPr>
                <w:bCs/>
                <w:szCs w:val="21"/>
              </w:rPr>
            </w:pPr>
          </w:p>
        </w:tc>
        <w:tc>
          <w:tcPr>
            <w:tcW w:w="955" w:type="dxa"/>
          </w:tcPr>
          <w:p w14:paraId="2D67123F">
            <w:pPr>
              <w:pStyle w:val="310"/>
              <w:rPr>
                <w:bCs/>
                <w:szCs w:val="21"/>
              </w:rPr>
            </w:pPr>
          </w:p>
        </w:tc>
        <w:tc>
          <w:tcPr>
            <w:tcW w:w="935" w:type="dxa"/>
          </w:tcPr>
          <w:p w14:paraId="6A4CA147">
            <w:pPr>
              <w:pStyle w:val="310"/>
              <w:rPr>
                <w:bCs/>
                <w:szCs w:val="21"/>
              </w:rPr>
            </w:pPr>
          </w:p>
        </w:tc>
      </w:tr>
      <w:tr w14:paraId="2F6963D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DFDD8E0">
            <w:pPr>
              <w:pStyle w:val="310"/>
              <w:spacing w:before="75"/>
              <w:ind w:left="7"/>
              <w:jc w:val="center"/>
              <w:rPr>
                <w:bCs/>
                <w:szCs w:val="21"/>
              </w:rPr>
            </w:pPr>
            <w:r>
              <w:rPr>
                <w:rFonts w:hint="eastAsia"/>
                <w:bCs/>
                <w:szCs w:val="21"/>
              </w:rPr>
              <w:t>2</w:t>
            </w:r>
          </w:p>
        </w:tc>
        <w:tc>
          <w:tcPr>
            <w:tcW w:w="1677" w:type="dxa"/>
            <w:tcBorders>
              <w:right w:val="single" w:color="000000" w:sz="6" w:space="0"/>
            </w:tcBorders>
          </w:tcPr>
          <w:p w14:paraId="71539E05">
            <w:pPr>
              <w:pStyle w:val="310"/>
              <w:rPr>
                <w:bCs/>
                <w:szCs w:val="21"/>
              </w:rPr>
            </w:pPr>
          </w:p>
        </w:tc>
        <w:tc>
          <w:tcPr>
            <w:tcW w:w="1282" w:type="dxa"/>
            <w:tcBorders>
              <w:left w:val="single" w:color="000000" w:sz="6" w:space="0"/>
            </w:tcBorders>
          </w:tcPr>
          <w:p w14:paraId="4506F2FC">
            <w:pPr>
              <w:pStyle w:val="310"/>
              <w:rPr>
                <w:bCs/>
                <w:szCs w:val="21"/>
              </w:rPr>
            </w:pPr>
          </w:p>
        </w:tc>
        <w:tc>
          <w:tcPr>
            <w:tcW w:w="1977" w:type="dxa"/>
            <w:tcBorders>
              <w:left w:val="single" w:color="000000" w:sz="6" w:space="0"/>
            </w:tcBorders>
          </w:tcPr>
          <w:p w14:paraId="6D39CEC1">
            <w:pPr>
              <w:pStyle w:val="310"/>
              <w:rPr>
                <w:bCs/>
                <w:szCs w:val="21"/>
              </w:rPr>
            </w:pPr>
          </w:p>
        </w:tc>
        <w:tc>
          <w:tcPr>
            <w:tcW w:w="873" w:type="dxa"/>
          </w:tcPr>
          <w:p w14:paraId="239A3553">
            <w:pPr>
              <w:pStyle w:val="310"/>
              <w:rPr>
                <w:bCs/>
                <w:szCs w:val="21"/>
              </w:rPr>
            </w:pPr>
          </w:p>
        </w:tc>
        <w:tc>
          <w:tcPr>
            <w:tcW w:w="886" w:type="dxa"/>
          </w:tcPr>
          <w:p w14:paraId="22A3C891">
            <w:pPr>
              <w:pStyle w:val="310"/>
              <w:rPr>
                <w:bCs/>
                <w:szCs w:val="21"/>
              </w:rPr>
            </w:pPr>
          </w:p>
        </w:tc>
        <w:tc>
          <w:tcPr>
            <w:tcW w:w="955" w:type="dxa"/>
          </w:tcPr>
          <w:p w14:paraId="40D2EEAF">
            <w:pPr>
              <w:pStyle w:val="310"/>
              <w:rPr>
                <w:bCs/>
                <w:szCs w:val="21"/>
              </w:rPr>
            </w:pPr>
          </w:p>
        </w:tc>
        <w:tc>
          <w:tcPr>
            <w:tcW w:w="935" w:type="dxa"/>
          </w:tcPr>
          <w:p w14:paraId="373A0E6B">
            <w:pPr>
              <w:pStyle w:val="310"/>
              <w:rPr>
                <w:bCs/>
                <w:szCs w:val="21"/>
              </w:rPr>
            </w:pPr>
          </w:p>
        </w:tc>
      </w:tr>
      <w:tr w14:paraId="261CAC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60A2E368">
            <w:pPr>
              <w:pStyle w:val="310"/>
              <w:spacing w:before="75"/>
              <w:ind w:left="7"/>
              <w:jc w:val="center"/>
              <w:rPr>
                <w:bCs/>
                <w:szCs w:val="21"/>
              </w:rPr>
            </w:pPr>
            <w:r>
              <w:rPr>
                <w:rFonts w:hint="eastAsia"/>
                <w:bCs/>
                <w:szCs w:val="21"/>
              </w:rPr>
              <w:t>3</w:t>
            </w:r>
          </w:p>
        </w:tc>
        <w:tc>
          <w:tcPr>
            <w:tcW w:w="1677" w:type="dxa"/>
            <w:tcBorders>
              <w:right w:val="single" w:color="000000" w:sz="6" w:space="0"/>
            </w:tcBorders>
          </w:tcPr>
          <w:p w14:paraId="26886CBF">
            <w:pPr>
              <w:pStyle w:val="310"/>
              <w:rPr>
                <w:bCs/>
                <w:szCs w:val="21"/>
              </w:rPr>
            </w:pPr>
          </w:p>
        </w:tc>
        <w:tc>
          <w:tcPr>
            <w:tcW w:w="1282" w:type="dxa"/>
            <w:tcBorders>
              <w:left w:val="single" w:color="000000" w:sz="6" w:space="0"/>
            </w:tcBorders>
          </w:tcPr>
          <w:p w14:paraId="76EB0B51">
            <w:pPr>
              <w:pStyle w:val="310"/>
              <w:rPr>
                <w:bCs/>
                <w:szCs w:val="21"/>
              </w:rPr>
            </w:pPr>
          </w:p>
        </w:tc>
        <w:tc>
          <w:tcPr>
            <w:tcW w:w="1977" w:type="dxa"/>
            <w:tcBorders>
              <w:left w:val="single" w:color="000000" w:sz="6" w:space="0"/>
            </w:tcBorders>
          </w:tcPr>
          <w:p w14:paraId="6BE98001">
            <w:pPr>
              <w:pStyle w:val="310"/>
              <w:rPr>
                <w:bCs/>
                <w:szCs w:val="21"/>
              </w:rPr>
            </w:pPr>
          </w:p>
        </w:tc>
        <w:tc>
          <w:tcPr>
            <w:tcW w:w="873" w:type="dxa"/>
          </w:tcPr>
          <w:p w14:paraId="7138BF19">
            <w:pPr>
              <w:pStyle w:val="310"/>
              <w:rPr>
                <w:bCs/>
                <w:szCs w:val="21"/>
              </w:rPr>
            </w:pPr>
          </w:p>
        </w:tc>
        <w:tc>
          <w:tcPr>
            <w:tcW w:w="886" w:type="dxa"/>
          </w:tcPr>
          <w:p w14:paraId="0FE78CC0">
            <w:pPr>
              <w:pStyle w:val="310"/>
              <w:rPr>
                <w:bCs/>
                <w:szCs w:val="21"/>
              </w:rPr>
            </w:pPr>
          </w:p>
        </w:tc>
        <w:tc>
          <w:tcPr>
            <w:tcW w:w="955" w:type="dxa"/>
          </w:tcPr>
          <w:p w14:paraId="2288718F">
            <w:pPr>
              <w:pStyle w:val="310"/>
              <w:rPr>
                <w:bCs/>
                <w:szCs w:val="21"/>
              </w:rPr>
            </w:pPr>
          </w:p>
        </w:tc>
        <w:tc>
          <w:tcPr>
            <w:tcW w:w="935" w:type="dxa"/>
          </w:tcPr>
          <w:p w14:paraId="037A46A3">
            <w:pPr>
              <w:pStyle w:val="310"/>
              <w:rPr>
                <w:bCs/>
                <w:szCs w:val="21"/>
              </w:rPr>
            </w:pPr>
          </w:p>
        </w:tc>
      </w:tr>
      <w:tr w14:paraId="240206B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1BD39DDE">
            <w:pPr>
              <w:pStyle w:val="310"/>
              <w:spacing w:before="75"/>
              <w:ind w:left="7"/>
              <w:jc w:val="center"/>
              <w:rPr>
                <w:bCs/>
                <w:szCs w:val="21"/>
              </w:rPr>
            </w:pPr>
            <w:r>
              <w:rPr>
                <w:rFonts w:hint="eastAsia"/>
                <w:bCs/>
                <w:szCs w:val="21"/>
              </w:rPr>
              <w:t>4</w:t>
            </w:r>
          </w:p>
        </w:tc>
        <w:tc>
          <w:tcPr>
            <w:tcW w:w="1677" w:type="dxa"/>
            <w:tcBorders>
              <w:right w:val="single" w:color="000000" w:sz="6" w:space="0"/>
            </w:tcBorders>
          </w:tcPr>
          <w:p w14:paraId="55A34489">
            <w:pPr>
              <w:pStyle w:val="310"/>
              <w:rPr>
                <w:bCs/>
                <w:szCs w:val="21"/>
              </w:rPr>
            </w:pPr>
          </w:p>
        </w:tc>
        <w:tc>
          <w:tcPr>
            <w:tcW w:w="1282" w:type="dxa"/>
            <w:tcBorders>
              <w:left w:val="single" w:color="000000" w:sz="6" w:space="0"/>
            </w:tcBorders>
          </w:tcPr>
          <w:p w14:paraId="1C5B3553">
            <w:pPr>
              <w:pStyle w:val="310"/>
              <w:rPr>
                <w:bCs/>
                <w:szCs w:val="21"/>
              </w:rPr>
            </w:pPr>
          </w:p>
        </w:tc>
        <w:tc>
          <w:tcPr>
            <w:tcW w:w="1977" w:type="dxa"/>
            <w:tcBorders>
              <w:left w:val="single" w:color="000000" w:sz="6" w:space="0"/>
            </w:tcBorders>
          </w:tcPr>
          <w:p w14:paraId="101353D3">
            <w:pPr>
              <w:pStyle w:val="310"/>
              <w:rPr>
                <w:bCs/>
                <w:szCs w:val="21"/>
              </w:rPr>
            </w:pPr>
          </w:p>
        </w:tc>
        <w:tc>
          <w:tcPr>
            <w:tcW w:w="873" w:type="dxa"/>
          </w:tcPr>
          <w:p w14:paraId="77206A67">
            <w:pPr>
              <w:pStyle w:val="310"/>
              <w:rPr>
                <w:bCs/>
                <w:szCs w:val="21"/>
              </w:rPr>
            </w:pPr>
          </w:p>
        </w:tc>
        <w:tc>
          <w:tcPr>
            <w:tcW w:w="886" w:type="dxa"/>
          </w:tcPr>
          <w:p w14:paraId="48855542">
            <w:pPr>
              <w:pStyle w:val="310"/>
              <w:rPr>
                <w:bCs/>
                <w:szCs w:val="21"/>
              </w:rPr>
            </w:pPr>
          </w:p>
        </w:tc>
        <w:tc>
          <w:tcPr>
            <w:tcW w:w="955" w:type="dxa"/>
          </w:tcPr>
          <w:p w14:paraId="7266A22D">
            <w:pPr>
              <w:pStyle w:val="310"/>
              <w:rPr>
                <w:bCs/>
                <w:szCs w:val="21"/>
              </w:rPr>
            </w:pPr>
          </w:p>
        </w:tc>
        <w:tc>
          <w:tcPr>
            <w:tcW w:w="935" w:type="dxa"/>
          </w:tcPr>
          <w:p w14:paraId="4679D344">
            <w:pPr>
              <w:pStyle w:val="310"/>
              <w:rPr>
                <w:bCs/>
                <w:szCs w:val="21"/>
              </w:rPr>
            </w:pPr>
          </w:p>
        </w:tc>
      </w:tr>
      <w:tr w14:paraId="607BC6A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7DD3FE47">
            <w:pPr>
              <w:pStyle w:val="310"/>
              <w:spacing w:before="75"/>
              <w:ind w:left="7"/>
              <w:jc w:val="center"/>
              <w:rPr>
                <w:bCs/>
                <w:szCs w:val="21"/>
              </w:rPr>
            </w:pPr>
            <w:r>
              <w:rPr>
                <w:rFonts w:hint="eastAsia"/>
                <w:bCs/>
                <w:szCs w:val="21"/>
              </w:rPr>
              <w:t>5</w:t>
            </w:r>
          </w:p>
        </w:tc>
        <w:tc>
          <w:tcPr>
            <w:tcW w:w="1677" w:type="dxa"/>
            <w:tcBorders>
              <w:right w:val="single" w:color="000000" w:sz="6" w:space="0"/>
            </w:tcBorders>
          </w:tcPr>
          <w:p w14:paraId="727924D4">
            <w:pPr>
              <w:pStyle w:val="310"/>
              <w:rPr>
                <w:bCs/>
                <w:szCs w:val="21"/>
              </w:rPr>
            </w:pPr>
          </w:p>
        </w:tc>
        <w:tc>
          <w:tcPr>
            <w:tcW w:w="1282" w:type="dxa"/>
            <w:tcBorders>
              <w:left w:val="single" w:color="000000" w:sz="6" w:space="0"/>
            </w:tcBorders>
          </w:tcPr>
          <w:p w14:paraId="535D569B">
            <w:pPr>
              <w:pStyle w:val="310"/>
              <w:rPr>
                <w:bCs/>
                <w:szCs w:val="21"/>
              </w:rPr>
            </w:pPr>
          </w:p>
        </w:tc>
        <w:tc>
          <w:tcPr>
            <w:tcW w:w="1977" w:type="dxa"/>
            <w:tcBorders>
              <w:left w:val="single" w:color="000000" w:sz="6" w:space="0"/>
            </w:tcBorders>
          </w:tcPr>
          <w:p w14:paraId="52447BD2">
            <w:pPr>
              <w:pStyle w:val="310"/>
              <w:rPr>
                <w:bCs/>
                <w:szCs w:val="21"/>
              </w:rPr>
            </w:pPr>
          </w:p>
        </w:tc>
        <w:tc>
          <w:tcPr>
            <w:tcW w:w="873" w:type="dxa"/>
          </w:tcPr>
          <w:p w14:paraId="27938F5C">
            <w:pPr>
              <w:pStyle w:val="310"/>
              <w:rPr>
                <w:bCs/>
                <w:szCs w:val="21"/>
              </w:rPr>
            </w:pPr>
          </w:p>
        </w:tc>
        <w:tc>
          <w:tcPr>
            <w:tcW w:w="886" w:type="dxa"/>
          </w:tcPr>
          <w:p w14:paraId="59BA509C">
            <w:pPr>
              <w:pStyle w:val="310"/>
              <w:rPr>
                <w:bCs/>
                <w:szCs w:val="21"/>
              </w:rPr>
            </w:pPr>
          </w:p>
        </w:tc>
        <w:tc>
          <w:tcPr>
            <w:tcW w:w="955" w:type="dxa"/>
          </w:tcPr>
          <w:p w14:paraId="706497B8">
            <w:pPr>
              <w:pStyle w:val="310"/>
              <w:rPr>
                <w:bCs/>
                <w:szCs w:val="21"/>
              </w:rPr>
            </w:pPr>
          </w:p>
        </w:tc>
        <w:tc>
          <w:tcPr>
            <w:tcW w:w="935" w:type="dxa"/>
          </w:tcPr>
          <w:p w14:paraId="6340CA49">
            <w:pPr>
              <w:pStyle w:val="310"/>
              <w:rPr>
                <w:bCs/>
                <w:szCs w:val="21"/>
              </w:rPr>
            </w:pPr>
          </w:p>
        </w:tc>
      </w:tr>
      <w:tr w14:paraId="08ACEBF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606" w:type="dxa"/>
          </w:tcPr>
          <w:p w14:paraId="5D3434F3">
            <w:pPr>
              <w:pStyle w:val="310"/>
              <w:spacing w:before="75"/>
              <w:ind w:left="120" w:right="108"/>
              <w:jc w:val="center"/>
              <w:rPr>
                <w:bCs/>
                <w:i/>
                <w:szCs w:val="21"/>
              </w:rPr>
            </w:pPr>
            <w:r>
              <w:rPr>
                <w:rFonts w:hint="eastAsia"/>
                <w:bCs/>
                <w:iCs/>
                <w:w w:val="115"/>
                <w:szCs w:val="21"/>
              </w:rPr>
              <w:t>…</w:t>
            </w:r>
          </w:p>
        </w:tc>
        <w:tc>
          <w:tcPr>
            <w:tcW w:w="1677" w:type="dxa"/>
            <w:tcBorders>
              <w:right w:val="single" w:color="000000" w:sz="6" w:space="0"/>
            </w:tcBorders>
          </w:tcPr>
          <w:p w14:paraId="3EB5D809">
            <w:pPr>
              <w:pStyle w:val="310"/>
              <w:spacing w:before="75"/>
              <w:ind w:left="339" w:right="328"/>
              <w:jc w:val="center"/>
              <w:rPr>
                <w:bCs/>
                <w:i/>
                <w:szCs w:val="21"/>
              </w:rPr>
            </w:pPr>
            <w:r>
              <w:rPr>
                <w:rFonts w:hint="eastAsia"/>
                <w:bCs/>
                <w:iCs/>
                <w:w w:val="115"/>
                <w:szCs w:val="21"/>
              </w:rPr>
              <w:t>……</w:t>
            </w:r>
          </w:p>
        </w:tc>
        <w:tc>
          <w:tcPr>
            <w:tcW w:w="1282" w:type="dxa"/>
            <w:tcBorders>
              <w:left w:val="single" w:color="000000" w:sz="6" w:space="0"/>
            </w:tcBorders>
          </w:tcPr>
          <w:p w14:paraId="032F1BA6">
            <w:pPr>
              <w:pStyle w:val="310"/>
              <w:rPr>
                <w:bCs/>
                <w:szCs w:val="21"/>
              </w:rPr>
            </w:pPr>
          </w:p>
        </w:tc>
        <w:tc>
          <w:tcPr>
            <w:tcW w:w="1977" w:type="dxa"/>
            <w:tcBorders>
              <w:left w:val="single" w:color="000000" w:sz="6" w:space="0"/>
            </w:tcBorders>
          </w:tcPr>
          <w:p w14:paraId="695E1E52">
            <w:pPr>
              <w:pStyle w:val="310"/>
              <w:rPr>
                <w:bCs/>
                <w:szCs w:val="21"/>
              </w:rPr>
            </w:pPr>
          </w:p>
        </w:tc>
        <w:tc>
          <w:tcPr>
            <w:tcW w:w="873" w:type="dxa"/>
          </w:tcPr>
          <w:p w14:paraId="08C708A0">
            <w:pPr>
              <w:pStyle w:val="310"/>
              <w:rPr>
                <w:bCs/>
                <w:szCs w:val="21"/>
              </w:rPr>
            </w:pPr>
          </w:p>
        </w:tc>
        <w:tc>
          <w:tcPr>
            <w:tcW w:w="886" w:type="dxa"/>
          </w:tcPr>
          <w:p w14:paraId="6C9CFFAA">
            <w:pPr>
              <w:pStyle w:val="310"/>
              <w:rPr>
                <w:bCs/>
                <w:szCs w:val="21"/>
              </w:rPr>
            </w:pPr>
          </w:p>
        </w:tc>
        <w:tc>
          <w:tcPr>
            <w:tcW w:w="955" w:type="dxa"/>
          </w:tcPr>
          <w:p w14:paraId="67D46B6B">
            <w:pPr>
              <w:pStyle w:val="310"/>
              <w:rPr>
                <w:bCs/>
                <w:szCs w:val="21"/>
              </w:rPr>
            </w:pPr>
          </w:p>
        </w:tc>
        <w:tc>
          <w:tcPr>
            <w:tcW w:w="935" w:type="dxa"/>
          </w:tcPr>
          <w:p w14:paraId="4FCBE8FD">
            <w:pPr>
              <w:pStyle w:val="310"/>
              <w:rPr>
                <w:bCs/>
                <w:szCs w:val="21"/>
              </w:rPr>
            </w:pPr>
          </w:p>
        </w:tc>
      </w:tr>
      <w:tr w14:paraId="1D6DD3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7301" w:type="dxa"/>
            <w:gridSpan w:val="6"/>
            <w:vAlign w:val="center"/>
          </w:tcPr>
          <w:p w14:paraId="5BEB5E7A">
            <w:pPr>
              <w:pStyle w:val="310"/>
              <w:spacing w:line="329" w:lineRule="exact"/>
              <w:jc w:val="center"/>
              <w:rPr>
                <w:bCs/>
                <w:szCs w:val="21"/>
              </w:rPr>
            </w:pPr>
            <w:r>
              <w:rPr>
                <w:rFonts w:hint="eastAsia"/>
                <w:bCs/>
                <w:szCs w:val="21"/>
              </w:rPr>
              <w:t>投标总报价</w:t>
            </w:r>
          </w:p>
        </w:tc>
        <w:tc>
          <w:tcPr>
            <w:tcW w:w="955" w:type="dxa"/>
            <w:vAlign w:val="center"/>
          </w:tcPr>
          <w:p w14:paraId="565A9D4D">
            <w:pPr>
              <w:pStyle w:val="310"/>
              <w:jc w:val="center"/>
              <w:rPr>
                <w:bCs/>
                <w:szCs w:val="21"/>
              </w:rPr>
            </w:pPr>
          </w:p>
        </w:tc>
        <w:tc>
          <w:tcPr>
            <w:tcW w:w="935" w:type="dxa"/>
            <w:vAlign w:val="center"/>
          </w:tcPr>
          <w:p w14:paraId="7B931404">
            <w:pPr>
              <w:pStyle w:val="310"/>
              <w:jc w:val="center"/>
              <w:rPr>
                <w:bCs/>
                <w:szCs w:val="21"/>
              </w:rPr>
            </w:pPr>
          </w:p>
        </w:tc>
      </w:tr>
    </w:tbl>
    <w:p w14:paraId="02EB6B91">
      <w:pPr>
        <w:spacing w:line="360" w:lineRule="auto"/>
        <w:rPr>
          <w:rFonts w:ascii="宋体" w:hAnsi="宋体"/>
          <w:snapToGrid w:val="0"/>
          <w:w w:val="99"/>
        </w:rPr>
      </w:pPr>
    </w:p>
    <w:p w14:paraId="5DAF4A21">
      <w:pPr>
        <w:pStyle w:val="17"/>
      </w:pPr>
    </w:p>
    <w:p w14:paraId="17449AFA">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bookmarkStart w:id="1033" w:name="_Hlk66701018"/>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0247BAE8">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44DE187D">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2ED6B7FA">
      <w:pPr>
        <w:pStyle w:val="328"/>
        <w:tabs>
          <w:tab w:val="left" w:pos="805"/>
        </w:tabs>
        <w:spacing w:before="151"/>
        <w:ind w:left="540" w:firstLine="0"/>
        <w:jc w:val="left"/>
        <w:rPr>
          <w:spacing w:val="-3"/>
          <w:szCs w:val="21"/>
        </w:rPr>
      </w:pPr>
    </w:p>
    <w:p w14:paraId="0B62EEC1">
      <w:pPr>
        <w:pStyle w:val="328"/>
        <w:tabs>
          <w:tab w:val="left" w:pos="805"/>
        </w:tabs>
        <w:spacing w:before="151"/>
        <w:ind w:left="540" w:firstLine="0"/>
        <w:jc w:val="left"/>
        <w:rPr>
          <w:spacing w:val="-3"/>
          <w:szCs w:val="21"/>
        </w:rPr>
      </w:pPr>
    </w:p>
    <w:p w14:paraId="7F00505E">
      <w:pPr>
        <w:pStyle w:val="328"/>
        <w:tabs>
          <w:tab w:val="left" w:pos="805"/>
        </w:tabs>
        <w:spacing w:before="151"/>
        <w:ind w:left="540" w:firstLine="0"/>
        <w:jc w:val="left"/>
        <w:rPr>
          <w:spacing w:val="-3"/>
          <w:szCs w:val="21"/>
        </w:rPr>
      </w:pPr>
    </w:p>
    <w:p w14:paraId="3318BF40">
      <w:pPr>
        <w:pStyle w:val="328"/>
        <w:tabs>
          <w:tab w:val="left" w:pos="805"/>
        </w:tabs>
        <w:spacing w:before="151"/>
        <w:ind w:left="0" w:leftChars="0" w:firstLine="0" w:firstLineChars="0"/>
        <w:jc w:val="left"/>
        <w:rPr>
          <w:spacing w:val="-3"/>
          <w:szCs w:val="21"/>
        </w:rPr>
      </w:pPr>
    </w:p>
    <w:p w14:paraId="2E1EBE01">
      <w:pPr>
        <w:pStyle w:val="328"/>
        <w:tabs>
          <w:tab w:val="left" w:pos="805"/>
        </w:tabs>
        <w:spacing w:before="151"/>
        <w:ind w:left="540" w:firstLine="0"/>
        <w:jc w:val="left"/>
        <w:rPr>
          <w:spacing w:val="-3"/>
          <w:szCs w:val="21"/>
        </w:rPr>
      </w:pPr>
      <w:r>
        <w:rPr>
          <w:rFonts w:hint="eastAsia"/>
          <w:spacing w:val="-3"/>
          <w:szCs w:val="21"/>
        </w:rPr>
        <w:t>3. 所需进口元器件、原材料清单及报价表（含入投标总价）</w:t>
      </w:r>
    </w:p>
    <w:p w14:paraId="30F18B9A">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3E271C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24DDAE82">
            <w:pPr>
              <w:jc w:val="center"/>
              <w:rPr>
                <w:rFonts w:ascii="宋体" w:hAnsi="宋体"/>
                <w:spacing w:val="-10"/>
                <w:szCs w:val="21"/>
              </w:rPr>
            </w:pPr>
            <w:r>
              <w:rPr>
                <w:rFonts w:ascii="宋体" w:hAnsi="宋体"/>
                <w:spacing w:val="-10"/>
                <w:szCs w:val="21"/>
              </w:rPr>
              <w:t>序号</w:t>
            </w:r>
          </w:p>
        </w:tc>
        <w:tc>
          <w:tcPr>
            <w:tcW w:w="1260" w:type="dxa"/>
            <w:vAlign w:val="center"/>
          </w:tcPr>
          <w:p w14:paraId="0D84A880">
            <w:pPr>
              <w:jc w:val="center"/>
              <w:rPr>
                <w:rFonts w:ascii="宋体" w:hAnsi="宋体"/>
                <w:spacing w:val="-10"/>
                <w:szCs w:val="21"/>
              </w:rPr>
            </w:pPr>
            <w:r>
              <w:rPr>
                <w:rFonts w:ascii="宋体" w:hAnsi="宋体"/>
                <w:spacing w:val="-10"/>
                <w:szCs w:val="21"/>
              </w:rPr>
              <w:t>名称</w:t>
            </w:r>
          </w:p>
        </w:tc>
        <w:tc>
          <w:tcPr>
            <w:tcW w:w="1675" w:type="dxa"/>
            <w:vAlign w:val="center"/>
          </w:tcPr>
          <w:p w14:paraId="01F43BF0">
            <w:pPr>
              <w:jc w:val="center"/>
              <w:rPr>
                <w:rFonts w:ascii="宋体" w:hAnsi="宋体"/>
                <w:spacing w:val="-10"/>
                <w:szCs w:val="21"/>
              </w:rPr>
            </w:pPr>
            <w:r>
              <w:rPr>
                <w:rFonts w:ascii="宋体" w:hAnsi="宋体"/>
                <w:spacing w:val="-10"/>
                <w:szCs w:val="21"/>
              </w:rPr>
              <w:t>规格和型号</w:t>
            </w:r>
          </w:p>
        </w:tc>
        <w:tc>
          <w:tcPr>
            <w:tcW w:w="1891" w:type="dxa"/>
            <w:vAlign w:val="center"/>
          </w:tcPr>
          <w:p w14:paraId="0583057A">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2CDF499D">
            <w:pPr>
              <w:jc w:val="center"/>
              <w:rPr>
                <w:rFonts w:ascii="宋体" w:hAnsi="宋体"/>
                <w:spacing w:val="-10"/>
                <w:szCs w:val="21"/>
              </w:rPr>
            </w:pPr>
            <w:r>
              <w:rPr>
                <w:rFonts w:ascii="宋体" w:hAnsi="宋体"/>
                <w:spacing w:val="-10"/>
                <w:szCs w:val="21"/>
              </w:rPr>
              <w:t>数量</w:t>
            </w:r>
          </w:p>
        </w:tc>
        <w:tc>
          <w:tcPr>
            <w:tcW w:w="1417" w:type="dxa"/>
            <w:vAlign w:val="center"/>
          </w:tcPr>
          <w:p w14:paraId="0BCCB1B2">
            <w:pPr>
              <w:jc w:val="center"/>
              <w:rPr>
                <w:rFonts w:ascii="宋体" w:hAnsi="宋体"/>
                <w:spacing w:val="-10"/>
                <w:szCs w:val="21"/>
              </w:rPr>
            </w:pPr>
            <w:r>
              <w:rPr>
                <w:rFonts w:ascii="宋体" w:hAnsi="宋体"/>
                <w:spacing w:val="-10"/>
                <w:szCs w:val="21"/>
              </w:rPr>
              <w:t>单价</w:t>
            </w:r>
          </w:p>
        </w:tc>
        <w:tc>
          <w:tcPr>
            <w:tcW w:w="1416" w:type="dxa"/>
            <w:vAlign w:val="center"/>
          </w:tcPr>
          <w:p w14:paraId="32130748">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19405B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3E5E1E3B">
            <w:pPr>
              <w:spacing w:line="336" w:lineRule="auto"/>
              <w:jc w:val="center"/>
              <w:rPr>
                <w:rFonts w:ascii="宋体" w:hAnsi="宋体"/>
                <w:szCs w:val="21"/>
              </w:rPr>
            </w:pPr>
            <w:r>
              <w:rPr>
                <w:rFonts w:ascii="宋体" w:hAnsi="宋体"/>
                <w:szCs w:val="21"/>
              </w:rPr>
              <w:t>1</w:t>
            </w:r>
          </w:p>
        </w:tc>
        <w:tc>
          <w:tcPr>
            <w:tcW w:w="1260" w:type="dxa"/>
          </w:tcPr>
          <w:p w14:paraId="44091C47">
            <w:pPr>
              <w:spacing w:line="336" w:lineRule="auto"/>
              <w:rPr>
                <w:rFonts w:ascii="宋体" w:hAnsi="宋体"/>
                <w:szCs w:val="21"/>
              </w:rPr>
            </w:pPr>
          </w:p>
        </w:tc>
        <w:tc>
          <w:tcPr>
            <w:tcW w:w="1675" w:type="dxa"/>
          </w:tcPr>
          <w:p w14:paraId="3D2DA41C">
            <w:pPr>
              <w:spacing w:line="336" w:lineRule="auto"/>
              <w:rPr>
                <w:rFonts w:ascii="宋体" w:hAnsi="宋体"/>
                <w:szCs w:val="21"/>
              </w:rPr>
            </w:pPr>
          </w:p>
        </w:tc>
        <w:tc>
          <w:tcPr>
            <w:tcW w:w="1891" w:type="dxa"/>
          </w:tcPr>
          <w:p w14:paraId="1D6DC4A6">
            <w:pPr>
              <w:spacing w:line="336" w:lineRule="auto"/>
              <w:rPr>
                <w:rFonts w:ascii="宋体" w:hAnsi="宋体"/>
                <w:szCs w:val="21"/>
              </w:rPr>
            </w:pPr>
          </w:p>
        </w:tc>
        <w:tc>
          <w:tcPr>
            <w:tcW w:w="1050" w:type="dxa"/>
          </w:tcPr>
          <w:p w14:paraId="7B817E76">
            <w:pPr>
              <w:spacing w:line="336" w:lineRule="auto"/>
              <w:rPr>
                <w:rFonts w:ascii="宋体" w:hAnsi="宋体"/>
                <w:szCs w:val="21"/>
              </w:rPr>
            </w:pPr>
          </w:p>
        </w:tc>
        <w:tc>
          <w:tcPr>
            <w:tcW w:w="1417" w:type="dxa"/>
          </w:tcPr>
          <w:p w14:paraId="09AE9E10">
            <w:pPr>
              <w:spacing w:line="336" w:lineRule="auto"/>
              <w:rPr>
                <w:rFonts w:ascii="宋体" w:hAnsi="宋体"/>
                <w:szCs w:val="21"/>
              </w:rPr>
            </w:pPr>
          </w:p>
        </w:tc>
        <w:tc>
          <w:tcPr>
            <w:tcW w:w="1416" w:type="dxa"/>
          </w:tcPr>
          <w:p w14:paraId="78081628">
            <w:pPr>
              <w:spacing w:line="336" w:lineRule="auto"/>
              <w:rPr>
                <w:rFonts w:ascii="宋体" w:hAnsi="宋体"/>
                <w:szCs w:val="21"/>
              </w:rPr>
            </w:pPr>
          </w:p>
        </w:tc>
      </w:tr>
      <w:tr w14:paraId="2DB98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67C6F3A">
            <w:pPr>
              <w:spacing w:line="336" w:lineRule="auto"/>
              <w:jc w:val="center"/>
              <w:rPr>
                <w:rFonts w:ascii="宋体" w:hAnsi="宋体"/>
                <w:szCs w:val="21"/>
              </w:rPr>
            </w:pPr>
            <w:r>
              <w:rPr>
                <w:rFonts w:ascii="宋体" w:hAnsi="宋体"/>
                <w:szCs w:val="21"/>
              </w:rPr>
              <w:t>2</w:t>
            </w:r>
          </w:p>
        </w:tc>
        <w:tc>
          <w:tcPr>
            <w:tcW w:w="1260" w:type="dxa"/>
          </w:tcPr>
          <w:p w14:paraId="698ADED6">
            <w:pPr>
              <w:spacing w:line="336" w:lineRule="auto"/>
              <w:rPr>
                <w:rFonts w:ascii="宋体" w:hAnsi="宋体"/>
                <w:szCs w:val="21"/>
              </w:rPr>
            </w:pPr>
          </w:p>
        </w:tc>
        <w:tc>
          <w:tcPr>
            <w:tcW w:w="1675" w:type="dxa"/>
          </w:tcPr>
          <w:p w14:paraId="25D8B137">
            <w:pPr>
              <w:spacing w:line="336" w:lineRule="auto"/>
              <w:rPr>
                <w:rFonts w:ascii="宋体" w:hAnsi="宋体"/>
                <w:szCs w:val="21"/>
              </w:rPr>
            </w:pPr>
          </w:p>
        </w:tc>
        <w:tc>
          <w:tcPr>
            <w:tcW w:w="1891" w:type="dxa"/>
          </w:tcPr>
          <w:p w14:paraId="6F2ABF4F">
            <w:pPr>
              <w:spacing w:line="336" w:lineRule="auto"/>
              <w:rPr>
                <w:rFonts w:ascii="宋体" w:hAnsi="宋体"/>
                <w:szCs w:val="21"/>
              </w:rPr>
            </w:pPr>
          </w:p>
        </w:tc>
        <w:tc>
          <w:tcPr>
            <w:tcW w:w="1050" w:type="dxa"/>
          </w:tcPr>
          <w:p w14:paraId="14A66A6A">
            <w:pPr>
              <w:spacing w:line="336" w:lineRule="auto"/>
              <w:rPr>
                <w:rFonts w:ascii="宋体" w:hAnsi="宋体"/>
                <w:szCs w:val="21"/>
              </w:rPr>
            </w:pPr>
          </w:p>
        </w:tc>
        <w:tc>
          <w:tcPr>
            <w:tcW w:w="1417" w:type="dxa"/>
          </w:tcPr>
          <w:p w14:paraId="7B5CF38C">
            <w:pPr>
              <w:spacing w:line="336" w:lineRule="auto"/>
              <w:rPr>
                <w:rFonts w:ascii="宋体" w:hAnsi="宋体"/>
                <w:szCs w:val="21"/>
              </w:rPr>
            </w:pPr>
          </w:p>
        </w:tc>
        <w:tc>
          <w:tcPr>
            <w:tcW w:w="1416" w:type="dxa"/>
          </w:tcPr>
          <w:p w14:paraId="76B4CC4C">
            <w:pPr>
              <w:spacing w:line="336" w:lineRule="auto"/>
              <w:rPr>
                <w:rFonts w:ascii="宋体" w:hAnsi="宋体"/>
                <w:szCs w:val="21"/>
              </w:rPr>
            </w:pPr>
          </w:p>
        </w:tc>
      </w:tr>
      <w:tr w14:paraId="59631A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0F8827DE">
            <w:pPr>
              <w:spacing w:line="336" w:lineRule="auto"/>
              <w:jc w:val="center"/>
              <w:rPr>
                <w:rFonts w:ascii="宋体" w:hAnsi="宋体"/>
                <w:szCs w:val="21"/>
              </w:rPr>
            </w:pPr>
            <w:r>
              <w:rPr>
                <w:rFonts w:ascii="宋体" w:hAnsi="宋体"/>
                <w:szCs w:val="21"/>
              </w:rPr>
              <w:t>3</w:t>
            </w:r>
          </w:p>
        </w:tc>
        <w:tc>
          <w:tcPr>
            <w:tcW w:w="1260" w:type="dxa"/>
          </w:tcPr>
          <w:p w14:paraId="0EE84CA7">
            <w:pPr>
              <w:spacing w:line="336" w:lineRule="auto"/>
              <w:rPr>
                <w:rFonts w:ascii="宋体" w:hAnsi="宋体"/>
                <w:szCs w:val="21"/>
              </w:rPr>
            </w:pPr>
          </w:p>
        </w:tc>
        <w:tc>
          <w:tcPr>
            <w:tcW w:w="1675" w:type="dxa"/>
          </w:tcPr>
          <w:p w14:paraId="10D33105">
            <w:pPr>
              <w:spacing w:line="336" w:lineRule="auto"/>
              <w:rPr>
                <w:rFonts w:ascii="宋体" w:hAnsi="宋体"/>
                <w:szCs w:val="21"/>
              </w:rPr>
            </w:pPr>
          </w:p>
        </w:tc>
        <w:tc>
          <w:tcPr>
            <w:tcW w:w="1891" w:type="dxa"/>
          </w:tcPr>
          <w:p w14:paraId="67F541EF">
            <w:pPr>
              <w:spacing w:line="336" w:lineRule="auto"/>
              <w:rPr>
                <w:rFonts w:ascii="宋体" w:hAnsi="宋体"/>
                <w:szCs w:val="21"/>
              </w:rPr>
            </w:pPr>
          </w:p>
        </w:tc>
        <w:tc>
          <w:tcPr>
            <w:tcW w:w="1050" w:type="dxa"/>
          </w:tcPr>
          <w:p w14:paraId="1CA09A50">
            <w:pPr>
              <w:spacing w:line="336" w:lineRule="auto"/>
              <w:rPr>
                <w:rFonts w:ascii="宋体" w:hAnsi="宋体"/>
                <w:szCs w:val="21"/>
              </w:rPr>
            </w:pPr>
          </w:p>
        </w:tc>
        <w:tc>
          <w:tcPr>
            <w:tcW w:w="1417" w:type="dxa"/>
          </w:tcPr>
          <w:p w14:paraId="1FEDDE4D">
            <w:pPr>
              <w:spacing w:line="336" w:lineRule="auto"/>
              <w:rPr>
                <w:rFonts w:ascii="宋体" w:hAnsi="宋体"/>
                <w:szCs w:val="21"/>
              </w:rPr>
            </w:pPr>
          </w:p>
        </w:tc>
        <w:tc>
          <w:tcPr>
            <w:tcW w:w="1416" w:type="dxa"/>
          </w:tcPr>
          <w:p w14:paraId="29688E65">
            <w:pPr>
              <w:spacing w:line="336" w:lineRule="auto"/>
              <w:rPr>
                <w:rFonts w:ascii="宋体" w:hAnsi="宋体"/>
                <w:szCs w:val="21"/>
              </w:rPr>
            </w:pPr>
          </w:p>
        </w:tc>
      </w:tr>
      <w:tr w14:paraId="0CF49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0C4578E8">
            <w:pPr>
              <w:spacing w:line="336" w:lineRule="auto"/>
              <w:jc w:val="center"/>
              <w:rPr>
                <w:rFonts w:ascii="宋体" w:hAnsi="宋体"/>
                <w:szCs w:val="21"/>
              </w:rPr>
            </w:pPr>
            <w:r>
              <w:rPr>
                <w:rFonts w:hint="eastAsia" w:ascii="宋体" w:hAnsi="宋体"/>
                <w:szCs w:val="21"/>
              </w:rPr>
              <w:t>…</w:t>
            </w:r>
          </w:p>
        </w:tc>
        <w:tc>
          <w:tcPr>
            <w:tcW w:w="1260" w:type="dxa"/>
          </w:tcPr>
          <w:p w14:paraId="7B705269">
            <w:pPr>
              <w:spacing w:line="336" w:lineRule="auto"/>
              <w:rPr>
                <w:rFonts w:ascii="宋体" w:hAnsi="宋体"/>
                <w:szCs w:val="21"/>
              </w:rPr>
            </w:pPr>
          </w:p>
        </w:tc>
        <w:tc>
          <w:tcPr>
            <w:tcW w:w="1675" w:type="dxa"/>
          </w:tcPr>
          <w:p w14:paraId="0CE1CECD">
            <w:pPr>
              <w:spacing w:line="336" w:lineRule="auto"/>
              <w:rPr>
                <w:rFonts w:ascii="宋体" w:hAnsi="宋体"/>
                <w:szCs w:val="21"/>
              </w:rPr>
            </w:pPr>
          </w:p>
        </w:tc>
        <w:tc>
          <w:tcPr>
            <w:tcW w:w="1891" w:type="dxa"/>
          </w:tcPr>
          <w:p w14:paraId="378CB30C">
            <w:pPr>
              <w:spacing w:line="336" w:lineRule="auto"/>
              <w:rPr>
                <w:rFonts w:ascii="宋体" w:hAnsi="宋体"/>
                <w:szCs w:val="21"/>
              </w:rPr>
            </w:pPr>
          </w:p>
        </w:tc>
        <w:tc>
          <w:tcPr>
            <w:tcW w:w="1050" w:type="dxa"/>
          </w:tcPr>
          <w:p w14:paraId="354B2DC5">
            <w:pPr>
              <w:spacing w:line="336" w:lineRule="auto"/>
              <w:rPr>
                <w:rFonts w:ascii="宋体" w:hAnsi="宋体"/>
                <w:szCs w:val="21"/>
              </w:rPr>
            </w:pPr>
          </w:p>
        </w:tc>
        <w:tc>
          <w:tcPr>
            <w:tcW w:w="1417" w:type="dxa"/>
          </w:tcPr>
          <w:p w14:paraId="70A3CB44">
            <w:pPr>
              <w:spacing w:line="336" w:lineRule="auto"/>
              <w:rPr>
                <w:rFonts w:ascii="宋体" w:hAnsi="宋体"/>
                <w:szCs w:val="21"/>
              </w:rPr>
            </w:pPr>
          </w:p>
        </w:tc>
        <w:tc>
          <w:tcPr>
            <w:tcW w:w="1416" w:type="dxa"/>
          </w:tcPr>
          <w:p w14:paraId="4EB717F9">
            <w:pPr>
              <w:spacing w:line="336" w:lineRule="auto"/>
              <w:rPr>
                <w:rFonts w:ascii="宋体" w:hAnsi="宋体"/>
                <w:szCs w:val="21"/>
              </w:rPr>
            </w:pPr>
          </w:p>
        </w:tc>
      </w:tr>
    </w:tbl>
    <w:p w14:paraId="784E5F35"/>
    <w:bookmarkEnd w:id="1033"/>
    <w:p w14:paraId="0A262DF3">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55FF04B">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32817041">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1E046298">
      <w:pPr>
        <w:pStyle w:val="45"/>
        <w:rPr>
          <w:rFonts w:ascii="宋体" w:hAnsi="宋体" w:cs="宋体"/>
          <w:kern w:val="0"/>
          <w:szCs w:val="21"/>
        </w:rPr>
      </w:pPr>
    </w:p>
    <w:p w14:paraId="10BD6EA0">
      <w:r>
        <w:br w:type="page"/>
      </w:r>
    </w:p>
    <w:p w14:paraId="6AD44064">
      <w:pPr>
        <w:pStyle w:val="328"/>
        <w:tabs>
          <w:tab w:val="left" w:pos="805"/>
        </w:tabs>
        <w:spacing w:before="151"/>
        <w:ind w:left="540" w:firstLine="0"/>
        <w:jc w:val="left"/>
        <w:rPr>
          <w:spacing w:val="-3"/>
          <w:szCs w:val="21"/>
        </w:rPr>
      </w:pPr>
      <w:r>
        <w:rPr>
          <w:rFonts w:hint="eastAsia"/>
          <w:spacing w:val="-3"/>
          <w:szCs w:val="21"/>
        </w:rPr>
        <w:t>4. 专用工具清单及报价表（含入投标总价）</w:t>
      </w:r>
    </w:p>
    <w:p w14:paraId="59675AB4">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31AB19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7050B4AF">
            <w:pPr>
              <w:jc w:val="center"/>
              <w:rPr>
                <w:rFonts w:ascii="宋体" w:hAnsi="宋体"/>
                <w:spacing w:val="-10"/>
                <w:szCs w:val="21"/>
              </w:rPr>
            </w:pPr>
            <w:r>
              <w:rPr>
                <w:rFonts w:ascii="宋体" w:hAnsi="宋体"/>
                <w:spacing w:val="-10"/>
                <w:szCs w:val="21"/>
              </w:rPr>
              <w:t>序号</w:t>
            </w:r>
          </w:p>
        </w:tc>
        <w:tc>
          <w:tcPr>
            <w:tcW w:w="1260" w:type="dxa"/>
            <w:vAlign w:val="center"/>
          </w:tcPr>
          <w:p w14:paraId="76660868">
            <w:pPr>
              <w:jc w:val="center"/>
              <w:rPr>
                <w:rFonts w:ascii="宋体" w:hAnsi="宋体"/>
                <w:spacing w:val="-10"/>
                <w:szCs w:val="21"/>
              </w:rPr>
            </w:pPr>
            <w:r>
              <w:rPr>
                <w:rFonts w:ascii="宋体" w:hAnsi="宋体"/>
                <w:spacing w:val="-10"/>
                <w:szCs w:val="21"/>
              </w:rPr>
              <w:t>名称</w:t>
            </w:r>
          </w:p>
        </w:tc>
        <w:tc>
          <w:tcPr>
            <w:tcW w:w="1675" w:type="dxa"/>
            <w:vAlign w:val="center"/>
          </w:tcPr>
          <w:p w14:paraId="251DD141">
            <w:pPr>
              <w:jc w:val="center"/>
              <w:rPr>
                <w:rFonts w:ascii="宋体" w:hAnsi="宋体"/>
                <w:spacing w:val="-10"/>
                <w:szCs w:val="21"/>
              </w:rPr>
            </w:pPr>
            <w:r>
              <w:rPr>
                <w:rFonts w:ascii="宋体" w:hAnsi="宋体"/>
                <w:spacing w:val="-10"/>
                <w:szCs w:val="21"/>
              </w:rPr>
              <w:t>规格和型号</w:t>
            </w:r>
          </w:p>
        </w:tc>
        <w:tc>
          <w:tcPr>
            <w:tcW w:w="1891" w:type="dxa"/>
            <w:vAlign w:val="center"/>
          </w:tcPr>
          <w:p w14:paraId="0014EA0D">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1936CB15">
            <w:pPr>
              <w:jc w:val="center"/>
              <w:rPr>
                <w:rFonts w:ascii="宋体" w:hAnsi="宋体"/>
                <w:spacing w:val="-10"/>
                <w:szCs w:val="21"/>
              </w:rPr>
            </w:pPr>
            <w:r>
              <w:rPr>
                <w:rFonts w:ascii="宋体" w:hAnsi="宋体"/>
                <w:spacing w:val="-10"/>
                <w:szCs w:val="21"/>
              </w:rPr>
              <w:t>数量</w:t>
            </w:r>
          </w:p>
        </w:tc>
        <w:tc>
          <w:tcPr>
            <w:tcW w:w="1417" w:type="dxa"/>
            <w:vAlign w:val="center"/>
          </w:tcPr>
          <w:p w14:paraId="3CE0389A">
            <w:pPr>
              <w:jc w:val="center"/>
              <w:rPr>
                <w:rFonts w:ascii="宋体" w:hAnsi="宋体"/>
                <w:spacing w:val="-10"/>
                <w:szCs w:val="21"/>
              </w:rPr>
            </w:pPr>
            <w:r>
              <w:rPr>
                <w:rFonts w:ascii="宋体" w:hAnsi="宋体"/>
                <w:spacing w:val="-10"/>
                <w:szCs w:val="21"/>
              </w:rPr>
              <w:t>单价</w:t>
            </w:r>
          </w:p>
        </w:tc>
        <w:tc>
          <w:tcPr>
            <w:tcW w:w="1416" w:type="dxa"/>
            <w:vAlign w:val="center"/>
          </w:tcPr>
          <w:p w14:paraId="4E4CF49F">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1D3A0E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07A534D0">
            <w:pPr>
              <w:spacing w:line="336" w:lineRule="auto"/>
              <w:jc w:val="center"/>
              <w:rPr>
                <w:rFonts w:ascii="宋体" w:hAnsi="宋体"/>
                <w:szCs w:val="21"/>
              </w:rPr>
            </w:pPr>
            <w:r>
              <w:rPr>
                <w:rFonts w:ascii="宋体" w:hAnsi="宋体"/>
                <w:szCs w:val="21"/>
              </w:rPr>
              <w:t>1</w:t>
            </w:r>
          </w:p>
        </w:tc>
        <w:tc>
          <w:tcPr>
            <w:tcW w:w="1260" w:type="dxa"/>
          </w:tcPr>
          <w:p w14:paraId="71DB6801">
            <w:pPr>
              <w:spacing w:line="336" w:lineRule="auto"/>
              <w:rPr>
                <w:rFonts w:ascii="宋体" w:hAnsi="宋体"/>
                <w:szCs w:val="21"/>
              </w:rPr>
            </w:pPr>
          </w:p>
        </w:tc>
        <w:tc>
          <w:tcPr>
            <w:tcW w:w="1675" w:type="dxa"/>
          </w:tcPr>
          <w:p w14:paraId="71FA5861">
            <w:pPr>
              <w:spacing w:line="336" w:lineRule="auto"/>
              <w:rPr>
                <w:rFonts w:ascii="宋体" w:hAnsi="宋体"/>
                <w:szCs w:val="21"/>
              </w:rPr>
            </w:pPr>
          </w:p>
        </w:tc>
        <w:tc>
          <w:tcPr>
            <w:tcW w:w="1891" w:type="dxa"/>
          </w:tcPr>
          <w:p w14:paraId="5926FB19">
            <w:pPr>
              <w:spacing w:line="336" w:lineRule="auto"/>
              <w:rPr>
                <w:rFonts w:ascii="宋体" w:hAnsi="宋体"/>
                <w:szCs w:val="21"/>
              </w:rPr>
            </w:pPr>
          </w:p>
        </w:tc>
        <w:tc>
          <w:tcPr>
            <w:tcW w:w="1050" w:type="dxa"/>
          </w:tcPr>
          <w:p w14:paraId="6DC2478A">
            <w:pPr>
              <w:spacing w:line="336" w:lineRule="auto"/>
              <w:rPr>
                <w:rFonts w:ascii="宋体" w:hAnsi="宋体"/>
                <w:szCs w:val="21"/>
              </w:rPr>
            </w:pPr>
          </w:p>
        </w:tc>
        <w:tc>
          <w:tcPr>
            <w:tcW w:w="1417" w:type="dxa"/>
          </w:tcPr>
          <w:p w14:paraId="2208ED66">
            <w:pPr>
              <w:spacing w:line="336" w:lineRule="auto"/>
              <w:rPr>
                <w:rFonts w:ascii="宋体" w:hAnsi="宋体"/>
                <w:szCs w:val="21"/>
              </w:rPr>
            </w:pPr>
          </w:p>
        </w:tc>
        <w:tc>
          <w:tcPr>
            <w:tcW w:w="1416" w:type="dxa"/>
          </w:tcPr>
          <w:p w14:paraId="33AC0E5E">
            <w:pPr>
              <w:spacing w:line="336" w:lineRule="auto"/>
              <w:rPr>
                <w:rFonts w:ascii="宋体" w:hAnsi="宋体"/>
                <w:szCs w:val="21"/>
              </w:rPr>
            </w:pPr>
          </w:p>
        </w:tc>
      </w:tr>
      <w:tr w14:paraId="0EBB7F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28E53B21">
            <w:pPr>
              <w:spacing w:line="336" w:lineRule="auto"/>
              <w:jc w:val="center"/>
              <w:rPr>
                <w:rFonts w:ascii="宋体" w:hAnsi="宋体"/>
                <w:szCs w:val="21"/>
              </w:rPr>
            </w:pPr>
            <w:r>
              <w:rPr>
                <w:rFonts w:ascii="宋体" w:hAnsi="宋体"/>
                <w:szCs w:val="21"/>
              </w:rPr>
              <w:t>2</w:t>
            </w:r>
          </w:p>
        </w:tc>
        <w:tc>
          <w:tcPr>
            <w:tcW w:w="1260" w:type="dxa"/>
          </w:tcPr>
          <w:p w14:paraId="1886659C">
            <w:pPr>
              <w:spacing w:line="336" w:lineRule="auto"/>
              <w:rPr>
                <w:rFonts w:ascii="宋体" w:hAnsi="宋体"/>
                <w:szCs w:val="21"/>
              </w:rPr>
            </w:pPr>
          </w:p>
        </w:tc>
        <w:tc>
          <w:tcPr>
            <w:tcW w:w="1675" w:type="dxa"/>
          </w:tcPr>
          <w:p w14:paraId="6F9A6E06">
            <w:pPr>
              <w:spacing w:line="336" w:lineRule="auto"/>
              <w:rPr>
                <w:rFonts w:ascii="宋体" w:hAnsi="宋体"/>
                <w:szCs w:val="21"/>
              </w:rPr>
            </w:pPr>
          </w:p>
        </w:tc>
        <w:tc>
          <w:tcPr>
            <w:tcW w:w="1891" w:type="dxa"/>
          </w:tcPr>
          <w:p w14:paraId="086669A0">
            <w:pPr>
              <w:spacing w:line="336" w:lineRule="auto"/>
              <w:rPr>
                <w:rFonts w:ascii="宋体" w:hAnsi="宋体"/>
                <w:szCs w:val="21"/>
              </w:rPr>
            </w:pPr>
          </w:p>
        </w:tc>
        <w:tc>
          <w:tcPr>
            <w:tcW w:w="1050" w:type="dxa"/>
          </w:tcPr>
          <w:p w14:paraId="4717F7BE">
            <w:pPr>
              <w:spacing w:line="336" w:lineRule="auto"/>
              <w:rPr>
                <w:rFonts w:ascii="宋体" w:hAnsi="宋体"/>
                <w:szCs w:val="21"/>
              </w:rPr>
            </w:pPr>
          </w:p>
        </w:tc>
        <w:tc>
          <w:tcPr>
            <w:tcW w:w="1417" w:type="dxa"/>
          </w:tcPr>
          <w:p w14:paraId="155615EE">
            <w:pPr>
              <w:spacing w:line="336" w:lineRule="auto"/>
              <w:rPr>
                <w:rFonts w:ascii="宋体" w:hAnsi="宋体"/>
                <w:szCs w:val="21"/>
              </w:rPr>
            </w:pPr>
          </w:p>
        </w:tc>
        <w:tc>
          <w:tcPr>
            <w:tcW w:w="1416" w:type="dxa"/>
          </w:tcPr>
          <w:p w14:paraId="0BF04AB2">
            <w:pPr>
              <w:spacing w:line="336" w:lineRule="auto"/>
              <w:rPr>
                <w:rFonts w:ascii="宋体" w:hAnsi="宋体"/>
                <w:szCs w:val="21"/>
              </w:rPr>
            </w:pPr>
          </w:p>
        </w:tc>
      </w:tr>
      <w:tr w14:paraId="561E2F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2EBDBBE7">
            <w:pPr>
              <w:spacing w:line="336" w:lineRule="auto"/>
              <w:jc w:val="center"/>
              <w:rPr>
                <w:rFonts w:ascii="宋体" w:hAnsi="宋体"/>
                <w:szCs w:val="21"/>
              </w:rPr>
            </w:pPr>
            <w:r>
              <w:rPr>
                <w:rFonts w:ascii="宋体" w:hAnsi="宋体"/>
                <w:szCs w:val="21"/>
              </w:rPr>
              <w:t>3</w:t>
            </w:r>
          </w:p>
        </w:tc>
        <w:tc>
          <w:tcPr>
            <w:tcW w:w="1260" w:type="dxa"/>
          </w:tcPr>
          <w:p w14:paraId="423E695C">
            <w:pPr>
              <w:spacing w:line="336" w:lineRule="auto"/>
              <w:rPr>
                <w:rFonts w:ascii="宋体" w:hAnsi="宋体"/>
                <w:szCs w:val="21"/>
              </w:rPr>
            </w:pPr>
          </w:p>
        </w:tc>
        <w:tc>
          <w:tcPr>
            <w:tcW w:w="1675" w:type="dxa"/>
          </w:tcPr>
          <w:p w14:paraId="798BFCF9">
            <w:pPr>
              <w:spacing w:line="336" w:lineRule="auto"/>
              <w:rPr>
                <w:rFonts w:ascii="宋体" w:hAnsi="宋体"/>
                <w:szCs w:val="21"/>
              </w:rPr>
            </w:pPr>
          </w:p>
        </w:tc>
        <w:tc>
          <w:tcPr>
            <w:tcW w:w="1891" w:type="dxa"/>
          </w:tcPr>
          <w:p w14:paraId="71455B5D">
            <w:pPr>
              <w:spacing w:line="336" w:lineRule="auto"/>
              <w:rPr>
                <w:rFonts w:ascii="宋体" w:hAnsi="宋体"/>
                <w:szCs w:val="21"/>
              </w:rPr>
            </w:pPr>
          </w:p>
        </w:tc>
        <w:tc>
          <w:tcPr>
            <w:tcW w:w="1050" w:type="dxa"/>
          </w:tcPr>
          <w:p w14:paraId="06387987">
            <w:pPr>
              <w:spacing w:line="336" w:lineRule="auto"/>
              <w:rPr>
                <w:rFonts w:ascii="宋体" w:hAnsi="宋体"/>
                <w:szCs w:val="21"/>
              </w:rPr>
            </w:pPr>
          </w:p>
        </w:tc>
        <w:tc>
          <w:tcPr>
            <w:tcW w:w="1417" w:type="dxa"/>
          </w:tcPr>
          <w:p w14:paraId="32AEB6D2">
            <w:pPr>
              <w:spacing w:line="336" w:lineRule="auto"/>
              <w:rPr>
                <w:rFonts w:ascii="宋体" w:hAnsi="宋体"/>
                <w:szCs w:val="21"/>
              </w:rPr>
            </w:pPr>
          </w:p>
        </w:tc>
        <w:tc>
          <w:tcPr>
            <w:tcW w:w="1416" w:type="dxa"/>
          </w:tcPr>
          <w:p w14:paraId="1C988593">
            <w:pPr>
              <w:spacing w:line="336" w:lineRule="auto"/>
              <w:rPr>
                <w:rFonts w:ascii="宋体" w:hAnsi="宋体"/>
                <w:szCs w:val="21"/>
              </w:rPr>
            </w:pPr>
          </w:p>
        </w:tc>
      </w:tr>
      <w:tr w14:paraId="02AC1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5721B5C9">
            <w:pPr>
              <w:spacing w:line="336" w:lineRule="auto"/>
              <w:jc w:val="center"/>
              <w:rPr>
                <w:rFonts w:ascii="宋体" w:hAnsi="宋体"/>
                <w:szCs w:val="21"/>
              </w:rPr>
            </w:pPr>
            <w:r>
              <w:rPr>
                <w:rFonts w:hint="eastAsia" w:ascii="宋体" w:hAnsi="宋体"/>
                <w:szCs w:val="21"/>
              </w:rPr>
              <w:t>…</w:t>
            </w:r>
          </w:p>
        </w:tc>
        <w:tc>
          <w:tcPr>
            <w:tcW w:w="1260" w:type="dxa"/>
          </w:tcPr>
          <w:p w14:paraId="3921D542">
            <w:pPr>
              <w:spacing w:line="336" w:lineRule="auto"/>
              <w:rPr>
                <w:rFonts w:ascii="宋体" w:hAnsi="宋体"/>
                <w:szCs w:val="21"/>
              </w:rPr>
            </w:pPr>
          </w:p>
        </w:tc>
        <w:tc>
          <w:tcPr>
            <w:tcW w:w="1675" w:type="dxa"/>
          </w:tcPr>
          <w:p w14:paraId="57131905">
            <w:pPr>
              <w:spacing w:line="336" w:lineRule="auto"/>
              <w:rPr>
                <w:rFonts w:ascii="宋体" w:hAnsi="宋体"/>
                <w:szCs w:val="21"/>
              </w:rPr>
            </w:pPr>
          </w:p>
        </w:tc>
        <w:tc>
          <w:tcPr>
            <w:tcW w:w="1891" w:type="dxa"/>
          </w:tcPr>
          <w:p w14:paraId="1AC1D578">
            <w:pPr>
              <w:spacing w:line="336" w:lineRule="auto"/>
              <w:rPr>
                <w:rFonts w:ascii="宋体" w:hAnsi="宋体"/>
                <w:szCs w:val="21"/>
              </w:rPr>
            </w:pPr>
          </w:p>
        </w:tc>
        <w:tc>
          <w:tcPr>
            <w:tcW w:w="1050" w:type="dxa"/>
          </w:tcPr>
          <w:p w14:paraId="2D848BEB">
            <w:pPr>
              <w:spacing w:line="336" w:lineRule="auto"/>
              <w:rPr>
                <w:rFonts w:ascii="宋体" w:hAnsi="宋体"/>
                <w:szCs w:val="21"/>
              </w:rPr>
            </w:pPr>
          </w:p>
        </w:tc>
        <w:tc>
          <w:tcPr>
            <w:tcW w:w="1417" w:type="dxa"/>
          </w:tcPr>
          <w:p w14:paraId="1745E49B">
            <w:pPr>
              <w:spacing w:line="336" w:lineRule="auto"/>
              <w:rPr>
                <w:rFonts w:ascii="宋体" w:hAnsi="宋体"/>
                <w:szCs w:val="21"/>
              </w:rPr>
            </w:pPr>
          </w:p>
        </w:tc>
        <w:tc>
          <w:tcPr>
            <w:tcW w:w="1416" w:type="dxa"/>
          </w:tcPr>
          <w:p w14:paraId="41E01EC8">
            <w:pPr>
              <w:spacing w:line="336" w:lineRule="auto"/>
              <w:rPr>
                <w:rFonts w:ascii="宋体" w:hAnsi="宋体"/>
                <w:szCs w:val="21"/>
              </w:rPr>
            </w:pPr>
          </w:p>
        </w:tc>
      </w:tr>
    </w:tbl>
    <w:p w14:paraId="66F2F33C"/>
    <w:p w14:paraId="01571F34">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D0729D1">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4473DF98">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0B2B46AC">
      <w:pPr>
        <w:pStyle w:val="328"/>
        <w:tabs>
          <w:tab w:val="left" w:pos="805"/>
        </w:tabs>
        <w:spacing w:before="151"/>
        <w:ind w:left="540" w:firstLine="0"/>
        <w:jc w:val="left"/>
        <w:rPr>
          <w:spacing w:val="-3"/>
          <w:szCs w:val="21"/>
        </w:rPr>
      </w:pPr>
    </w:p>
    <w:p w14:paraId="03180F5D">
      <w:pPr>
        <w:pStyle w:val="328"/>
        <w:tabs>
          <w:tab w:val="left" w:pos="805"/>
        </w:tabs>
        <w:spacing w:before="151"/>
        <w:ind w:left="540" w:firstLine="0"/>
        <w:jc w:val="left"/>
        <w:rPr>
          <w:spacing w:val="-3"/>
          <w:szCs w:val="21"/>
        </w:rPr>
      </w:pPr>
      <w:r>
        <w:rPr>
          <w:rFonts w:hint="eastAsia"/>
          <w:spacing w:val="-3"/>
          <w:szCs w:val="21"/>
        </w:rPr>
        <w:t>5. 货物</w:t>
      </w:r>
      <w:r>
        <w:rPr>
          <w:rFonts w:hint="eastAsia"/>
          <w:spacing w:val="-3"/>
          <w:szCs w:val="21"/>
          <w:lang w:eastAsia="zh-CN"/>
        </w:rPr>
        <w:t>质量保证期</w:t>
      </w:r>
      <w:r>
        <w:rPr>
          <w:rFonts w:hint="eastAsia"/>
          <w:spacing w:val="-3"/>
          <w:szCs w:val="21"/>
        </w:rPr>
        <w:t>内的备品备件清单及报价表（含入投标总价）</w:t>
      </w:r>
    </w:p>
    <w:p w14:paraId="5F6052B8">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29CF8C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473BEC4E">
            <w:pPr>
              <w:jc w:val="center"/>
              <w:rPr>
                <w:rFonts w:ascii="宋体" w:hAnsi="宋体"/>
                <w:spacing w:val="-10"/>
                <w:szCs w:val="21"/>
              </w:rPr>
            </w:pPr>
            <w:r>
              <w:rPr>
                <w:rFonts w:ascii="宋体" w:hAnsi="宋体"/>
                <w:spacing w:val="-10"/>
                <w:szCs w:val="21"/>
              </w:rPr>
              <w:t>序号</w:t>
            </w:r>
          </w:p>
        </w:tc>
        <w:tc>
          <w:tcPr>
            <w:tcW w:w="1260" w:type="dxa"/>
            <w:vAlign w:val="center"/>
          </w:tcPr>
          <w:p w14:paraId="7E684D6F">
            <w:pPr>
              <w:jc w:val="center"/>
              <w:rPr>
                <w:rFonts w:ascii="宋体" w:hAnsi="宋体"/>
                <w:spacing w:val="-10"/>
                <w:szCs w:val="21"/>
              </w:rPr>
            </w:pPr>
            <w:r>
              <w:rPr>
                <w:rFonts w:ascii="宋体" w:hAnsi="宋体"/>
                <w:spacing w:val="-10"/>
                <w:szCs w:val="21"/>
              </w:rPr>
              <w:t>名称</w:t>
            </w:r>
          </w:p>
        </w:tc>
        <w:tc>
          <w:tcPr>
            <w:tcW w:w="1675" w:type="dxa"/>
            <w:vAlign w:val="center"/>
          </w:tcPr>
          <w:p w14:paraId="1DDC8EF7">
            <w:pPr>
              <w:jc w:val="center"/>
              <w:rPr>
                <w:rFonts w:ascii="宋体" w:hAnsi="宋体"/>
                <w:spacing w:val="-10"/>
                <w:szCs w:val="21"/>
              </w:rPr>
            </w:pPr>
            <w:r>
              <w:rPr>
                <w:rFonts w:ascii="宋体" w:hAnsi="宋体"/>
                <w:spacing w:val="-10"/>
                <w:szCs w:val="21"/>
              </w:rPr>
              <w:t>规格和型号</w:t>
            </w:r>
          </w:p>
        </w:tc>
        <w:tc>
          <w:tcPr>
            <w:tcW w:w="1891" w:type="dxa"/>
            <w:vAlign w:val="center"/>
          </w:tcPr>
          <w:p w14:paraId="58D319D7">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71F3FD91">
            <w:pPr>
              <w:jc w:val="center"/>
              <w:rPr>
                <w:rFonts w:ascii="宋体" w:hAnsi="宋体"/>
                <w:spacing w:val="-10"/>
                <w:szCs w:val="21"/>
              </w:rPr>
            </w:pPr>
            <w:r>
              <w:rPr>
                <w:rFonts w:ascii="宋体" w:hAnsi="宋体"/>
                <w:spacing w:val="-10"/>
                <w:szCs w:val="21"/>
              </w:rPr>
              <w:t>数量</w:t>
            </w:r>
          </w:p>
        </w:tc>
        <w:tc>
          <w:tcPr>
            <w:tcW w:w="1417" w:type="dxa"/>
            <w:vAlign w:val="center"/>
          </w:tcPr>
          <w:p w14:paraId="48079B70">
            <w:pPr>
              <w:jc w:val="center"/>
              <w:rPr>
                <w:rFonts w:ascii="宋体" w:hAnsi="宋体"/>
                <w:spacing w:val="-10"/>
                <w:szCs w:val="21"/>
              </w:rPr>
            </w:pPr>
            <w:r>
              <w:rPr>
                <w:rFonts w:ascii="宋体" w:hAnsi="宋体"/>
                <w:spacing w:val="-10"/>
                <w:szCs w:val="21"/>
              </w:rPr>
              <w:t>单价</w:t>
            </w:r>
          </w:p>
        </w:tc>
        <w:tc>
          <w:tcPr>
            <w:tcW w:w="1416" w:type="dxa"/>
            <w:vAlign w:val="center"/>
          </w:tcPr>
          <w:p w14:paraId="1DBE6C17">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2DFC07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091B37B">
            <w:pPr>
              <w:spacing w:line="336" w:lineRule="auto"/>
              <w:jc w:val="center"/>
              <w:rPr>
                <w:rFonts w:ascii="宋体" w:hAnsi="宋体"/>
                <w:szCs w:val="21"/>
              </w:rPr>
            </w:pPr>
            <w:r>
              <w:rPr>
                <w:rFonts w:ascii="宋体" w:hAnsi="宋体"/>
                <w:szCs w:val="21"/>
              </w:rPr>
              <w:t>1</w:t>
            </w:r>
          </w:p>
        </w:tc>
        <w:tc>
          <w:tcPr>
            <w:tcW w:w="1260" w:type="dxa"/>
          </w:tcPr>
          <w:p w14:paraId="1496A547">
            <w:pPr>
              <w:spacing w:line="336" w:lineRule="auto"/>
              <w:rPr>
                <w:rFonts w:ascii="宋体" w:hAnsi="宋体"/>
                <w:szCs w:val="21"/>
              </w:rPr>
            </w:pPr>
          </w:p>
        </w:tc>
        <w:tc>
          <w:tcPr>
            <w:tcW w:w="1675" w:type="dxa"/>
          </w:tcPr>
          <w:p w14:paraId="2E68D831">
            <w:pPr>
              <w:spacing w:line="336" w:lineRule="auto"/>
              <w:rPr>
                <w:rFonts w:ascii="宋体" w:hAnsi="宋体"/>
                <w:szCs w:val="21"/>
              </w:rPr>
            </w:pPr>
          </w:p>
        </w:tc>
        <w:tc>
          <w:tcPr>
            <w:tcW w:w="1891" w:type="dxa"/>
          </w:tcPr>
          <w:p w14:paraId="271A32E6">
            <w:pPr>
              <w:spacing w:line="336" w:lineRule="auto"/>
              <w:rPr>
                <w:rFonts w:ascii="宋体" w:hAnsi="宋体"/>
                <w:szCs w:val="21"/>
              </w:rPr>
            </w:pPr>
          </w:p>
        </w:tc>
        <w:tc>
          <w:tcPr>
            <w:tcW w:w="1050" w:type="dxa"/>
          </w:tcPr>
          <w:p w14:paraId="7880F367">
            <w:pPr>
              <w:spacing w:line="336" w:lineRule="auto"/>
              <w:rPr>
                <w:rFonts w:ascii="宋体" w:hAnsi="宋体"/>
                <w:szCs w:val="21"/>
              </w:rPr>
            </w:pPr>
          </w:p>
        </w:tc>
        <w:tc>
          <w:tcPr>
            <w:tcW w:w="1417" w:type="dxa"/>
          </w:tcPr>
          <w:p w14:paraId="4D23075E">
            <w:pPr>
              <w:spacing w:line="336" w:lineRule="auto"/>
              <w:rPr>
                <w:rFonts w:ascii="宋体" w:hAnsi="宋体"/>
                <w:szCs w:val="21"/>
              </w:rPr>
            </w:pPr>
          </w:p>
        </w:tc>
        <w:tc>
          <w:tcPr>
            <w:tcW w:w="1416" w:type="dxa"/>
          </w:tcPr>
          <w:p w14:paraId="51E7CE7C">
            <w:pPr>
              <w:spacing w:line="336" w:lineRule="auto"/>
              <w:rPr>
                <w:rFonts w:ascii="宋体" w:hAnsi="宋体"/>
                <w:szCs w:val="21"/>
              </w:rPr>
            </w:pPr>
          </w:p>
        </w:tc>
      </w:tr>
      <w:tr w14:paraId="3ECA5B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1DA2E58A">
            <w:pPr>
              <w:spacing w:line="336" w:lineRule="auto"/>
              <w:jc w:val="center"/>
              <w:rPr>
                <w:rFonts w:ascii="宋体" w:hAnsi="宋体"/>
                <w:szCs w:val="21"/>
              </w:rPr>
            </w:pPr>
            <w:r>
              <w:rPr>
                <w:rFonts w:ascii="宋体" w:hAnsi="宋体"/>
                <w:szCs w:val="21"/>
              </w:rPr>
              <w:t>2</w:t>
            </w:r>
          </w:p>
        </w:tc>
        <w:tc>
          <w:tcPr>
            <w:tcW w:w="1260" w:type="dxa"/>
          </w:tcPr>
          <w:p w14:paraId="61E68CB4">
            <w:pPr>
              <w:spacing w:line="336" w:lineRule="auto"/>
              <w:rPr>
                <w:rFonts w:ascii="宋体" w:hAnsi="宋体"/>
                <w:szCs w:val="21"/>
              </w:rPr>
            </w:pPr>
          </w:p>
        </w:tc>
        <w:tc>
          <w:tcPr>
            <w:tcW w:w="1675" w:type="dxa"/>
          </w:tcPr>
          <w:p w14:paraId="3C2D490F">
            <w:pPr>
              <w:spacing w:line="336" w:lineRule="auto"/>
              <w:rPr>
                <w:rFonts w:ascii="宋体" w:hAnsi="宋体"/>
                <w:szCs w:val="21"/>
              </w:rPr>
            </w:pPr>
          </w:p>
        </w:tc>
        <w:tc>
          <w:tcPr>
            <w:tcW w:w="1891" w:type="dxa"/>
          </w:tcPr>
          <w:p w14:paraId="54D885AB">
            <w:pPr>
              <w:spacing w:line="336" w:lineRule="auto"/>
              <w:rPr>
                <w:rFonts w:ascii="宋体" w:hAnsi="宋体"/>
                <w:szCs w:val="21"/>
              </w:rPr>
            </w:pPr>
          </w:p>
        </w:tc>
        <w:tc>
          <w:tcPr>
            <w:tcW w:w="1050" w:type="dxa"/>
          </w:tcPr>
          <w:p w14:paraId="1DFA79F3">
            <w:pPr>
              <w:spacing w:line="336" w:lineRule="auto"/>
              <w:rPr>
                <w:rFonts w:ascii="宋体" w:hAnsi="宋体"/>
                <w:szCs w:val="21"/>
              </w:rPr>
            </w:pPr>
          </w:p>
        </w:tc>
        <w:tc>
          <w:tcPr>
            <w:tcW w:w="1417" w:type="dxa"/>
          </w:tcPr>
          <w:p w14:paraId="40DDC37B">
            <w:pPr>
              <w:spacing w:line="336" w:lineRule="auto"/>
              <w:rPr>
                <w:rFonts w:ascii="宋体" w:hAnsi="宋体"/>
                <w:szCs w:val="21"/>
              </w:rPr>
            </w:pPr>
          </w:p>
        </w:tc>
        <w:tc>
          <w:tcPr>
            <w:tcW w:w="1416" w:type="dxa"/>
          </w:tcPr>
          <w:p w14:paraId="5D68C381">
            <w:pPr>
              <w:spacing w:line="336" w:lineRule="auto"/>
              <w:rPr>
                <w:rFonts w:ascii="宋体" w:hAnsi="宋体"/>
                <w:szCs w:val="21"/>
              </w:rPr>
            </w:pPr>
          </w:p>
        </w:tc>
      </w:tr>
      <w:tr w14:paraId="27181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624" w:type="dxa"/>
            <w:vAlign w:val="center"/>
          </w:tcPr>
          <w:p w14:paraId="27C2699B">
            <w:pPr>
              <w:spacing w:line="336" w:lineRule="auto"/>
              <w:jc w:val="center"/>
              <w:rPr>
                <w:rFonts w:ascii="宋体" w:hAnsi="宋体"/>
                <w:szCs w:val="21"/>
              </w:rPr>
            </w:pPr>
            <w:r>
              <w:rPr>
                <w:rFonts w:ascii="宋体" w:hAnsi="宋体"/>
                <w:szCs w:val="21"/>
              </w:rPr>
              <w:t>3</w:t>
            </w:r>
          </w:p>
        </w:tc>
        <w:tc>
          <w:tcPr>
            <w:tcW w:w="1260" w:type="dxa"/>
          </w:tcPr>
          <w:p w14:paraId="77E33650">
            <w:pPr>
              <w:spacing w:line="336" w:lineRule="auto"/>
              <w:rPr>
                <w:rFonts w:ascii="宋体" w:hAnsi="宋体"/>
                <w:szCs w:val="21"/>
              </w:rPr>
            </w:pPr>
          </w:p>
        </w:tc>
        <w:tc>
          <w:tcPr>
            <w:tcW w:w="1675" w:type="dxa"/>
          </w:tcPr>
          <w:p w14:paraId="0ACCAB7C">
            <w:pPr>
              <w:spacing w:line="336" w:lineRule="auto"/>
              <w:rPr>
                <w:rFonts w:ascii="宋体" w:hAnsi="宋体"/>
                <w:szCs w:val="21"/>
              </w:rPr>
            </w:pPr>
          </w:p>
        </w:tc>
        <w:tc>
          <w:tcPr>
            <w:tcW w:w="1891" w:type="dxa"/>
          </w:tcPr>
          <w:p w14:paraId="153A9108">
            <w:pPr>
              <w:spacing w:line="336" w:lineRule="auto"/>
              <w:rPr>
                <w:rFonts w:ascii="宋体" w:hAnsi="宋体"/>
                <w:szCs w:val="21"/>
              </w:rPr>
            </w:pPr>
          </w:p>
        </w:tc>
        <w:tc>
          <w:tcPr>
            <w:tcW w:w="1050" w:type="dxa"/>
          </w:tcPr>
          <w:p w14:paraId="7837E357">
            <w:pPr>
              <w:spacing w:line="336" w:lineRule="auto"/>
              <w:rPr>
                <w:rFonts w:ascii="宋体" w:hAnsi="宋体"/>
                <w:szCs w:val="21"/>
              </w:rPr>
            </w:pPr>
          </w:p>
        </w:tc>
        <w:tc>
          <w:tcPr>
            <w:tcW w:w="1417" w:type="dxa"/>
          </w:tcPr>
          <w:p w14:paraId="09D6B0D7">
            <w:pPr>
              <w:spacing w:line="336" w:lineRule="auto"/>
              <w:rPr>
                <w:rFonts w:ascii="宋体" w:hAnsi="宋体"/>
                <w:szCs w:val="21"/>
              </w:rPr>
            </w:pPr>
          </w:p>
        </w:tc>
        <w:tc>
          <w:tcPr>
            <w:tcW w:w="1416" w:type="dxa"/>
          </w:tcPr>
          <w:p w14:paraId="1D6E116A">
            <w:pPr>
              <w:spacing w:line="336" w:lineRule="auto"/>
              <w:rPr>
                <w:rFonts w:ascii="宋体" w:hAnsi="宋体"/>
                <w:szCs w:val="21"/>
              </w:rPr>
            </w:pPr>
          </w:p>
        </w:tc>
      </w:tr>
      <w:tr w14:paraId="04857F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43D930B0">
            <w:pPr>
              <w:spacing w:line="336" w:lineRule="auto"/>
              <w:jc w:val="center"/>
              <w:rPr>
                <w:rFonts w:ascii="宋体" w:hAnsi="宋体"/>
                <w:szCs w:val="21"/>
              </w:rPr>
            </w:pPr>
            <w:r>
              <w:rPr>
                <w:rFonts w:hint="eastAsia" w:ascii="宋体" w:hAnsi="宋体"/>
                <w:szCs w:val="21"/>
              </w:rPr>
              <w:t>…</w:t>
            </w:r>
          </w:p>
        </w:tc>
        <w:tc>
          <w:tcPr>
            <w:tcW w:w="1260" w:type="dxa"/>
          </w:tcPr>
          <w:p w14:paraId="20C28C8F">
            <w:pPr>
              <w:spacing w:line="336" w:lineRule="auto"/>
              <w:rPr>
                <w:rFonts w:ascii="宋体" w:hAnsi="宋体"/>
                <w:szCs w:val="21"/>
              </w:rPr>
            </w:pPr>
          </w:p>
        </w:tc>
        <w:tc>
          <w:tcPr>
            <w:tcW w:w="1675" w:type="dxa"/>
          </w:tcPr>
          <w:p w14:paraId="34EC0761">
            <w:pPr>
              <w:spacing w:line="336" w:lineRule="auto"/>
              <w:rPr>
                <w:rFonts w:ascii="宋体" w:hAnsi="宋体"/>
                <w:szCs w:val="21"/>
              </w:rPr>
            </w:pPr>
          </w:p>
        </w:tc>
        <w:tc>
          <w:tcPr>
            <w:tcW w:w="1891" w:type="dxa"/>
          </w:tcPr>
          <w:p w14:paraId="7CF1A027">
            <w:pPr>
              <w:spacing w:line="336" w:lineRule="auto"/>
              <w:rPr>
                <w:rFonts w:ascii="宋体" w:hAnsi="宋体"/>
                <w:szCs w:val="21"/>
              </w:rPr>
            </w:pPr>
          </w:p>
        </w:tc>
        <w:tc>
          <w:tcPr>
            <w:tcW w:w="1050" w:type="dxa"/>
          </w:tcPr>
          <w:p w14:paraId="06A3B792">
            <w:pPr>
              <w:spacing w:line="336" w:lineRule="auto"/>
              <w:rPr>
                <w:rFonts w:ascii="宋体" w:hAnsi="宋体"/>
                <w:szCs w:val="21"/>
              </w:rPr>
            </w:pPr>
          </w:p>
        </w:tc>
        <w:tc>
          <w:tcPr>
            <w:tcW w:w="1417" w:type="dxa"/>
          </w:tcPr>
          <w:p w14:paraId="621A322F">
            <w:pPr>
              <w:spacing w:line="336" w:lineRule="auto"/>
              <w:rPr>
                <w:rFonts w:ascii="宋体" w:hAnsi="宋体"/>
                <w:szCs w:val="21"/>
              </w:rPr>
            </w:pPr>
          </w:p>
        </w:tc>
        <w:tc>
          <w:tcPr>
            <w:tcW w:w="1416" w:type="dxa"/>
          </w:tcPr>
          <w:p w14:paraId="2AA391B0">
            <w:pPr>
              <w:spacing w:line="336" w:lineRule="auto"/>
              <w:rPr>
                <w:rFonts w:ascii="宋体" w:hAnsi="宋体"/>
                <w:szCs w:val="21"/>
              </w:rPr>
            </w:pPr>
          </w:p>
        </w:tc>
      </w:tr>
    </w:tbl>
    <w:p w14:paraId="1D73821B"/>
    <w:p w14:paraId="215364A4">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17FF4DEB">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17CF74A5">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12FBEA19">
      <w:pPr>
        <w:pStyle w:val="328"/>
        <w:tabs>
          <w:tab w:val="left" w:pos="805"/>
        </w:tabs>
        <w:spacing w:before="151"/>
        <w:ind w:left="540" w:firstLine="0"/>
        <w:jc w:val="left"/>
        <w:rPr>
          <w:spacing w:val="-3"/>
          <w:szCs w:val="21"/>
        </w:rPr>
      </w:pPr>
    </w:p>
    <w:p w14:paraId="226ACF3D">
      <w:pPr>
        <w:pStyle w:val="328"/>
        <w:tabs>
          <w:tab w:val="left" w:pos="805"/>
        </w:tabs>
        <w:spacing w:before="151"/>
        <w:ind w:left="540" w:firstLine="0"/>
        <w:jc w:val="left"/>
        <w:rPr>
          <w:spacing w:val="-3"/>
          <w:szCs w:val="21"/>
        </w:rPr>
      </w:pPr>
      <w:r>
        <w:rPr>
          <w:rFonts w:hint="eastAsia"/>
          <w:spacing w:val="-3"/>
          <w:szCs w:val="21"/>
        </w:rPr>
        <w:t>6. 货物</w:t>
      </w:r>
      <w:r>
        <w:rPr>
          <w:rFonts w:hint="eastAsia"/>
          <w:spacing w:val="-3"/>
          <w:szCs w:val="21"/>
          <w:lang w:eastAsia="zh-CN"/>
        </w:rPr>
        <w:t>质量保证期</w:t>
      </w:r>
      <w:r>
        <w:rPr>
          <w:rFonts w:hint="eastAsia"/>
          <w:spacing w:val="-3"/>
          <w:szCs w:val="21"/>
        </w:rPr>
        <w:t>外的备品备件清单及报价表（不含入投标总价）</w:t>
      </w:r>
    </w:p>
    <w:p w14:paraId="691EA53D">
      <w:pPr>
        <w:spacing w:line="360" w:lineRule="auto"/>
        <w:ind w:firstLine="7350" w:firstLineChars="3500"/>
      </w:pPr>
      <w:r>
        <w:rPr>
          <w:rFonts w:hint="eastAsia" w:ascii="宋体" w:hAnsi="宋体" w:cs="宋体"/>
          <w:szCs w:val="21"/>
        </w:rPr>
        <w:t>单位：人民币元</w:t>
      </w:r>
    </w:p>
    <w:tbl>
      <w:tblPr>
        <w:tblStyle w:val="46"/>
        <w:tblW w:w="9333" w:type="dxa"/>
        <w:tblInd w:w="204"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24"/>
        <w:gridCol w:w="1260"/>
        <w:gridCol w:w="1675"/>
        <w:gridCol w:w="1891"/>
        <w:gridCol w:w="1050"/>
        <w:gridCol w:w="1417"/>
        <w:gridCol w:w="1416"/>
      </w:tblGrid>
      <w:tr w14:paraId="765C98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6" w:hRule="atLeast"/>
        </w:trPr>
        <w:tc>
          <w:tcPr>
            <w:tcW w:w="624" w:type="dxa"/>
            <w:vAlign w:val="center"/>
          </w:tcPr>
          <w:p w14:paraId="60C4D7C5">
            <w:pPr>
              <w:jc w:val="center"/>
              <w:rPr>
                <w:rFonts w:ascii="宋体" w:hAnsi="宋体"/>
                <w:spacing w:val="-10"/>
                <w:szCs w:val="21"/>
              </w:rPr>
            </w:pPr>
            <w:r>
              <w:rPr>
                <w:rFonts w:ascii="宋体" w:hAnsi="宋体"/>
                <w:spacing w:val="-10"/>
                <w:szCs w:val="21"/>
              </w:rPr>
              <w:t>序号</w:t>
            </w:r>
          </w:p>
        </w:tc>
        <w:tc>
          <w:tcPr>
            <w:tcW w:w="1260" w:type="dxa"/>
            <w:vAlign w:val="center"/>
          </w:tcPr>
          <w:p w14:paraId="376F4C06">
            <w:pPr>
              <w:jc w:val="center"/>
              <w:rPr>
                <w:rFonts w:ascii="宋体" w:hAnsi="宋体"/>
                <w:spacing w:val="-10"/>
                <w:szCs w:val="21"/>
              </w:rPr>
            </w:pPr>
            <w:r>
              <w:rPr>
                <w:rFonts w:ascii="宋体" w:hAnsi="宋体"/>
                <w:spacing w:val="-10"/>
                <w:szCs w:val="21"/>
              </w:rPr>
              <w:t>名称</w:t>
            </w:r>
          </w:p>
        </w:tc>
        <w:tc>
          <w:tcPr>
            <w:tcW w:w="1675" w:type="dxa"/>
            <w:vAlign w:val="center"/>
          </w:tcPr>
          <w:p w14:paraId="7472D243">
            <w:pPr>
              <w:jc w:val="center"/>
              <w:rPr>
                <w:rFonts w:ascii="宋体" w:hAnsi="宋体"/>
                <w:spacing w:val="-10"/>
                <w:szCs w:val="21"/>
              </w:rPr>
            </w:pPr>
            <w:r>
              <w:rPr>
                <w:rFonts w:ascii="宋体" w:hAnsi="宋体"/>
                <w:spacing w:val="-10"/>
                <w:szCs w:val="21"/>
              </w:rPr>
              <w:t>规格和型号</w:t>
            </w:r>
          </w:p>
        </w:tc>
        <w:tc>
          <w:tcPr>
            <w:tcW w:w="1891" w:type="dxa"/>
            <w:vAlign w:val="center"/>
          </w:tcPr>
          <w:p w14:paraId="157C6A8E">
            <w:pPr>
              <w:jc w:val="center"/>
              <w:rPr>
                <w:rFonts w:ascii="宋体" w:hAnsi="宋体"/>
                <w:spacing w:val="-10"/>
                <w:szCs w:val="21"/>
              </w:rPr>
            </w:pPr>
            <w:r>
              <w:rPr>
                <w:rFonts w:hint="eastAsia" w:ascii="宋体" w:hAnsi="宋体"/>
                <w:spacing w:val="-10"/>
                <w:szCs w:val="21"/>
              </w:rPr>
              <w:t>品牌或</w:t>
            </w:r>
            <w:r>
              <w:rPr>
                <w:rFonts w:ascii="宋体" w:hAnsi="宋体"/>
                <w:spacing w:val="-10"/>
                <w:szCs w:val="21"/>
              </w:rPr>
              <w:t>制造厂名称</w:t>
            </w:r>
          </w:p>
        </w:tc>
        <w:tc>
          <w:tcPr>
            <w:tcW w:w="1050" w:type="dxa"/>
            <w:vAlign w:val="center"/>
          </w:tcPr>
          <w:p w14:paraId="63B22DA2">
            <w:pPr>
              <w:jc w:val="center"/>
              <w:rPr>
                <w:rFonts w:ascii="宋体" w:hAnsi="宋体"/>
                <w:spacing w:val="-10"/>
                <w:szCs w:val="21"/>
              </w:rPr>
            </w:pPr>
            <w:r>
              <w:rPr>
                <w:rFonts w:ascii="宋体" w:hAnsi="宋体"/>
                <w:spacing w:val="-10"/>
                <w:szCs w:val="21"/>
              </w:rPr>
              <w:t>数量</w:t>
            </w:r>
          </w:p>
        </w:tc>
        <w:tc>
          <w:tcPr>
            <w:tcW w:w="1417" w:type="dxa"/>
            <w:vAlign w:val="center"/>
          </w:tcPr>
          <w:p w14:paraId="4ADB2564">
            <w:pPr>
              <w:jc w:val="center"/>
              <w:rPr>
                <w:rFonts w:ascii="宋体" w:hAnsi="宋体"/>
                <w:spacing w:val="-10"/>
                <w:szCs w:val="21"/>
              </w:rPr>
            </w:pPr>
            <w:r>
              <w:rPr>
                <w:rFonts w:ascii="宋体" w:hAnsi="宋体"/>
                <w:spacing w:val="-10"/>
                <w:szCs w:val="21"/>
              </w:rPr>
              <w:t>单价</w:t>
            </w:r>
          </w:p>
        </w:tc>
        <w:tc>
          <w:tcPr>
            <w:tcW w:w="1416" w:type="dxa"/>
            <w:vAlign w:val="center"/>
          </w:tcPr>
          <w:p w14:paraId="1B99EFB8">
            <w:pPr>
              <w:jc w:val="center"/>
              <w:rPr>
                <w:rFonts w:ascii="宋体" w:hAnsi="宋体"/>
                <w:spacing w:val="-10"/>
                <w:szCs w:val="21"/>
              </w:rPr>
            </w:pPr>
            <w:r>
              <w:rPr>
                <w:rFonts w:ascii="宋体" w:hAnsi="宋体"/>
                <w:spacing w:val="-10"/>
                <w:szCs w:val="21"/>
              </w:rPr>
              <w:t>合</w:t>
            </w:r>
            <w:r>
              <w:rPr>
                <w:rFonts w:hint="eastAsia" w:ascii="宋体" w:hAnsi="宋体"/>
                <w:spacing w:val="-10"/>
                <w:szCs w:val="21"/>
              </w:rPr>
              <w:t>价</w:t>
            </w:r>
          </w:p>
        </w:tc>
      </w:tr>
      <w:tr w14:paraId="36D415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72FE49BD">
            <w:pPr>
              <w:spacing w:line="336" w:lineRule="auto"/>
              <w:jc w:val="center"/>
              <w:rPr>
                <w:rFonts w:ascii="宋体" w:hAnsi="宋体"/>
                <w:szCs w:val="21"/>
              </w:rPr>
            </w:pPr>
            <w:r>
              <w:rPr>
                <w:rFonts w:ascii="宋体" w:hAnsi="宋体"/>
                <w:szCs w:val="21"/>
              </w:rPr>
              <w:t>1</w:t>
            </w:r>
          </w:p>
        </w:tc>
        <w:tc>
          <w:tcPr>
            <w:tcW w:w="1260" w:type="dxa"/>
          </w:tcPr>
          <w:p w14:paraId="457B807C">
            <w:pPr>
              <w:spacing w:line="336" w:lineRule="auto"/>
              <w:rPr>
                <w:rFonts w:ascii="宋体" w:hAnsi="宋体"/>
                <w:szCs w:val="21"/>
              </w:rPr>
            </w:pPr>
          </w:p>
        </w:tc>
        <w:tc>
          <w:tcPr>
            <w:tcW w:w="1675" w:type="dxa"/>
          </w:tcPr>
          <w:p w14:paraId="45D5FBE9">
            <w:pPr>
              <w:spacing w:line="336" w:lineRule="auto"/>
              <w:rPr>
                <w:rFonts w:ascii="宋体" w:hAnsi="宋体"/>
                <w:szCs w:val="21"/>
              </w:rPr>
            </w:pPr>
          </w:p>
        </w:tc>
        <w:tc>
          <w:tcPr>
            <w:tcW w:w="1891" w:type="dxa"/>
          </w:tcPr>
          <w:p w14:paraId="1D3F9C27">
            <w:pPr>
              <w:spacing w:line="336" w:lineRule="auto"/>
              <w:rPr>
                <w:rFonts w:ascii="宋体" w:hAnsi="宋体"/>
                <w:szCs w:val="21"/>
              </w:rPr>
            </w:pPr>
          </w:p>
        </w:tc>
        <w:tc>
          <w:tcPr>
            <w:tcW w:w="1050" w:type="dxa"/>
          </w:tcPr>
          <w:p w14:paraId="6A4AAE80">
            <w:pPr>
              <w:spacing w:line="336" w:lineRule="auto"/>
              <w:rPr>
                <w:rFonts w:ascii="宋体" w:hAnsi="宋体"/>
                <w:szCs w:val="21"/>
              </w:rPr>
            </w:pPr>
          </w:p>
        </w:tc>
        <w:tc>
          <w:tcPr>
            <w:tcW w:w="1417" w:type="dxa"/>
          </w:tcPr>
          <w:p w14:paraId="3C3BAC68">
            <w:pPr>
              <w:spacing w:line="336" w:lineRule="auto"/>
              <w:rPr>
                <w:rFonts w:ascii="宋体" w:hAnsi="宋体"/>
                <w:szCs w:val="21"/>
              </w:rPr>
            </w:pPr>
          </w:p>
        </w:tc>
        <w:tc>
          <w:tcPr>
            <w:tcW w:w="1416" w:type="dxa"/>
          </w:tcPr>
          <w:p w14:paraId="38F88096">
            <w:pPr>
              <w:spacing w:line="336" w:lineRule="auto"/>
              <w:rPr>
                <w:rFonts w:ascii="宋体" w:hAnsi="宋体"/>
                <w:szCs w:val="21"/>
              </w:rPr>
            </w:pPr>
          </w:p>
        </w:tc>
      </w:tr>
      <w:tr w14:paraId="49F36E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6EF21C6B">
            <w:pPr>
              <w:spacing w:line="336" w:lineRule="auto"/>
              <w:jc w:val="center"/>
              <w:rPr>
                <w:rFonts w:ascii="宋体" w:hAnsi="宋体"/>
                <w:szCs w:val="21"/>
              </w:rPr>
            </w:pPr>
            <w:r>
              <w:rPr>
                <w:rFonts w:ascii="宋体" w:hAnsi="宋体"/>
                <w:szCs w:val="21"/>
              </w:rPr>
              <w:t>2</w:t>
            </w:r>
          </w:p>
        </w:tc>
        <w:tc>
          <w:tcPr>
            <w:tcW w:w="1260" w:type="dxa"/>
          </w:tcPr>
          <w:p w14:paraId="3F9C687E">
            <w:pPr>
              <w:spacing w:line="336" w:lineRule="auto"/>
              <w:rPr>
                <w:rFonts w:ascii="宋体" w:hAnsi="宋体"/>
                <w:szCs w:val="21"/>
              </w:rPr>
            </w:pPr>
          </w:p>
        </w:tc>
        <w:tc>
          <w:tcPr>
            <w:tcW w:w="1675" w:type="dxa"/>
          </w:tcPr>
          <w:p w14:paraId="0B314975">
            <w:pPr>
              <w:spacing w:line="336" w:lineRule="auto"/>
              <w:rPr>
                <w:rFonts w:ascii="宋体" w:hAnsi="宋体"/>
                <w:szCs w:val="21"/>
              </w:rPr>
            </w:pPr>
          </w:p>
        </w:tc>
        <w:tc>
          <w:tcPr>
            <w:tcW w:w="1891" w:type="dxa"/>
          </w:tcPr>
          <w:p w14:paraId="39ACCDB8">
            <w:pPr>
              <w:spacing w:line="336" w:lineRule="auto"/>
              <w:rPr>
                <w:rFonts w:ascii="宋体" w:hAnsi="宋体"/>
                <w:szCs w:val="21"/>
              </w:rPr>
            </w:pPr>
          </w:p>
        </w:tc>
        <w:tc>
          <w:tcPr>
            <w:tcW w:w="1050" w:type="dxa"/>
          </w:tcPr>
          <w:p w14:paraId="0C2A98A2">
            <w:pPr>
              <w:spacing w:line="336" w:lineRule="auto"/>
              <w:rPr>
                <w:rFonts w:ascii="宋体" w:hAnsi="宋体"/>
                <w:szCs w:val="21"/>
              </w:rPr>
            </w:pPr>
          </w:p>
        </w:tc>
        <w:tc>
          <w:tcPr>
            <w:tcW w:w="1417" w:type="dxa"/>
          </w:tcPr>
          <w:p w14:paraId="22A76B0D">
            <w:pPr>
              <w:spacing w:line="336" w:lineRule="auto"/>
              <w:rPr>
                <w:rFonts w:ascii="宋体" w:hAnsi="宋体"/>
                <w:szCs w:val="21"/>
              </w:rPr>
            </w:pPr>
          </w:p>
        </w:tc>
        <w:tc>
          <w:tcPr>
            <w:tcW w:w="1416" w:type="dxa"/>
          </w:tcPr>
          <w:p w14:paraId="2CA65D46">
            <w:pPr>
              <w:spacing w:line="336" w:lineRule="auto"/>
              <w:rPr>
                <w:rFonts w:ascii="宋体" w:hAnsi="宋体"/>
                <w:szCs w:val="21"/>
              </w:rPr>
            </w:pPr>
          </w:p>
        </w:tc>
      </w:tr>
      <w:tr w14:paraId="63C32A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7AD9EF6B">
            <w:pPr>
              <w:spacing w:line="336" w:lineRule="auto"/>
              <w:jc w:val="center"/>
              <w:rPr>
                <w:rFonts w:ascii="宋体" w:hAnsi="宋体"/>
                <w:szCs w:val="21"/>
              </w:rPr>
            </w:pPr>
            <w:r>
              <w:rPr>
                <w:rFonts w:ascii="宋体" w:hAnsi="宋体"/>
                <w:szCs w:val="21"/>
              </w:rPr>
              <w:t>3</w:t>
            </w:r>
          </w:p>
        </w:tc>
        <w:tc>
          <w:tcPr>
            <w:tcW w:w="1260" w:type="dxa"/>
          </w:tcPr>
          <w:p w14:paraId="27CF5F74">
            <w:pPr>
              <w:spacing w:line="336" w:lineRule="auto"/>
              <w:rPr>
                <w:rFonts w:ascii="宋体" w:hAnsi="宋体"/>
                <w:szCs w:val="21"/>
              </w:rPr>
            </w:pPr>
          </w:p>
        </w:tc>
        <w:tc>
          <w:tcPr>
            <w:tcW w:w="1675" w:type="dxa"/>
          </w:tcPr>
          <w:p w14:paraId="4C7FCB3A">
            <w:pPr>
              <w:spacing w:line="336" w:lineRule="auto"/>
              <w:rPr>
                <w:rFonts w:ascii="宋体" w:hAnsi="宋体"/>
                <w:szCs w:val="21"/>
              </w:rPr>
            </w:pPr>
          </w:p>
        </w:tc>
        <w:tc>
          <w:tcPr>
            <w:tcW w:w="1891" w:type="dxa"/>
          </w:tcPr>
          <w:p w14:paraId="2D328CB9">
            <w:pPr>
              <w:spacing w:line="336" w:lineRule="auto"/>
              <w:rPr>
                <w:rFonts w:ascii="宋体" w:hAnsi="宋体"/>
                <w:szCs w:val="21"/>
              </w:rPr>
            </w:pPr>
          </w:p>
        </w:tc>
        <w:tc>
          <w:tcPr>
            <w:tcW w:w="1050" w:type="dxa"/>
          </w:tcPr>
          <w:p w14:paraId="789D7E32">
            <w:pPr>
              <w:spacing w:line="336" w:lineRule="auto"/>
              <w:rPr>
                <w:rFonts w:ascii="宋体" w:hAnsi="宋体"/>
                <w:szCs w:val="21"/>
              </w:rPr>
            </w:pPr>
          </w:p>
        </w:tc>
        <w:tc>
          <w:tcPr>
            <w:tcW w:w="1417" w:type="dxa"/>
          </w:tcPr>
          <w:p w14:paraId="2FA2DDD3">
            <w:pPr>
              <w:spacing w:line="336" w:lineRule="auto"/>
              <w:rPr>
                <w:rFonts w:ascii="宋体" w:hAnsi="宋体"/>
                <w:szCs w:val="21"/>
              </w:rPr>
            </w:pPr>
          </w:p>
        </w:tc>
        <w:tc>
          <w:tcPr>
            <w:tcW w:w="1416" w:type="dxa"/>
          </w:tcPr>
          <w:p w14:paraId="4AC6E386">
            <w:pPr>
              <w:spacing w:line="336" w:lineRule="auto"/>
              <w:rPr>
                <w:rFonts w:ascii="宋体" w:hAnsi="宋体"/>
                <w:szCs w:val="21"/>
              </w:rPr>
            </w:pPr>
          </w:p>
        </w:tc>
      </w:tr>
      <w:tr w14:paraId="06951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24" w:type="dxa"/>
            <w:vAlign w:val="center"/>
          </w:tcPr>
          <w:p w14:paraId="52ED69D6">
            <w:pPr>
              <w:spacing w:line="336" w:lineRule="auto"/>
              <w:jc w:val="center"/>
              <w:rPr>
                <w:rFonts w:ascii="宋体" w:hAnsi="宋体"/>
                <w:szCs w:val="21"/>
              </w:rPr>
            </w:pPr>
            <w:r>
              <w:rPr>
                <w:rFonts w:hint="eastAsia" w:ascii="宋体" w:hAnsi="宋体"/>
                <w:szCs w:val="21"/>
              </w:rPr>
              <w:t>…</w:t>
            </w:r>
          </w:p>
        </w:tc>
        <w:tc>
          <w:tcPr>
            <w:tcW w:w="1260" w:type="dxa"/>
          </w:tcPr>
          <w:p w14:paraId="6CD888D8">
            <w:pPr>
              <w:spacing w:line="336" w:lineRule="auto"/>
              <w:rPr>
                <w:rFonts w:ascii="宋体" w:hAnsi="宋体"/>
                <w:szCs w:val="21"/>
              </w:rPr>
            </w:pPr>
          </w:p>
        </w:tc>
        <w:tc>
          <w:tcPr>
            <w:tcW w:w="1675" w:type="dxa"/>
          </w:tcPr>
          <w:p w14:paraId="2CC36C74">
            <w:pPr>
              <w:spacing w:line="336" w:lineRule="auto"/>
              <w:rPr>
                <w:rFonts w:ascii="宋体" w:hAnsi="宋体"/>
                <w:szCs w:val="21"/>
              </w:rPr>
            </w:pPr>
          </w:p>
        </w:tc>
        <w:tc>
          <w:tcPr>
            <w:tcW w:w="1891" w:type="dxa"/>
          </w:tcPr>
          <w:p w14:paraId="1D05B119">
            <w:pPr>
              <w:spacing w:line="336" w:lineRule="auto"/>
              <w:rPr>
                <w:rFonts w:ascii="宋体" w:hAnsi="宋体"/>
                <w:szCs w:val="21"/>
              </w:rPr>
            </w:pPr>
          </w:p>
        </w:tc>
        <w:tc>
          <w:tcPr>
            <w:tcW w:w="1050" w:type="dxa"/>
          </w:tcPr>
          <w:p w14:paraId="41721297">
            <w:pPr>
              <w:spacing w:line="336" w:lineRule="auto"/>
              <w:rPr>
                <w:rFonts w:ascii="宋体" w:hAnsi="宋体"/>
                <w:szCs w:val="21"/>
              </w:rPr>
            </w:pPr>
          </w:p>
        </w:tc>
        <w:tc>
          <w:tcPr>
            <w:tcW w:w="1417" w:type="dxa"/>
          </w:tcPr>
          <w:p w14:paraId="7D8E7BBB">
            <w:pPr>
              <w:spacing w:line="336" w:lineRule="auto"/>
              <w:rPr>
                <w:rFonts w:ascii="宋体" w:hAnsi="宋体"/>
                <w:szCs w:val="21"/>
              </w:rPr>
            </w:pPr>
          </w:p>
        </w:tc>
        <w:tc>
          <w:tcPr>
            <w:tcW w:w="1416" w:type="dxa"/>
          </w:tcPr>
          <w:p w14:paraId="3DDC2692">
            <w:pPr>
              <w:spacing w:line="336" w:lineRule="auto"/>
              <w:rPr>
                <w:rFonts w:ascii="宋体" w:hAnsi="宋体"/>
                <w:szCs w:val="21"/>
              </w:rPr>
            </w:pPr>
          </w:p>
        </w:tc>
      </w:tr>
    </w:tbl>
    <w:p w14:paraId="2781630F"/>
    <w:p w14:paraId="62EFAFA6">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894951A">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18C77ACD">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5A0726D0">
      <w:pPr>
        <w:tabs>
          <w:tab w:val="left" w:pos="7140"/>
          <w:tab w:val="left" w:pos="7560"/>
          <w:tab w:val="left" w:pos="8300"/>
        </w:tabs>
        <w:autoSpaceDE w:val="0"/>
        <w:autoSpaceDN w:val="0"/>
        <w:adjustRightInd w:val="0"/>
        <w:spacing w:line="360" w:lineRule="auto"/>
        <w:ind w:right="210" w:firstLine="1995" w:firstLineChars="950"/>
        <w:rPr>
          <w:rFonts w:ascii="宋体" w:hAnsi="宋体"/>
          <w:snapToGrid w:val="0"/>
          <w:kern w:val="0"/>
          <w:szCs w:val="21"/>
        </w:rPr>
      </w:pPr>
    </w:p>
    <w:p w14:paraId="26B82F3A">
      <w:pPr>
        <w:spacing w:line="360" w:lineRule="auto"/>
        <w:ind w:firstLine="420" w:firstLineChars="200"/>
        <w:jc w:val="left"/>
        <w:outlineLvl w:val="9"/>
        <w:rPr>
          <w:rFonts w:hint="eastAsia" w:ascii="宋体" w:hAnsi="宋体"/>
          <w:snapToGrid w:val="0"/>
          <w:kern w:val="0"/>
          <w:szCs w:val="21"/>
          <w:highlight w:val="yellow"/>
        </w:rPr>
      </w:pPr>
      <w:r>
        <w:rPr>
          <w:rFonts w:ascii="宋体" w:hAnsi="宋体"/>
          <w:snapToGrid w:val="0"/>
        </w:rPr>
        <w:br w:type="page"/>
      </w:r>
      <w:bookmarkStart w:id="1034" w:name="_Toc430530532"/>
      <w:bookmarkStart w:id="1035" w:name="_Toc224103497"/>
      <w:bookmarkStart w:id="1036" w:name="_Toc287620816"/>
      <w:bookmarkStart w:id="1037" w:name="_Toc277082645"/>
      <w:bookmarkStart w:id="1038" w:name="_Toc287607869"/>
    </w:p>
    <w:p w14:paraId="10C7EFED">
      <w:pPr>
        <w:pStyle w:val="4"/>
        <w:spacing w:before="0" w:after="0" w:line="240" w:lineRule="auto"/>
        <w:jc w:val="center"/>
        <w:rPr>
          <w:rFonts w:ascii="宋体" w:hAnsi="宋体"/>
          <w:b w:val="0"/>
          <w:bCs w:val="0"/>
          <w:snapToGrid w:val="0"/>
          <w:kern w:val="0"/>
          <w:szCs w:val="21"/>
        </w:rPr>
      </w:pPr>
      <w:bookmarkStart w:id="1039" w:name="_Toc30212"/>
      <w:r>
        <w:rPr>
          <w:rFonts w:ascii="宋体" w:hAnsi="宋体"/>
          <w:b w:val="0"/>
          <w:bCs w:val="0"/>
        </w:rPr>
        <w:t>（</w:t>
      </w:r>
      <w:r>
        <w:rPr>
          <w:rFonts w:hint="eastAsia" w:ascii="宋体" w:hAnsi="宋体"/>
          <w:b w:val="0"/>
          <w:bCs w:val="0"/>
          <w:lang w:val="en-US" w:eastAsia="zh-CN"/>
        </w:rPr>
        <w:t>三</w:t>
      </w:r>
      <w:r>
        <w:rPr>
          <w:rFonts w:ascii="宋体" w:hAnsi="宋体"/>
          <w:b w:val="0"/>
          <w:bCs w:val="0"/>
        </w:rPr>
        <w:t>）</w:t>
      </w:r>
      <w:r>
        <w:rPr>
          <w:rFonts w:hint="eastAsia" w:ascii="宋体" w:hAnsi="宋体"/>
          <w:b w:val="0"/>
          <w:bCs w:val="0"/>
          <w:sz w:val="30"/>
          <w:szCs w:val="30"/>
        </w:rPr>
        <w:t>法定代表人身份证明或授权委托书</w:t>
      </w:r>
      <w:bookmarkEnd w:id="1034"/>
      <w:bookmarkEnd w:id="1035"/>
      <w:bookmarkEnd w:id="1036"/>
      <w:bookmarkEnd w:id="1037"/>
      <w:bookmarkEnd w:id="1038"/>
      <w:bookmarkEnd w:id="1039"/>
    </w:p>
    <w:p w14:paraId="0AE5BD02">
      <w:pPr>
        <w:spacing w:line="480" w:lineRule="auto"/>
        <w:jc w:val="center"/>
        <w:rPr>
          <w:rFonts w:ascii="宋体" w:hAnsi="宋体"/>
          <w:sz w:val="28"/>
        </w:rPr>
      </w:pPr>
      <w:r>
        <w:rPr>
          <w:rFonts w:hint="eastAsia" w:ascii="宋体" w:hAnsi="宋体"/>
          <w:sz w:val="28"/>
        </w:rPr>
        <w:t>法定代表人身份证明</w:t>
      </w:r>
    </w:p>
    <w:p w14:paraId="32CB5040">
      <w:pPr>
        <w:spacing w:line="480" w:lineRule="auto"/>
        <w:jc w:val="center"/>
        <w:rPr>
          <w:rFonts w:ascii="宋体" w:hAnsi="宋体"/>
        </w:rPr>
      </w:pPr>
    </w:p>
    <w:p w14:paraId="3170636D">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17F0BAD9">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90A551E">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7821620C">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55863C54">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0F32B485">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72AEA441">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6F11DCE4">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29AB7D91">
      <w:pPr>
        <w:autoSpaceDE w:val="0"/>
        <w:autoSpaceDN w:val="0"/>
        <w:adjustRightInd w:val="0"/>
        <w:snapToGrid w:val="0"/>
        <w:spacing w:line="360" w:lineRule="auto"/>
        <w:jc w:val="left"/>
        <w:rPr>
          <w:rFonts w:ascii="宋体" w:hAnsi="宋体"/>
          <w:szCs w:val="21"/>
        </w:rPr>
      </w:pPr>
    </w:p>
    <w:p w14:paraId="02205604">
      <w:pPr>
        <w:pStyle w:val="17"/>
        <w:spacing w:after="0" w:line="360" w:lineRule="auto"/>
        <w:rPr>
          <w:rFonts w:ascii="宋体" w:hAnsi="宋体"/>
          <w:szCs w:val="21"/>
        </w:rPr>
      </w:pPr>
    </w:p>
    <w:p w14:paraId="59881055">
      <w:pPr>
        <w:pStyle w:val="17"/>
        <w:spacing w:after="0" w:line="360" w:lineRule="auto"/>
        <w:rPr>
          <w:rFonts w:ascii="宋体" w:hAnsi="宋体"/>
          <w:szCs w:val="21"/>
        </w:rPr>
      </w:pPr>
    </w:p>
    <w:p w14:paraId="729EEF14">
      <w:pPr>
        <w:pStyle w:val="17"/>
        <w:spacing w:after="0" w:line="360" w:lineRule="auto"/>
        <w:rPr>
          <w:rFonts w:ascii="宋体" w:hAnsi="宋体"/>
          <w:szCs w:val="21"/>
        </w:rPr>
      </w:pPr>
    </w:p>
    <w:p w14:paraId="675DA1A4">
      <w:pPr>
        <w:tabs>
          <w:tab w:val="left" w:pos="5460"/>
        </w:tabs>
        <w:autoSpaceDE w:val="0"/>
        <w:autoSpaceDN w:val="0"/>
        <w:adjustRightInd w:val="0"/>
        <w:snapToGrid w:val="0"/>
        <w:spacing w:line="480" w:lineRule="auto"/>
        <w:ind w:firstLine="21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4733FD05">
      <w:pPr>
        <w:autoSpaceDE w:val="0"/>
        <w:autoSpaceDN w:val="0"/>
        <w:adjustRightInd w:val="0"/>
        <w:snapToGrid w:val="0"/>
        <w:spacing w:line="480" w:lineRule="auto"/>
        <w:jc w:val="left"/>
        <w:rPr>
          <w:rFonts w:ascii="宋体" w:hAnsi="宋体"/>
          <w:kern w:val="0"/>
          <w:sz w:val="20"/>
          <w:szCs w:val="20"/>
        </w:rPr>
      </w:pPr>
    </w:p>
    <w:p w14:paraId="3B5564B2">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DEE7AF9">
      <w:pPr>
        <w:autoSpaceDE w:val="0"/>
        <w:autoSpaceDN w:val="0"/>
        <w:adjustRightInd w:val="0"/>
        <w:snapToGrid w:val="0"/>
        <w:spacing w:line="360" w:lineRule="auto"/>
        <w:jc w:val="left"/>
        <w:rPr>
          <w:rFonts w:ascii="宋体" w:hAnsi="宋体"/>
          <w:kern w:val="0"/>
        </w:rPr>
      </w:pPr>
    </w:p>
    <w:p w14:paraId="1638F9FD">
      <w:pPr>
        <w:autoSpaceDE w:val="0"/>
        <w:autoSpaceDN w:val="0"/>
        <w:adjustRightInd w:val="0"/>
        <w:snapToGrid w:val="0"/>
        <w:spacing w:line="360" w:lineRule="auto"/>
        <w:jc w:val="left"/>
        <w:rPr>
          <w:rFonts w:ascii="宋体" w:hAnsi="宋体"/>
          <w:kern w:val="0"/>
        </w:rPr>
      </w:pPr>
    </w:p>
    <w:p w14:paraId="6FA02F2F">
      <w:pPr>
        <w:spacing w:line="360" w:lineRule="auto"/>
        <w:ind w:firstLine="420" w:firstLineChars="200"/>
        <w:rPr>
          <w:rFonts w:ascii="宋体" w:hAnsi="宋体"/>
        </w:rPr>
      </w:pPr>
      <w:r>
        <w:rPr>
          <w:rFonts w:ascii="宋体" w:hAnsi="宋体"/>
        </w:rPr>
        <w:t>注：法定代表人身份证明需按上述格式填写完整，不可缺少内容。在此基础上增加内容的不影响其有效性。</w:t>
      </w:r>
    </w:p>
    <w:p w14:paraId="342E1E72">
      <w:pPr>
        <w:spacing w:line="360" w:lineRule="auto"/>
        <w:ind w:firstLine="420" w:firstLineChars="200"/>
        <w:rPr>
          <w:rFonts w:ascii="宋体" w:hAnsi="宋体"/>
        </w:rPr>
      </w:pPr>
    </w:p>
    <w:p w14:paraId="52C6019C">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kern w:val="0"/>
        </w:rPr>
        <w:br w:type="page"/>
      </w:r>
      <w:r>
        <w:rPr>
          <w:rFonts w:ascii="宋体" w:hAnsi="宋体"/>
          <w:snapToGrid w:val="0"/>
          <w:kern w:val="0"/>
          <w:sz w:val="32"/>
          <w:szCs w:val="32"/>
        </w:rPr>
        <w:t>授权委托书</w:t>
      </w:r>
    </w:p>
    <w:p w14:paraId="440EB7BA">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000F603A">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38E3FE47">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282F9DC2">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326096E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6ACC8465">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4B568044">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24D99C3">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7A4323D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w:t>
      </w:r>
    </w:p>
    <w:p w14:paraId="60EACD1D">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26066256">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D6E9CEE">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74F60F58">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1BE81DF9">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5C8F6E4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DD9A9C6">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67D9941C">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79974026">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03DB52EF">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22574A93">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5B6C4EDA">
      <w:pPr>
        <w:tabs>
          <w:tab w:val="left" w:pos="5760"/>
        </w:tabs>
        <w:autoSpaceDE w:val="0"/>
        <w:autoSpaceDN w:val="0"/>
        <w:adjustRightInd w:val="0"/>
        <w:spacing w:line="360" w:lineRule="auto"/>
        <w:ind w:firstLine="420" w:firstLineChars="200"/>
        <w:rPr>
          <w:rFonts w:ascii="宋体" w:hAnsi="宋体"/>
          <w:kern w:val="0"/>
        </w:rPr>
      </w:pPr>
    </w:p>
    <w:p w14:paraId="1EE6C41A">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767AB9D5">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33AF0E1B">
      <w:r>
        <w:br w:type="page"/>
      </w:r>
    </w:p>
    <w:p w14:paraId="230406A5">
      <w:pPr>
        <w:tabs>
          <w:tab w:val="left" w:pos="2580"/>
          <w:tab w:val="left" w:pos="5940"/>
        </w:tabs>
        <w:autoSpaceDE w:val="0"/>
        <w:autoSpaceDN w:val="0"/>
        <w:adjustRightInd w:val="0"/>
        <w:snapToGrid w:val="0"/>
        <w:spacing w:line="360" w:lineRule="auto"/>
        <w:jc w:val="left"/>
        <w:rPr>
          <w:rFonts w:ascii="宋体" w:hAnsi="宋体"/>
        </w:rPr>
      </w:pPr>
      <w:bookmarkStart w:id="1040" w:name="_Toc430530534"/>
      <w:bookmarkStart w:id="1041" w:name="_Toc287607872"/>
      <w:bookmarkStart w:id="1042" w:name="_Toc224103500"/>
      <w:bookmarkStart w:id="1043" w:name="_Toc287620819"/>
    </w:p>
    <w:p w14:paraId="10AEEEBD">
      <w:pPr>
        <w:pStyle w:val="3"/>
        <w:spacing w:line="360" w:lineRule="auto"/>
        <w:jc w:val="center"/>
        <w:rPr>
          <w:rFonts w:ascii="宋体" w:hAnsi="宋体"/>
          <w:b w:val="0"/>
          <w:bCs w:val="0"/>
          <w:sz w:val="44"/>
          <w:szCs w:val="44"/>
        </w:rPr>
      </w:pPr>
      <w:bookmarkStart w:id="1044" w:name="_Toc24094"/>
      <w:r>
        <w:rPr>
          <w:rFonts w:hint="eastAsia" w:ascii="宋体" w:hAnsi="宋体"/>
          <w:b w:val="0"/>
          <w:bCs w:val="0"/>
          <w:sz w:val="44"/>
          <w:szCs w:val="44"/>
        </w:rPr>
        <w:t>二、商务部分</w:t>
      </w:r>
      <w:bookmarkEnd w:id="1040"/>
      <w:bookmarkEnd w:id="1041"/>
      <w:bookmarkEnd w:id="1042"/>
      <w:bookmarkEnd w:id="1043"/>
      <w:bookmarkEnd w:id="1044"/>
    </w:p>
    <w:p w14:paraId="0B6E2DAF">
      <w:pPr>
        <w:pStyle w:val="17"/>
        <w:rPr>
          <w:i/>
          <w:iCs/>
        </w:rPr>
      </w:pPr>
    </w:p>
    <w:p w14:paraId="7FCEB3C0"/>
    <w:p w14:paraId="058A0FB4">
      <w:pPr>
        <w:spacing w:line="360" w:lineRule="auto"/>
        <w:jc w:val="center"/>
        <w:rPr>
          <w:rFonts w:ascii="宋体" w:hAnsi="宋体"/>
          <w:kern w:val="0"/>
          <w:sz w:val="32"/>
          <w:szCs w:val="32"/>
        </w:rPr>
      </w:pPr>
      <w:r>
        <w:rPr>
          <w:rFonts w:ascii="宋体" w:hAnsi="宋体"/>
          <w:kern w:val="0"/>
          <w:sz w:val="28"/>
          <w:szCs w:val="28"/>
        </w:rPr>
        <w:br w:type="page"/>
      </w:r>
      <w:r>
        <w:rPr>
          <w:rFonts w:hint="eastAsia" w:ascii="宋体" w:hAnsi="宋体"/>
          <w:kern w:val="0"/>
          <w:sz w:val="32"/>
          <w:szCs w:val="32"/>
          <w:u w:val="single"/>
        </w:rPr>
        <w:t xml:space="preserve">                   （项目名称）</w:t>
      </w:r>
    </w:p>
    <w:p w14:paraId="13AFD77E">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564342E5">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3FAB87CC">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4762DF22">
      <w:pPr>
        <w:tabs>
          <w:tab w:val="left" w:pos="3600"/>
          <w:tab w:val="left" w:pos="4480"/>
          <w:tab w:val="left" w:pos="5360"/>
        </w:tabs>
        <w:autoSpaceDE w:val="0"/>
        <w:autoSpaceDN w:val="0"/>
        <w:adjustRightInd w:val="0"/>
        <w:snapToGrid w:val="0"/>
        <w:spacing w:line="360" w:lineRule="auto"/>
        <w:jc w:val="left"/>
        <w:rPr>
          <w:rFonts w:ascii="宋体" w:hAnsi="宋体"/>
          <w:kern w:val="0"/>
          <w:sz w:val="44"/>
          <w:szCs w:val="44"/>
        </w:rPr>
      </w:pPr>
    </w:p>
    <w:p w14:paraId="2091D179">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779D4A95">
      <w:pPr>
        <w:autoSpaceDE w:val="0"/>
        <w:autoSpaceDN w:val="0"/>
        <w:adjustRightInd w:val="0"/>
        <w:snapToGrid w:val="0"/>
        <w:spacing w:line="360" w:lineRule="auto"/>
        <w:jc w:val="left"/>
        <w:rPr>
          <w:rFonts w:ascii="宋体" w:hAnsi="宋体"/>
          <w:kern w:val="0"/>
          <w:sz w:val="16"/>
          <w:szCs w:val="16"/>
        </w:rPr>
      </w:pPr>
    </w:p>
    <w:p w14:paraId="2B22A12A">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商务部分</w:t>
      </w:r>
    </w:p>
    <w:p w14:paraId="527C65AC">
      <w:pPr>
        <w:autoSpaceDE w:val="0"/>
        <w:autoSpaceDN w:val="0"/>
        <w:adjustRightInd w:val="0"/>
        <w:snapToGrid w:val="0"/>
        <w:spacing w:line="360" w:lineRule="auto"/>
        <w:jc w:val="left"/>
        <w:rPr>
          <w:rFonts w:ascii="宋体" w:hAnsi="宋体"/>
          <w:b/>
          <w:kern w:val="0"/>
          <w:sz w:val="20"/>
          <w:szCs w:val="20"/>
        </w:rPr>
      </w:pPr>
    </w:p>
    <w:p w14:paraId="525B1722">
      <w:pPr>
        <w:autoSpaceDE w:val="0"/>
        <w:autoSpaceDN w:val="0"/>
        <w:adjustRightInd w:val="0"/>
        <w:snapToGrid w:val="0"/>
        <w:spacing w:line="360" w:lineRule="auto"/>
        <w:jc w:val="left"/>
        <w:rPr>
          <w:rFonts w:ascii="宋体" w:hAnsi="宋体"/>
          <w:b/>
          <w:kern w:val="0"/>
          <w:sz w:val="20"/>
          <w:szCs w:val="20"/>
        </w:rPr>
      </w:pPr>
    </w:p>
    <w:p w14:paraId="4C3E366E">
      <w:pPr>
        <w:autoSpaceDE w:val="0"/>
        <w:autoSpaceDN w:val="0"/>
        <w:adjustRightInd w:val="0"/>
        <w:snapToGrid w:val="0"/>
        <w:spacing w:line="360" w:lineRule="auto"/>
        <w:jc w:val="left"/>
        <w:rPr>
          <w:rFonts w:ascii="宋体" w:hAnsi="宋体"/>
          <w:b/>
          <w:kern w:val="0"/>
          <w:sz w:val="20"/>
          <w:szCs w:val="20"/>
        </w:rPr>
      </w:pPr>
    </w:p>
    <w:p w14:paraId="74AD3073">
      <w:pPr>
        <w:autoSpaceDE w:val="0"/>
        <w:autoSpaceDN w:val="0"/>
        <w:adjustRightInd w:val="0"/>
        <w:snapToGrid w:val="0"/>
        <w:spacing w:line="360" w:lineRule="auto"/>
        <w:jc w:val="left"/>
        <w:rPr>
          <w:rFonts w:ascii="宋体" w:hAnsi="宋体"/>
          <w:b/>
          <w:kern w:val="0"/>
          <w:sz w:val="20"/>
          <w:szCs w:val="20"/>
        </w:rPr>
      </w:pPr>
    </w:p>
    <w:p w14:paraId="2CF01C2B">
      <w:pPr>
        <w:autoSpaceDE w:val="0"/>
        <w:autoSpaceDN w:val="0"/>
        <w:adjustRightInd w:val="0"/>
        <w:snapToGrid w:val="0"/>
        <w:spacing w:line="360" w:lineRule="auto"/>
        <w:jc w:val="left"/>
        <w:rPr>
          <w:rFonts w:ascii="宋体" w:hAnsi="宋体"/>
          <w:b/>
          <w:kern w:val="0"/>
          <w:sz w:val="20"/>
          <w:szCs w:val="20"/>
        </w:rPr>
      </w:pPr>
    </w:p>
    <w:p w14:paraId="363FD66B">
      <w:pPr>
        <w:autoSpaceDE w:val="0"/>
        <w:autoSpaceDN w:val="0"/>
        <w:adjustRightInd w:val="0"/>
        <w:snapToGrid w:val="0"/>
        <w:spacing w:line="360" w:lineRule="auto"/>
        <w:jc w:val="left"/>
        <w:rPr>
          <w:rFonts w:ascii="宋体" w:hAnsi="宋体"/>
          <w:b/>
          <w:kern w:val="0"/>
          <w:sz w:val="20"/>
          <w:szCs w:val="20"/>
        </w:rPr>
      </w:pPr>
    </w:p>
    <w:p w14:paraId="0ECFC218">
      <w:pPr>
        <w:autoSpaceDE w:val="0"/>
        <w:autoSpaceDN w:val="0"/>
        <w:adjustRightInd w:val="0"/>
        <w:snapToGrid w:val="0"/>
        <w:spacing w:line="360" w:lineRule="auto"/>
        <w:jc w:val="left"/>
        <w:rPr>
          <w:rFonts w:ascii="宋体" w:hAnsi="宋体"/>
          <w:b/>
          <w:kern w:val="0"/>
          <w:sz w:val="20"/>
          <w:szCs w:val="20"/>
        </w:rPr>
      </w:pPr>
    </w:p>
    <w:p w14:paraId="0D4F0795">
      <w:pPr>
        <w:autoSpaceDE w:val="0"/>
        <w:autoSpaceDN w:val="0"/>
        <w:adjustRightInd w:val="0"/>
        <w:snapToGrid w:val="0"/>
        <w:spacing w:line="360" w:lineRule="auto"/>
        <w:jc w:val="left"/>
        <w:rPr>
          <w:rFonts w:ascii="宋体" w:hAnsi="宋体"/>
          <w:b/>
          <w:kern w:val="0"/>
          <w:sz w:val="20"/>
          <w:szCs w:val="20"/>
        </w:rPr>
      </w:pPr>
    </w:p>
    <w:p w14:paraId="69A57786">
      <w:pPr>
        <w:autoSpaceDE w:val="0"/>
        <w:autoSpaceDN w:val="0"/>
        <w:adjustRightInd w:val="0"/>
        <w:snapToGrid w:val="0"/>
        <w:spacing w:line="360" w:lineRule="auto"/>
        <w:jc w:val="left"/>
        <w:rPr>
          <w:rFonts w:ascii="宋体" w:hAnsi="宋体"/>
          <w:b/>
          <w:kern w:val="0"/>
          <w:sz w:val="20"/>
          <w:szCs w:val="20"/>
        </w:rPr>
      </w:pPr>
    </w:p>
    <w:p w14:paraId="74B1093E">
      <w:pPr>
        <w:autoSpaceDE w:val="0"/>
        <w:autoSpaceDN w:val="0"/>
        <w:adjustRightInd w:val="0"/>
        <w:snapToGrid w:val="0"/>
        <w:spacing w:line="360" w:lineRule="auto"/>
        <w:jc w:val="left"/>
        <w:rPr>
          <w:rFonts w:ascii="宋体" w:hAnsi="宋体"/>
          <w:b/>
          <w:kern w:val="0"/>
          <w:sz w:val="20"/>
          <w:szCs w:val="20"/>
        </w:rPr>
      </w:pPr>
    </w:p>
    <w:p w14:paraId="0A834F29">
      <w:pPr>
        <w:autoSpaceDE w:val="0"/>
        <w:autoSpaceDN w:val="0"/>
        <w:adjustRightInd w:val="0"/>
        <w:snapToGrid w:val="0"/>
        <w:spacing w:line="360" w:lineRule="auto"/>
        <w:jc w:val="left"/>
        <w:rPr>
          <w:rFonts w:ascii="宋体" w:hAnsi="宋体"/>
          <w:b/>
          <w:kern w:val="0"/>
          <w:sz w:val="20"/>
          <w:szCs w:val="20"/>
        </w:rPr>
      </w:pPr>
    </w:p>
    <w:p w14:paraId="621C040C">
      <w:pPr>
        <w:autoSpaceDE w:val="0"/>
        <w:autoSpaceDN w:val="0"/>
        <w:adjustRightInd w:val="0"/>
        <w:snapToGrid w:val="0"/>
        <w:spacing w:line="360" w:lineRule="auto"/>
        <w:jc w:val="left"/>
        <w:rPr>
          <w:rFonts w:ascii="宋体" w:hAnsi="宋体"/>
          <w:b/>
          <w:kern w:val="0"/>
          <w:sz w:val="20"/>
          <w:szCs w:val="20"/>
        </w:rPr>
      </w:pPr>
    </w:p>
    <w:p w14:paraId="53C1A88C">
      <w:pPr>
        <w:autoSpaceDE w:val="0"/>
        <w:autoSpaceDN w:val="0"/>
        <w:adjustRightInd w:val="0"/>
        <w:snapToGrid w:val="0"/>
        <w:spacing w:line="360" w:lineRule="auto"/>
        <w:jc w:val="left"/>
        <w:rPr>
          <w:rFonts w:ascii="宋体" w:hAnsi="宋体"/>
          <w:b/>
          <w:kern w:val="0"/>
          <w:sz w:val="20"/>
          <w:szCs w:val="20"/>
        </w:rPr>
      </w:pPr>
    </w:p>
    <w:p w14:paraId="41DF5579">
      <w:pPr>
        <w:tabs>
          <w:tab w:val="left" w:pos="6080"/>
          <w:tab w:val="left" w:pos="6640"/>
        </w:tabs>
        <w:autoSpaceDE w:val="0"/>
        <w:autoSpaceDN w:val="0"/>
        <w:adjustRightInd w:val="0"/>
        <w:snapToGrid w:val="0"/>
        <w:spacing w:after="120" w:afterLines="50" w:line="36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3C33AF4C">
      <w:pPr>
        <w:tabs>
          <w:tab w:val="left" w:pos="6080"/>
          <w:tab w:val="left" w:pos="6640"/>
        </w:tabs>
        <w:autoSpaceDE w:val="0"/>
        <w:autoSpaceDN w:val="0"/>
        <w:adjustRightInd w:val="0"/>
        <w:snapToGrid w:val="0"/>
        <w:spacing w:after="120" w:afterLines="50" w:line="360" w:lineRule="auto"/>
        <w:jc w:val="center"/>
        <w:rPr>
          <w:rFonts w:ascii="宋体" w:hAnsi="宋体"/>
          <w:b/>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56C03642">
      <w:pPr>
        <w:tabs>
          <w:tab w:val="left" w:pos="3280"/>
          <w:tab w:val="left" w:pos="4680"/>
          <w:tab w:val="left" w:pos="6080"/>
        </w:tabs>
        <w:autoSpaceDE w:val="0"/>
        <w:autoSpaceDN w:val="0"/>
        <w:adjustRightInd w:val="0"/>
        <w:snapToGrid w:val="0"/>
        <w:spacing w:after="120" w:afterLines="50" w:line="360" w:lineRule="auto"/>
        <w:jc w:val="center"/>
        <w:rPr>
          <w:rFonts w:ascii="宋体" w:hAnsi="宋体"/>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ascii="宋体" w:hAnsi="宋体"/>
          <w:w w:val="99"/>
          <w:kern w:val="0"/>
          <w:sz w:val="28"/>
          <w:szCs w:val="28"/>
        </w:rPr>
        <w:t>日</w:t>
      </w:r>
    </w:p>
    <w:p w14:paraId="4BD29E84">
      <w:pPr>
        <w:autoSpaceDE w:val="0"/>
        <w:autoSpaceDN w:val="0"/>
        <w:adjustRightInd w:val="0"/>
        <w:snapToGrid w:val="0"/>
        <w:spacing w:line="360" w:lineRule="auto"/>
        <w:jc w:val="left"/>
        <w:rPr>
          <w:rFonts w:ascii="宋体" w:hAnsi="宋体"/>
          <w:kern w:val="0"/>
          <w:sz w:val="24"/>
          <w:szCs w:val="21"/>
        </w:rPr>
      </w:pPr>
      <w:r>
        <w:rPr>
          <w:rFonts w:ascii="宋体" w:hAnsi="宋体"/>
          <w:kern w:val="0"/>
          <w:sz w:val="24"/>
          <w:szCs w:val="21"/>
        </w:rPr>
        <w:br w:type="page"/>
      </w:r>
    </w:p>
    <w:p w14:paraId="50232D4D">
      <w:pPr>
        <w:autoSpaceDE w:val="0"/>
        <w:autoSpaceDN w:val="0"/>
        <w:adjustRightInd w:val="0"/>
        <w:snapToGrid w:val="0"/>
        <w:spacing w:line="360" w:lineRule="auto"/>
        <w:jc w:val="center"/>
        <w:rPr>
          <w:rFonts w:ascii="宋体" w:hAnsi="宋体"/>
          <w:kern w:val="0"/>
          <w:szCs w:val="21"/>
        </w:rPr>
      </w:pPr>
      <w:r>
        <w:rPr>
          <w:rFonts w:hint="eastAsia" w:ascii="宋体" w:hAnsi="宋体"/>
          <w:kern w:val="0"/>
          <w:sz w:val="36"/>
          <w:szCs w:val="36"/>
        </w:rPr>
        <w:t>目  录</w:t>
      </w:r>
    </w:p>
    <w:p w14:paraId="5D43B9DC">
      <w:pPr>
        <w:autoSpaceDE w:val="0"/>
        <w:autoSpaceDN w:val="0"/>
        <w:adjustRightInd w:val="0"/>
        <w:snapToGrid w:val="0"/>
        <w:spacing w:line="360" w:lineRule="auto"/>
        <w:jc w:val="left"/>
        <w:rPr>
          <w:rFonts w:ascii="宋体" w:hAnsi="宋体"/>
          <w:kern w:val="0"/>
          <w:szCs w:val="21"/>
        </w:rPr>
      </w:pPr>
    </w:p>
    <w:p w14:paraId="0CF4EB7B">
      <w:pPr>
        <w:autoSpaceDE w:val="0"/>
        <w:autoSpaceDN w:val="0"/>
        <w:adjustRightInd w:val="0"/>
        <w:snapToGrid w:val="0"/>
        <w:spacing w:line="360" w:lineRule="auto"/>
        <w:ind w:firstLine="420"/>
        <w:rPr>
          <w:rFonts w:hint="default" w:ascii="宋体" w:hAnsi="宋体" w:eastAsia="宋体" w:cs="宋体"/>
          <w:lang w:val="en-US" w:eastAsia="zh-CN"/>
        </w:rPr>
      </w:pPr>
      <w:r>
        <w:rPr>
          <w:rFonts w:hint="eastAsia" w:ascii="宋体" w:hAnsi="宋体" w:cs="宋体"/>
          <w:lang w:eastAsia="zh-CN"/>
        </w:rPr>
        <w:t>（</w:t>
      </w:r>
      <w:r>
        <w:rPr>
          <w:rFonts w:hint="eastAsia" w:ascii="宋体" w:hAnsi="宋体" w:cs="宋体"/>
          <w:lang w:val="en-US" w:eastAsia="zh-CN"/>
        </w:rPr>
        <w:t>一）商务偏差表</w:t>
      </w:r>
    </w:p>
    <w:p w14:paraId="60E5FBC6">
      <w:pPr>
        <w:autoSpaceDE w:val="0"/>
        <w:autoSpaceDN w:val="0"/>
        <w:adjustRightInd w:val="0"/>
        <w:snapToGrid w:val="0"/>
        <w:spacing w:line="360" w:lineRule="auto"/>
        <w:ind w:firstLine="420"/>
        <w:rPr>
          <w:rFonts w:hint="eastAsia"/>
          <w:lang w:val="en-US" w:eastAsia="zh-CN"/>
        </w:rPr>
      </w:pPr>
      <w:r>
        <w:rPr>
          <w:rFonts w:hint="eastAsia" w:ascii="宋体" w:hAnsi="宋体" w:cs="宋体"/>
        </w:rPr>
        <w:t>（</w:t>
      </w:r>
      <w:r>
        <w:rPr>
          <w:rFonts w:hint="eastAsia" w:ascii="宋体" w:hAnsi="宋体"/>
          <w:lang w:val="en-US" w:eastAsia="zh-CN"/>
        </w:rPr>
        <w:t>二</w:t>
      </w:r>
      <w:r>
        <w:rPr>
          <w:rFonts w:hint="eastAsia" w:ascii="宋体" w:hAnsi="宋体" w:cs="宋体"/>
        </w:rPr>
        <w:t>）</w:t>
      </w:r>
      <w:r>
        <w:rPr>
          <w:rFonts w:hint="eastAsia"/>
          <w:lang w:val="en-US" w:eastAsia="zh-CN"/>
        </w:rPr>
        <w:t>类似项目业绩情况表</w:t>
      </w:r>
    </w:p>
    <w:p w14:paraId="01307320">
      <w:pPr>
        <w:autoSpaceDE w:val="0"/>
        <w:autoSpaceDN w:val="0"/>
        <w:adjustRightInd w:val="0"/>
        <w:snapToGrid w:val="0"/>
        <w:spacing w:line="360" w:lineRule="auto"/>
        <w:ind w:firstLine="420"/>
        <w:rPr>
          <w:rFonts w:ascii="宋体" w:hAnsi="宋体" w:cs="宋体"/>
        </w:rPr>
      </w:pPr>
      <w:r>
        <w:rPr>
          <w:rFonts w:hint="eastAsia" w:ascii="宋体" w:hAnsi="宋体" w:cs="宋体"/>
          <w:lang w:eastAsia="zh-CN"/>
        </w:rPr>
        <w:t>（</w:t>
      </w:r>
      <w:r>
        <w:rPr>
          <w:rFonts w:hint="eastAsia" w:ascii="宋体" w:hAnsi="宋体" w:cs="宋体"/>
          <w:lang w:val="en-US" w:eastAsia="zh-CN"/>
        </w:rPr>
        <w:t>三</w:t>
      </w:r>
      <w:r>
        <w:rPr>
          <w:rFonts w:hint="eastAsia" w:ascii="宋体" w:hAnsi="宋体" w:cs="宋体"/>
          <w:lang w:eastAsia="zh-CN"/>
        </w:rPr>
        <w:t>）</w:t>
      </w:r>
      <w:r>
        <w:rPr>
          <w:rFonts w:hint="eastAsia" w:ascii="宋体" w:hAnsi="宋体" w:cs="宋体"/>
          <w:lang w:val="en-US" w:eastAsia="zh-CN"/>
        </w:rPr>
        <w:t>其他资料</w:t>
      </w:r>
    </w:p>
    <w:p w14:paraId="6DEBBB92">
      <w:pPr>
        <w:pStyle w:val="17"/>
      </w:pPr>
    </w:p>
    <w:p w14:paraId="2185F718">
      <w:pPr>
        <w:widowControl/>
        <w:jc w:val="left"/>
        <w:rPr>
          <w:rFonts w:ascii="宋体" w:hAnsi="宋体"/>
          <w:iCs/>
          <w:kern w:val="0"/>
          <w:szCs w:val="21"/>
        </w:rPr>
      </w:pPr>
      <w:r>
        <w:rPr>
          <w:rFonts w:ascii="宋体" w:hAnsi="宋体"/>
          <w:iCs/>
          <w:kern w:val="0"/>
          <w:szCs w:val="21"/>
        </w:rPr>
        <w:br w:type="page"/>
      </w:r>
    </w:p>
    <w:p w14:paraId="1B93BE07">
      <w:pPr>
        <w:pStyle w:val="4"/>
        <w:bidi w:val="0"/>
        <w:jc w:val="center"/>
      </w:pPr>
      <w:bookmarkStart w:id="1045" w:name="_Toc7856"/>
      <w:bookmarkStart w:id="1046" w:name="_Toc20266"/>
      <w:r>
        <w:rPr>
          <w:rFonts w:hint="eastAsia"/>
          <w:lang w:val="en-US" w:eastAsia="zh-CN"/>
        </w:rPr>
        <w:t>（一）商务</w:t>
      </w:r>
      <w:r>
        <w:rPr>
          <w:rFonts w:hint="eastAsia"/>
        </w:rPr>
        <w:t>偏差表</w:t>
      </w:r>
      <w:bookmarkEnd w:id="1045"/>
      <w:bookmarkEnd w:id="1046"/>
    </w:p>
    <w:p w14:paraId="0E3B3834">
      <w:pPr>
        <w:pageBreakBefore w:val="0"/>
        <w:kinsoku/>
        <w:topLinePunct w:val="0"/>
        <w:bidi w:val="0"/>
        <w:spacing w:line="360" w:lineRule="auto"/>
      </w:pPr>
    </w:p>
    <w:p w14:paraId="626EBBF9">
      <w:pPr>
        <w:pageBreakBefore w:val="0"/>
        <w:kinsoku/>
        <w:topLinePunct w:val="0"/>
        <w:bidi w:val="0"/>
        <w:spacing w:line="360" w:lineRule="auto"/>
        <w:ind w:firstLine="420" w:firstLineChars="200"/>
        <w:rPr>
          <w:rFonts w:ascii="宋体" w:hAnsi="宋体"/>
          <w:szCs w:val="21"/>
        </w:rPr>
      </w:pPr>
      <w:r>
        <w:rPr>
          <w:rFonts w:hint="eastAsia" w:ascii="宋体" w:hAnsi="宋体"/>
          <w:szCs w:val="21"/>
        </w:rPr>
        <w:t>招标项目名称：</w:t>
      </w:r>
    </w:p>
    <w:tbl>
      <w:tblPr>
        <w:tblStyle w:val="46"/>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540"/>
        <w:gridCol w:w="2601"/>
        <w:gridCol w:w="2737"/>
        <w:gridCol w:w="1737"/>
        <w:gridCol w:w="2063"/>
      </w:tblGrid>
      <w:tr w14:paraId="527DF8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0" w:hRule="atLeast"/>
          <w:jc w:val="center"/>
        </w:trPr>
        <w:tc>
          <w:tcPr>
            <w:tcW w:w="279" w:type="pct"/>
            <w:vAlign w:val="center"/>
          </w:tcPr>
          <w:p w14:paraId="5929BB88">
            <w:pPr>
              <w:pageBreakBefore w:val="0"/>
              <w:kinsoku/>
              <w:topLinePunct w:val="0"/>
              <w:bidi w:val="0"/>
              <w:spacing w:line="360" w:lineRule="auto"/>
              <w:jc w:val="center"/>
              <w:rPr>
                <w:rFonts w:ascii="宋体" w:hAnsi="宋体"/>
                <w:szCs w:val="21"/>
              </w:rPr>
            </w:pPr>
            <w:r>
              <w:rPr>
                <w:rFonts w:hint="eastAsia" w:ascii="宋体" w:hAnsi="宋体"/>
                <w:szCs w:val="21"/>
              </w:rPr>
              <w:t>序号</w:t>
            </w:r>
          </w:p>
        </w:tc>
        <w:tc>
          <w:tcPr>
            <w:tcW w:w="1343" w:type="pct"/>
            <w:vAlign w:val="center"/>
          </w:tcPr>
          <w:p w14:paraId="164C58BD">
            <w:pPr>
              <w:pageBreakBefore w:val="0"/>
              <w:kinsoku/>
              <w:topLinePunct w:val="0"/>
              <w:bidi w:val="0"/>
              <w:spacing w:line="360" w:lineRule="auto"/>
              <w:jc w:val="center"/>
              <w:rPr>
                <w:rFonts w:hint="default" w:ascii="宋体" w:hAnsi="宋体"/>
                <w:szCs w:val="21"/>
                <w:lang w:val="en-US"/>
              </w:rPr>
            </w:pPr>
            <w:r>
              <w:rPr>
                <w:rFonts w:hint="eastAsia" w:ascii="宋体" w:hAnsi="宋体"/>
                <w:szCs w:val="21"/>
                <w:lang w:val="en-US" w:eastAsia="zh-CN"/>
              </w:rPr>
              <w:t>招标文件要求</w:t>
            </w:r>
          </w:p>
        </w:tc>
        <w:tc>
          <w:tcPr>
            <w:tcW w:w="1413" w:type="pct"/>
            <w:vAlign w:val="center"/>
          </w:tcPr>
          <w:p w14:paraId="1D9711A3">
            <w:pPr>
              <w:pageBreakBefore w:val="0"/>
              <w:kinsoku/>
              <w:topLinePunct w:val="0"/>
              <w:bidi w:val="0"/>
              <w:spacing w:line="360" w:lineRule="auto"/>
              <w:jc w:val="center"/>
              <w:rPr>
                <w:rFonts w:hint="default" w:ascii="宋体" w:hAnsi="宋体"/>
                <w:szCs w:val="21"/>
                <w:lang w:val="en-US" w:eastAsia="zh-CN"/>
              </w:rPr>
            </w:pPr>
            <w:r>
              <w:rPr>
                <w:rFonts w:hint="eastAsia" w:ascii="宋体" w:hAnsi="宋体"/>
                <w:szCs w:val="21"/>
                <w:lang w:val="en-US" w:eastAsia="zh-CN"/>
              </w:rPr>
              <w:t>投标文件应答</w:t>
            </w:r>
          </w:p>
        </w:tc>
        <w:tc>
          <w:tcPr>
            <w:tcW w:w="897" w:type="pct"/>
            <w:vAlign w:val="center"/>
          </w:tcPr>
          <w:p w14:paraId="60BDC4E6">
            <w:pPr>
              <w:pageBreakBefore w:val="0"/>
              <w:kinsoku/>
              <w:topLinePunct w:val="0"/>
              <w:bidi w:val="0"/>
              <w:spacing w:line="360" w:lineRule="auto"/>
              <w:jc w:val="center"/>
              <w:rPr>
                <w:rFonts w:hint="default" w:ascii="宋体" w:hAnsi="宋体" w:eastAsia="宋体"/>
                <w:szCs w:val="21"/>
                <w:lang w:val="en-US" w:eastAsia="zh-CN"/>
              </w:rPr>
            </w:pPr>
            <w:r>
              <w:rPr>
                <w:rFonts w:hint="eastAsia" w:ascii="宋体" w:hAnsi="宋体"/>
                <w:szCs w:val="21"/>
                <w:lang w:val="en-US" w:eastAsia="zh-CN"/>
              </w:rPr>
              <w:t>有无偏差（正偏差、无偏差）</w:t>
            </w:r>
          </w:p>
        </w:tc>
        <w:tc>
          <w:tcPr>
            <w:tcW w:w="1065" w:type="pct"/>
            <w:vAlign w:val="center"/>
          </w:tcPr>
          <w:p w14:paraId="7D634108">
            <w:pPr>
              <w:pageBreakBefore w:val="0"/>
              <w:kinsoku/>
              <w:topLinePunct w:val="0"/>
              <w:bidi w:val="0"/>
              <w:spacing w:line="360" w:lineRule="auto"/>
              <w:jc w:val="center"/>
              <w:rPr>
                <w:rFonts w:ascii="宋体" w:hAnsi="宋体"/>
                <w:szCs w:val="21"/>
              </w:rPr>
            </w:pPr>
            <w:r>
              <w:rPr>
                <w:rFonts w:hint="eastAsia" w:ascii="宋体" w:hAnsi="宋体"/>
                <w:szCs w:val="21"/>
              </w:rPr>
              <w:t>偏差说明</w:t>
            </w:r>
          </w:p>
        </w:tc>
      </w:tr>
      <w:tr w14:paraId="5203ED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27" w:hRule="atLeast"/>
          <w:jc w:val="center"/>
        </w:trPr>
        <w:tc>
          <w:tcPr>
            <w:tcW w:w="279" w:type="pct"/>
            <w:vAlign w:val="center"/>
          </w:tcPr>
          <w:p w14:paraId="3AB60711">
            <w:pPr>
              <w:pageBreakBefore w:val="0"/>
              <w:kinsoku/>
              <w:topLinePunct w:val="0"/>
              <w:bidi w:val="0"/>
              <w:spacing w:line="360" w:lineRule="auto"/>
              <w:rPr>
                <w:rFonts w:hint="eastAsia" w:ascii="宋体" w:hAnsi="宋体" w:eastAsia="宋体"/>
                <w:szCs w:val="21"/>
                <w:lang w:val="en-US" w:eastAsia="zh-CN"/>
              </w:rPr>
            </w:pPr>
            <w:r>
              <w:rPr>
                <w:rFonts w:hint="eastAsia" w:ascii="宋体" w:hAnsi="宋体"/>
                <w:szCs w:val="21"/>
                <w:lang w:val="en-US" w:eastAsia="zh-CN"/>
              </w:rPr>
              <w:t>1</w:t>
            </w:r>
          </w:p>
        </w:tc>
        <w:tc>
          <w:tcPr>
            <w:tcW w:w="1343" w:type="pct"/>
            <w:vAlign w:val="center"/>
          </w:tcPr>
          <w:p w14:paraId="276CFEF3">
            <w:pPr>
              <w:pageBreakBefore w:val="0"/>
              <w:tabs>
                <w:tab w:val="left" w:pos="1620"/>
              </w:tabs>
              <w:kinsoku/>
              <w:wordWrap/>
              <w:overflowPunct/>
              <w:topLinePunct w:val="0"/>
              <w:bidi w:val="0"/>
              <w:adjustRightInd w:val="0"/>
              <w:snapToGrid w:val="0"/>
              <w:spacing w:line="360" w:lineRule="auto"/>
              <w:jc w:val="left"/>
              <w:rPr>
                <w:rFonts w:hint="eastAsia" w:ascii="宋体" w:hAnsi="宋体" w:eastAsia="宋体" w:cs="宋体"/>
                <w:caps w:val="0"/>
                <w:smallCaps w:val="0"/>
                <w:color w:val="000000"/>
                <w:kern w:val="2"/>
                <w:sz w:val="21"/>
                <w:szCs w:val="21"/>
                <w:highlight w:val="none"/>
                <w:lang w:val="en-US" w:eastAsia="zh-CN" w:bidi="ar-SA"/>
              </w:rPr>
            </w:pPr>
            <w:r>
              <w:rPr>
                <w:rFonts w:hint="eastAsia" w:ascii="宋体" w:hAnsi="宋体" w:eastAsia="宋体" w:cs="宋体"/>
                <w:caps w:val="0"/>
                <w:smallCaps w:val="0"/>
                <w:color w:val="000000"/>
                <w:kern w:val="2"/>
                <w:sz w:val="21"/>
                <w:szCs w:val="21"/>
                <w:highlight w:val="none"/>
                <w:lang w:val="en-US" w:eastAsia="zh-CN" w:bidi="ar-SA"/>
              </w:rPr>
              <w:t>2.</w:t>
            </w:r>
            <w:r>
              <w:rPr>
                <w:rFonts w:hint="eastAsia" w:ascii="宋体" w:hAnsi="宋体" w:cs="宋体"/>
                <w:caps w:val="0"/>
                <w:smallCaps w:val="0"/>
                <w:color w:val="000000"/>
                <w:kern w:val="2"/>
                <w:sz w:val="21"/>
                <w:szCs w:val="21"/>
                <w:highlight w:val="none"/>
                <w:lang w:val="en-US" w:eastAsia="zh-CN" w:bidi="ar-SA"/>
              </w:rPr>
              <w:t>7</w:t>
            </w:r>
            <w:r>
              <w:rPr>
                <w:rFonts w:hint="eastAsia" w:ascii="宋体" w:hAnsi="宋体" w:eastAsia="宋体" w:cs="宋体"/>
                <w:caps w:val="0"/>
                <w:smallCaps w:val="0"/>
                <w:color w:val="000000"/>
                <w:kern w:val="2"/>
                <w:sz w:val="21"/>
                <w:szCs w:val="21"/>
                <w:highlight w:val="none"/>
                <w:lang w:val="en-US" w:eastAsia="zh-CN" w:bidi="ar-SA"/>
              </w:rPr>
              <w:t xml:space="preserve"> 质量保证期：  </w:t>
            </w:r>
          </w:p>
          <w:p w14:paraId="54FB97F9">
            <w:pPr>
              <w:pStyle w:val="17"/>
              <w:pageBreakBefore w:val="0"/>
              <w:kinsoku/>
              <w:topLinePunct w:val="0"/>
              <w:bidi w:val="0"/>
              <w:spacing w:line="360" w:lineRule="auto"/>
              <w:ind w:firstLine="420" w:firstLineChars="200"/>
              <w:rPr>
                <w:rFonts w:hint="eastAsia" w:ascii="宋体" w:hAnsi="宋体" w:eastAsia="宋体" w:cs="宋体"/>
                <w:caps w:val="0"/>
                <w:smallCaps w:val="0"/>
                <w:color w:val="000000"/>
                <w:highlight w:val="none"/>
                <w:lang w:val="en-US" w:eastAsia="zh-CN"/>
              </w:rPr>
            </w:pPr>
            <w:r>
              <w:rPr>
                <w:rFonts w:hint="eastAsia" w:ascii="宋体" w:hAnsi="宋体" w:eastAsia="宋体" w:cs="宋体"/>
                <w:caps w:val="0"/>
                <w:smallCaps w:val="0"/>
                <w:color w:val="000000"/>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000000"/>
                <w:kern w:val="2"/>
                <w:sz w:val="21"/>
                <w:szCs w:val="21"/>
                <w:highlight w:val="none"/>
                <w:u w:val="single"/>
                <w:lang w:val="en-US" w:eastAsia="zh-CN" w:bidi="ar-SA"/>
              </w:rPr>
              <w:t>24</w:t>
            </w:r>
            <w:r>
              <w:rPr>
                <w:rFonts w:hint="eastAsia" w:ascii="宋体" w:hAnsi="宋体" w:eastAsia="宋体" w:cs="宋体"/>
                <w:caps w:val="0"/>
                <w:smallCaps w:val="0"/>
                <w:color w:val="000000"/>
                <w:kern w:val="2"/>
                <w:sz w:val="21"/>
                <w:szCs w:val="21"/>
                <w:highlight w:val="none"/>
                <w:lang w:val="en-US" w:eastAsia="zh-CN" w:bidi="ar-SA"/>
              </w:rPr>
              <w:t>个月，但投标人可选择延长质保期。</w:t>
            </w:r>
          </w:p>
          <w:p w14:paraId="6758A44A">
            <w:pPr>
              <w:pageBreakBefore w:val="0"/>
              <w:kinsoku/>
              <w:topLinePunct w:val="0"/>
              <w:bidi w:val="0"/>
              <w:spacing w:line="360" w:lineRule="auto"/>
              <w:rPr>
                <w:rFonts w:ascii="宋体" w:hAnsi="宋体"/>
                <w:szCs w:val="21"/>
              </w:rPr>
            </w:pPr>
          </w:p>
        </w:tc>
        <w:tc>
          <w:tcPr>
            <w:tcW w:w="1413" w:type="pct"/>
            <w:vAlign w:val="center"/>
          </w:tcPr>
          <w:p w14:paraId="13FF54C2">
            <w:pPr>
              <w:pageBreakBefore w:val="0"/>
              <w:kinsoku/>
              <w:overflowPunct/>
              <w:topLinePunct w:val="0"/>
              <w:bidi w:val="0"/>
              <w:spacing w:line="360" w:lineRule="auto"/>
              <w:rPr>
                <w:rFonts w:hint="eastAsia" w:ascii="宋体" w:hAnsi="宋体" w:eastAsia="宋体" w:cs="宋体"/>
                <w:b w:val="0"/>
                <w:bCs w:val="0"/>
                <w:snapToGrid w:val="0"/>
                <w:color w:val="auto"/>
                <w:kern w:val="0"/>
                <w:szCs w:val="21"/>
                <w:highlight w:val="none"/>
                <w:lang w:val="en-US" w:eastAsia="zh-CN"/>
              </w:rPr>
            </w:pPr>
            <w:r>
              <w:rPr>
                <w:rFonts w:hint="eastAsia" w:ascii="宋体" w:hAnsi="宋体" w:eastAsia="宋体" w:cs="宋体"/>
                <w:b w:val="0"/>
                <w:bCs w:val="0"/>
                <w:snapToGrid w:val="0"/>
                <w:color w:val="auto"/>
                <w:kern w:val="0"/>
                <w:szCs w:val="21"/>
                <w:highlight w:val="none"/>
                <w:lang w:val="en-US" w:eastAsia="zh-CN"/>
              </w:rPr>
              <w:t>2.</w:t>
            </w:r>
            <w:r>
              <w:rPr>
                <w:rFonts w:hint="eastAsia" w:ascii="宋体" w:hAnsi="宋体" w:cs="宋体"/>
                <w:b w:val="0"/>
                <w:bCs w:val="0"/>
                <w:snapToGrid w:val="0"/>
                <w:color w:val="auto"/>
                <w:kern w:val="0"/>
                <w:szCs w:val="21"/>
                <w:highlight w:val="none"/>
                <w:lang w:val="en-US" w:eastAsia="zh-CN"/>
              </w:rPr>
              <w:t>7</w:t>
            </w:r>
            <w:r>
              <w:rPr>
                <w:rFonts w:hint="eastAsia" w:ascii="宋体" w:hAnsi="宋体" w:eastAsia="宋体" w:cs="宋体"/>
                <w:b w:val="0"/>
                <w:bCs w:val="0"/>
                <w:snapToGrid w:val="0"/>
                <w:color w:val="auto"/>
                <w:kern w:val="0"/>
                <w:szCs w:val="21"/>
                <w:highlight w:val="none"/>
                <w:lang w:val="en-US" w:eastAsia="zh-CN"/>
              </w:rPr>
              <w:t xml:space="preserve"> 质量保证期 </w:t>
            </w:r>
          </w:p>
          <w:p w14:paraId="09D1E0D9">
            <w:pPr>
              <w:pageBreakBefore w:val="0"/>
              <w:kinsoku/>
              <w:topLinePunct w:val="0"/>
              <w:bidi w:val="0"/>
              <w:spacing w:line="360" w:lineRule="auto"/>
              <w:rPr>
                <w:rFonts w:ascii="宋体" w:hAnsi="宋体"/>
                <w:szCs w:val="21"/>
              </w:rPr>
            </w:pPr>
            <w:r>
              <w:rPr>
                <w:rFonts w:hint="eastAsia" w:ascii="宋体" w:hAnsi="宋体" w:eastAsia="宋体" w:cs="宋体"/>
                <w:caps w:val="0"/>
                <w:smallCaps w:val="0"/>
                <w:color w:val="auto"/>
                <w:kern w:val="2"/>
                <w:sz w:val="21"/>
                <w:szCs w:val="21"/>
                <w:highlight w:val="none"/>
                <w:lang w:val="en-US" w:eastAsia="zh-CN" w:bidi="ar-SA"/>
              </w:rPr>
              <w:t>所有设备至验收合格并交付业主使用时起</w:t>
            </w:r>
            <w:r>
              <w:rPr>
                <w:rFonts w:hint="eastAsia" w:ascii="宋体" w:hAnsi="宋体" w:eastAsia="宋体" w:cs="宋体"/>
                <w:caps w:val="0"/>
                <w:smallCaps w:val="0"/>
                <w:color w:val="auto"/>
                <w:kern w:val="2"/>
                <w:sz w:val="21"/>
                <w:szCs w:val="21"/>
                <w:highlight w:val="none"/>
                <w:u w:val="single"/>
                <w:lang w:val="en-US" w:eastAsia="zh-CN" w:bidi="ar-SA"/>
              </w:rPr>
              <w:t xml:space="preserve">     </w:t>
            </w:r>
            <w:r>
              <w:rPr>
                <w:rFonts w:hint="eastAsia" w:ascii="宋体" w:hAnsi="宋体" w:eastAsia="宋体" w:cs="宋体"/>
                <w:caps w:val="0"/>
                <w:smallCaps w:val="0"/>
                <w:color w:val="auto"/>
                <w:kern w:val="2"/>
                <w:sz w:val="21"/>
                <w:szCs w:val="21"/>
                <w:highlight w:val="none"/>
                <w:lang w:val="en-US" w:eastAsia="zh-CN" w:bidi="ar-SA"/>
              </w:rPr>
              <w:t>个月。</w:t>
            </w:r>
          </w:p>
        </w:tc>
        <w:tc>
          <w:tcPr>
            <w:tcW w:w="897" w:type="pct"/>
            <w:vAlign w:val="center"/>
          </w:tcPr>
          <w:p w14:paraId="2FF970EC">
            <w:pPr>
              <w:pageBreakBefore w:val="0"/>
              <w:kinsoku/>
              <w:topLinePunct w:val="0"/>
              <w:bidi w:val="0"/>
              <w:spacing w:line="360" w:lineRule="auto"/>
              <w:rPr>
                <w:rFonts w:ascii="宋体" w:hAnsi="宋体"/>
                <w:szCs w:val="21"/>
              </w:rPr>
            </w:pPr>
          </w:p>
        </w:tc>
        <w:tc>
          <w:tcPr>
            <w:tcW w:w="1065" w:type="pct"/>
            <w:vAlign w:val="center"/>
          </w:tcPr>
          <w:p w14:paraId="6664D7DC">
            <w:pPr>
              <w:pageBreakBefore w:val="0"/>
              <w:kinsoku/>
              <w:topLinePunct w:val="0"/>
              <w:bidi w:val="0"/>
              <w:spacing w:line="360" w:lineRule="auto"/>
              <w:rPr>
                <w:rFonts w:ascii="宋体" w:hAnsi="宋体"/>
                <w:szCs w:val="21"/>
              </w:rPr>
            </w:pPr>
          </w:p>
        </w:tc>
      </w:tr>
    </w:tbl>
    <w:p w14:paraId="0E54F11B">
      <w:pPr>
        <w:pageBreakBefore w:val="0"/>
        <w:kinsoku/>
        <w:topLinePunct w:val="0"/>
        <w:bidi w:val="0"/>
        <w:spacing w:line="360" w:lineRule="auto"/>
        <w:rPr>
          <w:rFonts w:hint="eastAsia" w:ascii="宋体" w:hAnsi="宋体"/>
          <w:szCs w:val="21"/>
        </w:rPr>
      </w:pPr>
    </w:p>
    <w:p w14:paraId="53BCAD72">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3503CF23">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1599B3A6">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468D299D">
      <w:pPr>
        <w:bidi w:val="0"/>
        <w:rPr>
          <w:rFonts w:hint="eastAsia"/>
          <w:lang w:val="en-US" w:eastAsia="zh-CN"/>
        </w:rPr>
      </w:pPr>
    </w:p>
    <w:p w14:paraId="1E16B722">
      <w:pPr>
        <w:pStyle w:val="17"/>
        <w:rPr>
          <w:rFonts w:hint="eastAsia"/>
          <w:lang w:val="en-US" w:eastAsia="zh-CN"/>
        </w:rPr>
      </w:pPr>
    </w:p>
    <w:p w14:paraId="5CD15C15">
      <w:pPr>
        <w:rPr>
          <w:rFonts w:hint="eastAsia"/>
          <w:lang w:val="en-US" w:eastAsia="zh-CN"/>
        </w:rPr>
      </w:pPr>
    </w:p>
    <w:p w14:paraId="4843D3C6">
      <w:pPr>
        <w:pStyle w:val="17"/>
        <w:rPr>
          <w:rFonts w:hint="eastAsia"/>
          <w:lang w:val="en-US" w:eastAsia="zh-CN"/>
        </w:rPr>
      </w:pPr>
    </w:p>
    <w:p w14:paraId="5C83ACA4">
      <w:pPr>
        <w:rPr>
          <w:rFonts w:hint="eastAsia"/>
          <w:lang w:val="en-US" w:eastAsia="zh-CN"/>
        </w:rPr>
      </w:pPr>
    </w:p>
    <w:p w14:paraId="31AFEFC8">
      <w:pPr>
        <w:pStyle w:val="17"/>
        <w:rPr>
          <w:rFonts w:hint="eastAsia"/>
          <w:lang w:val="en-US" w:eastAsia="zh-CN"/>
        </w:rPr>
      </w:pPr>
    </w:p>
    <w:p w14:paraId="78B867DE">
      <w:pPr>
        <w:rPr>
          <w:rFonts w:hint="eastAsia"/>
          <w:lang w:val="en-US" w:eastAsia="zh-CN"/>
        </w:rPr>
      </w:pPr>
    </w:p>
    <w:p w14:paraId="231A32A1">
      <w:pPr>
        <w:pStyle w:val="17"/>
        <w:rPr>
          <w:rFonts w:hint="eastAsia"/>
          <w:lang w:val="en-US" w:eastAsia="zh-CN"/>
        </w:rPr>
      </w:pPr>
    </w:p>
    <w:p w14:paraId="1DC822DD">
      <w:pPr>
        <w:rPr>
          <w:rFonts w:hint="eastAsia"/>
          <w:lang w:val="en-US" w:eastAsia="zh-CN"/>
        </w:rPr>
      </w:pPr>
    </w:p>
    <w:p w14:paraId="432AC732">
      <w:pPr>
        <w:pStyle w:val="17"/>
        <w:rPr>
          <w:rFonts w:hint="eastAsia"/>
          <w:lang w:val="en-US" w:eastAsia="zh-CN"/>
        </w:rPr>
      </w:pPr>
    </w:p>
    <w:p w14:paraId="0635F88F">
      <w:pPr>
        <w:rPr>
          <w:rFonts w:hint="eastAsia"/>
          <w:lang w:val="en-US" w:eastAsia="zh-CN"/>
        </w:rPr>
      </w:pPr>
    </w:p>
    <w:p w14:paraId="20130788">
      <w:pPr>
        <w:pStyle w:val="17"/>
        <w:rPr>
          <w:rFonts w:hint="eastAsia"/>
          <w:lang w:val="en-US" w:eastAsia="zh-CN"/>
        </w:rPr>
      </w:pPr>
    </w:p>
    <w:p w14:paraId="5E400D23">
      <w:pPr>
        <w:rPr>
          <w:rFonts w:hint="eastAsia"/>
          <w:lang w:val="en-US" w:eastAsia="zh-CN"/>
        </w:rPr>
      </w:pPr>
    </w:p>
    <w:p w14:paraId="3A645366">
      <w:pPr>
        <w:pStyle w:val="17"/>
        <w:rPr>
          <w:rFonts w:hint="eastAsia"/>
          <w:lang w:val="en-US" w:eastAsia="zh-CN"/>
        </w:rPr>
      </w:pPr>
    </w:p>
    <w:p w14:paraId="4DD70FBA">
      <w:pPr>
        <w:rPr>
          <w:rFonts w:hint="eastAsia"/>
          <w:lang w:val="en-US" w:eastAsia="zh-CN"/>
        </w:rPr>
      </w:pPr>
    </w:p>
    <w:p w14:paraId="215108D0">
      <w:pPr>
        <w:pStyle w:val="17"/>
        <w:rPr>
          <w:rFonts w:hint="eastAsia"/>
          <w:lang w:val="en-US" w:eastAsia="zh-CN"/>
        </w:rPr>
      </w:pPr>
    </w:p>
    <w:p w14:paraId="58686E9C">
      <w:pPr>
        <w:rPr>
          <w:rFonts w:hint="eastAsia"/>
          <w:lang w:val="en-US" w:eastAsia="zh-CN"/>
        </w:rPr>
      </w:pPr>
    </w:p>
    <w:p w14:paraId="04C9D661">
      <w:pPr>
        <w:pStyle w:val="17"/>
        <w:rPr>
          <w:rFonts w:hint="eastAsia"/>
          <w:lang w:val="en-US" w:eastAsia="zh-CN"/>
        </w:rPr>
      </w:pPr>
    </w:p>
    <w:p w14:paraId="5FA04088">
      <w:pPr>
        <w:rPr>
          <w:rFonts w:hint="eastAsia"/>
          <w:lang w:val="en-US" w:eastAsia="zh-CN"/>
        </w:rPr>
      </w:pPr>
    </w:p>
    <w:p w14:paraId="58660CCE">
      <w:pPr>
        <w:pStyle w:val="17"/>
        <w:rPr>
          <w:rFonts w:hint="eastAsia"/>
          <w:lang w:val="en-US" w:eastAsia="zh-CN"/>
        </w:rPr>
      </w:pPr>
    </w:p>
    <w:p w14:paraId="1F627B09">
      <w:pPr>
        <w:rPr>
          <w:rFonts w:hint="eastAsia"/>
          <w:lang w:val="en-US" w:eastAsia="zh-CN"/>
        </w:rPr>
      </w:pPr>
    </w:p>
    <w:p w14:paraId="056DFF81">
      <w:pPr>
        <w:pStyle w:val="17"/>
        <w:rPr>
          <w:rFonts w:hint="eastAsia"/>
          <w:lang w:val="en-US" w:eastAsia="zh-CN"/>
        </w:rPr>
      </w:pPr>
    </w:p>
    <w:p w14:paraId="7F60FEF5">
      <w:pPr>
        <w:rPr>
          <w:rFonts w:hint="eastAsia"/>
          <w:lang w:val="en-US" w:eastAsia="zh-CN"/>
        </w:rPr>
      </w:pPr>
    </w:p>
    <w:p w14:paraId="2AE9777E">
      <w:pPr>
        <w:pStyle w:val="17"/>
        <w:rPr>
          <w:rFonts w:hint="eastAsia"/>
          <w:lang w:val="en-US" w:eastAsia="zh-CN"/>
        </w:rPr>
      </w:pPr>
    </w:p>
    <w:p w14:paraId="68CAFF96">
      <w:pPr>
        <w:pStyle w:val="4"/>
        <w:bidi w:val="0"/>
        <w:jc w:val="center"/>
        <w:rPr>
          <w:rFonts w:hint="eastAsia"/>
          <w:lang w:val="en-US" w:eastAsia="zh-CN"/>
        </w:rPr>
      </w:pPr>
      <w:bookmarkStart w:id="1047" w:name="_Toc15914"/>
      <w:r>
        <w:rPr>
          <w:rFonts w:hint="eastAsia"/>
          <w:lang w:val="en-US" w:eastAsia="zh-CN"/>
        </w:rPr>
        <w:t>（二）类似项目业绩情况表</w:t>
      </w:r>
      <w:bookmarkEnd w:id="1047"/>
    </w:p>
    <w:p w14:paraId="300BBEBC">
      <w:pPr>
        <w:autoSpaceDE w:val="0"/>
        <w:autoSpaceDN w:val="0"/>
        <w:adjustRightInd w:val="0"/>
        <w:snapToGrid w:val="0"/>
        <w:spacing w:line="360" w:lineRule="auto"/>
        <w:ind w:firstLine="420" w:firstLineChars="200"/>
        <w:jc w:val="left"/>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tbl>
      <w:tblPr>
        <w:tblStyle w:val="46"/>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76"/>
        <w:gridCol w:w="936"/>
        <w:gridCol w:w="936"/>
        <w:gridCol w:w="1116"/>
        <w:gridCol w:w="936"/>
        <w:gridCol w:w="936"/>
        <w:gridCol w:w="1296"/>
        <w:gridCol w:w="2376"/>
        <w:gridCol w:w="576"/>
      </w:tblGrid>
      <w:tr w14:paraId="0B46F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1100F632">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序号</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4C72EC0">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项目名称</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A7E0247">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买方名称</w:t>
            </w: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3EE8CEEF">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买方联系人</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6F8DA62">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买方电话</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176FFA6">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i w:val="0"/>
                <w:iCs w:val="0"/>
                <w:caps w:val="0"/>
                <w:smallCaps w:val="0"/>
                <w:color w:val="auto"/>
                <w:kern w:val="0"/>
                <w:sz w:val="21"/>
                <w:szCs w:val="21"/>
                <w:highlight w:val="none"/>
                <w:u w:val="none"/>
                <w:lang w:val="en-US" w:eastAsia="zh-CN" w:bidi="ar"/>
              </w:rPr>
              <w:t>合同金额</w:t>
            </w: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5C5170DF">
            <w:pPr>
              <w:keepNext w:val="0"/>
              <w:keepLines w:val="0"/>
              <w:pageBreakBefore w:val="0"/>
              <w:widowControl/>
              <w:suppressLineNumbers w:val="0"/>
              <w:kinsoku/>
              <w:topLinePunct w:val="0"/>
              <w:bidi w:val="0"/>
              <w:spacing w:line="360" w:lineRule="auto"/>
              <w:jc w:val="center"/>
              <w:textAlignment w:val="center"/>
              <w:rPr>
                <w:rFonts w:hint="eastAsia" w:ascii="宋体" w:hAnsi="宋体" w:eastAsia="宋体" w:cs="宋体"/>
                <w:i w:val="0"/>
                <w:iCs w:val="0"/>
                <w:caps w:val="0"/>
                <w:smallCaps w:val="0"/>
                <w:color w:val="000000"/>
                <w:kern w:val="0"/>
                <w:sz w:val="21"/>
                <w:szCs w:val="21"/>
                <w:u w:val="none"/>
                <w:lang w:val="en-US" w:eastAsia="zh-CN" w:bidi="ar"/>
              </w:rPr>
            </w:pPr>
            <w:r>
              <w:rPr>
                <w:rFonts w:hint="eastAsia" w:ascii="宋体" w:hAnsi="宋体" w:eastAsia="宋体" w:cs="宋体"/>
                <w:color w:val="auto"/>
                <w:szCs w:val="21"/>
                <w:highlight w:val="none"/>
                <w:u w:val="none"/>
              </w:rPr>
              <w:t>合同签订时间</w:t>
            </w: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35B81550">
            <w:pPr>
              <w:keepNext w:val="0"/>
              <w:keepLines w:val="0"/>
              <w:pageBreakBefore w:val="0"/>
              <w:widowControl/>
              <w:suppressLineNumbers w:val="0"/>
              <w:topLinePunct w:val="0"/>
              <w:bidi w:val="0"/>
              <w:spacing w:line="360" w:lineRule="auto"/>
              <w:jc w:val="center"/>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项目概况及投标人履约情况</w:t>
            </w: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139CDB1A">
            <w:pPr>
              <w:keepNext w:val="0"/>
              <w:keepLines w:val="0"/>
              <w:pageBreakBefore w:val="0"/>
              <w:widowControl/>
              <w:suppressLineNumbers w:val="0"/>
              <w:topLinePunct w:val="0"/>
              <w:bidi w:val="0"/>
              <w:spacing w:line="360" w:lineRule="auto"/>
              <w:jc w:val="left"/>
              <w:textAlignment w:val="center"/>
              <w:rPr>
                <w:rFonts w:hint="eastAsia" w:ascii="宋体" w:hAnsi="宋体" w:eastAsia="宋体" w:cs="宋体"/>
                <w:i w:val="0"/>
                <w:iCs w:val="0"/>
                <w:caps w:val="0"/>
                <w:smallCaps w:val="0"/>
                <w:color w:val="000000"/>
                <w:sz w:val="21"/>
                <w:szCs w:val="21"/>
                <w:u w:val="none"/>
              </w:rPr>
            </w:pPr>
            <w:r>
              <w:rPr>
                <w:rFonts w:hint="eastAsia" w:ascii="宋体" w:hAnsi="宋体" w:eastAsia="宋体" w:cs="宋体"/>
                <w:i w:val="0"/>
                <w:iCs w:val="0"/>
                <w:caps w:val="0"/>
                <w:smallCaps w:val="0"/>
                <w:color w:val="000000"/>
                <w:kern w:val="0"/>
                <w:sz w:val="21"/>
                <w:szCs w:val="21"/>
                <w:u w:val="none"/>
                <w:lang w:val="en-US" w:eastAsia="zh-CN" w:bidi="ar"/>
              </w:rPr>
              <w:t>备注</w:t>
            </w:r>
          </w:p>
        </w:tc>
      </w:tr>
      <w:tr w14:paraId="24BE5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645DF542">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1</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AF34B00">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9E20289">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7DF602D8">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B6708F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9C51AD0">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400F8F4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6E24EF42">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214192D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52B03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65F4CD20">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2</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6DA7C6A">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A2050EA">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63105DA8">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1DFC263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E4B1FC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1DFC96D0">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6D00D6C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115D012A">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1C8FB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8"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594649E1">
            <w:pPr>
              <w:pageBreakBefore w:val="0"/>
              <w:topLinePunct w:val="0"/>
              <w:bidi w:val="0"/>
              <w:spacing w:line="360" w:lineRule="auto"/>
              <w:rPr>
                <w:rFonts w:hint="eastAsia"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3</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30937FC5">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40DA8A54">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5C21E1F7">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248C7A3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665A946E">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4638009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04B4D43D">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56328693">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r w14:paraId="5419D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6" w:hRule="atLeast"/>
        </w:trPr>
        <w:tc>
          <w:tcPr>
            <w:tcW w:w="301" w:type="pct"/>
            <w:tcBorders>
              <w:top w:val="single" w:color="000000" w:sz="4" w:space="0"/>
              <w:left w:val="single" w:color="000000" w:sz="4" w:space="0"/>
              <w:bottom w:val="single" w:color="000000" w:sz="4" w:space="0"/>
              <w:right w:val="single" w:color="000000" w:sz="4" w:space="0"/>
            </w:tcBorders>
            <w:noWrap/>
            <w:vAlign w:val="center"/>
          </w:tcPr>
          <w:p w14:paraId="52E7ED33">
            <w:pPr>
              <w:pageBreakBefore w:val="0"/>
              <w:topLinePunct w:val="0"/>
              <w:bidi w:val="0"/>
              <w:spacing w:line="360" w:lineRule="auto"/>
              <w:rPr>
                <w:rFonts w:hint="default" w:ascii="宋体" w:hAnsi="宋体" w:eastAsia="宋体" w:cs="宋体"/>
                <w:i w:val="0"/>
                <w:iCs w:val="0"/>
                <w:caps w:val="0"/>
                <w:smallCaps w:val="0"/>
                <w:color w:val="000000"/>
                <w:sz w:val="21"/>
                <w:szCs w:val="21"/>
                <w:u w:val="none"/>
                <w:lang w:val="en-US" w:eastAsia="zh-CN"/>
              </w:rPr>
            </w:pPr>
            <w:r>
              <w:rPr>
                <w:rFonts w:hint="eastAsia" w:ascii="宋体" w:hAnsi="宋体" w:eastAsia="宋体" w:cs="宋体"/>
                <w:i w:val="0"/>
                <w:iCs w:val="0"/>
                <w:caps w:val="0"/>
                <w:smallCaps w:val="0"/>
                <w:color w:val="000000"/>
                <w:sz w:val="21"/>
                <w:szCs w:val="21"/>
                <w:u w:val="none"/>
                <w:lang w:val="en-US" w:eastAsia="zh-CN"/>
              </w:rPr>
              <w:t>...</w:t>
            </w: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0443F69F">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72B6124D">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575" w:type="pct"/>
            <w:tcBorders>
              <w:top w:val="single" w:color="000000" w:sz="4" w:space="0"/>
              <w:left w:val="single" w:color="000000" w:sz="4" w:space="0"/>
              <w:bottom w:val="single" w:color="000000" w:sz="4" w:space="0"/>
              <w:right w:val="single" w:color="000000" w:sz="4" w:space="0"/>
            </w:tcBorders>
            <w:noWrap/>
            <w:vAlign w:val="center"/>
          </w:tcPr>
          <w:p w14:paraId="7A3BF89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5732499">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484" w:type="pct"/>
            <w:tcBorders>
              <w:top w:val="single" w:color="000000" w:sz="4" w:space="0"/>
              <w:left w:val="single" w:color="000000" w:sz="4" w:space="0"/>
              <w:bottom w:val="single" w:color="000000" w:sz="4" w:space="0"/>
              <w:right w:val="single" w:color="000000" w:sz="4" w:space="0"/>
            </w:tcBorders>
            <w:noWrap/>
            <w:vAlign w:val="center"/>
          </w:tcPr>
          <w:p w14:paraId="5593E1FA">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667" w:type="pct"/>
            <w:tcBorders>
              <w:top w:val="single" w:color="000000" w:sz="4" w:space="0"/>
              <w:left w:val="single" w:color="000000" w:sz="4" w:space="0"/>
              <w:bottom w:val="single" w:color="000000" w:sz="4" w:space="0"/>
              <w:right w:val="single" w:color="000000" w:sz="4" w:space="0"/>
            </w:tcBorders>
            <w:noWrap/>
            <w:vAlign w:val="center"/>
          </w:tcPr>
          <w:p w14:paraId="0812478C">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1215" w:type="pct"/>
            <w:tcBorders>
              <w:top w:val="single" w:color="000000" w:sz="4" w:space="0"/>
              <w:left w:val="single" w:color="000000" w:sz="4" w:space="0"/>
              <w:bottom w:val="single" w:color="000000" w:sz="4" w:space="0"/>
              <w:right w:val="single" w:color="000000" w:sz="4" w:space="0"/>
            </w:tcBorders>
            <w:noWrap/>
            <w:vAlign w:val="center"/>
          </w:tcPr>
          <w:p w14:paraId="27708532">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c>
          <w:tcPr>
            <w:tcW w:w="301" w:type="pct"/>
            <w:tcBorders>
              <w:top w:val="single" w:color="000000" w:sz="4" w:space="0"/>
              <w:left w:val="single" w:color="000000" w:sz="4" w:space="0"/>
              <w:bottom w:val="single" w:color="000000" w:sz="4" w:space="0"/>
              <w:right w:val="single" w:color="000000" w:sz="4" w:space="0"/>
            </w:tcBorders>
            <w:noWrap/>
            <w:vAlign w:val="center"/>
          </w:tcPr>
          <w:p w14:paraId="37CFBDF9">
            <w:pPr>
              <w:pageBreakBefore w:val="0"/>
              <w:topLinePunct w:val="0"/>
              <w:bidi w:val="0"/>
              <w:spacing w:line="360" w:lineRule="auto"/>
              <w:rPr>
                <w:rFonts w:hint="eastAsia" w:ascii="宋体" w:hAnsi="宋体" w:eastAsia="宋体" w:cs="宋体"/>
                <w:i w:val="0"/>
                <w:iCs w:val="0"/>
                <w:caps w:val="0"/>
                <w:smallCaps w:val="0"/>
                <w:color w:val="000000"/>
                <w:sz w:val="21"/>
                <w:szCs w:val="21"/>
                <w:u w:val="none"/>
              </w:rPr>
            </w:pPr>
          </w:p>
        </w:tc>
      </w:tr>
    </w:tbl>
    <w:p w14:paraId="1FC816E6">
      <w:pPr>
        <w:spacing w:line="360" w:lineRule="auto"/>
        <w:jc w:val="right"/>
        <w:rPr>
          <w:rFonts w:hint="eastAsia" w:ascii="宋体" w:hAnsi="宋体"/>
          <w:szCs w:val="21"/>
        </w:rPr>
      </w:pPr>
    </w:p>
    <w:p w14:paraId="49281B8B">
      <w:pPr>
        <w:spacing w:line="360" w:lineRule="auto"/>
        <w:jc w:val="right"/>
        <w:rPr>
          <w:rFonts w:hint="eastAsia" w:ascii="宋体" w:hAnsi="宋体"/>
          <w:szCs w:val="21"/>
        </w:rPr>
      </w:pPr>
    </w:p>
    <w:p w14:paraId="0678DD9F">
      <w:pPr>
        <w:tabs>
          <w:tab w:val="left" w:pos="7140"/>
          <w:tab w:val="left" w:pos="7560"/>
          <w:tab w:val="left" w:pos="8300"/>
        </w:tabs>
        <w:autoSpaceDE w:val="0"/>
        <w:autoSpaceDN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4B0F9902">
      <w:pPr>
        <w:tabs>
          <w:tab w:val="left" w:pos="7140"/>
          <w:tab w:val="left" w:pos="7560"/>
          <w:tab w:val="left" w:pos="8300"/>
        </w:tabs>
        <w:autoSpaceDE w:val="0"/>
        <w:autoSpaceDN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78352140">
      <w:pPr>
        <w:tabs>
          <w:tab w:val="left" w:pos="631"/>
          <w:tab w:val="left" w:pos="1471"/>
          <w:tab w:val="left" w:pos="2311"/>
        </w:tabs>
        <w:autoSpaceDE w:val="0"/>
        <w:autoSpaceDN w:val="0"/>
        <w:spacing w:before="37"/>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40BE4444">
      <w:pPr>
        <w:tabs>
          <w:tab w:val="left" w:pos="631"/>
          <w:tab w:val="left" w:pos="1471"/>
          <w:tab w:val="left" w:pos="2311"/>
        </w:tabs>
        <w:autoSpaceDE w:val="0"/>
        <w:autoSpaceDN w:val="0"/>
        <w:spacing w:before="37"/>
        <w:ind w:right="597"/>
        <w:jc w:val="right"/>
        <w:rPr>
          <w:rFonts w:ascii="宋体" w:hAnsi="宋体" w:cs="宋体"/>
          <w:kern w:val="0"/>
          <w:szCs w:val="21"/>
        </w:rPr>
      </w:pPr>
    </w:p>
    <w:p w14:paraId="13797B7E">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bookmarkStart w:id="1048" w:name="_Toc12338"/>
      <w:r>
        <w:rPr>
          <w:rFonts w:hint="eastAsia" w:ascii="宋体" w:hAnsi="宋体"/>
          <w:color w:val="000000" w:themeColor="text1"/>
          <w:lang w:val="en-US" w:eastAsia="zh-CN"/>
          <w14:textFill>
            <w14:solidFill>
              <w14:schemeClr w14:val="tx1"/>
            </w14:solidFill>
          </w14:textFill>
        </w:rPr>
        <w:t>注：</w:t>
      </w:r>
      <w:r>
        <w:rPr>
          <w:rFonts w:hint="eastAsia" w:ascii="宋体" w:hAnsi="宋体"/>
          <w:color w:val="000000" w:themeColor="text1"/>
          <w14:textFill>
            <w14:solidFill>
              <w14:schemeClr w14:val="tx1"/>
            </w14:solidFill>
          </w14:textFill>
        </w:rPr>
        <w:t>业绩证明材料按投标人须知前附表第1</w:t>
      </w:r>
      <w:r>
        <w:rPr>
          <w:rFonts w:ascii="宋体" w:hAnsi="宋体"/>
          <w:color w:val="000000" w:themeColor="text1"/>
          <w14:textFill>
            <w14:solidFill>
              <w14:schemeClr w14:val="tx1"/>
            </w14:solidFill>
          </w14:textFill>
        </w:rPr>
        <w:t>.4.1</w:t>
      </w:r>
      <w:r>
        <w:rPr>
          <w:rFonts w:hint="eastAsia" w:ascii="宋体" w:hAnsi="宋体"/>
          <w:color w:val="000000" w:themeColor="text1"/>
          <w14:textFill>
            <w14:solidFill>
              <w14:schemeClr w14:val="tx1"/>
            </w14:solidFill>
          </w14:textFill>
        </w:rPr>
        <w:t>条第3款业绩要求的规定提供。</w:t>
      </w:r>
    </w:p>
    <w:p w14:paraId="2A1B43AF">
      <w:pPr>
        <w:rPr>
          <w:rFonts w:hint="eastAsia"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br w:type="page"/>
      </w:r>
    </w:p>
    <w:p w14:paraId="06573399">
      <w:pPr>
        <w:pStyle w:val="4"/>
        <w:bidi w:val="0"/>
        <w:jc w:val="center"/>
        <w:rPr>
          <w:rFonts w:hint="eastAsia"/>
          <w:color w:val="000000" w:themeColor="text1"/>
          <w:lang w:val="en-US" w:eastAsia="zh-CN"/>
          <w14:textFill>
            <w14:solidFill>
              <w14:schemeClr w14:val="tx1"/>
            </w14:solidFill>
          </w14:textFill>
        </w:rPr>
      </w:pPr>
      <w:r>
        <w:rPr>
          <w:rFonts w:hint="eastAsia"/>
          <w:color w:val="000000" w:themeColor="text1"/>
          <w:lang w:val="en-US" w:eastAsia="zh-CN"/>
          <w14:textFill>
            <w14:solidFill>
              <w14:schemeClr w14:val="tx1"/>
            </w14:solidFill>
          </w14:textFill>
        </w:rPr>
        <w:t>（三）主要部件品牌响应表</w:t>
      </w:r>
    </w:p>
    <w:p w14:paraId="6C2068C8">
      <w:pPr>
        <w:pageBreakBefore w:val="0"/>
        <w:kinsoku/>
        <w:topLinePunct w:val="0"/>
        <w:bidi w:val="0"/>
        <w:spacing w:line="360" w:lineRule="auto"/>
        <w:rPr>
          <w:rFonts w:hint="default"/>
          <w:lang w:val="en-US" w:eastAsia="zh-CN"/>
        </w:rPr>
      </w:pPr>
      <w:r>
        <w:rPr>
          <w:rFonts w:hint="eastAsia" w:ascii="宋体" w:hAnsi="宋体"/>
          <w:szCs w:val="21"/>
        </w:rPr>
        <w:t>招标项目名称：</w:t>
      </w:r>
    </w:p>
    <w:tbl>
      <w:tblPr>
        <w:tblStyle w:val="46"/>
        <w:tblW w:w="5195"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54"/>
        <w:gridCol w:w="1117"/>
        <w:gridCol w:w="1200"/>
        <w:gridCol w:w="1011"/>
        <w:gridCol w:w="1141"/>
        <w:gridCol w:w="1059"/>
        <w:gridCol w:w="1746"/>
        <w:gridCol w:w="2134"/>
      </w:tblGrid>
      <w:tr w14:paraId="6AAB83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jc w:val="center"/>
        </w:trPr>
        <w:tc>
          <w:tcPr>
            <w:tcW w:w="324" w:type="pct"/>
            <w:tcBorders>
              <w:top w:val="single" w:color="000000" w:sz="4" w:space="0"/>
              <w:left w:val="single" w:color="000000" w:sz="4" w:space="0"/>
              <w:bottom w:val="single" w:color="auto" w:sz="4" w:space="0"/>
              <w:right w:val="single" w:color="000000" w:sz="4" w:space="0"/>
            </w:tcBorders>
            <w:shd w:val="clear" w:color="auto" w:fill="auto"/>
            <w:vAlign w:val="center"/>
          </w:tcPr>
          <w:p w14:paraId="4C9D5F3F">
            <w:pPr>
              <w:pStyle w:val="333"/>
              <w:spacing w:line="400" w:lineRule="exact"/>
              <w:ind w:left="0" w:leftChars="0" w:right="0" w:rightChars="0" w:firstLine="0" w:firstLineChars="0"/>
              <w:jc w:val="center"/>
              <w:rPr>
                <w:rFonts w:hint="eastAsia" w:ascii="宋体" w:hAnsi="宋体" w:eastAsia="宋体" w:cs="宋体"/>
                <w:sz w:val="21"/>
                <w:szCs w:val="21"/>
              </w:rPr>
            </w:pPr>
            <w:r>
              <w:rPr>
                <w:rFonts w:hint="eastAsia" w:ascii="宋体" w:hAnsi="宋体" w:eastAsia="宋体" w:cs="宋体"/>
                <w:sz w:val="21"/>
                <w:szCs w:val="21"/>
                <w:lang w:val="en-US" w:eastAsia="zh-CN"/>
              </w:rPr>
              <w:t>类型</w:t>
            </w:r>
          </w:p>
        </w:tc>
        <w:tc>
          <w:tcPr>
            <w:tcW w:w="555" w:type="pct"/>
            <w:tcBorders>
              <w:top w:val="single" w:color="000000" w:sz="4" w:space="0"/>
              <w:left w:val="single" w:color="000000" w:sz="4" w:space="0"/>
              <w:bottom w:val="single" w:color="auto" w:sz="4" w:space="0"/>
              <w:right w:val="single" w:color="000000" w:sz="4" w:space="0"/>
            </w:tcBorders>
            <w:shd w:val="clear" w:color="auto" w:fill="auto"/>
            <w:vAlign w:val="center"/>
          </w:tcPr>
          <w:p w14:paraId="5F5BAA94">
            <w:pPr>
              <w:pStyle w:val="333"/>
              <w:spacing w:line="400" w:lineRule="exact"/>
              <w:ind w:left="0" w:leftChars="0" w:right="0" w:rightChars="0" w:firstLine="0" w:firstLineChars="0"/>
              <w:jc w:val="center"/>
              <w:rPr>
                <w:rFonts w:hint="eastAsia" w:ascii="宋体" w:hAnsi="宋体" w:eastAsia="宋体" w:cs="宋体"/>
                <w:sz w:val="21"/>
                <w:szCs w:val="21"/>
              </w:rPr>
            </w:pPr>
            <w:r>
              <w:rPr>
                <w:rFonts w:hint="eastAsia" w:ascii="宋体" w:hAnsi="宋体" w:eastAsia="宋体" w:cs="宋体"/>
                <w:sz w:val="21"/>
                <w:szCs w:val="21"/>
                <w:lang w:val="en-US" w:eastAsia="zh-CN"/>
              </w:rPr>
              <w:t>名称</w:t>
            </w:r>
          </w:p>
        </w:tc>
        <w:tc>
          <w:tcPr>
            <w:tcW w:w="2191" w:type="pct"/>
            <w:gridSpan w:val="4"/>
            <w:tcBorders>
              <w:top w:val="single" w:color="000000" w:sz="4" w:space="0"/>
              <w:left w:val="single" w:color="000000" w:sz="4" w:space="0"/>
              <w:bottom w:val="single" w:color="auto" w:sz="4" w:space="0"/>
              <w:right w:val="single" w:color="000000" w:sz="4" w:space="0"/>
            </w:tcBorders>
            <w:shd w:val="clear" w:color="auto" w:fill="auto"/>
            <w:vAlign w:val="center"/>
          </w:tcPr>
          <w:p w14:paraId="41D8E93F">
            <w:pPr>
              <w:pStyle w:val="333"/>
              <w:spacing w:line="400" w:lineRule="exact"/>
              <w:ind w:left="0" w:leftChars="0" w:right="0" w:rightChars="0" w:firstLine="0" w:firstLineChars="0"/>
              <w:jc w:val="center"/>
              <w:rPr>
                <w:rFonts w:hint="eastAsia" w:ascii="宋体" w:hAnsi="宋体" w:eastAsia="宋体" w:cs="宋体"/>
                <w:sz w:val="21"/>
                <w:szCs w:val="21"/>
              </w:rPr>
            </w:pPr>
            <w:r>
              <w:rPr>
                <w:rFonts w:hint="eastAsia" w:ascii="宋体" w:hAnsi="宋体" w:eastAsia="宋体" w:cs="宋体"/>
                <w:sz w:val="21"/>
                <w:szCs w:val="21"/>
                <w:lang w:val="en-US" w:eastAsia="zh-CN"/>
              </w:rPr>
              <w:t>推荐品牌</w:t>
            </w:r>
          </w:p>
        </w:tc>
        <w:tc>
          <w:tcPr>
            <w:tcW w:w="867" w:type="pct"/>
            <w:tcBorders>
              <w:top w:val="single" w:color="000000" w:sz="4" w:space="0"/>
              <w:left w:val="single" w:color="000000" w:sz="4" w:space="0"/>
              <w:bottom w:val="single" w:color="auto" w:sz="4" w:space="0"/>
              <w:right w:val="single" w:color="000000" w:sz="4" w:space="0"/>
            </w:tcBorders>
            <w:shd w:val="clear" w:color="auto" w:fill="auto"/>
            <w:vAlign w:val="center"/>
          </w:tcPr>
          <w:p w14:paraId="07450CC4">
            <w:pPr>
              <w:pStyle w:val="333"/>
              <w:keepNext w:val="0"/>
              <w:keepLines w:val="0"/>
              <w:pageBreakBefore w:val="0"/>
              <w:widowControl w:val="0"/>
              <w:kinsoku/>
              <w:wordWrap/>
              <w:overflowPunct/>
              <w:topLinePunct w:val="0"/>
              <w:autoSpaceDE/>
              <w:autoSpaceDN/>
              <w:bidi w:val="0"/>
              <w:adjustRightInd/>
              <w:snapToGrid/>
              <w:ind w:left="0" w:leftChars="0" w:right="0" w:firstLine="0" w:firstLineChars="0"/>
              <w:jc w:val="center"/>
              <w:textAlignment w:val="auto"/>
              <w:rPr>
                <w:rFonts w:hint="eastAsia" w:ascii="宋体" w:hAnsi="宋体" w:eastAsia="宋体" w:cs="宋体"/>
                <w:color w:val="FF0000"/>
                <w:sz w:val="21"/>
                <w:szCs w:val="21"/>
                <w:lang w:val="en-US" w:eastAsia="zh-CN"/>
              </w:rPr>
            </w:pPr>
            <w:r>
              <w:rPr>
                <w:rFonts w:hint="eastAsia" w:ascii="宋体" w:hAnsi="宋体" w:eastAsia="宋体" w:cs="宋体"/>
                <w:color w:val="FF0000"/>
                <w:sz w:val="21"/>
                <w:szCs w:val="21"/>
                <w:lang w:val="en-US" w:eastAsia="zh-CN"/>
              </w:rPr>
              <w:t>投标响应品牌</w:t>
            </w:r>
          </w:p>
          <w:p w14:paraId="1548FBC0">
            <w:pPr>
              <w:bidi w:val="0"/>
              <w:jc w:val="center"/>
              <w:rPr>
                <w:rFonts w:hint="eastAsia" w:ascii="宋体" w:hAnsi="宋体" w:eastAsia="宋体" w:cs="宋体"/>
                <w:kern w:val="2"/>
                <w:sz w:val="21"/>
                <w:szCs w:val="21"/>
                <w:lang w:val="en-US" w:eastAsia="zh-CN" w:bidi="ar-SA"/>
              </w:rPr>
            </w:pPr>
            <w:r>
              <w:rPr>
                <w:rFonts w:hint="eastAsia" w:ascii="宋体" w:hAnsi="宋体" w:eastAsia="宋体" w:cs="宋体"/>
                <w:b/>
                <w:bCs/>
                <w:color w:val="FF0000"/>
                <w:sz w:val="21"/>
                <w:szCs w:val="21"/>
                <w:lang w:val="en-US" w:eastAsia="zh-CN"/>
              </w:rPr>
              <w:t>（投标人填写</w:t>
            </w:r>
            <w:r>
              <w:rPr>
                <w:rFonts w:hint="eastAsia" w:ascii="宋体" w:hAnsi="宋体" w:cs="宋体"/>
                <w:b/>
                <w:bCs/>
                <w:color w:val="FF0000"/>
                <w:sz w:val="21"/>
                <w:szCs w:val="21"/>
                <w:lang w:val="en-US" w:eastAsia="zh-CN"/>
              </w:rPr>
              <w:t>唯一品牌</w:t>
            </w:r>
            <w:r>
              <w:rPr>
                <w:rFonts w:hint="eastAsia" w:ascii="宋体" w:hAnsi="宋体" w:eastAsia="宋体" w:cs="宋体"/>
                <w:b/>
                <w:bCs/>
                <w:color w:val="FF0000"/>
                <w:sz w:val="21"/>
                <w:szCs w:val="21"/>
                <w:lang w:val="en-US" w:eastAsia="zh-CN"/>
              </w:rPr>
              <w:t>）</w:t>
            </w:r>
          </w:p>
        </w:tc>
        <w:tc>
          <w:tcPr>
            <w:tcW w:w="1060" w:type="pct"/>
            <w:tcBorders>
              <w:top w:val="single" w:color="000000" w:sz="4" w:space="0"/>
              <w:left w:val="single" w:color="000000" w:sz="4" w:space="0"/>
              <w:bottom w:val="single" w:color="auto" w:sz="4" w:space="0"/>
              <w:right w:val="single" w:color="000000" w:sz="4" w:space="0"/>
            </w:tcBorders>
            <w:shd w:val="clear" w:color="auto" w:fill="auto"/>
            <w:vAlign w:val="center"/>
          </w:tcPr>
          <w:p w14:paraId="692DCD55">
            <w:pPr>
              <w:bidi w:val="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备注</w:t>
            </w:r>
          </w:p>
        </w:tc>
      </w:tr>
      <w:tr w14:paraId="45C18D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29" w:hRule="atLeast"/>
          <w:jc w:val="center"/>
        </w:trPr>
        <w:tc>
          <w:tcPr>
            <w:tcW w:w="324" w:type="pct"/>
            <w:tcBorders>
              <w:top w:val="single" w:color="auto" w:sz="4" w:space="0"/>
              <w:left w:val="single" w:color="auto" w:sz="4" w:space="0"/>
              <w:bottom w:val="single" w:color="auto" w:sz="4" w:space="0"/>
              <w:right w:val="single" w:color="auto" w:sz="4" w:space="0"/>
            </w:tcBorders>
            <w:shd w:val="clear" w:color="auto" w:fill="auto"/>
            <w:vAlign w:val="center"/>
          </w:tcPr>
          <w:p w14:paraId="740A2432">
            <w:pPr>
              <w:bidi w:val="0"/>
              <w:rPr>
                <w:rFonts w:hint="default" w:eastAsia="宋体"/>
                <w:lang w:val="en-US" w:eastAsia="zh-CN"/>
              </w:rPr>
            </w:pPr>
            <w:r>
              <w:rPr>
                <w:rFonts w:hint="eastAsia"/>
                <w:lang w:val="en-US" w:eastAsia="zh-CN"/>
              </w:rPr>
              <w:t>单机设备</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7D1F3446">
            <w:pPr>
              <w:bidi w:val="0"/>
              <w:rPr>
                <w:rFonts w:hint="eastAsia"/>
              </w:rPr>
            </w:pPr>
            <w:r>
              <w:rPr>
                <w:rFonts w:hint="eastAsia"/>
                <w:lang w:val="en-US" w:eastAsia="zh-CN"/>
              </w:rPr>
              <w:t>电动叉车</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7AA9D229">
            <w:pPr>
              <w:bidi w:val="0"/>
              <w:rPr>
                <w:rFonts w:hint="eastAsia"/>
              </w:rPr>
            </w:pPr>
            <w:r>
              <w:rPr>
                <w:rFonts w:hint="eastAsia"/>
                <w:lang w:val="en-US" w:eastAsia="zh-CN"/>
              </w:rPr>
              <w:t>杭叉</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79285EB9">
            <w:pPr>
              <w:bidi w:val="0"/>
              <w:rPr>
                <w:rFonts w:hint="eastAsia"/>
              </w:rPr>
            </w:pPr>
            <w:r>
              <w:rPr>
                <w:rFonts w:hint="eastAsia"/>
                <w:lang w:val="en-US" w:eastAsia="zh-CN"/>
              </w:rPr>
              <w:t>合力</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1AC52C2E">
            <w:pPr>
              <w:bidi w:val="0"/>
              <w:rPr>
                <w:rFonts w:hint="eastAsia"/>
              </w:rPr>
            </w:pPr>
            <w:r>
              <w:rPr>
                <w:rFonts w:hint="eastAsia"/>
                <w:lang w:val="en-US" w:eastAsia="zh-CN"/>
              </w:rPr>
              <w:t>中力</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52FB2A69">
            <w:pPr>
              <w:bidi w:val="0"/>
              <w:rPr>
                <w:rFonts w:hint="eastAsia"/>
              </w:rPr>
            </w:pPr>
            <w:r>
              <w:rPr>
                <w:rFonts w:hint="eastAsia"/>
                <w:lang w:val="en-US" w:eastAsia="zh-CN"/>
              </w:rPr>
              <w:t>诺力</w:t>
            </w: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79B1C551">
            <w:pPr>
              <w:bidi w:val="0"/>
              <w:rPr>
                <w:rFonts w:hint="eastAsia"/>
                <w:lang w:val="en-US" w:eastAsia="zh-CN"/>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28947FD6">
            <w:pPr>
              <w:bidi w:val="0"/>
              <w:rPr>
                <w:rFonts w:hint="eastAsia"/>
                <w:lang w:val="en-US" w:eastAsia="zh-CN"/>
              </w:rPr>
            </w:pPr>
          </w:p>
        </w:tc>
      </w:tr>
      <w:tr w14:paraId="04E9F0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7" w:hRule="atLeast"/>
          <w:jc w:val="center"/>
        </w:trPr>
        <w:tc>
          <w:tcPr>
            <w:tcW w:w="324" w:type="pct"/>
            <w:vMerge w:val="restart"/>
            <w:tcBorders>
              <w:top w:val="single" w:color="auto" w:sz="4" w:space="0"/>
              <w:left w:val="single" w:color="auto" w:sz="4" w:space="0"/>
              <w:bottom w:val="single" w:color="auto" w:sz="4" w:space="0"/>
              <w:right w:val="single" w:color="auto" w:sz="4" w:space="0"/>
            </w:tcBorders>
            <w:shd w:val="clear" w:color="auto" w:fill="auto"/>
            <w:vAlign w:val="center"/>
          </w:tcPr>
          <w:p w14:paraId="50767A02">
            <w:pPr>
              <w:bidi w:val="0"/>
              <w:rPr>
                <w:rFonts w:hint="eastAsia"/>
              </w:rPr>
            </w:pPr>
            <w:r>
              <w:rPr>
                <w:rFonts w:hint="eastAsia"/>
                <w:lang w:val="en-US" w:eastAsia="zh-CN"/>
              </w:rPr>
              <w:t>机械及电气部件</w:t>
            </w: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885AED3">
            <w:pPr>
              <w:bidi w:val="0"/>
              <w:rPr>
                <w:rFonts w:hint="eastAsia"/>
              </w:rPr>
            </w:pPr>
            <w:r>
              <w:rPr>
                <w:rFonts w:hint="eastAsia"/>
                <w:lang w:val="en-US" w:eastAsia="zh-CN"/>
              </w:rPr>
              <w:t>轴承</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2EC52965">
            <w:pPr>
              <w:bidi w:val="0"/>
              <w:rPr>
                <w:rFonts w:hint="eastAsia"/>
              </w:rPr>
            </w:pPr>
            <w:r>
              <w:rPr>
                <w:rFonts w:hint="eastAsia"/>
                <w:lang w:val="en-US" w:eastAsia="zh-CN"/>
              </w:rPr>
              <w:t>SKF</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14D4F896">
            <w:pPr>
              <w:bidi w:val="0"/>
              <w:rPr>
                <w:rFonts w:hint="eastAsia"/>
              </w:rPr>
            </w:pPr>
            <w:r>
              <w:rPr>
                <w:rFonts w:hint="eastAsia"/>
                <w:lang w:val="en-US" w:eastAsia="zh-CN"/>
              </w:rPr>
              <w:t>NSK</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2EF9C5B">
            <w:pPr>
              <w:bidi w:val="0"/>
              <w:rPr>
                <w:rFonts w:hint="default"/>
                <w:lang w:val="en-US"/>
              </w:rPr>
            </w:pPr>
            <w:r>
              <w:rPr>
                <w:rFonts w:hint="eastAsia"/>
                <w:lang w:val="en-US" w:eastAsia="zh-CN"/>
              </w:rPr>
              <w:t>INA</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5A835D1B">
            <w:pPr>
              <w:bidi w:val="0"/>
              <w:rPr>
                <w:rFonts w:hint="eastAsia"/>
              </w:rPr>
            </w:pPr>
            <w:r>
              <w:rPr>
                <w:rFonts w:hint="eastAsia"/>
                <w:lang w:val="en-US" w:eastAsia="zh-CN"/>
              </w:rPr>
              <w:t>FAG</w:t>
            </w: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133EEC22">
            <w:pPr>
              <w:bidi w:val="0"/>
              <w:rPr>
                <w:rFonts w:hint="eastAsia"/>
                <w:lang w:val="en-US" w:eastAsia="zh-CN"/>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77E3A24E">
            <w:pPr>
              <w:bidi w:val="0"/>
              <w:rPr>
                <w:rFonts w:hint="eastAsia"/>
                <w:lang w:val="en-US" w:eastAsia="zh-CN"/>
              </w:rPr>
            </w:pPr>
          </w:p>
        </w:tc>
      </w:tr>
      <w:tr w14:paraId="405FC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56B1C932">
            <w:pPr>
              <w:bidi w:val="0"/>
              <w:rPr>
                <w:rFonts w:hint="eastAsia"/>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0BE18149">
            <w:pPr>
              <w:bidi w:val="0"/>
              <w:rPr>
                <w:rFonts w:hint="eastAsia"/>
              </w:rPr>
            </w:pPr>
            <w:r>
              <w:rPr>
                <w:rFonts w:hint="eastAsia"/>
                <w:lang w:val="en-US" w:eastAsia="zh-CN"/>
              </w:rPr>
              <w:t>减速机</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3F84E619">
            <w:pPr>
              <w:bidi w:val="0"/>
              <w:rPr>
                <w:rFonts w:hint="eastAsia"/>
              </w:rPr>
            </w:pPr>
            <w:r>
              <w:rPr>
                <w:rFonts w:hint="eastAsia"/>
                <w:lang w:val="en-US" w:eastAsia="zh-CN"/>
              </w:rPr>
              <w:t>SEW</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23F7B101">
            <w:pPr>
              <w:bidi w:val="0"/>
              <w:rPr>
                <w:rFonts w:hint="eastAsia"/>
              </w:rPr>
            </w:pPr>
            <w:r>
              <w:rPr>
                <w:rFonts w:hint="eastAsia"/>
                <w:lang w:val="en-US" w:eastAsia="zh-CN"/>
              </w:rPr>
              <w:t>NORD</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47EBE0C">
            <w:pPr>
              <w:bidi w:val="0"/>
              <w:rPr>
                <w:rFonts w:hint="eastAsia"/>
              </w:rPr>
            </w:pPr>
            <w:r>
              <w:rPr>
                <w:rFonts w:hint="eastAsia"/>
                <w:lang w:val="en-US" w:eastAsia="zh-CN"/>
              </w:rPr>
              <w:t>LENZE</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6AF8A4C4">
            <w:pPr>
              <w:bidi w:val="0"/>
              <w:rPr>
                <w:rFonts w:hint="eastAsia"/>
              </w:rPr>
            </w:pPr>
            <w:r>
              <w:rPr>
                <w:rFonts w:hint="eastAsia"/>
                <w:lang w:val="en-US" w:eastAsia="zh-CN"/>
              </w:rPr>
              <w:t>BAUER</w:t>
            </w: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760846EC">
            <w:pPr>
              <w:bidi w:val="0"/>
              <w:rPr>
                <w:rFonts w:hint="eastAsia"/>
                <w:lang w:val="en-US" w:eastAsia="zh-CN"/>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02668358">
            <w:pPr>
              <w:bidi w:val="0"/>
              <w:rPr>
                <w:rFonts w:hint="eastAsia"/>
                <w:lang w:val="en-US" w:eastAsia="zh-CN"/>
              </w:rPr>
            </w:pPr>
          </w:p>
        </w:tc>
      </w:tr>
      <w:tr w14:paraId="38C0E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6"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BBE9013">
            <w:pPr>
              <w:bidi w:val="0"/>
              <w:rPr>
                <w:rFonts w:hint="eastAsia"/>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7B6F4929">
            <w:pPr>
              <w:bidi w:val="0"/>
              <w:rPr>
                <w:rFonts w:hint="eastAsia"/>
              </w:rPr>
            </w:pPr>
            <w:r>
              <w:rPr>
                <w:rFonts w:hint="eastAsia"/>
                <w:lang w:val="en-US" w:eastAsia="zh-CN"/>
              </w:rPr>
              <w:t>变频器</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7BB3320E">
            <w:pPr>
              <w:bidi w:val="0"/>
              <w:rPr>
                <w:rFonts w:hint="eastAsia"/>
              </w:rPr>
            </w:pPr>
            <w:r>
              <w:rPr>
                <w:rFonts w:hint="eastAsia"/>
                <w:lang w:val="en-US" w:eastAsia="zh-CN"/>
              </w:rPr>
              <w:t>西门子</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039B7C58">
            <w:pPr>
              <w:bidi w:val="0"/>
              <w:rPr>
                <w:rFonts w:hint="eastAsia"/>
              </w:rPr>
            </w:pPr>
            <w:r>
              <w:rPr>
                <w:rFonts w:hint="eastAsia"/>
                <w:lang w:val="en-US" w:eastAsia="zh-CN"/>
              </w:rPr>
              <w:t>施耐德</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10253A94">
            <w:pPr>
              <w:bidi w:val="0"/>
              <w:rPr>
                <w:rFonts w:hint="eastAsia"/>
              </w:rPr>
            </w:pPr>
            <w:r>
              <w:rPr>
                <w:rFonts w:hint="eastAsia"/>
                <w:lang w:val="en-US" w:eastAsia="zh-CN"/>
              </w:rPr>
              <w:t>ABB</w:t>
            </w:r>
          </w:p>
        </w:tc>
        <w:tc>
          <w:tcPr>
            <w:tcW w:w="52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9E9582E">
            <w:pPr>
              <w:bidi w:val="0"/>
              <w:rPr>
                <w:rFonts w:hint="eastAsia"/>
              </w:rPr>
            </w:pPr>
            <w:r>
              <w:rPr>
                <w:rFonts w:hint="eastAsia"/>
                <w:lang w:val="en-US" w:eastAsia="zh-CN"/>
              </w:rPr>
              <w:t>丹佛斯</w:t>
            </w:r>
          </w:p>
        </w:tc>
        <w:tc>
          <w:tcPr>
            <w:tcW w:w="8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21DF4F4">
            <w:pPr>
              <w:bidi w:val="0"/>
              <w:rPr>
                <w:rFonts w:hint="eastAsia"/>
                <w:lang w:val="en-US" w:eastAsia="zh-CN"/>
              </w:rPr>
            </w:pPr>
          </w:p>
        </w:tc>
        <w:tc>
          <w:tcPr>
            <w:tcW w:w="106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3ECF5B34">
            <w:pPr>
              <w:bidi w:val="0"/>
              <w:rPr>
                <w:rFonts w:hint="eastAsia"/>
                <w:lang w:val="en-US" w:eastAsia="zh-CN"/>
              </w:rPr>
            </w:pPr>
          </w:p>
        </w:tc>
      </w:tr>
      <w:tr w14:paraId="0D9B8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48"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7DA40BE">
            <w:pPr>
              <w:bidi w:val="0"/>
              <w:rPr>
                <w:rFonts w:hint="eastAsia"/>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2CADC682">
            <w:pPr>
              <w:bidi w:val="0"/>
              <w:rPr>
                <w:rFonts w:hint="eastAsia"/>
              </w:rPr>
            </w:pPr>
            <w:r>
              <w:rPr>
                <w:rFonts w:hint="eastAsia"/>
                <w:lang w:val="en-US" w:eastAsia="zh-CN"/>
              </w:rPr>
              <w:t>触摸屏</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1F8919FC">
            <w:pPr>
              <w:bidi w:val="0"/>
              <w:rPr>
                <w:rFonts w:hint="eastAsia"/>
              </w:rPr>
            </w:pPr>
            <w:r>
              <w:rPr>
                <w:rFonts w:hint="eastAsia"/>
                <w:lang w:val="en-US" w:eastAsia="zh-CN"/>
              </w:rPr>
              <w:t>西门子</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06DD81C4">
            <w:pPr>
              <w:bidi w:val="0"/>
              <w:rPr>
                <w:rFonts w:hint="eastAsia"/>
              </w:rPr>
            </w:pPr>
            <w:r>
              <w:rPr>
                <w:rFonts w:hint="eastAsia"/>
                <w:lang w:val="en-US" w:eastAsia="zh-CN"/>
              </w:rPr>
              <w:t>施耐德</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757F2238">
            <w:pPr>
              <w:bidi w:val="0"/>
              <w:rPr>
                <w:rFonts w:hint="eastAsia"/>
              </w:rPr>
            </w:pPr>
            <w:r>
              <w:rPr>
                <w:rFonts w:hint="eastAsia"/>
                <w:lang w:val="en-US" w:eastAsia="zh-CN"/>
              </w:rPr>
              <w:t>ROCKWELL</w:t>
            </w:r>
          </w:p>
        </w:tc>
        <w:tc>
          <w:tcPr>
            <w:tcW w:w="526" w:type="pct"/>
            <w:tcBorders>
              <w:top w:val="single" w:color="auto" w:sz="4" w:space="0"/>
              <w:left w:val="single" w:color="auto" w:sz="4" w:space="0"/>
              <w:bottom w:val="single" w:color="auto" w:sz="4" w:space="0"/>
              <w:right w:val="single" w:color="auto" w:sz="4" w:space="0"/>
            </w:tcBorders>
            <w:shd w:val="clear" w:color="auto" w:fill="auto"/>
            <w:noWrap/>
            <w:vAlign w:val="center"/>
          </w:tcPr>
          <w:p w14:paraId="6F558047">
            <w:pPr>
              <w:bidi w:val="0"/>
              <w:rPr>
                <w:rFonts w:hint="eastAsia"/>
              </w:rPr>
            </w:pPr>
          </w:p>
        </w:tc>
        <w:tc>
          <w:tcPr>
            <w:tcW w:w="867" w:type="pct"/>
            <w:tcBorders>
              <w:top w:val="single" w:color="auto" w:sz="4" w:space="0"/>
              <w:left w:val="single" w:color="auto" w:sz="4" w:space="0"/>
              <w:bottom w:val="single" w:color="auto" w:sz="4" w:space="0"/>
              <w:right w:val="single" w:color="auto" w:sz="4" w:space="0"/>
            </w:tcBorders>
            <w:shd w:val="clear" w:color="auto" w:fill="auto"/>
            <w:noWrap/>
            <w:vAlign w:val="center"/>
          </w:tcPr>
          <w:p w14:paraId="4D9531B7">
            <w:pPr>
              <w:bidi w:val="0"/>
              <w:rPr>
                <w:rFonts w:hint="eastAsia"/>
              </w:rPr>
            </w:pPr>
          </w:p>
        </w:tc>
        <w:tc>
          <w:tcPr>
            <w:tcW w:w="1060" w:type="pct"/>
            <w:tcBorders>
              <w:top w:val="single" w:color="auto" w:sz="4" w:space="0"/>
              <w:left w:val="single" w:color="auto" w:sz="4" w:space="0"/>
              <w:bottom w:val="single" w:color="auto" w:sz="4" w:space="0"/>
              <w:right w:val="single" w:color="auto" w:sz="4" w:space="0"/>
            </w:tcBorders>
            <w:shd w:val="clear" w:color="auto" w:fill="auto"/>
            <w:noWrap/>
            <w:vAlign w:val="center"/>
          </w:tcPr>
          <w:p w14:paraId="79C01E45">
            <w:pPr>
              <w:bidi w:val="0"/>
              <w:rPr>
                <w:rFonts w:hint="eastAsia"/>
              </w:rPr>
            </w:pPr>
          </w:p>
        </w:tc>
      </w:tr>
      <w:tr w14:paraId="0BE5CC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0"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73E3AC7">
            <w:pPr>
              <w:bidi w:val="0"/>
              <w:rPr>
                <w:rFonts w:hint="eastAsia"/>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6C2CF9D3">
            <w:pPr>
              <w:bidi w:val="0"/>
              <w:rPr>
                <w:rFonts w:hint="eastAsia"/>
              </w:rPr>
            </w:pPr>
            <w:r>
              <w:rPr>
                <w:rFonts w:hint="eastAsia"/>
                <w:lang w:val="en-US" w:eastAsia="zh-CN"/>
              </w:rPr>
              <w:t>PLC</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31F73524">
            <w:pPr>
              <w:bidi w:val="0"/>
              <w:rPr>
                <w:rFonts w:hint="eastAsia"/>
              </w:rPr>
            </w:pPr>
            <w:r>
              <w:rPr>
                <w:rFonts w:hint="eastAsia"/>
                <w:lang w:val="en-US" w:eastAsia="zh-CN"/>
              </w:rPr>
              <w:t>西门子</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1C4A14D1">
            <w:pPr>
              <w:bidi w:val="0"/>
              <w:rPr>
                <w:rFonts w:hint="eastAsia"/>
              </w:rPr>
            </w:pPr>
            <w:r>
              <w:rPr>
                <w:rFonts w:hint="eastAsia"/>
                <w:lang w:val="en-US" w:eastAsia="zh-CN"/>
              </w:rPr>
              <w:t>施耐德</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461B6A20">
            <w:pPr>
              <w:bidi w:val="0"/>
              <w:rPr>
                <w:rFonts w:hint="eastAsia"/>
              </w:rPr>
            </w:pPr>
            <w:r>
              <w:rPr>
                <w:rFonts w:hint="eastAsia"/>
                <w:lang w:val="en-US" w:eastAsia="zh-CN"/>
              </w:rPr>
              <w:t>ABB</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67414016">
            <w:pPr>
              <w:bidi w:val="0"/>
              <w:rPr>
                <w:rFonts w:hint="eastAsia"/>
              </w:rPr>
            </w:pP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65702A17">
            <w:pPr>
              <w:bidi w:val="0"/>
              <w:rPr>
                <w:rFonts w:hint="eastAsia"/>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4C0B83C6">
            <w:pPr>
              <w:bidi w:val="0"/>
              <w:rPr>
                <w:rFonts w:hint="eastAsia"/>
              </w:rPr>
            </w:pPr>
          </w:p>
        </w:tc>
      </w:tr>
      <w:tr w14:paraId="12E27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90"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CC118D4">
            <w:pPr>
              <w:bidi w:val="0"/>
              <w:rPr>
                <w:rFonts w:hint="eastAsia"/>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F919AF0">
            <w:pPr>
              <w:bidi w:val="0"/>
              <w:rPr>
                <w:rFonts w:hint="default"/>
                <w:lang w:val="en-US"/>
              </w:rPr>
            </w:pPr>
            <w:r>
              <w:rPr>
                <w:rFonts w:hint="eastAsia"/>
                <w:lang w:val="en-US" w:eastAsia="zh-CN"/>
              </w:rPr>
              <w:t>称重传感器</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212C033D">
            <w:pPr>
              <w:bidi w:val="0"/>
              <w:rPr>
                <w:rFonts w:hint="eastAsia"/>
              </w:rPr>
            </w:pPr>
            <w:r>
              <w:rPr>
                <w:rFonts w:hint="eastAsia"/>
                <w:lang w:val="en-US" w:eastAsia="zh-CN"/>
              </w:rPr>
              <w:t>梅特勒托利多</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051570F1">
            <w:pPr>
              <w:bidi w:val="0"/>
              <w:rPr>
                <w:rFonts w:hint="eastAsia"/>
              </w:rPr>
            </w:pPr>
            <w:r>
              <w:rPr>
                <w:rFonts w:hint="eastAsia"/>
                <w:lang w:val="en-US" w:eastAsia="zh-CN"/>
              </w:rPr>
              <w:t>碧彩</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124B3F78">
            <w:pPr>
              <w:bidi w:val="0"/>
              <w:rPr>
                <w:rFonts w:hint="eastAsia"/>
              </w:rPr>
            </w:pPr>
            <w:r>
              <w:rPr>
                <w:rFonts w:hint="eastAsia"/>
                <w:lang w:val="en-US" w:eastAsia="zh-CN"/>
              </w:rPr>
              <w:t>富林泰克</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18E382A6">
            <w:pPr>
              <w:bidi w:val="0"/>
              <w:rPr>
                <w:rFonts w:hint="eastAsia"/>
              </w:rPr>
            </w:pP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50474C15">
            <w:pPr>
              <w:bidi w:val="0"/>
              <w:rPr>
                <w:rFonts w:hint="eastAsia"/>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2AA7C2D5">
            <w:pPr>
              <w:bidi w:val="0"/>
              <w:rPr>
                <w:rFonts w:hint="eastAsia"/>
              </w:rPr>
            </w:pPr>
          </w:p>
        </w:tc>
      </w:tr>
      <w:tr w14:paraId="445192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7"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8BD4569">
            <w:pPr>
              <w:bidi w:val="0"/>
              <w:rPr>
                <w:rFonts w:hint="eastAsia"/>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616F1F9">
            <w:pPr>
              <w:bidi w:val="0"/>
              <w:rPr>
                <w:rFonts w:hint="default"/>
                <w:lang w:val="en-US" w:eastAsia="zh-CN"/>
              </w:rPr>
            </w:pPr>
            <w:r>
              <w:rPr>
                <w:rFonts w:hint="eastAsia"/>
                <w:lang w:val="en-US" w:eastAsia="zh-CN"/>
              </w:rPr>
              <w:t>水泵</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3187BC56">
            <w:pPr>
              <w:bidi w:val="0"/>
              <w:rPr>
                <w:rFonts w:hint="default"/>
                <w:lang w:val="en-US" w:eastAsia="zh-CN"/>
              </w:rPr>
            </w:pPr>
            <w:r>
              <w:rPr>
                <w:rFonts w:hint="eastAsia"/>
                <w:lang w:val="en-US" w:eastAsia="zh-CN"/>
              </w:rPr>
              <w:t>南方</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5EFC1AC5">
            <w:pPr>
              <w:bidi w:val="0"/>
              <w:rPr>
                <w:rFonts w:hint="default"/>
                <w:lang w:val="en-US" w:eastAsia="zh-CN"/>
              </w:rPr>
            </w:pPr>
            <w:r>
              <w:rPr>
                <w:rFonts w:hint="eastAsia"/>
                <w:lang w:val="en-US" w:eastAsia="zh-CN"/>
              </w:rPr>
              <w:t>凯泉</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3729D18B">
            <w:pPr>
              <w:bidi w:val="0"/>
              <w:rPr>
                <w:rFonts w:hint="default"/>
                <w:lang w:val="en-US" w:eastAsia="zh-CN"/>
              </w:rPr>
            </w:pPr>
            <w:r>
              <w:rPr>
                <w:rFonts w:hint="eastAsia"/>
                <w:lang w:val="en-US" w:eastAsia="zh-CN"/>
              </w:rPr>
              <w:t>连成</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5C4B7DD6">
            <w:pPr>
              <w:bidi w:val="0"/>
              <w:rPr>
                <w:rFonts w:hint="eastAsia"/>
              </w:rPr>
            </w:pPr>
            <w:r>
              <w:rPr>
                <w:rFonts w:hint="eastAsia"/>
                <w:lang w:val="en-US" w:eastAsia="zh-CN"/>
              </w:rPr>
              <w:t>东方泵业</w:t>
            </w: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122797AE">
            <w:pPr>
              <w:bidi w:val="0"/>
              <w:rPr>
                <w:rFonts w:hint="eastAsia"/>
                <w:lang w:val="en-US" w:eastAsia="zh-CN"/>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7B0866D8">
            <w:pPr>
              <w:bidi w:val="0"/>
              <w:rPr>
                <w:rFonts w:hint="eastAsia"/>
                <w:lang w:val="en-US" w:eastAsia="zh-CN"/>
              </w:rPr>
            </w:pPr>
          </w:p>
        </w:tc>
      </w:tr>
      <w:tr w14:paraId="78133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4008672E">
            <w:pPr>
              <w:bidi w:val="0"/>
              <w:rPr>
                <w:rFonts w:hint="eastAsia"/>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20BD48D">
            <w:pPr>
              <w:bidi w:val="0"/>
              <w:rPr>
                <w:rFonts w:hint="default"/>
                <w:lang w:val="en-US"/>
              </w:rPr>
            </w:pPr>
            <w:r>
              <w:rPr>
                <w:rFonts w:hint="eastAsia"/>
                <w:lang w:val="en-US" w:eastAsia="zh-CN"/>
              </w:rPr>
              <w:t>视频监控</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474CD036">
            <w:pPr>
              <w:bidi w:val="0"/>
              <w:rPr>
                <w:rFonts w:hint="eastAsia"/>
              </w:rPr>
            </w:pPr>
            <w:r>
              <w:rPr>
                <w:rFonts w:hint="eastAsia"/>
                <w:lang w:val="en-US" w:eastAsia="zh-CN"/>
              </w:rPr>
              <w:t>海康</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208DEAE9">
            <w:pPr>
              <w:bidi w:val="0"/>
              <w:rPr>
                <w:rFonts w:hint="eastAsia"/>
              </w:rPr>
            </w:pPr>
            <w:r>
              <w:rPr>
                <w:rFonts w:hint="eastAsia"/>
                <w:lang w:val="en-US" w:eastAsia="zh-CN"/>
              </w:rPr>
              <w:t>大华</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6BFB3887">
            <w:pPr>
              <w:bidi w:val="0"/>
              <w:rPr>
                <w:rFonts w:hint="eastAsia"/>
              </w:rPr>
            </w:pPr>
            <w:r>
              <w:rPr>
                <w:rFonts w:hint="eastAsia"/>
                <w:lang w:val="en-US" w:eastAsia="zh-CN"/>
              </w:rPr>
              <w:t>华为</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57048D58">
            <w:pPr>
              <w:bidi w:val="0"/>
              <w:rPr>
                <w:rFonts w:hint="eastAsia"/>
              </w:rPr>
            </w:pP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212FC372">
            <w:pPr>
              <w:bidi w:val="0"/>
              <w:rPr>
                <w:rFonts w:hint="eastAsia"/>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36E63404">
            <w:pPr>
              <w:bidi w:val="0"/>
              <w:rPr>
                <w:rFonts w:hint="eastAsia"/>
              </w:rPr>
            </w:pPr>
          </w:p>
        </w:tc>
      </w:tr>
      <w:tr w14:paraId="6C2F3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2"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2DAC9A3B">
            <w:pPr>
              <w:bidi w:val="0"/>
              <w:rPr>
                <w:rFonts w:hint="eastAsia"/>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75E688A5">
            <w:pPr>
              <w:bidi w:val="0"/>
              <w:rPr>
                <w:rFonts w:hint="default"/>
                <w:lang w:val="en-US" w:eastAsia="zh-CN"/>
              </w:rPr>
            </w:pPr>
            <w:r>
              <w:rPr>
                <w:rFonts w:hint="eastAsia"/>
                <w:lang w:val="en-US" w:eastAsia="zh-CN"/>
              </w:rPr>
              <w:t>工控机</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29911311">
            <w:pPr>
              <w:bidi w:val="0"/>
              <w:rPr>
                <w:rFonts w:hint="default"/>
                <w:lang w:val="en-US" w:eastAsia="zh-CN"/>
              </w:rPr>
            </w:pPr>
            <w:r>
              <w:rPr>
                <w:rFonts w:hint="eastAsia"/>
                <w:lang w:val="en-US" w:eastAsia="zh-CN"/>
              </w:rPr>
              <w:t>研华</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1A159FD5">
            <w:pPr>
              <w:bidi w:val="0"/>
              <w:rPr>
                <w:rFonts w:hint="default"/>
                <w:lang w:val="en-US" w:eastAsia="zh-CN"/>
              </w:rPr>
            </w:pPr>
            <w:r>
              <w:rPr>
                <w:rFonts w:hint="eastAsia"/>
                <w:lang w:val="en-US" w:eastAsia="zh-CN"/>
              </w:rPr>
              <w:t>研祥</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3219250F">
            <w:pPr>
              <w:bidi w:val="0"/>
              <w:rPr>
                <w:rFonts w:hint="default"/>
                <w:lang w:val="en-US" w:eastAsia="zh-CN"/>
              </w:rPr>
            </w:pPr>
            <w:r>
              <w:rPr>
                <w:rFonts w:hint="eastAsia"/>
                <w:lang w:val="en-US" w:eastAsia="zh-CN"/>
              </w:rPr>
              <w:t>华北工控</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73964013">
            <w:pPr>
              <w:bidi w:val="0"/>
              <w:rPr>
                <w:rFonts w:hint="eastAsia"/>
              </w:rPr>
            </w:pP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3E66F420">
            <w:pPr>
              <w:bidi w:val="0"/>
              <w:rPr>
                <w:rFonts w:hint="eastAsia"/>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097795E0">
            <w:pPr>
              <w:bidi w:val="0"/>
              <w:rPr>
                <w:rFonts w:hint="eastAsia"/>
              </w:rPr>
            </w:pPr>
          </w:p>
        </w:tc>
      </w:tr>
      <w:tr w14:paraId="500F8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8"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02C28D02">
            <w:pPr>
              <w:bidi w:val="0"/>
              <w:rPr>
                <w:rFonts w:hint="default" w:eastAsia="宋体"/>
                <w:lang w:val="en-US" w:eastAsia="zh-CN"/>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0EBB4C28">
            <w:pPr>
              <w:bidi w:val="0"/>
              <w:rPr>
                <w:rFonts w:hint="default" w:ascii="Times New Roman" w:hAnsi="Times New Roman" w:eastAsia="宋体" w:cs="Times New Roman"/>
                <w:kern w:val="2"/>
                <w:sz w:val="21"/>
                <w:szCs w:val="24"/>
                <w:lang w:val="en-US" w:eastAsia="zh-CN" w:bidi="ar-SA"/>
              </w:rPr>
            </w:pPr>
            <w:r>
              <w:rPr>
                <w:rFonts w:hint="eastAsia"/>
                <w:lang w:val="en-US" w:eastAsia="zh-CN"/>
              </w:rPr>
              <w:t>不锈钢材料</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4ABE492D">
            <w:pPr>
              <w:bidi w:val="0"/>
              <w:rPr>
                <w:rFonts w:hint="default" w:ascii="Times New Roman" w:hAnsi="Times New Roman" w:eastAsia="宋体" w:cs="Times New Roman"/>
                <w:kern w:val="2"/>
                <w:sz w:val="21"/>
                <w:szCs w:val="24"/>
                <w:lang w:val="en-US" w:eastAsia="zh-CN" w:bidi="ar-SA"/>
              </w:rPr>
            </w:pPr>
            <w:r>
              <w:rPr>
                <w:rFonts w:hint="eastAsia"/>
                <w:lang w:val="en-US" w:eastAsia="zh-CN"/>
              </w:rPr>
              <w:t>太钢</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2D45278F">
            <w:pPr>
              <w:bidi w:val="0"/>
              <w:rPr>
                <w:rFonts w:hint="default" w:ascii="Times New Roman" w:hAnsi="Times New Roman" w:eastAsia="宋体" w:cs="Times New Roman"/>
                <w:kern w:val="2"/>
                <w:sz w:val="21"/>
                <w:szCs w:val="24"/>
                <w:lang w:val="en-US" w:eastAsia="zh-CN" w:bidi="ar-SA"/>
              </w:rPr>
            </w:pPr>
            <w:r>
              <w:rPr>
                <w:rFonts w:hint="eastAsia"/>
                <w:lang w:val="en-US" w:eastAsia="zh-CN"/>
              </w:rPr>
              <w:t>宝武</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2780AD5F">
            <w:pPr>
              <w:bidi w:val="0"/>
              <w:rPr>
                <w:rFonts w:hint="eastAsia" w:ascii="Times New Roman" w:hAnsi="Times New Roman" w:eastAsia="宋体" w:cs="Times New Roman"/>
                <w:kern w:val="2"/>
                <w:sz w:val="21"/>
                <w:szCs w:val="24"/>
                <w:lang w:val="en-US" w:eastAsia="zh-CN" w:bidi="ar-SA"/>
              </w:rPr>
            </w:pPr>
            <w:r>
              <w:rPr>
                <w:rFonts w:hint="eastAsia"/>
                <w:lang w:val="en-US" w:eastAsia="zh-CN"/>
              </w:rPr>
              <w:t>青山</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3D68E521">
            <w:pPr>
              <w:bidi w:val="0"/>
              <w:rPr>
                <w:rFonts w:hint="eastAsia"/>
              </w:rPr>
            </w:pP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03B36DDF">
            <w:pPr>
              <w:bidi w:val="0"/>
              <w:rPr>
                <w:rFonts w:hint="eastAsia"/>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67A75692">
            <w:pPr>
              <w:bidi w:val="0"/>
              <w:rPr>
                <w:rFonts w:hint="eastAsia"/>
              </w:rPr>
            </w:pPr>
          </w:p>
        </w:tc>
      </w:tr>
      <w:tr w14:paraId="317C0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78" w:hRule="atLeast"/>
          <w:jc w:val="center"/>
        </w:trPr>
        <w:tc>
          <w:tcPr>
            <w:tcW w:w="324" w:type="pct"/>
            <w:vMerge w:val="continue"/>
            <w:tcBorders>
              <w:top w:val="single" w:color="auto" w:sz="4" w:space="0"/>
              <w:left w:val="single" w:color="auto" w:sz="4" w:space="0"/>
              <w:bottom w:val="single" w:color="auto" w:sz="4" w:space="0"/>
              <w:right w:val="single" w:color="auto" w:sz="4" w:space="0"/>
            </w:tcBorders>
            <w:shd w:val="clear" w:color="auto" w:fill="auto"/>
            <w:vAlign w:val="center"/>
          </w:tcPr>
          <w:p w14:paraId="7825CFAD">
            <w:pPr>
              <w:bidi w:val="0"/>
              <w:rPr>
                <w:rFonts w:hint="default" w:eastAsia="宋体"/>
                <w:lang w:val="en-US" w:eastAsia="zh-CN"/>
              </w:rPr>
            </w:pPr>
          </w:p>
        </w:tc>
        <w:tc>
          <w:tcPr>
            <w:tcW w:w="555" w:type="pct"/>
            <w:tcBorders>
              <w:top w:val="single" w:color="auto" w:sz="4" w:space="0"/>
              <w:left w:val="single" w:color="auto" w:sz="4" w:space="0"/>
              <w:bottom w:val="single" w:color="auto" w:sz="4" w:space="0"/>
              <w:right w:val="single" w:color="auto" w:sz="4" w:space="0"/>
            </w:tcBorders>
            <w:shd w:val="clear" w:color="auto" w:fill="auto"/>
            <w:vAlign w:val="center"/>
          </w:tcPr>
          <w:p w14:paraId="5BFC5755">
            <w:pPr>
              <w:bidi w:val="0"/>
              <w:rPr>
                <w:rFonts w:hint="default"/>
                <w:lang w:val="en-US" w:eastAsia="zh-CN"/>
              </w:rPr>
            </w:pPr>
            <w:r>
              <w:rPr>
                <w:rFonts w:hint="eastAsia"/>
                <w:lang w:val="en-US" w:eastAsia="zh-CN"/>
              </w:rPr>
              <w:t>输送皮带</w:t>
            </w:r>
          </w:p>
        </w:tc>
        <w:tc>
          <w:tcPr>
            <w:tcW w:w="596" w:type="pct"/>
            <w:tcBorders>
              <w:top w:val="single" w:color="auto" w:sz="4" w:space="0"/>
              <w:left w:val="single" w:color="auto" w:sz="4" w:space="0"/>
              <w:bottom w:val="single" w:color="auto" w:sz="4" w:space="0"/>
              <w:right w:val="single" w:color="auto" w:sz="4" w:space="0"/>
            </w:tcBorders>
            <w:shd w:val="clear" w:color="auto" w:fill="auto"/>
            <w:vAlign w:val="center"/>
          </w:tcPr>
          <w:p w14:paraId="09C7B3BB">
            <w:pPr>
              <w:bidi w:val="0"/>
              <w:rPr>
                <w:rFonts w:hint="eastAsia"/>
                <w:lang w:val="en-US" w:eastAsia="zh-CN"/>
              </w:rPr>
            </w:pPr>
            <w:r>
              <w:rPr>
                <w:rFonts w:hint="eastAsia"/>
                <w:lang w:val="en-US" w:eastAsia="zh-CN"/>
              </w:rPr>
              <w:t>上海永利</w:t>
            </w:r>
          </w:p>
        </w:tc>
        <w:tc>
          <w:tcPr>
            <w:tcW w:w="502" w:type="pct"/>
            <w:tcBorders>
              <w:top w:val="single" w:color="auto" w:sz="4" w:space="0"/>
              <w:left w:val="single" w:color="auto" w:sz="4" w:space="0"/>
              <w:bottom w:val="single" w:color="auto" w:sz="4" w:space="0"/>
              <w:right w:val="single" w:color="auto" w:sz="4" w:space="0"/>
            </w:tcBorders>
            <w:shd w:val="clear" w:color="auto" w:fill="auto"/>
            <w:vAlign w:val="center"/>
          </w:tcPr>
          <w:p w14:paraId="28EA5A3D">
            <w:pPr>
              <w:bidi w:val="0"/>
              <w:rPr>
                <w:rFonts w:hint="eastAsia"/>
                <w:lang w:val="en-US" w:eastAsia="zh-CN"/>
              </w:rPr>
            </w:pPr>
            <w:r>
              <w:rPr>
                <w:rFonts w:hint="eastAsia"/>
                <w:lang w:val="en-US" w:eastAsia="zh-CN"/>
              </w:rPr>
              <w:t>上海艾艾</w:t>
            </w:r>
          </w:p>
        </w:tc>
        <w:tc>
          <w:tcPr>
            <w:tcW w:w="566" w:type="pct"/>
            <w:tcBorders>
              <w:top w:val="single" w:color="auto" w:sz="4" w:space="0"/>
              <w:left w:val="single" w:color="auto" w:sz="4" w:space="0"/>
              <w:bottom w:val="single" w:color="auto" w:sz="4" w:space="0"/>
              <w:right w:val="single" w:color="auto" w:sz="4" w:space="0"/>
            </w:tcBorders>
            <w:shd w:val="clear" w:color="auto" w:fill="auto"/>
            <w:vAlign w:val="center"/>
          </w:tcPr>
          <w:p w14:paraId="68D6802D">
            <w:pPr>
              <w:bidi w:val="0"/>
              <w:rPr>
                <w:rFonts w:hint="eastAsia"/>
                <w:lang w:val="en-US" w:eastAsia="zh-CN"/>
              </w:rPr>
            </w:pPr>
            <w:r>
              <w:rPr>
                <w:rFonts w:hint="eastAsia"/>
                <w:lang w:val="en-US" w:eastAsia="zh-CN"/>
              </w:rPr>
              <w:t>江阴科强</w:t>
            </w:r>
          </w:p>
        </w:tc>
        <w:tc>
          <w:tcPr>
            <w:tcW w:w="526" w:type="pct"/>
            <w:tcBorders>
              <w:top w:val="single" w:color="auto" w:sz="4" w:space="0"/>
              <w:left w:val="single" w:color="auto" w:sz="4" w:space="0"/>
              <w:bottom w:val="single" w:color="auto" w:sz="4" w:space="0"/>
              <w:right w:val="single" w:color="auto" w:sz="4" w:space="0"/>
            </w:tcBorders>
            <w:shd w:val="clear" w:color="auto" w:fill="auto"/>
            <w:vAlign w:val="center"/>
          </w:tcPr>
          <w:p w14:paraId="21473C85">
            <w:pPr>
              <w:bidi w:val="0"/>
              <w:rPr>
                <w:rFonts w:hint="default" w:eastAsia="宋体"/>
                <w:lang w:val="en-US" w:eastAsia="zh-CN"/>
              </w:rPr>
            </w:pPr>
          </w:p>
        </w:tc>
        <w:tc>
          <w:tcPr>
            <w:tcW w:w="867" w:type="pct"/>
            <w:tcBorders>
              <w:top w:val="single" w:color="auto" w:sz="4" w:space="0"/>
              <w:left w:val="single" w:color="auto" w:sz="4" w:space="0"/>
              <w:bottom w:val="single" w:color="auto" w:sz="4" w:space="0"/>
              <w:right w:val="single" w:color="auto" w:sz="4" w:space="0"/>
            </w:tcBorders>
            <w:shd w:val="clear" w:color="auto" w:fill="auto"/>
            <w:vAlign w:val="center"/>
          </w:tcPr>
          <w:p w14:paraId="1857B0C3">
            <w:pPr>
              <w:bidi w:val="0"/>
              <w:rPr>
                <w:rFonts w:hint="default" w:eastAsia="宋体"/>
                <w:lang w:val="en-US" w:eastAsia="zh-CN"/>
              </w:rPr>
            </w:pPr>
          </w:p>
        </w:tc>
        <w:tc>
          <w:tcPr>
            <w:tcW w:w="1060" w:type="pct"/>
            <w:tcBorders>
              <w:top w:val="single" w:color="auto" w:sz="4" w:space="0"/>
              <w:left w:val="single" w:color="auto" w:sz="4" w:space="0"/>
              <w:bottom w:val="single" w:color="auto" w:sz="4" w:space="0"/>
              <w:right w:val="single" w:color="auto" w:sz="4" w:space="0"/>
            </w:tcBorders>
            <w:shd w:val="clear" w:color="auto" w:fill="auto"/>
            <w:vAlign w:val="center"/>
          </w:tcPr>
          <w:p w14:paraId="26CD6F79">
            <w:pPr>
              <w:bidi w:val="0"/>
              <w:rPr>
                <w:rFonts w:hint="default" w:eastAsia="宋体"/>
                <w:lang w:val="en-US" w:eastAsia="zh-CN"/>
              </w:rPr>
            </w:pPr>
          </w:p>
        </w:tc>
      </w:tr>
    </w:tbl>
    <w:p w14:paraId="07A5DD02">
      <w:pPr>
        <w:pStyle w:val="17"/>
        <w:rPr>
          <w:rFonts w:hint="eastAsia"/>
          <w:lang w:val="en-US" w:eastAsia="zh-CN"/>
        </w:rPr>
      </w:pPr>
    </w:p>
    <w:p w14:paraId="01B1408A">
      <w:pPr>
        <w:bidi w:val="0"/>
        <w:rPr>
          <w:rFonts w:hint="eastAsia"/>
          <w:lang w:val="en-US" w:eastAsia="zh-CN"/>
        </w:rPr>
      </w:pPr>
    </w:p>
    <w:p w14:paraId="65AD1047">
      <w:pPr>
        <w:pageBreakBefore w:val="0"/>
        <w:tabs>
          <w:tab w:val="left" w:pos="7140"/>
          <w:tab w:val="left" w:pos="7560"/>
          <w:tab w:val="left" w:pos="8300"/>
        </w:tabs>
        <w:kinsoku/>
        <w:topLinePunct w:val="0"/>
        <w:autoSpaceDE w:val="0"/>
        <w:autoSpaceDN w:val="0"/>
        <w:bidi w:val="0"/>
        <w:adjustRightInd w:val="0"/>
        <w:spacing w:line="360" w:lineRule="auto"/>
        <w:ind w:right="210" w:firstLine="2816" w:firstLineChars="1341"/>
        <w:rPr>
          <w:rFonts w:ascii="宋体" w:hAnsi="宋体"/>
          <w:snapToGrid w:val="0"/>
          <w:kern w:val="0"/>
          <w:szCs w:val="21"/>
        </w:rPr>
      </w:pPr>
      <w:r>
        <w:rPr>
          <w:rFonts w:ascii="宋体" w:hAnsi="宋体"/>
          <w:snapToGrid w:val="0"/>
          <w:kern w:val="0"/>
          <w:szCs w:val="21"/>
        </w:rPr>
        <w:t>投  标  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u w:val="single"/>
        </w:rPr>
        <w:t xml:space="preserve">  </w:t>
      </w:r>
      <w:r>
        <w:rPr>
          <w:rFonts w:ascii="宋体" w:hAnsi="宋体"/>
          <w:snapToGrid w:val="0"/>
          <w:kern w:val="0"/>
          <w:szCs w:val="21"/>
        </w:rPr>
        <w:t xml:space="preserve">（盖单位法人章） </w:t>
      </w:r>
    </w:p>
    <w:p w14:paraId="26DE9479">
      <w:pPr>
        <w:pageBreakBefore w:val="0"/>
        <w:tabs>
          <w:tab w:val="left" w:pos="7140"/>
          <w:tab w:val="left" w:pos="7560"/>
          <w:tab w:val="left" w:pos="8300"/>
        </w:tabs>
        <w:kinsoku/>
        <w:topLinePunct w:val="0"/>
        <w:autoSpaceDE w:val="0"/>
        <w:autoSpaceDN w:val="0"/>
        <w:bidi w:val="0"/>
        <w:adjustRightInd w:val="0"/>
        <w:spacing w:line="360" w:lineRule="auto"/>
        <w:ind w:right="210" w:firstLine="2835" w:firstLineChars="1350"/>
        <w:rPr>
          <w:rFonts w:ascii="宋体" w:hAnsi="宋体"/>
          <w:snapToGrid w:val="0"/>
          <w:kern w:val="0"/>
          <w:szCs w:val="21"/>
        </w:rPr>
      </w:pPr>
      <w:r>
        <w:rPr>
          <w:rFonts w:ascii="宋体" w:hAnsi="宋体"/>
          <w:snapToGrid w:val="0"/>
          <w:kern w:val="0"/>
          <w:szCs w:val="21"/>
        </w:rPr>
        <w:t>法定代表人或其委托代理人：</w:t>
      </w:r>
      <w:r>
        <w:rPr>
          <w:rFonts w:ascii="宋体" w:hAnsi="宋体"/>
          <w:snapToGrid w:val="0"/>
          <w:kern w:val="0"/>
          <w:szCs w:val="21"/>
          <w:u w:val="single"/>
        </w:rPr>
        <w:t xml:space="preserve">         </w:t>
      </w:r>
      <w:r>
        <w:rPr>
          <w:rFonts w:hint="eastAsia" w:ascii="宋体" w:hAnsi="宋体"/>
          <w:snapToGrid w:val="0"/>
          <w:kern w:val="0"/>
          <w:szCs w:val="21"/>
          <w:u w:val="single"/>
        </w:rPr>
        <w:t xml:space="preserve">      </w:t>
      </w:r>
      <w:r>
        <w:rPr>
          <w:rFonts w:ascii="宋体" w:hAnsi="宋体"/>
          <w:snapToGrid w:val="0"/>
          <w:kern w:val="0"/>
          <w:szCs w:val="21"/>
        </w:rPr>
        <w:t>（</w:t>
      </w:r>
      <w:r>
        <w:rPr>
          <w:rFonts w:hint="eastAsia" w:ascii="宋体" w:hAnsi="宋体"/>
          <w:snapToGrid w:val="0"/>
          <w:kern w:val="0"/>
          <w:szCs w:val="21"/>
        </w:rPr>
        <w:t>签名</w:t>
      </w:r>
      <w:r>
        <w:rPr>
          <w:rFonts w:ascii="宋体" w:hAnsi="宋体"/>
          <w:snapToGrid w:val="0"/>
          <w:kern w:val="0"/>
          <w:szCs w:val="21"/>
        </w:rPr>
        <w:t xml:space="preserve">或盖章） </w:t>
      </w:r>
    </w:p>
    <w:p w14:paraId="59324660">
      <w:pPr>
        <w:pageBreakBefore w:val="0"/>
        <w:tabs>
          <w:tab w:val="left" w:pos="631"/>
          <w:tab w:val="left" w:pos="1471"/>
          <w:tab w:val="left" w:pos="2311"/>
        </w:tabs>
        <w:kinsoku/>
        <w:topLinePunct w:val="0"/>
        <w:autoSpaceDE w:val="0"/>
        <w:autoSpaceDN w:val="0"/>
        <w:bidi w:val="0"/>
        <w:spacing w:before="37" w:line="360" w:lineRule="auto"/>
        <w:ind w:right="597"/>
        <w:jc w:val="right"/>
        <w:rPr>
          <w:rFonts w:ascii="宋体" w:hAnsi="宋体" w:cs="宋体"/>
          <w:kern w:val="0"/>
          <w:szCs w:val="21"/>
        </w:rPr>
      </w:pPr>
      <w:r>
        <w:rPr>
          <w:rFonts w:hAnsi="宋体" w:eastAsia="Times New Roman" w:cs="宋体"/>
          <w:kern w:val="0"/>
          <w:szCs w:val="21"/>
          <w:u w:val="single"/>
        </w:rPr>
        <w:tab/>
      </w:r>
      <w:r>
        <w:rPr>
          <w:rFonts w:ascii="宋体" w:hAnsi="宋体" w:cs="宋体"/>
          <w:kern w:val="0"/>
          <w:szCs w:val="21"/>
        </w:rPr>
        <w:t>年</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月</w:t>
      </w:r>
      <w:r>
        <w:rPr>
          <w:rFonts w:ascii="宋体" w:hAnsi="宋体" w:cs="宋体"/>
          <w:kern w:val="0"/>
          <w:szCs w:val="21"/>
          <w:u w:val="single"/>
        </w:rPr>
        <w:t xml:space="preserve"> </w:t>
      </w:r>
      <w:r>
        <w:rPr>
          <w:rFonts w:ascii="宋体" w:hAnsi="宋体" w:cs="宋体"/>
          <w:kern w:val="0"/>
          <w:szCs w:val="21"/>
          <w:u w:val="single"/>
        </w:rPr>
        <w:tab/>
      </w:r>
      <w:r>
        <w:rPr>
          <w:rFonts w:ascii="宋体" w:hAnsi="宋体" w:cs="宋体"/>
          <w:kern w:val="0"/>
          <w:szCs w:val="21"/>
        </w:rPr>
        <w:t>日</w:t>
      </w:r>
    </w:p>
    <w:p w14:paraId="4DDB679E">
      <w:pPr>
        <w:rPr>
          <w:rFonts w:hint="eastAsia" w:ascii="宋体" w:hAnsi="宋体"/>
          <w:color w:val="000000" w:themeColor="text1"/>
          <w14:textFill>
            <w14:solidFill>
              <w14:schemeClr w14:val="tx1"/>
            </w14:solidFill>
          </w14:textFill>
        </w:rPr>
      </w:pPr>
      <w:r>
        <w:rPr>
          <w:rFonts w:hint="eastAsia" w:ascii="宋体" w:hAnsi="宋体"/>
          <w:color w:val="000000" w:themeColor="text1"/>
          <w14:textFill>
            <w14:solidFill>
              <w14:schemeClr w14:val="tx1"/>
            </w14:solidFill>
          </w14:textFill>
        </w:rPr>
        <w:br w:type="page"/>
      </w:r>
    </w:p>
    <w:p w14:paraId="4C057E1C">
      <w:pPr>
        <w:autoSpaceDE w:val="0"/>
        <w:autoSpaceDN w:val="0"/>
        <w:adjustRightInd w:val="0"/>
        <w:snapToGrid w:val="0"/>
        <w:spacing w:line="360" w:lineRule="auto"/>
        <w:ind w:firstLine="420" w:firstLineChars="200"/>
        <w:jc w:val="left"/>
        <w:rPr>
          <w:rFonts w:hint="eastAsia" w:ascii="宋体" w:hAnsi="宋体"/>
          <w:color w:val="000000" w:themeColor="text1"/>
          <w14:textFill>
            <w14:solidFill>
              <w14:schemeClr w14:val="tx1"/>
            </w14:solidFill>
          </w14:textFill>
        </w:rPr>
      </w:pPr>
    </w:p>
    <w:p w14:paraId="14E8F5C7">
      <w:pPr>
        <w:pStyle w:val="4"/>
        <w:bidi w:val="0"/>
        <w:jc w:val="center"/>
        <w:rPr>
          <w:rFonts w:hint="eastAsia"/>
          <w:lang w:val="en-US" w:eastAsia="zh-CN"/>
        </w:rPr>
      </w:pPr>
      <w:r>
        <w:rPr>
          <w:rFonts w:hint="eastAsia"/>
          <w:lang w:val="en-US" w:eastAsia="zh-CN"/>
        </w:rPr>
        <w:t>（四）其他资料</w:t>
      </w:r>
      <w:bookmarkEnd w:id="1048"/>
    </w:p>
    <w:p w14:paraId="064F51CC">
      <w:pPr>
        <w:autoSpaceDE w:val="0"/>
        <w:autoSpaceDN w:val="0"/>
        <w:adjustRightInd w:val="0"/>
        <w:snapToGrid w:val="0"/>
        <w:spacing w:line="360" w:lineRule="auto"/>
        <w:ind w:firstLine="420" w:firstLineChars="200"/>
        <w:jc w:val="left"/>
        <w:rPr>
          <w:rFonts w:ascii="宋体" w:hAnsi="宋体"/>
          <w:iCs/>
          <w:kern w:val="0"/>
          <w:szCs w:val="21"/>
        </w:rPr>
      </w:pPr>
      <w:r>
        <w:rPr>
          <w:rFonts w:hint="eastAsia" w:ascii="宋体" w:hAnsi="宋体"/>
          <w:b w:val="0"/>
          <w:bCs w:val="0"/>
          <w:color w:val="auto"/>
          <w:sz w:val="21"/>
          <w:szCs w:val="21"/>
          <w:highlight w:val="none"/>
          <w:lang w:val="en-US" w:eastAsia="zh-CN"/>
        </w:rPr>
        <w:t>注：提供第三章评标办法前附表商务部分要求提供的证明材料，格式自拟。</w:t>
      </w:r>
    </w:p>
    <w:p w14:paraId="76DFA8B7">
      <w:pPr>
        <w:widowControl/>
        <w:jc w:val="left"/>
        <w:rPr>
          <w:rFonts w:ascii="宋体" w:hAnsi="宋体"/>
          <w:iCs/>
          <w:kern w:val="0"/>
          <w:szCs w:val="21"/>
        </w:rPr>
      </w:pPr>
      <w:r>
        <w:rPr>
          <w:rFonts w:ascii="宋体" w:hAnsi="宋体"/>
          <w:iCs/>
          <w:kern w:val="0"/>
          <w:szCs w:val="21"/>
        </w:rPr>
        <w:br w:type="page"/>
      </w:r>
    </w:p>
    <w:p w14:paraId="27E18C55">
      <w:pPr>
        <w:pStyle w:val="3"/>
        <w:spacing w:line="360" w:lineRule="auto"/>
        <w:jc w:val="center"/>
        <w:rPr>
          <w:rFonts w:ascii="宋体" w:hAnsi="宋体"/>
          <w:b w:val="0"/>
          <w:bCs w:val="0"/>
          <w:sz w:val="44"/>
          <w:szCs w:val="44"/>
        </w:rPr>
      </w:pPr>
      <w:bookmarkStart w:id="1049" w:name="_Toc430530536"/>
      <w:bookmarkStart w:id="1050" w:name="_Toc19633"/>
      <w:bookmarkStart w:id="1051" w:name="_Toc224103502"/>
      <w:bookmarkStart w:id="1052" w:name="_Toc287620821"/>
      <w:bookmarkStart w:id="1053" w:name="_Toc287607874"/>
      <w:r>
        <w:rPr>
          <w:rFonts w:hint="eastAsia" w:ascii="宋体" w:hAnsi="宋体"/>
          <w:b w:val="0"/>
          <w:bCs w:val="0"/>
          <w:sz w:val="44"/>
          <w:szCs w:val="44"/>
        </w:rPr>
        <w:t>三、技术部分</w:t>
      </w:r>
      <w:bookmarkEnd w:id="1049"/>
      <w:bookmarkEnd w:id="1050"/>
      <w:bookmarkEnd w:id="1051"/>
    </w:p>
    <w:bookmarkEnd w:id="1052"/>
    <w:bookmarkEnd w:id="1053"/>
    <w:p w14:paraId="7D9561BB">
      <w:pPr>
        <w:autoSpaceDE w:val="0"/>
        <w:autoSpaceDN w:val="0"/>
        <w:adjustRightInd w:val="0"/>
        <w:snapToGrid w:val="0"/>
        <w:spacing w:line="360" w:lineRule="auto"/>
        <w:ind w:firstLine="472" w:firstLineChars="196"/>
        <w:jc w:val="center"/>
        <w:rPr>
          <w:rFonts w:ascii="宋体" w:hAnsi="宋体"/>
          <w:b/>
          <w:snapToGrid w:val="0"/>
          <w:kern w:val="0"/>
          <w:sz w:val="24"/>
        </w:rPr>
      </w:pPr>
      <w:r>
        <w:rPr>
          <w:rFonts w:hint="eastAsia" w:ascii="宋体" w:hAnsi="宋体"/>
          <w:b/>
          <w:snapToGrid w:val="0"/>
          <w:kern w:val="0"/>
          <w:sz w:val="24"/>
          <w:lang w:eastAsia="zh-CN"/>
        </w:rPr>
        <w:t>（</w:t>
      </w:r>
      <w:r>
        <w:rPr>
          <w:rFonts w:hint="eastAsia" w:ascii="宋体" w:hAnsi="宋体"/>
          <w:b/>
          <w:snapToGrid w:val="0"/>
          <w:kern w:val="0"/>
          <w:sz w:val="24"/>
        </w:rPr>
        <w:t>投标人应根据招标文件</w:t>
      </w:r>
      <w:r>
        <w:rPr>
          <w:rFonts w:hint="eastAsia" w:ascii="宋体" w:hAnsi="宋体"/>
          <w:b/>
          <w:snapToGrid w:val="0"/>
          <w:kern w:val="0"/>
          <w:sz w:val="24"/>
          <w:lang w:val="en-US" w:eastAsia="zh-CN"/>
        </w:rPr>
        <w:t>及第三章评标办法技术部分</w:t>
      </w:r>
      <w:r>
        <w:rPr>
          <w:rFonts w:hint="eastAsia" w:ascii="宋体" w:hAnsi="宋体"/>
          <w:b/>
          <w:snapToGrid w:val="0"/>
          <w:kern w:val="0"/>
          <w:sz w:val="24"/>
        </w:rPr>
        <w:t>的要求编制技术部分。</w:t>
      </w:r>
      <w:r>
        <w:rPr>
          <w:rFonts w:hint="eastAsia" w:ascii="宋体" w:hAnsi="宋体"/>
          <w:b/>
          <w:snapToGrid w:val="0"/>
          <w:kern w:val="0"/>
          <w:sz w:val="24"/>
          <w:lang w:val="en-US" w:eastAsia="zh-CN"/>
        </w:rPr>
        <w:t>格式自拟</w:t>
      </w:r>
      <w:r>
        <w:rPr>
          <w:rFonts w:hint="eastAsia" w:ascii="宋体" w:hAnsi="宋体"/>
          <w:b/>
          <w:snapToGrid w:val="0"/>
          <w:kern w:val="0"/>
          <w:sz w:val="24"/>
          <w:lang w:eastAsia="zh-CN"/>
        </w:rPr>
        <w:t>）</w:t>
      </w:r>
      <w:r>
        <mc:AlternateContent>
          <mc:Choice Requires="wps">
            <w:drawing>
              <wp:anchor distT="0" distB="0" distL="114300" distR="114300" simplePos="0" relativeHeight="251661312" behindDoc="0" locked="0" layoutInCell="1" allowOverlap="1">
                <wp:simplePos x="0" y="0"/>
                <wp:positionH relativeFrom="column">
                  <wp:posOffset>2541270</wp:posOffset>
                </wp:positionH>
                <wp:positionV relativeFrom="paragraph">
                  <wp:posOffset>8717280</wp:posOffset>
                </wp:positionV>
                <wp:extent cx="807720" cy="693420"/>
                <wp:effectExtent l="0" t="0" r="0" b="7620"/>
                <wp:wrapNone/>
                <wp:docPr id="4"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149858DF"/>
                        </w:txbxContent>
                      </wps:txbx>
                      <wps:bodyPr wrap="square" upright="1"/>
                    </wps:wsp>
                  </a:graphicData>
                </a:graphic>
              </wp:anchor>
            </w:drawing>
          </mc:Choice>
          <mc:Fallback>
            <w:pict>
              <v:rect id="矩形 113" o:spid="_x0000_s1026" o:spt="1" style="position:absolute;left:0pt;margin-left:200.1pt;margin-top:686.4pt;height:54.6pt;width:63.6pt;z-index:251661312;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AtDcqrwQEAAHkDAAAOAAAAAAAAAAEAIAAAACkBAABkcnMvZTJv&#10;RG9jLnhtbFBLBQYAAAAABgAGAFkBAABcBQAAAAA=&#10;">
                <v:fill on="t" focussize="0,0"/>
                <v:stroke on="f"/>
                <v:imagedata o:title=""/>
                <o:lock v:ext="edit" aspectratio="f"/>
                <v:textbox>
                  <w:txbxContent>
                    <w:p w14:paraId="149858DF"/>
                  </w:txbxContent>
                </v:textbox>
              </v:rect>
            </w:pict>
          </mc:Fallback>
        </mc:AlternateContent>
      </w:r>
    </w:p>
    <w:p w14:paraId="79B2C975">
      <w:pPr>
        <w:pStyle w:val="17"/>
        <w:jc w:val="center"/>
      </w:pPr>
    </w:p>
    <w:p w14:paraId="2A6A5EAE">
      <w:pPr>
        <w:autoSpaceDE w:val="0"/>
        <w:autoSpaceDN w:val="0"/>
        <w:adjustRightInd w:val="0"/>
        <w:snapToGrid w:val="0"/>
        <w:spacing w:line="360" w:lineRule="auto"/>
        <w:ind w:firstLine="411" w:firstLineChars="196"/>
        <w:rPr>
          <w:rFonts w:ascii="宋体" w:hAnsi="宋体"/>
          <w:b/>
          <w:snapToGrid w:val="0"/>
          <w:kern w:val="0"/>
          <w:sz w:val="24"/>
        </w:rPr>
      </w:pPr>
      <w:r>
        <mc:AlternateContent>
          <mc:Choice Requires="wps">
            <w:drawing>
              <wp:anchor distT="0" distB="0" distL="114300" distR="114300" simplePos="0" relativeHeight="251659264" behindDoc="0" locked="0" layoutInCell="1" allowOverlap="1">
                <wp:simplePos x="0" y="0"/>
                <wp:positionH relativeFrom="column">
                  <wp:posOffset>2541270</wp:posOffset>
                </wp:positionH>
                <wp:positionV relativeFrom="paragraph">
                  <wp:posOffset>8717280</wp:posOffset>
                </wp:positionV>
                <wp:extent cx="807720" cy="693420"/>
                <wp:effectExtent l="0" t="0" r="11430" b="11430"/>
                <wp:wrapNone/>
                <wp:docPr id="3" name="矩形 113"/>
                <wp:cNvGraphicFramePr/>
                <a:graphic xmlns:a="http://schemas.openxmlformats.org/drawingml/2006/main">
                  <a:graphicData uri="http://schemas.microsoft.com/office/word/2010/wordprocessingShape">
                    <wps:wsp>
                      <wps:cNvSpPr/>
                      <wps:spPr>
                        <a:xfrm>
                          <a:off x="0" y="0"/>
                          <a:ext cx="807720" cy="693420"/>
                        </a:xfrm>
                        <a:prstGeom prst="rect">
                          <a:avLst/>
                        </a:prstGeom>
                        <a:solidFill>
                          <a:srgbClr val="FFFFFF"/>
                        </a:solidFill>
                        <a:ln>
                          <a:noFill/>
                        </a:ln>
                      </wps:spPr>
                      <wps:txbx>
                        <w:txbxContent>
                          <w:p w14:paraId="76723E3B"/>
                        </w:txbxContent>
                      </wps:txbx>
                      <wps:bodyPr wrap="square" upright="1"/>
                    </wps:wsp>
                  </a:graphicData>
                </a:graphic>
              </wp:anchor>
            </w:drawing>
          </mc:Choice>
          <mc:Fallback>
            <w:pict>
              <v:rect id="矩形 113" o:spid="_x0000_s1026" o:spt="1" style="position:absolute;left:0pt;margin-left:200.1pt;margin-top:686.4pt;height:54.6pt;width:63.6pt;z-index:251659264;mso-width-relative:page;mso-height-relative:page;" fillcolor="#FFFFFF" filled="t" stroked="f" coordsize="21600,21600" o:gfxdata="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CS8a1XaAAAADQEAAA8AAAAAAAAAAQAgAAAAIgAAAGRycy9kb3ducmV2&#10;LnhtbFBLAQIUABQAAAAIAIdO4kBH/BudwQEAAHkDAAAOAAAAAAAAAAEAIAAAACkBAABkcnMvZTJv&#10;RG9jLnhtbFBLBQYAAAAABgAGAFkBAABcBQAAAAA=&#10;">
                <v:fill on="t" focussize="0,0"/>
                <v:stroke on="f"/>
                <v:imagedata o:title=""/>
                <o:lock v:ext="edit" aspectratio="f"/>
                <v:textbox>
                  <w:txbxContent>
                    <w:p w14:paraId="76723E3B"/>
                  </w:txbxContent>
                </v:textbox>
              </v:rect>
            </w:pict>
          </mc:Fallback>
        </mc:AlternateContent>
      </w:r>
    </w:p>
    <w:p w14:paraId="3D38553F">
      <w:pPr>
        <w:autoSpaceDE w:val="0"/>
        <w:autoSpaceDN w:val="0"/>
        <w:adjustRightInd w:val="0"/>
        <w:snapToGrid w:val="0"/>
        <w:spacing w:line="360" w:lineRule="auto"/>
        <w:jc w:val="center"/>
        <w:rPr>
          <w:rFonts w:ascii="宋体" w:hAnsi="宋体"/>
          <w:kern w:val="0"/>
          <w:sz w:val="24"/>
        </w:rPr>
      </w:pPr>
      <w:r>
        <w:rPr>
          <w:rFonts w:ascii="宋体" w:hAnsi="宋体"/>
          <w:kern w:val="0"/>
          <w:sz w:val="24"/>
        </w:rPr>
        <w:br w:type="page"/>
      </w:r>
    </w:p>
    <w:p w14:paraId="651C615A">
      <w:pPr>
        <w:autoSpaceDE w:val="0"/>
        <w:autoSpaceDN w:val="0"/>
        <w:adjustRightInd w:val="0"/>
        <w:snapToGrid w:val="0"/>
        <w:spacing w:line="360" w:lineRule="auto"/>
        <w:jc w:val="left"/>
        <w:rPr>
          <w:rFonts w:ascii="宋体" w:hAnsi="宋体"/>
          <w:kern w:val="0"/>
          <w:sz w:val="24"/>
          <w:szCs w:val="21"/>
        </w:rPr>
      </w:pPr>
    </w:p>
    <w:p w14:paraId="17AF8317">
      <w:pPr>
        <w:autoSpaceDE w:val="0"/>
        <w:autoSpaceDN w:val="0"/>
        <w:adjustRightInd w:val="0"/>
        <w:snapToGrid w:val="0"/>
        <w:spacing w:line="360" w:lineRule="auto"/>
        <w:jc w:val="center"/>
        <w:rPr>
          <w:rFonts w:ascii="宋体" w:hAnsi="宋体"/>
          <w:kern w:val="0"/>
          <w:sz w:val="32"/>
          <w:szCs w:val="32"/>
        </w:rPr>
      </w:pPr>
      <w:r>
        <w:rPr>
          <w:rFonts w:hint="eastAsia" w:ascii="宋体" w:hAnsi="宋体"/>
          <w:kern w:val="0"/>
          <w:sz w:val="36"/>
          <w:szCs w:val="36"/>
        </w:rPr>
        <w:t>目  录</w:t>
      </w:r>
    </w:p>
    <w:p w14:paraId="440C86C9">
      <w:pPr>
        <w:autoSpaceDE w:val="0"/>
        <w:autoSpaceDN w:val="0"/>
        <w:adjustRightInd w:val="0"/>
        <w:snapToGrid w:val="0"/>
        <w:spacing w:line="360" w:lineRule="auto"/>
        <w:jc w:val="left"/>
        <w:rPr>
          <w:rFonts w:ascii="宋体" w:hAnsi="宋体"/>
          <w:kern w:val="0"/>
          <w:sz w:val="32"/>
          <w:szCs w:val="32"/>
        </w:rPr>
      </w:pPr>
    </w:p>
    <w:p w14:paraId="20B478D7">
      <w:pPr>
        <w:autoSpaceDE w:val="0"/>
        <w:autoSpaceDN w:val="0"/>
        <w:adjustRightInd w:val="0"/>
        <w:snapToGrid w:val="0"/>
        <w:spacing w:line="360" w:lineRule="auto"/>
        <w:jc w:val="center"/>
        <w:rPr>
          <w:rFonts w:ascii="宋体" w:hAnsi="宋体"/>
          <w:kern w:val="0"/>
          <w:szCs w:val="21"/>
        </w:rPr>
      </w:pPr>
      <w:r>
        <w:rPr>
          <w:rFonts w:hint="eastAsia" w:ascii="宋体" w:hAnsi="宋体"/>
          <w:kern w:val="0"/>
          <w:szCs w:val="21"/>
          <w:lang w:eastAsia="zh-CN"/>
        </w:rPr>
        <w:t>（</w:t>
      </w:r>
      <w:r>
        <w:rPr>
          <w:rFonts w:hint="eastAsia" w:ascii="宋体" w:hAnsi="宋体"/>
          <w:kern w:val="0"/>
          <w:szCs w:val="21"/>
          <w:lang w:val="en-US" w:eastAsia="zh-CN"/>
        </w:rPr>
        <w:t>注：</w:t>
      </w:r>
      <w:r>
        <w:rPr>
          <w:rFonts w:ascii="宋体" w:hAnsi="宋体"/>
          <w:kern w:val="0"/>
          <w:szCs w:val="21"/>
        </w:rPr>
        <w:t>目录由投标人自行编制</w:t>
      </w:r>
      <w:r>
        <w:rPr>
          <w:rFonts w:hint="eastAsia" w:ascii="宋体" w:hAnsi="宋体"/>
          <w:kern w:val="0"/>
          <w:szCs w:val="21"/>
          <w:lang w:eastAsia="zh-CN"/>
        </w:rPr>
        <w:t>，</w:t>
      </w:r>
      <w:r>
        <w:rPr>
          <w:rFonts w:hint="eastAsia" w:ascii="宋体" w:hAnsi="宋体"/>
          <w:kern w:val="0"/>
          <w:szCs w:val="21"/>
          <w:lang w:val="en-US" w:eastAsia="zh-CN"/>
        </w:rPr>
        <w:t>格式自拟</w:t>
      </w:r>
      <w:r>
        <w:rPr>
          <w:rFonts w:hint="eastAsia" w:ascii="宋体" w:hAnsi="宋体"/>
          <w:kern w:val="0"/>
          <w:szCs w:val="21"/>
          <w:lang w:eastAsia="zh-CN"/>
        </w:rPr>
        <w:t>）</w:t>
      </w:r>
    </w:p>
    <w:p w14:paraId="6A80F2CE">
      <w:pPr>
        <w:tabs>
          <w:tab w:val="left" w:pos="1700"/>
        </w:tabs>
        <w:autoSpaceDE w:val="0"/>
        <w:autoSpaceDN w:val="0"/>
        <w:adjustRightInd w:val="0"/>
        <w:snapToGrid w:val="0"/>
        <w:spacing w:line="360" w:lineRule="auto"/>
        <w:ind w:firstLine="840" w:firstLineChars="400"/>
        <w:jc w:val="left"/>
        <w:rPr>
          <w:rFonts w:ascii="宋体" w:hAnsi="宋体"/>
          <w:sz w:val="36"/>
          <w:szCs w:val="36"/>
        </w:rPr>
      </w:pPr>
      <w:r>
        <w:br w:type="page"/>
      </w:r>
      <w:r>
        <w:rPr>
          <w:rFonts w:ascii="宋体" w:hAnsi="宋体"/>
          <w:kern w:val="0"/>
          <w:sz w:val="24"/>
        </w:rPr>
        <w:t xml:space="preserve"> </w:t>
      </w:r>
    </w:p>
    <w:p w14:paraId="1A1C65B2">
      <w:pPr>
        <w:pStyle w:val="3"/>
        <w:spacing w:line="360" w:lineRule="auto"/>
        <w:jc w:val="center"/>
        <w:rPr>
          <w:rFonts w:ascii="宋体" w:hAnsi="宋体"/>
          <w:b w:val="0"/>
          <w:bCs w:val="0"/>
          <w:sz w:val="44"/>
          <w:szCs w:val="44"/>
        </w:rPr>
      </w:pPr>
      <w:bookmarkStart w:id="1054" w:name="_Toc287620829"/>
      <w:bookmarkStart w:id="1055" w:name="_Toc277082656"/>
      <w:bookmarkStart w:id="1056" w:name="_Toc224103510"/>
      <w:bookmarkStart w:id="1057" w:name="_Toc287607882"/>
      <w:bookmarkStart w:id="1058" w:name="_Toc430530545"/>
      <w:bookmarkStart w:id="1059" w:name="_Toc20575"/>
      <w:r>
        <w:rPr>
          <w:rFonts w:hint="eastAsia" w:ascii="宋体" w:hAnsi="宋体"/>
          <w:b w:val="0"/>
          <w:bCs w:val="0"/>
          <w:sz w:val="44"/>
          <w:szCs w:val="44"/>
        </w:rPr>
        <w:t>四、</w:t>
      </w:r>
      <w:bookmarkEnd w:id="1054"/>
      <w:bookmarkEnd w:id="1055"/>
      <w:bookmarkEnd w:id="1056"/>
      <w:bookmarkEnd w:id="1057"/>
      <w:bookmarkEnd w:id="1058"/>
      <w:r>
        <w:rPr>
          <w:rFonts w:hint="eastAsia" w:ascii="宋体" w:hAnsi="宋体"/>
          <w:b w:val="0"/>
          <w:bCs w:val="0"/>
          <w:sz w:val="44"/>
          <w:szCs w:val="44"/>
        </w:rPr>
        <w:t>资格审查部分</w:t>
      </w:r>
      <w:bookmarkEnd w:id="1059"/>
    </w:p>
    <w:p w14:paraId="0D56AB8C">
      <w:pPr>
        <w:spacing w:line="360" w:lineRule="auto"/>
        <w:jc w:val="center"/>
        <w:rPr>
          <w:rFonts w:ascii="宋体" w:hAnsi="宋体"/>
          <w:kern w:val="0"/>
          <w:sz w:val="32"/>
          <w:szCs w:val="32"/>
        </w:rPr>
      </w:pPr>
      <w:r>
        <w:rPr>
          <w:rFonts w:ascii="宋体" w:hAnsi="宋体"/>
          <w:sz w:val="32"/>
          <w:szCs w:val="32"/>
        </w:rPr>
        <w:br w:type="page"/>
      </w:r>
      <w:r>
        <w:rPr>
          <w:rFonts w:hint="eastAsia" w:ascii="宋体" w:hAnsi="宋体"/>
          <w:kern w:val="0"/>
          <w:sz w:val="32"/>
          <w:szCs w:val="32"/>
          <w:u w:val="single"/>
        </w:rPr>
        <w:t xml:space="preserve">                   （项目名称）</w:t>
      </w:r>
    </w:p>
    <w:p w14:paraId="11E67846">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43F55C83">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15EE4D16">
      <w:pPr>
        <w:tabs>
          <w:tab w:val="left" w:pos="3600"/>
          <w:tab w:val="left" w:pos="4480"/>
          <w:tab w:val="left" w:pos="5360"/>
        </w:tabs>
        <w:autoSpaceDE w:val="0"/>
        <w:autoSpaceDN w:val="0"/>
        <w:adjustRightInd w:val="0"/>
        <w:snapToGrid w:val="0"/>
        <w:spacing w:line="360" w:lineRule="auto"/>
        <w:jc w:val="left"/>
        <w:rPr>
          <w:rFonts w:ascii="宋体" w:hAnsi="宋体" w:cs="MingLiU"/>
          <w:kern w:val="0"/>
          <w:sz w:val="44"/>
          <w:szCs w:val="44"/>
        </w:rPr>
      </w:pPr>
    </w:p>
    <w:p w14:paraId="20064DD4">
      <w:pPr>
        <w:tabs>
          <w:tab w:val="left" w:pos="3600"/>
          <w:tab w:val="left" w:pos="4480"/>
          <w:tab w:val="left" w:pos="5360"/>
        </w:tabs>
        <w:autoSpaceDE w:val="0"/>
        <w:autoSpaceDN w:val="0"/>
        <w:adjustRightInd w:val="0"/>
        <w:snapToGrid w:val="0"/>
        <w:spacing w:line="360" w:lineRule="auto"/>
        <w:jc w:val="center"/>
        <w:rPr>
          <w:rFonts w:ascii="宋体" w:hAnsi="宋体"/>
          <w:kern w:val="0"/>
          <w:sz w:val="72"/>
          <w:szCs w:val="72"/>
        </w:rPr>
      </w:pPr>
      <w:r>
        <w:rPr>
          <w:rFonts w:hint="eastAsia" w:ascii="宋体" w:hAnsi="宋体"/>
          <w:kern w:val="0"/>
          <w:sz w:val="72"/>
          <w:szCs w:val="72"/>
        </w:rPr>
        <w:t>投 标 文 件</w:t>
      </w:r>
    </w:p>
    <w:p w14:paraId="3ED095BD">
      <w:pPr>
        <w:autoSpaceDE w:val="0"/>
        <w:autoSpaceDN w:val="0"/>
        <w:adjustRightInd w:val="0"/>
        <w:snapToGrid w:val="0"/>
        <w:spacing w:line="360" w:lineRule="auto"/>
        <w:jc w:val="left"/>
        <w:rPr>
          <w:rFonts w:ascii="宋体" w:hAnsi="宋体"/>
          <w:kern w:val="0"/>
          <w:sz w:val="16"/>
          <w:szCs w:val="16"/>
        </w:rPr>
      </w:pPr>
    </w:p>
    <w:p w14:paraId="2CDA7F8F">
      <w:pPr>
        <w:autoSpaceDE w:val="0"/>
        <w:autoSpaceDN w:val="0"/>
        <w:adjustRightInd w:val="0"/>
        <w:snapToGrid w:val="0"/>
        <w:spacing w:line="360" w:lineRule="auto"/>
        <w:jc w:val="center"/>
        <w:rPr>
          <w:rFonts w:ascii="宋体" w:hAnsi="宋体"/>
          <w:kern w:val="0"/>
          <w:sz w:val="36"/>
          <w:szCs w:val="36"/>
        </w:rPr>
      </w:pPr>
      <w:r>
        <w:rPr>
          <w:rFonts w:hint="eastAsia" w:ascii="宋体" w:hAnsi="宋体"/>
          <w:kern w:val="0"/>
          <w:sz w:val="36"/>
          <w:szCs w:val="36"/>
        </w:rPr>
        <w:t>资格审查部分</w:t>
      </w:r>
    </w:p>
    <w:p w14:paraId="54ED9B35">
      <w:pPr>
        <w:autoSpaceDE w:val="0"/>
        <w:autoSpaceDN w:val="0"/>
        <w:adjustRightInd w:val="0"/>
        <w:snapToGrid w:val="0"/>
        <w:spacing w:line="360" w:lineRule="auto"/>
        <w:jc w:val="left"/>
        <w:rPr>
          <w:rFonts w:ascii="宋体" w:hAnsi="宋体" w:cs="MingLiU"/>
          <w:kern w:val="0"/>
          <w:sz w:val="20"/>
          <w:szCs w:val="20"/>
        </w:rPr>
      </w:pPr>
    </w:p>
    <w:p w14:paraId="202BA76C">
      <w:pPr>
        <w:adjustRightInd w:val="0"/>
        <w:snapToGrid w:val="0"/>
        <w:spacing w:line="264" w:lineRule="auto"/>
        <w:rPr>
          <w:rFonts w:ascii="宋体" w:hAnsi="宋体"/>
          <w:szCs w:val="21"/>
        </w:rPr>
      </w:pPr>
    </w:p>
    <w:p w14:paraId="15779B8B">
      <w:pPr>
        <w:autoSpaceDE w:val="0"/>
        <w:autoSpaceDN w:val="0"/>
        <w:adjustRightInd w:val="0"/>
        <w:snapToGrid w:val="0"/>
        <w:spacing w:line="360" w:lineRule="auto"/>
        <w:jc w:val="left"/>
        <w:rPr>
          <w:rFonts w:ascii="宋体" w:hAnsi="宋体" w:cs="MingLiU"/>
          <w:kern w:val="0"/>
          <w:sz w:val="20"/>
          <w:szCs w:val="20"/>
        </w:rPr>
      </w:pPr>
    </w:p>
    <w:p w14:paraId="34CDAF98">
      <w:pPr>
        <w:autoSpaceDE w:val="0"/>
        <w:autoSpaceDN w:val="0"/>
        <w:adjustRightInd w:val="0"/>
        <w:snapToGrid w:val="0"/>
        <w:spacing w:line="360" w:lineRule="auto"/>
        <w:jc w:val="left"/>
        <w:rPr>
          <w:rFonts w:ascii="宋体" w:hAnsi="宋体" w:cs="MingLiU"/>
          <w:kern w:val="0"/>
          <w:sz w:val="20"/>
          <w:szCs w:val="20"/>
        </w:rPr>
      </w:pPr>
    </w:p>
    <w:p w14:paraId="2E650356">
      <w:pPr>
        <w:autoSpaceDE w:val="0"/>
        <w:autoSpaceDN w:val="0"/>
        <w:adjustRightInd w:val="0"/>
        <w:snapToGrid w:val="0"/>
        <w:spacing w:line="360" w:lineRule="auto"/>
        <w:jc w:val="left"/>
        <w:rPr>
          <w:rFonts w:ascii="宋体" w:hAnsi="宋体" w:cs="MingLiU"/>
          <w:kern w:val="0"/>
          <w:sz w:val="20"/>
          <w:szCs w:val="20"/>
        </w:rPr>
      </w:pPr>
    </w:p>
    <w:p w14:paraId="0B5E3344">
      <w:pPr>
        <w:autoSpaceDE w:val="0"/>
        <w:autoSpaceDN w:val="0"/>
        <w:adjustRightInd w:val="0"/>
        <w:snapToGrid w:val="0"/>
        <w:spacing w:line="360" w:lineRule="auto"/>
        <w:jc w:val="left"/>
        <w:rPr>
          <w:rFonts w:ascii="宋体" w:hAnsi="宋体" w:cs="MingLiU"/>
          <w:kern w:val="0"/>
          <w:sz w:val="20"/>
          <w:szCs w:val="20"/>
        </w:rPr>
      </w:pPr>
    </w:p>
    <w:p w14:paraId="14438E2D">
      <w:pPr>
        <w:autoSpaceDE w:val="0"/>
        <w:autoSpaceDN w:val="0"/>
        <w:adjustRightInd w:val="0"/>
        <w:snapToGrid w:val="0"/>
        <w:spacing w:line="360" w:lineRule="auto"/>
        <w:jc w:val="left"/>
        <w:rPr>
          <w:rFonts w:ascii="宋体" w:hAnsi="宋体" w:cs="MingLiU"/>
          <w:kern w:val="0"/>
          <w:sz w:val="20"/>
          <w:szCs w:val="20"/>
        </w:rPr>
      </w:pPr>
    </w:p>
    <w:p w14:paraId="2BCFEB64">
      <w:pPr>
        <w:autoSpaceDE w:val="0"/>
        <w:autoSpaceDN w:val="0"/>
        <w:adjustRightInd w:val="0"/>
        <w:snapToGrid w:val="0"/>
        <w:spacing w:line="360" w:lineRule="auto"/>
        <w:jc w:val="left"/>
        <w:rPr>
          <w:rFonts w:ascii="宋体" w:hAnsi="宋体" w:cs="MingLiU"/>
          <w:kern w:val="0"/>
          <w:sz w:val="20"/>
          <w:szCs w:val="20"/>
        </w:rPr>
      </w:pPr>
    </w:p>
    <w:p w14:paraId="19FC5B9D">
      <w:pPr>
        <w:autoSpaceDE w:val="0"/>
        <w:autoSpaceDN w:val="0"/>
        <w:adjustRightInd w:val="0"/>
        <w:snapToGrid w:val="0"/>
        <w:spacing w:line="360" w:lineRule="auto"/>
        <w:jc w:val="left"/>
        <w:rPr>
          <w:rFonts w:ascii="宋体" w:hAnsi="宋体" w:cs="MingLiU"/>
          <w:kern w:val="0"/>
          <w:sz w:val="20"/>
          <w:szCs w:val="20"/>
        </w:rPr>
      </w:pPr>
    </w:p>
    <w:p w14:paraId="69E302BD">
      <w:pPr>
        <w:autoSpaceDE w:val="0"/>
        <w:autoSpaceDN w:val="0"/>
        <w:adjustRightInd w:val="0"/>
        <w:snapToGrid w:val="0"/>
        <w:spacing w:line="360" w:lineRule="auto"/>
        <w:jc w:val="left"/>
        <w:rPr>
          <w:rFonts w:ascii="宋体" w:hAnsi="宋体" w:cs="MingLiU"/>
          <w:kern w:val="0"/>
          <w:sz w:val="20"/>
          <w:szCs w:val="20"/>
        </w:rPr>
      </w:pPr>
    </w:p>
    <w:p w14:paraId="7424B1B9">
      <w:pPr>
        <w:autoSpaceDE w:val="0"/>
        <w:autoSpaceDN w:val="0"/>
        <w:adjustRightInd w:val="0"/>
        <w:snapToGrid w:val="0"/>
        <w:spacing w:line="360" w:lineRule="auto"/>
        <w:jc w:val="left"/>
        <w:rPr>
          <w:rFonts w:ascii="宋体" w:hAnsi="宋体" w:cs="MingLiU"/>
          <w:kern w:val="0"/>
          <w:sz w:val="20"/>
          <w:szCs w:val="20"/>
        </w:rPr>
      </w:pPr>
    </w:p>
    <w:p w14:paraId="32AC7901">
      <w:pPr>
        <w:autoSpaceDE w:val="0"/>
        <w:autoSpaceDN w:val="0"/>
        <w:adjustRightInd w:val="0"/>
        <w:snapToGrid w:val="0"/>
        <w:spacing w:line="360" w:lineRule="auto"/>
        <w:jc w:val="left"/>
        <w:rPr>
          <w:rFonts w:ascii="宋体" w:hAnsi="宋体" w:cs="MingLiU"/>
          <w:kern w:val="0"/>
          <w:sz w:val="20"/>
          <w:szCs w:val="20"/>
        </w:rPr>
      </w:pPr>
    </w:p>
    <w:p w14:paraId="37A2B064">
      <w:pPr>
        <w:autoSpaceDE w:val="0"/>
        <w:autoSpaceDN w:val="0"/>
        <w:adjustRightInd w:val="0"/>
        <w:snapToGrid w:val="0"/>
        <w:spacing w:line="360" w:lineRule="auto"/>
        <w:jc w:val="left"/>
        <w:rPr>
          <w:rFonts w:ascii="宋体" w:hAnsi="宋体" w:cs="MingLiU"/>
          <w:kern w:val="0"/>
          <w:sz w:val="20"/>
          <w:szCs w:val="20"/>
        </w:rPr>
      </w:pPr>
    </w:p>
    <w:p w14:paraId="588332F0">
      <w:pPr>
        <w:autoSpaceDE w:val="0"/>
        <w:autoSpaceDN w:val="0"/>
        <w:adjustRightInd w:val="0"/>
        <w:snapToGrid w:val="0"/>
        <w:spacing w:line="360" w:lineRule="auto"/>
        <w:jc w:val="left"/>
        <w:rPr>
          <w:rFonts w:ascii="宋体" w:hAnsi="宋体" w:cs="MingLiU"/>
          <w:kern w:val="0"/>
          <w:sz w:val="20"/>
          <w:szCs w:val="20"/>
        </w:rPr>
      </w:pPr>
    </w:p>
    <w:p w14:paraId="695F9856">
      <w:pPr>
        <w:autoSpaceDE w:val="0"/>
        <w:autoSpaceDN w:val="0"/>
        <w:adjustRightInd w:val="0"/>
        <w:snapToGrid w:val="0"/>
        <w:spacing w:line="360" w:lineRule="auto"/>
        <w:jc w:val="left"/>
        <w:rPr>
          <w:rFonts w:ascii="宋体" w:hAnsi="宋体" w:cs="MingLiU"/>
          <w:kern w:val="0"/>
          <w:sz w:val="20"/>
          <w:szCs w:val="20"/>
        </w:rPr>
      </w:pPr>
    </w:p>
    <w:p w14:paraId="0E8391FE">
      <w:pPr>
        <w:tabs>
          <w:tab w:val="left" w:pos="6080"/>
          <w:tab w:val="left" w:pos="6640"/>
        </w:tabs>
        <w:autoSpaceDE w:val="0"/>
        <w:autoSpaceDN w:val="0"/>
        <w:adjustRightInd w:val="0"/>
        <w:snapToGrid w:val="0"/>
        <w:spacing w:line="480" w:lineRule="auto"/>
        <w:jc w:val="center"/>
        <w:rPr>
          <w:rFonts w:ascii="宋体" w:hAnsi="宋体"/>
          <w:w w:val="99"/>
          <w:kern w:val="0"/>
          <w:sz w:val="28"/>
          <w:szCs w:val="28"/>
        </w:rPr>
      </w:pPr>
      <w:r>
        <w:rPr>
          <w:rFonts w:ascii="宋体" w:hAnsi="宋体"/>
          <w:w w:val="99"/>
          <w:kern w:val="0"/>
          <w:sz w:val="28"/>
          <w:szCs w:val="28"/>
        </w:rPr>
        <w:t>投标人</w:t>
      </w:r>
      <w:r>
        <w:rPr>
          <w:rFonts w:ascii="宋体" w:hAnsi="宋体"/>
          <w:spacing w:val="1"/>
          <w:w w:val="99"/>
          <w:kern w:val="0"/>
          <w:sz w:val="28"/>
          <w:szCs w:val="28"/>
        </w:rPr>
        <w:t>：</w:t>
      </w:r>
      <w:r>
        <w:rPr>
          <w:rFonts w:ascii="宋体" w:hAnsi="宋体"/>
          <w:w w:val="198"/>
          <w:kern w:val="0"/>
          <w:sz w:val="28"/>
          <w:szCs w:val="28"/>
          <w:u w:val="single"/>
        </w:rPr>
        <w:t xml:space="preserve"> 　　 　　 　　</w:t>
      </w:r>
      <w:r>
        <w:rPr>
          <w:rFonts w:ascii="宋体" w:hAnsi="宋体"/>
          <w:w w:val="99"/>
          <w:kern w:val="0"/>
          <w:sz w:val="28"/>
          <w:szCs w:val="28"/>
        </w:rPr>
        <w:t>（盖单位法人章）</w:t>
      </w:r>
    </w:p>
    <w:p w14:paraId="770B3D24">
      <w:pPr>
        <w:tabs>
          <w:tab w:val="left" w:pos="6080"/>
          <w:tab w:val="left" w:pos="6640"/>
        </w:tabs>
        <w:autoSpaceDE w:val="0"/>
        <w:autoSpaceDN w:val="0"/>
        <w:adjustRightInd w:val="0"/>
        <w:snapToGrid w:val="0"/>
        <w:spacing w:line="480" w:lineRule="auto"/>
        <w:jc w:val="center"/>
        <w:rPr>
          <w:rFonts w:ascii="宋体" w:hAnsi="宋体"/>
          <w:kern w:val="0"/>
          <w:sz w:val="28"/>
          <w:szCs w:val="28"/>
        </w:rPr>
      </w:pPr>
      <w:r>
        <w:rPr>
          <w:rFonts w:ascii="宋体" w:hAnsi="宋体"/>
          <w:w w:val="99"/>
          <w:kern w:val="0"/>
          <w:sz w:val="28"/>
          <w:szCs w:val="28"/>
        </w:rPr>
        <w:t>法定代表人或其委托代理人：</w:t>
      </w:r>
      <w:r>
        <w:rPr>
          <w:rFonts w:ascii="宋体" w:hAnsi="宋体"/>
          <w:w w:val="198"/>
          <w:kern w:val="0"/>
          <w:sz w:val="28"/>
          <w:szCs w:val="28"/>
          <w:u w:val="single"/>
        </w:rPr>
        <w:t xml:space="preserve"> 　 　</w:t>
      </w:r>
      <w:r>
        <w:rPr>
          <w:rFonts w:ascii="宋体" w:hAnsi="宋体"/>
          <w:w w:val="99"/>
          <w:kern w:val="0"/>
          <w:sz w:val="28"/>
          <w:szCs w:val="28"/>
        </w:rPr>
        <w:t>（</w:t>
      </w:r>
      <w:r>
        <w:rPr>
          <w:rFonts w:hint="eastAsia" w:ascii="宋体" w:hAnsi="宋体"/>
          <w:w w:val="99"/>
          <w:kern w:val="0"/>
          <w:sz w:val="28"/>
          <w:szCs w:val="28"/>
        </w:rPr>
        <w:t>签名</w:t>
      </w:r>
      <w:r>
        <w:rPr>
          <w:rFonts w:ascii="宋体" w:hAnsi="宋体"/>
          <w:w w:val="99"/>
          <w:kern w:val="0"/>
          <w:sz w:val="28"/>
          <w:szCs w:val="28"/>
        </w:rPr>
        <w:t>或盖章）</w:t>
      </w:r>
    </w:p>
    <w:p w14:paraId="7A7309C8">
      <w:pPr>
        <w:tabs>
          <w:tab w:val="left" w:pos="3280"/>
          <w:tab w:val="left" w:pos="4680"/>
          <w:tab w:val="left" w:pos="6080"/>
        </w:tabs>
        <w:autoSpaceDE w:val="0"/>
        <w:autoSpaceDN w:val="0"/>
        <w:adjustRightInd w:val="0"/>
        <w:snapToGrid w:val="0"/>
        <w:spacing w:line="480" w:lineRule="auto"/>
        <w:jc w:val="center"/>
        <w:rPr>
          <w:rFonts w:ascii="宋体" w:hAnsi="宋体"/>
          <w:w w:val="99"/>
          <w:kern w:val="0"/>
          <w:sz w:val="28"/>
          <w:szCs w:val="28"/>
        </w:rPr>
      </w:pP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年</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月</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198"/>
          <w:kern w:val="0"/>
          <w:sz w:val="28"/>
          <w:szCs w:val="28"/>
          <w:u w:val="single"/>
        </w:rPr>
        <w:t xml:space="preserve"> </w:t>
      </w:r>
      <w:r>
        <w:rPr>
          <w:rFonts w:hint="eastAsia" w:ascii="宋体" w:hAnsi="宋体"/>
          <w:w w:val="198"/>
          <w:kern w:val="0"/>
          <w:sz w:val="28"/>
          <w:szCs w:val="28"/>
          <w:u w:val="single"/>
        </w:rPr>
        <w:t xml:space="preserve"> </w:t>
      </w:r>
      <w:r>
        <w:rPr>
          <w:rFonts w:ascii="宋体" w:hAnsi="宋体"/>
          <w:w w:val="99"/>
          <w:kern w:val="0"/>
          <w:sz w:val="28"/>
          <w:szCs w:val="28"/>
        </w:rPr>
        <w:t>日</w:t>
      </w:r>
    </w:p>
    <w:p w14:paraId="39A8742F">
      <w:pPr>
        <w:tabs>
          <w:tab w:val="left" w:pos="3280"/>
          <w:tab w:val="left" w:pos="4680"/>
          <w:tab w:val="left" w:pos="6080"/>
        </w:tabs>
        <w:autoSpaceDE w:val="0"/>
        <w:autoSpaceDN w:val="0"/>
        <w:adjustRightInd w:val="0"/>
        <w:snapToGrid w:val="0"/>
        <w:spacing w:line="480" w:lineRule="auto"/>
        <w:jc w:val="center"/>
        <w:rPr>
          <w:rFonts w:ascii="宋体" w:hAnsi="宋体"/>
          <w:b/>
          <w:kern w:val="0"/>
          <w:sz w:val="28"/>
          <w:szCs w:val="28"/>
        </w:rPr>
      </w:pPr>
      <w:r>
        <w:rPr>
          <w:rFonts w:ascii="宋体" w:hAnsi="宋体"/>
          <w:w w:val="99"/>
          <w:kern w:val="0"/>
          <w:sz w:val="28"/>
          <w:szCs w:val="28"/>
        </w:rPr>
        <w:br w:type="page"/>
      </w:r>
    </w:p>
    <w:p w14:paraId="2073756F">
      <w:pPr>
        <w:autoSpaceDE w:val="0"/>
        <w:autoSpaceDN w:val="0"/>
        <w:adjustRightInd w:val="0"/>
        <w:snapToGrid w:val="0"/>
        <w:jc w:val="center"/>
        <w:rPr>
          <w:rFonts w:ascii="宋体" w:hAnsi="宋体"/>
          <w:kern w:val="0"/>
          <w:sz w:val="36"/>
          <w:szCs w:val="36"/>
          <w:highlight w:val="none"/>
        </w:rPr>
      </w:pPr>
      <w:r>
        <w:rPr>
          <w:rFonts w:hint="eastAsia" w:ascii="宋体" w:hAnsi="宋体"/>
          <w:kern w:val="0"/>
          <w:sz w:val="36"/>
          <w:szCs w:val="36"/>
          <w:highlight w:val="none"/>
        </w:rPr>
        <w:t>目  录</w:t>
      </w:r>
    </w:p>
    <w:p w14:paraId="532D5B44">
      <w:pPr>
        <w:spacing w:line="360" w:lineRule="auto"/>
        <w:jc w:val="center"/>
        <w:rPr>
          <w:rFonts w:ascii="宋体" w:hAnsi="宋体"/>
          <w:b/>
          <w:kern w:val="0"/>
          <w:sz w:val="32"/>
          <w:szCs w:val="32"/>
          <w:highlight w:val="none"/>
        </w:rPr>
      </w:pPr>
    </w:p>
    <w:p w14:paraId="3808815A">
      <w:pPr>
        <w:autoSpaceDE w:val="0"/>
        <w:autoSpaceDN w:val="0"/>
        <w:adjustRightInd w:val="0"/>
        <w:snapToGrid w:val="0"/>
        <w:spacing w:line="360" w:lineRule="auto"/>
        <w:ind w:firstLine="420"/>
        <w:rPr>
          <w:rFonts w:ascii="宋体" w:hAnsi="宋体"/>
          <w:snapToGrid w:val="0"/>
          <w:highlight w:val="none"/>
        </w:rPr>
      </w:pPr>
      <w:r>
        <w:rPr>
          <w:rFonts w:hint="eastAsia" w:ascii="宋体" w:hAnsi="宋体"/>
          <w:snapToGrid w:val="0"/>
          <w:highlight w:val="none"/>
        </w:rPr>
        <w:t>（一）法定代表人身份证明或授权委托书</w:t>
      </w:r>
    </w:p>
    <w:p w14:paraId="620F945F">
      <w:pPr>
        <w:autoSpaceDE w:val="0"/>
        <w:autoSpaceDN w:val="0"/>
        <w:adjustRightInd w:val="0"/>
        <w:snapToGrid w:val="0"/>
        <w:spacing w:line="360" w:lineRule="auto"/>
        <w:ind w:firstLine="420"/>
        <w:rPr>
          <w:rFonts w:hint="eastAsia" w:ascii="宋体" w:hAnsi="宋体"/>
          <w:snapToGrid w:val="0"/>
          <w:highlight w:val="none"/>
        </w:rPr>
      </w:pPr>
      <w:r>
        <w:rPr>
          <w:rFonts w:hint="eastAsia" w:ascii="宋体" w:hAnsi="宋体"/>
          <w:snapToGrid w:val="0"/>
          <w:highlight w:val="none"/>
        </w:rPr>
        <w:t>（二）制造商资格声明</w:t>
      </w:r>
    </w:p>
    <w:p w14:paraId="375A003E">
      <w:pPr>
        <w:autoSpaceDE w:val="0"/>
        <w:autoSpaceDN w:val="0"/>
        <w:adjustRightInd w:val="0"/>
        <w:snapToGrid w:val="0"/>
        <w:spacing w:line="360" w:lineRule="auto"/>
        <w:ind w:firstLine="420"/>
        <w:rPr>
          <w:rFonts w:ascii="宋体" w:hAnsi="宋体"/>
          <w:snapToGrid w:val="0"/>
          <w:highlight w:val="none"/>
        </w:rPr>
      </w:pPr>
      <w:r>
        <w:rPr>
          <w:rFonts w:hint="eastAsia" w:ascii="宋体" w:hAnsi="宋体"/>
          <w:snapToGrid w:val="0"/>
          <w:highlight w:val="none"/>
        </w:rPr>
        <w:t>（三）承诺</w:t>
      </w:r>
    </w:p>
    <w:p w14:paraId="071A4053">
      <w:pPr>
        <w:autoSpaceDE w:val="0"/>
        <w:autoSpaceDN w:val="0"/>
        <w:adjustRightInd w:val="0"/>
        <w:snapToGrid w:val="0"/>
        <w:spacing w:line="360" w:lineRule="auto"/>
        <w:ind w:firstLine="420"/>
        <w:rPr>
          <w:rFonts w:ascii="宋体" w:hAnsi="宋体"/>
          <w:szCs w:val="21"/>
          <w:highlight w:val="none"/>
        </w:rPr>
      </w:pPr>
      <w:r>
        <w:rPr>
          <w:rFonts w:hint="eastAsia" w:ascii="宋体" w:hAnsi="宋体"/>
          <w:snapToGrid w:val="0"/>
          <w:highlight w:val="none"/>
        </w:rPr>
        <w:t>（</w:t>
      </w:r>
      <w:r>
        <w:rPr>
          <w:rFonts w:hint="eastAsia" w:ascii="宋体" w:hAnsi="宋体"/>
          <w:snapToGrid w:val="0"/>
          <w:highlight w:val="none"/>
          <w:lang w:val="en-US" w:eastAsia="zh-CN"/>
        </w:rPr>
        <w:t>四</w:t>
      </w:r>
      <w:r>
        <w:rPr>
          <w:rFonts w:hint="eastAsia" w:ascii="宋体" w:hAnsi="宋体"/>
          <w:snapToGrid w:val="0"/>
          <w:highlight w:val="none"/>
        </w:rPr>
        <w:t>）其他资料</w:t>
      </w:r>
    </w:p>
    <w:p w14:paraId="74910341">
      <w:pPr>
        <w:spacing w:line="360" w:lineRule="auto"/>
        <w:ind w:firstLine="420" w:firstLineChars="200"/>
      </w:pPr>
    </w:p>
    <w:p w14:paraId="0C471B41">
      <w:pPr>
        <w:spacing w:line="360" w:lineRule="auto"/>
        <w:jc w:val="center"/>
        <w:rPr>
          <w:rFonts w:ascii="宋体" w:hAnsi="宋体"/>
          <w:b/>
          <w:kern w:val="0"/>
          <w:sz w:val="32"/>
          <w:szCs w:val="32"/>
        </w:rPr>
      </w:pPr>
    </w:p>
    <w:p w14:paraId="1D790A87">
      <w:pPr>
        <w:spacing w:line="360" w:lineRule="auto"/>
        <w:jc w:val="center"/>
        <w:rPr>
          <w:rFonts w:ascii="宋体" w:hAnsi="宋体"/>
          <w:b/>
          <w:kern w:val="0"/>
          <w:sz w:val="32"/>
          <w:szCs w:val="32"/>
        </w:rPr>
      </w:pPr>
    </w:p>
    <w:p w14:paraId="3A85EE3D">
      <w:pPr>
        <w:pStyle w:val="4"/>
        <w:spacing w:before="0" w:after="0" w:line="240" w:lineRule="auto"/>
        <w:jc w:val="center"/>
        <w:rPr>
          <w:rFonts w:ascii="宋体" w:hAnsi="宋体"/>
          <w:sz w:val="30"/>
          <w:szCs w:val="30"/>
        </w:rPr>
      </w:pPr>
      <w:r>
        <w:rPr>
          <w:rFonts w:ascii="宋体" w:hAnsi="宋体"/>
        </w:rPr>
        <w:br w:type="page"/>
      </w:r>
      <w:bookmarkStart w:id="1060" w:name="_Toc26374"/>
      <w:bookmarkStart w:id="1061" w:name="_Toc287620830"/>
      <w:bookmarkStart w:id="1062" w:name="_Toc430530546"/>
      <w:bookmarkStart w:id="1063" w:name="_Toc287607883"/>
      <w:bookmarkStart w:id="1064" w:name="_Toc277082657"/>
      <w:bookmarkStart w:id="1065" w:name="_Toc224103511"/>
      <w:r>
        <w:rPr>
          <w:rFonts w:hint="eastAsia" w:ascii="宋体" w:hAnsi="宋体"/>
          <w:b w:val="0"/>
          <w:bCs w:val="0"/>
          <w:sz w:val="30"/>
          <w:szCs w:val="30"/>
        </w:rPr>
        <w:t>（一）法定代表人身份证明或授权委托书</w:t>
      </w:r>
      <w:bookmarkEnd w:id="1060"/>
      <w:bookmarkEnd w:id="1061"/>
      <w:bookmarkEnd w:id="1062"/>
      <w:bookmarkEnd w:id="1063"/>
      <w:bookmarkEnd w:id="1064"/>
      <w:bookmarkEnd w:id="1065"/>
    </w:p>
    <w:p w14:paraId="325E084F">
      <w:pPr>
        <w:spacing w:line="480" w:lineRule="auto"/>
        <w:jc w:val="center"/>
        <w:rPr>
          <w:rFonts w:ascii="宋体" w:hAnsi="宋体"/>
          <w:sz w:val="28"/>
        </w:rPr>
      </w:pPr>
    </w:p>
    <w:p w14:paraId="06958F85">
      <w:pPr>
        <w:spacing w:line="480" w:lineRule="auto"/>
        <w:jc w:val="center"/>
        <w:rPr>
          <w:rFonts w:ascii="宋体" w:hAnsi="宋体"/>
          <w:sz w:val="28"/>
        </w:rPr>
      </w:pPr>
      <w:r>
        <w:rPr>
          <w:rFonts w:hint="eastAsia" w:ascii="宋体" w:hAnsi="宋体"/>
          <w:sz w:val="28"/>
        </w:rPr>
        <w:t>法定代表人身份证明</w:t>
      </w:r>
    </w:p>
    <w:p w14:paraId="360C433A">
      <w:pPr>
        <w:spacing w:line="480" w:lineRule="auto"/>
        <w:jc w:val="center"/>
        <w:rPr>
          <w:rFonts w:ascii="宋体" w:hAnsi="宋体"/>
        </w:rPr>
      </w:pPr>
    </w:p>
    <w:p w14:paraId="296AC2C0">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投标人名称：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451B491B">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1E2D917">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0D22DB64">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2238876A">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F71FFA9">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（投标人名称）</w:t>
      </w:r>
      <w:r>
        <w:rPr>
          <w:rFonts w:ascii="宋体" w:hAnsi="宋体"/>
          <w:kern w:val="0"/>
          <w:szCs w:val="21"/>
        </w:rPr>
        <w:t>的法定代表人。</w:t>
      </w:r>
    </w:p>
    <w:p w14:paraId="1EEB94BA">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64721A05">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01111C59">
      <w:pPr>
        <w:autoSpaceDE w:val="0"/>
        <w:autoSpaceDN w:val="0"/>
        <w:adjustRightInd w:val="0"/>
        <w:snapToGrid w:val="0"/>
        <w:spacing w:line="360" w:lineRule="auto"/>
        <w:jc w:val="left"/>
        <w:rPr>
          <w:rFonts w:ascii="宋体" w:hAnsi="宋体"/>
          <w:szCs w:val="21"/>
        </w:rPr>
      </w:pPr>
    </w:p>
    <w:p w14:paraId="6B46312C">
      <w:pPr>
        <w:pStyle w:val="17"/>
        <w:spacing w:after="0" w:line="360" w:lineRule="auto"/>
        <w:rPr>
          <w:rFonts w:ascii="宋体" w:hAnsi="宋体"/>
          <w:szCs w:val="21"/>
        </w:rPr>
      </w:pPr>
    </w:p>
    <w:p w14:paraId="4B102478">
      <w:pPr>
        <w:pStyle w:val="17"/>
        <w:spacing w:after="0" w:line="360" w:lineRule="auto"/>
        <w:rPr>
          <w:rFonts w:ascii="宋体" w:hAnsi="宋体"/>
          <w:szCs w:val="21"/>
        </w:rPr>
      </w:pPr>
    </w:p>
    <w:p w14:paraId="4B48F227">
      <w:pPr>
        <w:pStyle w:val="17"/>
        <w:spacing w:after="0" w:line="360" w:lineRule="auto"/>
        <w:rPr>
          <w:rFonts w:ascii="宋体" w:hAnsi="宋体"/>
          <w:szCs w:val="21"/>
        </w:rPr>
      </w:pPr>
    </w:p>
    <w:p w14:paraId="53714B94">
      <w:pPr>
        <w:pStyle w:val="17"/>
        <w:spacing w:after="0" w:line="360" w:lineRule="auto"/>
        <w:rPr>
          <w:rFonts w:ascii="宋体" w:hAnsi="宋体"/>
          <w:szCs w:val="21"/>
        </w:rPr>
      </w:pPr>
    </w:p>
    <w:p w14:paraId="5279BF9F">
      <w:pPr>
        <w:autoSpaceDE w:val="0"/>
        <w:autoSpaceDN w:val="0"/>
        <w:adjustRightInd w:val="0"/>
        <w:snapToGrid w:val="0"/>
        <w:spacing w:line="480" w:lineRule="auto"/>
        <w:ind w:firstLine="420" w:firstLineChars="200"/>
        <w:jc w:val="right"/>
        <w:rPr>
          <w:rFonts w:ascii="宋体" w:hAnsi="宋体"/>
          <w:kern w:val="0"/>
          <w:szCs w:val="21"/>
        </w:rPr>
      </w:pPr>
      <w:r>
        <w:rPr>
          <w:rFonts w:ascii="宋体" w:hAnsi="宋体"/>
          <w:kern w:val="0"/>
          <w:szCs w:val="21"/>
        </w:rPr>
        <w:t>投标</w:t>
      </w:r>
      <w:r>
        <w:rPr>
          <w:rFonts w:ascii="宋体" w:hAnsi="宋体"/>
          <w:spacing w:val="-1"/>
          <w:kern w:val="0"/>
          <w:szCs w:val="21"/>
        </w:rPr>
        <w:t>人</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0A02290D">
      <w:pPr>
        <w:autoSpaceDE w:val="0"/>
        <w:autoSpaceDN w:val="0"/>
        <w:adjustRightInd w:val="0"/>
        <w:snapToGrid w:val="0"/>
        <w:spacing w:line="480" w:lineRule="auto"/>
        <w:jc w:val="left"/>
        <w:rPr>
          <w:rFonts w:ascii="宋体" w:hAnsi="宋体"/>
          <w:kern w:val="0"/>
          <w:sz w:val="20"/>
          <w:szCs w:val="20"/>
        </w:rPr>
      </w:pPr>
    </w:p>
    <w:p w14:paraId="5BBF6DC7">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087F555">
      <w:pPr>
        <w:autoSpaceDE w:val="0"/>
        <w:autoSpaceDN w:val="0"/>
        <w:adjustRightInd w:val="0"/>
        <w:snapToGrid w:val="0"/>
        <w:spacing w:line="360" w:lineRule="auto"/>
        <w:jc w:val="left"/>
        <w:rPr>
          <w:rFonts w:ascii="宋体" w:hAnsi="宋体"/>
          <w:kern w:val="0"/>
        </w:rPr>
      </w:pPr>
    </w:p>
    <w:p w14:paraId="464EEE18">
      <w:pPr>
        <w:autoSpaceDE w:val="0"/>
        <w:autoSpaceDN w:val="0"/>
        <w:adjustRightInd w:val="0"/>
        <w:snapToGrid w:val="0"/>
        <w:spacing w:line="360" w:lineRule="auto"/>
        <w:jc w:val="left"/>
        <w:rPr>
          <w:rFonts w:ascii="宋体" w:hAnsi="宋体"/>
          <w:kern w:val="0"/>
        </w:rPr>
      </w:pPr>
    </w:p>
    <w:p w14:paraId="2824FB39">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31CA4B8E">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194B7167">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617D7AA7">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0B05BC3B">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ascii="宋体" w:hAnsi="宋体"/>
          <w:spacing w:val="-1"/>
          <w:kern w:val="0"/>
          <w:szCs w:val="21"/>
          <w:u w:val="single"/>
        </w:rPr>
        <w:t>投</w:t>
      </w:r>
      <w:r>
        <w:rPr>
          <w:rFonts w:ascii="宋体" w:hAnsi="宋体"/>
          <w:kern w:val="0"/>
          <w:szCs w:val="21"/>
          <w:u w:val="single"/>
        </w:rPr>
        <w:t>标人名称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ascii="宋体" w:hAnsi="宋体"/>
          <w:kern w:val="0"/>
          <w:szCs w:val="21"/>
        </w:rPr>
        <w:t>投标文件、签订合同和处理有关事宜， 其法律后果由我方承担。</w:t>
      </w:r>
    </w:p>
    <w:p w14:paraId="5325782C">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280309E8">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57B7E22E">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p>
    <w:p w14:paraId="093CC632">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0CAEFA93">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4952341A">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0B23F9BD">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62BA9F6F">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68B9181B">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60B071DA">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5750AADC">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4B5235EB">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w w:val="200"/>
          <w:kern w:val="0"/>
          <w:szCs w:val="21"/>
          <w:u w:val="single"/>
        </w:rPr>
      </w:pPr>
    </w:p>
    <w:p w14:paraId="6EDD91CF">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54DF2BF">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49BCC382">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59AC381D">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3312A18F">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48C20E9E">
      <w:pPr>
        <w:tabs>
          <w:tab w:val="left" w:pos="4005"/>
          <w:tab w:val="left" w:pos="4100"/>
          <w:tab w:val="left" w:pos="5040"/>
        </w:tabs>
        <w:autoSpaceDE w:val="0"/>
        <w:autoSpaceDN w:val="0"/>
        <w:adjustRightInd w:val="0"/>
        <w:snapToGrid w:val="0"/>
        <w:spacing w:line="360" w:lineRule="auto"/>
        <w:ind w:firstLine="3780"/>
        <w:jc w:val="right"/>
        <w:rPr>
          <w:rFonts w:ascii="宋体" w:hAnsi="宋体"/>
          <w:kern w:val="0"/>
          <w:szCs w:val="21"/>
        </w:rPr>
      </w:pPr>
    </w:p>
    <w:p w14:paraId="0D13FDE6">
      <w:pPr>
        <w:tabs>
          <w:tab w:val="left" w:pos="5760"/>
        </w:tabs>
        <w:autoSpaceDE w:val="0"/>
        <w:autoSpaceDN w:val="0"/>
        <w:adjustRightInd w:val="0"/>
        <w:spacing w:line="360" w:lineRule="auto"/>
        <w:ind w:firstLine="420" w:firstLineChars="200"/>
        <w:rPr>
          <w:rFonts w:ascii="宋体" w:hAnsi="宋体"/>
          <w:kern w:val="0"/>
        </w:rPr>
      </w:pPr>
    </w:p>
    <w:p w14:paraId="75DAAB4C">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4003CC2A">
      <w:pPr>
        <w:autoSpaceDE w:val="0"/>
        <w:autoSpaceDN w:val="0"/>
        <w:adjustRightInd w:val="0"/>
        <w:snapToGrid w:val="0"/>
        <w:spacing w:line="360" w:lineRule="auto"/>
        <w:ind w:firstLine="420" w:firstLineChars="200"/>
        <w:rPr>
          <w:rFonts w:ascii="宋体" w:hAnsi="宋体"/>
        </w:r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1F80AAD2">
      <w:pPr>
        <w:autoSpaceDE w:val="0"/>
        <w:autoSpaceDN w:val="0"/>
        <w:adjustRightInd w:val="0"/>
        <w:snapToGrid w:val="0"/>
        <w:jc w:val="center"/>
        <w:rPr>
          <w:rFonts w:ascii="宋体" w:hAnsi="宋体"/>
        </w:rPr>
      </w:pPr>
      <w:r>
        <w:rPr>
          <w:rFonts w:ascii="宋体" w:hAnsi="宋体"/>
        </w:rPr>
        <w:br w:type="page"/>
      </w:r>
    </w:p>
    <w:p w14:paraId="640E845D">
      <w:pPr>
        <w:pStyle w:val="4"/>
        <w:spacing w:before="0" w:after="0" w:line="240" w:lineRule="auto"/>
        <w:jc w:val="center"/>
        <w:rPr>
          <w:rFonts w:ascii="宋体" w:hAnsi="宋体"/>
          <w:b w:val="0"/>
          <w:bCs w:val="0"/>
          <w:highlight w:val="none"/>
        </w:rPr>
      </w:pPr>
      <w:bookmarkStart w:id="1066" w:name="_Toc30311"/>
      <w:bookmarkStart w:id="1067" w:name="_Toc277082658"/>
      <w:bookmarkStart w:id="1068" w:name="_Toc224103512"/>
      <w:bookmarkStart w:id="1069" w:name="_Toc287620831"/>
      <w:bookmarkStart w:id="1070" w:name="_Toc430530547"/>
      <w:bookmarkStart w:id="1071" w:name="_Toc287607884"/>
      <w:r>
        <w:rPr>
          <w:rFonts w:hint="eastAsia" w:ascii="宋体" w:hAnsi="宋体"/>
          <w:b w:val="0"/>
          <w:bCs w:val="0"/>
          <w:highlight w:val="none"/>
        </w:rPr>
        <w:t>（二）</w:t>
      </w:r>
      <w:r>
        <w:rPr>
          <w:rFonts w:hint="eastAsia" w:ascii="宋体" w:hAnsi="宋体"/>
          <w:b w:val="0"/>
          <w:bCs w:val="0"/>
          <w:snapToGrid w:val="0"/>
          <w:highlight w:val="none"/>
        </w:rPr>
        <w:t>制造商资格声明</w:t>
      </w:r>
      <w:bookmarkEnd w:id="1066"/>
    </w:p>
    <w:p w14:paraId="50546024">
      <w:pPr>
        <w:pStyle w:val="17"/>
        <w:rPr>
          <w:highlight w:val="none"/>
        </w:rPr>
      </w:pPr>
    </w:p>
    <w:p w14:paraId="22231F8A">
      <w:pPr>
        <w:spacing w:before="149"/>
        <w:ind w:left="3280" w:right="3393"/>
        <w:jc w:val="center"/>
        <w:rPr>
          <w:sz w:val="28"/>
        </w:rPr>
      </w:pPr>
      <w:r>
        <w:rPr>
          <w:sz w:val="28"/>
        </w:rPr>
        <w:t>制造商资格声明</w:t>
      </w:r>
    </w:p>
    <w:p w14:paraId="1C9B0BE5">
      <w:pPr>
        <w:spacing w:line="360" w:lineRule="auto"/>
        <w:ind w:firstLine="420"/>
        <w:rPr>
          <w:rFonts w:ascii="宋体" w:hAnsi="宋体"/>
          <w:szCs w:val="21"/>
        </w:rPr>
      </w:pPr>
    </w:p>
    <w:p w14:paraId="546814D3">
      <w:pPr>
        <w:spacing w:line="360" w:lineRule="auto"/>
        <w:ind w:firstLine="420" w:firstLineChars="200"/>
        <w:rPr>
          <w:rFonts w:ascii="宋体" w:hAnsi="宋体"/>
          <w:kern w:val="0"/>
          <w:szCs w:val="21"/>
          <w:u w:val="single"/>
        </w:rPr>
      </w:pPr>
      <w:r>
        <w:rPr>
          <w:rFonts w:hint="eastAsia" w:ascii="宋体" w:hAnsi="宋体"/>
          <w:szCs w:val="21"/>
        </w:rPr>
        <w:t>1.制造商基本情况</w:t>
      </w:r>
    </w:p>
    <w:p w14:paraId="34B37394">
      <w:pPr>
        <w:spacing w:line="360" w:lineRule="auto"/>
        <w:ind w:firstLine="420" w:firstLineChars="200"/>
        <w:rPr>
          <w:rFonts w:ascii="宋体" w:hAnsi="宋体"/>
          <w:szCs w:val="21"/>
        </w:rPr>
      </w:pPr>
      <w:r>
        <w:rPr>
          <w:rFonts w:hint="eastAsia" w:ascii="宋体" w:hAnsi="宋体"/>
          <w:szCs w:val="21"/>
        </w:rPr>
        <w:t>制造商名称：</w:t>
      </w:r>
      <w:r>
        <w:rPr>
          <w:rFonts w:hint="eastAsia" w:ascii="宋体" w:hAnsi="宋体"/>
          <w:szCs w:val="21"/>
          <w:u w:val="single"/>
        </w:rPr>
        <w:t xml:space="preserve">                                  </w:t>
      </w:r>
      <w:r>
        <w:rPr>
          <w:rFonts w:hint="eastAsia" w:ascii="宋体" w:hAnsi="宋体"/>
          <w:szCs w:val="21"/>
        </w:rPr>
        <w:t>；</w:t>
      </w:r>
    </w:p>
    <w:p w14:paraId="614224F9">
      <w:pPr>
        <w:spacing w:line="360" w:lineRule="auto"/>
        <w:ind w:firstLine="420" w:firstLineChars="200"/>
        <w:rPr>
          <w:rFonts w:ascii="宋体" w:hAnsi="宋体"/>
          <w:szCs w:val="21"/>
        </w:rPr>
      </w:pPr>
      <w:r>
        <w:rPr>
          <w:rFonts w:hint="eastAsia" w:ascii="宋体" w:hAnsi="宋体"/>
          <w:szCs w:val="21"/>
        </w:rPr>
        <w:t>制造商地址：</w:t>
      </w:r>
      <w:r>
        <w:rPr>
          <w:rFonts w:hint="eastAsia" w:ascii="宋体" w:hAnsi="宋体"/>
          <w:szCs w:val="21"/>
          <w:u w:val="single"/>
        </w:rPr>
        <w:t xml:space="preserve">                                  </w:t>
      </w:r>
      <w:r>
        <w:rPr>
          <w:rFonts w:hint="eastAsia" w:ascii="宋体" w:hAnsi="宋体"/>
          <w:szCs w:val="21"/>
        </w:rPr>
        <w:t>；</w:t>
      </w:r>
    </w:p>
    <w:p w14:paraId="790456F5">
      <w:pPr>
        <w:spacing w:line="360" w:lineRule="auto"/>
        <w:ind w:firstLine="420" w:firstLineChars="200"/>
        <w:rPr>
          <w:rFonts w:ascii="宋体" w:hAnsi="宋体"/>
          <w:szCs w:val="21"/>
        </w:rPr>
      </w:pPr>
      <w:r>
        <w:rPr>
          <w:rFonts w:hint="eastAsia" w:ascii="宋体" w:hAnsi="宋体"/>
          <w:szCs w:val="21"/>
        </w:rPr>
        <w:t>成立和/或注册日期：</w:t>
      </w:r>
      <w:r>
        <w:rPr>
          <w:rFonts w:hint="eastAsia" w:ascii="宋体" w:hAnsi="宋体"/>
          <w:szCs w:val="21"/>
          <w:u w:val="single"/>
        </w:rPr>
        <w:t xml:space="preserve">                           </w:t>
      </w:r>
      <w:r>
        <w:rPr>
          <w:rFonts w:hint="eastAsia" w:ascii="宋体" w:hAnsi="宋体"/>
          <w:szCs w:val="21"/>
        </w:rPr>
        <w:t>；</w:t>
      </w:r>
    </w:p>
    <w:p w14:paraId="18ACD0DD">
      <w:pPr>
        <w:spacing w:line="360" w:lineRule="auto"/>
        <w:ind w:firstLine="420" w:firstLineChars="200"/>
        <w:rPr>
          <w:rFonts w:ascii="宋体" w:hAnsi="宋体"/>
          <w:szCs w:val="21"/>
        </w:rPr>
      </w:pPr>
      <w:r>
        <w:rPr>
          <w:rFonts w:hint="eastAsia" w:ascii="宋体" w:hAnsi="宋体"/>
          <w:szCs w:val="21"/>
        </w:rPr>
        <w:t>注册资金：</w:t>
      </w:r>
      <w:r>
        <w:rPr>
          <w:rFonts w:hint="eastAsia" w:ascii="宋体" w:hAnsi="宋体"/>
          <w:szCs w:val="21"/>
          <w:u w:val="single"/>
        </w:rPr>
        <w:t xml:space="preserve">                                    </w:t>
      </w:r>
      <w:r>
        <w:rPr>
          <w:rFonts w:hint="eastAsia" w:ascii="宋体" w:hAnsi="宋体"/>
          <w:szCs w:val="21"/>
        </w:rPr>
        <w:t>；</w:t>
      </w:r>
    </w:p>
    <w:p w14:paraId="703AEF85">
      <w:pPr>
        <w:spacing w:line="360" w:lineRule="auto"/>
        <w:ind w:firstLine="420" w:firstLineChars="200"/>
        <w:rPr>
          <w:rFonts w:ascii="宋体" w:hAnsi="宋体"/>
          <w:szCs w:val="21"/>
        </w:rPr>
      </w:pPr>
      <w:r>
        <w:rPr>
          <w:rFonts w:hint="eastAsia" w:ascii="宋体" w:hAnsi="宋体"/>
          <w:szCs w:val="21"/>
        </w:rPr>
        <w:t>近期资产负债表（从</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月至</w:t>
      </w:r>
      <w:r>
        <w:rPr>
          <w:rFonts w:hint="eastAsia" w:ascii="宋体" w:hAnsi="宋体"/>
          <w:szCs w:val="21"/>
          <w:u w:val="single"/>
        </w:rPr>
        <w:t xml:space="preserve">    </w:t>
      </w:r>
      <w:r>
        <w:rPr>
          <w:rFonts w:hint="eastAsia" w:ascii="宋体" w:hAnsi="宋体"/>
          <w:szCs w:val="21"/>
        </w:rPr>
        <w:t>年</w:t>
      </w:r>
      <w:r>
        <w:rPr>
          <w:rFonts w:hint="eastAsia" w:ascii="宋体" w:hAnsi="宋体"/>
          <w:szCs w:val="21"/>
          <w:u w:val="single"/>
        </w:rPr>
        <w:t xml:space="preserve">   </w:t>
      </w:r>
      <w:r>
        <w:rPr>
          <w:rFonts w:hint="eastAsia" w:ascii="宋体" w:hAnsi="宋体"/>
          <w:szCs w:val="21"/>
        </w:rPr>
        <w:t>月止 ）</w:t>
      </w:r>
    </w:p>
    <w:p w14:paraId="16106236">
      <w:pPr>
        <w:numPr>
          <w:ilvl w:val="255"/>
          <w:numId w:val="0"/>
        </w:numPr>
        <w:autoSpaceDE w:val="0"/>
        <w:autoSpaceDN w:val="0"/>
        <w:spacing w:line="360" w:lineRule="auto"/>
        <w:ind w:firstLine="420" w:firstLineChars="200"/>
        <w:rPr>
          <w:rFonts w:ascii="宋体" w:hAnsi="宋体"/>
          <w:szCs w:val="21"/>
          <w:u w:val="single"/>
        </w:rPr>
      </w:pPr>
      <w:r>
        <w:rPr>
          <w:rFonts w:hint="eastAsia" w:ascii="宋体" w:hAnsi="宋体"/>
          <w:kern w:val="0"/>
          <w:szCs w:val="21"/>
        </w:rPr>
        <w:t>a.固定资产</w:t>
      </w:r>
      <w:r>
        <w:rPr>
          <w:rFonts w:hint="eastAsia" w:ascii="宋体" w:hAnsi="宋体"/>
          <w:szCs w:val="21"/>
        </w:rPr>
        <w:t>：</w:t>
      </w:r>
      <w:r>
        <w:rPr>
          <w:rFonts w:hint="eastAsia" w:ascii="宋体" w:hAnsi="宋体"/>
          <w:szCs w:val="21"/>
          <w:u w:val="single"/>
        </w:rPr>
        <w:t xml:space="preserve">                                  </w:t>
      </w:r>
      <w:r>
        <w:rPr>
          <w:rFonts w:hint="eastAsia" w:ascii="宋体" w:hAnsi="宋体"/>
          <w:szCs w:val="21"/>
        </w:rPr>
        <w:t>；</w:t>
      </w:r>
    </w:p>
    <w:p w14:paraId="1162DF6A">
      <w:pPr>
        <w:numPr>
          <w:ilvl w:val="255"/>
          <w:numId w:val="0"/>
        </w:numPr>
        <w:autoSpaceDE w:val="0"/>
        <w:autoSpaceDN w:val="0"/>
        <w:spacing w:line="360" w:lineRule="auto"/>
        <w:ind w:firstLine="420" w:firstLineChars="200"/>
        <w:rPr>
          <w:rFonts w:ascii="宋体" w:hAnsi="宋体"/>
          <w:szCs w:val="21"/>
        </w:rPr>
      </w:pPr>
      <w:r>
        <w:rPr>
          <w:rFonts w:hint="eastAsia" w:ascii="宋体" w:hAnsi="宋体"/>
          <w:kern w:val="0"/>
          <w:szCs w:val="21"/>
        </w:rPr>
        <w:t>b.流动资产：</w:t>
      </w:r>
      <w:r>
        <w:rPr>
          <w:rFonts w:hint="eastAsia" w:ascii="宋体" w:hAnsi="宋体"/>
          <w:szCs w:val="21"/>
          <w:u w:val="single"/>
        </w:rPr>
        <w:t xml:space="preserve">                                  </w:t>
      </w:r>
      <w:r>
        <w:rPr>
          <w:rFonts w:hint="eastAsia" w:ascii="宋体" w:hAnsi="宋体"/>
          <w:szCs w:val="21"/>
        </w:rPr>
        <w:t>；</w:t>
      </w:r>
    </w:p>
    <w:p w14:paraId="2C5BA9F3">
      <w:pPr>
        <w:spacing w:line="360" w:lineRule="auto"/>
        <w:ind w:firstLine="420" w:firstLineChars="200"/>
        <w:rPr>
          <w:rFonts w:ascii="宋体" w:hAnsi="宋体"/>
          <w:szCs w:val="21"/>
        </w:rPr>
      </w:pPr>
      <w:r>
        <w:rPr>
          <w:rFonts w:hint="eastAsia" w:ascii="宋体" w:hAnsi="宋体"/>
          <w:kern w:val="0"/>
          <w:szCs w:val="21"/>
        </w:rPr>
        <w:t>c.资产负债率：</w:t>
      </w:r>
      <w:r>
        <w:rPr>
          <w:rFonts w:hint="eastAsia" w:ascii="宋体" w:hAnsi="宋体"/>
          <w:szCs w:val="21"/>
          <w:u w:val="single"/>
        </w:rPr>
        <w:t xml:space="preserve">                                </w:t>
      </w:r>
      <w:r>
        <w:rPr>
          <w:rFonts w:hint="eastAsia" w:ascii="宋体" w:hAnsi="宋体"/>
          <w:szCs w:val="21"/>
        </w:rPr>
        <w:t>。</w:t>
      </w:r>
    </w:p>
    <w:p w14:paraId="1E8B2AE0">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2.制造商生产经营情况</w:t>
      </w:r>
    </w:p>
    <w:p w14:paraId="7F9C0000">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（1）近 3 年的年营业额：</w:t>
      </w:r>
      <w:r>
        <w:rPr>
          <w:rFonts w:hint="eastAsia" w:ascii="宋体" w:hAnsi="宋体"/>
          <w:szCs w:val="21"/>
          <w:u w:val="single"/>
        </w:rPr>
        <w:t xml:space="preserve">                              </w:t>
      </w:r>
      <w:r>
        <w:rPr>
          <w:rFonts w:hint="eastAsia" w:ascii="宋体" w:hAnsi="宋体"/>
          <w:szCs w:val="21"/>
        </w:rPr>
        <w:t>；</w:t>
      </w:r>
    </w:p>
    <w:p w14:paraId="3F6E30CF">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（2）投标产品年生产能力：</w:t>
      </w:r>
      <w:r>
        <w:rPr>
          <w:rFonts w:hint="eastAsia" w:ascii="宋体" w:hAnsi="宋体"/>
          <w:szCs w:val="21"/>
          <w:u w:val="single"/>
        </w:rPr>
        <w:t xml:space="preserve">                             </w:t>
      </w:r>
      <w:r>
        <w:rPr>
          <w:rFonts w:hint="eastAsia" w:ascii="宋体" w:hAnsi="宋体"/>
          <w:szCs w:val="21"/>
        </w:rPr>
        <w:t>；</w:t>
      </w:r>
    </w:p>
    <w:p w14:paraId="623D0742">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（3）投标产品年销售业绩：</w:t>
      </w:r>
      <w:r>
        <w:rPr>
          <w:rFonts w:hint="eastAsia" w:ascii="宋体" w:hAnsi="宋体"/>
          <w:szCs w:val="21"/>
          <w:u w:val="single"/>
        </w:rPr>
        <w:t xml:space="preserve">                             </w:t>
      </w:r>
      <w:r>
        <w:rPr>
          <w:rFonts w:hint="eastAsia" w:ascii="宋体" w:hAnsi="宋体"/>
          <w:szCs w:val="21"/>
        </w:rPr>
        <w:t>；</w:t>
      </w:r>
    </w:p>
    <w:p w14:paraId="4135CFCB">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a.主要客户名称：</w:t>
      </w:r>
      <w:r>
        <w:rPr>
          <w:rFonts w:hint="eastAsia" w:ascii="宋体" w:hAnsi="宋体"/>
          <w:szCs w:val="21"/>
          <w:u w:val="single"/>
        </w:rPr>
        <w:t xml:space="preserve">                            </w:t>
      </w:r>
      <w:r>
        <w:rPr>
          <w:rFonts w:hint="eastAsia" w:ascii="宋体" w:hAnsi="宋体"/>
          <w:szCs w:val="21"/>
        </w:rPr>
        <w:t>；</w:t>
      </w:r>
    </w:p>
    <w:p w14:paraId="33D22F77">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b.主要客户联系方式：</w:t>
      </w:r>
      <w:r>
        <w:rPr>
          <w:rFonts w:hint="eastAsia" w:ascii="宋体" w:hAnsi="宋体"/>
          <w:szCs w:val="21"/>
          <w:u w:val="single"/>
        </w:rPr>
        <w:t xml:space="preserve">                        </w:t>
      </w:r>
      <w:r>
        <w:rPr>
          <w:rFonts w:hint="eastAsia" w:ascii="宋体" w:hAnsi="宋体"/>
          <w:szCs w:val="21"/>
        </w:rPr>
        <w:t>；</w:t>
      </w:r>
    </w:p>
    <w:p w14:paraId="2645FA7D">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c.合同名称及合同号：</w:t>
      </w:r>
      <w:r>
        <w:rPr>
          <w:rFonts w:hint="eastAsia" w:ascii="宋体" w:hAnsi="宋体"/>
          <w:szCs w:val="21"/>
          <w:u w:val="single"/>
        </w:rPr>
        <w:t xml:space="preserve">                        </w:t>
      </w:r>
      <w:r>
        <w:rPr>
          <w:rFonts w:hint="eastAsia" w:ascii="宋体" w:hAnsi="宋体"/>
          <w:szCs w:val="21"/>
        </w:rPr>
        <w:t>。</w:t>
      </w:r>
    </w:p>
    <w:p w14:paraId="3B1ACC65">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兹证明上述声明是真实、正确的，并提供了全部能提供的资料和数据，我们同意遵照贵方要求出示有关证明文件。</w:t>
      </w:r>
    </w:p>
    <w:p w14:paraId="5FF43B31">
      <w:pPr>
        <w:autoSpaceDE w:val="0"/>
        <w:autoSpaceDN w:val="0"/>
        <w:adjustRightInd w:val="0"/>
        <w:spacing w:line="360" w:lineRule="auto"/>
        <w:ind w:firstLine="420" w:firstLineChars="200"/>
        <w:rPr>
          <w:rFonts w:ascii="宋体" w:hAnsi="宋体"/>
          <w:kern w:val="0"/>
          <w:szCs w:val="21"/>
        </w:rPr>
      </w:pPr>
    </w:p>
    <w:p w14:paraId="07AABD7D">
      <w:pPr>
        <w:pStyle w:val="17"/>
      </w:pPr>
    </w:p>
    <w:p w14:paraId="2DFCCFC0">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盖单位公章：</w:t>
      </w:r>
      <w:r>
        <w:rPr>
          <w:rFonts w:hint="eastAsia" w:ascii="宋体" w:hAnsi="宋体"/>
          <w:szCs w:val="21"/>
          <w:u w:val="single"/>
        </w:rPr>
        <w:t xml:space="preserve">                                      </w:t>
      </w:r>
    </w:p>
    <w:p w14:paraId="666F644E">
      <w:pPr>
        <w:autoSpaceDE w:val="0"/>
        <w:autoSpaceDN w:val="0"/>
        <w:adjustRightInd w:val="0"/>
        <w:spacing w:line="360" w:lineRule="auto"/>
        <w:ind w:firstLine="420" w:firstLineChars="200"/>
        <w:rPr>
          <w:rFonts w:ascii="宋体" w:hAnsi="宋体"/>
          <w:kern w:val="0"/>
          <w:szCs w:val="21"/>
        </w:rPr>
      </w:pPr>
      <w:r>
        <w:rPr>
          <w:rFonts w:hint="eastAsia" w:ascii="宋体" w:hAnsi="宋体" w:cs="宋体"/>
          <w:szCs w:val="21"/>
        </w:rPr>
        <w:t>法定代表人或授权委托人（签字）：</w:t>
      </w:r>
      <w:r>
        <w:rPr>
          <w:rFonts w:hint="eastAsia" w:ascii="宋体" w:hAnsi="宋体"/>
          <w:szCs w:val="21"/>
          <w:u w:val="single"/>
        </w:rPr>
        <w:t xml:space="preserve">                  </w:t>
      </w:r>
    </w:p>
    <w:p w14:paraId="773D48AB">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传       真 ：</w:t>
      </w:r>
      <w:r>
        <w:rPr>
          <w:rFonts w:hint="eastAsia" w:ascii="宋体" w:hAnsi="宋体"/>
          <w:szCs w:val="21"/>
          <w:u w:val="single"/>
        </w:rPr>
        <w:t xml:space="preserve">                                    </w:t>
      </w:r>
    </w:p>
    <w:p w14:paraId="5A491350">
      <w:pPr>
        <w:autoSpaceDE w:val="0"/>
        <w:autoSpaceDN w:val="0"/>
        <w:adjustRightInd w:val="0"/>
        <w:spacing w:line="360" w:lineRule="auto"/>
        <w:ind w:firstLine="420" w:firstLineChars="200"/>
        <w:rPr>
          <w:rFonts w:ascii="宋体" w:hAnsi="宋体"/>
          <w:kern w:val="0"/>
          <w:szCs w:val="21"/>
        </w:rPr>
      </w:pPr>
      <w:r>
        <w:rPr>
          <w:rFonts w:hint="eastAsia" w:ascii="宋体" w:hAnsi="宋体"/>
          <w:kern w:val="0"/>
          <w:szCs w:val="21"/>
        </w:rPr>
        <w:t>电       话：</w:t>
      </w:r>
      <w:r>
        <w:rPr>
          <w:rFonts w:hint="eastAsia" w:ascii="宋体" w:hAnsi="宋体"/>
          <w:szCs w:val="21"/>
          <w:u w:val="single"/>
        </w:rPr>
        <w:t xml:space="preserve">                                     </w:t>
      </w:r>
    </w:p>
    <w:p w14:paraId="4FB963C2">
      <w:pPr>
        <w:spacing w:line="360" w:lineRule="auto"/>
        <w:ind w:firstLine="420" w:firstLineChars="200"/>
        <w:rPr>
          <w:rFonts w:ascii="宋体" w:hAnsi="宋体"/>
          <w:kern w:val="0"/>
          <w:szCs w:val="21"/>
        </w:rPr>
      </w:pPr>
      <w:r>
        <w:rPr>
          <w:rFonts w:hint="eastAsia" w:ascii="宋体" w:hAnsi="宋体"/>
          <w:kern w:val="0"/>
          <w:szCs w:val="21"/>
        </w:rPr>
        <w:t>电 子 邮 件：</w:t>
      </w:r>
      <w:r>
        <w:rPr>
          <w:rFonts w:hint="eastAsia" w:ascii="宋体" w:hAnsi="宋体"/>
          <w:szCs w:val="21"/>
          <w:u w:val="single"/>
        </w:rPr>
        <w:t xml:space="preserve">                                     </w:t>
      </w:r>
    </w:p>
    <w:p w14:paraId="70B82758">
      <w:pPr>
        <w:spacing w:line="360" w:lineRule="auto"/>
        <w:ind w:firstLine="420" w:firstLineChars="200"/>
      </w:pPr>
      <w:r>
        <w:rPr>
          <w:rFonts w:hint="eastAsia" w:ascii="宋体" w:hAnsi="宋体"/>
          <w:kern w:val="0"/>
          <w:szCs w:val="21"/>
        </w:rPr>
        <w:t>签 字 日 期：</w:t>
      </w:r>
      <w:r>
        <w:rPr>
          <w:rFonts w:hint="eastAsia" w:ascii="宋体" w:hAnsi="宋体"/>
          <w:szCs w:val="21"/>
          <w:u w:val="single"/>
        </w:rPr>
        <w:t xml:space="preserve">                                  </w:t>
      </w:r>
      <w:r>
        <w:rPr>
          <w:rFonts w:hint="eastAsia" w:ascii="宋体" w:hAnsi="宋体"/>
          <w:sz w:val="24"/>
          <w:u w:val="single"/>
        </w:rPr>
        <w:t xml:space="preserve">   </w:t>
      </w:r>
    </w:p>
    <w:p w14:paraId="59715655">
      <w:r>
        <w:rPr>
          <w:rFonts w:hint="eastAsia"/>
        </w:rPr>
        <w:br w:type="page"/>
      </w:r>
    </w:p>
    <w:p w14:paraId="0E603041">
      <w:pPr>
        <w:rPr>
          <w:highlight w:val="yellow"/>
        </w:rPr>
      </w:pPr>
    </w:p>
    <w:bookmarkEnd w:id="1067"/>
    <w:bookmarkEnd w:id="1068"/>
    <w:bookmarkEnd w:id="1069"/>
    <w:bookmarkEnd w:id="1070"/>
    <w:bookmarkEnd w:id="1071"/>
    <w:p w14:paraId="362BAFB7">
      <w:pPr>
        <w:pStyle w:val="4"/>
        <w:spacing w:before="0" w:line="360" w:lineRule="auto"/>
        <w:jc w:val="center"/>
        <w:rPr>
          <w:rFonts w:ascii="宋体" w:hAnsi="宋体"/>
          <w:b w:val="0"/>
        </w:rPr>
      </w:pPr>
      <w:bookmarkStart w:id="1072" w:name="_Toc287607893"/>
      <w:bookmarkStart w:id="1073" w:name="_Toc534185843"/>
      <w:bookmarkStart w:id="1074" w:name="_Toc509218866"/>
      <w:bookmarkStart w:id="1075" w:name="_Toc430530552"/>
      <w:bookmarkStart w:id="1076" w:name="_Toc224103520"/>
      <w:bookmarkStart w:id="1077" w:name="_Toc277082663"/>
      <w:bookmarkStart w:id="1078" w:name="_Toc287620839"/>
      <w:bookmarkStart w:id="1079" w:name="_Toc25844"/>
      <w:r>
        <w:rPr>
          <w:rFonts w:ascii="宋体" w:hAnsi="宋体"/>
          <w:b w:val="0"/>
        </w:rPr>
        <w:t>（</w:t>
      </w:r>
      <w:r>
        <w:rPr>
          <w:rFonts w:hint="eastAsia" w:ascii="宋体" w:hAnsi="宋体"/>
          <w:b w:val="0"/>
          <w:lang w:val="en-US" w:eastAsia="zh-CN"/>
        </w:rPr>
        <w:t>三</w:t>
      </w:r>
      <w:r>
        <w:rPr>
          <w:rFonts w:ascii="宋体" w:hAnsi="宋体"/>
          <w:b w:val="0"/>
        </w:rPr>
        <w:t>）</w:t>
      </w:r>
      <w:bookmarkEnd w:id="1072"/>
      <w:bookmarkEnd w:id="1073"/>
      <w:bookmarkEnd w:id="1074"/>
      <w:bookmarkEnd w:id="1075"/>
      <w:bookmarkEnd w:id="1076"/>
      <w:bookmarkEnd w:id="1077"/>
      <w:bookmarkEnd w:id="1078"/>
      <w:r>
        <w:rPr>
          <w:rFonts w:hint="eastAsia" w:ascii="宋体" w:hAnsi="宋体"/>
          <w:b w:val="0"/>
        </w:rPr>
        <w:t>承诺</w:t>
      </w:r>
      <w:bookmarkEnd w:id="1079"/>
    </w:p>
    <w:p w14:paraId="6C465373">
      <w:pPr>
        <w:snapToGrid w:val="0"/>
        <w:spacing w:line="400" w:lineRule="exact"/>
        <w:rPr>
          <w:rFonts w:ascii="宋体" w:hAnsi="宋体"/>
          <w:szCs w:val="21"/>
          <w:u w:val="single"/>
        </w:rPr>
      </w:pPr>
      <w:r>
        <w:rPr>
          <w:rFonts w:hint="eastAsia" w:ascii="宋体" w:hAnsi="宋体"/>
          <w:szCs w:val="21"/>
          <w:u w:val="single"/>
        </w:rPr>
        <w:t xml:space="preserve">        （招标人名称）</w:t>
      </w:r>
      <w:r>
        <w:rPr>
          <w:rFonts w:hint="eastAsia" w:ascii="宋体" w:hAnsi="宋体"/>
          <w:szCs w:val="21"/>
        </w:rPr>
        <w:t>：</w:t>
      </w:r>
    </w:p>
    <w:p w14:paraId="769F0AC7">
      <w:pPr>
        <w:snapToGrid w:val="0"/>
        <w:spacing w:line="400" w:lineRule="exact"/>
        <w:ind w:firstLine="420" w:firstLineChars="200"/>
        <w:rPr>
          <w:rFonts w:ascii="宋体" w:hAnsi="宋体"/>
          <w:szCs w:val="21"/>
        </w:rPr>
      </w:pPr>
      <w:r>
        <w:rPr>
          <w:rFonts w:hint="eastAsia" w:ascii="宋体" w:hAnsi="宋体"/>
          <w:szCs w:val="21"/>
        </w:rPr>
        <w:t>我公司</w:t>
      </w:r>
      <w:r>
        <w:rPr>
          <w:rFonts w:hint="eastAsia" w:ascii="宋体" w:hAnsi="宋体"/>
          <w:szCs w:val="21"/>
          <w:u w:val="single"/>
        </w:rPr>
        <w:t xml:space="preserve">        （投标人名称）</w:t>
      </w:r>
      <w:r>
        <w:rPr>
          <w:rFonts w:hint="eastAsia" w:ascii="宋体" w:hAnsi="宋体"/>
          <w:szCs w:val="21"/>
        </w:rPr>
        <w:t>参加了贵单位</w:t>
      </w:r>
      <w:r>
        <w:rPr>
          <w:rFonts w:hint="eastAsia" w:ascii="宋体" w:hAnsi="宋体"/>
          <w:szCs w:val="21"/>
          <w:u w:val="single"/>
        </w:rPr>
        <w:t xml:space="preserve">        （项目名称）</w:t>
      </w:r>
      <w:r>
        <w:rPr>
          <w:rFonts w:hint="eastAsia" w:ascii="宋体" w:hAnsi="宋体"/>
          <w:szCs w:val="21"/>
        </w:rPr>
        <w:t>的投标，自愿作出以下承诺：</w:t>
      </w:r>
    </w:p>
    <w:p w14:paraId="11433261">
      <w:pPr>
        <w:snapToGrid w:val="0"/>
        <w:spacing w:line="400" w:lineRule="exact"/>
        <w:ind w:firstLine="420" w:firstLineChars="200"/>
        <w:rPr>
          <w:rFonts w:ascii="宋体" w:hAnsi="宋体"/>
          <w:szCs w:val="21"/>
        </w:rPr>
      </w:pPr>
      <w:r>
        <w:rPr>
          <w:rFonts w:hint="eastAsia" w:ascii="宋体" w:hAnsi="宋体"/>
          <w:szCs w:val="21"/>
        </w:rPr>
        <w:t>1、</w:t>
      </w:r>
      <w:r>
        <w:rPr>
          <w:rFonts w:ascii="宋体" w:hAnsi="宋体"/>
          <w:szCs w:val="21"/>
        </w:rPr>
        <w:t>投标截止日投标资格情况</w:t>
      </w:r>
      <w:r>
        <w:rPr>
          <w:rFonts w:hint="eastAsia" w:ascii="宋体" w:hAnsi="宋体"/>
          <w:szCs w:val="21"/>
        </w:rPr>
        <w:t>不存在下列情形之一：</w:t>
      </w:r>
    </w:p>
    <w:p w14:paraId="32D563FC">
      <w:pPr>
        <w:snapToGrid w:val="0"/>
        <w:spacing w:line="400" w:lineRule="exact"/>
        <w:ind w:firstLine="420" w:firstLineChars="200"/>
        <w:jc w:val="left"/>
        <w:rPr>
          <w:rFonts w:ascii="宋体" w:hAnsi="宋体"/>
          <w:szCs w:val="21"/>
        </w:rPr>
      </w:pPr>
      <w:r>
        <w:rPr>
          <w:rFonts w:hint="eastAsia" w:ascii="宋体" w:hAnsi="宋体"/>
          <w:szCs w:val="21"/>
        </w:rPr>
        <w:t>（1）被人民法院列入失信被执行人名单且在被执行期内；</w:t>
      </w:r>
    </w:p>
    <w:p w14:paraId="78162944">
      <w:pPr>
        <w:snapToGrid w:val="0"/>
        <w:spacing w:line="400" w:lineRule="exact"/>
        <w:ind w:firstLine="420" w:firstLineChars="200"/>
        <w:rPr>
          <w:rFonts w:ascii="宋体" w:hAnsi="宋体"/>
          <w:szCs w:val="21"/>
        </w:rPr>
      </w:pPr>
      <w:r>
        <w:rPr>
          <w:rFonts w:hint="eastAsia" w:ascii="宋体" w:hAnsi="宋体"/>
          <w:szCs w:val="21"/>
        </w:rPr>
        <w:t>（</w:t>
      </w:r>
      <w:r>
        <w:rPr>
          <w:rFonts w:hint="eastAsia" w:ascii="宋体" w:hAnsi="宋体"/>
          <w:szCs w:val="21"/>
          <w:lang w:val="en-US" w:eastAsia="zh-CN"/>
        </w:rPr>
        <w:t>2</w:t>
      </w:r>
      <w:r>
        <w:rPr>
          <w:rFonts w:hint="eastAsia" w:ascii="宋体" w:hAnsi="宋体"/>
          <w:szCs w:val="21"/>
        </w:rPr>
        <w:t>）被国家、重庆市（含市或任意区县）有关行政部门处以暂停投标资格行政处罚或暂停在渝承揽新业务，且在暂停期限内。</w:t>
      </w:r>
    </w:p>
    <w:p w14:paraId="50F4C967">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eastAsia="宋体" w:cs="宋体"/>
          <w:kern w:val="0"/>
        </w:rPr>
        <w:t>第二章“投标人须知”第1.4.3项规定</w:t>
      </w:r>
      <w:r>
        <w:rPr>
          <w:rFonts w:hint="eastAsia" w:ascii="宋体" w:hAnsi="宋体" w:eastAsia="宋体" w:cs="宋体"/>
          <w:kern w:val="0"/>
          <w:lang w:val="en-US" w:eastAsia="zh-CN"/>
        </w:rPr>
        <w:t>的情形之一</w:t>
      </w:r>
      <w:r>
        <w:rPr>
          <w:rFonts w:hint="eastAsia" w:ascii="宋体" w:hAnsi="宋体" w:eastAsia="宋体" w:cs="宋体"/>
          <w:kern w:val="0"/>
          <w:lang w:eastAsia="zh-CN"/>
        </w:rPr>
        <w:t>；</w:t>
      </w:r>
      <w:r>
        <w:rPr>
          <w:rFonts w:hint="eastAsia" w:ascii="宋体" w:hAnsi="宋体" w:eastAsia="宋体" w:cs="宋体"/>
          <w:kern w:val="0"/>
          <w:lang w:val="en-US" w:eastAsia="zh-CN"/>
        </w:rPr>
        <w:t>第二章“投标人须知”第9.2款规定的情形之一</w:t>
      </w:r>
      <w:r>
        <w:rPr>
          <w:rFonts w:hint="eastAsia" w:ascii="宋体" w:hAnsi="宋体" w:cs="宋体"/>
          <w:kern w:val="0"/>
          <w:lang w:val="en-US" w:eastAsia="zh-CN"/>
        </w:rPr>
        <w:t>。</w:t>
      </w:r>
    </w:p>
    <w:p w14:paraId="2A93EC22">
      <w:pPr>
        <w:snapToGrid w:val="0"/>
        <w:spacing w:line="400" w:lineRule="exact"/>
        <w:ind w:firstLine="420" w:firstLineChars="200"/>
        <w:rPr>
          <w:rFonts w:ascii="宋体" w:hAnsi="宋体"/>
          <w:szCs w:val="21"/>
        </w:rPr>
      </w:pPr>
      <w:r>
        <w:rPr>
          <w:rFonts w:ascii="宋体" w:hAnsi="宋体"/>
          <w:szCs w:val="21"/>
        </w:rPr>
        <w:t>2</w:t>
      </w:r>
      <w:r>
        <w:rPr>
          <w:rFonts w:hint="eastAsia" w:ascii="宋体" w:hAnsi="宋体"/>
          <w:szCs w:val="21"/>
        </w:rPr>
        <w:t>、</w:t>
      </w:r>
      <w:r>
        <w:rPr>
          <w:rFonts w:hint="eastAsia" w:ascii="宋体" w:hAnsi="宋体"/>
          <w:szCs w:val="21"/>
          <w:lang w:val="en-US" w:eastAsia="zh-CN"/>
        </w:rPr>
        <w:t>本</w:t>
      </w:r>
      <w:r>
        <w:rPr>
          <w:rFonts w:hint="eastAsia" w:ascii="宋体" w:hAnsi="宋体" w:cs="宋体"/>
          <w:bCs/>
          <w:szCs w:val="21"/>
        </w:rPr>
        <w:t>投标文件中的所有内容</w:t>
      </w:r>
      <w:r>
        <w:rPr>
          <w:rFonts w:hint="eastAsia" w:ascii="宋体" w:hAnsi="宋体"/>
          <w:szCs w:val="21"/>
        </w:rPr>
        <w:t>真实有效，不存在弄虚作假情形。</w:t>
      </w:r>
      <w:r>
        <w:rPr>
          <w:rFonts w:hint="eastAsia" w:ascii="宋体" w:hAnsi="宋体"/>
          <w:szCs w:val="21"/>
          <w:u w:val="none"/>
        </w:rPr>
        <w:t>贵单位有权对我公司提供的资料进行核实，若发现弄虚作假，</w:t>
      </w:r>
      <w:r>
        <w:rPr>
          <w:rFonts w:hint="eastAsia" w:ascii="宋体" w:hAnsi="宋体"/>
          <w:szCs w:val="21"/>
          <w:u w:val="none"/>
          <w:lang w:eastAsia="zh-CN"/>
        </w:rPr>
        <w:t>按相关规定</w:t>
      </w:r>
      <w:r>
        <w:rPr>
          <w:rFonts w:hint="eastAsia" w:ascii="宋体" w:hAnsi="宋体"/>
          <w:szCs w:val="21"/>
          <w:u w:val="none"/>
        </w:rPr>
        <w:t>取消我公司中标资格，并按相关法律法规报招标投标监督部门，投标保证金以现金形式交纳的不予退还，以保函形式交纳的由保函开立人支付保函担保的与投标保证金等额的款项，我公司自愿承担因此造成的相关责任并赔偿相应损失。</w:t>
      </w:r>
    </w:p>
    <w:p w14:paraId="415F9D12">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、我公司的投标文件符合第二章“投标人须知”第 1.3.1 项的规定。</w:t>
      </w:r>
    </w:p>
    <w:p w14:paraId="7C8E7CF0">
      <w:pPr>
        <w:snapToGrid w:val="0"/>
        <w:spacing w:line="400" w:lineRule="exact"/>
        <w:ind w:firstLine="420" w:firstLineChars="200"/>
        <w:rPr>
          <w:rFonts w:hint="eastAsia" w:ascii="宋体" w:hAnsi="宋体"/>
          <w:szCs w:val="21"/>
        </w:rPr>
      </w:pPr>
      <w:r>
        <w:rPr>
          <w:rFonts w:hint="eastAsia" w:ascii="宋体" w:hAnsi="宋体"/>
          <w:szCs w:val="21"/>
          <w:lang w:val="en-US" w:eastAsia="zh-CN"/>
        </w:rPr>
        <w:t>4</w:t>
      </w:r>
      <w:r>
        <w:rPr>
          <w:rFonts w:hint="eastAsia" w:ascii="宋体" w:hAnsi="宋体"/>
          <w:szCs w:val="21"/>
        </w:rPr>
        <w:t>、我公司的投标文件符合招标文件</w:t>
      </w:r>
      <w:r>
        <w:rPr>
          <w:rFonts w:ascii="宋体" w:hAnsi="宋体"/>
          <w:kern w:val="0"/>
        </w:rPr>
        <w:t>第四章“合同条款及格式”</w:t>
      </w:r>
      <w:r>
        <w:rPr>
          <w:rFonts w:hint="eastAsia" w:ascii="宋体" w:hAnsi="宋体" w:cs="宋体"/>
          <w:kern w:val="0"/>
        </w:rPr>
        <w:t>中的实质性要求和条件</w:t>
      </w:r>
      <w:r>
        <w:rPr>
          <w:rFonts w:hint="eastAsia" w:ascii="宋体" w:hAnsi="宋体"/>
          <w:szCs w:val="21"/>
        </w:rPr>
        <w:t>，投标文件中没有贵单位不能接受的条件。</w:t>
      </w:r>
    </w:p>
    <w:p w14:paraId="4F1B7B66">
      <w:pPr>
        <w:snapToGrid w:val="0"/>
        <w:spacing w:line="400" w:lineRule="exact"/>
        <w:ind w:firstLine="420" w:firstLineChars="200"/>
        <w:rPr>
          <w:rFonts w:hint="eastAsia" w:ascii="宋体" w:hAnsi="宋体"/>
          <w:szCs w:val="21"/>
          <w:lang w:val="en-US" w:eastAsia="zh-CN"/>
        </w:rPr>
      </w:pPr>
      <w:r>
        <w:rPr>
          <w:rFonts w:hint="eastAsia" w:ascii="宋体" w:hAnsi="宋体"/>
          <w:szCs w:val="21"/>
          <w:lang w:val="en-US" w:eastAsia="zh-CN"/>
        </w:rPr>
        <w:t>5、我公司提供的投标货物的质量保证期时长，以及质量保证期内服务内容均满足招标文件的要求。</w:t>
      </w:r>
    </w:p>
    <w:p w14:paraId="2146D0C7">
      <w:pPr>
        <w:snapToGrid w:val="0"/>
        <w:spacing w:line="400" w:lineRule="exact"/>
        <w:ind w:firstLine="420" w:firstLineChars="200"/>
        <w:rPr>
          <w:rFonts w:hint="default" w:ascii="宋体" w:hAnsi="宋体" w:eastAsia="宋体"/>
          <w:szCs w:val="21"/>
          <w:lang w:val="en-US" w:eastAsia="zh-CN"/>
        </w:rPr>
      </w:pPr>
      <w:r>
        <w:rPr>
          <w:rFonts w:hint="eastAsia" w:ascii="宋体" w:hAnsi="宋体"/>
          <w:szCs w:val="21"/>
          <w:lang w:val="en-US" w:eastAsia="zh-CN"/>
        </w:rPr>
        <w:t>6、</w:t>
      </w:r>
      <w:r>
        <w:rPr>
          <w:rFonts w:hint="eastAsia" w:ascii="宋体" w:hAnsi="宋体"/>
          <w:szCs w:val="21"/>
          <w:u w:val="none"/>
          <w:lang w:val="en-US" w:eastAsia="zh-CN"/>
        </w:rPr>
        <w:t>我公司</w:t>
      </w:r>
      <w:r>
        <w:rPr>
          <w:rFonts w:hint="eastAsia" w:ascii="宋体" w:hAnsi="宋体"/>
          <w:szCs w:val="21"/>
          <w:u w:val="none"/>
        </w:rPr>
        <w:t>提供的货物和服务完全满足招标文件第五章供货要求中的所有要求。中标后，招标人随时有权核验相关资料和检测产品，如果发现我公司提供的货物或服务不符合招标文件要求的，可视为我公司弄虚作假骗取中标，招标人有权采取取消中标资格、不予退还投标保证金、要求在合同价款不变的情况下更换产品、不予退还履约保证金、无条件解约、要求赔偿损失、向行政监督部门报告给予处理处罚等手段</w:t>
      </w:r>
      <w:r>
        <w:rPr>
          <w:rFonts w:hint="eastAsia"/>
          <w:u w:val="none"/>
          <w:lang w:val="en-US" w:eastAsia="zh-CN"/>
        </w:rPr>
        <w:t>。</w:t>
      </w:r>
    </w:p>
    <w:p w14:paraId="39B45C8B">
      <w:pPr>
        <w:snapToGrid w:val="0"/>
        <w:spacing w:line="400" w:lineRule="exact"/>
        <w:ind w:firstLine="420" w:firstLineChars="200"/>
        <w:rPr>
          <w:rFonts w:hint="eastAsia" w:ascii="宋体" w:hAnsi="宋体"/>
          <w:szCs w:val="21"/>
        </w:rPr>
      </w:pPr>
      <w:r>
        <w:rPr>
          <w:rFonts w:hint="eastAsia" w:ascii="宋体" w:hAnsi="宋体"/>
          <w:szCs w:val="21"/>
          <w:lang w:val="en-US" w:eastAsia="zh-CN"/>
        </w:rPr>
        <w:t>7</w:t>
      </w:r>
      <w:r>
        <w:rPr>
          <w:rFonts w:hint="eastAsia" w:ascii="宋体" w:hAnsi="宋体"/>
          <w:szCs w:val="21"/>
        </w:rPr>
        <w:t>、我公司接受招标文件中关于“不平衡报价”的相关</w:t>
      </w:r>
      <w:r>
        <w:rPr>
          <w:rFonts w:hint="eastAsia" w:ascii="宋体" w:hAnsi="宋体"/>
          <w:szCs w:val="21"/>
          <w:lang w:val="en-US" w:eastAsia="zh-CN"/>
        </w:rPr>
        <w:t>要求</w:t>
      </w:r>
      <w:r>
        <w:rPr>
          <w:rFonts w:hint="eastAsia" w:ascii="宋体" w:hAnsi="宋体"/>
          <w:szCs w:val="21"/>
        </w:rPr>
        <w:t>（如有）。</w:t>
      </w:r>
    </w:p>
    <w:p w14:paraId="0B28F460">
      <w:pPr>
        <w:snapToGrid w:val="0"/>
        <w:spacing w:line="400" w:lineRule="exact"/>
        <w:ind w:firstLine="420" w:firstLineChars="200"/>
        <w:rPr>
          <w:rFonts w:hint="eastAsia" w:ascii="宋体" w:hAnsi="宋体"/>
          <w:szCs w:val="21"/>
        </w:rPr>
      </w:pPr>
      <w:r>
        <w:rPr>
          <w:rFonts w:hint="eastAsia" w:ascii="宋体" w:hAnsi="宋体"/>
          <w:szCs w:val="21"/>
          <w:lang w:val="en-US" w:eastAsia="zh-CN"/>
        </w:rPr>
        <w:t>8</w:t>
      </w:r>
      <w:r>
        <w:rPr>
          <w:rFonts w:hint="eastAsia" w:ascii="宋体" w:hAnsi="宋体"/>
          <w:szCs w:val="21"/>
        </w:rPr>
        <w:t>、我公司接受招标文件中关于“不允许负数报价”的相关要求（如有）。</w:t>
      </w:r>
    </w:p>
    <w:p w14:paraId="4F025597">
      <w:pPr>
        <w:snapToGrid w:val="0"/>
        <w:spacing w:line="400" w:lineRule="exact"/>
        <w:ind w:firstLine="420" w:firstLineChars="200"/>
        <w:rPr>
          <w:rFonts w:hint="eastAsia" w:ascii="宋体" w:hAnsi="宋体"/>
          <w:szCs w:val="21"/>
        </w:rPr>
      </w:pPr>
      <w:r>
        <w:rPr>
          <w:rFonts w:hint="eastAsia" w:ascii="宋体" w:hAnsi="宋体"/>
          <w:szCs w:val="21"/>
          <w:lang w:val="en-US" w:eastAsia="zh-CN"/>
        </w:rPr>
        <w:t>9</w:t>
      </w:r>
      <w:r>
        <w:rPr>
          <w:rFonts w:hint="eastAsia" w:ascii="宋体" w:hAnsi="宋体"/>
          <w:szCs w:val="21"/>
        </w:rPr>
        <w:t>、我公司接受招标文件中关于“不允许</w:t>
      </w:r>
      <w:r>
        <w:rPr>
          <w:rFonts w:hint="eastAsia" w:ascii="宋体" w:hAnsi="宋体"/>
          <w:szCs w:val="21"/>
          <w:lang w:val="en-US" w:eastAsia="zh-CN"/>
        </w:rPr>
        <w:t>零</w:t>
      </w:r>
      <w:r>
        <w:rPr>
          <w:rFonts w:hint="eastAsia" w:ascii="宋体" w:hAnsi="宋体"/>
          <w:szCs w:val="21"/>
        </w:rPr>
        <w:t>报价”的相关要求（如有）。</w:t>
      </w:r>
    </w:p>
    <w:p w14:paraId="5C52B475">
      <w:pPr>
        <w:snapToGrid w:val="0"/>
        <w:spacing w:line="400" w:lineRule="exact"/>
        <w:ind w:firstLine="420" w:firstLineChars="200"/>
        <w:rPr>
          <w:rFonts w:hint="default" w:ascii="宋体" w:hAnsi="宋体" w:eastAsia="宋体"/>
          <w:szCs w:val="21"/>
          <w:lang w:val="en-US" w:eastAsia="zh-CN"/>
        </w:rPr>
      </w:pPr>
      <w:r>
        <w:rPr>
          <w:rFonts w:hint="eastAsia" w:ascii="宋体" w:hAnsi="宋体" w:cs="宋体"/>
          <w:lang w:val="en-US" w:eastAsia="zh-CN"/>
        </w:rPr>
        <w:t>10</w:t>
      </w:r>
      <w:r>
        <w:rPr>
          <w:rFonts w:hint="eastAsia" w:ascii="宋体" w:hAnsi="宋体" w:cs="宋体"/>
        </w:rPr>
        <w:t>、</w:t>
      </w:r>
      <w:r>
        <w:rPr>
          <w:rFonts w:hint="eastAsia" w:ascii="宋体" w:hAnsi="宋体" w:cs="宋体"/>
          <w:szCs w:val="21"/>
        </w:rPr>
        <w:t>其他承诺事项：</w:t>
      </w:r>
      <w:r>
        <w:rPr>
          <w:rFonts w:hint="eastAsia" w:ascii="宋体" w:hAnsi="宋体" w:cs="宋体"/>
          <w:szCs w:val="21"/>
          <w:u w:val="single"/>
        </w:rPr>
        <w:t xml:space="preserve">  </w:t>
      </w:r>
      <w:r>
        <w:rPr>
          <w:rFonts w:hint="eastAsia" w:ascii="宋体" w:hAnsi="宋体"/>
          <w:szCs w:val="21"/>
          <w:u w:val="single"/>
        </w:rPr>
        <w:t>我公司中标后设备及零部件的品牌严格按照投标文件中所提供的唯一品牌执行，不以各种理由提出变更品牌要求（招标人提出的变更除外）。</w:t>
      </w:r>
      <w:r>
        <w:rPr>
          <w:rFonts w:hint="eastAsia" w:ascii="宋体" w:hAnsi="宋体" w:cs="宋体"/>
          <w:szCs w:val="21"/>
          <w:u w:val="single"/>
          <w:lang w:val="en-US" w:eastAsia="zh-CN"/>
        </w:rPr>
        <w:t xml:space="preserve"> </w:t>
      </w:r>
    </w:p>
    <w:p w14:paraId="47C0969A">
      <w:pPr>
        <w:tabs>
          <w:tab w:val="left" w:pos="4200"/>
          <w:tab w:val="left" w:pos="462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投  标  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281D8E91">
      <w:pPr>
        <w:tabs>
          <w:tab w:val="left" w:pos="6300"/>
        </w:tabs>
        <w:autoSpaceDE w:val="0"/>
        <w:autoSpaceDN w:val="0"/>
        <w:adjustRightInd w:val="0"/>
        <w:snapToGrid w:val="0"/>
        <w:spacing w:line="36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5F374E62">
      <w:pPr>
        <w:snapToGrid w:val="0"/>
        <w:spacing w:line="400" w:lineRule="exact"/>
        <w:ind w:firstLine="420" w:firstLineChars="200"/>
        <w:jc w:val="right"/>
        <w:rPr>
          <w:rFonts w:ascii="宋体" w:hAnsi="宋体"/>
          <w:szCs w:val="21"/>
        </w:rPr>
      </w:pPr>
      <w:r>
        <w:rPr>
          <w:rFonts w:hint="eastAsia" w:ascii="宋体" w:hAnsi="宋体"/>
          <w:kern w:val="0"/>
          <w:szCs w:val="21"/>
          <w:u w:val="single"/>
        </w:rPr>
        <w:t xml:space="preserve">    </w:t>
      </w:r>
      <w:r>
        <w:rPr>
          <w:rFonts w:ascii="宋体" w:hAnsi="宋体"/>
          <w:kern w:val="0"/>
          <w:szCs w:val="21"/>
        </w:rPr>
        <w:t>年</w:t>
      </w:r>
      <w:r>
        <w:rPr>
          <w:rFonts w:hint="eastAsia" w:ascii="宋体" w:hAnsi="宋体"/>
          <w:kern w:val="0"/>
          <w:szCs w:val="21"/>
          <w:u w:val="single"/>
        </w:rPr>
        <w:t xml:space="preserve">    </w:t>
      </w:r>
      <w:r>
        <w:rPr>
          <w:rFonts w:ascii="宋体" w:hAnsi="宋体"/>
          <w:kern w:val="0"/>
          <w:szCs w:val="21"/>
        </w:rPr>
        <w:t>月</w:t>
      </w:r>
      <w:r>
        <w:rPr>
          <w:rFonts w:hint="eastAsia" w:ascii="宋体" w:hAnsi="宋体"/>
          <w:kern w:val="0"/>
          <w:szCs w:val="21"/>
          <w:u w:val="single"/>
        </w:rPr>
        <w:t xml:space="preserve">    </w:t>
      </w:r>
      <w:r>
        <w:rPr>
          <w:rFonts w:ascii="宋体" w:hAnsi="宋体"/>
          <w:kern w:val="0"/>
          <w:szCs w:val="21"/>
        </w:rPr>
        <w:t>日</w:t>
      </w:r>
    </w:p>
    <w:p w14:paraId="2E64BB70">
      <w:pPr>
        <w:widowControl/>
        <w:jc w:val="left"/>
      </w:pPr>
      <w:r>
        <w:br w:type="page"/>
      </w:r>
    </w:p>
    <w:p w14:paraId="45C3D4E0"/>
    <w:p w14:paraId="53591F60">
      <w:pPr>
        <w:pStyle w:val="4"/>
        <w:spacing w:before="0" w:line="360" w:lineRule="auto"/>
        <w:jc w:val="center"/>
        <w:rPr>
          <w:rFonts w:ascii="宋体" w:hAnsi="宋体"/>
        </w:rPr>
      </w:pPr>
      <w:bookmarkStart w:id="1080" w:name="_Toc16179"/>
      <w:r>
        <w:rPr>
          <w:rFonts w:hint="eastAsia" w:ascii="宋体" w:hAnsi="宋体"/>
          <w:b w:val="0"/>
        </w:rPr>
        <w:t>（</w:t>
      </w:r>
      <w:r>
        <w:rPr>
          <w:rFonts w:hint="eastAsia" w:ascii="宋体" w:hAnsi="宋体"/>
          <w:b w:val="0"/>
          <w:lang w:val="en-US" w:eastAsia="zh-CN"/>
        </w:rPr>
        <w:t>四</w:t>
      </w:r>
      <w:r>
        <w:rPr>
          <w:rFonts w:hint="eastAsia" w:ascii="宋体" w:hAnsi="宋体"/>
          <w:b w:val="0"/>
        </w:rPr>
        <w:t>）其他资料</w:t>
      </w:r>
      <w:bookmarkEnd w:id="1080"/>
    </w:p>
    <w:bookmarkEnd w:id="608"/>
    <w:bookmarkEnd w:id="609"/>
    <w:bookmarkEnd w:id="610"/>
    <w:p w14:paraId="00246782">
      <w:pPr>
        <w:spacing w:line="360" w:lineRule="auto"/>
        <w:ind w:firstLine="420" w:firstLineChars="200"/>
        <w:rPr>
          <w:rFonts w:ascii="宋体" w:hAnsi="宋体"/>
          <w:szCs w:val="21"/>
        </w:rPr>
      </w:pPr>
      <w:r>
        <w:rPr>
          <w:rFonts w:hint="eastAsia" w:ascii="宋体" w:hAnsi="宋体"/>
          <w:szCs w:val="21"/>
        </w:rPr>
        <w:t>1. 投标保证金</w:t>
      </w:r>
    </w:p>
    <w:p w14:paraId="1CF9A36C">
      <w:pPr>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：以转账支票或电汇形式交纳投标保证金的提供以下资料</w:t>
      </w:r>
      <w:r>
        <w:rPr>
          <w:rFonts w:hint="eastAsia" w:ascii="宋体" w:hAnsi="宋体"/>
          <w:i w:val="0"/>
          <w:iCs/>
          <w:szCs w:val="21"/>
          <w:lang w:eastAsia="zh-CN"/>
        </w:rPr>
        <w:t>）</w:t>
      </w:r>
    </w:p>
    <w:p w14:paraId="18409714">
      <w:pPr>
        <w:spacing w:line="360" w:lineRule="auto"/>
        <w:ind w:firstLine="420" w:firstLineChars="200"/>
        <w:rPr>
          <w:rFonts w:ascii="宋体" w:hAnsi="宋体"/>
          <w:szCs w:val="21"/>
        </w:rPr>
      </w:pPr>
      <w:r>
        <w:rPr>
          <w:rFonts w:hint="eastAsia" w:ascii="宋体" w:hAnsi="宋体"/>
          <w:szCs w:val="21"/>
        </w:rPr>
        <w:t>（1）企业基本账户开户证明文件。</w:t>
      </w:r>
    </w:p>
    <w:p w14:paraId="510EE11D">
      <w:pPr>
        <w:rPr>
          <w:rFonts w:ascii="宋体" w:hAnsi="宋体"/>
          <w:i/>
          <w:szCs w:val="21"/>
        </w:rPr>
      </w:pPr>
      <w:r>
        <w:rPr>
          <w:rFonts w:hint="eastAsia" w:ascii="宋体" w:hAnsi="宋体"/>
          <w:i/>
          <w:szCs w:val="21"/>
        </w:rPr>
        <w:br w:type="page"/>
      </w:r>
    </w:p>
    <w:p w14:paraId="52FAECAF">
      <w:pPr>
        <w:spacing w:line="360" w:lineRule="auto"/>
        <w:ind w:firstLine="420" w:firstLineChars="200"/>
        <w:rPr>
          <w:rFonts w:ascii="宋体" w:hAnsi="宋体"/>
          <w:i w:val="0"/>
          <w:iCs/>
          <w:szCs w:val="21"/>
        </w:rPr>
      </w:pPr>
      <w:r>
        <w:rPr>
          <w:rFonts w:hint="eastAsia" w:ascii="宋体" w:hAnsi="宋体"/>
          <w:i w:val="0"/>
          <w:iCs/>
          <w:szCs w:val="21"/>
          <w:lang w:eastAsia="zh-CN"/>
        </w:rPr>
        <w:t>（</w:t>
      </w:r>
      <w:r>
        <w:rPr>
          <w:rFonts w:hint="eastAsia" w:ascii="宋体" w:hAnsi="宋体"/>
          <w:i w:val="0"/>
          <w:iCs/>
          <w:szCs w:val="21"/>
          <w:lang w:val="en-US" w:eastAsia="zh-CN"/>
        </w:rPr>
        <w:t>注</w:t>
      </w:r>
      <w:r>
        <w:rPr>
          <w:rFonts w:hint="eastAsia" w:ascii="宋体" w:hAnsi="宋体"/>
          <w:i w:val="0"/>
          <w:iCs/>
          <w:szCs w:val="21"/>
        </w:rPr>
        <w:t>：以纸质投标保函形式交纳投标保证金的提供以下资料</w:t>
      </w:r>
      <w:r>
        <w:rPr>
          <w:rFonts w:hint="eastAsia" w:ascii="宋体" w:hAnsi="宋体"/>
          <w:i w:val="0"/>
          <w:iCs/>
          <w:szCs w:val="21"/>
          <w:lang w:eastAsia="zh-CN"/>
        </w:rPr>
        <w:t>）</w:t>
      </w:r>
    </w:p>
    <w:p w14:paraId="2565CCE3">
      <w:pPr>
        <w:spacing w:line="360" w:lineRule="auto"/>
        <w:ind w:firstLine="420" w:firstLineChars="200"/>
        <w:rPr>
          <w:rFonts w:ascii="宋体" w:hAnsi="宋体"/>
          <w:szCs w:val="21"/>
        </w:rPr>
      </w:pPr>
      <w:r>
        <w:rPr>
          <w:rFonts w:hint="eastAsia" w:ascii="宋体" w:hAnsi="宋体"/>
          <w:szCs w:val="21"/>
        </w:rPr>
        <w:t>（1）纸质投标保函（如有）</w:t>
      </w:r>
    </w:p>
    <w:p w14:paraId="3987E626">
      <w:pPr>
        <w:spacing w:line="360" w:lineRule="auto"/>
        <w:jc w:val="center"/>
        <w:rPr>
          <w:rFonts w:ascii="宋体" w:hAnsi="宋体" w:cs="宋体"/>
          <w:szCs w:val="21"/>
        </w:rPr>
      </w:pPr>
      <w:r>
        <w:rPr>
          <w:rFonts w:hint="eastAsia" w:ascii="宋体" w:hAnsi="宋体" w:cs="宋体"/>
          <w:szCs w:val="21"/>
        </w:rPr>
        <w:t>投标保函示范文本</w:t>
      </w:r>
    </w:p>
    <w:p w14:paraId="54AE7704">
      <w:pPr>
        <w:spacing w:line="360" w:lineRule="auto"/>
        <w:ind w:firstLine="420" w:firstLineChars="200"/>
        <w:rPr>
          <w:rFonts w:ascii="宋体" w:hAnsi="宋体" w:cs="宋体"/>
          <w:szCs w:val="21"/>
        </w:rPr>
      </w:pPr>
    </w:p>
    <w:p w14:paraId="6954D6B4">
      <w:pPr>
        <w:spacing w:line="360" w:lineRule="auto"/>
        <w:ind w:firstLine="420" w:firstLineChars="200"/>
        <w:rPr>
          <w:rFonts w:ascii="宋体" w:hAnsi="宋体" w:cs="宋体"/>
          <w:szCs w:val="21"/>
        </w:rPr>
      </w:pPr>
      <w:r>
        <w:rPr>
          <w:rFonts w:hint="eastAsia" w:ascii="宋体" w:hAnsi="宋体" w:cs="宋体"/>
          <w:szCs w:val="21"/>
        </w:rPr>
        <w:t>申请人：</w:t>
      </w:r>
    </w:p>
    <w:p w14:paraId="5CF40789">
      <w:pPr>
        <w:spacing w:line="360" w:lineRule="auto"/>
        <w:ind w:firstLine="420" w:firstLineChars="200"/>
        <w:rPr>
          <w:rFonts w:ascii="宋体" w:hAnsi="宋体" w:cs="宋体"/>
          <w:szCs w:val="21"/>
        </w:rPr>
      </w:pPr>
      <w:r>
        <w:rPr>
          <w:rFonts w:hint="eastAsia" w:ascii="宋体" w:hAnsi="宋体" w:cs="宋体"/>
          <w:szCs w:val="21"/>
        </w:rPr>
        <w:t>地  址：</w:t>
      </w:r>
    </w:p>
    <w:p w14:paraId="3D661B67">
      <w:pPr>
        <w:spacing w:line="360" w:lineRule="auto"/>
        <w:ind w:firstLine="420" w:firstLineChars="200"/>
        <w:rPr>
          <w:rFonts w:ascii="宋体" w:hAnsi="宋体" w:cs="宋体"/>
          <w:szCs w:val="21"/>
        </w:rPr>
      </w:pPr>
      <w:r>
        <w:rPr>
          <w:rFonts w:hint="eastAsia" w:ascii="宋体" w:hAnsi="宋体" w:cs="宋体"/>
          <w:szCs w:val="21"/>
        </w:rPr>
        <w:t>受益人：</w:t>
      </w:r>
    </w:p>
    <w:p w14:paraId="2E113939">
      <w:pPr>
        <w:spacing w:line="360" w:lineRule="auto"/>
        <w:ind w:firstLine="420" w:firstLineChars="200"/>
        <w:rPr>
          <w:rFonts w:ascii="宋体" w:hAnsi="宋体" w:cs="宋体"/>
          <w:szCs w:val="21"/>
        </w:rPr>
      </w:pPr>
      <w:r>
        <w:rPr>
          <w:rFonts w:hint="eastAsia" w:ascii="宋体" w:hAnsi="宋体" w:cs="宋体"/>
          <w:szCs w:val="21"/>
        </w:rPr>
        <w:t>地  址：</w:t>
      </w:r>
    </w:p>
    <w:p w14:paraId="330CC147">
      <w:pPr>
        <w:spacing w:line="360" w:lineRule="auto"/>
        <w:ind w:firstLine="420" w:firstLineChars="200"/>
        <w:rPr>
          <w:rFonts w:ascii="宋体" w:hAnsi="宋体" w:cs="宋体"/>
          <w:szCs w:val="21"/>
        </w:rPr>
      </w:pPr>
      <w:r>
        <w:rPr>
          <w:rFonts w:hint="eastAsia" w:ascii="宋体" w:hAnsi="宋体" w:cs="宋体"/>
          <w:szCs w:val="21"/>
        </w:rPr>
        <w:t>开立人：</w:t>
      </w:r>
    </w:p>
    <w:p w14:paraId="1ACA3B0E">
      <w:pPr>
        <w:spacing w:line="360" w:lineRule="auto"/>
        <w:ind w:firstLine="420" w:firstLineChars="200"/>
        <w:rPr>
          <w:rFonts w:ascii="宋体" w:hAnsi="宋体" w:cs="宋体"/>
          <w:szCs w:val="21"/>
        </w:rPr>
      </w:pPr>
      <w:r>
        <w:rPr>
          <w:rFonts w:hint="eastAsia" w:ascii="宋体" w:hAnsi="宋体" w:cs="宋体"/>
          <w:szCs w:val="21"/>
        </w:rPr>
        <w:t>地  址：</w:t>
      </w:r>
    </w:p>
    <w:p w14:paraId="721D4318">
      <w:pPr>
        <w:overflowPunct w:val="0"/>
        <w:spacing w:line="360" w:lineRule="auto"/>
        <w:rPr>
          <w:rFonts w:ascii="宋体" w:hAnsi="宋体" w:cs="宋体"/>
          <w:szCs w:val="21"/>
          <w:u w:val="single"/>
        </w:rPr>
      </w:pPr>
    </w:p>
    <w:p w14:paraId="3AC59E01">
      <w:pPr>
        <w:overflowPunct w:val="0"/>
        <w:spacing w:line="360" w:lineRule="auto"/>
        <w:rPr>
          <w:rFonts w:ascii="宋体" w:hAnsi="宋体" w:cs="宋体"/>
          <w:szCs w:val="21"/>
        </w:rPr>
      </w:pPr>
      <w:r>
        <w:rPr>
          <w:rFonts w:hint="eastAsia" w:ascii="宋体" w:hAnsi="宋体" w:cs="宋体"/>
          <w:szCs w:val="21"/>
          <w:u w:val="single"/>
        </w:rPr>
        <w:t xml:space="preserve">                 </w:t>
      </w:r>
      <w:r>
        <w:rPr>
          <w:rFonts w:hint="eastAsia" w:ascii="宋体" w:hAnsi="宋体" w:cs="宋体"/>
          <w:szCs w:val="21"/>
        </w:rPr>
        <w:t>（受益人名称）：</w:t>
      </w:r>
    </w:p>
    <w:p w14:paraId="7B2A2681">
      <w:pPr>
        <w:overflowPunct w:val="0"/>
        <w:spacing w:line="360" w:lineRule="auto"/>
        <w:ind w:firstLine="396" w:firstLineChars="200"/>
        <w:rPr>
          <w:rFonts w:ascii="宋体" w:hAnsi="宋体" w:cs="宋体"/>
          <w:spacing w:val="-6"/>
          <w:kern w:val="0"/>
          <w:szCs w:val="21"/>
        </w:rPr>
      </w:pPr>
      <w:r>
        <w:rPr>
          <w:rFonts w:hint="eastAsia" w:ascii="宋体" w:hAnsi="宋体" w:cs="宋体"/>
          <w:spacing w:val="-6"/>
          <w:kern w:val="0"/>
          <w:szCs w:val="21"/>
        </w:rPr>
        <w:t>我方（即“开立人”）已获得通知，本保函申请人（即“投标人”）已响应贵方于</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w:t>
      </w:r>
      <w:r>
        <w:rPr>
          <w:rFonts w:hint="eastAsia" w:ascii="宋体" w:hAnsi="宋体" w:cs="宋体"/>
          <w:spacing w:val="-6"/>
          <w:kern w:val="0"/>
          <w:szCs w:val="21"/>
        </w:rPr>
        <w:t>就</w:t>
      </w:r>
      <w:r>
        <w:rPr>
          <w:rFonts w:hint="eastAsia" w:ascii="宋体" w:hAnsi="宋体" w:cs="宋体"/>
          <w:spacing w:val="-6"/>
          <w:kern w:val="0"/>
          <w:szCs w:val="21"/>
          <w:u w:val="single"/>
        </w:rPr>
        <w:t xml:space="preserve">                   </w:t>
      </w:r>
      <w:r>
        <w:rPr>
          <w:rFonts w:hint="eastAsia" w:ascii="宋体" w:hAnsi="宋体" w:cs="宋体"/>
          <w:spacing w:val="-6"/>
          <w:kern w:val="0"/>
          <w:szCs w:val="21"/>
        </w:rPr>
        <w:t>（以下简称“本项目”）发出的招标文件以及后续发布的答疑补遗文件，并拟向招标人（即“受益人”）提交投标文件（即“基础交易”）。</w:t>
      </w:r>
    </w:p>
    <w:p w14:paraId="71BF0BF9">
      <w:pPr>
        <w:overflowPunct w:val="0"/>
        <w:spacing w:line="360" w:lineRule="auto"/>
        <w:ind w:firstLine="420" w:firstLineChars="200"/>
        <w:rPr>
          <w:rFonts w:ascii="宋体" w:hAnsi="宋体" w:cs="宋体"/>
          <w:kern w:val="0"/>
          <w:szCs w:val="21"/>
        </w:rPr>
      </w:pPr>
      <w:r>
        <w:rPr>
          <w:rFonts w:hint="eastAsia" w:ascii="宋体" w:hAnsi="宋体" w:cs="宋体"/>
          <w:kern w:val="0"/>
          <w:szCs w:val="21"/>
        </w:rPr>
        <w:t>一、我方理解根据招标条件，投标人必须提交一份投标保函（以下简称“本保函”），以担保投标人诚信履行其在上述基础交易中承担的投标人义务。鉴此，应申请人要求，我方在此同意向贵方出具此投标保函，本保函担保金额为人民币（大写）</w:t>
      </w:r>
      <w:r>
        <w:rPr>
          <w:rFonts w:hint="eastAsia" w:ascii="宋体" w:hAnsi="宋体" w:cs="宋体"/>
          <w:kern w:val="0"/>
          <w:szCs w:val="21"/>
          <w:u w:val="single"/>
        </w:rPr>
        <w:t xml:space="preserve">    </w:t>
      </w:r>
      <w:r>
        <w:rPr>
          <w:rFonts w:hint="eastAsia" w:ascii="宋体" w:hAnsi="宋体" w:cs="宋体"/>
          <w:kern w:val="0"/>
          <w:szCs w:val="21"/>
        </w:rPr>
        <w:t>元（¥</w:t>
      </w:r>
      <w:r>
        <w:rPr>
          <w:rFonts w:hint="eastAsia" w:ascii="宋体" w:hAnsi="宋体" w:cs="宋体"/>
          <w:kern w:val="0"/>
          <w:szCs w:val="21"/>
          <w:u w:val="single"/>
        </w:rPr>
        <w:t xml:space="preserve">        </w:t>
      </w:r>
      <w:r>
        <w:rPr>
          <w:rFonts w:hint="eastAsia" w:ascii="宋体" w:hAnsi="宋体" w:cs="宋体"/>
          <w:kern w:val="0"/>
          <w:szCs w:val="21"/>
        </w:rPr>
        <w:t>）。</w:t>
      </w:r>
    </w:p>
    <w:p w14:paraId="5BE63841">
      <w:pPr>
        <w:overflowPunct w:val="0"/>
        <w:spacing w:line="360" w:lineRule="auto"/>
        <w:ind w:firstLine="420" w:firstLineChars="200"/>
        <w:rPr>
          <w:rFonts w:ascii="宋体" w:hAnsi="宋体" w:cs="宋体"/>
          <w:szCs w:val="21"/>
        </w:rPr>
      </w:pPr>
      <w:r>
        <w:rPr>
          <w:rFonts w:hint="eastAsia" w:ascii="宋体" w:hAnsi="宋体" w:cs="宋体"/>
          <w:szCs w:val="21"/>
        </w:rPr>
        <w:t>二、我方在投标人发生以下情形时承担保证担保责任：</w:t>
      </w:r>
    </w:p>
    <w:p w14:paraId="0A361E29">
      <w:pPr>
        <w:overflowPunct w:val="0"/>
        <w:spacing w:line="360" w:lineRule="auto"/>
        <w:ind w:firstLine="420" w:firstLineChars="200"/>
        <w:rPr>
          <w:rFonts w:ascii="宋体" w:hAnsi="宋体" w:cs="宋体"/>
          <w:szCs w:val="21"/>
        </w:rPr>
      </w:pPr>
      <w:r>
        <w:rPr>
          <w:rFonts w:hint="eastAsia" w:ascii="宋体" w:hAnsi="宋体" w:cs="宋体"/>
          <w:szCs w:val="21"/>
        </w:rPr>
        <w:t xml:space="preserve">（1）投标人在开标后至投标有效期满之前撤销投标的； </w:t>
      </w:r>
    </w:p>
    <w:p w14:paraId="00CE6CC2">
      <w:pPr>
        <w:overflowPunct w:val="0"/>
        <w:spacing w:line="360" w:lineRule="auto"/>
        <w:ind w:firstLine="420" w:firstLineChars="200"/>
        <w:rPr>
          <w:rFonts w:ascii="宋体" w:hAnsi="宋体" w:cs="宋体"/>
          <w:szCs w:val="21"/>
        </w:rPr>
      </w:pPr>
      <w:r>
        <w:rPr>
          <w:rFonts w:hint="eastAsia" w:ascii="宋体" w:hAnsi="宋体" w:cs="宋体"/>
          <w:szCs w:val="21"/>
        </w:rPr>
        <w:t xml:space="preserve">（2）投标人在收到中标通知后，不能或拒绝在中标通知书规定的时间内与贵方签订合同； </w:t>
      </w:r>
    </w:p>
    <w:p w14:paraId="1EF76784">
      <w:pPr>
        <w:overflowPunct w:val="0"/>
        <w:spacing w:line="360" w:lineRule="auto"/>
        <w:ind w:firstLine="420" w:firstLineChars="200"/>
        <w:rPr>
          <w:rFonts w:ascii="宋体" w:hAnsi="宋体" w:cs="宋体"/>
          <w:szCs w:val="21"/>
        </w:rPr>
      </w:pPr>
      <w:r>
        <w:rPr>
          <w:rFonts w:hint="eastAsia" w:ascii="宋体" w:hAnsi="宋体" w:cs="宋体"/>
          <w:szCs w:val="21"/>
        </w:rPr>
        <w:t>（3）投标人在与贵方签订合同前，未在规定的时间内提交符合招标文件要求的履约担保；</w:t>
      </w:r>
    </w:p>
    <w:p w14:paraId="1CE62A96">
      <w:pPr>
        <w:overflowPunct w:val="0"/>
        <w:spacing w:line="360" w:lineRule="auto"/>
        <w:ind w:firstLine="420" w:firstLineChars="200"/>
        <w:rPr>
          <w:rFonts w:ascii="宋体" w:hAnsi="宋体" w:cs="宋体"/>
          <w:szCs w:val="21"/>
        </w:rPr>
      </w:pPr>
      <w:r>
        <w:rPr>
          <w:rFonts w:hint="eastAsia" w:ascii="宋体" w:hAnsi="宋体" w:cs="宋体"/>
          <w:szCs w:val="21"/>
        </w:rPr>
        <w:t>（4）投标人违反招标文件规定的其他情形。</w:t>
      </w:r>
    </w:p>
    <w:p w14:paraId="6FD79B9B">
      <w:pPr>
        <w:overflowPunct w:val="0"/>
        <w:spacing w:line="360" w:lineRule="auto"/>
        <w:ind w:firstLine="420" w:firstLineChars="200"/>
        <w:rPr>
          <w:rFonts w:ascii="宋体" w:hAnsi="宋体" w:cs="宋体"/>
          <w:szCs w:val="21"/>
        </w:rPr>
      </w:pPr>
      <w:r>
        <w:rPr>
          <w:rFonts w:hint="eastAsia" w:ascii="宋体" w:hAnsi="宋体" w:cs="宋体"/>
          <w:szCs w:val="21"/>
        </w:rPr>
        <w:t>三、本保函为不可撤销、不可转让的见索即付保函。本保函有效期自开立之日起至投标有效期届满之日后的</w:t>
      </w:r>
      <w:r>
        <w:rPr>
          <w:rFonts w:hint="eastAsia" w:ascii="宋体" w:hAnsi="宋体" w:cs="宋体"/>
          <w:szCs w:val="21"/>
          <w:u w:val="single"/>
        </w:rPr>
        <w:t xml:space="preserve">    </w:t>
      </w:r>
      <w:r>
        <w:rPr>
          <w:rFonts w:hint="eastAsia" w:ascii="宋体" w:hAnsi="宋体" w:cs="宋体"/>
          <w:szCs w:val="21"/>
        </w:rPr>
        <w:t>日止（提示：建议30日）。投标有效期延长的，本保函有效期相应顺延，最迟不超过</w:t>
      </w:r>
      <w:r>
        <w:rPr>
          <w:rFonts w:hint="eastAsia" w:ascii="宋体" w:hAnsi="宋体" w:cs="宋体"/>
          <w:szCs w:val="21"/>
          <w:u w:val="single"/>
        </w:rPr>
        <w:t xml:space="preserve">    </w:t>
      </w:r>
      <w:r>
        <w:rPr>
          <w:rFonts w:hint="eastAsia" w:ascii="宋体" w:hAnsi="宋体" w:cs="宋体"/>
          <w:szCs w:val="21"/>
        </w:rPr>
        <w:t>年</w:t>
      </w:r>
      <w:r>
        <w:rPr>
          <w:rFonts w:hint="eastAsia" w:ascii="宋体" w:hAnsi="宋体" w:cs="宋体"/>
          <w:szCs w:val="21"/>
          <w:u w:val="single"/>
        </w:rPr>
        <w:t xml:space="preserve">    </w:t>
      </w:r>
      <w:r>
        <w:rPr>
          <w:rFonts w:hint="eastAsia" w:ascii="宋体" w:hAnsi="宋体" w:cs="宋体"/>
          <w:szCs w:val="21"/>
        </w:rPr>
        <w:t>月</w:t>
      </w:r>
      <w:r>
        <w:rPr>
          <w:rFonts w:hint="eastAsia" w:ascii="宋体" w:hAnsi="宋体" w:cs="宋体"/>
          <w:szCs w:val="21"/>
          <w:u w:val="single"/>
        </w:rPr>
        <w:t xml:space="preserve">    </w:t>
      </w:r>
      <w:r>
        <w:rPr>
          <w:rFonts w:hint="eastAsia" w:ascii="宋体" w:hAnsi="宋体" w:cs="宋体"/>
          <w:szCs w:val="21"/>
        </w:rPr>
        <w:t>日（提示：建议按保函有效期不超过270日考虑）。</w:t>
      </w:r>
    </w:p>
    <w:p w14:paraId="19CC0F74">
      <w:pPr>
        <w:overflowPunct w:val="0"/>
        <w:spacing w:line="360" w:lineRule="auto"/>
        <w:ind w:firstLine="420" w:firstLineChars="200"/>
        <w:rPr>
          <w:rFonts w:ascii="宋体" w:hAnsi="宋体" w:cs="宋体"/>
          <w:szCs w:val="21"/>
        </w:rPr>
      </w:pPr>
      <w:r>
        <w:rPr>
          <w:rFonts w:hint="eastAsia" w:ascii="宋体" w:hAnsi="宋体" w:cs="宋体"/>
          <w:szCs w:val="21"/>
        </w:rPr>
        <w:t>四、我方承诺，在收到受益人发来的书面索赔通知后的</w:t>
      </w:r>
      <w:r>
        <w:rPr>
          <w:rFonts w:hint="eastAsia" w:ascii="宋体" w:hAnsi="宋体" w:cs="宋体"/>
          <w:szCs w:val="21"/>
          <w:u w:val="single"/>
        </w:rPr>
        <w:t xml:space="preserve">   </w:t>
      </w:r>
      <w:r>
        <w:rPr>
          <w:rFonts w:hint="eastAsia" w:ascii="宋体" w:hAnsi="宋体" w:cs="宋体"/>
          <w:szCs w:val="21"/>
        </w:rPr>
        <w:t>个工作日（提示：建议10—15个工作日）内无条件支付，前述书面索赔通知即为付款要求之单据，且应满足以下要求：</w:t>
      </w:r>
    </w:p>
    <w:p w14:paraId="44E69803">
      <w:pPr>
        <w:overflowPunct w:val="0"/>
        <w:spacing w:line="360" w:lineRule="auto"/>
        <w:ind w:firstLine="420" w:firstLineChars="200"/>
        <w:rPr>
          <w:rFonts w:ascii="宋体" w:hAnsi="宋体" w:cs="宋体"/>
          <w:szCs w:val="21"/>
        </w:rPr>
      </w:pPr>
      <w:r>
        <w:rPr>
          <w:rFonts w:hint="eastAsia" w:ascii="宋体" w:hAnsi="宋体" w:cs="宋体"/>
          <w:szCs w:val="21"/>
        </w:rPr>
        <w:t>（1）索赔通知到达的日期在本保函的有效期内；</w:t>
      </w:r>
    </w:p>
    <w:p w14:paraId="756FC89E">
      <w:pPr>
        <w:overflowPunct w:val="0"/>
        <w:spacing w:line="360" w:lineRule="auto"/>
        <w:ind w:firstLine="420" w:firstLineChars="200"/>
        <w:rPr>
          <w:rFonts w:ascii="宋体" w:hAnsi="宋体" w:cs="宋体"/>
          <w:szCs w:val="21"/>
        </w:rPr>
      </w:pPr>
      <w:r>
        <w:rPr>
          <w:rFonts w:hint="eastAsia" w:ascii="宋体" w:hAnsi="宋体" w:cs="宋体"/>
          <w:szCs w:val="21"/>
        </w:rPr>
        <w:t>（2）载明要求支付的金额；</w:t>
      </w:r>
    </w:p>
    <w:p w14:paraId="7A120801">
      <w:pPr>
        <w:overflowPunct w:val="0"/>
        <w:spacing w:line="360" w:lineRule="auto"/>
        <w:ind w:firstLine="420" w:firstLineChars="200"/>
        <w:rPr>
          <w:rFonts w:ascii="宋体" w:hAnsi="宋体" w:cs="宋体"/>
          <w:szCs w:val="21"/>
        </w:rPr>
      </w:pPr>
      <w:r>
        <w:rPr>
          <w:rFonts w:hint="eastAsia" w:ascii="宋体" w:hAnsi="宋体" w:cs="宋体"/>
          <w:szCs w:val="21"/>
        </w:rPr>
        <w:t>（3）载明申请人违反招投标文件规定的义务内容和具体条款；</w:t>
      </w:r>
    </w:p>
    <w:p w14:paraId="6956E7E0">
      <w:pPr>
        <w:overflowPunct w:val="0"/>
        <w:spacing w:line="360" w:lineRule="auto"/>
        <w:ind w:firstLine="420" w:firstLineChars="200"/>
        <w:rPr>
          <w:rFonts w:ascii="宋体" w:hAnsi="宋体" w:cs="宋体"/>
          <w:szCs w:val="21"/>
        </w:rPr>
      </w:pPr>
      <w:r>
        <w:rPr>
          <w:rFonts w:hint="eastAsia" w:ascii="宋体" w:hAnsi="宋体" w:cs="宋体"/>
          <w:szCs w:val="21"/>
        </w:rPr>
        <w:t>（4）声明不存在招标文件规定免除申请人或我方支付责任的情形；</w:t>
      </w:r>
    </w:p>
    <w:p w14:paraId="6D3ADC76">
      <w:pPr>
        <w:overflowPunct w:val="0"/>
        <w:spacing w:line="360" w:lineRule="auto"/>
        <w:ind w:firstLine="420" w:firstLineChars="200"/>
        <w:rPr>
          <w:rFonts w:ascii="宋体" w:hAnsi="宋体" w:cs="宋体"/>
          <w:szCs w:val="21"/>
        </w:rPr>
      </w:pPr>
      <w:r>
        <w:rPr>
          <w:rFonts w:hint="eastAsia" w:ascii="宋体" w:hAnsi="宋体" w:cs="宋体"/>
          <w:szCs w:val="21"/>
        </w:rPr>
        <w:t>（5）索赔通知应在本保函有效期内到达的地址是：</w:t>
      </w:r>
      <w:r>
        <w:rPr>
          <w:rFonts w:hint="eastAsia" w:ascii="宋体" w:hAnsi="宋体" w:cs="宋体"/>
          <w:szCs w:val="21"/>
          <w:u w:val="single"/>
        </w:rPr>
        <w:t xml:space="preserve">       </w:t>
      </w:r>
      <w:r>
        <w:rPr>
          <w:rFonts w:hint="eastAsia" w:ascii="宋体" w:hAnsi="宋体" w:cs="宋体"/>
          <w:szCs w:val="21"/>
        </w:rPr>
        <w:t>。</w:t>
      </w:r>
    </w:p>
    <w:p w14:paraId="24F452BB">
      <w:pPr>
        <w:overflowPunct w:val="0"/>
        <w:spacing w:line="360" w:lineRule="auto"/>
        <w:ind w:firstLine="420" w:firstLineChars="200"/>
        <w:rPr>
          <w:rFonts w:ascii="宋体" w:hAnsi="宋体" w:cs="宋体"/>
          <w:szCs w:val="21"/>
        </w:rPr>
      </w:pPr>
      <w:r>
        <w:rPr>
          <w:rFonts w:hint="eastAsia" w:ascii="宋体" w:hAnsi="宋体" w:cs="宋体"/>
          <w:szCs w:val="21"/>
        </w:rPr>
        <w:t>受益人发出的书面索赔通知应由其为鉴明受益人法定代表人或授权代理人签名并加盖公章。</w:t>
      </w:r>
    </w:p>
    <w:p w14:paraId="38CAB52E">
      <w:pPr>
        <w:overflowPunct w:val="0"/>
        <w:spacing w:line="360" w:lineRule="auto"/>
        <w:ind w:firstLine="420" w:firstLineChars="200"/>
        <w:rPr>
          <w:rFonts w:ascii="宋体" w:hAnsi="宋体" w:cs="宋体"/>
          <w:szCs w:val="21"/>
        </w:rPr>
      </w:pPr>
      <w:r>
        <w:rPr>
          <w:rFonts w:hint="eastAsia" w:ascii="宋体" w:hAnsi="宋体" w:cs="宋体"/>
          <w:szCs w:val="21"/>
        </w:rPr>
        <w:t>五、本保函项下的权利不得转让，不得设定担保。贵方未经我方书面同意转让本保函或其项下任何权利，对我方不发生法律效力。</w:t>
      </w:r>
    </w:p>
    <w:p w14:paraId="7977F385">
      <w:pPr>
        <w:overflowPunct w:val="0"/>
        <w:spacing w:line="360" w:lineRule="auto"/>
        <w:ind w:firstLine="420" w:firstLineChars="200"/>
        <w:rPr>
          <w:rFonts w:ascii="宋体" w:hAnsi="宋体" w:cs="宋体"/>
          <w:szCs w:val="21"/>
        </w:rPr>
      </w:pPr>
      <w:r>
        <w:rPr>
          <w:rFonts w:hint="eastAsia" w:ascii="宋体" w:hAnsi="宋体" w:cs="宋体"/>
          <w:szCs w:val="21"/>
        </w:rPr>
        <w:t xml:space="preserve">六、本保函项下的基础交易不成立、不生效、无效、被撤销、被解除，不影响本保函的独立有效。 </w:t>
      </w:r>
    </w:p>
    <w:p w14:paraId="4E22415E">
      <w:pPr>
        <w:overflowPunct w:val="0"/>
        <w:spacing w:line="360" w:lineRule="auto"/>
        <w:ind w:firstLine="420" w:firstLineChars="200"/>
        <w:rPr>
          <w:rFonts w:ascii="宋体" w:hAnsi="宋体" w:cs="宋体"/>
          <w:szCs w:val="21"/>
        </w:rPr>
      </w:pPr>
      <w:r>
        <w:rPr>
          <w:rFonts w:hint="eastAsia" w:ascii="宋体" w:hAnsi="宋体" w:cs="宋体"/>
          <w:szCs w:val="21"/>
        </w:rPr>
        <w:t>七、受益人应在本保函到期后的七个工作日内将本保函正本退回我方注销，但是不论受益人是否按此要求将本保函正本退回我方，我方在本保函项下的义务和责任均在保函有效期到期后自动消灭。</w:t>
      </w:r>
    </w:p>
    <w:p w14:paraId="5D6F654C">
      <w:pPr>
        <w:overflowPunct w:val="0"/>
        <w:spacing w:line="360" w:lineRule="auto"/>
        <w:ind w:firstLine="420" w:firstLineChars="200"/>
        <w:rPr>
          <w:rFonts w:ascii="宋体" w:hAnsi="宋体" w:cs="宋体"/>
          <w:szCs w:val="21"/>
        </w:rPr>
      </w:pPr>
      <w:r>
        <w:rPr>
          <w:rFonts w:hint="eastAsia" w:ascii="宋体" w:hAnsi="宋体" w:cs="宋体"/>
          <w:szCs w:val="21"/>
        </w:rPr>
        <w:t>八、本保函的开具是我方真实意思表示，符合法律法规规定，我方同意遵守本保函约定并无条件承担担保责任。本保函与其他规定或条款不一致时，以本保函约定为准。</w:t>
      </w:r>
    </w:p>
    <w:p w14:paraId="3A3026EA">
      <w:pPr>
        <w:overflowPunct w:val="0"/>
        <w:spacing w:line="360" w:lineRule="auto"/>
        <w:ind w:firstLine="420" w:firstLineChars="200"/>
        <w:rPr>
          <w:rFonts w:ascii="宋体" w:hAnsi="宋体" w:cs="宋体"/>
          <w:szCs w:val="21"/>
        </w:rPr>
      </w:pPr>
      <w:r>
        <w:rPr>
          <w:rFonts w:hint="eastAsia" w:ascii="宋体" w:hAnsi="宋体" w:cs="宋体"/>
          <w:szCs w:val="21"/>
        </w:rPr>
        <w:t>九、本保函适用的法律为中华人民共和国法律，争议裁判管辖地为中华人民共和国</w:t>
      </w:r>
      <w:r>
        <w:rPr>
          <w:rFonts w:hint="eastAsia" w:ascii="宋体" w:hAnsi="宋体" w:cs="宋体"/>
          <w:szCs w:val="21"/>
          <w:u w:val="single"/>
        </w:rPr>
        <w:t xml:space="preserve">              </w:t>
      </w:r>
      <w:r>
        <w:rPr>
          <w:rFonts w:hint="eastAsia" w:ascii="宋体" w:hAnsi="宋体" w:cs="宋体"/>
          <w:szCs w:val="21"/>
        </w:rPr>
        <w:t>。</w:t>
      </w:r>
    </w:p>
    <w:p w14:paraId="78CAB4C6">
      <w:pPr>
        <w:overflowPunct w:val="0"/>
        <w:spacing w:line="360" w:lineRule="auto"/>
        <w:ind w:firstLine="420" w:firstLineChars="200"/>
        <w:rPr>
          <w:rFonts w:ascii="宋体" w:hAnsi="宋体" w:cs="宋体"/>
          <w:szCs w:val="21"/>
        </w:rPr>
      </w:pPr>
      <w:r>
        <w:rPr>
          <w:rFonts w:hint="eastAsia" w:ascii="宋体" w:hAnsi="宋体" w:cs="宋体"/>
          <w:szCs w:val="21"/>
        </w:rPr>
        <w:t>十、本保函自我方法定代表人或授权代表签名并加盖公章之日起生效。</w:t>
      </w:r>
    </w:p>
    <w:p w14:paraId="1DCB695E">
      <w:pPr>
        <w:overflowPunct w:val="0"/>
        <w:spacing w:line="360" w:lineRule="auto"/>
        <w:ind w:firstLine="420" w:firstLineChars="200"/>
        <w:rPr>
          <w:rFonts w:ascii="宋体" w:hAnsi="宋体" w:cs="宋体"/>
          <w:szCs w:val="21"/>
        </w:rPr>
      </w:pPr>
      <w:r>
        <w:rPr>
          <w:rFonts w:hint="eastAsia" w:ascii="宋体" w:hAnsi="宋体" w:cs="宋体"/>
          <w:szCs w:val="21"/>
        </w:rPr>
        <w:t>十一、本保函在重庆市辖区范围内的核验地点：</w:t>
      </w:r>
      <w:r>
        <w:rPr>
          <w:rFonts w:hint="eastAsia" w:ascii="宋体" w:hAnsi="宋体" w:cs="宋体"/>
          <w:szCs w:val="21"/>
          <w:u w:val="single"/>
        </w:rPr>
        <w:t xml:space="preserve">        </w:t>
      </w:r>
      <w:r>
        <w:rPr>
          <w:rFonts w:hint="eastAsia" w:ascii="宋体" w:hAnsi="宋体" w:cs="宋体"/>
          <w:szCs w:val="21"/>
        </w:rPr>
        <w:t>；核验方式：</w:t>
      </w:r>
      <w:r>
        <w:rPr>
          <w:rFonts w:hint="eastAsia" w:ascii="宋体" w:hAnsi="宋体" w:cs="宋体"/>
          <w:szCs w:val="21"/>
          <w:u w:val="single"/>
        </w:rPr>
        <w:t xml:space="preserve">        </w:t>
      </w:r>
      <w:r>
        <w:rPr>
          <w:rFonts w:hint="eastAsia" w:ascii="宋体" w:hAnsi="宋体" w:eastAsia="宋体" w:cs="宋体"/>
          <w:i/>
          <w:iCs/>
          <w:color w:val="auto"/>
          <w:kern w:val="2"/>
          <w:sz w:val="21"/>
          <w:szCs w:val="21"/>
          <w:u w:val="single"/>
        </w:rPr>
        <w:t>[提示：招标人可以根据项目实际情况，填写本保函在重庆本地的核验方式，如现场核验等]</w:t>
      </w:r>
      <w:r>
        <w:rPr>
          <w:rFonts w:hint="eastAsia" w:ascii="宋体" w:hAnsi="宋体" w:cs="宋体"/>
          <w:szCs w:val="21"/>
        </w:rPr>
        <w:t>。</w:t>
      </w:r>
    </w:p>
    <w:p w14:paraId="4AF9E090">
      <w:pPr>
        <w:spacing w:line="360" w:lineRule="auto"/>
        <w:ind w:firstLine="420" w:firstLineChars="200"/>
        <w:rPr>
          <w:rFonts w:ascii="宋体" w:hAnsi="宋体" w:cs="宋体"/>
          <w:szCs w:val="21"/>
        </w:rPr>
      </w:pPr>
    </w:p>
    <w:p w14:paraId="2C7B44F6">
      <w:pPr>
        <w:overflowPunct w:val="0"/>
        <w:spacing w:line="360" w:lineRule="auto"/>
        <w:ind w:firstLine="420" w:firstLineChars="200"/>
        <w:rPr>
          <w:rFonts w:ascii="宋体" w:hAnsi="宋体" w:cs="宋体"/>
          <w:szCs w:val="21"/>
        </w:rPr>
      </w:pPr>
      <w:r>
        <w:rPr>
          <w:rFonts w:hint="eastAsia" w:ascii="宋体" w:hAnsi="宋体" w:cs="宋体"/>
          <w:szCs w:val="21"/>
        </w:rPr>
        <w:t xml:space="preserve">开 立 人： </w:t>
      </w:r>
      <w:r>
        <w:rPr>
          <w:rFonts w:hint="eastAsia" w:ascii="宋体" w:hAnsi="宋体" w:cs="宋体"/>
          <w:szCs w:val="21"/>
          <w:u w:val="single"/>
        </w:rPr>
        <w:t xml:space="preserve">                                  </w:t>
      </w:r>
      <w:r>
        <w:rPr>
          <w:rFonts w:hint="eastAsia" w:ascii="宋体" w:hAnsi="宋体" w:cs="宋体"/>
          <w:szCs w:val="21"/>
        </w:rPr>
        <w:t>（公章）</w:t>
      </w:r>
    </w:p>
    <w:p w14:paraId="643A2EEB">
      <w:pPr>
        <w:overflowPunct w:val="0"/>
        <w:spacing w:line="360" w:lineRule="auto"/>
        <w:ind w:firstLine="420" w:firstLineChars="200"/>
        <w:rPr>
          <w:rFonts w:ascii="宋体" w:hAnsi="宋体" w:cs="宋体"/>
          <w:szCs w:val="21"/>
        </w:rPr>
      </w:pPr>
      <w:r>
        <w:rPr>
          <w:rFonts w:hint="eastAsia" w:ascii="宋体" w:hAnsi="宋体" w:cs="宋体"/>
          <w:szCs w:val="21"/>
        </w:rPr>
        <w:t>法定代表人（或授权代表）：</w:t>
      </w:r>
      <w:r>
        <w:rPr>
          <w:rFonts w:hint="eastAsia" w:ascii="宋体" w:hAnsi="宋体" w:cs="宋体"/>
          <w:szCs w:val="21"/>
          <w:u w:val="single"/>
        </w:rPr>
        <w:t xml:space="preserve">                     </w:t>
      </w:r>
      <w:r>
        <w:rPr>
          <w:rFonts w:hint="eastAsia" w:ascii="宋体" w:hAnsi="宋体" w:cs="宋体"/>
          <w:szCs w:val="21"/>
        </w:rPr>
        <w:t>（签名）</w:t>
      </w:r>
    </w:p>
    <w:p w14:paraId="1E523C98">
      <w:pPr>
        <w:overflowPunct w:val="0"/>
        <w:spacing w:line="360" w:lineRule="auto"/>
        <w:ind w:firstLine="420" w:firstLineChars="200"/>
        <w:rPr>
          <w:rFonts w:ascii="宋体" w:hAnsi="宋体" w:cs="宋体"/>
          <w:szCs w:val="21"/>
        </w:rPr>
      </w:pPr>
      <w:r>
        <w:rPr>
          <w:rFonts w:hint="eastAsia" w:ascii="宋体" w:hAnsi="宋体" w:cs="宋体"/>
          <w:szCs w:val="21"/>
        </w:rPr>
        <w:t>地    址：</w:t>
      </w:r>
      <w:r>
        <w:rPr>
          <w:rFonts w:hint="eastAsia" w:ascii="宋体" w:hAnsi="宋体" w:cs="宋体"/>
          <w:szCs w:val="21"/>
          <w:u w:val="single"/>
        </w:rPr>
        <w:t xml:space="preserve">                                          </w:t>
      </w:r>
      <w:r>
        <w:rPr>
          <w:rFonts w:hint="eastAsia" w:ascii="宋体" w:hAnsi="宋体" w:cs="宋体"/>
          <w:szCs w:val="21"/>
        </w:rPr>
        <w:t xml:space="preserve"> </w:t>
      </w:r>
    </w:p>
    <w:p w14:paraId="38D54B83">
      <w:pPr>
        <w:overflowPunct w:val="0"/>
        <w:spacing w:line="360" w:lineRule="auto"/>
        <w:ind w:firstLine="420" w:firstLineChars="200"/>
        <w:rPr>
          <w:rFonts w:ascii="宋体" w:hAnsi="宋体" w:cs="宋体"/>
          <w:szCs w:val="21"/>
        </w:rPr>
      </w:pPr>
      <w:r>
        <w:rPr>
          <w:rFonts w:hint="eastAsia" w:ascii="宋体" w:hAnsi="宋体" w:cs="宋体"/>
          <w:szCs w:val="21"/>
        </w:rPr>
        <w:t>邮政编码：</w:t>
      </w:r>
      <w:r>
        <w:rPr>
          <w:rFonts w:hint="eastAsia" w:ascii="宋体" w:hAnsi="宋体" w:cs="宋体"/>
          <w:szCs w:val="21"/>
          <w:u w:val="single"/>
        </w:rPr>
        <w:t xml:space="preserve">                                          </w:t>
      </w:r>
      <w:r>
        <w:rPr>
          <w:rFonts w:hint="eastAsia" w:ascii="宋体" w:hAnsi="宋体" w:cs="宋体"/>
          <w:szCs w:val="21"/>
        </w:rPr>
        <w:t xml:space="preserve"> </w:t>
      </w:r>
    </w:p>
    <w:p w14:paraId="5A2BDE79">
      <w:pPr>
        <w:overflowPunct w:val="0"/>
        <w:spacing w:line="360" w:lineRule="auto"/>
        <w:ind w:firstLine="420" w:firstLineChars="200"/>
        <w:rPr>
          <w:rFonts w:ascii="宋体" w:hAnsi="宋体" w:cs="宋体"/>
          <w:szCs w:val="21"/>
        </w:rPr>
      </w:pPr>
      <w:r>
        <w:rPr>
          <w:rFonts w:hint="eastAsia" w:ascii="宋体" w:hAnsi="宋体" w:cs="宋体"/>
          <w:szCs w:val="21"/>
        </w:rPr>
        <w:t>电    话：</w:t>
      </w:r>
      <w:r>
        <w:rPr>
          <w:rFonts w:hint="eastAsia" w:ascii="宋体" w:hAnsi="宋体" w:cs="宋体"/>
          <w:szCs w:val="21"/>
          <w:u w:val="single"/>
        </w:rPr>
        <w:t xml:space="preserve">                                          </w:t>
      </w:r>
      <w:r>
        <w:rPr>
          <w:rFonts w:hint="eastAsia" w:ascii="宋体" w:hAnsi="宋体" w:cs="宋体"/>
          <w:szCs w:val="21"/>
        </w:rPr>
        <w:t xml:space="preserve"> </w:t>
      </w:r>
    </w:p>
    <w:p w14:paraId="4707C4E0">
      <w:pPr>
        <w:overflowPunct w:val="0"/>
        <w:spacing w:line="360" w:lineRule="auto"/>
        <w:ind w:firstLine="420" w:firstLineChars="200"/>
        <w:rPr>
          <w:rFonts w:ascii="宋体" w:hAnsi="宋体" w:cs="宋体"/>
          <w:szCs w:val="21"/>
        </w:rPr>
      </w:pPr>
      <w:r>
        <w:rPr>
          <w:rFonts w:hint="eastAsia" w:ascii="宋体" w:hAnsi="宋体" w:cs="宋体"/>
          <w:szCs w:val="21"/>
        </w:rPr>
        <w:t>传    真：</w:t>
      </w:r>
      <w:r>
        <w:rPr>
          <w:rFonts w:hint="eastAsia" w:ascii="宋体" w:hAnsi="宋体" w:cs="宋体"/>
          <w:szCs w:val="21"/>
          <w:u w:val="single"/>
        </w:rPr>
        <w:t xml:space="preserve">                                          </w:t>
      </w:r>
      <w:r>
        <w:rPr>
          <w:rFonts w:hint="eastAsia" w:ascii="宋体" w:hAnsi="宋体" w:cs="宋体"/>
          <w:szCs w:val="21"/>
        </w:rPr>
        <w:t xml:space="preserve"> </w:t>
      </w:r>
    </w:p>
    <w:p w14:paraId="738B018D">
      <w:pPr>
        <w:rPr>
          <w:rFonts w:ascii="宋体" w:hAnsi="宋体"/>
          <w:szCs w:val="21"/>
        </w:rPr>
      </w:pPr>
      <w:r>
        <w:rPr>
          <w:rFonts w:hint="eastAsia" w:ascii="宋体" w:hAnsi="宋体" w:cs="宋体"/>
          <w:szCs w:val="21"/>
        </w:rPr>
        <w:t>开立时间：    年    月    日</w:t>
      </w:r>
      <w:r>
        <w:rPr>
          <w:rFonts w:hint="eastAsia" w:ascii="宋体" w:hAnsi="宋体"/>
          <w:szCs w:val="21"/>
        </w:rPr>
        <w:br w:type="page"/>
      </w:r>
    </w:p>
    <w:p w14:paraId="60890B8C">
      <w:pPr>
        <w:spacing w:line="360" w:lineRule="auto"/>
        <w:ind w:firstLine="420" w:firstLineChars="200"/>
        <w:rPr>
          <w:rFonts w:ascii="宋体" w:hAnsi="宋体"/>
          <w:szCs w:val="21"/>
        </w:rPr>
      </w:pPr>
      <w:r>
        <w:rPr>
          <w:rFonts w:hint="eastAsia" w:ascii="宋体" w:hAnsi="宋体"/>
          <w:szCs w:val="21"/>
        </w:rPr>
        <w:t xml:space="preserve">3. </w:t>
      </w:r>
      <w:r>
        <w:rPr>
          <w:rFonts w:hint="eastAsia" w:ascii="宋体" w:hAnsi="宋体"/>
          <w:b w:val="0"/>
          <w:lang w:val="en-US" w:eastAsia="zh-CN"/>
        </w:rPr>
        <w:t>按照招标文件第二章投标人须知前附表第1.4.1项、第3.4款要求提供的资料。</w:t>
      </w:r>
    </w:p>
    <w:p w14:paraId="4879A10E">
      <w:pPr>
        <w:spacing w:line="360" w:lineRule="auto"/>
        <w:ind w:firstLine="420" w:firstLineChars="200"/>
      </w:pPr>
      <w:r>
        <w:rPr>
          <w:rFonts w:ascii="宋体" w:hAnsi="宋体"/>
          <w:szCs w:val="21"/>
        </w:rPr>
        <w:t>……</w:t>
      </w:r>
    </w:p>
    <w:p w14:paraId="62404908">
      <w:pPr>
        <w:spacing w:line="360" w:lineRule="auto"/>
        <w:ind w:firstLine="0" w:firstLineChars="0"/>
      </w:pPr>
    </w:p>
    <w:sectPr>
      <w:headerReference r:id="rId8" w:type="default"/>
      <w:footerReference r:id="rId9" w:type="default"/>
      <w:pgSz w:w="11906" w:h="16838"/>
      <w:pgMar w:top="1304" w:right="1134" w:bottom="1304" w:left="1304" w:header="851" w:footer="992" w:gutter="0"/>
      <w:pgBorders>
        <w:top w:val="none" w:sz="0" w:space="0"/>
        <w:left w:val="none" w:sz="0" w:space="0"/>
        <w:bottom w:val="none" w:sz="0" w:space="0"/>
        <w:right w:val="none" w:sz="0" w:space="0"/>
      </w:pgBorders>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简体">
    <w:altName w:val="宋体"/>
    <w:panose1 w:val="00000000000000000000"/>
    <w:charset w:val="86"/>
    <w:family w:val="auto"/>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方正小标宋简体">
    <w:panose1 w:val="02010601030101010101"/>
    <w:charset w:val="86"/>
    <w:family w:val="script"/>
    <w:pitch w:val="default"/>
    <w:sig w:usb0="00000001" w:usb1="080E0000" w:usb2="00000000" w:usb3="00000000" w:csb0="00040000"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仿宋">
    <w:panose1 w:val="02010609060101010101"/>
    <w:charset w:val="86"/>
    <w:family w:val="modern"/>
    <w:pitch w:val="default"/>
    <w:sig w:usb0="800002BF" w:usb1="38CF7CFA" w:usb2="00000016" w:usb3="00000000" w:csb0="00040001" w:csb1="00000000"/>
  </w:font>
  <w:font w:name="方正仿宋简体">
    <w:panose1 w:val="02000000000000000000"/>
    <w:charset w:val="86"/>
    <w:family w:val="auto"/>
    <w:pitch w:val="default"/>
    <w:sig w:usb0="A00002BF" w:usb1="184F6CFA" w:usb2="00000012" w:usb3="00000000" w:csb0="00040001" w:csb1="00000000"/>
  </w:font>
  <w:font w:name="华文细黑">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MingLiU">
    <w:altName w:val="PMingLiU-ExtB"/>
    <w:panose1 w:val="02020509000000000000"/>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华文宋体">
    <w:panose1 w:val="02010600040101010101"/>
    <w:charset w:val="86"/>
    <w:family w:val="auto"/>
    <w:pitch w:val="default"/>
    <w:sig w:usb0="00000287" w:usb1="080F0000" w:usb2="00000000" w:usb3="00000000" w:csb0="0004009F" w:csb1="DFD70000"/>
  </w:font>
  <w:font w:name="新宋体">
    <w:panose1 w:val="02010609030101010101"/>
    <w:charset w:val="86"/>
    <w:family w:val="auto"/>
    <w:pitch w:val="default"/>
    <w:sig w:usb0="00000203" w:usb1="288F0000" w:usb2="00000006" w:usb3="00000000" w:csb0="00040001"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893306">
    <w:pPr>
      <w:pStyle w:val="2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3DAB0A">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- 4 -</w:t>
    </w:r>
    <w:r>
      <w:fldChar w:fldCharType="end"/>
    </w:r>
  </w:p>
  <w:p w14:paraId="38D8C427">
    <w:pPr>
      <w:pStyle w:val="2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D1155F">
    <w:pPr>
      <w:pStyle w:val="29"/>
      <w:jc w:val="center"/>
    </w:pPr>
    <w:r>
      <w:t xml:space="preserve">- </w:t>
    </w:r>
    <w:r>
      <w:fldChar w:fldCharType="begin"/>
    </w:r>
    <w:r>
      <w:instrText xml:space="preserve"> PAGE </w:instrText>
    </w:r>
    <w:r>
      <w:fldChar w:fldCharType="separate"/>
    </w:r>
    <w:r>
      <w:t>24</w:t>
    </w:r>
    <w:r>
      <w:fldChar w:fldCharType="end"/>
    </w:r>
    <w: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6A93F">
    <w:pPr>
      <w:pStyle w:val="29"/>
      <w:framePr w:wrap="around" w:vAnchor="text" w:hAnchor="margin" w:xAlign="center" w:y="1"/>
      <w:rPr>
        <w:rStyle w:val="51"/>
      </w:rPr>
    </w:pPr>
    <w:r>
      <w:fldChar w:fldCharType="begin"/>
    </w:r>
    <w:r>
      <w:rPr>
        <w:rStyle w:val="51"/>
      </w:rPr>
      <w:instrText xml:space="preserve">PAGE  </w:instrText>
    </w:r>
    <w:r>
      <w:fldChar w:fldCharType="separate"/>
    </w:r>
    <w:r>
      <w:rPr>
        <w:rStyle w:val="51"/>
      </w:rPr>
      <w:t>264</w:t>
    </w:r>
    <w:r>
      <w:fldChar w:fldCharType="end"/>
    </w:r>
  </w:p>
  <w:p w14:paraId="4E26C185">
    <w:pPr>
      <w:pStyle w:val="2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B993B0">
    <w:pPr>
      <w:pStyle w:val="29"/>
      <w:jc w:val="both"/>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6C3A02F">
                          <w:pPr>
                            <w:pStyle w:val="29"/>
                          </w:pPr>
                          <w:r>
                            <w:t xml:space="preserve">第 </w:t>
                          </w:r>
                          <w:r>
                            <w:fldChar w:fldCharType="begin"/>
                          </w:r>
                          <w:r>
                            <w:instrText xml:space="preserve"> PAGE  \* MERGEFORMAT </w:instrText>
                          </w:r>
                          <w:r>
                            <w:fldChar w:fldCharType="separate"/>
                          </w:r>
                          <w:r>
                            <w:t>72</w:t>
                          </w:r>
                          <w:r>
                            <w:fldChar w:fldCharType="end"/>
                          </w:r>
                          <w:r>
                            <w:t xml:space="preserve"> 页</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46C3A02F">
                    <w:pPr>
                      <w:pStyle w:val="29"/>
                    </w:pPr>
                    <w:r>
                      <w:t xml:space="preserve">第 </w:t>
                    </w:r>
                    <w:r>
                      <w:fldChar w:fldCharType="begin"/>
                    </w:r>
                    <w:r>
                      <w:instrText xml:space="preserve"> PAGE  \* MERGEFORMAT </w:instrText>
                    </w:r>
                    <w:r>
                      <w:fldChar w:fldCharType="separate"/>
                    </w:r>
                    <w:r>
                      <w:t>72</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F38AF9">
    <w:pPr>
      <w:pStyle w:val="3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A26393">
    <w:pPr>
      <w:rPr>
        <w:rFonts w:hint="eastAsia" w:ascii="仿宋_GB2312" w:eastAsia="仿宋_GB2312"/>
        <w:b/>
        <w:sz w:val="32"/>
        <w:szCs w:val="3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04F7C2C"/>
    <w:multiLevelType w:val="singleLevel"/>
    <w:tmpl w:val="904F7C2C"/>
    <w:lvl w:ilvl="0" w:tentative="0">
      <w:start w:val="1"/>
      <w:numFmt w:val="decimal"/>
      <w:suff w:val="nothing"/>
      <w:lvlText w:val="（%1）"/>
      <w:lvlJc w:val="left"/>
    </w:lvl>
  </w:abstractNum>
  <w:abstractNum w:abstractNumId="1">
    <w:nsid w:val="AD0BF36E"/>
    <w:multiLevelType w:val="singleLevel"/>
    <w:tmpl w:val="AD0BF36E"/>
    <w:lvl w:ilvl="0" w:tentative="0">
      <w:start w:val="5"/>
      <w:numFmt w:val="chineseCounting"/>
      <w:suff w:val="nothing"/>
      <w:lvlText w:val="%1、"/>
      <w:lvlJc w:val="left"/>
      <w:rPr>
        <w:rFonts w:hint="eastAsia"/>
      </w:rPr>
    </w:lvl>
  </w:abstractNum>
  <w:abstractNum w:abstractNumId="2">
    <w:nsid w:val="DB9CE0F6"/>
    <w:multiLevelType w:val="singleLevel"/>
    <w:tmpl w:val="DB9CE0F6"/>
    <w:lvl w:ilvl="0" w:tentative="0">
      <w:start w:val="1"/>
      <w:numFmt w:val="decimal"/>
      <w:suff w:val="nothing"/>
      <w:lvlText w:val="（%1）"/>
      <w:lvlJc w:val="left"/>
      <w:rPr>
        <w:rFonts w:hint="default"/>
        <w:i w:val="0"/>
        <w:iCs w:val="0"/>
      </w:rPr>
    </w:lvl>
  </w:abstractNum>
  <w:abstractNum w:abstractNumId="3">
    <w:nsid w:val="F33ED925"/>
    <w:multiLevelType w:val="singleLevel"/>
    <w:tmpl w:val="F33ED925"/>
    <w:lvl w:ilvl="0" w:tentative="0">
      <w:start w:val="1"/>
      <w:numFmt w:val="decimal"/>
      <w:suff w:val="nothing"/>
      <w:lvlText w:val="%1）"/>
      <w:lvlJc w:val="left"/>
    </w:lvl>
  </w:abstractNum>
  <w:abstractNum w:abstractNumId="4">
    <w:nsid w:val="09294516"/>
    <w:multiLevelType w:val="singleLevel"/>
    <w:tmpl w:val="09294516"/>
    <w:lvl w:ilvl="0" w:tentative="0">
      <w:start w:val="1"/>
      <w:numFmt w:val="decimal"/>
      <w:suff w:val="nothing"/>
      <w:lvlText w:val="%1、"/>
      <w:lvlJc w:val="left"/>
    </w:lvl>
  </w:abstractNum>
  <w:abstractNum w:abstractNumId="5">
    <w:nsid w:val="19F40378"/>
    <w:multiLevelType w:val="singleLevel"/>
    <w:tmpl w:val="19F40378"/>
    <w:lvl w:ilvl="0" w:tentative="0">
      <w:start w:val="2"/>
      <w:numFmt w:val="chineseCounting"/>
      <w:suff w:val="nothing"/>
      <w:lvlText w:val="%1、"/>
      <w:lvlJc w:val="left"/>
      <w:rPr>
        <w:rFonts w:hint="eastAsia"/>
      </w:rPr>
    </w:lvl>
  </w:abstractNum>
  <w:num w:numId="1">
    <w:abstractNumId w:val="2"/>
  </w:num>
  <w:num w:numId="2">
    <w:abstractNumId w:val="0"/>
  </w:num>
  <w:num w:numId="3">
    <w:abstractNumId w:val="5"/>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hmY2RlYjM1ZmIzNzMwNzlkMWFlZTI0NGUxMmFjMTMifQ=="/>
  </w:docVars>
  <w:rsids>
    <w:rsidRoot w:val="00172A27"/>
    <w:rsid w:val="0001716C"/>
    <w:rsid w:val="000172B2"/>
    <w:rsid w:val="0003117E"/>
    <w:rsid w:val="00050B5A"/>
    <w:rsid w:val="00073A73"/>
    <w:rsid w:val="00091B45"/>
    <w:rsid w:val="00096C0D"/>
    <w:rsid w:val="000A45C9"/>
    <w:rsid w:val="000B1A49"/>
    <w:rsid w:val="000C0DAA"/>
    <w:rsid w:val="000C48CA"/>
    <w:rsid w:val="00107B10"/>
    <w:rsid w:val="00113606"/>
    <w:rsid w:val="00114822"/>
    <w:rsid w:val="00116908"/>
    <w:rsid w:val="00132DC2"/>
    <w:rsid w:val="00136F92"/>
    <w:rsid w:val="0014518F"/>
    <w:rsid w:val="00163AD2"/>
    <w:rsid w:val="001661FC"/>
    <w:rsid w:val="00172A27"/>
    <w:rsid w:val="00190F60"/>
    <w:rsid w:val="00195708"/>
    <w:rsid w:val="001C448A"/>
    <w:rsid w:val="001C5AC8"/>
    <w:rsid w:val="001D5B6E"/>
    <w:rsid w:val="00203544"/>
    <w:rsid w:val="00214982"/>
    <w:rsid w:val="002515CB"/>
    <w:rsid w:val="00276A4F"/>
    <w:rsid w:val="0027778B"/>
    <w:rsid w:val="002F0760"/>
    <w:rsid w:val="002F3314"/>
    <w:rsid w:val="002F599A"/>
    <w:rsid w:val="00303224"/>
    <w:rsid w:val="00305CE7"/>
    <w:rsid w:val="00326BDA"/>
    <w:rsid w:val="003347D8"/>
    <w:rsid w:val="00344821"/>
    <w:rsid w:val="00347F6A"/>
    <w:rsid w:val="00351AAE"/>
    <w:rsid w:val="00360932"/>
    <w:rsid w:val="003765C0"/>
    <w:rsid w:val="0038024F"/>
    <w:rsid w:val="0038701F"/>
    <w:rsid w:val="00391E87"/>
    <w:rsid w:val="003D0CDC"/>
    <w:rsid w:val="003D68D4"/>
    <w:rsid w:val="003F2CBF"/>
    <w:rsid w:val="004029F2"/>
    <w:rsid w:val="00406723"/>
    <w:rsid w:val="00411B6D"/>
    <w:rsid w:val="00415982"/>
    <w:rsid w:val="00420800"/>
    <w:rsid w:val="0042139F"/>
    <w:rsid w:val="00433569"/>
    <w:rsid w:val="00463DA8"/>
    <w:rsid w:val="00466F88"/>
    <w:rsid w:val="00467951"/>
    <w:rsid w:val="00472E48"/>
    <w:rsid w:val="004738D7"/>
    <w:rsid w:val="00486AB1"/>
    <w:rsid w:val="004902E2"/>
    <w:rsid w:val="004940B7"/>
    <w:rsid w:val="004A76DC"/>
    <w:rsid w:val="004B5F08"/>
    <w:rsid w:val="004C7159"/>
    <w:rsid w:val="004C75DA"/>
    <w:rsid w:val="004D3358"/>
    <w:rsid w:val="004D5457"/>
    <w:rsid w:val="004E27CF"/>
    <w:rsid w:val="004F5975"/>
    <w:rsid w:val="00512EF7"/>
    <w:rsid w:val="00525133"/>
    <w:rsid w:val="0053743A"/>
    <w:rsid w:val="00545BFB"/>
    <w:rsid w:val="0055101A"/>
    <w:rsid w:val="005543FE"/>
    <w:rsid w:val="00575F4A"/>
    <w:rsid w:val="00590FE4"/>
    <w:rsid w:val="00593DC0"/>
    <w:rsid w:val="00595353"/>
    <w:rsid w:val="005A6AE2"/>
    <w:rsid w:val="005B2E03"/>
    <w:rsid w:val="005B2E91"/>
    <w:rsid w:val="005B6CC9"/>
    <w:rsid w:val="005C4941"/>
    <w:rsid w:val="005F5759"/>
    <w:rsid w:val="005F6E7E"/>
    <w:rsid w:val="00601773"/>
    <w:rsid w:val="0060505A"/>
    <w:rsid w:val="006072F6"/>
    <w:rsid w:val="006136E6"/>
    <w:rsid w:val="00621A66"/>
    <w:rsid w:val="006232AB"/>
    <w:rsid w:val="00624515"/>
    <w:rsid w:val="00626A41"/>
    <w:rsid w:val="00651630"/>
    <w:rsid w:val="006744F3"/>
    <w:rsid w:val="00675481"/>
    <w:rsid w:val="006A4F0D"/>
    <w:rsid w:val="006D1737"/>
    <w:rsid w:val="006D2C60"/>
    <w:rsid w:val="006D35A1"/>
    <w:rsid w:val="006E0BD0"/>
    <w:rsid w:val="006F18B9"/>
    <w:rsid w:val="006F3F5E"/>
    <w:rsid w:val="007101E2"/>
    <w:rsid w:val="007347BD"/>
    <w:rsid w:val="00736A8F"/>
    <w:rsid w:val="007371EC"/>
    <w:rsid w:val="00744674"/>
    <w:rsid w:val="00747D81"/>
    <w:rsid w:val="00757B98"/>
    <w:rsid w:val="007672A6"/>
    <w:rsid w:val="00767A4A"/>
    <w:rsid w:val="00782EE9"/>
    <w:rsid w:val="00797E4E"/>
    <w:rsid w:val="007B06F0"/>
    <w:rsid w:val="007B1726"/>
    <w:rsid w:val="007B691A"/>
    <w:rsid w:val="0081619F"/>
    <w:rsid w:val="0082524D"/>
    <w:rsid w:val="008317BD"/>
    <w:rsid w:val="00834A1E"/>
    <w:rsid w:val="00842C80"/>
    <w:rsid w:val="00854254"/>
    <w:rsid w:val="00862AB9"/>
    <w:rsid w:val="00863569"/>
    <w:rsid w:val="008708D3"/>
    <w:rsid w:val="00870FC8"/>
    <w:rsid w:val="00875E0D"/>
    <w:rsid w:val="0088121D"/>
    <w:rsid w:val="00883DE3"/>
    <w:rsid w:val="008855A1"/>
    <w:rsid w:val="00895CA5"/>
    <w:rsid w:val="008B2A9B"/>
    <w:rsid w:val="008C2E51"/>
    <w:rsid w:val="008D56B3"/>
    <w:rsid w:val="008E0DF2"/>
    <w:rsid w:val="009229F7"/>
    <w:rsid w:val="00936E3A"/>
    <w:rsid w:val="00943E72"/>
    <w:rsid w:val="00947CBB"/>
    <w:rsid w:val="009501FF"/>
    <w:rsid w:val="00971A27"/>
    <w:rsid w:val="00980B01"/>
    <w:rsid w:val="00985BFD"/>
    <w:rsid w:val="0099244F"/>
    <w:rsid w:val="009957A5"/>
    <w:rsid w:val="00995C70"/>
    <w:rsid w:val="0099761C"/>
    <w:rsid w:val="00997A94"/>
    <w:rsid w:val="009B2798"/>
    <w:rsid w:val="009D3348"/>
    <w:rsid w:val="009D5CBC"/>
    <w:rsid w:val="009E7317"/>
    <w:rsid w:val="00A004AD"/>
    <w:rsid w:val="00A13EB9"/>
    <w:rsid w:val="00A1465F"/>
    <w:rsid w:val="00A27990"/>
    <w:rsid w:val="00A319EE"/>
    <w:rsid w:val="00A377A8"/>
    <w:rsid w:val="00A42D25"/>
    <w:rsid w:val="00A53F00"/>
    <w:rsid w:val="00A5711F"/>
    <w:rsid w:val="00A667F4"/>
    <w:rsid w:val="00A70D81"/>
    <w:rsid w:val="00A763DA"/>
    <w:rsid w:val="00A817AB"/>
    <w:rsid w:val="00A818A8"/>
    <w:rsid w:val="00A82F99"/>
    <w:rsid w:val="00A84F79"/>
    <w:rsid w:val="00A90D27"/>
    <w:rsid w:val="00A91ECA"/>
    <w:rsid w:val="00AA1308"/>
    <w:rsid w:val="00AC25D4"/>
    <w:rsid w:val="00AC6A5B"/>
    <w:rsid w:val="00AC714D"/>
    <w:rsid w:val="00AD45F1"/>
    <w:rsid w:val="00AD7A1A"/>
    <w:rsid w:val="00AE7597"/>
    <w:rsid w:val="00AF2F24"/>
    <w:rsid w:val="00B32480"/>
    <w:rsid w:val="00B46103"/>
    <w:rsid w:val="00B60076"/>
    <w:rsid w:val="00B60E63"/>
    <w:rsid w:val="00B622F5"/>
    <w:rsid w:val="00B654AD"/>
    <w:rsid w:val="00B80A97"/>
    <w:rsid w:val="00B8194D"/>
    <w:rsid w:val="00BA233B"/>
    <w:rsid w:val="00BB5EFE"/>
    <w:rsid w:val="00BC60A1"/>
    <w:rsid w:val="00BD263E"/>
    <w:rsid w:val="00BD34D1"/>
    <w:rsid w:val="00BD35EC"/>
    <w:rsid w:val="00BE0A02"/>
    <w:rsid w:val="00BE2BB9"/>
    <w:rsid w:val="00BE395A"/>
    <w:rsid w:val="00BF2238"/>
    <w:rsid w:val="00BF31A0"/>
    <w:rsid w:val="00BF6942"/>
    <w:rsid w:val="00BF7DBB"/>
    <w:rsid w:val="00C2648E"/>
    <w:rsid w:val="00C30AAA"/>
    <w:rsid w:val="00C40503"/>
    <w:rsid w:val="00C62291"/>
    <w:rsid w:val="00C63CD2"/>
    <w:rsid w:val="00C64760"/>
    <w:rsid w:val="00C65B74"/>
    <w:rsid w:val="00C77930"/>
    <w:rsid w:val="00C81479"/>
    <w:rsid w:val="00C8393F"/>
    <w:rsid w:val="00C90517"/>
    <w:rsid w:val="00C95CEF"/>
    <w:rsid w:val="00CB025B"/>
    <w:rsid w:val="00CC0216"/>
    <w:rsid w:val="00CC3630"/>
    <w:rsid w:val="00CD7BCA"/>
    <w:rsid w:val="00CF3752"/>
    <w:rsid w:val="00D023AB"/>
    <w:rsid w:val="00D03FF2"/>
    <w:rsid w:val="00D076D4"/>
    <w:rsid w:val="00D10336"/>
    <w:rsid w:val="00D32A09"/>
    <w:rsid w:val="00D33FB0"/>
    <w:rsid w:val="00D34594"/>
    <w:rsid w:val="00D5091A"/>
    <w:rsid w:val="00D51446"/>
    <w:rsid w:val="00D647F9"/>
    <w:rsid w:val="00D65229"/>
    <w:rsid w:val="00D737C1"/>
    <w:rsid w:val="00D97D9B"/>
    <w:rsid w:val="00DB3AA5"/>
    <w:rsid w:val="00DD34A5"/>
    <w:rsid w:val="00DD6B9D"/>
    <w:rsid w:val="00DE4FFB"/>
    <w:rsid w:val="00DF4946"/>
    <w:rsid w:val="00DF4FE5"/>
    <w:rsid w:val="00E11E56"/>
    <w:rsid w:val="00E120EE"/>
    <w:rsid w:val="00E40C30"/>
    <w:rsid w:val="00E47BD5"/>
    <w:rsid w:val="00E543D6"/>
    <w:rsid w:val="00E61612"/>
    <w:rsid w:val="00E67C87"/>
    <w:rsid w:val="00E87D55"/>
    <w:rsid w:val="00EB7B6A"/>
    <w:rsid w:val="00EC0980"/>
    <w:rsid w:val="00EF2041"/>
    <w:rsid w:val="00EF3EC0"/>
    <w:rsid w:val="00F00C7E"/>
    <w:rsid w:val="00F07C71"/>
    <w:rsid w:val="00F3279A"/>
    <w:rsid w:val="00F55A69"/>
    <w:rsid w:val="00F676F0"/>
    <w:rsid w:val="00F72CA9"/>
    <w:rsid w:val="00F753F0"/>
    <w:rsid w:val="00F9257E"/>
    <w:rsid w:val="00FA261D"/>
    <w:rsid w:val="00FB621B"/>
    <w:rsid w:val="00FF4D4B"/>
    <w:rsid w:val="0116312F"/>
    <w:rsid w:val="01207B0A"/>
    <w:rsid w:val="012F20E3"/>
    <w:rsid w:val="013E2686"/>
    <w:rsid w:val="014D28C9"/>
    <w:rsid w:val="015F117E"/>
    <w:rsid w:val="016F48DC"/>
    <w:rsid w:val="016F5A53"/>
    <w:rsid w:val="018E781B"/>
    <w:rsid w:val="01A77992"/>
    <w:rsid w:val="01C81635"/>
    <w:rsid w:val="01C84669"/>
    <w:rsid w:val="020110AA"/>
    <w:rsid w:val="020A2568"/>
    <w:rsid w:val="02456512"/>
    <w:rsid w:val="027066F9"/>
    <w:rsid w:val="027B37D5"/>
    <w:rsid w:val="028B7029"/>
    <w:rsid w:val="0299432B"/>
    <w:rsid w:val="02B26E88"/>
    <w:rsid w:val="02C73591"/>
    <w:rsid w:val="02D634CE"/>
    <w:rsid w:val="02E712E7"/>
    <w:rsid w:val="02F1741B"/>
    <w:rsid w:val="02FC4B8E"/>
    <w:rsid w:val="030347B2"/>
    <w:rsid w:val="03035A75"/>
    <w:rsid w:val="03062FF8"/>
    <w:rsid w:val="03324729"/>
    <w:rsid w:val="03451486"/>
    <w:rsid w:val="03E5141C"/>
    <w:rsid w:val="03F94E0A"/>
    <w:rsid w:val="048F42EE"/>
    <w:rsid w:val="04B35139"/>
    <w:rsid w:val="04C74740"/>
    <w:rsid w:val="04DE3380"/>
    <w:rsid w:val="05580817"/>
    <w:rsid w:val="05AE697F"/>
    <w:rsid w:val="05BB24F7"/>
    <w:rsid w:val="05C3315A"/>
    <w:rsid w:val="05CA642C"/>
    <w:rsid w:val="05EC0902"/>
    <w:rsid w:val="05F15F19"/>
    <w:rsid w:val="060F6AC5"/>
    <w:rsid w:val="06205B52"/>
    <w:rsid w:val="065A0C2F"/>
    <w:rsid w:val="067D3E3A"/>
    <w:rsid w:val="06B17456"/>
    <w:rsid w:val="06D849E3"/>
    <w:rsid w:val="06FB0D9D"/>
    <w:rsid w:val="076D1CAF"/>
    <w:rsid w:val="07726BE5"/>
    <w:rsid w:val="07C75183"/>
    <w:rsid w:val="07DC193F"/>
    <w:rsid w:val="082062BB"/>
    <w:rsid w:val="08635F21"/>
    <w:rsid w:val="086C6E18"/>
    <w:rsid w:val="088B2566"/>
    <w:rsid w:val="08A234FA"/>
    <w:rsid w:val="08B34944"/>
    <w:rsid w:val="08BF22FE"/>
    <w:rsid w:val="08E81855"/>
    <w:rsid w:val="09280F5B"/>
    <w:rsid w:val="09514FE3"/>
    <w:rsid w:val="09810A99"/>
    <w:rsid w:val="099B68C7"/>
    <w:rsid w:val="09B27B50"/>
    <w:rsid w:val="09D848E1"/>
    <w:rsid w:val="09F40CC1"/>
    <w:rsid w:val="09FF1FA9"/>
    <w:rsid w:val="0A226E55"/>
    <w:rsid w:val="0A4E2240"/>
    <w:rsid w:val="0A635CD8"/>
    <w:rsid w:val="0A8967CA"/>
    <w:rsid w:val="0AA55524"/>
    <w:rsid w:val="0AF1029B"/>
    <w:rsid w:val="0B555A50"/>
    <w:rsid w:val="0B607CBC"/>
    <w:rsid w:val="0B626F71"/>
    <w:rsid w:val="0B7E4269"/>
    <w:rsid w:val="0B9D61FB"/>
    <w:rsid w:val="0BB97C7D"/>
    <w:rsid w:val="0BC86AE6"/>
    <w:rsid w:val="0C004A91"/>
    <w:rsid w:val="0C0555AD"/>
    <w:rsid w:val="0C1666D9"/>
    <w:rsid w:val="0C395673"/>
    <w:rsid w:val="0C4D5E73"/>
    <w:rsid w:val="0C4F281C"/>
    <w:rsid w:val="0C83617B"/>
    <w:rsid w:val="0C945850"/>
    <w:rsid w:val="0CA85607"/>
    <w:rsid w:val="0CB735E2"/>
    <w:rsid w:val="0CD34CBA"/>
    <w:rsid w:val="0CDA0BF7"/>
    <w:rsid w:val="0CEA0261"/>
    <w:rsid w:val="0D1B16BD"/>
    <w:rsid w:val="0D3F57BC"/>
    <w:rsid w:val="0D533015"/>
    <w:rsid w:val="0D58401B"/>
    <w:rsid w:val="0D65084A"/>
    <w:rsid w:val="0D6B035F"/>
    <w:rsid w:val="0D943BC3"/>
    <w:rsid w:val="0DA93533"/>
    <w:rsid w:val="0DAA3343"/>
    <w:rsid w:val="0DC02887"/>
    <w:rsid w:val="0DD94183"/>
    <w:rsid w:val="0DD95C10"/>
    <w:rsid w:val="0DDF48EE"/>
    <w:rsid w:val="0DFE262D"/>
    <w:rsid w:val="0E00723F"/>
    <w:rsid w:val="0E0545C3"/>
    <w:rsid w:val="0E2203A6"/>
    <w:rsid w:val="0E2857D8"/>
    <w:rsid w:val="0E963048"/>
    <w:rsid w:val="0EA679AA"/>
    <w:rsid w:val="0EB72359"/>
    <w:rsid w:val="0EC73CBB"/>
    <w:rsid w:val="0EE35EBD"/>
    <w:rsid w:val="0EE8560C"/>
    <w:rsid w:val="0F042EE4"/>
    <w:rsid w:val="0F543075"/>
    <w:rsid w:val="0F5B3DF2"/>
    <w:rsid w:val="0F89184D"/>
    <w:rsid w:val="0F985657"/>
    <w:rsid w:val="0F987C30"/>
    <w:rsid w:val="0FD20B69"/>
    <w:rsid w:val="0FF25A15"/>
    <w:rsid w:val="10220FE3"/>
    <w:rsid w:val="10221450"/>
    <w:rsid w:val="108A66C8"/>
    <w:rsid w:val="10BE3D77"/>
    <w:rsid w:val="10BE6ECD"/>
    <w:rsid w:val="10D821AF"/>
    <w:rsid w:val="10DA3734"/>
    <w:rsid w:val="10F60887"/>
    <w:rsid w:val="110B2037"/>
    <w:rsid w:val="111E449D"/>
    <w:rsid w:val="111F1F32"/>
    <w:rsid w:val="11360C84"/>
    <w:rsid w:val="11613355"/>
    <w:rsid w:val="116577BB"/>
    <w:rsid w:val="118B5BFE"/>
    <w:rsid w:val="11A227BD"/>
    <w:rsid w:val="11DA57CC"/>
    <w:rsid w:val="120A013B"/>
    <w:rsid w:val="121675E9"/>
    <w:rsid w:val="1233094B"/>
    <w:rsid w:val="123956DC"/>
    <w:rsid w:val="124F64A1"/>
    <w:rsid w:val="12747CB6"/>
    <w:rsid w:val="128D3C2B"/>
    <w:rsid w:val="12A44467"/>
    <w:rsid w:val="12B44556"/>
    <w:rsid w:val="12B44D3C"/>
    <w:rsid w:val="12B91B6C"/>
    <w:rsid w:val="12D81340"/>
    <w:rsid w:val="12ED4716"/>
    <w:rsid w:val="12F32A2B"/>
    <w:rsid w:val="12FF41EC"/>
    <w:rsid w:val="13306EC2"/>
    <w:rsid w:val="13AE0697"/>
    <w:rsid w:val="13B42074"/>
    <w:rsid w:val="13C54541"/>
    <w:rsid w:val="13DF63D4"/>
    <w:rsid w:val="13E477CD"/>
    <w:rsid w:val="1412023F"/>
    <w:rsid w:val="14276FAA"/>
    <w:rsid w:val="1439622D"/>
    <w:rsid w:val="143F1D7B"/>
    <w:rsid w:val="14467430"/>
    <w:rsid w:val="145E0C1D"/>
    <w:rsid w:val="14C36CD2"/>
    <w:rsid w:val="14EA2041"/>
    <w:rsid w:val="14EF3F6B"/>
    <w:rsid w:val="15396F94"/>
    <w:rsid w:val="15557480"/>
    <w:rsid w:val="155A4791"/>
    <w:rsid w:val="15892CDA"/>
    <w:rsid w:val="159B7958"/>
    <w:rsid w:val="15AD20D5"/>
    <w:rsid w:val="1606156C"/>
    <w:rsid w:val="160B6B83"/>
    <w:rsid w:val="16287735"/>
    <w:rsid w:val="162E2871"/>
    <w:rsid w:val="16313B46"/>
    <w:rsid w:val="163F0551"/>
    <w:rsid w:val="16575097"/>
    <w:rsid w:val="16753FFC"/>
    <w:rsid w:val="169C4016"/>
    <w:rsid w:val="16BE56D5"/>
    <w:rsid w:val="16CE3691"/>
    <w:rsid w:val="17044DC6"/>
    <w:rsid w:val="1738538A"/>
    <w:rsid w:val="17797B1C"/>
    <w:rsid w:val="17843670"/>
    <w:rsid w:val="1787048B"/>
    <w:rsid w:val="178A77D4"/>
    <w:rsid w:val="178C2662"/>
    <w:rsid w:val="17CF19E0"/>
    <w:rsid w:val="17D26E39"/>
    <w:rsid w:val="17FD641A"/>
    <w:rsid w:val="181847BE"/>
    <w:rsid w:val="181A12FF"/>
    <w:rsid w:val="18251A52"/>
    <w:rsid w:val="18257CB9"/>
    <w:rsid w:val="18574731"/>
    <w:rsid w:val="18941A2E"/>
    <w:rsid w:val="18C7014D"/>
    <w:rsid w:val="18D53221"/>
    <w:rsid w:val="18E97654"/>
    <w:rsid w:val="19001EC7"/>
    <w:rsid w:val="19205339"/>
    <w:rsid w:val="19217B6C"/>
    <w:rsid w:val="19232435"/>
    <w:rsid w:val="193948C5"/>
    <w:rsid w:val="19660093"/>
    <w:rsid w:val="196A733A"/>
    <w:rsid w:val="196B73B1"/>
    <w:rsid w:val="1975219A"/>
    <w:rsid w:val="198256D8"/>
    <w:rsid w:val="198F308C"/>
    <w:rsid w:val="19A32B32"/>
    <w:rsid w:val="1A027EB1"/>
    <w:rsid w:val="1A031316"/>
    <w:rsid w:val="1A22456D"/>
    <w:rsid w:val="1A265143"/>
    <w:rsid w:val="1A4E5290"/>
    <w:rsid w:val="1A5D1977"/>
    <w:rsid w:val="1A5F47FD"/>
    <w:rsid w:val="1A735D7E"/>
    <w:rsid w:val="1A7B1DFD"/>
    <w:rsid w:val="1A7E4151"/>
    <w:rsid w:val="1AEC6857"/>
    <w:rsid w:val="1B053001"/>
    <w:rsid w:val="1B7927E1"/>
    <w:rsid w:val="1BD05350"/>
    <w:rsid w:val="1BEE3BE6"/>
    <w:rsid w:val="1BF328A2"/>
    <w:rsid w:val="1C0F0A4F"/>
    <w:rsid w:val="1C497438"/>
    <w:rsid w:val="1C5C7F64"/>
    <w:rsid w:val="1C793776"/>
    <w:rsid w:val="1C9E1527"/>
    <w:rsid w:val="1CC628CD"/>
    <w:rsid w:val="1CDD2CD4"/>
    <w:rsid w:val="1CEB5018"/>
    <w:rsid w:val="1CF57803"/>
    <w:rsid w:val="1D191439"/>
    <w:rsid w:val="1D2B7B0B"/>
    <w:rsid w:val="1D494FEE"/>
    <w:rsid w:val="1D7C3EC2"/>
    <w:rsid w:val="1D8A64E2"/>
    <w:rsid w:val="1D90796E"/>
    <w:rsid w:val="1D984A56"/>
    <w:rsid w:val="1D9E652E"/>
    <w:rsid w:val="1DAF24EA"/>
    <w:rsid w:val="1DBC6BB4"/>
    <w:rsid w:val="1DBE097F"/>
    <w:rsid w:val="1DE5415D"/>
    <w:rsid w:val="1E0A5972"/>
    <w:rsid w:val="1E16738A"/>
    <w:rsid w:val="1E1F2595"/>
    <w:rsid w:val="1E450758"/>
    <w:rsid w:val="1E4D15CF"/>
    <w:rsid w:val="1E870D71"/>
    <w:rsid w:val="1E9670FF"/>
    <w:rsid w:val="1EB05F1E"/>
    <w:rsid w:val="1EC16654"/>
    <w:rsid w:val="1EDF0BAD"/>
    <w:rsid w:val="1EF34658"/>
    <w:rsid w:val="1F215F9C"/>
    <w:rsid w:val="1F2E2E47"/>
    <w:rsid w:val="1F5F78B2"/>
    <w:rsid w:val="1F7D096C"/>
    <w:rsid w:val="1F89131B"/>
    <w:rsid w:val="1F8E3AB0"/>
    <w:rsid w:val="1F9C4CF0"/>
    <w:rsid w:val="1FA54333"/>
    <w:rsid w:val="1FBB289D"/>
    <w:rsid w:val="1FCC18A8"/>
    <w:rsid w:val="1FDE2C12"/>
    <w:rsid w:val="20106CB2"/>
    <w:rsid w:val="20343C12"/>
    <w:rsid w:val="203C57CC"/>
    <w:rsid w:val="204260C0"/>
    <w:rsid w:val="208F121F"/>
    <w:rsid w:val="20905657"/>
    <w:rsid w:val="20935935"/>
    <w:rsid w:val="20937EA1"/>
    <w:rsid w:val="212C42E3"/>
    <w:rsid w:val="212E7357"/>
    <w:rsid w:val="21366A7E"/>
    <w:rsid w:val="217952E8"/>
    <w:rsid w:val="217D645B"/>
    <w:rsid w:val="218712BD"/>
    <w:rsid w:val="21997739"/>
    <w:rsid w:val="21BB2D5A"/>
    <w:rsid w:val="21C5052E"/>
    <w:rsid w:val="21D325D9"/>
    <w:rsid w:val="21F7620D"/>
    <w:rsid w:val="22162020"/>
    <w:rsid w:val="22476BA5"/>
    <w:rsid w:val="22525D60"/>
    <w:rsid w:val="22851A6B"/>
    <w:rsid w:val="22B70195"/>
    <w:rsid w:val="22B83BEE"/>
    <w:rsid w:val="22EB3FC4"/>
    <w:rsid w:val="22F22A1F"/>
    <w:rsid w:val="230230BC"/>
    <w:rsid w:val="23130AEE"/>
    <w:rsid w:val="232748D0"/>
    <w:rsid w:val="23283B3B"/>
    <w:rsid w:val="23362D65"/>
    <w:rsid w:val="23477EC9"/>
    <w:rsid w:val="234E7AAB"/>
    <w:rsid w:val="235A6A54"/>
    <w:rsid w:val="2374519A"/>
    <w:rsid w:val="238D5065"/>
    <w:rsid w:val="239536C7"/>
    <w:rsid w:val="23A7445B"/>
    <w:rsid w:val="23A93537"/>
    <w:rsid w:val="23B5012E"/>
    <w:rsid w:val="23D700A4"/>
    <w:rsid w:val="24013923"/>
    <w:rsid w:val="241C6A54"/>
    <w:rsid w:val="242343C0"/>
    <w:rsid w:val="243C43AB"/>
    <w:rsid w:val="24A96577"/>
    <w:rsid w:val="24C56E87"/>
    <w:rsid w:val="24D3016D"/>
    <w:rsid w:val="24F15196"/>
    <w:rsid w:val="24F904EE"/>
    <w:rsid w:val="24FA6262"/>
    <w:rsid w:val="25254906"/>
    <w:rsid w:val="25C1100C"/>
    <w:rsid w:val="2614570C"/>
    <w:rsid w:val="262F1AF6"/>
    <w:rsid w:val="26315D03"/>
    <w:rsid w:val="26521602"/>
    <w:rsid w:val="269A3AE6"/>
    <w:rsid w:val="269C4C3B"/>
    <w:rsid w:val="26DD1E76"/>
    <w:rsid w:val="26E74F9B"/>
    <w:rsid w:val="26E96AAB"/>
    <w:rsid w:val="26ED193C"/>
    <w:rsid w:val="26FB22FC"/>
    <w:rsid w:val="27734588"/>
    <w:rsid w:val="277D350F"/>
    <w:rsid w:val="27895B59"/>
    <w:rsid w:val="27914D3A"/>
    <w:rsid w:val="27A6495D"/>
    <w:rsid w:val="27AE0637"/>
    <w:rsid w:val="27BC4918"/>
    <w:rsid w:val="27C668BE"/>
    <w:rsid w:val="27C9064C"/>
    <w:rsid w:val="27D03788"/>
    <w:rsid w:val="27EE1E60"/>
    <w:rsid w:val="27EE7509"/>
    <w:rsid w:val="28104E1F"/>
    <w:rsid w:val="281318C7"/>
    <w:rsid w:val="28533077"/>
    <w:rsid w:val="285B7017"/>
    <w:rsid w:val="285F01DD"/>
    <w:rsid w:val="286D6AB5"/>
    <w:rsid w:val="287F6F5C"/>
    <w:rsid w:val="28CB64EB"/>
    <w:rsid w:val="291C2EC7"/>
    <w:rsid w:val="292A5EE5"/>
    <w:rsid w:val="294D0D1A"/>
    <w:rsid w:val="295F5274"/>
    <w:rsid w:val="29630A8C"/>
    <w:rsid w:val="296F6ACB"/>
    <w:rsid w:val="2995021E"/>
    <w:rsid w:val="2996240F"/>
    <w:rsid w:val="29A924E3"/>
    <w:rsid w:val="29AA0E8A"/>
    <w:rsid w:val="29EB2AFB"/>
    <w:rsid w:val="29EB3ABC"/>
    <w:rsid w:val="29EE7EF6"/>
    <w:rsid w:val="29F63D05"/>
    <w:rsid w:val="2A052100"/>
    <w:rsid w:val="2A0E0598"/>
    <w:rsid w:val="2A347881"/>
    <w:rsid w:val="2A7423E6"/>
    <w:rsid w:val="2A891F34"/>
    <w:rsid w:val="2AA02B44"/>
    <w:rsid w:val="2AB721F8"/>
    <w:rsid w:val="2AB74A4E"/>
    <w:rsid w:val="2ACA0963"/>
    <w:rsid w:val="2AFC6642"/>
    <w:rsid w:val="2B033E75"/>
    <w:rsid w:val="2B2067D5"/>
    <w:rsid w:val="2B243FAA"/>
    <w:rsid w:val="2B28694F"/>
    <w:rsid w:val="2B471FB3"/>
    <w:rsid w:val="2B663B9E"/>
    <w:rsid w:val="2B742122"/>
    <w:rsid w:val="2B92624A"/>
    <w:rsid w:val="2BD80E5D"/>
    <w:rsid w:val="2C8F7B48"/>
    <w:rsid w:val="2CC75C84"/>
    <w:rsid w:val="2CE624E0"/>
    <w:rsid w:val="2D410C84"/>
    <w:rsid w:val="2D557841"/>
    <w:rsid w:val="2D6C2700"/>
    <w:rsid w:val="2DA336ED"/>
    <w:rsid w:val="2DDF2977"/>
    <w:rsid w:val="2E3276F2"/>
    <w:rsid w:val="2E6115DE"/>
    <w:rsid w:val="2E6E3CFB"/>
    <w:rsid w:val="2E6F3155"/>
    <w:rsid w:val="2E78505A"/>
    <w:rsid w:val="2E9F2106"/>
    <w:rsid w:val="2F1B6430"/>
    <w:rsid w:val="2F1D1B61"/>
    <w:rsid w:val="2F2755E5"/>
    <w:rsid w:val="2F317EC9"/>
    <w:rsid w:val="2F4E3C31"/>
    <w:rsid w:val="2F6F1AD9"/>
    <w:rsid w:val="2F743D9F"/>
    <w:rsid w:val="2F881A31"/>
    <w:rsid w:val="2F9061DA"/>
    <w:rsid w:val="2FB77A00"/>
    <w:rsid w:val="2FF90A15"/>
    <w:rsid w:val="30310B95"/>
    <w:rsid w:val="30662A7F"/>
    <w:rsid w:val="3079709D"/>
    <w:rsid w:val="308A2E24"/>
    <w:rsid w:val="30D53BBD"/>
    <w:rsid w:val="30F304E8"/>
    <w:rsid w:val="30FF126C"/>
    <w:rsid w:val="311120AF"/>
    <w:rsid w:val="31255282"/>
    <w:rsid w:val="312C77BF"/>
    <w:rsid w:val="31552DB1"/>
    <w:rsid w:val="316B3CA1"/>
    <w:rsid w:val="31774C75"/>
    <w:rsid w:val="318B0193"/>
    <w:rsid w:val="31950990"/>
    <w:rsid w:val="31B123A3"/>
    <w:rsid w:val="31CD3BC8"/>
    <w:rsid w:val="323460BD"/>
    <w:rsid w:val="324E38E3"/>
    <w:rsid w:val="32544FB6"/>
    <w:rsid w:val="326276D3"/>
    <w:rsid w:val="3282167D"/>
    <w:rsid w:val="3296737C"/>
    <w:rsid w:val="32D359C8"/>
    <w:rsid w:val="32F12805"/>
    <w:rsid w:val="330864CC"/>
    <w:rsid w:val="332148DB"/>
    <w:rsid w:val="333A57B7"/>
    <w:rsid w:val="334D0027"/>
    <w:rsid w:val="334E7C57"/>
    <w:rsid w:val="33616C18"/>
    <w:rsid w:val="336450D8"/>
    <w:rsid w:val="336F654B"/>
    <w:rsid w:val="33C1667B"/>
    <w:rsid w:val="340547BA"/>
    <w:rsid w:val="340C0430"/>
    <w:rsid w:val="342F1837"/>
    <w:rsid w:val="344078BE"/>
    <w:rsid w:val="34666738"/>
    <w:rsid w:val="34667C71"/>
    <w:rsid w:val="34785CCD"/>
    <w:rsid w:val="348C3F96"/>
    <w:rsid w:val="348C50A5"/>
    <w:rsid w:val="349D0E96"/>
    <w:rsid w:val="34B7272D"/>
    <w:rsid w:val="350923B9"/>
    <w:rsid w:val="35236B45"/>
    <w:rsid w:val="3529097C"/>
    <w:rsid w:val="35396A06"/>
    <w:rsid w:val="354E6723"/>
    <w:rsid w:val="356279EA"/>
    <w:rsid w:val="3589578A"/>
    <w:rsid w:val="35B244CD"/>
    <w:rsid w:val="35C75C95"/>
    <w:rsid w:val="360B2F38"/>
    <w:rsid w:val="36274B47"/>
    <w:rsid w:val="36405F7D"/>
    <w:rsid w:val="36647B37"/>
    <w:rsid w:val="368816E9"/>
    <w:rsid w:val="368D7B3B"/>
    <w:rsid w:val="36C06910"/>
    <w:rsid w:val="36CC2296"/>
    <w:rsid w:val="36FD7736"/>
    <w:rsid w:val="36FE5B80"/>
    <w:rsid w:val="37321D6A"/>
    <w:rsid w:val="377071FB"/>
    <w:rsid w:val="377A101B"/>
    <w:rsid w:val="377E2B92"/>
    <w:rsid w:val="379C49A8"/>
    <w:rsid w:val="37B07132"/>
    <w:rsid w:val="37C1407A"/>
    <w:rsid w:val="37E666B0"/>
    <w:rsid w:val="385D19D4"/>
    <w:rsid w:val="386F48F8"/>
    <w:rsid w:val="388E6F15"/>
    <w:rsid w:val="38933BC6"/>
    <w:rsid w:val="38C11124"/>
    <w:rsid w:val="38C74734"/>
    <w:rsid w:val="3971356C"/>
    <w:rsid w:val="39873EC3"/>
    <w:rsid w:val="398750C3"/>
    <w:rsid w:val="39913C79"/>
    <w:rsid w:val="399B34CA"/>
    <w:rsid w:val="39CB4C31"/>
    <w:rsid w:val="39D30CFC"/>
    <w:rsid w:val="39EA36EC"/>
    <w:rsid w:val="39EC42BA"/>
    <w:rsid w:val="39FF3894"/>
    <w:rsid w:val="3A204461"/>
    <w:rsid w:val="3A255BB6"/>
    <w:rsid w:val="3A4F2C33"/>
    <w:rsid w:val="3A750F04"/>
    <w:rsid w:val="3A891C5C"/>
    <w:rsid w:val="3A8C6E89"/>
    <w:rsid w:val="3AAD24E0"/>
    <w:rsid w:val="3AD46C94"/>
    <w:rsid w:val="3AE07D2F"/>
    <w:rsid w:val="3AE64F19"/>
    <w:rsid w:val="3AE95ED3"/>
    <w:rsid w:val="3B0D4800"/>
    <w:rsid w:val="3B143421"/>
    <w:rsid w:val="3B1A20AF"/>
    <w:rsid w:val="3B6E20F8"/>
    <w:rsid w:val="3B997AE8"/>
    <w:rsid w:val="3BB371F1"/>
    <w:rsid w:val="3BF849A3"/>
    <w:rsid w:val="3BFA4E20"/>
    <w:rsid w:val="3C027E20"/>
    <w:rsid w:val="3C193E43"/>
    <w:rsid w:val="3C3D5517"/>
    <w:rsid w:val="3C60501B"/>
    <w:rsid w:val="3C607B81"/>
    <w:rsid w:val="3C650EB6"/>
    <w:rsid w:val="3C65673D"/>
    <w:rsid w:val="3C7362BC"/>
    <w:rsid w:val="3C8B3CCA"/>
    <w:rsid w:val="3C9C66C4"/>
    <w:rsid w:val="3CDF7907"/>
    <w:rsid w:val="3CF12750"/>
    <w:rsid w:val="3D1367F7"/>
    <w:rsid w:val="3D192669"/>
    <w:rsid w:val="3D3659E4"/>
    <w:rsid w:val="3D490006"/>
    <w:rsid w:val="3D6C7658"/>
    <w:rsid w:val="3D7B5AED"/>
    <w:rsid w:val="3DBD6A27"/>
    <w:rsid w:val="3DCA1748"/>
    <w:rsid w:val="3DCA78C6"/>
    <w:rsid w:val="3DFB2442"/>
    <w:rsid w:val="3DFC4E7F"/>
    <w:rsid w:val="3E2F1D96"/>
    <w:rsid w:val="3E3416D5"/>
    <w:rsid w:val="3E3F16E6"/>
    <w:rsid w:val="3E6447D3"/>
    <w:rsid w:val="3E677D82"/>
    <w:rsid w:val="3E7251A4"/>
    <w:rsid w:val="3E815385"/>
    <w:rsid w:val="3E980CCF"/>
    <w:rsid w:val="3ECB056B"/>
    <w:rsid w:val="3ECD4126"/>
    <w:rsid w:val="3EDF0565"/>
    <w:rsid w:val="3EF5058E"/>
    <w:rsid w:val="3F1075FA"/>
    <w:rsid w:val="3F121648"/>
    <w:rsid w:val="3F2B55C2"/>
    <w:rsid w:val="3F7647BE"/>
    <w:rsid w:val="3FA36C10"/>
    <w:rsid w:val="3FBB0422"/>
    <w:rsid w:val="3FBB67E4"/>
    <w:rsid w:val="3FF54B72"/>
    <w:rsid w:val="400C1EA9"/>
    <w:rsid w:val="4090365D"/>
    <w:rsid w:val="409A272E"/>
    <w:rsid w:val="40A4381E"/>
    <w:rsid w:val="40BF3F42"/>
    <w:rsid w:val="40C1415E"/>
    <w:rsid w:val="40C210C8"/>
    <w:rsid w:val="40F24318"/>
    <w:rsid w:val="40F6622A"/>
    <w:rsid w:val="411424E0"/>
    <w:rsid w:val="412F08A6"/>
    <w:rsid w:val="414F3F68"/>
    <w:rsid w:val="41547289"/>
    <w:rsid w:val="4174388F"/>
    <w:rsid w:val="41792343"/>
    <w:rsid w:val="41850CE8"/>
    <w:rsid w:val="418F1B67"/>
    <w:rsid w:val="41961147"/>
    <w:rsid w:val="41B415CD"/>
    <w:rsid w:val="41C04416"/>
    <w:rsid w:val="41C061C4"/>
    <w:rsid w:val="41C9151C"/>
    <w:rsid w:val="41C95079"/>
    <w:rsid w:val="41E304D3"/>
    <w:rsid w:val="422B0BB3"/>
    <w:rsid w:val="42472441"/>
    <w:rsid w:val="4253528A"/>
    <w:rsid w:val="427053F0"/>
    <w:rsid w:val="42733236"/>
    <w:rsid w:val="42AF004C"/>
    <w:rsid w:val="42B10760"/>
    <w:rsid w:val="42E029EF"/>
    <w:rsid w:val="43030A5E"/>
    <w:rsid w:val="432058DB"/>
    <w:rsid w:val="433C7611"/>
    <w:rsid w:val="43715C63"/>
    <w:rsid w:val="43AD665B"/>
    <w:rsid w:val="43B34222"/>
    <w:rsid w:val="43B35DB6"/>
    <w:rsid w:val="43E15949"/>
    <w:rsid w:val="44182E09"/>
    <w:rsid w:val="4450382F"/>
    <w:rsid w:val="445515B4"/>
    <w:rsid w:val="445D27B9"/>
    <w:rsid w:val="446E0159"/>
    <w:rsid w:val="44717ACA"/>
    <w:rsid w:val="44916C4F"/>
    <w:rsid w:val="44B55D88"/>
    <w:rsid w:val="44C67F95"/>
    <w:rsid w:val="44EB2DBE"/>
    <w:rsid w:val="45244CBC"/>
    <w:rsid w:val="45730A88"/>
    <w:rsid w:val="45762821"/>
    <w:rsid w:val="45801ED6"/>
    <w:rsid w:val="45C9752D"/>
    <w:rsid w:val="45CC1560"/>
    <w:rsid w:val="45F13B3D"/>
    <w:rsid w:val="464F5D68"/>
    <w:rsid w:val="46774774"/>
    <w:rsid w:val="468574A9"/>
    <w:rsid w:val="468C5173"/>
    <w:rsid w:val="46AB5D46"/>
    <w:rsid w:val="46C807D6"/>
    <w:rsid w:val="46D83A65"/>
    <w:rsid w:val="46E2098A"/>
    <w:rsid w:val="46FB6F6B"/>
    <w:rsid w:val="471B5D08"/>
    <w:rsid w:val="47257281"/>
    <w:rsid w:val="47290367"/>
    <w:rsid w:val="4746716B"/>
    <w:rsid w:val="47525B10"/>
    <w:rsid w:val="47613FA5"/>
    <w:rsid w:val="47625BFF"/>
    <w:rsid w:val="478C7274"/>
    <w:rsid w:val="47A53DD6"/>
    <w:rsid w:val="47A55629"/>
    <w:rsid w:val="47BE42E2"/>
    <w:rsid w:val="47CB7671"/>
    <w:rsid w:val="47DD238F"/>
    <w:rsid w:val="48111527"/>
    <w:rsid w:val="48142DC6"/>
    <w:rsid w:val="48384D06"/>
    <w:rsid w:val="483B0352"/>
    <w:rsid w:val="489D01C2"/>
    <w:rsid w:val="48A028AB"/>
    <w:rsid w:val="48A1490F"/>
    <w:rsid w:val="48D55CE4"/>
    <w:rsid w:val="48F30C2D"/>
    <w:rsid w:val="496A35F8"/>
    <w:rsid w:val="49AF0FF8"/>
    <w:rsid w:val="49B10406"/>
    <w:rsid w:val="49C75424"/>
    <w:rsid w:val="49D45FD4"/>
    <w:rsid w:val="49D72217"/>
    <w:rsid w:val="49F41101"/>
    <w:rsid w:val="49F904C5"/>
    <w:rsid w:val="4A105FBA"/>
    <w:rsid w:val="4A221E03"/>
    <w:rsid w:val="4A357A0A"/>
    <w:rsid w:val="4A372155"/>
    <w:rsid w:val="4A3B0ADD"/>
    <w:rsid w:val="4A552F45"/>
    <w:rsid w:val="4A560724"/>
    <w:rsid w:val="4A66404E"/>
    <w:rsid w:val="4A6A57CE"/>
    <w:rsid w:val="4A723167"/>
    <w:rsid w:val="4A7527C8"/>
    <w:rsid w:val="4A7E72B3"/>
    <w:rsid w:val="4A9D66AE"/>
    <w:rsid w:val="4AA91EEB"/>
    <w:rsid w:val="4AE47F69"/>
    <w:rsid w:val="4AEB2504"/>
    <w:rsid w:val="4AF62C56"/>
    <w:rsid w:val="4B070226"/>
    <w:rsid w:val="4B1C3833"/>
    <w:rsid w:val="4B1F21AD"/>
    <w:rsid w:val="4B26353C"/>
    <w:rsid w:val="4B315A3D"/>
    <w:rsid w:val="4B334812"/>
    <w:rsid w:val="4B4441D0"/>
    <w:rsid w:val="4B49722A"/>
    <w:rsid w:val="4B614574"/>
    <w:rsid w:val="4B6978CC"/>
    <w:rsid w:val="4B775B45"/>
    <w:rsid w:val="4BA24D84"/>
    <w:rsid w:val="4BBF56D2"/>
    <w:rsid w:val="4C9E5354"/>
    <w:rsid w:val="4D297313"/>
    <w:rsid w:val="4D3C7046"/>
    <w:rsid w:val="4D6B792C"/>
    <w:rsid w:val="4D9379F2"/>
    <w:rsid w:val="4DA6412D"/>
    <w:rsid w:val="4DC1579E"/>
    <w:rsid w:val="4DF94F37"/>
    <w:rsid w:val="4E100B12"/>
    <w:rsid w:val="4E17716C"/>
    <w:rsid w:val="4E23259A"/>
    <w:rsid w:val="4E2B1EEA"/>
    <w:rsid w:val="4E4074CC"/>
    <w:rsid w:val="4E5A0963"/>
    <w:rsid w:val="4E607A86"/>
    <w:rsid w:val="4EF80779"/>
    <w:rsid w:val="4EF86F9D"/>
    <w:rsid w:val="4F0973FC"/>
    <w:rsid w:val="4F235340"/>
    <w:rsid w:val="4F3124AF"/>
    <w:rsid w:val="4F4E12B3"/>
    <w:rsid w:val="4F9E1CAA"/>
    <w:rsid w:val="4F9F38BD"/>
    <w:rsid w:val="4FA70ACE"/>
    <w:rsid w:val="4FC8229B"/>
    <w:rsid w:val="4FCA09F6"/>
    <w:rsid w:val="4FFC0D47"/>
    <w:rsid w:val="502736FD"/>
    <w:rsid w:val="5043693E"/>
    <w:rsid w:val="50485D02"/>
    <w:rsid w:val="50591CBD"/>
    <w:rsid w:val="50970A38"/>
    <w:rsid w:val="50A3118B"/>
    <w:rsid w:val="50AF30B3"/>
    <w:rsid w:val="50C7131D"/>
    <w:rsid w:val="51246D02"/>
    <w:rsid w:val="517C7D3C"/>
    <w:rsid w:val="519A170A"/>
    <w:rsid w:val="51DA0BDC"/>
    <w:rsid w:val="51FE0D6E"/>
    <w:rsid w:val="521A43FF"/>
    <w:rsid w:val="521D586D"/>
    <w:rsid w:val="5227621F"/>
    <w:rsid w:val="52610E93"/>
    <w:rsid w:val="52BB1ED3"/>
    <w:rsid w:val="530F1F9F"/>
    <w:rsid w:val="530F1FC1"/>
    <w:rsid w:val="53240E31"/>
    <w:rsid w:val="53566988"/>
    <w:rsid w:val="538D60DF"/>
    <w:rsid w:val="53AF3411"/>
    <w:rsid w:val="53EE0073"/>
    <w:rsid w:val="540006A2"/>
    <w:rsid w:val="54790B80"/>
    <w:rsid w:val="54D666DD"/>
    <w:rsid w:val="54DD5342"/>
    <w:rsid w:val="54DD6E33"/>
    <w:rsid w:val="55202DAA"/>
    <w:rsid w:val="555C6AA5"/>
    <w:rsid w:val="555D56AE"/>
    <w:rsid w:val="56002D2F"/>
    <w:rsid w:val="561F5757"/>
    <w:rsid w:val="563D3E2F"/>
    <w:rsid w:val="563F54B2"/>
    <w:rsid w:val="56407B31"/>
    <w:rsid w:val="56424FA2"/>
    <w:rsid w:val="56852766"/>
    <w:rsid w:val="56892BD1"/>
    <w:rsid w:val="56BC511E"/>
    <w:rsid w:val="56CB0A2B"/>
    <w:rsid w:val="56D007FF"/>
    <w:rsid w:val="56FC33A3"/>
    <w:rsid w:val="57004B9A"/>
    <w:rsid w:val="57213F32"/>
    <w:rsid w:val="572332D3"/>
    <w:rsid w:val="572F6536"/>
    <w:rsid w:val="5733704C"/>
    <w:rsid w:val="575F24BD"/>
    <w:rsid w:val="57827D4C"/>
    <w:rsid w:val="57931C5D"/>
    <w:rsid w:val="57B70667"/>
    <w:rsid w:val="57EB6225"/>
    <w:rsid w:val="583B75C9"/>
    <w:rsid w:val="587961E5"/>
    <w:rsid w:val="587C29ED"/>
    <w:rsid w:val="58A60278"/>
    <w:rsid w:val="58C65A67"/>
    <w:rsid w:val="591B7ABC"/>
    <w:rsid w:val="591E7101"/>
    <w:rsid w:val="592B61C1"/>
    <w:rsid w:val="5935215E"/>
    <w:rsid w:val="598C3589"/>
    <w:rsid w:val="59A87812"/>
    <w:rsid w:val="59E67791"/>
    <w:rsid w:val="59F44805"/>
    <w:rsid w:val="5A272E2C"/>
    <w:rsid w:val="5A6A5AF8"/>
    <w:rsid w:val="5A814365"/>
    <w:rsid w:val="5A820986"/>
    <w:rsid w:val="5A9A795B"/>
    <w:rsid w:val="5A9D6C4B"/>
    <w:rsid w:val="5AC24903"/>
    <w:rsid w:val="5AC26269"/>
    <w:rsid w:val="5AC42429"/>
    <w:rsid w:val="5B37625F"/>
    <w:rsid w:val="5B4B3510"/>
    <w:rsid w:val="5B4E1AA9"/>
    <w:rsid w:val="5BA43456"/>
    <w:rsid w:val="5BBB41CC"/>
    <w:rsid w:val="5BDB3ECE"/>
    <w:rsid w:val="5BE425E6"/>
    <w:rsid w:val="5BEC7116"/>
    <w:rsid w:val="5BF24796"/>
    <w:rsid w:val="5C3A2A4E"/>
    <w:rsid w:val="5C785664"/>
    <w:rsid w:val="5C866F84"/>
    <w:rsid w:val="5C9127DF"/>
    <w:rsid w:val="5CD54DC2"/>
    <w:rsid w:val="5CDB6DB4"/>
    <w:rsid w:val="5CEB6393"/>
    <w:rsid w:val="5CF52D6E"/>
    <w:rsid w:val="5D075F7D"/>
    <w:rsid w:val="5D280E87"/>
    <w:rsid w:val="5D5578CC"/>
    <w:rsid w:val="5D720862"/>
    <w:rsid w:val="5DCF4033"/>
    <w:rsid w:val="5E4F4700"/>
    <w:rsid w:val="5E5D237F"/>
    <w:rsid w:val="5ECA6A83"/>
    <w:rsid w:val="5ECE7DD0"/>
    <w:rsid w:val="5F0E0117"/>
    <w:rsid w:val="5F13572D"/>
    <w:rsid w:val="5F542102"/>
    <w:rsid w:val="5F584042"/>
    <w:rsid w:val="5F93061C"/>
    <w:rsid w:val="5FB32C8F"/>
    <w:rsid w:val="5FBE22F5"/>
    <w:rsid w:val="5FC03B07"/>
    <w:rsid w:val="5FDC4659"/>
    <w:rsid w:val="5FEA46E0"/>
    <w:rsid w:val="605B738C"/>
    <w:rsid w:val="6062112C"/>
    <w:rsid w:val="60B62814"/>
    <w:rsid w:val="60F76C10"/>
    <w:rsid w:val="619A4C85"/>
    <w:rsid w:val="61A1723E"/>
    <w:rsid w:val="61A30C66"/>
    <w:rsid w:val="61A3723C"/>
    <w:rsid w:val="61CF0031"/>
    <w:rsid w:val="61D03A37"/>
    <w:rsid w:val="6235250A"/>
    <w:rsid w:val="627831CA"/>
    <w:rsid w:val="627C36BF"/>
    <w:rsid w:val="62D6719E"/>
    <w:rsid w:val="631F6A57"/>
    <w:rsid w:val="634F4456"/>
    <w:rsid w:val="635B76A3"/>
    <w:rsid w:val="637D5B70"/>
    <w:rsid w:val="639F303E"/>
    <w:rsid w:val="63CA40E4"/>
    <w:rsid w:val="63F97760"/>
    <w:rsid w:val="642673A9"/>
    <w:rsid w:val="642E4744"/>
    <w:rsid w:val="6457430E"/>
    <w:rsid w:val="647F41B9"/>
    <w:rsid w:val="64A75E62"/>
    <w:rsid w:val="64AA2690"/>
    <w:rsid w:val="64BB1158"/>
    <w:rsid w:val="64C9520C"/>
    <w:rsid w:val="64D70FAB"/>
    <w:rsid w:val="6511270F"/>
    <w:rsid w:val="651F60C8"/>
    <w:rsid w:val="652735EC"/>
    <w:rsid w:val="65364EFD"/>
    <w:rsid w:val="65434458"/>
    <w:rsid w:val="65553C89"/>
    <w:rsid w:val="655679DB"/>
    <w:rsid w:val="655A17D1"/>
    <w:rsid w:val="65624D19"/>
    <w:rsid w:val="6570195B"/>
    <w:rsid w:val="65736F26"/>
    <w:rsid w:val="65790CE9"/>
    <w:rsid w:val="65CE295E"/>
    <w:rsid w:val="65E25E59"/>
    <w:rsid w:val="66741E8A"/>
    <w:rsid w:val="66924FF3"/>
    <w:rsid w:val="66952ECC"/>
    <w:rsid w:val="66974E96"/>
    <w:rsid w:val="66E3030C"/>
    <w:rsid w:val="672A3F31"/>
    <w:rsid w:val="672E75A8"/>
    <w:rsid w:val="67423054"/>
    <w:rsid w:val="67616A13"/>
    <w:rsid w:val="679274F5"/>
    <w:rsid w:val="67A806C1"/>
    <w:rsid w:val="67B76083"/>
    <w:rsid w:val="67CA6313"/>
    <w:rsid w:val="67D4085F"/>
    <w:rsid w:val="67D509EC"/>
    <w:rsid w:val="67EA67FB"/>
    <w:rsid w:val="67F15775"/>
    <w:rsid w:val="67FF0F45"/>
    <w:rsid w:val="685C47AD"/>
    <w:rsid w:val="687436E1"/>
    <w:rsid w:val="68757780"/>
    <w:rsid w:val="687803F6"/>
    <w:rsid w:val="687B4773"/>
    <w:rsid w:val="68921DB9"/>
    <w:rsid w:val="689762F8"/>
    <w:rsid w:val="68B0223F"/>
    <w:rsid w:val="68B61B95"/>
    <w:rsid w:val="68EC674F"/>
    <w:rsid w:val="68F55EA4"/>
    <w:rsid w:val="69006D41"/>
    <w:rsid w:val="692B7D65"/>
    <w:rsid w:val="695B5D83"/>
    <w:rsid w:val="69791DB0"/>
    <w:rsid w:val="697C4C17"/>
    <w:rsid w:val="698314F7"/>
    <w:rsid w:val="69845BA5"/>
    <w:rsid w:val="698A5DA7"/>
    <w:rsid w:val="69B875FD"/>
    <w:rsid w:val="69C456AE"/>
    <w:rsid w:val="69F33E83"/>
    <w:rsid w:val="6A1D4CFD"/>
    <w:rsid w:val="6A2276DF"/>
    <w:rsid w:val="6A246634"/>
    <w:rsid w:val="6A681023"/>
    <w:rsid w:val="6A7F636D"/>
    <w:rsid w:val="6AA47B81"/>
    <w:rsid w:val="6ABF6769"/>
    <w:rsid w:val="6AE41DB7"/>
    <w:rsid w:val="6B12521B"/>
    <w:rsid w:val="6B222BED"/>
    <w:rsid w:val="6B301D81"/>
    <w:rsid w:val="6B3727A3"/>
    <w:rsid w:val="6B68067C"/>
    <w:rsid w:val="6B6F018F"/>
    <w:rsid w:val="6B841E75"/>
    <w:rsid w:val="6B923E7E"/>
    <w:rsid w:val="6BA134D1"/>
    <w:rsid w:val="6BAF004B"/>
    <w:rsid w:val="6BD34BC2"/>
    <w:rsid w:val="6BE0108D"/>
    <w:rsid w:val="6BFC78E7"/>
    <w:rsid w:val="6C0A4C66"/>
    <w:rsid w:val="6C0B435C"/>
    <w:rsid w:val="6C180827"/>
    <w:rsid w:val="6C5C6966"/>
    <w:rsid w:val="6C605737"/>
    <w:rsid w:val="6C862716"/>
    <w:rsid w:val="6CE22E3F"/>
    <w:rsid w:val="6D3D4720"/>
    <w:rsid w:val="6D4C3D11"/>
    <w:rsid w:val="6D711C78"/>
    <w:rsid w:val="6D9503B7"/>
    <w:rsid w:val="6DE70C60"/>
    <w:rsid w:val="6E0F4BB0"/>
    <w:rsid w:val="6E3807D4"/>
    <w:rsid w:val="6E3F0676"/>
    <w:rsid w:val="6E462C82"/>
    <w:rsid w:val="6E5C32AB"/>
    <w:rsid w:val="6E6B7334"/>
    <w:rsid w:val="6E7F693B"/>
    <w:rsid w:val="6E9F6FDD"/>
    <w:rsid w:val="6ED80710"/>
    <w:rsid w:val="6EEA1683"/>
    <w:rsid w:val="6EF82C2B"/>
    <w:rsid w:val="6F141779"/>
    <w:rsid w:val="6F1652E8"/>
    <w:rsid w:val="6FA10B33"/>
    <w:rsid w:val="6FB03B85"/>
    <w:rsid w:val="6FEA08BF"/>
    <w:rsid w:val="70140E66"/>
    <w:rsid w:val="70156BD3"/>
    <w:rsid w:val="70202D30"/>
    <w:rsid w:val="702B57EE"/>
    <w:rsid w:val="703F2826"/>
    <w:rsid w:val="705F61D6"/>
    <w:rsid w:val="70922EBD"/>
    <w:rsid w:val="7096673C"/>
    <w:rsid w:val="709C4221"/>
    <w:rsid w:val="70C328F3"/>
    <w:rsid w:val="70DD5656"/>
    <w:rsid w:val="70F37216"/>
    <w:rsid w:val="70F74C7B"/>
    <w:rsid w:val="710D6480"/>
    <w:rsid w:val="71504CB8"/>
    <w:rsid w:val="716475A3"/>
    <w:rsid w:val="717C53B4"/>
    <w:rsid w:val="71A92A05"/>
    <w:rsid w:val="71F66F14"/>
    <w:rsid w:val="72135D18"/>
    <w:rsid w:val="72275320"/>
    <w:rsid w:val="72280D1F"/>
    <w:rsid w:val="72600832"/>
    <w:rsid w:val="72695938"/>
    <w:rsid w:val="72E13957"/>
    <w:rsid w:val="731358A4"/>
    <w:rsid w:val="731930F2"/>
    <w:rsid w:val="73886292"/>
    <w:rsid w:val="74100048"/>
    <w:rsid w:val="74220495"/>
    <w:rsid w:val="742A559B"/>
    <w:rsid w:val="7438794A"/>
    <w:rsid w:val="746C11B7"/>
    <w:rsid w:val="746F012F"/>
    <w:rsid w:val="749D4072"/>
    <w:rsid w:val="74E93A65"/>
    <w:rsid w:val="754604BF"/>
    <w:rsid w:val="75693EA1"/>
    <w:rsid w:val="757260E7"/>
    <w:rsid w:val="757545F4"/>
    <w:rsid w:val="7589009F"/>
    <w:rsid w:val="75947A9A"/>
    <w:rsid w:val="759A2D2F"/>
    <w:rsid w:val="75D51537"/>
    <w:rsid w:val="7600074D"/>
    <w:rsid w:val="760A12D0"/>
    <w:rsid w:val="760B4F58"/>
    <w:rsid w:val="7610256F"/>
    <w:rsid w:val="761262E7"/>
    <w:rsid w:val="76155B22"/>
    <w:rsid w:val="76255B97"/>
    <w:rsid w:val="762D32C2"/>
    <w:rsid w:val="764741E2"/>
    <w:rsid w:val="7682521B"/>
    <w:rsid w:val="76BC3EBD"/>
    <w:rsid w:val="76D42382"/>
    <w:rsid w:val="76E61C4D"/>
    <w:rsid w:val="770F7128"/>
    <w:rsid w:val="77356731"/>
    <w:rsid w:val="77440722"/>
    <w:rsid w:val="77476464"/>
    <w:rsid w:val="777D59E2"/>
    <w:rsid w:val="778C3E77"/>
    <w:rsid w:val="77A9144F"/>
    <w:rsid w:val="77B971CE"/>
    <w:rsid w:val="780725D0"/>
    <w:rsid w:val="782845C1"/>
    <w:rsid w:val="785827DF"/>
    <w:rsid w:val="78656BA2"/>
    <w:rsid w:val="787C42EA"/>
    <w:rsid w:val="7894691C"/>
    <w:rsid w:val="78CA5750"/>
    <w:rsid w:val="78DC699B"/>
    <w:rsid w:val="78EC72C3"/>
    <w:rsid w:val="78F741EE"/>
    <w:rsid w:val="790E1B84"/>
    <w:rsid w:val="7927654D"/>
    <w:rsid w:val="795052B0"/>
    <w:rsid w:val="79674B9C"/>
    <w:rsid w:val="798017B9"/>
    <w:rsid w:val="79910295"/>
    <w:rsid w:val="799C6753"/>
    <w:rsid w:val="79C1605A"/>
    <w:rsid w:val="79D005F9"/>
    <w:rsid w:val="7A023A3D"/>
    <w:rsid w:val="7A263DDC"/>
    <w:rsid w:val="7A40469E"/>
    <w:rsid w:val="7A410F49"/>
    <w:rsid w:val="7A505630"/>
    <w:rsid w:val="7A602571"/>
    <w:rsid w:val="7A643E1C"/>
    <w:rsid w:val="7A707A80"/>
    <w:rsid w:val="7A715E12"/>
    <w:rsid w:val="7AB756AF"/>
    <w:rsid w:val="7AD37C81"/>
    <w:rsid w:val="7AE10808"/>
    <w:rsid w:val="7B05466C"/>
    <w:rsid w:val="7B543277"/>
    <w:rsid w:val="7B5A6766"/>
    <w:rsid w:val="7BDB7CC3"/>
    <w:rsid w:val="7BDE7397"/>
    <w:rsid w:val="7C80044E"/>
    <w:rsid w:val="7C94501B"/>
    <w:rsid w:val="7CA908E0"/>
    <w:rsid w:val="7CA95D92"/>
    <w:rsid w:val="7CDD764F"/>
    <w:rsid w:val="7D17287B"/>
    <w:rsid w:val="7D1E37C3"/>
    <w:rsid w:val="7D3B0266"/>
    <w:rsid w:val="7D423956"/>
    <w:rsid w:val="7DA0242A"/>
    <w:rsid w:val="7DD42564"/>
    <w:rsid w:val="7DE26685"/>
    <w:rsid w:val="7DFE7B57"/>
    <w:rsid w:val="7E353EC7"/>
    <w:rsid w:val="7E461224"/>
    <w:rsid w:val="7E520A23"/>
    <w:rsid w:val="7E786213"/>
    <w:rsid w:val="7E9E07CB"/>
    <w:rsid w:val="7EC806B7"/>
    <w:rsid w:val="7F032C71"/>
    <w:rsid w:val="7F196938"/>
    <w:rsid w:val="7F2C7C49"/>
    <w:rsid w:val="7F2E4837"/>
    <w:rsid w:val="7F2F3A66"/>
    <w:rsid w:val="7F450D2C"/>
    <w:rsid w:val="7F777DF7"/>
    <w:rsid w:val="7F9801FA"/>
    <w:rsid w:val="7FBF2B32"/>
    <w:rsid w:val="7FF966D2"/>
    <w:rsid w:val="7FFD24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uiPriority="99" w:name="Body Text First Indent"/>
    <w:lsdException w:qFormat="1" w:unhideWhenUsed="0" w:uiPriority="0" w:semiHidden="0"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iPriority="0" w:semiHidden="0" w:name="Normal (Web)"/>
    <w:lsdException w:uiPriority="99" w:name="HTML Acronym"/>
    <w:lsdException w:uiPriority="99" w:name="HTML Address"/>
    <w:lsdException w:qFormat="1" w:uiPriority="99" w:semiHidden="0" w:name="HTML Cite"/>
    <w:lsdException w:qFormat="1" w:uiPriority="99" w:semiHidden="0" w:name="HTML Code"/>
    <w:lsdException w:qFormat="1" w:uiPriority="99" w:semiHidden="0" w:name="HTML Definition"/>
    <w:lsdException w:uiPriority="99" w:name="HTML Keyboard"/>
    <w:lsdException w:qFormat="1" w:uiPriority="0" w:semiHidden="0" w:name="HTML Preformatted"/>
    <w:lsdException w:uiPriority="99" w:name="HTML Sample"/>
    <w:lsdException w:uiPriority="99" w:name="HTML Typewriter"/>
    <w:lsdException w:qFormat="1" w:uiPriority="99" w:semiHidden="0" w:name="HTML Variable"/>
    <w:lsdException w:qFormat="1" w:uiPriority="99" w:name="Normal Table"/>
    <w:lsdException w:qFormat="1" w:unhideWhenUsed="0"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61"/>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62"/>
    <w:qFormat/>
    <w:uiPriority w:val="9"/>
    <w:pPr>
      <w:keepNext/>
      <w:keepLines/>
      <w:spacing w:before="260" w:after="260" w:line="416" w:lineRule="auto"/>
      <w:outlineLvl w:val="1"/>
    </w:pPr>
    <w:rPr>
      <w:rFonts w:ascii="Cambria" w:hAnsi="Cambria"/>
      <w:b/>
      <w:bCs/>
      <w:sz w:val="32"/>
      <w:szCs w:val="32"/>
    </w:rPr>
  </w:style>
  <w:style w:type="paragraph" w:styleId="4">
    <w:name w:val="heading 3"/>
    <w:basedOn w:val="3"/>
    <w:next w:val="5"/>
    <w:link w:val="63"/>
    <w:qFormat/>
    <w:uiPriority w:val="0"/>
    <w:pPr>
      <w:keepNext/>
      <w:keepLines/>
      <w:spacing w:before="260" w:after="260" w:line="416" w:lineRule="auto"/>
      <w:outlineLvl w:val="2"/>
    </w:pPr>
    <w:rPr>
      <w:sz w:val="32"/>
      <w:szCs w:val="32"/>
    </w:rPr>
  </w:style>
  <w:style w:type="paragraph" w:styleId="6">
    <w:name w:val="heading 4"/>
    <w:basedOn w:val="1"/>
    <w:next w:val="1"/>
    <w:link w:val="331"/>
    <w:qFormat/>
    <w:uiPriority w:val="0"/>
    <w:pPr>
      <w:widowControl/>
      <w:spacing w:before="100" w:beforeAutospacing="1" w:after="100" w:afterAutospacing="1"/>
      <w:jc w:val="left"/>
      <w:outlineLvl w:val="3"/>
    </w:pPr>
    <w:rPr>
      <w:rFonts w:ascii="宋体" w:hAnsi="宋体" w:cs="宋体"/>
      <w:b/>
      <w:bCs/>
      <w:kern w:val="0"/>
      <w:sz w:val="24"/>
    </w:rPr>
  </w:style>
  <w:style w:type="paragraph" w:styleId="7">
    <w:name w:val="heading 5"/>
    <w:basedOn w:val="1"/>
    <w:next w:val="1"/>
    <w:link w:val="65"/>
    <w:qFormat/>
    <w:uiPriority w:val="0"/>
    <w:pPr>
      <w:widowControl/>
      <w:spacing w:before="100" w:beforeAutospacing="1" w:after="100" w:afterAutospacing="1"/>
      <w:jc w:val="left"/>
      <w:outlineLvl w:val="4"/>
    </w:pPr>
    <w:rPr>
      <w:rFonts w:ascii="宋体" w:hAnsi="宋体" w:cs="宋体"/>
      <w:b/>
      <w:bCs/>
      <w:kern w:val="0"/>
      <w:sz w:val="20"/>
      <w:szCs w:val="20"/>
    </w:rPr>
  </w:style>
  <w:style w:type="paragraph" w:styleId="8">
    <w:name w:val="heading 6"/>
    <w:basedOn w:val="5"/>
    <w:next w:val="1"/>
    <w:link w:val="66"/>
    <w:qFormat/>
    <w:uiPriority w:val="0"/>
    <w:pPr>
      <w:keepNext/>
      <w:keepLines/>
      <w:ind w:firstLine="200" w:firstLineChars="200"/>
      <w:outlineLvl w:val="5"/>
    </w:pPr>
    <w:rPr>
      <w:rFonts w:hAnsi="Arial"/>
    </w:rPr>
  </w:style>
  <w:style w:type="paragraph" w:styleId="9">
    <w:name w:val="heading 7"/>
    <w:basedOn w:val="1"/>
    <w:next w:val="1"/>
    <w:link w:val="67"/>
    <w:qFormat/>
    <w:uiPriority w:val="0"/>
    <w:pPr>
      <w:keepNext/>
      <w:keepLines/>
      <w:adjustRightInd w:val="0"/>
      <w:spacing w:line="480" w:lineRule="atLeast"/>
      <w:ind w:left="1425" w:leftChars="175" w:hanging="900" w:hangingChars="300"/>
      <w:textAlignment w:val="baseline"/>
      <w:outlineLvl w:val="6"/>
    </w:pPr>
    <w:rPr>
      <w:rFonts w:eastAsia="仿宋_GB2312"/>
      <w:kern w:val="0"/>
      <w:sz w:val="30"/>
      <w:szCs w:val="20"/>
    </w:rPr>
  </w:style>
  <w:style w:type="paragraph" w:styleId="10">
    <w:name w:val="heading 8"/>
    <w:basedOn w:val="1"/>
    <w:next w:val="1"/>
    <w:link w:val="68"/>
    <w:qFormat/>
    <w:uiPriority w:val="0"/>
    <w:pPr>
      <w:adjustRightInd w:val="0"/>
      <w:spacing w:line="480" w:lineRule="atLeast"/>
      <w:ind w:left="2232" w:leftChars="450" w:hanging="882" w:hangingChars="294"/>
      <w:textAlignment w:val="baseline"/>
      <w:outlineLvl w:val="7"/>
    </w:pPr>
    <w:rPr>
      <w:rFonts w:hAnsi="Arial" w:eastAsia="仿宋_GB2312"/>
      <w:kern w:val="0"/>
      <w:sz w:val="30"/>
      <w:szCs w:val="20"/>
    </w:rPr>
  </w:style>
  <w:style w:type="paragraph" w:styleId="11">
    <w:name w:val="heading 9"/>
    <w:basedOn w:val="1"/>
    <w:next w:val="1"/>
    <w:link w:val="69"/>
    <w:qFormat/>
    <w:uiPriority w:val="0"/>
    <w:pPr>
      <w:keepNext/>
      <w:keepLines/>
      <w:adjustRightInd w:val="0"/>
      <w:spacing w:line="480" w:lineRule="atLeast"/>
      <w:ind w:left="2979" w:leftChars="715" w:hanging="834" w:hangingChars="278"/>
      <w:textAlignment w:val="baseline"/>
      <w:outlineLvl w:val="8"/>
    </w:pPr>
    <w:rPr>
      <w:rFonts w:eastAsia="仿宋_GB2312"/>
      <w:kern w:val="0"/>
      <w:sz w:val="30"/>
      <w:szCs w:val="20"/>
    </w:rPr>
  </w:style>
  <w:style w:type="character" w:default="1" w:styleId="48">
    <w:name w:val="Default Paragraph Font"/>
    <w:semiHidden/>
    <w:unhideWhenUsed/>
    <w:qFormat/>
    <w:uiPriority w:val="1"/>
  </w:style>
  <w:style w:type="table" w:default="1" w:styleId="46">
    <w:name w:val="Normal Table"/>
    <w:semiHidden/>
    <w:unhideWhenUsed/>
    <w:qFormat/>
    <w:uiPriority w:val="99"/>
    <w:tblPr>
      <w:tblCellMar>
        <w:top w:w="0" w:type="dxa"/>
        <w:left w:w="108" w:type="dxa"/>
        <w:bottom w:w="0" w:type="dxa"/>
        <w:right w:w="108" w:type="dxa"/>
      </w:tblCellMar>
    </w:tblPr>
  </w:style>
  <w:style w:type="paragraph" w:styleId="5">
    <w:name w:val="Normal Indent"/>
    <w:basedOn w:val="1"/>
    <w:qFormat/>
    <w:uiPriority w:val="0"/>
    <w:pPr>
      <w:adjustRightInd w:val="0"/>
      <w:spacing w:line="480" w:lineRule="atLeast"/>
      <w:ind w:firstLine="600"/>
      <w:textAlignment w:val="baseline"/>
    </w:pPr>
    <w:rPr>
      <w:rFonts w:eastAsia="仿宋_GB2312"/>
      <w:kern w:val="0"/>
      <w:sz w:val="30"/>
      <w:szCs w:val="20"/>
    </w:rPr>
  </w:style>
  <w:style w:type="paragraph" w:styleId="12">
    <w:name w:val="toc 7"/>
    <w:basedOn w:val="1"/>
    <w:next w:val="1"/>
    <w:qFormat/>
    <w:uiPriority w:val="39"/>
    <w:pPr>
      <w:ind w:left="1260"/>
      <w:jc w:val="left"/>
    </w:pPr>
    <w:rPr>
      <w:sz w:val="18"/>
      <w:szCs w:val="18"/>
    </w:rPr>
  </w:style>
  <w:style w:type="paragraph" w:styleId="13">
    <w:name w:val="caption"/>
    <w:basedOn w:val="1"/>
    <w:next w:val="1"/>
    <w:qFormat/>
    <w:uiPriority w:val="0"/>
    <w:rPr>
      <w:rFonts w:ascii="Cambria" w:hAnsi="Cambria" w:eastAsia="黑体"/>
      <w:sz w:val="20"/>
      <w:szCs w:val="20"/>
    </w:rPr>
  </w:style>
  <w:style w:type="paragraph" w:styleId="14">
    <w:name w:val="Document Map"/>
    <w:basedOn w:val="1"/>
    <w:link w:val="71"/>
    <w:qFormat/>
    <w:uiPriority w:val="0"/>
    <w:pPr>
      <w:shd w:val="clear" w:color="auto" w:fill="000080"/>
    </w:pPr>
  </w:style>
  <w:style w:type="paragraph" w:styleId="15">
    <w:name w:val="annotation text"/>
    <w:basedOn w:val="1"/>
    <w:link w:val="72"/>
    <w:qFormat/>
    <w:uiPriority w:val="0"/>
    <w:pPr>
      <w:jc w:val="left"/>
    </w:pPr>
  </w:style>
  <w:style w:type="paragraph" w:styleId="16">
    <w:name w:val="Body Text 3"/>
    <w:basedOn w:val="1"/>
    <w:link w:val="73"/>
    <w:qFormat/>
    <w:uiPriority w:val="0"/>
    <w:pPr>
      <w:spacing w:after="120"/>
    </w:pPr>
    <w:rPr>
      <w:sz w:val="16"/>
      <w:szCs w:val="16"/>
    </w:rPr>
  </w:style>
  <w:style w:type="paragraph" w:styleId="17">
    <w:name w:val="Body Text"/>
    <w:basedOn w:val="1"/>
    <w:next w:val="1"/>
    <w:link w:val="70"/>
    <w:qFormat/>
    <w:uiPriority w:val="0"/>
    <w:pPr>
      <w:spacing w:after="120"/>
    </w:pPr>
  </w:style>
  <w:style w:type="paragraph" w:styleId="18">
    <w:name w:val="Body Text Indent"/>
    <w:basedOn w:val="1"/>
    <w:link w:val="74"/>
    <w:qFormat/>
    <w:uiPriority w:val="0"/>
    <w:pPr>
      <w:ind w:firstLine="407" w:firstLineChars="200"/>
    </w:pPr>
  </w:style>
  <w:style w:type="paragraph" w:styleId="19">
    <w:name w:val="Block Text"/>
    <w:basedOn w:val="1"/>
    <w:qFormat/>
    <w:uiPriority w:val="0"/>
    <w:pPr>
      <w:autoSpaceDE w:val="0"/>
      <w:autoSpaceDN w:val="0"/>
      <w:adjustRightInd w:val="0"/>
      <w:spacing w:line="1270" w:lineRule="exact"/>
      <w:ind w:left="2160" w:right="-20" w:hanging="2160" w:hangingChars="300"/>
      <w:jc w:val="left"/>
    </w:pPr>
    <w:rPr>
      <w:rFonts w:eastAsia="仿宋_GB2312"/>
      <w:sz w:val="72"/>
    </w:rPr>
  </w:style>
  <w:style w:type="paragraph" w:styleId="20">
    <w:name w:val="index 4"/>
    <w:basedOn w:val="1"/>
    <w:next w:val="1"/>
    <w:qFormat/>
    <w:uiPriority w:val="0"/>
    <w:pPr>
      <w:ind w:left="600" w:leftChars="600"/>
    </w:pPr>
  </w:style>
  <w:style w:type="paragraph" w:styleId="21">
    <w:name w:val="toc 5"/>
    <w:basedOn w:val="1"/>
    <w:next w:val="1"/>
    <w:qFormat/>
    <w:uiPriority w:val="39"/>
    <w:pPr>
      <w:ind w:left="840"/>
      <w:jc w:val="left"/>
    </w:pPr>
    <w:rPr>
      <w:sz w:val="18"/>
      <w:szCs w:val="18"/>
    </w:rPr>
  </w:style>
  <w:style w:type="paragraph" w:styleId="22">
    <w:name w:val="toc 3"/>
    <w:basedOn w:val="4"/>
    <w:next w:val="1"/>
    <w:qFormat/>
    <w:uiPriority w:val="39"/>
    <w:pPr>
      <w:keepNext w:val="0"/>
      <w:keepLines w:val="0"/>
      <w:spacing w:before="0" w:after="0" w:line="240" w:lineRule="auto"/>
      <w:ind w:left="420"/>
      <w:jc w:val="left"/>
      <w:outlineLvl w:val="9"/>
    </w:pPr>
    <w:rPr>
      <w:b w:val="0"/>
      <w:bCs w:val="0"/>
      <w:i/>
      <w:iCs/>
      <w:sz w:val="20"/>
      <w:szCs w:val="20"/>
    </w:rPr>
  </w:style>
  <w:style w:type="paragraph" w:styleId="23">
    <w:name w:val="Plain Text"/>
    <w:basedOn w:val="1"/>
    <w:link w:val="75"/>
    <w:qFormat/>
    <w:uiPriority w:val="0"/>
    <w:rPr>
      <w:rFonts w:ascii="宋体" w:hAnsi="Courier New" w:cs="Courier New"/>
      <w:szCs w:val="21"/>
    </w:rPr>
  </w:style>
  <w:style w:type="paragraph" w:styleId="24">
    <w:name w:val="toc 8"/>
    <w:basedOn w:val="1"/>
    <w:next w:val="1"/>
    <w:qFormat/>
    <w:uiPriority w:val="39"/>
    <w:pPr>
      <w:ind w:left="1470"/>
      <w:jc w:val="left"/>
    </w:pPr>
    <w:rPr>
      <w:sz w:val="18"/>
      <w:szCs w:val="18"/>
    </w:rPr>
  </w:style>
  <w:style w:type="paragraph" w:styleId="25">
    <w:name w:val="Date"/>
    <w:basedOn w:val="1"/>
    <w:next w:val="1"/>
    <w:link w:val="76"/>
    <w:qFormat/>
    <w:uiPriority w:val="99"/>
    <w:pPr>
      <w:ind w:left="100" w:leftChars="2500"/>
    </w:pPr>
  </w:style>
  <w:style w:type="paragraph" w:styleId="26">
    <w:name w:val="Body Text Indent 2"/>
    <w:basedOn w:val="1"/>
    <w:link w:val="77"/>
    <w:qFormat/>
    <w:uiPriority w:val="0"/>
    <w:pPr>
      <w:widowControl/>
      <w:spacing w:line="480" w:lineRule="auto"/>
      <w:ind w:firstLine="560"/>
      <w:jc w:val="left"/>
    </w:pPr>
    <w:rPr>
      <w:kern w:val="0"/>
      <w:sz w:val="28"/>
    </w:rPr>
  </w:style>
  <w:style w:type="paragraph" w:styleId="27">
    <w:name w:val="endnote text"/>
    <w:basedOn w:val="1"/>
    <w:link w:val="78"/>
    <w:qFormat/>
    <w:uiPriority w:val="0"/>
    <w:pPr>
      <w:widowControl/>
      <w:snapToGrid w:val="0"/>
      <w:jc w:val="left"/>
    </w:pPr>
    <w:rPr>
      <w:rFonts w:ascii="Arial" w:hAnsi="Arial" w:cs="Arial"/>
      <w:kern w:val="0"/>
      <w:sz w:val="20"/>
      <w:lang w:eastAsia="en-US"/>
    </w:rPr>
  </w:style>
  <w:style w:type="paragraph" w:styleId="28">
    <w:name w:val="Balloon Text"/>
    <w:basedOn w:val="1"/>
    <w:link w:val="79"/>
    <w:qFormat/>
    <w:uiPriority w:val="99"/>
    <w:rPr>
      <w:sz w:val="18"/>
      <w:szCs w:val="18"/>
    </w:rPr>
  </w:style>
  <w:style w:type="paragraph" w:styleId="29">
    <w:name w:val="footer"/>
    <w:basedOn w:val="1"/>
    <w:link w:val="80"/>
    <w:qFormat/>
    <w:uiPriority w:val="99"/>
    <w:pPr>
      <w:tabs>
        <w:tab w:val="center" w:pos="4153"/>
        <w:tab w:val="right" w:pos="8306"/>
      </w:tabs>
      <w:snapToGrid w:val="0"/>
      <w:jc w:val="left"/>
    </w:pPr>
    <w:rPr>
      <w:sz w:val="18"/>
      <w:szCs w:val="18"/>
    </w:rPr>
  </w:style>
  <w:style w:type="paragraph" w:styleId="30">
    <w:name w:val="header"/>
    <w:basedOn w:val="1"/>
    <w:link w:val="81"/>
    <w:qFormat/>
    <w:uiPriority w:val="99"/>
    <w:pPr>
      <w:pBdr>
        <w:bottom w:val="single" w:color="auto" w:sz="6" w:space="1"/>
      </w:pBdr>
      <w:tabs>
        <w:tab w:val="center" w:pos="4153"/>
        <w:tab w:val="right" w:pos="8306"/>
      </w:tabs>
      <w:snapToGrid w:val="0"/>
      <w:jc w:val="center"/>
    </w:pPr>
    <w:rPr>
      <w:sz w:val="18"/>
      <w:szCs w:val="18"/>
    </w:rPr>
  </w:style>
  <w:style w:type="paragraph" w:styleId="31">
    <w:name w:val="toc 1"/>
    <w:basedOn w:val="1"/>
    <w:next w:val="1"/>
    <w:qFormat/>
    <w:uiPriority w:val="39"/>
    <w:pPr>
      <w:keepNext w:val="0"/>
      <w:keepLines w:val="0"/>
      <w:spacing w:before="120" w:after="120" w:line="240" w:lineRule="auto"/>
      <w:jc w:val="left"/>
      <w:outlineLvl w:val="9"/>
    </w:pPr>
    <w:rPr>
      <w:caps/>
      <w:kern w:val="2"/>
      <w:sz w:val="20"/>
      <w:szCs w:val="20"/>
    </w:rPr>
  </w:style>
  <w:style w:type="paragraph" w:styleId="32">
    <w:name w:val="toc 4"/>
    <w:basedOn w:val="6"/>
    <w:next w:val="1"/>
    <w:qFormat/>
    <w:uiPriority w:val="39"/>
    <w:pPr>
      <w:widowControl w:val="0"/>
      <w:spacing w:before="0" w:beforeAutospacing="0" w:after="0" w:afterAutospacing="0"/>
      <w:ind w:left="630"/>
      <w:outlineLvl w:val="9"/>
    </w:pPr>
    <w:rPr>
      <w:rFonts w:ascii="Times New Roman" w:hAnsi="Times New Roman" w:cs="Times New Roman"/>
      <w:b w:val="0"/>
      <w:bCs w:val="0"/>
      <w:kern w:val="2"/>
      <w:sz w:val="18"/>
      <w:szCs w:val="18"/>
    </w:rPr>
  </w:style>
  <w:style w:type="paragraph" w:styleId="33">
    <w:name w:val="Subtitle"/>
    <w:basedOn w:val="1"/>
    <w:link w:val="82"/>
    <w:qFormat/>
    <w:uiPriority w:val="0"/>
    <w:pPr>
      <w:widowControl/>
      <w:jc w:val="center"/>
    </w:pPr>
    <w:rPr>
      <w:kern w:val="0"/>
      <w:sz w:val="20"/>
      <w:u w:val="single"/>
      <w:lang w:eastAsia="en-US"/>
    </w:rPr>
  </w:style>
  <w:style w:type="paragraph" w:styleId="34">
    <w:name w:val="footnote text"/>
    <w:basedOn w:val="1"/>
    <w:link w:val="83"/>
    <w:qFormat/>
    <w:uiPriority w:val="0"/>
    <w:pPr>
      <w:widowControl/>
      <w:snapToGrid w:val="0"/>
      <w:jc w:val="left"/>
    </w:pPr>
    <w:rPr>
      <w:rFonts w:ascii="Arial" w:hAnsi="Arial" w:cs="Arial"/>
      <w:kern w:val="0"/>
      <w:sz w:val="18"/>
      <w:szCs w:val="18"/>
      <w:lang w:eastAsia="en-US"/>
    </w:rPr>
  </w:style>
  <w:style w:type="paragraph" w:styleId="35">
    <w:name w:val="toc 6"/>
    <w:basedOn w:val="1"/>
    <w:next w:val="1"/>
    <w:qFormat/>
    <w:uiPriority w:val="39"/>
    <w:pPr>
      <w:ind w:left="1050"/>
      <w:jc w:val="left"/>
    </w:pPr>
    <w:rPr>
      <w:sz w:val="18"/>
      <w:szCs w:val="18"/>
    </w:rPr>
  </w:style>
  <w:style w:type="paragraph" w:styleId="36">
    <w:name w:val="Body Text Indent 3"/>
    <w:basedOn w:val="1"/>
    <w:link w:val="84"/>
    <w:qFormat/>
    <w:uiPriority w:val="0"/>
    <w:pPr>
      <w:spacing w:line="360" w:lineRule="auto"/>
      <w:ind w:firstLine="280" w:firstLineChars="100"/>
    </w:pPr>
    <w:rPr>
      <w:rFonts w:ascii="宋体" w:hAnsi="宋体"/>
      <w:sz w:val="28"/>
      <w:szCs w:val="28"/>
    </w:rPr>
  </w:style>
  <w:style w:type="paragraph" w:styleId="37">
    <w:name w:val="toc 2"/>
    <w:basedOn w:val="3"/>
    <w:next w:val="1"/>
    <w:qFormat/>
    <w:uiPriority w:val="39"/>
    <w:pPr>
      <w:keepNext w:val="0"/>
      <w:keepLines w:val="0"/>
      <w:spacing w:before="0" w:after="0" w:line="240" w:lineRule="auto"/>
      <w:ind w:left="210"/>
      <w:jc w:val="left"/>
      <w:outlineLvl w:val="9"/>
    </w:pPr>
    <w:rPr>
      <w:rFonts w:ascii="Times New Roman" w:hAnsi="Times New Roman"/>
      <w:b w:val="0"/>
      <w:bCs w:val="0"/>
      <w:smallCaps/>
      <w:sz w:val="20"/>
      <w:szCs w:val="20"/>
    </w:rPr>
  </w:style>
  <w:style w:type="paragraph" w:styleId="38">
    <w:name w:val="toc 9"/>
    <w:basedOn w:val="1"/>
    <w:next w:val="1"/>
    <w:qFormat/>
    <w:uiPriority w:val="39"/>
    <w:pPr>
      <w:ind w:left="1680"/>
      <w:jc w:val="left"/>
    </w:pPr>
    <w:rPr>
      <w:sz w:val="18"/>
      <w:szCs w:val="18"/>
    </w:rPr>
  </w:style>
  <w:style w:type="paragraph" w:styleId="39">
    <w:name w:val="Body Text 2"/>
    <w:basedOn w:val="1"/>
    <w:link w:val="85"/>
    <w:qFormat/>
    <w:uiPriority w:val="0"/>
    <w:rPr>
      <w:i/>
      <w:iCs/>
      <w:sz w:val="26"/>
    </w:rPr>
  </w:style>
  <w:style w:type="paragraph" w:styleId="40">
    <w:name w:val="HTML Preformatted"/>
    <w:basedOn w:val="1"/>
    <w:link w:val="86"/>
    <w:unhideWhenUsed/>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color w:val="000000"/>
      <w:kern w:val="0"/>
      <w:sz w:val="24"/>
    </w:rPr>
  </w:style>
  <w:style w:type="paragraph" w:styleId="41">
    <w:name w:val="Normal (Web)"/>
    <w:basedOn w:val="1"/>
    <w:unhideWhenUsed/>
    <w:qFormat/>
    <w:uiPriority w:val="0"/>
    <w:pPr>
      <w:widowControl/>
      <w:spacing w:before="100" w:beforeAutospacing="1" w:after="100" w:afterAutospacing="1"/>
      <w:jc w:val="left"/>
    </w:pPr>
    <w:rPr>
      <w:rFonts w:ascii="宋体" w:hAnsi="宋体" w:cs="宋体"/>
      <w:kern w:val="0"/>
      <w:sz w:val="24"/>
    </w:rPr>
  </w:style>
  <w:style w:type="paragraph" w:styleId="42">
    <w:name w:val="index 1"/>
    <w:basedOn w:val="1"/>
    <w:next w:val="1"/>
    <w:qFormat/>
    <w:uiPriority w:val="0"/>
    <w:pPr>
      <w:spacing w:line="220" w:lineRule="exact"/>
      <w:jc w:val="center"/>
    </w:pPr>
    <w:rPr>
      <w:rFonts w:ascii="仿宋_GB2312" w:eastAsia="仿宋_GB2312"/>
      <w:szCs w:val="21"/>
    </w:rPr>
  </w:style>
  <w:style w:type="paragraph" w:styleId="43">
    <w:name w:val="Title"/>
    <w:basedOn w:val="1"/>
    <w:link w:val="87"/>
    <w:qFormat/>
    <w:uiPriority w:val="0"/>
    <w:pPr>
      <w:widowControl/>
      <w:jc w:val="center"/>
    </w:pPr>
    <w:rPr>
      <w:kern w:val="0"/>
      <w:sz w:val="20"/>
      <w:u w:val="single"/>
      <w:lang w:eastAsia="en-US"/>
    </w:rPr>
  </w:style>
  <w:style w:type="paragraph" w:styleId="44">
    <w:name w:val="annotation subject"/>
    <w:basedOn w:val="15"/>
    <w:next w:val="15"/>
    <w:link w:val="88"/>
    <w:qFormat/>
    <w:uiPriority w:val="99"/>
    <w:rPr>
      <w:b/>
      <w:bCs/>
    </w:rPr>
  </w:style>
  <w:style w:type="paragraph" w:styleId="45">
    <w:name w:val="Body Text First Indent 2"/>
    <w:basedOn w:val="18"/>
    <w:qFormat/>
    <w:uiPriority w:val="0"/>
    <w:pPr>
      <w:spacing w:after="120"/>
      <w:ind w:left="420" w:leftChars="200" w:firstLine="420"/>
    </w:pPr>
    <w:rPr>
      <w:szCs w:val="20"/>
    </w:rPr>
  </w:style>
  <w:style w:type="table" w:styleId="47">
    <w:name w:val="Table Grid"/>
    <w:basedOn w:val="46"/>
    <w:qFormat/>
    <w:uiPriority w:val="59"/>
    <w:rPr>
      <w:rFonts w:ascii="Calibri" w:hAnsi="Calibri"/>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49">
    <w:name w:val="Strong"/>
    <w:qFormat/>
    <w:uiPriority w:val="0"/>
    <w:rPr>
      <w:b/>
      <w:bCs/>
    </w:rPr>
  </w:style>
  <w:style w:type="character" w:styleId="50">
    <w:name w:val="endnote reference"/>
    <w:qFormat/>
    <w:uiPriority w:val="0"/>
    <w:rPr>
      <w:vertAlign w:val="superscript"/>
    </w:rPr>
  </w:style>
  <w:style w:type="character" w:styleId="51">
    <w:name w:val="page number"/>
    <w:basedOn w:val="48"/>
    <w:qFormat/>
    <w:uiPriority w:val="0"/>
  </w:style>
  <w:style w:type="character" w:styleId="52">
    <w:name w:val="FollowedHyperlink"/>
    <w:qFormat/>
    <w:uiPriority w:val="99"/>
    <w:rPr>
      <w:color w:val="800080"/>
      <w:u w:val="single"/>
    </w:rPr>
  </w:style>
  <w:style w:type="character" w:styleId="53">
    <w:name w:val="Emphasis"/>
    <w:qFormat/>
    <w:uiPriority w:val="20"/>
    <w:rPr>
      <w:i/>
      <w:iCs/>
    </w:rPr>
  </w:style>
  <w:style w:type="character" w:styleId="54">
    <w:name w:val="HTML Definition"/>
    <w:basedOn w:val="48"/>
    <w:unhideWhenUsed/>
    <w:qFormat/>
    <w:uiPriority w:val="99"/>
  </w:style>
  <w:style w:type="character" w:styleId="55">
    <w:name w:val="HTML Variable"/>
    <w:basedOn w:val="48"/>
    <w:unhideWhenUsed/>
    <w:qFormat/>
    <w:uiPriority w:val="99"/>
  </w:style>
  <w:style w:type="character" w:styleId="56">
    <w:name w:val="Hyperlink"/>
    <w:qFormat/>
    <w:uiPriority w:val="99"/>
    <w:rPr>
      <w:color w:val="0000FF"/>
      <w:u w:val="single"/>
    </w:rPr>
  </w:style>
  <w:style w:type="character" w:styleId="57">
    <w:name w:val="HTML Code"/>
    <w:basedOn w:val="48"/>
    <w:unhideWhenUsed/>
    <w:qFormat/>
    <w:uiPriority w:val="99"/>
    <w:rPr>
      <w:rFonts w:ascii="Courier New" w:hAnsi="Courier New"/>
      <w:sz w:val="20"/>
    </w:rPr>
  </w:style>
  <w:style w:type="character" w:styleId="58">
    <w:name w:val="annotation reference"/>
    <w:qFormat/>
    <w:uiPriority w:val="0"/>
    <w:rPr>
      <w:sz w:val="21"/>
      <w:szCs w:val="21"/>
    </w:rPr>
  </w:style>
  <w:style w:type="character" w:styleId="59">
    <w:name w:val="HTML Cite"/>
    <w:basedOn w:val="48"/>
    <w:unhideWhenUsed/>
    <w:qFormat/>
    <w:uiPriority w:val="99"/>
  </w:style>
  <w:style w:type="character" w:styleId="60">
    <w:name w:val="footnote reference"/>
    <w:qFormat/>
    <w:uiPriority w:val="0"/>
    <w:rPr>
      <w:vertAlign w:val="superscript"/>
    </w:rPr>
  </w:style>
  <w:style w:type="character" w:customStyle="1" w:styleId="61">
    <w:name w:val="标题 1 字符"/>
    <w:basedOn w:val="48"/>
    <w:link w:val="2"/>
    <w:qFormat/>
    <w:uiPriority w:val="9"/>
    <w:rPr>
      <w:rFonts w:ascii="Times New Roman" w:hAnsi="Times New Roman" w:eastAsia="宋体" w:cs="Times New Roman"/>
      <w:b/>
      <w:bCs/>
      <w:kern w:val="44"/>
      <w:sz w:val="44"/>
      <w:szCs w:val="44"/>
    </w:rPr>
  </w:style>
  <w:style w:type="character" w:customStyle="1" w:styleId="62">
    <w:name w:val="标题 2 字符"/>
    <w:basedOn w:val="48"/>
    <w:link w:val="3"/>
    <w:qFormat/>
    <w:uiPriority w:val="9"/>
    <w:rPr>
      <w:rFonts w:ascii="Cambria" w:hAnsi="Cambria" w:eastAsia="宋体" w:cs="Times New Roman"/>
      <w:b/>
      <w:bCs/>
      <w:sz w:val="32"/>
      <w:szCs w:val="32"/>
    </w:rPr>
  </w:style>
  <w:style w:type="character" w:customStyle="1" w:styleId="63">
    <w:name w:val="标题 3 字符"/>
    <w:basedOn w:val="48"/>
    <w:link w:val="4"/>
    <w:qFormat/>
    <w:uiPriority w:val="0"/>
    <w:rPr>
      <w:rFonts w:ascii="Times New Roman" w:hAnsi="Times New Roman" w:eastAsia="宋体" w:cs="Times New Roman"/>
      <w:b/>
      <w:bCs/>
      <w:sz w:val="32"/>
      <w:szCs w:val="32"/>
    </w:rPr>
  </w:style>
  <w:style w:type="character" w:customStyle="1" w:styleId="64">
    <w:name w:val="标题 4 字符"/>
    <w:basedOn w:val="48"/>
    <w:link w:val="6"/>
    <w:qFormat/>
    <w:uiPriority w:val="0"/>
    <w:rPr>
      <w:rFonts w:ascii="宋体" w:hAnsi="宋体" w:eastAsia="宋体" w:cs="宋体"/>
      <w:b/>
      <w:bCs/>
      <w:kern w:val="0"/>
      <w:sz w:val="24"/>
      <w:szCs w:val="24"/>
    </w:rPr>
  </w:style>
  <w:style w:type="character" w:customStyle="1" w:styleId="65">
    <w:name w:val="标题 5 字符"/>
    <w:basedOn w:val="48"/>
    <w:link w:val="7"/>
    <w:qFormat/>
    <w:uiPriority w:val="0"/>
    <w:rPr>
      <w:rFonts w:ascii="宋体" w:hAnsi="宋体" w:eastAsia="宋体" w:cs="宋体"/>
      <w:b/>
      <w:bCs/>
      <w:kern w:val="0"/>
      <w:sz w:val="20"/>
      <w:szCs w:val="20"/>
    </w:rPr>
  </w:style>
  <w:style w:type="character" w:customStyle="1" w:styleId="66">
    <w:name w:val="标题 6 字符"/>
    <w:basedOn w:val="48"/>
    <w:link w:val="8"/>
    <w:qFormat/>
    <w:uiPriority w:val="0"/>
    <w:rPr>
      <w:rFonts w:ascii="Times New Roman" w:hAnsi="Arial" w:eastAsia="仿宋_GB2312" w:cs="Times New Roman"/>
      <w:kern w:val="0"/>
      <w:sz w:val="30"/>
      <w:szCs w:val="20"/>
    </w:rPr>
  </w:style>
  <w:style w:type="character" w:customStyle="1" w:styleId="67">
    <w:name w:val="标题 7 字符"/>
    <w:basedOn w:val="48"/>
    <w:link w:val="9"/>
    <w:qFormat/>
    <w:uiPriority w:val="0"/>
    <w:rPr>
      <w:rFonts w:ascii="Times New Roman" w:hAnsi="Times New Roman" w:eastAsia="仿宋_GB2312" w:cs="Times New Roman"/>
      <w:kern w:val="0"/>
      <w:sz w:val="30"/>
      <w:szCs w:val="20"/>
    </w:rPr>
  </w:style>
  <w:style w:type="character" w:customStyle="1" w:styleId="68">
    <w:name w:val="标题 8 字符"/>
    <w:basedOn w:val="48"/>
    <w:link w:val="10"/>
    <w:qFormat/>
    <w:uiPriority w:val="0"/>
    <w:rPr>
      <w:rFonts w:ascii="Times New Roman" w:hAnsi="Arial" w:eastAsia="仿宋_GB2312" w:cs="Times New Roman"/>
      <w:kern w:val="0"/>
      <w:sz w:val="30"/>
      <w:szCs w:val="20"/>
    </w:rPr>
  </w:style>
  <w:style w:type="character" w:customStyle="1" w:styleId="69">
    <w:name w:val="标题 9 字符"/>
    <w:basedOn w:val="48"/>
    <w:link w:val="11"/>
    <w:qFormat/>
    <w:uiPriority w:val="0"/>
    <w:rPr>
      <w:rFonts w:ascii="Times New Roman" w:hAnsi="Times New Roman" w:eastAsia="仿宋_GB2312" w:cs="Times New Roman"/>
      <w:kern w:val="0"/>
      <w:sz w:val="30"/>
      <w:szCs w:val="20"/>
    </w:rPr>
  </w:style>
  <w:style w:type="character" w:customStyle="1" w:styleId="70">
    <w:name w:val="正文文本 字符"/>
    <w:basedOn w:val="48"/>
    <w:link w:val="17"/>
    <w:qFormat/>
    <w:uiPriority w:val="0"/>
    <w:rPr>
      <w:rFonts w:ascii="Times New Roman" w:hAnsi="Times New Roman" w:eastAsia="宋体" w:cs="Times New Roman"/>
      <w:szCs w:val="24"/>
    </w:rPr>
  </w:style>
  <w:style w:type="character" w:customStyle="1" w:styleId="71">
    <w:name w:val="文档结构图 字符"/>
    <w:basedOn w:val="48"/>
    <w:link w:val="14"/>
    <w:qFormat/>
    <w:uiPriority w:val="0"/>
    <w:rPr>
      <w:rFonts w:ascii="Times New Roman" w:hAnsi="Times New Roman" w:eastAsia="宋体" w:cs="Times New Roman"/>
      <w:szCs w:val="24"/>
      <w:shd w:val="clear" w:color="auto" w:fill="000080"/>
    </w:rPr>
  </w:style>
  <w:style w:type="character" w:customStyle="1" w:styleId="72">
    <w:name w:val="批注文字 字符"/>
    <w:basedOn w:val="48"/>
    <w:link w:val="15"/>
    <w:qFormat/>
    <w:uiPriority w:val="0"/>
    <w:rPr>
      <w:rFonts w:ascii="Times New Roman" w:hAnsi="Times New Roman" w:eastAsia="宋体" w:cs="Times New Roman"/>
      <w:szCs w:val="24"/>
    </w:rPr>
  </w:style>
  <w:style w:type="character" w:customStyle="1" w:styleId="73">
    <w:name w:val="正文文本 3 字符"/>
    <w:basedOn w:val="48"/>
    <w:link w:val="16"/>
    <w:qFormat/>
    <w:uiPriority w:val="0"/>
    <w:rPr>
      <w:rFonts w:ascii="Times New Roman" w:hAnsi="Times New Roman" w:eastAsia="宋体" w:cs="Times New Roman"/>
      <w:sz w:val="16"/>
      <w:szCs w:val="16"/>
    </w:rPr>
  </w:style>
  <w:style w:type="character" w:customStyle="1" w:styleId="74">
    <w:name w:val="正文文本缩进 字符"/>
    <w:basedOn w:val="48"/>
    <w:link w:val="18"/>
    <w:qFormat/>
    <w:uiPriority w:val="0"/>
    <w:rPr>
      <w:rFonts w:ascii="Times New Roman" w:hAnsi="Times New Roman" w:eastAsia="宋体" w:cs="Times New Roman"/>
      <w:szCs w:val="24"/>
    </w:rPr>
  </w:style>
  <w:style w:type="character" w:customStyle="1" w:styleId="75">
    <w:name w:val="纯文本 字符"/>
    <w:basedOn w:val="48"/>
    <w:link w:val="23"/>
    <w:qFormat/>
    <w:uiPriority w:val="0"/>
    <w:rPr>
      <w:rFonts w:ascii="宋体" w:hAnsi="Courier New" w:eastAsia="宋体" w:cs="Courier New"/>
      <w:szCs w:val="21"/>
    </w:rPr>
  </w:style>
  <w:style w:type="character" w:customStyle="1" w:styleId="76">
    <w:name w:val="日期 字符"/>
    <w:basedOn w:val="48"/>
    <w:link w:val="25"/>
    <w:qFormat/>
    <w:uiPriority w:val="99"/>
    <w:rPr>
      <w:rFonts w:ascii="Times New Roman" w:hAnsi="Times New Roman" w:eastAsia="宋体" w:cs="Times New Roman"/>
      <w:szCs w:val="24"/>
    </w:rPr>
  </w:style>
  <w:style w:type="character" w:customStyle="1" w:styleId="77">
    <w:name w:val="正文文本缩进 2 字符"/>
    <w:basedOn w:val="48"/>
    <w:link w:val="26"/>
    <w:qFormat/>
    <w:uiPriority w:val="0"/>
    <w:rPr>
      <w:rFonts w:ascii="Times New Roman" w:hAnsi="Times New Roman" w:eastAsia="宋体" w:cs="Times New Roman"/>
      <w:kern w:val="0"/>
      <w:sz w:val="28"/>
      <w:szCs w:val="24"/>
    </w:rPr>
  </w:style>
  <w:style w:type="character" w:customStyle="1" w:styleId="78">
    <w:name w:val="尾注文本 字符"/>
    <w:basedOn w:val="48"/>
    <w:link w:val="27"/>
    <w:qFormat/>
    <w:uiPriority w:val="0"/>
    <w:rPr>
      <w:rFonts w:ascii="Arial" w:hAnsi="Arial" w:eastAsia="宋体" w:cs="Arial"/>
      <w:kern w:val="0"/>
      <w:sz w:val="20"/>
      <w:szCs w:val="24"/>
      <w:lang w:eastAsia="en-US"/>
    </w:rPr>
  </w:style>
  <w:style w:type="character" w:customStyle="1" w:styleId="79">
    <w:name w:val="批注框文本 字符"/>
    <w:basedOn w:val="48"/>
    <w:link w:val="28"/>
    <w:qFormat/>
    <w:uiPriority w:val="99"/>
    <w:rPr>
      <w:rFonts w:ascii="Times New Roman" w:hAnsi="Times New Roman" w:eastAsia="宋体" w:cs="Times New Roman"/>
      <w:sz w:val="18"/>
      <w:szCs w:val="18"/>
    </w:rPr>
  </w:style>
  <w:style w:type="character" w:customStyle="1" w:styleId="80">
    <w:name w:val="页脚 字符"/>
    <w:basedOn w:val="48"/>
    <w:link w:val="29"/>
    <w:qFormat/>
    <w:uiPriority w:val="99"/>
    <w:rPr>
      <w:rFonts w:ascii="Times New Roman" w:hAnsi="Times New Roman" w:eastAsia="宋体" w:cs="Times New Roman"/>
      <w:sz w:val="18"/>
      <w:szCs w:val="18"/>
    </w:rPr>
  </w:style>
  <w:style w:type="character" w:customStyle="1" w:styleId="81">
    <w:name w:val="页眉 字符"/>
    <w:basedOn w:val="48"/>
    <w:link w:val="30"/>
    <w:qFormat/>
    <w:uiPriority w:val="99"/>
    <w:rPr>
      <w:rFonts w:ascii="Times New Roman" w:hAnsi="Times New Roman" w:eastAsia="宋体" w:cs="Times New Roman"/>
      <w:sz w:val="18"/>
      <w:szCs w:val="18"/>
    </w:rPr>
  </w:style>
  <w:style w:type="character" w:customStyle="1" w:styleId="82">
    <w:name w:val="副标题 字符"/>
    <w:basedOn w:val="48"/>
    <w:link w:val="33"/>
    <w:qFormat/>
    <w:uiPriority w:val="0"/>
    <w:rPr>
      <w:rFonts w:ascii="Times New Roman" w:hAnsi="Times New Roman" w:eastAsia="宋体" w:cs="Times New Roman"/>
      <w:kern w:val="0"/>
      <w:sz w:val="20"/>
      <w:szCs w:val="24"/>
      <w:u w:val="single"/>
      <w:lang w:eastAsia="en-US"/>
    </w:rPr>
  </w:style>
  <w:style w:type="character" w:customStyle="1" w:styleId="83">
    <w:name w:val="脚注文本 字符"/>
    <w:basedOn w:val="48"/>
    <w:link w:val="34"/>
    <w:qFormat/>
    <w:uiPriority w:val="0"/>
    <w:rPr>
      <w:rFonts w:ascii="Arial" w:hAnsi="Arial" w:eastAsia="宋体" w:cs="Arial"/>
      <w:kern w:val="0"/>
      <w:sz w:val="18"/>
      <w:szCs w:val="18"/>
      <w:lang w:eastAsia="en-US"/>
    </w:rPr>
  </w:style>
  <w:style w:type="character" w:customStyle="1" w:styleId="84">
    <w:name w:val="正文文本缩进 3 字符"/>
    <w:basedOn w:val="48"/>
    <w:link w:val="36"/>
    <w:qFormat/>
    <w:uiPriority w:val="0"/>
    <w:rPr>
      <w:rFonts w:ascii="宋体" w:hAnsi="宋体" w:eastAsia="宋体" w:cs="Times New Roman"/>
      <w:sz w:val="28"/>
      <w:szCs w:val="28"/>
    </w:rPr>
  </w:style>
  <w:style w:type="character" w:customStyle="1" w:styleId="85">
    <w:name w:val="正文文本 2 字符"/>
    <w:basedOn w:val="48"/>
    <w:link w:val="39"/>
    <w:qFormat/>
    <w:uiPriority w:val="0"/>
    <w:rPr>
      <w:rFonts w:ascii="Times New Roman" w:hAnsi="Times New Roman" w:eastAsia="宋体" w:cs="Times New Roman"/>
      <w:i/>
      <w:iCs/>
      <w:sz w:val="26"/>
      <w:szCs w:val="24"/>
    </w:rPr>
  </w:style>
  <w:style w:type="character" w:customStyle="1" w:styleId="86">
    <w:name w:val="HTML 预设格式 字符"/>
    <w:basedOn w:val="48"/>
    <w:link w:val="40"/>
    <w:qFormat/>
    <w:uiPriority w:val="0"/>
    <w:rPr>
      <w:rFonts w:ascii="宋体" w:hAnsi="宋体" w:eastAsia="宋体" w:cs="宋体"/>
      <w:color w:val="000000"/>
      <w:kern w:val="0"/>
      <w:sz w:val="24"/>
      <w:szCs w:val="24"/>
    </w:rPr>
  </w:style>
  <w:style w:type="character" w:customStyle="1" w:styleId="87">
    <w:name w:val="标题 字符"/>
    <w:basedOn w:val="48"/>
    <w:link w:val="43"/>
    <w:qFormat/>
    <w:uiPriority w:val="0"/>
    <w:rPr>
      <w:rFonts w:ascii="Times New Roman" w:hAnsi="Times New Roman" w:eastAsia="宋体" w:cs="Times New Roman"/>
      <w:kern w:val="0"/>
      <w:sz w:val="20"/>
      <w:szCs w:val="24"/>
      <w:u w:val="single"/>
      <w:lang w:eastAsia="en-US"/>
    </w:rPr>
  </w:style>
  <w:style w:type="character" w:customStyle="1" w:styleId="88">
    <w:name w:val="批注主题 字符"/>
    <w:basedOn w:val="72"/>
    <w:link w:val="44"/>
    <w:qFormat/>
    <w:uiPriority w:val="99"/>
    <w:rPr>
      <w:rFonts w:ascii="Times New Roman" w:hAnsi="Times New Roman" w:eastAsia="宋体" w:cs="Times New Roman"/>
      <w:b/>
      <w:bCs/>
      <w:szCs w:val="24"/>
    </w:rPr>
  </w:style>
  <w:style w:type="paragraph" w:customStyle="1" w:styleId="89">
    <w:name w:val="列出段落1"/>
    <w:basedOn w:val="1"/>
    <w:qFormat/>
    <w:uiPriority w:val="99"/>
    <w:pPr>
      <w:ind w:firstLine="420" w:firstLineChars="200"/>
    </w:pPr>
    <w:rPr>
      <w:sz w:val="28"/>
      <w:szCs w:val="28"/>
    </w:rPr>
  </w:style>
  <w:style w:type="paragraph" w:customStyle="1" w:styleId="90">
    <w:name w:val="zz"/>
    <w:basedOn w:val="1"/>
    <w:qFormat/>
    <w:uiPriority w:val="0"/>
    <w:pPr>
      <w:widowControl/>
      <w:spacing w:before="30"/>
      <w:jc w:val="right"/>
    </w:pPr>
    <w:rPr>
      <w:rFonts w:ascii="方正书宋简体" w:hAnsi="宋体" w:eastAsia="方正书宋简体"/>
      <w:color w:val="000000"/>
      <w:kern w:val="0"/>
      <w:szCs w:val="21"/>
    </w:rPr>
  </w:style>
  <w:style w:type="paragraph" w:customStyle="1" w:styleId="91">
    <w:name w:val="Char Char Char Char Char Char 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2">
    <w:name w:val="mtitle"/>
    <w:basedOn w:val="1"/>
    <w:qFormat/>
    <w:uiPriority w:val="0"/>
    <w:pPr>
      <w:widowControl/>
      <w:spacing w:before="30"/>
      <w:jc w:val="center"/>
    </w:pPr>
    <w:rPr>
      <w:rFonts w:ascii="方正小标宋简体" w:hAnsi="宋体" w:eastAsia="方正小标宋简体"/>
      <w:color w:val="000000"/>
      <w:kern w:val="0"/>
      <w:sz w:val="44"/>
      <w:szCs w:val="44"/>
    </w:rPr>
  </w:style>
  <w:style w:type="paragraph" w:customStyle="1" w:styleId="93">
    <w:name w:val="zw"/>
    <w:basedOn w:val="1"/>
    <w:qFormat/>
    <w:uiPriority w:val="0"/>
    <w:pPr>
      <w:widowControl/>
      <w:spacing w:before="30"/>
      <w:ind w:left="100" w:right="100"/>
    </w:pPr>
    <w:rPr>
      <w:rFonts w:ascii="方正书宋简体" w:hAnsi="宋体" w:eastAsia="方正书宋简体"/>
      <w:color w:val="000000"/>
      <w:kern w:val="0"/>
      <w:szCs w:val="21"/>
    </w:rPr>
  </w:style>
  <w:style w:type="paragraph" w:customStyle="1" w:styleId="94">
    <w:name w:val="1 Char"/>
    <w:basedOn w:val="1"/>
    <w:qFormat/>
    <w:uiPriority w:val="0"/>
    <w:pPr>
      <w:widowControl/>
      <w:spacing w:after="160" w:line="240" w:lineRule="exact"/>
      <w:jc w:val="left"/>
    </w:pPr>
    <w:rPr>
      <w:rFonts w:ascii="Calibri" w:hAnsi="Calibri"/>
      <w:szCs w:val="20"/>
    </w:rPr>
  </w:style>
  <w:style w:type="paragraph" w:customStyle="1" w:styleId="95">
    <w:name w:val="列表段落1"/>
    <w:basedOn w:val="1"/>
    <w:qFormat/>
    <w:uiPriority w:val="34"/>
    <w:pPr>
      <w:ind w:firstLine="420" w:firstLineChars="200"/>
    </w:pPr>
    <w:rPr>
      <w:rFonts w:ascii="Calibri" w:hAnsi="Calibri"/>
    </w:rPr>
  </w:style>
  <w:style w:type="paragraph" w:customStyle="1" w:styleId="96">
    <w:name w:val="Char Char Char Char Char Char Char Char Char Char"/>
    <w:basedOn w:val="14"/>
    <w:qFormat/>
    <w:uiPriority w:val="0"/>
    <w:pPr>
      <w:spacing w:line="360" w:lineRule="auto"/>
      <w:ind w:firstLine="200" w:firstLineChars="200"/>
    </w:pPr>
    <w:rPr>
      <w:rFonts w:ascii="Tahoma" w:hAnsi="Tahoma"/>
      <w:sz w:val="24"/>
    </w:rPr>
  </w:style>
  <w:style w:type="paragraph" w:customStyle="1" w:styleId="97">
    <w:name w:val="样式 标题 3 + (中文) 黑体 小四 非加粗 段前: 7.8 磅 段后: 0 磅 行距: 固定值 20 磅"/>
    <w:basedOn w:val="4"/>
    <w:next w:val="1"/>
    <w:qFormat/>
    <w:uiPriority w:val="0"/>
    <w:pPr>
      <w:spacing w:before="0" w:after="0" w:line="400" w:lineRule="exact"/>
    </w:pPr>
    <w:rPr>
      <w:rFonts w:eastAsia="黑体" w:cs="宋体"/>
      <w:b w:val="0"/>
      <w:bCs w:val="0"/>
      <w:sz w:val="24"/>
      <w:szCs w:val="20"/>
    </w:rPr>
  </w:style>
  <w:style w:type="paragraph" w:customStyle="1" w:styleId="98">
    <w:name w:val="正文 New New New New New New New New New New New New New New New"/>
    <w:qFormat/>
    <w:uiPriority w:val="0"/>
    <w:pPr>
      <w:widowControl w:val="0"/>
      <w:jc w:val="both"/>
    </w:pPr>
    <w:rPr>
      <w:rFonts w:ascii="Calibri" w:hAnsi="Calibri" w:eastAsia="宋体" w:cs="Times New Roman"/>
      <w:kern w:val="2"/>
      <w:sz w:val="21"/>
      <w:lang w:val="en-US" w:eastAsia="zh-CN" w:bidi="ar-SA"/>
    </w:rPr>
  </w:style>
  <w:style w:type="paragraph" w:customStyle="1" w:styleId="99">
    <w:name w:val="TOC 标题2"/>
    <w:basedOn w:val="2"/>
    <w:next w:val="1"/>
    <w:unhideWhenUsed/>
    <w:qFormat/>
    <w:uiPriority w:val="0"/>
    <w:pPr>
      <w:outlineLvl w:val="9"/>
    </w:pPr>
    <w:rPr>
      <w:rFonts w:ascii="Calibri" w:hAnsi="Calibri"/>
    </w:rPr>
  </w:style>
  <w:style w:type="paragraph" w:customStyle="1" w:styleId="100">
    <w:name w:val="样式1"/>
    <w:basedOn w:val="1"/>
    <w:next w:val="6"/>
    <w:qFormat/>
    <w:uiPriority w:val="0"/>
    <w:pPr>
      <w:spacing w:line="360" w:lineRule="auto"/>
      <w:ind w:firstLine="420" w:firstLineChars="200"/>
    </w:pPr>
    <w:rPr>
      <w:rFonts w:ascii="宋体" w:hAnsi="宋体"/>
      <w:szCs w:val="21"/>
    </w:rPr>
  </w:style>
  <w:style w:type="paragraph" w:customStyle="1" w:styleId="101">
    <w:name w:val="列出段落111"/>
    <w:basedOn w:val="1"/>
    <w:qFormat/>
    <w:uiPriority w:val="0"/>
    <w:pPr>
      <w:ind w:firstLine="420" w:firstLineChars="200"/>
    </w:pPr>
    <w:rPr>
      <w:sz w:val="28"/>
      <w:szCs w:val="28"/>
    </w:rPr>
  </w:style>
  <w:style w:type="paragraph" w:customStyle="1" w:styleId="102">
    <w:name w:val="g2"/>
    <w:basedOn w:val="1"/>
    <w:qFormat/>
    <w:uiPriority w:val="0"/>
    <w:pPr>
      <w:widowControl/>
      <w:spacing w:before="100" w:beforeAutospacing="1" w:after="100" w:afterAutospacing="1"/>
      <w:jc w:val="left"/>
    </w:pPr>
    <w:rPr>
      <w:rFonts w:ascii="仿宋_GB2312" w:hAnsi="宋体" w:eastAsia="仿宋_GB2312" w:cs="宋体"/>
      <w:kern w:val="0"/>
      <w:sz w:val="17"/>
      <w:szCs w:val="17"/>
    </w:rPr>
  </w:style>
  <w:style w:type="paragraph" w:customStyle="1" w:styleId="103">
    <w:name w:val="pa-27"/>
    <w:basedOn w:val="1"/>
    <w:qFormat/>
    <w:uiPriority w:val="0"/>
    <w:pPr>
      <w:widowControl/>
      <w:spacing w:line="360" w:lineRule="atLeast"/>
      <w:ind w:firstLine="420"/>
    </w:pPr>
    <w:rPr>
      <w:rFonts w:ascii="宋体" w:hAnsi="宋体" w:cs="宋体"/>
      <w:kern w:val="0"/>
      <w:sz w:val="24"/>
    </w:rPr>
  </w:style>
  <w:style w:type="paragraph" w:customStyle="1" w:styleId="104">
    <w:name w:val="标题1"/>
    <w:basedOn w:val="1"/>
    <w:qFormat/>
    <w:uiPriority w:val="0"/>
    <w:pPr>
      <w:widowControl/>
      <w:spacing w:before="100" w:beforeAutospacing="1" w:after="100" w:afterAutospacing="1"/>
      <w:jc w:val="left"/>
    </w:pPr>
    <w:rPr>
      <w:rFonts w:ascii="宋体" w:hAnsi="宋体" w:cs="宋体"/>
      <w:kern w:val="0"/>
      <w:sz w:val="24"/>
    </w:rPr>
  </w:style>
  <w:style w:type="paragraph" w:customStyle="1" w:styleId="105">
    <w:name w:val="Char Char1 Char Char Char Char Char Char Char Char Char Char"/>
    <w:basedOn w:val="1"/>
    <w:qFormat/>
    <w:uiPriority w:val="0"/>
    <w:pPr>
      <w:autoSpaceDE w:val="0"/>
      <w:autoSpaceDN w:val="0"/>
      <w:adjustRightInd w:val="0"/>
      <w:ind w:firstLine="482"/>
    </w:pPr>
    <w:rPr>
      <w:rFonts w:ascii="Calibri" w:hAnsi="Calibri"/>
      <w:szCs w:val="20"/>
    </w:rPr>
  </w:style>
  <w:style w:type="paragraph" w:customStyle="1" w:styleId="106">
    <w:name w:val="_Style 3"/>
    <w:qFormat/>
    <w:uiPriority w:val="0"/>
    <w:pPr>
      <w:widowControl w:val="0"/>
      <w:snapToGrid w:val="0"/>
      <w:spacing w:line="360" w:lineRule="auto"/>
    </w:pPr>
    <w:rPr>
      <w:rFonts w:ascii="Calibri" w:hAnsi="Calibri" w:eastAsia="宋体" w:cs="Times New Roman"/>
      <w:snapToGrid w:val="0"/>
      <w:sz w:val="21"/>
      <w:szCs w:val="24"/>
      <w:lang w:val="en-US" w:eastAsia="zh-CN" w:bidi="ar-SA"/>
    </w:rPr>
  </w:style>
  <w:style w:type="paragraph" w:customStyle="1" w:styleId="107">
    <w:name w:val="Char Char Char Char"/>
    <w:basedOn w:val="14"/>
    <w:qFormat/>
    <w:uiPriority w:val="0"/>
    <w:pPr>
      <w:spacing w:line="360" w:lineRule="auto"/>
      <w:ind w:firstLine="200" w:firstLineChars="200"/>
    </w:pPr>
    <w:rPr>
      <w:rFonts w:ascii="Tahoma" w:hAnsi="Tahoma"/>
      <w:sz w:val="24"/>
    </w:rPr>
  </w:style>
  <w:style w:type="paragraph" w:customStyle="1" w:styleId="108">
    <w:name w:val="表格内容"/>
    <w:basedOn w:val="1"/>
    <w:qFormat/>
    <w:uiPriority w:val="0"/>
    <w:pPr>
      <w:suppressLineNumbers/>
      <w:suppressAutoHyphens/>
    </w:pPr>
  </w:style>
  <w:style w:type="paragraph" w:customStyle="1" w:styleId="109">
    <w:name w:val="_Style 90"/>
    <w:next w:val="1"/>
    <w:qFormat/>
    <w:uiPriority w:val="0"/>
    <w:pPr>
      <w:widowControl w:val="0"/>
      <w:jc w:val="both"/>
    </w:pPr>
    <w:rPr>
      <w:rFonts w:ascii="Calibri" w:hAnsi="Calibri" w:eastAsia="宋体" w:cs="Times New Roman"/>
      <w:kern w:val="2"/>
      <w:sz w:val="21"/>
      <w:szCs w:val="24"/>
      <w:lang w:val="en-US" w:eastAsia="zh-CN" w:bidi="ar-SA"/>
    </w:rPr>
  </w:style>
  <w:style w:type="paragraph" w:customStyle="1" w:styleId="110">
    <w:name w:val="标准样式（文件）"/>
    <w:qFormat/>
    <w:uiPriority w:val="0"/>
    <w:pPr>
      <w:widowControl w:val="0"/>
      <w:spacing w:line="600" w:lineRule="exact"/>
      <w:ind w:firstLine="567"/>
    </w:pPr>
    <w:rPr>
      <w:rFonts w:ascii="Calibri" w:hAnsi="Calibri" w:eastAsia="宋体" w:cs="Times New Roman"/>
      <w:sz w:val="28"/>
      <w:lang w:val="en-US" w:eastAsia="zh-CN" w:bidi="ar-SA"/>
    </w:rPr>
  </w:style>
  <w:style w:type="paragraph" w:customStyle="1" w:styleId="111">
    <w:name w:val="_Style 105"/>
    <w:basedOn w:val="2"/>
    <w:next w:val="1"/>
    <w:qFormat/>
    <w:uiPriority w:val="39"/>
    <w:pPr>
      <w:widowControl/>
      <w:spacing w:before="480" w:after="0" w:line="276" w:lineRule="auto"/>
      <w:jc w:val="left"/>
      <w:outlineLvl w:val="9"/>
    </w:pPr>
    <w:rPr>
      <w:rFonts w:ascii="Cambria" w:hAnsi="Cambria"/>
      <w:color w:val="365F91"/>
      <w:kern w:val="0"/>
      <w:sz w:val="28"/>
      <w:szCs w:val="28"/>
    </w:rPr>
  </w:style>
  <w:style w:type="paragraph" w:customStyle="1" w:styleId="112">
    <w:name w:val="明显引用1"/>
    <w:basedOn w:val="1"/>
    <w:next w:val="1"/>
    <w:link w:val="113"/>
    <w:qFormat/>
    <w:uiPriority w:val="0"/>
    <w:pPr>
      <w:pBdr>
        <w:bottom w:val="single" w:color="4F81BD" w:sz="4" w:space="4"/>
      </w:pBdr>
      <w:spacing w:before="200" w:after="280"/>
      <w:ind w:left="936" w:right="936"/>
    </w:pPr>
    <w:rPr>
      <w:b/>
      <w:bCs/>
      <w:i/>
      <w:iCs/>
      <w:color w:val="4F81BD"/>
      <w:szCs w:val="22"/>
    </w:rPr>
  </w:style>
  <w:style w:type="character" w:customStyle="1" w:styleId="113">
    <w:name w:val="明显引用 Char4"/>
    <w:basedOn w:val="48"/>
    <w:link w:val="112"/>
    <w:qFormat/>
    <w:uiPriority w:val="0"/>
    <w:rPr>
      <w:rFonts w:ascii="Times New Roman" w:hAnsi="Times New Roman" w:eastAsia="宋体" w:cs="Times New Roman"/>
      <w:b/>
      <w:bCs/>
      <w:i/>
      <w:iCs/>
      <w:color w:val="4F81BD"/>
    </w:rPr>
  </w:style>
  <w:style w:type="paragraph" w:customStyle="1" w:styleId="114">
    <w:name w:val="表体"/>
    <w:basedOn w:val="1"/>
    <w:next w:val="1"/>
    <w:qFormat/>
    <w:uiPriority w:val="0"/>
    <w:pPr>
      <w:spacing w:line="0" w:lineRule="atLeast"/>
    </w:pPr>
    <w:rPr>
      <w:rFonts w:ascii="Calibri" w:hAnsi="Calibri"/>
      <w:b/>
      <w:snapToGrid w:val="0"/>
      <w:szCs w:val="20"/>
    </w:rPr>
  </w:style>
  <w:style w:type="paragraph" w:customStyle="1" w:styleId="115">
    <w:name w:val="正文 New New New New New New New New New New New New New New New New New New New New New New New New New New New New New New New New New New New New New New New New New New New New New New New New New New New New New New New New New New New New New New Ne"/>
    <w:qFormat/>
    <w:uiPriority w:val="0"/>
    <w:pPr>
      <w:widowControl w:val="0"/>
      <w:jc w:val="both"/>
    </w:pPr>
    <w:rPr>
      <w:rFonts w:ascii="Calibri" w:hAnsi="Calibri" w:eastAsia="宋体" w:cs="Times New Roman"/>
      <w:kern w:val="2"/>
      <w:sz w:val="21"/>
      <w:lang w:val="en-US" w:eastAsia="zh-CN" w:bidi="ar-SA"/>
    </w:rPr>
  </w:style>
  <w:style w:type="paragraph" w:customStyle="1" w:styleId="116">
    <w:name w:val="pa-34"/>
    <w:basedOn w:val="1"/>
    <w:qFormat/>
    <w:uiPriority w:val="0"/>
    <w:pPr>
      <w:widowControl/>
      <w:spacing w:line="360" w:lineRule="atLeast"/>
      <w:ind w:firstLine="420"/>
      <w:jc w:val="left"/>
    </w:pPr>
    <w:rPr>
      <w:rFonts w:ascii="宋体" w:hAnsi="宋体" w:cs="宋体"/>
      <w:kern w:val="0"/>
      <w:sz w:val="24"/>
    </w:rPr>
  </w:style>
  <w:style w:type="paragraph" w:customStyle="1" w:styleId="117">
    <w:name w:val="g3"/>
    <w:basedOn w:val="1"/>
    <w:qFormat/>
    <w:uiPriority w:val="0"/>
    <w:pPr>
      <w:widowControl/>
      <w:spacing w:before="100" w:beforeAutospacing="1" w:after="100" w:afterAutospacing="1"/>
      <w:jc w:val="left"/>
    </w:pPr>
    <w:rPr>
      <w:rFonts w:ascii="宋体" w:hAnsi="宋体" w:cs="宋体"/>
      <w:kern w:val="0"/>
      <w:sz w:val="24"/>
    </w:rPr>
  </w:style>
  <w:style w:type="paragraph" w:customStyle="1" w:styleId="118">
    <w:name w:val="1"/>
    <w:basedOn w:val="1"/>
    <w:qFormat/>
    <w:uiPriority w:val="0"/>
    <w:pPr>
      <w:widowControl/>
      <w:spacing w:before="100" w:beforeAutospacing="1" w:after="100" w:afterAutospacing="1"/>
      <w:jc w:val="left"/>
    </w:pPr>
    <w:rPr>
      <w:rFonts w:ascii="ˎ̥" w:hAnsi="ˎ̥" w:cs="宋体"/>
      <w:kern w:val="0"/>
      <w:sz w:val="24"/>
    </w:rPr>
  </w:style>
  <w:style w:type="paragraph" w:customStyle="1" w:styleId="119">
    <w:name w:val="p16"/>
    <w:basedOn w:val="1"/>
    <w:qFormat/>
    <w:uiPriority w:val="0"/>
    <w:pPr>
      <w:widowControl/>
    </w:pPr>
    <w:rPr>
      <w:rFonts w:ascii="Calibri" w:hAnsi="Calibri" w:cs="宋体"/>
      <w:kern w:val="0"/>
      <w:szCs w:val="21"/>
    </w:rPr>
  </w:style>
  <w:style w:type="paragraph" w:customStyle="1" w:styleId="120">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121">
    <w:name w:val="l-2"/>
    <w:basedOn w:val="1"/>
    <w:qFormat/>
    <w:uiPriority w:val="0"/>
    <w:pPr>
      <w:widowControl/>
      <w:spacing w:before="100" w:beforeAutospacing="1" w:after="100" w:afterAutospacing="1"/>
      <w:jc w:val="left"/>
    </w:pPr>
    <w:rPr>
      <w:rFonts w:ascii="宋体" w:hAnsi="宋体" w:cs="宋体"/>
      <w:b/>
      <w:bCs/>
      <w:color w:val="000000"/>
      <w:kern w:val="0"/>
      <w:sz w:val="13"/>
      <w:szCs w:val="13"/>
    </w:rPr>
  </w:style>
  <w:style w:type="paragraph" w:customStyle="1" w:styleId="122">
    <w:name w:val="样式"/>
    <w:qFormat/>
    <w:uiPriority w:val="0"/>
    <w:pPr>
      <w:widowControl w:val="0"/>
      <w:autoSpaceDE w:val="0"/>
      <w:autoSpaceDN w:val="0"/>
      <w:adjustRightInd w:val="0"/>
    </w:pPr>
    <w:rPr>
      <w:rFonts w:ascii="宋体" w:hAnsi="宋体" w:eastAsia="宋体" w:cs="宋体"/>
      <w:sz w:val="24"/>
      <w:szCs w:val="24"/>
      <w:lang w:val="en-US" w:eastAsia="zh-CN" w:bidi="ar-SA"/>
    </w:rPr>
  </w:style>
  <w:style w:type="paragraph" w:customStyle="1" w:styleId="123">
    <w:name w:val="标题4"/>
    <w:basedOn w:val="3"/>
    <w:next w:val="20"/>
    <w:link w:val="288"/>
    <w:qFormat/>
    <w:uiPriority w:val="0"/>
    <w:pPr>
      <w:spacing w:line="413" w:lineRule="auto"/>
    </w:pPr>
    <w:rPr>
      <w:rFonts w:ascii="Arial" w:hAnsi="Arial"/>
      <w:kern w:val="0"/>
      <w:sz w:val="24"/>
    </w:rPr>
  </w:style>
  <w:style w:type="paragraph" w:customStyle="1" w:styleId="124">
    <w:name w:val="Char Char"/>
    <w:basedOn w:val="1"/>
    <w:qFormat/>
    <w:uiPriority w:val="0"/>
    <w:pPr>
      <w:widowControl/>
      <w:jc w:val="left"/>
    </w:pPr>
    <w:rPr>
      <w:rFonts w:ascii="Verdana" w:hAnsi="Verdana" w:eastAsia="Times New Roman"/>
      <w:kern w:val="0"/>
      <w:sz w:val="16"/>
      <w:szCs w:val="20"/>
      <w:lang w:eastAsia="en-US"/>
    </w:rPr>
  </w:style>
  <w:style w:type="paragraph" w:customStyle="1" w:styleId="125">
    <w:name w:val="无间隔1"/>
    <w:qFormat/>
    <w:uiPriority w:val="0"/>
    <w:pPr>
      <w:widowControl w:val="0"/>
      <w:jc w:val="both"/>
    </w:pPr>
    <w:rPr>
      <w:rFonts w:ascii="Calibri" w:hAnsi="Calibri" w:eastAsia="宋体" w:cs="Times New Roman"/>
      <w:kern w:val="2"/>
      <w:sz w:val="21"/>
      <w:szCs w:val="22"/>
      <w:lang w:val="en-US" w:eastAsia="zh-CN" w:bidi="ar-SA"/>
    </w:rPr>
  </w:style>
  <w:style w:type="paragraph" w:customStyle="1" w:styleId="126">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27">
    <w:name w:val="WW-表格内容"/>
    <w:basedOn w:val="1"/>
    <w:qFormat/>
    <w:uiPriority w:val="0"/>
    <w:pPr>
      <w:suppressLineNumbers/>
      <w:suppressAutoHyphens/>
    </w:pPr>
  </w:style>
  <w:style w:type="paragraph" w:customStyle="1" w:styleId="128">
    <w:name w:val="Char"/>
    <w:basedOn w:val="1"/>
    <w:qFormat/>
    <w:uiPriority w:val="0"/>
  </w:style>
  <w:style w:type="paragraph" w:customStyle="1" w:styleId="129">
    <w:name w:val="明显引用11"/>
    <w:basedOn w:val="1"/>
    <w:next w:val="1"/>
    <w:qFormat/>
    <w:uiPriority w:val="30"/>
    <w:pPr>
      <w:pBdr>
        <w:bottom w:val="single" w:color="4F81BD" w:sz="4" w:space="4"/>
      </w:pBdr>
      <w:spacing w:before="200" w:after="280"/>
      <w:ind w:left="936" w:right="936"/>
    </w:pPr>
    <w:rPr>
      <w:rFonts w:ascii="Calibri" w:hAnsi="Calibri"/>
      <w:b/>
      <w:bCs/>
      <w:i/>
      <w:iCs/>
      <w:color w:val="4F81BD"/>
      <w:szCs w:val="22"/>
    </w:rPr>
  </w:style>
  <w:style w:type="paragraph" w:customStyle="1" w:styleId="130">
    <w:name w:val="Normal_47"/>
    <w:qFormat/>
    <w:uiPriority w:val="0"/>
    <w:pPr>
      <w:spacing w:before="120" w:after="240"/>
      <w:jc w:val="both"/>
    </w:pPr>
    <w:rPr>
      <w:rFonts w:ascii="Calibri" w:hAnsi="Calibri" w:eastAsia="Calibri" w:cs="Times New Roman"/>
      <w:sz w:val="22"/>
      <w:szCs w:val="22"/>
      <w:lang w:val="ru-RU" w:eastAsia="en-US" w:bidi="ar-SA"/>
    </w:rPr>
  </w:style>
  <w:style w:type="paragraph" w:customStyle="1" w:styleId="131">
    <w:name w:val="样式15"/>
    <w:basedOn w:val="4"/>
    <w:qFormat/>
    <w:uiPriority w:val="0"/>
    <w:pPr>
      <w:keepNext w:val="0"/>
      <w:keepLines w:val="0"/>
      <w:tabs>
        <w:tab w:val="left" w:pos="0"/>
        <w:tab w:val="left" w:pos="210"/>
        <w:tab w:val="left" w:pos="420"/>
        <w:tab w:val="left" w:pos="1260"/>
      </w:tabs>
      <w:adjustRightInd w:val="0"/>
      <w:spacing w:before="0" w:after="0" w:line="240" w:lineRule="auto"/>
      <w:jc w:val="left"/>
    </w:pPr>
    <w:rPr>
      <w:rFonts w:ascii="仿宋_GB2312" w:hAnsi="Calibri" w:eastAsia="仿宋_GB2312"/>
      <w:bCs w:val="0"/>
      <w:szCs w:val="24"/>
    </w:rPr>
  </w:style>
  <w:style w:type="paragraph" w:customStyle="1" w:styleId="132">
    <w:name w:val="rr"/>
    <w:basedOn w:val="1"/>
    <w:qFormat/>
    <w:uiPriority w:val="0"/>
    <w:pPr>
      <w:widowControl/>
      <w:spacing w:before="100" w:beforeAutospacing="1" w:after="100" w:afterAutospacing="1"/>
      <w:jc w:val="left"/>
    </w:pPr>
    <w:rPr>
      <w:rFonts w:hint="eastAsia" w:ascii="宋体" w:hAnsi="宋体"/>
      <w:kern w:val="0"/>
      <w:szCs w:val="21"/>
    </w:rPr>
  </w:style>
  <w:style w:type="paragraph" w:customStyle="1" w:styleId="133">
    <w:name w:val="Char9 Char Char Char Char Char Char"/>
    <w:basedOn w:val="14"/>
    <w:qFormat/>
    <w:uiPriority w:val="0"/>
    <w:pPr>
      <w:spacing w:line="360" w:lineRule="auto"/>
      <w:ind w:firstLine="200" w:firstLineChars="200"/>
    </w:pPr>
    <w:rPr>
      <w:rFonts w:ascii="Tahoma" w:hAnsi="Tahoma"/>
      <w:sz w:val="24"/>
    </w:rPr>
  </w:style>
  <w:style w:type="paragraph" w:customStyle="1" w:styleId="134">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35">
    <w:name w:val="Default"/>
    <w:qFormat/>
    <w:uiPriority w:val="99"/>
    <w:pPr>
      <w:widowControl w:val="0"/>
      <w:autoSpaceDE w:val="0"/>
      <w:autoSpaceDN w:val="0"/>
      <w:adjustRightInd w:val="0"/>
    </w:pPr>
    <w:rPr>
      <w:rFonts w:ascii="仿宋" w:hAnsi="仿宋" w:eastAsia="宋体" w:cs="仿宋"/>
      <w:color w:val="000000"/>
      <w:sz w:val="24"/>
      <w:szCs w:val="24"/>
      <w:lang w:val="en-US" w:eastAsia="zh-CN" w:bidi="ar-SA"/>
    </w:rPr>
  </w:style>
  <w:style w:type="paragraph" w:customStyle="1" w:styleId="136">
    <w:name w:val="p15"/>
    <w:basedOn w:val="1"/>
    <w:qFormat/>
    <w:uiPriority w:val="0"/>
    <w:pPr>
      <w:widowControl/>
      <w:spacing w:after="120"/>
    </w:pPr>
    <w:rPr>
      <w:kern w:val="0"/>
      <w:szCs w:val="21"/>
    </w:rPr>
  </w:style>
  <w:style w:type="paragraph" w:customStyle="1" w:styleId="137">
    <w:name w:val="rw"/>
    <w:basedOn w:val="1"/>
    <w:qFormat/>
    <w:uiPriority w:val="0"/>
    <w:pPr>
      <w:widowControl/>
      <w:spacing w:before="30"/>
      <w:ind w:left="100" w:right="100"/>
      <w:jc w:val="right"/>
    </w:pPr>
    <w:rPr>
      <w:rFonts w:ascii="方正仿宋简体" w:hAnsi="宋体" w:eastAsia="方正仿宋简体"/>
      <w:color w:val="000000"/>
      <w:kern w:val="0"/>
      <w:szCs w:val="21"/>
    </w:rPr>
  </w:style>
  <w:style w:type="paragraph" w:customStyle="1" w:styleId="138">
    <w:name w:val="正  文"/>
    <w:basedOn w:val="1"/>
    <w:qFormat/>
    <w:uiPriority w:val="0"/>
    <w:pPr>
      <w:spacing w:line="360" w:lineRule="auto"/>
      <w:ind w:firstLine="200" w:firstLineChars="200"/>
    </w:pPr>
    <w:rPr>
      <w:rFonts w:ascii="宋体" w:hAnsi="Calibri"/>
      <w:sz w:val="24"/>
    </w:rPr>
  </w:style>
  <w:style w:type="paragraph" w:customStyle="1" w:styleId="139">
    <w:name w:val="列出段落11"/>
    <w:basedOn w:val="1"/>
    <w:qFormat/>
    <w:uiPriority w:val="0"/>
    <w:pPr>
      <w:ind w:firstLine="420" w:firstLineChars="200"/>
    </w:pPr>
    <w:rPr>
      <w:sz w:val="28"/>
      <w:szCs w:val="28"/>
    </w:rPr>
  </w:style>
  <w:style w:type="paragraph" w:customStyle="1" w:styleId="140">
    <w:name w:val="reader-word-layer"/>
    <w:basedOn w:val="1"/>
    <w:qFormat/>
    <w:uiPriority w:val="0"/>
    <w:pPr>
      <w:widowControl/>
      <w:spacing w:before="100" w:beforeAutospacing="1" w:after="100" w:afterAutospacing="1"/>
      <w:jc w:val="left"/>
    </w:pPr>
    <w:rPr>
      <w:rFonts w:ascii="宋体" w:hAnsi="宋体" w:cs="宋体"/>
      <w:kern w:val="0"/>
      <w:sz w:val="24"/>
    </w:rPr>
  </w:style>
  <w:style w:type="paragraph" w:customStyle="1" w:styleId="141">
    <w:name w:val="样式 标题 1 + 黑体 三号 非加粗 居中 段前: 6 磅 段后: 6 磅 行距: 固定值 20 磅"/>
    <w:basedOn w:val="2"/>
    <w:qFormat/>
    <w:uiPriority w:val="0"/>
    <w:pPr>
      <w:spacing w:before="120" w:after="120" w:line="400" w:lineRule="exact"/>
      <w:jc w:val="center"/>
    </w:pPr>
    <w:rPr>
      <w:rFonts w:ascii="黑体" w:hAnsi="黑体" w:eastAsia="黑体" w:cs="宋体"/>
      <w:b w:val="0"/>
      <w:bCs w:val="0"/>
      <w:sz w:val="32"/>
      <w:szCs w:val="20"/>
    </w:rPr>
  </w:style>
  <w:style w:type="paragraph" w:customStyle="1" w:styleId="142">
    <w:name w:val="_Style 96"/>
    <w:semiHidden/>
    <w:qFormat/>
    <w:uiPriority w:val="99"/>
    <w:rPr>
      <w:rFonts w:ascii="Calibri" w:hAnsi="Calibri" w:eastAsia="宋体" w:cs="Times New Roman"/>
      <w:kern w:val="2"/>
      <w:sz w:val="21"/>
      <w:szCs w:val="24"/>
      <w:lang w:val="en-US" w:eastAsia="zh-CN" w:bidi="ar-SA"/>
    </w:rPr>
  </w:style>
  <w:style w:type="paragraph" w:customStyle="1" w:styleId="143">
    <w:name w:val="表格文字"/>
    <w:basedOn w:val="1"/>
    <w:qFormat/>
    <w:uiPriority w:val="0"/>
    <w:pPr>
      <w:adjustRightInd w:val="0"/>
      <w:spacing w:line="420" w:lineRule="atLeast"/>
      <w:jc w:val="left"/>
      <w:textAlignment w:val="baseline"/>
    </w:pPr>
    <w:rPr>
      <w:kern w:val="0"/>
      <w:szCs w:val="20"/>
    </w:rPr>
  </w:style>
  <w:style w:type="paragraph" w:customStyle="1" w:styleId="144">
    <w:name w:val="表格"/>
    <w:basedOn w:val="1"/>
    <w:qFormat/>
    <w:uiPriority w:val="0"/>
    <w:pPr>
      <w:jc w:val="center"/>
      <w:textAlignment w:val="center"/>
    </w:pPr>
    <w:rPr>
      <w:rFonts w:ascii="华文细黑" w:hAnsi="华文细黑"/>
      <w:kern w:val="0"/>
      <w:szCs w:val="20"/>
    </w:rPr>
  </w:style>
  <w:style w:type="paragraph" w:customStyle="1" w:styleId="145">
    <w:name w:val="Char1"/>
    <w:basedOn w:val="1"/>
    <w:qFormat/>
    <w:uiPriority w:val="0"/>
  </w:style>
  <w:style w:type="paragraph" w:customStyle="1" w:styleId="146">
    <w:name w:val="TOC 标题1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47">
    <w:name w:val="引用2"/>
    <w:basedOn w:val="1"/>
    <w:next w:val="1"/>
    <w:link w:val="250"/>
    <w:qFormat/>
    <w:uiPriority w:val="0"/>
    <w:rPr>
      <w:i/>
      <w:iCs/>
      <w:color w:val="000000"/>
    </w:rPr>
  </w:style>
  <w:style w:type="paragraph" w:customStyle="1" w:styleId="148">
    <w:name w:val="链接"/>
    <w:qFormat/>
    <w:uiPriority w:val="0"/>
    <w:pPr>
      <w:widowControl w:val="0"/>
      <w:autoSpaceDE w:val="0"/>
      <w:autoSpaceDN w:val="0"/>
      <w:adjustRightInd w:val="0"/>
      <w:ind w:left="720"/>
    </w:pPr>
    <w:rPr>
      <w:rFonts w:ascii="Calibri" w:hAnsi="Calibri" w:eastAsia="宋体" w:cs="Times New Roman"/>
      <w:color w:val="0000FF"/>
      <w:sz w:val="21"/>
      <w:szCs w:val="21"/>
      <w:u w:val="single"/>
      <w:lang w:val="en-US" w:eastAsia="zh-CN" w:bidi="ar-SA"/>
    </w:rPr>
  </w:style>
  <w:style w:type="paragraph" w:customStyle="1" w:styleId="149">
    <w:name w:val="引用1"/>
    <w:basedOn w:val="1"/>
    <w:next w:val="1"/>
    <w:link w:val="150"/>
    <w:qFormat/>
    <w:uiPriority w:val="0"/>
    <w:rPr>
      <w:i/>
      <w:iCs/>
      <w:color w:val="000000"/>
      <w:szCs w:val="22"/>
    </w:rPr>
  </w:style>
  <w:style w:type="character" w:customStyle="1" w:styleId="150">
    <w:name w:val="引用 Char4"/>
    <w:basedOn w:val="48"/>
    <w:link w:val="149"/>
    <w:qFormat/>
    <w:uiPriority w:val="0"/>
    <w:rPr>
      <w:rFonts w:ascii="Times New Roman" w:hAnsi="Times New Roman" w:eastAsia="宋体" w:cs="Times New Roman"/>
      <w:i/>
      <w:iCs/>
      <w:color w:val="000000"/>
    </w:rPr>
  </w:style>
  <w:style w:type="paragraph" w:customStyle="1" w:styleId="151">
    <w:name w:val="修订1"/>
    <w:qFormat/>
    <w:uiPriority w:val="99"/>
    <w:rPr>
      <w:rFonts w:ascii="Times New Roman" w:hAnsi="Times New Roman" w:eastAsia="宋体" w:cs="Times New Roman"/>
      <w:kern w:val="2"/>
      <w:sz w:val="21"/>
      <w:szCs w:val="24"/>
      <w:lang w:val="en-US" w:eastAsia="zh-CN" w:bidi="ar-SA"/>
    </w:rPr>
  </w:style>
  <w:style w:type="paragraph" w:customStyle="1" w:styleId="152">
    <w:name w:val="xl65"/>
    <w:basedOn w:val="1"/>
    <w:qFormat/>
    <w:uiPriority w:val="0"/>
    <w:pPr>
      <w:widowControl/>
      <w:spacing w:before="100" w:beforeAutospacing="1" w:after="100" w:afterAutospacing="1"/>
      <w:jc w:val="center"/>
    </w:pPr>
    <w:rPr>
      <w:rFonts w:ascii="黑体" w:hAnsi="宋体" w:eastAsia="黑体"/>
      <w:b/>
      <w:kern w:val="0"/>
      <w:sz w:val="36"/>
      <w:szCs w:val="20"/>
    </w:rPr>
  </w:style>
  <w:style w:type="paragraph" w:customStyle="1" w:styleId="153">
    <w:name w:val="Char2"/>
    <w:basedOn w:val="1"/>
    <w:qFormat/>
    <w:uiPriority w:val="0"/>
    <w:rPr>
      <w:rFonts w:ascii="Calibri" w:hAnsi="Calibri"/>
    </w:rPr>
  </w:style>
  <w:style w:type="paragraph" w:customStyle="1" w:styleId="154">
    <w:name w:val="标题5"/>
    <w:basedOn w:val="4"/>
    <w:link w:val="287"/>
    <w:qFormat/>
    <w:uiPriority w:val="0"/>
    <w:pPr>
      <w:spacing w:line="413" w:lineRule="auto"/>
    </w:pPr>
    <w:rPr>
      <w:rFonts w:ascii="Arial" w:hAnsi="Arial"/>
      <w:kern w:val="0"/>
      <w:sz w:val="24"/>
    </w:rPr>
  </w:style>
  <w:style w:type="paragraph" w:customStyle="1" w:styleId="155">
    <w:name w:val="无间隔2"/>
    <w:qFormat/>
    <w:uiPriority w:val="0"/>
    <w:pPr>
      <w:widowControl w:val="0"/>
      <w:jc w:val="both"/>
    </w:pPr>
    <w:rPr>
      <w:rFonts w:ascii="Calibri" w:hAnsi="Calibri" w:eastAsia="宋体" w:cs="Times New Roman"/>
      <w:kern w:val="2"/>
      <w:sz w:val="21"/>
      <w:szCs w:val="22"/>
      <w:lang w:val="en-US" w:eastAsia="zh-CN" w:bidi="ar-SA"/>
    </w:rPr>
  </w:style>
  <w:style w:type="paragraph" w:customStyle="1" w:styleId="156">
    <w:name w:val="TOC 标题1"/>
    <w:basedOn w:val="2"/>
    <w:next w:val="1"/>
    <w:qFormat/>
    <w:uiPriority w:val="0"/>
    <w:pPr>
      <w:widowControl/>
      <w:spacing w:before="480" w:after="0" w:line="276" w:lineRule="auto"/>
      <w:jc w:val="left"/>
      <w:outlineLvl w:val="9"/>
    </w:pPr>
    <w:rPr>
      <w:rFonts w:ascii="Cambria" w:hAnsi="Cambria"/>
      <w:color w:val="365F91"/>
      <w:kern w:val="0"/>
      <w:sz w:val="28"/>
      <w:szCs w:val="28"/>
    </w:rPr>
  </w:style>
  <w:style w:type="paragraph" w:customStyle="1" w:styleId="157">
    <w:name w:val="表格标题"/>
    <w:basedOn w:val="108"/>
    <w:qFormat/>
    <w:uiPriority w:val="0"/>
  </w:style>
  <w:style w:type="paragraph" w:customStyle="1" w:styleId="158">
    <w:name w:val="g11"/>
    <w:basedOn w:val="1"/>
    <w:qFormat/>
    <w:uiPriority w:val="0"/>
    <w:pPr>
      <w:widowControl/>
      <w:spacing w:before="100" w:beforeAutospacing="1" w:after="100" w:afterAutospacing="1" w:line="465" w:lineRule="atLeast"/>
      <w:jc w:val="left"/>
    </w:pPr>
    <w:rPr>
      <w:rFonts w:ascii="华文中宋" w:hAnsi="华文中宋" w:eastAsia="华文中宋" w:cs="宋体"/>
      <w:b/>
      <w:bCs/>
      <w:color w:val="FF0000"/>
      <w:kern w:val="0"/>
      <w:sz w:val="31"/>
      <w:szCs w:val="31"/>
    </w:rPr>
  </w:style>
  <w:style w:type="paragraph" w:customStyle="1" w:styleId="159">
    <w:name w:val="2"/>
    <w:next w:val="1"/>
    <w:qFormat/>
    <w:uiPriority w:val="99"/>
    <w:pPr>
      <w:widowControl w:val="0"/>
      <w:jc w:val="both"/>
    </w:pPr>
    <w:rPr>
      <w:rFonts w:ascii="Calibri" w:hAnsi="Calibri" w:eastAsia="宋体" w:cs="Times New Roman"/>
      <w:kern w:val="2"/>
      <w:sz w:val="21"/>
      <w:szCs w:val="24"/>
      <w:lang w:val="en-US" w:eastAsia="zh-CN" w:bidi="ar-SA"/>
    </w:rPr>
  </w:style>
  <w:style w:type="paragraph" w:customStyle="1" w:styleId="160">
    <w:name w:val="intel1"/>
    <w:basedOn w:val="1"/>
    <w:qFormat/>
    <w:uiPriority w:val="0"/>
    <w:pPr>
      <w:widowControl/>
      <w:spacing w:before="100" w:beforeAutospacing="1" w:after="100" w:afterAutospacing="1"/>
      <w:jc w:val="left"/>
    </w:pPr>
    <w:rPr>
      <w:rFonts w:ascii="宋体" w:hAnsi="宋体" w:cs="宋体"/>
      <w:kern w:val="0"/>
      <w:sz w:val="24"/>
    </w:rPr>
  </w:style>
  <w:style w:type="paragraph" w:customStyle="1" w:styleId="161">
    <w:name w:val="style12"/>
    <w:basedOn w:val="1"/>
    <w:qFormat/>
    <w:uiPriority w:val="0"/>
    <w:pPr>
      <w:widowControl/>
      <w:spacing w:before="100" w:beforeAutospacing="1" w:after="100" w:afterAutospacing="1"/>
      <w:jc w:val="left"/>
    </w:pPr>
    <w:rPr>
      <w:rFonts w:ascii="宋体" w:hAnsi="宋体" w:cs="宋体"/>
      <w:kern w:val="0"/>
      <w:sz w:val="18"/>
      <w:szCs w:val="18"/>
    </w:rPr>
  </w:style>
  <w:style w:type="paragraph" w:customStyle="1" w:styleId="162">
    <w:name w:val="标题2"/>
    <w:basedOn w:val="1"/>
    <w:qFormat/>
    <w:uiPriority w:val="0"/>
    <w:pPr>
      <w:widowControl/>
      <w:spacing w:before="100" w:beforeAutospacing="1" w:after="100" w:afterAutospacing="1"/>
      <w:jc w:val="left"/>
    </w:pPr>
    <w:rPr>
      <w:rFonts w:ascii="宋体" w:hAnsi="宋体" w:cs="宋体"/>
      <w:kern w:val="0"/>
      <w:sz w:val="24"/>
    </w:rPr>
  </w:style>
  <w:style w:type="paragraph" w:customStyle="1" w:styleId="163">
    <w:name w:val="WW-表格标题"/>
    <w:basedOn w:val="127"/>
    <w:qFormat/>
    <w:uiPriority w:val="0"/>
  </w:style>
  <w:style w:type="paragraph" w:customStyle="1" w:styleId="164">
    <w:name w:val="ly"/>
    <w:basedOn w:val="1"/>
    <w:qFormat/>
    <w:uiPriority w:val="0"/>
    <w:pPr>
      <w:widowControl/>
      <w:spacing w:before="30"/>
      <w:jc w:val="right"/>
    </w:pPr>
    <w:rPr>
      <w:rFonts w:ascii="方正书宋简体" w:hAnsi="宋体" w:eastAsia="方正书宋简体"/>
      <w:color w:val="000000"/>
      <w:kern w:val="0"/>
      <w:szCs w:val="21"/>
    </w:rPr>
  </w:style>
  <w:style w:type="paragraph" w:customStyle="1" w:styleId="165">
    <w:name w:val="明显引用12"/>
    <w:basedOn w:val="1"/>
    <w:next w:val="1"/>
    <w:link w:val="256"/>
    <w:qFormat/>
    <w:uiPriority w:val="30"/>
    <w:pPr>
      <w:pBdr>
        <w:bottom w:val="single" w:color="4F81BD" w:sz="4" w:space="4"/>
      </w:pBdr>
      <w:spacing w:before="200" w:after="280"/>
      <w:ind w:left="936" w:right="936"/>
    </w:pPr>
    <w:rPr>
      <w:b/>
      <w:bCs/>
      <w:i/>
      <w:iCs/>
      <w:color w:val="4F81BD"/>
      <w:szCs w:val="20"/>
    </w:rPr>
  </w:style>
  <w:style w:type="paragraph" w:customStyle="1" w:styleId="166">
    <w:name w:val="标准样式1"/>
    <w:basedOn w:val="1"/>
    <w:qFormat/>
    <w:uiPriority w:val="0"/>
    <w:pPr>
      <w:spacing w:line="600" w:lineRule="exact"/>
      <w:ind w:firstLine="567"/>
    </w:pPr>
    <w:rPr>
      <w:rFonts w:ascii="Calibri" w:hAnsi="Calibri"/>
      <w:sz w:val="28"/>
    </w:rPr>
  </w:style>
  <w:style w:type="paragraph" w:customStyle="1" w:styleId="167">
    <w:name w:val="p17"/>
    <w:basedOn w:val="1"/>
    <w:qFormat/>
    <w:uiPriority w:val="0"/>
    <w:pPr>
      <w:widowControl/>
      <w:spacing w:before="120" w:after="120"/>
      <w:jc w:val="left"/>
    </w:pPr>
    <w:rPr>
      <w:rFonts w:ascii="Calibri" w:hAnsi="Calibri" w:cs="宋体"/>
      <w:b/>
      <w:bCs/>
      <w:caps/>
      <w:kern w:val="0"/>
      <w:sz w:val="28"/>
      <w:szCs w:val="28"/>
    </w:rPr>
  </w:style>
  <w:style w:type="paragraph" w:customStyle="1" w:styleId="168">
    <w:name w:val="Char Char1 Char Char"/>
    <w:basedOn w:val="14"/>
    <w:qFormat/>
    <w:uiPriority w:val="0"/>
    <w:pPr>
      <w:shd w:val="clear" w:color="auto" w:fill="auto"/>
      <w:tabs>
        <w:tab w:val="left" w:pos="630"/>
      </w:tabs>
      <w:adjustRightInd w:val="0"/>
      <w:spacing w:line="436" w:lineRule="exact"/>
      <w:ind w:left="357"/>
      <w:jc w:val="left"/>
      <w:outlineLvl w:val="3"/>
    </w:pPr>
    <w:rPr>
      <w:rFonts w:ascii="Calibri" w:hAnsi="Calibri" w:eastAsia="Times New Roman"/>
      <w:sz w:val="18"/>
      <w:szCs w:val="20"/>
    </w:rPr>
  </w:style>
  <w:style w:type="paragraph" w:customStyle="1" w:styleId="169">
    <w:name w:val="引用11"/>
    <w:basedOn w:val="1"/>
    <w:next w:val="1"/>
    <w:link w:val="269"/>
    <w:qFormat/>
    <w:uiPriority w:val="29"/>
    <w:rPr>
      <w:i/>
      <w:iCs/>
      <w:color w:val="000000"/>
      <w:szCs w:val="20"/>
    </w:rPr>
  </w:style>
  <w:style w:type="paragraph" w:customStyle="1" w:styleId="170">
    <w:name w:val="_Style 87"/>
    <w:basedOn w:val="1"/>
    <w:qFormat/>
    <w:uiPriority w:val="99"/>
    <w:pPr>
      <w:ind w:firstLine="420" w:firstLineChars="200"/>
    </w:pPr>
    <w:rPr>
      <w:rFonts w:ascii="Calibri" w:hAnsi="Calibri"/>
      <w:sz w:val="28"/>
      <w:szCs w:val="28"/>
    </w:rPr>
  </w:style>
  <w:style w:type="paragraph" w:customStyle="1" w:styleId="171">
    <w:name w:val="自定样式1"/>
    <w:basedOn w:val="1"/>
    <w:qFormat/>
    <w:uiPriority w:val="0"/>
    <w:pPr>
      <w:suppressAutoHyphens/>
      <w:jc w:val="center"/>
    </w:pPr>
    <w:rPr>
      <w:rFonts w:ascii="宋体" w:hAnsi="宋体"/>
      <w:color w:val="000000"/>
      <w:sz w:val="18"/>
    </w:rPr>
  </w:style>
  <w:style w:type="paragraph" w:customStyle="1" w:styleId="172">
    <w:name w:val="p0"/>
    <w:basedOn w:val="1"/>
    <w:qFormat/>
    <w:uiPriority w:val="0"/>
    <w:pPr>
      <w:widowControl/>
      <w:spacing w:before="100" w:beforeAutospacing="1" w:after="100" w:afterAutospacing="1"/>
      <w:jc w:val="left"/>
    </w:pPr>
    <w:rPr>
      <w:rFonts w:ascii="宋体" w:hAnsi="宋体" w:cs="宋体"/>
      <w:kern w:val="0"/>
      <w:sz w:val="24"/>
    </w:rPr>
  </w:style>
  <w:style w:type="paragraph" w:customStyle="1" w:styleId="173">
    <w:name w:val="样式 标题 2 + Times New Roman 四号 非加粗 段前: 5 磅 段后: 0 磅 行距: 固定值 20..."/>
    <w:basedOn w:val="3"/>
    <w:qFormat/>
    <w:uiPriority w:val="0"/>
    <w:pPr>
      <w:spacing w:before="100" w:after="0" w:line="400" w:lineRule="exact"/>
    </w:pPr>
    <w:rPr>
      <w:rFonts w:ascii="Times New Roman" w:hAnsi="Times New Roman" w:eastAsia="黑体" w:cs="宋体"/>
      <w:b w:val="0"/>
      <w:bCs w:val="0"/>
      <w:sz w:val="28"/>
      <w:szCs w:val="20"/>
    </w:rPr>
  </w:style>
  <w:style w:type="character" w:customStyle="1" w:styleId="174">
    <w:name w:val="未处理的提及1"/>
    <w:unhideWhenUsed/>
    <w:qFormat/>
    <w:uiPriority w:val="99"/>
    <w:rPr>
      <w:color w:val="808080"/>
      <w:shd w:val="clear" w:color="auto" w:fill="E6E6E6"/>
    </w:rPr>
  </w:style>
  <w:style w:type="character" w:customStyle="1" w:styleId="175">
    <w:name w:val="正文文本 3 Char"/>
    <w:qFormat/>
    <w:uiPriority w:val="0"/>
    <w:rPr>
      <w:kern w:val="2"/>
      <w:sz w:val="16"/>
      <w:szCs w:val="16"/>
    </w:rPr>
  </w:style>
  <w:style w:type="character" w:customStyle="1" w:styleId="176">
    <w:name w:val="正文文本缩进 Char2"/>
    <w:semiHidden/>
    <w:qFormat/>
    <w:uiPriority w:val="99"/>
    <w:rPr>
      <w:rFonts w:ascii="Calibri" w:hAnsi="Calibri" w:eastAsia="宋体" w:cs="Times New Roman"/>
      <w:szCs w:val="24"/>
    </w:rPr>
  </w:style>
  <w:style w:type="character" w:customStyle="1" w:styleId="177">
    <w:name w:val="标题 3 Char"/>
    <w:qFormat/>
    <w:uiPriority w:val="0"/>
    <w:rPr>
      <w:rFonts w:ascii="仿宋_GB2312" w:hAnsi="Calibri" w:eastAsia="仿宋_GB2312" w:cs="Times New Roman"/>
      <w:b/>
      <w:kern w:val="0"/>
      <w:sz w:val="24"/>
      <w:szCs w:val="28"/>
    </w:rPr>
  </w:style>
  <w:style w:type="character" w:customStyle="1" w:styleId="178">
    <w:name w:val="批注框文本 Char2"/>
    <w:qFormat/>
    <w:uiPriority w:val="99"/>
    <w:rPr>
      <w:kern w:val="2"/>
      <w:sz w:val="18"/>
      <w:szCs w:val="18"/>
    </w:rPr>
  </w:style>
  <w:style w:type="character" w:customStyle="1" w:styleId="179">
    <w:name w:val="textcontents"/>
    <w:qFormat/>
    <w:uiPriority w:val="0"/>
    <w:rPr>
      <w:rFonts w:cs="Times New Roman"/>
    </w:rPr>
  </w:style>
  <w:style w:type="character" w:customStyle="1" w:styleId="180">
    <w:name w:val="ht1"/>
    <w:qFormat/>
    <w:uiPriority w:val="0"/>
    <w:rPr>
      <w:rFonts w:ascii="黑体" w:eastAsia="黑体"/>
      <w:b/>
      <w:bCs/>
    </w:rPr>
  </w:style>
  <w:style w:type="character" w:customStyle="1" w:styleId="181">
    <w:name w:val="标题 Char"/>
    <w:qFormat/>
    <w:uiPriority w:val="0"/>
    <w:rPr>
      <w:rFonts w:ascii="Cambria" w:hAnsi="Cambria" w:eastAsia="宋体" w:cs="Times New Roman"/>
      <w:b/>
      <w:bCs/>
      <w:kern w:val="2"/>
      <w:sz w:val="32"/>
      <w:szCs w:val="32"/>
    </w:rPr>
  </w:style>
  <w:style w:type="character" w:customStyle="1" w:styleId="182">
    <w:name w:val="14t1"/>
    <w:qFormat/>
    <w:uiPriority w:val="0"/>
    <w:rPr>
      <w:rFonts w:hint="eastAsia" w:ascii="宋体" w:hAnsi="宋体" w:eastAsia="宋体"/>
      <w:sz w:val="11"/>
      <w:szCs w:val="11"/>
    </w:rPr>
  </w:style>
  <w:style w:type="character" w:customStyle="1" w:styleId="183">
    <w:name w:val="Char Char36"/>
    <w:qFormat/>
    <w:uiPriority w:val="0"/>
    <w:rPr>
      <w:rFonts w:ascii="仿宋_GB2312" w:eastAsia="仿宋_GB2312" w:cs="MingLiU"/>
      <w:b/>
      <w:sz w:val="24"/>
      <w:szCs w:val="28"/>
    </w:rPr>
  </w:style>
  <w:style w:type="character" w:customStyle="1" w:styleId="184">
    <w:name w:val="文档结构图 Char"/>
    <w:qFormat/>
    <w:uiPriority w:val="0"/>
    <w:rPr>
      <w:rFonts w:ascii="宋体"/>
      <w:kern w:val="2"/>
      <w:sz w:val="18"/>
      <w:szCs w:val="18"/>
    </w:rPr>
  </w:style>
  <w:style w:type="character" w:customStyle="1" w:styleId="185">
    <w:name w:val="普通文字 Char Char2"/>
    <w:qFormat/>
    <w:uiPriority w:val="0"/>
    <w:rPr>
      <w:rFonts w:ascii="宋体" w:hAnsi="Courier New"/>
      <w:kern w:val="2"/>
      <w:sz w:val="28"/>
      <w:szCs w:val="28"/>
    </w:rPr>
  </w:style>
  <w:style w:type="character" w:customStyle="1" w:styleId="186">
    <w:name w:val="HTML 预设格式 Char"/>
    <w:qFormat/>
    <w:uiPriority w:val="0"/>
    <w:rPr>
      <w:rFonts w:ascii="宋体" w:hAnsi="宋体" w:eastAsia="宋体" w:cs="宋体"/>
      <w:color w:val="000000"/>
      <w:sz w:val="24"/>
      <w:szCs w:val="24"/>
    </w:rPr>
  </w:style>
  <w:style w:type="character" w:customStyle="1" w:styleId="187">
    <w:name w:val="纯文本 Char"/>
    <w:qFormat/>
    <w:uiPriority w:val="0"/>
    <w:rPr>
      <w:rFonts w:ascii="宋体" w:hAnsi="Courier New"/>
      <w:sz w:val="28"/>
      <w:szCs w:val="28"/>
    </w:rPr>
  </w:style>
  <w:style w:type="character" w:customStyle="1" w:styleId="188">
    <w:name w:val="批注框文本 Char"/>
    <w:qFormat/>
    <w:uiPriority w:val="0"/>
    <w:rPr>
      <w:sz w:val="18"/>
      <w:szCs w:val="18"/>
    </w:rPr>
  </w:style>
  <w:style w:type="character" w:customStyle="1" w:styleId="189">
    <w:name w:val="页脚 Char"/>
    <w:qFormat/>
    <w:uiPriority w:val="0"/>
    <w:rPr>
      <w:sz w:val="18"/>
      <w:szCs w:val="18"/>
    </w:rPr>
  </w:style>
  <w:style w:type="character" w:customStyle="1" w:styleId="190">
    <w:name w:val="正文文本缩进 3 Char"/>
    <w:qFormat/>
    <w:uiPriority w:val="0"/>
    <w:rPr>
      <w:kern w:val="2"/>
      <w:sz w:val="16"/>
      <w:szCs w:val="16"/>
    </w:rPr>
  </w:style>
  <w:style w:type="character" w:customStyle="1" w:styleId="191">
    <w:name w:val="标题 8 Char"/>
    <w:qFormat/>
    <w:uiPriority w:val="0"/>
    <w:rPr>
      <w:rFonts w:ascii="Arial" w:hAnsi="Arial" w:eastAsia="黑体" w:cs="Times New Roman"/>
      <w:sz w:val="24"/>
      <w:szCs w:val="24"/>
    </w:rPr>
  </w:style>
  <w:style w:type="character" w:customStyle="1" w:styleId="192">
    <w:name w:val="正文文本缩进 2 Char1"/>
    <w:qFormat/>
    <w:uiPriority w:val="0"/>
    <w:rPr>
      <w:sz w:val="28"/>
      <w:szCs w:val="24"/>
    </w:rPr>
  </w:style>
  <w:style w:type="character" w:customStyle="1" w:styleId="193">
    <w:name w:val="标题 5 Char1"/>
    <w:qFormat/>
    <w:uiPriority w:val="0"/>
    <w:rPr>
      <w:rFonts w:ascii="宋体" w:hAnsi="宋体" w:eastAsia="宋体" w:cs="宋体"/>
      <w:b/>
      <w:bCs/>
      <w:sz w:val="20"/>
      <w:szCs w:val="20"/>
    </w:rPr>
  </w:style>
  <w:style w:type="character" w:customStyle="1" w:styleId="194">
    <w:name w:val="批注文字 Char"/>
    <w:qFormat/>
    <w:uiPriority w:val="0"/>
    <w:rPr>
      <w:rFonts w:ascii="Times New Roman" w:hAnsi="Times New Roman" w:eastAsia="宋体" w:cs="Times New Roman"/>
      <w:kern w:val="2"/>
      <w:sz w:val="21"/>
      <w:szCs w:val="24"/>
    </w:rPr>
  </w:style>
  <w:style w:type="character" w:customStyle="1" w:styleId="195">
    <w:name w:val="style121"/>
    <w:qFormat/>
    <w:uiPriority w:val="0"/>
    <w:rPr>
      <w:rFonts w:hint="eastAsia" w:ascii="宋体" w:hAnsi="宋体" w:eastAsia="宋体"/>
      <w:sz w:val="18"/>
      <w:szCs w:val="18"/>
    </w:rPr>
  </w:style>
  <w:style w:type="character" w:customStyle="1" w:styleId="196">
    <w:name w:val="Section Char"/>
    <w:qFormat/>
    <w:uiPriority w:val="0"/>
    <w:rPr>
      <w:rFonts w:ascii="仿宋_GB2312" w:eastAsia="仿宋_GB2312" w:cs="MingLiU"/>
      <w:b/>
      <w:sz w:val="24"/>
      <w:szCs w:val="28"/>
      <w:lang w:val="en-US" w:eastAsia="zh-CN" w:bidi="ar-SA"/>
    </w:rPr>
  </w:style>
  <w:style w:type="character" w:customStyle="1" w:styleId="197">
    <w:name w:val="正文文本 3 Char1"/>
    <w:qFormat/>
    <w:uiPriority w:val="0"/>
    <w:rPr>
      <w:kern w:val="2"/>
      <w:sz w:val="16"/>
      <w:szCs w:val="16"/>
    </w:rPr>
  </w:style>
  <w:style w:type="character" w:customStyle="1" w:styleId="198">
    <w:name w:val="文档结构图 Char1"/>
    <w:qFormat/>
    <w:uiPriority w:val="0"/>
    <w:rPr>
      <w:rFonts w:ascii="宋体"/>
      <w:kern w:val="2"/>
      <w:sz w:val="18"/>
      <w:szCs w:val="18"/>
    </w:rPr>
  </w:style>
  <w:style w:type="character" w:customStyle="1" w:styleId="199">
    <w:name w:val="标题 9 Char"/>
    <w:qFormat/>
    <w:uiPriority w:val="0"/>
    <w:rPr>
      <w:rFonts w:ascii="Arial" w:hAnsi="Arial" w:eastAsia="黑体" w:cs="Times New Roman"/>
      <w:szCs w:val="21"/>
    </w:rPr>
  </w:style>
  <w:style w:type="character" w:customStyle="1" w:styleId="200">
    <w:name w:val="页眉 Char1"/>
    <w:semiHidden/>
    <w:qFormat/>
    <w:uiPriority w:val="99"/>
    <w:rPr>
      <w:kern w:val="2"/>
      <w:sz w:val="18"/>
      <w:szCs w:val="18"/>
    </w:rPr>
  </w:style>
  <w:style w:type="character" w:customStyle="1" w:styleId="201">
    <w:name w:val="Char Char35"/>
    <w:qFormat/>
    <w:uiPriority w:val="0"/>
    <w:rPr>
      <w:rFonts w:ascii="仿宋_GB2312" w:eastAsia="仿宋_GB2312" w:cs="MingLiU"/>
      <w:b/>
      <w:sz w:val="24"/>
      <w:szCs w:val="28"/>
    </w:rPr>
  </w:style>
  <w:style w:type="character" w:customStyle="1" w:styleId="202">
    <w:name w:val="日期 Char2"/>
    <w:qFormat/>
    <w:uiPriority w:val="99"/>
    <w:rPr>
      <w:kern w:val="2"/>
      <w:sz w:val="21"/>
      <w:szCs w:val="24"/>
    </w:rPr>
  </w:style>
  <w:style w:type="character" w:customStyle="1" w:styleId="203">
    <w:name w:val="Char Char22"/>
    <w:qFormat/>
    <w:uiPriority w:val="0"/>
    <w:rPr>
      <w:b/>
      <w:bCs/>
      <w:kern w:val="2"/>
      <w:sz w:val="32"/>
      <w:szCs w:val="32"/>
    </w:rPr>
  </w:style>
  <w:style w:type="character" w:customStyle="1" w:styleId="204">
    <w:name w:val="正文文本缩进 2 Char2"/>
    <w:semiHidden/>
    <w:qFormat/>
    <w:uiPriority w:val="99"/>
    <w:rPr>
      <w:rFonts w:ascii="Calibri" w:hAnsi="Calibri" w:eastAsia="宋体" w:cs="Times New Roman"/>
      <w:szCs w:val="24"/>
    </w:rPr>
  </w:style>
  <w:style w:type="character" w:customStyle="1" w:styleId="205">
    <w:name w:val="明显强调1"/>
    <w:qFormat/>
    <w:uiPriority w:val="0"/>
    <w:rPr>
      <w:b/>
      <w:bCs/>
      <w:i/>
      <w:iCs/>
      <w:color w:val="4F81BD"/>
    </w:rPr>
  </w:style>
  <w:style w:type="character" w:customStyle="1" w:styleId="206">
    <w:name w:val="Char Char14"/>
    <w:qFormat/>
    <w:uiPriority w:val="0"/>
    <w:rPr>
      <w:kern w:val="2"/>
      <w:sz w:val="18"/>
      <w:szCs w:val="18"/>
    </w:rPr>
  </w:style>
  <w:style w:type="character" w:customStyle="1" w:styleId="207">
    <w:name w:val="s3"/>
    <w:qFormat/>
    <w:uiPriority w:val="0"/>
  </w:style>
  <w:style w:type="character" w:customStyle="1" w:styleId="208">
    <w:name w:val="标题 1 Char"/>
    <w:qFormat/>
    <w:uiPriority w:val="0"/>
    <w:rPr>
      <w:rFonts w:ascii="Times New Roman" w:hAnsi="Times New Roman" w:eastAsia="宋体" w:cs="Times New Roman"/>
      <w:b/>
      <w:bCs/>
      <w:kern w:val="44"/>
      <w:sz w:val="44"/>
      <w:szCs w:val="44"/>
    </w:rPr>
  </w:style>
  <w:style w:type="character" w:customStyle="1" w:styleId="209">
    <w:name w:val="日期 Char3"/>
    <w:semiHidden/>
    <w:qFormat/>
    <w:uiPriority w:val="99"/>
    <w:rPr>
      <w:rFonts w:ascii="Calibri" w:hAnsi="Calibri" w:eastAsia="宋体" w:cs="Times New Roman"/>
      <w:szCs w:val="24"/>
    </w:rPr>
  </w:style>
  <w:style w:type="character" w:customStyle="1" w:styleId="210">
    <w:name w:val="title11"/>
    <w:qFormat/>
    <w:uiPriority w:val="0"/>
    <w:rPr>
      <w:b/>
      <w:bCs/>
      <w:color w:val="FFFFFF"/>
      <w:sz w:val="11"/>
      <w:szCs w:val="11"/>
    </w:rPr>
  </w:style>
  <w:style w:type="character" w:customStyle="1" w:styleId="211">
    <w:name w:val="明显引用 Char2"/>
    <w:qFormat/>
    <w:uiPriority w:val="99"/>
    <w:rPr>
      <w:b/>
      <w:bCs/>
      <w:i/>
      <w:iCs/>
      <w:color w:val="4F81BD"/>
      <w:kern w:val="2"/>
      <w:sz w:val="21"/>
      <w:szCs w:val="24"/>
    </w:rPr>
  </w:style>
  <w:style w:type="character" w:customStyle="1" w:styleId="212">
    <w:name w:val="批注框文本 Char3"/>
    <w:semiHidden/>
    <w:qFormat/>
    <w:uiPriority w:val="99"/>
    <w:rPr>
      <w:rFonts w:ascii="Calibri" w:hAnsi="Calibri" w:eastAsia="宋体" w:cs="Times New Roman"/>
      <w:sz w:val="18"/>
      <w:szCs w:val="18"/>
    </w:rPr>
  </w:style>
  <w:style w:type="character" w:customStyle="1" w:styleId="213">
    <w:name w:val="Char Char33"/>
    <w:qFormat/>
    <w:uiPriority w:val="0"/>
    <w:rPr>
      <w:rFonts w:ascii="仿宋_GB2312" w:eastAsia="仿宋_GB2312" w:cs="MingLiU"/>
      <w:b/>
      <w:sz w:val="24"/>
      <w:szCs w:val="28"/>
    </w:rPr>
  </w:style>
  <w:style w:type="character" w:customStyle="1" w:styleId="214">
    <w:name w:val="标题 2 Char"/>
    <w:qFormat/>
    <w:uiPriority w:val="0"/>
    <w:rPr>
      <w:rFonts w:ascii="仿宋_GB2312" w:hAnsi="Calibri" w:eastAsia="仿宋_GB2312" w:cs="Times New Roman"/>
      <w:b/>
      <w:spacing w:val="1"/>
      <w:w w:val="99"/>
      <w:kern w:val="0"/>
      <w:sz w:val="28"/>
      <w:szCs w:val="32"/>
    </w:rPr>
  </w:style>
  <w:style w:type="character" w:customStyle="1" w:styleId="215">
    <w:name w:val="l1"/>
    <w:basedOn w:val="48"/>
    <w:qFormat/>
    <w:uiPriority w:val="0"/>
  </w:style>
  <w:style w:type="character" w:customStyle="1" w:styleId="216">
    <w:name w:val="手改 Char Char"/>
    <w:qFormat/>
    <w:uiPriority w:val="0"/>
    <w:rPr>
      <w:kern w:val="2"/>
      <w:sz w:val="21"/>
      <w:szCs w:val="24"/>
    </w:rPr>
  </w:style>
  <w:style w:type="character" w:customStyle="1" w:styleId="217">
    <w:name w:val="style21"/>
    <w:qFormat/>
    <w:uiPriority w:val="0"/>
    <w:rPr>
      <w:b/>
      <w:bCs/>
      <w:sz w:val="28"/>
      <w:szCs w:val="28"/>
    </w:rPr>
  </w:style>
  <w:style w:type="character" w:customStyle="1" w:styleId="218">
    <w:name w:val="Char Char24"/>
    <w:qFormat/>
    <w:uiPriority w:val="0"/>
    <w:rPr>
      <w:b/>
      <w:bCs/>
      <w:kern w:val="44"/>
      <w:sz w:val="44"/>
      <w:szCs w:val="44"/>
    </w:rPr>
  </w:style>
  <w:style w:type="character" w:customStyle="1" w:styleId="219">
    <w:name w:val="纯文本 Char1"/>
    <w:qFormat/>
    <w:uiPriority w:val="0"/>
    <w:rPr>
      <w:rFonts w:ascii="宋体" w:hAnsi="Courier New" w:cs="Courier New"/>
      <w:kern w:val="2"/>
      <w:sz w:val="21"/>
      <w:szCs w:val="21"/>
    </w:rPr>
  </w:style>
  <w:style w:type="character" w:customStyle="1" w:styleId="220">
    <w:name w:val="尾注文本 Char"/>
    <w:qFormat/>
    <w:uiPriority w:val="0"/>
    <w:rPr>
      <w:kern w:val="2"/>
      <w:sz w:val="21"/>
      <w:szCs w:val="24"/>
    </w:rPr>
  </w:style>
  <w:style w:type="character" w:customStyle="1" w:styleId="221">
    <w:name w:val="日期 Char1"/>
    <w:qFormat/>
    <w:uiPriority w:val="0"/>
    <w:rPr>
      <w:kern w:val="2"/>
      <w:sz w:val="21"/>
      <w:szCs w:val="22"/>
    </w:rPr>
  </w:style>
  <w:style w:type="character" w:customStyle="1" w:styleId="222">
    <w:name w:val="正文文本 Char1"/>
    <w:qFormat/>
    <w:uiPriority w:val="0"/>
    <w:rPr>
      <w:kern w:val="2"/>
      <w:sz w:val="21"/>
      <w:szCs w:val="22"/>
    </w:rPr>
  </w:style>
  <w:style w:type="character" w:customStyle="1" w:styleId="223">
    <w:name w:val="标题 9 Char1"/>
    <w:qFormat/>
    <w:uiPriority w:val="0"/>
    <w:rPr>
      <w:rFonts w:ascii="Times New Roman" w:hAnsi="Times New Roman" w:eastAsia="仿宋_GB2312" w:cs="Times New Roman"/>
      <w:sz w:val="30"/>
      <w:szCs w:val="20"/>
    </w:rPr>
  </w:style>
  <w:style w:type="character" w:customStyle="1" w:styleId="224">
    <w:name w:val="脚注文本 Char1"/>
    <w:qFormat/>
    <w:uiPriority w:val="0"/>
    <w:rPr>
      <w:rFonts w:ascii="Arial" w:hAnsi="Arial" w:cs="Arial"/>
      <w:sz w:val="18"/>
      <w:szCs w:val="18"/>
      <w:lang w:eastAsia="en-US"/>
    </w:rPr>
  </w:style>
  <w:style w:type="character" w:customStyle="1" w:styleId="225">
    <w:name w:val="正文文本缩进 Char"/>
    <w:qFormat/>
    <w:uiPriority w:val="0"/>
    <w:rPr>
      <w:rFonts w:ascii="黑体" w:hAnsi="宋体" w:eastAsia="黑体"/>
      <w:color w:val="000000"/>
      <w:sz w:val="28"/>
      <w:szCs w:val="32"/>
    </w:rPr>
  </w:style>
  <w:style w:type="character" w:customStyle="1" w:styleId="226">
    <w:name w:val="HTML 预设格式 Char1"/>
    <w:qFormat/>
    <w:uiPriority w:val="0"/>
    <w:rPr>
      <w:rFonts w:ascii="宋体" w:hAnsi="宋体" w:cs="宋体"/>
      <w:color w:val="000000"/>
      <w:sz w:val="24"/>
      <w:szCs w:val="24"/>
    </w:rPr>
  </w:style>
  <w:style w:type="character" w:customStyle="1" w:styleId="227">
    <w:name w:val="引用 Char3"/>
    <w:qFormat/>
    <w:uiPriority w:val="29"/>
    <w:rPr>
      <w:rFonts w:ascii="Calibri" w:hAnsi="Calibri" w:eastAsia="宋体" w:cs="Times New Roman"/>
      <w:i/>
      <w:iCs/>
      <w:color w:val="000000"/>
      <w:szCs w:val="24"/>
    </w:rPr>
  </w:style>
  <w:style w:type="character" w:customStyle="1" w:styleId="228">
    <w:name w:val="标题 7 Char1"/>
    <w:qFormat/>
    <w:uiPriority w:val="0"/>
    <w:rPr>
      <w:rFonts w:ascii="Times New Roman" w:hAnsi="Times New Roman" w:eastAsia="仿宋_GB2312" w:cs="Times New Roman"/>
      <w:sz w:val="30"/>
      <w:szCs w:val="20"/>
    </w:rPr>
  </w:style>
  <w:style w:type="character" w:customStyle="1" w:styleId="229">
    <w:name w:val="普通文字 Char Char1"/>
    <w:qFormat/>
    <w:uiPriority w:val="0"/>
    <w:rPr>
      <w:rFonts w:ascii="宋体" w:hAnsi="Courier New"/>
      <w:kern w:val="2"/>
      <w:sz w:val="28"/>
      <w:szCs w:val="28"/>
    </w:rPr>
  </w:style>
  <w:style w:type="character" w:customStyle="1" w:styleId="230">
    <w:name w:val="明显参考1"/>
    <w:qFormat/>
    <w:uiPriority w:val="0"/>
    <w:rPr>
      <w:b/>
      <w:bCs/>
      <w:smallCaps/>
      <w:color w:val="C0504D"/>
      <w:spacing w:val="5"/>
      <w:u w:val="single"/>
    </w:rPr>
  </w:style>
  <w:style w:type="character" w:customStyle="1" w:styleId="231">
    <w:name w:val="正文文本缩进 Char1"/>
    <w:qFormat/>
    <w:uiPriority w:val="0"/>
    <w:rPr>
      <w:kern w:val="2"/>
      <w:sz w:val="21"/>
      <w:szCs w:val="24"/>
    </w:rPr>
  </w:style>
  <w:style w:type="character" w:customStyle="1" w:styleId="232">
    <w:name w:val="页眉 Char"/>
    <w:qFormat/>
    <w:uiPriority w:val="0"/>
    <w:rPr>
      <w:sz w:val="18"/>
      <w:szCs w:val="18"/>
    </w:rPr>
  </w:style>
  <w:style w:type="character" w:customStyle="1" w:styleId="233">
    <w:name w:val="style31"/>
    <w:qFormat/>
    <w:uiPriority w:val="0"/>
    <w:rPr>
      <w:sz w:val="10"/>
      <w:szCs w:val="10"/>
    </w:rPr>
  </w:style>
  <w:style w:type="character" w:customStyle="1" w:styleId="234">
    <w:name w:val="日期 Char"/>
    <w:qFormat/>
    <w:uiPriority w:val="0"/>
    <w:rPr>
      <w:rFonts w:eastAsia="宋体"/>
      <w:szCs w:val="24"/>
    </w:rPr>
  </w:style>
  <w:style w:type="character" w:customStyle="1" w:styleId="235">
    <w:name w:val="标题 1 Char1"/>
    <w:qFormat/>
    <w:uiPriority w:val="0"/>
    <w:rPr>
      <w:rFonts w:ascii="Times New Roman" w:hAnsi="Times New Roman" w:eastAsia="宋体" w:cs="Times New Roman"/>
      <w:b/>
      <w:bCs/>
      <w:kern w:val="44"/>
      <w:sz w:val="44"/>
      <w:szCs w:val="44"/>
    </w:rPr>
  </w:style>
  <w:style w:type="character" w:customStyle="1" w:styleId="236">
    <w:name w:val="main_tdbg_7601"/>
    <w:qFormat/>
    <w:uiPriority w:val="0"/>
    <w:rPr>
      <w:sz w:val="14"/>
      <w:szCs w:val="14"/>
    </w:rPr>
  </w:style>
  <w:style w:type="character" w:customStyle="1" w:styleId="237">
    <w:name w:val="尾注文本 Char1"/>
    <w:qFormat/>
    <w:uiPriority w:val="0"/>
    <w:rPr>
      <w:rFonts w:ascii="Arial" w:hAnsi="Arial" w:cs="Arial"/>
      <w:szCs w:val="24"/>
      <w:lang w:eastAsia="en-US"/>
    </w:rPr>
  </w:style>
  <w:style w:type="character" w:customStyle="1" w:styleId="238">
    <w:name w:val="副标题 Char2"/>
    <w:qFormat/>
    <w:uiPriority w:val="11"/>
    <w:rPr>
      <w:rFonts w:ascii="Cambria" w:hAnsi="Cambria" w:eastAsia="宋体" w:cs="Times New Roman"/>
      <w:b/>
      <w:bCs/>
      <w:kern w:val="28"/>
      <w:sz w:val="32"/>
      <w:szCs w:val="32"/>
    </w:rPr>
  </w:style>
  <w:style w:type="character" w:customStyle="1" w:styleId="239">
    <w:name w:val="正文文本缩进 3 Char2"/>
    <w:semiHidden/>
    <w:qFormat/>
    <w:uiPriority w:val="99"/>
    <w:rPr>
      <w:rFonts w:ascii="Calibri" w:hAnsi="Calibri" w:eastAsia="宋体" w:cs="Times New Roman"/>
      <w:sz w:val="16"/>
      <w:szCs w:val="16"/>
    </w:rPr>
  </w:style>
  <w:style w:type="character" w:customStyle="1" w:styleId="240">
    <w:name w:val="Char Char34"/>
    <w:qFormat/>
    <w:uiPriority w:val="0"/>
    <w:rPr>
      <w:rFonts w:ascii="仿宋_GB2312" w:eastAsia="仿宋_GB2312" w:cs="MingLiU"/>
      <w:b/>
      <w:spacing w:val="1"/>
      <w:w w:val="99"/>
      <w:sz w:val="28"/>
      <w:szCs w:val="32"/>
    </w:rPr>
  </w:style>
  <w:style w:type="character" w:customStyle="1" w:styleId="241">
    <w:name w:val="docpro"/>
    <w:basedOn w:val="48"/>
    <w:qFormat/>
    <w:uiPriority w:val="0"/>
  </w:style>
  <w:style w:type="character" w:customStyle="1" w:styleId="242">
    <w:name w:val="ITTHEADER1 Char"/>
    <w:qFormat/>
    <w:uiPriority w:val="0"/>
    <w:rPr>
      <w:rFonts w:eastAsia="黑体"/>
      <w:kern w:val="2"/>
      <w:sz w:val="44"/>
      <w:szCs w:val="44"/>
      <w:lang w:val="en-US" w:eastAsia="zh-CN" w:bidi="ar-SA"/>
    </w:rPr>
  </w:style>
  <w:style w:type="character" w:customStyle="1" w:styleId="243">
    <w:name w:val="副标题 Char"/>
    <w:qFormat/>
    <w:uiPriority w:val="0"/>
    <w:rPr>
      <w:rFonts w:ascii="Cambria" w:hAnsi="Cambria" w:eastAsia="宋体" w:cs="Times New Roman"/>
      <w:b/>
      <w:bCs/>
      <w:kern w:val="28"/>
      <w:sz w:val="32"/>
      <w:szCs w:val="32"/>
    </w:rPr>
  </w:style>
  <w:style w:type="character" w:customStyle="1" w:styleId="244">
    <w:name w:val="标题 Char2"/>
    <w:qFormat/>
    <w:uiPriority w:val="10"/>
    <w:rPr>
      <w:rFonts w:ascii="Cambria" w:hAnsi="Cambria" w:eastAsia="宋体" w:cs="Times New Roman"/>
      <w:b/>
      <w:bCs/>
      <w:sz w:val="32"/>
      <w:szCs w:val="32"/>
    </w:rPr>
  </w:style>
  <w:style w:type="character" w:customStyle="1" w:styleId="245">
    <w:name w:val="正文文本 Char2"/>
    <w:qFormat/>
    <w:uiPriority w:val="99"/>
    <w:rPr>
      <w:kern w:val="2"/>
      <w:sz w:val="21"/>
      <w:szCs w:val="24"/>
    </w:rPr>
  </w:style>
  <w:style w:type="character" w:customStyle="1" w:styleId="246">
    <w:name w:val="0d1471"/>
    <w:qFormat/>
    <w:uiPriority w:val="0"/>
    <w:rPr>
      <w:color w:val="000000"/>
      <w:sz w:val="11"/>
      <w:szCs w:val="11"/>
      <w:u w:val="none"/>
    </w:rPr>
  </w:style>
  <w:style w:type="character" w:customStyle="1" w:styleId="247">
    <w:name w:val="批注主题 Char"/>
    <w:qFormat/>
    <w:uiPriority w:val="0"/>
    <w:rPr>
      <w:rFonts w:ascii="宋体" w:hAnsi="宋体" w:eastAsia="宋体"/>
      <w:kern w:val="2"/>
      <w:sz w:val="24"/>
      <w:szCs w:val="28"/>
      <w:lang w:val="en-US" w:eastAsia="zh-CN" w:bidi="ar-SA"/>
    </w:rPr>
  </w:style>
  <w:style w:type="character" w:customStyle="1" w:styleId="248">
    <w:name w:val="正文文本 2 Char1"/>
    <w:semiHidden/>
    <w:qFormat/>
    <w:uiPriority w:val="99"/>
    <w:rPr>
      <w:rFonts w:ascii="Calibri" w:hAnsi="Calibri" w:eastAsia="宋体" w:cs="Times New Roman"/>
      <w:szCs w:val="24"/>
    </w:rPr>
  </w:style>
  <w:style w:type="character" w:customStyle="1" w:styleId="249">
    <w:name w:val="批注框文本 Char1"/>
    <w:qFormat/>
    <w:uiPriority w:val="0"/>
    <w:rPr>
      <w:kern w:val="2"/>
      <w:sz w:val="18"/>
      <w:szCs w:val="18"/>
    </w:rPr>
  </w:style>
  <w:style w:type="character" w:customStyle="1" w:styleId="250">
    <w:name w:val="引用 Char"/>
    <w:link w:val="147"/>
    <w:qFormat/>
    <w:uiPriority w:val="0"/>
    <w:rPr>
      <w:rFonts w:ascii="Times New Roman" w:hAnsi="Times New Roman" w:eastAsia="宋体" w:cs="Times New Roman"/>
      <w:i/>
      <w:iCs/>
      <w:color w:val="000000"/>
      <w:szCs w:val="24"/>
    </w:rPr>
  </w:style>
  <w:style w:type="character" w:customStyle="1" w:styleId="251">
    <w:name w:val="font161"/>
    <w:qFormat/>
    <w:uiPriority w:val="0"/>
    <w:rPr>
      <w:b/>
      <w:bCs/>
      <w:sz w:val="32"/>
      <w:szCs w:val="32"/>
    </w:rPr>
  </w:style>
  <w:style w:type="character" w:customStyle="1" w:styleId="252">
    <w:name w:val="Char Char32"/>
    <w:qFormat/>
    <w:uiPriority w:val="0"/>
    <w:rPr>
      <w:rFonts w:ascii="仿宋_GB2312" w:eastAsia="仿宋_GB2312" w:cs="MingLiU"/>
      <w:b/>
      <w:spacing w:val="1"/>
      <w:w w:val="99"/>
      <w:sz w:val="28"/>
      <w:szCs w:val="32"/>
    </w:rPr>
  </w:style>
  <w:style w:type="character" w:customStyle="1" w:styleId="253">
    <w:name w:val="标题 2 Char1"/>
    <w:qFormat/>
    <w:uiPriority w:val="0"/>
    <w:rPr>
      <w:rFonts w:ascii="Cambria" w:hAnsi="Cambria" w:eastAsia="宋体" w:cs="Times New Roman"/>
      <w:b/>
      <w:bCs/>
      <w:kern w:val="2"/>
      <w:sz w:val="32"/>
      <w:szCs w:val="32"/>
    </w:rPr>
  </w:style>
  <w:style w:type="character" w:customStyle="1" w:styleId="254">
    <w:name w:val="ss16"/>
    <w:qFormat/>
    <w:uiPriority w:val="0"/>
    <w:rPr>
      <w:rFonts w:hint="eastAsia" w:ascii="宋体" w:hAnsi="宋体" w:eastAsia="宋体"/>
      <w:color w:val="000000"/>
      <w:sz w:val="9"/>
      <w:szCs w:val="9"/>
    </w:rPr>
  </w:style>
  <w:style w:type="character" w:customStyle="1" w:styleId="255">
    <w:name w:val="批注主题 Char3"/>
    <w:semiHidden/>
    <w:qFormat/>
    <w:uiPriority w:val="99"/>
    <w:rPr>
      <w:rFonts w:ascii="Calibri" w:hAnsi="Calibri" w:eastAsia="宋体" w:cs="Times New Roman"/>
      <w:b/>
      <w:bCs/>
      <w:szCs w:val="24"/>
    </w:rPr>
  </w:style>
  <w:style w:type="character" w:customStyle="1" w:styleId="256">
    <w:name w:val="明显引用 Char1"/>
    <w:link w:val="165"/>
    <w:qFormat/>
    <w:uiPriority w:val="30"/>
    <w:rPr>
      <w:rFonts w:ascii="Times New Roman" w:hAnsi="Times New Roman" w:eastAsia="宋体" w:cs="Times New Roman"/>
      <w:b/>
      <w:bCs/>
      <w:i/>
      <w:iCs/>
      <w:color w:val="4F81BD"/>
      <w:szCs w:val="20"/>
    </w:rPr>
  </w:style>
  <w:style w:type="character" w:customStyle="1" w:styleId="257">
    <w:name w:val="HTML 预设格式 Char2"/>
    <w:semiHidden/>
    <w:qFormat/>
    <w:uiPriority w:val="99"/>
    <w:rPr>
      <w:rFonts w:ascii="Courier New" w:hAnsi="Courier New" w:eastAsia="宋体" w:cs="Courier New"/>
      <w:sz w:val="20"/>
      <w:szCs w:val="20"/>
    </w:rPr>
  </w:style>
  <w:style w:type="character" w:customStyle="1" w:styleId="258">
    <w:name w:val="Char Char17"/>
    <w:qFormat/>
    <w:uiPriority w:val="0"/>
    <w:rPr>
      <w:kern w:val="2"/>
      <w:sz w:val="26"/>
      <w:szCs w:val="24"/>
    </w:rPr>
  </w:style>
  <w:style w:type="character" w:customStyle="1" w:styleId="259">
    <w:name w:val="标题 3 Char1"/>
    <w:qFormat/>
    <w:uiPriority w:val="0"/>
    <w:rPr>
      <w:rFonts w:ascii="Times New Roman" w:hAnsi="Times New Roman" w:eastAsia="宋体" w:cs="Times New Roman"/>
      <w:b/>
      <w:bCs/>
      <w:kern w:val="2"/>
      <w:sz w:val="32"/>
      <w:szCs w:val="32"/>
    </w:rPr>
  </w:style>
  <w:style w:type="character" w:customStyle="1" w:styleId="260">
    <w:name w:val="标题 5 Char"/>
    <w:qFormat/>
    <w:uiPriority w:val="0"/>
    <w:rPr>
      <w:rFonts w:ascii="Calibri" w:hAnsi="Calibri" w:eastAsia="宋体" w:cs="Times New Roman"/>
      <w:b/>
      <w:bCs/>
      <w:sz w:val="28"/>
      <w:szCs w:val="28"/>
    </w:rPr>
  </w:style>
  <w:style w:type="character" w:customStyle="1" w:styleId="261">
    <w:name w:val="页脚 Char1"/>
    <w:semiHidden/>
    <w:qFormat/>
    <w:uiPriority w:val="99"/>
    <w:rPr>
      <w:kern w:val="2"/>
      <w:sz w:val="18"/>
      <w:szCs w:val="18"/>
    </w:rPr>
  </w:style>
  <w:style w:type="character" w:customStyle="1" w:styleId="262">
    <w:name w:val="unnamed1"/>
    <w:basedOn w:val="48"/>
    <w:qFormat/>
    <w:uiPriority w:val="0"/>
  </w:style>
  <w:style w:type="character" w:customStyle="1" w:styleId="263">
    <w:name w:val="Char Char9"/>
    <w:qFormat/>
    <w:locked/>
    <w:uiPriority w:val="0"/>
    <w:rPr>
      <w:rFonts w:ascii="仿宋_GB2312" w:eastAsia="仿宋_GB2312" w:cs="MingLiU"/>
      <w:b/>
      <w:sz w:val="24"/>
      <w:szCs w:val="28"/>
      <w:lang w:val="en-US" w:eastAsia="zh-CN" w:bidi="ar-SA"/>
    </w:rPr>
  </w:style>
  <w:style w:type="character" w:customStyle="1" w:styleId="264">
    <w:name w:val="批注主题 Char1"/>
    <w:qFormat/>
    <w:uiPriority w:val="0"/>
    <w:rPr>
      <w:b/>
      <w:bCs/>
      <w:kern w:val="2"/>
      <w:sz w:val="21"/>
      <w:szCs w:val="22"/>
    </w:rPr>
  </w:style>
  <w:style w:type="character" w:customStyle="1" w:styleId="265">
    <w:name w:val="纯文本 Char2"/>
    <w:semiHidden/>
    <w:qFormat/>
    <w:uiPriority w:val="99"/>
    <w:rPr>
      <w:rFonts w:ascii="宋体" w:hAnsi="Courier New" w:eastAsia="宋体" w:cs="Courier New"/>
      <w:szCs w:val="21"/>
    </w:rPr>
  </w:style>
  <w:style w:type="character" w:customStyle="1" w:styleId="266">
    <w:name w:val="intel3"/>
    <w:basedOn w:val="48"/>
    <w:qFormat/>
    <w:uiPriority w:val="0"/>
  </w:style>
  <w:style w:type="character" w:customStyle="1" w:styleId="267">
    <w:name w:val="subhead1"/>
    <w:qFormat/>
    <w:uiPriority w:val="0"/>
    <w:rPr>
      <w:rFonts w:hint="default" w:ascii="Tahoma" w:hAnsi="Tahoma" w:cs="Tahoma"/>
      <w:color w:val="000000"/>
      <w:sz w:val="18"/>
      <w:szCs w:val="18"/>
      <w:u w:val="none"/>
      <w:shd w:val="clear" w:color="auto" w:fill="FFFFFF"/>
    </w:rPr>
  </w:style>
  <w:style w:type="character" w:customStyle="1" w:styleId="268">
    <w:name w:val="脚注文本 Char"/>
    <w:qFormat/>
    <w:uiPriority w:val="0"/>
    <w:rPr>
      <w:rFonts w:ascii="Arial" w:hAnsi="Arial" w:eastAsia="宋体" w:cs="Arial"/>
      <w:sz w:val="18"/>
      <w:szCs w:val="18"/>
      <w:lang w:eastAsia="en-US"/>
    </w:rPr>
  </w:style>
  <w:style w:type="character" w:customStyle="1" w:styleId="269">
    <w:name w:val="引用 Char1"/>
    <w:link w:val="169"/>
    <w:qFormat/>
    <w:uiPriority w:val="29"/>
    <w:rPr>
      <w:rFonts w:ascii="Times New Roman" w:hAnsi="Times New Roman" w:eastAsia="宋体" w:cs="Times New Roman"/>
      <w:i/>
      <w:iCs/>
      <w:color w:val="000000"/>
      <w:szCs w:val="20"/>
    </w:rPr>
  </w:style>
  <w:style w:type="character" w:customStyle="1" w:styleId="270">
    <w:name w:val="正文文本缩进 2 Char"/>
    <w:qFormat/>
    <w:uiPriority w:val="0"/>
    <w:rPr>
      <w:kern w:val="2"/>
      <w:sz w:val="21"/>
      <w:szCs w:val="24"/>
    </w:rPr>
  </w:style>
  <w:style w:type="character" w:customStyle="1" w:styleId="271">
    <w:name w:val="脚注文本 Char2"/>
    <w:semiHidden/>
    <w:qFormat/>
    <w:uiPriority w:val="99"/>
    <w:rPr>
      <w:rFonts w:ascii="Calibri" w:hAnsi="Calibri" w:eastAsia="宋体" w:cs="Times New Roman"/>
      <w:sz w:val="18"/>
      <w:szCs w:val="18"/>
    </w:rPr>
  </w:style>
  <w:style w:type="character" w:customStyle="1" w:styleId="272">
    <w:name w:val="ca-141"/>
    <w:qFormat/>
    <w:uiPriority w:val="0"/>
    <w:rPr>
      <w:rFonts w:hint="eastAsia" w:ascii="仿宋_GB2312" w:eastAsia="仿宋_GB2312"/>
      <w:sz w:val="21"/>
      <w:szCs w:val="21"/>
    </w:rPr>
  </w:style>
  <w:style w:type="character" w:customStyle="1" w:styleId="273">
    <w:name w:val="标题 Char1"/>
    <w:qFormat/>
    <w:uiPriority w:val="10"/>
    <w:rPr>
      <w:szCs w:val="24"/>
      <w:u w:val="single"/>
      <w:lang w:eastAsia="en-US"/>
    </w:rPr>
  </w:style>
  <w:style w:type="character" w:customStyle="1" w:styleId="274">
    <w:name w:val="style161"/>
    <w:qFormat/>
    <w:uiPriority w:val="0"/>
    <w:rPr>
      <w:b/>
      <w:bCs/>
      <w:color w:val="333333"/>
    </w:rPr>
  </w:style>
  <w:style w:type="character" w:customStyle="1" w:styleId="275">
    <w:name w:val="Char Char11"/>
    <w:qFormat/>
    <w:locked/>
    <w:uiPriority w:val="0"/>
    <w:rPr>
      <w:rFonts w:eastAsia="黑体"/>
      <w:kern w:val="2"/>
      <w:sz w:val="44"/>
      <w:szCs w:val="44"/>
      <w:lang w:val="en-US" w:eastAsia="zh-CN" w:bidi="ar-SA"/>
    </w:rPr>
  </w:style>
  <w:style w:type="character" w:customStyle="1" w:styleId="276">
    <w:name w:val="标题 7 Char"/>
    <w:qFormat/>
    <w:uiPriority w:val="0"/>
    <w:rPr>
      <w:rFonts w:ascii="Calibri" w:hAnsi="Calibri" w:eastAsia="宋体" w:cs="Times New Roman"/>
      <w:b/>
      <w:bCs/>
      <w:sz w:val="24"/>
      <w:szCs w:val="24"/>
    </w:rPr>
  </w:style>
  <w:style w:type="character" w:customStyle="1" w:styleId="277">
    <w:name w:val="批注文字 Char1"/>
    <w:qFormat/>
    <w:uiPriority w:val="99"/>
    <w:rPr>
      <w:rFonts w:ascii="Times New Roman" w:hAnsi="Times New Roman" w:eastAsia="宋体" w:cs="Times New Roman"/>
      <w:szCs w:val="24"/>
    </w:rPr>
  </w:style>
  <w:style w:type="character" w:customStyle="1" w:styleId="278">
    <w:name w:val="明显引用 Char"/>
    <w:qFormat/>
    <w:uiPriority w:val="0"/>
    <w:rPr>
      <w:rFonts w:ascii="Times New Roman" w:hAnsi="Times New Roman" w:eastAsia="宋体" w:cs="Times New Roman"/>
      <w:b/>
      <w:bCs/>
      <w:i/>
      <w:iCs/>
      <w:color w:val="4F81BD"/>
      <w:kern w:val="2"/>
      <w:sz w:val="21"/>
      <w:szCs w:val="24"/>
    </w:rPr>
  </w:style>
  <w:style w:type="character" w:customStyle="1" w:styleId="279">
    <w:name w:val="正文文本缩进 3 Char1"/>
    <w:qFormat/>
    <w:uiPriority w:val="0"/>
    <w:rPr>
      <w:rFonts w:ascii="宋体" w:hAnsi="宋体"/>
      <w:kern w:val="2"/>
      <w:sz w:val="28"/>
      <w:szCs w:val="28"/>
    </w:rPr>
  </w:style>
  <w:style w:type="character" w:customStyle="1" w:styleId="280">
    <w:name w:val="正文文本 Char"/>
    <w:qFormat/>
    <w:uiPriority w:val="0"/>
    <w:rPr>
      <w:sz w:val="26"/>
      <w:szCs w:val="24"/>
    </w:rPr>
  </w:style>
  <w:style w:type="character" w:customStyle="1" w:styleId="281">
    <w:name w:val="Char Char12"/>
    <w:qFormat/>
    <w:uiPriority w:val="0"/>
    <w:rPr>
      <w:rFonts w:eastAsia="黑体"/>
      <w:kern w:val="2"/>
      <w:sz w:val="44"/>
      <w:szCs w:val="44"/>
      <w:lang w:val="en-US" w:eastAsia="zh-CN" w:bidi="ar-SA"/>
    </w:rPr>
  </w:style>
  <w:style w:type="character" w:customStyle="1" w:styleId="282">
    <w:name w:val="标题 4 Char"/>
    <w:qFormat/>
    <w:uiPriority w:val="0"/>
    <w:rPr>
      <w:rFonts w:ascii="仿宋_GB2312" w:hAnsi="Calibri" w:eastAsia="仿宋_GB2312" w:cs="Times New Roman"/>
      <w:b/>
      <w:kern w:val="0"/>
      <w:sz w:val="24"/>
      <w:szCs w:val="28"/>
    </w:rPr>
  </w:style>
  <w:style w:type="character" w:customStyle="1" w:styleId="283">
    <w:name w:val="明显引用 Char3"/>
    <w:qFormat/>
    <w:uiPriority w:val="30"/>
    <w:rPr>
      <w:rFonts w:ascii="Calibri" w:hAnsi="Calibri" w:eastAsia="宋体" w:cs="Times New Roman"/>
      <w:b/>
      <w:bCs/>
      <w:i/>
      <w:iCs/>
      <w:color w:val="4F81BD"/>
      <w:szCs w:val="24"/>
    </w:rPr>
  </w:style>
  <w:style w:type="character" w:customStyle="1" w:styleId="284">
    <w:name w:val="引用 Char2"/>
    <w:qFormat/>
    <w:uiPriority w:val="99"/>
    <w:rPr>
      <w:i/>
      <w:iCs/>
      <w:color w:val="000000"/>
      <w:kern w:val="2"/>
      <w:sz w:val="21"/>
      <w:szCs w:val="24"/>
    </w:rPr>
  </w:style>
  <w:style w:type="character" w:customStyle="1" w:styleId="285">
    <w:name w:val="不明显强调1"/>
    <w:qFormat/>
    <w:uiPriority w:val="0"/>
    <w:rPr>
      <w:i/>
      <w:iCs/>
      <w:color w:val="808080"/>
    </w:rPr>
  </w:style>
  <w:style w:type="character" w:customStyle="1" w:styleId="286">
    <w:name w:val="color_red1"/>
    <w:qFormat/>
    <w:uiPriority w:val="0"/>
    <w:rPr>
      <w:color w:val="FA0004"/>
    </w:rPr>
  </w:style>
  <w:style w:type="character" w:customStyle="1" w:styleId="287">
    <w:name w:val="标题5 Char Char"/>
    <w:link w:val="154"/>
    <w:qFormat/>
    <w:uiPriority w:val="0"/>
    <w:rPr>
      <w:rFonts w:ascii="Arial" w:hAnsi="Arial" w:eastAsia="宋体" w:cs="Times New Roman"/>
      <w:b/>
      <w:bCs/>
      <w:kern w:val="0"/>
      <w:sz w:val="24"/>
      <w:szCs w:val="32"/>
    </w:rPr>
  </w:style>
  <w:style w:type="character" w:customStyle="1" w:styleId="288">
    <w:name w:val="标题4 Char Char"/>
    <w:link w:val="123"/>
    <w:qFormat/>
    <w:uiPriority w:val="0"/>
    <w:rPr>
      <w:rFonts w:ascii="Arial" w:hAnsi="Arial" w:eastAsia="宋体" w:cs="Times New Roman"/>
      <w:b/>
      <w:bCs/>
      <w:kern w:val="0"/>
      <w:sz w:val="24"/>
      <w:szCs w:val="32"/>
    </w:rPr>
  </w:style>
  <w:style w:type="character" w:customStyle="1" w:styleId="289">
    <w:name w:val="Char Char13"/>
    <w:qFormat/>
    <w:uiPriority w:val="0"/>
    <w:rPr>
      <w:kern w:val="2"/>
      <w:sz w:val="18"/>
      <w:szCs w:val="18"/>
    </w:rPr>
  </w:style>
  <w:style w:type="character" w:customStyle="1" w:styleId="290">
    <w:name w:val="文档结构图 Char2"/>
    <w:qFormat/>
    <w:uiPriority w:val="99"/>
    <w:rPr>
      <w:kern w:val="2"/>
      <w:sz w:val="21"/>
      <w:szCs w:val="24"/>
      <w:shd w:val="clear" w:color="auto" w:fill="000080"/>
    </w:rPr>
  </w:style>
  <w:style w:type="character" w:customStyle="1" w:styleId="291">
    <w:name w:val="批注文字 Char2"/>
    <w:qFormat/>
    <w:uiPriority w:val="0"/>
    <w:rPr>
      <w:rFonts w:ascii="Calibri" w:hAnsi="Calibri" w:eastAsia="宋体" w:cs="Times New Roman"/>
      <w:szCs w:val="24"/>
    </w:rPr>
  </w:style>
  <w:style w:type="character" w:customStyle="1" w:styleId="292">
    <w:name w:val="标题 8 Char1"/>
    <w:qFormat/>
    <w:uiPriority w:val="0"/>
    <w:rPr>
      <w:rFonts w:ascii="Times New Roman" w:hAnsi="Arial" w:eastAsia="仿宋_GB2312" w:cs="Times New Roman"/>
      <w:sz w:val="30"/>
      <w:szCs w:val="20"/>
    </w:rPr>
  </w:style>
  <w:style w:type="character" w:customStyle="1" w:styleId="293">
    <w:name w:val="Char Char21"/>
    <w:qFormat/>
    <w:uiPriority w:val="0"/>
    <w:rPr>
      <w:rFonts w:ascii="宋体" w:hAnsi="宋体" w:cs="宋体"/>
      <w:b/>
      <w:bCs/>
      <w:sz w:val="24"/>
      <w:szCs w:val="24"/>
    </w:rPr>
  </w:style>
  <w:style w:type="character" w:customStyle="1" w:styleId="294">
    <w:name w:val="标题 6 Char1"/>
    <w:qFormat/>
    <w:uiPriority w:val="0"/>
    <w:rPr>
      <w:rFonts w:ascii="Times New Roman" w:hAnsi="Arial" w:eastAsia="仿宋_GB2312" w:cs="Times New Roman"/>
      <w:sz w:val="30"/>
      <w:szCs w:val="20"/>
    </w:rPr>
  </w:style>
  <w:style w:type="character" w:customStyle="1" w:styleId="295">
    <w:name w:val="副标题 Char1"/>
    <w:qFormat/>
    <w:uiPriority w:val="0"/>
    <w:rPr>
      <w:szCs w:val="24"/>
      <w:u w:val="single"/>
      <w:lang w:eastAsia="en-US"/>
    </w:rPr>
  </w:style>
  <w:style w:type="character" w:customStyle="1" w:styleId="296">
    <w:name w:val="正文文本 Char3"/>
    <w:semiHidden/>
    <w:qFormat/>
    <w:uiPriority w:val="99"/>
    <w:rPr>
      <w:rFonts w:ascii="Calibri" w:hAnsi="Calibri" w:eastAsia="宋体" w:cs="Times New Roman"/>
      <w:szCs w:val="24"/>
    </w:rPr>
  </w:style>
  <w:style w:type="character" w:customStyle="1" w:styleId="297">
    <w:name w:val="标题 4 Char1"/>
    <w:qFormat/>
    <w:uiPriority w:val="0"/>
    <w:rPr>
      <w:rFonts w:ascii="宋体" w:hAnsi="宋体" w:eastAsia="宋体" w:cs="宋体"/>
      <w:b/>
      <w:bCs/>
      <w:sz w:val="24"/>
      <w:szCs w:val="24"/>
    </w:rPr>
  </w:style>
  <w:style w:type="character" w:customStyle="1" w:styleId="298">
    <w:name w:val="文档结构图 Char3"/>
    <w:semiHidden/>
    <w:qFormat/>
    <w:uiPriority w:val="99"/>
    <w:rPr>
      <w:rFonts w:ascii="宋体" w:hAnsi="Calibri" w:eastAsia="宋体" w:cs="Times New Roman"/>
      <w:sz w:val="18"/>
      <w:szCs w:val="18"/>
    </w:rPr>
  </w:style>
  <w:style w:type="character" w:customStyle="1" w:styleId="299">
    <w:name w:val="正文文本 3 Char2"/>
    <w:semiHidden/>
    <w:qFormat/>
    <w:uiPriority w:val="99"/>
    <w:rPr>
      <w:rFonts w:ascii="Calibri" w:hAnsi="Calibri" w:eastAsia="宋体" w:cs="Times New Roman"/>
      <w:sz w:val="16"/>
      <w:szCs w:val="16"/>
    </w:rPr>
  </w:style>
  <w:style w:type="character" w:customStyle="1" w:styleId="300">
    <w:name w:val="Char Char23"/>
    <w:qFormat/>
    <w:uiPriority w:val="0"/>
    <w:rPr>
      <w:rFonts w:ascii="Cambria" w:hAnsi="Cambria" w:eastAsia="宋体" w:cs="Times New Roman"/>
      <w:b/>
      <w:bCs/>
      <w:kern w:val="2"/>
      <w:sz w:val="32"/>
      <w:szCs w:val="32"/>
    </w:rPr>
  </w:style>
  <w:style w:type="character" w:customStyle="1" w:styleId="301">
    <w:name w:val="尾注文本 Char2"/>
    <w:semiHidden/>
    <w:qFormat/>
    <w:uiPriority w:val="99"/>
    <w:rPr>
      <w:rFonts w:ascii="Calibri" w:hAnsi="Calibri" w:eastAsia="宋体" w:cs="Times New Roman"/>
      <w:szCs w:val="24"/>
    </w:rPr>
  </w:style>
  <w:style w:type="character" w:customStyle="1" w:styleId="302">
    <w:name w:val="书籍标题1"/>
    <w:qFormat/>
    <w:uiPriority w:val="0"/>
    <w:rPr>
      <w:b/>
      <w:bCs/>
      <w:smallCaps/>
      <w:spacing w:val="5"/>
    </w:rPr>
  </w:style>
  <w:style w:type="character" w:customStyle="1" w:styleId="303">
    <w:name w:val="ITTHEADER2 Char"/>
    <w:qFormat/>
    <w:uiPriority w:val="0"/>
    <w:rPr>
      <w:rFonts w:ascii="仿宋_GB2312" w:eastAsia="仿宋_GB2312" w:cs="MingLiU"/>
      <w:b/>
      <w:spacing w:val="1"/>
      <w:w w:val="99"/>
      <w:sz w:val="28"/>
      <w:szCs w:val="32"/>
      <w:lang w:val="en-US" w:eastAsia="zh-CN" w:bidi="ar-SA"/>
    </w:rPr>
  </w:style>
  <w:style w:type="character" w:customStyle="1" w:styleId="304">
    <w:name w:val="批注文字 Char Char"/>
    <w:qFormat/>
    <w:uiPriority w:val="0"/>
    <w:rPr>
      <w:rFonts w:ascii="宋体" w:hAnsi="Times New Roman" w:eastAsia="宋体" w:cs="Times New Roman"/>
      <w:sz w:val="28"/>
      <w:szCs w:val="20"/>
    </w:rPr>
  </w:style>
  <w:style w:type="character" w:customStyle="1" w:styleId="305">
    <w:name w:val="批注主题 Char2"/>
    <w:qFormat/>
    <w:uiPriority w:val="99"/>
    <w:rPr>
      <w:b/>
      <w:bCs/>
      <w:kern w:val="2"/>
      <w:sz w:val="21"/>
      <w:szCs w:val="24"/>
    </w:rPr>
  </w:style>
  <w:style w:type="character" w:customStyle="1" w:styleId="306">
    <w:name w:val="normaltext1"/>
    <w:qFormat/>
    <w:uiPriority w:val="0"/>
    <w:rPr>
      <w:rFonts w:hint="default" w:ascii="ˎ̥" w:hAnsi="ˎ̥"/>
      <w:sz w:val="9"/>
      <w:szCs w:val="9"/>
    </w:rPr>
  </w:style>
  <w:style w:type="character" w:customStyle="1" w:styleId="307">
    <w:name w:val="不明显参考1"/>
    <w:qFormat/>
    <w:uiPriority w:val="0"/>
    <w:rPr>
      <w:smallCaps/>
      <w:color w:val="C0504D"/>
      <w:u w:val="single"/>
    </w:rPr>
  </w:style>
  <w:style w:type="character" w:customStyle="1" w:styleId="308">
    <w:name w:val="标题 6 Char"/>
    <w:qFormat/>
    <w:uiPriority w:val="0"/>
    <w:rPr>
      <w:rFonts w:ascii="Arial" w:hAnsi="Arial" w:eastAsia="黑体" w:cs="Times New Roman"/>
      <w:b/>
      <w:bCs/>
      <w:sz w:val="24"/>
      <w:szCs w:val="24"/>
    </w:rPr>
  </w:style>
  <w:style w:type="character" w:customStyle="1" w:styleId="309">
    <w:name w:val="未处理的提及2"/>
    <w:basedOn w:val="48"/>
    <w:unhideWhenUsed/>
    <w:qFormat/>
    <w:uiPriority w:val="99"/>
    <w:rPr>
      <w:color w:val="605E5C"/>
      <w:shd w:val="clear" w:color="auto" w:fill="E1DFDD"/>
    </w:rPr>
  </w:style>
  <w:style w:type="paragraph" w:customStyle="1" w:styleId="310">
    <w:name w:val="Table Paragraph"/>
    <w:basedOn w:val="1"/>
    <w:qFormat/>
    <w:uiPriority w:val="1"/>
    <w:rPr>
      <w:rFonts w:ascii="宋体" w:hAnsi="宋体" w:cs="宋体"/>
    </w:rPr>
  </w:style>
  <w:style w:type="table" w:customStyle="1" w:styleId="311">
    <w:name w:val="网格型1"/>
    <w:basedOn w:val="4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312">
    <w:name w:val="占位符文本1"/>
    <w:basedOn w:val="48"/>
    <w:semiHidden/>
    <w:qFormat/>
    <w:uiPriority w:val="99"/>
    <w:rPr>
      <w:color w:val="808080"/>
    </w:rPr>
  </w:style>
  <w:style w:type="character" w:customStyle="1" w:styleId="313">
    <w:name w:val="datetime"/>
    <w:basedOn w:val="48"/>
    <w:qFormat/>
    <w:uiPriority w:val="0"/>
    <w:rPr>
      <w:color w:val="808080"/>
      <w:sz w:val="21"/>
      <w:szCs w:val="21"/>
    </w:rPr>
  </w:style>
  <w:style w:type="character" w:customStyle="1" w:styleId="314">
    <w:name w:val="datetime1"/>
    <w:basedOn w:val="48"/>
    <w:qFormat/>
    <w:uiPriority w:val="0"/>
  </w:style>
  <w:style w:type="character" w:customStyle="1" w:styleId="315">
    <w:name w:val="datetime2"/>
    <w:basedOn w:val="48"/>
    <w:qFormat/>
    <w:uiPriority w:val="0"/>
  </w:style>
  <w:style w:type="character" w:customStyle="1" w:styleId="316">
    <w:name w:val="datetime3"/>
    <w:basedOn w:val="48"/>
    <w:qFormat/>
    <w:uiPriority w:val="0"/>
  </w:style>
  <w:style w:type="character" w:customStyle="1" w:styleId="317">
    <w:name w:val="datetime4"/>
    <w:basedOn w:val="48"/>
    <w:qFormat/>
    <w:uiPriority w:val="0"/>
    <w:rPr>
      <w:color w:val="808080"/>
      <w:sz w:val="21"/>
      <w:szCs w:val="21"/>
    </w:rPr>
  </w:style>
  <w:style w:type="character" w:customStyle="1" w:styleId="318">
    <w:name w:val="cldh_img"/>
    <w:basedOn w:val="48"/>
    <w:qFormat/>
    <w:uiPriority w:val="0"/>
  </w:style>
  <w:style w:type="character" w:customStyle="1" w:styleId="319">
    <w:name w:val="cldh_img1"/>
    <w:basedOn w:val="48"/>
    <w:qFormat/>
    <w:uiPriority w:val="0"/>
  </w:style>
  <w:style w:type="character" w:customStyle="1" w:styleId="320">
    <w:name w:val="cldh_img2"/>
    <w:basedOn w:val="48"/>
    <w:qFormat/>
    <w:uiPriority w:val="0"/>
  </w:style>
  <w:style w:type="table" w:customStyle="1" w:styleId="321">
    <w:name w:val="Table Normal"/>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2">
    <w:name w:val="Table Normal1"/>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table" w:customStyle="1" w:styleId="323">
    <w:name w:val="Table Normal2"/>
    <w:unhideWhenUsed/>
    <w:qFormat/>
    <w:uiPriority w:val="2"/>
    <w:pPr>
      <w:widowControl w:val="0"/>
      <w:autoSpaceDE w:val="0"/>
      <w:autoSpaceDN w:val="0"/>
    </w:pPr>
    <w:rPr>
      <w:sz w:val="22"/>
      <w:szCs w:val="22"/>
      <w:lang w:eastAsia="en-US"/>
    </w:rPr>
    <w:tblPr>
      <w:tblCellMar>
        <w:top w:w="0" w:type="dxa"/>
        <w:left w:w="0" w:type="dxa"/>
        <w:bottom w:w="0" w:type="dxa"/>
        <w:right w:w="0" w:type="dxa"/>
      </w:tblCellMar>
    </w:tblPr>
  </w:style>
  <w:style w:type="character" w:customStyle="1" w:styleId="324">
    <w:name w:val="未处理的提及3"/>
    <w:basedOn w:val="48"/>
    <w:unhideWhenUsed/>
    <w:qFormat/>
    <w:uiPriority w:val="99"/>
    <w:rPr>
      <w:color w:val="605E5C"/>
      <w:shd w:val="clear" w:color="auto" w:fill="E1DFDD"/>
    </w:rPr>
  </w:style>
  <w:style w:type="paragraph" w:customStyle="1" w:styleId="325">
    <w:name w:val="修订2"/>
    <w:hidden/>
    <w:semiHidden/>
    <w:qFormat/>
    <w:uiPriority w:val="99"/>
    <w:rPr>
      <w:rFonts w:ascii="Times New Roman" w:hAnsi="Times New Roman" w:eastAsia="宋体" w:cs="Times New Roman"/>
      <w:kern w:val="2"/>
      <w:sz w:val="21"/>
      <w:szCs w:val="24"/>
      <w:lang w:val="en-US" w:eastAsia="zh-CN" w:bidi="ar-SA"/>
    </w:rPr>
  </w:style>
  <w:style w:type="character" w:customStyle="1" w:styleId="326">
    <w:name w:val="未处理的提及4"/>
    <w:basedOn w:val="48"/>
    <w:unhideWhenUsed/>
    <w:qFormat/>
    <w:uiPriority w:val="99"/>
    <w:rPr>
      <w:color w:val="605E5C"/>
      <w:shd w:val="clear" w:color="auto" w:fill="E1DFDD"/>
    </w:rPr>
  </w:style>
  <w:style w:type="paragraph" w:customStyle="1" w:styleId="327">
    <w:name w:val="修订3"/>
    <w:hidden/>
    <w:semiHidden/>
    <w:qFormat/>
    <w:uiPriority w:val="99"/>
    <w:rPr>
      <w:rFonts w:ascii="Times New Roman" w:hAnsi="Times New Roman" w:eastAsia="宋体" w:cs="Times New Roman"/>
      <w:kern w:val="2"/>
      <w:sz w:val="21"/>
      <w:szCs w:val="24"/>
      <w:lang w:val="en-US" w:eastAsia="zh-CN" w:bidi="ar-SA"/>
    </w:rPr>
  </w:style>
  <w:style w:type="paragraph" w:customStyle="1" w:styleId="328">
    <w:name w:val="列表段落2"/>
    <w:basedOn w:val="1"/>
    <w:qFormat/>
    <w:uiPriority w:val="1"/>
    <w:pPr>
      <w:ind w:left="100" w:firstLine="420"/>
    </w:pPr>
    <w:rPr>
      <w:rFonts w:ascii="宋体" w:hAnsi="宋体" w:cs="宋体"/>
    </w:rPr>
  </w:style>
  <w:style w:type="paragraph" w:customStyle="1" w:styleId="329">
    <w:name w:val="Revision"/>
    <w:hidden/>
    <w:unhideWhenUsed/>
    <w:qFormat/>
    <w:uiPriority w:val="99"/>
    <w:rPr>
      <w:rFonts w:ascii="Times New Roman" w:hAnsi="Times New Roman" w:eastAsia="宋体" w:cs="Times New Roman"/>
      <w:kern w:val="2"/>
      <w:sz w:val="21"/>
      <w:szCs w:val="24"/>
      <w:lang w:val="en-US" w:eastAsia="zh-CN" w:bidi="ar-SA"/>
    </w:rPr>
  </w:style>
  <w:style w:type="paragraph" w:styleId="330">
    <w:name w:val="List Paragraph"/>
    <w:basedOn w:val="1"/>
    <w:qFormat/>
    <w:uiPriority w:val="1"/>
    <w:pPr>
      <w:ind w:left="100" w:firstLine="420"/>
    </w:pPr>
    <w:rPr>
      <w:rFonts w:ascii="宋体" w:hAnsi="宋体" w:eastAsia="宋体" w:cs="宋体"/>
    </w:rPr>
  </w:style>
  <w:style w:type="character" w:customStyle="1" w:styleId="331">
    <w:name w:val="标题 4 Char2"/>
    <w:basedOn w:val="48"/>
    <w:link w:val="6"/>
    <w:qFormat/>
    <w:uiPriority w:val="0"/>
    <w:rPr>
      <w:rFonts w:ascii="宋体" w:hAnsi="宋体" w:eastAsia="宋体" w:cs="宋体"/>
      <w:b/>
      <w:bCs/>
      <w:kern w:val="0"/>
      <w:sz w:val="24"/>
      <w:szCs w:val="24"/>
    </w:rPr>
  </w:style>
  <w:style w:type="paragraph" w:customStyle="1" w:styleId="332">
    <w:name w:val="正文1"/>
    <w:basedOn w:val="31"/>
    <w:next w:val="1"/>
    <w:qFormat/>
    <w:uiPriority w:val="0"/>
    <w:pPr>
      <w:spacing w:line="360" w:lineRule="auto"/>
    </w:pPr>
    <w:rPr>
      <w:rFonts w:ascii="宋体" w:hAnsi="华文宋体"/>
      <w:kern w:val="20"/>
      <w:sz w:val="24"/>
      <w:szCs w:val="20"/>
    </w:rPr>
  </w:style>
  <w:style w:type="paragraph" w:customStyle="1" w:styleId="333">
    <w:name w:val="列出段落2"/>
    <w:basedOn w:val="1"/>
    <w:qFormat/>
    <w:uiPriority w:val="0"/>
    <w:pPr>
      <w:spacing w:line="360" w:lineRule="auto"/>
      <w:ind w:left="0" w:leftChars="0" w:right="0" w:rightChars="0" w:firstLine="420" w:firstLineChars="200"/>
    </w:pPr>
    <w:rPr>
      <w:rFonts w:eastAsia="宋体"/>
    </w:rPr>
  </w:style>
  <w:style w:type="character" w:customStyle="1" w:styleId="334">
    <w:name w:val="font11"/>
    <w:basedOn w:val="48"/>
    <w:qFormat/>
    <w:uiPriority w:val="0"/>
    <w:rPr>
      <w:rFonts w:hint="eastAsia" w:ascii="宋体" w:hAnsi="宋体" w:eastAsia="宋体" w:cs="宋体"/>
      <w:color w:val="000000"/>
      <w:sz w:val="28"/>
      <w:szCs w:val="28"/>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header" Target="header2.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numbering" Target="numbering.xml"/><Relationship Id="rId13" Type="http://schemas.openxmlformats.org/officeDocument/2006/relationships/customXml" Target="../customXml/item1.xml"/><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122</Pages>
  <Words>7822</Words>
  <Characters>8354</Characters>
  <Lines>935</Lines>
  <Paragraphs>263</Paragraphs>
  <TotalTime>48</TotalTime>
  <ScaleCrop>false</ScaleCrop>
  <LinksUpToDate>false</LinksUpToDate>
  <CharactersWithSpaces>8534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2021-06-29T17:05:00Z</dcterms:created>
  <dc:creator>he hang</dc:creator>
  <cp:lastModifiedBy>车侑蓝</cp:lastModifiedBy>
  <cp:lastPrinted>2023-06-09T14:54:00Z</cp:lastPrinted>
  <dcterms:modified xsi:type="dcterms:W3CDTF">2026-05-27T03:22:06Z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B8972B2A6B3840EAB1F74ED24B0436E3_13</vt:lpwstr>
  </property>
  <property fmtid="{D5CDD505-2E9C-101B-9397-08002B2CF9AE}" pid="4" name="KSOTemplateDocerSaveRecord">
    <vt:lpwstr>eyJoZGlkIjoiODViY2JkMjU3NGYzZTEwMzZmMGFkZWViYmNkYWU3NDIiLCJ1c2VySWQiOiI1MDg2MjI3ODgifQ==</vt:lpwstr>
  </property>
</Properties>
</file>