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E77DC">
      <w:pPr>
        <w:jc w:val="center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垫江分公司综合</w:t>
      </w:r>
      <w:r>
        <w:rPr>
          <w:rFonts w:hint="eastAsia"/>
          <w:b/>
          <w:bCs/>
          <w:sz w:val="32"/>
          <w:szCs w:val="32"/>
        </w:rPr>
        <w:t>办公楼外</w:t>
      </w:r>
      <w:r>
        <w:rPr>
          <w:rFonts w:hint="eastAsia"/>
          <w:b/>
          <w:bCs/>
          <w:sz w:val="32"/>
          <w:szCs w:val="32"/>
          <w:lang w:eastAsia="zh-CN"/>
        </w:rPr>
        <w:t>墙面砖</w:t>
      </w:r>
      <w:r>
        <w:rPr>
          <w:rFonts w:hint="eastAsia"/>
          <w:b/>
          <w:bCs/>
          <w:sz w:val="32"/>
          <w:szCs w:val="32"/>
        </w:rPr>
        <w:t>翻新真石漆施工方案</w:t>
      </w:r>
    </w:p>
    <w:p w14:paraId="3396314F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一、工程概况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0C27F57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本项目系分公司综合办公楼外墙面砖脱落整改维修工程，建筑高度约为20米，施工面积约400㎡。需拆除原有外墙面砖及基层抹灰层，并采用真石漆完成外立面翻新。施工内容包括立面块料拆除、外脚手架搭设与拆除、外墙真石漆涂装（含零星修补）等核心工序。</w:t>
      </w:r>
    </w:p>
    <w:p w14:paraId="28248232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 xml:space="preserve">二、施工准备 </w:t>
      </w:r>
      <w:r>
        <w:rPr>
          <w:rFonts w:hint="eastAsia"/>
          <w:sz w:val="28"/>
          <w:szCs w:val="28"/>
          <w:lang w:eastAsia="zh-CN"/>
        </w:rPr>
        <w:t xml:space="preserve"> </w:t>
      </w:r>
    </w:p>
    <w:p w14:paraId="3FD22B69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1. 技术准备：熟悉</w:t>
      </w:r>
      <w:r>
        <w:rPr>
          <w:rFonts w:hint="eastAsia"/>
          <w:sz w:val="28"/>
          <w:szCs w:val="28"/>
          <w:lang w:val="en-US" w:eastAsia="zh-CN"/>
        </w:rPr>
        <w:t xml:space="preserve">现场条件及清单项目特征，针对真石漆涂装工艺与拆除作业要点组织技术交底，明确质量验收标准。  </w:t>
      </w:r>
    </w:p>
    <w:p w14:paraId="5162B71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材料准备：采购并储备抗裂砂浆、耐碱网格布、防水腻子、抗碱封闭底漆、真石漆、罩面漆等材料。材料进场时须核查合格证及检测报告，并按规定抽样复验，合格后方可投入使用。  </w:t>
      </w:r>
    </w:p>
    <w:p w14:paraId="1AB0475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设备准备：配备外脚手架、切割机、打磨机、真石漆喷涂机等设备，使用前应进行调试，确保其运转正常。  </w:t>
      </w:r>
    </w:p>
    <w:p w14:paraId="6053A50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现场准备：清理施工区域，设置安全警示标识，实施门窗、地面等成品保护措施；合理规划建筑垃圾清运路线及材料临时堆放区。</w:t>
      </w:r>
    </w:p>
    <w:p w14:paraId="3A967B9D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三、主要施工工序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4CCDA087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（一）外脚手架搭设 </w:t>
      </w:r>
      <w:r>
        <w:rPr>
          <w:rFonts w:hint="eastAsia"/>
          <w:sz w:val="28"/>
          <w:szCs w:val="28"/>
          <w:lang w:val="en-US" w:eastAsia="zh-CN"/>
        </w:rPr>
        <w:t xml:space="preserve"> </w:t>
      </w:r>
    </w:p>
    <w:p w14:paraId="6277F4B0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严格遵循《建筑施工扣件式钢管脚手架安全技术规范》（JGJ130）搭设落地式外脚手架，搭设高度应超出屋面2米，设置斜道、上料平台及密目安全网。脚手架搭设完成后须经专项验收合格，方可投入使用。</w:t>
      </w:r>
    </w:p>
    <w:p w14:paraId="0383DB5A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（二）立面块料拆除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7AC50C77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采用人工方式拆除外墙面砖及基层抹灰层，拆除过程中实施洒水降尘措施以控制扬尘污染，避免对主体结构造成损伤。  </w:t>
      </w:r>
    </w:p>
    <w:p w14:paraId="3881135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建筑垃圾须及时清理，场内集中转运后统一外运，确保工完场清。</w:t>
      </w:r>
    </w:p>
    <w:p w14:paraId="5B51BED0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（三）外墙真石漆施工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7B868370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1. 基层处理：清除基层浮尘与杂物，对松动部位进行凿固处理；</w:t>
      </w:r>
      <w:r>
        <w:rPr>
          <w:rFonts w:hint="eastAsia"/>
          <w:sz w:val="28"/>
          <w:szCs w:val="28"/>
          <w:lang w:val="en-US" w:eastAsia="zh-CN"/>
        </w:rPr>
        <w:t xml:space="preserve">整体涂刷墙固一道，批抹抗裂砂浆两遍并压入耐碱网格布，确保基层粘结牢固。  </w:t>
      </w:r>
    </w:p>
    <w:p w14:paraId="715ADD84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腻子找平：批刮防水腻子两遍，使用2m靠尺检查平整度，打磨后墙面偏差应不大于2mm。  </w:t>
      </w:r>
    </w:p>
    <w:p w14:paraId="4BD5FF6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底漆施工：涂刷抗碱封闭底漆一道，须均匀无漏涂；</w:t>
      </w:r>
      <w:r>
        <w:rPr>
          <w:rFonts w:hint="eastAsia"/>
          <w:sz w:val="28"/>
          <w:szCs w:val="28"/>
          <w:lang w:val="en-US" w:eastAsia="zh-CN"/>
        </w:rPr>
        <w:t xml:space="preserve">按生产厂要求参数弹线并粘贴分格条与胶带，确保分格线顺直。  </w:t>
      </w:r>
    </w:p>
    <w:p w14:paraId="0A399AD4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真石漆喷涂（</w:t>
      </w:r>
      <w:r>
        <w:rPr>
          <w:rFonts w:hint="eastAsia"/>
          <w:sz w:val="28"/>
          <w:szCs w:val="28"/>
          <w:lang w:val="en-US" w:eastAsia="zh-CN"/>
        </w:rPr>
        <w:t xml:space="preserve">主材选用国内一线品牌，如立邦、固克、三棵树等）：分两遍喷涂真石漆，严格控制喷涂厚度（2–3mm）与均匀度，确保饰面色泽一致，无流坠、色差等缺陷。  </w:t>
      </w:r>
    </w:p>
    <w:p w14:paraId="527F4FF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5. 罩面施工：真石漆干燥后涂刷专用罩面漆，以提高饰面耐污性与耐久性。  </w:t>
      </w:r>
    </w:p>
    <w:p w14:paraId="66568765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6. 成品保护：施工结束后清理墙面污染，对已完成饰面采取有效防护措施，避免碰撞损坏。</w:t>
      </w:r>
    </w:p>
    <w:p w14:paraId="3A593EB4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（四）脚手架拆除</w:t>
      </w:r>
      <w:r>
        <w:rPr>
          <w:rFonts w:hint="eastAsia"/>
          <w:sz w:val="28"/>
          <w:szCs w:val="28"/>
          <w:lang w:val="en-US" w:eastAsia="zh-CN"/>
        </w:rPr>
        <w:t xml:space="preserve">  </w:t>
      </w:r>
    </w:p>
    <w:p w14:paraId="3414558E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真石漆施工经验收合格后，依“先搭后拆、后搭先拆”原则拆除脚手架，拆除材料分类堆放，建筑垃圾及时清运。</w:t>
      </w:r>
    </w:p>
    <w:p w14:paraId="2E168414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四、质量要求与验收标准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0A587BAD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（一）拆除工程质量要求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725B05E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面砖及抹灰层须拆除彻底，无残留；墙面基层坚实、无空鼓、无松动。  </w:t>
      </w:r>
    </w:p>
    <w:p w14:paraId="078AC252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拆除过程中不得损坏建筑主体结构及门窗、阳台等附属设施。</w:t>
      </w:r>
    </w:p>
    <w:p w14:paraId="06AF3FDE">
      <w:pPr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（二）真石漆施工质量要求  </w:t>
      </w:r>
    </w:p>
    <w:p w14:paraId="0F73E68C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1.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基层处理：平整度偏差≤2mm，垂直度偏差≤3mm；</w:t>
      </w:r>
      <w:bookmarkStart w:id="0" w:name="_GoBack"/>
      <w:bookmarkEnd w:id="0"/>
      <w:r>
        <w:rPr>
          <w:rFonts w:hint="eastAsia"/>
          <w:sz w:val="28"/>
          <w:szCs w:val="28"/>
        </w:rPr>
        <w:t>抗裂砂浆与基层粘结牢固，无空鼓、开裂。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23798679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腻子层：表面平整光滑，无粉化、起皮、裂纹，打磨后无显著砂痕。  </w:t>
      </w:r>
    </w:p>
    <w:p w14:paraId="46EFB75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底漆层：涂刷均匀，无漏涂、透底现象，与腻子层粘结良好。  </w:t>
      </w:r>
    </w:p>
    <w:p w14:paraId="735A5A9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4. 真石漆层：喷涂厚度均匀（2–3mm），色泽均匀一致，无流坠、疙瘩、透底；分格缝平直、宽度一致。  </w:t>
      </w:r>
    </w:p>
    <w:p w14:paraId="2D54137F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5.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罩面层：涂刷均匀，无漏涂、流挂，饰面光泽一致。</w:t>
      </w:r>
    </w:p>
    <w:p w14:paraId="637F9FAC">
      <w:pPr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（三）验收标准  </w:t>
      </w:r>
    </w:p>
    <w:p w14:paraId="1CE05AC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拆除工程验收依据《建筑拆除工程安全技术规范》（JGJ147）执行，经甲方确认合格后方可进行下一工序。  </w:t>
      </w:r>
    </w:p>
    <w:p w14:paraId="014354C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真石漆工程验收依据《建筑装饰装修工程质量验收标准》（GB50210）执行，观感质量与实测实量均需符合规范要求；隐蔽工程（如基层处理、网格布铺设）应提前报验。  </w:t>
      </w:r>
    </w:p>
    <w:p w14:paraId="34B6313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各分项工程验收合格后须出具验收记录，作为工程结算依据。</w:t>
      </w:r>
    </w:p>
    <w:p w14:paraId="69317A65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五、安全保障措施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 xml:space="preserve"> </w:t>
      </w:r>
    </w:p>
    <w:p w14:paraId="68B43329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施工人员须规范佩戴安全帽、安全带，高空作业必须系挂安全绳，严禁违规作业。  </w:t>
      </w:r>
    </w:p>
    <w:p w14:paraId="6DDA0BCD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脚手架搭拆及高空作业须由持证专业人员操作，并设置专人监护，作业区下方设警戒区域。  </w:t>
      </w:r>
    </w:p>
    <w:p w14:paraId="4561335E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 施工现场应配备消防器材，严禁明火作业；电气设备须做接地保护，防范触电事故。  </w:t>
      </w:r>
    </w:p>
    <w:p w14:paraId="6E42C05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建筑垃圾外运须符合市容环卫管理规定，采用封闭运输车辆，杜绝扬尘污染。</w:t>
      </w:r>
    </w:p>
    <w:p w14:paraId="1B9211F9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六、工期安排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67C4C65B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脚手架搭设：2天  </w:t>
      </w:r>
    </w:p>
    <w:p w14:paraId="1DF563B0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2. 立面块料拆除及清理：3天  </w:t>
      </w:r>
    </w:p>
    <w:p w14:paraId="2BEB5DEF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外墙真石漆施工（</w:t>
      </w:r>
      <w:r>
        <w:rPr>
          <w:rFonts w:hint="eastAsia"/>
          <w:sz w:val="28"/>
          <w:szCs w:val="28"/>
          <w:lang w:val="en-US" w:eastAsia="zh-CN"/>
        </w:rPr>
        <w:t xml:space="preserve">含零星修补）：12天  </w:t>
      </w:r>
    </w:p>
    <w:p w14:paraId="7DAE3329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4. 脚手架拆除及场地清理：</w:t>
      </w:r>
      <w:r>
        <w:rPr>
          <w:rFonts w:hint="eastAsia"/>
          <w:sz w:val="28"/>
          <w:szCs w:val="28"/>
          <w:lang w:val="en-US" w:eastAsia="zh-CN"/>
        </w:rPr>
        <w:t xml:space="preserve">3天  </w:t>
      </w:r>
    </w:p>
    <w:p w14:paraId="5A5DAC68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总工期约为</w:t>
      </w:r>
      <w:r>
        <w:rPr>
          <w:rFonts w:hint="eastAsia"/>
          <w:sz w:val="28"/>
          <w:szCs w:val="28"/>
          <w:lang w:val="en-US" w:eastAsia="zh-CN"/>
        </w:rPr>
        <w:t>20天（可根据现场实际情况进行相应调整）。</w:t>
      </w:r>
    </w:p>
    <w:p w14:paraId="59F8F087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七、工程结算与质保条款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601A4C7E">
      <w:pPr>
        <w:ind w:firstLine="560" w:firstLineChars="20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（</w:t>
      </w:r>
      <w:r>
        <w:rPr>
          <w:rFonts w:hint="eastAsia"/>
          <w:sz w:val="28"/>
          <w:szCs w:val="28"/>
          <w:lang w:val="en-US" w:eastAsia="zh-CN"/>
        </w:rPr>
        <w:t>一</w:t>
      </w:r>
      <w:r>
        <w:rPr>
          <w:rFonts w:hint="eastAsia"/>
          <w:sz w:val="28"/>
          <w:szCs w:val="28"/>
          <w:lang w:eastAsia="zh-CN"/>
        </w:rPr>
        <w:t>）</w:t>
      </w:r>
      <w:r>
        <w:rPr>
          <w:rFonts w:hint="eastAsia"/>
          <w:sz w:val="28"/>
          <w:szCs w:val="28"/>
          <w:lang w:val="en-US" w:eastAsia="zh-CN"/>
        </w:rPr>
        <w:t xml:space="preserve">工程结算及付款方式  </w:t>
      </w:r>
    </w:p>
    <w:p w14:paraId="45ABDB0C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1. 结算依据：按实际完成并经验收合格的工程量办理结算。  </w:t>
      </w:r>
    </w:p>
    <w:p w14:paraId="71A04DC3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2. 付款方式：工程全部完工并验收合格后，支付至结算总金额的95%；剩余5%作为质保金，待质保期满后无息付清。</w:t>
      </w:r>
    </w:p>
    <w:p w14:paraId="3A921F39">
      <w:pPr>
        <w:ind w:firstLine="560" w:firstLineChars="2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（二）质保金与质保期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 xml:space="preserve"> </w:t>
      </w:r>
    </w:p>
    <w:p w14:paraId="62069417">
      <w:pPr>
        <w:ind w:firstLine="560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>1.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</w:rPr>
        <w:t>质保金比例：结算总价的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%作为工程质量保证金。</w:t>
      </w:r>
      <w:r>
        <w:rPr>
          <w:rFonts w:hint="eastAsia"/>
          <w:sz w:val="28"/>
          <w:szCs w:val="28"/>
          <w:lang w:eastAsia="zh-CN"/>
        </w:rPr>
        <w:t xml:space="preserve">  </w:t>
      </w:r>
    </w:p>
    <w:p w14:paraId="1FC2A475">
      <w:pPr>
        <w:ind w:firstLine="560" w:firstLineChars="200"/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2. 质保期：自工程竣工验收合格之日起，外墙真石漆工程质保期为</w:t>
      </w:r>
      <w:r>
        <w:rPr>
          <w:rFonts w:hint="eastAsia"/>
          <w:sz w:val="28"/>
          <w:szCs w:val="28"/>
          <w:lang w:val="en-US" w:eastAsia="zh-CN"/>
        </w:rPr>
        <w:t xml:space="preserve">2年。质保期内如出现脱层、开裂、褪色等质量问题，施工方须在48小时内响应维修，免费更换材料并重新施工。  </w:t>
      </w:r>
    </w:p>
    <w:p w14:paraId="4609850B">
      <w:pPr>
        <w:rPr>
          <w:rFonts w:hint="eastAsia" w:eastAsiaTheme="minor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3. 质保金支付：质保期满且无质量问题，甲方应在7个工作日内无息一次性支付质保金；若质保期内出现质量问题且施工方未及时维修，甲方有权委托第三方处理，所产生的费用从质保金中扣除。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F622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34A88F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34A88F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E9F98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B16C5D"/>
    <w:rsid w:val="25153A4D"/>
    <w:rsid w:val="3AD357AE"/>
    <w:rsid w:val="3F8A64BB"/>
    <w:rsid w:val="6B257AE3"/>
    <w:rsid w:val="73675AA4"/>
    <w:rsid w:val="75E67B42"/>
    <w:rsid w:val="772F428A"/>
    <w:rsid w:val="7DA72DB6"/>
    <w:rsid w:val="7FB52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52d91dee-fae1-4d6d-8076-6c4b7400f542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 F73E68C</paraID>
      <start>35</start>
      <end>37</end>
      <status>unmodified</status>
      <modifiedWord/>
      <trackRevisions>false</trackRevisions>
    </reviewItem>
    <reviewItem>
      <errorID>406fc295-6034-43a6-9b06-f7223e52c5a8</errorID>
      <errorWord>粘结</errorWord>
      <group>L1_Word</group>
      <groupName>字词问题</groupName>
      <ability>L2_Typo</ability>
      <abilityName>字词错误</abilityName>
      <candidateList>
        <item>黏结</item>
      </candidateList>
      <explain>存在发音相同字词的误用。</explain>
      <paraID>46EFB75E</paraID>
      <start>0</start>
      <end>0</end>
      <status>unmodified</status>
      <modifiedWord/>
      <trackRevisions>false</trackRevisions>
    </reviewItem>
    <reviewItem>
      <errorID>27c1f77d-f28c-4c62-af36-822f19a3e77e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735A5A98</paraID>
      <start>0</start>
      <end>0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071bfb2-829e-40ae-8793-0198891611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1812</Words>
  <Characters>1888</Characters>
  <Lines>0</Lines>
  <Paragraphs>0</Paragraphs>
  <TotalTime>50</TotalTime>
  <ScaleCrop>false</ScaleCrop>
  <LinksUpToDate>false</LinksUpToDate>
  <CharactersWithSpaces>1940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2025-12-11T12:48:00Z</dcterms:created>
  <dc:creator>Lenovo</dc:creator>
  <cp:lastModifiedBy>凌</cp:lastModifiedBy>
  <dcterms:modified xsi:type="dcterms:W3CDTF">2025-12-23T04:55:44Z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eyJoZGlkIjoiZDYxZjc3ZTQ0NGFlMzNmZGEwNTkzZGFkMWUxYmZjOGIiLCJ1c2VySWQiOiI4OTY0OTMyNjgifQ==</vt:lpwstr>
  </property>
  <property fmtid="{D5CDD505-2E9C-101B-9397-08002B2CF9AE}" pid="4" name="ICV">
    <vt:lpwstr>EAE029DD5CB543CF97DA263CACF60113_12</vt:lpwstr>
  </property>
</Properties>
</file>