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FACF863">
      <w:pPr>
        <w:tabs>
          <w:tab w:val="left" w:pos="1088"/>
        </w:tabs>
        <w:jc w:val="left"/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/>
          <w:sz w:val="21"/>
          <w:szCs w:val="21"/>
          <w:lang w:val="en-US" w:eastAsia="zh-CN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垫江分公司豆瓣C端产品生产车间改造施工方案（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val="en-US" w:eastAsia="zh-CN"/>
        </w:rPr>
        <w:t>第二次</w:t>
      </w:r>
      <w:r>
        <w:rPr>
          <w:rFonts w:hint="eastAsia" w:asciiTheme="majorEastAsia" w:hAnsiTheme="majorEastAsia" w:eastAsiaTheme="majorEastAsia" w:cstheme="majorEastAsia"/>
          <w:b/>
          <w:bCs/>
          <w:sz w:val="32"/>
          <w:szCs w:val="32"/>
          <w:lang w:eastAsia="zh-CN"/>
        </w:rPr>
        <w:t>）</w:t>
      </w:r>
    </w:p>
    <w:p w14:paraId="63311DD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  <w:r>
        <w:rPr>
          <w:rFonts w:hint="eastAsia"/>
          <w:sz w:val="21"/>
          <w:szCs w:val="21"/>
          <w:lang w:eastAsia="zh-CN"/>
        </w:rPr>
        <w:t xml:space="preserve"> </w:t>
      </w:r>
    </w:p>
    <w:p w14:paraId="492BF4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一、工程概况</w:t>
      </w:r>
    </w:p>
    <w:p w14:paraId="0AD60DB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本工程为豆瓣</w:t>
      </w:r>
      <w:r>
        <w:rPr>
          <w:rFonts w:hint="eastAsia" w:asciiTheme="majorEastAsia" w:hAnsiTheme="majorEastAsia" w:eastAsiaTheme="majorEastAsia" w:cstheme="majorEastAsia"/>
          <w:b w:val="0"/>
          <w:bCs w:val="0"/>
          <w:sz w:val="28"/>
          <w:szCs w:val="28"/>
          <w:lang w:eastAsia="zh-CN"/>
        </w:rPr>
        <w:t>C端产品生产车间</w:t>
      </w:r>
      <w:r>
        <w:rPr>
          <w:rFonts w:hint="eastAsia"/>
          <w:sz w:val="28"/>
          <w:szCs w:val="28"/>
          <w:lang w:eastAsia="zh-CN"/>
        </w:rPr>
        <w:t>改造项目，以平面布局图为依据，涵盖瓶装生产线及配套工具间、包材间、配料间等功能区改造，核心目标是打造符合食品生产规范的净化级作业环境，施工内容如下：</w:t>
      </w:r>
    </w:p>
    <w:p w14:paraId="1E808D3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1.隔墙系统：外围隔墙（高度＞8m）、功能间隔墙（高度＞4m），采用75型聚氨酯封边净化板+热镀锌钢骨架；配套4樘2.2m×2.5m快速升降门、1.5m×1.0m外围观察玻璃（≥8mm钢化）、1m×2m功能间净化平开门、1.2m×0.8m物流通口，隔墙底部及墙阴角安装喷塑铝内圆弧（替代防撞护角） ，实现无死角净化与结构防护。</w:t>
      </w:r>
    </w:p>
    <w:p w14:paraId="29F493C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2.吊顶系统：面积约：288㎡，吊顶高度约：4m，采用600×600×1.0mm烤漆铝扣板吊顶，含主/次龙骨及配套吊杆，兼顾平整度与检修便利性。</w:t>
      </w:r>
    </w:p>
    <w:p w14:paraId="48096A8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3.机电系统：全区域LED照明（100W平板灯）、IP55防水防尘插座布局，规范线路敷设、回路配置及安全防护，满足食品车间用电需求。</w:t>
      </w:r>
    </w:p>
    <w:p w14:paraId="433F75C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4.密封系统：通过铝型材收口+中性硅酮密封胶处理，保障净化区域气密性，杜绝粉尘、杂质渗透。</w:t>
      </w:r>
    </w:p>
    <w:p w14:paraId="45335D7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二、施工准备</w:t>
      </w:r>
    </w:p>
    <w:p w14:paraId="3E44802A">
      <w:pPr>
        <w:tabs>
          <w:tab w:val="left" w:pos="1088"/>
        </w:tabs>
        <w:ind w:firstLine="280" w:firstLineChars="10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（一）材料准备及验收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5"/>
        <w:gridCol w:w="2520"/>
        <w:gridCol w:w="2312"/>
        <w:gridCol w:w="2312"/>
      </w:tblGrid>
      <w:tr w14:paraId="23D32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4E971168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类别</w:t>
            </w:r>
          </w:p>
        </w:tc>
        <w:tc>
          <w:tcPr>
            <w:tcW w:w="2520" w:type="dxa"/>
          </w:tcPr>
          <w:p w14:paraId="6D3B8447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材料名称及参数</w:t>
            </w:r>
          </w:p>
        </w:tc>
        <w:tc>
          <w:tcPr>
            <w:tcW w:w="2312" w:type="dxa"/>
          </w:tcPr>
          <w:p w14:paraId="5FB35C34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 xml:space="preserve">验收标准 </w:t>
            </w:r>
          </w:p>
        </w:tc>
        <w:tc>
          <w:tcPr>
            <w:tcW w:w="2312" w:type="dxa"/>
          </w:tcPr>
          <w:p w14:paraId="2825522D">
            <w:pPr>
              <w:rPr>
                <w:rFonts w:hint="default" w:eastAsiaTheme="minorEastAsia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管控措施</w:t>
            </w:r>
          </w:p>
        </w:tc>
      </w:tr>
      <w:tr w14:paraId="2A26A9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3804E427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隔墙板</w:t>
            </w:r>
            <w:r>
              <w:rPr>
                <w:rFonts w:hint="eastAsia"/>
                <w:sz w:val="21"/>
                <w:szCs w:val="21"/>
              </w:rPr>
              <w:t>材料</w:t>
            </w:r>
          </w:p>
        </w:tc>
        <w:tc>
          <w:tcPr>
            <w:tcW w:w="2520" w:type="dxa"/>
          </w:tcPr>
          <w:p w14:paraId="07D6F0B7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7</w:t>
            </w:r>
            <w:r>
              <w:rPr>
                <w:rFonts w:hint="eastAsia"/>
                <w:sz w:val="21"/>
                <w:szCs w:val="21"/>
              </w:rPr>
              <w:t>5型</w:t>
            </w:r>
            <w:r>
              <w:rPr>
                <w:rFonts w:hint="eastAsia"/>
                <w:sz w:val="21"/>
                <w:szCs w:val="21"/>
                <w:lang w:eastAsia="zh-CN"/>
              </w:rPr>
              <w:t>聚氨酯封边</w:t>
            </w:r>
            <w:r>
              <w:rPr>
                <w:rFonts w:hint="eastAsia"/>
                <w:sz w:val="21"/>
                <w:szCs w:val="21"/>
              </w:rPr>
              <w:t>净化板（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锌镁铝</w:t>
            </w:r>
            <w:r>
              <w:rPr>
                <w:rFonts w:hint="eastAsia"/>
                <w:sz w:val="21"/>
                <w:szCs w:val="21"/>
              </w:rPr>
              <w:t>板≥0.6mm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+</w:t>
            </w:r>
            <w:r>
              <w:rPr>
                <w:rFonts w:hint="eastAsia"/>
                <w:sz w:val="21"/>
                <w:szCs w:val="21"/>
              </w:rPr>
              <w:t>岩棉容重≥120kg/m³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+锌镁铝</w:t>
            </w:r>
            <w:r>
              <w:rPr>
                <w:rFonts w:hint="eastAsia"/>
                <w:sz w:val="21"/>
                <w:szCs w:val="21"/>
              </w:rPr>
              <w:t>板≥0.6mm）、100×100×2.0热镀锌方管等</w:t>
            </w:r>
            <w:r>
              <w:rPr>
                <w:rFonts w:hint="eastAsia"/>
                <w:sz w:val="21"/>
                <w:szCs w:val="21"/>
                <w:lang w:eastAsia="zh-CN"/>
              </w:rPr>
              <w:t>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基板建议选择：宝钢、首钢同档次及以上。</w:t>
            </w:r>
          </w:p>
        </w:tc>
        <w:tc>
          <w:tcPr>
            <w:tcW w:w="2312" w:type="dxa"/>
          </w:tcPr>
          <w:p w14:paraId="06991D3C">
            <w:pPr>
              <w:tabs>
                <w:tab w:val="left" w:pos="1088"/>
              </w:tabs>
              <w:jc w:val="both"/>
              <w:rPr>
                <w:rFonts w:hint="eastAsia" w:eastAsiaTheme="minorEastAsia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/>
                <w:sz w:val="21"/>
                <w:szCs w:val="21"/>
              </w:rPr>
              <w:t>表</w:t>
            </w:r>
            <w:r>
              <w:rPr>
                <w:rFonts w:hint="eastAsia"/>
                <w:sz w:val="21"/>
                <w:szCs w:val="21"/>
                <w:lang w:eastAsia="zh-CN"/>
              </w:rPr>
              <w:t>面覆膜无划痕、边缘无破损，检测报告（含防火、环保、净化等级）齐全，镀锌层无锈蚀，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锌镁铝层重量＞150g/m2,面层聚酯漆厚度＞35μm</w:t>
            </w:r>
            <w:r>
              <w:rPr>
                <w:rFonts w:hint="eastAsia"/>
                <w:sz w:val="21"/>
                <w:szCs w:val="21"/>
                <w:lang w:eastAsia="zh-CN"/>
              </w:rPr>
              <w:t xml:space="preserve"> 。</w:t>
            </w:r>
          </w:p>
        </w:tc>
        <w:tc>
          <w:tcPr>
            <w:tcW w:w="2312" w:type="dxa"/>
          </w:tcPr>
          <w:p w14:paraId="4BA3D5D0">
            <w:pPr>
              <w:tabs>
                <w:tab w:val="left" w:pos="1088"/>
              </w:tabs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进场前100%外观检查，抽样送检核心指标；材料分区堆放，底部垫木防潮，净化板覆膜保留至</w:t>
            </w:r>
            <w:r>
              <w:rPr>
                <w:rFonts w:hint="eastAsia"/>
                <w:color w:val="000000" w:themeColor="text1"/>
                <w:sz w:val="21"/>
                <w:szCs w:val="2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验收</w:t>
            </w:r>
            <w:r>
              <w:rPr>
                <w:rFonts w:hint="eastAsia"/>
                <w:color w:val="000000" w:themeColor="text1"/>
                <w:sz w:val="21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前</w:t>
            </w:r>
            <w:r>
              <w:rPr>
                <w:rFonts w:hint="eastAsia"/>
                <w:sz w:val="21"/>
                <w:szCs w:val="21"/>
                <w:lang w:eastAsia="zh-CN"/>
              </w:rPr>
              <w:t xml:space="preserve"> 。</w:t>
            </w:r>
          </w:p>
        </w:tc>
      </w:tr>
      <w:tr w14:paraId="5BAC6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42F94CD9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配套设施材料</w:t>
            </w:r>
          </w:p>
        </w:tc>
        <w:tc>
          <w:tcPr>
            <w:tcW w:w="2520" w:type="dxa"/>
          </w:tcPr>
          <w:p w14:paraId="69AE4D73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快速升降门（含电机/导轨）、钢化观察玻璃（≥8mm）、净化平开门、物流通口边框、100mm高净化级内圆弧铝型材（厚度≥1.5mm，弧度R50）</w:t>
            </w:r>
          </w:p>
        </w:tc>
        <w:tc>
          <w:tcPr>
            <w:tcW w:w="2312" w:type="dxa"/>
          </w:tcPr>
          <w:p w14:paraId="6AD597A6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玻璃无崩边/裂纹，门体平整度≤2mm，密封胶条弹性良好，电机及传感器功能完好；内圆弧型材无变形、无毛刺，表面光滑，弧度一致</w:t>
            </w:r>
          </w:p>
        </w:tc>
        <w:tc>
          <w:tcPr>
            <w:tcW w:w="2312" w:type="dxa"/>
          </w:tcPr>
          <w:p w14:paraId="65E671AF">
            <w:pPr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门体试装测试启闭顺畅度，玻璃进行抗冲击抽检；内圆弧型材尺寸及弧度复核，配件分类编号，避免混用。</w:t>
            </w:r>
          </w:p>
        </w:tc>
      </w:tr>
      <w:tr w14:paraId="460005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66808F66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吊顶材料</w:t>
            </w:r>
          </w:p>
        </w:tc>
        <w:tc>
          <w:tcPr>
            <w:tcW w:w="2520" w:type="dxa"/>
          </w:tcPr>
          <w:p w14:paraId="7B8E8CC2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600×600×1.0mm烤漆铝扣板、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50</w:t>
            </w:r>
            <w:r>
              <w:rPr>
                <w:rFonts w:hint="eastAsia"/>
                <w:sz w:val="21"/>
                <w:szCs w:val="21"/>
              </w:rPr>
              <w:t>×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20*1.5</w:t>
            </w:r>
            <w:r>
              <w:rPr>
                <w:rFonts w:hint="eastAsia"/>
                <w:sz w:val="21"/>
                <w:szCs w:val="21"/>
              </w:rPr>
              <w:t>主龙骨、600mm间距次龙骨</w:t>
            </w:r>
          </w:p>
        </w:tc>
        <w:tc>
          <w:tcPr>
            <w:tcW w:w="2312" w:type="dxa"/>
          </w:tcPr>
          <w:p w14:paraId="25B69B8F">
            <w:pPr>
              <w:rPr>
                <w:rFonts w:hint="default"/>
                <w:sz w:val="21"/>
                <w:szCs w:val="21"/>
                <w:vertAlign w:val="baseline"/>
                <w:lang w:val="en-US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扣板无翘曲/色差，龙骨、板材壁厚达标，表面涂层无脱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落</w:t>
            </w:r>
          </w:p>
        </w:tc>
        <w:tc>
          <w:tcPr>
            <w:tcW w:w="2312" w:type="dxa"/>
          </w:tcPr>
          <w:p w14:paraId="4C8E0DA4">
            <w:pPr>
              <w:tabs>
                <w:tab w:val="left" w:pos="1088"/>
              </w:tabs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>龙骨直线度抽检，扣板抽样拼接测试缝隙精度；堆叠高度≤1m，防止变形 。</w:t>
            </w:r>
          </w:p>
        </w:tc>
      </w:tr>
      <w:tr w14:paraId="45A508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2908C38F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机电材料</w:t>
            </w:r>
          </w:p>
        </w:tc>
        <w:tc>
          <w:tcPr>
            <w:tcW w:w="2520" w:type="dxa"/>
          </w:tcPr>
          <w:p w14:paraId="44D9A62C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  <w:lang w:val="en-US" w:eastAsia="zh-CN"/>
              </w:rPr>
              <w:t>100</w:t>
            </w:r>
            <w:r>
              <w:rPr>
                <w:rFonts w:hint="eastAsia"/>
                <w:sz w:val="21"/>
                <w:szCs w:val="21"/>
              </w:rPr>
              <w:t>W LED平板灯、IP5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/>
                <w:sz w:val="21"/>
                <w:szCs w:val="21"/>
              </w:rPr>
              <w:t>插座、BV2.5/BV4电线、PVC20线管16A/25A空气开关、漏保装置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等。</w:t>
            </w:r>
          </w:p>
        </w:tc>
        <w:tc>
          <w:tcPr>
            <w:tcW w:w="2312" w:type="dxa"/>
          </w:tcPr>
          <w:p w14:paraId="6B8CCF7E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3C认证齐全，电线绝缘层无破损</w:t>
            </w:r>
            <w:r>
              <w:rPr>
                <w:rFonts w:hint="eastAsia"/>
                <w:sz w:val="21"/>
                <w:szCs w:val="21"/>
                <w:lang w:eastAsia="zh-CN"/>
              </w:rPr>
              <w:t>，漏保动作电流≤30mA，灯具防护等级达标，</w:t>
            </w:r>
          </w:p>
        </w:tc>
        <w:tc>
          <w:tcPr>
            <w:tcW w:w="2312" w:type="dxa"/>
          </w:tcPr>
          <w:p w14:paraId="50CB0FA3">
            <w:pPr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 xml:space="preserve">电线绝缘电阻测试，电气元件扫码核验真伪；材料存放远离潮湿区域，做好防雨防护 </w:t>
            </w:r>
          </w:p>
        </w:tc>
      </w:tr>
      <w:tr w14:paraId="051624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75" w:type="dxa"/>
          </w:tcPr>
          <w:p w14:paraId="56FA4975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>辅材</w:t>
            </w:r>
          </w:p>
        </w:tc>
        <w:tc>
          <w:tcPr>
            <w:tcW w:w="2520" w:type="dxa"/>
          </w:tcPr>
          <w:p w14:paraId="04577C53">
            <w:pPr>
              <w:rPr>
                <w:rFonts w:hint="default" w:eastAsiaTheme="minorEastAsia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/>
                <w:sz w:val="21"/>
                <w:szCs w:val="21"/>
              </w:rPr>
              <w:t>75×25×1.0喷塑铝槽、8.45×0.8喷塑圆弧阴角、75×2.0型门框料、白云/硅宝中性硅酮结构胶</w:t>
            </w:r>
            <w:r>
              <w:rPr>
                <w:rFonts w:hint="eastAsia"/>
                <w:sz w:val="21"/>
                <w:szCs w:val="21"/>
                <w:lang w:eastAsia="zh-CN"/>
              </w:rPr>
              <w:t>、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/热镀锌</w:t>
            </w:r>
            <w:r>
              <w:rPr>
                <w:rFonts w:hint="eastAsia"/>
                <w:sz w:val="21"/>
                <w:szCs w:val="21"/>
                <w:lang w:eastAsia="zh-CN"/>
              </w:rPr>
              <w:t>L50×50×5</w:t>
            </w:r>
          </w:p>
        </w:tc>
        <w:tc>
          <w:tcPr>
            <w:tcW w:w="2312" w:type="dxa"/>
          </w:tcPr>
          <w:p w14:paraId="530C7273">
            <w:pPr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</w:rPr>
              <w:t xml:space="preserve"> 型号与主材适配，密封胶在保质期内</w:t>
            </w:r>
          </w:p>
        </w:tc>
        <w:tc>
          <w:tcPr>
            <w:tcW w:w="2312" w:type="dxa"/>
          </w:tcPr>
          <w:p w14:paraId="3255ED19">
            <w:pPr>
              <w:tabs>
                <w:tab w:val="left" w:pos="1088"/>
              </w:tabs>
              <w:rPr>
                <w:rFonts w:hint="eastAsia"/>
                <w:sz w:val="21"/>
                <w:szCs w:val="21"/>
                <w:lang w:eastAsia="zh-CN"/>
              </w:rPr>
            </w:pPr>
            <w:r>
              <w:rPr>
                <w:rFonts w:hint="eastAsia"/>
                <w:sz w:val="21"/>
                <w:szCs w:val="21"/>
                <w:lang w:eastAsia="zh-CN"/>
              </w:rPr>
              <w:t xml:space="preserve">密封胶开封前检查状态，铝型材表面无锈蚀；辅材与主材同步验收，不合格品立即清场 </w:t>
            </w:r>
          </w:p>
          <w:p w14:paraId="3CC7B3FB">
            <w:pPr>
              <w:rPr>
                <w:rFonts w:hint="eastAsia"/>
                <w:sz w:val="21"/>
                <w:szCs w:val="21"/>
              </w:rPr>
            </w:pPr>
          </w:p>
        </w:tc>
      </w:tr>
    </w:tbl>
    <w:p w14:paraId="3145353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B77029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（二）工具准备</w:t>
      </w:r>
    </w:p>
    <w:p w14:paraId="78E5216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测量工具：激光水平仪（精度≤0.3mm/m）、5m钢卷尺（经校验）；切割工具：净化板专用切割机（配备防尘罩）、金属切割机、型材专用切割机；安装工具：电钻（配食品级防尘钻头）、拉铆枪、扭矩扳手、玻璃胶枪；机电工具：万用表（精度级）、穿线器、压线钳；辅助工具：带防护栏脚手架（承载力≥2.5kN/m²）、登高梯（防滑款）。所有工具进场前检查完好性，计量工具需校验合格。</w:t>
      </w:r>
    </w:p>
    <w:p w14:paraId="5583A8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（三）技术准备</w:t>
      </w:r>
    </w:p>
    <w:p w14:paraId="45D1B8C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1.</w:t>
      </w:r>
      <w:r>
        <w:rPr>
          <w:rFonts w:hint="eastAsia"/>
          <w:sz w:val="28"/>
          <w:szCs w:val="28"/>
          <w:lang w:eastAsia="zh-CN"/>
        </w:rPr>
        <w:t>深化图纸：结合现场实测数据优化平面布局，明确隔墙定位、门窗/通口坐标、机电点位（标注标高、间距）、内圆弧安装范围及固定方式。</w:t>
      </w:r>
    </w:p>
    <w:p w14:paraId="79EF28B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. 交底培训：分“结构/机电/密封”工种开展专项培训，重点讲解超高隔墙横向加强筋安装、净化区域密封工艺、机电防水防尘要求、内圆弧测量定位及弧度贴合工艺；组织技术交底签字，确保施工人员掌握关键工序要点。</w:t>
      </w:r>
    </w:p>
    <w:p w14:paraId="0E09020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 现场准备：清理施工区域，划分材料堆放区、加工区、废料区；搭建临时防护设施，预留施工通道。 </w:t>
      </w:r>
    </w:p>
    <w:p w14:paraId="231681D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三、施工工艺流程 </w:t>
      </w:r>
    </w:p>
    <w:p w14:paraId="13EAD0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（一）放线定位 </w:t>
      </w:r>
    </w:p>
    <w:p w14:paraId="2A5FC87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弹线内容：隔墙中心线/边线、门窗/通口内外侧线、吊顶标高控制线、机电点位（灯具/插座）定位线、内圆弧安装基准线（距地面100mm高，弧度贴合线） ；</w:t>
      </w:r>
    </w:p>
    <w:p w14:paraId="57D3F4DE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操作要求：采用激光水平仪配合钢卷尺放线，三线（中心线、边线、标高线）偏差≤1mm，门窗洞口方正度≤3mm，内圆弧基准线水平误差≤1mm、弧度偏差≤2mm。</w:t>
      </w:r>
    </w:p>
    <w:p w14:paraId="6515985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 xml:space="preserve">（二）基础及支架安装 </w:t>
      </w:r>
    </w:p>
    <w:p w14:paraId="4BA1130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1. 地槽安装：清理地面基层，固定地槽铝，膨胀螺栓间距≤500mm（门窗洞口两侧加密至300mm），水平误差≤1mm，地槽内清理干净无杂物；</w:t>
      </w:r>
      <w:r>
        <w:rPr>
          <w:rFonts w:hint="eastAsia"/>
          <w:sz w:val="28"/>
          <w:szCs w:val="28"/>
          <w:lang w:val="en-US" w:eastAsia="zh-CN"/>
        </w:rPr>
        <w:t>地槽铝厚度≥1.2mm。</w:t>
      </w:r>
    </w:p>
    <w:p w14:paraId="4932203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顶面/洞口加固：</w:t>
      </w:r>
    </w:p>
    <w:p w14:paraId="2AAE4BC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外</w:t>
      </w:r>
      <w:r>
        <w:rPr>
          <w:rFonts w:hint="eastAsia"/>
          <w:sz w:val="28"/>
          <w:szCs w:val="28"/>
          <w:lang w:eastAsia="zh-CN"/>
        </w:rPr>
        <w:t>隔墙顶：工字梁上焊接固定角</w:t>
      </w:r>
      <w:r>
        <w:rPr>
          <w:rFonts w:hint="eastAsia"/>
          <w:sz w:val="28"/>
          <w:szCs w:val="28"/>
          <w:lang w:val="en-US" w:eastAsia="zh-CN"/>
        </w:rPr>
        <w:t>铝</w:t>
      </w:r>
      <w:r>
        <w:rPr>
          <w:rFonts w:hint="eastAsia"/>
          <w:sz w:val="28"/>
          <w:szCs w:val="28"/>
          <w:lang w:eastAsia="zh-CN"/>
        </w:rPr>
        <w:t>，无梁处焊接</w:t>
      </w:r>
      <w:r>
        <w:rPr>
          <w:rFonts w:hint="eastAsia"/>
          <w:sz w:val="28"/>
          <w:szCs w:val="28"/>
          <w:lang w:val="en-US" w:eastAsia="zh-CN"/>
        </w:rPr>
        <w:t>热镀锌</w:t>
      </w:r>
      <w:r>
        <w:rPr>
          <w:rFonts w:hint="eastAsia"/>
          <w:sz w:val="28"/>
          <w:szCs w:val="28"/>
          <w:lang w:eastAsia="zh-CN"/>
        </w:rPr>
        <w:t>L50×50×5角铁（满刷防锈漆2遍），角铁间距≤1.2m；</w:t>
      </w:r>
    </w:p>
    <w:p w14:paraId="5EE7D8A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内隔墙顶：沿基础地</w:t>
      </w:r>
      <w:r>
        <w:rPr>
          <w:rFonts w:hint="eastAsia"/>
          <w:sz w:val="28"/>
          <w:szCs w:val="28"/>
          <w:lang w:eastAsia="zh-CN"/>
        </w:rPr>
        <w:t>槽</w:t>
      </w:r>
      <w:r>
        <w:rPr>
          <w:rFonts w:hint="eastAsia"/>
          <w:sz w:val="28"/>
          <w:szCs w:val="28"/>
          <w:lang w:val="en-US" w:eastAsia="zh-CN"/>
        </w:rPr>
        <w:t>对应安装方管75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2.0顶面骨架，方管焊接固定于屋架大梁.</w:t>
      </w:r>
    </w:p>
    <w:p w14:paraId="07AE7E0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门窗/通口：洞口四周采用双拼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×</w:t>
      </w:r>
      <w:r>
        <w:rPr>
          <w:rFonts w:hint="eastAsia"/>
          <w:sz w:val="28"/>
          <w:szCs w:val="28"/>
          <w:lang w:val="en-US" w:eastAsia="zh-CN"/>
        </w:rPr>
        <w:t>75</w:t>
      </w:r>
      <w:r>
        <w:rPr>
          <w:rFonts w:hint="eastAsia"/>
          <w:sz w:val="28"/>
          <w:szCs w:val="28"/>
          <w:lang w:eastAsia="zh-CN"/>
        </w:rPr>
        <w:t>方管框架，与大梁通过预埋钢板双点加固，框架垂直度≤1mm。</w:t>
      </w:r>
    </w:p>
    <w:p w14:paraId="54841E4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吊顶C型钢安装：180×60×20×2.0C型钢机械固定在主梁上，间距≤1200mm，水平偏差≤3mm，端部悬挑长度≤500mm。</w:t>
      </w:r>
    </w:p>
    <w:p w14:paraId="411704A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（三）机电线路预埋</w:t>
      </w:r>
    </w:p>
    <w:p w14:paraId="552D61D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1. 线管敷设：沿龙骨侧面固定PVC20线管，固定点间距≤1m，转弯半径≥100mm（采用弯头连接，禁止直角硬折）；线管穿越隔墙处做密封套管处理；</w:t>
      </w:r>
      <w:r>
        <w:rPr>
          <w:rFonts w:hint="eastAsia"/>
          <w:sz w:val="28"/>
          <w:szCs w:val="28"/>
          <w:lang w:val="en-US" w:eastAsia="zh-CN"/>
        </w:rPr>
        <w:t>墙面线路由PVC槽板</w:t>
      </w:r>
      <w:r>
        <w:rPr>
          <w:rFonts w:hint="eastAsia"/>
          <w:sz w:val="28"/>
          <w:szCs w:val="28"/>
          <w:lang w:eastAsia="zh-CN"/>
        </w:rPr>
        <w:t>敷设。</w:t>
      </w:r>
    </w:p>
    <w:p w14:paraId="3CFE2E2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电线穿管：照明回路用BV2.5mm²铜芯线（三色分色：火线红、零线蓝、地线黄绿），插座回路用BV4mm²铜芯线，穿管时避免绝缘层破损，预留接线长度≥200mm（灯具处）、≥150mm（插座处）；</w:t>
      </w:r>
    </w:p>
    <w:p w14:paraId="2C83D35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接线盒固定：吊顶内接线盒距灯具≤300mm，固定在主龙骨上；隔墙插座盒与墙面平齐，盒口周边打密封胶预处理，防止粉尘进入。</w:t>
      </w:r>
    </w:p>
    <w:p w14:paraId="7F53ED7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</w:t>
      </w:r>
      <w:r>
        <w:rPr>
          <w:rFonts w:hint="eastAsia"/>
          <w:sz w:val="28"/>
          <w:szCs w:val="28"/>
          <w:lang w:eastAsia="zh-CN"/>
        </w:rPr>
        <w:t>（四）吊顶系统安装</w:t>
      </w:r>
    </w:p>
    <w:p w14:paraId="6E981CD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1. 吊杆安装：采用直径≥</w:t>
      </w:r>
      <w:r>
        <w:rPr>
          <w:rFonts w:hint="eastAsia"/>
          <w:sz w:val="28"/>
          <w:szCs w:val="28"/>
          <w:lang w:val="en-US" w:eastAsia="zh-CN"/>
        </w:rPr>
        <w:t>10</w:t>
      </w:r>
      <w:r>
        <w:rPr>
          <w:rFonts w:hint="eastAsia"/>
          <w:sz w:val="28"/>
          <w:szCs w:val="28"/>
          <w:lang w:eastAsia="zh-CN"/>
        </w:rPr>
        <w:t>mm镀锌丝杆，间距≤1200mm（灯具位置增设吊杆），丝杆垂直度≤2mm；超长丝杆（＞1.5m）设反向支撑，间距≤3m；</w:t>
      </w:r>
    </w:p>
    <w:p w14:paraId="6C529F5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龙骨安装：主龙骨间距≤1200mm，跨度＞15m时按1/200起拱；次龙骨间距600mm，与主龙骨垂直固定，水平误差≤3mm；</w:t>
      </w:r>
    </w:p>
    <w:p w14:paraId="62DE40E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扣板安装：从吊顶中心点向四周对称铺设，扣板拼接缝≤1mm，接缝顺直；预留设备检修口（尺寸≥600×600mm），检修口边框与龙骨固定牢固，盖板与扣板平齐。</w:t>
      </w:r>
    </w:p>
    <w:p w14:paraId="562817C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（五）隔墙及配套设施安装</w:t>
      </w:r>
    </w:p>
    <w:p w14:paraId="5E94D3E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净化板安装：板材垂直插入地槽，用激光水平仪校核垂直度（≤2mm），相邻板材拼接缝3-5mm，板材固定采用拉铆钉（间距≤300mm），铆钉处打密封胶；</w:t>
      </w:r>
    </w:p>
    <w:p w14:paraId="0A7B8E6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门窗/通口安装：</w:t>
      </w:r>
    </w:p>
    <w:p w14:paraId="731D15A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升降门：导轨垂直固定（误差≤1mm），与框架间隙用密封胶填充，调试电机启停、升降速度及防夹传感器（测试3次无故障）；</w:t>
      </w:r>
    </w:p>
    <w:p w14:paraId="1C51F98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平开门：门框固定后安装门扇，调整合页确保启闭顺畅（无卡顿），门框与隔墙板接缝打密封胶，门底安装防尘密封条；</w:t>
      </w:r>
    </w:p>
    <w:p w14:paraId="1DE6FC3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观察玻璃：玻璃四周垫防震胶条，用铝压条固定（压条间距≤300mm），周边打中性硅酮密封胶（胶缝宽度3-5mm），无气泡、无毛刺；</w:t>
      </w:r>
    </w:p>
    <w:p w14:paraId="1FC2143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eastAsia="zh-CN"/>
        </w:rPr>
        <w:t>物流通口：</w:t>
      </w:r>
      <w:r>
        <w:rPr>
          <w:rFonts w:hint="eastAsia"/>
          <w:sz w:val="28"/>
          <w:szCs w:val="28"/>
          <w:lang w:val="en-US" w:eastAsia="zh-CN"/>
        </w:rPr>
        <w:t>采用推拉滑门（采用净化板）。</w:t>
      </w:r>
    </w:p>
    <w:p w14:paraId="58640FF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内圆弧安装：</w:t>
      </w:r>
    </w:p>
    <w:p w14:paraId="4882C80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测量切割：根据隔墙长度及转角弧度切割内圆弧铝型材，转角处采用同弧度一体成型件或45°精准拼接，切割面无毛刺、无变形；</w:t>
      </w:r>
    </w:p>
    <w:p w14:paraId="1CE7309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定位固定：沿内圆弧安装基准线，在型材内侧涂中性硅酮密封胶后，用拉铆钉（间距≤300mm）固定在隔墙底部，型材与地面、隔墙贴合紧密（间隙≤1mm），垂直度≤1mm，弧度顺畅；</w:t>
      </w:r>
    </w:p>
    <w:p w14:paraId="1042D8EB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衔接处理：内圆弧与门窗边框、物流通口边缘无缝衔接，接缝处打中性硅酮密封胶，形成无死角过渡，避免粉尘堆积。</w:t>
      </w:r>
    </w:p>
    <w:p w14:paraId="582057F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（六）机电设备安装 </w:t>
      </w:r>
    </w:p>
    <w:p w14:paraId="105FA1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LED灯：固定在主龙骨上，灯具与扣板接缝打密封胶，接线后逐个测试点亮（持续30分钟无闪烁）；</w:t>
      </w:r>
    </w:p>
    <w:p w14:paraId="1141029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插座：面板与墙面贴合紧密，周边打中性硅酮密封胶（防水防尘），插座接线牢固（扭矩扳手校验），左零右火上地接线规范；</w:t>
      </w:r>
    </w:p>
    <w:p w14:paraId="3851135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3. 回路调试：分回路合闸，测试照明亮度、插座通电状态，漏保装置模拟漏电测试（动作时间≤0.1s），记录调试数据。 </w:t>
      </w:r>
    </w:p>
    <w:p w14:paraId="64B80A9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（七）密封处理 </w:t>
      </w:r>
    </w:p>
    <w:p w14:paraId="7CB82FE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铝型材安装：圆弧铝型材内侧涂密封胶后，用拉铆钉固定（间距300mm），型材接口处无缝拼接，表面平整；</w:t>
      </w:r>
    </w:p>
    <w:p w14:paraId="1DBE3D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全面打胶：板缝、阴阳角、设备接口、门窗边框、内圆弧与隔墙/地面接缝 等部位注中性硅酮密封胶，胶缝宽度3-5mm，厚度均匀，采用专用工具压平，表面光滑无气泡、无流淌；打胶前清理基层（无粉尘、油污），确保粘接牢固。</w:t>
      </w:r>
    </w:p>
    <w:p w14:paraId="3E87D80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四、质量控制要点 </w:t>
      </w:r>
    </w:p>
    <w:p w14:paraId="48E7AF0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（一）结构质量 </w:t>
      </w:r>
    </w:p>
    <w:p w14:paraId="386A5E8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隔墙：垂直度≤2mm/2m、平整度≤2mm/2m，板缝顺直；超高隔墙无晃动；</w:t>
      </w:r>
    </w:p>
    <w:p w14:paraId="36239F2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吊顶：水平误差≤3mm/5m，起拱均匀，扣板无翘曲、色差；</w:t>
      </w:r>
    </w:p>
    <w:p w14:paraId="605E5F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门窗/通口：门框、导轨垂直度≤1mm，门体启闭顺畅，物流通口挡帘密封有效；</w:t>
      </w:r>
    </w:p>
    <w:p w14:paraId="3F2F3F30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内圆弧：固定牢固（无松动），垂直度≤1mm，弧度顺畅一致，与地面/隔墙贴合紧密，接缝无死角。</w:t>
      </w:r>
    </w:p>
    <w:p w14:paraId="7724BF6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（二）密封质量</w:t>
      </w:r>
    </w:p>
    <w:p w14:paraId="6C15AB5E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胶缝：饱满均匀，无气泡、开裂、流淌，粘结牢固（剥离测试无脱落）；</w:t>
      </w:r>
    </w:p>
    <w:p w14:paraId="624571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val="en-US" w:eastAsia="zh-CN"/>
        </w:rPr>
        <w:t>2</w:t>
      </w:r>
      <w:r>
        <w:rPr>
          <w:rFonts w:hint="eastAsia"/>
          <w:sz w:val="28"/>
          <w:szCs w:val="28"/>
          <w:lang w:eastAsia="zh-CN"/>
        </w:rPr>
        <w:t>. 收口：铝型材收口顺直，阴角圆弧过渡，内圆弧接缝密封规范，无尖锐棱角、无粉尘堆积死角。</w:t>
      </w:r>
    </w:p>
    <w:p w14:paraId="0B5201F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（三）机电质量</w:t>
      </w:r>
    </w:p>
    <w:p w14:paraId="0EBEFA6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线路：绝缘电阻≥0.5MΩ（用摇表测试），接线规范，无错接、漏接；</w:t>
      </w:r>
    </w:p>
    <w:p w14:paraId="2417363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设备：LED灯点亮正常（无频闪），插座通电良好，漏保装置灵敏有效（测试3次均动作）；</w:t>
      </w:r>
    </w:p>
    <w:p w14:paraId="6237A8F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防护：所有机电设备防护等级达标（灯具IP5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  <w:lang w:eastAsia="zh-CN"/>
        </w:rPr>
        <w:t>+、插座IP5</w:t>
      </w:r>
      <w:r>
        <w:rPr>
          <w:rFonts w:hint="eastAsia"/>
          <w:sz w:val="28"/>
          <w:szCs w:val="28"/>
          <w:lang w:val="en-US" w:eastAsia="zh-CN"/>
        </w:rPr>
        <w:t>5</w:t>
      </w:r>
      <w:r>
        <w:rPr>
          <w:rFonts w:hint="eastAsia"/>
          <w:sz w:val="28"/>
          <w:szCs w:val="28"/>
          <w:lang w:eastAsia="zh-CN"/>
        </w:rPr>
        <w:t>），满足食品车间防水防尘要求。</w:t>
      </w:r>
    </w:p>
    <w:p w14:paraId="4FBBB4A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280" w:firstLineChars="1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（四）过程管控</w:t>
      </w:r>
    </w:p>
    <w:p w14:paraId="20D6A08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隐蔽工程（龙骨安装、线路预埋、加固节点等）需经甲方验收合格后，方可覆盖；</w:t>
      </w:r>
    </w:p>
    <w:p w14:paraId="285EBBD6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每道工序完工后，验收合格签字后进入下道工序；</w:t>
      </w:r>
    </w:p>
    <w:p w14:paraId="47D2569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关键工序（密封处理、机电调试、内圆弧安装）留存影像资料，归档备查。</w:t>
      </w:r>
    </w:p>
    <w:p w14:paraId="5AB7A84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</w:t>
      </w:r>
      <w:r>
        <w:rPr>
          <w:rFonts w:hint="eastAsia"/>
          <w:sz w:val="28"/>
          <w:szCs w:val="28"/>
          <w:lang w:eastAsia="zh-CN"/>
        </w:rPr>
        <w:t>五、安全文明施工</w:t>
      </w:r>
    </w:p>
    <w:p w14:paraId="7FE192D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（一）安全措施</w:t>
      </w:r>
    </w:p>
    <w:p w14:paraId="5D115948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高处作业（≥2m）必须系安全带，脚手架搭设后验收合格方可使用，禁止超载；</w:t>
      </w:r>
    </w:p>
    <w:p w14:paraId="41A32A8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机电施工前断电挂牌，专人监护；用电设备接地良好，配备漏电保护器（动作电流≤15mA）；</w:t>
      </w:r>
    </w:p>
    <w:p w14:paraId="162A0911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切割作业（净化板、钢材、内圆弧型材）配备防尘罩及灭火器，禁止在易燃材料附近动火；</w:t>
      </w:r>
    </w:p>
    <w:p w14:paraId="00F06738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现场设置安全警示标识（高处作业、用电安全等），施工人员佩戴安全帽、防护手套等劳保用品。</w:t>
      </w:r>
    </w:p>
    <w:p w14:paraId="174B733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（二）文明施工</w:t>
      </w:r>
    </w:p>
    <w:p w14:paraId="5991AAF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1. 每日施工结束后清理废料（分类堆放、及时清运），保持施工区域整洁；</w:t>
      </w:r>
    </w:p>
    <w:p w14:paraId="09E669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840" w:firstLineChars="3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切割、钻孔作业开启防尘设备，避免粉尘污染原有设备及环境；</w:t>
      </w:r>
    </w:p>
    <w:p w14:paraId="6191B3B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材料堆放有序（距墙面≥30cm，距地面≥10cm），禁止占用消防通道；</w:t>
      </w:r>
    </w:p>
    <w:p w14:paraId="63B029F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4. 施工期间避免产生超标噪音（作业时间避开甲方生产高峰），减少对周边环境影响； </w:t>
      </w:r>
    </w:p>
    <w:p w14:paraId="42FEFD34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六、验收标准 </w:t>
      </w:r>
    </w:p>
    <w:p w14:paraId="51E3B21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（一）分项验收 </w:t>
      </w:r>
    </w:p>
    <w:p w14:paraId="55F0BE1D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结构分项：符合设计尺寸及精度要求（隔墙垂直度/平整度≤2mm，吊顶水平误差≤3mm）；龙骨、框架加固节点牢固，无松动；门窗/通口安装规范，功能完好；内圆弧固定牢固、垂直度≤1mm，弧度顺畅，无死角；</w:t>
      </w:r>
    </w:p>
    <w:p w14:paraId="5DB8F3B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密封分项：胶缝工艺合规（宽度3-5mm、光滑无气泡）；气密性测试达标（漏风率≤0.2m³/(h·m²)）；内圆弧接缝密封完好，无漏风漏尘、无粉尘堆积死角；</w:t>
      </w:r>
    </w:p>
    <w:p w14:paraId="7FF7615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机电分项：线路敷设合规，绝缘电阻≥0.5MΩ；设备安装牢固，功能正常（照明无频闪、插座通电良好）；漏保灵敏有效（动作时间≤0.1s）；</w:t>
      </w:r>
    </w:p>
    <w:p w14:paraId="279EA1B2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观感分项：表面整洁，无划痕、锈蚀、破损；板缝顺直，铝型材及内圆弧收口美观；阴角圆弧过渡自然，无尖锐棱角。</w:t>
      </w:r>
    </w:p>
    <w:p w14:paraId="5BDCF8C9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（二）整体验收</w:t>
      </w:r>
    </w:p>
    <w:p w14:paraId="49E85ADF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1. 满足食品车间净化级使用需求（无粉尘、无渗漏、气密性达标）；</w:t>
      </w:r>
    </w:p>
    <w:p w14:paraId="5AD55623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2. 所有材料检测报告、隐蔽工程验收记录、调试记录等资料齐全；</w:t>
      </w:r>
    </w:p>
    <w:p w14:paraId="5BCA0DBA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3. 施工区域清理干净，无废料、杂物残留；</w:t>
      </w:r>
    </w:p>
    <w:p w14:paraId="2B505255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4. 整体观感整洁，无安全隐患，甲方及</w:t>
      </w:r>
      <w:r>
        <w:rPr>
          <w:rFonts w:hint="eastAsia"/>
          <w:sz w:val="28"/>
          <w:szCs w:val="28"/>
          <w:lang w:val="en-US" w:eastAsia="zh-CN"/>
        </w:rPr>
        <w:t>综合管理部</w:t>
      </w:r>
      <w:r>
        <w:rPr>
          <w:rFonts w:hint="eastAsia"/>
          <w:sz w:val="28"/>
          <w:szCs w:val="28"/>
          <w:lang w:eastAsia="zh-CN"/>
        </w:rPr>
        <w:t>联合验收合格后签署验收报告。</w:t>
      </w:r>
    </w:p>
    <w:p w14:paraId="0D9C7007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（三）验收流程</w:t>
      </w:r>
    </w:p>
    <w:p w14:paraId="3E6B584C">
      <w:pPr>
        <w:keepNext w:val="0"/>
        <w:keepLines w:val="0"/>
        <w:pageBreakBefore w:val="0"/>
        <w:widowControl w:val="0"/>
        <w:tabs>
          <w:tab w:val="left" w:pos="1088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val="en-US" w:eastAsia="zh-CN"/>
        </w:rPr>
        <w:t xml:space="preserve">   </w:t>
      </w:r>
      <w:r>
        <w:rPr>
          <w:rFonts w:hint="eastAsia"/>
          <w:sz w:val="28"/>
          <w:szCs w:val="28"/>
          <w:lang w:eastAsia="zh-CN"/>
        </w:rPr>
        <w:t>分项自检→分项验收→隐蔽工程验收→整体调试→整体验收→资料归档→交付使用。</w:t>
      </w:r>
    </w:p>
    <w:p w14:paraId="34A11913">
      <w:pPr>
        <w:tabs>
          <w:tab w:val="left" w:pos="1088"/>
        </w:tabs>
        <w:rPr>
          <w:rFonts w:hint="eastAsia"/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 xml:space="preserve"> </w:t>
      </w:r>
    </w:p>
    <w:p w14:paraId="05C6A242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4FA18A35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2CFB02E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592E31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8211354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5B730FC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D85D6BD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666DCF93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74A46560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</w:p>
    <w:p w14:paraId="5ACF0D14">
      <w:pPr>
        <w:tabs>
          <w:tab w:val="left" w:pos="1088"/>
        </w:tabs>
        <w:ind w:firstLine="3080" w:firstLineChars="1100"/>
        <w:rPr>
          <w:rFonts w:hint="eastAsia"/>
          <w:sz w:val="28"/>
          <w:szCs w:val="28"/>
          <w:lang w:val="en-US" w:eastAsia="zh-CN"/>
        </w:rPr>
      </w:pPr>
    </w:p>
    <w:p w14:paraId="1C00C38A">
      <w:pPr>
        <w:tabs>
          <w:tab w:val="left" w:pos="1088"/>
        </w:tabs>
        <w:ind w:firstLine="3080" w:firstLineChars="1100"/>
        <w:rPr>
          <w:rFonts w:hint="default"/>
          <w:sz w:val="28"/>
          <w:szCs w:val="28"/>
          <w:lang w:val="en-US" w:eastAsia="zh-CN"/>
        </w:rPr>
      </w:pPr>
      <w:r>
        <w:rPr>
          <w:rFonts w:hint="eastAsia"/>
          <w:sz w:val="28"/>
          <w:szCs w:val="28"/>
          <w:lang w:val="en-US" w:eastAsia="zh-CN"/>
        </w:rPr>
        <w:t>快速升级门参数</w:t>
      </w:r>
    </w:p>
    <w:tbl>
      <w:tblPr>
        <w:tblStyle w:val="8"/>
        <w:tblW w:w="9520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9"/>
        <w:gridCol w:w="1363"/>
        <w:gridCol w:w="3852"/>
        <w:gridCol w:w="1128"/>
        <w:gridCol w:w="2488"/>
      </w:tblGrid>
      <w:tr w14:paraId="476A5FB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9520" w:type="dxa"/>
            <w:gridSpan w:val="5"/>
            <w:vAlign w:val="top"/>
          </w:tcPr>
          <w:p w14:paraId="2F86CFC5">
            <w:pPr>
              <w:pStyle w:val="7"/>
              <w:spacing w:before="144" w:line="224" w:lineRule="auto"/>
              <w:ind w:left="4105"/>
              <w:rPr>
                <w:rFonts w:hint="eastAsia" w:eastAsia="宋体"/>
                <w:sz w:val="21"/>
                <w:szCs w:val="21"/>
                <w:lang w:eastAsia="zh-CN"/>
              </w:rPr>
            </w:pPr>
            <w:r>
              <w:rPr>
                <w:b/>
                <w:bCs/>
                <w:spacing w:val="-12"/>
                <w:sz w:val="21"/>
                <w:szCs w:val="21"/>
              </w:rPr>
              <w:t>产</w:t>
            </w:r>
            <w:r>
              <w:rPr>
                <w:spacing w:val="43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品</w:t>
            </w:r>
            <w:r>
              <w:rPr>
                <w:spacing w:val="24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描</w:t>
            </w:r>
            <w:r>
              <w:rPr>
                <w:spacing w:val="25"/>
                <w:sz w:val="21"/>
                <w:szCs w:val="21"/>
              </w:rPr>
              <w:t xml:space="preserve"> </w:t>
            </w:r>
            <w:r>
              <w:rPr>
                <w:b/>
                <w:bCs/>
                <w:spacing w:val="-12"/>
                <w:sz w:val="21"/>
                <w:szCs w:val="21"/>
              </w:rPr>
              <w:t>述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eastAsia="zh-CN"/>
              </w:rPr>
              <w:t>（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val="en-US" w:eastAsia="zh-CN"/>
              </w:rPr>
              <w:t>质保期24个月</w:t>
            </w:r>
            <w:r>
              <w:rPr>
                <w:rFonts w:hint="eastAsia"/>
                <w:b/>
                <w:bCs/>
                <w:spacing w:val="-12"/>
                <w:sz w:val="21"/>
                <w:szCs w:val="21"/>
                <w:lang w:eastAsia="zh-CN"/>
              </w:rPr>
              <w:t>）</w:t>
            </w:r>
          </w:p>
        </w:tc>
      </w:tr>
      <w:tr w14:paraId="6718179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6" w:hRule="atLeast"/>
        </w:trPr>
        <w:tc>
          <w:tcPr>
            <w:tcW w:w="689" w:type="dxa"/>
            <w:vAlign w:val="top"/>
          </w:tcPr>
          <w:p w14:paraId="4A55D1C4">
            <w:pPr>
              <w:pStyle w:val="7"/>
              <w:spacing w:before="167" w:line="226" w:lineRule="auto"/>
              <w:ind w:left="159"/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序号</w:t>
            </w:r>
          </w:p>
        </w:tc>
        <w:tc>
          <w:tcPr>
            <w:tcW w:w="1363" w:type="dxa"/>
            <w:vAlign w:val="top"/>
          </w:tcPr>
          <w:p w14:paraId="2C325453">
            <w:pPr>
              <w:pStyle w:val="7"/>
              <w:spacing w:before="167" w:line="226" w:lineRule="auto"/>
              <w:ind w:left="30"/>
              <w:rPr>
                <w:sz w:val="21"/>
                <w:szCs w:val="21"/>
              </w:rPr>
            </w:pPr>
            <w:r>
              <w:rPr>
                <w:b/>
                <w:bCs/>
                <w:spacing w:val="2"/>
                <w:sz w:val="21"/>
                <w:szCs w:val="21"/>
              </w:rPr>
              <w:t>设备名称</w:t>
            </w:r>
          </w:p>
        </w:tc>
        <w:tc>
          <w:tcPr>
            <w:tcW w:w="3852" w:type="dxa"/>
            <w:vAlign w:val="top"/>
          </w:tcPr>
          <w:p w14:paraId="3647538C">
            <w:pPr>
              <w:pStyle w:val="7"/>
              <w:spacing w:before="166" w:line="225" w:lineRule="auto"/>
              <w:ind w:left="1639"/>
              <w:rPr>
                <w:sz w:val="21"/>
                <w:szCs w:val="21"/>
              </w:rPr>
            </w:pPr>
            <w:r>
              <w:rPr>
                <w:b/>
                <w:bCs/>
                <w:spacing w:val="-1"/>
                <w:sz w:val="21"/>
                <w:szCs w:val="21"/>
              </w:rPr>
              <w:t>参数</w:t>
            </w:r>
          </w:p>
        </w:tc>
        <w:tc>
          <w:tcPr>
            <w:tcW w:w="1128" w:type="dxa"/>
            <w:vAlign w:val="top"/>
          </w:tcPr>
          <w:p w14:paraId="5E93D02C">
            <w:pPr>
              <w:pStyle w:val="7"/>
              <w:spacing w:before="166" w:line="225" w:lineRule="auto"/>
              <w:ind w:left="333"/>
              <w:rPr>
                <w:sz w:val="21"/>
                <w:szCs w:val="21"/>
              </w:rPr>
            </w:pPr>
            <w:r>
              <w:rPr>
                <w:b/>
                <w:bCs/>
                <w:spacing w:val="-8"/>
                <w:sz w:val="21"/>
                <w:szCs w:val="21"/>
              </w:rPr>
              <w:t>品牌</w:t>
            </w:r>
          </w:p>
        </w:tc>
        <w:tc>
          <w:tcPr>
            <w:tcW w:w="2488" w:type="dxa"/>
            <w:vAlign w:val="top"/>
          </w:tcPr>
          <w:p w14:paraId="15FBF85D">
            <w:pPr>
              <w:pStyle w:val="7"/>
              <w:spacing w:before="166" w:line="226" w:lineRule="auto"/>
              <w:ind w:left="1217"/>
              <w:rPr>
                <w:sz w:val="21"/>
                <w:szCs w:val="21"/>
              </w:rPr>
            </w:pPr>
            <w:r>
              <w:rPr>
                <w:b/>
                <w:bCs/>
                <w:spacing w:val="1"/>
                <w:sz w:val="21"/>
                <w:szCs w:val="21"/>
              </w:rPr>
              <w:t>预览图</w:t>
            </w:r>
          </w:p>
        </w:tc>
      </w:tr>
      <w:tr w14:paraId="78EF6C3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89" w:hRule="atLeast"/>
        </w:trPr>
        <w:tc>
          <w:tcPr>
            <w:tcW w:w="689" w:type="dxa"/>
            <w:vAlign w:val="top"/>
          </w:tcPr>
          <w:p w14:paraId="52E44962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42E832FB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20585E0F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4F49DE82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032EDC17">
            <w:pPr>
              <w:pStyle w:val="7"/>
              <w:spacing w:before="58" w:line="241" w:lineRule="exact"/>
              <w:ind w:left="31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1</w:t>
            </w:r>
          </w:p>
        </w:tc>
        <w:tc>
          <w:tcPr>
            <w:tcW w:w="1363" w:type="dxa"/>
            <w:vAlign w:val="top"/>
          </w:tcPr>
          <w:p w14:paraId="3A8B662D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63515B3E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1C3F61B1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602FE93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3B4D789C">
            <w:pPr>
              <w:pStyle w:val="7"/>
              <w:spacing w:before="58" w:line="226" w:lineRule="auto"/>
              <w:ind w:left="48"/>
              <w:rPr>
                <w:sz w:val="21"/>
                <w:szCs w:val="21"/>
              </w:rPr>
            </w:pPr>
            <w:r>
              <w:rPr>
                <w:spacing w:val="-9"/>
                <w:sz w:val="21"/>
                <w:szCs w:val="21"/>
              </w:rPr>
              <w:t>门帘</w:t>
            </w:r>
          </w:p>
        </w:tc>
        <w:tc>
          <w:tcPr>
            <w:tcW w:w="3852" w:type="dxa"/>
            <w:vAlign w:val="top"/>
          </w:tcPr>
          <w:p w14:paraId="224D3E38">
            <w:pPr>
              <w:pStyle w:val="7"/>
              <w:spacing w:before="143" w:line="236" w:lineRule="auto"/>
              <w:ind w:left="27" w:right="1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进口工业聚脂纤维基布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，厚度 0.9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38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。高强</w:t>
            </w:r>
            <w:r>
              <w:rPr>
                <w:sz w:val="21"/>
                <w:szCs w:val="21"/>
              </w:rPr>
              <w:t>度</w:t>
            </w:r>
            <w:r>
              <w:rPr>
                <w:spacing w:val="3"/>
                <w:sz w:val="21"/>
                <w:szCs w:val="21"/>
              </w:rPr>
              <w:t>环保聚脂纤维， 双面聚氯乙烯涂</w:t>
            </w:r>
            <w:r>
              <w:rPr>
                <w:spacing w:val="4"/>
                <w:sz w:val="21"/>
                <w:szCs w:val="21"/>
              </w:rPr>
              <w:t>层，使用温度-30--+70℃ ,</w:t>
            </w:r>
            <w:r>
              <w:rPr>
                <w:spacing w:val="24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防火</w:t>
            </w:r>
            <w:r>
              <w:rPr>
                <w:spacing w:val="3"/>
                <w:sz w:val="21"/>
                <w:szCs w:val="21"/>
              </w:rPr>
              <w:t>标准</w:t>
            </w:r>
            <w:r>
              <w:rPr>
                <w:spacing w:val="-2"/>
                <w:sz w:val="21"/>
                <w:szCs w:val="21"/>
              </w:rPr>
              <w:t>（法国 DIN75200</w:t>
            </w:r>
            <w:r>
              <w:rPr>
                <w:spacing w:val="40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）</w:t>
            </w:r>
            <w:r>
              <w:rPr>
                <w:spacing w:val="17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基布</w:t>
            </w:r>
            <w:r>
              <w:rPr>
                <w:spacing w:val="20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具有</w:t>
            </w:r>
            <w:r>
              <w:rPr>
                <w:spacing w:val="17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无</w:t>
            </w:r>
            <w:r>
              <w:rPr>
                <w:spacing w:val="14"/>
                <w:sz w:val="21"/>
                <w:szCs w:val="21"/>
              </w:rPr>
              <w:t xml:space="preserve"> </w:t>
            </w:r>
            <w:r>
              <w:rPr>
                <w:spacing w:val="-2"/>
                <w:sz w:val="21"/>
                <w:szCs w:val="21"/>
              </w:rPr>
              <w:t>毒</w:t>
            </w:r>
            <w:r>
              <w:rPr>
                <w:sz w:val="21"/>
                <w:szCs w:val="21"/>
              </w:rPr>
              <w:t>性，</w:t>
            </w:r>
            <w:r>
              <w:rPr>
                <w:spacing w:val="54"/>
                <w:sz w:val="21"/>
                <w:szCs w:val="21"/>
              </w:rPr>
              <w:t xml:space="preserve"> </w:t>
            </w:r>
            <w:r>
              <w:rPr>
                <w:sz w:val="21"/>
                <w:szCs w:val="21"/>
              </w:rPr>
              <w:t>良好的表面自洁性。</w:t>
            </w:r>
            <w:r>
              <w:rPr>
                <w:spacing w:val="-2"/>
                <w:sz w:val="21"/>
                <w:szCs w:val="21"/>
              </w:rPr>
              <w:t>颜色：灰色、蓝色、黄色、橙黄</w:t>
            </w:r>
            <w:r>
              <w:rPr>
                <w:spacing w:val="6"/>
                <w:sz w:val="21"/>
                <w:szCs w:val="21"/>
              </w:rPr>
              <w:t>色</w:t>
            </w:r>
            <w:r>
              <w:rPr>
                <w:rFonts w:hint="eastAsia"/>
                <w:spacing w:val="6"/>
                <w:sz w:val="21"/>
                <w:szCs w:val="21"/>
                <w:lang w:eastAsia="zh-CN"/>
              </w:rPr>
              <w:t>、</w:t>
            </w:r>
            <w:r>
              <w:rPr>
                <w:spacing w:val="6"/>
                <w:sz w:val="21"/>
                <w:szCs w:val="21"/>
              </w:rPr>
              <w:t>浅蓝色、绿色、全透明、半透</w:t>
            </w:r>
            <w:r>
              <w:rPr>
                <w:spacing w:val="4"/>
                <w:sz w:val="21"/>
                <w:szCs w:val="21"/>
              </w:rPr>
              <w:t>明网格、黄色透明网格等等</w:t>
            </w:r>
          </w:p>
        </w:tc>
        <w:tc>
          <w:tcPr>
            <w:tcW w:w="1128" w:type="dxa"/>
            <w:vAlign w:val="top"/>
          </w:tcPr>
          <w:p w14:paraId="749C3344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315D8C42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4C1AAAD7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A3780F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5806AF9B">
            <w:pPr>
              <w:pStyle w:val="7"/>
              <w:spacing w:before="58" w:line="225" w:lineRule="auto"/>
              <w:ind w:left="37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z w:val="21"/>
                <w:szCs w:val="21"/>
              </w:rPr>
              <w:t>金龙</w:t>
            </w:r>
            <w:r>
              <w:rPr>
                <w:rFonts w:hint="eastAsia"/>
                <w:sz w:val="21"/>
                <w:szCs w:val="21"/>
                <w:lang w:val="en-US" w:eastAsia="zh-CN"/>
              </w:rPr>
              <w:t>/西朗/湘联</w:t>
            </w:r>
          </w:p>
        </w:tc>
        <w:tc>
          <w:tcPr>
            <w:tcW w:w="2488" w:type="dxa"/>
            <w:vAlign w:val="top"/>
          </w:tcPr>
          <w:p w14:paraId="7F6F6330">
            <w:pPr>
              <w:spacing w:before="79" w:line="2107" w:lineRule="exact"/>
              <w:ind w:firstLine="440"/>
              <w:rPr>
                <w:sz w:val="21"/>
                <w:szCs w:val="21"/>
              </w:rPr>
            </w:pPr>
            <w:r>
              <w:rPr>
                <w:position w:val="-42"/>
                <w:sz w:val="21"/>
                <w:szCs w:val="21"/>
              </w:rPr>
              <w:drawing>
                <wp:inline distT="0" distB="0" distL="0" distR="0">
                  <wp:extent cx="1235710" cy="1337945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5964" cy="133807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6F54E5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36" w:hRule="atLeast"/>
        </w:trPr>
        <w:tc>
          <w:tcPr>
            <w:tcW w:w="689" w:type="dxa"/>
            <w:vAlign w:val="top"/>
          </w:tcPr>
          <w:p w14:paraId="3687CE1C">
            <w:pPr>
              <w:spacing w:line="243" w:lineRule="auto"/>
              <w:rPr>
                <w:rFonts w:ascii="Arial"/>
                <w:sz w:val="21"/>
                <w:szCs w:val="21"/>
              </w:rPr>
            </w:pPr>
          </w:p>
          <w:p w14:paraId="0A65852B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C74BDEC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5F5C26D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3D8A2DAC">
            <w:pPr>
              <w:pStyle w:val="7"/>
              <w:spacing w:before="58" w:line="241" w:lineRule="exact"/>
              <w:ind w:left="306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2</w:t>
            </w:r>
          </w:p>
        </w:tc>
        <w:tc>
          <w:tcPr>
            <w:tcW w:w="1363" w:type="dxa"/>
            <w:vAlign w:val="top"/>
          </w:tcPr>
          <w:p w14:paraId="21B591C4">
            <w:pPr>
              <w:spacing w:line="249" w:lineRule="auto"/>
              <w:rPr>
                <w:rFonts w:ascii="Arial"/>
                <w:sz w:val="21"/>
                <w:szCs w:val="21"/>
              </w:rPr>
            </w:pPr>
          </w:p>
          <w:p w14:paraId="0B5C6CA6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51D93A1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6222B295">
            <w:pPr>
              <w:spacing w:line="250" w:lineRule="auto"/>
              <w:rPr>
                <w:rFonts w:ascii="Arial"/>
                <w:sz w:val="21"/>
                <w:szCs w:val="21"/>
              </w:rPr>
            </w:pPr>
          </w:p>
          <w:p w14:paraId="0263052C">
            <w:pPr>
              <w:pStyle w:val="7"/>
              <w:spacing w:before="49" w:line="222" w:lineRule="auto"/>
              <w:ind w:left="26"/>
              <w:rPr>
                <w:sz w:val="21"/>
                <w:szCs w:val="21"/>
              </w:rPr>
            </w:pPr>
            <w:r>
              <w:rPr>
                <w:spacing w:val="-4"/>
                <w:sz w:val="21"/>
                <w:szCs w:val="21"/>
              </w:rPr>
              <w:t>控</w:t>
            </w:r>
            <w:r>
              <w:rPr>
                <w:spacing w:val="12"/>
                <w:sz w:val="21"/>
                <w:szCs w:val="21"/>
              </w:rPr>
              <w:t xml:space="preserve"> </w:t>
            </w:r>
            <w:r>
              <w:rPr>
                <w:spacing w:val="-4"/>
                <w:sz w:val="21"/>
                <w:szCs w:val="21"/>
              </w:rPr>
              <w:t>制</w:t>
            </w:r>
            <w:r>
              <w:rPr>
                <w:spacing w:val="9"/>
                <w:sz w:val="21"/>
                <w:szCs w:val="21"/>
              </w:rPr>
              <w:t xml:space="preserve"> </w:t>
            </w:r>
            <w:r>
              <w:rPr>
                <w:spacing w:val="-4"/>
                <w:sz w:val="21"/>
                <w:szCs w:val="21"/>
              </w:rPr>
              <w:t>柜</w:t>
            </w:r>
          </w:p>
        </w:tc>
        <w:tc>
          <w:tcPr>
            <w:tcW w:w="3852" w:type="dxa"/>
            <w:vAlign w:val="top"/>
          </w:tcPr>
          <w:p w14:paraId="5545749C">
            <w:pPr>
              <w:pStyle w:val="7"/>
              <w:spacing w:before="121" w:line="236" w:lineRule="auto"/>
              <w:ind w:left="28" w:right="13" w:firstLine="1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pacing w:val="11"/>
                <w:sz w:val="21"/>
                <w:szCs w:val="21"/>
              </w:rPr>
              <w:t>标配行业伺服控制器及伺服电机高性能升级</w:t>
            </w:r>
            <w:r>
              <w:rPr>
                <w:spacing w:val="9"/>
                <w:sz w:val="21"/>
                <w:szCs w:val="21"/>
              </w:rPr>
              <w:t>控制箱，高可靠性采用先进的</w:t>
            </w:r>
            <w:r>
              <w:rPr>
                <w:sz w:val="21"/>
                <w:szCs w:val="21"/>
              </w:rPr>
              <w:t>DSP</w:t>
            </w:r>
            <w:r>
              <w:rPr>
                <w:spacing w:val="9"/>
                <w:sz w:val="21"/>
                <w:szCs w:val="21"/>
              </w:rPr>
              <w:t>信息处理能力及专利算法技术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、永磁稀土材料转子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，系统全闭环设计</w:t>
            </w:r>
            <w:r>
              <w:rPr>
                <w:spacing w:val="-42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，可实现安全</w:t>
            </w:r>
            <w:r>
              <w:rPr>
                <w:spacing w:val="-50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、精准、稳定、</w:t>
            </w:r>
            <w:r>
              <w:rPr>
                <w:spacing w:val="7"/>
                <w:sz w:val="21"/>
                <w:szCs w:val="21"/>
              </w:rPr>
              <w:t>高速、柔美等特性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7"/>
                <w:sz w:val="21"/>
                <w:szCs w:val="21"/>
              </w:rPr>
              <w:t>。</w:t>
            </w:r>
            <w:r>
              <w:rPr>
                <w:spacing w:val="-33"/>
                <w:sz w:val="21"/>
                <w:szCs w:val="21"/>
              </w:rPr>
              <w:t xml:space="preserve"> </w:t>
            </w:r>
            <w:r>
              <w:rPr>
                <w:spacing w:val="7"/>
                <w:sz w:val="21"/>
                <w:szCs w:val="21"/>
              </w:rPr>
              <w:t>目前已配套于各大知名</w:t>
            </w:r>
            <w:r>
              <w:rPr>
                <w:spacing w:val="8"/>
                <w:sz w:val="21"/>
                <w:szCs w:val="21"/>
              </w:rPr>
              <w:t>厂商的高端快速门</w:t>
            </w:r>
            <w:r>
              <w:rPr>
                <w:spacing w:val="-36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，可连续高频率运行</w:t>
            </w:r>
            <w:r>
              <w:rPr>
                <w:spacing w:val="-4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10万</w:t>
            </w:r>
            <w:r>
              <w:rPr>
                <w:spacing w:val="6"/>
                <w:sz w:val="21"/>
                <w:szCs w:val="21"/>
              </w:rPr>
              <w:t>次无故障</w:t>
            </w:r>
            <w:r>
              <w:rPr>
                <w:spacing w:val="-41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。</w:t>
            </w:r>
            <w:r>
              <w:rPr>
                <w:spacing w:val="-49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电控箱表面带上下按钮</w:t>
            </w:r>
            <w:r>
              <w:rPr>
                <w:spacing w:val="-40"/>
                <w:sz w:val="21"/>
                <w:szCs w:val="21"/>
              </w:rPr>
              <w:t xml:space="preserve"> </w:t>
            </w:r>
            <w:r>
              <w:rPr>
                <w:spacing w:val="6"/>
                <w:sz w:val="21"/>
                <w:szCs w:val="21"/>
              </w:rPr>
              <w:t>、急停开</w:t>
            </w:r>
            <w:r>
              <w:rPr>
                <w:spacing w:val="5"/>
                <w:sz w:val="21"/>
                <w:szCs w:val="21"/>
              </w:rPr>
              <w:t>关、手动/自动一键切</w:t>
            </w:r>
            <w:r>
              <w:rPr>
                <w:spacing w:val="2"/>
                <w:sz w:val="21"/>
                <w:szCs w:val="21"/>
              </w:rPr>
              <w:t>换功能</w:t>
            </w:r>
            <w:r>
              <w:rPr>
                <w:rFonts w:hint="eastAsia"/>
                <w:spacing w:val="2"/>
                <w:sz w:val="21"/>
                <w:szCs w:val="21"/>
                <w:lang w:eastAsia="zh-CN"/>
              </w:rPr>
              <w:t>，</w:t>
            </w:r>
            <w:r>
              <w:rPr>
                <w:rStyle w:val="9"/>
                <w:rFonts w:ascii="宋体" w:hAnsi="宋体"/>
                <w:color w:val="000000"/>
                <w:sz w:val="21"/>
                <w:szCs w:val="21"/>
              </w:rPr>
              <w:t>防护等级</w:t>
            </w:r>
            <w:r>
              <w:rPr>
                <w:rStyle w:val="9"/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:</w:t>
            </w:r>
            <w:r>
              <w:rPr>
                <w:rStyle w:val="9"/>
                <w:rFonts w:hint="eastAsia"/>
                <w:color w:val="000000"/>
                <w:sz w:val="21"/>
                <w:szCs w:val="21"/>
                <w:lang w:val="en-US" w:eastAsia="zh-CN"/>
              </w:rPr>
              <w:t>不低于</w:t>
            </w:r>
            <w:r>
              <w:rPr>
                <w:rStyle w:val="9"/>
                <w:rFonts w:hint="eastAsia" w:ascii="宋体" w:hAnsi="宋体"/>
                <w:color w:val="000000"/>
                <w:sz w:val="21"/>
                <w:szCs w:val="21"/>
                <w:lang w:eastAsia="zh-CN"/>
              </w:rPr>
              <w:t>IP5</w:t>
            </w:r>
            <w:r>
              <w:rPr>
                <w:rStyle w:val="9"/>
                <w:rFonts w:hint="eastAsia"/>
                <w:color w:val="00000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1128" w:type="dxa"/>
            <w:vAlign w:val="top"/>
          </w:tcPr>
          <w:p w14:paraId="286DBEAD">
            <w:pPr>
              <w:spacing w:line="243" w:lineRule="auto"/>
              <w:rPr>
                <w:rFonts w:ascii="Arial"/>
                <w:sz w:val="21"/>
                <w:szCs w:val="21"/>
              </w:rPr>
            </w:pPr>
          </w:p>
          <w:p w14:paraId="3C3408C8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4CB39C86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3AE48874">
            <w:pPr>
              <w:spacing w:line="244" w:lineRule="auto"/>
              <w:rPr>
                <w:rFonts w:ascii="Arial"/>
                <w:sz w:val="21"/>
                <w:szCs w:val="21"/>
              </w:rPr>
            </w:pPr>
          </w:p>
          <w:p w14:paraId="5B75F912">
            <w:pPr>
              <w:pStyle w:val="7"/>
              <w:spacing w:before="58" w:line="225" w:lineRule="auto"/>
              <w:ind w:left="3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研和/伺服</w:t>
            </w:r>
          </w:p>
        </w:tc>
        <w:tc>
          <w:tcPr>
            <w:tcW w:w="2488" w:type="dxa"/>
            <w:vMerge w:val="restart"/>
            <w:tcBorders>
              <w:bottom w:val="nil"/>
            </w:tcBorders>
            <w:vAlign w:val="top"/>
          </w:tcPr>
          <w:p w14:paraId="6F7941DC">
            <w:pPr>
              <w:rPr>
                <w:rFonts w:ascii="Arial"/>
                <w:sz w:val="21"/>
                <w:szCs w:val="21"/>
              </w:rPr>
            </w:pPr>
          </w:p>
        </w:tc>
      </w:tr>
      <w:tr w14:paraId="3555E30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76" w:hRule="atLeast"/>
        </w:trPr>
        <w:tc>
          <w:tcPr>
            <w:tcW w:w="689" w:type="dxa"/>
            <w:vAlign w:val="top"/>
          </w:tcPr>
          <w:p w14:paraId="41A27713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0DD642FD">
            <w:pPr>
              <w:pStyle w:val="7"/>
              <w:spacing w:before="58" w:line="239" w:lineRule="exact"/>
              <w:ind w:left="30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3</w:t>
            </w:r>
          </w:p>
        </w:tc>
        <w:tc>
          <w:tcPr>
            <w:tcW w:w="1363" w:type="dxa"/>
            <w:vAlign w:val="top"/>
          </w:tcPr>
          <w:p w14:paraId="30A6C314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0BD62812">
            <w:pPr>
              <w:pStyle w:val="7"/>
              <w:spacing w:before="59" w:line="224" w:lineRule="auto"/>
              <w:ind w:left="49"/>
              <w:rPr>
                <w:sz w:val="21"/>
                <w:szCs w:val="21"/>
              </w:rPr>
            </w:pPr>
            <w:r>
              <w:rPr>
                <w:spacing w:val="-10"/>
                <w:sz w:val="21"/>
                <w:szCs w:val="21"/>
              </w:rPr>
              <w:t>电机</w:t>
            </w:r>
          </w:p>
        </w:tc>
        <w:tc>
          <w:tcPr>
            <w:tcW w:w="3852" w:type="dxa"/>
            <w:vAlign w:val="top"/>
          </w:tcPr>
          <w:p w14:paraId="506C36C8">
            <w:pPr>
              <w:pStyle w:val="7"/>
              <w:spacing w:before="166" w:line="225" w:lineRule="auto"/>
              <w:ind w:left="51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电源220/380v，功率</w:t>
            </w:r>
            <w:r>
              <w:rPr>
                <w:spacing w:val="36"/>
                <w:w w:val="101"/>
                <w:sz w:val="21"/>
                <w:szCs w:val="21"/>
              </w:rPr>
              <w:t xml:space="preserve"> </w:t>
            </w:r>
            <w:r>
              <w:rPr>
                <w:rFonts w:hint="eastAsia"/>
                <w:spacing w:val="1"/>
                <w:sz w:val="21"/>
                <w:szCs w:val="21"/>
                <w:lang w:val="en-US" w:eastAsia="zh-CN"/>
              </w:rPr>
              <w:t>0.5</w:t>
            </w:r>
            <w:r>
              <w:rPr>
                <w:spacing w:val="1"/>
                <w:sz w:val="21"/>
                <w:szCs w:val="21"/>
              </w:rPr>
              <w:t>5</w:t>
            </w:r>
            <w:r>
              <w:rPr>
                <w:sz w:val="21"/>
                <w:szCs w:val="21"/>
              </w:rPr>
              <w:t>kw</w:t>
            </w:r>
          </w:p>
          <w:p w14:paraId="4D007565">
            <w:pPr>
              <w:pStyle w:val="7"/>
              <w:spacing w:before="10" w:line="226" w:lineRule="auto"/>
              <w:ind w:left="29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运行速度均可调</w:t>
            </w:r>
          </w:p>
          <w:p w14:paraId="290B91B2">
            <w:pPr>
              <w:pStyle w:val="7"/>
              <w:spacing w:before="10" w:line="226" w:lineRule="auto"/>
              <w:ind w:left="30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开门：0.6-1.5M/S</w:t>
            </w:r>
          </w:p>
          <w:p w14:paraId="3A40ECBD">
            <w:pPr>
              <w:pStyle w:val="7"/>
              <w:spacing w:before="9" w:line="226" w:lineRule="auto"/>
              <w:ind w:left="32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关门：0.6-1.0M/S</w:t>
            </w:r>
          </w:p>
        </w:tc>
        <w:tc>
          <w:tcPr>
            <w:tcW w:w="1128" w:type="dxa"/>
            <w:vAlign w:val="top"/>
          </w:tcPr>
          <w:p w14:paraId="0D0409EC">
            <w:pPr>
              <w:spacing w:line="451" w:lineRule="auto"/>
              <w:rPr>
                <w:rFonts w:ascii="Arial"/>
                <w:sz w:val="21"/>
                <w:szCs w:val="21"/>
              </w:rPr>
            </w:pPr>
          </w:p>
          <w:p w14:paraId="11E8870A">
            <w:pPr>
              <w:pStyle w:val="7"/>
              <w:spacing w:before="58" w:line="225" w:lineRule="auto"/>
              <w:ind w:left="35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研和/伺服</w:t>
            </w:r>
          </w:p>
        </w:tc>
        <w:tc>
          <w:tcPr>
            <w:tcW w:w="2488" w:type="dxa"/>
            <w:vMerge w:val="continue"/>
            <w:tcBorders>
              <w:top w:val="nil"/>
            </w:tcBorders>
            <w:vAlign w:val="top"/>
          </w:tcPr>
          <w:p w14:paraId="3DB1398E">
            <w:pPr>
              <w:rPr>
                <w:rFonts w:ascii="Arial"/>
                <w:sz w:val="21"/>
                <w:szCs w:val="21"/>
              </w:rPr>
            </w:pPr>
          </w:p>
        </w:tc>
      </w:tr>
      <w:tr w14:paraId="1E1F3F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689" w:type="dxa"/>
            <w:vAlign w:val="top"/>
          </w:tcPr>
          <w:p w14:paraId="31D2CBCA">
            <w:pPr>
              <w:pStyle w:val="7"/>
              <w:spacing w:before="223" w:line="239" w:lineRule="exact"/>
              <w:ind w:left="307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5</w:t>
            </w:r>
          </w:p>
        </w:tc>
        <w:tc>
          <w:tcPr>
            <w:tcW w:w="1363" w:type="dxa"/>
            <w:vAlign w:val="top"/>
          </w:tcPr>
          <w:p w14:paraId="2AE3A414">
            <w:pPr>
              <w:pStyle w:val="7"/>
              <w:spacing w:before="108" w:line="225" w:lineRule="auto"/>
              <w:ind w:left="27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底梁</w:t>
            </w:r>
          </w:p>
          <w:p w14:paraId="0FEAD7D7">
            <w:pPr>
              <w:pStyle w:val="7"/>
              <w:spacing w:before="10" w:line="225" w:lineRule="auto"/>
              <w:ind w:left="27"/>
              <w:rPr>
                <w:sz w:val="21"/>
                <w:szCs w:val="21"/>
              </w:rPr>
            </w:pPr>
            <w:r>
              <w:rPr>
                <w:spacing w:val="2"/>
                <w:sz w:val="21"/>
                <w:szCs w:val="21"/>
              </w:rPr>
              <w:t>抗风条</w:t>
            </w:r>
          </w:p>
        </w:tc>
        <w:tc>
          <w:tcPr>
            <w:tcW w:w="3852" w:type="dxa"/>
            <w:vAlign w:val="top"/>
          </w:tcPr>
          <w:p w14:paraId="0017C4E5">
            <w:pPr>
              <w:pStyle w:val="7"/>
              <w:spacing w:before="109" w:line="238" w:lineRule="auto"/>
              <w:ind w:left="30" w:right="18" w:firstLine="3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帘布衔接部位装有铝合金抗风铝条</w:t>
            </w:r>
            <w:r>
              <w:rPr>
                <w:rFonts w:hint="eastAsia"/>
                <w:spacing w:val="9"/>
                <w:sz w:val="21"/>
                <w:szCs w:val="21"/>
                <w:lang w:val="en-US" w:eastAsia="zh-CN"/>
              </w:rPr>
              <w:t>壁厚</w:t>
            </w:r>
            <w:r>
              <w:rPr>
                <w:rStyle w:val="9"/>
                <w:rFonts w:ascii="宋体" w:hAnsi="宋体"/>
                <w:color w:val="0000FF"/>
                <w:sz w:val="21"/>
                <w:szCs w:val="21"/>
              </w:rPr>
              <w:t>2.0mm</w:t>
            </w:r>
            <w:r>
              <w:rPr>
                <w:spacing w:val="-12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，增强抗</w:t>
            </w:r>
            <w:r>
              <w:rPr>
                <w:spacing w:val="2"/>
                <w:sz w:val="21"/>
                <w:szCs w:val="21"/>
              </w:rPr>
              <w:t>风效果</w:t>
            </w:r>
          </w:p>
        </w:tc>
        <w:tc>
          <w:tcPr>
            <w:tcW w:w="1128" w:type="dxa"/>
            <w:vAlign w:val="top"/>
          </w:tcPr>
          <w:p w14:paraId="343EDBC5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0B2365CA">
            <w:pPr>
              <w:rPr>
                <w:rFonts w:ascii="Arial"/>
                <w:sz w:val="21"/>
                <w:szCs w:val="21"/>
              </w:rPr>
            </w:pPr>
          </w:p>
        </w:tc>
      </w:tr>
      <w:tr w14:paraId="376C60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5" w:hRule="atLeast"/>
        </w:trPr>
        <w:tc>
          <w:tcPr>
            <w:tcW w:w="689" w:type="dxa"/>
            <w:vAlign w:val="top"/>
          </w:tcPr>
          <w:p w14:paraId="76CD0F2B">
            <w:pPr>
              <w:pStyle w:val="7"/>
              <w:spacing w:before="34" w:line="175" w:lineRule="auto"/>
              <w:ind w:left="305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</w:t>
            </w:r>
          </w:p>
        </w:tc>
        <w:tc>
          <w:tcPr>
            <w:tcW w:w="1363" w:type="dxa"/>
            <w:vAlign w:val="top"/>
          </w:tcPr>
          <w:p w14:paraId="786DAAF4">
            <w:pPr>
              <w:pStyle w:val="7"/>
              <w:spacing w:before="34" w:line="175" w:lineRule="auto"/>
              <w:ind w:left="27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透视窗</w:t>
            </w:r>
          </w:p>
        </w:tc>
        <w:tc>
          <w:tcPr>
            <w:tcW w:w="3852" w:type="dxa"/>
            <w:vAlign w:val="top"/>
          </w:tcPr>
          <w:p w14:paraId="3FD71AFC">
            <w:pPr>
              <w:pStyle w:val="7"/>
              <w:spacing w:before="31" w:line="178" w:lineRule="auto"/>
              <w:rPr>
                <w:rFonts w:hint="default" w:eastAsia="宋体"/>
                <w:sz w:val="21"/>
                <w:szCs w:val="21"/>
                <w:lang w:val="en-US" w:eastAsia="zh-CN"/>
              </w:rPr>
            </w:pPr>
            <w:r>
              <w:rPr>
                <w:spacing w:val="5"/>
                <w:sz w:val="21"/>
                <w:szCs w:val="21"/>
              </w:rPr>
              <w:t xml:space="preserve">中间带横向 </w:t>
            </w:r>
            <w:r>
              <w:rPr>
                <w:sz w:val="21"/>
                <w:szCs w:val="21"/>
              </w:rPr>
              <w:t>PVC</w:t>
            </w:r>
            <w:r>
              <w:rPr>
                <w:spacing w:val="16"/>
                <w:sz w:val="21"/>
                <w:szCs w:val="21"/>
              </w:rPr>
              <w:t xml:space="preserve"> </w:t>
            </w:r>
            <w:r>
              <w:rPr>
                <w:spacing w:val="5"/>
                <w:sz w:val="21"/>
                <w:szCs w:val="21"/>
              </w:rPr>
              <w:t>透明视窗，厚度</w:t>
            </w:r>
            <w:r>
              <w:rPr>
                <w:rFonts w:hint="eastAsia"/>
                <w:spacing w:val="5"/>
                <w:sz w:val="21"/>
                <w:szCs w:val="21"/>
                <w:lang w:val="en-US" w:eastAsia="zh-CN"/>
              </w:rPr>
              <w:t>≥1.5mm以上</w:t>
            </w:r>
          </w:p>
        </w:tc>
        <w:tc>
          <w:tcPr>
            <w:tcW w:w="1128" w:type="dxa"/>
            <w:vAlign w:val="top"/>
          </w:tcPr>
          <w:p w14:paraId="41F83549">
            <w:pPr>
              <w:spacing w:line="205" w:lineRule="exact"/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04B9F69F">
            <w:pPr>
              <w:spacing w:line="205" w:lineRule="exact"/>
              <w:rPr>
                <w:rFonts w:ascii="Arial"/>
                <w:sz w:val="21"/>
                <w:szCs w:val="21"/>
              </w:rPr>
            </w:pPr>
          </w:p>
        </w:tc>
      </w:tr>
      <w:tr w14:paraId="6CA3A2C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5" w:hRule="atLeast"/>
        </w:trPr>
        <w:tc>
          <w:tcPr>
            <w:tcW w:w="689" w:type="dxa"/>
            <w:vAlign w:val="top"/>
          </w:tcPr>
          <w:p w14:paraId="0745789A">
            <w:pPr>
              <w:pStyle w:val="7"/>
              <w:spacing w:before="262" w:line="239" w:lineRule="exact"/>
              <w:ind w:left="308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7</w:t>
            </w:r>
          </w:p>
        </w:tc>
        <w:tc>
          <w:tcPr>
            <w:tcW w:w="1363" w:type="dxa"/>
            <w:vAlign w:val="top"/>
          </w:tcPr>
          <w:p w14:paraId="6A3AF009">
            <w:pPr>
              <w:pStyle w:val="7"/>
              <w:spacing w:before="35" w:line="224" w:lineRule="auto"/>
              <w:ind w:left="49"/>
              <w:rPr>
                <w:sz w:val="21"/>
                <w:szCs w:val="21"/>
              </w:rPr>
            </w:pPr>
            <w:r>
              <w:rPr>
                <w:spacing w:val="-5"/>
                <w:sz w:val="21"/>
                <w:szCs w:val="21"/>
              </w:rPr>
              <w:t>电机罩</w:t>
            </w:r>
          </w:p>
          <w:p w14:paraId="7ACDBB28">
            <w:pPr>
              <w:pStyle w:val="7"/>
              <w:spacing w:before="11" w:line="205" w:lineRule="auto"/>
              <w:ind w:left="48" w:right="334"/>
              <w:rPr>
                <w:sz w:val="21"/>
                <w:szCs w:val="21"/>
              </w:rPr>
            </w:pPr>
            <w:r>
              <w:rPr>
                <w:spacing w:val="-2"/>
                <w:sz w:val="21"/>
                <w:szCs w:val="21"/>
              </w:rPr>
              <w:t>门头框架</w:t>
            </w:r>
            <w:r>
              <w:rPr>
                <w:spacing w:val="-5"/>
                <w:sz w:val="21"/>
                <w:szCs w:val="21"/>
              </w:rPr>
              <w:t>门头罩</w:t>
            </w:r>
          </w:p>
        </w:tc>
        <w:tc>
          <w:tcPr>
            <w:tcW w:w="3852" w:type="dxa"/>
            <w:vAlign w:val="top"/>
          </w:tcPr>
          <w:p w14:paraId="44AF48EF">
            <w:pPr>
              <w:pStyle w:val="7"/>
              <w:spacing w:before="148" w:line="237" w:lineRule="auto"/>
              <w:ind w:left="29" w:right="17" w:firstLine="20"/>
              <w:rPr>
                <w:sz w:val="21"/>
                <w:szCs w:val="21"/>
              </w:rPr>
            </w:pPr>
            <w:r>
              <w:rPr>
                <w:spacing w:val="9"/>
                <w:sz w:val="21"/>
                <w:szCs w:val="21"/>
              </w:rPr>
              <w:t>门头罩采用304不锈钢，厚度1.5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9"/>
                <w:sz w:val="21"/>
                <w:szCs w:val="21"/>
              </w:rPr>
              <w:t>；</w:t>
            </w:r>
            <w:r>
              <w:rPr>
                <w:spacing w:val="-46"/>
                <w:sz w:val="21"/>
                <w:szCs w:val="21"/>
              </w:rPr>
              <w:t xml:space="preserve"> </w:t>
            </w:r>
            <w:r>
              <w:rPr>
                <w:spacing w:val="9"/>
                <w:sz w:val="21"/>
                <w:szCs w:val="21"/>
              </w:rPr>
              <w:t>驱动大</w:t>
            </w:r>
            <w:r>
              <w:rPr>
                <w:spacing w:val="4"/>
                <w:sz w:val="21"/>
                <w:szCs w:val="21"/>
              </w:rPr>
              <w:t>轴采用4寸镀锌圆管，厚度</w:t>
            </w:r>
            <w:r>
              <w:rPr>
                <w:spacing w:val="30"/>
                <w:w w:val="101"/>
                <w:sz w:val="21"/>
                <w:szCs w:val="21"/>
              </w:rPr>
              <w:t xml:space="preserve"> </w:t>
            </w:r>
            <w:r>
              <w:rPr>
                <w:spacing w:val="4"/>
                <w:sz w:val="21"/>
                <w:szCs w:val="21"/>
              </w:rPr>
              <w:t>1.8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4"/>
                <w:sz w:val="21"/>
                <w:szCs w:val="21"/>
              </w:rPr>
              <w:t>。</w:t>
            </w:r>
          </w:p>
        </w:tc>
        <w:tc>
          <w:tcPr>
            <w:tcW w:w="1128" w:type="dxa"/>
            <w:vAlign w:val="top"/>
          </w:tcPr>
          <w:p w14:paraId="17E728DE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3484B24E">
            <w:pPr>
              <w:rPr>
                <w:rFonts w:ascii="Arial"/>
                <w:sz w:val="21"/>
                <w:szCs w:val="21"/>
              </w:rPr>
            </w:pPr>
          </w:p>
        </w:tc>
      </w:tr>
      <w:tr w14:paraId="2BACBB4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5" w:hRule="atLeast"/>
        </w:trPr>
        <w:tc>
          <w:tcPr>
            <w:tcW w:w="689" w:type="dxa"/>
            <w:vAlign w:val="top"/>
          </w:tcPr>
          <w:p w14:paraId="7B4A89E8">
            <w:pPr>
              <w:pStyle w:val="7"/>
              <w:spacing w:before="148" w:line="239" w:lineRule="exact"/>
              <w:ind w:left="304"/>
              <w:rPr>
                <w:sz w:val="21"/>
                <w:szCs w:val="21"/>
              </w:rPr>
            </w:pPr>
            <w:r>
              <w:rPr>
                <w:position w:val="1"/>
                <w:sz w:val="21"/>
                <w:szCs w:val="21"/>
              </w:rPr>
              <w:t>8</w:t>
            </w:r>
          </w:p>
        </w:tc>
        <w:tc>
          <w:tcPr>
            <w:tcW w:w="1363" w:type="dxa"/>
            <w:vAlign w:val="top"/>
          </w:tcPr>
          <w:p w14:paraId="1AC7D3C3">
            <w:pPr>
              <w:pStyle w:val="7"/>
              <w:spacing w:before="36" w:line="226" w:lineRule="auto"/>
              <w:ind w:left="32"/>
              <w:rPr>
                <w:sz w:val="21"/>
                <w:szCs w:val="21"/>
              </w:rPr>
            </w:pPr>
            <w:r>
              <w:rPr>
                <w:spacing w:val="-1"/>
                <w:sz w:val="21"/>
                <w:szCs w:val="21"/>
              </w:rPr>
              <w:t>导轨</w:t>
            </w:r>
          </w:p>
          <w:p w14:paraId="47B86CB6">
            <w:pPr>
              <w:pStyle w:val="7"/>
              <w:spacing w:before="9" w:line="173" w:lineRule="auto"/>
              <w:ind w:left="28"/>
              <w:rPr>
                <w:sz w:val="21"/>
                <w:szCs w:val="21"/>
              </w:rPr>
            </w:pPr>
            <w:r>
              <w:rPr>
                <w:spacing w:val="1"/>
                <w:sz w:val="21"/>
                <w:szCs w:val="21"/>
              </w:rPr>
              <w:t>毛刷</w:t>
            </w:r>
          </w:p>
        </w:tc>
        <w:tc>
          <w:tcPr>
            <w:tcW w:w="3852" w:type="dxa"/>
            <w:vAlign w:val="top"/>
          </w:tcPr>
          <w:p w14:paraId="172D7C98">
            <w:pPr>
              <w:pStyle w:val="7"/>
              <w:spacing w:before="36" w:line="224" w:lineRule="auto"/>
              <w:ind w:left="93"/>
              <w:jc w:val="both"/>
              <w:rPr>
                <w:sz w:val="21"/>
                <w:szCs w:val="21"/>
              </w:rPr>
            </w:pPr>
            <w:r>
              <w:rPr>
                <w:spacing w:val="6"/>
                <w:sz w:val="21"/>
                <w:szCs w:val="21"/>
              </w:rPr>
              <w:t>轨道采用304不锈钢材质，1.5</w:t>
            </w:r>
            <w:r>
              <w:rPr>
                <w:sz w:val="21"/>
                <w:szCs w:val="21"/>
              </w:rPr>
              <w:t>mm</w:t>
            </w:r>
            <w:r>
              <w:rPr>
                <w:spacing w:val="6"/>
                <w:sz w:val="21"/>
                <w:szCs w:val="21"/>
              </w:rPr>
              <w:t>厚度，毛刷</w:t>
            </w:r>
            <w:r>
              <w:rPr>
                <w:spacing w:val="5"/>
                <w:sz w:val="21"/>
                <w:szCs w:val="21"/>
              </w:rPr>
              <w:t>处理，防尘、防虫、密封。</w:t>
            </w:r>
          </w:p>
        </w:tc>
        <w:tc>
          <w:tcPr>
            <w:tcW w:w="1128" w:type="dxa"/>
            <w:vAlign w:val="top"/>
          </w:tcPr>
          <w:p w14:paraId="44FE7455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20623618">
            <w:pPr>
              <w:rPr>
                <w:rFonts w:ascii="Arial"/>
                <w:sz w:val="21"/>
                <w:szCs w:val="21"/>
              </w:rPr>
            </w:pPr>
          </w:p>
        </w:tc>
      </w:tr>
      <w:tr w14:paraId="2BB13ED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</w:trPr>
        <w:tc>
          <w:tcPr>
            <w:tcW w:w="689" w:type="dxa"/>
            <w:vAlign w:val="top"/>
          </w:tcPr>
          <w:p w14:paraId="5010F0AD">
            <w:pPr>
              <w:pStyle w:val="7"/>
              <w:spacing w:before="73" w:line="214" w:lineRule="auto"/>
              <w:ind w:left="304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</w:t>
            </w:r>
          </w:p>
        </w:tc>
        <w:tc>
          <w:tcPr>
            <w:tcW w:w="1363" w:type="dxa"/>
            <w:vAlign w:val="top"/>
          </w:tcPr>
          <w:p w14:paraId="15B72EFF">
            <w:pPr>
              <w:pStyle w:val="7"/>
              <w:spacing w:before="73" w:line="214" w:lineRule="auto"/>
              <w:ind w:left="27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手动按钮</w:t>
            </w:r>
          </w:p>
        </w:tc>
        <w:tc>
          <w:tcPr>
            <w:tcW w:w="3852" w:type="dxa"/>
            <w:vAlign w:val="top"/>
          </w:tcPr>
          <w:p w14:paraId="6A801057">
            <w:pPr>
              <w:pStyle w:val="7"/>
              <w:spacing w:before="73" w:line="214" w:lineRule="auto"/>
              <w:ind w:left="29"/>
              <w:jc w:val="both"/>
              <w:rPr>
                <w:sz w:val="21"/>
                <w:szCs w:val="21"/>
              </w:rPr>
            </w:pPr>
            <w:r>
              <w:rPr>
                <w:spacing w:val="4"/>
                <w:sz w:val="21"/>
                <w:szCs w:val="21"/>
              </w:rPr>
              <w:t>手动按钮控制门上下</w:t>
            </w:r>
          </w:p>
        </w:tc>
        <w:tc>
          <w:tcPr>
            <w:tcW w:w="1128" w:type="dxa"/>
            <w:vAlign w:val="top"/>
          </w:tcPr>
          <w:p w14:paraId="674AD117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3011BA25">
            <w:pPr>
              <w:rPr>
                <w:rFonts w:ascii="Arial"/>
                <w:sz w:val="21"/>
                <w:szCs w:val="21"/>
              </w:rPr>
            </w:pPr>
          </w:p>
        </w:tc>
      </w:tr>
      <w:tr w14:paraId="1E66A5C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26" w:hRule="atLeast"/>
        </w:trPr>
        <w:tc>
          <w:tcPr>
            <w:tcW w:w="689" w:type="dxa"/>
            <w:vAlign w:val="top"/>
          </w:tcPr>
          <w:p w14:paraId="71F1DF71">
            <w:pPr>
              <w:spacing w:line="372" w:lineRule="auto"/>
              <w:rPr>
                <w:rFonts w:ascii="Arial"/>
                <w:sz w:val="21"/>
                <w:szCs w:val="21"/>
              </w:rPr>
            </w:pPr>
          </w:p>
          <w:p w14:paraId="6F0E55BB">
            <w:pPr>
              <w:pStyle w:val="7"/>
              <w:spacing w:before="59" w:line="239" w:lineRule="exact"/>
              <w:ind w:left="269"/>
              <w:rPr>
                <w:sz w:val="21"/>
                <w:szCs w:val="21"/>
              </w:rPr>
            </w:pPr>
            <w:r>
              <w:rPr>
                <w:spacing w:val="-9"/>
                <w:position w:val="1"/>
                <w:sz w:val="21"/>
                <w:szCs w:val="21"/>
              </w:rPr>
              <w:t>10</w:t>
            </w:r>
          </w:p>
        </w:tc>
        <w:tc>
          <w:tcPr>
            <w:tcW w:w="1363" w:type="dxa"/>
            <w:vAlign w:val="top"/>
          </w:tcPr>
          <w:p w14:paraId="7DFC9068">
            <w:pPr>
              <w:spacing w:line="372" w:lineRule="auto"/>
              <w:rPr>
                <w:rFonts w:ascii="Arial"/>
                <w:sz w:val="21"/>
                <w:szCs w:val="21"/>
              </w:rPr>
            </w:pPr>
          </w:p>
          <w:p w14:paraId="22B87FC8">
            <w:pPr>
              <w:pStyle w:val="7"/>
              <w:spacing w:before="58" w:line="226" w:lineRule="auto"/>
              <w:ind w:left="31"/>
              <w:rPr>
                <w:sz w:val="21"/>
                <w:szCs w:val="21"/>
              </w:rPr>
            </w:pPr>
            <w:r>
              <w:rPr>
                <w:spacing w:val="3"/>
                <w:sz w:val="21"/>
                <w:szCs w:val="21"/>
              </w:rPr>
              <w:t>雷达感应器</w:t>
            </w:r>
          </w:p>
        </w:tc>
        <w:tc>
          <w:tcPr>
            <w:tcW w:w="3852" w:type="dxa"/>
            <w:vAlign w:val="top"/>
          </w:tcPr>
          <w:p w14:paraId="17463CB6">
            <w:pPr>
              <w:pStyle w:val="7"/>
              <w:spacing w:before="34" w:line="225" w:lineRule="auto"/>
              <w:ind w:left="30"/>
              <w:rPr>
                <w:rFonts w:hint="eastAsia" w:eastAsia="宋体"/>
                <w:sz w:val="21"/>
                <w:szCs w:val="21"/>
                <w:lang w:val="en-US" w:eastAsia="zh-CN"/>
              </w:rPr>
            </w:pPr>
            <w:r>
              <w:rPr>
                <w:spacing w:val="14"/>
                <w:sz w:val="21"/>
                <w:szCs w:val="21"/>
              </w:rPr>
              <w:t>标配单向识别微波雷达</w:t>
            </w:r>
            <w:r>
              <w:rPr>
                <w:spacing w:val="-33"/>
                <w:sz w:val="21"/>
                <w:szCs w:val="21"/>
              </w:rPr>
              <w:t xml:space="preserve"> </w:t>
            </w:r>
            <w:r>
              <w:rPr>
                <w:spacing w:val="14"/>
                <w:sz w:val="21"/>
                <w:szCs w:val="21"/>
              </w:rPr>
              <w:t>自动感应装置，特</w:t>
            </w:r>
            <w:r>
              <w:rPr>
                <w:spacing w:val="10"/>
                <w:sz w:val="21"/>
                <w:szCs w:val="21"/>
              </w:rPr>
              <w:t>性：只识别离门方向越来越近的信号</w:t>
            </w:r>
            <w:r>
              <w:rPr>
                <w:spacing w:val="-24"/>
                <w:sz w:val="21"/>
                <w:szCs w:val="21"/>
              </w:rPr>
              <w:t xml:space="preserve"> </w:t>
            </w:r>
            <w:r>
              <w:rPr>
                <w:spacing w:val="10"/>
                <w:sz w:val="21"/>
                <w:szCs w:val="21"/>
              </w:rPr>
              <w:t>，不检</w:t>
            </w:r>
            <w:r>
              <w:rPr>
                <w:spacing w:val="8"/>
                <w:sz w:val="21"/>
                <w:szCs w:val="21"/>
              </w:rPr>
              <w:t>测离门越来越远的信号</w:t>
            </w:r>
            <w:r>
              <w:rPr>
                <w:spacing w:val="-34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，有效防止误感应</w:t>
            </w:r>
            <w:r>
              <w:rPr>
                <w:spacing w:val="-43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。极大节约能源</w:t>
            </w:r>
            <w:r>
              <w:rPr>
                <w:spacing w:val="-35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、提高使用效率</w:t>
            </w:r>
            <w:r>
              <w:rPr>
                <w:spacing w:val="-48"/>
                <w:sz w:val="21"/>
                <w:szCs w:val="21"/>
              </w:rPr>
              <w:t xml:space="preserve"> </w:t>
            </w:r>
            <w:r>
              <w:rPr>
                <w:spacing w:val="8"/>
                <w:sz w:val="21"/>
                <w:szCs w:val="21"/>
              </w:rPr>
              <w:t>、延长电机使</w:t>
            </w:r>
            <w:r>
              <w:rPr>
                <w:spacing w:val="2"/>
                <w:sz w:val="21"/>
                <w:szCs w:val="21"/>
              </w:rPr>
              <w:t>用寿命</w:t>
            </w:r>
            <w:r>
              <w:rPr>
                <w:rFonts w:hint="eastAsia"/>
                <w:spacing w:val="2"/>
                <w:sz w:val="21"/>
                <w:szCs w:val="21"/>
                <w:lang w:eastAsia="zh-CN"/>
              </w:rPr>
              <w:t>。</w:t>
            </w:r>
          </w:p>
        </w:tc>
        <w:tc>
          <w:tcPr>
            <w:tcW w:w="1128" w:type="dxa"/>
            <w:vAlign w:val="top"/>
          </w:tcPr>
          <w:p w14:paraId="4D43BA58">
            <w:pPr>
              <w:rPr>
                <w:rFonts w:ascii="Arial"/>
                <w:sz w:val="21"/>
                <w:szCs w:val="21"/>
              </w:rPr>
            </w:pPr>
          </w:p>
        </w:tc>
        <w:tc>
          <w:tcPr>
            <w:tcW w:w="2488" w:type="dxa"/>
            <w:vAlign w:val="top"/>
          </w:tcPr>
          <w:p w14:paraId="5ED696E0">
            <w:pPr>
              <w:rPr>
                <w:rFonts w:ascii="Arial"/>
                <w:sz w:val="21"/>
                <w:szCs w:val="21"/>
              </w:rPr>
            </w:pPr>
          </w:p>
        </w:tc>
      </w:tr>
    </w:tbl>
    <w:p w14:paraId="3A3BFFA7">
      <w:pPr>
        <w:tabs>
          <w:tab w:val="left" w:pos="1088"/>
        </w:tabs>
        <w:rPr>
          <w:rFonts w:hint="eastAsia"/>
          <w:sz w:val="21"/>
          <w:szCs w:val="21"/>
          <w:lang w:eastAsia="zh-CN"/>
        </w:rPr>
      </w:pPr>
      <w:r>
        <w:rPr>
          <w:rFonts w:hint="eastAsia" w:eastAsia="宋体"/>
          <w:sz w:val="21"/>
          <w:szCs w:val="21"/>
          <w:lang w:val="en-US" w:eastAsia="zh-CN"/>
        </w:rPr>
        <w:t>建议按以上配置进行购买及安装，厂家需对该产品主要配件2年质保，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CE1A52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7446E">
                          <w:pPr>
                            <w:pStyle w:val="2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7446E">
                    <w:pPr>
                      <w:pStyle w:val="2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4A9B5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833392"/>
    <w:rsid w:val="16D526A0"/>
    <w:rsid w:val="19FB0796"/>
    <w:rsid w:val="1AE6140D"/>
    <w:rsid w:val="1B6A42E8"/>
    <w:rsid w:val="222739D6"/>
    <w:rsid w:val="369C324C"/>
    <w:rsid w:val="420A4C77"/>
    <w:rsid w:val="4BB963EB"/>
    <w:rsid w:val="51333F46"/>
    <w:rsid w:val="55F514BF"/>
    <w:rsid w:val="6CF50B68"/>
    <w:rsid w:val="7D2E5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9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4208</Words>
  <Characters>4677</Characters>
  <Lines>0</Lines>
  <Paragraphs>0</Paragraphs>
  <TotalTime>0</TotalTime>
  <ScaleCrop>false</ScaleCrop>
  <LinksUpToDate>false</LinksUpToDate>
  <CharactersWithSpaces>4786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2025-11-14T05:52:00Z</dcterms:created>
  <dc:creator>Lenovo</dc:creator>
  <cp:lastModifiedBy>车侑蓝</cp:lastModifiedBy>
  <dcterms:modified xsi:type="dcterms:W3CDTF">2025-12-24T06:00:21Z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eyJoZGlkIjoiODViY2JkMjU3NGYzZTEwMzZmMGFkZWViYmNkYWU3NDIiLCJ1c2VySWQiOiI1MDg2MjI3ODgifQ==</vt:lpwstr>
  </property>
  <property fmtid="{D5CDD505-2E9C-101B-9397-08002B2CF9AE}" pid="4" name="ICV">
    <vt:lpwstr>5D1AD40A757E4EFF88FEEEF4F3FE660B_13</vt:lpwstr>
  </property>
</Properties>
</file>