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center"/>
        <w:rPr>
          <w:b/>
          <w:sz w:val="44"/>
          <w:szCs w:val="44"/>
        </w:rPr>
      </w:pPr>
      <w:bookmarkStart w:id="0" w:name="_GoBack"/>
      <w:r>
        <w:rPr>
          <w:rFonts w:hint="eastAsia"/>
          <w:b/>
          <w:sz w:val="44"/>
          <w:szCs w:val="44"/>
        </w:rPr>
        <w:t>重庆仓储运营招标技术方案</w:t>
      </w:r>
    </w:p>
    <w:bookmarkEnd w:id="0"/>
    <w:p>
      <w:pPr>
        <w:spacing w:line="520" w:lineRule="exact"/>
        <w:jc w:val="left"/>
        <w:rPr>
          <w:b/>
          <w:sz w:val="32"/>
          <w:szCs w:val="32"/>
        </w:rPr>
      </w:pPr>
    </w:p>
    <w:p>
      <w:pPr>
        <w:spacing w:line="520" w:lineRule="exact"/>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目前</w:t>
      </w:r>
      <w:r>
        <w:rPr>
          <w:rFonts w:hint="eastAsia" w:ascii="Times New Roman" w:hAnsi="Times New Roman" w:eastAsia="方正仿宋_GBK"/>
          <w:sz w:val="32"/>
          <w:szCs w:val="32"/>
          <w:lang w:eastAsia="zh-CN"/>
        </w:rPr>
        <w:t>我公司</w:t>
      </w:r>
      <w:r>
        <w:rPr>
          <w:rFonts w:hint="eastAsia" w:ascii="Times New Roman" w:hAnsi="Times New Roman" w:eastAsia="方正仿宋_GBK"/>
          <w:sz w:val="32"/>
          <w:szCs w:val="32"/>
        </w:rPr>
        <w:t>涪陵生产基地多厂提货，产品品种多，大单品定向发货后非大单品配货困难的问题，现拟定在重庆设立前置仓。</w:t>
      </w:r>
    </w:p>
    <w:p>
      <w:pPr>
        <w:spacing w:line="520" w:lineRule="exact"/>
        <w:ind w:left="640"/>
        <w:jc w:val="left"/>
        <w:rPr>
          <w:rFonts w:ascii="Times New Roman" w:hAnsi="Times New Roman" w:eastAsia="方正仿宋_GBK"/>
          <w:b/>
          <w:bCs/>
          <w:sz w:val="32"/>
          <w:szCs w:val="32"/>
        </w:rPr>
      </w:pPr>
      <w:r>
        <w:rPr>
          <w:rFonts w:hint="eastAsia" w:ascii="Times New Roman" w:hAnsi="Times New Roman" w:eastAsia="方正仿宋_GBK"/>
          <w:b/>
          <w:bCs/>
          <w:sz w:val="32"/>
          <w:szCs w:val="32"/>
        </w:rPr>
        <w:t>一、目的</w:t>
      </w:r>
    </w:p>
    <w:p>
      <w:pPr>
        <w:spacing w:line="520" w:lineRule="exact"/>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将涪陵各生产厂产品集中到重庆前置仓，支持中小客户及县乡蓝海市场做大，提高仓库发货及时性，同时解决部分客户产品的定向编码问题。</w:t>
      </w:r>
    </w:p>
    <w:p>
      <w:pPr>
        <w:spacing w:line="500" w:lineRule="exact"/>
        <w:ind w:firstLine="643" w:firstLineChars="200"/>
        <w:jc w:val="left"/>
        <w:rPr>
          <w:rFonts w:ascii="Times New Roman" w:hAnsi="Times New Roman" w:eastAsia="方正仿宋_GBK"/>
          <w:b/>
          <w:bCs/>
          <w:sz w:val="32"/>
          <w:szCs w:val="32"/>
        </w:rPr>
      </w:pPr>
      <w:r>
        <w:rPr>
          <w:rFonts w:hint="eastAsia" w:ascii="Times New Roman" w:hAnsi="Times New Roman" w:eastAsia="方正仿宋_GBK"/>
          <w:b/>
          <w:bCs/>
          <w:sz w:val="32"/>
          <w:szCs w:val="32"/>
        </w:rPr>
        <w:t>二、仓库位置</w:t>
      </w:r>
    </w:p>
    <w:p>
      <w:pPr>
        <w:spacing w:line="500" w:lineRule="exact"/>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重庆江津区物流园，沙坪坝土主镇物流园，空港物流园，寸滩物流园，茶园附近。</w:t>
      </w:r>
    </w:p>
    <w:p>
      <w:pPr>
        <w:spacing w:line="500" w:lineRule="exact"/>
        <w:ind w:firstLine="643" w:firstLineChars="200"/>
        <w:jc w:val="left"/>
        <w:rPr>
          <w:rFonts w:ascii="Times New Roman" w:hAnsi="Times New Roman" w:eastAsia="方正仿宋_GBK"/>
          <w:b/>
          <w:bCs/>
          <w:sz w:val="32"/>
          <w:szCs w:val="32"/>
        </w:rPr>
      </w:pPr>
      <w:r>
        <w:rPr>
          <w:rFonts w:hint="eastAsia" w:ascii="Times New Roman" w:hAnsi="Times New Roman" w:eastAsia="方正仿宋_GBK"/>
          <w:b/>
          <w:bCs/>
          <w:sz w:val="32"/>
          <w:szCs w:val="32"/>
        </w:rPr>
        <w:t>三、仓库面积</w:t>
      </w:r>
    </w:p>
    <w:p>
      <w:pPr>
        <w:spacing w:line="500" w:lineRule="exact"/>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5</w:t>
      </w:r>
      <w:r>
        <w:rPr>
          <w:rFonts w:ascii="Times New Roman" w:hAnsi="Times New Roman" w:eastAsia="方正仿宋_GBK"/>
          <w:sz w:val="32"/>
          <w:szCs w:val="32"/>
        </w:rPr>
        <w:t>000</w:t>
      </w:r>
      <w:r>
        <w:rPr>
          <w:rFonts w:hint="eastAsia" w:ascii="Times New Roman" w:hAnsi="Times New Roman" w:eastAsia="方正仿宋_GBK"/>
          <w:sz w:val="32"/>
          <w:szCs w:val="32"/>
        </w:rPr>
        <w:t>平方米，含进、出库操作面积。</w:t>
      </w:r>
    </w:p>
    <w:p>
      <w:pPr>
        <w:spacing w:line="500" w:lineRule="exact"/>
        <w:ind w:firstLine="643" w:firstLineChars="200"/>
        <w:jc w:val="left"/>
        <w:rPr>
          <w:rFonts w:ascii="Times New Roman" w:hAnsi="Times New Roman" w:eastAsia="方正仿宋_GBK"/>
          <w:b/>
          <w:bCs/>
          <w:sz w:val="32"/>
          <w:szCs w:val="32"/>
        </w:rPr>
      </w:pPr>
      <w:r>
        <w:rPr>
          <w:rFonts w:hint="eastAsia" w:ascii="Times New Roman" w:hAnsi="Times New Roman" w:eastAsia="方正仿宋_GBK"/>
          <w:b/>
          <w:bCs/>
          <w:sz w:val="32"/>
          <w:szCs w:val="32"/>
        </w:rPr>
        <w:t>四、运营模式</w:t>
      </w:r>
    </w:p>
    <w:p>
      <w:pPr>
        <w:spacing w:line="500" w:lineRule="exact"/>
        <w:ind w:firstLine="640" w:firstLineChars="200"/>
        <w:jc w:val="left"/>
        <w:rPr>
          <w:rFonts w:ascii="仿宋_GB2312" w:eastAsia="仿宋_GB2312"/>
          <w:sz w:val="32"/>
          <w:szCs w:val="32"/>
        </w:rPr>
      </w:pPr>
      <w:r>
        <w:rPr>
          <w:rFonts w:hint="eastAsia" w:ascii="Times New Roman" w:hAnsi="Times New Roman" w:eastAsia="方正仿宋_GBK"/>
          <w:bCs/>
          <w:sz w:val="32"/>
          <w:szCs w:val="32"/>
        </w:rPr>
        <w:t>中标重庆仓的运营方代收、代发、代管产品，即交合同方整体运营。</w:t>
      </w:r>
    </w:p>
    <w:p>
      <w:pPr>
        <w:spacing w:line="500" w:lineRule="exact"/>
        <w:ind w:firstLine="643" w:firstLineChars="200"/>
        <w:jc w:val="left"/>
        <w:rPr>
          <w:rFonts w:ascii="Times New Roman" w:hAnsi="Times New Roman" w:eastAsia="方正仿宋_GBK"/>
          <w:b/>
          <w:bCs/>
          <w:sz w:val="32"/>
          <w:szCs w:val="32"/>
        </w:rPr>
      </w:pPr>
      <w:r>
        <w:rPr>
          <w:rFonts w:hint="eastAsia" w:ascii="Times New Roman" w:hAnsi="Times New Roman" w:eastAsia="方正仿宋_GBK"/>
          <w:b/>
          <w:bCs/>
          <w:sz w:val="32"/>
          <w:szCs w:val="32"/>
        </w:rPr>
        <w:t>五、投标单位运营资质及要求</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（一）基本资质要求。具备有效的资质证照资料（主要包含仓储运营资质等）。</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（二）注册资金要求。注册资金人民币</w:t>
      </w:r>
      <w:r>
        <w:rPr>
          <w:rFonts w:ascii="Times New Roman" w:hAnsi="Times New Roman" w:eastAsia="方正仿宋_GBK"/>
          <w:bCs/>
          <w:sz w:val="32"/>
          <w:szCs w:val="32"/>
        </w:rPr>
        <w:t>5000</w:t>
      </w:r>
      <w:r>
        <w:rPr>
          <w:rFonts w:hint="eastAsia" w:ascii="Times New Roman" w:hAnsi="Times New Roman" w:eastAsia="方正仿宋_GBK"/>
          <w:bCs/>
          <w:sz w:val="32"/>
          <w:szCs w:val="32"/>
        </w:rPr>
        <w:t>万元及以上，注册时间五年及以上——提供营业执照影印件。</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（三）有自有仓库或长期租赁仓库——产权证或合同期内的租赁协议及产权证影印件，面积不低于</w:t>
      </w:r>
      <w:r>
        <w:rPr>
          <w:rFonts w:ascii="Times New Roman" w:hAnsi="Times New Roman" w:eastAsia="方正仿宋_GBK"/>
          <w:bCs/>
          <w:sz w:val="32"/>
          <w:szCs w:val="32"/>
        </w:rPr>
        <w:t>10000</w:t>
      </w:r>
      <w:r>
        <w:rPr>
          <w:rFonts w:hint="eastAsia" w:ascii="Times New Roman" w:hAnsi="Times New Roman" w:eastAsia="方正仿宋_GBK"/>
          <w:bCs/>
          <w:sz w:val="32"/>
          <w:szCs w:val="32"/>
        </w:rPr>
        <w:t>平方。</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（四）具备仓储管理及对应的软硬件设施，包括但不仅限于软件系统、叉车、标准托盘、管理人员及装卸货组织能力等。</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（五）能够提供仓储作业、仓储服务、仓储安全等方面的国家与行业标准——提供符合要求的对应管理标准文件影印件。</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（六）业务运营要求</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1.提供每周</w:t>
      </w:r>
      <w:r>
        <w:rPr>
          <w:rFonts w:ascii="Times New Roman" w:hAnsi="Times New Roman" w:eastAsia="方正仿宋_GBK"/>
          <w:bCs/>
          <w:sz w:val="32"/>
          <w:szCs w:val="32"/>
        </w:rPr>
        <w:t>7</w:t>
      </w:r>
      <w:r>
        <w:rPr>
          <w:rFonts w:hint="eastAsia" w:ascii="Times New Roman" w:hAnsi="Times New Roman" w:eastAsia="方正仿宋_GBK"/>
          <w:bCs/>
          <w:sz w:val="32"/>
          <w:szCs w:val="32"/>
        </w:rPr>
        <w:t>天、每天</w:t>
      </w:r>
      <w:r>
        <w:rPr>
          <w:rFonts w:ascii="Times New Roman" w:hAnsi="Times New Roman" w:eastAsia="方正仿宋_GBK"/>
          <w:bCs/>
          <w:sz w:val="32"/>
          <w:szCs w:val="32"/>
        </w:rPr>
        <w:t>16</w:t>
      </w:r>
      <w:r>
        <w:rPr>
          <w:rFonts w:hint="eastAsia" w:ascii="Times New Roman" w:hAnsi="Times New Roman" w:eastAsia="方正仿宋_GBK"/>
          <w:bCs/>
          <w:sz w:val="32"/>
          <w:szCs w:val="32"/>
        </w:rPr>
        <w:t>小时运营服务，对产品进行代收、代发、代管。任何单笔装卸作业没有完成不得中止服务，投标单位承诺全年为招标方提供服务。</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2.产品存储数量不低于</w:t>
      </w:r>
      <w:r>
        <w:rPr>
          <w:rFonts w:ascii="Times New Roman" w:hAnsi="Times New Roman" w:eastAsia="方正仿宋_GBK"/>
          <w:bCs/>
          <w:sz w:val="32"/>
          <w:szCs w:val="32"/>
        </w:rPr>
        <w:t>20</w:t>
      </w:r>
      <w:r>
        <w:rPr>
          <w:rFonts w:hint="eastAsia" w:ascii="Times New Roman" w:hAnsi="Times New Roman" w:eastAsia="方正仿宋_GBK"/>
          <w:bCs/>
          <w:sz w:val="32"/>
          <w:szCs w:val="32"/>
        </w:rPr>
        <w:t>万件。</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3.投标单位负责收货实质性验收（除货品内在品质外），货品必须清洁、完好、无水迹、无擦伤、包装规整、货品名称相符，不影响产品的正常销售，否则不得入库，不予办理签收，特殊情况以招标方通知为准；如货品数量不符，需要立即通知招标方，根据招标方要求办理入库，并据实签收。</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4.发货操作。招标方货运委托单作为投标单位的发货出库依据，特殊情况必须凭招标方通知为准。</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5.发货流程。招标方委托的物流运输单位提货时向投标单位提交盖有物流运输单位鲜章的招标方货运委托单，投标单位核实确认物流公司提交的货运委托单上注明的车号和司机信息后予以发货，经收货人员在出库单上签字完成产品发货的交接。</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6.票据传递</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入库通知单和出库通知单（收货和发货）：在完成入库、出库第一时间内，在招标方系统里下推《分步式调拨入库单》及《销售出库单》，从而完成数据的录入。</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（七）装卸要求</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1.装卸场所清洁卫生、无雨淋，如遇特殊情况，必需用不透水的防雨布严密遮盖。</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2.整车装卸。产品堆码采取“扎花”方式，装卸时由两边同时向中间进行堆码。</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3.装卸工具（含叉车、推车、输送带等）清洁、干燥，无锈蚀、无油污，可有效托载货品。装卸人员身体健康，衣着得体，脚穿软底鞋且鞋底干净，不准穿拖鞋。装卸货品轻拿轻放，不得抛放，不得直接踩踏产品，机械或输送带装卸产品时其跌落高度低于</w:t>
      </w:r>
      <w:r>
        <w:rPr>
          <w:rFonts w:ascii="Times New Roman" w:hAnsi="Times New Roman" w:eastAsia="方正仿宋_GBK"/>
          <w:bCs/>
          <w:sz w:val="32"/>
          <w:szCs w:val="32"/>
        </w:rPr>
        <w:t>0.5</w:t>
      </w:r>
      <w:r>
        <w:rPr>
          <w:rFonts w:hint="eastAsia" w:ascii="Times New Roman" w:hAnsi="Times New Roman" w:eastAsia="方正仿宋_GBK"/>
          <w:bCs/>
          <w:sz w:val="32"/>
          <w:szCs w:val="32"/>
        </w:rPr>
        <w:t>米，且应规范缓落于下层货品平面以防货品尖角刺伤其它货品的包装与产品。</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4.装卸货品堆放应横平竖直，不得倒置；装卸货品应单层或双层或三层压花，以保防止后续工序歪斜、跌落，并确保货品放置稳妥；装卸货品不得超过运输工具、仓贮垛码规定的高度与载荷，且不影响转运操作人员执行位移时对四周的可视性，确保位移安全。</w:t>
      </w:r>
    </w:p>
    <w:p>
      <w:pPr>
        <w:spacing w:line="500" w:lineRule="exact"/>
        <w:ind w:firstLine="640" w:firstLineChars="200"/>
        <w:jc w:val="left"/>
        <w:rPr>
          <w:rFonts w:ascii="Times New Roman" w:hAnsi="Times New Roman" w:eastAsia="方正仿宋_GBK"/>
          <w:bCs/>
          <w:sz w:val="32"/>
          <w:szCs w:val="32"/>
        </w:rPr>
      </w:pPr>
      <w:r>
        <w:rPr>
          <w:rFonts w:ascii="Times New Roman" w:hAnsi="Times New Roman" w:eastAsia="方正仿宋_GBK"/>
          <w:bCs/>
          <w:sz w:val="32"/>
          <w:szCs w:val="32"/>
        </w:rPr>
        <w:t>(</w:t>
      </w:r>
      <w:r>
        <w:rPr>
          <w:rFonts w:hint="eastAsia" w:ascii="Times New Roman" w:hAnsi="Times New Roman" w:eastAsia="方正仿宋_GBK"/>
          <w:bCs/>
          <w:sz w:val="32"/>
          <w:szCs w:val="32"/>
        </w:rPr>
        <w:t>八</w:t>
      </w:r>
      <w:r>
        <w:rPr>
          <w:rFonts w:ascii="Times New Roman" w:hAnsi="Times New Roman" w:eastAsia="方正仿宋_GBK"/>
          <w:bCs/>
          <w:sz w:val="32"/>
          <w:szCs w:val="32"/>
        </w:rPr>
        <w:t>)</w:t>
      </w:r>
      <w:r>
        <w:rPr>
          <w:rFonts w:hint="eastAsia" w:ascii="Times New Roman" w:hAnsi="Times New Roman" w:eastAsia="方正仿宋_GBK"/>
          <w:bCs/>
          <w:sz w:val="32"/>
          <w:szCs w:val="32"/>
        </w:rPr>
        <w:t>产品保管要求</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仓库必须清洁、卫生、干燥、通风、严防三害、无异味、无污染和无水迹；不得接触或靠近有毒物品，且不得与有毒物品混装、混运、混存。若发生仓库不清洁、不卫生、不干燥，有异味、污染和水迹等情况，不得存放产品。发生与有毒物品混装、混运、混存，除赔偿直接损失外，还应赔偿因此而产生的相关各方损失。</w:t>
      </w:r>
    </w:p>
    <w:p>
      <w:pPr>
        <w:spacing w:line="500" w:lineRule="exact"/>
        <w:ind w:firstLine="643" w:firstLineChars="200"/>
        <w:jc w:val="left"/>
        <w:rPr>
          <w:rFonts w:ascii="Times New Roman" w:hAnsi="Times New Roman" w:eastAsia="方正仿宋_GBK"/>
          <w:b/>
          <w:bCs/>
          <w:sz w:val="32"/>
          <w:szCs w:val="32"/>
        </w:rPr>
      </w:pPr>
      <w:r>
        <w:rPr>
          <w:rFonts w:hint="eastAsia" w:ascii="Times New Roman" w:hAnsi="Times New Roman" w:eastAsia="方正仿宋_GBK"/>
          <w:b/>
          <w:bCs/>
          <w:sz w:val="32"/>
          <w:szCs w:val="32"/>
        </w:rPr>
        <w:t>六、投标单位的责任和义务</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一）投标单位应根据招标方货品特征，提供满足其产品保管、装卸的库房及相关设施设备，包括不限于照明、自来水、消防、装卸平台、电动叉车或手动液压叉车、托盘等，并保证库房及相关设施设备在作业期间正常使用，损坏立即补足，并自行负责维修和保养，招标方不承担损坏赔偿责任和机器折旧等费用。</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（二）在库货品的所有权属招标方，严禁投标单位在招标方承租仓库私自进出货品和堆放非招标方货品。</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（三）投标单位应保证招标方货物的安全。</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1.招标方财物被盗、水灾、火灾等情况所造成的经济损失及相关法律责任由投标单位承担。</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2.投标单位装卸应按照招标方相关要求进行装卸作业，禁止无防护雨天作业、严禁野蛮装卸、抛摔货物和使用有损货物外包装的搬运工具等，因上述原因造成招标方货物损失，由投标单位承担。</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3.投标单位应保证帐实相符率</w:t>
      </w:r>
      <w:r>
        <w:rPr>
          <w:rFonts w:ascii="Times New Roman" w:hAnsi="Times New Roman" w:eastAsia="方正仿宋_GBK"/>
          <w:bCs/>
          <w:sz w:val="32"/>
          <w:szCs w:val="32"/>
        </w:rPr>
        <w:t>100%</w:t>
      </w:r>
      <w:r>
        <w:rPr>
          <w:rFonts w:hint="eastAsia" w:ascii="Times New Roman" w:hAnsi="Times New Roman" w:eastAsia="方正仿宋_GBK"/>
          <w:bCs/>
          <w:sz w:val="32"/>
          <w:szCs w:val="32"/>
        </w:rPr>
        <w:t>，否则，造成的经济损失由投标单位全部承担。</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4.投标单位应保持仓库及招标方产品的清洁卫生、通风干燥，不得与有毒、有异味物品混装、混存及共用装卸器具，若因此发生食品安全等事故或事件，投标单位应赔偿招标方相应的货物损失及其它间接损失。</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四）投标单位必须统筹规划，合理布局仓储货品的陈列堆码，并按照招标方制定的货品防护管理办法和堆码要求进行管理，保障库容量最大化。如果投标单位没有遵照履行双方约定的库容量，而使招标方货品无法在规定的时间入库，由投标单位承担相关责任。</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五）货品入库必须按照货品名称和生产日期进行分离堆码和扎花，并按照招标方仓储管理规定进行标识管理；做到按批号出库，特殊情况必须按照招标方要求执行。如未执行按批号出库，造成大日期产品，相关损失由投标单位承担。</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六）投标单位需按照招标方要求：对招标方所有品种实施编码操作、按单据批号出库，如因投标单位未实施好编码操作，造成客户窜货而追查不出窜货客户，投标单位应根据招标方相应窜货处罚规定承担赔偿责任。</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（七）投标单位需统筹规划，保证装卸产品方便快捷，提高装卸作业效率，并在约定作业时间装卸作业。整车</w:t>
      </w:r>
      <w:r>
        <w:rPr>
          <w:rFonts w:ascii="Times New Roman" w:hAnsi="Times New Roman" w:eastAsia="方正仿宋_GBK"/>
          <w:bCs/>
          <w:sz w:val="32"/>
          <w:szCs w:val="32"/>
        </w:rPr>
        <w:t>18</w:t>
      </w:r>
      <w:r>
        <w:rPr>
          <w:rFonts w:hint="eastAsia" w:ascii="Times New Roman" w:hAnsi="Times New Roman" w:eastAsia="方正仿宋_GBK"/>
          <w:bCs/>
          <w:sz w:val="32"/>
          <w:szCs w:val="32"/>
        </w:rPr>
        <w:t>吨</w:t>
      </w:r>
      <w:r>
        <w:rPr>
          <w:rFonts w:ascii="Times New Roman" w:hAnsi="Times New Roman" w:eastAsia="方正仿宋_GBK"/>
          <w:bCs/>
          <w:sz w:val="32"/>
          <w:szCs w:val="32"/>
        </w:rPr>
        <w:t>-30</w:t>
      </w:r>
      <w:r>
        <w:rPr>
          <w:rFonts w:hint="eastAsia" w:ascii="Times New Roman" w:hAnsi="Times New Roman" w:eastAsia="方正仿宋_GBK"/>
          <w:bCs/>
          <w:sz w:val="32"/>
          <w:szCs w:val="32"/>
        </w:rPr>
        <w:t>吨要求装卸完毕不超过</w:t>
      </w:r>
      <w:r>
        <w:rPr>
          <w:rFonts w:ascii="Times New Roman" w:hAnsi="Times New Roman" w:eastAsia="方正仿宋_GBK"/>
          <w:bCs/>
          <w:sz w:val="32"/>
          <w:szCs w:val="32"/>
        </w:rPr>
        <w:t>2.5</w:t>
      </w:r>
      <w:r>
        <w:rPr>
          <w:rFonts w:hint="eastAsia" w:ascii="Times New Roman" w:hAnsi="Times New Roman" w:eastAsia="方正仿宋_GBK"/>
          <w:bCs/>
          <w:sz w:val="32"/>
          <w:szCs w:val="32"/>
        </w:rPr>
        <w:t>小时，整车</w:t>
      </w:r>
      <w:r>
        <w:rPr>
          <w:rFonts w:ascii="Times New Roman" w:hAnsi="Times New Roman" w:eastAsia="方正仿宋_GBK"/>
          <w:bCs/>
          <w:sz w:val="32"/>
          <w:szCs w:val="32"/>
        </w:rPr>
        <w:t>18</w:t>
      </w:r>
      <w:r>
        <w:rPr>
          <w:rFonts w:hint="eastAsia" w:ascii="Times New Roman" w:hAnsi="Times New Roman" w:eastAsia="方正仿宋_GBK"/>
          <w:bCs/>
          <w:sz w:val="32"/>
          <w:szCs w:val="32"/>
        </w:rPr>
        <w:t>吨以内要求装卸完毕不超过</w:t>
      </w:r>
      <w:r>
        <w:rPr>
          <w:rFonts w:ascii="Times New Roman" w:hAnsi="Times New Roman" w:eastAsia="方正仿宋_GBK"/>
          <w:bCs/>
          <w:sz w:val="32"/>
          <w:szCs w:val="32"/>
        </w:rPr>
        <w:t>1.5</w:t>
      </w:r>
      <w:r>
        <w:rPr>
          <w:rFonts w:hint="eastAsia" w:ascii="Times New Roman" w:hAnsi="Times New Roman" w:eastAsia="方正仿宋_GBK"/>
          <w:bCs/>
          <w:sz w:val="32"/>
          <w:szCs w:val="32"/>
        </w:rPr>
        <w:t>小时。投标单位应按照招标方要求进行装卸货，每月如果发生</w:t>
      </w:r>
      <w:r>
        <w:rPr>
          <w:rFonts w:ascii="Times New Roman" w:hAnsi="Times New Roman" w:eastAsia="方正仿宋_GBK"/>
          <w:bCs/>
          <w:sz w:val="32"/>
          <w:szCs w:val="32"/>
        </w:rPr>
        <w:t>5</w:t>
      </w:r>
      <w:r>
        <w:rPr>
          <w:rFonts w:hint="eastAsia" w:ascii="Times New Roman" w:hAnsi="Times New Roman" w:eastAsia="方正仿宋_GBK"/>
          <w:bCs/>
          <w:sz w:val="32"/>
          <w:szCs w:val="32"/>
        </w:rPr>
        <w:t>次及以上装卸纠纷、赔偿情况或者无法按照招标方要求时间、作业要求完成招标方货品装卸，招标方或者招标方委托的其他装卸作业队（含第三方物流公司自行组织搬运等）装卸人员，可以进入投标单位场地对招标方货品进行装卸作业。</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（八）相关报表的报送：投标单位每天需向招标方中转库管理人员提交中转库库存台账、库存实物盘点表、出库日报表等报表。</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（九）投标单位为招标方在仓库办公室提供</w:t>
      </w:r>
      <w:r>
        <w:rPr>
          <w:rFonts w:ascii="Times New Roman" w:hAnsi="Times New Roman" w:eastAsia="方正仿宋_GBK"/>
          <w:bCs/>
          <w:sz w:val="32"/>
          <w:szCs w:val="32"/>
        </w:rPr>
        <w:t>1</w:t>
      </w:r>
      <w:r>
        <w:rPr>
          <w:rFonts w:hint="eastAsia" w:ascii="Times New Roman" w:hAnsi="Times New Roman" w:eastAsia="方正仿宋_GBK"/>
          <w:bCs/>
          <w:sz w:val="32"/>
          <w:szCs w:val="32"/>
        </w:rPr>
        <w:t>人的办公配置，含办公桌椅、照明设备、网络等（不含电话、传真、打印机、电脑和耗材等），相关费用由投标单位承担。</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十）投标单位需配置乌江项目经理一名，负责与招标方业务的对接沟通，并按业务要求配置专职保管，搬运工等，以上人员的管理主体、劳动关系为投标方。同时保证招标方仓储外包业务的正常运行。本条相关人员用工主体为投标单位，招标方不予承担任何费用和承担安全等相关法律责任。</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（十一）投标单位应保证招标方货品资料的保密性，如因投标单位相关人员泄露招标方资料造成招标方损失，投标单位应承担相应赔偿责任。</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十二）在合同期内，如发生任何民事纠纷，投标单位应无条件进行协商处理，对因为非招标方原因导致不能正常进出库的，每影响一天按前一天盘点实际库存产品价值（按投标单位每年初发布的价格文件为准）的</w:t>
      </w:r>
      <w:r>
        <w:rPr>
          <w:rFonts w:ascii="Times New Roman" w:hAnsi="Times New Roman" w:eastAsia="方正仿宋_GBK"/>
          <w:bCs/>
          <w:sz w:val="32"/>
          <w:szCs w:val="32"/>
        </w:rPr>
        <w:t>5%</w:t>
      </w:r>
      <w:r>
        <w:rPr>
          <w:rFonts w:hint="eastAsia" w:ascii="Times New Roman" w:hAnsi="Times New Roman" w:eastAsia="方正仿宋_GBK"/>
          <w:bCs/>
          <w:sz w:val="32"/>
          <w:szCs w:val="32"/>
        </w:rPr>
        <w:t>赔偿给招标方，持续时间达到</w:t>
      </w:r>
      <w:r>
        <w:rPr>
          <w:rFonts w:ascii="Times New Roman" w:hAnsi="Times New Roman" w:eastAsia="方正仿宋_GBK"/>
          <w:bCs/>
          <w:sz w:val="32"/>
          <w:szCs w:val="32"/>
        </w:rPr>
        <w:t>7</w:t>
      </w:r>
      <w:r>
        <w:rPr>
          <w:rFonts w:hint="eastAsia" w:ascii="Times New Roman" w:hAnsi="Times New Roman" w:eastAsia="方正仿宋_GBK"/>
          <w:bCs/>
          <w:sz w:val="32"/>
          <w:szCs w:val="32"/>
        </w:rPr>
        <w:t>天以上，招标方有权解除合同并赔偿相应损失。</w:t>
      </w:r>
    </w:p>
    <w:p>
      <w:pPr>
        <w:spacing w:line="500" w:lineRule="exact"/>
        <w:ind w:firstLine="643" w:firstLineChars="200"/>
        <w:jc w:val="left"/>
        <w:rPr>
          <w:rFonts w:ascii="Times New Roman" w:hAnsi="Times New Roman" w:eastAsia="方正仿宋_GBK"/>
          <w:b/>
          <w:bCs/>
          <w:sz w:val="32"/>
          <w:szCs w:val="32"/>
        </w:rPr>
      </w:pPr>
      <w:r>
        <w:rPr>
          <w:rFonts w:hint="eastAsia" w:ascii="Times New Roman" w:hAnsi="Times New Roman" w:eastAsia="方正仿宋_GBK"/>
          <w:b/>
          <w:bCs/>
          <w:sz w:val="32"/>
          <w:szCs w:val="32"/>
        </w:rPr>
        <w:t>七、报价模式</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（一）仓储租金按“元</w:t>
      </w:r>
      <w:r>
        <w:rPr>
          <w:rFonts w:ascii="Times New Roman" w:hAnsi="Times New Roman" w:eastAsia="方正仿宋_GBK"/>
          <w:bCs/>
          <w:sz w:val="32"/>
          <w:szCs w:val="32"/>
        </w:rPr>
        <w:t>/</w:t>
      </w:r>
      <w:r>
        <w:rPr>
          <w:rFonts w:hint="eastAsia" w:ascii="Times New Roman" w:hAnsi="Times New Roman" w:eastAsia="方正仿宋_GBK"/>
          <w:bCs/>
          <w:sz w:val="32"/>
          <w:szCs w:val="32"/>
        </w:rPr>
        <w:t>平方米”报价，该报价包含但不仅限于仓库租金、人工工资、水电费、仓库管理治安费等</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（二）装卸费用：按“元</w:t>
      </w:r>
      <w:r>
        <w:rPr>
          <w:rFonts w:ascii="Times New Roman" w:hAnsi="Times New Roman" w:eastAsia="方正仿宋_GBK"/>
          <w:bCs/>
          <w:sz w:val="32"/>
          <w:szCs w:val="32"/>
        </w:rPr>
        <w:t>/</w:t>
      </w:r>
      <w:r>
        <w:rPr>
          <w:rFonts w:hint="eastAsia" w:ascii="Times New Roman" w:hAnsi="Times New Roman" w:eastAsia="方正仿宋_GBK"/>
          <w:bCs/>
          <w:sz w:val="32"/>
          <w:szCs w:val="32"/>
        </w:rPr>
        <w:t>吨”报价。根据仓库实际出库重量予以结算，投标方不得向招标方指定的承运物流公司收取任何费用。</w:t>
      </w:r>
    </w:p>
    <w:p>
      <w:pPr>
        <w:spacing w:line="500" w:lineRule="exact"/>
        <w:ind w:firstLine="640"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（三）费用结算：投标单位仓储租赁及管理费、装卸费实行月结，每月底投标单位需将当月费用并附相关资料交招标方审核，招标方审核通过后，投标单位在次月</w:t>
      </w:r>
      <w:r>
        <w:rPr>
          <w:rFonts w:ascii="Times New Roman" w:hAnsi="Times New Roman" w:eastAsia="方正仿宋_GBK"/>
          <w:bCs/>
          <w:sz w:val="32"/>
          <w:szCs w:val="32"/>
        </w:rPr>
        <w:t>10</w:t>
      </w:r>
      <w:r>
        <w:rPr>
          <w:rFonts w:hint="eastAsia" w:ascii="Times New Roman" w:hAnsi="Times New Roman" w:eastAsia="方正仿宋_GBK"/>
          <w:bCs/>
          <w:sz w:val="32"/>
          <w:szCs w:val="32"/>
        </w:rPr>
        <w:t>日前根据上月结算费用开具合法</w:t>
      </w:r>
      <w:r>
        <w:rPr>
          <w:rFonts w:hint="eastAsia" w:ascii="Times New Roman" w:hAnsi="Times New Roman" w:eastAsia="方正仿宋_GBK"/>
          <w:bCs/>
          <w:sz w:val="32"/>
          <w:szCs w:val="32"/>
          <w:lang w:val="en-US" w:eastAsia="zh-CN"/>
        </w:rPr>
        <w:t>6%</w:t>
      </w:r>
      <w:r>
        <w:rPr>
          <w:rFonts w:hint="eastAsia" w:ascii="Times New Roman" w:hAnsi="Times New Roman" w:eastAsia="方正仿宋_GBK"/>
          <w:bCs/>
          <w:sz w:val="32"/>
          <w:szCs w:val="32"/>
        </w:rPr>
        <w:t>增值税专用发票，招标方在收到发票后</w:t>
      </w:r>
      <w:r>
        <w:rPr>
          <w:rFonts w:ascii="Times New Roman" w:hAnsi="Times New Roman" w:eastAsia="方正仿宋_GBK"/>
          <w:bCs/>
          <w:sz w:val="32"/>
          <w:szCs w:val="32"/>
        </w:rPr>
        <w:t>20</w:t>
      </w:r>
      <w:r>
        <w:rPr>
          <w:rFonts w:hint="eastAsia" w:ascii="Times New Roman" w:hAnsi="Times New Roman" w:eastAsia="方正仿宋_GBK"/>
          <w:bCs/>
          <w:sz w:val="32"/>
          <w:szCs w:val="32"/>
        </w:rPr>
        <w:t>个工作日内支付；若逾期未付，投标单位有权每天按应付费用的万分之五取滞纳金，超过一个月不支付仓储服务费及装卸服务费时，投标单位除收取仓储及装卸服务费、滞纳金外，还有权终止合同，收回库房。</w:t>
      </w:r>
    </w:p>
    <w:p>
      <w:pPr>
        <w:spacing w:line="500" w:lineRule="exact"/>
        <w:ind w:firstLine="643" w:firstLineChars="200"/>
        <w:jc w:val="left"/>
        <w:rPr>
          <w:rFonts w:ascii="Times New Roman" w:hAnsi="Times New Roman" w:eastAsia="方正仿宋_GBK"/>
          <w:b/>
          <w:bCs/>
          <w:sz w:val="32"/>
          <w:szCs w:val="32"/>
        </w:rPr>
      </w:pPr>
      <w:r>
        <w:rPr>
          <w:rFonts w:hint="eastAsia" w:ascii="Times New Roman" w:hAnsi="Times New Roman" w:eastAsia="方正仿宋_GBK"/>
          <w:b/>
          <w:bCs/>
          <w:sz w:val="32"/>
          <w:szCs w:val="32"/>
        </w:rPr>
        <w:t>八、评标规则</w:t>
      </w:r>
    </w:p>
    <w:p>
      <w:pPr>
        <w:spacing w:line="500" w:lineRule="exact"/>
        <w:ind w:firstLine="640" w:firstLineChars="200"/>
        <w:jc w:val="left"/>
        <w:rPr>
          <w:rFonts w:hint="eastAsia" w:ascii="Times New Roman" w:hAnsi="Times New Roman" w:eastAsia="方正仿宋_GBK"/>
          <w:bCs/>
          <w:sz w:val="32"/>
          <w:szCs w:val="32"/>
        </w:rPr>
      </w:pPr>
      <w:r>
        <w:rPr>
          <w:rFonts w:hint="eastAsia" w:ascii="Times New Roman" w:hAnsi="Times New Roman" w:eastAsia="方正仿宋_GBK"/>
          <w:bCs/>
          <w:color w:val="000000"/>
          <w:sz w:val="32"/>
          <w:szCs w:val="32"/>
        </w:rPr>
        <w:t>根据“第七项”价格，招标方结合仓库所在位置，测算涪陵生产基地到仓、仓到就近专线物流园的距离（寸滩或双福物流园）；模拟测</w:t>
      </w:r>
      <w:r>
        <w:rPr>
          <w:rFonts w:hint="eastAsia" w:ascii="Times New Roman" w:hAnsi="Times New Roman" w:eastAsia="方正仿宋_GBK"/>
          <w:bCs/>
          <w:sz w:val="32"/>
          <w:szCs w:val="32"/>
        </w:rPr>
        <w:t>算年度总运营费用（仓储单价</w:t>
      </w:r>
      <w:r>
        <w:rPr>
          <w:rFonts w:hint="eastAsia" w:ascii="Times New Roman" w:hAnsi="Times New Roman" w:eastAsia="方正仿宋_GBK"/>
          <w:bCs/>
          <w:sz w:val="32"/>
          <w:szCs w:val="32"/>
          <w:lang w:val="en-US" w:eastAsia="zh-CN"/>
        </w:rPr>
        <w:t>×</w:t>
      </w:r>
      <w:r>
        <w:rPr>
          <w:rFonts w:hint="eastAsia" w:ascii="Times New Roman" w:hAnsi="Times New Roman" w:eastAsia="方正仿宋_GBK"/>
          <w:bCs/>
          <w:sz w:val="32"/>
          <w:szCs w:val="32"/>
        </w:rPr>
        <w:t>面积5000平方米</w:t>
      </w:r>
      <w:r>
        <w:rPr>
          <w:rFonts w:hint="eastAsia" w:ascii="Times New Roman" w:hAnsi="Times New Roman" w:eastAsia="方正仿宋_GBK"/>
          <w:bCs/>
          <w:sz w:val="32"/>
          <w:szCs w:val="32"/>
          <w:lang w:val="en-US" w:eastAsia="zh-CN"/>
        </w:rPr>
        <w:t>×</w:t>
      </w:r>
      <w:r>
        <w:rPr>
          <w:rFonts w:hint="eastAsia" w:ascii="Times New Roman" w:hAnsi="Times New Roman" w:eastAsia="方正仿宋_GBK"/>
          <w:bCs/>
          <w:sz w:val="32"/>
          <w:szCs w:val="32"/>
        </w:rPr>
        <w:t>12+装卸费用、短驳费用</w:t>
      </w:r>
      <w:r>
        <w:rPr>
          <w:rFonts w:hint="eastAsia" w:ascii="Times New Roman" w:hAnsi="Times New Roman" w:eastAsia="方正仿宋_GBK"/>
          <w:bCs/>
          <w:sz w:val="32"/>
          <w:szCs w:val="32"/>
          <w:lang w:val="en-US" w:eastAsia="zh-CN"/>
        </w:rPr>
        <w:t>×</w:t>
      </w:r>
      <w:r>
        <w:rPr>
          <w:rFonts w:hint="eastAsia" w:ascii="Times New Roman" w:hAnsi="Times New Roman" w:eastAsia="方正仿宋_GBK"/>
          <w:bCs/>
          <w:sz w:val="32"/>
          <w:szCs w:val="32"/>
        </w:rPr>
        <w:t>5万吨年运营量），总运营费用 低的获得中标资格；按“第七项”所报价格签定合同，具体运营数量以实际为准。</w:t>
      </w:r>
    </w:p>
    <w:p>
      <w:pPr>
        <w:spacing w:line="500" w:lineRule="exact"/>
        <w:ind w:firstLine="640" w:firstLineChars="200"/>
        <w:jc w:val="left"/>
        <w:rPr>
          <w:rFonts w:hint="eastAsia" w:ascii="Times New Roman" w:hAnsi="Times New Roman" w:eastAsia="方正仿宋_GBK"/>
          <w:bCs/>
          <w:sz w:val="32"/>
          <w:szCs w:val="32"/>
        </w:rPr>
        <w:sectPr>
          <w:footerReference r:id="rId3" w:type="default"/>
          <w:pgSz w:w="11906" w:h="16838"/>
          <w:pgMar w:top="1440" w:right="1701" w:bottom="1440" w:left="1803" w:header="851" w:footer="992" w:gutter="0"/>
          <w:cols w:space="720" w:num="1"/>
          <w:docGrid w:type="lines" w:linePitch="323" w:charSpace="0"/>
        </w:sectPr>
      </w:pPr>
      <w:r>
        <w:rPr>
          <w:rFonts w:hint="eastAsia" w:ascii="Times New Roman" w:hAnsi="Times New Roman" w:eastAsia="方正仿宋_GBK"/>
          <w:bCs/>
          <w:sz w:val="32"/>
          <w:szCs w:val="32"/>
        </w:rPr>
        <w:t>短驳费用测算标准：以所有投标方仓库位置与涪陵生产</w:t>
      </w:r>
    </w:p>
    <w:p>
      <w:pPr>
        <w:spacing w:line="500" w:lineRule="exact"/>
        <w:ind w:firstLine="640" w:firstLineChars="200"/>
        <w:jc w:val="left"/>
        <w:rPr>
          <w:rFonts w:hint="eastAsia" w:ascii="Times New Roman" w:hAnsi="Times New Roman" w:eastAsia="方正仿宋_GBK"/>
          <w:bCs/>
          <w:sz w:val="32"/>
          <w:szCs w:val="32"/>
        </w:rPr>
      </w:pPr>
      <w:r>
        <w:rPr>
          <w:rFonts w:hint="eastAsia" w:ascii="Times New Roman" w:hAnsi="Times New Roman" w:eastAsia="方正仿宋_GBK"/>
          <w:bCs/>
          <w:sz w:val="32"/>
          <w:szCs w:val="32"/>
        </w:rPr>
        <w:t>基地、仓到就近专线物流园距离测算平均里程及短驳标准价，短驳标准价=</w:t>
      </w:r>
      <w:r>
        <w:rPr>
          <w:rFonts w:hint="eastAsia" w:ascii="Times New Roman" w:hAnsi="Times New Roman" w:eastAsia="方正仿宋_GBK"/>
          <w:bCs/>
          <w:sz w:val="32"/>
          <w:szCs w:val="32"/>
          <w:lang w:eastAsia="zh-CN"/>
        </w:rPr>
        <w:t>实际</w:t>
      </w:r>
      <w:r>
        <w:rPr>
          <w:rFonts w:hint="eastAsia" w:ascii="Times New Roman" w:hAnsi="Times New Roman" w:eastAsia="方正仿宋_GBK"/>
          <w:bCs/>
          <w:sz w:val="32"/>
          <w:szCs w:val="32"/>
        </w:rPr>
        <w:t>里程</w:t>
      </w:r>
      <w:r>
        <w:rPr>
          <w:rFonts w:hint="eastAsia" w:ascii="Times New Roman" w:hAnsi="Times New Roman" w:eastAsia="方正仿宋_GBK"/>
          <w:bCs/>
          <w:sz w:val="32"/>
          <w:szCs w:val="32"/>
          <w:lang w:val="en-US" w:eastAsia="zh-CN"/>
        </w:rPr>
        <w:t>×</w:t>
      </w:r>
      <w:r>
        <w:rPr>
          <w:rFonts w:hint="eastAsia" w:ascii="Times New Roman" w:hAnsi="Times New Roman" w:eastAsia="方正仿宋_GBK"/>
          <w:bCs/>
          <w:sz w:val="32"/>
          <w:szCs w:val="32"/>
        </w:rPr>
        <w:t>0.8元/吨。实际里程与平均里程每上升一公里，短驳标准价减少0.5元；实际里程与平均里程减少一公里，短驳标准价增加0.5元。</w:t>
      </w:r>
    </w:p>
    <w:p>
      <w:pPr>
        <w:spacing w:line="500" w:lineRule="exact"/>
        <w:ind w:firstLine="640" w:firstLineChars="200"/>
        <w:jc w:val="left"/>
        <w:rPr>
          <w:rFonts w:hint="eastAsia" w:ascii="Times New Roman" w:hAnsi="Times New Roman" w:eastAsia="方正仿宋_GBK"/>
          <w:bCs/>
          <w:sz w:val="32"/>
          <w:szCs w:val="32"/>
        </w:rPr>
      </w:pPr>
    </w:p>
    <w:p>
      <w:pPr>
        <w:spacing w:line="500" w:lineRule="exact"/>
        <w:ind w:firstLine="640" w:firstLineChars="200"/>
        <w:jc w:val="left"/>
        <w:rPr>
          <w:rFonts w:hint="eastAsia" w:ascii="Times New Roman" w:hAnsi="Times New Roman" w:eastAsia="方正仿宋_GBK"/>
          <w:bCs/>
          <w:sz w:val="32"/>
          <w:szCs w:val="32"/>
        </w:rPr>
      </w:pPr>
    </w:p>
    <w:p>
      <w:pPr>
        <w:tabs>
          <w:tab w:val="left" w:pos="1080"/>
        </w:tabs>
        <w:spacing w:line="360" w:lineRule="auto"/>
        <w:ind w:firstLine="640" w:firstLineChars="200"/>
        <w:jc w:val="center"/>
        <w:rPr>
          <w:rFonts w:hint="eastAsia" w:ascii="仿宋_GB2312" w:eastAsia="仿宋_GB2312"/>
          <w:kern w:val="0"/>
          <w:sz w:val="32"/>
          <w:szCs w:val="32"/>
          <w:lang w:eastAsia="zh-CN"/>
        </w:rPr>
      </w:pPr>
    </w:p>
    <w:p>
      <w:pPr>
        <w:tabs>
          <w:tab w:val="left" w:pos="1080"/>
        </w:tabs>
        <w:spacing w:line="360" w:lineRule="auto"/>
        <w:ind w:firstLine="640" w:firstLineChars="200"/>
        <w:jc w:val="center"/>
        <w:rPr>
          <w:rFonts w:hint="eastAsia" w:ascii="仿宋_GB2312" w:eastAsia="仿宋_GB2312"/>
          <w:kern w:val="0"/>
          <w:sz w:val="32"/>
          <w:szCs w:val="32"/>
        </w:rPr>
      </w:pPr>
      <w:r>
        <w:rPr>
          <w:rFonts w:hint="eastAsia" w:ascii="仿宋_GB2312" w:eastAsia="仿宋_GB2312"/>
          <w:kern w:val="0"/>
          <w:sz w:val="32"/>
          <w:szCs w:val="32"/>
          <w:lang w:eastAsia="zh-CN"/>
        </w:rPr>
        <w:t>投标报价</w:t>
      </w:r>
      <w:r>
        <w:rPr>
          <w:rFonts w:hint="eastAsia" w:ascii="仿宋_GB2312" w:eastAsia="仿宋_GB2312"/>
          <w:kern w:val="0"/>
          <w:sz w:val="32"/>
          <w:szCs w:val="32"/>
        </w:rPr>
        <w:t>表</w:t>
      </w:r>
    </w:p>
    <w:p>
      <w:pPr>
        <w:tabs>
          <w:tab w:val="left" w:pos="1080"/>
        </w:tabs>
        <w:spacing w:line="360" w:lineRule="auto"/>
        <w:ind w:firstLine="640" w:firstLineChars="200"/>
        <w:rPr>
          <w:rFonts w:hint="eastAsia" w:ascii="仿宋_GB2312" w:eastAsia="仿宋_GB2312"/>
          <w:kern w:val="0"/>
          <w:sz w:val="32"/>
          <w:szCs w:val="32"/>
        </w:rPr>
      </w:pPr>
    </w:p>
    <w:tbl>
      <w:tblPr>
        <w:tblStyle w:val="3"/>
        <w:tblW w:w="9087" w:type="dxa"/>
        <w:tblInd w:w="0" w:type="dxa"/>
        <w:tblLayout w:type="fixed"/>
        <w:tblCellMar>
          <w:top w:w="0" w:type="dxa"/>
          <w:left w:w="108" w:type="dxa"/>
          <w:bottom w:w="0" w:type="dxa"/>
          <w:right w:w="108" w:type="dxa"/>
        </w:tblCellMar>
      </w:tblPr>
      <w:tblGrid>
        <w:gridCol w:w="1218"/>
        <w:gridCol w:w="2204"/>
        <w:gridCol w:w="1569"/>
        <w:gridCol w:w="2273"/>
        <w:gridCol w:w="1823"/>
      </w:tblGrid>
      <w:tr>
        <w:tblPrEx>
          <w:tblCellMar>
            <w:top w:w="0" w:type="dxa"/>
            <w:left w:w="108" w:type="dxa"/>
            <w:bottom w:w="0" w:type="dxa"/>
            <w:right w:w="108" w:type="dxa"/>
          </w:tblCellMar>
        </w:tblPrEx>
        <w:trPr>
          <w:trHeight w:val="750" w:hRule="atLeast"/>
        </w:trPr>
        <w:tc>
          <w:tcPr>
            <w:tcW w:w="1218"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方正仿宋_GBK" w:hAnsi="宋体" w:eastAsia="方正仿宋_GBK" w:cs="宋体"/>
                <w:b/>
                <w:bCs/>
                <w:color w:val="000000"/>
                <w:kern w:val="0"/>
                <w:sz w:val="28"/>
                <w:szCs w:val="28"/>
              </w:rPr>
            </w:pPr>
            <w:r>
              <w:rPr>
                <w:rFonts w:hint="eastAsia" w:ascii="方正仿宋_GBK" w:hAnsi="宋体" w:eastAsia="方正仿宋_GBK" w:cs="宋体"/>
                <w:b/>
                <w:bCs/>
                <w:color w:val="000000"/>
                <w:kern w:val="0"/>
                <w:sz w:val="28"/>
                <w:szCs w:val="28"/>
              </w:rPr>
              <w:t>序号</w:t>
            </w:r>
          </w:p>
        </w:tc>
        <w:tc>
          <w:tcPr>
            <w:tcW w:w="2204"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方正仿宋_GBK" w:hAnsi="宋体" w:eastAsia="方正仿宋_GBK" w:cs="宋体"/>
                <w:b/>
                <w:bCs/>
                <w:color w:val="000000"/>
                <w:kern w:val="0"/>
                <w:sz w:val="28"/>
                <w:szCs w:val="28"/>
              </w:rPr>
            </w:pPr>
            <w:r>
              <w:rPr>
                <w:rFonts w:hint="eastAsia" w:ascii="方正仿宋_GBK" w:hAnsi="宋体" w:eastAsia="方正仿宋_GBK" w:cs="宋体"/>
                <w:b/>
                <w:bCs/>
                <w:color w:val="000000"/>
                <w:kern w:val="0"/>
                <w:sz w:val="28"/>
                <w:szCs w:val="28"/>
              </w:rPr>
              <w:t>投标单位</w:t>
            </w:r>
          </w:p>
        </w:tc>
        <w:tc>
          <w:tcPr>
            <w:tcW w:w="1569"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方正仿宋_GBK" w:hAnsi="宋体" w:eastAsia="方正仿宋_GBK" w:cs="宋体"/>
                <w:b/>
                <w:bCs/>
                <w:color w:val="000000"/>
                <w:kern w:val="0"/>
                <w:sz w:val="28"/>
                <w:szCs w:val="28"/>
              </w:rPr>
            </w:pPr>
            <w:r>
              <w:rPr>
                <w:rFonts w:hint="eastAsia" w:ascii="方正仿宋_GBK" w:hAnsi="宋体" w:eastAsia="方正仿宋_GBK" w:cs="宋体"/>
                <w:b/>
                <w:bCs/>
                <w:color w:val="000000"/>
                <w:kern w:val="0"/>
                <w:sz w:val="28"/>
                <w:szCs w:val="28"/>
              </w:rPr>
              <w:t>仓库地点</w:t>
            </w:r>
          </w:p>
        </w:tc>
        <w:tc>
          <w:tcPr>
            <w:tcW w:w="2273" w:type="dxa"/>
            <w:tcBorders>
              <w:top w:val="single" w:color="auto" w:sz="4" w:space="0"/>
              <w:left w:val="nil"/>
              <w:bottom w:val="single" w:color="auto" w:sz="4" w:space="0"/>
              <w:right w:val="single" w:color="auto" w:sz="4" w:space="0"/>
            </w:tcBorders>
            <w:noWrap w:val="0"/>
            <w:vAlign w:val="center"/>
          </w:tcPr>
          <w:p>
            <w:pPr>
              <w:widowControl/>
              <w:jc w:val="center"/>
              <w:rPr>
                <w:rFonts w:ascii="方正仿宋_GBK" w:hAnsi="宋体" w:eastAsia="方正仿宋_GBK" w:cs="宋体"/>
                <w:b/>
                <w:bCs/>
                <w:color w:val="000000"/>
                <w:kern w:val="0"/>
                <w:sz w:val="28"/>
                <w:szCs w:val="28"/>
              </w:rPr>
            </w:pPr>
            <w:r>
              <w:rPr>
                <w:rFonts w:hint="eastAsia" w:ascii="方正仿宋_GBK" w:hAnsi="宋体" w:eastAsia="方正仿宋_GBK" w:cs="宋体"/>
                <w:b/>
                <w:bCs/>
                <w:color w:val="000000"/>
                <w:kern w:val="0"/>
                <w:sz w:val="28"/>
                <w:szCs w:val="28"/>
              </w:rPr>
              <w:t>仓储</w:t>
            </w:r>
            <w:r>
              <w:rPr>
                <w:rFonts w:ascii="Times New Roman" w:hAnsi="Times New Roman" w:eastAsia="方正仿宋_GBK"/>
                <w:b/>
                <w:bCs/>
                <w:color w:val="000000"/>
                <w:kern w:val="0"/>
                <w:sz w:val="28"/>
                <w:szCs w:val="28"/>
              </w:rPr>
              <w:t>(</w:t>
            </w:r>
            <w:r>
              <w:rPr>
                <w:rFonts w:hint="eastAsia" w:ascii="方正仿宋_GBK" w:hAnsi="宋体" w:eastAsia="方正仿宋_GBK" w:cs="宋体"/>
                <w:b/>
                <w:bCs/>
                <w:color w:val="000000"/>
                <w:kern w:val="0"/>
                <w:sz w:val="28"/>
                <w:szCs w:val="28"/>
              </w:rPr>
              <w:t>元</w:t>
            </w:r>
            <w:r>
              <w:rPr>
                <w:rFonts w:ascii="Times New Roman" w:hAnsi="Times New Roman" w:eastAsia="方正仿宋_GBK"/>
                <w:b/>
                <w:bCs/>
                <w:color w:val="000000"/>
                <w:kern w:val="0"/>
                <w:sz w:val="28"/>
                <w:szCs w:val="28"/>
              </w:rPr>
              <w:t>/</w:t>
            </w:r>
            <w:r>
              <w:rPr>
                <w:rFonts w:hint="eastAsia" w:ascii="方正仿宋_GBK" w:hAnsi="宋体" w:eastAsia="方正仿宋_GBK" w:cs="宋体"/>
                <w:b/>
                <w:bCs/>
                <w:color w:val="000000"/>
                <w:kern w:val="0"/>
                <w:sz w:val="28"/>
                <w:szCs w:val="28"/>
              </w:rPr>
              <w:t>平米</w:t>
            </w:r>
            <w:r>
              <w:rPr>
                <w:rFonts w:hint="eastAsia" w:ascii="方正仿宋_GBK" w:hAnsi="宋体" w:eastAsia="方正仿宋_GBK" w:cs="宋体"/>
                <w:b/>
                <w:bCs/>
                <w:color w:val="000000"/>
                <w:kern w:val="0"/>
                <w:sz w:val="28"/>
                <w:szCs w:val="28"/>
                <w:lang w:val="en-US" w:eastAsia="zh-CN"/>
              </w:rPr>
              <w:t>/月</w:t>
            </w:r>
            <w:r>
              <w:rPr>
                <w:rFonts w:ascii="Times New Roman" w:hAnsi="Times New Roman" w:eastAsia="方正仿宋_GBK"/>
                <w:b/>
                <w:bCs/>
                <w:color w:val="000000"/>
                <w:kern w:val="0"/>
                <w:sz w:val="28"/>
                <w:szCs w:val="28"/>
              </w:rPr>
              <w:t>)</w:t>
            </w:r>
          </w:p>
        </w:tc>
        <w:tc>
          <w:tcPr>
            <w:tcW w:w="1823" w:type="dxa"/>
            <w:tcBorders>
              <w:top w:val="single" w:color="auto" w:sz="4" w:space="0"/>
              <w:left w:val="nil"/>
              <w:bottom w:val="single" w:color="auto" w:sz="4" w:space="0"/>
              <w:right w:val="single" w:color="auto" w:sz="4" w:space="0"/>
            </w:tcBorders>
            <w:noWrap w:val="0"/>
            <w:vAlign w:val="center"/>
          </w:tcPr>
          <w:p>
            <w:pPr>
              <w:widowControl/>
              <w:jc w:val="center"/>
              <w:rPr>
                <w:rFonts w:ascii="方正仿宋_GBK" w:hAnsi="宋体" w:eastAsia="方正仿宋_GBK" w:cs="宋体"/>
                <w:b/>
                <w:bCs/>
                <w:color w:val="000000"/>
                <w:kern w:val="0"/>
                <w:sz w:val="28"/>
                <w:szCs w:val="28"/>
              </w:rPr>
            </w:pPr>
            <w:r>
              <w:rPr>
                <w:rFonts w:hint="eastAsia" w:ascii="方正仿宋_GBK" w:hAnsi="宋体" w:eastAsia="方正仿宋_GBK" w:cs="宋体"/>
                <w:b/>
                <w:bCs/>
                <w:color w:val="000000"/>
                <w:kern w:val="0"/>
                <w:sz w:val="28"/>
                <w:szCs w:val="28"/>
              </w:rPr>
              <w:t>装卸</w:t>
            </w:r>
            <w:r>
              <w:rPr>
                <w:rFonts w:ascii="Times New Roman" w:hAnsi="Times New Roman" w:eastAsia="方正仿宋_GBK"/>
                <w:b/>
                <w:bCs/>
                <w:color w:val="000000"/>
                <w:kern w:val="0"/>
                <w:sz w:val="28"/>
                <w:szCs w:val="28"/>
              </w:rPr>
              <w:t>(</w:t>
            </w:r>
            <w:r>
              <w:rPr>
                <w:rFonts w:hint="eastAsia" w:ascii="方正仿宋_GBK" w:hAnsi="宋体" w:eastAsia="方正仿宋_GBK" w:cs="宋体"/>
                <w:b/>
                <w:bCs/>
                <w:color w:val="000000"/>
                <w:kern w:val="0"/>
                <w:sz w:val="28"/>
                <w:szCs w:val="28"/>
              </w:rPr>
              <w:t>元</w:t>
            </w:r>
            <w:r>
              <w:rPr>
                <w:rFonts w:ascii="Times New Roman" w:hAnsi="Times New Roman" w:eastAsia="方正仿宋_GBK"/>
                <w:b/>
                <w:bCs/>
                <w:color w:val="000000"/>
                <w:kern w:val="0"/>
                <w:sz w:val="28"/>
                <w:szCs w:val="28"/>
              </w:rPr>
              <w:t>/</w:t>
            </w:r>
            <w:r>
              <w:rPr>
                <w:rFonts w:hint="eastAsia" w:ascii="方正仿宋_GBK" w:hAnsi="宋体" w:eastAsia="方正仿宋_GBK" w:cs="宋体"/>
                <w:b/>
                <w:bCs/>
                <w:color w:val="000000"/>
                <w:kern w:val="0"/>
                <w:sz w:val="28"/>
                <w:szCs w:val="28"/>
              </w:rPr>
              <w:t>吨</w:t>
            </w:r>
            <w:r>
              <w:rPr>
                <w:rFonts w:ascii="Times New Roman" w:hAnsi="Times New Roman" w:eastAsia="方正仿宋_GBK"/>
                <w:b/>
                <w:bCs/>
                <w:color w:val="000000"/>
                <w:kern w:val="0"/>
                <w:sz w:val="28"/>
                <w:szCs w:val="28"/>
              </w:rPr>
              <w:t>)</w:t>
            </w:r>
          </w:p>
        </w:tc>
      </w:tr>
      <w:tr>
        <w:tblPrEx>
          <w:tblCellMar>
            <w:top w:w="0" w:type="dxa"/>
            <w:left w:w="108" w:type="dxa"/>
            <w:bottom w:w="0" w:type="dxa"/>
            <w:right w:w="108" w:type="dxa"/>
          </w:tblCellMar>
        </w:tblPrEx>
        <w:trPr>
          <w:trHeight w:val="615" w:hRule="atLeast"/>
        </w:trPr>
        <w:tc>
          <w:tcPr>
            <w:tcW w:w="1218" w:type="dxa"/>
            <w:tcBorders>
              <w:top w:val="nil"/>
              <w:left w:val="single" w:color="auto" w:sz="4" w:space="0"/>
              <w:bottom w:val="single" w:color="auto" w:sz="4" w:space="0"/>
              <w:right w:val="single" w:color="auto" w:sz="4" w:space="0"/>
            </w:tcBorders>
            <w:noWrap w:val="0"/>
            <w:vAlign w:val="center"/>
          </w:tcPr>
          <w:p>
            <w:pPr>
              <w:widowControl/>
              <w:jc w:val="center"/>
              <w:rPr>
                <w:rFonts w:ascii="方正仿宋_GBK" w:hAnsi="宋体" w:eastAsia="方正仿宋_GBK" w:cs="宋体"/>
                <w:color w:val="000000"/>
                <w:kern w:val="0"/>
                <w:sz w:val="20"/>
                <w:szCs w:val="20"/>
              </w:rPr>
            </w:pPr>
          </w:p>
        </w:tc>
        <w:tc>
          <w:tcPr>
            <w:tcW w:w="2204" w:type="dxa"/>
            <w:tcBorders>
              <w:top w:val="nil"/>
              <w:left w:val="single" w:color="auto" w:sz="4" w:space="0"/>
              <w:bottom w:val="single" w:color="auto" w:sz="4" w:space="0"/>
              <w:right w:val="single" w:color="auto" w:sz="4" w:space="0"/>
            </w:tcBorders>
            <w:noWrap w:val="0"/>
            <w:vAlign w:val="center"/>
          </w:tcPr>
          <w:p>
            <w:pPr>
              <w:widowControl/>
              <w:jc w:val="center"/>
              <w:rPr>
                <w:rFonts w:ascii="方正仿宋_GBK" w:hAnsi="宋体" w:eastAsia="方正仿宋_GBK" w:cs="宋体"/>
                <w:color w:val="000000"/>
                <w:kern w:val="0"/>
                <w:sz w:val="20"/>
                <w:szCs w:val="20"/>
              </w:rPr>
            </w:pPr>
          </w:p>
        </w:tc>
        <w:tc>
          <w:tcPr>
            <w:tcW w:w="1569" w:type="dxa"/>
            <w:tcBorders>
              <w:top w:val="nil"/>
              <w:left w:val="single" w:color="auto" w:sz="4" w:space="0"/>
              <w:bottom w:val="single" w:color="auto" w:sz="4" w:space="0"/>
              <w:right w:val="single" w:color="auto" w:sz="4" w:space="0"/>
            </w:tcBorders>
            <w:noWrap w:val="0"/>
            <w:vAlign w:val="center"/>
          </w:tcPr>
          <w:p>
            <w:pPr>
              <w:widowControl/>
              <w:jc w:val="center"/>
              <w:rPr>
                <w:rFonts w:ascii="方正仿宋_GBK" w:hAnsi="宋体" w:eastAsia="方正仿宋_GBK" w:cs="宋体"/>
                <w:color w:val="000000"/>
                <w:kern w:val="0"/>
                <w:sz w:val="20"/>
                <w:szCs w:val="20"/>
              </w:rPr>
            </w:pPr>
          </w:p>
        </w:tc>
        <w:tc>
          <w:tcPr>
            <w:tcW w:w="2273" w:type="dxa"/>
            <w:tcBorders>
              <w:top w:val="nil"/>
              <w:left w:val="nil"/>
              <w:bottom w:val="single" w:color="auto" w:sz="4" w:space="0"/>
              <w:right w:val="single" w:color="auto" w:sz="4" w:space="0"/>
            </w:tcBorders>
            <w:noWrap w:val="0"/>
            <w:vAlign w:val="center"/>
          </w:tcPr>
          <w:p>
            <w:pPr>
              <w:widowControl/>
              <w:jc w:val="left"/>
              <w:rPr>
                <w:rFonts w:ascii="Times New Roman" w:hAnsi="Times New Roman"/>
                <w:color w:val="000000"/>
                <w:kern w:val="0"/>
                <w:sz w:val="20"/>
                <w:szCs w:val="20"/>
              </w:rPr>
            </w:pPr>
          </w:p>
        </w:tc>
        <w:tc>
          <w:tcPr>
            <w:tcW w:w="1823" w:type="dxa"/>
            <w:tcBorders>
              <w:top w:val="nil"/>
              <w:left w:val="nil"/>
              <w:bottom w:val="single" w:color="auto" w:sz="4" w:space="0"/>
              <w:right w:val="single" w:color="auto" w:sz="4" w:space="0"/>
            </w:tcBorders>
            <w:noWrap w:val="0"/>
            <w:vAlign w:val="center"/>
          </w:tcPr>
          <w:p>
            <w:pPr>
              <w:widowControl/>
              <w:jc w:val="center"/>
              <w:rPr>
                <w:rFonts w:ascii="Times New Roman" w:hAnsi="Times New Roman"/>
                <w:color w:val="000000"/>
                <w:kern w:val="0"/>
                <w:sz w:val="20"/>
                <w:szCs w:val="20"/>
              </w:rPr>
            </w:pPr>
          </w:p>
        </w:tc>
      </w:tr>
      <w:tr>
        <w:tblPrEx>
          <w:tblCellMar>
            <w:top w:w="0" w:type="dxa"/>
            <w:left w:w="108" w:type="dxa"/>
            <w:bottom w:w="0" w:type="dxa"/>
            <w:right w:w="108" w:type="dxa"/>
          </w:tblCellMar>
        </w:tblPrEx>
        <w:trPr>
          <w:trHeight w:val="570" w:hRule="atLeast"/>
        </w:trPr>
        <w:tc>
          <w:tcPr>
            <w:tcW w:w="1218" w:type="dxa"/>
            <w:tcBorders>
              <w:top w:val="nil"/>
              <w:left w:val="single" w:color="auto" w:sz="4" w:space="0"/>
              <w:bottom w:val="single" w:color="auto" w:sz="4" w:space="0"/>
              <w:right w:val="single" w:color="auto" w:sz="4" w:space="0"/>
            </w:tcBorders>
            <w:noWrap w:val="0"/>
            <w:vAlign w:val="center"/>
          </w:tcPr>
          <w:p>
            <w:pPr>
              <w:widowControl/>
              <w:jc w:val="center"/>
              <w:rPr>
                <w:rFonts w:ascii="方正仿宋_GBK" w:hAnsi="宋体" w:eastAsia="方正仿宋_GBK" w:cs="宋体"/>
                <w:color w:val="000000"/>
                <w:kern w:val="0"/>
                <w:sz w:val="20"/>
                <w:szCs w:val="20"/>
              </w:rPr>
            </w:pPr>
          </w:p>
        </w:tc>
        <w:tc>
          <w:tcPr>
            <w:tcW w:w="2204" w:type="dxa"/>
            <w:tcBorders>
              <w:top w:val="nil"/>
              <w:left w:val="single" w:color="auto" w:sz="4" w:space="0"/>
              <w:bottom w:val="single" w:color="auto" w:sz="4" w:space="0"/>
              <w:right w:val="single" w:color="auto" w:sz="4" w:space="0"/>
            </w:tcBorders>
            <w:noWrap w:val="0"/>
            <w:vAlign w:val="center"/>
          </w:tcPr>
          <w:p>
            <w:pPr>
              <w:widowControl/>
              <w:jc w:val="center"/>
              <w:rPr>
                <w:rFonts w:ascii="方正仿宋_GBK" w:hAnsi="宋体" w:eastAsia="方正仿宋_GBK" w:cs="宋体"/>
                <w:color w:val="000000"/>
                <w:kern w:val="0"/>
                <w:sz w:val="20"/>
                <w:szCs w:val="20"/>
              </w:rPr>
            </w:pPr>
          </w:p>
        </w:tc>
        <w:tc>
          <w:tcPr>
            <w:tcW w:w="1569" w:type="dxa"/>
            <w:tcBorders>
              <w:top w:val="nil"/>
              <w:left w:val="single" w:color="auto" w:sz="4" w:space="0"/>
              <w:bottom w:val="single" w:color="auto" w:sz="4" w:space="0"/>
              <w:right w:val="single" w:color="auto" w:sz="4" w:space="0"/>
            </w:tcBorders>
            <w:noWrap w:val="0"/>
            <w:vAlign w:val="center"/>
          </w:tcPr>
          <w:p>
            <w:pPr>
              <w:widowControl/>
              <w:jc w:val="center"/>
              <w:rPr>
                <w:rFonts w:ascii="方正仿宋_GBK" w:hAnsi="宋体" w:eastAsia="方正仿宋_GBK" w:cs="宋体"/>
                <w:color w:val="000000"/>
                <w:kern w:val="0"/>
                <w:sz w:val="20"/>
                <w:szCs w:val="20"/>
              </w:rPr>
            </w:pPr>
          </w:p>
        </w:tc>
        <w:tc>
          <w:tcPr>
            <w:tcW w:w="2273" w:type="dxa"/>
            <w:tcBorders>
              <w:top w:val="nil"/>
              <w:left w:val="nil"/>
              <w:bottom w:val="single" w:color="auto" w:sz="4" w:space="0"/>
              <w:right w:val="single" w:color="auto" w:sz="4" w:space="0"/>
            </w:tcBorders>
            <w:noWrap w:val="0"/>
            <w:vAlign w:val="center"/>
          </w:tcPr>
          <w:p>
            <w:pPr>
              <w:widowControl/>
              <w:jc w:val="left"/>
              <w:rPr>
                <w:rFonts w:ascii="Times New Roman" w:hAnsi="Times New Roman"/>
                <w:color w:val="000000"/>
                <w:kern w:val="0"/>
                <w:sz w:val="20"/>
                <w:szCs w:val="20"/>
              </w:rPr>
            </w:pPr>
          </w:p>
        </w:tc>
        <w:tc>
          <w:tcPr>
            <w:tcW w:w="1823" w:type="dxa"/>
            <w:tcBorders>
              <w:top w:val="nil"/>
              <w:left w:val="nil"/>
              <w:bottom w:val="single" w:color="auto" w:sz="4" w:space="0"/>
              <w:right w:val="single" w:color="auto" w:sz="4" w:space="0"/>
            </w:tcBorders>
            <w:noWrap w:val="0"/>
            <w:vAlign w:val="center"/>
          </w:tcPr>
          <w:p>
            <w:pPr>
              <w:widowControl/>
              <w:jc w:val="center"/>
              <w:rPr>
                <w:rFonts w:ascii="Times New Roman" w:hAnsi="Times New Roman"/>
                <w:color w:val="000000"/>
                <w:kern w:val="0"/>
                <w:sz w:val="20"/>
                <w:szCs w:val="20"/>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fldChar w:fldCharType="begin"/>
    </w:r>
    <w:r>
      <w:instrText xml:space="preserve"> PAGE   \* MERGEFORMAT </w:instrText>
    </w:r>
    <w:r>
      <w:fldChar w:fldCharType="separate"/>
    </w:r>
    <w:r>
      <w:rPr>
        <w:lang w:val="zh-CN"/>
      </w:rPr>
      <w:t>8</w:t>
    </w:r>
    <w: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5YjZiYzdiOThkOTYyOWM2YWFlZGIyZjIyM2NmMjQifQ=="/>
  </w:docVars>
  <w:rsids>
    <w:rsidRoot w:val="3FB4434A"/>
    <w:rsid w:val="3FB443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autoRedefine/>
    <w:semiHidden/>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2023-12-18T05:16:00Z</dcterms:created>
  <dc:creator>张婉华</dc:creator>
  <cp:lastModifiedBy>张婉华</cp:lastModifiedBy>
  <dcterms:modified xsi:type="dcterms:W3CDTF">2023-12-18T05:16:47Z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9A57077D6A3D459EBF4835D8DC914B59_11</vt:lpwstr>
  </property>
</Properties>
</file>