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360" w:lineRule="auto"/>
        <w:ind w:firstLine="883" w:firstLineChars="200"/>
        <w:jc w:val="center"/>
        <w:textAlignment w:val="auto"/>
        <w:rPr>
          <w:rFonts w:ascii="方正黑体_GBK" w:hAnsi="方正黑体_GBK" w:eastAsia="方正黑体_GBK" w:cs="方正黑体_GBK"/>
          <w:b/>
          <w:sz w:val="44"/>
          <w:szCs w:val="44"/>
        </w:rPr>
      </w:pPr>
      <w:r>
        <w:rPr>
          <w:rFonts w:hint="eastAsia" w:ascii="方正黑体_GBK" w:hAnsi="方正黑体_GBK" w:eastAsia="方正黑体_GBK" w:cs="方正黑体_GBK"/>
          <w:b/>
          <w:sz w:val="44"/>
          <w:szCs w:val="44"/>
        </w:rPr>
        <w:t>重庆市涪陵榨菜集团股份有限公司</w:t>
      </w:r>
    </w:p>
    <w:p>
      <w:pPr>
        <w:keepNext w:val="0"/>
        <w:keepLines w:val="0"/>
        <w:pageBreakBefore w:val="0"/>
        <w:kinsoku/>
        <w:wordWrap/>
        <w:overflowPunct/>
        <w:topLinePunct w:val="0"/>
        <w:autoSpaceDE/>
        <w:autoSpaceDN/>
        <w:bidi w:val="0"/>
        <w:adjustRightInd/>
        <w:snapToGrid/>
        <w:ind w:firstLine="643" w:firstLineChars="200"/>
        <w:jc w:val="center"/>
        <w:textAlignment w:val="auto"/>
        <w:rPr>
          <w:rFonts w:hint="eastAsia" w:eastAsia="方正黑体_GBK"/>
          <w:sz w:val="44"/>
          <w:szCs w:val="44"/>
          <w:lang w:eastAsia="zh-CN"/>
        </w:rPr>
      </w:pPr>
      <w:r>
        <w:rPr>
          <w:rFonts w:hint="eastAsia" w:ascii="方正黑体_GBK" w:hAnsi="方正黑体_GBK" w:eastAsia="方正黑体_GBK" w:cs="方正黑体_GBK"/>
          <w:b/>
          <w:sz w:val="32"/>
          <w:szCs w:val="32"/>
          <w:lang w:eastAsia="zh-CN"/>
        </w:rPr>
        <w:t>眉山基地榨菜酱生产线设备采购项目</w:t>
      </w:r>
    </w:p>
    <w:p>
      <w:pPr>
        <w:keepNext w:val="0"/>
        <w:keepLines w:val="0"/>
        <w:pageBreakBefore w:val="0"/>
        <w:kinsoku/>
        <w:wordWrap/>
        <w:overflowPunct/>
        <w:topLinePunct w:val="0"/>
        <w:autoSpaceDE/>
        <w:autoSpaceDN/>
        <w:bidi w:val="0"/>
        <w:adjustRightInd/>
        <w:snapToGrid/>
        <w:spacing w:line="360" w:lineRule="auto"/>
        <w:ind w:firstLine="643" w:firstLineChars="200"/>
        <w:jc w:val="center"/>
        <w:textAlignment w:val="auto"/>
        <w:rPr>
          <w:rFonts w:ascii="方正楷体_GBK" w:hAnsi="方正楷体_GBK" w:eastAsia="方正楷体_GBK" w:cs="方正楷体_GBK"/>
          <w:sz w:val="28"/>
          <w:szCs w:val="28"/>
        </w:rPr>
      </w:pPr>
      <w:r>
        <w:rPr>
          <w:rFonts w:hint="eastAsia" w:ascii="方正黑体_GBK" w:hAnsi="方正黑体_GBK" w:eastAsia="方正黑体_GBK" w:cs="方正黑体_GBK"/>
          <w:b/>
          <w:sz w:val="32"/>
          <w:szCs w:val="32"/>
        </w:rPr>
        <w:t>招标说明书</w:t>
      </w:r>
    </w:p>
    <w:p>
      <w:pPr>
        <w:keepNext w:val="0"/>
        <w:keepLines w:val="0"/>
        <w:pageBreakBefore w:val="0"/>
        <w:kinsoku/>
        <w:wordWrap/>
        <w:overflowPunct/>
        <w:topLinePunct w:val="0"/>
        <w:autoSpaceDE/>
        <w:autoSpaceDN/>
        <w:bidi w:val="0"/>
        <w:adjustRightInd/>
        <w:snapToGrid/>
        <w:spacing w:line="360" w:lineRule="auto"/>
        <w:ind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重庆市涪陵榨菜集团股份有限公司拟就</w:t>
      </w:r>
      <w:r>
        <w:rPr>
          <w:rFonts w:hint="eastAsia" w:ascii="方正楷体_GBK" w:hAnsi="方正楷体_GBK" w:eastAsia="方正楷体_GBK" w:cs="方正楷体_GBK"/>
          <w:sz w:val="28"/>
          <w:szCs w:val="28"/>
          <w:u w:val="single"/>
          <w:lang w:eastAsia="zh-CN"/>
        </w:rPr>
        <w:t>眉山基地榨菜酱生产线设备采购项目</w:t>
      </w:r>
      <w:r>
        <w:rPr>
          <w:rFonts w:hint="eastAsia" w:ascii="方正楷体_GBK" w:hAnsi="方正楷体_GBK" w:eastAsia="方正楷体_GBK" w:cs="方正楷体_GBK"/>
          <w:sz w:val="28"/>
          <w:szCs w:val="28"/>
        </w:rPr>
        <w:t>进行招标采购，诚邀满足相关条件的企业参与投标。现就相关事项说明如下：</w:t>
      </w:r>
    </w:p>
    <w:p>
      <w:pPr>
        <w:keepNext w:val="0"/>
        <w:keepLines w:val="0"/>
        <w:pageBreakBefore w:val="0"/>
        <w:numPr>
          <w:ilvl w:val="0"/>
          <w:numId w:val="2"/>
        </w:numPr>
        <w:kinsoku/>
        <w:wordWrap/>
        <w:overflowPunct/>
        <w:topLinePunct w:val="0"/>
        <w:autoSpaceDE/>
        <w:autoSpaceDN/>
        <w:bidi w:val="0"/>
        <w:adjustRightInd/>
        <w:snapToGrid/>
        <w:spacing w:line="360" w:lineRule="auto"/>
        <w:ind w:firstLine="562" w:firstLineChars="200"/>
        <w:textAlignment w:val="auto"/>
        <w:rPr>
          <w:rFonts w:hint="eastAsia" w:ascii="方正楷体_GBK" w:hAnsi="方正楷体_GBK" w:eastAsia="方正楷体_GBK" w:cs="方正楷体_GBK"/>
          <w:sz w:val="28"/>
          <w:szCs w:val="28"/>
          <w:u w:val="none"/>
          <w:lang w:val="en-US" w:eastAsia="zh-CN"/>
        </w:rPr>
      </w:pPr>
      <w:r>
        <w:rPr>
          <w:rFonts w:hint="eastAsia" w:ascii="方正楷体_GBK" w:hAnsi="方正楷体_GBK" w:eastAsia="方正楷体_GBK" w:cs="方正楷体_GBK"/>
          <w:b/>
          <w:sz w:val="28"/>
          <w:szCs w:val="28"/>
        </w:rPr>
        <w:t>项目名称及招标内容详见</w:t>
      </w:r>
      <w:r>
        <w:rPr>
          <w:rFonts w:hint="eastAsia" w:ascii="方正楷体_GBK" w:hAnsi="方正楷体_GBK" w:eastAsia="方正楷体_GBK" w:cs="方正楷体_GBK"/>
          <w:sz w:val="28"/>
          <w:szCs w:val="28"/>
        </w:rPr>
        <w:t>《</w:t>
      </w:r>
      <w:r>
        <w:rPr>
          <w:rFonts w:hint="eastAsia" w:ascii="方正楷体_GBK" w:hAnsi="方正楷体_GBK" w:eastAsia="方正楷体_GBK" w:cs="方正楷体_GBK"/>
          <w:sz w:val="28"/>
          <w:szCs w:val="28"/>
          <w:u w:val="single"/>
          <w:lang w:eastAsia="zh-CN"/>
        </w:rPr>
        <w:t>眉山基地榨菜酱生产线设备采购项目》</w:t>
      </w:r>
      <w:r>
        <w:rPr>
          <w:rFonts w:hint="eastAsia" w:ascii="方正楷体_GBK" w:hAnsi="方正楷体_GBK" w:eastAsia="方正楷体_GBK" w:cs="方正楷体_GBK"/>
          <w:sz w:val="28"/>
          <w:szCs w:val="28"/>
          <w:u w:val="none"/>
          <w:lang w:eastAsia="zh-CN"/>
        </w:rPr>
        <w:t>相关招标文件</w:t>
      </w:r>
      <w:r>
        <w:rPr>
          <w:rFonts w:hint="eastAsia" w:ascii="方正楷体_GBK" w:hAnsi="方正楷体_GBK" w:eastAsia="方正楷体_GBK" w:cs="方正楷体_GBK"/>
          <w:sz w:val="28"/>
          <w:szCs w:val="28"/>
          <w:u w:val="none"/>
          <w:lang w:eastAsia="zh-CN"/>
        </w:rPr>
        <w:t>，</w:t>
      </w:r>
      <w:r>
        <w:rPr>
          <w:rFonts w:hint="eastAsia" w:ascii="方正楷体_GBK" w:hAnsi="方正楷体_GBK" w:eastAsia="方正楷体_GBK" w:cs="方正楷体_GBK"/>
          <w:sz w:val="28"/>
          <w:szCs w:val="28"/>
          <w:u w:val="none"/>
          <w:lang w:eastAsia="zh-CN"/>
        </w:rPr>
        <w:t>该项目分</w:t>
      </w:r>
      <w:r>
        <w:rPr>
          <w:rFonts w:hint="eastAsia" w:ascii="方正楷体_GBK" w:hAnsi="方正楷体_GBK" w:eastAsia="方正楷体_GBK" w:cs="方正楷体_GBK"/>
          <w:sz w:val="28"/>
          <w:szCs w:val="28"/>
          <w:u w:val="none"/>
          <w:lang w:val="en-US" w:eastAsia="zh-CN"/>
        </w:rPr>
        <w:t>3个独立的标段进行招标、评标，三个标段具体如下：</w:t>
      </w:r>
    </w:p>
    <w:p>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方正楷体_GBK" w:hAnsi="方正楷体_GBK" w:eastAsia="方正楷体_GBK" w:cs="方正楷体_GBK"/>
          <w:sz w:val="28"/>
          <w:szCs w:val="28"/>
          <w:lang w:val="en-US" w:eastAsia="zh-Hans"/>
        </w:rPr>
      </w:pPr>
      <w:r>
        <w:rPr>
          <w:rFonts w:hint="eastAsia" w:ascii="方正楷体_GBK" w:hAnsi="方正楷体_GBK" w:eastAsia="方正楷体_GBK" w:cs="方正楷体_GBK"/>
          <w:b/>
          <w:bCs/>
          <w:sz w:val="28"/>
          <w:szCs w:val="28"/>
          <w:lang w:val="en-US" w:eastAsia="zh-CN"/>
        </w:rPr>
        <w:t>标段1：</w:t>
      </w:r>
      <w:r>
        <w:rPr>
          <w:rFonts w:hint="eastAsia" w:ascii="方正楷体_GBK" w:hAnsi="方正楷体_GBK" w:eastAsia="方正楷体_GBK" w:cs="方正楷体_GBK"/>
          <w:sz w:val="28"/>
          <w:szCs w:val="28"/>
          <w:lang w:val="en-US" w:eastAsia="zh-Hans"/>
        </w:rPr>
        <w:t>榨菜酱前处理</w:t>
      </w:r>
      <w:r>
        <w:rPr>
          <w:rFonts w:hint="eastAsia" w:ascii="方正楷体_GBK" w:hAnsi="方正楷体_GBK" w:eastAsia="方正楷体_GBK" w:cs="方正楷体_GBK"/>
          <w:sz w:val="28"/>
          <w:szCs w:val="28"/>
          <w:lang w:val="en-US" w:eastAsia="zh-CN"/>
        </w:rPr>
        <w:t>设备</w:t>
      </w:r>
      <w:r>
        <w:rPr>
          <w:rFonts w:hint="eastAsia" w:ascii="方正楷体_GBK" w:hAnsi="方正楷体_GBK" w:eastAsia="方正楷体_GBK" w:cs="方正楷体_GBK"/>
          <w:sz w:val="28"/>
          <w:szCs w:val="28"/>
          <w:lang w:val="en-US" w:eastAsia="zh-Hans"/>
        </w:rPr>
        <w:t>、玻璃瓶卸跺、翻瓶、洗瓶、除水、缓冲、平台</w:t>
      </w:r>
      <w:r>
        <w:rPr>
          <w:rFonts w:hint="default" w:ascii="方正楷体_GBK" w:hAnsi="方正楷体_GBK" w:eastAsia="方正楷体_GBK" w:cs="方正楷体_GBK"/>
          <w:sz w:val="28"/>
          <w:szCs w:val="28"/>
          <w:lang w:val="en-US" w:eastAsia="zh-Hans"/>
        </w:rPr>
        <w:t>、</w:t>
      </w:r>
      <w:r>
        <w:rPr>
          <w:rFonts w:hint="eastAsia" w:ascii="方正楷体_GBK" w:hAnsi="方正楷体_GBK" w:eastAsia="方正楷体_GBK" w:cs="方正楷体_GBK"/>
          <w:sz w:val="28"/>
          <w:szCs w:val="28"/>
          <w:lang w:val="en-US" w:eastAsia="zh-Hans"/>
        </w:rPr>
        <w:t>装箱输送线及</w:t>
      </w:r>
      <w:r>
        <w:rPr>
          <w:rFonts w:hint="eastAsia" w:ascii="方正楷体_GBK" w:hAnsi="方正楷体_GBK" w:eastAsia="方正楷体_GBK" w:cs="方正楷体_GBK"/>
          <w:sz w:val="28"/>
          <w:szCs w:val="28"/>
          <w:lang w:val="en-US" w:eastAsia="zh-CN"/>
        </w:rPr>
        <w:t>相关</w:t>
      </w:r>
      <w:r>
        <w:rPr>
          <w:rFonts w:hint="eastAsia" w:ascii="方正楷体_GBK" w:hAnsi="方正楷体_GBK" w:eastAsia="方正楷体_GBK" w:cs="方正楷体_GBK"/>
          <w:sz w:val="28"/>
          <w:szCs w:val="28"/>
          <w:lang w:val="en-US" w:eastAsia="zh-Hans"/>
        </w:rPr>
        <w:t>设备的</w:t>
      </w:r>
      <w:r>
        <w:rPr>
          <w:rFonts w:hint="eastAsia" w:ascii="方正楷体_GBK" w:hAnsi="方正楷体_GBK" w:eastAsia="方正楷体_GBK" w:cs="方正楷体_GBK"/>
          <w:sz w:val="28"/>
          <w:szCs w:val="28"/>
          <w:lang w:val="en-US" w:eastAsia="zh-CN"/>
        </w:rPr>
        <w:t>整体</w:t>
      </w:r>
      <w:r>
        <w:rPr>
          <w:rFonts w:hint="eastAsia" w:ascii="方正楷体_GBK" w:hAnsi="方正楷体_GBK" w:eastAsia="方正楷体_GBK" w:cs="方正楷体_GBK"/>
          <w:sz w:val="28"/>
          <w:szCs w:val="28"/>
          <w:lang w:val="en-US" w:eastAsia="zh-Hans"/>
        </w:rPr>
        <w:t>连线</w:t>
      </w:r>
    </w:p>
    <w:p>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方正楷体_GBK" w:hAnsi="方正楷体_GBK" w:eastAsia="方正楷体_GBK" w:cs="方正楷体_GBK"/>
          <w:b w:val="0"/>
          <w:bCs w:val="0"/>
          <w:sz w:val="28"/>
          <w:szCs w:val="28"/>
          <w:lang w:val="en-US" w:eastAsia="zh-Hans"/>
        </w:rPr>
      </w:pPr>
      <w:r>
        <w:rPr>
          <w:rFonts w:hint="eastAsia" w:ascii="方正楷体_GBK" w:hAnsi="方正楷体_GBK" w:eastAsia="方正楷体_GBK" w:cs="方正楷体_GBK"/>
          <w:b/>
          <w:bCs/>
          <w:sz w:val="28"/>
          <w:szCs w:val="28"/>
          <w:lang w:val="en-US" w:eastAsia="zh-CN"/>
        </w:rPr>
        <w:t>标段2：</w:t>
      </w:r>
      <w:r>
        <w:rPr>
          <w:rFonts w:hint="eastAsia" w:ascii="方正楷体_GBK" w:hAnsi="方正楷体_GBK" w:eastAsia="方正楷体_GBK" w:cs="方正楷体_GBK"/>
          <w:b w:val="0"/>
          <w:bCs w:val="0"/>
          <w:sz w:val="28"/>
          <w:szCs w:val="28"/>
          <w:lang w:val="en-US" w:eastAsia="zh-Hans"/>
        </w:rPr>
        <w:t>全自动灌装机</w:t>
      </w:r>
    </w:p>
    <w:p>
      <w:pPr>
        <w:keepNext w:val="0"/>
        <w:keepLines w:val="0"/>
        <w:pageBreakBefore w:val="0"/>
        <w:numPr>
          <w:numId w:val="0"/>
        </w:numPr>
        <w:kinsoku/>
        <w:wordWrap/>
        <w:overflowPunct/>
        <w:topLinePunct w:val="0"/>
        <w:autoSpaceDE/>
        <w:autoSpaceDN/>
        <w:bidi w:val="0"/>
        <w:adjustRightInd/>
        <w:snapToGrid/>
        <w:ind w:firstLine="562" w:firstLineChars="200"/>
        <w:jc w:val="left"/>
        <w:textAlignment w:val="auto"/>
        <w:rPr>
          <w:rFonts w:hint="eastAsia" w:ascii="方正楷体_GBK" w:hAnsi="方正楷体_GBK" w:eastAsia="方正楷体_GBK" w:cs="方正楷体_GBK"/>
          <w:sz w:val="28"/>
          <w:szCs w:val="28"/>
          <w:u w:val="none"/>
          <w:lang w:eastAsia="zh-CN"/>
        </w:rPr>
      </w:pPr>
      <w:r>
        <w:rPr>
          <w:rFonts w:hint="eastAsia" w:ascii="方正楷体_GBK" w:hAnsi="方正楷体_GBK" w:eastAsia="方正楷体_GBK" w:cs="方正楷体_GBK"/>
          <w:b/>
          <w:bCs/>
          <w:sz w:val="28"/>
          <w:szCs w:val="28"/>
          <w:lang w:val="en-US" w:eastAsia="zh-CN"/>
        </w:rPr>
        <w:t>标段3：</w:t>
      </w:r>
      <w:r>
        <w:rPr>
          <w:rFonts w:hint="eastAsia" w:ascii="方正楷体_GBK" w:hAnsi="方正楷体_GBK" w:eastAsia="方正楷体_GBK" w:cs="方正楷体_GBK"/>
          <w:b w:val="0"/>
          <w:bCs w:val="0"/>
          <w:sz w:val="28"/>
          <w:szCs w:val="28"/>
          <w:lang w:val="en-US" w:eastAsia="zh-CN"/>
        </w:rPr>
        <w:t>其他</w:t>
      </w:r>
      <w:r>
        <w:rPr>
          <w:rFonts w:hint="eastAsia" w:ascii="方正楷体_GBK" w:hAnsi="方正楷体_GBK" w:eastAsia="方正楷体_GBK" w:cs="方正楷体_GBK"/>
          <w:b w:val="0"/>
          <w:bCs w:val="0"/>
          <w:sz w:val="28"/>
          <w:szCs w:val="28"/>
          <w:lang w:val="en-US" w:eastAsia="zh-Hans"/>
        </w:rPr>
        <w:t>成熟设备</w:t>
      </w:r>
      <w:r>
        <w:rPr>
          <w:rFonts w:hint="eastAsia" w:ascii="方正楷体_GBK" w:hAnsi="方正楷体_GBK" w:eastAsia="方正楷体_GBK" w:cs="方正楷体_GBK"/>
          <w:b w:val="0"/>
          <w:bCs w:val="0"/>
          <w:sz w:val="28"/>
          <w:szCs w:val="28"/>
          <w:lang w:val="en-US" w:eastAsia="zh-CN"/>
        </w:rPr>
        <w:t>（主要包含封口机、异物检测机、套标机等）</w:t>
      </w:r>
    </w:p>
    <w:p>
      <w:pPr>
        <w:keepNext w:val="0"/>
        <w:keepLines w:val="0"/>
        <w:pageBreakBefore w:val="0"/>
        <w:numPr>
          <w:numId w:val="0"/>
        </w:numPr>
        <w:kinsoku/>
        <w:wordWrap/>
        <w:overflowPunct/>
        <w:topLinePunct w:val="0"/>
        <w:autoSpaceDE/>
        <w:autoSpaceDN/>
        <w:bidi w:val="0"/>
        <w:adjustRightInd/>
        <w:snapToGrid/>
        <w:ind w:firstLine="562" w:firstLineChars="200"/>
        <w:jc w:val="left"/>
        <w:textAlignment w:val="auto"/>
        <w:rPr>
          <w:rFonts w:ascii="方正楷体_GBK" w:hAnsi="方正楷体_GBK" w:eastAsia="方正楷体_GBK" w:cs="方正楷体_GBK"/>
          <w:b/>
          <w:kern w:val="0"/>
          <w:sz w:val="28"/>
          <w:szCs w:val="28"/>
        </w:rPr>
      </w:pPr>
      <w:r>
        <w:rPr>
          <w:rFonts w:hint="eastAsia" w:ascii="方正楷体_GBK" w:hAnsi="方正楷体_GBK" w:eastAsia="方正楷体_GBK" w:cs="方正楷体_GBK"/>
          <w:b/>
          <w:kern w:val="0"/>
          <w:sz w:val="28"/>
          <w:szCs w:val="28"/>
        </w:rPr>
        <w:t>二、投标单位资质等相关要求</w:t>
      </w:r>
    </w:p>
    <w:p>
      <w:pPr>
        <w:keepNext w:val="0"/>
        <w:keepLines w:val="0"/>
        <w:pageBreakBefore w:val="0"/>
        <w:kinsoku/>
        <w:wordWrap/>
        <w:overflowPunct/>
        <w:topLinePunct w:val="0"/>
        <w:autoSpaceDE/>
        <w:autoSpaceDN/>
        <w:bidi w:val="0"/>
        <w:adjustRightInd/>
        <w:snapToGrid/>
        <w:ind w:firstLine="560" w:firstLineChars="200"/>
        <w:jc w:val="left"/>
        <w:textAlignment w:val="auto"/>
        <w:rPr>
          <w:rFonts w:ascii="方正楷体_GBK" w:hAnsi="方正楷体_GBK" w:eastAsia="方正楷体_GBK" w:cs="方正楷体_GBK"/>
          <w:sz w:val="28"/>
          <w:szCs w:val="28"/>
          <w:highlight w:val="none"/>
        </w:rPr>
      </w:pPr>
      <w:r>
        <w:rPr>
          <w:rFonts w:hint="eastAsia" w:ascii="方正楷体_GBK" w:hAnsi="方正楷体_GBK" w:eastAsia="方正楷体_GBK" w:cs="方正楷体_GBK"/>
          <w:sz w:val="28"/>
          <w:szCs w:val="28"/>
          <w:highlight w:val="none"/>
        </w:rPr>
        <w:t>（一）具有独立的法人资质和有效的企业证照资料，注册资金在</w:t>
      </w:r>
      <w:r>
        <w:rPr>
          <w:rFonts w:hint="eastAsia" w:ascii="方正楷体_GBK" w:hAnsi="方正楷体_GBK" w:eastAsia="方正楷体_GBK" w:cs="方正楷体_GBK"/>
          <w:sz w:val="28"/>
          <w:szCs w:val="28"/>
          <w:highlight w:val="none"/>
          <w:lang w:val="en-US" w:eastAsia="zh-CN"/>
        </w:rPr>
        <w:t>1</w:t>
      </w:r>
      <w:r>
        <w:rPr>
          <w:rFonts w:hint="eastAsia" w:ascii="方正楷体_GBK" w:hAnsi="方正楷体_GBK" w:eastAsia="方正楷体_GBK" w:cs="方正楷体_GBK"/>
          <w:sz w:val="28"/>
          <w:szCs w:val="28"/>
          <w:highlight w:val="none"/>
        </w:rPr>
        <w:t>00万元及以上。</w:t>
      </w:r>
    </w:p>
    <w:p>
      <w:pPr>
        <w:keepNext w:val="0"/>
        <w:keepLines w:val="0"/>
        <w:pageBreakBefore w:val="0"/>
        <w:kinsoku/>
        <w:wordWrap/>
        <w:overflowPunct/>
        <w:topLinePunct w:val="0"/>
        <w:autoSpaceDE/>
        <w:autoSpaceDN/>
        <w:bidi w:val="0"/>
        <w:adjustRightInd/>
        <w:snapToGrid/>
        <w:ind w:firstLine="560" w:firstLineChars="200"/>
        <w:jc w:val="left"/>
        <w:textAlignment w:val="auto"/>
        <w:rPr>
          <w:rFonts w:ascii="方正楷体_GBK" w:hAnsi="方正楷体_GBK" w:eastAsia="方正楷体_GBK" w:cs="方正楷体_GBK"/>
          <w:sz w:val="28"/>
          <w:szCs w:val="28"/>
          <w:highlight w:val="none"/>
        </w:rPr>
      </w:pPr>
      <w:r>
        <w:rPr>
          <w:rFonts w:hint="eastAsia" w:ascii="方正楷体_GBK" w:hAnsi="方正楷体_GBK" w:eastAsia="方正楷体_GBK" w:cs="方正楷体_GBK"/>
          <w:sz w:val="28"/>
          <w:szCs w:val="28"/>
          <w:highlight w:val="none"/>
        </w:rPr>
        <w:t>（二）具有ISO9001质量体系认证。</w:t>
      </w:r>
    </w:p>
    <w:p>
      <w:pPr>
        <w:keepNext w:val="0"/>
        <w:keepLines w:val="0"/>
        <w:pageBreakBefore w:val="0"/>
        <w:kinsoku/>
        <w:wordWrap/>
        <w:overflowPunct/>
        <w:topLinePunct w:val="0"/>
        <w:autoSpaceDE/>
        <w:autoSpaceDN/>
        <w:bidi w:val="0"/>
        <w:adjustRightInd/>
        <w:snapToGrid/>
        <w:ind w:firstLine="560" w:firstLineChars="200"/>
        <w:jc w:val="left"/>
        <w:textAlignment w:val="auto"/>
        <w:rPr>
          <w:rFonts w:hint="eastAsia" w:ascii="方正楷体_GBK" w:hAnsi="方正楷体_GBK" w:eastAsia="方正楷体_GBK" w:cs="方正楷体_GBK"/>
          <w:sz w:val="28"/>
          <w:szCs w:val="28"/>
          <w:highlight w:val="none"/>
          <w:lang w:eastAsia="zh-CN"/>
        </w:rPr>
      </w:pPr>
      <w:r>
        <w:rPr>
          <w:rFonts w:hint="eastAsia" w:ascii="方正楷体_GBK" w:hAnsi="方正楷体_GBK" w:eastAsia="方正楷体_GBK" w:cs="方正楷体_GBK"/>
          <w:sz w:val="28"/>
          <w:szCs w:val="28"/>
          <w:highlight w:val="none"/>
        </w:rPr>
        <w:t>（三）</w:t>
      </w:r>
      <w:r>
        <w:rPr>
          <w:rFonts w:hint="eastAsia" w:ascii="方正楷体_GBK" w:hAnsi="方正楷体_GBK" w:eastAsia="方正楷体_GBK" w:cs="方正楷体_GBK"/>
          <w:sz w:val="28"/>
          <w:szCs w:val="28"/>
          <w:highlight w:val="none"/>
          <w:lang w:eastAsia="zh-CN"/>
        </w:rPr>
        <w:t>有类似设备生产、制作、销售代理经验。</w:t>
      </w:r>
    </w:p>
    <w:p>
      <w:pPr>
        <w:keepNext w:val="0"/>
        <w:keepLines w:val="0"/>
        <w:pageBreakBefore w:val="0"/>
        <w:numPr>
          <w:numId w:val="0"/>
        </w:numPr>
        <w:kinsoku/>
        <w:wordWrap/>
        <w:overflowPunct/>
        <w:topLinePunct w:val="0"/>
        <w:autoSpaceDE/>
        <w:autoSpaceDN/>
        <w:bidi w:val="0"/>
        <w:adjustRightInd/>
        <w:snapToGrid/>
        <w:ind w:firstLine="560" w:firstLineChars="200"/>
        <w:jc w:val="left"/>
        <w:textAlignment w:val="auto"/>
        <w:rPr>
          <w:rFonts w:hint="eastAsia" w:ascii="方正楷体_GBK" w:hAnsi="方正楷体_GBK" w:eastAsia="方正楷体_GBK" w:cs="方正楷体_GBK"/>
          <w:sz w:val="28"/>
          <w:szCs w:val="28"/>
          <w:highlight w:val="none"/>
        </w:rPr>
      </w:pPr>
      <w:r>
        <w:rPr>
          <w:rFonts w:hint="eastAsia" w:ascii="方正楷体_GBK" w:hAnsi="方正楷体_GBK" w:eastAsia="方正楷体_GBK" w:cs="方正楷体_GBK"/>
          <w:sz w:val="28"/>
          <w:szCs w:val="28"/>
          <w:highlight w:val="none"/>
          <w:lang w:eastAsia="zh-CN"/>
        </w:rPr>
        <w:t>（四）</w:t>
      </w:r>
      <w:r>
        <w:rPr>
          <w:rFonts w:hint="eastAsia" w:ascii="方正楷体_GBK" w:hAnsi="方正楷体_GBK" w:eastAsia="方正楷体_GBK" w:cs="方正楷体_GBK"/>
          <w:sz w:val="28"/>
          <w:szCs w:val="28"/>
          <w:highlight w:val="none"/>
        </w:rPr>
        <w:t>企业资信良好。</w:t>
      </w:r>
    </w:p>
    <w:p>
      <w:pPr>
        <w:keepNext w:val="0"/>
        <w:keepLines w:val="0"/>
        <w:pageBreakBefore w:val="0"/>
        <w:kinsoku/>
        <w:wordWrap/>
        <w:overflowPunct/>
        <w:topLinePunct w:val="0"/>
        <w:autoSpaceDE/>
        <w:autoSpaceDN/>
        <w:bidi w:val="0"/>
        <w:adjustRightInd/>
        <w:snapToGrid/>
        <w:ind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lang w:eastAsia="zh-CN"/>
        </w:rPr>
        <w:t>（五）投标保证金。每个标段须</w:t>
      </w:r>
      <w:r>
        <w:rPr>
          <w:rFonts w:hint="eastAsia" w:ascii="方正楷体_GBK" w:hAnsi="方正楷体_GBK" w:eastAsia="方正楷体_GBK" w:cs="方正楷体_GBK"/>
          <w:sz w:val="28"/>
          <w:szCs w:val="28"/>
          <w:lang w:val="en-US" w:eastAsia="zh-CN"/>
        </w:rPr>
        <w:t>缴纳</w:t>
      </w:r>
      <w:r>
        <w:rPr>
          <w:rFonts w:hint="eastAsia" w:ascii="方正楷体_GBK" w:hAnsi="方正楷体_GBK" w:eastAsia="方正楷体_GBK" w:cs="方正楷体_GBK"/>
          <w:sz w:val="28"/>
          <w:szCs w:val="28"/>
        </w:rPr>
        <w:t>5万元投标保证金。中标单位的投标保证金在履约后无息退还，未中标单位的保证金在开标后10个工作日无息退还。投标保证金汇入行信息如下：</w:t>
      </w:r>
    </w:p>
    <w:p>
      <w:pPr>
        <w:keepNext w:val="0"/>
        <w:keepLines w:val="0"/>
        <w:pageBreakBefore w:val="0"/>
        <w:kinsoku/>
        <w:wordWrap/>
        <w:overflowPunct/>
        <w:topLinePunct w:val="0"/>
        <w:autoSpaceDE/>
        <w:autoSpaceDN/>
        <w:bidi w:val="0"/>
        <w:adjustRightInd/>
        <w:snapToGrid/>
        <w:ind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户名：重庆市涪陵榨菜集团股份有限公司</w:t>
      </w:r>
    </w:p>
    <w:p>
      <w:pPr>
        <w:keepNext w:val="0"/>
        <w:keepLines w:val="0"/>
        <w:pageBreakBefore w:val="0"/>
        <w:kinsoku/>
        <w:wordWrap/>
        <w:overflowPunct/>
        <w:topLinePunct w:val="0"/>
        <w:autoSpaceDE/>
        <w:autoSpaceDN/>
        <w:bidi w:val="0"/>
        <w:adjustRightInd/>
        <w:snapToGrid/>
        <w:ind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开户行：中信银行重庆涪陵支行</w:t>
      </w:r>
    </w:p>
    <w:p>
      <w:pPr>
        <w:keepNext w:val="0"/>
        <w:keepLines w:val="0"/>
        <w:pageBreakBefore w:val="0"/>
        <w:kinsoku/>
        <w:wordWrap/>
        <w:overflowPunct/>
        <w:topLinePunct w:val="0"/>
        <w:autoSpaceDE/>
        <w:autoSpaceDN/>
        <w:bidi w:val="0"/>
        <w:adjustRightInd/>
        <w:snapToGrid/>
        <w:ind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账 号：7422010182100003830</w:t>
      </w:r>
    </w:p>
    <w:p>
      <w:pPr>
        <w:keepNext w:val="0"/>
        <w:keepLines w:val="0"/>
        <w:pageBreakBefore w:val="0"/>
        <w:numPr>
          <w:ilvl w:val="0"/>
          <w:numId w:val="3"/>
        </w:numPr>
        <w:kinsoku/>
        <w:wordWrap/>
        <w:overflowPunct/>
        <w:topLinePunct w:val="0"/>
        <w:autoSpaceDE/>
        <w:autoSpaceDN/>
        <w:bidi w:val="0"/>
        <w:adjustRightInd/>
        <w:snapToGrid/>
        <w:ind w:right="-82" w:rightChars="-39" w:firstLine="562" w:firstLineChars="200"/>
        <w:textAlignment w:val="auto"/>
        <w:rPr>
          <w:rFonts w:ascii="方正楷体_GBK" w:hAnsi="方正楷体_GBK" w:eastAsia="方正楷体_GBK" w:cs="方正楷体_GBK"/>
          <w:b/>
          <w:sz w:val="28"/>
          <w:szCs w:val="28"/>
        </w:rPr>
      </w:pPr>
      <w:r>
        <w:rPr>
          <w:rFonts w:hint="eastAsia" w:ascii="方正楷体_GBK" w:hAnsi="方正楷体_GBK" w:eastAsia="方正楷体_GBK" w:cs="方正楷体_GBK"/>
          <w:b/>
          <w:sz w:val="28"/>
          <w:szCs w:val="28"/>
        </w:rPr>
        <w:t>评标方式</w:t>
      </w:r>
    </w:p>
    <w:p>
      <w:pPr>
        <w:keepNext w:val="0"/>
        <w:keepLines w:val="0"/>
        <w:pageBreakBefore w:val="0"/>
        <w:numPr>
          <w:numId w:val="0"/>
        </w:numPr>
        <w:kinsoku/>
        <w:wordWrap/>
        <w:overflowPunct/>
        <w:topLinePunct w:val="0"/>
        <w:autoSpaceDE/>
        <w:autoSpaceDN/>
        <w:bidi w:val="0"/>
        <w:adjustRightInd/>
        <w:snapToGrid/>
        <w:ind w:right="-82" w:rightChars="-39" w:firstLine="560" w:firstLineChars="200"/>
        <w:textAlignment w:val="auto"/>
        <w:rPr>
          <w:rFonts w:hint="default" w:ascii="方正楷体_GBK" w:hAnsi="方正楷体_GBK" w:eastAsia="方正楷体_GBK" w:cs="方正楷体_GBK"/>
          <w:b w:val="0"/>
          <w:bCs/>
          <w:sz w:val="28"/>
          <w:szCs w:val="28"/>
          <w:lang w:val="en-US" w:eastAsia="zh-CN"/>
        </w:rPr>
      </w:pPr>
      <w:r>
        <w:rPr>
          <w:rFonts w:hint="eastAsia" w:ascii="方正楷体_GBK" w:hAnsi="方正楷体_GBK" w:eastAsia="方正楷体_GBK" w:cs="方正楷体_GBK"/>
          <w:b w:val="0"/>
          <w:bCs/>
          <w:sz w:val="28"/>
          <w:szCs w:val="28"/>
          <w:lang w:eastAsia="zh-CN"/>
        </w:rPr>
        <w:t>标段</w:t>
      </w:r>
      <w:r>
        <w:rPr>
          <w:rFonts w:hint="eastAsia" w:ascii="方正楷体_GBK" w:hAnsi="方正楷体_GBK" w:eastAsia="方正楷体_GBK" w:cs="方正楷体_GBK"/>
          <w:b w:val="0"/>
          <w:bCs/>
          <w:sz w:val="28"/>
          <w:szCs w:val="28"/>
          <w:lang w:val="en-US" w:eastAsia="zh-CN"/>
        </w:rPr>
        <w:t>1和标段2采用公开招标方式，标段3采用比价招标。比价招标主要结合投标单位企业资质、设备的符合性以及价格进行综合评审确定供方和价格。公开招标</w:t>
      </w:r>
      <w:r>
        <w:rPr>
          <w:rFonts w:hint="eastAsia" w:ascii="方正楷体_GBK" w:hAnsi="方正楷体_GBK" w:eastAsia="方正楷体_GBK" w:cs="方正楷体_GBK"/>
          <w:sz w:val="28"/>
          <w:szCs w:val="28"/>
        </w:rPr>
        <w:t>采用综合评估法进行评定</w:t>
      </w:r>
      <w:r>
        <w:rPr>
          <w:rFonts w:hint="eastAsia" w:ascii="方正楷体_GBK" w:hAnsi="方正楷体_GBK" w:eastAsia="方正楷体_GBK" w:cs="方正楷体_GBK"/>
          <w:b w:val="0"/>
          <w:bCs/>
          <w:sz w:val="28"/>
          <w:szCs w:val="28"/>
          <w:lang w:val="en-US" w:eastAsia="zh-CN"/>
        </w:rPr>
        <w:t>，具体如下：</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综合评估法分为资格评审、技术标和商务标评定。资格评审合格的方能进入技术标的评定，技术标评定得分在</w:t>
      </w:r>
      <w:r>
        <w:rPr>
          <w:rFonts w:hint="eastAsia" w:ascii="方正楷体_GBK" w:hAnsi="方正楷体_GBK" w:eastAsia="方正楷体_GBK" w:cs="方正楷体_GBK"/>
          <w:sz w:val="28"/>
          <w:szCs w:val="28"/>
          <w:lang w:val="en-US" w:eastAsia="zh-CN"/>
        </w:rPr>
        <w:t>50</w:t>
      </w:r>
      <w:r>
        <w:rPr>
          <w:rFonts w:hint="eastAsia" w:ascii="方正楷体_GBK" w:hAnsi="方正楷体_GBK" w:eastAsia="方正楷体_GBK" w:cs="方正楷体_GBK"/>
          <w:sz w:val="28"/>
          <w:szCs w:val="28"/>
        </w:rPr>
        <w:t>分以上</w:t>
      </w:r>
      <w:r>
        <w:rPr>
          <w:rFonts w:hint="eastAsia" w:ascii="方正楷体_GBK" w:hAnsi="方正楷体_GBK" w:eastAsia="方正楷体_GBK" w:cs="方正楷体_GBK"/>
          <w:sz w:val="28"/>
          <w:szCs w:val="28"/>
          <w:lang w:eastAsia="zh-CN"/>
        </w:rPr>
        <w:t>且</w:t>
      </w:r>
      <w:r>
        <w:rPr>
          <w:rFonts w:hint="eastAsia" w:ascii="方正楷体_GBK" w:hAnsi="方正楷体_GBK" w:eastAsia="方正楷体_GBK" w:cs="方正楷体_GBK"/>
          <w:sz w:val="28"/>
          <w:szCs w:val="28"/>
        </w:rPr>
        <w:t>技术方案达到招标方要求，并经综合评审为合格的投标单位才能入围商务标的评定。</w:t>
      </w:r>
    </w:p>
    <w:p>
      <w:pPr>
        <w:keepNext w:val="0"/>
        <w:keepLines w:val="0"/>
        <w:pageBreakBefore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方正楷体_GBK" w:hAnsi="方正楷体_GBK" w:eastAsia="方正楷体_GBK" w:cs="方正楷体_GBK"/>
          <w:sz w:val="28"/>
          <w:szCs w:val="28"/>
        </w:rPr>
      </w:pPr>
      <w:r>
        <w:rPr>
          <w:rFonts w:hint="eastAsia" w:ascii="方正楷体_GBK" w:hAnsi="方正楷体_GBK" w:eastAsia="方正楷体_GBK" w:cs="方正楷体_GBK"/>
          <w:b w:val="0"/>
          <w:bCs w:val="0"/>
          <w:sz w:val="28"/>
          <w:szCs w:val="28"/>
          <w:lang w:eastAsia="zh-CN"/>
        </w:rPr>
        <w:t>（一）</w:t>
      </w:r>
      <w:r>
        <w:rPr>
          <w:rFonts w:hint="eastAsia" w:ascii="方正楷体_GBK" w:hAnsi="方正楷体_GBK" w:eastAsia="方正楷体_GBK" w:cs="方正楷体_GBK"/>
          <w:b w:val="0"/>
          <w:bCs w:val="0"/>
          <w:sz w:val="28"/>
          <w:szCs w:val="28"/>
        </w:rPr>
        <w:t>资格</w:t>
      </w:r>
      <w:r>
        <w:rPr>
          <w:rFonts w:hint="eastAsia" w:ascii="方正楷体_GBK" w:hAnsi="方正楷体_GBK" w:eastAsia="方正楷体_GBK" w:cs="方正楷体_GBK"/>
          <w:b w:val="0"/>
          <w:bCs w:val="0"/>
          <w:sz w:val="28"/>
          <w:szCs w:val="28"/>
          <w:lang w:eastAsia="zh-CN"/>
        </w:rPr>
        <w:t>评</w:t>
      </w:r>
      <w:r>
        <w:rPr>
          <w:rFonts w:hint="eastAsia" w:ascii="方正楷体_GBK" w:hAnsi="方正楷体_GBK" w:eastAsia="方正楷体_GBK" w:cs="方正楷体_GBK"/>
          <w:b w:val="0"/>
          <w:bCs w:val="0"/>
          <w:sz w:val="28"/>
          <w:szCs w:val="28"/>
        </w:rPr>
        <w:t>审</w:t>
      </w:r>
      <w:r>
        <w:rPr>
          <w:rFonts w:hint="eastAsia" w:ascii="方正楷体_GBK" w:hAnsi="方正楷体_GBK" w:eastAsia="方正楷体_GBK" w:cs="方正楷体_GBK"/>
          <w:b w:val="0"/>
          <w:bCs w:val="0"/>
          <w:sz w:val="28"/>
          <w:szCs w:val="28"/>
          <w:lang w:eastAsia="zh-CN"/>
        </w:rPr>
        <w:t>。</w:t>
      </w:r>
      <w:r>
        <w:rPr>
          <w:rFonts w:hint="eastAsia" w:ascii="方正楷体_GBK" w:hAnsi="方正楷体_GBK" w:eastAsia="方正楷体_GBK" w:cs="方正楷体_GBK"/>
          <w:sz w:val="28"/>
          <w:szCs w:val="28"/>
        </w:rPr>
        <w:t>主要从所提供资质资料是否完整且符合要求等方面进行评判，符合要求为合格，否则为不合格。招标方根据实际情况确定是否需要进行资格后审。若在资格后审中发现不符或弄虚作假项目，则招标方有权取消投标单位的中标候选资格。</w:t>
      </w:r>
    </w:p>
    <w:p>
      <w:pPr>
        <w:keepNext w:val="0"/>
        <w:keepLines w:val="0"/>
        <w:pageBreakBefore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方正楷体_GBK" w:hAnsi="方正楷体_GBK" w:eastAsia="方正楷体_GBK" w:cs="方正楷体_GBK"/>
          <w:b w:val="0"/>
          <w:bCs/>
          <w:sz w:val="28"/>
          <w:szCs w:val="28"/>
          <w:lang w:eastAsia="zh-CN"/>
        </w:rPr>
      </w:pPr>
      <w:r>
        <w:rPr>
          <w:rFonts w:hint="eastAsia" w:ascii="方正楷体_GBK" w:hAnsi="方正楷体_GBK" w:eastAsia="方正楷体_GBK" w:cs="方正楷体_GBK"/>
          <w:b w:val="0"/>
          <w:bCs/>
          <w:sz w:val="28"/>
          <w:szCs w:val="28"/>
          <w:lang w:eastAsia="zh-CN"/>
        </w:rPr>
        <w:t>（二）技术标（</w:t>
      </w:r>
      <w:r>
        <w:rPr>
          <w:rFonts w:hint="eastAsia" w:ascii="方正楷体_GBK" w:hAnsi="方正楷体_GBK" w:eastAsia="方正楷体_GBK" w:cs="方正楷体_GBK"/>
          <w:b w:val="0"/>
          <w:bCs/>
          <w:sz w:val="28"/>
          <w:szCs w:val="28"/>
          <w:lang w:val="en-US" w:eastAsia="zh-CN"/>
        </w:rPr>
        <w:t>70分</w:t>
      </w:r>
      <w:r>
        <w:rPr>
          <w:rFonts w:hint="eastAsia" w:ascii="方正楷体_GBK" w:hAnsi="方正楷体_GBK" w:eastAsia="方正楷体_GBK" w:cs="方正楷体_GBK"/>
          <w:b w:val="0"/>
          <w:bCs/>
          <w:sz w:val="28"/>
          <w:szCs w:val="28"/>
          <w:lang w:eastAsia="zh-CN"/>
        </w:rPr>
        <w:t>）</w:t>
      </w:r>
    </w:p>
    <w:p>
      <w:pPr>
        <w:keepNext w:val="0"/>
        <w:keepLines w:val="0"/>
        <w:pageBreakBefore w:val="0"/>
        <w:kinsoku/>
        <w:wordWrap/>
        <w:overflowPunct/>
        <w:topLinePunct w:val="0"/>
        <w:autoSpaceDE/>
        <w:autoSpaceDN/>
        <w:bidi w:val="0"/>
        <w:adjustRightInd/>
        <w:snapToGrid/>
        <w:ind w:right="-82" w:rightChars="-39" w:firstLine="560" w:firstLineChars="200"/>
        <w:textAlignment w:val="auto"/>
        <w:rPr>
          <w:rFonts w:hint="eastAsia" w:ascii="方正楷体_GBK" w:hAnsi="方正楷体_GBK" w:eastAsia="方正楷体_GBK" w:cs="方正楷体_GBK"/>
          <w:sz w:val="28"/>
          <w:szCs w:val="28"/>
          <w:lang w:eastAsia="zh-CN"/>
        </w:rPr>
      </w:pPr>
      <w:r>
        <w:rPr>
          <w:rFonts w:hint="eastAsia" w:ascii="方正楷体_GBK" w:hAnsi="方正楷体_GBK" w:eastAsia="方正楷体_GBK" w:cs="方正楷体_GBK"/>
          <w:sz w:val="28"/>
          <w:szCs w:val="28"/>
          <w:lang w:val="en-US" w:eastAsia="zh-CN"/>
        </w:rPr>
        <w:t>1.</w:t>
      </w:r>
      <w:r>
        <w:rPr>
          <w:rFonts w:hint="eastAsia" w:ascii="方正楷体_GBK" w:hAnsi="方正楷体_GBK" w:eastAsia="方正楷体_GBK" w:cs="方正楷体_GBK"/>
          <w:sz w:val="28"/>
          <w:szCs w:val="28"/>
          <w:lang w:eastAsia="zh-CN"/>
        </w:rPr>
        <w:t>工艺设计的</w:t>
      </w:r>
      <w:r>
        <w:rPr>
          <w:rFonts w:hint="eastAsia" w:ascii="方正楷体_GBK" w:hAnsi="方正楷体_GBK" w:eastAsia="方正楷体_GBK" w:cs="方正楷体_GBK"/>
          <w:sz w:val="28"/>
          <w:szCs w:val="28"/>
        </w:rPr>
        <w:t>合理性和可行性（</w:t>
      </w:r>
      <w:r>
        <w:rPr>
          <w:rFonts w:hint="eastAsia" w:ascii="方正楷体_GBK" w:hAnsi="方正楷体_GBK" w:eastAsia="方正楷体_GBK" w:cs="方正楷体_GBK"/>
          <w:sz w:val="28"/>
          <w:szCs w:val="28"/>
          <w:lang w:val="en-US" w:eastAsia="zh-CN"/>
        </w:rPr>
        <w:t>3</w:t>
      </w:r>
      <w:r>
        <w:rPr>
          <w:rFonts w:hint="eastAsia" w:ascii="方正楷体_GBK" w:hAnsi="方正楷体_GBK" w:eastAsia="方正楷体_GBK" w:cs="方正楷体_GBK"/>
          <w:sz w:val="28"/>
          <w:szCs w:val="28"/>
        </w:rPr>
        <w:t>0分）</w:t>
      </w:r>
      <w:r>
        <w:rPr>
          <w:rFonts w:hint="eastAsia" w:ascii="方正楷体_GBK" w:hAnsi="方正楷体_GBK" w:eastAsia="方正楷体_GBK" w:cs="方正楷体_GBK"/>
          <w:sz w:val="28"/>
          <w:szCs w:val="28"/>
          <w:lang w:eastAsia="zh-CN"/>
        </w:rPr>
        <w:t>。</w:t>
      </w:r>
    </w:p>
    <w:p>
      <w:pPr>
        <w:keepNext w:val="0"/>
        <w:keepLines w:val="0"/>
        <w:pageBreakBefore w:val="0"/>
        <w:kinsoku/>
        <w:wordWrap/>
        <w:overflowPunct/>
        <w:topLinePunct w:val="0"/>
        <w:autoSpaceDE/>
        <w:autoSpaceDN/>
        <w:bidi w:val="0"/>
        <w:adjustRightInd/>
        <w:snapToGrid/>
        <w:ind w:right="-82" w:rightChars="-39" w:firstLine="560" w:firstLineChars="200"/>
        <w:textAlignment w:val="auto"/>
        <w:rPr>
          <w:rFonts w:hint="eastAsia" w:ascii="方正楷体_GBK" w:hAnsi="方正楷体_GBK" w:eastAsia="方正楷体_GBK" w:cs="方正楷体_GBK"/>
          <w:sz w:val="28"/>
          <w:szCs w:val="28"/>
          <w:lang w:eastAsia="zh-CN"/>
        </w:rPr>
      </w:pPr>
      <w:r>
        <w:rPr>
          <w:rFonts w:hint="eastAsia" w:ascii="方正楷体_GBK" w:hAnsi="方正楷体_GBK" w:eastAsia="方正楷体_GBK" w:cs="方正楷体_GBK"/>
          <w:sz w:val="28"/>
          <w:szCs w:val="28"/>
        </w:rPr>
        <w:t>（1）</w:t>
      </w:r>
      <w:r>
        <w:rPr>
          <w:rFonts w:hint="eastAsia" w:ascii="方正楷体_GBK" w:hAnsi="方正楷体_GBK" w:eastAsia="方正楷体_GBK" w:cs="方正楷体_GBK"/>
          <w:sz w:val="28"/>
          <w:szCs w:val="28"/>
          <w:lang w:eastAsia="zh-CN"/>
        </w:rPr>
        <w:t>工艺设计及实现的</w:t>
      </w:r>
      <w:r>
        <w:rPr>
          <w:rFonts w:hint="eastAsia" w:ascii="方正楷体_GBK" w:hAnsi="方正楷体_GBK" w:eastAsia="方正楷体_GBK" w:cs="方正楷体_GBK"/>
          <w:sz w:val="28"/>
          <w:szCs w:val="28"/>
        </w:rPr>
        <w:t>合理性</w:t>
      </w:r>
      <w:r>
        <w:rPr>
          <w:rFonts w:hint="eastAsia" w:ascii="方正楷体_GBK" w:hAnsi="方正楷体_GBK" w:eastAsia="方正楷体_GBK" w:cs="方正楷体_GBK"/>
          <w:sz w:val="28"/>
          <w:szCs w:val="28"/>
          <w:lang w:eastAsia="zh-CN"/>
        </w:rPr>
        <w:t>、可行性</w:t>
      </w:r>
      <w:r>
        <w:rPr>
          <w:rFonts w:hint="eastAsia" w:ascii="方正楷体_GBK" w:hAnsi="方正楷体_GBK" w:eastAsia="方正楷体_GBK" w:cs="方正楷体_GBK"/>
          <w:sz w:val="28"/>
          <w:szCs w:val="28"/>
        </w:rPr>
        <w:t>和先进性（</w:t>
      </w:r>
      <w:r>
        <w:rPr>
          <w:rFonts w:hint="eastAsia" w:ascii="方正楷体_GBK" w:hAnsi="方正楷体_GBK" w:eastAsia="方正楷体_GBK" w:cs="方正楷体_GBK"/>
          <w:sz w:val="28"/>
          <w:szCs w:val="28"/>
          <w:lang w:val="en-US" w:eastAsia="zh-CN"/>
        </w:rPr>
        <w:t>20</w:t>
      </w:r>
      <w:r>
        <w:rPr>
          <w:rFonts w:hint="eastAsia" w:ascii="方正楷体_GBK" w:hAnsi="方正楷体_GBK" w:eastAsia="方正楷体_GBK" w:cs="方正楷体_GBK"/>
          <w:sz w:val="28"/>
          <w:szCs w:val="28"/>
        </w:rPr>
        <w:t>分）</w:t>
      </w:r>
      <w:r>
        <w:rPr>
          <w:rFonts w:hint="eastAsia" w:ascii="方正楷体_GBK" w:hAnsi="方正楷体_GBK" w:eastAsia="方正楷体_GBK" w:cs="方正楷体_GBK"/>
          <w:sz w:val="28"/>
          <w:szCs w:val="28"/>
          <w:lang w:eastAsia="zh-CN"/>
        </w:rPr>
        <w:t>。</w:t>
      </w:r>
    </w:p>
    <w:p>
      <w:pPr>
        <w:keepNext w:val="0"/>
        <w:keepLines w:val="0"/>
        <w:pageBreakBefore w:val="0"/>
        <w:kinsoku/>
        <w:wordWrap/>
        <w:overflowPunct/>
        <w:topLinePunct w:val="0"/>
        <w:autoSpaceDE/>
        <w:autoSpaceDN/>
        <w:bidi w:val="0"/>
        <w:adjustRightInd/>
        <w:snapToGrid/>
        <w:ind w:right="-82" w:rightChars="-39" w:firstLine="560" w:firstLineChars="200"/>
        <w:textAlignment w:val="auto"/>
        <w:rPr>
          <w:rFonts w:hint="eastAsia" w:ascii="方正楷体_GBK" w:hAnsi="方正楷体_GBK" w:eastAsia="方正楷体_GBK" w:cs="方正楷体_GBK"/>
          <w:sz w:val="28"/>
          <w:szCs w:val="28"/>
        </w:rPr>
      </w:pPr>
      <w:r>
        <w:rPr>
          <w:rFonts w:hint="eastAsia" w:ascii="方正楷体_GBK" w:hAnsi="方正楷体_GBK" w:eastAsia="方正楷体_GBK" w:cs="方正楷体_GBK"/>
          <w:sz w:val="28"/>
          <w:szCs w:val="28"/>
          <w:lang w:eastAsia="zh-CN"/>
        </w:rPr>
        <w:t>（</w:t>
      </w:r>
      <w:r>
        <w:rPr>
          <w:rFonts w:hint="eastAsia" w:ascii="方正楷体_GBK" w:hAnsi="方正楷体_GBK" w:eastAsia="方正楷体_GBK" w:cs="方正楷体_GBK"/>
          <w:sz w:val="28"/>
          <w:szCs w:val="28"/>
          <w:lang w:val="en-US" w:eastAsia="zh-CN"/>
        </w:rPr>
        <w:t>2</w:t>
      </w:r>
      <w:r>
        <w:rPr>
          <w:rFonts w:hint="eastAsia" w:ascii="方正楷体_GBK" w:hAnsi="方正楷体_GBK" w:eastAsia="方正楷体_GBK" w:cs="方正楷体_GBK"/>
          <w:sz w:val="28"/>
          <w:szCs w:val="28"/>
          <w:lang w:eastAsia="zh-CN"/>
        </w:rPr>
        <w:t>）</w:t>
      </w:r>
      <w:r>
        <w:rPr>
          <w:rFonts w:hint="eastAsia" w:ascii="方正楷体_GBK" w:hAnsi="方正楷体_GBK" w:eastAsia="方正楷体_GBK" w:cs="方正楷体_GBK"/>
          <w:sz w:val="28"/>
          <w:szCs w:val="28"/>
        </w:rPr>
        <w:t>布局</w:t>
      </w:r>
      <w:r>
        <w:rPr>
          <w:rFonts w:hint="eastAsia" w:ascii="方正楷体_GBK" w:hAnsi="方正楷体_GBK" w:eastAsia="方正楷体_GBK" w:cs="方正楷体_GBK"/>
          <w:sz w:val="28"/>
          <w:szCs w:val="28"/>
          <w:lang w:eastAsia="zh-CN"/>
        </w:rPr>
        <w:t>的</w:t>
      </w:r>
      <w:r>
        <w:rPr>
          <w:rFonts w:hint="eastAsia" w:ascii="方正楷体_GBK" w:hAnsi="方正楷体_GBK" w:eastAsia="方正楷体_GBK" w:cs="方正楷体_GBK"/>
          <w:sz w:val="28"/>
          <w:szCs w:val="28"/>
        </w:rPr>
        <w:t>合理性（</w:t>
      </w:r>
      <w:r>
        <w:rPr>
          <w:rFonts w:hint="eastAsia" w:ascii="方正楷体_GBK" w:hAnsi="方正楷体_GBK" w:eastAsia="方正楷体_GBK" w:cs="方正楷体_GBK"/>
          <w:sz w:val="28"/>
          <w:szCs w:val="28"/>
          <w:lang w:val="en-US" w:eastAsia="zh-CN"/>
        </w:rPr>
        <w:t>10</w:t>
      </w:r>
      <w:r>
        <w:rPr>
          <w:rFonts w:hint="eastAsia" w:ascii="方正楷体_GBK" w:hAnsi="方正楷体_GBK" w:eastAsia="方正楷体_GBK" w:cs="方正楷体_GBK"/>
          <w:sz w:val="28"/>
          <w:szCs w:val="28"/>
        </w:rPr>
        <w:t>分）。</w:t>
      </w:r>
    </w:p>
    <w:p>
      <w:pPr>
        <w:keepNext w:val="0"/>
        <w:keepLines w:val="0"/>
        <w:pageBreakBefore w:val="0"/>
        <w:numPr>
          <w:ilvl w:val="0"/>
          <w:numId w:val="0"/>
        </w:numPr>
        <w:kinsoku/>
        <w:wordWrap/>
        <w:overflowPunct/>
        <w:topLinePunct w:val="0"/>
        <w:autoSpaceDE/>
        <w:autoSpaceDN/>
        <w:bidi w:val="0"/>
        <w:adjustRightInd/>
        <w:snapToGrid/>
        <w:ind w:right="-82" w:rightChars="-39" w:firstLine="560" w:firstLineChars="200"/>
        <w:textAlignment w:val="auto"/>
        <w:rPr>
          <w:rFonts w:hint="eastAsia" w:ascii="方正楷体_GBK" w:hAnsi="方正楷体_GBK" w:eastAsia="方正楷体_GBK" w:cs="方正楷体_GBK"/>
          <w:sz w:val="28"/>
          <w:szCs w:val="28"/>
          <w:lang w:eastAsia="zh-CN"/>
        </w:rPr>
      </w:pPr>
      <w:r>
        <w:rPr>
          <w:rFonts w:hint="eastAsia" w:ascii="方正楷体_GBK" w:hAnsi="方正楷体_GBK" w:eastAsia="方正楷体_GBK" w:cs="方正楷体_GBK"/>
          <w:sz w:val="28"/>
          <w:szCs w:val="28"/>
          <w:lang w:val="en-US" w:eastAsia="zh-CN"/>
        </w:rPr>
        <w:t>2.</w:t>
      </w:r>
      <w:r>
        <w:rPr>
          <w:rFonts w:hint="eastAsia" w:ascii="方正楷体_GBK" w:hAnsi="方正楷体_GBK" w:eastAsia="方正楷体_GBK" w:cs="方正楷体_GBK"/>
          <w:sz w:val="28"/>
          <w:szCs w:val="28"/>
        </w:rPr>
        <w:t>设计参数及设备配置的合理性（</w:t>
      </w:r>
      <w:r>
        <w:rPr>
          <w:rFonts w:hint="eastAsia" w:ascii="方正楷体_GBK" w:hAnsi="方正楷体_GBK" w:eastAsia="方正楷体_GBK" w:cs="方正楷体_GBK"/>
          <w:sz w:val="28"/>
          <w:szCs w:val="28"/>
          <w:lang w:val="en-US" w:eastAsia="zh-CN"/>
        </w:rPr>
        <w:t>3</w:t>
      </w:r>
      <w:r>
        <w:rPr>
          <w:rFonts w:hint="eastAsia" w:ascii="方正楷体_GBK" w:hAnsi="方正楷体_GBK" w:eastAsia="方正楷体_GBK" w:cs="方正楷体_GBK"/>
          <w:sz w:val="28"/>
          <w:szCs w:val="28"/>
        </w:rPr>
        <w:t>0分）</w:t>
      </w:r>
      <w:r>
        <w:rPr>
          <w:rFonts w:hint="eastAsia" w:ascii="方正楷体_GBK" w:hAnsi="方正楷体_GBK" w:eastAsia="方正楷体_GBK" w:cs="方正楷体_GBK"/>
          <w:sz w:val="28"/>
          <w:szCs w:val="28"/>
          <w:lang w:eastAsia="zh-CN"/>
        </w:rPr>
        <w:t>。</w:t>
      </w:r>
    </w:p>
    <w:p>
      <w:pPr>
        <w:keepNext w:val="0"/>
        <w:keepLines w:val="0"/>
        <w:pageBreakBefore w:val="0"/>
        <w:numPr>
          <w:ilvl w:val="0"/>
          <w:numId w:val="0"/>
        </w:numPr>
        <w:kinsoku/>
        <w:wordWrap/>
        <w:overflowPunct/>
        <w:topLinePunct w:val="0"/>
        <w:autoSpaceDE/>
        <w:autoSpaceDN/>
        <w:bidi w:val="0"/>
        <w:adjustRightInd/>
        <w:snapToGrid/>
        <w:ind w:right="-82" w:rightChars="-39" w:firstLine="560" w:firstLineChars="200"/>
        <w:textAlignment w:val="auto"/>
        <w:rPr>
          <w:rFonts w:hint="eastAsia" w:ascii="方正楷体_GBK" w:hAnsi="方正楷体_GBK" w:eastAsia="方正楷体_GBK" w:cs="方正楷体_GBK"/>
          <w:sz w:val="28"/>
          <w:szCs w:val="28"/>
          <w:lang w:eastAsia="zh-CN"/>
        </w:rPr>
      </w:pPr>
      <w:r>
        <w:rPr>
          <w:rFonts w:hint="eastAsia" w:ascii="方正楷体_GBK" w:hAnsi="方正楷体_GBK" w:eastAsia="方正楷体_GBK" w:cs="方正楷体_GBK"/>
          <w:sz w:val="28"/>
          <w:szCs w:val="28"/>
          <w:lang w:eastAsia="zh-CN"/>
        </w:rPr>
        <w:t>（</w:t>
      </w:r>
      <w:r>
        <w:rPr>
          <w:rFonts w:hint="eastAsia" w:ascii="方正楷体_GBK" w:hAnsi="方正楷体_GBK" w:eastAsia="方正楷体_GBK" w:cs="方正楷体_GBK"/>
          <w:sz w:val="28"/>
          <w:szCs w:val="28"/>
          <w:lang w:val="en-US" w:eastAsia="zh-CN"/>
        </w:rPr>
        <w:t>1</w:t>
      </w:r>
      <w:r>
        <w:rPr>
          <w:rFonts w:hint="eastAsia" w:ascii="方正楷体_GBK" w:hAnsi="方正楷体_GBK" w:eastAsia="方正楷体_GBK" w:cs="方正楷体_GBK"/>
          <w:sz w:val="28"/>
          <w:szCs w:val="28"/>
          <w:lang w:eastAsia="zh-CN"/>
        </w:rPr>
        <w:t>）</w:t>
      </w:r>
      <w:r>
        <w:rPr>
          <w:rFonts w:hint="eastAsia" w:ascii="方正楷体_GBK" w:hAnsi="方正楷体_GBK" w:eastAsia="方正楷体_GBK" w:cs="方正楷体_GBK"/>
          <w:sz w:val="28"/>
          <w:szCs w:val="28"/>
        </w:rPr>
        <w:t>产能</w:t>
      </w:r>
      <w:r>
        <w:rPr>
          <w:rFonts w:hint="eastAsia" w:ascii="方正楷体_GBK" w:hAnsi="方正楷体_GBK" w:eastAsia="方正楷体_GBK" w:cs="方正楷体_GBK"/>
          <w:sz w:val="28"/>
          <w:szCs w:val="28"/>
          <w:lang w:eastAsia="zh-CN"/>
        </w:rPr>
        <w:t>的符合性以及</w:t>
      </w:r>
      <w:r>
        <w:rPr>
          <w:rFonts w:hint="eastAsia" w:ascii="方正楷体_GBK" w:hAnsi="方正楷体_GBK" w:eastAsia="方正楷体_GBK" w:cs="方正楷体_GBK"/>
          <w:sz w:val="28"/>
          <w:szCs w:val="28"/>
        </w:rPr>
        <w:t>匹配性（</w:t>
      </w:r>
      <w:r>
        <w:rPr>
          <w:rFonts w:hint="eastAsia" w:ascii="方正楷体_GBK" w:hAnsi="方正楷体_GBK" w:eastAsia="方正楷体_GBK" w:cs="方正楷体_GBK"/>
          <w:sz w:val="28"/>
          <w:szCs w:val="28"/>
          <w:lang w:val="en-US" w:eastAsia="zh-CN"/>
        </w:rPr>
        <w:t>15</w:t>
      </w:r>
      <w:r>
        <w:rPr>
          <w:rFonts w:hint="eastAsia" w:ascii="方正楷体_GBK" w:hAnsi="方正楷体_GBK" w:eastAsia="方正楷体_GBK" w:cs="方正楷体_GBK"/>
          <w:sz w:val="28"/>
          <w:szCs w:val="28"/>
        </w:rPr>
        <w:t>分）</w:t>
      </w:r>
      <w:r>
        <w:rPr>
          <w:rFonts w:hint="eastAsia" w:ascii="方正楷体_GBK" w:hAnsi="方正楷体_GBK" w:eastAsia="方正楷体_GBK" w:cs="方正楷体_GBK"/>
          <w:sz w:val="28"/>
          <w:szCs w:val="28"/>
          <w:lang w:eastAsia="zh-CN"/>
        </w:rPr>
        <w:t>。</w:t>
      </w:r>
    </w:p>
    <w:p>
      <w:pPr>
        <w:keepNext w:val="0"/>
        <w:keepLines w:val="0"/>
        <w:pageBreakBefore w:val="0"/>
        <w:numPr>
          <w:ilvl w:val="0"/>
          <w:numId w:val="0"/>
        </w:numPr>
        <w:kinsoku/>
        <w:wordWrap/>
        <w:overflowPunct/>
        <w:topLinePunct w:val="0"/>
        <w:autoSpaceDE/>
        <w:autoSpaceDN/>
        <w:bidi w:val="0"/>
        <w:adjustRightInd/>
        <w:snapToGrid/>
        <w:ind w:right="-82" w:rightChars="-39" w:firstLine="560" w:firstLineChars="200"/>
        <w:textAlignment w:val="auto"/>
        <w:rPr>
          <w:rFonts w:hint="eastAsia" w:ascii="方正楷体_GBK" w:hAnsi="方正楷体_GBK" w:eastAsia="方正楷体_GBK" w:cs="方正楷体_GBK"/>
          <w:sz w:val="28"/>
          <w:szCs w:val="28"/>
          <w:lang w:eastAsia="zh-CN"/>
        </w:rPr>
      </w:pPr>
      <w:r>
        <w:rPr>
          <w:rFonts w:hint="eastAsia" w:ascii="方正楷体_GBK" w:hAnsi="方正楷体_GBK" w:eastAsia="方正楷体_GBK" w:cs="方正楷体_GBK"/>
          <w:sz w:val="28"/>
          <w:szCs w:val="28"/>
          <w:lang w:eastAsia="zh-CN"/>
        </w:rPr>
        <w:t>（</w:t>
      </w:r>
      <w:r>
        <w:rPr>
          <w:rFonts w:hint="eastAsia" w:ascii="方正楷体_GBK" w:hAnsi="方正楷体_GBK" w:eastAsia="方正楷体_GBK" w:cs="方正楷体_GBK"/>
          <w:sz w:val="28"/>
          <w:szCs w:val="28"/>
          <w:lang w:val="en-US" w:eastAsia="zh-CN"/>
        </w:rPr>
        <w:t>2</w:t>
      </w:r>
      <w:r>
        <w:rPr>
          <w:rFonts w:hint="eastAsia" w:ascii="方正楷体_GBK" w:hAnsi="方正楷体_GBK" w:eastAsia="方正楷体_GBK" w:cs="方正楷体_GBK"/>
          <w:sz w:val="28"/>
          <w:szCs w:val="28"/>
          <w:lang w:eastAsia="zh-CN"/>
        </w:rPr>
        <w:t>）</w:t>
      </w:r>
      <w:r>
        <w:rPr>
          <w:rFonts w:hint="eastAsia" w:ascii="方正楷体_GBK" w:hAnsi="方正楷体_GBK" w:eastAsia="方正楷体_GBK" w:cs="方正楷体_GBK"/>
          <w:sz w:val="28"/>
          <w:szCs w:val="28"/>
        </w:rPr>
        <w:t>设备技术参数的符合性：技术性能、设备配置</w:t>
      </w:r>
      <w:r>
        <w:rPr>
          <w:rFonts w:hint="eastAsia" w:ascii="方正楷体_GBK" w:hAnsi="方正楷体_GBK" w:eastAsia="方正楷体_GBK" w:cs="方正楷体_GBK"/>
          <w:sz w:val="28"/>
          <w:szCs w:val="28"/>
          <w:lang w:eastAsia="zh-CN"/>
        </w:rPr>
        <w:t>（性能、材质等）等的匹配性与满足性</w:t>
      </w:r>
      <w:r>
        <w:rPr>
          <w:rFonts w:hint="eastAsia" w:ascii="方正楷体_GBK" w:hAnsi="方正楷体_GBK" w:eastAsia="方正楷体_GBK" w:cs="方正楷体_GBK"/>
          <w:sz w:val="28"/>
          <w:szCs w:val="28"/>
        </w:rPr>
        <w:t>（</w:t>
      </w:r>
      <w:r>
        <w:rPr>
          <w:rFonts w:hint="eastAsia" w:ascii="方正楷体_GBK" w:hAnsi="方正楷体_GBK" w:eastAsia="方正楷体_GBK" w:cs="方正楷体_GBK"/>
          <w:sz w:val="28"/>
          <w:szCs w:val="28"/>
          <w:lang w:val="en-US" w:eastAsia="zh-CN"/>
        </w:rPr>
        <w:t>10</w:t>
      </w:r>
      <w:r>
        <w:rPr>
          <w:rFonts w:hint="eastAsia" w:ascii="方正楷体_GBK" w:hAnsi="方正楷体_GBK" w:eastAsia="方正楷体_GBK" w:cs="方正楷体_GBK"/>
          <w:sz w:val="28"/>
          <w:szCs w:val="28"/>
        </w:rPr>
        <w:t>分）</w:t>
      </w:r>
      <w:r>
        <w:rPr>
          <w:rFonts w:hint="eastAsia" w:ascii="方正楷体_GBK" w:hAnsi="方正楷体_GBK" w:eastAsia="方正楷体_GBK" w:cs="方正楷体_GBK"/>
          <w:sz w:val="28"/>
          <w:szCs w:val="28"/>
          <w:lang w:eastAsia="zh-CN"/>
        </w:rPr>
        <w:t>。</w:t>
      </w:r>
    </w:p>
    <w:p>
      <w:pPr>
        <w:keepNext w:val="0"/>
        <w:keepLines w:val="0"/>
        <w:pageBreakBefore w:val="0"/>
        <w:numPr>
          <w:ilvl w:val="0"/>
          <w:numId w:val="0"/>
        </w:numPr>
        <w:kinsoku/>
        <w:wordWrap/>
        <w:overflowPunct/>
        <w:topLinePunct w:val="0"/>
        <w:autoSpaceDE/>
        <w:autoSpaceDN/>
        <w:bidi w:val="0"/>
        <w:adjustRightInd/>
        <w:snapToGrid/>
        <w:ind w:right="-82" w:rightChars="-39" w:firstLine="560" w:firstLineChars="200"/>
        <w:textAlignment w:val="auto"/>
        <w:rPr>
          <w:rFonts w:hint="eastAsia" w:ascii="方正楷体_GBK" w:hAnsi="方正楷体_GBK" w:eastAsia="方正楷体_GBK" w:cs="方正楷体_GBK"/>
          <w:sz w:val="28"/>
          <w:szCs w:val="28"/>
          <w:lang w:val="en-US" w:eastAsia="zh-CN"/>
        </w:rPr>
      </w:pPr>
      <w:r>
        <w:rPr>
          <w:rFonts w:hint="eastAsia" w:ascii="方正楷体_GBK" w:hAnsi="方正楷体_GBK" w:eastAsia="方正楷体_GBK" w:cs="方正楷体_GBK"/>
          <w:sz w:val="28"/>
          <w:szCs w:val="28"/>
          <w:lang w:eastAsia="zh-CN"/>
        </w:rPr>
        <w:t>（</w:t>
      </w:r>
      <w:r>
        <w:rPr>
          <w:rFonts w:hint="eastAsia" w:ascii="方正楷体_GBK" w:hAnsi="方正楷体_GBK" w:eastAsia="方正楷体_GBK" w:cs="方正楷体_GBK"/>
          <w:sz w:val="28"/>
          <w:szCs w:val="28"/>
          <w:lang w:val="en-US" w:eastAsia="zh-CN"/>
        </w:rPr>
        <w:t>3</w:t>
      </w:r>
      <w:r>
        <w:rPr>
          <w:rFonts w:hint="eastAsia" w:ascii="方正楷体_GBK" w:hAnsi="方正楷体_GBK" w:eastAsia="方正楷体_GBK" w:cs="方正楷体_GBK"/>
          <w:sz w:val="28"/>
          <w:szCs w:val="28"/>
          <w:lang w:eastAsia="zh-CN"/>
        </w:rPr>
        <w:t>）</w:t>
      </w:r>
      <w:r>
        <w:rPr>
          <w:rFonts w:hint="eastAsia" w:ascii="方正楷体_GBK" w:hAnsi="方正楷体_GBK" w:eastAsia="方正楷体_GBK" w:cs="方正楷体_GBK"/>
          <w:sz w:val="28"/>
          <w:szCs w:val="28"/>
        </w:rPr>
        <w:t>系统设计自动化程度（</w:t>
      </w:r>
      <w:r>
        <w:rPr>
          <w:rFonts w:hint="eastAsia" w:ascii="方正楷体_GBK" w:hAnsi="方正楷体_GBK" w:eastAsia="方正楷体_GBK" w:cs="方正楷体_GBK"/>
          <w:sz w:val="28"/>
          <w:szCs w:val="28"/>
          <w:lang w:val="en-US" w:eastAsia="zh-CN"/>
        </w:rPr>
        <w:t>5</w:t>
      </w:r>
      <w:r>
        <w:rPr>
          <w:rFonts w:hint="eastAsia" w:ascii="方正楷体_GBK" w:hAnsi="方正楷体_GBK" w:eastAsia="方正楷体_GBK" w:cs="方正楷体_GBK"/>
          <w:sz w:val="28"/>
          <w:szCs w:val="28"/>
        </w:rPr>
        <w:t>分）</w:t>
      </w:r>
      <w:r>
        <w:rPr>
          <w:rFonts w:hint="eastAsia" w:ascii="方正楷体_GBK" w:hAnsi="方正楷体_GBK" w:eastAsia="方正楷体_GBK" w:cs="方正楷体_GBK"/>
          <w:sz w:val="28"/>
          <w:szCs w:val="28"/>
          <w:lang w:eastAsia="zh-CN"/>
        </w:rPr>
        <w:t>。</w:t>
      </w:r>
    </w:p>
    <w:p>
      <w:pPr>
        <w:keepNext w:val="0"/>
        <w:keepLines w:val="0"/>
        <w:pageBreakBefore w:val="0"/>
        <w:numPr>
          <w:ilvl w:val="0"/>
          <w:numId w:val="0"/>
        </w:numPr>
        <w:kinsoku/>
        <w:wordWrap/>
        <w:overflowPunct/>
        <w:topLinePunct w:val="0"/>
        <w:autoSpaceDE/>
        <w:autoSpaceDN/>
        <w:bidi w:val="0"/>
        <w:adjustRightInd/>
        <w:snapToGrid/>
        <w:ind w:right="-82" w:rightChars="-39" w:firstLine="560" w:firstLineChars="200"/>
        <w:textAlignment w:val="auto"/>
        <w:rPr>
          <w:rFonts w:hint="default" w:ascii="方正楷体_GBK" w:hAnsi="方正楷体_GBK" w:eastAsia="方正楷体_GBK" w:cs="方正楷体_GBK"/>
          <w:sz w:val="28"/>
          <w:szCs w:val="28"/>
          <w:lang w:val="en-US" w:eastAsia="zh-CN"/>
        </w:rPr>
      </w:pPr>
      <w:r>
        <w:rPr>
          <w:rFonts w:hint="eastAsia" w:ascii="方正楷体_GBK" w:hAnsi="方正楷体_GBK" w:eastAsia="方正楷体_GBK" w:cs="方正楷体_GBK"/>
          <w:sz w:val="28"/>
          <w:szCs w:val="28"/>
          <w:lang w:val="en-US" w:eastAsia="zh-CN"/>
        </w:rPr>
        <w:t>3.运行的经济性（10分），根据运行费用进行测算与评估：优得8-10分，良得6-8分，一般得4-6分，差得0-4分。</w:t>
      </w:r>
    </w:p>
    <w:p>
      <w:pPr>
        <w:keepNext w:val="0"/>
        <w:keepLines w:val="0"/>
        <w:pageBreakBefore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方正楷体_GBK" w:hAnsi="方正楷体_GBK" w:eastAsia="方正楷体_GBK" w:cs="方正楷体_GBK"/>
          <w:b w:val="0"/>
          <w:bCs/>
          <w:sz w:val="28"/>
          <w:szCs w:val="28"/>
          <w:lang w:eastAsia="zh-CN"/>
        </w:rPr>
      </w:pPr>
      <w:r>
        <w:rPr>
          <w:rFonts w:hint="eastAsia" w:ascii="方正楷体_GBK" w:hAnsi="方正楷体_GBK" w:eastAsia="方正楷体_GBK" w:cs="方正楷体_GBK"/>
          <w:b w:val="0"/>
          <w:bCs/>
          <w:sz w:val="28"/>
          <w:szCs w:val="28"/>
          <w:lang w:eastAsia="zh-CN"/>
        </w:rPr>
        <w:t>（三）商务标（</w:t>
      </w:r>
      <w:r>
        <w:rPr>
          <w:rFonts w:hint="eastAsia" w:ascii="方正楷体_GBK" w:hAnsi="方正楷体_GBK" w:eastAsia="方正楷体_GBK" w:cs="方正楷体_GBK"/>
          <w:b w:val="0"/>
          <w:bCs/>
          <w:sz w:val="28"/>
          <w:szCs w:val="28"/>
          <w:lang w:val="en-US" w:eastAsia="zh-CN"/>
        </w:rPr>
        <w:t>30分</w:t>
      </w:r>
      <w:r>
        <w:rPr>
          <w:rFonts w:hint="eastAsia" w:ascii="方正楷体_GBK" w:hAnsi="方正楷体_GBK" w:eastAsia="方正楷体_GBK" w:cs="方正楷体_GBK"/>
          <w:b w:val="0"/>
          <w:bCs/>
          <w:sz w:val="28"/>
          <w:szCs w:val="28"/>
          <w:lang w:eastAsia="zh-CN"/>
        </w:rPr>
        <w:t>）</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80" w:rightChars="-38" w:firstLine="560" w:firstLineChars="200"/>
        <w:jc w:val="both"/>
        <w:textAlignment w:val="auto"/>
        <w:rPr>
          <w:rFonts w:hint="eastAsia" w:ascii="方正楷体_GBK" w:hAnsi="方正楷体_GBK" w:eastAsia="方正楷体_GBK" w:cs="方正楷体_GBK"/>
          <w:color w:val="000000"/>
          <w:sz w:val="28"/>
          <w:szCs w:val="28"/>
          <w:lang w:val="en-US"/>
        </w:rPr>
      </w:pPr>
      <w:r>
        <w:rPr>
          <w:rFonts w:hint="eastAsia" w:ascii="方正楷体_GBK" w:hAnsi="方正楷体_GBK" w:eastAsia="方正楷体_GBK" w:cs="方正楷体_GBK"/>
          <w:b w:val="0"/>
          <w:bCs/>
          <w:sz w:val="28"/>
          <w:szCs w:val="28"/>
          <w:lang w:val="en-US" w:eastAsia="zh-CN"/>
        </w:rPr>
        <w:t>1.价格分（20分）。</w:t>
      </w:r>
      <w:r>
        <w:rPr>
          <w:rFonts w:hint="eastAsia" w:ascii="方正楷体_GBK" w:hAnsi="方正楷体_GBK" w:eastAsia="方正楷体_GBK" w:cs="方正楷体_GBK"/>
          <w:color w:val="000000"/>
          <w:kern w:val="2"/>
          <w:sz w:val="28"/>
          <w:szCs w:val="28"/>
          <w:lang w:val="en-US" w:eastAsia="zh-CN" w:bidi="ar"/>
        </w:rPr>
        <w:t>以入围商务标的投标报价的算数平均数作为基准价，等于基准价得满分，其它投标价格每高1%扣减1分，直至35分扣完为止。</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80" w:rightChars="-38" w:firstLine="560" w:firstLineChars="200"/>
        <w:jc w:val="both"/>
        <w:textAlignment w:val="auto"/>
        <w:rPr>
          <w:rFonts w:hint="eastAsia" w:ascii="方正楷体_GBK" w:hAnsi="方正楷体_GBK" w:eastAsia="方正楷体_GBK" w:cs="方正楷体_GBK"/>
          <w:color w:val="000000"/>
          <w:kern w:val="2"/>
          <w:sz w:val="28"/>
          <w:szCs w:val="28"/>
          <w:highlight w:val="none"/>
          <w:lang w:val="en-US" w:eastAsia="zh-CN" w:bidi="ar"/>
        </w:rPr>
      </w:pPr>
      <w:r>
        <w:rPr>
          <w:rFonts w:hint="eastAsia" w:ascii="方正楷体_GBK" w:hAnsi="方正楷体_GBK" w:eastAsia="方正楷体_GBK" w:cs="方正楷体_GBK"/>
          <w:color w:val="000000"/>
          <w:sz w:val="28"/>
          <w:szCs w:val="28"/>
          <w:lang w:val="en-US" w:eastAsia="zh-CN"/>
        </w:rPr>
        <w:t>2.</w:t>
      </w:r>
      <w:r>
        <w:rPr>
          <w:rFonts w:hint="eastAsia" w:ascii="方正楷体_GBK" w:hAnsi="方正楷体_GBK" w:eastAsia="方正楷体_GBK" w:cs="方正楷体_GBK"/>
          <w:color w:val="000000"/>
          <w:kern w:val="2"/>
          <w:sz w:val="28"/>
          <w:szCs w:val="28"/>
          <w:lang w:val="en-US" w:eastAsia="zh-CN" w:bidi="ar"/>
        </w:rPr>
        <w:t>项目交货期（5分）。</w:t>
      </w:r>
      <w:r>
        <w:rPr>
          <w:rFonts w:hint="eastAsia" w:ascii="方正楷体_GBK" w:hAnsi="方正楷体_GBK" w:eastAsia="方正楷体_GBK" w:cs="方正楷体_GBK"/>
          <w:color w:val="000000"/>
          <w:kern w:val="2"/>
          <w:sz w:val="28"/>
          <w:szCs w:val="28"/>
          <w:highlight w:val="none"/>
          <w:lang w:val="en-US" w:eastAsia="zh-CN" w:bidi="ar"/>
        </w:rPr>
        <w:t>2023年9月30日前完成安装、调试并试生产。完全响应得满分，否则不得分。</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80" w:rightChars="-38" w:firstLine="560" w:firstLineChars="200"/>
        <w:jc w:val="both"/>
        <w:textAlignment w:val="auto"/>
        <w:rPr>
          <w:rFonts w:hint="eastAsia" w:ascii="方正楷体_GBK" w:hAnsi="方正楷体_GBK" w:eastAsia="方正楷体_GBK" w:cs="方正楷体_GBK"/>
          <w:color w:val="000000"/>
          <w:sz w:val="28"/>
          <w:szCs w:val="28"/>
          <w:lang w:val="en-US"/>
        </w:rPr>
      </w:pPr>
      <w:r>
        <w:rPr>
          <w:rFonts w:hint="eastAsia" w:ascii="方正楷体_GBK" w:hAnsi="方正楷体_GBK" w:eastAsia="方正楷体_GBK" w:cs="方正楷体_GBK"/>
          <w:color w:val="000000"/>
          <w:kern w:val="2"/>
          <w:sz w:val="28"/>
          <w:szCs w:val="28"/>
          <w:lang w:val="en-US" w:eastAsia="zh-CN" w:bidi="ar"/>
        </w:rPr>
        <w:t>3.付款方式（5分）。完全响应得满分，否则不得分。合同签订后预付35%货款，货到现场开箱验收合格后付20%，安装调试完毕并经招标方验收合格后付40%，按合同价全额开具增值税发票，剩余的5%作为质保金。质保期满后，经双方验收合格后支付。</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方正楷体_GBK" w:hAnsi="方正楷体_GBK" w:eastAsia="方正楷体_GBK" w:cs="方正楷体_GBK"/>
          <w:b w:val="0"/>
          <w:bCs/>
          <w:sz w:val="28"/>
          <w:szCs w:val="28"/>
        </w:rPr>
      </w:pPr>
      <w:r>
        <w:rPr>
          <w:rFonts w:hint="eastAsia" w:ascii="方正楷体_GBK" w:hAnsi="方正楷体_GBK" w:eastAsia="方正楷体_GBK" w:cs="方正楷体_GBK"/>
          <w:b w:val="0"/>
          <w:bCs/>
          <w:sz w:val="28"/>
          <w:szCs w:val="28"/>
        </w:rPr>
        <w:t>（四）中标单位的确定</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按技术标得分+商务标得分计算总得分，从高到低依次确定第一、第二、第三中标候选单位。第一中标候选单位有洽谈签订合同的优先权，</w:t>
      </w:r>
      <w:r>
        <w:rPr>
          <w:rFonts w:hint="eastAsia" w:ascii="方正楷体_GBK" w:hAnsi="方正楷体_GBK" w:eastAsia="方正楷体_GBK" w:cs="方正楷体_GBK"/>
          <w:sz w:val="28"/>
          <w:szCs w:val="28"/>
          <w:lang w:eastAsia="zh-CN"/>
        </w:rPr>
        <w:t>洽谈成功即为中标单位。</w:t>
      </w:r>
      <w:r>
        <w:rPr>
          <w:rFonts w:hint="eastAsia" w:ascii="方正楷体_GBK" w:hAnsi="方正楷体_GBK" w:eastAsia="方正楷体_GBK" w:cs="方正楷体_GBK"/>
          <w:sz w:val="28"/>
          <w:szCs w:val="28"/>
        </w:rPr>
        <w:t>若自动放弃或合同谈判未达成一致，则招标方与第二中标候选单位洽谈签订合同，依次类推。</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方正楷体_GBK" w:hAnsi="方正楷体_GBK" w:eastAsia="方正楷体_GBK" w:cs="方正楷体_GBK"/>
          <w:b w:val="0"/>
          <w:bCs/>
          <w:sz w:val="28"/>
          <w:szCs w:val="28"/>
        </w:rPr>
      </w:pPr>
      <w:r>
        <w:rPr>
          <w:rFonts w:hint="eastAsia" w:ascii="方正楷体_GBK" w:hAnsi="方正楷体_GBK" w:eastAsia="方正楷体_GBK" w:cs="方正楷体_GBK"/>
          <w:b w:val="0"/>
          <w:bCs/>
          <w:sz w:val="28"/>
          <w:szCs w:val="28"/>
        </w:rPr>
        <w:t>（五）中标价的确定</w:t>
      </w:r>
    </w:p>
    <w:p>
      <w:pPr>
        <w:keepNext w:val="0"/>
        <w:keepLines w:val="0"/>
        <w:pageBreakBefore w:val="0"/>
        <w:numPr>
          <w:ilvl w:val="0"/>
          <w:numId w:val="0"/>
        </w:numPr>
        <w:kinsoku/>
        <w:wordWrap/>
        <w:overflowPunct/>
        <w:topLinePunct w:val="0"/>
        <w:autoSpaceDE/>
        <w:autoSpaceDN/>
        <w:bidi w:val="0"/>
        <w:adjustRightInd/>
        <w:snapToGrid/>
        <w:spacing w:line="360" w:lineRule="auto"/>
        <w:ind w:firstLine="562" w:firstLineChars="200"/>
        <w:textAlignment w:val="auto"/>
        <w:rPr>
          <w:rFonts w:hint="default" w:ascii="方正楷体_GBK" w:hAnsi="方正楷体_GBK" w:eastAsia="方正楷体_GBK" w:cs="方正楷体_GBK"/>
          <w:b/>
          <w:sz w:val="28"/>
          <w:szCs w:val="28"/>
          <w:lang w:val="en-US" w:eastAsia="zh-CN"/>
        </w:rPr>
      </w:pPr>
      <w:r>
        <w:rPr>
          <w:rFonts w:hint="eastAsia" w:ascii="方正楷体_GBK" w:hAnsi="方正楷体_GBK" w:eastAsia="方正楷体_GBK" w:cs="方正楷体_GBK"/>
          <w:b/>
          <w:sz w:val="28"/>
          <w:szCs w:val="28"/>
          <w:lang w:val="en-US" w:eastAsia="zh-CN"/>
        </w:rPr>
        <w:t xml:space="preserve">    </w:t>
      </w:r>
      <w:r>
        <w:rPr>
          <w:rFonts w:hint="eastAsia" w:ascii="方正楷体_GBK" w:hAnsi="方正楷体_GBK" w:eastAsia="方正楷体_GBK" w:cs="方正楷体_GBK"/>
          <w:b w:val="0"/>
          <w:bCs/>
          <w:sz w:val="28"/>
          <w:szCs w:val="28"/>
          <w:lang w:val="en-US" w:eastAsia="zh-CN"/>
        </w:rPr>
        <w:t xml:space="preserve"> 以中标单位的投标报价作为中标价。</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562" w:firstLineChars="200"/>
        <w:jc w:val="left"/>
        <w:textAlignment w:val="auto"/>
        <w:rPr>
          <w:rFonts w:ascii="方正楷体_GBK" w:hAnsi="方正楷体_GBK" w:eastAsia="方正楷体_GBK" w:cs="方正楷体_GBK"/>
          <w:b/>
          <w:sz w:val="28"/>
          <w:szCs w:val="28"/>
        </w:rPr>
      </w:pPr>
      <w:r>
        <w:rPr>
          <w:rFonts w:hint="eastAsia" w:ascii="方正楷体_GBK" w:hAnsi="方正楷体_GBK" w:eastAsia="方正楷体_GBK" w:cs="方正楷体_GBK"/>
          <w:b/>
          <w:sz w:val="28"/>
          <w:szCs w:val="28"/>
        </w:rPr>
        <w:t>四、投标文件编写</w:t>
      </w:r>
    </w:p>
    <w:p>
      <w:pPr>
        <w:keepNext w:val="0"/>
        <w:keepLines w:val="0"/>
        <w:pageBreakBefore w:val="0"/>
        <w:kinsoku/>
        <w:wordWrap/>
        <w:overflowPunct/>
        <w:topLinePunct w:val="0"/>
        <w:autoSpaceDE/>
        <w:autoSpaceDN/>
        <w:bidi w:val="0"/>
        <w:adjustRightInd/>
        <w:snapToGrid/>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（一）</w:t>
      </w:r>
      <w:r>
        <w:rPr>
          <w:rFonts w:hint="eastAsia" w:ascii="方正楷体_GBK" w:hAnsi="方正楷体_GBK" w:eastAsia="方正楷体_GBK" w:cs="方正楷体_GBK"/>
          <w:b/>
          <w:bCs/>
          <w:sz w:val="28"/>
          <w:szCs w:val="28"/>
        </w:rPr>
        <w:t>报名文件：</w:t>
      </w:r>
      <w:r>
        <w:rPr>
          <w:rFonts w:hint="eastAsia" w:ascii="方正楷体_GBK" w:hAnsi="方正楷体_GBK" w:eastAsia="方正楷体_GBK" w:cs="方正楷体_GBK"/>
          <w:sz w:val="28"/>
          <w:szCs w:val="28"/>
        </w:rPr>
        <w:t>报名为电子方式报名。报名文件为企业简介、相关证照资料、报名表</w:t>
      </w:r>
      <w:r>
        <w:rPr>
          <w:rFonts w:hint="eastAsia" w:ascii="方正楷体_GBK" w:hAnsi="方正楷体_GBK" w:eastAsia="方正楷体_GBK" w:cs="方正楷体_GBK"/>
          <w:sz w:val="28"/>
          <w:szCs w:val="28"/>
          <w:lang w:eastAsia="zh-CN"/>
        </w:rPr>
        <w:t>以及本说明书第二条款投标单位资质要求所需的支撑文件</w:t>
      </w:r>
      <w:r>
        <w:rPr>
          <w:rFonts w:hint="eastAsia" w:ascii="方正楷体_GBK" w:hAnsi="方正楷体_GBK" w:eastAsia="方正楷体_GBK" w:cs="方正楷体_GBK"/>
          <w:sz w:val="28"/>
          <w:szCs w:val="28"/>
        </w:rPr>
        <w:t>。报名资料</w:t>
      </w:r>
      <w:r>
        <w:rPr>
          <w:rFonts w:hint="eastAsia" w:ascii="方正楷体_GBK" w:hAnsi="方正楷体_GBK" w:eastAsia="方正楷体_GBK" w:cs="方正楷体_GBK"/>
          <w:sz w:val="28"/>
          <w:szCs w:val="28"/>
          <w:lang w:eastAsia="zh-CN"/>
        </w:rPr>
        <w:t>接收邮箱为：</w:t>
      </w:r>
      <w:r>
        <w:rPr>
          <w:rFonts w:hint="eastAsia" w:ascii="方正楷体_GBK" w:hAnsi="方正楷体_GBK" w:eastAsia="方正楷体_GBK" w:cs="方正楷体_GBK"/>
          <w:sz w:val="28"/>
          <w:szCs w:val="28"/>
        </w:rPr>
        <w:t>zhangwh@flzc.com</w:t>
      </w:r>
    </w:p>
    <w:p>
      <w:pPr>
        <w:keepNext w:val="0"/>
        <w:keepLines w:val="0"/>
        <w:pageBreakBefore w:val="0"/>
        <w:kinsoku/>
        <w:wordWrap/>
        <w:overflowPunct/>
        <w:topLinePunct w:val="0"/>
        <w:autoSpaceDE/>
        <w:autoSpaceDN/>
        <w:bidi w:val="0"/>
        <w:adjustRightInd/>
        <w:snapToGrid/>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（二）</w:t>
      </w:r>
      <w:r>
        <w:rPr>
          <w:rFonts w:hint="eastAsia" w:ascii="方正楷体_GBK" w:hAnsi="方正楷体_GBK" w:eastAsia="方正楷体_GBK" w:cs="方正楷体_GBK"/>
          <w:b/>
          <w:bCs/>
          <w:sz w:val="28"/>
          <w:szCs w:val="28"/>
        </w:rPr>
        <w:t>资质文件：</w:t>
      </w:r>
      <w:r>
        <w:rPr>
          <w:rFonts w:hint="eastAsia" w:ascii="方正楷体_GBK" w:hAnsi="方正楷体_GBK" w:eastAsia="方正楷体_GBK" w:cs="方正楷体_GBK"/>
          <w:sz w:val="28"/>
          <w:szCs w:val="28"/>
        </w:rPr>
        <w:t>包含但不限于与本说明书第二条款明确提出的相关资质证书及投标单位认为有必要提供的支撑文件或说明文件；企业基本情况介绍；授权委托书（附件1）等。</w:t>
      </w:r>
    </w:p>
    <w:p>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ascii="方正楷体_GBK" w:hAnsi="方正楷体_GBK" w:eastAsia="方正楷体_GBK" w:cs="方正楷体_GBK"/>
          <w:bCs/>
          <w:sz w:val="28"/>
          <w:szCs w:val="28"/>
        </w:rPr>
      </w:pPr>
      <w:r>
        <w:rPr>
          <w:rFonts w:hint="eastAsia" w:ascii="方正楷体_GBK" w:hAnsi="方正楷体_GBK" w:eastAsia="方正楷体_GBK" w:cs="方正楷体_GBK"/>
          <w:b/>
          <w:sz w:val="28"/>
          <w:szCs w:val="28"/>
        </w:rPr>
        <w:t>（三）技术标文件</w:t>
      </w:r>
      <w:r>
        <w:rPr>
          <w:rFonts w:hint="eastAsia" w:ascii="方正楷体_GBK" w:hAnsi="方正楷体_GBK" w:eastAsia="方正楷体_GBK" w:cs="方正楷体_GBK"/>
          <w:b/>
          <w:sz w:val="28"/>
          <w:szCs w:val="28"/>
          <w:lang w:eastAsia="zh-CN"/>
        </w:rPr>
        <w:t>：</w:t>
      </w:r>
      <w:bookmarkStart w:id="0" w:name="_GoBack"/>
      <w:bookmarkEnd w:id="0"/>
      <w:r>
        <w:rPr>
          <w:rFonts w:hint="eastAsia" w:ascii="方正楷体_GBK" w:hAnsi="方正楷体_GBK" w:eastAsia="方正楷体_GBK" w:cs="方正楷体_GBK"/>
          <w:bCs/>
          <w:sz w:val="28"/>
          <w:szCs w:val="28"/>
        </w:rPr>
        <w:t>针对招标方的技术方案进行逐项响应并标注偏离项目。</w:t>
      </w:r>
    </w:p>
    <w:p>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ascii="方正楷体_GBK" w:hAnsi="方正楷体_GBK" w:eastAsia="方正楷体_GBK" w:cs="方正楷体_GBK"/>
          <w:b/>
          <w:sz w:val="28"/>
          <w:szCs w:val="28"/>
        </w:rPr>
      </w:pPr>
      <w:r>
        <w:rPr>
          <w:rFonts w:hint="eastAsia" w:ascii="方正楷体_GBK" w:hAnsi="方正楷体_GBK" w:eastAsia="方正楷体_GBK" w:cs="方正楷体_GBK"/>
          <w:b/>
          <w:sz w:val="28"/>
          <w:szCs w:val="28"/>
        </w:rPr>
        <w:t>（四）商务标文件</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1.投标人承诺函</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2.法定代表人及委托代理人身份证复印件</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3.投标报价表，须按项目组成分项明细报价。</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以上文件，若采用现场招标，须提供：纸质文件1正2副，同时递交电子版一份（置于资质文件袋中）。纸质文件需逐项加盖单位公章后单独密封，且加盖骑缝章。未按要求递交的投标文件不予接受。投标文件（含电子版文件）在开标当日签到时递交。</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若采用线上招标，须至少在开标前2小时将投标文件发送至zhangwh@flzc.com,投标文件分正本和副本，正本为加盖公章的扫描件版本（在文件关键页面处加盖公章），副本为word,excel,pdf等格式的原始文件。</w:t>
      </w:r>
    </w:p>
    <w:p>
      <w:pPr>
        <w:pStyle w:val="4"/>
        <w:keepNext w:val="0"/>
        <w:keepLines w:val="0"/>
        <w:pageBreakBefore w:val="0"/>
        <w:kinsoku/>
        <w:wordWrap/>
        <w:overflowPunct/>
        <w:topLinePunct w:val="0"/>
        <w:autoSpaceDE/>
        <w:autoSpaceDN/>
        <w:bidi w:val="0"/>
        <w:adjustRightInd/>
        <w:snapToGrid/>
        <w:spacing w:line="560" w:lineRule="exact"/>
        <w:ind w:left="0" w:leftChars="0" w:firstLine="562" w:firstLineChars="200"/>
        <w:textAlignment w:val="auto"/>
        <w:rPr>
          <w:rFonts w:ascii="方正楷体_GBK" w:hAnsi="方正楷体_GBK" w:eastAsia="方正楷体_GBK" w:cs="方正楷体_GBK"/>
          <w:b/>
          <w:sz w:val="28"/>
          <w:szCs w:val="28"/>
        </w:rPr>
      </w:pPr>
      <w:r>
        <w:rPr>
          <w:rFonts w:hint="eastAsia" w:ascii="方正楷体_GBK" w:hAnsi="方正楷体_GBK" w:eastAsia="方正楷体_GBK" w:cs="方正楷体_GBK"/>
          <w:b/>
          <w:sz w:val="28"/>
          <w:szCs w:val="28"/>
          <w:shd w:val="clear" w:color="auto" w:fill="FFFFFF"/>
        </w:rPr>
        <w:t>五、</w:t>
      </w:r>
      <w:r>
        <w:rPr>
          <w:rFonts w:hint="eastAsia" w:ascii="方正楷体_GBK" w:hAnsi="方正楷体_GBK" w:eastAsia="方正楷体_GBK" w:cs="方正楷体_GBK"/>
          <w:b/>
          <w:sz w:val="28"/>
          <w:szCs w:val="28"/>
        </w:rPr>
        <w:t>招标日程安排</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方正楷体_GBK" w:hAnsi="方正楷体_GBK" w:eastAsia="方正楷体_GBK" w:cs="方正楷体_GBK"/>
          <w:color w:val="auto"/>
          <w:sz w:val="28"/>
          <w:szCs w:val="28"/>
          <w:lang w:eastAsia="zh-CN"/>
        </w:rPr>
      </w:pPr>
      <w:r>
        <w:rPr>
          <w:rFonts w:hint="eastAsia" w:ascii="方正楷体_GBK" w:hAnsi="方正楷体_GBK" w:eastAsia="方正楷体_GBK" w:cs="方正楷体_GBK"/>
          <w:sz w:val="28"/>
          <w:szCs w:val="28"/>
        </w:rPr>
        <w:t>（一）投标咨询及现场查勘时间</w:t>
      </w:r>
      <w:r>
        <w:rPr>
          <w:rFonts w:hint="eastAsia" w:ascii="方正楷体_GBK" w:hAnsi="方正楷体_GBK" w:eastAsia="方正楷体_GBK" w:cs="方正楷体_GBK"/>
          <w:color w:val="auto"/>
          <w:sz w:val="28"/>
          <w:szCs w:val="28"/>
        </w:rPr>
        <w:t>：</w:t>
      </w:r>
      <w:r>
        <w:rPr>
          <w:rFonts w:hint="eastAsia" w:ascii="方正楷体_GBK" w:hAnsi="方正楷体_GBK" w:eastAsia="方正楷体_GBK" w:cs="方正楷体_GBK"/>
          <w:color w:val="auto"/>
          <w:sz w:val="28"/>
          <w:szCs w:val="28"/>
          <w:lang w:eastAsia="zh-CN"/>
        </w:rPr>
        <w:t>2023年</w:t>
      </w:r>
      <w:r>
        <w:rPr>
          <w:rFonts w:hint="eastAsia" w:ascii="方正楷体_GBK" w:hAnsi="方正楷体_GBK" w:eastAsia="方正楷体_GBK" w:cs="方正楷体_GBK"/>
          <w:color w:val="auto"/>
          <w:sz w:val="28"/>
          <w:szCs w:val="28"/>
          <w:lang w:val="en-US" w:eastAsia="zh-CN"/>
        </w:rPr>
        <w:t>7</w:t>
      </w:r>
      <w:r>
        <w:rPr>
          <w:rFonts w:hint="eastAsia" w:ascii="方正楷体_GBK" w:hAnsi="方正楷体_GBK" w:eastAsia="方正楷体_GBK" w:cs="方正楷体_GBK"/>
          <w:color w:val="auto"/>
          <w:sz w:val="28"/>
          <w:szCs w:val="28"/>
          <w:lang w:eastAsia="zh-CN"/>
        </w:rPr>
        <w:t>月</w:t>
      </w:r>
      <w:r>
        <w:rPr>
          <w:rFonts w:hint="eastAsia" w:ascii="方正楷体_GBK" w:hAnsi="方正楷体_GBK" w:eastAsia="方正楷体_GBK" w:cs="方正楷体_GBK"/>
          <w:color w:val="auto"/>
          <w:sz w:val="28"/>
          <w:szCs w:val="28"/>
          <w:lang w:val="en-US" w:eastAsia="zh-CN"/>
        </w:rPr>
        <w:t>25日</w:t>
      </w:r>
      <w:r>
        <w:rPr>
          <w:rFonts w:hint="eastAsia" w:ascii="方正楷体_GBK" w:hAnsi="方正楷体_GBK" w:eastAsia="方正楷体_GBK" w:cs="方正楷体_GBK"/>
          <w:color w:val="auto"/>
          <w:sz w:val="28"/>
          <w:szCs w:val="28"/>
        </w:rPr>
        <w:t>—</w:t>
      </w:r>
      <w:r>
        <w:rPr>
          <w:rFonts w:hint="eastAsia" w:ascii="方正楷体_GBK" w:hAnsi="方正楷体_GBK" w:eastAsia="方正楷体_GBK" w:cs="方正楷体_GBK"/>
          <w:color w:val="auto"/>
          <w:sz w:val="28"/>
          <w:szCs w:val="28"/>
          <w:lang w:val="en-US" w:eastAsia="zh-CN"/>
        </w:rPr>
        <w:t>7</w:t>
      </w:r>
      <w:r>
        <w:rPr>
          <w:rFonts w:hint="eastAsia" w:ascii="方正楷体_GBK" w:hAnsi="方正楷体_GBK" w:eastAsia="方正楷体_GBK" w:cs="方正楷体_GBK"/>
          <w:color w:val="auto"/>
          <w:sz w:val="28"/>
          <w:szCs w:val="28"/>
        </w:rPr>
        <w:t>月</w:t>
      </w:r>
      <w:r>
        <w:rPr>
          <w:rFonts w:hint="eastAsia" w:ascii="方正楷体_GBK" w:hAnsi="方正楷体_GBK" w:eastAsia="方正楷体_GBK" w:cs="方正楷体_GBK"/>
          <w:color w:val="auto"/>
          <w:sz w:val="28"/>
          <w:szCs w:val="28"/>
          <w:lang w:val="en-US" w:eastAsia="zh-CN"/>
        </w:rPr>
        <w:t>30</w:t>
      </w:r>
      <w:r>
        <w:rPr>
          <w:rFonts w:hint="eastAsia" w:ascii="方正楷体_GBK" w:hAnsi="方正楷体_GBK" w:eastAsia="方正楷体_GBK" w:cs="方正楷体_GBK"/>
          <w:color w:val="auto"/>
          <w:sz w:val="28"/>
          <w:szCs w:val="28"/>
        </w:rPr>
        <w:t>日</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方正楷体_GBK" w:hAnsi="方正楷体_GBK" w:eastAsia="方正楷体_GBK" w:cs="方正楷体_GBK"/>
          <w:sz w:val="28"/>
          <w:szCs w:val="28"/>
        </w:rPr>
      </w:pPr>
      <w:r>
        <w:rPr>
          <w:rFonts w:hint="eastAsia" w:ascii="方正楷体_GBK" w:hAnsi="方正楷体_GBK" w:eastAsia="方正楷体_GBK" w:cs="方正楷体_GBK"/>
          <w:color w:val="auto"/>
          <w:sz w:val="28"/>
          <w:szCs w:val="28"/>
        </w:rPr>
        <w:t>（二）报名时间：</w:t>
      </w:r>
      <w:r>
        <w:rPr>
          <w:rFonts w:hint="eastAsia" w:ascii="方正楷体_GBK" w:hAnsi="方正楷体_GBK" w:eastAsia="方正楷体_GBK" w:cs="方正楷体_GBK"/>
          <w:color w:val="auto"/>
          <w:sz w:val="28"/>
          <w:szCs w:val="28"/>
          <w:lang w:eastAsia="zh-CN"/>
        </w:rPr>
        <w:t>2023年</w:t>
      </w:r>
      <w:r>
        <w:rPr>
          <w:rFonts w:hint="eastAsia" w:ascii="方正楷体_GBK" w:hAnsi="方正楷体_GBK" w:eastAsia="方正楷体_GBK" w:cs="方正楷体_GBK"/>
          <w:color w:val="auto"/>
          <w:sz w:val="28"/>
          <w:szCs w:val="28"/>
          <w:lang w:val="en-US" w:eastAsia="zh-CN"/>
        </w:rPr>
        <w:t>7</w:t>
      </w:r>
      <w:r>
        <w:rPr>
          <w:rFonts w:hint="eastAsia" w:ascii="方正楷体_GBK" w:hAnsi="方正楷体_GBK" w:eastAsia="方正楷体_GBK" w:cs="方正楷体_GBK"/>
          <w:color w:val="auto"/>
          <w:sz w:val="28"/>
          <w:szCs w:val="28"/>
          <w:lang w:eastAsia="zh-CN"/>
        </w:rPr>
        <w:t>月</w:t>
      </w:r>
      <w:r>
        <w:rPr>
          <w:rFonts w:hint="eastAsia" w:ascii="方正楷体_GBK" w:hAnsi="方正楷体_GBK" w:eastAsia="方正楷体_GBK" w:cs="方正楷体_GBK"/>
          <w:color w:val="auto"/>
          <w:sz w:val="28"/>
          <w:szCs w:val="28"/>
          <w:lang w:val="en-US" w:eastAsia="zh-CN"/>
        </w:rPr>
        <w:t>26</w:t>
      </w:r>
      <w:r>
        <w:rPr>
          <w:rFonts w:hint="eastAsia" w:ascii="方正楷体_GBK" w:hAnsi="方正楷体_GBK" w:eastAsia="方正楷体_GBK" w:cs="方正楷体_GBK"/>
          <w:color w:val="auto"/>
          <w:sz w:val="28"/>
          <w:szCs w:val="28"/>
        </w:rPr>
        <w:t>—</w:t>
      </w:r>
      <w:r>
        <w:rPr>
          <w:rFonts w:hint="eastAsia" w:ascii="方正楷体_GBK" w:hAnsi="方正楷体_GBK" w:eastAsia="方正楷体_GBK" w:cs="方正楷体_GBK"/>
          <w:color w:val="auto"/>
          <w:sz w:val="28"/>
          <w:szCs w:val="28"/>
          <w:lang w:val="en-US" w:eastAsia="zh-CN"/>
        </w:rPr>
        <w:t>8</w:t>
      </w:r>
      <w:r>
        <w:rPr>
          <w:rFonts w:hint="eastAsia" w:ascii="方正楷体_GBK" w:hAnsi="方正楷体_GBK" w:eastAsia="方正楷体_GBK" w:cs="方正楷体_GBK"/>
          <w:color w:val="auto"/>
          <w:sz w:val="28"/>
          <w:szCs w:val="28"/>
        </w:rPr>
        <w:t>月</w:t>
      </w:r>
      <w:r>
        <w:rPr>
          <w:rFonts w:hint="eastAsia" w:ascii="方正楷体_GBK" w:hAnsi="方正楷体_GBK" w:eastAsia="方正楷体_GBK" w:cs="方正楷体_GBK"/>
          <w:color w:val="auto"/>
          <w:sz w:val="28"/>
          <w:szCs w:val="28"/>
          <w:lang w:val="en-US" w:eastAsia="zh-CN"/>
        </w:rPr>
        <w:t>1</w:t>
      </w:r>
      <w:r>
        <w:rPr>
          <w:rFonts w:hint="eastAsia" w:ascii="方正楷体_GBK" w:hAnsi="方正楷体_GBK" w:eastAsia="方正楷体_GBK" w:cs="方正楷体_GBK"/>
          <w:color w:val="auto"/>
          <w:sz w:val="28"/>
          <w:szCs w:val="28"/>
        </w:rPr>
        <w:t>日，</w:t>
      </w:r>
      <w:r>
        <w:rPr>
          <w:rFonts w:hint="eastAsia" w:ascii="方正楷体_GBK" w:hAnsi="方正楷体_GBK" w:eastAsia="方正楷体_GBK" w:cs="方正楷体_GBK"/>
          <w:sz w:val="28"/>
          <w:szCs w:val="28"/>
        </w:rPr>
        <w:t>报名通过电子邮件方式报名。</w:t>
      </w:r>
      <w:r>
        <w:rPr>
          <w:rFonts w:hint="eastAsia" w:ascii="方正楷体_GBK" w:hAnsi="方正楷体_GBK" w:eastAsia="方正楷体_GBK" w:cs="方正楷体_GBK"/>
          <w:sz w:val="28"/>
          <w:szCs w:val="28"/>
        </w:rPr>
        <w:fldChar w:fldCharType="begin"/>
      </w:r>
      <w:r>
        <w:rPr>
          <w:rFonts w:hint="eastAsia" w:ascii="方正楷体_GBK" w:hAnsi="方正楷体_GBK" w:eastAsia="方正楷体_GBK" w:cs="方正楷体_GBK"/>
          <w:sz w:val="28"/>
          <w:szCs w:val="28"/>
        </w:rPr>
        <w:instrText xml:space="preserve">HYPERLINK "mailto:请将报名信息发送至flzcwjzwh@sina.com"</w:instrText>
      </w:r>
      <w:r>
        <w:rPr>
          <w:rFonts w:hint="eastAsia" w:ascii="方正楷体_GBK" w:hAnsi="方正楷体_GBK" w:eastAsia="方正楷体_GBK" w:cs="方正楷体_GBK"/>
          <w:sz w:val="28"/>
          <w:szCs w:val="28"/>
        </w:rPr>
        <w:fldChar w:fldCharType="separate"/>
      </w:r>
      <w:r>
        <w:rPr>
          <w:rFonts w:hint="eastAsia" w:ascii="方正楷体_GBK" w:hAnsi="方正楷体_GBK" w:eastAsia="方正楷体_GBK" w:cs="方正楷体_GBK"/>
          <w:sz w:val="28"/>
          <w:szCs w:val="28"/>
        </w:rPr>
        <w:t>报名信息发送至zhangwh@flzc.com</w:t>
      </w:r>
      <w:r>
        <w:rPr>
          <w:rFonts w:hint="eastAsia" w:ascii="方正楷体_GBK" w:hAnsi="方正楷体_GBK" w:eastAsia="方正楷体_GBK" w:cs="方正楷体_GBK"/>
          <w:sz w:val="28"/>
          <w:szCs w:val="28"/>
        </w:rPr>
        <w:fldChar w:fldCharType="end"/>
      </w:r>
      <w:r>
        <w:rPr>
          <w:rFonts w:hint="eastAsia" w:ascii="方正楷体_GBK" w:hAnsi="方正楷体_GBK" w:eastAsia="方正楷体_GBK" w:cs="方正楷体_GBK"/>
          <w:sz w:val="28"/>
          <w:szCs w:val="28"/>
        </w:rPr>
        <w:t>。</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default" w:ascii="方正楷体_GBK" w:hAnsi="方正楷体_GBK" w:eastAsia="方正楷体_GBK" w:cs="方正楷体_GBK"/>
          <w:sz w:val="28"/>
          <w:szCs w:val="28"/>
          <w:lang w:val="en-US" w:eastAsia="zh-CN"/>
        </w:rPr>
      </w:pPr>
      <w:r>
        <w:rPr>
          <w:rFonts w:hint="eastAsia" w:ascii="方正楷体_GBK" w:hAnsi="方正楷体_GBK" w:eastAsia="方正楷体_GBK" w:cs="方正楷体_GBK"/>
          <w:sz w:val="28"/>
          <w:szCs w:val="28"/>
          <w:lang w:eastAsia="zh-CN"/>
        </w:rPr>
        <w:t>（三）标书及投标保证金提交截止时间：</w:t>
      </w:r>
      <w:r>
        <w:rPr>
          <w:rFonts w:hint="eastAsia" w:ascii="方正楷体_GBK" w:hAnsi="方正楷体_GBK" w:eastAsia="方正楷体_GBK" w:cs="方正楷体_GBK"/>
          <w:sz w:val="28"/>
          <w:szCs w:val="28"/>
          <w:lang w:val="en-US" w:eastAsia="zh-CN"/>
        </w:rPr>
        <w:t>2023年8月3日9:00</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default" w:ascii="方正楷体_GBK" w:hAnsi="方正楷体_GBK" w:eastAsia="方正楷体_GBK" w:cs="方正楷体_GBK"/>
          <w:sz w:val="28"/>
          <w:szCs w:val="28"/>
          <w:lang w:val="en-US" w:eastAsia="zh-CN"/>
        </w:rPr>
      </w:pPr>
      <w:r>
        <w:rPr>
          <w:rFonts w:hint="eastAsia" w:ascii="方正楷体_GBK" w:hAnsi="方正楷体_GBK" w:eastAsia="方正楷体_GBK" w:cs="方正楷体_GBK"/>
          <w:sz w:val="28"/>
          <w:szCs w:val="28"/>
        </w:rPr>
        <w:t>（</w:t>
      </w:r>
      <w:r>
        <w:rPr>
          <w:rFonts w:hint="eastAsia" w:ascii="方正楷体_GBK" w:hAnsi="方正楷体_GBK" w:eastAsia="方正楷体_GBK" w:cs="方正楷体_GBK"/>
          <w:sz w:val="28"/>
          <w:szCs w:val="28"/>
          <w:lang w:eastAsia="zh-CN"/>
        </w:rPr>
        <w:t>四</w:t>
      </w:r>
      <w:r>
        <w:rPr>
          <w:rFonts w:hint="eastAsia" w:ascii="方正楷体_GBK" w:hAnsi="方正楷体_GBK" w:eastAsia="方正楷体_GBK" w:cs="方正楷体_GBK"/>
          <w:sz w:val="28"/>
          <w:szCs w:val="28"/>
        </w:rPr>
        <w:t>）开标时间：</w:t>
      </w:r>
      <w:r>
        <w:rPr>
          <w:rFonts w:hint="eastAsia" w:ascii="方正楷体_GBK" w:hAnsi="方正楷体_GBK" w:eastAsia="方正楷体_GBK" w:cs="方正楷体_GBK"/>
          <w:sz w:val="28"/>
          <w:szCs w:val="28"/>
          <w:lang w:val="en-US" w:eastAsia="zh-CN"/>
        </w:rPr>
        <w:t>2023年8月3日9:30</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方正楷体_GBK" w:hAnsi="方正楷体_GBK" w:eastAsia="方正楷体_GBK" w:cs="方正楷体_GBK"/>
          <w:sz w:val="28"/>
          <w:szCs w:val="28"/>
          <w:lang w:eastAsia="zh-CN"/>
        </w:rPr>
      </w:pPr>
      <w:r>
        <w:rPr>
          <w:rFonts w:hint="eastAsia" w:ascii="方正楷体_GBK" w:hAnsi="方正楷体_GBK" w:eastAsia="方正楷体_GBK" w:cs="方正楷体_GBK"/>
          <w:sz w:val="28"/>
          <w:szCs w:val="28"/>
        </w:rPr>
        <w:t>（</w:t>
      </w:r>
      <w:r>
        <w:rPr>
          <w:rFonts w:hint="eastAsia" w:ascii="方正楷体_GBK" w:hAnsi="方正楷体_GBK" w:eastAsia="方正楷体_GBK" w:cs="方正楷体_GBK"/>
          <w:sz w:val="28"/>
          <w:szCs w:val="28"/>
          <w:lang w:eastAsia="zh-CN"/>
        </w:rPr>
        <w:t>五</w:t>
      </w:r>
      <w:r>
        <w:rPr>
          <w:rFonts w:hint="eastAsia" w:ascii="方正楷体_GBK" w:hAnsi="方正楷体_GBK" w:eastAsia="方正楷体_GBK" w:cs="方正楷体_GBK"/>
          <w:sz w:val="28"/>
          <w:szCs w:val="28"/>
        </w:rPr>
        <w:t>）开标地点：重庆市涪陵榨菜集团股份有限公司或线上开标</w:t>
      </w:r>
      <w:r>
        <w:rPr>
          <w:rFonts w:hint="eastAsia" w:ascii="方正楷体_GBK" w:hAnsi="方正楷体_GBK" w:eastAsia="方正楷体_GBK" w:cs="方正楷体_GBK"/>
          <w:sz w:val="28"/>
          <w:szCs w:val="28"/>
          <w:lang w:eastAsia="zh-CN"/>
        </w:rPr>
        <w:t>（标段</w:t>
      </w:r>
      <w:r>
        <w:rPr>
          <w:rFonts w:hint="eastAsia" w:ascii="方正楷体_GBK" w:hAnsi="方正楷体_GBK" w:eastAsia="方正楷体_GBK" w:cs="方正楷体_GBK"/>
          <w:sz w:val="28"/>
          <w:szCs w:val="28"/>
          <w:lang w:val="en-US" w:eastAsia="zh-CN"/>
        </w:rPr>
        <w:t>3以电子投标方式进行，投标方无需参与现场开标</w:t>
      </w:r>
      <w:r>
        <w:rPr>
          <w:rFonts w:hint="eastAsia" w:ascii="方正楷体_GBK" w:hAnsi="方正楷体_GBK" w:eastAsia="方正楷体_GBK" w:cs="方正楷体_GBK"/>
          <w:sz w:val="28"/>
          <w:szCs w:val="28"/>
          <w:lang w:eastAsia="zh-CN"/>
        </w:rPr>
        <w:t>）。</w:t>
      </w:r>
    </w:p>
    <w:p>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ascii="方正楷体_GBK" w:hAnsi="方正楷体_GBK" w:eastAsia="方正楷体_GBK" w:cs="方正楷体_GBK"/>
          <w:b/>
          <w:sz w:val="28"/>
          <w:szCs w:val="28"/>
        </w:rPr>
      </w:pPr>
      <w:r>
        <w:rPr>
          <w:rFonts w:hint="eastAsia" w:ascii="方正楷体_GBK" w:hAnsi="方正楷体_GBK" w:eastAsia="方正楷体_GBK" w:cs="方正楷体_GBK"/>
          <w:b/>
          <w:sz w:val="28"/>
          <w:szCs w:val="28"/>
        </w:rPr>
        <w:t>六、投标单位注意事项</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（一）未按招标方要求递交投标文件的视为无效投标。</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（二）投标单位在中标后无正当理由拒绝按规定时间签订合同、开展业务或投标资料弄虚作假者一经招标方发现,招标方有权取消其中标资格，且缴纳的投标保证金不予退还。</w:t>
      </w:r>
    </w:p>
    <w:p>
      <w:pPr>
        <w:keepNext w:val="0"/>
        <w:keepLines w:val="0"/>
        <w:pageBreakBefore w:val="0"/>
        <w:kinsoku/>
        <w:wordWrap/>
        <w:overflowPunct/>
        <w:topLinePunct w:val="0"/>
        <w:autoSpaceDE/>
        <w:autoSpaceDN/>
        <w:bidi w:val="0"/>
        <w:adjustRightInd/>
        <w:snapToGrid/>
        <w:ind w:firstLine="560" w:firstLineChars="200"/>
        <w:jc w:val="left"/>
        <w:textAlignment w:val="auto"/>
        <w:rPr>
          <w:rFonts w:ascii="方正楷体_GBK" w:hAnsi="方正楷体_GBK" w:eastAsia="方正楷体_GBK" w:cs="方正楷体_GBK"/>
          <w:b/>
          <w:kern w:val="0"/>
          <w:sz w:val="28"/>
          <w:szCs w:val="28"/>
        </w:rPr>
      </w:pPr>
      <w:r>
        <w:rPr>
          <w:rFonts w:hint="eastAsia" w:ascii="方正楷体_GBK" w:hAnsi="方正楷体_GBK" w:eastAsia="方正楷体_GBK" w:cs="方正楷体_GBK"/>
          <w:sz w:val="28"/>
          <w:szCs w:val="28"/>
        </w:rPr>
        <w:t>（三）投标单位须与招标方就招标事项进行充分沟通，明确招标具体要求。未进行充分沟通者，招标方将不予接受投标。</w:t>
      </w:r>
    </w:p>
    <w:p>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ascii="方正楷体_GBK" w:hAnsi="方正楷体_GBK" w:eastAsia="方正楷体_GBK" w:cs="方正楷体_GBK"/>
          <w:b/>
          <w:sz w:val="28"/>
          <w:szCs w:val="28"/>
        </w:rPr>
      </w:pPr>
      <w:r>
        <w:rPr>
          <w:rFonts w:hint="eastAsia" w:ascii="方正楷体_GBK" w:hAnsi="方正楷体_GBK" w:eastAsia="方正楷体_GBK" w:cs="方正楷体_GBK"/>
          <w:b/>
          <w:sz w:val="28"/>
          <w:szCs w:val="28"/>
        </w:rPr>
        <w:t>七、投标咨询</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（一）技术相关咨询</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方正楷体_GBK" w:hAnsi="方正楷体_GBK" w:eastAsia="方正楷体_GBK" w:cs="方正楷体_GBK"/>
          <w:sz w:val="28"/>
          <w:szCs w:val="28"/>
          <w:lang w:val="en-US" w:eastAsia="zh-CN"/>
        </w:rPr>
      </w:pPr>
      <w:r>
        <w:rPr>
          <w:rFonts w:hint="eastAsia" w:ascii="方正楷体_GBK" w:hAnsi="方正楷体_GBK" w:eastAsia="方正楷体_GBK" w:cs="方正楷体_GBK"/>
          <w:sz w:val="28"/>
          <w:szCs w:val="28"/>
        </w:rPr>
        <w:t>联系人：</w:t>
      </w:r>
      <w:r>
        <w:rPr>
          <w:rFonts w:hint="eastAsia" w:ascii="方正楷体_GBK" w:hAnsi="方正楷体_GBK" w:eastAsia="方正楷体_GBK" w:cs="方正楷体_GBK"/>
          <w:sz w:val="28"/>
          <w:szCs w:val="28"/>
          <w:lang w:eastAsia="zh-CN"/>
        </w:rPr>
        <w:t>候</w:t>
      </w:r>
      <w:r>
        <w:rPr>
          <w:rFonts w:hint="eastAsia" w:ascii="方正楷体_GBK" w:hAnsi="方正楷体_GBK" w:eastAsia="方正楷体_GBK" w:cs="方正楷体_GBK"/>
          <w:sz w:val="28"/>
          <w:szCs w:val="28"/>
          <w:lang w:val="en-US" w:eastAsia="zh-CN"/>
        </w:rPr>
        <w:t xml:space="preserve">  </w:t>
      </w:r>
      <w:r>
        <w:rPr>
          <w:rFonts w:hint="eastAsia" w:ascii="方正楷体_GBK" w:hAnsi="方正楷体_GBK" w:eastAsia="方正楷体_GBK" w:cs="方正楷体_GBK"/>
          <w:sz w:val="28"/>
          <w:szCs w:val="28"/>
          <w:lang w:eastAsia="zh-CN"/>
        </w:rPr>
        <w:t>尧</w:t>
      </w:r>
      <w:r>
        <w:rPr>
          <w:rFonts w:hint="eastAsia" w:ascii="方正楷体_GBK" w:hAnsi="方正楷体_GBK" w:eastAsia="方正楷体_GBK" w:cs="方正楷体_GBK"/>
          <w:sz w:val="28"/>
          <w:szCs w:val="28"/>
        </w:rPr>
        <w:t xml:space="preserve">       联系电话：</w:t>
      </w:r>
      <w:r>
        <w:rPr>
          <w:rFonts w:hint="eastAsia" w:ascii="方正楷体_GBK" w:hAnsi="方正楷体_GBK" w:eastAsia="方正楷体_GBK" w:cs="方正楷体_GBK"/>
          <w:sz w:val="28"/>
          <w:szCs w:val="28"/>
          <w:lang w:val="en-US" w:eastAsia="zh-CN"/>
        </w:rPr>
        <w:t>13594590400</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 xml:space="preserve">（二）招投标咨询 </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联系人：张婉华       联系电话：13983346601</w:t>
      </w:r>
    </w:p>
    <w:p>
      <w:pPr>
        <w:keepNext w:val="0"/>
        <w:keepLines w:val="0"/>
        <w:pageBreakBefore w:val="0"/>
        <w:kinsoku/>
        <w:wordWrap/>
        <w:overflowPunct/>
        <w:topLinePunct w:val="0"/>
        <w:autoSpaceDE/>
        <w:autoSpaceDN/>
        <w:bidi w:val="0"/>
        <w:adjustRightInd/>
        <w:snapToGrid/>
        <w:spacing w:line="360" w:lineRule="auto"/>
        <w:ind w:firstLine="562" w:firstLineChars="200"/>
        <w:jc w:val="both"/>
        <w:textAlignment w:val="auto"/>
        <w:rPr>
          <w:rFonts w:ascii="方正楷体_GBK" w:hAnsi="方正楷体_GBK" w:eastAsia="方正楷体_GBK" w:cs="方正楷体_GBK"/>
          <w:b/>
          <w:sz w:val="28"/>
          <w:szCs w:val="28"/>
          <w:shd w:val="clear" w:color="auto" w:fill="FFFFFF"/>
        </w:rPr>
      </w:pPr>
      <w:r>
        <w:rPr>
          <w:rFonts w:hint="eastAsia" w:ascii="方正楷体_GBK" w:hAnsi="方正楷体_GBK" w:eastAsia="方正楷体_GBK" w:cs="方正楷体_GBK"/>
          <w:b/>
          <w:sz w:val="28"/>
          <w:szCs w:val="28"/>
          <w:shd w:val="clear" w:color="auto" w:fill="FFFFFF"/>
        </w:rPr>
        <w:t>八、招标书相关附件</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shd w:val="clear" w:color="auto" w:fill="FFFFFF"/>
        </w:rPr>
      </w:pPr>
      <w:r>
        <w:rPr>
          <w:rFonts w:hint="eastAsia" w:ascii="方正楷体_GBK" w:hAnsi="方正楷体_GBK" w:eastAsia="方正楷体_GBK" w:cs="方正楷体_GBK"/>
          <w:sz w:val="28"/>
          <w:szCs w:val="28"/>
          <w:shd w:val="clear" w:color="auto" w:fill="FFFFFF"/>
        </w:rPr>
        <w:t>附件1.法人授权委托书</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shd w:val="clear" w:color="auto" w:fill="FFFFFF"/>
        </w:rPr>
      </w:pPr>
      <w:r>
        <w:rPr>
          <w:rFonts w:hint="eastAsia" w:ascii="方正楷体_GBK" w:hAnsi="方正楷体_GBK" w:eastAsia="方正楷体_GBK" w:cs="方正楷体_GBK"/>
          <w:sz w:val="28"/>
          <w:szCs w:val="28"/>
          <w:shd w:val="clear" w:color="auto" w:fill="FFFFFF"/>
        </w:rPr>
        <w:t>附件2.承诺书</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方正楷体_GBK" w:hAnsi="方正楷体_GBK" w:eastAsia="方正楷体_GBK" w:cs="方正楷体_GBK"/>
          <w:sz w:val="28"/>
          <w:szCs w:val="28"/>
          <w:shd w:val="clear" w:color="auto" w:fill="FFFFFF"/>
        </w:rPr>
      </w:pPr>
      <w:r>
        <w:rPr>
          <w:rFonts w:hint="eastAsia" w:ascii="方正楷体_GBK" w:hAnsi="方正楷体_GBK" w:eastAsia="方正楷体_GBK" w:cs="方正楷体_GBK"/>
          <w:sz w:val="28"/>
          <w:szCs w:val="28"/>
          <w:shd w:val="clear" w:color="auto" w:fill="FFFFFF"/>
        </w:rPr>
        <w:t>附件3.报名表</w:t>
      </w:r>
    </w:p>
    <w:p>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方正楷体_GBK" w:hAnsi="方正楷体_GBK" w:eastAsia="方正楷体_GBK" w:cs="方正楷体_GBK"/>
          <w:sz w:val="28"/>
          <w:szCs w:val="28"/>
          <w:shd w:val="clear" w:color="auto" w:fill="FFFFFF"/>
        </w:rPr>
      </w:pPr>
    </w:p>
    <w:p>
      <w:pPr>
        <w:pStyle w:val="5"/>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ascii="方正楷体_GBK" w:hAnsi="方正楷体_GBK" w:eastAsia="方正楷体_GBK" w:cs="方正楷体_GBK"/>
          <w:b/>
          <w:sz w:val="28"/>
          <w:szCs w:val="28"/>
        </w:rPr>
      </w:pPr>
      <w:r>
        <w:rPr>
          <w:rFonts w:hint="eastAsia" w:ascii="方正楷体_GBK" w:hAnsi="方正楷体_GBK" w:eastAsia="方正楷体_GBK" w:cs="方正楷体_GBK"/>
          <w:b/>
          <w:sz w:val="28"/>
          <w:szCs w:val="28"/>
        </w:rPr>
        <w:t>附1.授权委托书</w:t>
      </w:r>
    </w:p>
    <w:p>
      <w:pPr>
        <w:pStyle w:val="5"/>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ascii="方正楷体_GBK" w:hAnsi="方正楷体_GBK" w:eastAsia="方正楷体_GBK" w:cs="方正楷体_GBK"/>
          <w:b/>
          <w:sz w:val="28"/>
          <w:szCs w:val="28"/>
        </w:rPr>
      </w:pPr>
    </w:p>
    <w:p>
      <w:pPr>
        <w:pStyle w:val="5"/>
        <w:keepNext w:val="0"/>
        <w:keepLines w:val="0"/>
        <w:pageBreakBefore w:val="0"/>
        <w:kinsoku/>
        <w:wordWrap/>
        <w:overflowPunct/>
        <w:topLinePunct w:val="0"/>
        <w:autoSpaceDE/>
        <w:autoSpaceDN/>
        <w:bidi w:val="0"/>
        <w:adjustRightInd/>
        <w:snapToGrid/>
        <w:spacing w:line="360" w:lineRule="auto"/>
        <w:ind w:firstLine="562" w:firstLineChars="200"/>
        <w:jc w:val="center"/>
        <w:textAlignment w:val="auto"/>
        <w:rPr>
          <w:rFonts w:ascii="方正楷体_GBK" w:hAnsi="方正楷体_GBK" w:eastAsia="方正楷体_GBK" w:cs="方正楷体_GBK"/>
          <w:b/>
          <w:sz w:val="28"/>
          <w:szCs w:val="28"/>
        </w:rPr>
      </w:pPr>
      <w:r>
        <w:rPr>
          <w:rFonts w:hint="eastAsia" w:ascii="方正楷体_GBK" w:hAnsi="方正楷体_GBK" w:eastAsia="方正楷体_GBK" w:cs="方正楷体_GBK"/>
          <w:b/>
          <w:sz w:val="28"/>
          <w:szCs w:val="28"/>
        </w:rPr>
        <w:t>授权委托书</w:t>
      </w:r>
    </w:p>
    <w:p>
      <w:pPr>
        <w:pStyle w:val="5"/>
        <w:keepNext w:val="0"/>
        <w:keepLines w:val="0"/>
        <w:pageBreakBefore w:val="0"/>
        <w:kinsoku/>
        <w:wordWrap/>
        <w:overflowPunct/>
        <w:topLinePunct w:val="0"/>
        <w:autoSpaceDE/>
        <w:autoSpaceDN/>
        <w:bidi w:val="0"/>
        <w:adjustRightInd/>
        <w:snapToGrid/>
        <w:spacing w:line="360" w:lineRule="auto"/>
        <w:ind w:right="560"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本人</w:t>
      </w:r>
      <w:r>
        <w:rPr>
          <w:rFonts w:hint="eastAsia" w:ascii="方正楷体_GBK" w:hAnsi="方正楷体_GBK" w:eastAsia="方正楷体_GBK" w:cs="方正楷体_GBK"/>
          <w:sz w:val="28"/>
          <w:szCs w:val="28"/>
          <w:u w:val="single"/>
        </w:rPr>
        <w:t xml:space="preserve">        （</w:t>
      </w:r>
      <w:r>
        <w:rPr>
          <w:rFonts w:hint="eastAsia" w:ascii="方正楷体_GBK" w:hAnsi="方正楷体_GBK" w:eastAsia="方正楷体_GBK" w:cs="方正楷体_GBK"/>
          <w:sz w:val="28"/>
          <w:szCs w:val="28"/>
        </w:rPr>
        <w:t xml:space="preserve">姓名）系 </w:t>
      </w:r>
      <w:r>
        <w:rPr>
          <w:rFonts w:hint="eastAsia" w:ascii="方正楷体_GBK" w:hAnsi="方正楷体_GBK" w:eastAsia="方正楷体_GBK" w:cs="方正楷体_GBK"/>
          <w:sz w:val="28"/>
          <w:szCs w:val="28"/>
          <w:u w:val="single"/>
        </w:rPr>
        <w:t xml:space="preserve">             </w:t>
      </w:r>
      <w:r>
        <w:rPr>
          <w:rFonts w:hint="eastAsia" w:ascii="方正楷体_GBK" w:hAnsi="方正楷体_GBK" w:eastAsia="方正楷体_GBK" w:cs="方正楷体_GBK"/>
          <w:sz w:val="28"/>
          <w:szCs w:val="28"/>
        </w:rPr>
        <w:t xml:space="preserve">（投标人名称）的法定代表人，现委托 </w:t>
      </w:r>
      <w:r>
        <w:rPr>
          <w:rFonts w:hint="eastAsia" w:ascii="方正楷体_GBK" w:hAnsi="方正楷体_GBK" w:eastAsia="方正楷体_GBK" w:cs="方正楷体_GBK"/>
          <w:sz w:val="28"/>
          <w:szCs w:val="28"/>
          <w:u w:val="single"/>
        </w:rPr>
        <w:t xml:space="preserve">         </w:t>
      </w:r>
      <w:r>
        <w:rPr>
          <w:rFonts w:hint="eastAsia" w:ascii="方正楷体_GBK" w:hAnsi="方正楷体_GBK" w:eastAsia="方正楷体_GBK" w:cs="方正楷体_GBK"/>
          <w:sz w:val="28"/>
          <w:szCs w:val="28"/>
        </w:rPr>
        <w:t>（姓名）为我方代理人。代理人根据授权，以我方名义参与投标，签订合同等有关事宜，其法律后果由我方承担。</w:t>
      </w:r>
    </w:p>
    <w:p>
      <w:pPr>
        <w:pStyle w:val="5"/>
        <w:keepNext w:val="0"/>
        <w:keepLines w:val="0"/>
        <w:pageBreakBefore w:val="0"/>
        <w:kinsoku/>
        <w:wordWrap/>
        <w:overflowPunct/>
        <w:topLinePunct w:val="0"/>
        <w:autoSpaceDE/>
        <w:autoSpaceDN/>
        <w:bidi w:val="0"/>
        <w:adjustRightInd/>
        <w:snapToGrid/>
        <w:spacing w:line="360" w:lineRule="auto"/>
        <w:ind w:right="560"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委托期限：</w:t>
      </w:r>
    </w:p>
    <w:p>
      <w:pPr>
        <w:pStyle w:val="5"/>
        <w:keepNext w:val="0"/>
        <w:keepLines w:val="0"/>
        <w:pageBreakBefore w:val="0"/>
        <w:kinsoku/>
        <w:wordWrap/>
        <w:overflowPunct/>
        <w:topLinePunct w:val="0"/>
        <w:autoSpaceDE/>
        <w:autoSpaceDN/>
        <w:bidi w:val="0"/>
        <w:adjustRightInd/>
        <w:snapToGrid/>
        <w:spacing w:line="360" w:lineRule="auto"/>
        <w:ind w:right="560"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代理人无转委托权。</w:t>
      </w:r>
    </w:p>
    <w:p>
      <w:pPr>
        <w:pStyle w:val="5"/>
        <w:keepNext w:val="0"/>
        <w:keepLines w:val="0"/>
        <w:pageBreakBefore w:val="0"/>
        <w:kinsoku/>
        <w:wordWrap/>
        <w:overflowPunct/>
        <w:topLinePunct w:val="0"/>
        <w:autoSpaceDE/>
        <w:autoSpaceDN/>
        <w:bidi w:val="0"/>
        <w:adjustRightInd/>
        <w:snapToGrid/>
        <w:spacing w:line="360" w:lineRule="auto"/>
        <w:ind w:right="560" w:firstLine="560" w:firstLineChars="200"/>
        <w:jc w:val="left"/>
        <w:textAlignment w:val="auto"/>
        <w:rPr>
          <w:rFonts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360" w:lineRule="auto"/>
        <w:ind w:right="560"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投标人：（盖单位公章）</w:t>
      </w:r>
    </w:p>
    <w:p>
      <w:pPr>
        <w:pStyle w:val="5"/>
        <w:keepNext w:val="0"/>
        <w:keepLines w:val="0"/>
        <w:pageBreakBefore w:val="0"/>
        <w:kinsoku/>
        <w:wordWrap/>
        <w:overflowPunct/>
        <w:topLinePunct w:val="0"/>
        <w:autoSpaceDE/>
        <w:autoSpaceDN/>
        <w:bidi w:val="0"/>
        <w:adjustRightInd/>
        <w:snapToGrid/>
        <w:spacing w:line="360" w:lineRule="auto"/>
        <w:ind w:right="560"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法定代表人：（签名）</w:t>
      </w:r>
    </w:p>
    <w:p>
      <w:pPr>
        <w:pStyle w:val="5"/>
        <w:keepNext w:val="0"/>
        <w:keepLines w:val="0"/>
        <w:pageBreakBefore w:val="0"/>
        <w:kinsoku/>
        <w:wordWrap/>
        <w:overflowPunct/>
        <w:topLinePunct w:val="0"/>
        <w:autoSpaceDE/>
        <w:autoSpaceDN/>
        <w:bidi w:val="0"/>
        <w:adjustRightInd/>
        <w:snapToGrid/>
        <w:spacing w:line="360" w:lineRule="auto"/>
        <w:ind w:right="560"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身份证号码：</w:t>
      </w:r>
    </w:p>
    <w:p>
      <w:pPr>
        <w:pStyle w:val="5"/>
        <w:keepNext w:val="0"/>
        <w:keepLines w:val="0"/>
        <w:pageBreakBefore w:val="0"/>
        <w:kinsoku/>
        <w:wordWrap/>
        <w:overflowPunct/>
        <w:topLinePunct w:val="0"/>
        <w:autoSpaceDE/>
        <w:autoSpaceDN/>
        <w:bidi w:val="0"/>
        <w:adjustRightInd/>
        <w:snapToGrid/>
        <w:spacing w:line="360" w:lineRule="auto"/>
        <w:ind w:right="560"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委托代理人：（签名）</w:t>
      </w:r>
    </w:p>
    <w:p>
      <w:pPr>
        <w:pStyle w:val="5"/>
        <w:keepNext w:val="0"/>
        <w:keepLines w:val="0"/>
        <w:pageBreakBefore w:val="0"/>
        <w:kinsoku/>
        <w:wordWrap/>
        <w:overflowPunct/>
        <w:topLinePunct w:val="0"/>
        <w:autoSpaceDE/>
        <w:autoSpaceDN/>
        <w:bidi w:val="0"/>
        <w:adjustRightInd/>
        <w:snapToGrid/>
        <w:spacing w:line="360" w:lineRule="auto"/>
        <w:ind w:right="560"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身份证号码：</w:t>
      </w:r>
    </w:p>
    <w:p>
      <w:pPr>
        <w:pStyle w:val="5"/>
        <w:keepNext w:val="0"/>
        <w:keepLines w:val="0"/>
        <w:pageBreakBefore w:val="0"/>
        <w:kinsoku/>
        <w:wordWrap/>
        <w:overflowPunct/>
        <w:topLinePunct w:val="0"/>
        <w:autoSpaceDE/>
        <w:autoSpaceDN/>
        <w:bidi w:val="0"/>
        <w:adjustRightInd/>
        <w:snapToGrid/>
        <w:spacing w:line="360" w:lineRule="auto"/>
        <w:ind w:right="560" w:firstLine="560" w:firstLineChars="200"/>
        <w:jc w:val="center"/>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 xml:space="preserve">            </w:t>
      </w:r>
    </w:p>
    <w:p>
      <w:pPr>
        <w:pStyle w:val="5"/>
        <w:keepNext w:val="0"/>
        <w:keepLines w:val="0"/>
        <w:pageBreakBefore w:val="0"/>
        <w:kinsoku/>
        <w:wordWrap/>
        <w:overflowPunct/>
        <w:topLinePunct w:val="0"/>
        <w:autoSpaceDE/>
        <w:autoSpaceDN/>
        <w:bidi w:val="0"/>
        <w:adjustRightInd/>
        <w:snapToGrid/>
        <w:spacing w:line="360" w:lineRule="auto"/>
        <w:ind w:right="560" w:firstLine="560" w:firstLineChars="200"/>
        <w:jc w:val="left"/>
        <w:textAlignment w:val="auto"/>
        <w:rPr>
          <w:rFonts w:hint="eastAsia" w:ascii="方正楷体_GBK" w:hAnsi="方正楷体_GBK" w:eastAsia="方正楷体_GBK" w:cs="方正楷体_GBK"/>
          <w:sz w:val="28"/>
          <w:szCs w:val="28"/>
          <w:lang w:eastAsia="zh-CN"/>
        </w:rPr>
      </w:pPr>
      <w:r>
        <w:rPr>
          <w:rFonts w:hint="eastAsia" w:ascii="方正楷体_GBK" w:hAnsi="方正楷体_GBK" w:eastAsia="方正楷体_GBK" w:cs="方正楷体_GBK"/>
          <w:sz w:val="28"/>
          <w:szCs w:val="28"/>
          <w:lang w:eastAsia="zh-CN"/>
        </w:rPr>
        <w:t>附身份证正反面影印件。</w:t>
      </w:r>
    </w:p>
    <w:p>
      <w:pPr>
        <w:pStyle w:val="5"/>
        <w:keepNext w:val="0"/>
        <w:keepLines w:val="0"/>
        <w:pageBreakBefore w:val="0"/>
        <w:kinsoku/>
        <w:wordWrap/>
        <w:overflowPunct/>
        <w:topLinePunct w:val="0"/>
        <w:autoSpaceDE/>
        <w:autoSpaceDN/>
        <w:bidi w:val="0"/>
        <w:adjustRightInd/>
        <w:snapToGrid/>
        <w:spacing w:line="360" w:lineRule="auto"/>
        <w:ind w:firstLine="560" w:firstLineChars="200"/>
        <w:jc w:val="right"/>
        <w:textAlignment w:val="auto"/>
        <w:rPr>
          <w:rFonts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360" w:lineRule="auto"/>
        <w:ind w:firstLine="560" w:firstLineChars="200"/>
        <w:jc w:val="center"/>
        <w:textAlignment w:val="auto"/>
        <w:rPr>
          <w:rFonts w:ascii="方正楷体_GBK" w:hAnsi="方正楷体_GBK" w:eastAsia="方正楷体_GBK" w:cs="方正楷体_GBK"/>
          <w:sz w:val="28"/>
          <w:szCs w:val="28"/>
          <w:shd w:val="clear" w:color="auto" w:fill="FFFFFF"/>
        </w:rPr>
      </w:pPr>
      <w:r>
        <w:rPr>
          <w:rFonts w:hint="eastAsia" w:ascii="方正楷体_GBK" w:hAnsi="方正楷体_GBK" w:eastAsia="方正楷体_GBK" w:cs="方正楷体_GBK"/>
          <w:sz w:val="28"/>
          <w:szCs w:val="28"/>
        </w:rPr>
        <w:t xml:space="preserve">    日期：</w:t>
      </w:r>
    </w:p>
    <w:p>
      <w:pPr>
        <w:keepNext w:val="0"/>
        <w:keepLines w:val="0"/>
        <w:pageBreakBefore w:val="0"/>
        <w:kinsoku/>
        <w:wordWrap/>
        <w:overflowPunct/>
        <w:topLinePunct w:val="0"/>
        <w:autoSpaceDE/>
        <w:autoSpaceDN/>
        <w:bidi w:val="0"/>
        <w:adjustRightInd/>
        <w:snapToGrid/>
        <w:spacing w:line="520" w:lineRule="exact"/>
        <w:textAlignment w:val="auto"/>
        <w:rPr>
          <w:rFonts w:hint="eastAsia" w:ascii="方正楷体_GBK" w:hAnsi="方正楷体_GBK" w:eastAsia="方正楷体_GBK" w:cs="方正楷体_GBK"/>
          <w:sz w:val="28"/>
          <w:szCs w:val="28"/>
          <w:shd w:val="clear" w:color="auto" w:fill="FFFFFF"/>
        </w:rPr>
      </w:pPr>
    </w:p>
    <w:p>
      <w:pPr>
        <w:keepNext w:val="0"/>
        <w:keepLines w:val="0"/>
        <w:pageBreakBefore w:val="0"/>
        <w:kinsoku/>
        <w:wordWrap/>
        <w:overflowPunct/>
        <w:topLinePunct w:val="0"/>
        <w:autoSpaceDE/>
        <w:autoSpaceDN/>
        <w:bidi w:val="0"/>
        <w:adjustRightInd/>
        <w:snapToGrid/>
        <w:spacing w:line="520" w:lineRule="exact"/>
        <w:ind w:firstLine="560" w:firstLineChars="200"/>
        <w:textAlignment w:val="auto"/>
        <w:rPr>
          <w:rFonts w:ascii="方正楷体_GBK" w:hAnsi="方正楷体_GBK" w:eastAsia="方正楷体_GBK" w:cs="方正楷体_GBK"/>
          <w:b/>
          <w:sz w:val="28"/>
          <w:szCs w:val="28"/>
        </w:rPr>
      </w:pPr>
      <w:r>
        <w:rPr>
          <w:rFonts w:hint="eastAsia" w:ascii="方正楷体_GBK" w:hAnsi="方正楷体_GBK" w:eastAsia="方正楷体_GBK" w:cs="方正楷体_GBK"/>
          <w:sz w:val="28"/>
          <w:szCs w:val="28"/>
          <w:shd w:val="clear" w:color="auto" w:fill="FFFFFF"/>
        </w:rPr>
        <w:t>附2.承诺书</w:t>
      </w:r>
    </w:p>
    <w:p>
      <w:pPr>
        <w:pStyle w:val="5"/>
        <w:keepNext w:val="0"/>
        <w:keepLines w:val="0"/>
        <w:pageBreakBefore w:val="0"/>
        <w:kinsoku/>
        <w:wordWrap/>
        <w:overflowPunct/>
        <w:topLinePunct w:val="0"/>
        <w:autoSpaceDE/>
        <w:autoSpaceDN/>
        <w:bidi w:val="0"/>
        <w:adjustRightInd/>
        <w:snapToGrid/>
        <w:spacing w:line="560" w:lineRule="exact"/>
        <w:ind w:firstLine="562" w:firstLineChars="200"/>
        <w:jc w:val="center"/>
        <w:textAlignment w:val="auto"/>
        <w:rPr>
          <w:rFonts w:ascii="方正楷体_GBK" w:hAnsi="方正楷体_GBK" w:eastAsia="方正楷体_GBK" w:cs="方正楷体_GBK"/>
          <w:b/>
          <w:sz w:val="28"/>
          <w:szCs w:val="28"/>
        </w:rPr>
      </w:pPr>
      <w:r>
        <w:rPr>
          <w:rFonts w:hint="eastAsia" w:ascii="方正楷体_GBK" w:hAnsi="方正楷体_GBK" w:eastAsia="方正楷体_GBK" w:cs="方正楷体_GBK"/>
          <w:b/>
          <w:sz w:val="28"/>
          <w:szCs w:val="28"/>
        </w:rPr>
        <w:t>承 诺 书</w:t>
      </w:r>
    </w:p>
    <w:p>
      <w:pPr>
        <w:pStyle w:val="5"/>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ascii="方正楷体_GBK" w:hAnsi="方正楷体_GBK" w:eastAsia="方正楷体_GBK" w:cs="方正楷体_GBK"/>
          <w:b/>
          <w:bCs/>
          <w:sz w:val="28"/>
          <w:szCs w:val="28"/>
        </w:rPr>
      </w:pPr>
      <w:r>
        <w:rPr>
          <w:rFonts w:hint="eastAsia" w:ascii="方正楷体_GBK" w:hAnsi="方正楷体_GBK" w:eastAsia="方正楷体_GBK" w:cs="方正楷体_GBK"/>
          <w:b/>
          <w:bCs/>
          <w:sz w:val="28"/>
          <w:szCs w:val="28"/>
        </w:rPr>
        <w:t>重庆市涪陵榨菜集团股份有限公司：</w:t>
      </w:r>
    </w:p>
    <w:p>
      <w:pPr>
        <w:keepNext w:val="0"/>
        <w:keepLines w:val="0"/>
        <w:pageBreakBefore w:val="0"/>
        <w:kinsoku/>
        <w:wordWrap/>
        <w:overflowPunct/>
        <w:topLinePunct w:val="0"/>
        <w:autoSpaceDE/>
        <w:autoSpaceDN/>
        <w:bidi w:val="0"/>
        <w:adjustRightInd/>
        <w:snapToGrid/>
        <w:ind w:firstLine="560" w:firstLineChars="200"/>
        <w:jc w:val="lef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我单位全面研究了</w:t>
      </w:r>
      <w:r>
        <w:rPr>
          <w:rFonts w:hint="eastAsia" w:ascii="方正楷体_GBK" w:hAnsi="方正楷体_GBK" w:eastAsia="方正楷体_GBK" w:cs="方正楷体_GBK"/>
          <w:bCs/>
          <w:sz w:val="28"/>
          <w:szCs w:val="28"/>
        </w:rPr>
        <w:t>重庆市涪陵榨菜集团股份有限公司</w:t>
      </w:r>
      <w:r>
        <w:rPr>
          <w:rFonts w:hint="eastAsia" w:ascii="方正楷体_GBK" w:hAnsi="方正楷体_GBK" w:eastAsia="方正楷体_GBK" w:cs="方正楷体_GBK"/>
          <w:sz w:val="28"/>
          <w:szCs w:val="28"/>
          <w:u w:val="single"/>
        </w:rPr>
        <w:t>乌</w:t>
      </w:r>
      <w:r>
        <w:rPr>
          <w:rFonts w:hint="eastAsia" w:ascii="方正楷体_GBK" w:hAnsi="方正楷体_GBK" w:eastAsia="方正楷体_GBK" w:cs="方正楷体_GBK"/>
          <w:sz w:val="28"/>
          <w:szCs w:val="28"/>
          <w:u w:val="single"/>
          <w:lang w:eastAsia="zh-CN"/>
        </w:rPr>
        <w:t>眉山基地榨菜酱生产线设备采购项目标段</w:t>
      </w:r>
      <w:r>
        <w:rPr>
          <w:rFonts w:hint="eastAsia" w:ascii="方正楷体_GBK" w:hAnsi="方正楷体_GBK" w:eastAsia="方正楷体_GBK" w:cs="方正楷体_GBK"/>
          <w:sz w:val="28"/>
          <w:szCs w:val="28"/>
          <w:highlight w:val="yellow"/>
          <w:u w:val="single"/>
          <w:lang w:val="en-US" w:eastAsia="zh-CN"/>
        </w:rPr>
        <w:t>XX</w:t>
      </w:r>
      <w:r>
        <w:rPr>
          <w:rFonts w:hint="eastAsia" w:ascii="方正楷体_GBK" w:hAnsi="方正楷体_GBK" w:eastAsia="方正楷体_GBK" w:cs="方正楷体_GBK"/>
          <w:sz w:val="28"/>
          <w:szCs w:val="28"/>
        </w:rPr>
        <w:t>招标文件及附件，我们将按招标文件中的所有规定对合同的完成承担全部责任和义务，并作以下承诺：</w:t>
      </w:r>
    </w:p>
    <w:p>
      <w:pPr>
        <w:pStyle w:val="5"/>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（一）我单位同意按招标书要求递交投标文件，含资质文件、技术标和商务标文件。</w:t>
      </w:r>
    </w:p>
    <w:p>
      <w:pPr>
        <w:pStyle w:val="5"/>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（二）我们完全同意评标委员会和招标人按招标方的评标方式，根据相关法规确定中标单位的要求，并同意自行承担为投标所发生的—切费用。</w:t>
      </w:r>
    </w:p>
    <w:p>
      <w:pPr>
        <w:pStyle w:val="5"/>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（三）我们所递交的投标文件已充分考虑了各种外部因素对报价的影响。</w:t>
      </w:r>
    </w:p>
    <w:p>
      <w:pPr>
        <w:pStyle w:val="5"/>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b w:val="0"/>
          <w:bCs w:val="0"/>
          <w:sz w:val="28"/>
          <w:szCs w:val="28"/>
        </w:rPr>
        <w:t>（四）</w:t>
      </w:r>
      <w:r>
        <w:rPr>
          <w:rFonts w:hint="eastAsia" w:ascii="方正楷体_GBK" w:hAnsi="方正楷体_GBK" w:eastAsia="方正楷体_GBK" w:cs="方正楷体_GBK"/>
          <w:b w:val="0"/>
          <w:bCs w:val="0"/>
          <w:sz w:val="28"/>
          <w:szCs w:val="28"/>
          <w:lang w:eastAsia="zh-CN"/>
        </w:rPr>
        <w:t>若我单位中标，</w:t>
      </w:r>
      <w:r>
        <w:rPr>
          <w:rFonts w:hint="eastAsia" w:ascii="方正楷体_GBK" w:hAnsi="方正楷体_GBK" w:eastAsia="方正楷体_GBK" w:cs="方正楷体_GBK"/>
          <w:sz w:val="28"/>
          <w:szCs w:val="28"/>
        </w:rPr>
        <w:t>我们完全同意按招标结果签订合同。</w:t>
      </w:r>
    </w:p>
    <w:p>
      <w:pPr>
        <w:pStyle w:val="5"/>
        <w:keepNext w:val="0"/>
        <w:keepLines w:val="0"/>
        <w:pageBreakBefore w:val="0"/>
        <w:kinsoku/>
        <w:wordWrap/>
        <w:overflowPunct/>
        <w:topLinePunct w:val="0"/>
        <w:autoSpaceDE/>
        <w:autoSpaceDN/>
        <w:bidi w:val="0"/>
        <w:adjustRightInd/>
        <w:snapToGrid/>
        <w:spacing w:line="440" w:lineRule="exact"/>
        <w:ind w:firstLine="560" w:firstLineChars="200"/>
        <w:textAlignment w:val="auto"/>
        <w:rPr>
          <w:rFonts w:hint="eastAsia"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440" w:lineRule="exact"/>
        <w:ind w:firstLine="560" w:firstLineChars="200"/>
        <w:jc w:val="center"/>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lang w:val="en-US" w:eastAsia="zh-CN"/>
        </w:rPr>
        <w:t xml:space="preserve">                                           投标</w:t>
      </w:r>
      <w:r>
        <w:rPr>
          <w:rFonts w:hint="eastAsia" w:ascii="方正楷体_GBK" w:hAnsi="方正楷体_GBK" w:eastAsia="方正楷体_GBK" w:cs="方正楷体_GBK"/>
          <w:sz w:val="28"/>
          <w:szCs w:val="28"/>
        </w:rPr>
        <w:t>单位：</w:t>
      </w:r>
    </w:p>
    <w:p>
      <w:pPr>
        <w:pStyle w:val="5"/>
        <w:keepNext w:val="0"/>
        <w:keepLines w:val="0"/>
        <w:pageBreakBefore w:val="0"/>
        <w:kinsoku/>
        <w:wordWrap/>
        <w:overflowPunct/>
        <w:topLinePunct w:val="0"/>
        <w:autoSpaceDE/>
        <w:autoSpaceDN/>
        <w:bidi w:val="0"/>
        <w:adjustRightInd/>
        <w:snapToGrid/>
        <w:spacing w:line="440" w:lineRule="exact"/>
        <w:ind w:firstLine="560" w:firstLineChars="200"/>
        <w:jc w:val="right"/>
        <w:textAlignment w:val="auto"/>
        <w:rPr>
          <w:rFonts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440" w:lineRule="exact"/>
        <w:ind w:firstLine="560" w:firstLineChars="200"/>
        <w:jc w:val="right"/>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法定代表人：</w:t>
      </w:r>
    </w:p>
    <w:p>
      <w:pPr>
        <w:pStyle w:val="5"/>
        <w:keepNext w:val="0"/>
        <w:keepLines w:val="0"/>
        <w:pageBreakBefore w:val="0"/>
        <w:kinsoku/>
        <w:wordWrap/>
        <w:overflowPunct/>
        <w:topLinePunct w:val="0"/>
        <w:autoSpaceDE/>
        <w:autoSpaceDN/>
        <w:bidi w:val="0"/>
        <w:adjustRightInd/>
        <w:snapToGrid/>
        <w:spacing w:line="440" w:lineRule="exact"/>
        <w:ind w:firstLine="560" w:firstLineChars="200"/>
        <w:jc w:val="right"/>
        <w:textAlignment w:val="auto"/>
        <w:rPr>
          <w:rFonts w:hint="eastAsia"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440" w:lineRule="exact"/>
        <w:ind w:firstLine="560" w:firstLineChars="200"/>
        <w:jc w:val="right"/>
        <w:textAlignment w:val="auto"/>
      </w:pPr>
      <w:r>
        <w:rPr>
          <w:rFonts w:hint="eastAsia" w:ascii="方正楷体_GBK" w:hAnsi="方正楷体_GBK" w:eastAsia="方正楷体_GBK" w:cs="方正楷体_GBK"/>
          <w:sz w:val="28"/>
          <w:szCs w:val="28"/>
        </w:rPr>
        <w:t>年   月   日</w:t>
      </w:r>
    </w:p>
    <w:p>
      <w:pPr>
        <w:keepNext w:val="0"/>
        <w:keepLines w:val="0"/>
        <w:pageBreakBefore w:val="0"/>
        <w:kinsoku/>
        <w:wordWrap/>
        <w:overflowPunct/>
        <w:topLinePunct w:val="0"/>
        <w:autoSpaceDE/>
        <w:autoSpaceDN/>
        <w:bidi w:val="0"/>
        <w:adjustRightInd/>
        <w:snapToGrid/>
        <w:ind w:firstLine="562" w:firstLineChars="200"/>
        <w:jc w:val="right"/>
        <w:textAlignment w:val="auto"/>
        <w:rPr>
          <w:rFonts w:ascii="方正楷体_GBK" w:hAnsi="方正楷体_GBK" w:eastAsia="方正楷体_GBK" w:cs="方正楷体_GBK"/>
          <w:b/>
          <w:bCs/>
          <w:sz w:val="28"/>
          <w:szCs w:val="28"/>
        </w:rPr>
      </w:pPr>
    </w:p>
    <w:p>
      <w:pPr>
        <w:keepNext w:val="0"/>
        <w:keepLines w:val="0"/>
        <w:pageBreakBefore w:val="0"/>
        <w:kinsoku/>
        <w:wordWrap/>
        <w:overflowPunct/>
        <w:topLinePunct w:val="0"/>
        <w:autoSpaceDE/>
        <w:autoSpaceDN/>
        <w:bidi w:val="0"/>
        <w:adjustRightInd/>
        <w:snapToGrid/>
        <w:ind w:firstLine="562" w:firstLineChars="200"/>
        <w:jc w:val="left"/>
        <w:textAlignment w:val="auto"/>
        <w:rPr>
          <w:rFonts w:hint="eastAsia" w:ascii="方正楷体_GBK" w:hAnsi="方正楷体_GBK" w:eastAsia="方正楷体_GBK" w:cs="方正楷体_GBK"/>
          <w:b/>
          <w:bCs/>
          <w:sz w:val="28"/>
          <w:szCs w:val="28"/>
        </w:rPr>
      </w:pPr>
    </w:p>
    <w:p>
      <w:pPr>
        <w:keepNext w:val="0"/>
        <w:keepLines w:val="0"/>
        <w:pageBreakBefore w:val="0"/>
        <w:kinsoku/>
        <w:wordWrap/>
        <w:overflowPunct/>
        <w:topLinePunct w:val="0"/>
        <w:autoSpaceDE/>
        <w:autoSpaceDN/>
        <w:bidi w:val="0"/>
        <w:adjustRightInd/>
        <w:snapToGrid/>
        <w:ind w:firstLine="562" w:firstLineChars="200"/>
        <w:jc w:val="left"/>
        <w:textAlignment w:val="auto"/>
        <w:rPr>
          <w:rFonts w:hint="eastAsia" w:ascii="方正楷体_GBK" w:hAnsi="方正楷体_GBK" w:eastAsia="方正楷体_GBK" w:cs="方正楷体_GBK"/>
          <w:b/>
          <w:bCs/>
          <w:sz w:val="28"/>
          <w:szCs w:val="28"/>
        </w:rPr>
      </w:pPr>
    </w:p>
    <w:p>
      <w:pPr>
        <w:keepNext w:val="0"/>
        <w:keepLines w:val="0"/>
        <w:pageBreakBefore w:val="0"/>
        <w:kinsoku/>
        <w:wordWrap/>
        <w:overflowPunct/>
        <w:topLinePunct w:val="0"/>
        <w:autoSpaceDE/>
        <w:autoSpaceDN/>
        <w:bidi w:val="0"/>
        <w:adjustRightInd/>
        <w:snapToGrid/>
        <w:jc w:val="left"/>
        <w:textAlignment w:val="auto"/>
        <w:rPr>
          <w:rFonts w:hint="eastAsia" w:ascii="方正楷体_GBK" w:hAnsi="方正楷体_GBK" w:eastAsia="方正楷体_GBK" w:cs="方正楷体_GBK"/>
          <w:b/>
          <w:bCs/>
          <w:sz w:val="28"/>
          <w:szCs w:val="28"/>
        </w:rPr>
      </w:pPr>
    </w:p>
    <w:p>
      <w:pPr>
        <w:keepNext w:val="0"/>
        <w:keepLines w:val="0"/>
        <w:pageBreakBefore w:val="0"/>
        <w:kinsoku/>
        <w:wordWrap/>
        <w:overflowPunct/>
        <w:topLinePunct w:val="0"/>
        <w:autoSpaceDE/>
        <w:autoSpaceDN/>
        <w:bidi w:val="0"/>
        <w:adjustRightInd/>
        <w:snapToGrid/>
        <w:ind w:firstLine="562" w:firstLineChars="200"/>
        <w:jc w:val="left"/>
        <w:textAlignment w:val="auto"/>
        <w:rPr>
          <w:rFonts w:ascii="方正楷体_GBK" w:hAnsi="方正楷体_GBK" w:eastAsia="方正楷体_GBK" w:cs="方正楷体_GBK"/>
          <w:b/>
          <w:bCs/>
          <w:sz w:val="28"/>
          <w:szCs w:val="28"/>
        </w:rPr>
      </w:pPr>
      <w:r>
        <w:rPr>
          <w:rFonts w:hint="eastAsia" w:ascii="方正楷体_GBK" w:hAnsi="方正楷体_GBK" w:eastAsia="方正楷体_GBK" w:cs="方正楷体_GBK"/>
          <w:b/>
          <w:bCs/>
          <w:sz w:val="28"/>
          <w:szCs w:val="28"/>
        </w:rPr>
        <w:t>附3.报名表</w:t>
      </w:r>
    </w:p>
    <w:p>
      <w:pPr>
        <w:keepNext w:val="0"/>
        <w:keepLines w:val="0"/>
        <w:pageBreakBefore w:val="0"/>
        <w:kinsoku/>
        <w:wordWrap/>
        <w:overflowPunct/>
        <w:topLinePunct w:val="0"/>
        <w:autoSpaceDE/>
        <w:autoSpaceDN/>
        <w:bidi w:val="0"/>
        <w:adjustRightInd/>
        <w:snapToGrid/>
        <w:ind w:firstLine="643" w:firstLineChars="200"/>
        <w:jc w:val="center"/>
        <w:textAlignment w:val="auto"/>
        <w:rPr>
          <w:rFonts w:ascii="方正楷体_GBK" w:hAnsi="方正楷体_GBK" w:eastAsia="方正楷体_GBK" w:cs="方正楷体_GBK"/>
          <w:b/>
          <w:bCs/>
          <w:sz w:val="32"/>
          <w:szCs w:val="32"/>
        </w:rPr>
      </w:pPr>
    </w:p>
    <w:p>
      <w:pPr>
        <w:keepNext w:val="0"/>
        <w:keepLines w:val="0"/>
        <w:pageBreakBefore w:val="0"/>
        <w:kinsoku/>
        <w:wordWrap/>
        <w:overflowPunct/>
        <w:topLinePunct w:val="0"/>
        <w:autoSpaceDE/>
        <w:autoSpaceDN/>
        <w:bidi w:val="0"/>
        <w:adjustRightInd/>
        <w:snapToGrid/>
        <w:ind w:firstLine="643" w:firstLineChars="200"/>
        <w:jc w:val="center"/>
        <w:textAlignment w:val="auto"/>
        <w:rPr>
          <w:rFonts w:ascii="方正楷体_GBK" w:hAnsi="方正楷体_GBK" w:eastAsia="方正楷体_GBK" w:cs="方正楷体_GBK"/>
          <w:b/>
          <w:bCs/>
          <w:sz w:val="28"/>
          <w:szCs w:val="28"/>
        </w:rPr>
      </w:pPr>
      <w:r>
        <w:rPr>
          <w:rFonts w:hint="eastAsia" w:ascii="方正楷体_GBK" w:hAnsi="方正楷体_GBK" w:eastAsia="方正楷体_GBK" w:cs="方正楷体_GBK"/>
          <w:b/>
          <w:bCs/>
          <w:sz w:val="32"/>
          <w:szCs w:val="32"/>
        </w:rPr>
        <w:t xml:space="preserve"> 重庆市涪陵榨菜集团股份有限公司</w:t>
      </w:r>
    </w:p>
    <w:p>
      <w:pPr>
        <w:keepNext w:val="0"/>
        <w:keepLines w:val="0"/>
        <w:pageBreakBefore w:val="0"/>
        <w:kinsoku/>
        <w:wordWrap/>
        <w:overflowPunct/>
        <w:topLinePunct w:val="0"/>
        <w:autoSpaceDE/>
        <w:autoSpaceDN/>
        <w:bidi w:val="0"/>
        <w:adjustRightInd/>
        <w:snapToGrid/>
        <w:ind w:firstLine="482" w:firstLineChars="200"/>
        <w:jc w:val="center"/>
        <w:textAlignment w:val="auto"/>
        <w:rPr>
          <w:rFonts w:hint="eastAsia" w:ascii="方正黑体_GBK" w:hAnsi="方正黑体_GBK" w:eastAsia="方正黑体_GBK" w:cs="方正黑体_GBK"/>
          <w:b/>
          <w:sz w:val="24"/>
          <w:szCs w:val="24"/>
          <w:lang w:eastAsia="zh-CN"/>
        </w:rPr>
      </w:pPr>
      <w:r>
        <w:rPr>
          <w:rFonts w:hint="eastAsia" w:ascii="方正黑体_GBK" w:hAnsi="方正黑体_GBK" w:eastAsia="方正黑体_GBK" w:cs="方正黑体_GBK"/>
          <w:b/>
          <w:sz w:val="24"/>
          <w:szCs w:val="24"/>
          <w:lang w:eastAsia="zh-CN"/>
        </w:rPr>
        <w:t>眉山基地榨菜酱生产线设备采购项目</w:t>
      </w:r>
    </w:p>
    <w:p>
      <w:pPr>
        <w:keepNext w:val="0"/>
        <w:keepLines w:val="0"/>
        <w:pageBreakBefore w:val="0"/>
        <w:kinsoku/>
        <w:wordWrap/>
        <w:overflowPunct/>
        <w:topLinePunct w:val="0"/>
        <w:autoSpaceDE/>
        <w:autoSpaceDN/>
        <w:bidi w:val="0"/>
        <w:adjustRightInd/>
        <w:snapToGrid/>
        <w:ind w:firstLine="562" w:firstLineChars="200"/>
        <w:jc w:val="center"/>
        <w:textAlignment w:val="auto"/>
        <w:rPr>
          <w:rFonts w:ascii="方正楷体_GBK" w:hAnsi="方正楷体_GBK" w:eastAsia="方正楷体_GBK" w:cs="方正楷体_GBK"/>
          <w:b/>
          <w:bCs/>
          <w:sz w:val="28"/>
          <w:szCs w:val="28"/>
        </w:rPr>
      </w:pPr>
      <w:r>
        <w:rPr>
          <w:rFonts w:hint="eastAsia" w:ascii="方正楷体_GBK" w:hAnsi="方正楷体_GBK" w:eastAsia="方正楷体_GBK" w:cs="方正楷体_GBK"/>
          <w:b/>
          <w:bCs/>
          <w:sz w:val="28"/>
          <w:szCs w:val="28"/>
        </w:rPr>
        <w:t>投标报名表</w:t>
      </w:r>
    </w:p>
    <w:tbl>
      <w:tblPr>
        <w:tblStyle w:val="9"/>
        <w:tblW w:w="87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1919"/>
        <w:gridCol w:w="1920"/>
        <w:gridCol w:w="30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08" w:type="dxa"/>
          </w:tcPr>
          <w:p>
            <w:pPr>
              <w:keepNext w:val="0"/>
              <w:keepLines w:val="0"/>
              <w:pageBreakBefore w:val="0"/>
              <w:kinsoku/>
              <w:wordWrap/>
              <w:overflowPunct/>
              <w:topLinePunct w:val="0"/>
              <w:autoSpaceDE/>
              <w:autoSpaceDN/>
              <w:bidi w:val="0"/>
              <w:adjustRightInd/>
              <w:snapToGrid/>
              <w:jc w:val="both"/>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投标单位名称</w:t>
            </w:r>
          </w:p>
        </w:tc>
        <w:tc>
          <w:tcPr>
            <w:tcW w:w="6840" w:type="dxa"/>
            <w:gridSpan w:val="3"/>
          </w:tcPr>
          <w:p>
            <w:pPr>
              <w:keepNext w:val="0"/>
              <w:keepLines w:val="0"/>
              <w:pageBreakBefore w:val="0"/>
              <w:kinsoku/>
              <w:wordWrap/>
              <w:overflowPunct/>
              <w:topLinePunct w:val="0"/>
              <w:autoSpaceDE/>
              <w:autoSpaceDN/>
              <w:bidi w:val="0"/>
              <w:adjustRightInd/>
              <w:snapToGrid/>
              <w:ind w:firstLine="562" w:firstLineChars="200"/>
              <w:textAlignment w:val="auto"/>
              <w:rPr>
                <w:rFonts w:ascii="方正楷体_GBK" w:hAnsi="方正楷体_GBK" w:eastAsia="方正楷体_GBK" w:cs="方正楷体_GBK"/>
                <w:b/>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8" w:type="dxa"/>
          </w:tcPr>
          <w:p>
            <w:pPr>
              <w:keepNext w:val="0"/>
              <w:keepLines w:val="0"/>
              <w:pageBreakBefore w:val="0"/>
              <w:kinsoku/>
              <w:wordWrap/>
              <w:overflowPunct/>
              <w:topLinePunct w:val="0"/>
              <w:autoSpaceDE/>
              <w:autoSpaceDN/>
              <w:bidi w:val="0"/>
              <w:adjustRightInd/>
              <w:snapToGrid/>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企业法人代表</w:t>
            </w:r>
          </w:p>
        </w:tc>
        <w:tc>
          <w:tcPr>
            <w:tcW w:w="1919" w:type="dxa"/>
          </w:tcPr>
          <w:p>
            <w:pPr>
              <w:keepNext w:val="0"/>
              <w:keepLines w:val="0"/>
              <w:pageBreakBefore w:val="0"/>
              <w:kinsoku/>
              <w:wordWrap/>
              <w:overflowPunct/>
              <w:topLinePunct w:val="0"/>
              <w:autoSpaceDE/>
              <w:autoSpaceDN/>
              <w:bidi w:val="0"/>
              <w:adjustRightInd/>
              <w:snapToGrid/>
              <w:ind w:firstLine="562" w:firstLineChars="200"/>
              <w:textAlignment w:val="auto"/>
              <w:rPr>
                <w:rFonts w:ascii="方正楷体_GBK" w:hAnsi="方正楷体_GBK" w:eastAsia="方正楷体_GBK" w:cs="方正楷体_GBK"/>
                <w:b/>
                <w:bCs/>
                <w:sz w:val="28"/>
                <w:szCs w:val="28"/>
              </w:rPr>
            </w:pPr>
          </w:p>
        </w:tc>
        <w:tc>
          <w:tcPr>
            <w:tcW w:w="1920" w:type="dxa"/>
          </w:tcPr>
          <w:p>
            <w:pPr>
              <w:keepNext w:val="0"/>
              <w:keepLines w:val="0"/>
              <w:pageBreakBefore w:val="0"/>
              <w:kinsoku/>
              <w:wordWrap/>
              <w:overflowPunct/>
              <w:topLinePunct w:val="0"/>
              <w:autoSpaceDE/>
              <w:autoSpaceDN/>
              <w:bidi w:val="0"/>
              <w:adjustRightInd/>
              <w:snapToGrid/>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联系人</w:t>
            </w:r>
          </w:p>
        </w:tc>
        <w:tc>
          <w:tcPr>
            <w:tcW w:w="3001" w:type="dxa"/>
          </w:tcPr>
          <w:p>
            <w:pPr>
              <w:keepNext w:val="0"/>
              <w:keepLines w:val="0"/>
              <w:pageBreakBefore w:val="0"/>
              <w:kinsoku/>
              <w:wordWrap/>
              <w:overflowPunct/>
              <w:topLinePunct w:val="0"/>
              <w:autoSpaceDE/>
              <w:autoSpaceDN/>
              <w:bidi w:val="0"/>
              <w:adjustRightInd/>
              <w:snapToGrid/>
              <w:ind w:firstLine="560" w:firstLineChars="200"/>
              <w:textAlignment w:val="auto"/>
              <w:rPr>
                <w:rFonts w:ascii="方正楷体_GBK" w:hAnsi="方正楷体_GBK" w:eastAsia="方正楷体_GBK" w:cs="方正楷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8" w:type="dxa"/>
          </w:tcPr>
          <w:p>
            <w:pPr>
              <w:keepNext w:val="0"/>
              <w:keepLines w:val="0"/>
              <w:pageBreakBefore w:val="0"/>
              <w:kinsoku/>
              <w:wordWrap/>
              <w:overflowPunct/>
              <w:topLinePunct w:val="0"/>
              <w:autoSpaceDE/>
              <w:autoSpaceDN/>
              <w:bidi w:val="0"/>
              <w:adjustRightInd/>
              <w:snapToGrid/>
              <w:jc w:val="both"/>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联系电话</w:t>
            </w:r>
          </w:p>
        </w:tc>
        <w:tc>
          <w:tcPr>
            <w:tcW w:w="1919" w:type="dxa"/>
          </w:tcPr>
          <w:p>
            <w:pPr>
              <w:keepNext w:val="0"/>
              <w:keepLines w:val="0"/>
              <w:pageBreakBefore w:val="0"/>
              <w:kinsoku/>
              <w:wordWrap/>
              <w:overflowPunct/>
              <w:topLinePunct w:val="0"/>
              <w:autoSpaceDE/>
              <w:autoSpaceDN/>
              <w:bidi w:val="0"/>
              <w:adjustRightInd/>
              <w:snapToGrid/>
              <w:ind w:firstLine="560" w:firstLineChars="200"/>
              <w:jc w:val="center"/>
              <w:textAlignment w:val="auto"/>
              <w:rPr>
                <w:rFonts w:ascii="方正楷体_GBK" w:hAnsi="方正楷体_GBK" w:eastAsia="方正楷体_GBK" w:cs="方正楷体_GBK"/>
                <w:sz w:val="28"/>
                <w:szCs w:val="28"/>
              </w:rPr>
            </w:pPr>
          </w:p>
        </w:tc>
        <w:tc>
          <w:tcPr>
            <w:tcW w:w="1920" w:type="dxa"/>
            <w:vAlign w:val="center"/>
          </w:tcPr>
          <w:p>
            <w:pPr>
              <w:keepNext w:val="0"/>
              <w:keepLines w:val="0"/>
              <w:pageBreakBefore w:val="0"/>
              <w:kinsoku/>
              <w:wordWrap/>
              <w:overflowPunct/>
              <w:topLinePunct w:val="0"/>
              <w:autoSpaceDE/>
              <w:autoSpaceDN/>
              <w:bidi w:val="0"/>
              <w:adjustRightInd/>
              <w:snapToGrid/>
              <w:jc w:val="both"/>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电子邮箱</w:t>
            </w:r>
          </w:p>
        </w:tc>
        <w:tc>
          <w:tcPr>
            <w:tcW w:w="3001" w:type="dxa"/>
          </w:tcPr>
          <w:p>
            <w:pPr>
              <w:keepNext w:val="0"/>
              <w:keepLines w:val="0"/>
              <w:pageBreakBefore w:val="0"/>
              <w:kinsoku/>
              <w:wordWrap/>
              <w:overflowPunct/>
              <w:topLinePunct w:val="0"/>
              <w:autoSpaceDE/>
              <w:autoSpaceDN/>
              <w:bidi w:val="0"/>
              <w:adjustRightInd/>
              <w:snapToGrid/>
              <w:ind w:firstLine="560" w:firstLineChars="200"/>
              <w:jc w:val="center"/>
              <w:textAlignment w:val="auto"/>
              <w:rPr>
                <w:rFonts w:ascii="方正楷体_GBK" w:hAnsi="方正楷体_GBK" w:eastAsia="方正楷体_GBK" w:cs="方正楷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8" w:type="dxa"/>
            <w:vMerge w:val="restart"/>
            <w:vAlign w:val="center"/>
          </w:tcPr>
          <w:p>
            <w:pPr>
              <w:keepNext w:val="0"/>
              <w:keepLines w:val="0"/>
              <w:pageBreakBefore w:val="0"/>
              <w:kinsoku/>
              <w:wordWrap/>
              <w:overflowPunct/>
              <w:topLinePunct w:val="0"/>
              <w:autoSpaceDE/>
              <w:autoSpaceDN/>
              <w:bidi w:val="0"/>
              <w:adjustRightInd/>
              <w:snapToGrid/>
              <w:jc w:val="both"/>
              <w:textAlignment w:val="auto"/>
              <w:rPr>
                <w:rFonts w:hint="eastAsia" w:ascii="方正楷体_GBK" w:hAnsi="方正楷体_GBK" w:eastAsia="方正楷体_GBK" w:cs="方正楷体_GBK"/>
                <w:sz w:val="28"/>
                <w:szCs w:val="28"/>
                <w:lang w:eastAsia="zh-CN"/>
              </w:rPr>
            </w:pPr>
            <w:r>
              <w:rPr>
                <w:rFonts w:hint="eastAsia" w:ascii="方正楷体_GBK" w:hAnsi="方正楷体_GBK" w:eastAsia="方正楷体_GBK" w:cs="方正楷体_GBK"/>
                <w:sz w:val="28"/>
                <w:szCs w:val="28"/>
                <w:lang w:eastAsia="zh-CN"/>
              </w:rPr>
              <w:t>拟投标段</w:t>
            </w:r>
          </w:p>
        </w:tc>
        <w:tc>
          <w:tcPr>
            <w:tcW w:w="1919" w:type="dxa"/>
          </w:tcPr>
          <w:p>
            <w:pPr>
              <w:keepNext w:val="0"/>
              <w:keepLines w:val="0"/>
              <w:pageBreakBefore w:val="0"/>
              <w:kinsoku/>
              <w:wordWrap/>
              <w:overflowPunct/>
              <w:topLinePunct w:val="0"/>
              <w:autoSpaceDE/>
              <w:autoSpaceDN/>
              <w:bidi w:val="0"/>
              <w:adjustRightInd/>
              <w:snapToGrid/>
              <w:ind w:firstLine="560" w:firstLineChars="200"/>
              <w:jc w:val="both"/>
              <w:textAlignment w:val="auto"/>
              <w:rPr>
                <w:rFonts w:hint="default" w:ascii="方正楷体_GBK" w:hAnsi="方正楷体_GBK" w:eastAsia="方正楷体_GBK" w:cs="方正楷体_GBK"/>
                <w:sz w:val="28"/>
                <w:szCs w:val="28"/>
                <w:lang w:val="en-US" w:eastAsia="zh-CN"/>
              </w:rPr>
            </w:pPr>
            <w:r>
              <w:rPr>
                <w:rFonts w:hint="eastAsia" w:ascii="方正楷体_GBK" w:hAnsi="方正楷体_GBK" w:eastAsia="方正楷体_GBK" w:cs="方正楷体_GBK"/>
                <w:sz w:val="28"/>
                <w:szCs w:val="28"/>
                <w:lang w:eastAsia="zh-CN"/>
              </w:rPr>
              <w:t>标段</w:t>
            </w:r>
            <w:r>
              <w:rPr>
                <w:rFonts w:hint="eastAsia" w:ascii="方正楷体_GBK" w:hAnsi="方正楷体_GBK" w:eastAsia="方正楷体_GBK" w:cs="方正楷体_GBK"/>
                <w:sz w:val="28"/>
                <w:szCs w:val="28"/>
                <w:lang w:val="en-US" w:eastAsia="zh-CN"/>
              </w:rPr>
              <w:t>1</w:t>
            </w:r>
          </w:p>
        </w:tc>
        <w:tc>
          <w:tcPr>
            <w:tcW w:w="1920" w:type="dxa"/>
            <w:vAlign w:val="center"/>
          </w:tcPr>
          <w:p>
            <w:pPr>
              <w:keepNext w:val="0"/>
              <w:keepLines w:val="0"/>
              <w:pageBreakBefore w:val="0"/>
              <w:kinsoku/>
              <w:wordWrap/>
              <w:overflowPunct/>
              <w:topLinePunct w:val="0"/>
              <w:autoSpaceDE/>
              <w:autoSpaceDN/>
              <w:bidi w:val="0"/>
              <w:adjustRightInd/>
              <w:snapToGrid/>
              <w:ind w:firstLine="560" w:firstLineChars="200"/>
              <w:jc w:val="center"/>
              <w:textAlignment w:val="auto"/>
              <w:rPr>
                <w:rFonts w:hint="eastAsia" w:ascii="方正楷体_GBK" w:hAnsi="方正楷体_GBK" w:eastAsia="方正楷体_GBK" w:cs="方正楷体_GBK"/>
                <w:sz w:val="28"/>
                <w:szCs w:val="28"/>
              </w:rPr>
            </w:pPr>
          </w:p>
        </w:tc>
        <w:tc>
          <w:tcPr>
            <w:tcW w:w="3001" w:type="dxa"/>
          </w:tcPr>
          <w:p>
            <w:pPr>
              <w:keepNext w:val="0"/>
              <w:keepLines w:val="0"/>
              <w:pageBreakBefore w:val="0"/>
              <w:kinsoku/>
              <w:wordWrap/>
              <w:overflowPunct/>
              <w:topLinePunct w:val="0"/>
              <w:autoSpaceDE/>
              <w:autoSpaceDN/>
              <w:bidi w:val="0"/>
              <w:adjustRightInd/>
              <w:snapToGrid/>
              <w:ind w:firstLine="560" w:firstLineChars="200"/>
              <w:jc w:val="center"/>
              <w:textAlignment w:val="auto"/>
              <w:rPr>
                <w:rFonts w:ascii="方正楷体_GBK" w:hAnsi="方正楷体_GBK" w:eastAsia="方正楷体_GBK" w:cs="方正楷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8" w:type="dxa"/>
            <w:vMerge w:val="continue"/>
            <w:tcBorders/>
          </w:tcPr>
          <w:p>
            <w:pPr>
              <w:keepNext w:val="0"/>
              <w:keepLines w:val="0"/>
              <w:pageBreakBefore w:val="0"/>
              <w:kinsoku/>
              <w:wordWrap/>
              <w:overflowPunct/>
              <w:topLinePunct w:val="0"/>
              <w:autoSpaceDE/>
              <w:autoSpaceDN/>
              <w:bidi w:val="0"/>
              <w:adjustRightInd/>
              <w:snapToGrid/>
              <w:ind w:firstLine="560" w:firstLineChars="200"/>
              <w:jc w:val="center"/>
              <w:textAlignment w:val="auto"/>
              <w:rPr>
                <w:rFonts w:hint="eastAsia" w:ascii="方正楷体_GBK" w:hAnsi="方正楷体_GBK" w:eastAsia="方正楷体_GBK" w:cs="方正楷体_GBK"/>
                <w:sz w:val="28"/>
                <w:szCs w:val="28"/>
                <w:lang w:eastAsia="zh-CN"/>
              </w:rPr>
            </w:pPr>
          </w:p>
        </w:tc>
        <w:tc>
          <w:tcPr>
            <w:tcW w:w="1919" w:type="dxa"/>
          </w:tcPr>
          <w:p>
            <w:pPr>
              <w:keepNext w:val="0"/>
              <w:keepLines w:val="0"/>
              <w:pageBreakBefore w:val="0"/>
              <w:kinsoku/>
              <w:wordWrap/>
              <w:overflowPunct/>
              <w:topLinePunct w:val="0"/>
              <w:autoSpaceDE/>
              <w:autoSpaceDN/>
              <w:bidi w:val="0"/>
              <w:adjustRightInd/>
              <w:snapToGrid/>
              <w:ind w:firstLine="560" w:firstLineChars="200"/>
              <w:jc w:val="both"/>
              <w:textAlignment w:val="auto"/>
              <w:rPr>
                <w:rFonts w:hint="default" w:ascii="方正楷体_GBK" w:hAnsi="方正楷体_GBK" w:eastAsia="方正楷体_GBK" w:cs="方正楷体_GBK"/>
                <w:sz w:val="28"/>
                <w:szCs w:val="28"/>
                <w:lang w:val="en-US" w:eastAsia="zh-CN"/>
              </w:rPr>
            </w:pPr>
            <w:r>
              <w:rPr>
                <w:rFonts w:hint="eastAsia" w:ascii="方正楷体_GBK" w:hAnsi="方正楷体_GBK" w:eastAsia="方正楷体_GBK" w:cs="方正楷体_GBK"/>
                <w:sz w:val="28"/>
                <w:szCs w:val="28"/>
                <w:lang w:eastAsia="zh-CN"/>
              </w:rPr>
              <w:t>标段</w:t>
            </w:r>
            <w:r>
              <w:rPr>
                <w:rFonts w:hint="eastAsia" w:ascii="方正楷体_GBK" w:hAnsi="方正楷体_GBK" w:eastAsia="方正楷体_GBK" w:cs="方正楷体_GBK"/>
                <w:sz w:val="28"/>
                <w:szCs w:val="28"/>
                <w:lang w:val="en-US" w:eastAsia="zh-CN"/>
              </w:rPr>
              <w:t>2</w:t>
            </w:r>
          </w:p>
        </w:tc>
        <w:tc>
          <w:tcPr>
            <w:tcW w:w="1920" w:type="dxa"/>
            <w:vAlign w:val="center"/>
          </w:tcPr>
          <w:p>
            <w:pPr>
              <w:keepNext w:val="0"/>
              <w:keepLines w:val="0"/>
              <w:pageBreakBefore w:val="0"/>
              <w:kinsoku/>
              <w:wordWrap/>
              <w:overflowPunct/>
              <w:topLinePunct w:val="0"/>
              <w:autoSpaceDE/>
              <w:autoSpaceDN/>
              <w:bidi w:val="0"/>
              <w:adjustRightInd/>
              <w:snapToGrid/>
              <w:ind w:firstLine="560" w:firstLineChars="200"/>
              <w:jc w:val="center"/>
              <w:textAlignment w:val="auto"/>
              <w:rPr>
                <w:rFonts w:hint="eastAsia" w:ascii="方正楷体_GBK" w:hAnsi="方正楷体_GBK" w:eastAsia="方正楷体_GBK" w:cs="方正楷体_GBK"/>
                <w:sz w:val="28"/>
                <w:szCs w:val="28"/>
              </w:rPr>
            </w:pPr>
          </w:p>
        </w:tc>
        <w:tc>
          <w:tcPr>
            <w:tcW w:w="3001" w:type="dxa"/>
          </w:tcPr>
          <w:p>
            <w:pPr>
              <w:keepNext w:val="0"/>
              <w:keepLines w:val="0"/>
              <w:pageBreakBefore w:val="0"/>
              <w:kinsoku/>
              <w:wordWrap/>
              <w:overflowPunct/>
              <w:topLinePunct w:val="0"/>
              <w:autoSpaceDE/>
              <w:autoSpaceDN/>
              <w:bidi w:val="0"/>
              <w:adjustRightInd/>
              <w:snapToGrid/>
              <w:ind w:firstLine="560" w:firstLineChars="200"/>
              <w:jc w:val="center"/>
              <w:textAlignment w:val="auto"/>
              <w:rPr>
                <w:rFonts w:ascii="方正楷体_GBK" w:hAnsi="方正楷体_GBK" w:eastAsia="方正楷体_GBK" w:cs="方正楷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8" w:type="dxa"/>
            <w:vMerge w:val="continue"/>
            <w:tcBorders/>
          </w:tcPr>
          <w:p>
            <w:pPr>
              <w:keepNext w:val="0"/>
              <w:keepLines w:val="0"/>
              <w:pageBreakBefore w:val="0"/>
              <w:kinsoku/>
              <w:wordWrap/>
              <w:overflowPunct/>
              <w:topLinePunct w:val="0"/>
              <w:autoSpaceDE/>
              <w:autoSpaceDN/>
              <w:bidi w:val="0"/>
              <w:adjustRightInd/>
              <w:snapToGrid/>
              <w:ind w:firstLine="560" w:firstLineChars="200"/>
              <w:jc w:val="center"/>
              <w:textAlignment w:val="auto"/>
              <w:rPr>
                <w:rFonts w:hint="eastAsia" w:ascii="方正楷体_GBK" w:hAnsi="方正楷体_GBK" w:eastAsia="方正楷体_GBK" w:cs="方正楷体_GBK"/>
                <w:sz w:val="28"/>
                <w:szCs w:val="28"/>
                <w:lang w:eastAsia="zh-CN"/>
              </w:rPr>
            </w:pPr>
          </w:p>
        </w:tc>
        <w:tc>
          <w:tcPr>
            <w:tcW w:w="1919" w:type="dxa"/>
          </w:tcPr>
          <w:p>
            <w:pPr>
              <w:keepNext w:val="0"/>
              <w:keepLines w:val="0"/>
              <w:pageBreakBefore w:val="0"/>
              <w:kinsoku/>
              <w:wordWrap/>
              <w:overflowPunct/>
              <w:topLinePunct w:val="0"/>
              <w:autoSpaceDE/>
              <w:autoSpaceDN/>
              <w:bidi w:val="0"/>
              <w:adjustRightInd/>
              <w:snapToGrid/>
              <w:ind w:firstLine="560" w:firstLineChars="200"/>
              <w:jc w:val="both"/>
              <w:textAlignment w:val="auto"/>
              <w:rPr>
                <w:rFonts w:hint="default" w:ascii="方正楷体_GBK" w:hAnsi="方正楷体_GBK" w:eastAsia="方正楷体_GBK" w:cs="方正楷体_GBK"/>
                <w:sz w:val="28"/>
                <w:szCs w:val="28"/>
                <w:lang w:val="en-US" w:eastAsia="zh-CN"/>
              </w:rPr>
            </w:pPr>
            <w:r>
              <w:rPr>
                <w:rFonts w:hint="eastAsia" w:ascii="方正楷体_GBK" w:hAnsi="方正楷体_GBK" w:eastAsia="方正楷体_GBK" w:cs="方正楷体_GBK"/>
                <w:sz w:val="28"/>
                <w:szCs w:val="28"/>
                <w:lang w:eastAsia="zh-CN"/>
              </w:rPr>
              <w:t>标段</w:t>
            </w:r>
            <w:r>
              <w:rPr>
                <w:rFonts w:hint="eastAsia" w:ascii="方正楷体_GBK" w:hAnsi="方正楷体_GBK" w:eastAsia="方正楷体_GBK" w:cs="方正楷体_GBK"/>
                <w:sz w:val="28"/>
                <w:szCs w:val="28"/>
                <w:lang w:val="en-US" w:eastAsia="zh-CN"/>
              </w:rPr>
              <w:t>3</w:t>
            </w:r>
          </w:p>
        </w:tc>
        <w:tc>
          <w:tcPr>
            <w:tcW w:w="1920" w:type="dxa"/>
            <w:vAlign w:val="center"/>
          </w:tcPr>
          <w:p>
            <w:pPr>
              <w:keepNext w:val="0"/>
              <w:keepLines w:val="0"/>
              <w:pageBreakBefore w:val="0"/>
              <w:kinsoku/>
              <w:wordWrap/>
              <w:overflowPunct/>
              <w:topLinePunct w:val="0"/>
              <w:autoSpaceDE/>
              <w:autoSpaceDN/>
              <w:bidi w:val="0"/>
              <w:adjustRightInd/>
              <w:snapToGrid/>
              <w:ind w:firstLine="560" w:firstLineChars="200"/>
              <w:jc w:val="center"/>
              <w:textAlignment w:val="auto"/>
              <w:rPr>
                <w:rFonts w:hint="eastAsia" w:ascii="方正楷体_GBK" w:hAnsi="方正楷体_GBK" w:eastAsia="方正楷体_GBK" w:cs="方正楷体_GBK"/>
                <w:sz w:val="28"/>
                <w:szCs w:val="28"/>
              </w:rPr>
            </w:pPr>
          </w:p>
        </w:tc>
        <w:tc>
          <w:tcPr>
            <w:tcW w:w="3001" w:type="dxa"/>
          </w:tcPr>
          <w:p>
            <w:pPr>
              <w:keepNext w:val="0"/>
              <w:keepLines w:val="0"/>
              <w:pageBreakBefore w:val="0"/>
              <w:kinsoku/>
              <w:wordWrap/>
              <w:overflowPunct/>
              <w:topLinePunct w:val="0"/>
              <w:autoSpaceDE/>
              <w:autoSpaceDN/>
              <w:bidi w:val="0"/>
              <w:adjustRightInd/>
              <w:snapToGrid/>
              <w:ind w:firstLine="560" w:firstLineChars="200"/>
              <w:jc w:val="center"/>
              <w:textAlignment w:val="auto"/>
              <w:rPr>
                <w:rFonts w:ascii="方正楷体_GBK" w:hAnsi="方正楷体_GBK" w:eastAsia="方正楷体_GBK" w:cs="方正楷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8" w:type="dxa"/>
          </w:tcPr>
          <w:p>
            <w:pPr>
              <w:keepNext w:val="0"/>
              <w:keepLines w:val="0"/>
              <w:pageBreakBefore w:val="0"/>
              <w:kinsoku/>
              <w:wordWrap/>
              <w:overflowPunct/>
              <w:topLinePunct w:val="0"/>
              <w:autoSpaceDE/>
              <w:autoSpaceDN/>
              <w:bidi w:val="0"/>
              <w:adjustRightInd/>
              <w:snapToGrid/>
              <w:jc w:val="both"/>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企业基本情况介绍</w:t>
            </w:r>
          </w:p>
        </w:tc>
        <w:tc>
          <w:tcPr>
            <w:tcW w:w="6840" w:type="dxa"/>
            <w:gridSpan w:val="3"/>
          </w:tcPr>
          <w:p>
            <w:pPr>
              <w:keepNext w:val="0"/>
              <w:keepLines w:val="0"/>
              <w:pageBreakBefore w:val="0"/>
              <w:kinsoku/>
              <w:wordWrap/>
              <w:overflowPunct/>
              <w:topLinePunct w:val="0"/>
              <w:autoSpaceDE/>
              <w:autoSpaceDN/>
              <w:bidi w:val="0"/>
              <w:adjustRightInd/>
              <w:snapToGrid/>
              <w:ind w:firstLine="560" w:firstLineChars="200"/>
              <w:jc w:val="center"/>
              <w:textAlignment w:val="auto"/>
              <w:rPr>
                <w:rFonts w:ascii="方正楷体_GBK" w:hAnsi="方正楷体_GBK" w:eastAsia="方正楷体_GBK" w:cs="方正楷体_GBK"/>
                <w:sz w:val="28"/>
                <w:szCs w:val="28"/>
              </w:rPr>
            </w:pPr>
          </w:p>
        </w:tc>
      </w:tr>
    </w:tbl>
    <w:p>
      <w:pPr>
        <w:keepNext w:val="0"/>
        <w:keepLines w:val="0"/>
        <w:pageBreakBefore w:val="0"/>
        <w:kinsoku/>
        <w:wordWrap/>
        <w:overflowPunct/>
        <w:topLinePunct w:val="0"/>
        <w:autoSpaceDE/>
        <w:autoSpaceDN/>
        <w:bidi w:val="0"/>
        <w:adjustRightInd/>
        <w:snapToGrid/>
        <w:ind w:firstLine="562" w:firstLineChars="200"/>
        <w:textAlignment w:val="auto"/>
        <w:rPr>
          <w:rFonts w:ascii="方正楷体_GBK" w:hAnsi="方正楷体_GBK" w:eastAsia="方正楷体_GBK" w:cs="方正楷体_GBK"/>
          <w:sz w:val="28"/>
          <w:szCs w:val="28"/>
        </w:rPr>
      </w:pPr>
      <w:r>
        <w:rPr>
          <w:rFonts w:hint="eastAsia" w:ascii="方正楷体_GBK" w:hAnsi="方正楷体_GBK" w:eastAsia="方正楷体_GBK" w:cs="方正楷体_GBK"/>
          <w:b/>
          <w:sz w:val="28"/>
          <w:szCs w:val="28"/>
        </w:rPr>
        <w:t>说明：</w:t>
      </w:r>
      <w:r>
        <w:rPr>
          <w:rFonts w:hint="eastAsia" w:ascii="方正楷体_GBK" w:hAnsi="方正楷体_GBK" w:eastAsia="方正楷体_GBK" w:cs="方正楷体_GBK"/>
          <w:sz w:val="28"/>
          <w:szCs w:val="28"/>
        </w:rPr>
        <w:t>报名表须加盖单位公章。</w:t>
      </w:r>
    </w:p>
    <w:p>
      <w:pPr>
        <w:pStyle w:val="5"/>
        <w:keepNext w:val="0"/>
        <w:keepLines w:val="0"/>
        <w:pageBreakBefore w:val="0"/>
        <w:kinsoku/>
        <w:wordWrap/>
        <w:overflowPunct/>
        <w:topLinePunct w:val="0"/>
        <w:autoSpaceDE/>
        <w:autoSpaceDN/>
        <w:bidi w:val="0"/>
        <w:adjustRightInd/>
        <w:snapToGrid/>
        <w:spacing w:line="440" w:lineRule="exact"/>
        <w:ind w:firstLine="560" w:firstLineChars="200"/>
        <w:textAlignment w:val="auto"/>
        <w:rPr>
          <w:rFonts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440" w:lineRule="exact"/>
        <w:ind w:firstLine="560" w:firstLineChars="200"/>
        <w:textAlignment w:val="auto"/>
        <w:rPr>
          <w:rFonts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440" w:lineRule="exact"/>
        <w:ind w:firstLine="560" w:firstLineChars="200"/>
        <w:textAlignment w:val="auto"/>
        <w:rPr>
          <w:rFonts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440" w:lineRule="exact"/>
        <w:ind w:firstLine="560" w:firstLineChars="200"/>
        <w:textAlignment w:val="auto"/>
        <w:rPr>
          <w:rFonts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440" w:lineRule="exact"/>
        <w:ind w:firstLine="560" w:firstLineChars="200"/>
        <w:textAlignment w:val="auto"/>
        <w:rPr>
          <w:rFonts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440" w:lineRule="exact"/>
        <w:ind w:firstLine="560" w:firstLineChars="200"/>
        <w:textAlignment w:val="auto"/>
        <w:rPr>
          <w:rFonts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440" w:lineRule="exact"/>
        <w:ind w:firstLine="560" w:firstLineChars="200"/>
        <w:textAlignment w:val="auto"/>
        <w:rPr>
          <w:rFonts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440" w:lineRule="exact"/>
        <w:ind w:firstLine="560" w:firstLineChars="200"/>
        <w:textAlignment w:val="auto"/>
        <w:rPr>
          <w:rFonts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440" w:lineRule="exact"/>
        <w:ind w:firstLine="560" w:firstLineChars="200"/>
        <w:textAlignment w:val="auto"/>
        <w:rPr>
          <w:rFonts w:ascii="方正楷体_GBK" w:hAnsi="方正楷体_GBK" w:eastAsia="方正楷体_GBK" w:cs="方正楷体_GBK"/>
          <w:sz w:val="28"/>
          <w:szCs w:val="28"/>
        </w:rPr>
      </w:pPr>
    </w:p>
    <w:p>
      <w:pPr>
        <w:pStyle w:val="5"/>
        <w:keepNext w:val="0"/>
        <w:keepLines w:val="0"/>
        <w:pageBreakBefore w:val="0"/>
        <w:kinsoku/>
        <w:wordWrap/>
        <w:overflowPunct/>
        <w:topLinePunct w:val="0"/>
        <w:autoSpaceDE/>
        <w:autoSpaceDN/>
        <w:bidi w:val="0"/>
        <w:adjustRightInd/>
        <w:snapToGrid/>
        <w:spacing w:line="440" w:lineRule="exact"/>
        <w:textAlignment w:val="auto"/>
        <w:rPr>
          <w:rFonts w:ascii="方正楷体_GBK" w:hAnsi="方正楷体_GBK" w:eastAsia="方正楷体_GBK" w:cs="方正楷体_GBK"/>
          <w:sz w:val="28"/>
          <w:szCs w:val="28"/>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等线">
    <w:altName w:val="Arial Unicode MS"/>
    <w:panose1 w:val="00000000000000000000"/>
    <w:charset w:val="86"/>
    <w:family w:val="auto"/>
    <w:pitch w:val="default"/>
    <w:sig w:usb0="00000000" w:usb1="00000000" w:usb2="00000016" w:usb3="00000000" w:csb0="0004000F" w:csb1="00000000"/>
  </w:font>
  <w:font w:name="Verdana">
    <w:panose1 w:val="020B0604030504040204"/>
    <w:charset w:val="00"/>
    <w:family w:val="swiss"/>
    <w:pitch w:val="default"/>
    <w:sig w:usb0="A10006FF" w:usb1="4000205B" w:usb2="00000010" w:usb3="00000000" w:csb0="2000019F" w:csb1="00000000"/>
  </w:font>
  <w:font w:name="MS Mincho">
    <w:panose1 w:val="02020609040205080304"/>
    <w:charset w:val="80"/>
    <w:family w:val="roman"/>
    <w:pitch w:val="default"/>
    <w:sig w:usb0="E00002FF" w:usb1="6AC7FDFB" w:usb2="00000012" w:usb3="00000000" w:csb0="4002009F" w:csb1="DFD7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5C9C40"/>
    <w:multiLevelType w:val="singleLevel"/>
    <w:tmpl w:val="A05C9C40"/>
    <w:lvl w:ilvl="0" w:tentative="0">
      <w:start w:val="1"/>
      <w:numFmt w:val="decimal"/>
      <w:pStyle w:val="2"/>
      <w:lvlText w:val="%1."/>
      <w:lvlJc w:val="left"/>
      <w:pPr>
        <w:tabs>
          <w:tab w:val="left" w:pos="780"/>
        </w:tabs>
        <w:ind w:left="780" w:hanging="360"/>
      </w:pPr>
    </w:lvl>
  </w:abstractNum>
  <w:abstractNum w:abstractNumId="1">
    <w:nsid w:val="0E540227"/>
    <w:multiLevelType w:val="singleLevel"/>
    <w:tmpl w:val="0E540227"/>
    <w:lvl w:ilvl="0" w:tentative="0">
      <w:start w:val="3"/>
      <w:numFmt w:val="chineseCounting"/>
      <w:suff w:val="nothing"/>
      <w:lvlText w:val="%1、"/>
      <w:lvlJc w:val="left"/>
      <w:rPr>
        <w:rFonts w:hint="eastAsia"/>
      </w:rPr>
    </w:lvl>
  </w:abstractNum>
  <w:abstractNum w:abstractNumId="2">
    <w:nsid w:val="167B32CE"/>
    <w:multiLevelType w:val="singleLevel"/>
    <w:tmpl w:val="167B32CE"/>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A5YjZiYzdiOThkOTYyOWM2YWFlZGIyZjIyM2NmMjQifQ=="/>
  </w:docVars>
  <w:rsids>
    <w:rsidRoot w:val="00AD786B"/>
    <w:rsid w:val="00000DF6"/>
    <w:rsid w:val="00003908"/>
    <w:rsid w:val="000127CD"/>
    <w:rsid w:val="0002137B"/>
    <w:rsid w:val="00023533"/>
    <w:rsid w:val="0002675F"/>
    <w:rsid w:val="00027E01"/>
    <w:rsid w:val="00033602"/>
    <w:rsid w:val="00034085"/>
    <w:rsid w:val="0003511A"/>
    <w:rsid w:val="00035CEA"/>
    <w:rsid w:val="000363EE"/>
    <w:rsid w:val="00045A0E"/>
    <w:rsid w:val="00047978"/>
    <w:rsid w:val="00051645"/>
    <w:rsid w:val="000564EB"/>
    <w:rsid w:val="0005693C"/>
    <w:rsid w:val="00057DFC"/>
    <w:rsid w:val="00060D2F"/>
    <w:rsid w:val="00064584"/>
    <w:rsid w:val="00067FF3"/>
    <w:rsid w:val="00082EE0"/>
    <w:rsid w:val="000866C0"/>
    <w:rsid w:val="00086C9E"/>
    <w:rsid w:val="0009063F"/>
    <w:rsid w:val="00092BA9"/>
    <w:rsid w:val="00093EF3"/>
    <w:rsid w:val="000948E5"/>
    <w:rsid w:val="000952B3"/>
    <w:rsid w:val="00095546"/>
    <w:rsid w:val="000966BF"/>
    <w:rsid w:val="00096AE6"/>
    <w:rsid w:val="00097918"/>
    <w:rsid w:val="000A0B9B"/>
    <w:rsid w:val="000A13A2"/>
    <w:rsid w:val="000A2AD2"/>
    <w:rsid w:val="000A3DEE"/>
    <w:rsid w:val="000A4025"/>
    <w:rsid w:val="000A60E1"/>
    <w:rsid w:val="000A60E4"/>
    <w:rsid w:val="000B58BF"/>
    <w:rsid w:val="000C0C75"/>
    <w:rsid w:val="000C13DB"/>
    <w:rsid w:val="000C79B9"/>
    <w:rsid w:val="000D12B6"/>
    <w:rsid w:val="000D6E09"/>
    <w:rsid w:val="000D79DE"/>
    <w:rsid w:val="000E0AFA"/>
    <w:rsid w:val="000E30BA"/>
    <w:rsid w:val="000E35C4"/>
    <w:rsid w:val="000E410C"/>
    <w:rsid w:val="000E5CFE"/>
    <w:rsid w:val="000E6D29"/>
    <w:rsid w:val="000F0FC4"/>
    <w:rsid w:val="000F12C2"/>
    <w:rsid w:val="000F3D7C"/>
    <w:rsid w:val="000F6ACF"/>
    <w:rsid w:val="001000FE"/>
    <w:rsid w:val="00104C7E"/>
    <w:rsid w:val="00104FB3"/>
    <w:rsid w:val="001069D6"/>
    <w:rsid w:val="001115C4"/>
    <w:rsid w:val="00112025"/>
    <w:rsid w:val="001124D5"/>
    <w:rsid w:val="00114BB0"/>
    <w:rsid w:val="0011567F"/>
    <w:rsid w:val="00117339"/>
    <w:rsid w:val="00117381"/>
    <w:rsid w:val="001174FD"/>
    <w:rsid w:val="00117EC5"/>
    <w:rsid w:val="00123125"/>
    <w:rsid w:val="00126A17"/>
    <w:rsid w:val="001275CA"/>
    <w:rsid w:val="001341A6"/>
    <w:rsid w:val="00142008"/>
    <w:rsid w:val="00142B71"/>
    <w:rsid w:val="00143CA2"/>
    <w:rsid w:val="0015180E"/>
    <w:rsid w:val="001541DE"/>
    <w:rsid w:val="00155EA6"/>
    <w:rsid w:val="0016180B"/>
    <w:rsid w:val="0016273E"/>
    <w:rsid w:val="001638E6"/>
    <w:rsid w:val="00163B0D"/>
    <w:rsid w:val="0016641A"/>
    <w:rsid w:val="001667CA"/>
    <w:rsid w:val="0017131B"/>
    <w:rsid w:val="00172EDB"/>
    <w:rsid w:val="00173CFD"/>
    <w:rsid w:val="001809B7"/>
    <w:rsid w:val="001820E4"/>
    <w:rsid w:val="00186C4A"/>
    <w:rsid w:val="001875F4"/>
    <w:rsid w:val="00196081"/>
    <w:rsid w:val="001A1AD9"/>
    <w:rsid w:val="001A7922"/>
    <w:rsid w:val="001A7D76"/>
    <w:rsid w:val="001B1E74"/>
    <w:rsid w:val="001B5B86"/>
    <w:rsid w:val="001B7385"/>
    <w:rsid w:val="001C0228"/>
    <w:rsid w:val="001C2845"/>
    <w:rsid w:val="001C4C67"/>
    <w:rsid w:val="001D0A18"/>
    <w:rsid w:val="001D0C73"/>
    <w:rsid w:val="001D0E39"/>
    <w:rsid w:val="001D1E71"/>
    <w:rsid w:val="001D406D"/>
    <w:rsid w:val="001D4228"/>
    <w:rsid w:val="001D4A6A"/>
    <w:rsid w:val="001E0BBB"/>
    <w:rsid w:val="001F0224"/>
    <w:rsid w:val="001F19E6"/>
    <w:rsid w:val="001F5473"/>
    <w:rsid w:val="00200AB4"/>
    <w:rsid w:val="00200E6B"/>
    <w:rsid w:val="002128BA"/>
    <w:rsid w:val="00213B9F"/>
    <w:rsid w:val="002149D4"/>
    <w:rsid w:val="002233D8"/>
    <w:rsid w:val="002236F2"/>
    <w:rsid w:val="00223D33"/>
    <w:rsid w:val="0022429D"/>
    <w:rsid w:val="0022444E"/>
    <w:rsid w:val="00225B2B"/>
    <w:rsid w:val="002302D2"/>
    <w:rsid w:val="00231BE9"/>
    <w:rsid w:val="00233CF8"/>
    <w:rsid w:val="0023474D"/>
    <w:rsid w:val="00240D6B"/>
    <w:rsid w:val="002441E6"/>
    <w:rsid w:val="00260AFE"/>
    <w:rsid w:val="00260EFA"/>
    <w:rsid w:val="00261DC0"/>
    <w:rsid w:val="002646F0"/>
    <w:rsid w:val="00266736"/>
    <w:rsid w:val="00270BBA"/>
    <w:rsid w:val="00273CCB"/>
    <w:rsid w:val="00275E13"/>
    <w:rsid w:val="0027622F"/>
    <w:rsid w:val="002775DB"/>
    <w:rsid w:val="00280BF7"/>
    <w:rsid w:val="002839D7"/>
    <w:rsid w:val="002862A1"/>
    <w:rsid w:val="0028780C"/>
    <w:rsid w:val="00287E89"/>
    <w:rsid w:val="002902BB"/>
    <w:rsid w:val="00290A0A"/>
    <w:rsid w:val="00297886"/>
    <w:rsid w:val="002A1DD9"/>
    <w:rsid w:val="002B31E7"/>
    <w:rsid w:val="002B6251"/>
    <w:rsid w:val="002C143C"/>
    <w:rsid w:val="002C6564"/>
    <w:rsid w:val="002C65E7"/>
    <w:rsid w:val="002C69B9"/>
    <w:rsid w:val="002D1874"/>
    <w:rsid w:val="002D1A69"/>
    <w:rsid w:val="002D28FF"/>
    <w:rsid w:val="002D55E2"/>
    <w:rsid w:val="002D76C4"/>
    <w:rsid w:val="002D7A86"/>
    <w:rsid w:val="002E732F"/>
    <w:rsid w:val="002F093B"/>
    <w:rsid w:val="00304D5F"/>
    <w:rsid w:val="00304ECB"/>
    <w:rsid w:val="00311906"/>
    <w:rsid w:val="00316AB9"/>
    <w:rsid w:val="00317709"/>
    <w:rsid w:val="003242E2"/>
    <w:rsid w:val="00325E4E"/>
    <w:rsid w:val="00327DAE"/>
    <w:rsid w:val="0033497B"/>
    <w:rsid w:val="00350BA3"/>
    <w:rsid w:val="003736B4"/>
    <w:rsid w:val="0037691F"/>
    <w:rsid w:val="0038634F"/>
    <w:rsid w:val="003874AD"/>
    <w:rsid w:val="00395238"/>
    <w:rsid w:val="00395C32"/>
    <w:rsid w:val="003A04AB"/>
    <w:rsid w:val="003A2A2D"/>
    <w:rsid w:val="003A323E"/>
    <w:rsid w:val="003A5A14"/>
    <w:rsid w:val="003A662B"/>
    <w:rsid w:val="003A6FE8"/>
    <w:rsid w:val="003A7031"/>
    <w:rsid w:val="003A72B7"/>
    <w:rsid w:val="003A7FD4"/>
    <w:rsid w:val="003B42E4"/>
    <w:rsid w:val="003B6FE0"/>
    <w:rsid w:val="003B72CB"/>
    <w:rsid w:val="003C0CC7"/>
    <w:rsid w:val="003C4CA2"/>
    <w:rsid w:val="003C6B7C"/>
    <w:rsid w:val="003C6E74"/>
    <w:rsid w:val="003D1276"/>
    <w:rsid w:val="003D243D"/>
    <w:rsid w:val="003E0241"/>
    <w:rsid w:val="003E1425"/>
    <w:rsid w:val="003E29DC"/>
    <w:rsid w:val="003E4BFA"/>
    <w:rsid w:val="003E4C23"/>
    <w:rsid w:val="003F0B6E"/>
    <w:rsid w:val="003F3EFA"/>
    <w:rsid w:val="003F5A8A"/>
    <w:rsid w:val="003F6672"/>
    <w:rsid w:val="004035AF"/>
    <w:rsid w:val="0040419C"/>
    <w:rsid w:val="004062B4"/>
    <w:rsid w:val="00407801"/>
    <w:rsid w:val="00414D5D"/>
    <w:rsid w:val="004219BD"/>
    <w:rsid w:val="00421EC3"/>
    <w:rsid w:val="00422027"/>
    <w:rsid w:val="00425275"/>
    <w:rsid w:val="00430329"/>
    <w:rsid w:val="0043437F"/>
    <w:rsid w:val="00434BF2"/>
    <w:rsid w:val="00434ECD"/>
    <w:rsid w:val="00434F69"/>
    <w:rsid w:val="004353A9"/>
    <w:rsid w:val="00435681"/>
    <w:rsid w:val="00436D0E"/>
    <w:rsid w:val="00443D12"/>
    <w:rsid w:val="004456D6"/>
    <w:rsid w:val="0045197A"/>
    <w:rsid w:val="00452E03"/>
    <w:rsid w:val="0045384B"/>
    <w:rsid w:val="004658F0"/>
    <w:rsid w:val="00466467"/>
    <w:rsid w:val="00467DF1"/>
    <w:rsid w:val="00474823"/>
    <w:rsid w:val="0047595C"/>
    <w:rsid w:val="004838AE"/>
    <w:rsid w:val="00486688"/>
    <w:rsid w:val="00486A0A"/>
    <w:rsid w:val="00491EE0"/>
    <w:rsid w:val="00496004"/>
    <w:rsid w:val="004962A7"/>
    <w:rsid w:val="004A0C49"/>
    <w:rsid w:val="004A3FF1"/>
    <w:rsid w:val="004A55FA"/>
    <w:rsid w:val="004B43E3"/>
    <w:rsid w:val="004B6C8E"/>
    <w:rsid w:val="004B7273"/>
    <w:rsid w:val="004C0F8C"/>
    <w:rsid w:val="004D28E4"/>
    <w:rsid w:val="004E212C"/>
    <w:rsid w:val="004E40D5"/>
    <w:rsid w:val="004F3290"/>
    <w:rsid w:val="004F4C85"/>
    <w:rsid w:val="004F69F9"/>
    <w:rsid w:val="004F6D61"/>
    <w:rsid w:val="00501F17"/>
    <w:rsid w:val="005040D1"/>
    <w:rsid w:val="00510FB7"/>
    <w:rsid w:val="00513CCB"/>
    <w:rsid w:val="00514B09"/>
    <w:rsid w:val="00522AD4"/>
    <w:rsid w:val="005239B6"/>
    <w:rsid w:val="00524946"/>
    <w:rsid w:val="00530909"/>
    <w:rsid w:val="005311D6"/>
    <w:rsid w:val="00534678"/>
    <w:rsid w:val="0053518B"/>
    <w:rsid w:val="00536C88"/>
    <w:rsid w:val="00536D07"/>
    <w:rsid w:val="00542B65"/>
    <w:rsid w:val="005440A3"/>
    <w:rsid w:val="00544CB0"/>
    <w:rsid w:val="00544E46"/>
    <w:rsid w:val="00545F71"/>
    <w:rsid w:val="0054643A"/>
    <w:rsid w:val="00554DE7"/>
    <w:rsid w:val="00557767"/>
    <w:rsid w:val="0056042A"/>
    <w:rsid w:val="0056233E"/>
    <w:rsid w:val="0056466B"/>
    <w:rsid w:val="00570040"/>
    <w:rsid w:val="0057090C"/>
    <w:rsid w:val="00572534"/>
    <w:rsid w:val="0057673B"/>
    <w:rsid w:val="00577123"/>
    <w:rsid w:val="005801F5"/>
    <w:rsid w:val="00581B50"/>
    <w:rsid w:val="005835E4"/>
    <w:rsid w:val="00583621"/>
    <w:rsid w:val="00584DF8"/>
    <w:rsid w:val="00590048"/>
    <w:rsid w:val="00590C4D"/>
    <w:rsid w:val="00592B86"/>
    <w:rsid w:val="005A077C"/>
    <w:rsid w:val="005A177C"/>
    <w:rsid w:val="005A2153"/>
    <w:rsid w:val="005A3AFE"/>
    <w:rsid w:val="005A777E"/>
    <w:rsid w:val="005B04C9"/>
    <w:rsid w:val="005B27BC"/>
    <w:rsid w:val="005B3336"/>
    <w:rsid w:val="005B57F0"/>
    <w:rsid w:val="005B68F0"/>
    <w:rsid w:val="005B6C19"/>
    <w:rsid w:val="005C03D0"/>
    <w:rsid w:val="005C1A22"/>
    <w:rsid w:val="005C2C5B"/>
    <w:rsid w:val="005D309E"/>
    <w:rsid w:val="005D63A1"/>
    <w:rsid w:val="005D766D"/>
    <w:rsid w:val="005D7F88"/>
    <w:rsid w:val="005E295F"/>
    <w:rsid w:val="005E54DD"/>
    <w:rsid w:val="005E5C79"/>
    <w:rsid w:val="005F485A"/>
    <w:rsid w:val="005F7BF8"/>
    <w:rsid w:val="00602D03"/>
    <w:rsid w:val="006157EC"/>
    <w:rsid w:val="00615E1B"/>
    <w:rsid w:val="00615E74"/>
    <w:rsid w:val="00617CC5"/>
    <w:rsid w:val="00625BE2"/>
    <w:rsid w:val="00632F24"/>
    <w:rsid w:val="006360BD"/>
    <w:rsid w:val="00637D86"/>
    <w:rsid w:val="006415F9"/>
    <w:rsid w:val="00641CAA"/>
    <w:rsid w:val="006445EC"/>
    <w:rsid w:val="00647F43"/>
    <w:rsid w:val="00651DEF"/>
    <w:rsid w:val="00652078"/>
    <w:rsid w:val="00653AC8"/>
    <w:rsid w:val="006542C1"/>
    <w:rsid w:val="00656FBD"/>
    <w:rsid w:val="00663389"/>
    <w:rsid w:val="00666895"/>
    <w:rsid w:val="006704BE"/>
    <w:rsid w:val="0067189C"/>
    <w:rsid w:val="00672D98"/>
    <w:rsid w:val="0067594C"/>
    <w:rsid w:val="00680564"/>
    <w:rsid w:val="006861BA"/>
    <w:rsid w:val="0069054B"/>
    <w:rsid w:val="00691705"/>
    <w:rsid w:val="0069578A"/>
    <w:rsid w:val="00696165"/>
    <w:rsid w:val="00696796"/>
    <w:rsid w:val="006A6367"/>
    <w:rsid w:val="006A6B35"/>
    <w:rsid w:val="006B03A7"/>
    <w:rsid w:val="006B3699"/>
    <w:rsid w:val="006B625B"/>
    <w:rsid w:val="006B68CD"/>
    <w:rsid w:val="006C3752"/>
    <w:rsid w:val="006C46B7"/>
    <w:rsid w:val="006C75E1"/>
    <w:rsid w:val="006C796F"/>
    <w:rsid w:val="006D6420"/>
    <w:rsid w:val="006D6650"/>
    <w:rsid w:val="006E032E"/>
    <w:rsid w:val="006E4C83"/>
    <w:rsid w:val="006E6133"/>
    <w:rsid w:val="006E7902"/>
    <w:rsid w:val="006F32C8"/>
    <w:rsid w:val="006F5631"/>
    <w:rsid w:val="006F5A42"/>
    <w:rsid w:val="006F65F7"/>
    <w:rsid w:val="00701CB7"/>
    <w:rsid w:val="00711310"/>
    <w:rsid w:val="00713618"/>
    <w:rsid w:val="00713696"/>
    <w:rsid w:val="00713C9E"/>
    <w:rsid w:val="00713FB3"/>
    <w:rsid w:val="0071406C"/>
    <w:rsid w:val="00715999"/>
    <w:rsid w:val="00723790"/>
    <w:rsid w:val="00732BC3"/>
    <w:rsid w:val="00734E3D"/>
    <w:rsid w:val="00737C03"/>
    <w:rsid w:val="00737F7F"/>
    <w:rsid w:val="00743C06"/>
    <w:rsid w:val="007540E3"/>
    <w:rsid w:val="00760E20"/>
    <w:rsid w:val="00766929"/>
    <w:rsid w:val="0076751A"/>
    <w:rsid w:val="00767959"/>
    <w:rsid w:val="00773990"/>
    <w:rsid w:val="00774C03"/>
    <w:rsid w:val="007832E3"/>
    <w:rsid w:val="00784EEE"/>
    <w:rsid w:val="00786057"/>
    <w:rsid w:val="00792DE8"/>
    <w:rsid w:val="00793118"/>
    <w:rsid w:val="00793503"/>
    <w:rsid w:val="00794772"/>
    <w:rsid w:val="00794E8B"/>
    <w:rsid w:val="007A0C2C"/>
    <w:rsid w:val="007A4533"/>
    <w:rsid w:val="007A4B34"/>
    <w:rsid w:val="007B0B04"/>
    <w:rsid w:val="007B2229"/>
    <w:rsid w:val="007B2722"/>
    <w:rsid w:val="007B4428"/>
    <w:rsid w:val="007B58CB"/>
    <w:rsid w:val="007B63FE"/>
    <w:rsid w:val="007B6FD7"/>
    <w:rsid w:val="007C078F"/>
    <w:rsid w:val="007C5E65"/>
    <w:rsid w:val="007D3E7E"/>
    <w:rsid w:val="007D6F59"/>
    <w:rsid w:val="007E0B9C"/>
    <w:rsid w:val="007E3777"/>
    <w:rsid w:val="007E56A3"/>
    <w:rsid w:val="007E58DC"/>
    <w:rsid w:val="007F3968"/>
    <w:rsid w:val="007F3D4D"/>
    <w:rsid w:val="00806981"/>
    <w:rsid w:val="00806BD9"/>
    <w:rsid w:val="00812C86"/>
    <w:rsid w:val="00816B41"/>
    <w:rsid w:val="0082022C"/>
    <w:rsid w:val="00823DFB"/>
    <w:rsid w:val="0082547B"/>
    <w:rsid w:val="0082581C"/>
    <w:rsid w:val="0082663E"/>
    <w:rsid w:val="008313CB"/>
    <w:rsid w:val="00832F78"/>
    <w:rsid w:val="008335F4"/>
    <w:rsid w:val="00833BF2"/>
    <w:rsid w:val="00836C98"/>
    <w:rsid w:val="00843241"/>
    <w:rsid w:val="00846448"/>
    <w:rsid w:val="00851AC7"/>
    <w:rsid w:val="00853805"/>
    <w:rsid w:val="00853E82"/>
    <w:rsid w:val="00856D18"/>
    <w:rsid w:val="008646BD"/>
    <w:rsid w:val="00871586"/>
    <w:rsid w:val="008715EA"/>
    <w:rsid w:val="00873641"/>
    <w:rsid w:val="008846EE"/>
    <w:rsid w:val="00884C55"/>
    <w:rsid w:val="00887468"/>
    <w:rsid w:val="0089446D"/>
    <w:rsid w:val="00896B78"/>
    <w:rsid w:val="008970E2"/>
    <w:rsid w:val="008A041E"/>
    <w:rsid w:val="008A2D61"/>
    <w:rsid w:val="008A43E1"/>
    <w:rsid w:val="008A7F57"/>
    <w:rsid w:val="008B719C"/>
    <w:rsid w:val="008C1E99"/>
    <w:rsid w:val="008C69B5"/>
    <w:rsid w:val="008D5B9E"/>
    <w:rsid w:val="008F3ACB"/>
    <w:rsid w:val="008F702D"/>
    <w:rsid w:val="009004D6"/>
    <w:rsid w:val="00907710"/>
    <w:rsid w:val="00907765"/>
    <w:rsid w:val="009160B9"/>
    <w:rsid w:val="009228A8"/>
    <w:rsid w:val="00926179"/>
    <w:rsid w:val="0092673E"/>
    <w:rsid w:val="0093257D"/>
    <w:rsid w:val="00932876"/>
    <w:rsid w:val="009369B3"/>
    <w:rsid w:val="0093712A"/>
    <w:rsid w:val="009407D1"/>
    <w:rsid w:val="00942450"/>
    <w:rsid w:val="00957C3C"/>
    <w:rsid w:val="00971A26"/>
    <w:rsid w:val="00983229"/>
    <w:rsid w:val="00990A14"/>
    <w:rsid w:val="009A05A7"/>
    <w:rsid w:val="009A18AC"/>
    <w:rsid w:val="009A2208"/>
    <w:rsid w:val="009A38C7"/>
    <w:rsid w:val="009A5822"/>
    <w:rsid w:val="009A6A49"/>
    <w:rsid w:val="009A7B21"/>
    <w:rsid w:val="009B0918"/>
    <w:rsid w:val="009B0F72"/>
    <w:rsid w:val="009B19E0"/>
    <w:rsid w:val="009B2367"/>
    <w:rsid w:val="009B50EF"/>
    <w:rsid w:val="009B5E7C"/>
    <w:rsid w:val="009C009D"/>
    <w:rsid w:val="009C14EF"/>
    <w:rsid w:val="009C3021"/>
    <w:rsid w:val="009C3F50"/>
    <w:rsid w:val="009C7667"/>
    <w:rsid w:val="009D1491"/>
    <w:rsid w:val="009D5EB8"/>
    <w:rsid w:val="009D76F2"/>
    <w:rsid w:val="009E00B4"/>
    <w:rsid w:val="009E218C"/>
    <w:rsid w:val="009E3CE2"/>
    <w:rsid w:val="009E3D5B"/>
    <w:rsid w:val="009E7286"/>
    <w:rsid w:val="009E7D71"/>
    <w:rsid w:val="009F14F0"/>
    <w:rsid w:val="009F69B7"/>
    <w:rsid w:val="009F69DB"/>
    <w:rsid w:val="00A0170A"/>
    <w:rsid w:val="00A05414"/>
    <w:rsid w:val="00A0681F"/>
    <w:rsid w:val="00A07F79"/>
    <w:rsid w:val="00A118F2"/>
    <w:rsid w:val="00A16D7F"/>
    <w:rsid w:val="00A238C1"/>
    <w:rsid w:val="00A352F4"/>
    <w:rsid w:val="00A51B46"/>
    <w:rsid w:val="00A524BD"/>
    <w:rsid w:val="00A53C9F"/>
    <w:rsid w:val="00A54589"/>
    <w:rsid w:val="00A54FAA"/>
    <w:rsid w:val="00A56263"/>
    <w:rsid w:val="00A607C0"/>
    <w:rsid w:val="00A61403"/>
    <w:rsid w:val="00A639BA"/>
    <w:rsid w:val="00A64190"/>
    <w:rsid w:val="00A65BE2"/>
    <w:rsid w:val="00A70ACA"/>
    <w:rsid w:val="00A73127"/>
    <w:rsid w:val="00A7496B"/>
    <w:rsid w:val="00A74986"/>
    <w:rsid w:val="00A767F1"/>
    <w:rsid w:val="00A7765E"/>
    <w:rsid w:val="00A81637"/>
    <w:rsid w:val="00A81D8C"/>
    <w:rsid w:val="00A827E4"/>
    <w:rsid w:val="00A8375E"/>
    <w:rsid w:val="00A84F5E"/>
    <w:rsid w:val="00A85437"/>
    <w:rsid w:val="00A86788"/>
    <w:rsid w:val="00A90512"/>
    <w:rsid w:val="00A91AA9"/>
    <w:rsid w:val="00A91C2B"/>
    <w:rsid w:val="00A929C4"/>
    <w:rsid w:val="00A94189"/>
    <w:rsid w:val="00A957A5"/>
    <w:rsid w:val="00A967F7"/>
    <w:rsid w:val="00AA221C"/>
    <w:rsid w:val="00AB1B16"/>
    <w:rsid w:val="00AB5F11"/>
    <w:rsid w:val="00AB72A1"/>
    <w:rsid w:val="00AC227D"/>
    <w:rsid w:val="00AC5F29"/>
    <w:rsid w:val="00AD25BC"/>
    <w:rsid w:val="00AD76F4"/>
    <w:rsid w:val="00AD786B"/>
    <w:rsid w:val="00AE36C0"/>
    <w:rsid w:val="00AE425D"/>
    <w:rsid w:val="00AF255B"/>
    <w:rsid w:val="00AF3B3E"/>
    <w:rsid w:val="00AF4BB2"/>
    <w:rsid w:val="00AF751A"/>
    <w:rsid w:val="00AF79A7"/>
    <w:rsid w:val="00B0558F"/>
    <w:rsid w:val="00B075ED"/>
    <w:rsid w:val="00B10A07"/>
    <w:rsid w:val="00B124EC"/>
    <w:rsid w:val="00B134A5"/>
    <w:rsid w:val="00B13964"/>
    <w:rsid w:val="00B14A52"/>
    <w:rsid w:val="00B1619B"/>
    <w:rsid w:val="00B1713B"/>
    <w:rsid w:val="00B1736B"/>
    <w:rsid w:val="00B17B02"/>
    <w:rsid w:val="00B21816"/>
    <w:rsid w:val="00B22EF9"/>
    <w:rsid w:val="00B23384"/>
    <w:rsid w:val="00B23B38"/>
    <w:rsid w:val="00B26610"/>
    <w:rsid w:val="00B3190F"/>
    <w:rsid w:val="00B4190F"/>
    <w:rsid w:val="00B41EEE"/>
    <w:rsid w:val="00B43E05"/>
    <w:rsid w:val="00B451F4"/>
    <w:rsid w:val="00B529A5"/>
    <w:rsid w:val="00B553DF"/>
    <w:rsid w:val="00B55ACB"/>
    <w:rsid w:val="00B55CDE"/>
    <w:rsid w:val="00B57D68"/>
    <w:rsid w:val="00B60DB7"/>
    <w:rsid w:val="00B66BBD"/>
    <w:rsid w:val="00B747DC"/>
    <w:rsid w:val="00B7530D"/>
    <w:rsid w:val="00B7591B"/>
    <w:rsid w:val="00B7675E"/>
    <w:rsid w:val="00B808D1"/>
    <w:rsid w:val="00B81275"/>
    <w:rsid w:val="00B82BEC"/>
    <w:rsid w:val="00B85989"/>
    <w:rsid w:val="00BA0F80"/>
    <w:rsid w:val="00BA1943"/>
    <w:rsid w:val="00BB038E"/>
    <w:rsid w:val="00BB1CA0"/>
    <w:rsid w:val="00BB2B14"/>
    <w:rsid w:val="00BC05B1"/>
    <w:rsid w:val="00BC08F8"/>
    <w:rsid w:val="00BC181C"/>
    <w:rsid w:val="00BC42AB"/>
    <w:rsid w:val="00BC4CA5"/>
    <w:rsid w:val="00BC6C01"/>
    <w:rsid w:val="00BD21C6"/>
    <w:rsid w:val="00BD27CE"/>
    <w:rsid w:val="00BD34B1"/>
    <w:rsid w:val="00BE0D52"/>
    <w:rsid w:val="00BE2D6B"/>
    <w:rsid w:val="00BE37D3"/>
    <w:rsid w:val="00BF1A4B"/>
    <w:rsid w:val="00BF348C"/>
    <w:rsid w:val="00BF557D"/>
    <w:rsid w:val="00BF694B"/>
    <w:rsid w:val="00BF712F"/>
    <w:rsid w:val="00C05941"/>
    <w:rsid w:val="00C075FF"/>
    <w:rsid w:val="00C07C92"/>
    <w:rsid w:val="00C13DEB"/>
    <w:rsid w:val="00C17DEA"/>
    <w:rsid w:val="00C20211"/>
    <w:rsid w:val="00C2442D"/>
    <w:rsid w:val="00C247BB"/>
    <w:rsid w:val="00C27E64"/>
    <w:rsid w:val="00C35E54"/>
    <w:rsid w:val="00C36095"/>
    <w:rsid w:val="00C37206"/>
    <w:rsid w:val="00C4043C"/>
    <w:rsid w:val="00C4339C"/>
    <w:rsid w:val="00C44F48"/>
    <w:rsid w:val="00C45E72"/>
    <w:rsid w:val="00C46CA7"/>
    <w:rsid w:val="00C46EE6"/>
    <w:rsid w:val="00C52B5F"/>
    <w:rsid w:val="00C61FEC"/>
    <w:rsid w:val="00C654C6"/>
    <w:rsid w:val="00C66C8A"/>
    <w:rsid w:val="00C72523"/>
    <w:rsid w:val="00C726D9"/>
    <w:rsid w:val="00C73349"/>
    <w:rsid w:val="00C7442B"/>
    <w:rsid w:val="00C85E32"/>
    <w:rsid w:val="00C86D76"/>
    <w:rsid w:val="00C9406F"/>
    <w:rsid w:val="00C9423A"/>
    <w:rsid w:val="00CA11BF"/>
    <w:rsid w:val="00CA5E6A"/>
    <w:rsid w:val="00CA6148"/>
    <w:rsid w:val="00CA72CE"/>
    <w:rsid w:val="00CB0EE7"/>
    <w:rsid w:val="00CB237B"/>
    <w:rsid w:val="00CB2BBA"/>
    <w:rsid w:val="00CC3F71"/>
    <w:rsid w:val="00CD24DD"/>
    <w:rsid w:val="00CD3E81"/>
    <w:rsid w:val="00CD75E2"/>
    <w:rsid w:val="00CE1B22"/>
    <w:rsid w:val="00CE34B7"/>
    <w:rsid w:val="00CE483C"/>
    <w:rsid w:val="00CE6230"/>
    <w:rsid w:val="00CE707C"/>
    <w:rsid w:val="00CF2AAA"/>
    <w:rsid w:val="00CF7FB5"/>
    <w:rsid w:val="00D119FC"/>
    <w:rsid w:val="00D13E83"/>
    <w:rsid w:val="00D15F4D"/>
    <w:rsid w:val="00D16368"/>
    <w:rsid w:val="00D202F5"/>
    <w:rsid w:val="00D2220D"/>
    <w:rsid w:val="00D27296"/>
    <w:rsid w:val="00D339B3"/>
    <w:rsid w:val="00D45FA4"/>
    <w:rsid w:val="00D46325"/>
    <w:rsid w:val="00D51265"/>
    <w:rsid w:val="00D519A6"/>
    <w:rsid w:val="00D51E24"/>
    <w:rsid w:val="00D532B1"/>
    <w:rsid w:val="00D54332"/>
    <w:rsid w:val="00D55576"/>
    <w:rsid w:val="00D57B54"/>
    <w:rsid w:val="00D602D1"/>
    <w:rsid w:val="00D65E31"/>
    <w:rsid w:val="00D739E0"/>
    <w:rsid w:val="00D747A1"/>
    <w:rsid w:val="00D77B57"/>
    <w:rsid w:val="00D803C0"/>
    <w:rsid w:val="00D837A1"/>
    <w:rsid w:val="00D83E35"/>
    <w:rsid w:val="00D8434C"/>
    <w:rsid w:val="00D84E46"/>
    <w:rsid w:val="00D85380"/>
    <w:rsid w:val="00D8590A"/>
    <w:rsid w:val="00D900B2"/>
    <w:rsid w:val="00D932B4"/>
    <w:rsid w:val="00D94354"/>
    <w:rsid w:val="00D95FFB"/>
    <w:rsid w:val="00D96195"/>
    <w:rsid w:val="00DA1818"/>
    <w:rsid w:val="00DA35D6"/>
    <w:rsid w:val="00DB0150"/>
    <w:rsid w:val="00DB0347"/>
    <w:rsid w:val="00DB0661"/>
    <w:rsid w:val="00DB1A65"/>
    <w:rsid w:val="00DB440C"/>
    <w:rsid w:val="00DB4944"/>
    <w:rsid w:val="00DC1F5F"/>
    <w:rsid w:val="00DC3BCD"/>
    <w:rsid w:val="00DC3C06"/>
    <w:rsid w:val="00DC5A19"/>
    <w:rsid w:val="00DC7FC7"/>
    <w:rsid w:val="00DD1518"/>
    <w:rsid w:val="00DD6B3F"/>
    <w:rsid w:val="00DF40C9"/>
    <w:rsid w:val="00E03A2E"/>
    <w:rsid w:val="00E13802"/>
    <w:rsid w:val="00E149A4"/>
    <w:rsid w:val="00E17CDE"/>
    <w:rsid w:val="00E17F01"/>
    <w:rsid w:val="00E2112B"/>
    <w:rsid w:val="00E24665"/>
    <w:rsid w:val="00E25631"/>
    <w:rsid w:val="00E2635B"/>
    <w:rsid w:val="00E2681C"/>
    <w:rsid w:val="00E32A07"/>
    <w:rsid w:val="00E34C7B"/>
    <w:rsid w:val="00E35884"/>
    <w:rsid w:val="00E402B6"/>
    <w:rsid w:val="00E40824"/>
    <w:rsid w:val="00E41E17"/>
    <w:rsid w:val="00E4761C"/>
    <w:rsid w:val="00E537D5"/>
    <w:rsid w:val="00E5757B"/>
    <w:rsid w:val="00E600E5"/>
    <w:rsid w:val="00E60554"/>
    <w:rsid w:val="00E62D2A"/>
    <w:rsid w:val="00E640F6"/>
    <w:rsid w:val="00E64B9C"/>
    <w:rsid w:val="00E65A41"/>
    <w:rsid w:val="00E66331"/>
    <w:rsid w:val="00E7212A"/>
    <w:rsid w:val="00E75B13"/>
    <w:rsid w:val="00E76F00"/>
    <w:rsid w:val="00E771DA"/>
    <w:rsid w:val="00E77598"/>
    <w:rsid w:val="00E81F39"/>
    <w:rsid w:val="00E84814"/>
    <w:rsid w:val="00E86985"/>
    <w:rsid w:val="00E87827"/>
    <w:rsid w:val="00E90071"/>
    <w:rsid w:val="00E9057B"/>
    <w:rsid w:val="00EA0CB4"/>
    <w:rsid w:val="00EA4085"/>
    <w:rsid w:val="00EA6BFE"/>
    <w:rsid w:val="00EA7626"/>
    <w:rsid w:val="00EA7C30"/>
    <w:rsid w:val="00EB1803"/>
    <w:rsid w:val="00EB3FFF"/>
    <w:rsid w:val="00EB68CF"/>
    <w:rsid w:val="00EC0026"/>
    <w:rsid w:val="00EC0321"/>
    <w:rsid w:val="00EC03FA"/>
    <w:rsid w:val="00EC4DE1"/>
    <w:rsid w:val="00EC50EB"/>
    <w:rsid w:val="00EC59E2"/>
    <w:rsid w:val="00EC76D6"/>
    <w:rsid w:val="00ED2E31"/>
    <w:rsid w:val="00EE2843"/>
    <w:rsid w:val="00EE4238"/>
    <w:rsid w:val="00EE57F5"/>
    <w:rsid w:val="00EE704E"/>
    <w:rsid w:val="00EF2F88"/>
    <w:rsid w:val="00EF309C"/>
    <w:rsid w:val="00EF4452"/>
    <w:rsid w:val="00F04534"/>
    <w:rsid w:val="00F0679B"/>
    <w:rsid w:val="00F07217"/>
    <w:rsid w:val="00F07935"/>
    <w:rsid w:val="00F111B1"/>
    <w:rsid w:val="00F20A25"/>
    <w:rsid w:val="00F2162B"/>
    <w:rsid w:val="00F21810"/>
    <w:rsid w:val="00F257D7"/>
    <w:rsid w:val="00F32353"/>
    <w:rsid w:val="00F36812"/>
    <w:rsid w:val="00F36D55"/>
    <w:rsid w:val="00F422CD"/>
    <w:rsid w:val="00F43765"/>
    <w:rsid w:val="00F52B25"/>
    <w:rsid w:val="00F5393B"/>
    <w:rsid w:val="00F5620F"/>
    <w:rsid w:val="00F56D9C"/>
    <w:rsid w:val="00F86FE1"/>
    <w:rsid w:val="00F87910"/>
    <w:rsid w:val="00F87B2C"/>
    <w:rsid w:val="00F9051E"/>
    <w:rsid w:val="00F94014"/>
    <w:rsid w:val="00F962F0"/>
    <w:rsid w:val="00F97C47"/>
    <w:rsid w:val="00FA0BFE"/>
    <w:rsid w:val="00FA3E0F"/>
    <w:rsid w:val="00FA4B8C"/>
    <w:rsid w:val="00FA54E9"/>
    <w:rsid w:val="00FB0BE6"/>
    <w:rsid w:val="00FB53B0"/>
    <w:rsid w:val="00FD160C"/>
    <w:rsid w:val="00FD4E12"/>
    <w:rsid w:val="00FD683A"/>
    <w:rsid w:val="00FD6F15"/>
    <w:rsid w:val="00FD768A"/>
    <w:rsid w:val="00FE13D9"/>
    <w:rsid w:val="00FE2AE2"/>
    <w:rsid w:val="00FE64A3"/>
    <w:rsid w:val="00FE797B"/>
    <w:rsid w:val="00FF63BC"/>
    <w:rsid w:val="00FF6E47"/>
    <w:rsid w:val="00FF74C5"/>
    <w:rsid w:val="00FF7E8D"/>
    <w:rsid w:val="02924A37"/>
    <w:rsid w:val="02FA25DD"/>
    <w:rsid w:val="033A1616"/>
    <w:rsid w:val="03526FF0"/>
    <w:rsid w:val="037E3236"/>
    <w:rsid w:val="0397607D"/>
    <w:rsid w:val="03A577A4"/>
    <w:rsid w:val="03A86A9E"/>
    <w:rsid w:val="041D7264"/>
    <w:rsid w:val="049A5E25"/>
    <w:rsid w:val="04E82C9C"/>
    <w:rsid w:val="04ED45D8"/>
    <w:rsid w:val="0500346F"/>
    <w:rsid w:val="053929B5"/>
    <w:rsid w:val="05AD4EF2"/>
    <w:rsid w:val="05C44B18"/>
    <w:rsid w:val="0678590F"/>
    <w:rsid w:val="07195ECA"/>
    <w:rsid w:val="077E37DC"/>
    <w:rsid w:val="07B82872"/>
    <w:rsid w:val="07E613F1"/>
    <w:rsid w:val="07EC1AF5"/>
    <w:rsid w:val="089E5849"/>
    <w:rsid w:val="09041C83"/>
    <w:rsid w:val="094915D4"/>
    <w:rsid w:val="09862E1C"/>
    <w:rsid w:val="09886B94"/>
    <w:rsid w:val="09EE0622"/>
    <w:rsid w:val="0A0B5C14"/>
    <w:rsid w:val="0A340565"/>
    <w:rsid w:val="0A3D797F"/>
    <w:rsid w:val="0A4A4568"/>
    <w:rsid w:val="0A924BE1"/>
    <w:rsid w:val="0A9F2CFA"/>
    <w:rsid w:val="0AFC2F9B"/>
    <w:rsid w:val="0AFE11A2"/>
    <w:rsid w:val="0BAB36DE"/>
    <w:rsid w:val="0BC0479B"/>
    <w:rsid w:val="0C0E662E"/>
    <w:rsid w:val="0C181B9D"/>
    <w:rsid w:val="0CA8286A"/>
    <w:rsid w:val="0CDB437F"/>
    <w:rsid w:val="0CFB4758"/>
    <w:rsid w:val="0DA169BD"/>
    <w:rsid w:val="0DE20801"/>
    <w:rsid w:val="0E63372C"/>
    <w:rsid w:val="0E691549"/>
    <w:rsid w:val="0EA255CB"/>
    <w:rsid w:val="0EBC4C34"/>
    <w:rsid w:val="0F44530B"/>
    <w:rsid w:val="0FB844A7"/>
    <w:rsid w:val="0FB94D4C"/>
    <w:rsid w:val="103E13F8"/>
    <w:rsid w:val="10681FBE"/>
    <w:rsid w:val="10AF0EAA"/>
    <w:rsid w:val="111B43D4"/>
    <w:rsid w:val="1137196F"/>
    <w:rsid w:val="119B31BD"/>
    <w:rsid w:val="11D36A11"/>
    <w:rsid w:val="122A48D9"/>
    <w:rsid w:val="12C64289"/>
    <w:rsid w:val="130C3267"/>
    <w:rsid w:val="13B96F5A"/>
    <w:rsid w:val="13C5537D"/>
    <w:rsid w:val="13F46F0F"/>
    <w:rsid w:val="14290F74"/>
    <w:rsid w:val="14972381"/>
    <w:rsid w:val="14A113D4"/>
    <w:rsid w:val="14C8253B"/>
    <w:rsid w:val="14F237A6"/>
    <w:rsid w:val="150F08E2"/>
    <w:rsid w:val="15233C15"/>
    <w:rsid w:val="16334C3D"/>
    <w:rsid w:val="16484B30"/>
    <w:rsid w:val="16BE21FD"/>
    <w:rsid w:val="17063ABB"/>
    <w:rsid w:val="18095344"/>
    <w:rsid w:val="183476B3"/>
    <w:rsid w:val="18372F56"/>
    <w:rsid w:val="18AE651B"/>
    <w:rsid w:val="18C728B9"/>
    <w:rsid w:val="18F338FE"/>
    <w:rsid w:val="196640D0"/>
    <w:rsid w:val="1998697F"/>
    <w:rsid w:val="1A230AFD"/>
    <w:rsid w:val="1A325080"/>
    <w:rsid w:val="1A381F10"/>
    <w:rsid w:val="1AAB787A"/>
    <w:rsid w:val="1AEB5D31"/>
    <w:rsid w:val="1B2C0100"/>
    <w:rsid w:val="1B7242D8"/>
    <w:rsid w:val="1BC37264"/>
    <w:rsid w:val="1BD00AC6"/>
    <w:rsid w:val="1C554E87"/>
    <w:rsid w:val="1C8A3C88"/>
    <w:rsid w:val="1CA85E70"/>
    <w:rsid w:val="1CBD66FD"/>
    <w:rsid w:val="1CCE26B8"/>
    <w:rsid w:val="1CE343B6"/>
    <w:rsid w:val="1D100A6F"/>
    <w:rsid w:val="1D226F93"/>
    <w:rsid w:val="1D6D705D"/>
    <w:rsid w:val="1D791FC7"/>
    <w:rsid w:val="1DA446C0"/>
    <w:rsid w:val="1DC84462"/>
    <w:rsid w:val="1ECC2D88"/>
    <w:rsid w:val="1ED700E3"/>
    <w:rsid w:val="1EEE72FB"/>
    <w:rsid w:val="1EFA59E6"/>
    <w:rsid w:val="1F833C25"/>
    <w:rsid w:val="1FFF38A4"/>
    <w:rsid w:val="20290794"/>
    <w:rsid w:val="207F0979"/>
    <w:rsid w:val="21797A0B"/>
    <w:rsid w:val="22130F72"/>
    <w:rsid w:val="224425AB"/>
    <w:rsid w:val="22EF3CB5"/>
    <w:rsid w:val="2307253F"/>
    <w:rsid w:val="231B417D"/>
    <w:rsid w:val="23211183"/>
    <w:rsid w:val="23316262"/>
    <w:rsid w:val="23951F9A"/>
    <w:rsid w:val="24726997"/>
    <w:rsid w:val="24A56195"/>
    <w:rsid w:val="24F66C50"/>
    <w:rsid w:val="251F61A7"/>
    <w:rsid w:val="25767CFD"/>
    <w:rsid w:val="259C6C86"/>
    <w:rsid w:val="25B222C3"/>
    <w:rsid w:val="26356818"/>
    <w:rsid w:val="26874498"/>
    <w:rsid w:val="276A13D8"/>
    <w:rsid w:val="27924D5D"/>
    <w:rsid w:val="27B46834"/>
    <w:rsid w:val="27BB1865"/>
    <w:rsid w:val="27C656A0"/>
    <w:rsid w:val="27DD5EA5"/>
    <w:rsid w:val="288E3E27"/>
    <w:rsid w:val="28A05455"/>
    <w:rsid w:val="290E526E"/>
    <w:rsid w:val="29244E19"/>
    <w:rsid w:val="298011DE"/>
    <w:rsid w:val="2990435B"/>
    <w:rsid w:val="2A3F5387"/>
    <w:rsid w:val="2ADE0EA8"/>
    <w:rsid w:val="2AEF7489"/>
    <w:rsid w:val="2B2A3612"/>
    <w:rsid w:val="2B714350"/>
    <w:rsid w:val="2BD114A3"/>
    <w:rsid w:val="2C087B1F"/>
    <w:rsid w:val="2C5A5D16"/>
    <w:rsid w:val="2C9E3193"/>
    <w:rsid w:val="2CE850D0"/>
    <w:rsid w:val="2D067C4C"/>
    <w:rsid w:val="2DF14DE3"/>
    <w:rsid w:val="2E3C1B78"/>
    <w:rsid w:val="2F0C6DED"/>
    <w:rsid w:val="2F1A79DF"/>
    <w:rsid w:val="2F420C9F"/>
    <w:rsid w:val="2F723377"/>
    <w:rsid w:val="30335598"/>
    <w:rsid w:val="30931EA9"/>
    <w:rsid w:val="30AB657E"/>
    <w:rsid w:val="30D37664"/>
    <w:rsid w:val="31601448"/>
    <w:rsid w:val="316B17B7"/>
    <w:rsid w:val="319516E9"/>
    <w:rsid w:val="323B6354"/>
    <w:rsid w:val="32672F3B"/>
    <w:rsid w:val="32782E35"/>
    <w:rsid w:val="32862C75"/>
    <w:rsid w:val="32BD0BBD"/>
    <w:rsid w:val="32C97CED"/>
    <w:rsid w:val="32E04C61"/>
    <w:rsid w:val="33254024"/>
    <w:rsid w:val="33AD7074"/>
    <w:rsid w:val="341265CF"/>
    <w:rsid w:val="344059EB"/>
    <w:rsid w:val="348524E3"/>
    <w:rsid w:val="350B3765"/>
    <w:rsid w:val="35463F61"/>
    <w:rsid w:val="35473734"/>
    <w:rsid w:val="35A46254"/>
    <w:rsid w:val="35AB4FD6"/>
    <w:rsid w:val="36C9706B"/>
    <w:rsid w:val="36EE511D"/>
    <w:rsid w:val="375F0685"/>
    <w:rsid w:val="3820052D"/>
    <w:rsid w:val="39113D88"/>
    <w:rsid w:val="3950297B"/>
    <w:rsid w:val="396F1ABF"/>
    <w:rsid w:val="3A2573C8"/>
    <w:rsid w:val="3A2A103B"/>
    <w:rsid w:val="3A311E68"/>
    <w:rsid w:val="3A421CCB"/>
    <w:rsid w:val="3AB038AE"/>
    <w:rsid w:val="3ADD1FEC"/>
    <w:rsid w:val="3B555B75"/>
    <w:rsid w:val="3BD5220B"/>
    <w:rsid w:val="3BDF4AF9"/>
    <w:rsid w:val="3BFD4725"/>
    <w:rsid w:val="3C795D45"/>
    <w:rsid w:val="3C7B03BC"/>
    <w:rsid w:val="3C9D33C4"/>
    <w:rsid w:val="3CAB74BC"/>
    <w:rsid w:val="3D151421"/>
    <w:rsid w:val="3D3D4FC4"/>
    <w:rsid w:val="3DFA69D3"/>
    <w:rsid w:val="3E3C527C"/>
    <w:rsid w:val="3E5B07C5"/>
    <w:rsid w:val="3EE75180"/>
    <w:rsid w:val="3F043EA7"/>
    <w:rsid w:val="3F3423F7"/>
    <w:rsid w:val="40186EA2"/>
    <w:rsid w:val="403A456C"/>
    <w:rsid w:val="404902EB"/>
    <w:rsid w:val="404C4183"/>
    <w:rsid w:val="40675975"/>
    <w:rsid w:val="409E0F64"/>
    <w:rsid w:val="40CA11FB"/>
    <w:rsid w:val="41044A79"/>
    <w:rsid w:val="412057F8"/>
    <w:rsid w:val="41AD0865"/>
    <w:rsid w:val="42741BB3"/>
    <w:rsid w:val="429F152D"/>
    <w:rsid w:val="42CD6B93"/>
    <w:rsid w:val="43231EF6"/>
    <w:rsid w:val="43B960EF"/>
    <w:rsid w:val="445929A4"/>
    <w:rsid w:val="44851570"/>
    <w:rsid w:val="448E5B64"/>
    <w:rsid w:val="449D4B3E"/>
    <w:rsid w:val="44AB6CB7"/>
    <w:rsid w:val="44AF64D0"/>
    <w:rsid w:val="44E36CE6"/>
    <w:rsid w:val="44E67104"/>
    <w:rsid w:val="460E4E19"/>
    <w:rsid w:val="46151443"/>
    <w:rsid w:val="462002DB"/>
    <w:rsid w:val="46250CEB"/>
    <w:rsid w:val="463A3C21"/>
    <w:rsid w:val="46C93636"/>
    <w:rsid w:val="46F834EA"/>
    <w:rsid w:val="4701559B"/>
    <w:rsid w:val="470E2BA9"/>
    <w:rsid w:val="473C4631"/>
    <w:rsid w:val="475C122B"/>
    <w:rsid w:val="47855D2A"/>
    <w:rsid w:val="47BA2650"/>
    <w:rsid w:val="47FB61A8"/>
    <w:rsid w:val="481728B6"/>
    <w:rsid w:val="48580F04"/>
    <w:rsid w:val="488229EF"/>
    <w:rsid w:val="48897310"/>
    <w:rsid w:val="488A05C8"/>
    <w:rsid w:val="488E2174"/>
    <w:rsid w:val="48D064FB"/>
    <w:rsid w:val="48D6775D"/>
    <w:rsid w:val="4918195D"/>
    <w:rsid w:val="495E079C"/>
    <w:rsid w:val="49A0544C"/>
    <w:rsid w:val="49AD632F"/>
    <w:rsid w:val="49B60A9B"/>
    <w:rsid w:val="49CE3BCD"/>
    <w:rsid w:val="4A153C68"/>
    <w:rsid w:val="4A4A6FA9"/>
    <w:rsid w:val="4BD77AD7"/>
    <w:rsid w:val="4C4A483A"/>
    <w:rsid w:val="4C536A53"/>
    <w:rsid w:val="4CFB5C25"/>
    <w:rsid w:val="4D1222BB"/>
    <w:rsid w:val="4DD15237"/>
    <w:rsid w:val="4DE42AAC"/>
    <w:rsid w:val="4E6D04F9"/>
    <w:rsid w:val="4F183094"/>
    <w:rsid w:val="4F722878"/>
    <w:rsid w:val="4FCC2C2D"/>
    <w:rsid w:val="500B6BCB"/>
    <w:rsid w:val="501470CB"/>
    <w:rsid w:val="50BE4216"/>
    <w:rsid w:val="50C16BE0"/>
    <w:rsid w:val="50F331E6"/>
    <w:rsid w:val="51051E45"/>
    <w:rsid w:val="51BE3DD3"/>
    <w:rsid w:val="51F71B82"/>
    <w:rsid w:val="52265A2D"/>
    <w:rsid w:val="527511E9"/>
    <w:rsid w:val="5285431F"/>
    <w:rsid w:val="52C65525"/>
    <w:rsid w:val="52D17AAA"/>
    <w:rsid w:val="532A710F"/>
    <w:rsid w:val="53784868"/>
    <w:rsid w:val="5438696F"/>
    <w:rsid w:val="543C04A5"/>
    <w:rsid w:val="546F3D71"/>
    <w:rsid w:val="54AD25D8"/>
    <w:rsid w:val="54DF0EA0"/>
    <w:rsid w:val="54FC00AD"/>
    <w:rsid w:val="55297546"/>
    <w:rsid w:val="55717AA9"/>
    <w:rsid w:val="55AB2C5B"/>
    <w:rsid w:val="55C55079"/>
    <w:rsid w:val="55CE5F9A"/>
    <w:rsid w:val="56315EDD"/>
    <w:rsid w:val="565A0377"/>
    <w:rsid w:val="56DC2D97"/>
    <w:rsid w:val="57C11113"/>
    <w:rsid w:val="57DD74D0"/>
    <w:rsid w:val="5803002F"/>
    <w:rsid w:val="581C3232"/>
    <w:rsid w:val="58592DE4"/>
    <w:rsid w:val="5875340D"/>
    <w:rsid w:val="58A551AC"/>
    <w:rsid w:val="58C36A87"/>
    <w:rsid w:val="58E530DB"/>
    <w:rsid w:val="58F06F37"/>
    <w:rsid w:val="590C03F7"/>
    <w:rsid w:val="59396D9C"/>
    <w:rsid w:val="59763CB1"/>
    <w:rsid w:val="59B420D3"/>
    <w:rsid w:val="59F17D8B"/>
    <w:rsid w:val="5AC21EA4"/>
    <w:rsid w:val="5AD56EF1"/>
    <w:rsid w:val="5AF54AC1"/>
    <w:rsid w:val="5B724557"/>
    <w:rsid w:val="5B910F0D"/>
    <w:rsid w:val="5BCB1735"/>
    <w:rsid w:val="5BEF6A56"/>
    <w:rsid w:val="5C571CC9"/>
    <w:rsid w:val="5D0336DD"/>
    <w:rsid w:val="5D3715D8"/>
    <w:rsid w:val="5D3A6F1C"/>
    <w:rsid w:val="5D442611"/>
    <w:rsid w:val="5D4E247E"/>
    <w:rsid w:val="5DB83657"/>
    <w:rsid w:val="5E383082"/>
    <w:rsid w:val="5E471B91"/>
    <w:rsid w:val="5EBF56C6"/>
    <w:rsid w:val="5EC32DE9"/>
    <w:rsid w:val="5F9942DD"/>
    <w:rsid w:val="5FB03595"/>
    <w:rsid w:val="601164E2"/>
    <w:rsid w:val="60F46607"/>
    <w:rsid w:val="610B3E84"/>
    <w:rsid w:val="611F660B"/>
    <w:rsid w:val="61D01B44"/>
    <w:rsid w:val="62157A0E"/>
    <w:rsid w:val="6228257D"/>
    <w:rsid w:val="6238409D"/>
    <w:rsid w:val="625837F3"/>
    <w:rsid w:val="6310006A"/>
    <w:rsid w:val="639F12C9"/>
    <w:rsid w:val="63C97620"/>
    <w:rsid w:val="63D26728"/>
    <w:rsid w:val="64112D99"/>
    <w:rsid w:val="6429222A"/>
    <w:rsid w:val="648C1A36"/>
    <w:rsid w:val="658953C4"/>
    <w:rsid w:val="65B240CB"/>
    <w:rsid w:val="65B60835"/>
    <w:rsid w:val="65DD5AE4"/>
    <w:rsid w:val="66264AE6"/>
    <w:rsid w:val="667E2026"/>
    <w:rsid w:val="6770630F"/>
    <w:rsid w:val="679D472E"/>
    <w:rsid w:val="67AE2AF9"/>
    <w:rsid w:val="67E70414"/>
    <w:rsid w:val="67F56318"/>
    <w:rsid w:val="68044EBD"/>
    <w:rsid w:val="681E586F"/>
    <w:rsid w:val="685F33C3"/>
    <w:rsid w:val="6B0667F7"/>
    <w:rsid w:val="6B273031"/>
    <w:rsid w:val="6B590E32"/>
    <w:rsid w:val="6B965DA3"/>
    <w:rsid w:val="6BE20961"/>
    <w:rsid w:val="6C0511C8"/>
    <w:rsid w:val="6CC54701"/>
    <w:rsid w:val="6D816B3D"/>
    <w:rsid w:val="6DBA3E6C"/>
    <w:rsid w:val="6DC123FD"/>
    <w:rsid w:val="6E810905"/>
    <w:rsid w:val="6F2D5DA6"/>
    <w:rsid w:val="700327CD"/>
    <w:rsid w:val="7003548B"/>
    <w:rsid w:val="71CA7B0C"/>
    <w:rsid w:val="71EA45A6"/>
    <w:rsid w:val="71FF4C0B"/>
    <w:rsid w:val="72084E9A"/>
    <w:rsid w:val="720B1A34"/>
    <w:rsid w:val="72147446"/>
    <w:rsid w:val="722912E3"/>
    <w:rsid w:val="7235236B"/>
    <w:rsid w:val="724E5D41"/>
    <w:rsid w:val="72EA78BF"/>
    <w:rsid w:val="735C2DD8"/>
    <w:rsid w:val="7380420F"/>
    <w:rsid w:val="738844E4"/>
    <w:rsid w:val="739E367D"/>
    <w:rsid w:val="73BD7A38"/>
    <w:rsid w:val="7417424E"/>
    <w:rsid w:val="741D2E7E"/>
    <w:rsid w:val="742C0A9C"/>
    <w:rsid w:val="744877CF"/>
    <w:rsid w:val="751A7045"/>
    <w:rsid w:val="75CD4C26"/>
    <w:rsid w:val="76393874"/>
    <w:rsid w:val="76524305"/>
    <w:rsid w:val="7685639C"/>
    <w:rsid w:val="76BB78EC"/>
    <w:rsid w:val="770B62E0"/>
    <w:rsid w:val="77B66250"/>
    <w:rsid w:val="77BB3FEF"/>
    <w:rsid w:val="77F07026"/>
    <w:rsid w:val="781B7178"/>
    <w:rsid w:val="785C51E3"/>
    <w:rsid w:val="787575C8"/>
    <w:rsid w:val="787C7813"/>
    <w:rsid w:val="79A2416C"/>
    <w:rsid w:val="7A09405F"/>
    <w:rsid w:val="7A7B357D"/>
    <w:rsid w:val="7A814AB1"/>
    <w:rsid w:val="7A814B17"/>
    <w:rsid w:val="7B0D063C"/>
    <w:rsid w:val="7B94423F"/>
    <w:rsid w:val="7BA9149B"/>
    <w:rsid w:val="7C18217D"/>
    <w:rsid w:val="7C193313"/>
    <w:rsid w:val="7C2F5D5A"/>
    <w:rsid w:val="7C6D24C9"/>
    <w:rsid w:val="7C800B4B"/>
    <w:rsid w:val="7C9B2F1D"/>
    <w:rsid w:val="7CA75D5F"/>
    <w:rsid w:val="7D1B0AC0"/>
    <w:rsid w:val="7D38230A"/>
    <w:rsid w:val="7D3D57C8"/>
    <w:rsid w:val="7D3E513F"/>
    <w:rsid w:val="7D9E3A79"/>
    <w:rsid w:val="7E1575E3"/>
    <w:rsid w:val="7E2D1C02"/>
    <w:rsid w:val="7F1470A5"/>
    <w:rsid w:val="7F3074F1"/>
    <w:rsid w:val="7F435ECB"/>
    <w:rsid w:val="7F646535"/>
    <w:rsid w:val="7F6F0306"/>
    <w:rsid w:val="7FB90C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semiHidden="0"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2"/>
      <w:lang w:val="en-US" w:eastAsia="zh-CN" w:bidi="ar-SA"/>
    </w:rPr>
  </w:style>
  <w:style w:type="character" w:default="1" w:styleId="11">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List Number 2"/>
    <w:basedOn w:val="1"/>
    <w:unhideWhenUsed/>
    <w:uiPriority w:val="99"/>
    <w:pPr>
      <w:numPr>
        <w:ilvl w:val="0"/>
        <w:numId w:val="1"/>
      </w:numPr>
    </w:pPr>
  </w:style>
  <w:style w:type="paragraph" w:styleId="3">
    <w:name w:val="Body Text"/>
    <w:basedOn w:val="1"/>
    <w:link w:val="12"/>
    <w:uiPriority w:val="0"/>
    <w:rPr>
      <w:rFonts w:ascii="Times New Roman" w:hAnsi="Times New Roman"/>
      <w:sz w:val="28"/>
      <w:szCs w:val="24"/>
    </w:rPr>
  </w:style>
  <w:style w:type="paragraph" w:styleId="4">
    <w:name w:val="Body Text Indent"/>
    <w:basedOn w:val="1"/>
    <w:link w:val="13"/>
    <w:unhideWhenUsed/>
    <w:qFormat/>
    <w:uiPriority w:val="99"/>
    <w:pPr>
      <w:spacing w:after="120"/>
      <w:ind w:left="420" w:leftChars="200"/>
    </w:pPr>
  </w:style>
  <w:style w:type="paragraph" w:styleId="5">
    <w:name w:val="Plain Text"/>
    <w:basedOn w:val="1"/>
    <w:link w:val="14"/>
    <w:unhideWhenUsed/>
    <w:qFormat/>
    <w:uiPriority w:val="99"/>
    <w:rPr>
      <w:rFonts w:ascii="宋体" w:hAnsi="Courier New"/>
      <w:szCs w:val="21"/>
    </w:rPr>
  </w:style>
  <w:style w:type="paragraph" w:styleId="6">
    <w:name w:val="footer"/>
    <w:basedOn w:val="1"/>
    <w:link w:val="15"/>
    <w:unhideWhenUsed/>
    <w:qFormat/>
    <w:uiPriority w:val="99"/>
    <w:pPr>
      <w:tabs>
        <w:tab w:val="center" w:pos="4153"/>
        <w:tab w:val="right" w:pos="8306"/>
      </w:tabs>
      <w:snapToGrid w:val="0"/>
      <w:jc w:val="left"/>
    </w:pPr>
    <w:rPr>
      <w:sz w:val="18"/>
      <w:szCs w:val="18"/>
    </w:rPr>
  </w:style>
  <w:style w:type="paragraph" w:styleId="7">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rPr>
      <w:sz w:val="24"/>
    </w:rPr>
  </w:style>
  <w:style w:type="table" w:styleId="10">
    <w:name w:val="Table Grid"/>
    <w:basedOn w:val="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2">
    <w:name w:val="正文文本 Char"/>
    <w:link w:val="3"/>
    <w:qFormat/>
    <w:uiPriority w:val="0"/>
    <w:rPr>
      <w:rFonts w:ascii="Times New Roman" w:hAnsi="Times New Roman"/>
      <w:kern w:val="2"/>
      <w:sz w:val="28"/>
      <w:szCs w:val="24"/>
    </w:rPr>
  </w:style>
  <w:style w:type="character" w:customStyle="1" w:styleId="13">
    <w:name w:val="正文文本缩进 Char"/>
    <w:link w:val="4"/>
    <w:qFormat/>
    <w:uiPriority w:val="99"/>
    <w:rPr>
      <w:kern w:val="2"/>
      <w:sz w:val="21"/>
      <w:szCs w:val="22"/>
    </w:rPr>
  </w:style>
  <w:style w:type="character" w:customStyle="1" w:styleId="14">
    <w:name w:val="纯文本 Char"/>
    <w:link w:val="5"/>
    <w:qFormat/>
    <w:uiPriority w:val="99"/>
    <w:rPr>
      <w:rFonts w:ascii="宋体" w:hAnsi="Courier New" w:cs="Courier New"/>
      <w:kern w:val="2"/>
      <w:sz w:val="21"/>
      <w:szCs w:val="21"/>
    </w:rPr>
  </w:style>
  <w:style w:type="character" w:customStyle="1" w:styleId="15">
    <w:name w:val="页脚 Char"/>
    <w:link w:val="6"/>
    <w:qFormat/>
    <w:uiPriority w:val="99"/>
    <w:rPr>
      <w:kern w:val="2"/>
      <w:sz w:val="18"/>
      <w:szCs w:val="18"/>
    </w:rPr>
  </w:style>
  <w:style w:type="character" w:customStyle="1" w:styleId="16">
    <w:name w:val="页眉 Char"/>
    <w:link w:val="7"/>
    <w:qFormat/>
    <w:uiPriority w:val="99"/>
    <w:rPr>
      <w:kern w:val="2"/>
      <w:sz w:val="18"/>
      <w:szCs w:val="18"/>
    </w:rPr>
  </w:style>
  <w:style w:type="paragraph" w:styleId="17">
    <w:name w:val="List Paragraph"/>
    <w:basedOn w:val="1"/>
    <w:link w:val="18"/>
    <w:qFormat/>
    <w:uiPriority w:val="34"/>
    <w:pPr>
      <w:ind w:firstLine="420" w:firstLineChars="200"/>
    </w:pPr>
  </w:style>
  <w:style w:type="character" w:customStyle="1" w:styleId="18">
    <w:name w:val="列出段落 Char"/>
    <w:basedOn w:val="11"/>
    <w:link w:val="17"/>
    <w:qFormat/>
    <w:uiPriority w:val="0"/>
    <w:rPr>
      <w:rFonts w:hint="eastAsia" w:ascii="等线" w:hAnsi="等线" w:eastAsia="等线" w:cs="Times New Roman"/>
      <w:kern w:val="2"/>
      <w:sz w:val="21"/>
      <w:szCs w:val="22"/>
    </w:rPr>
  </w:style>
  <w:style w:type="paragraph" w:customStyle="1" w:styleId="19">
    <w:name w:val="Char2"/>
    <w:basedOn w:val="1"/>
    <w:qFormat/>
    <w:uiPriority w:val="0"/>
    <w:pPr>
      <w:widowControl/>
      <w:spacing w:after="160" w:line="240" w:lineRule="exact"/>
      <w:jc w:val="left"/>
    </w:pPr>
    <w:rPr>
      <w:rFonts w:ascii="Verdana" w:hAnsi="Verdana" w:eastAsia="MS Mincho" w:cs="Verdana"/>
      <w:kern w:val="0"/>
      <w:sz w:val="20"/>
      <w:szCs w:val="20"/>
      <w:lang w:eastAsia="en-US" w:bidi="kn-IN"/>
    </w:rPr>
  </w:style>
  <w:style w:type="paragraph" w:customStyle="1" w:styleId="20">
    <w:name w:val="Other|1"/>
    <w:basedOn w:val="1"/>
    <w:next w:val="2"/>
    <w:qFormat/>
    <w:uiPriority w:val="0"/>
    <w:pPr>
      <w:spacing w:after="120" w:line="424" w:lineRule="auto"/>
      <w:ind w:firstLine="400"/>
    </w:pPr>
    <w:rPr>
      <w:rFonts w:hint="eastAsia" w:ascii="宋体" w:hAnsi="Times New Roman" w:cs="Times New Roman"/>
      <w:sz w:val="22"/>
    </w:rPr>
  </w:style>
  <w:style w:type="paragraph" w:customStyle="1" w:styleId="21">
    <w:name w:val="msolistparagraph"/>
    <w:basedOn w:val="1"/>
    <w:qFormat/>
    <w:uiPriority w:val="0"/>
    <w:pPr>
      <w:ind w:firstLine="420" w:firstLineChars="200"/>
    </w:pPr>
    <w:rPr>
      <w:rFonts w:hint="eastAsia" w:ascii="等线" w:hAnsi="等线" w:eastAsia="等线"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2738</Words>
  <Characters>2914</Characters>
  <Lines>35</Lines>
  <Paragraphs>9</Paragraphs>
  <TotalTime>12</TotalTime>
  <ScaleCrop>false</ScaleCrop>
  <LinksUpToDate>false</LinksUpToDate>
  <CharactersWithSpaces>3037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2021-07-01T01:44:00Z</dcterms:created>
  <dc:creator>Administrator</dc:creator>
  <cp:lastModifiedBy>张婉华</cp:lastModifiedBy>
  <cp:lastPrinted>2017-09-19T06:22:00Z</cp:lastPrinted>
  <dcterms:modified xsi:type="dcterms:W3CDTF">2023-07-25T03:21:28Z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FDB648CE2B704F3AB88DCDB106BB4A50_13</vt:lpwstr>
  </property>
</Properties>
</file>