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numPr>
          <w:ilvl w:val="0"/>
          <w:numId w:val="0"/>
        </w:numPr>
        <w:spacing w:line="240" w:lineRule="auto"/>
        <w:jc w:val="center"/>
        <w:rPr>
          <w:rFonts w:hint="eastAsia" w:ascii="微软雅黑" w:hAnsi="微软雅黑" w:eastAsia="微软雅黑" w:cs="微软雅黑"/>
        </w:rPr>
      </w:pPr>
      <w:r>
        <w:rPr>
          <w:rFonts w:hint="eastAsia" w:ascii="微软雅黑" w:hAnsi="微软雅黑" w:eastAsia="微软雅黑" w:cs="微软雅黑"/>
        </w:rPr>
        <w:t>2023年乌江品牌媒介</w:t>
      </w: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综艺、大剧、硬广）</w:t>
      </w:r>
      <w:r>
        <w:rPr>
          <w:rFonts w:hint="eastAsia" w:ascii="微软雅黑" w:hAnsi="微软雅黑" w:eastAsia="微软雅黑" w:cs="微软雅黑"/>
        </w:rPr>
        <w:t>采买执行</w:t>
      </w:r>
      <w:r>
        <w:rPr>
          <w:rFonts w:hint="eastAsia" w:ascii="微软雅黑" w:hAnsi="微软雅黑" w:eastAsia="微软雅黑" w:cs="微软雅黑"/>
          <w:lang w:val="en-US" w:eastAsia="zh-CN"/>
        </w:rPr>
        <w:t>公司招标</w:t>
      </w:r>
      <w:r>
        <w:rPr>
          <w:rFonts w:hint="eastAsia" w:ascii="微软雅黑" w:hAnsi="微软雅黑" w:eastAsia="微软雅黑" w:cs="微软雅黑"/>
        </w:rPr>
        <w:t>Brief</w:t>
      </w:r>
    </w:p>
    <w:p>
      <w:pPr>
        <w:adjustRightInd w:val="0"/>
        <w:snapToGrid w:val="0"/>
        <w:spacing w:line="360" w:lineRule="auto"/>
        <w:rPr>
          <w:rFonts w:hint="default" w:ascii="微软雅黑" w:hAnsi="微软雅黑" w:eastAsia="微软雅黑" w:cs="微软雅黑"/>
          <w:b/>
          <w:bCs/>
          <w:lang w:val="en-US" w:eastAsia="zh-CN"/>
        </w:rPr>
      </w:pPr>
      <w:r>
        <w:rPr>
          <w:rFonts w:hint="eastAsia" w:ascii="微软雅黑" w:hAnsi="微软雅黑" w:eastAsia="微软雅黑" w:cs="微软雅黑"/>
          <w:b/>
          <w:bCs/>
          <w:lang w:val="en-US" w:eastAsia="zh-CN"/>
        </w:rPr>
        <w:t>一、项目名称</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微软雅黑" w:hAnsi="微软雅黑" w:eastAsia="微软雅黑" w:cs="微软雅黑"/>
          <w:lang w:val="en-US" w:eastAsia="zh-CN"/>
        </w:rPr>
      </w:pPr>
      <w:r>
        <w:rPr>
          <w:rFonts w:hint="eastAsia" w:ascii="微软雅黑" w:hAnsi="微软雅黑" w:eastAsia="微软雅黑" w:cs="微软雅黑"/>
        </w:rPr>
        <w:t>2023年乌江品牌媒介</w:t>
      </w: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综艺、大剧、硬广）</w:t>
      </w:r>
      <w:r>
        <w:rPr>
          <w:rFonts w:hint="eastAsia" w:ascii="微软雅黑" w:hAnsi="微软雅黑" w:eastAsia="微软雅黑" w:cs="微软雅黑"/>
        </w:rPr>
        <w:t>采买执行</w:t>
      </w:r>
      <w:r>
        <w:rPr>
          <w:rFonts w:hint="eastAsia" w:ascii="微软雅黑" w:hAnsi="微软雅黑" w:eastAsia="微软雅黑" w:cs="微软雅黑"/>
          <w:lang w:val="en-US" w:eastAsia="zh-CN"/>
        </w:rPr>
        <w:t>项目</w:t>
      </w:r>
    </w:p>
    <w:p>
      <w:pPr>
        <w:pStyle w:val="2"/>
        <w:numPr>
          <w:ilvl w:val="0"/>
          <w:numId w:val="0"/>
        </w:numPr>
        <w:ind w:leftChars="0"/>
        <w:rPr>
          <w:rFonts w:hint="eastAsia" w:ascii="微软雅黑" w:hAnsi="微软雅黑" w:eastAsia="微软雅黑" w:cs="微软雅黑"/>
          <w:b/>
          <w:bCs/>
          <w:kern w:val="2"/>
          <w:sz w:val="24"/>
          <w:szCs w:val="24"/>
          <w:lang w:val="en-US" w:eastAsia="zh-CN" w:bidi="ar-SA"/>
        </w:rPr>
      </w:pPr>
      <w:r>
        <w:rPr>
          <w:rFonts w:hint="eastAsia" w:ascii="微软雅黑" w:hAnsi="微软雅黑" w:eastAsia="微软雅黑" w:cs="微软雅黑"/>
          <w:b/>
          <w:bCs/>
          <w:kern w:val="2"/>
          <w:sz w:val="24"/>
          <w:szCs w:val="24"/>
          <w:lang w:val="en-US" w:eastAsia="zh-CN" w:bidi="ar-SA"/>
        </w:rPr>
        <w:t>二、目的及任务</w:t>
      </w:r>
    </w:p>
    <w:p>
      <w:pPr>
        <w:pStyle w:val="9"/>
        <w:keepNext w:val="0"/>
        <w:keepLines w:val="0"/>
        <w:pageBreakBefore w:val="0"/>
        <w:numPr>
          <w:ilvl w:val="255"/>
          <w:numId w:val="0"/>
        </w:numPr>
        <w:kinsoku/>
        <w:wordWrap/>
        <w:overflowPunct/>
        <w:topLinePunct w:val="0"/>
        <w:autoSpaceDE/>
        <w:autoSpaceDN/>
        <w:bidi w:val="0"/>
        <w:spacing w:line="360" w:lineRule="auto"/>
        <w:ind w:firstLine="480" w:firstLineChars="200"/>
        <w:textAlignment w:val="auto"/>
        <w:rPr>
          <w:rFonts w:hint="eastAsia" w:ascii="微软雅黑" w:hAnsi="微软雅黑" w:eastAsia="微软雅黑" w:cs="微软雅黑"/>
          <w:kern w:val="2"/>
          <w:sz w:val="24"/>
          <w:szCs w:val="24"/>
          <w:lang w:eastAsia="zh-CN"/>
        </w:rPr>
      </w:pPr>
      <w:r>
        <w:rPr>
          <w:rFonts w:hint="eastAsia" w:ascii="微软雅黑" w:hAnsi="微软雅黑" w:eastAsia="微软雅黑" w:cs="微软雅黑"/>
          <w:kern w:val="2"/>
          <w:sz w:val="24"/>
          <w:szCs w:val="24"/>
        </w:rPr>
        <w:t>2023年</w:t>
      </w:r>
      <w:r>
        <w:rPr>
          <w:rFonts w:hint="eastAsia" w:ascii="微软雅黑" w:hAnsi="微软雅黑" w:eastAsia="微软雅黑" w:cs="微软雅黑"/>
          <w:kern w:val="2"/>
          <w:sz w:val="24"/>
          <w:szCs w:val="24"/>
          <w:lang w:val="en-US" w:eastAsia="zh-CN"/>
        </w:rPr>
        <w:t>下半年，乌江品牌传播的</w:t>
      </w:r>
      <w:r>
        <w:rPr>
          <w:rFonts w:hint="eastAsia" w:ascii="微软雅黑" w:hAnsi="微软雅黑" w:eastAsia="微软雅黑" w:cs="微软雅黑"/>
          <w:kern w:val="2"/>
          <w:sz w:val="24"/>
          <w:szCs w:val="24"/>
        </w:rPr>
        <w:t>重点</w:t>
      </w:r>
      <w:r>
        <w:rPr>
          <w:rFonts w:hint="eastAsia" w:ascii="微软雅黑" w:hAnsi="微软雅黑" w:eastAsia="微软雅黑" w:cs="微软雅黑"/>
          <w:kern w:val="2"/>
          <w:sz w:val="24"/>
          <w:szCs w:val="24"/>
          <w:lang w:val="en-US" w:eastAsia="zh-CN"/>
        </w:rPr>
        <w:t>产品是</w:t>
      </w:r>
      <w:r>
        <w:rPr>
          <w:rFonts w:hint="eastAsia" w:ascii="微软雅黑" w:hAnsi="微软雅黑" w:eastAsia="微软雅黑" w:cs="微软雅黑"/>
          <w:kern w:val="2"/>
          <w:sz w:val="24"/>
          <w:szCs w:val="24"/>
        </w:rPr>
        <w:t>乌江榨菜酱，传播的主要目标任务有两点：一是打榨菜酱的曝光度，让更多人知道乌江出榨菜酱了；二是传播乌江榨菜酱的差异化价值点</w:t>
      </w:r>
      <w:r>
        <w:rPr>
          <w:rFonts w:hint="eastAsia" w:ascii="微软雅黑" w:hAnsi="微软雅黑" w:eastAsia="微软雅黑" w:cs="微软雅黑"/>
          <w:kern w:val="2"/>
          <w:sz w:val="24"/>
          <w:szCs w:val="24"/>
          <w:lang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pPr>
      <w:r>
        <w:rPr>
          <w:rFonts w:hint="eastAsia" w:ascii="微软雅黑" w:hAnsi="微软雅黑" w:eastAsia="微软雅黑" w:cs="微软雅黑"/>
          <w:b/>
          <w:bCs/>
          <w:kern w:val="2"/>
          <w:sz w:val="24"/>
          <w:szCs w:val="24"/>
          <w:highlight w:val="none"/>
          <w:lang w:val="en-US" w:eastAsia="zh-CN" w:bidi="ar-SA"/>
        </w:rPr>
        <w:t>榨菜酱品牌信息屋</w:t>
      </w:r>
      <w:r>
        <w:drawing>
          <wp:inline distT="0" distB="0" distL="114300" distR="114300">
            <wp:extent cx="5232400" cy="3056890"/>
            <wp:effectExtent l="0" t="0" r="6350" b="1016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
                    <a:stretch>
                      <a:fillRect/>
                    </a:stretch>
                  </pic:blipFill>
                  <pic:spPr>
                    <a:xfrm>
                      <a:off x="0" y="0"/>
                      <a:ext cx="5232400" cy="3056890"/>
                    </a:xfrm>
                    <a:prstGeom prst="rect">
                      <a:avLst/>
                    </a:prstGeom>
                    <a:noFill/>
                    <a:ln>
                      <a:noFill/>
                    </a:ln>
                  </pic:spPr>
                </pic:pic>
              </a:graphicData>
            </a:graphic>
          </wp:inline>
        </w:drawing>
      </w:r>
    </w:p>
    <w:p>
      <w:pPr>
        <w:rPr>
          <w:rFonts w:hint="eastAsia"/>
          <w:lang w:val="en-US" w:eastAsia="zh-CN"/>
        </w:rPr>
      </w:pPr>
    </w:p>
    <w:p>
      <w:pPr>
        <w:adjustRightInd w:val="0"/>
        <w:snapToGrid w:val="0"/>
        <w:spacing w:line="360" w:lineRule="auto"/>
        <w:rPr>
          <w:rFonts w:hint="default" w:ascii="微软雅黑" w:hAnsi="微软雅黑" w:eastAsia="微软雅黑" w:cs="微软雅黑"/>
          <w:b/>
          <w:bCs/>
          <w:highlight w:val="none"/>
          <w:lang w:val="en-US" w:eastAsia="zh-CN"/>
        </w:rPr>
      </w:pPr>
      <w:r>
        <w:rPr>
          <w:rFonts w:hint="eastAsia" w:ascii="微软雅黑" w:hAnsi="微软雅黑" w:eastAsia="微软雅黑" w:cs="微软雅黑"/>
          <w:b/>
          <w:bCs/>
          <w:lang w:val="en-US" w:eastAsia="zh-CN"/>
        </w:rPr>
        <w:t>三、</w:t>
      </w:r>
      <w:r>
        <w:rPr>
          <w:rFonts w:hint="eastAsia" w:ascii="微软雅黑" w:hAnsi="微软雅黑" w:eastAsia="微软雅黑" w:cs="微软雅黑"/>
          <w:b/>
          <w:bCs/>
          <w:highlight w:val="none"/>
          <w:lang w:val="en-US" w:eastAsia="zh-CN"/>
        </w:rPr>
        <w:t>项目需求</w:t>
      </w:r>
    </w:p>
    <w:p>
      <w:pPr>
        <w:keepNext w:val="0"/>
        <w:keepLines w:val="0"/>
        <w:pageBreakBefore w:val="0"/>
        <w:kinsoku/>
        <w:wordWrap/>
        <w:overflowPunct/>
        <w:topLinePunct w:val="0"/>
        <w:bidi w:val="0"/>
        <w:adjustRightInd w:val="0"/>
        <w:snapToGrid w:val="0"/>
        <w:spacing w:line="360" w:lineRule="auto"/>
        <w:ind w:firstLine="480" w:firstLineChars="200"/>
        <w:rPr>
          <w:rFonts w:hint="eastAsia" w:ascii="微软雅黑" w:hAnsi="微软雅黑" w:eastAsia="微软雅黑" w:cs="微软雅黑"/>
          <w:sz w:val="24"/>
          <w:szCs w:val="24"/>
          <w:highlight w:val="none"/>
        </w:rPr>
      </w:pPr>
      <w:r>
        <w:rPr>
          <w:rFonts w:hint="eastAsia" w:ascii="微软雅黑" w:hAnsi="微软雅黑" w:eastAsia="微软雅黑" w:cs="微软雅黑"/>
          <w:sz w:val="24"/>
          <w:szCs w:val="24"/>
          <w:highlight w:val="none"/>
        </w:rPr>
        <w:t>1、招标内容：在乌江要求的媒体范围内</w:t>
      </w:r>
      <w:r>
        <w:rPr>
          <w:rFonts w:hint="eastAsia" w:ascii="微软雅黑" w:hAnsi="微软雅黑" w:eastAsia="微软雅黑" w:cs="微软雅黑"/>
          <w:sz w:val="24"/>
          <w:szCs w:val="24"/>
          <w:highlight w:val="none"/>
          <w:lang w:eastAsia="zh-CN"/>
        </w:rPr>
        <w:t>（</w:t>
      </w:r>
      <w:r>
        <w:rPr>
          <w:rFonts w:hint="eastAsia" w:ascii="微软雅黑" w:hAnsi="微软雅黑" w:eastAsia="微软雅黑" w:cs="微软雅黑"/>
          <w:sz w:val="24"/>
          <w:szCs w:val="24"/>
          <w:highlight w:val="none"/>
          <w:lang w:val="en-US" w:eastAsia="zh-CN"/>
        </w:rPr>
        <w:t>综艺、剧场、硬广</w:t>
      </w:r>
      <w:r>
        <w:rPr>
          <w:rFonts w:hint="eastAsia" w:ascii="微软雅黑" w:hAnsi="微软雅黑" w:eastAsia="微软雅黑" w:cs="微软雅黑"/>
          <w:sz w:val="24"/>
          <w:szCs w:val="24"/>
          <w:highlight w:val="none"/>
          <w:lang w:eastAsia="zh-CN"/>
        </w:rPr>
        <w:t>）</w:t>
      </w:r>
      <w:r>
        <w:rPr>
          <w:rFonts w:hint="eastAsia" w:ascii="微软雅黑" w:hAnsi="微软雅黑" w:eastAsia="微软雅黑" w:cs="微软雅黑"/>
          <w:sz w:val="24"/>
          <w:szCs w:val="24"/>
          <w:highlight w:val="none"/>
        </w:rPr>
        <w:t>执行广告资源购买、投放工作等。</w:t>
      </w:r>
      <w:bookmarkStart w:id="0" w:name="_Hlk134606387"/>
      <w:r>
        <w:rPr>
          <w:rFonts w:hint="eastAsia" w:ascii="微软雅黑" w:hAnsi="微软雅黑" w:eastAsia="微软雅黑" w:cs="微软雅黑"/>
          <w:sz w:val="24"/>
          <w:szCs w:val="24"/>
          <w:highlight w:val="none"/>
        </w:rPr>
        <w:t>具体</w:t>
      </w:r>
      <w:r>
        <w:rPr>
          <w:rFonts w:hint="eastAsia" w:ascii="微软雅黑" w:hAnsi="微软雅黑" w:eastAsia="微软雅黑" w:cs="微软雅黑"/>
          <w:sz w:val="24"/>
          <w:szCs w:val="24"/>
          <w:highlight w:val="none"/>
          <w:lang w:val="en-US" w:eastAsia="zh-CN"/>
        </w:rPr>
        <w:t>需求</w:t>
      </w:r>
      <w:r>
        <w:rPr>
          <w:rFonts w:hint="eastAsia" w:ascii="微软雅黑" w:hAnsi="微软雅黑" w:eastAsia="微软雅黑" w:cs="微软雅黑"/>
          <w:sz w:val="24"/>
          <w:szCs w:val="24"/>
          <w:highlight w:val="none"/>
        </w:rPr>
        <w:t>如下：</w:t>
      </w:r>
    </w:p>
    <w:p>
      <w:pPr>
        <w:pStyle w:val="2"/>
        <w:keepNext w:val="0"/>
        <w:keepLines w:val="0"/>
        <w:pageBreakBefore w:val="0"/>
        <w:widowControl w:val="0"/>
        <w:kinsoku/>
        <w:wordWrap/>
        <w:overflowPunct/>
        <w:topLinePunct w:val="0"/>
        <w:autoSpaceDE/>
        <w:autoSpaceDN/>
        <w:bidi w:val="0"/>
        <w:adjustRightInd/>
        <w:snapToGrid/>
        <w:ind w:left="0" w:leftChars="0" w:firstLine="480" w:firstLineChars="200"/>
        <w:textAlignment w:val="auto"/>
        <w:rPr>
          <w:rFonts w:hint="default" w:eastAsia="微软雅黑"/>
          <w:lang w:val="en-US" w:eastAsia="zh-CN"/>
        </w:rPr>
      </w:pPr>
      <w:r>
        <w:rPr>
          <w:rFonts w:hint="eastAsia" w:ascii="微软雅黑" w:hAnsi="微软雅黑" w:eastAsia="微软雅黑" w:cs="微软雅黑"/>
          <w:sz w:val="24"/>
          <w:szCs w:val="24"/>
          <w:highlight w:val="none"/>
          <w:lang w:val="en-US" w:eastAsia="zh-CN"/>
        </w:rPr>
        <w:t>①硬广部分</w:t>
      </w:r>
    </w:p>
    <w:tbl>
      <w:tblPr>
        <w:tblStyle w:val="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3"/>
        <w:gridCol w:w="795"/>
        <w:gridCol w:w="1845"/>
        <w:gridCol w:w="750"/>
        <w:gridCol w:w="885"/>
        <w:gridCol w:w="35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媒体</w:t>
            </w: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cs="宋体"/>
                <w:b/>
                <w:bCs/>
                <w:i w:val="0"/>
                <w:iCs w:val="0"/>
                <w:color w:val="000000"/>
                <w:kern w:val="0"/>
                <w:sz w:val="24"/>
                <w:szCs w:val="24"/>
                <w:u w:val="none"/>
                <w:lang w:val="en-US" w:eastAsia="zh-CN" w:bidi="ar"/>
              </w:rPr>
              <w:t>单项</w:t>
            </w:r>
            <w:r>
              <w:rPr>
                <w:rFonts w:hint="eastAsia" w:ascii="宋体" w:hAnsi="宋体" w:eastAsia="宋体" w:cs="宋体"/>
                <w:b/>
                <w:bCs/>
                <w:i w:val="0"/>
                <w:iCs w:val="0"/>
                <w:color w:val="000000"/>
                <w:kern w:val="0"/>
                <w:sz w:val="24"/>
                <w:szCs w:val="24"/>
                <w:u w:val="none"/>
                <w:lang w:val="en-US" w:eastAsia="zh-CN" w:bidi="ar"/>
              </w:rPr>
              <w:t>内容</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形式/点位</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日期</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预算</w:t>
            </w:r>
            <w:r>
              <w:rPr>
                <w:rFonts w:hint="eastAsia" w:ascii="宋体" w:hAnsi="宋体" w:cs="宋体"/>
                <w:b/>
                <w:bCs/>
                <w:i w:val="0"/>
                <w:iCs w:val="0"/>
                <w:color w:val="000000"/>
                <w:kern w:val="0"/>
                <w:sz w:val="24"/>
                <w:szCs w:val="24"/>
                <w:u w:val="none"/>
                <w:lang w:val="en-US" w:eastAsia="zh-CN" w:bidi="ar"/>
              </w:rPr>
              <w:t>（万元</w:t>
            </w:r>
            <w:bookmarkStart w:id="1" w:name="_GoBack"/>
            <w:bookmarkEnd w:id="1"/>
            <w:r>
              <w:rPr>
                <w:rFonts w:hint="eastAsia" w:ascii="宋体" w:hAnsi="宋体" w:cs="宋体"/>
                <w:b/>
                <w:bCs/>
                <w:i w:val="0"/>
                <w:iCs w:val="0"/>
                <w:color w:val="000000"/>
                <w:kern w:val="0"/>
                <w:sz w:val="24"/>
                <w:szCs w:val="24"/>
                <w:u w:val="none"/>
                <w:lang w:val="en-US" w:eastAsia="zh-CN" w:bidi="ar"/>
              </w:rPr>
              <w:t>）</w:t>
            </w:r>
          </w:p>
        </w:tc>
        <w:tc>
          <w:tcPr>
            <w:tcW w:w="20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微博</w:t>
            </w: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硬广</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开屏、热搜三、</w:t>
            </w:r>
            <w:r>
              <w:rPr>
                <w:rFonts w:hint="eastAsia" w:ascii="宋体" w:hAnsi="宋体" w:cs="宋体"/>
                <w:i w:val="0"/>
                <w:iCs w:val="0"/>
                <w:color w:val="000000"/>
                <w:kern w:val="0"/>
                <w:sz w:val="18"/>
                <w:szCs w:val="18"/>
                <w:u w:val="none"/>
                <w:lang w:val="en-US" w:eastAsia="zh-CN" w:bidi="ar"/>
              </w:rPr>
              <w:t>粉丝头条</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600</w:t>
            </w: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全国热搜、全国开屏、24小时粉条（按官宣日实际投放账号粉丝量报价）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OTT</w:t>
            </w: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优酷</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酷喵</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umax</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CPD购买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海信</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首焦视频</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CPD购买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小米</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焦点视频</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CPM购买、建议预算30万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TCL、长虹</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superview</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CPD购买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阿里妈妈</w:t>
            </w: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开屏</w:t>
            </w:r>
          </w:p>
        </w:tc>
        <w:tc>
          <w:tcPr>
            <w:tcW w:w="10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app开屏</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静态开屏、建议50万预算，CPM购买，包含:抖音、今日头条、优酷、爱奇艺、墨迹天气、腾讯QQ音乐、喜马拉雅、百度、网易云音乐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42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户外</w:t>
            </w: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国内</w:t>
            </w:r>
            <w:r>
              <w:rPr>
                <w:rFonts w:hint="eastAsia" w:ascii="宋体" w:hAnsi="宋体" w:cs="宋体"/>
                <w:i w:val="0"/>
                <w:iCs w:val="0"/>
                <w:color w:val="000000"/>
                <w:kern w:val="0"/>
                <w:sz w:val="18"/>
                <w:szCs w:val="18"/>
                <w:u w:val="none"/>
                <w:lang w:val="en-US" w:eastAsia="zh-CN" w:bidi="ar"/>
              </w:rPr>
              <w:t>城市点亮</w:t>
            </w:r>
          </w:p>
        </w:tc>
        <w:tc>
          <w:tcPr>
            <w:tcW w:w="10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广州好醒目</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青岛双子塔</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青岛浮山湾</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沈阳圣银河</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西安双子塔</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成都鲸墙</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武汉大教堂</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长沙芒果之窗</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杭州西湖天幕</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北京建国门口</w:t>
            </w:r>
          </w:p>
          <w:p>
            <w:pPr>
              <w:keepNext w:val="0"/>
              <w:keepLines w:val="0"/>
              <w:widowControl/>
              <w:numPr>
                <w:ilvl w:val="0"/>
                <w:numId w:val="2"/>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上海鲸墙</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报价11个点位，最终执行从中选7个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青岛点位二选一；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广州10分钟；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北京建国门口 15分钟；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杭州包屏1小时；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青岛浮山湾30秒，4次一晚，共两分钟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其余点位30分钟。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8" w:hRule="atLeast"/>
        </w:trPr>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国外LED</w:t>
            </w:r>
          </w:p>
        </w:tc>
        <w:tc>
          <w:tcPr>
            <w:tcW w:w="10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3"/>
              </w:numPr>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美国-时代广场1号屏</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美国-时代广场20号中心屏</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英国-温布利体育馆</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英国-伦敦韦斯特菲尔德购物中心入口</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英国-伦敦Westfield Stratford City广场</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迪拜-GIGA屏</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法国-巴黎卢浮宫墙体</w:t>
            </w:r>
          </w:p>
          <w:p>
            <w:pPr>
              <w:keepNext w:val="0"/>
              <w:keepLines w:val="0"/>
              <w:widowControl/>
              <w:numPr>
                <w:ilvl w:val="0"/>
                <w:numId w:val="3"/>
              </w:numPr>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俄罗斯-莫斯科TRC OK购物中心</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8.28</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报价8个点位，最终执行从中选2-3个，</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美国-时代广场1号屏(版本30秒，一天720次，亮屏24小时)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美国-时代广场20号中心屏 (版本30秒，一天240次，亮屏24小时)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英国-温布利体育馆 (版本10秒，960次一天，亮屏07:30-23:00)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英国-伦敦韦斯特菲尔德购物中心入口 (版本10秒，80次一天，亮屏08:00-24:00)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英国-伦敦Westfield Stratford City广场 (版本10秒，50次一天，亮屏08:00-24:00)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迪拜-GIGA屏 (15秒 静态，一天480次，亮屏24小时)</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法国-巴黎卢浮宫墙体 (静态平面，外打灯)</w:t>
            </w:r>
          </w:p>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俄罗斯-莫斯科TRC OK购物中心 (版本10秒，一天96次，亮屏20小时)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42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4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地铁</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包车</w:t>
            </w:r>
          </w:p>
        </w:tc>
        <w:tc>
          <w:tcPr>
            <w:tcW w:w="10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深圳-5号线-内包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重庆-2号线-外包</w:t>
            </w:r>
          </w:p>
        </w:tc>
        <w:tc>
          <w:tcPr>
            <w:tcW w:w="4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8.28-</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w:t>
            </w:r>
          </w:p>
        </w:tc>
        <w:tc>
          <w:tcPr>
            <w:tcW w:w="51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20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深圳、重庆各1辆车</w:t>
            </w:r>
          </w:p>
        </w:tc>
      </w:tr>
    </w:tbl>
    <w:p>
      <w:pPr>
        <w:pStyle w:val="2"/>
        <w:keepNext w:val="0"/>
        <w:keepLines w:val="0"/>
        <w:pageBreakBefore w:val="0"/>
        <w:widowControl w:val="0"/>
        <w:kinsoku/>
        <w:wordWrap/>
        <w:overflowPunct/>
        <w:topLinePunct w:val="0"/>
        <w:autoSpaceDE/>
        <w:autoSpaceDN/>
        <w:bidi w:val="0"/>
        <w:adjustRightInd/>
        <w:snapToGrid/>
        <w:ind w:left="0" w:leftChars="0" w:firstLine="480" w:firstLineChars="20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②综艺、大剧部分</w:t>
      </w:r>
    </w:p>
    <w:bookmarkEnd w:id="0"/>
    <w:tbl>
      <w:tblPr>
        <w:tblStyle w:val="7"/>
        <w:tblpPr w:leftFromText="180" w:rightFromText="180" w:vertAnchor="text" w:horzAnchor="page" w:tblpX="1830" w:tblpY="58"/>
        <w:tblOverlap w:val="never"/>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1"/>
        <w:gridCol w:w="690"/>
        <w:gridCol w:w="704"/>
        <w:gridCol w:w="1759"/>
        <w:gridCol w:w="1899"/>
        <w:gridCol w:w="1060"/>
        <w:gridCol w:w="17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5" w:hRule="atLeast"/>
        </w:trPr>
        <w:tc>
          <w:tcPr>
            <w:tcW w:w="77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媒体</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类型</w:t>
            </w: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cs="宋体"/>
                <w:b/>
                <w:bCs/>
                <w:i w:val="0"/>
                <w:iCs w:val="0"/>
                <w:color w:val="auto"/>
                <w:kern w:val="0"/>
                <w:sz w:val="24"/>
                <w:szCs w:val="24"/>
                <w:u w:val="none"/>
                <w:lang w:val="en-US" w:eastAsia="zh-CN" w:bidi="ar"/>
              </w:rPr>
              <w:t>单项</w:t>
            </w:r>
            <w:r>
              <w:rPr>
                <w:rFonts w:hint="eastAsia" w:ascii="宋体" w:hAnsi="宋体" w:eastAsia="宋体" w:cs="宋体"/>
                <w:b/>
                <w:bCs/>
                <w:i w:val="0"/>
                <w:iCs w:val="0"/>
                <w:color w:val="auto"/>
                <w:kern w:val="0"/>
                <w:sz w:val="24"/>
                <w:szCs w:val="24"/>
                <w:u w:val="none"/>
                <w:lang w:val="en-US" w:eastAsia="zh-CN" w:bidi="ar"/>
              </w:rPr>
              <w:t>内容</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auto"/>
                <w:kern w:val="0"/>
                <w:sz w:val="24"/>
                <w:szCs w:val="24"/>
                <w:u w:val="none"/>
                <w:lang w:val="en-US" w:eastAsia="zh-CN" w:bidi="ar"/>
              </w:rPr>
            </w:pPr>
            <w:r>
              <w:rPr>
                <w:rFonts w:hint="eastAsia" w:ascii="宋体" w:hAnsi="宋体" w:cs="宋体"/>
                <w:b/>
                <w:bCs/>
                <w:i w:val="0"/>
                <w:iCs w:val="0"/>
                <w:color w:val="auto"/>
                <w:kern w:val="0"/>
                <w:sz w:val="24"/>
                <w:szCs w:val="24"/>
                <w:u w:val="none"/>
                <w:lang w:val="en-US" w:eastAsia="zh-CN" w:bidi="ar"/>
              </w:rPr>
              <w:t>身份</w:t>
            </w:r>
          </w:p>
        </w:tc>
        <w:tc>
          <w:tcPr>
            <w:tcW w:w="6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最高限价（万）</w:t>
            </w:r>
          </w:p>
        </w:tc>
        <w:tc>
          <w:tcPr>
            <w:tcW w:w="10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电视台</w:t>
            </w:r>
          </w:p>
        </w:tc>
        <w:tc>
          <w:tcPr>
            <w:tcW w:w="404" w:type="pct"/>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浙江卫视</w:t>
            </w:r>
          </w:p>
        </w:tc>
        <w:tc>
          <w:tcPr>
            <w:tcW w:w="41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综艺</w:t>
            </w: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王牌对王牌</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三身份（首席美味官）</w:t>
            </w:r>
          </w:p>
        </w:tc>
        <w:tc>
          <w:tcPr>
            <w:tcW w:w="622" w:type="pct"/>
            <w:vMerge w:val="restart"/>
            <w:tcBorders>
              <w:top w:val="single" w:color="000000" w:sz="4" w:space="0"/>
              <w:left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7050</w:t>
            </w:r>
          </w:p>
        </w:tc>
        <w:tc>
          <w:tcPr>
            <w:tcW w:w="10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Style w:val="14"/>
                <w:rFonts w:hint="eastAsia" w:ascii="宋体" w:hAnsi="宋体" w:eastAsia="宋体" w:cs="宋体"/>
                <w:color w:val="auto"/>
                <w:sz w:val="18"/>
                <w:szCs w:val="18"/>
                <w:lang w:val="en-US" w:eastAsia="zh-CN" w:bidi="ar"/>
              </w:rPr>
              <w:t>需</w:t>
            </w:r>
            <w:r>
              <w:rPr>
                <w:rStyle w:val="14"/>
                <w:rFonts w:hint="eastAsia" w:ascii="宋体" w:hAnsi="宋体" w:cs="宋体"/>
                <w:color w:val="auto"/>
                <w:sz w:val="18"/>
                <w:szCs w:val="18"/>
                <w:lang w:val="en-US" w:eastAsia="zh-CN" w:bidi="ar"/>
              </w:rPr>
              <w:t>爱奇艺</w:t>
            </w:r>
            <w:r>
              <w:rPr>
                <w:rStyle w:val="14"/>
                <w:rFonts w:hint="eastAsia" w:ascii="宋体" w:hAnsi="宋体" w:eastAsia="宋体" w:cs="宋体"/>
                <w:color w:val="auto"/>
                <w:sz w:val="18"/>
                <w:szCs w:val="18"/>
                <w:lang w:val="en-US" w:eastAsia="zh-CN" w:bidi="ar"/>
              </w:rPr>
              <w:t>/</w:t>
            </w:r>
            <w:r>
              <w:rPr>
                <w:rStyle w:val="14"/>
                <w:rFonts w:hint="eastAsia" w:ascii="宋体" w:hAnsi="宋体" w:cs="宋体"/>
                <w:color w:val="auto"/>
                <w:sz w:val="18"/>
                <w:szCs w:val="18"/>
                <w:lang w:val="en-US" w:eastAsia="zh-CN" w:bidi="ar"/>
              </w:rPr>
              <w:t>优酷</w:t>
            </w:r>
            <w:r>
              <w:rPr>
                <w:rStyle w:val="14"/>
                <w:rFonts w:hint="eastAsia" w:ascii="宋体" w:hAnsi="宋体" w:eastAsia="宋体" w:cs="宋体"/>
                <w:color w:val="auto"/>
                <w:sz w:val="18"/>
                <w:szCs w:val="18"/>
                <w:lang w:val="en-US" w:eastAsia="zh-CN" w:bidi="ar"/>
              </w:rPr>
              <w:t>/</w:t>
            </w:r>
            <w:r>
              <w:rPr>
                <w:rStyle w:val="14"/>
                <w:rFonts w:hint="eastAsia" w:ascii="宋体" w:hAnsi="宋体" w:cs="宋体"/>
                <w:color w:val="auto"/>
                <w:sz w:val="18"/>
                <w:szCs w:val="18"/>
                <w:lang w:val="en-US" w:eastAsia="zh-CN" w:bidi="ar"/>
              </w:rPr>
              <w:t>腾讯</w:t>
            </w:r>
            <w:r>
              <w:rPr>
                <w:rStyle w:val="14"/>
                <w:rFonts w:hint="eastAsia" w:ascii="宋体" w:hAnsi="宋体" w:eastAsia="宋体" w:cs="宋体"/>
                <w:color w:val="auto"/>
                <w:sz w:val="18"/>
                <w:szCs w:val="18"/>
                <w:lang w:val="en-US" w:eastAsia="zh-CN" w:bidi="ar"/>
              </w:rPr>
              <w:t>同步分发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3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4" w:type="pct"/>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p>
        </w:tc>
        <w:tc>
          <w:tcPr>
            <w:tcW w:w="41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auto"/>
                <w:sz w:val="18"/>
                <w:szCs w:val="18"/>
                <w:u w:val="none"/>
              </w:rPr>
            </w:pP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奔跑吧特别季</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冠名</w:t>
            </w:r>
          </w:p>
        </w:tc>
        <w:tc>
          <w:tcPr>
            <w:tcW w:w="622" w:type="pct"/>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10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4" w:type="pct"/>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剧场</w:t>
            </w: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Style w:val="14"/>
                <w:rFonts w:hint="eastAsia" w:ascii="宋体" w:hAnsi="宋体" w:eastAsia="宋体" w:cs="宋体"/>
                <w:color w:val="auto"/>
                <w:sz w:val="18"/>
                <w:szCs w:val="18"/>
                <w:lang w:val="en-US" w:eastAsia="zh-CN" w:bidi="ar"/>
              </w:rPr>
              <w:t>中国蓝剧场</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4"/>
                <w:rFonts w:hint="default" w:ascii="宋体" w:hAnsi="宋体" w:eastAsia="宋体" w:cs="宋体"/>
                <w:color w:val="auto"/>
                <w:sz w:val="18"/>
                <w:szCs w:val="18"/>
                <w:lang w:val="en-US" w:eastAsia="zh-CN" w:bidi="ar"/>
              </w:rPr>
            </w:pPr>
            <w:r>
              <w:rPr>
                <w:rStyle w:val="14"/>
                <w:rFonts w:hint="eastAsia" w:ascii="宋体" w:hAnsi="宋体" w:cs="宋体"/>
                <w:color w:val="auto"/>
                <w:sz w:val="18"/>
                <w:szCs w:val="18"/>
                <w:lang w:val="en-US" w:eastAsia="zh-CN" w:bidi="ar"/>
              </w:rPr>
              <w:t>二身份</w:t>
            </w:r>
          </w:p>
        </w:tc>
        <w:tc>
          <w:tcPr>
            <w:tcW w:w="622" w:type="pct"/>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10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auto"/>
                <w:sz w:val="18"/>
                <w:szCs w:val="18"/>
                <w:u w:val="none"/>
                <w:lang w:val="en-US"/>
              </w:rPr>
            </w:pPr>
            <w:r>
              <w:rPr>
                <w:rFonts w:hint="eastAsia" w:ascii="宋体" w:hAnsi="宋体" w:cs="宋体"/>
                <w:i w:val="0"/>
                <w:iCs w:val="0"/>
                <w:color w:val="auto"/>
                <w:kern w:val="0"/>
                <w:sz w:val="18"/>
                <w:szCs w:val="18"/>
                <w:u w:val="none"/>
                <w:lang w:val="en-US" w:eastAsia="zh-CN" w:bidi="ar"/>
              </w:rPr>
              <w:t>3个月</w:t>
            </w:r>
            <w:r>
              <w:rPr>
                <w:rFonts w:hint="eastAsia" w:ascii="宋体" w:hAnsi="宋体" w:eastAsia="宋体" w:cs="宋体"/>
                <w:i w:val="0"/>
                <w:iCs w:val="0"/>
                <w:color w:val="auto"/>
                <w:kern w:val="0"/>
                <w:sz w:val="18"/>
                <w:szCs w:val="18"/>
                <w:u w:val="none"/>
                <w:lang w:val="en-US" w:eastAsia="zh-CN" w:bidi="ar"/>
              </w:rPr>
              <w:t>剧前广告</w:t>
            </w:r>
            <w:r>
              <w:rPr>
                <w:rFonts w:hint="eastAsia" w:ascii="宋体" w:hAnsi="宋体" w:cs="宋体"/>
                <w:i w:val="0"/>
                <w:iCs w:val="0"/>
                <w:color w:val="auto"/>
                <w:kern w:val="0"/>
                <w:sz w:val="18"/>
                <w:szCs w:val="18"/>
                <w:u w:val="none"/>
                <w:lang w:val="en-US" w:eastAsia="zh-CN" w:bidi="ar"/>
              </w:rPr>
              <w:t>每天2集5s+15s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4" w:type="pct"/>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江苏卫视</w:t>
            </w: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综艺</w:t>
            </w: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auto"/>
                <w:sz w:val="18"/>
                <w:szCs w:val="18"/>
                <w:u w:val="none"/>
                <w:lang w:val="en-US"/>
              </w:rPr>
            </w:pPr>
            <w:r>
              <w:rPr>
                <w:rFonts w:hint="eastAsia" w:ascii="宋体" w:hAnsi="宋体" w:eastAsia="宋体" w:cs="宋体"/>
                <w:i w:val="0"/>
                <w:iCs w:val="0"/>
                <w:color w:val="auto"/>
                <w:kern w:val="0"/>
                <w:sz w:val="18"/>
                <w:szCs w:val="18"/>
                <w:u w:val="none"/>
                <w:lang w:val="en-US" w:eastAsia="zh-CN" w:bidi="ar"/>
              </w:rPr>
              <w:t>非诚勿扰</w:t>
            </w:r>
            <w:r>
              <w:rPr>
                <w:rFonts w:hint="eastAsia" w:ascii="宋体" w:hAnsi="宋体" w:cs="宋体"/>
                <w:i w:val="0"/>
                <w:iCs w:val="0"/>
                <w:color w:val="auto"/>
                <w:kern w:val="0"/>
                <w:sz w:val="18"/>
                <w:szCs w:val="18"/>
                <w:u w:val="none"/>
                <w:lang w:val="en-US" w:eastAsia="zh-CN" w:bidi="ar"/>
              </w:rPr>
              <w:t>（单季度）</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冠名</w:t>
            </w:r>
          </w:p>
        </w:tc>
        <w:tc>
          <w:tcPr>
            <w:tcW w:w="622" w:type="pct"/>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10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Style w:val="14"/>
                <w:rFonts w:hint="eastAsia" w:ascii="宋体" w:hAnsi="宋体" w:eastAsia="宋体" w:cs="宋体"/>
                <w:color w:val="auto"/>
                <w:sz w:val="18"/>
                <w:szCs w:val="18"/>
                <w:lang w:val="en-US" w:eastAsia="zh-CN" w:bidi="ar"/>
              </w:rPr>
              <w:t>需同步腾讯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404" w:type="pct"/>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p>
        </w:tc>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剧场</w:t>
            </w:r>
          </w:p>
        </w:tc>
        <w:tc>
          <w:tcPr>
            <w:tcW w:w="10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Style w:val="14"/>
                <w:rFonts w:hint="eastAsia" w:ascii="宋体" w:hAnsi="宋体" w:eastAsia="宋体" w:cs="宋体"/>
                <w:color w:val="auto"/>
                <w:sz w:val="18"/>
                <w:szCs w:val="18"/>
                <w:lang w:val="en-US" w:eastAsia="zh-CN" w:bidi="ar"/>
              </w:rPr>
              <w:t>幸福剧场</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4"/>
                <w:rFonts w:hint="default" w:ascii="宋体" w:hAnsi="宋体" w:eastAsia="宋体" w:cs="宋体"/>
                <w:color w:val="auto"/>
                <w:sz w:val="18"/>
                <w:szCs w:val="18"/>
                <w:lang w:val="en-US" w:eastAsia="zh-CN" w:bidi="ar"/>
              </w:rPr>
            </w:pPr>
            <w:r>
              <w:rPr>
                <w:rStyle w:val="14"/>
                <w:rFonts w:hint="eastAsia" w:ascii="宋体" w:hAnsi="宋体" w:cs="宋体"/>
                <w:color w:val="auto"/>
                <w:sz w:val="18"/>
                <w:szCs w:val="18"/>
                <w:lang w:val="en-US" w:eastAsia="zh-CN" w:bidi="ar"/>
              </w:rPr>
              <w:t>二身份</w:t>
            </w:r>
          </w:p>
        </w:tc>
        <w:tc>
          <w:tcPr>
            <w:tcW w:w="622" w:type="pct"/>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10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r>
              <w:rPr>
                <w:rFonts w:hint="eastAsia" w:ascii="宋体" w:hAnsi="宋体" w:cs="宋体"/>
                <w:i w:val="0"/>
                <w:iCs w:val="0"/>
                <w:color w:val="auto"/>
                <w:kern w:val="0"/>
                <w:sz w:val="18"/>
                <w:szCs w:val="18"/>
                <w:u w:val="none"/>
                <w:lang w:val="en-US" w:eastAsia="zh-CN" w:bidi="ar"/>
              </w:rPr>
              <w:t>5个月</w:t>
            </w:r>
            <w:r>
              <w:rPr>
                <w:rFonts w:hint="eastAsia" w:ascii="宋体" w:hAnsi="宋体" w:eastAsia="宋体" w:cs="宋体"/>
                <w:i w:val="0"/>
                <w:iCs w:val="0"/>
                <w:color w:val="auto"/>
                <w:kern w:val="0"/>
                <w:sz w:val="18"/>
                <w:szCs w:val="18"/>
                <w:u w:val="none"/>
                <w:lang w:val="en-US" w:eastAsia="zh-CN" w:bidi="ar"/>
              </w:rPr>
              <w:t>剧前广告</w:t>
            </w:r>
            <w:r>
              <w:rPr>
                <w:rFonts w:hint="eastAsia" w:ascii="宋体" w:hAnsi="宋体" w:cs="宋体"/>
                <w:i w:val="0"/>
                <w:iCs w:val="0"/>
                <w:color w:val="auto"/>
                <w:kern w:val="0"/>
                <w:sz w:val="18"/>
                <w:szCs w:val="18"/>
                <w:u w:val="none"/>
                <w:lang w:val="en-US" w:eastAsia="zh-CN" w:bidi="ar"/>
              </w:rPr>
              <w:t>每天2集5s+15s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互联网</w:t>
            </w:r>
          </w:p>
        </w:tc>
        <w:tc>
          <w:tcPr>
            <w:tcW w:w="4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大剧</w:t>
            </w:r>
          </w:p>
        </w:tc>
        <w:tc>
          <w:tcPr>
            <w:tcW w:w="144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4"/>
                <w:rFonts w:hint="eastAsia" w:ascii="宋体" w:hAnsi="宋体" w:eastAsia="宋体" w:cs="宋体"/>
                <w:color w:val="auto"/>
                <w:sz w:val="18"/>
                <w:szCs w:val="18"/>
                <w:lang w:val="en-US" w:eastAsia="zh-CN" w:bidi="ar"/>
              </w:rPr>
            </w:pPr>
            <w:r>
              <w:rPr>
                <w:rStyle w:val="14"/>
                <w:rFonts w:hint="eastAsia" w:ascii="宋体" w:hAnsi="宋体" w:eastAsia="宋体" w:cs="宋体"/>
                <w:color w:val="auto"/>
                <w:sz w:val="18"/>
                <w:szCs w:val="18"/>
                <w:lang w:val="en-US" w:eastAsia="zh-CN" w:bidi="ar"/>
              </w:rPr>
              <w:t>爱奇艺、腾讯、优酷平台</w:t>
            </w:r>
          </w:p>
          <w:p>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Style w:val="14"/>
                <w:rFonts w:hint="eastAsia" w:ascii="宋体" w:hAnsi="宋体" w:eastAsia="宋体" w:cs="宋体"/>
                <w:color w:val="auto"/>
                <w:sz w:val="18"/>
                <w:szCs w:val="18"/>
                <w:lang w:val="en-US" w:eastAsia="zh-CN" w:bidi="ar"/>
              </w:rPr>
              <w:t>S+级大剧</w:t>
            </w:r>
          </w:p>
        </w:tc>
        <w:tc>
          <w:tcPr>
            <w:tcW w:w="11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Style w:val="14"/>
                <w:rFonts w:hint="eastAsia" w:ascii="宋体" w:hAnsi="宋体" w:eastAsia="宋体" w:cs="宋体"/>
                <w:color w:val="auto"/>
                <w:sz w:val="18"/>
                <w:szCs w:val="18"/>
                <w:lang w:val="en-US" w:eastAsia="zh-CN" w:bidi="ar"/>
              </w:rPr>
            </w:pPr>
            <w:r>
              <w:rPr>
                <w:rStyle w:val="14"/>
                <w:rFonts w:hint="eastAsia" w:ascii="宋体" w:hAnsi="宋体" w:cs="宋体"/>
                <w:color w:val="auto"/>
                <w:sz w:val="18"/>
                <w:szCs w:val="18"/>
                <w:lang w:val="en-US" w:eastAsia="zh-CN" w:bidi="ar"/>
              </w:rPr>
              <w:t>片头口播5s/15s标板</w:t>
            </w:r>
          </w:p>
        </w:tc>
        <w:tc>
          <w:tcPr>
            <w:tcW w:w="622" w:type="pct"/>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auto"/>
                <w:sz w:val="18"/>
                <w:szCs w:val="18"/>
                <w:u w:val="none"/>
              </w:rPr>
            </w:pPr>
          </w:p>
        </w:tc>
        <w:tc>
          <w:tcPr>
            <w:tcW w:w="104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10集（需报5s、15s单价，最终大剧由招标方执行时确定）</w:t>
            </w:r>
          </w:p>
        </w:tc>
      </w:tr>
    </w:tbl>
    <w:p>
      <w:pPr>
        <w:rPr>
          <w:rFonts w:hint="default" w:ascii="Times New Roman" w:hAnsi="Times New Roman" w:eastAsia="宋体" w:cs="Times New Roman"/>
          <w:color w:val="auto"/>
          <w:kern w:val="2"/>
          <w:sz w:val="24"/>
          <w:szCs w:val="24"/>
          <w:highlight w:val="none"/>
          <w:lang w:val="en-US" w:eastAsia="zh-CN" w:bidi="ar-SA"/>
        </w:rPr>
      </w:pPr>
      <w:r>
        <w:rPr>
          <w:rFonts w:hint="eastAsia" w:ascii="微软雅黑" w:hAnsi="微软雅黑" w:eastAsia="微软雅黑" w:cs="微软雅黑"/>
          <w:b/>
          <w:bCs/>
          <w:color w:val="auto"/>
          <w:kern w:val="2"/>
          <w:sz w:val="24"/>
          <w:szCs w:val="24"/>
          <w:highlight w:val="none"/>
          <w:lang w:val="en-US" w:eastAsia="zh-CN" w:bidi="ar-SA"/>
        </w:rPr>
        <w:t>四、项目要求</w:t>
      </w:r>
    </w:p>
    <w:p>
      <w:pPr>
        <w:keepNext w:val="0"/>
        <w:keepLines w:val="0"/>
        <w:pageBreakBefore w:val="0"/>
        <w:kinsoku/>
        <w:wordWrap/>
        <w:overflowPunct/>
        <w:topLinePunct w:val="0"/>
        <w:bidi w:val="0"/>
        <w:spacing w:line="360" w:lineRule="auto"/>
        <w:ind w:firstLine="480" w:firstLineChars="200"/>
        <w:rPr>
          <w:rFonts w:hint="eastAsia" w:ascii="微软雅黑" w:hAnsi="微软雅黑" w:eastAsia="微软雅黑" w:cs="微软雅黑"/>
          <w:sz w:val="24"/>
          <w:szCs w:val="24"/>
          <w:highlight w:val="none"/>
          <w:lang w:val="en-US" w:eastAsia="zh-CN"/>
        </w:rPr>
      </w:pPr>
      <w:r>
        <w:rPr>
          <w:rFonts w:hint="eastAsia" w:ascii="微软雅黑" w:hAnsi="微软雅黑" w:eastAsia="微软雅黑" w:cs="微软雅黑"/>
          <w:sz w:val="24"/>
          <w:szCs w:val="24"/>
          <w:highlight w:val="none"/>
        </w:rPr>
        <w:t>1、</w:t>
      </w:r>
      <w:r>
        <w:rPr>
          <w:rFonts w:hint="eastAsia" w:ascii="微软雅黑" w:hAnsi="微软雅黑" w:eastAsia="微软雅黑" w:cs="微软雅黑"/>
          <w:sz w:val="24"/>
          <w:szCs w:val="24"/>
          <w:highlight w:val="none"/>
          <w:lang w:val="en-US" w:eastAsia="zh-CN"/>
        </w:rPr>
        <w:t>执行方案需包括：</w:t>
      </w:r>
      <w:r>
        <w:rPr>
          <w:rFonts w:hint="eastAsia" w:ascii="微软雅黑" w:hAnsi="微软雅黑" w:eastAsia="微软雅黑" w:cs="微软雅黑"/>
          <w:b/>
          <w:bCs/>
          <w:sz w:val="24"/>
          <w:szCs w:val="24"/>
          <w:highlight w:val="none"/>
        </w:rPr>
        <w:t>公司简介</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lang w:val="en-US" w:eastAsia="zh-CN"/>
        </w:rPr>
        <w:t>含案例</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rPr>
        <w:t>、</w:t>
      </w:r>
      <w:r>
        <w:rPr>
          <w:rFonts w:hint="eastAsia" w:ascii="微软雅黑" w:hAnsi="微软雅黑" w:eastAsia="微软雅黑" w:cs="微软雅黑"/>
          <w:b/>
          <w:bCs/>
          <w:sz w:val="24"/>
          <w:szCs w:val="24"/>
          <w:highlight w:val="none"/>
          <w:lang w:val="en-US" w:eastAsia="zh-CN"/>
        </w:rPr>
        <w:t>创意化内容、综艺大剧执行控制机制、突发情况应对机制、</w:t>
      </w:r>
      <w:r>
        <w:rPr>
          <w:rFonts w:hint="eastAsia" w:ascii="微软雅黑" w:hAnsi="微软雅黑" w:eastAsia="微软雅黑" w:cs="微软雅黑"/>
          <w:b/>
          <w:bCs/>
          <w:sz w:val="24"/>
          <w:szCs w:val="24"/>
          <w:highlight w:val="none"/>
        </w:rPr>
        <w:t>项目资源包</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lang w:val="en-US" w:eastAsia="zh-CN"/>
        </w:rPr>
        <w:t>综艺部分权益不得低于去年同节目同等身份权益</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rPr>
        <w:t>、执行计划表</w:t>
      </w:r>
      <w:r>
        <w:rPr>
          <w:rFonts w:hint="eastAsia" w:ascii="微软雅黑" w:hAnsi="微软雅黑" w:eastAsia="微软雅黑" w:cs="微软雅黑"/>
          <w:b/>
          <w:bCs/>
          <w:sz w:val="24"/>
          <w:szCs w:val="24"/>
          <w:highlight w:val="none"/>
          <w:lang w:val="en-US" w:eastAsia="zh-CN"/>
        </w:rPr>
        <w:t>、资源价格明细表（各单项报价及总价）</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rPr>
        <w:t>赠送资源</w:t>
      </w:r>
      <w:r>
        <w:rPr>
          <w:rFonts w:hint="eastAsia" w:ascii="微软雅黑" w:hAnsi="微软雅黑" w:eastAsia="微软雅黑" w:cs="微软雅黑"/>
          <w:b/>
          <w:bCs/>
          <w:sz w:val="24"/>
          <w:szCs w:val="24"/>
          <w:highlight w:val="none"/>
          <w:lang w:eastAsia="zh-CN"/>
        </w:rPr>
        <w:t>（</w:t>
      </w:r>
      <w:r>
        <w:rPr>
          <w:rFonts w:hint="eastAsia" w:ascii="微软雅黑" w:hAnsi="微软雅黑" w:eastAsia="微软雅黑" w:cs="微软雅黑"/>
          <w:b/>
          <w:bCs/>
          <w:sz w:val="24"/>
          <w:szCs w:val="24"/>
          <w:highlight w:val="none"/>
          <w:lang w:val="en-US" w:eastAsia="zh-CN"/>
        </w:rPr>
        <w:t>若有</w:t>
      </w:r>
      <w:r>
        <w:rPr>
          <w:rFonts w:hint="eastAsia" w:ascii="微软雅黑" w:hAnsi="微软雅黑" w:eastAsia="微软雅黑" w:cs="微软雅黑"/>
          <w:b/>
          <w:bCs/>
          <w:sz w:val="24"/>
          <w:szCs w:val="24"/>
          <w:highlight w:val="none"/>
          <w:lang w:eastAsia="zh-CN"/>
        </w:rPr>
        <w:t>）；</w:t>
      </w:r>
    </w:p>
    <w:p>
      <w:pPr>
        <w:pStyle w:val="2"/>
        <w:ind w:left="0" w:leftChars="0" w:firstLine="420" w:firstLineChars="0"/>
        <w:jc w:val="both"/>
        <w:rPr>
          <w:rFonts w:hint="eastAsia" w:ascii="微软雅黑" w:hAnsi="微软雅黑" w:eastAsia="微软雅黑" w:cs="微软雅黑"/>
          <w:sz w:val="24"/>
          <w:szCs w:val="24"/>
          <w:highlight w:val="none"/>
        </w:rPr>
      </w:pPr>
      <w:r>
        <w:rPr>
          <w:rFonts w:hint="eastAsia" w:ascii="微软雅黑" w:hAnsi="微软雅黑" w:eastAsia="微软雅黑" w:cs="微软雅黑"/>
          <w:sz w:val="24"/>
          <w:szCs w:val="24"/>
          <w:highlight w:val="none"/>
          <w:lang w:val="en-US" w:eastAsia="zh-CN"/>
        </w:rPr>
        <w:t>2、</w:t>
      </w:r>
      <w:r>
        <w:rPr>
          <w:rFonts w:hint="eastAsia" w:ascii="微软雅黑" w:hAnsi="微软雅黑" w:eastAsia="微软雅黑" w:cs="微软雅黑"/>
          <w:sz w:val="24"/>
          <w:szCs w:val="24"/>
          <w:highlight w:val="none"/>
          <w:lang w:val="en-US" w:eastAsia="zh-CN"/>
        </w:rPr>
        <w:tab/>
      </w:r>
      <w:r>
        <w:rPr>
          <w:rFonts w:hint="eastAsia" w:ascii="微软雅黑" w:hAnsi="微软雅黑" w:eastAsia="微软雅黑" w:cs="微软雅黑"/>
          <w:sz w:val="24"/>
          <w:szCs w:val="24"/>
          <w:highlight w:val="none"/>
          <w:lang w:val="en-US" w:eastAsia="zh-CN"/>
        </w:rPr>
        <w:t>投放周</w:t>
      </w:r>
      <w:r>
        <w:rPr>
          <w:rFonts w:hint="eastAsia" w:ascii="微软雅黑" w:hAnsi="微软雅黑" w:eastAsia="微软雅黑" w:cs="微软雅黑"/>
          <w:sz w:val="24"/>
          <w:szCs w:val="24"/>
          <w:highlight w:val="none"/>
        </w:rPr>
        <w:t>期</w:t>
      </w:r>
      <w:r>
        <w:rPr>
          <w:rFonts w:hint="eastAsia" w:ascii="微软雅黑" w:hAnsi="微软雅黑" w:eastAsia="微软雅黑" w:cs="微软雅黑"/>
          <w:sz w:val="24"/>
          <w:szCs w:val="24"/>
          <w:highlight w:val="none"/>
          <w:lang w:val="en-US" w:eastAsia="zh-CN"/>
        </w:rPr>
        <w:t>要求</w:t>
      </w:r>
      <w:r>
        <w:rPr>
          <w:rFonts w:hint="eastAsia" w:ascii="微软雅黑" w:hAnsi="微软雅黑" w:eastAsia="微软雅黑" w:cs="微软雅黑"/>
          <w:sz w:val="24"/>
          <w:szCs w:val="24"/>
          <w:highlight w:val="none"/>
        </w:rPr>
        <w:t>：2023年</w:t>
      </w:r>
      <w:r>
        <w:rPr>
          <w:rFonts w:hint="eastAsia" w:ascii="微软雅黑" w:hAnsi="微软雅黑" w:eastAsia="微软雅黑" w:cs="微软雅黑"/>
          <w:sz w:val="24"/>
          <w:szCs w:val="24"/>
          <w:highlight w:val="none"/>
          <w:lang w:val="en-US" w:eastAsia="zh-CN"/>
        </w:rPr>
        <w:t>8月</w:t>
      </w:r>
      <w:r>
        <w:rPr>
          <w:rFonts w:hint="eastAsia" w:ascii="微软雅黑" w:hAnsi="微软雅黑" w:eastAsia="微软雅黑" w:cs="微软雅黑"/>
          <w:sz w:val="24"/>
          <w:szCs w:val="24"/>
          <w:highlight w:val="none"/>
        </w:rPr>
        <w:t>-202</w:t>
      </w:r>
      <w:r>
        <w:rPr>
          <w:rFonts w:hint="eastAsia" w:ascii="微软雅黑" w:hAnsi="微软雅黑" w:eastAsia="微软雅黑" w:cs="微软雅黑"/>
          <w:sz w:val="24"/>
          <w:szCs w:val="24"/>
          <w:highlight w:val="none"/>
          <w:lang w:val="en-US" w:eastAsia="zh-CN"/>
        </w:rPr>
        <w:t>3</w:t>
      </w:r>
      <w:r>
        <w:rPr>
          <w:rFonts w:hint="eastAsia" w:ascii="微软雅黑" w:hAnsi="微软雅黑" w:eastAsia="微软雅黑" w:cs="微软雅黑"/>
          <w:sz w:val="24"/>
          <w:szCs w:val="24"/>
          <w:highlight w:val="none"/>
        </w:rPr>
        <w:t>年</w:t>
      </w:r>
      <w:r>
        <w:rPr>
          <w:rFonts w:hint="eastAsia" w:ascii="微软雅黑" w:hAnsi="微软雅黑" w:eastAsia="微软雅黑" w:cs="微软雅黑"/>
          <w:sz w:val="24"/>
          <w:szCs w:val="24"/>
          <w:highlight w:val="none"/>
          <w:lang w:val="en-US" w:eastAsia="zh-CN"/>
        </w:rPr>
        <w:t>12</w:t>
      </w:r>
      <w:r>
        <w:rPr>
          <w:rFonts w:hint="eastAsia" w:ascii="微软雅黑" w:hAnsi="微软雅黑" w:eastAsia="微软雅黑" w:cs="微软雅黑"/>
          <w:sz w:val="24"/>
          <w:szCs w:val="24"/>
          <w:highlight w:val="none"/>
        </w:rPr>
        <w:t>月</w:t>
      </w:r>
    </w:p>
    <w:p>
      <w:pPr>
        <w:keepNext w:val="0"/>
        <w:keepLines w:val="0"/>
        <w:pageBreakBefore w:val="0"/>
        <w:kinsoku/>
        <w:wordWrap/>
        <w:overflowPunct/>
        <w:topLinePunct w:val="0"/>
        <w:bidi w:val="0"/>
        <w:adjustRightInd w:val="0"/>
        <w:snapToGrid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3、三方监测及效果评估</w:t>
      </w:r>
      <w:r>
        <w:rPr>
          <w:rFonts w:hint="eastAsia" w:ascii="微软雅黑" w:hAnsi="微软雅黑" w:eastAsia="微软雅黑" w:cs="微软雅黑"/>
          <w:sz w:val="24"/>
          <w:szCs w:val="24"/>
          <w:lang w:val="en-US" w:eastAsia="zh-CN"/>
        </w:rPr>
        <w:t>要求</w:t>
      </w:r>
      <w:r>
        <w:rPr>
          <w:rFonts w:hint="eastAsia" w:ascii="微软雅黑" w:hAnsi="微软雅黑" w:eastAsia="微软雅黑" w:cs="微软雅黑"/>
          <w:sz w:val="24"/>
          <w:szCs w:val="24"/>
        </w:rPr>
        <w:t>：提供第三方监测及效果评估报告，权威三家中任意一家皆可。（益普索（IPSOS），凯度（KANTAR），央视市场研究（CTR））</w:t>
      </w:r>
    </w:p>
    <w:p>
      <w:pPr>
        <w:keepNext w:val="0"/>
        <w:keepLines w:val="0"/>
        <w:pageBreakBefore w:val="0"/>
        <w:kinsoku/>
        <w:wordWrap/>
        <w:overflowPunct/>
        <w:topLinePunct w:val="0"/>
        <w:bidi w:val="0"/>
        <w:adjustRightInd w:val="0"/>
        <w:snapToGrid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4</w:t>
      </w:r>
      <w:r>
        <w:rPr>
          <w:rFonts w:hint="eastAsia" w:ascii="微软雅黑" w:hAnsi="微软雅黑" w:eastAsia="微软雅黑" w:cs="微软雅黑"/>
          <w:sz w:val="24"/>
          <w:szCs w:val="24"/>
        </w:rPr>
        <w:t>、服务团队</w:t>
      </w:r>
      <w:r>
        <w:rPr>
          <w:rFonts w:hint="eastAsia" w:ascii="微软雅黑" w:hAnsi="微软雅黑" w:eastAsia="微软雅黑" w:cs="微软雅黑"/>
          <w:sz w:val="24"/>
          <w:szCs w:val="24"/>
          <w:lang w:val="en-US" w:eastAsia="zh-CN"/>
        </w:rPr>
        <w:t>要求</w:t>
      </w:r>
      <w:r>
        <w:rPr>
          <w:rFonts w:hint="eastAsia" w:ascii="微软雅黑" w:hAnsi="微软雅黑" w:eastAsia="微软雅黑" w:cs="微软雅黑"/>
          <w:sz w:val="24"/>
          <w:szCs w:val="24"/>
        </w:rPr>
        <w:t>：配备专门团队，</w:t>
      </w:r>
      <w:r>
        <w:rPr>
          <w:rFonts w:hint="eastAsia" w:ascii="微软雅黑" w:hAnsi="微软雅黑" w:eastAsia="微软雅黑" w:cs="微软雅黑"/>
          <w:sz w:val="24"/>
          <w:szCs w:val="24"/>
          <w:lang w:val="en-US" w:eastAsia="zh-CN"/>
        </w:rPr>
        <w:t>有打造亿级案例，近5年来承担过与涪陵榨菜集团具有相近规模的大型快消品企业项目服务，需有在本项目对应媒体平台上提供广告投放服务的成功案例，其案例金额应大于或等于本项目预算</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lang w:val="en-US" w:eastAsia="zh-CN"/>
        </w:rPr>
        <w:t>需拥有头部综艺冠名合作案例。</w:t>
      </w:r>
    </w:p>
    <w:p>
      <w:pPr>
        <w:keepNext w:val="0"/>
        <w:keepLines w:val="0"/>
        <w:pageBreakBefore w:val="0"/>
        <w:kinsoku/>
        <w:wordWrap/>
        <w:overflowPunct/>
        <w:topLinePunct w:val="0"/>
        <w:bidi w:val="0"/>
        <w:adjustRightInd w:val="0"/>
        <w:snapToGrid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5、</w:t>
      </w:r>
      <w:r>
        <w:rPr>
          <w:rFonts w:hint="eastAsia" w:ascii="微软雅黑" w:hAnsi="微软雅黑" w:eastAsia="微软雅黑" w:cs="微软雅黑"/>
          <w:sz w:val="24"/>
          <w:szCs w:val="24"/>
        </w:rPr>
        <w:t>确保团队成员均须具有较高职业操守，无弄虚作假、泄密等不良记录。确保团队负责人员及对接人员的稳定性。需满足招标方驻场需求，驻场人员需求销售1人、策划1人、媒介1人。</w:t>
      </w:r>
    </w:p>
    <w:p>
      <w:pPr>
        <w:adjustRightInd w:val="0"/>
        <w:snapToGrid w:val="0"/>
        <w:spacing w:line="360" w:lineRule="auto"/>
        <w:ind w:firstLine="480" w:firstLineChars="200"/>
        <w:rPr>
          <w:rFonts w:hint="default"/>
          <w:highlight w:val="yellow"/>
          <w:lang w:val="en-US" w:eastAsia="zh-CN"/>
        </w:rPr>
      </w:pPr>
      <w:r>
        <w:rPr>
          <w:rFonts w:hint="eastAsia" w:ascii="微软雅黑" w:hAnsi="微软雅黑" w:eastAsia="微软雅黑" w:cs="微软雅黑"/>
          <w:sz w:val="24"/>
          <w:szCs w:val="24"/>
          <w:highlight w:val="none"/>
          <w:lang w:val="en-US" w:eastAsia="zh-CN"/>
        </w:rPr>
        <w:t>6、投标单位需提供</w:t>
      </w:r>
      <w:r>
        <w:rPr>
          <w:rFonts w:hint="eastAsia" w:ascii="微软雅黑" w:hAnsi="微软雅黑" w:eastAsia="微软雅黑" w:cs="微软雅黑"/>
          <w:b/>
          <w:bCs/>
          <w:sz w:val="24"/>
          <w:szCs w:val="24"/>
          <w:highlight w:val="none"/>
          <w:lang w:val="en-US" w:eastAsia="zh-CN"/>
        </w:rPr>
        <w:t>200万人民币保证金，项目验收合格后一次性无息退还</w:t>
      </w:r>
      <w:r>
        <w:rPr>
          <w:rFonts w:hint="eastAsia" w:ascii="微软雅黑" w:hAnsi="微软雅黑" w:eastAsia="微软雅黑" w:cs="微软雅黑"/>
          <w:sz w:val="24"/>
          <w:szCs w:val="24"/>
          <w:highlight w:val="none"/>
          <w:lang w:val="en-US" w:eastAsia="zh-CN"/>
        </w:rPr>
        <w:t>。</w:t>
      </w:r>
    </w:p>
    <w:p>
      <w:pPr>
        <w:keepNext w:val="0"/>
        <w:keepLines w:val="0"/>
        <w:pageBreakBefore w:val="0"/>
        <w:kinsoku/>
        <w:wordWrap/>
        <w:overflowPunct/>
        <w:topLinePunct w:val="0"/>
        <w:bidi w:val="0"/>
        <w:adjustRightInd w:val="0"/>
        <w:snapToGrid w:val="0"/>
        <w:spacing w:line="360" w:lineRule="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lang w:val="en-US" w:eastAsia="zh-CN"/>
        </w:rPr>
        <w:t>五、</w:t>
      </w:r>
      <w:r>
        <w:rPr>
          <w:rFonts w:hint="eastAsia" w:ascii="微软雅黑" w:hAnsi="微软雅黑" w:eastAsia="微软雅黑" w:cs="微软雅黑"/>
          <w:b/>
          <w:bCs/>
          <w:sz w:val="24"/>
          <w:szCs w:val="24"/>
        </w:rPr>
        <w:t>纪律要求</w:t>
      </w:r>
    </w:p>
    <w:p>
      <w:pPr>
        <w:keepNext w:val="0"/>
        <w:keepLines w:val="0"/>
        <w:pageBreakBefore w:val="0"/>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sz w:val="24"/>
          <w:szCs w:val="24"/>
        </w:rPr>
        <w:t>1、具有关联关系的法人主体（包括不限于总公司和分公司、母公司和子公司、同一法定代表人或实际控制人控制的企业）不能以不同的供应商身份参加投标。</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2、供应商参加投标不得有下列情形：</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 xml:space="preserve">（1）提供虚假材料谋取中标； </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 xml:space="preserve">（2）采取不正当手段诋毁、排挤其他供应商； </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 xml:space="preserve">（3）与招标采购单位、其他供应商恶意串通； </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 xml:space="preserve">（4）向招标采购单位、评标委员会成员行贿或者提供其他不正当利益； </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 xml:space="preserve">（5）存在不诚信行为； </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color w:val="000000"/>
          <w:kern w:val="0"/>
          <w:sz w:val="24"/>
          <w:szCs w:val="24"/>
          <w:lang w:eastAsia="zh-CN" w:bidi="ar"/>
        </w:rPr>
      </w:pPr>
      <w:r>
        <w:rPr>
          <w:rFonts w:hint="eastAsia" w:ascii="微软雅黑" w:hAnsi="微软雅黑" w:eastAsia="微软雅黑" w:cs="微软雅黑"/>
          <w:color w:val="000000"/>
          <w:kern w:val="0"/>
          <w:sz w:val="24"/>
          <w:szCs w:val="24"/>
          <w:lang w:bidi="ar"/>
        </w:rPr>
        <w:t>（6）拒绝有关部门的监督检查或者向监督检查部门提供虚假情况</w:t>
      </w:r>
      <w:r>
        <w:rPr>
          <w:rFonts w:hint="eastAsia" w:ascii="微软雅黑" w:hAnsi="微软雅黑" w:eastAsia="微软雅黑" w:cs="微软雅黑"/>
          <w:color w:val="000000"/>
          <w:kern w:val="0"/>
          <w:sz w:val="24"/>
          <w:szCs w:val="24"/>
          <w:lang w:eastAsia="zh-CN" w:bidi="ar"/>
        </w:rPr>
        <w:t>；</w:t>
      </w:r>
    </w:p>
    <w:p>
      <w:pPr>
        <w:pStyle w:val="2"/>
        <w:keepNext w:val="0"/>
        <w:keepLines w:val="0"/>
        <w:pageBreakBefore w:val="0"/>
        <w:widowControl w:val="0"/>
        <w:kinsoku/>
        <w:wordWrap/>
        <w:overflowPunct/>
        <w:topLinePunct w:val="0"/>
        <w:autoSpaceDE/>
        <w:autoSpaceDN/>
        <w:bidi w:val="0"/>
        <w:adjustRightInd/>
        <w:snapToGrid/>
        <w:ind w:left="0" w:leftChars="0" w:firstLine="480" w:firstLineChars="200"/>
        <w:textAlignment w:val="auto"/>
        <w:rPr>
          <w:rFonts w:hint="default" w:eastAsia="微软雅黑"/>
          <w:lang w:val="en-US" w:eastAsia="zh-CN"/>
        </w:rPr>
      </w:pPr>
      <w:r>
        <w:rPr>
          <w:rFonts w:hint="eastAsia" w:ascii="微软雅黑" w:hAnsi="微软雅黑" w:eastAsia="微软雅黑" w:cs="微软雅黑"/>
          <w:color w:val="000000"/>
          <w:kern w:val="0"/>
          <w:sz w:val="24"/>
          <w:szCs w:val="24"/>
          <w:lang w:eastAsia="zh-CN" w:bidi="ar"/>
        </w:rPr>
        <w:t>（</w:t>
      </w:r>
      <w:r>
        <w:rPr>
          <w:rFonts w:hint="eastAsia" w:ascii="微软雅黑" w:hAnsi="微软雅黑" w:eastAsia="微软雅黑" w:cs="微软雅黑"/>
          <w:color w:val="000000"/>
          <w:kern w:val="0"/>
          <w:sz w:val="24"/>
          <w:szCs w:val="24"/>
          <w:lang w:val="en-US" w:eastAsia="zh-CN" w:bidi="ar"/>
        </w:rPr>
        <w:t>7）如有恶性报低价等行为导致项目无法下单或执行的。</w:t>
      </w:r>
    </w:p>
    <w:p>
      <w:pPr>
        <w:keepNext w:val="0"/>
        <w:keepLines w:val="0"/>
        <w:pageBreakBefore w:val="0"/>
        <w:widowControl/>
        <w:kinsoku/>
        <w:wordWrap/>
        <w:overflowPunct/>
        <w:topLinePunct w:val="0"/>
        <w:bidi w:val="0"/>
        <w:spacing w:line="360" w:lineRule="auto"/>
        <w:ind w:firstLine="480" w:firstLineChars="200"/>
        <w:rPr>
          <w:rFonts w:hint="eastAsia" w:ascii="微软雅黑" w:hAnsi="微软雅黑" w:eastAsia="微软雅黑" w:cs="微软雅黑"/>
          <w:sz w:val="24"/>
          <w:szCs w:val="24"/>
        </w:rPr>
      </w:pPr>
      <w:r>
        <w:rPr>
          <w:rFonts w:hint="eastAsia" w:ascii="微软雅黑" w:hAnsi="微软雅黑" w:eastAsia="微软雅黑" w:cs="微软雅黑"/>
          <w:color w:val="000000"/>
          <w:kern w:val="0"/>
          <w:sz w:val="24"/>
          <w:szCs w:val="24"/>
          <w:lang w:bidi="ar"/>
        </w:rPr>
        <w:t>有上述情形之一的供应商，属于不合格供应商，其投标或中标资格将被取消，且已交纳保证金不予退还。以上要求同样适用于中标后的执行过程。</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lang w:val="en-US" w:eastAsia="zh-CN"/>
        </w:rPr>
        <w:t>3、投标人需</w:t>
      </w:r>
      <w:r>
        <w:rPr>
          <w:rFonts w:hint="eastAsia" w:ascii="微软雅黑" w:hAnsi="微软雅黑" w:eastAsia="微软雅黑" w:cs="微软雅黑"/>
          <w:sz w:val="24"/>
          <w:szCs w:val="24"/>
        </w:rPr>
        <w:t>提前 20 分钟到达招标会议现场签到。讲标内容为供应商可</w:t>
      </w:r>
      <w:r>
        <w:rPr>
          <w:rFonts w:hint="eastAsia" w:ascii="微软雅黑" w:hAnsi="微软雅黑" w:eastAsia="微软雅黑" w:cs="微软雅黑"/>
          <w:sz w:val="24"/>
          <w:szCs w:val="24"/>
          <w:lang w:val="en-US" w:eastAsia="zh-CN"/>
        </w:rPr>
        <w:t>落地</w:t>
      </w:r>
      <w:r>
        <w:rPr>
          <w:rFonts w:hint="eastAsia" w:ascii="微软雅黑" w:hAnsi="微软雅黑" w:eastAsia="微软雅黑" w:cs="微软雅黑"/>
          <w:sz w:val="24"/>
          <w:szCs w:val="24"/>
        </w:rPr>
        <w:t>的服务方案，统一以 PPT 形式进行展示。</w:t>
      </w:r>
    </w:p>
    <w:p>
      <w:pPr>
        <w:keepNext w:val="0"/>
        <w:keepLines w:val="0"/>
        <w:pageBreakBefore w:val="0"/>
        <w:kinsoku/>
        <w:wordWrap/>
        <w:overflowPunct/>
        <w:topLinePunct w:val="0"/>
        <w:bidi w:val="0"/>
        <w:adjustRightInd w:val="0"/>
        <w:snapToGrid w:val="0"/>
        <w:spacing w:line="360" w:lineRule="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六、项目预算</w:t>
      </w:r>
    </w:p>
    <w:p>
      <w:pPr>
        <w:ind w:firstLine="480" w:firstLineChars="200"/>
      </w:pPr>
      <w:r>
        <w:rPr>
          <w:rFonts w:hint="eastAsia" w:ascii="微软雅黑" w:hAnsi="微软雅黑" w:eastAsia="微软雅黑" w:cs="微软雅黑"/>
          <w:color w:val="auto"/>
          <w:sz w:val="24"/>
          <w:szCs w:val="24"/>
        </w:rPr>
        <w:t>人民币</w:t>
      </w:r>
      <w:r>
        <w:rPr>
          <w:rFonts w:hint="eastAsia" w:ascii="微软雅黑" w:hAnsi="微软雅黑" w:eastAsia="微软雅黑" w:cs="微软雅黑"/>
          <w:color w:val="auto"/>
          <w:sz w:val="24"/>
          <w:szCs w:val="24"/>
          <w:lang w:val="en-US" w:eastAsia="zh-CN"/>
        </w:rPr>
        <w:t>7650万</w:t>
      </w:r>
      <w:r>
        <w:rPr>
          <w:rFonts w:hint="eastAsia" w:ascii="微软雅黑" w:hAnsi="微软雅黑" w:eastAsia="微软雅黑" w:cs="微软雅黑"/>
          <w:color w:val="auto"/>
          <w:sz w:val="24"/>
          <w:szCs w:val="24"/>
        </w:rPr>
        <w:t>元整，大写：</w:t>
      </w:r>
      <w:r>
        <w:rPr>
          <w:rFonts w:hint="eastAsia" w:ascii="微软雅黑" w:hAnsi="微软雅黑" w:eastAsia="微软雅黑" w:cs="微软雅黑"/>
          <w:color w:val="auto"/>
          <w:sz w:val="24"/>
          <w:szCs w:val="24"/>
          <w:lang w:val="en-US" w:eastAsia="zh-CN"/>
        </w:rPr>
        <w:t>柒仟陆佰伍拾万元</w:t>
      </w:r>
      <w:r>
        <w:rPr>
          <w:rFonts w:hint="eastAsia" w:ascii="微软雅黑" w:hAnsi="微软雅黑" w:eastAsia="微软雅黑" w:cs="微软雅黑"/>
          <w:color w:val="auto"/>
          <w:sz w:val="24"/>
          <w:szCs w:val="24"/>
        </w:rPr>
        <w:t>整</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val="en-US" w:eastAsia="zh-CN"/>
        </w:rPr>
        <w:t>含税</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rPr>
        <w:t>。</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multilevel"/>
    <w:tmpl w:val="00000007"/>
    <w:lvl w:ilvl="0" w:tentative="0">
      <w:start w:val="1"/>
      <w:numFmt w:val="upperRoman"/>
      <w:pStyle w:val="4"/>
      <w:lvlText w:val="第 %1 条"/>
      <w:lvlJc w:val="left"/>
      <w:pPr>
        <w:tabs>
          <w:tab w:val="left" w:pos="1080"/>
        </w:tabs>
      </w:pPr>
      <w:rPr>
        <w:rFonts w:cs="Times New Roman"/>
      </w:rPr>
    </w:lvl>
    <w:lvl w:ilvl="1" w:tentative="0">
      <w:start w:val="1"/>
      <w:numFmt w:val="decimalZero"/>
      <w:isLgl/>
      <w:lvlText w:val="节 %1.%2"/>
      <w:lvlJc w:val="left"/>
      <w:pPr>
        <w:tabs>
          <w:tab w:val="left" w:pos="720"/>
        </w:tabs>
      </w:pPr>
      <w:rPr>
        <w:rFonts w:cs="Times New Roman"/>
      </w:rPr>
    </w:lvl>
    <w:lvl w:ilvl="2" w:tentative="0">
      <w:start w:val="1"/>
      <w:numFmt w:val="lowerLetter"/>
      <w:lvlText w:val="(%3)"/>
      <w:lvlJc w:val="left"/>
      <w:pPr>
        <w:tabs>
          <w:tab w:val="left" w:pos="720"/>
        </w:tabs>
        <w:ind w:left="720" w:hanging="432"/>
      </w:pPr>
      <w:rPr>
        <w:rFonts w:cs="Times New Roman"/>
      </w:rPr>
    </w:lvl>
    <w:lvl w:ilvl="3" w:tentative="0">
      <w:start w:val="1"/>
      <w:numFmt w:val="lowerRoman"/>
      <w:lvlText w:val="(%4)"/>
      <w:lvlJc w:val="right"/>
      <w:pPr>
        <w:tabs>
          <w:tab w:val="left" w:pos="864"/>
        </w:tabs>
        <w:ind w:left="864" w:hanging="144"/>
      </w:pPr>
      <w:rPr>
        <w:rFonts w:cs="Times New Roman"/>
      </w:rPr>
    </w:lvl>
    <w:lvl w:ilvl="4" w:tentative="0">
      <w:start w:val="1"/>
      <w:numFmt w:val="decimal"/>
      <w:lvlText w:val="%5)"/>
      <w:lvlJc w:val="left"/>
      <w:pPr>
        <w:tabs>
          <w:tab w:val="left" w:pos="1008"/>
        </w:tabs>
        <w:ind w:left="1008" w:hanging="432"/>
      </w:pPr>
      <w:rPr>
        <w:rFonts w:cs="Times New Roman"/>
      </w:rPr>
    </w:lvl>
    <w:lvl w:ilvl="5" w:tentative="0">
      <w:start w:val="1"/>
      <w:numFmt w:val="lowerLetter"/>
      <w:lvlText w:val="%6)"/>
      <w:lvlJc w:val="left"/>
      <w:pPr>
        <w:tabs>
          <w:tab w:val="left" w:pos="1152"/>
        </w:tabs>
        <w:ind w:left="1152" w:hanging="432"/>
      </w:pPr>
      <w:rPr>
        <w:rFonts w:cs="Times New Roman"/>
      </w:rPr>
    </w:lvl>
    <w:lvl w:ilvl="6" w:tentative="0">
      <w:start w:val="1"/>
      <w:numFmt w:val="lowerRoman"/>
      <w:lvlText w:val="%7)"/>
      <w:lvlJc w:val="right"/>
      <w:pPr>
        <w:tabs>
          <w:tab w:val="left" w:pos="1296"/>
        </w:tabs>
        <w:ind w:left="1296" w:hanging="288"/>
      </w:pPr>
      <w:rPr>
        <w:rFonts w:cs="Times New Roman"/>
      </w:rPr>
    </w:lvl>
    <w:lvl w:ilvl="7" w:tentative="0">
      <w:start w:val="1"/>
      <w:numFmt w:val="lowerLetter"/>
      <w:lvlText w:val="%8."/>
      <w:lvlJc w:val="left"/>
      <w:pPr>
        <w:tabs>
          <w:tab w:val="left" w:pos="1440"/>
        </w:tabs>
        <w:ind w:left="1440" w:hanging="432"/>
      </w:pPr>
      <w:rPr>
        <w:rFonts w:cs="Times New Roman"/>
      </w:rPr>
    </w:lvl>
    <w:lvl w:ilvl="8" w:tentative="0">
      <w:start w:val="1"/>
      <w:numFmt w:val="lowerRoman"/>
      <w:lvlText w:val="%9."/>
      <w:lvlJc w:val="right"/>
      <w:pPr>
        <w:tabs>
          <w:tab w:val="left" w:pos="1584"/>
        </w:tabs>
        <w:ind w:left="1584" w:hanging="144"/>
      </w:pPr>
      <w:rPr>
        <w:rFonts w:cs="Times New Roman"/>
      </w:rPr>
    </w:lvl>
  </w:abstractNum>
  <w:abstractNum w:abstractNumId="1">
    <w:nsid w:val="3F835D3D"/>
    <w:multiLevelType w:val="singleLevel"/>
    <w:tmpl w:val="3F835D3D"/>
    <w:lvl w:ilvl="0" w:tentative="0">
      <w:start w:val="1"/>
      <w:numFmt w:val="decimal"/>
      <w:suff w:val="nothing"/>
      <w:lvlText w:val="%1、"/>
      <w:lvlJc w:val="left"/>
    </w:lvl>
  </w:abstractNum>
  <w:abstractNum w:abstractNumId="2">
    <w:nsid w:val="7ADBE628"/>
    <w:multiLevelType w:val="singleLevel"/>
    <w:tmpl w:val="7ADBE628"/>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5YjZiYzdiOThkOTYyOWM2YWFlZGIyZjIyM2NmMjQifQ=="/>
  </w:docVars>
  <w:rsids>
    <w:rsidRoot w:val="00000000"/>
    <w:rsid w:val="00A11D87"/>
    <w:rsid w:val="045925ED"/>
    <w:rsid w:val="061F0102"/>
    <w:rsid w:val="064816EE"/>
    <w:rsid w:val="07A62D33"/>
    <w:rsid w:val="115E178F"/>
    <w:rsid w:val="12B4296B"/>
    <w:rsid w:val="13D63EEF"/>
    <w:rsid w:val="1BDC525F"/>
    <w:rsid w:val="1FD47FE6"/>
    <w:rsid w:val="204B6589"/>
    <w:rsid w:val="26280641"/>
    <w:rsid w:val="2E717347"/>
    <w:rsid w:val="32083730"/>
    <w:rsid w:val="35782844"/>
    <w:rsid w:val="371530B3"/>
    <w:rsid w:val="3F0822D0"/>
    <w:rsid w:val="402E7B66"/>
    <w:rsid w:val="522402CC"/>
    <w:rsid w:val="53CB177F"/>
    <w:rsid w:val="60702FAF"/>
    <w:rsid w:val="6BB8652F"/>
    <w:rsid w:val="74D449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pPr>
    <w:rPr>
      <w:rFonts w:ascii="Times New Roman" w:hAnsi="Times New Roman" w:eastAsia="宋体" w:cs="Times New Roman"/>
      <w:kern w:val="2"/>
      <w:sz w:val="24"/>
      <w:szCs w:val="24"/>
      <w:lang w:val="en-US" w:eastAsia="zh-CN" w:bidi="ar-SA"/>
    </w:rPr>
  </w:style>
  <w:style w:type="paragraph" w:styleId="4">
    <w:name w:val="heading 1"/>
    <w:basedOn w:val="1"/>
    <w:next w:val="1"/>
    <w:qFormat/>
    <w:uiPriority w:val="0"/>
    <w:pPr>
      <w:keepNext/>
      <w:numPr>
        <w:ilvl w:val="0"/>
        <w:numId w:val="1"/>
      </w:numPr>
      <w:autoSpaceDE w:val="0"/>
      <w:autoSpaceDN w:val="0"/>
      <w:adjustRightInd w:val="0"/>
      <w:textAlignment w:val="baseline"/>
      <w:outlineLvl w:val="0"/>
    </w:pPr>
    <w:rPr>
      <w:b/>
      <w:bCs/>
      <w:kern w:val="44"/>
      <w:sz w:val="44"/>
      <w:szCs w:val="44"/>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四级标题"/>
    <w:basedOn w:val="3"/>
    <w:next w:val="1"/>
    <w:qFormat/>
    <w:uiPriority w:val="0"/>
    <w:rPr>
      <w:rFonts w:eastAsia="黑体"/>
      <w:sz w:val="24"/>
    </w:rPr>
  </w:style>
  <w:style w:type="paragraph" w:styleId="3">
    <w:name w:val="Date"/>
    <w:basedOn w:val="1"/>
    <w:next w:val="1"/>
    <w:qFormat/>
    <w:uiPriority w:val="0"/>
    <w:pPr>
      <w:ind w:left="100" w:leftChars="2500"/>
    </w:pPr>
    <w:rPr>
      <w:sz w:val="2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9">
    <w:name w:val="列出段落1"/>
    <w:basedOn w:val="1"/>
    <w:qFormat/>
    <w:uiPriority w:val="99"/>
    <w:pPr>
      <w:widowControl/>
      <w:ind w:firstLine="420" w:firstLineChars="200"/>
    </w:pPr>
    <w:rPr>
      <w:rFonts w:ascii="宋体" w:hAnsi="宋体" w:cs="宋体"/>
      <w:kern w:val="0"/>
    </w:rPr>
  </w:style>
  <w:style w:type="character" w:customStyle="1" w:styleId="10">
    <w:name w:val="font41"/>
    <w:basedOn w:val="8"/>
    <w:qFormat/>
    <w:uiPriority w:val="0"/>
    <w:rPr>
      <w:rFonts w:hint="eastAsia" w:ascii="宋体" w:hAnsi="宋体" w:eastAsia="宋体" w:cs="宋体"/>
      <w:b/>
      <w:bCs/>
      <w:color w:val="000000"/>
      <w:sz w:val="24"/>
      <w:szCs w:val="24"/>
      <w:u w:val="none"/>
    </w:rPr>
  </w:style>
  <w:style w:type="character" w:customStyle="1" w:styleId="11">
    <w:name w:val="font01"/>
    <w:basedOn w:val="8"/>
    <w:qFormat/>
    <w:uiPriority w:val="0"/>
    <w:rPr>
      <w:rFonts w:hint="eastAsia" w:ascii="宋体" w:hAnsi="宋体" w:eastAsia="宋体" w:cs="宋体"/>
      <w:color w:val="FF0000"/>
      <w:sz w:val="18"/>
      <w:szCs w:val="18"/>
      <w:u w:val="none"/>
    </w:rPr>
  </w:style>
  <w:style w:type="character" w:customStyle="1" w:styleId="12">
    <w:name w:val="font51"/>
    <w:basedOn w:val="8"/>
    <w:qFormat/>
    <w:uiPriority w:val="0"/>
    <w:rPr>
      <w:rFonts w:hint="eastAsia" w:ascii="宋体" w:hAnsi="宋体" w:eastAsia="宋体" w:cs="宋体"/>
      <w:color w:val="000000"/>
      <w:sz w:val="20"/>
      <w:szCs w:val="20"/>
      <w:u w:val="none"/>
    </w:rPr>
  </w:style>
  <w:style w:type="character" w:customStyle="1" w:styleId="13">
    <w:name w:val="font31"/>
    <w:basedOn w:val="8"/>
    <w:qFormat/>
    <w:uiPriority w:val="0"/>
    <w:rPr>
      <w:rFonts w:hint="eastAsia" w:ascii="宋体" w:hAnsi="宋体" w:eastAsia="宋体" w:cs="宋体"/>
      <w:color w:val="000000"/>
      <w:sz w:val="18"/>
      <w:szCs w:val="18"/>
      <w:u w:val="none"/>
    </w:rPr>
  </w:style>
  <w:style w:type="character" w:customStyle="1" w:styleId="14">
    <w:name w:val="font21"/>
    <w:basedOn w:val="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1904</Words>
  <Characters>2155</Characters>
  <Lines>0</Lines>
  <Paragraphs>0</Paragraphs>
  <TotalTime>28</TotalTime>
  <ScaleCrop>false</ScaleCrop>
  <LinksUpToDate>false</LinksUpToDate>
  <CharactersWithSpaces>2180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2023-06-27T01:34:00Z</dcterms:created>
  <dc:creator>2021-6-7</dc:creator>
  <cp:lastModifiedBy>严小峰</cp:lastModifiedBy>
  <dcterms:modified xsi:type="dcterms:W3CDTF">2023-07-10T02:21:36Z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22866F6C7E0B4408850D83A2AEFA1D34_13</vt:lpwstr>
  </property>
</Properties>
</file>