
<file path=[Content_Types].xml><?xml version="1.0" encoding="utf-8"?>
<Types xmlns="http://schemas.openxmlformats.org/package/2006/content-types">
  <Default Extension="xml" ContentType="application/xml"/>
  <Default Extension="png" ContentType="image/png"/>
  <Default Extension="wmf" ContentType="image/x-w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adjustRightInd w:val="0"/>
        <w:rPr>
          <w:rFonts w:ascii="Arial" w:hAnsi="Arial" w:eastAsia="仿宋" w:cs="Arial"/>
          <w:b/>
          <w:color w:val="000000"/>
          <w:sz w:val="48"/>
          <w:szCs w:val="48"/>
        </w:rPr>
      </w:pPr>
      <w:bookmarkStart w:id="0" w:name="_Toc19673875"/>
      <w:bookmarkStart w:id="1" w:name="_Toc15548756"/>
      <w:bookmarkStart w:id="2" w:name="_Toc26694410"/>
    </w:p>
    <w:p>
      <w:pPr>
        <w:autoSpaceDE w:val="0"/>
        <w:autoSpaceDN w:val="0"/>
        <w:adjustRightInd w:val="0"/>
        <w:rPr>
          <w:rFonts w:ascii="Arial" w:hAnsi="Arial" w:eastAsia="仿宋" w:cs="Arial"/>
          <w:b/>
          <w:color w:val="000000"/>
          <w:sz w:val="48"/>
          <w:szCs w:val="48"/>
        </w:rPr>
      </w:pPr>
    </w:p>
    <w:p>
      <w:pPr>
        <w:autoSpaceDE w:val="0"/>
        <w:autoSpaceDN w:val="0"/>
        <w:adjustRightInd w:val="0"/>
        <w:jc w:val="center"/>
        <w:outlineLvl w:val="9"/>
        <w:rPr>
          <w:rFonts w:hint="eastAsia" w:ascii="Arial" w:hAnsi="Arial" w:eastAsia="仿宋" w:cs="Arial"/>
          <w:b/>
          <w:color w:val="000000"/>
          <w:sz w:val="48"/>
          <w:szCs w:val="48"/>
          <w:lang w:val="en-US" w:eastAsia="zh-CN"/>
        </w:rPr>
      </w:pPr>
    </w:p>
    <w:p>
      <w:pPr>
        <w:autoSpaceDE w:val="0"/>
        <w:autoSpaceDN w:val="0"/>
        <w:adjustRightInd w:val="0"/>
        <w:spacing w:beforeLines="100" w:afterLines="100"/>
        <w:jc w:val="center"/>
        <w:rPr>
          <w:rFonts w:hint="eastAsia" w:ascii="Arial" w:hAnsi="仿宋" w:eastAsia="仿宋" w:cs="Arial"/>
          <w:b/>
          <w:sz w:val="52"/>
          <w:szCs w:val="52"/>
        </w:rPr>
      </w:pPr>
      <w:r>
        <w:rPr>
          <w:rFonts w:hint="eastAsia" w:ascii="Arial" w:hAnsi="仿宋" w:eastAsia="仿宋" w:cs="Arial"/>
          <w:b/>
          <w:sz w:val="52"/>
          <w:szCs w:val="52"/>
        </w:rPr>
        <w:t>重庆市涪陵榨菜集团股份有限公司</w:t>
      </w:r>
    </w:p>
    <w:p>
      <w:pPr>
        <w:autoSpaceDE w:val="0"/>
        <w:autoSpaceDN w:val="0"/>
        <w:adjustRightInd w:val="0"/>
        <w:spacing w:beforeLines="100" w:afterLines="100"/>
        <w:jc w:val="center"/>
        <w:rPr>
          <w:rFonts w:hint="default" w:ascii="Arial" w:hAnsi="Arial" w:eastAsia="仿宋" w:cs="Arial"/>
          <w:b/>
          <w:sz w:val="96"/>
          <w:szCs w:val="96"/>
          <w:lang w:val="en-US" w:eastAsia="zh-CN"/>
        </w:rPr>
      </w:pPr>
      <w:r>
        <w:rPr>
          <w:rFonts w:hint="eastAsia" w:ascii="Arial" w:hAnsi="仿宋" w:eastAsia="仿宋" w:cs="Arial"/>
          <w:b/>
          <w:sz w:val="52"/>
          <w:szCs w:val="52"/>
        </w:rPr>
        <w:t>乌江涪陵榨菜绿色智能化生产基地1</w:t>
      </w:r>
      <w:r>
        <w:rPr>
          <w:rFonts w:ascii="Arial" w:hAnsi="仿宋" w:eastAsia="仿宋" w:cs="Arial"/>
          <w:b/>
          <w:sz w:val="52"/>
          <w:szCs w:val="52"/>
        </w:rPr>
        <w:t>10</w:t>
      </w:r>
      <w:r>
        <w:rPr>
          <w:rFonts w:hint="eastAsia" w:ascii="Arial" w:hAnsi="仿宋" w:eastAsia="仿宋" w:cs="Arial"/>
          <w:b/>
          <w:sz w:val="52"/>
          <w:szCs w:val="52"/>
          <w:lang w:val="en-US" w:eastAsia="zh-CN"/>
        </w:rPr>
        <w:t>kv专用站勘察设计招标</w:t>
      </w:r>
    </w:p>
    <w:p>
      <w:pPr>
        <w:autoSpaceDE w:val="0"/>
        <w:autoSpaceDN w:val="0"/>
        <w:adjustRightInd w:val="0"/>
        <w:spacing w:beforeLines="100" w:afterLines="100"/>
        <w:jc w:val="center"/>
        <w:rPr>
          <w:rFonts w:ascii="Arial" w:hAnsi="仿宋" w:eastAsia="仿宋" w:cs="Arial"/>
          <w:b/>
          <w:color w:val="000000"/>
          <w:sz w:val="56"/>
          <w:szCs w:val="56"/>
        </w:rPr>
      </w:pPr>
      <w:r>
        <w:rPr>
          <w:rFonts w:hint="eastAsia" w:ascii="Arial" w:hAnsi="仿宋" w:eastAsia="仿宋" w:cs="Arial"/>
          <w:b/>
          <w:color w:val="000000"/>
          <w:sz w:val="56"/>
          <w:szCs w:val="56"/>
        </w:rPr>
        <w:t>技术规格书</w:t>
      </w:r>
    </w:p>
    <w:p>
      <w:pPr>
        <w:autoSpaceDE w:val="0"/>
        <w:autoSpaceDN w:val="0"/>
        <w:adjustRightInd w:val="0"/>
        <w:jc w:val="center"/>
        <w:rPr>
          <w:rFonts w:ascii="Arial" w:hAnsi="仿宋" w:eastAsia="仿宋" w:cs="Arial"/>
          <w:b/>
          <w:color w:val="000000"/>
          <w:sz w:val="36"/>
          <w:szCs w:val="36"/>
        </w:rPr>
      </w:pPr>
    </w:p>
    <w:p>
      <w:pPr>
        <w:autoSpaceDE w:val="0"/>
        <w:autoSpaceDN w:val="0"/>
        <w:adjustRightInd w:val="0"/>
        <w:jc w:val="center"/>
        <w:rPr>
          <w:rFonts w:ascii="Arial" w:hAnsi="仿宋" w:eastAsia="仿宋" w:cs="Arial"/>
          <w:b/>
          <w:color w:val="000000"/>
          <w:sz w:val="36"/>
          <w:szCs w:val="36"/>
        </w:rPr>
      </w:pPr>
    </w:p>
    <w:p>
      <w:pPr>
        <w:autoSpaceDE w:val="0"/>
        <w:autoSpaceDN w:val="0"/>
        <w:adjustRightInd w:val="0"/>
        <w:jc w:val="center"/>
        <w:rPr>
          <w:rFonts w:ascii="Arial" w:hAnsi="仿宋" w:eastAsia="仿宋" w:cs="Arial"/>
          <w:b/>
          <w:color w:val="000000"/>
          <w:sz w:val="36"/>
          <w:szCs w:val="36"/>
        </w:rPr>
      </w:pPr>
    </w:p>
    <w:p>
      <w:pPr>
        <w:autoSpaceDE w:val="0"/>
        <w:autoSpaceDN w:val="0"/>
        <w:adjustRightInd w:val="0"/>
        <w:jc w:val="center"/>
        <w:rPr>
          <w:rFonts w:ascii="Arial" w:hAnsi="仿宋" w:eastAsia="仿宋" w:cs="Arial"/>
          <w:b/>
          <w:color w:val="000000"/>
          <w:sz w:val="36"/>
          <w:szCs w:val="36"/>
        </w:rPr>
      </w:pPr>
    </w:p>
    <w:p>
      <w:pPr>
        <w:autoSpaceDE w:val="0"/>
        <w:autoSpaceDN w:val="0"/>
        <w:adjustRightInd w:val="0"/>
        <w:jc w:val="center"/>
        <w:rPr>
          <w:rFonts w:ascii="Arial" w:hAnsi="仿宋" w:eastAsia="仿宋" w:cs="Arial"/>
          <w:b/>
          <w:color w:val="000000"/>
          <w:sz w:val="36"/>
          <w:szCs w:val="36"/>
        </w:rPr>
      </w:pPr>
    </w:p>
    <w:p>
      <w:pPr>
        <w:autoSpaceDE w:val="0"/>
        <w:autoSpaceDN w:val="0"/>
        <w:adjustRightInd w:val="0"/>
        <w:jc w:val="center"/>
        <w:rPr>
          <w:rFonts w:ascii="Arial" w:hAnsi="仿宋" w:eastAsia="仿宋" w:cs="Arial"/>
          <w:b/>
          <w:color w:val="000000"/>
          <w:sz w:val="36"/>
          <w:szCs w:val="36"/>
        </w:rPr>
      </w:pPr>
    </w:p>
    <w:p>
      <w:pPr>
        <w:autoSpaceDE w:val="0"/>
        <w:autoSpaceDN w:val="0"/>
        <w:adjustRightInd w:val="0"/>
        <w:jc w:val="center"/>
        <w:rPr>
          <w:rFonts w:ascii="Arial" w:hAnsi="仿宋" w:eastAsia="仿宋" w:cs="Arial"/>
          <w:b/>
          <w:color w:val="000000"/>
          <w:sz w:val="36"/>
          <w:szCs w:val="36"/>
        </w:rPr>
      </w:pPr>
    </w:p>
    <w:p>
      <w:pPr>
        <w:autoSpaceDE w:val="0"/>
        <w:autoSpaceDN w:val="0"/>
        <w:adjustRightInd w:val="0"/>
        <w:jc w:val="center"/>
        <w:rPr>
          <w:rFonts w:hint="eastAsia" w:ascii="Arial" w:hAnsi="仿宋" w:eastAsia="仿宋" w:cs="Arial"/>
          <w:color w:val="000000"/>
          <w:sz w:val="40"/>
          <w:szCs w:val="40"/>
        </w:rPr>
      </w:pPr>
      <w:r>
        <w:rPr>
          <w:rFonts w:hint="eastAsia" w:ascii="Arial" w:hAnsi="仿宋" w:eastAsia="仿宋" w:cs="Arial"/>
          <w:b/>
          <w:color w:val="000000"/>
          <w:sz w:val="36"/>
          <w:szCs w:val="36"/>
          <w:lang w:eastAsia="zh-CN"/>
        </w:rPr>
        <w:t>招标单位</w:t>
      </w:r>
      <w:r>
        <w:rPr>
          <w:rFonts w:ascii="Arial" w:hAnsi="仿宋" w:eastAsia="仿宋" w:cs="Arial"/>
          <w:color w:val="000000"/>
          <w:sz w:val="40"/>
          <w:szCs w:val="40"/>
        </w:rPr>
        <w:t>：</w:t>
      </w:r>
      <w:r>
        <w:rPr>
          <w:rFonts w:hint="eastAsia" w:ascii="Arial" w:hAnsi="仿宋" w:eastAsia="仿宋" w:cs="Arial"/>
          <w:color w:val="000000"/>
          <w:sz w:val="40"/>
          <w:szCs w:val="40"/>
          <w:lang w:val="en-US" w:eastAsia="zh-CN"/>
        </w:rPr>
        <w:t>重庆市涪陵榨菜集团股份有限公司</w:t>
      </w:r>
      <w:r>
        <w:rPr>
          <w:rFonts w:hint="eastAsia" w:ascii="Arial" w:hAnsi="仿宋" w:eastAsia="仿宋" w:cs="Arial"/>
          <w:color w:val="000000"/>
          <w:sz w:val="40"/>
          <w:szCs w:val="40"/>
        </w:rPr>
        <w:t xml:space="preserve"> </w:t>
      </w:r>
    </w:p>
    <w:p>
      <w:pPr>
        <w:pStyle w:val="2"/>
        <w:rPr>
          <w:rFonts w:hint="eastAsia" w:ascii="Arial" w:hAnsi="仿宋" w:eastAsia="仿宋" w:cs="Arial"/>
          <w:color w:val="000000"/>
          <w:sz w:val="40"/>
          <w:szCs w:val="40"/>
        </w:rPr>
      </w:pPr>
    </w:p>
    <w:p>
      <w:pPr>
        <w:pStyle w:val="2"/>
        <w:rPr>
          <w:rFonts w:hint="eastAsia" w:ascii="Arial" w:hAnsi="仿宋" w:eastAsia="仿宋" w:cs="Arial"/>
          <w:color w:val="000000"/>
          <w:sz w:val="40"/>
          <w:szCs w:val="40"/>
        </w:rPr>
      </w:pPr>
    </w:p>
    <w:p>
      <w:pPr>
        <w:autoSpaceDE w:val="0"/>
        <w:autoSpaceDN w:val="0"/>
        <w:adjustRightInd w:val="0"/>
        <w:jc w:val="both"/>
        <w:rPr>
          <w:rFonts w:ascii="Arial" w:hAnsi="Arial" w:eastAsia="仿宋" w:cs="Arial"/>
          <w:b/>
          <w:color w:val="000000"/>
          <w:sz w:val="36"/>
          <w:szCs w:val="36"/>
        </w:rPr>
      </w:pPr>
    </w:p>
    <w:p>
      <w:pPr>
        <w:jc w:val="center"/>
        <w:rPr>
          <w:b/>
          <w:bCs/>
          <w:color w:val="000000"/>
          <w:sz w:val="32"/>
          <w:szCs w:val="28"/>
        </w:rPr>
        <w:sectPr>
          <w:headerReference r:id="rId3" w:type="default"/>
          <w:footerReference r:id="rId4" w:type="default"/>
          <w:type w:val="continuous"/>
          <w:pgSz w:w="11906" w:h="16838"/>
          <w:pgMar w:top="1558" w:right="1418" w:bottom="1246" w:left="1418" w:header="1021" w:footer="907" w:gutter="0"/>
          <w:pgNumType w:fmt="decimal" w:start="1"/>
          <w:cols w:space="425" w:num="1"/>
          <w:docGrid w:type="lines" w:linePitch="312" w:charSpace="0"/>
        </w:sectPr>
      </w:pPr>
    </w:p>
    <w:p>
      <w:pPr>
        <w:jc w:val="center"/>
        <w:outlineLvl w:val="0"/>
        <w:rPr>
          <w:b/>
          <w:bCs/>
          <w:color w:val="000000"/>
          <w:sz w:val="32"/>
          <w:szCs w:val="28"/>
        </w:rPr>
      </w:pPr>
      <w:bookmarkStart w:id="3" w:name="_Toc26719"/>
      <w:r>
        <w:rPr>
          <w:rFonts w:hint="eastAsia"/>
          <w:b/>
          <w:bCs/>
          <w:color w:val="000000"/>
          <w:sz w:val="32"/>
          <w:szCs w:val="28"/>
        </w:rPr>
        <w:t>目  录</w:t>
      </w:r>
      <w:bookmarkEnd w:id="3"/>
    </w:p>
    <w:p>
      <w:pPr>
        <w:pStyle w:val="43"/>
        <w:tabs>
          <w:tab w:val="right" w:leader="dot" w:pos="9070"/>
          <w:tab w:val="clear" w:pos="9085"/>
        </w:tabs>
      </w:pPr>
      <w:r>
        <w:rPr>
          <w:rFonts w:hint="eastAsia"/>
          <w:b/>
          <w:bCs/>
          <w:color w:val="000000"/>
          <w:sz w:val="28"/>
          <w:szCs w:val="28"/>
        </w:rPr>
        <w:fldChar w:fldCharType="begin"/>
      </w:r>
      <w:r>
        <w:rPr>
          <w:b/>
          <w:bCs/>
          <w:color w:val="000000"/>
          <w:sz w:val="28"/>
          <w:szCs w:val="28"/>
        </w:rPr>
        <w:instrText xml:space="preserve"> </w:instrText>
      </w:r>
      <w:r>
        <w:rPr>
          <w:rFonts w:hint="eastAsia"/>
          <w:b/>
          <w:bCs/>
          <w:color w:val="000000"/>
          <w:sz w:val="28"/>
          <w:szCs w:val="28"/>
        </w:rPr>
        <w:instrText xml:space="preserve">TOC \o "1-3" \h \z \u</w:instrText>
      </w:r>
      <w:r>
        <w:rPr>
          <w:b/>
          <w:bCs/>
          <w:color w:val="000000"/>
          <w:sz w:val="28"/>
          <w:szCs w:val="28"/>
        </w:rPr>
        <w:instrText xml:space="preserve"> </w:instrText>
      </w:r>
      <w:r>
        <w:rPr>
          <w:rFonts w:hint="eastAsia"/>
          <w:b/>
          <w:bCs/>
          <w:color w:val="000000"/>
          <w:sz w:val="28"/>
          <w:szCs w:val="28"/>
        </w:rPr>
        <w:fldChar w:fldCharType="separate"/>
      </w:r>
      <w:r>
        <w:rPr>
          <w:rFonts w:hint="eastAsia"/>
          <w:bCs/>
          <w:color w:val="000000"/>
          <w:szCs w:val="28"/>
        </w:rPr>
        <w:fldChar w:fldCharType="begin"/>
      </w:r>
      <w:r>
        <w:rPr>
          <w:rFonts w:hint="eastAsia"/>
          <w:bCs/>
          <w:szCs w:val="28"/>
        </w:rPr>
        <w:instrText xml:space="preserve"> HYPERLINK \l _Toc26719 </w:instrText>
      </w:r>
      <w:r>
        <w:rPr>
          <w:rFonts w:hint="eastAsia"/>
          <w:bCs/>
          <w:szCs w:val="28"/>
        </w:rPr>
        <w:fldChar w:fldCharType="separate"/>
      </w:r>
      <w:r>
        <w:rPr>
          <w:rFonts w:hint="eastAsia"/>
          <w:bCs/>
          <w:szCs w:val="28"/>
        </w:rPr>
        <w:t>目  录</w:t>
      </w:r>
      <w:r>
        <w:tab/>
      </w:r>
      <w:r>
        <w:fldChar w:fldCharType="begin"/>
      </w:r>
      <w:r>
        <w:instrText xml:space="preserve"> PAGEREF _Toc26719 \h </w:instrText>
      </w:r>
      <w:r>
        <w:fldChar w:fldCharType="separate"/>
      </w:r>
      <w:r>
        <w:t>1</w:t>
      </w:r>
      <w:r>
        <w:fldChar w:fldCharType="end"/>
      </w:r>
      <w:r>
        <w:rPr>
          <w:rFonts w:hint="eastAsia"/>
          <w:bCs/>
          <w:color w:val="000000"/>
          <w:szCs w:val="28"/>
        </w:rPr>
        <w:fldChar w:fldCharType="end"/>
      </w:r>
    </w:p>
    <w:p>
      <w:pPr>
        <w:pStyle w:val="43"/>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_Toc30229 </w:instrText>
      </w:r>
      <w:r>
        <w:rPr>
          <w:rFonts w:hint="eastAsia" w:ascii="黑体" w:eastAsia="黑体"/>
          <w:bCs/>
          <w:szCs w:val="28"/>
        </w:rPr>
        <w:fldChar w:fldCharType="separate"/>
      </w:r>
      <w:r>
        <w:rPr>
          <w:rFonts w:hint="eastAsia"/>
          <w:szCs w:val="32"/>
        </w:rPr>
        <w:t>第1章 总则</w:t>
      </w:r>
      <w:r>
        <w:tab/>
      </w:r>
      <w:r>
        <w:fldChar w:fldCharType="begin"/>
      </w:r>
      <w:r>
        <w:instrText xml:space="preserve"> PAGEREF _Toc30229 \h </w:instrText>
      </w:r>
      <w:r>
        <w:fldChar w:fldCharType="separate"/>
      </w:r>
      <w:r>
        <w:t>1</w:t>
      </w:r>
      <w:r>
        <w:fldChar w:fldCharType="end"/>
      </w:r>
      <w:r>
        <w:rPr>
          <w:rFonts w:hint="eastAsia" w:ascii="黑体" w:eastAsia="黑体"/>
          <w:bCs/>
          <w:color w:val="000000"/>
          <w:szCs w:val="28"/>
        </w:rPr>
        <w:fldChar w:fldCharType="end"/>
      </w:r>
    </w:p>
    <w:p>
      <w:pPr>
        <w:pStyle w:val="5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_Toc12369 </w:instrText>
      </w:r>
      <w:r>
        <w:rPr>
          <w:rFonts w:hint="eastAsia" w:ascii="黑体" w:eastAsia="黑体"/>
          <w:bCs/>
          <w:szCs w:val="28"/>
        </w:rPr>
        <w:fldChar w:fldCharType="separate"/>
      </w:r>
      <w:r>
        <w:rPr>
          <w:rFonts w:hint="eastAsia" w:ascii="Times New Roman"/>
          <w:szCs w:val="21"/>
          <w:lang w:val="en-US" w:eastAsia="zh-CN"/>
        </w:rPr>
        <w:t>1.1</w:t>
      </w:r>
      <w:r>
        <w:rPr>
          <w:rFonts w:hint="eastAsia" w:ascii="Times New Roman"/>
          <w:szCs w:val="21"/>
        </w:rPr>
        <w:t>概述</w:t>
      </w:r>
      <w:r>
        <w:tab/>
      </w:r>
      <w:r>
        <w:fldChar w:fldCharType="begin"/>
      </w:r>
      <w:r>
        <w:instrText xml:space="preserve"> PAGEREF _Toc12369 \h </w:instrText>
      </w:r>
      <w:r>
        <w:fldChar w:fldCharType="separate"/>
      </w:r>
      <w:r>
        <w:t>1</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_Toc15669 </w:instrText>
      </w:r>
      <w:r>
        <w:rPr>
          <w:rFonts w:hint="eastAsia" w:ascii="黑体" w:eastAsia="黑体"/>
          <w:bCs/>
          <w:szCs w:val="28"/>
        </w:rPr>
        <w:fldChar w:fldCharType="separate"/>
      </w:r>
      <w:r>
        <w:rPr>
          <w:rFonts w:hint="eastAsia"/>
          <w:szCs w:val="21"/>
        </w:rPr>
        <w:t>1.1.1 总体说明</w:t>
      </w:r>
      <w:r>
        <w:tab/>
      </w:r>
      <w:r>
        <w:fldChar w:fldCharType="begin"/>
      </w:r>
      <w:r>
        <w:instrText xml:space="preserve"> PAGEREF _Toc15669 \h </w:instrText>
      </w:r>
      <w:r>
        <w:fldChar w:fldCharType="separate"/>
      </w:r>
      <w:r>
        <w:t>1</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_Toc29364 </w:instrText>
      </w:r>
      <w:r>
        <w:rPr>
          <w:rFonts w:hint="eastAsia" w:ascii="黑体" w:eastAsia="黑体"/>
          <w:bCs/>
          <w:szCs w:val="28"/>
        </w:rPr>
        <w:fldChar w:fldCharType="separate"/>
      </w:r>
      <w:r>
        <w:rPr>
          <w:rFonts w:hint="eastAsia"/>
          <w:szCs w:val="21"/>
        </w:rPr>
        <w:t>1.1.2 招标图纸、资料</w:t>
      </w:r>
      <w:r>
        <w:tab/>
      </w:r>
      <w:r>
        <w:fldChar w:fldCharType="begin"/>
      </w:r>
      <w:r>
        <w:instrText xml:space="preserve"> PAGEREF _Toc29364 \h </w:instrText>
      </w:r>
      <w:r>
        <w:fldChar w:fldCharType="separate"/>
      </w:r>
      <w:r>
        <w:t>1</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_Toc20710 </w:instrText>
      </w:r>
      <w:r>
        <w:rPr>
          <w:rFonts w:hint="eastAsia" w:ascii="黑体" w:eastAsia="黑体"/>
          <w:bCs/>
          <w:szCs w:val="28"/>
        </w:rPr>
        <w:fldChar w:fldCharType="separate"/>
      </w:r>
      <w:r>
        <w:rPr>
          <w:szCs w:val="21"/>
        </w:rPr>
        <w:t>1.</w:t>
      </w:r>
      <w:r>
        <w:rPr>
          <w:rFonts w:hint="eastAsia"/>
          <w:szCs w:val="21"/>
        </w:rPr>
        <w:t>1.</w:t>
      </w:r>
      <w:r>
        <w:rPr>
          <w:rFonts w:hint="eastAsia"/>
          <w:szCs w:val="21"/>
          <w:lang w:val="en-US" w:eastAsia="zh-CN"/>
        </w:rPr>
        <w:t>3</w:t>
      </w:r>
      <w:r>
        <w:rPr>
          <w:rFonts w:hint="eastAsia"/>
          <w:szCs w:val="21"/>
        </w:rPr>
        <w:t xml:space="preserve"> 专利</w:t>
      </w:r>
      <w:r>
        <w:tab/>
      </w:r>
      <w:r>
        <w:fldChar w:fldCharType="begin"/>
      </w:r>
      <w:r>
        <w:instrText xml:space="preserve"> PAGEREF _Toc20710 \h </w:instrText>
      </w:r>
      <w:r>
        <w:fldChar w:fldCharType="separate"/>
      </w:r>
      <w:r>
        <w:t>1</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_Toc16562 </w:instrText>
      </w:r>
      <w:r>
        <w:rPr>
          <w:rFonts w:hint="eastAsia" w:ascii="黑体" w:eastAsia="黑体"/>
          <w:bCs/>
          <w:szCs w:val="28"/>
        </w:rPr>
        <w:fldChar w:fldCharType="separate"/>
      </w:r>
      <w:r>
        <w:rPr>
          <w:szCs w:val="21"/>
        </w:rPr>
        <w:t>1.1.</w:t>
      </w:r>
      <w:r>
        <w:rPr>
          <w:rFonts w:hint="eastAsia"/>
          <w:szCs w:val="21"/>
          <w:lang w:val="en-US" w:eastAsia="zh-CN"/>
        </w:rPr>
        <w:t>4</w:t>
      </w:r>
      <w:r>
        <w:rPr>
          <w:szCs w:val="21"/>
        </w:rPr>
        <w:t xml:space="preserve"> </w:t>
      </w:r>
      <w:r>
        <w:rPr>
          <w:rFonts w:hint="eastAsia"/>
          <w:szCs w:val="21"/>
        </w:rPr>
        <w:t>规范标准</w:t>
      </w:r>
      <w:r>
        <w:rPr>
          <w:rFonts w:hint="eastAsia"/>
          <w:szCs w:val="21"/>
          <w:lang w:val="en-US" w:eastAsia="zh-CN"/>
        </w:rPr>
        <w:t>及依据</w:t>
      </w:r>
      <w:r>
        <w:tab/>
      </w:r>
      <w:r>
        <w:fldChar w:fldCharType="begin"/>
      </w:r>
      <w:r>
        <w:instrText xml:space="preserve"> PAGEREF _Toc16562 \h </w:instrText>
      </w:r>
      <w:r>
        <w:fldChar w:fldCharType="separate"/>
      </w:r>
      <w:r>
        <w:t>1</w:t>
      </w:r>
      <w:r>
        <w:fldChar w:fldCharType="end"/>
      </w:r>
      <w:r>
        <w:rPr>
          <w:rFonts w:hint="eastAsia" w:ascii="黑体" w:eastAsia="黑体"/>
          <w:bCs/>
          <w:color w:val="000000"/>
          <w:szCs w:val="28"/>
        </w:rPr>
        <w:fldChar w:fldCharType="end"/>
      </w:r>
    </w:p>
    <w:p>
      <w:pPr>
        <w:pStyle w:val="5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_Toc32468 </w:instrText>
      </w:r>
      <w:r>
        <w:rPr>
          <w:rFonts w:hint="eastAsia" w:ascii="黑体" w:eastAsia="黑体"/>
          <w:bCs/>
          <w:szCs w:val="28"/>
        </w:rPr>
        <w:fldChar w:fldCharType="separate"/>
      </w:r>
      <w:r>
        <w:rPr>
          <w:rFonts w:hint="eastAsia" w:ascii="Times New Roman"/>
          <w:szCs w:val="21"/>
        </w:rPr>
        <w:t>1.2 项目概况</w:t>
      </w:r>
      <w:r>
        <w:tab/>
      </w:r>
      <w:r>
        <w:fldChar w:fldCharType="begin"/>
      </w:r>
      <w:r>
        <w:instrText xml:space="preserve"> PAGEREF _Toc32468 \h </w:instrText>
      </w:r>
      <w:r>
        <w:fldChar w:fldCharType="separate"/>
      </w:r>
      <w:r>
        <w:t>3</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_Toc21964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1.2.</w:t>
      </w:r>
      <w:r>
        <w:rPr>
          <w:rFonts w:hint="eastAsia" w:ascii="Times New Roman" w:hAnsi="Times New Roman" w:eastAsia="宋体" w:cs="Times New Roman"/>
          <w:kern w:val="0"/>
          <w:szCs w:val="21"/>
          <w:lang w:val="en-GB" w:eastAsia="zh-CN" w:bidi="ar-SA"/>
        </w:rPr>
        <w:t>1项目名称</w:t>
      </w:r>
      <w:r>
        <w:tab/>
      </w:r>
      <w:r>
        <w:fldChar w:fldCharType="begin"/>
      </w:r>
      <w:r>
        <w:instrText xml:space="preserve"> PAGEREF _Toc21964 \h </w:instrText>
      </w:r>
      <w:r>
        <w:fldChar w:fldCharType="separate"/>
      </w:r>
      <w:r>
        <w:t>3</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_Toc12024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1.2.</w:t>
      </w:r>
      <w:r>
        <w:rPr>
          <w:rFonts w:hint="eastAsia" w:ascii="Times New Roman" w:hAnsi="Times New Roman" w:eastAsia="宋体" w:cs="Times New Roman"/>
          <w:kern w:val="0"/>
          <w:szCs w:val="21"/>
          <w:lang w:val="en-GB" w:eastAsia="zh-CN" w:bidi="ar-SA"/>
        </w:rPr>
        <w:t>2建设单位</w:t>
      </w:r>
      <w:r>
        <w:tab/>
      </w:r>
      <w:r>
        <w:fldChar w:fldCharType="begin"/>
      </w:r>
      <w:r>
        <w:instrText xml:space="preserve"> PAGEREF _Toc12024 \h </w:instrText>
      </w:r>
      <w:r>
        <w:fldChar w:fldCharType="separate"/>
      </w:r>
      <w:r>
        <w:t>3</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_Toc4777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1.2.</w:t>
      </w:r>
      <w:r>
        <w:rPr>
          <w:rFonts w:hint="eastAsia" w:ascii="Times New Roman" w:hAnsi="Times New Roman" w:eastAsia="宋体" w:cs="Times New Roman"/>
          <w:kern w:val="0"/>
          <w:szCs w:val="21"/>
          <w:lang w:val="en-GB" w:eastAsia="zh-CN" w:bidi="ar-SA"/>
        </w:rPr>
        <w:t>3建设地点</w:t>
      </w:r>
      <w:r>
        <w:tab/>
      </w:r>
      <w:r>
        <w:fldChar w:fldCharType="begin"/>
      </w:r>
      <w:r>
        <w:instrText xml:space="preserve"> PAGEREF _Toc4777 \h </w:instrText>
      </w:r>
      <w:r>
        <w:fldChar w:fldCharType="separate"/>
      </w:r>
      <w:r>
        <w:t>3</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_Toc15783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1.2.</w:t>
      </w:r>
      <w:r>
        <w:rPr>
          <w:rFonts w:hint="eastAsia" w:ascii="Times New Roman" w:hAnsi="Times New Roman" w:eastAsia="宋体" w:cs="Times New Roman"/>
          <w:kern w:val="0"/>
          <w:szCs w:val="21"/>
          <w:lang w:val="en-GB" w:eastAsia="zh-CN" w:bidi="ar-SA"/>
        </w:rPr>
        <w:t>4工程内容</w:t>
      </w:r>
      <w:r>
        <w:tab/>
      </w:r>
      <w:r>
        <w:fldChar w:fldCharType="begin"/>
      </w:r>
      <w:r>
        <w:instrText xml:space="preserve"> PAGEREF _Toc15783 \h </w:instrText>
      </w:r>
      <w:r>
        <w:fldChar w:fldCharType="separate"/>
      </w:r>
      <w:r>
        <w:t>3</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_Toc3948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1.2.</w:t>
      </w:r>
      <w:r>
        <w:rPr>
          <w:rFonts w:hint="eastAsia" w:cs="Times New Roman"/>
          <w:kern w:val="0"/>
          <w:szCs w:val="21"/>
          <w:lang w:val="en-US" w:eastAsia="zh-CN" w:bidi="ar-SA"/>
        </w:rPr>
        <w:t>5设计费用</w:t>
      </w:r>
      <w:r>
        <w:tab/>
      </w:r>
      <w:r>
        <w:fldChar w:fldCharType="begin"/>
      </w:r>
      <w:r>
        <w:instrText xml:space="preserve"> PAGEREF _Toc3948 \h </w:instrText>
      </w:r>
      <w:r>
        <w:fldChar w:fldCharType="separate"/>
      </w:r>
      <w:r>
        <w:t>3</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_Toc25360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1.2.</w:t>
      </w:r>
      <w:r>
        <w:rPr>
          <w:rFonts w:hint="eastAsia" w:cs="Times New Roman"/>
          <w:kern w:val="0"/>
          <w:szCs w:val="21"/>
          <w:lang w:val="en-US" w:eastAsia="zh-CN" w:bidi="ar-SA"/>
        </w:rPr>
        <w:t>6</w:t>
      </w:r>
      <w:r>
        <w:rPr>
          <w:rFonts w:hint="eastAsia" w:ascii="Times New Roman" w:hAnsi="Times New Roman" w:eastAsia="宋体" w:cs="Times New Roman"/>
          <w:kern w:val="0"/>
          <w:szCs w:val="21"/>
          <w:lang w:val="en-US" w:eastAsia="zh-CN" w:bidi="ar-SA"/>
        </w:rPr>
        <w:t>项目总图</w:t>
      </w:r>
      <w:r>
        <w:tab/>
      </w:r>
      <w:r>
        <w:fldChar w:fldCharType="begin"/>
      </w:r>
      <w:r>
        <w:instrText xml:space="preserve"> PAGEREF _Toc25360 \h </w:instrText>
      </w:r>
      <w:r>
        <w:fldChar w:fldCharType="separate"/>
      </w:r>
      <w:r>
        <w:t>4</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_Toc2488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1.2.</w:t>
      </w:r>
      <w:r>
        <w:rPr>
          <w:rFonts w:hint="eastAsia" w:cs="Times New Roman"/>
          <w:kern w:val="0"/>
          <w:szCs w:val="21"/>
          <w:lang w:val="en-US" w:eastAsia="zh-CN" w:bidi="ar-SA"/>
        </w:rPr>
        <w:t>7</w:t>
      </w:r>
      <w:r>
        <w:rPr>
          <w:rFonts w:hint="eastAsia" w:ascii="Times New Roman" w:hAnsi="Times New Roman" w:eastAsia="宋体" w:cs="Times New Roman"/>
          <w:kern w:val="0"/>
          <w:szCs w:val="21"/>
          <w:lang w:val="en-US" w:eastAsia="zh-CN" w:bidi="ar-SA"/>
        </w:rPr>
        <w:t>气候条件</w:t>
      </w:r>
      <w:r>
        <w:tab/>
      </w:r>
      <w:r>
        <w:fldChar w:fldCharType="begin"/>
      </w:r>
      <w:r>
        <w:instrText xml:space="preserve"> PAGEREF _Toc2488 \h </w:instrText>
      </w:r>
      <w:r>
        <w:fldChar w:fldCharType="separate"/>
      </w:r>
      <w:r>
        <w:t>5</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_Toc31671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1.2.8工程地质水文条件</w:t>
      </w:r>
      <w:r>
        <w:tab/>
      </w:r>
      <w:r>
        <w:fldChar w:fldCharType="begin"/>
      </w:r>
      <w:r>
        <w:instrText xml:space="preserve"> PAGEREF _Toc31671 \h </w:instrText>
      </w:r>
      <w:r>
        <w:fldChar w:fldCharType="separate"/>
      </w:r>
      <w:r>
        <w:t>5</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_Toc21445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1.2.</w:t>
      </w:r>
      <w:r>
        <w:rPr>
          <w:rFonts w:hint="eastAsia" w:cs="Times New Roman"/>
          <w:kern w:val="0"/>
          <w:szCs w:val="21"/>
          <w:lang w:val="en-US" w:eastAsia="zh-CN" w:bidi="ar-SA"/>
        </w:rPr>
        <w:t>9</w:t>
      </w:r>
      <w:r>
        <w:rPr>
          <w:rFonts w:hint="eastAsia" w:ascii="Times New Roman" w:hAnsi="Times New Roman" w:eastAsia="宋体" w:cs="Times New Roman"/>
          <w:kern w:val="0"/>
          <w:szCs w:val="21"/>
          <w:lang w:val="en-US" w:eastAsia="zh-CN" w:bidi="ar-SA"/>
        </w:rPr>
        <w:t>能源介质条件</w:t>
      </w:r>
      <w:r>
        <w:tab/>
      </w:r>
      <w:r>
        <w:fldChar w:fldCharType="begin"/>
      </w:r>
      <w:r>
        <w:instrText xml:space="preserve"> PAGEREF _Toc21445 \h </w:instrText>
      </w:r>
      <w:r>
        <w:fldChar w:fldCharType="separate"/>
      </w:r>
      <w:r>
        <w:t>5</w:t>
      </w:r>
      <w:r>
        <w:fldChar w:fldCharType="end"/>
      </w:r>
      <w:r>
        <w:rPr>
          <w:rFonts w:hint="eastAsia" w:ascii="黑体" w:eastAsia="黑体"/>
          <w:bCs/>
          <w:color w:val="000000"/>
          <w:szCs w:val="28"/>
        </w:rPr>
        <w:fldChar w:fldCharType="end"/>
      </w:r>
    </w:p>
    <w:p>
      <w:pPr>
        <w:pStyle w:val="5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_Toc25002 </w:instrText>
      </w:r>
      <w:r>
        <w:rPr>
          <w:rFonts w:hint="eastAsia" w:ascii="黑体" w:eastAsia="黑体"/>
          <w:bCs/>
          <w:szCs w:val="28"/>
        </w:rPr>
        <w:fldChar w:fldCharType="separate"/>
      </w:r>
      <w:r>
        <w:rPr>
          <w:rFonts w:hint="eastAsia" w:ascii="Times New Roman" w:hAnsi="Times New Roman" w:eastAsia="宋体" w:cs="Times New Roman"/>
          <w:bCs/>
          <w:snapToGrid/>
          <w:kern w:val="2"/>
          <w:szCs w:val="28"/>
          <w:lang w:val="en-US" w:eastAsia="zh-CN" w:bidi="ar-SA"/>
        </w:rPr>
        <w:t>1.3 工作范围</w:t>
      </w:r>
      <w:r>
        <w:tab/>
      </w:r>
      <w:r>
        <w:fldChar w:fldCharType="begin"/>
      </w:r>
      <w:r>
        <w:instrText xml:space="preserve"> PAGEREF _Toc25002 \h </w:instrText>
      </w:r>
      <w:r>
        <w:fldChar w:fldCharType="separate"/>
      </w:r>
      <w:r>
        <w:t>6</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_Toc21816 </w:instrText>
      </w:r>
      <w:r>
        <w:rPr>
          <w:rFonts w:hint="eastAsia" w:ascii="黑体" w:eastAsia="黑体"/>
          <w:bCs/>
          <w:szCs w:val="28"/>
        </w:rPr>
        <w:fldChar w:fldCharType="separate"/>
      </w:r>
      <w:r>
        <w:rPr>
          <w:rFonts w:hint="eastAsia" w:cs="Times New Roman"/>
          <w:bCs/>
          <w:snapToGrid/>
          <w:kern w:val="2"/>
          <w:szCs w:val="28"/>
          <w:lang w:val="en-US" w:eastAsia="zh-CN" w:bidi="ar-SA"/>
        </w:rPr>
        <w:t>1.3.1范围说明</w:t>
      </w:r>
      <w:r>
        <w:tab/>
      </w:r>
      <w:r>
        <w:fldChar w:fldCharType="begin"/>
      </w:r>
      <w:r>
        <w:instrText xml:space="preserve"> PAGEREF _Toc21816 \h </w:instrText>
      </w:r>
      <w:r>
        <w:fldChar w:fldCharType="separate"/>
      </w:r>
      <w:r>
        <w:t>6</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_Toc17545 </w:instrText>
      </w:r>
      <w:r>
        <w:rPr>
          <w:rFonts w:hint="eastAsia" w:ascii="黑体" w:eastAsia="黑体"/>
          <w:bCs/>
          <w:szCs w:val="28"/>
        </w:rPr>
        <w:fldChar w:fldCharType="separate"/>
      </w:r>
      <w:r>
        <w:rPr>
          <w:rFonts w:hint="eastAsia"/>
          <w:szCs w:val="21"/>
        </w:rPr>
        <w:t>1.3.</w:t>
      </w:r>
      <w:r>
        <w:rPr>
          <w:rFonts w:hint="eastAsia"/>
          <w:szCs w:val="21"/>
          <w:lang w:val="en-US" w:eastAsia="zh-CN"/>
        </w:rPr>
        <w:t>2</w:t>
      </w:r>
      <w:r>
        <w:rPr>
          <w:rFonts w:hint="eastAsia"/>
          <w:szCs w:val="21"/>
        </w:rPr>
        <w:t xml:space="preserve"> </w:t>
      </w:r>
      <w:r>
        <w:rPr>
          <w:rFonts w:hint="eastAsia"/>
          <w:szCs w:val="21"/>
          <w:lang w:val="en-US" w:eastAsia="zh-CN"/>
        </w:rPr>
        <w:t>工程范围</w:t>
      </w:r>
      <w:r>
        <w:tab/>
      </w:r>
      <w:r>
        <w:fldChar w:fldCharType="begin"/>
      </w:r>
      <w:r>
        <w:instrText xml:space="preserve"> PAGEREF _Toc17545 \h </w:instrText>
      </w:r>
      <w:r>
        <w:fldChar w:fldCharType="separate"/>
      </w:r>
      <w:r>
        <w:t>6</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_Toc29594 </w:instrText>
      </w:r>
      <w:r>
        <w:rPr>
          <w:rFonts w:hint="eastAsia" w:ascii="黑体" w:eastAsia="黑体"/>
          <w:bCs/>
          <w:szCs w:val="28"/>
        </w:rPr>
        <w:fldChar w:fldCharType="separate"/>
      </w:r>
      <w:r>
        <w:rPr>
          <w:rFonts w:hint="eastAsia"/>
          <w:szCs w:val="21"/>
          <w:lang w:val="en-US" w:eastAsia="zh-CN"/>
        </w:rPr>
        <w:t>1.3.3工作范围</w:t>
      </w:r>
      <w:r>
        <w:tab/>
      </w:r>
      <w:r>
        <w:fldChar w:fldCharType="begin"/>
      </w:r>
      <w:r>
        <w:instrText xml:space="preserve"> PAGEREF _Toc29594 \h </w:instrText>
      </w:r>
      <w:r>
        <w:fldChar w:fldCharType="separate"/>
      </w:r>
      <w:r>
        <w:t>8</w:t>
      </w:r>
      <w:r>
        <w:fldChar w:fldCharType="end"/>
      </w:r>
      <w:r>
        <w:rPr>
          <w:rFonts w:hint="eastAsia" w:ascii="黑体" w:eastAsia="黑体"/>
          <w:bCs/>
          <w:color w:val="000000"/>
          <w:szCs w:val="28"/>
        </w:rPr>
        <w:fldChar w:fldCharType="end"/>
      </w:r>
    </w:p>
    <w:p>
      <w:pPr>
        <w:pStyle w:val="5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_Toc7825 </w:instrText>
      </w:r>
      <w:r>
        <w:rPr>
          <w:rFonts w:hint="eastAsia" w:ascii="黑体" w:eastAsia="黑体"/>
          <w:bCs/>
          <w:szCs w:val="28"/>
        </w:rPr>
        <w:fldChar w:fldCharType="separate"/>
      </w:r>
      <w:r>
        <w:rPr>
          <w:rFonts w:hint="eastAsia" w:ascii="Times New Roman" w:hAnsi="Times New Roman" w:eastAsia="宋体" w:cs="Times New Roman"/>
          <w:kern w:val="0"/>
          <w:szCs w:val="21"/>
          <w:lang w:val="en-GB" w:eastAsia="zh-CN" w:bidi="ar-SA"/>
        </w:rPr>
        <w:t>1.4 质量</w:t>
      </w:r>
      <w:r>
        <w:rPr>
          <w:rFonts w:hint="eastAsia" w:cs="Times New Roman"/>
          <w:kern w:val="0"/>
          <w:szCs w:val="21"/>
          <w:lang w:val="en-US" w:eastAsia="zh-CN" w:bidi="ar-SA"/>
        </w:rPr>
        <w:t>总体</w:t>
      </w:r>
      <w:r>
        <w:rPr>
          <w:rFonts w:hint="eastAsia" w:ascii="Times New Roman" w:hAnsi="Times New Roman" w:eastAsia="宋体" w:cs="Times New Roman"/>
          <w:kern w:val="0"/>
          <w:szCs w:val="21"/>
          <w:lang w:val="en-GB" w:eastAsia="zh-CN" w:bidi="ar-SA"/>
        </w:rPr>
        <w:t>要求</w:t>
      </w:r>
      <w:r>
        <w:tab/>
      </w:r>
      <w:r>
        <w:fldChar w:fldCharType="begin"/>
      </w:r>
      <w:r>
        <w:instrText xml:space="preserve"> PAGEREF _Toc7825 \h </w:instrText>
      </w:r>
      <w:r>
        <w:fldChar w:fldCharType="separate"/>
      </w:r>
      <w:r>
        <w:t>9</w:t>
      </w:r>
      <w:r>
        <w:fldChar w:fldCharType="end"/>
      </w:r>
      <w:r>
        <w:rPr>
          <w:rFonts w:hint="eastAsia" w:ascii="黑体" w:eastAsia="黑体"/>
          <w:bCs/>
          <w:color w:val="000000"/>
          <w:szCs w:val="28"/>
        </w:rPr>
        <w:fldChar w:fldCharType="end"/>
      </w:r>
    </w:p>
    <w:p>
      <w:pPr>
        <w:pStyle w:val="43"/>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_Toc10142 </w:instrText>
      </w:r>
      <w:r>
        <w:rPr>
          <w:rFonts w:hint="eastAsia" w:ascii="黑体" w:eastAsia="黑体"/>
          <w:bCs/>
          <w:szCs w:val="28"/>
        </w:rPr>
        <w:fldChar w:fldCharType="separate"/>
      </w:r>
      <w:r>
        <w:rPr>
          <w:rFonts w:hint="eastAsia"/>
          <w:szCs w:val="32"/>
        </w:rPr>
        <w:t>第</w:t>
      </w:r>
      <w:r>
        <w:rPr>
          <w:szCs w:val="32"/>
        </w:rPr>
        <w:t>2</w:t>
      </w:r>
      <w:r>
        <w:rPr>
          <w:rFonts w:hint="eastAsia"/>
          <w:szCs w:val="32"/>
        </w:rPr>
        <w:t>章 技术要求</w:t>
      </w:r>
      <w:r>
        <w:tab/>
      </w:r>
      <w:r>
        <w:fldChar w:fldCharType="begin"/>
      </w:r>
      <w:r>
        <w:instrText xml:space="preserve"> PAGEREF _Toc10142 \h </w:instrText>
      </w:r>
      <w:r>
        <w:fldChar w:fldCharType="separate"/>
      </w:r>
      <w:r>
        <w:t>9</w:t>
      </w:r>
      <w:r>
        <w:fldChar w:fldCharType="end"/>
      </w:r>
      <w:r>
        <w:rPr>
          <w:rFonts w:hint="eastAsia" w:ascii="黑体" w:eastAsia="黑体"/>
          <w:bCs/>
          <w:color w:val="000000"/>
          <w:szCs w:val="28"/>
        </w:rPr>
        <w:fldChar w:fldCharType="end"/>
      </w:r>
    </w:p>
    <w:p>
      <w:pPr>
        <w:pStyle w:val="5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_Toc5967 </w:instrText>
      </w:r>
      <w:r>
        <w:rPr>
          <w:rFonts w:hint="eastAsia" w:ascii="黑体" w:eastAsia="黑体"/>
          <w:bCs/>
          <w:szCs w:val="28"/>
        </w:rPr>
        <w:fldChar w:fldCharType="separate"/>
      </w:r>
      <w:r>
        <w:rPr>
          <w:rFonts w:ascii="Times New Roman"/>
          <w:szCs w:val="21"/>
        </w:rPr>
        <w:t>2</w:t>
      </w:r>
      <w:r>
        <w:rPr>
          <w:rFonts w:hint="eastAsia" w:ascii="Times New Roman"/>
          <w:szCs w:val="21"/>
        </w:rPr>
        <w:t>.1 总体要求</w:t>
      </w:r>
      <w:r>
        <w:tab/>
      </w:r>
      <w:r>
        <w:fldChar w:fldCharType="begin"/>
      </w:r>
      <w:r>
        <w:instrText xml:space="preserve"> PAGEREF _Toc5967 \h </w:instrText>
      </w:r>
      <w:r>
        <w:fldChar w:fldCharType="separate"/>
      </w:r>
      <w:r>
        <w:t>9</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_Toc28064 </w:instrText>
      </w:r>
      <w:r>
        <w:rPr>
          <w:rFonts w:hint="eastAsia" w:ascii="黑体" w:eastAsia="黑体"/>
          <w:bCs/>
          <w:szCs w:val="28"/>
        </w:rPr>
        <w:fldChar w:fldCharType="separate"/>
      </w:r>
      <w:r>
        <w:rPr>
          <w:szCs w:val="21"/>
        </w:rPr>
        <w:t>2</w:t>
      </w:r>
      <w:r>
        <w:rPr>
          <w:rFonts w:hint="eastAsia"/>
          <w:szCs w:val="21"/>
        </w:rPr>
        <w:t>.1.1设计年限</w:t>
      </w:r>
      <w:r>
        <w:tab/>
      </w:r>
      <w:r>
        <w:fldChar w:fldCharType="begin"/>
      </w:r>
      <w:r>
        <w:instrText xml:space="preserve"> PAGEREF _Toc28064 \h </w:instrText>
      </w:r>
      <w:r>
        <w:fldChar w:fldCharType="separate"/>
      </w:r>
      <w:r>
        <w:t>9</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_Toc26796 </w:instrText>
      </w:r>
      <w:r>
        <w:rPr>
          <w:rFonts w:hint="eastAsia" w:ascii="黑体" w:eastAsia="黑体"/>
          <w:bCs/>
          <w:szCs w:val="28"/>
        </w:rPr>
        <w:fldChar w:fldCharType="separate"/>
      </w:r>
      <w:r>
        <w:rPr>
          <w:szCs w:val="21"/>
        </w:rPr>
        <w:t>2</w:t>
      </w:r>
      <w:r>
        <w:rPr>
          <w:rFonts w:hint="eastAsia"/>
          <w:szCs w:val="21"/>
        </w:rPr>
        <w:t>.1.2设计深度</w:t>
      </w:r>
      <w:r>
        <w:tab/>
      </w:r>
      <w:r>
        <w:fldChar w:fldCharType="begin"/>
      </w:r>
      <w:r>
        <w:instrText xml:space="preserve"> PAGEREF _Toc26796 \h </w:instrText>
      </w:r>
      <w:r>
        <w:fldChar w:fldCharType="separate"/>
      </w:r>
      <w:r>
        <w:t>9</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_Toc29436 </w:instrText>
      </w:r>
      <w:r>
        <w:rPr>
          <w:rFonts w:hint="eastAsia" w:ascii="黑体" w:eastAsia="黑体"/>
          <w:bCs/>
          <w:szCs w:val="28"/>
        </w:rPr>
        <w:fldChar w:fldCharType="separate"/>
      </w:r>
      <w:r>
        <w:rPr>
          <w:rFonts w:hint="eastAsia" w:ascii="Times New Roman" w:hAnsi="Times New Roman" w:eastAsia="宋体" w:cs="Times New Roman"/>
          <w:bCs w:val="0"/>
          <w:kern w:val="0"/>
          <w:szCs w:val="21"/>
          <w:lang w:val="en-US" w:eastAsia="zh-CN" w:bidi="ar-SA"/>
        </w:rPr>
        <w:t>2.1.3规范参</w:t>
      </w:r>
      <w:r>
        <w:rPr>
          <w:rFonts w:hint="eastAsia"/>
          <w:bCs w:val="0"/>
          <w:szCs w:val="28"/>
          <w:lang w:val="en-US" w:eastAsia="zh-CN"/>
        </w:rPr>
        <w:t>考</w:t>
      </w:r>
      <w:r>
        <w:tab/>
      </w:r>
      <w:r>
        <w:fldChar w:fldCharType="begin"/>
      </w:r>
      <w:r>
        <w:instrText xml:space="preserve"> PAGEREF _Toc29436 \h </w:instrText>
      </w:r>
      <w:r>
        <w:fldChar w:fldCharType="separate"/>
      </w:r>
      <w:r>
        <w:t>10</w:t>
      </w:r>
      <w:r>
        <w:fldChar w:fldCharType="end"/>
      </w:r>
      <w:r>
        <w:rPr>
          <w:rFonts w:hint="eastAsia" w:ascii="黑体" w:eastAsia="黑体"/>
          <w:bCs/>
          <w:color w:val="000000"/>
          <w:szCs w:val="28"/>
        </w:rPr>
        <w:fldChar w:fldCharType="end"/>
      </w:r>
    </w:p>
    <w:p>
      <w:pPr>
        <w:pStyle w:val="5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_Toc16736 </w:instrText>
      </w:r>
      <w:r>
        <w:rPr>
          <w:rFonts w:hint="eastAsia" w:ascii="黑体" w:eastAsia="黑体"/>
          <w:bCs/>
          <w:szCs w:val="28"/>
        </w:rPr>
        <w:fldChar w:fldCharType="separate"/>
      </w:r>
      <w:r>
        <w:rPr>
          <w:rFonts w:hint="eastAsia" w:ascii="Times New Roman" w:hAnsi="Times New Roman" w:eastAsia="宋体" w:cs="Times New Roman"/>
          <w:snapToGrid w:val="0"/>
          <w:kern w:val="0"/>
          <w:szCs w:val="21"/>
          <w:lang w:val="en-US" w:eastAsia="zh-CN" w:bidi="ar-SA"/>
        </w:rPr>
        <w:t>2.2变电站布置要求</w:t>
      </w:r>
      <w:r>
        <w:tab/>
      </w:r>
      <w:r>
        <w:fldChar w:fldCharType="begin"/>
      </w:r>
      <w:r>
        <w:instrText xml:space="preserve"> PAGEREF _Toc16736 \h </w:instrText>
      </w:r>
      <w:r>
        <w:fldChar w:fldCharType="separate"/>
      </w:r>
      <w:r>
        <w:t>11</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_Toc12074 </w:instrText>
      </w:r>
      <w:r>
        <w:rPr>
          <w:rFonts w:hint="eastAsia" w:ascii="黑体" w:eastAsia="黑体"/>
          <w:bCs/>
          <w:szCs w:val="28"/>
        </w:rPr>
        <w:fldChar w:fldCharType="separate"/>
      </w:r>
      <w:r>
        <w:rPr>
          <w:rFonts w:hint="eastAsia" w:cs="Times New Roman"/>
          <w:snapToGrid w:val="0"/>
          <w:kern w:val="0"/>
          <w:szCs w:val="21"/>
          <w:lang w:val="en-US" w:eastAsia="zh-CN" w:bidi="ar-SA"/>
        </w:rPr>
        <w:t>2.2.1</w:t>
      </w:r>
      <w:r>
        <w:rPr>
          <w:rFonts w:hint="default" w:ascii="Times New Roman" w:hAnsi="Times New Roman" w:eastAsia="宋体" w:cs="Times New Roman"/>
          <w:snapToGrid w:val="0"/>
          <w:kern w:val="0"/>
          <w:szCs w:val="21"/>
          <w:lang w:val="en-US" w:eastAsia="zh-CN" w:bidi="ar-SA"/>
        </w:rPr>
        <w:t>总体布置</w:t>
      </w:r>
      <w:r>
        <w:tab/>
      </w:r>
      <w:r>
        <w:fldChar w:fldCharType="begin"/>
      </w:r>
      <w:r>
        <w:instrText xml:space="preserve"> PAGEREF _Toc12074 \h </w:instrText>
      </w:r>
      <w:r>
        <w:fldChar w:fldCharType="separate"/>
      </w:r>
      <w:r>
        <w:t>11</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_Toc14363 </w:instrText>
      </w:r>
      <w:r>
        <w:rPr>
          <w:rFonts w:hint="eastAsia" w:ascii="黑体" w:eastAsia="黑体"/>
          <w:bCs/>
          <w:szCs w:val="28"/>
        </w:rPr>
        <w:fldChar w:fldCharType="separate"/>
      </w:r>
      <w:r>
        <w:rPr>
          <w:rFonts w:hint="eastAsia" w:cs="Times New Roman"/>
          <w:snapToGrid w:val="0"/>
          <w:kern w:val="0"/>
          <w:szCs w:val="21"/>
          <w:lang w:val="en-US" w:eastAsia="zh-CN" w:bidi="ar-SA"/>
        </w:rPr>
        <w:t>2.2.2控制室</w:t>
      </w:r>
      <w:r>
        <w:tab/>
      </w:r>
      <w:r>
        <w:fldChar w:fldCharType="begin"/>
      </w:r>
      <w:r>
        <w:instrText xml:space="preserve"> PAGEREF _Toc14363 \h </w:instrText>
      </w:r>
      <w:r>
        <w:fldChar w:fldCharType="separate"/>
      </w:r>
      <w:r>
        <w:t>14</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_Toc20171 </w:instrText>
      </w:r>
      <w:r>
        <w:rPr>
          <w:rFonts w:hint="eastAsia" w:ascii="黑体" w:eastAsia="黑体"/>
          <w:bCs/>
          <w:szCs w:val="28"/>
        </w:rPr>
        <w:fldChar w:fldCharType="separate"/>
      </w:r>
      <w:r>
        <w:rPr>
          <w:rFonts w:hint="eastAsia" w:cs="Times New Roman"/>
          <w:snapToGrid w:val="0"/>
          <w:kern w:val="0"/>
          <w:szCs w:val="21"/>
          <w:lang w:val="en-US" w:eastAsia="zh-CN" w:bidi="ar-SA"/>
        </w:rPr>
        <w:t>2.2.3高压配电室</w:t>
      </w:r>
      <w:r>
        <w:tab/>
      </w:r>
      <w:r>
        <w:fldChar w:fldCharType="begin"/>
      </w:r>
      <w:r>
        <w:instrText xml:space="preserve"> PAGEREF _Toc20171 \h </w:instrText>
      </w:r>
      <w:r>
        <w:fldChar w:fldCharType="separate"/>
      </w:r>
      <w:r>
        <w:t>15</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_Toc15590 </w:instrText>
      </w:r>
      <w:r>
        <w:rPr>
          <w:rFonts w:hint="eastAsia" w:ascii="黑体" w:eastAsia="黑体"/>
          <w:bCs/>
          <w:szCs w:val="28"/>
        </w:rPr>
        <w:fldChar w:fldCharType="separate"/>
      </w:r>
      <w:r>
        <w:rPr>
          <w:rFonts w:hint="eastAsia" w:cs="Times New Roman"/>
          <w:snapToGrid w:val="0"/>
          <w:kern w:val="0"/>
          <w:szCs w:val="21"/>
          <w:lang w:val="en-US" w:eastAsia="zh-CN" w:bidi="ar-SA"/>
        </w:rPr>
        <w:t>2.2.4安全净距、通道、围栏及出口</w:t>
      </w:r>
      <w:r>
        <w:tab/>
      </w:r>
      <w:r>
        <w:fldChar w:fldCharType="begin"/>
      </w:r>
      <w:r>
        <w:instrText xml:space="preserve"> PAGEREF _Toc15590 \h </w:instrText>
      </w:r>
      <w:r>
        <w:fldChar w:fldCharType="separate"/>
      </w:r>
      <w:r>
        <w:t>16</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_Toc18437 </w:instrText>
      </w:r>
      <w:r>
        <w:rPr>
          <w:rFonts w:hint="eastAsia" w:ascii="黑体" w:eastAsia="黑体"/>
          <w:bCs/>
          <w:szCs w:val="28"/>
        </w:rPr>
        <w:fldChar w:fldCharType="separate"/>
      </w:r>
      <w:r>
        <w:rPr>
          <w:rFonts w:hint="eastAsia" w:cs="Times New Roman"/>
          <w:snapToGrid w:val="0"/>
          <w:kern w:val="0"/>
          <w:szCs w:val="21"/>
          <w:lang w:val="en-US" w:eastAsia="zh-CN" w:bidi="ar-SA"/>
        </w:rPr>
        <w:t>2.2.5电容器室</w:t>
      </w:r>
      <w:r>
        <w:tab/>
      </w:r>
      <w:r>
        <w:fldChar w:fldCharType="begin"/>
      </w:r>
      <w:r>
        <w:instrText xml:space="preserve"> PAGEREF _Toc18437 \h </w:instrText>
      </w:r>
      <w:r>
        <w:fldChar w:fldCharType="separate"/>
      </w:r>
      <w:r>
        <w:t>17</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_Toc8835 </w:instrText>
      </w:r>
      <w:r>
        <w:rPr>
          <w:rFonts w:hint="eastAsia" w:ascii="黑体" w:eastAsia="黑体"/>
          <w:bCs/>
          <w:szCs w:val="28"/>
        </w:rPr>
        <w:fldChar w:fldCharType="separate"/>
      </w:r>
      <w:r>
        <w:rPr>
          <w:rFonts w:hint="eastAsia" w:cs="Times New Roman"/>
          <w:snapToGrid w:val="0"/>
          <w:kern w:val="0"/>
          <w:szCs w:val="21"/>
          <w:lang w:val="en-US" w:eastAsia="zh-CN" w:bidi="ar-SA"/>
        </w:rPr>
        <w:t>2.2.6低压配电室（二次配电、站内配电）</w:t>
      </w:r>
      <w:r>
        <w:tab/>
      </w:r>
      <w:r>
        <w:fldChar w:fldCharType="begin"/>
      </w:r>
      <w:r>
        <w:instrText xml:space="preserve"> PAGEREF _Toc8835 \h </w:instrText>
      </w:r>
      <w:r>
        <w:fldChar w:fldCharType="separate"/>
      </w:r>
      <w:r>
        <w:t>18</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_Toc27367 </w:instrText>
      </w:r>
      <w:r>
        <w:rPr>
          <w:rFonts w:hint="eastAsia" w:ascii="黑体" w:eastAsia="黑体"/>
          <w:bCs/>
          <w:szCs w:val="28"/>
        </w:rPr>
        <w:fldChar w:fldCharType="separate"/>
      </w:r>
      <w:r>
        <w:rPr>
          <w:rFonts w:hint="eastAsia" w:cs="Times New Roman"/>
          <w:snapToGrid w:val="0"/>
          <w:kern w:val="0"/>
          <w:szCs w:val="21"/>
          <w:lang w:val="en-US" w:eastAsia="zh-CN" w:bidi="ar-SA"/>
        </w:rPr>
        <w:t>2.2.7露天变压器的安装要求</w:t>
      </w:r>
      <w:r>
        <w:tab/>
      </w:r>
      <w:r>
        <w:fldChar w:fldCharType="begin"/>
      </w:r>
      <w:r>
        <w:instrText xml:space="preserve"> PAGEREF _Toc27367 \h </w:instrText>
      </w:r>
      <w:r>
        <w:fldChar w:fldCharType="separate"/>
      </w:r>
      <w:r>
        <w:t>19</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_Toc26582 </w:instrText>
      </w:r>
      <w:r>
        <w:rPr>
          <w:rFonts w:hint="eastAsia" w:ascii="黑体" w:eastAsia="黑体"/>
          <w:bCs/>
          <w:szCs w:val="28"/>
        </w:rPr>
        <w:fldChar w:fldCharType="separate"/>
      </w:r>
      <w:r>
        <w:rPr>
          <w:rFonts w:hint="eastAsia" w:cs="Times New Roman"/>
          <w:snapToGrid w:val="0"/>
          <w:kern w:val="0"/>
          <w:szCs w:val="21"/>
          <w:lang w:val="en-US" w:eastAsia="zh-CN" w:bidi="ar-SA"/>
        </w:rPr>
        <w:t>2.2.9变电站值守模式</w:t>
      </w:r>
      <w:r>
        <w:tab/>
      </w:r>
      <w:r>
        <w:fldChar w:fldCharType="begin"/>
      </w:r>
      <w:r>
        <w:instrText xml:space="preserve"> PAGEREF _Toc26582 \h </w:instrText>
      </w:r>
      <w:r>
        <w:fldChar w:fldCharType="separate"/>
      </w:r>
      <w:r>
        <w:t>20</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_Toc5537 </w:instrText>
      </w:r>
      <w:r>
        <w:rPr>
          <w:rFonts w:hint="eastAsia" w:ascii="黑体" w:eastAsia="黑体"/>
          <w:bCs/>
          <w:szCs w:val="28"/>
        </w:rPr>
        <w:fldChar w:fldCharType="separate"/>
      </w:r>
      <w:r>
        <w:rPr>
          <w:rFonts w:hint="eastAsia" w:ascii="Times New Roman" w:hAnsi="Times New Roman" w:eastAsia="宋体" w:cs="Times New Roman"/>
          <w:snapToGrid w:val="0"/>
          <w:kern w:val="0"/>
          <w:szCs w:val="21"/>
          <w:lang w:val="en-US" w:eastAsia="zh-CN" w:bidi="ar-SA"/>
        </w:rPr>
        <w:t>2.3.10</w:t>
      </w:r>
      <w:r>
        <w:rPr>
          <w:rFonts w:hint="eastAsia" w:cs="Times New Roman"/>
          <w:snapToGrid w:val="0"/>
          <w:kern w:val="0"/>
          <w:szCs w:val="21"/>
          <w:lang w:val="en-US" w:eastAsia="zh-CN" w:bidi="ar-SA"/>
        </w:rPr>
        <w:t>变电</w:t>
      </w:r>
      <w:r>
        <w:rPr>
          <w:rFonts w:hint="eastAsia" w:ascii="Times New Roman" w:hAnsi="Times New Roman" w:eastAsia="宋体" w:cs="Times New Roman"/>
          <w:snapToGrid w:val="0"/>
          <w:kern w:val="0"/>
          <w:szCs w:val="21"/>
          <w:lang w:val="en-US" w:eastAsia="zh-CN" w:bidi="ar-SA"/>
        </w:rPr>
        <w:t>站</w:t>
      </w:r>
      <w:r>
        <w:rPr>
          <w:rFonts w:hint="eastAsia" w:cs="Times New Roman"/>
          <w:snapToGrid w:val="0"/>
          <w:kern w:val="0"/>
          <w:szCs w:val="21"/>
          <w:lang w:val="en-US" w:eastAsia="zh-CN" w:bidi="ar-SA"/>
        </w:rPr>
        <w:t>建设</w:t>
      </w:r>
      <w:r>
        <w:rPr>
          <w:rFonts w:hint="eastAsia" w:ascii="Times New Roman" w:hAnsi="Times New Roman" w:eastAsia="宋体" w:cs="Times New Roman"/>
          <w:snapToGrid w:val="0"/>
          <w:kern w:val="0"/>
          <w:szCs w:val="21"/>
          <w:lang w:val="en-US" w:eastAsia="zh-CN" w:bidi="ar-SA"/>
        </w:rPr>
        <w:t>方案</w:t>
      </w:r>
      <w:r>
        <w:tab/>
      </w:r>
      <w:r>
        <w:fldChar w:fldCharType="begin"/>
      </w:r>
      <w:r>
        <w:instrText xml:space="preserve"> PAGEREF _Toc5537 \h </w:instrText>
      </w:r>
      <w:r>
        <w:fldChar w:fldCharType="separate"/>
      </w:r>
      <w:r>
        <w:t>20</w:t>
      </w:r>
      <w:r>
        <w:fldChar w:fldCharType="end"/>
      </w:r>
      <w:r>
        <w:rPr>
          <w:rFonts w:hint="eastAsia" w:ascii="黑体" w:eastAsia="黑体"/>
          <w:bCs/>
          <w:color w:val="000000"/>
          <w:szCs w:val="28"/>
        </w:rPr>
        <w:fldChar w:fldCharType="end"/>
      </w:r>
    </w:p>
    <w:p>
      <w:pPr>
        <w:pStyle w:val="5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_Toc27045 </w:instrText>
      </w:r>
      <w:r>
        <w:rPr>
          <w:rFonts w:hint="eastAsia" w:ascii="黑体" w:eastAsia="黑体"/>
          <w:bCs/>
          <w:szCs w:val="28"/>
        </w:rPr>
        <w:fldChar w:fldCharType="separate"/>
      </w:r>
      <w:r>
        <w:rPr>
          <w:rFonts w:ascii="Times New Roman"/>
          <w:szCs w:val="21"/>
        </w:rPr>
        <w:t>2</w:t>
      </w:r>
      <w:r>
        <w:rPr>
          <w:rFonts w:hint="eastAsia" w:ascii="Times New Roman"/>
          <w:szCs w:val="21"/>
        </w:rPr>
        <w:t>.</w:t>
      </w:r>
      <w:r>
        <w:rPr>
          <w:rFonts w:hint="eastAsia" w:ascii="Times New Roman"/>
          <w:szCs w:val="21"/>
          <w:lang w:val="en-US" w:eastAsia="zh-CN"/>
        </w:rPr>
        <w:t>3</w:t>
      </w:r>
      <w:r>
        <w:rPr>
          <w:rFonts w:hint="eastAsia" w:ascii="Times New Roman"/>
          <w:szCs w:val="21"/>
        </w:rPr>
        <w:t xml:space="preserve"> </w:t>
      </w:r>
      <w:r>
        <w:rPr>
          <w:rFonts w:hint="eastAsia" w:ascii="Times New Roman"/>
          <w:szCs w:val="21"/>
          <w:lang w:val="en-US" w:eastAsia="zh-CN"/>
        </w:rPr>
        <w:t>一次</w:t>
      </w:r>
      <w:r>
        <w:rPr>
          <w:rFonts w:hint="eastAsia" w:ascii="Times New Roman"/>
          <w:szCs w:val="21"/>
        </w:rPr>
        <w:t>系统功能要求</w:t>
      </w:r>
      <w:r>
        <w:tab/>
      </w:r>
      <w:r>
        <w:fldChar w:fldCharType="begin"/>
      </w:r>
      <w:r>
        <w:instrText xml:space="preserve"> PAGEREF _Toc27045 \h </w:instrText>
      </w:r>
      <w:r>
        <w:fldChar w:fldCharType="separate"/>
      </w:r>
      <w:r>
        <w:t>21</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_Toc13275 </w:instrText>
      </w:r>
      <w:r>
        <w:rPr>
          <w:rFonts w:hint="eastAsia" w:ascii="黑体" w:eastAsia="黑体"/>
          <w:bCs/>
          <w:szCs w:val="28"/>
        </w:rPr>
        <w:fldChar w:fldCharType="separate"/>
      </w:r>
      <w:r>
        <w:rPr>
          <w:szCs w:val="21"/>
        </w:rPr>
        <w:t>2</w:t>
      </w:r>
      <w:r>
        <w:rPr>
          <w:rFonts w:hint="eastAsia"/>
          <w:szCs w:val="21"/>
        </w:rPr>
        <w:t>.</w:t>
      </w:r>
      <w:r>
        <w:rPr>
          <w:rFonts w:hint="eastAsia"/>
          <w:szCs w:val="21"/>
          <w:lang w:val="en-US" w:eastAsia="zh-CN"/>
        </w:rPr>
        <w:t>3</w:t>
      </w:r>
      <w:r>
        <w:rPr>
          <w:rFonts w:hint="eastAsia"/>
          <w:szCs w:val="21"/>
        </w:rPr>
        <w:t>.</w:t>
      </w:r>
      <w:r>
        <w:rPr>
          <w:szCs w:val="21"/>
        </w:rPr>
        <w:t>1</w:t>
      </w:r>
      <w:r>
        <w:rPr>
          <w:rFonts w:hint="eastAsia"/>
          <w:szCs w:val="21"/>
        </w:rPr>
        <w:t xml:space="preserve"> </w:t>
      </w:r>
      <w:r>
        <w:rPr>
          <w:rFonts w:hint="eastAsia"/>
          <w:szCs w:val="21"/>
          <w:lang w:val="en-US" w:eastAsia="zh-CN"/>
        </w:rPr>
        <w:t>总体</w:t>
      </w:r>
      <w:r>
        <w:rPr>
          <w:rFonts w:hint="eastAsia"/>
          <w:szCs w:val="21"/>
        </w:rPr>
        <w:t>要求</w:t>
      </w:r>
      <w:r>
        <w:tab/>
      </w:r>
      <w:r>
        <w:fldChar w:fldCharType="begin"/>
      </w:r>
      <w:r>
        <w:instrText xml:space="preserve"> PAGEREF _Toc13275 \h </w:instrText>
      </w:r>
      <w:r>
        <w:fldChar w:fldCharType="separate"/>
      </w:r>
      <w:r>
        <w:t>21</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_Toc10022 </w:instrText>
      </w:r>
      <w:r>
        <w:rPr>
          <w:rFonts w:hint="eastAsia" w:ascii="黑体" w:eastAsia="黑体"/>
          <w:bCs/>
          <w:szCs w:val="28"/>
        </w:rPr>
        <w:fldChar w:fldCharType="separate"/>
      </w:r>
      <w:r>
        <w:rPr>
          <w:szCs w:val="21"/>
        </w:rPr>
        <w:t>2</w:t>
      </w:r>
      <w:r>
        <w:rPr>
          <w:rFonts w:hint="eastAsia"/>
          <w:szCs w:val="21"/>
        </w:rPr>
        <w:t>.</w:t>
      </w:r>
      <w:r>
        <w:rPr>
          <w:rFonts w:hint="eastAsia"/>
          <w:szCs w:val="21"/>
          <w:lang w:val="en-US" w:eastAsia="zh-CN"/>
        </w:rPr>
        <w:t>3</w:t>
      </w:r>
      <w:r>
        <w:rPr>
          <w:rFonts w:hint="eastAsia"/>
          <w:szCs w:val="21"/>
        </w:rPr>
        <w:t>.</w:t>
      </w:r>
      <w:r>
        <w:rPr>
          <w:rFonts w:hint="eastAsia"/>
          <w:szCs w:val="21"/>
          <w:lang w:val="en-US" w:eastAsia="zh-CN"/>
        </w:rPr>
        <w:t>2</w:t>
      </w:r>
      <w:r>
        <w:rPr>
          <w:rFonts w:hint="eastAsia"/>
          <w:szCs w:val="21"/>
        </w:rPr>
        <w:t xml:space="preserve"> 主变压器选择</w:t>
      </w:r>
      <w:r>
        <w:tab/>
      </w:r>
      <w:r>
        <w:fldChar w:fldCharType="begin"/>
      </w:r>
      <w:r>
        <w:instrText xml:space="preserve"> PAGEREF _Toc10022 \h </w:instrText>
      </w:r>
      <w:r>
        <w:fldChar w:fldCharType="separate"/>
      </w:r>
      <w:r>
        <w:t>21</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_Toc10610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2.</w:t>
      </w:r>
      <w:r>
        <w:rPr>
          <w:rFonts w:hint="eastAsia" w:cs="Times New Roman"/>
          <w:kern w:val="0"/>
          <w:szCs w:val="21"/>
          <w:lang w:val="en-US" w:eastAsia="zh-CN" w:bidi="ar-SA"/>
        </w:rPr>
        <w:t>3</w:t>
      </w:r>
      <w:r>
        <w:rPr>
          <w:rFonts w:hint="eastAsia" w:ascii="Times New Roman" w:hAnsi="Times New Roman" w:eastAsia="宋体" w:cs="Times New Roman"/>
          <w:kern w:val="0"/>
          <w:szCs w:val="21"/>
          <w:lang w:val="en-US" w:eastAsia="zh-CN" w:bidi="ar-SA"/>
        </w:rPr>
        <w:t>.</w:t>
      </w:r>
      <w:r>
        <w:rPr>
          <w:rFonts w:hint="eastAsia" w:cs="Times New Roman"/>
          <w:kern w:val="0"/>
          <w:szCs w:val="21"/>
          <w:lang w:val="en-US" w:eastAsia="zh-CN" w:bidi="ar-SA"/>
        </w:rPr>
        <w:t xml:space="preserve">3 </w:t>
      </w:r>
      <w:r>
        <w:rPr>
          <w:rFonts w:hint="eastAsia" w:ascii="Times New Roman" w:hAnsi="Times New Roman" w:eastAsia="宋体" w:cs="Times New Roman"/>
          <w:kern w:val="0"/>
          <w:szCs w:val="21"/>
          <w:lang w:val="en-US" w:eastAsia="zh-CN" w:bidi="ar-SA"/>
        </w:rPr>
        <w:t>GIS选择</w:t>
      </w:r>
      <w:r>
        <w:tab/>
      </w:r>
      <w:r>
        <w:fldChar w:fldCharType="begin"/>
      </w:r>
      <w:r>
        <w:instrText xml:space="preserve"> PAGEREF _Toc10610 \h </w:instrText>
      </w:r>
      <w:r>
        <w:fldChar w:fldCharType="separate"/>
      </w:r>
      <w:r>
        <w:t>33</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_Toc22582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2.</w:t>
      </w:r>
      <w:r>
        <w:rPr>
          <w:rFonts w:hint="eastAsia" w:cs="Times New Roman"/>
          <w:kern w:val="0"/>
          <w:szCs w:val="21"/>
          <w:lang w:val="en-US" w:eastAsia="zh-CN" w:bidi="ar-SA"/>
        </w:rPr>
        <w:t>3</w:t>
      </w:r>
      <w:r>
        <w:rPr>
          <w:rFonts w:hint="eastAsia" w:ascii="Times New Roman" w:hAnsi="Times New Roman" w:eastAsia="宋体" w:cs="Times New Roman"/>
          <w:kern w:val="0"/>
          <w:szCs w:val="21"/>
          <w:lang w:val="en-US" w:eastAsia="zh-CN" w:bidi="ar-SA"/>
        </w:rPr>
        <w:t>.</w:t>
      </w:r>
      <w:r>
        <w:rPr>
          <w:rFonts w:hint="eastAsia" w:cs="Times New Roman"/>
          <w:kern w:val="0"/>
          <w:szCs w:val="21"/>
          <w:lang w:val="en-US" w:eastAsia="zh-CN" w:bidi="ar-SA"/>
        </w:rPr>
        <w:t>4开关柜选择</w:t>
      </w:r>
      <w:r>
        <w:tab/>
      </w:r>
      <w:r>
        <w:fldChar w:fldCharType="begin"/>
      </w:r>
      <w:r>
        <w:instrText xml:space="preserve"> PAGEREF _Toc22582 \h </w:instrText>
      </w:r>
      <w:r>
        <w:fldChar w:fldCharType="separate"/>
      </w:r>
      <w:r>
        <w:t>36</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_Toc3167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2.3.</w:t>
      </w:r>
      <w:r>
        <w:rPr>
          <w:rFonts w:hint="eastAsia" w:cs="Times New Roman"/>
          <w:kern w:val="0"/>
          <w:szCs w:val="21"/>
          <w:lang w:val="en-US" w:eastAsia="zh-CN" w:bidi="ar-SA"/>
        </w:rPr>
        <w:t>5补偿及并联电容</w:t>
      </w:r>
      <w:r>
        <w:rPr>
          <w:rFonts w:hint="eastAsia" w:ascii="Times New Roman" w:hAnsi="Times New Roman" w:eastAsia="宋体" w:cs="Times New Roman"/>
          <w:kern w:val="0"/>
          <w:szCs w:val="21"/>
          <w:lang w:val="en-US" w:eastAsia="zh-CN" w:bidi="ar-SA"/>
        </w:rPr>
        <w:t>技术要求</w:t>
      </w:r>
      <w:r>
        <w:tab/>
      </w:r>
      <w:r>
        <w:fldChar w:fldCharType="begin"/>
      </w:r>
      <w:r>
        <w:instrText xml:space="preserve"> PAGEREF _Toc3167 \h </w:instrText>
      </w:r>
      <w:r>
        <w:fldChar w:fldCharType="separate"/>
      </w:r>
      <w:r>
        <w:t>43</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_Toc19002 </w:instrText>
      </w:r>
      <w:r>
        <w:rPr>
          <w:rFonts w:hint="eastAsia" w:ascii="黑体" w:eastAsia="黑体"/>
          <w:bCs/>
          <w:szCs w:val="28"/>
        </w:rPr>
        <w:fldChar w:fldCharType="separate"/>
      </w:r>
      <w:r>
        <w:rPr>
          <w:szCs w:val="21"/>
        </w:rPr>
        <w:t>2.</w:t>
      </w:r>
      <w:r>
        <w:rPr>
          <w:rFonts w:hint="eastAsia"/>
          <w:szCs w:val="21"/>
          <w:lang w:val="en-US" w:eastAsia="zh-CN"/>
        </w:rPr>
        <w:t>3</w:t>
      </w:r>
      <w:r>
        <w:rPr>
          <w:szCs w:val="21"/>
        </w:rPr>
        <w:t>.</w:t>
      </w:r>
      <w:r>
        <w:rPr>
          <w:rFonts w:hint="eastAsia"/>
          <w:szCs w:val="21"/>
          <w:lang w:val="en-US" w:eastAsia="zh-CN"/>
        </w:rPr>
        <w:t>6</w:t>
      </w:r>
      <w:r>
        <w:rPr>
          <w:szCs w:val="21"/>
        </w:rPr>
        <w:t xml:space="preserve"> </w:t>
      </w:r>
      <w:r>
        <w:rPr>
          <w:rFonts w:hint="eastAsia"/>
          <w:szCs w:val="21"/>
        </w:rPr>
        <w:t>电气主接线</w:t>
      </w:r>
      <w:r>
        <w:tab/>
      </w:r>
      <w:r>
        <w:fldChar w:fldCharType="begin"/>
      </w:r>
      <w:r>
        <w:instrText xml:space="preserve"> PAGEREF _Toc19002 \h </w:instrText>
      </w:r>
      <w:r>
        <w:fldChar w:fldCharType="separate"/>
      </w:r>
      <w:r>
        <w:t>44</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_Toc28310 </w:instrText>
      </w:r>
      <w:r>
        <w:rPr>
          <w:rFonts w:hint="eastAsia" w:ascii="黑体" w:eastAsia="黑体"/>
          <w:bCs/>
          <w:szCs w:val="28"/>
        </w:rPr>
        <w:fldChar w:fldCharType="separate"/>
      </w:r>
      <w:r>
        <w:rPr>
          <w:rFonts w:hint="eastAsia"/>
          <w:szCs w:val="21"/>
        </w:rPr>
        <w:t>2</w:t>
      </w:r>
      <w:r>
        <w:rPr>
          <w:szCs w:val="21"/>
        </w:rPr>
        <w:t>.</w:t>
      </w:r>
      <w:r>
        <w:rPr>
          <w:rFonts w:hint="eastAsia"/>
          <w:szCs w:val="21"/>
          <w:lang w:val="en-US" w:eastAsia="zh-CN"/>
        </w:rPr>
        <w:t>3</w:t>
      </w:r>
      <w:r>
        <w:rPr>
          <w:szCs w:val="21"/>
        </w:rPr>
        <w:t>.</w:t>
      </w:r>
      <w:r>
        <w:rPr>
          <w:rFonts w:hint="eastAsia"/>
          <w:szCs w:val="21"/>
          <w:lang w:val="en-US" w:eastAsia="zh-CN"/>
        </w:rPr>
        <w:t>7</w:t>
      </w:r>
      <w:r>
        <w:rPr>
          <w:szCs w:val="21"/>
        </w:rPr>
        <w:t xml:space="preserve"> </w:t>
      </w:r>
      <w:r>
        <w:rPr>
          <w:rFonts w:hint="eastAsia"/>
          <w:szCs w:val="21"/>
        </w:rPr>
        <w:t>中性点接地方式</w:t>
      </w:r>
      <w:r>
        <w:tab/>
      </w:r>
      <w:r>
        <w:fldChar w:fldCharType="begin"/>
      </w:r>
      <w:r>
        <w:instrText xml:space="preserve"> PAGEREF _Toc28310 \h </w:instrText>
      </w:r>
      <w:r>
        <w:fldChar w:fldCharType="separate"/>
      </w:r>
      <w:r>
        <w:t>44</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_Toc24810 </w:instrText>
      </w:r>
      <w:r>
        <w:rPr>
          <w:rFonts w:hint="eastAsia" w:ascii="黑体" w:eastAsia="黑体"/>
          <w:bCs/>
          <w:szCs w:val="28"/>
        </w:rPr>
        <w:fldChar w:fldCharType="separate"/>
      </w:r>
      <w:r>
        <w:rPr>
          <w:szCs w:val="21"/>
        </w:rPr>
        <w:t>2.</w:t>
      </w:r>
      <w:r>
        <w:rPr>
          <w:rFonts w:hint="eastAsia"/>
          <w:szCs w:val="21"/>
          <w:lang w:val="en-US" w:eastAsia="zh-CN"/>
        </w:rPr>
        <w:t>3</w:t>
      </w:r>
      <w:r>
        <w:rPr>
          <w:szCs w:val="21"/>
        </w:rPr>
        <w:t>.</w:t>
      </w:r>
      <w:r>
        <w:rPr>
          <w:rFonts w:hint="eastAsia"/>
          <w:szCs w:val="21"/>
          <w:lang w:val="en-US" w:eastAsia="zh-CN"/>
        </w:rPr>
        <w:t>8</w:t>
      </w:r>
      <w:r>
        <w:rPr>
          <w:rFonts w:hint="eastAsia"/>
          <w:szCs w:val="21"/>
        </w:rPr>
        <w:t>一次系统方案</w:t>
      </w:r>
      <w:r>
        <w:tab/>
      </w:r>
      <w:r>
        <w:fldChar w:fldCharType="begin"/>
      </w:r>
      <w:r>
        <w:instrText xml:space="preserve"> PAGEREF _Toc24810 \h </w:instrText>
      </w:r>
      <w:r>
        <w:fldChar w:fldCharType="separate"/>
      </w:r>
      <w:r>
        <w:t>46</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_Toc16415 </w:instrText>
      </w:r>
      <w:r>
        <w:rPr>
          <w:rFonts w:hint="eastAsia" w:ascii="黑体" w:eastAsia="黑体"/>
          <w:bCs/>
          <w:szCs w:val="28"/>
        </w:rPr>
        <w:fldChar w:fldCharType="separate"/>
      </w:r>
      <w:r>
        <w:rPr>
          <w:szCs w:val="21"/>
        </w:rPr>
        <w:t>2.</w:t>
      </w:r>
      <w:r>
        <w:rPr>
          <w:rFonts w:hint="eastAsia"/>
          <w:szCs w:val="21"/>
          <w:lang w:val="en-US" w:eastAsia="zh-CN"/>
        </w:rPr>
        <w:t>3</w:t>
      </w:r>
      <w:r>
        <w:rPr>
          <w:szCs w:val="21"/>
        </w:rPr>
        <w:t>.</w:t>
      </w:r>
      <w:r>
        <w:rPr>
          <w:rFonts w:hint="eastAsia"/>
          <w:szCs w:val="21"/>
          <w:lang w:val="en-US" w:eastAsia="zh-CN"/>
        </w:rPr>
        <w:t>9</w:t>
      </w:r>
      <w:r>
        <w:rPr>
          <w:szCs w:val="21"/>
        </w:rPr>
        <w:t xml:space="preserve"> </w:t>
      </w:r>
      <w:r>
        <w:rPr>
          <w:rFonts w:hint="eastAsia"/>
          <w:szCs w:val="21"/>
        </w:rPr>
        <w:t>短路电流水平、设备布置及选型</w:t>
      </w:r>
      <w:r>
        <w:tab/>
      </w:r>
      <w:r>
        <w:fldChar w:fldCharType="begin"/>
      </w:r>
      <w:r>
        <w:instrText xml:space="preserve"> PAGEREF _Toc16415 \h </w:instrText>
      </w:r>
      <w:r>
        <w:fldChar w:fldCharType="separate"/>
      </w:r>
      <w:r>
        <w:t>47</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_Toc17055 </w:instrText>
      </w:r>
      <w:r>
        <w:rPr>
          <w:rFonts w:hint="eastAsia" w:ascii="黑体" w:eastAsia="黑体"/>
          <w:bCs/>
          <w:szCs w:val="28"/>
        </w:rPr>
        <w:fldChar w:fldCharType="separate"/>
      </w:r>
      <w:r>
        <w:rPr>
          <w:rFonts w:hint="eastAsia"/>
          <w:szCs w:val="21"/>
          <w:lang w:val="en-US" w:eastAsia="zh-CN"/>
        </w:rPr>
        <w:t>2.2.10绝缘配合及过电压保护、避雷器配置</w:t>
      </w:r>
      <w:r>
        <w:tab/>
      </w:r>
      <w:r>
        <w:fldChar w:fldCharType="begin"/>
      </w:r>
      <w:r>
        <w:instrText xml:space="preserve"> PAGEREF _Toc17055 \h </w:instrText>
      </w:r>
      <w:r>
        <w:fldChar w:fldCharType="separate"/>
      </w:r>
      <w:r>
        <w:t>47</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_Toc21176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2.2.1</w:t>
      </w:r>
      <w:r>
        <w:rPr>
          <w:rFonts w:hint="eastAsia" w:cs="Times New Roman"/>
          <w:kern w:val="0"/>
          <w:szCs w:val="21"/>
          <w:lang w:val="en-US" w:eastAsia="zh-CN" w:bidi="ar-SA"/>
        </w:rPr>
        <w:t>1</w:t>
      </w:r>
      <w:r>
        <w:rPr>
          <w:rFonts w:hint="eastAsia" w:ascii="Times New Roman" w:hAnsi="Times New Roman" w:eastAsia="宋体" w:cs="Times New Roman"/>
          <w:kern w:val="0"/>
          <w:szCs w:val="21"/>
          <w:lang w:val="en-US" w:eastAsia="zh-CN" w:bidi="ar-SA"/>
        </w:rPr>
        <w:t>站用电</w:t>
      </w:r>
      <w:r>
        <w:tab/>
      </w:r>
      <w:r>
        <w:fldChar w:fldCharType="begin"/>
      </w:r>
      <w:r>
        <w:instrText xml:space="preserve"> PAGEREF _Toc21176 \h </w:instrText>
      </w:r>
      <w:r>
        <w:fldChar w:fldCharType="separate"/>
      </w:r>
      <w:r>
        <w:t>48</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_Toc13267 </w:instrText>
      </w:r>
      <w:r>
        <w:rPr>
          <w:rFonts w:hint="eastAsia" w:ascii="黑体" w:eastAsia="黑体"/>
          <w:bCs/>
          <w:szCs w:val="28"/>
        </w:rPr>
        <w:fldChar w:fldCharType="separate"/>
      </w:r>
      <w:r>
        <w:rPr>
          <w:szCs w:val="21"/>
        </w:rPr>
        <w:t>2.2.1</w:t>
      </w:r>
      <w:r>
        <w:rPr>
          <w:rFonts w:hint="eastAsia"/>
          <w:szCs w:val="21"/>
          <w:lang w:val="en-US" w:eastAsia="zh-CN"/>
        </w:rPr>
        <w:t>2</w:t>
      </w:r>
      <w:r>
        <w:rPr>
          <w:rFonts w:hint="eastAsia"/>
          <w:szCs w:val="21"/>
        </w:rPr>
        <w:t>电能计量</w:t>
      </w:r>
      <w:r>
        <w:tab/>
      </w:r>
      <w:r>
        <w:fldChar w:fldCharType="begin"/>
      </w:r>
      <w:r>
        <w:instrText xml:space="preserve"> PAGEREF _Toc13267 \h </w:instrText>
      </w:r>
      <w:r>
        <w:fldChar w:fldCharType="separate"/>
      </w:r>
      <w:r>
        <w:t>49</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_Toc5054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2.2.1</w:t>
      </w:r>
      <w:r>
        <w:rPr>
          <w:rFonts w:hint="eastAsia" w:cs="Times New Roman"/>
          <w:kern w:val="0"/>
          <w:szCs w:val="21"/>
          <w:lang w:val="en-US" w:eastAsia="zh-CN" w:bidi="ar-SA"/>
        </w:rPr>
        <w:t>3</w:t>
      </w:r>
      <w:r>
        <w:rPr>
          <w:rFonts w:hint="eastAsia" w:ascii="Times New Roman" w:hAnsi="Times New Roman" w:eastAsia="宋体" w:cs="Times New Roman"/>
          <w:kern w:val="0"/>
          <w:szCs w:val="21"/>
          <w:lang w:val="en-US" w:eastAsia="zh-CN" w:bidi="ar-SA"/>
        </w:rPr>
        <w:t>防雷接地</w:t>
      </w:r>
      <w:r>
        <w:tab/>
      </w:r>
      <w:r>
        <w:fldChar w:fldCharType="begin"/>
      </w:r>
      <w:r>
        <w:instrText xml:space="preserve"> PAGEREF _Toc5054 \h </w:instrText>
      </w:r>
      <w:r>
        <w:fldChar w:fldCharType="separate"/>
      </w:r>
      <w:r>
        <w:t>50</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_Toc1019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2.2.14套管</w:t>
      </w:r>
      <w:r>
        <w:tab/>
      </w:r>
      <w:r>
        <w:fldChar w:fldCharType="begin"/>
      </w:r>
      <w:r>
        <w:instrText xml:space="preserve"> PAGEREF _Toc1019 \h </w:instrText>
      </w:r>
      <w:r>
        <w:fldChar w:fldCharType="separate"/>
      </w:r>
      <w:r>
        <w:t>51</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_Toc30260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2.2.15直流系统</w:t>
      </w:r>
      <w:r>
        <w:tab/>
      </w:r>
      <w:r>
        <w:fldChar w:fldCharType="begin"/>
      </w:r>
      <w:r>
        <w:instrText xml:space="preserve"> PAGEREF _Toc30260 \h </w:instrText>
      </w:r>
      <w:r>
        <w:fldChar w:fldCharType="separate"/>
      </w:r>
      <w:r>
        <w:t>51</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_Toc15849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2.2.16管母</w:t>
      </w:r>
      <w:r>
        <w:tab/>
      </w:r>
      <w:r>
        <w:fldChar w:fldCharType="begin"/>
      </w:r>
      <w:r>
        <w:instrText xml:space="preserve"> PAGEREF _Toc15849 \h </w:instrText>
      </w:r>
      <w:r>
        <w:fldChar w:fldCharType="separate"/>
      </w:r>
      <w:r>
        <w:t>52</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_Toc5659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2.2.17母线</w:t>
      </w:r>
      <w:r>
        <w:tab/>
      </w:r>
      <w:r>
        <w:fldChar w:fldCharType="begin"/>
      </w:r>
      <w:r>
        <w:instrText xml:space="preserve"> PAGEREF _Toc5659 \h </w:instrText>
      </w:r>
      <w:r>
        <w:fldChar w:fldCharType="separate"/>
      </w:r>
      <w:r>
        <w:t>52</w:t>
      </w:r>
      <w:r>
        <w:fldChar w:fldCharType="end"/>
      </w:r>
      <w:r>
        <w:rPr>
          <w:rFonts w:hint="eastAsia" w:ascii="黑体" w:eastAsia="黑体"/>
          <w:bCs/>
          <w:color w:val="000000"/>
          <w:szCs w:val="28"/>
        </w:rPr>
        <w:fldChar w:fldCharType="end"/>
      </w:r>
    </w:p>
    <w:p>
      <w:pPr>
        <w:pStyle w:val="5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_Toc26335 </w:instrText>
      </w:r>
      <w:r>
        <w:rPr>
          <w:rFonts w:hint="eastAsia" w:ascii="黑体" w:eastAsia="黑体"/>
          <w:bCs/>
          <w:szCs w:val="28"/>
        </w:rPr>
        <w:fldChar w:fldCharType="separate"/>
      </w:r>
      <w:r>
        <w:rPr>
          <w:rFonts w:hint="eastAsia"/>
          <w:szCs w:val="22"/>
          <w:lang w:val="en-US" w:eastAsia="zh-CN"/>
        </w:rPr>
        <w:t>2.4</w:t>
      </w:r>
      <w:r>
        <w:rPr>
          <w:szCs w:val="22"/>
        </w:rPr>
        <w:t xml:space="preserve"> </w:t>
      </w:r>
      <w:r>
        <w:rPr>
          <w:rFonts w:hint="eastAsia"/>
          <w:szCs w:val="22"/>
        </w:rPr>
        <w:t>二次</w:t>
      </w:r>
      <w:r>
        <w:rPr>
          <w:rFonts w:hint="eastAsia"/>
          <w:szCs w:val="22"/>
          <w:lang w:val="en-US" w:eastAsia="zh-CN"/>
        </w:rPr>
        <w:t>系统要求</w:t>
      </w:r>
      <w:r>
        <w:tab/>
      </w:r>
      <w:r>
        <w:fldChar w:fldCharType="begin"/>
      </w:r>
      <w:r>
        <w:instrText xml:space="preserve"> PAGEREF _Toc26335 \h </w:instrText>
      </w:r>
      <w:r>
        <w:fldChar w:fldCharType="separate"/>
      </w:r>
      <w:r>
        <w:t>55</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_Toc13906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2.</w:t>
      </w:r>
      <w:r>
        <w:rPr>
          <w:rFonts w:hint="eastAsia" w:cs="Times New Roman"/>
          <w:kern w:val="0"/>
          <w:szCs w:val="21"/>
          <w:lang w:val="en-US" w:eastAsia="zh-CN" w:bidi="ar-SA"/>
        </w:rPr>
        <w:t>4</w:t>
      </w:r>
      <w:r>
        <w:rPr>
          <w:rFonts w:hint="eastAsia" w:ascii="Times New Roman" w:hAnsi="Times New Roman" w:eastAsia="宋体" w:cs="Times New Roman"/>
          <w:kern w:val="0"/>
          <w:szCs w:val="21"/>
          <w:lang w:val="en-US" w:eastAsia="zh-CN" w:bidi="ar-SA"/>
        </w:rPr>
        <w:t>.1</w:t>
      </w:r>
      <w:r>
        <w:rPr>
          <w:rFonts w:hint="eastAsia" w:cs="Times New Roman"/>
          <w:kern w:val="0"/>
          <w:szCs w:val="21"/>
          <w:lang w:val="en-US" w:eastAsia="zh-CN" w:bidi="ar-SA"/>
        </w:rPr>
        <w:t>变压器保护要求</w:t>
      </w:r>
      <w:r>
        <w:tab/>
      </w:r>
      <w:r>
        <w:fldChar w:fldCharType="begin"/>
      </w:r>
      <w:r>
        <w:instrText xml:space="preserve"> PAGEREF _Toc13906 \h </w:instrText>
      </w:r>
      <w:r>
        <w:fldChar w:fldCharType="separate"/>
      </w:r>
      <w:r>
        <w:t>57</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_Toc4006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2.</w:t>
      </w:r>
      <w:r>
        <w:rPr>
          <w:rFonts w:hint="eastAsia" w:cs="Times New Roman"/>
          <w:kern w:val="0"/>
          <w:szCs w:val="21"/>
          <w:lang w:val="en-US" w:eastAsia="zh-CN" w:bidi="ar-SA"/>
        </w:rPr>
        <w:t>4</w:t>
      </w:r>
      <w:r>
        <w:rPr>
          <w:rFonts w:hint="eastAsia" w:ascii="Times New Roman" w:hAnsi="Times New Roman" w:eastAsia="宋体" w:cs="Times New Roman"/>
          <w:kern w:val="0"/>
          <w:szCs w:val="21"/>
          <w:lang w:val="en-US" w:eastAsia="zh-CN" w:bidi="ar-SA"/>
        </w:rPr>
        <w:t>.2</w:t>
      </w:r>
      <w:r>
        <w:rPr>
          <w:rFonts w:hint="eastAsia" w:cs="Times New Roman"/>
          <w:kern w:val="0"/>
          <w:szCs w:val="21"/>
          <w:lang w:val="en-US" w:eastAsia="zh-CN" w:bidi="ar-SA"/>
        </w:rPr>
        <w:t>变压器保护闭锁和告警</w:t>
      </w:r>
      <w:r>
        <w:tab/>
      </w:r>
      <w:r>
        <w:fldChar w:fldCharType="begin"/>
      </w:r>
      <w:r>
        <w:instrText xml:space="preserve"> PAGEREF _Toc4006 \h </w:instrText>
      </w:r>
      <w:r>
        <w:fldChar w:fldCharType="separate"/>
      </w:r>
      <w:r>
        <w:t>64</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_Toc17742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2.4.</w:t>
      </w:r>
      <w:r>
        <w:rPr>
          <w:rFonts w:hint="eastAsia" w:cs="Times New Roman"/>
          <w:kern w:val="0"/>
          <w:szCs w:val="21"/>
          <w:lang w:val="en-US" w:eastAsia="zh-CN" w:bidi="ar-SA"/>
        </w:rPr>
        <w:t>3</w:t>
      </w:r>
      <w:r>
        <w:rPr>
          <w:rFonts w:hint="eastAsia" w:ascii="Times New Roman" w:hAnsi="Times New Roman" w:eastAsia="宋体" w:cs="Times New Roman"/>
          <w:kern w:val="0"/>
          <w:szCs w:val="21"/>
          <w:lang w:val="en-US" w:eastAsia="zh-CN" w:bidi="ar-SA"/>
        </w:rPr>
        <w:t>GIS保护</w:t>
      </w:r>
      <w:r>
        <w:tab/>
      </w:r>
      <w:r>
        <w:fldChar w:fldCharType="begin"/>
      </w:r>
      <w:r>
        <w:instrText xml:space="preserve"> PAGEREF _Toc17742 \h </w:instrText>
      </w:r>
      <w:r>
        <w:fldChar w:fldCharType="separate"/>
      </w:r>
      <w:r>
        <w:t>64</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_Toc21848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2.</w:t>
      </w:r>
      <w:r>
        <w:rPr>
          <w:rFonts w:hint="eastAsia" w:cs="Times New Roman"/>
          <w:kern w:val="0"/>
          <w:szCs w:val="21"/>
          <w:lang w:val="en-US" w:eastAsia="zh-CN" w:bidi="ar-SA"/>
        </w:rPr>
        <w:t>4</w:t>
      </w:r>
      <w:r>
        <w:rPr>
          <w:rFonts w:hint="eastAsia" w:ascii="Times New Roman" w:hAnsi="Times New Roman" w:eastAsia="宋体" w:cs="Times New Roman"/>
          <w:kern w:val="0"/>
          <w:szCs w:val="21"/>
          <w:lang w:val="en-US" w:eastAsia="zh-CN" w:bidi="ar-SA"/>
        </w:rPr>
        <w:t>.</w:t>
      </w:r>
      <w:r>
        <w:rPr>
          <w:rFonts w:hint="eastAsia" w:cs="Times New Roman"/>
          <w:kern w:val="0"/>
          <w:szCs w:val="21"/>
          <w:lang w:val="en-US" w:eastAsia="zh-CN" w:bidi="ar-SA"/>
        </w:rPr>
        <w:t>4</w:t>
      </w:r>
      <w:r>
        <w:rPr>
          <w:rFonts w:hint="eastAsia" w:ascii="Times New Roman" w:hAnsi="Times New Roman" w:eastAsia="宋体" w:cs="Times New Roman"/>
          <w:kern w:val="0"/>
          <w:szCs w:val="21"/>
          <w:lang w:val="en-US" w:eastAsia="zh-CN" w:bidi="ar-SA"/>
        </w:rPr>
        <w:t>线路的保护</w:t>
      </w:r>
      <w:r>
        <w:tab/>
      </w:r>
      <w:r>
        <w:fldChar w:fldCharType="begin"/>
      </w:r>
      <w:r>
        <w:instrText xml:space="preserve"> PAGEREF _Toc21848 \h </w:instrText>
      </w:r>
      <w:r>
        <w:fldChar w:fldCharType="separate"/>
      </w:r>
      <w:r>
        <w:t>65</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_Toc28772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2.</w:t>
      </w:r>
      <w:r>
        <w:rPr>
          <w:rFonts w:hint="eastAsia" w:cs="Times New Roman"/>
          <w:kern w:val="0"/>
          <w:szCs w:val="21"/>
          <w:lang w:val="en-US" w:eastAsia="zh-CN" w:bidi="ar-SA"/>
        </w:rPr>
        <w:t>4</w:t>
      </w:r>
      <w:r>
        <w:rPr>
          <w:rFonts w:hint="eastAsia" w:ascii="Times New Roman" w:hAnsi="Times New Roman" w:eastAsia="宋体" w:cs="Times New Roman"/>
          <w:kern w:val="0"/>
          <w:szCs w:val="21"/>
          <w:lang w:val="en-US" w:eastAsia="zh-CN" w:bidi="ar-SA"/>
        </w:rPr>
        <w:t>.</w:t>
      </w:r>
      <w:r>
        <w:rPr>
          <w:rFonts w:hint="eastAsia" w:cs="Times New Roman"/>
          <w:kern w:val="0"/>
          <w:szCs w:val="21"/>
          <w:lang w:val="en-US" w:eastAsia="zh-CN" w:bidi="ar-SA"/>
        </w:rPr>
        <w:t>5 10</w:t>
      </w:r>
      <w:r>
        <w:rPr>
          <w:rFonts w:hint="eastAsia" w:ascii="Times New Roman" w:hAnsi="Times New Roman" w:eastAsia="宋体" w:cs="Times New Roman"/>
          <w:kern w:val="0"/>
          <w:szCs w:val="21"/>
          <w:lang w:val="en-US" w:eastAsia="zh-CN" w:bidi="ar-SA"/>
        </w:rPr>
        <w:t>～110kV母母线及分段断路器的保护</w:t>
      </w:r>
      <w:r>
        <w:tab/>
      </w:r>
      <w:r>
        <w:fldChar w:fldCharType="begin"/>
      </w:r>
      <w:r>
        <w:instrText xml:space="preserve"> PAGEREF _Toc28772 \h </w:instrText>
      </w:r>
      <w:r>
        <w:fldChar w:fldCharType="separate"/>
      </w:r>
      <w:r>
        <w:t>69</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_Toc25393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2.</w:t>
      </w:r>
      <w:r>
        <w:rPr>
          <w:rFonts w:hint="eastAsia" w:cs="Times New Roman"/>
          <w:kern w:val="0"/>
          <w:szCs w:val="21"/>
          <w:lang w:val="en-US" w:eastAsia="zh-CN" w:bidi="ar-SA"/>
        </w:rPr>
        <w:t>4</w:t>
      </w:r>
      <w:r>
        <w:rPr>
          <w:rFonts w:hint="eastAsia" w:ascii="Times New Roman" w:hAnsi="Times New Roman" w:eastAsia="宋体" w:cs="Times New Roman"/>
          <w:kern w:val="0"/>
          <w:szCs w:val="21"/>
          <w:lang w:val="en-US" w:eastAsia="zh-CN" w:bidi="ar-SA"/>
        </w:rPr>
        <w:t>.</w:t>
      </w:r>
      <w:r>
        <w:rPr>
          <w:rFonts w:hint="eastAsia" w:cs="Times New Roman"/>
          <w:kern w:val="0"/>
          <w:szCs w:val="21"/>
          <w:lang w:val="en-US" w:eastAsia="zh-CN" w:bidi="ar-SA"/>
        </w:rPr>
        <w:t>6 10kv</w:t>
      </w:r>
      <w:r>
        <w:rPr>
          <w:rFonts w:hint="eastAsia" w:ascii="Times New Roman" w:hAnsi="Times New Roman" w:eastAsia="宋体" w:cs="Times New Roman"/>
          <w:kern w:val="0"/>
          <w:szCs w:val="21"/>
          <w:lang w:val="en-US" w:eastAsia="zh-CN" w:bidi="ar-SA"/>
        </w:rPr>
        <w:t>电力电容器的保护</w:t>
      </w:r>
      <w:r>
        <w:tab/>
      </w:r>
      <w:r>
        <w:fldChar w:fldCharType="begin"/>
      </w:r>
      <w:r>
        <w:instrText xml:space="preserve"> PAGEREF _Toc25393 \h </w:instrText>
      </w:r>
      <w:r>
        <w:fldChar w:fldCharType="separate"/>
      </w:r>
      <w:r>
        <w:t>71</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_Toc3756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2.</w:t>
      </w:r>
      <w:r>
        <w:rPr>
          <w:rFonts w:hint="eastAsia" w:cs="Times New Roman"/>
          <w:kern w:val="0"/>
          <w:szCs w:val="21"/>
          <w:lang w:val="en-US" w:eastAsia="zh-CN" w:bidi="ar-SA"/>
        </w:rPr>
        <w:t>4</w:t>
      </w:r>
      <w:r>
        <w:rPr>
          <w:rFonts w:hint="eastAsia" w:ascii="Times New Roman" w:hAnsi="Times New Roman" w:eastAsia="宋体" w:cs="Times New Roman"/>
          <w:kern w:val="0"/>
          <w:szCs w:val="21"/>
          <w:lang w:val="en-US" w:eastAsia="zh-CN" w:bidi="ar-SA"/>
        </w:rPr>
        <w:t>.</w:t>
      </w:r>
      <w:r>
        <w:rPr>
          <w:rFonts w:hint="eastAsia" w:cs="Times New Roman"/>
          <w:kern w:val="0"/>
          <w:szCs w:val="21"/>
          <w:lang w:val="en-US" w:eastAsia="zh-CN" w:bidi="ar-SA"/>
        </w:rPr>
        <w:t>7</w:t>
      </w:r>
      <w:r>
        <w:rPr>
          <w:rFonts w:hint="eastAsia" w:ascii="Times New Roman" w:hAnsi="Times New Roman" w:eastAsia="宋体" w:cs="Times New Roman"/>
          <w:kern w:val="0"/>
          <w:szCs w:val="21"/>
          <w:lang w:val="en-US" w:eastAsia="zh-CN" w:bidi="ar-SA"/>
        </w:rPr>
        <w:t>接地保护</w:t>
      </w:r>
      <w:r>
        <w:tab/>
      </w:r>
      <w:r>
        <w:fldChar w:fldCharType="begin"/>
      </w:r>
      <w:r>
        <w:instrText xml:space="preserve"> PAGEREF _Toc3756 \h </w:instrText>
      </w:r>
      <w:r>
        <w:fldChar w:fldCharType="separate"/>
      </w:r>
      <w:r>
        <w:t>74</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_Toc20876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2.</w:t>
      </w:r>
      <w:r>
        <w:rPr>
          <w:rFonts w:hint="eastAsia" w:cs="Times New Roman"/>
          <w:kern w:val="0"/>
          <w:szCs w:val="21"/>
          <w:lang w:val="en-US" w:eastAsia="zh-CN" w:bidi="ar-SA"/>
        </w:rPr>
        <w:t>4</w:t>
      </w:r>
      <w:r>
        <w:rPr>
          <w:rFonts w:hint="eastAsia" w:ascii="Times New Roman" w:hAnsi="Times New Roman" w:eastAsia="宋体" w:cs="Times New Roman"/>
          <w:kern w:val="0"/>
          <w:szCs w:val="21"/>
          <w:lang w:val="en-US" w:eastAsia="zh-CN" w:bidi="ar-SA"/>
        </w:rPr>
        <w:t>.</w:t>
      </w:r>
      <w:r>
        <w:rPr>
          <w:rFonts w:hint="eastAsia" w:cs="Times New Roman"/>
          <w:kern w:val="0"/>
          <w:szCs w:val="21"/>
          <w:lang w:val="en-US" w:eastAsia="zh-CN" w:bidi="ar-SA"/>
        </w:rPr>
        <w:t>8一体化直流</w:t>
      </w:r>
      <w:r>
        <w:rPr>
          <w:rFonts w:hint="eastAsia" w:ascii="Times New Roman" w:hAnsi="Times New Roman" w:eastAsia="宋体" w:cs="Times New Roman"/>
          <w:kern w:val="0"/>
          <w:szCs w:val="21"/>
          <w:lang w:val="en-US" w:eastAsia="zh-CN" w:bidi="ar-SA"/>
        </w:rPr>
        <w:t>操作电源系统</w:t>
      </w:r>
      <w:r>
        <w:tab/>
      </w:r>
      <w:r>
        <w:fldChar w:fldCharType="begin"/>
      </w:r>
      <w:r>
        <w:instrText xml:space="preserve"> PAGEREF _Toc20876 \h </w:instrText>
      </w:r>
      <w:r>
        <w:fldChar w:fldCharType="separate"/>
      </w:r>
      <w:r>
        <w:t>76</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_Toc1575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2.4.9继电保护</w:t>
      </w:r>
      <w:r>
        <w:rPr>
          <w:rFonts w:hint="eastAsia" w:cs="Times New Roman"/>
          <w:kern w:val="0"/>
          <w:szCs w:val="21"/>
          <w:lang w:val="en-US" w:eastAsia="zh-CN" w:bidi="ar-SA"/>
        </w:rPr>
        <w:t>设计</w:t>
      </w:r>
      <w:r>
        <w:rPr>
          <w:rFonts w:hint="eastAsia" w:ascii="Times New Roman" w:hAnsi="Times New Roman" w:eastAsia="宋体" w:cs="Times New Roman"/>
          <w:kern w:val="0"/>
          <w:szCs w:val="21"/>
          <w:lang w:val="en-US" w:eastAsia="zh-CN" w:bidi="ar-SA"/>
        </w:rPr>
        <w:t>要求</w:t>
      </w:r>
      <w:r>
        <w:tab/>
      </w:r>
      <w:r>
        <w:fldChar w:fldCharType="begin"/>
      </w:r>
      <w:r>
        <w:instrText xml:space="preserve"> PAGEREF _Toc1575 \h </w:instrText>
      </w:r>
      <w:r>
        <w:fldChar w:fldCharType="separate"/>
      </w:r>
      <w:r>
        <w:t>81</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_Toc18707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2.</w:t>
      </w:r>
      <w:r>
        <w:rPr>
          <w:rFonts w:hint="eastAsia" w:cs="Times New Roman"/>
          <w:kern w:val="0"/>
          <w:szCs w:val="21"/>
          <w:lang w:val="en-US" w:eastAsia="zh-CN" w:bidi="ar-SA"/>
        </w:rPr>
        <w:t>4</w:t>
      </w:r>
      <w:r>
        <w:rPr>
          <w:rFonts w:hint="eastAsia" w:ascii="Times New Roman" w:hAnsi="Times New Roman" w:eastAsia="宋体" w:cs="Times New Roman"/>
          <w:kern w:val="0"/>
          <w:szCs w:val="21"/>
          <w:lang w:val="en-US" w:eastAsia="zh-CN" w:bidi="ar-SA"/>
        </w:rPr>
        <w:t>.</w:t>
      </w:r>
      <w:r>
        <w:rPr>
          <w:rFonts w:hint="eastAsia" w:cs="Times New Roman"/>
          <w:kern w:val="0"/>
          <w:szCs w:val="21"/>
          <w:lang w:val="en-US" w:eastAsia="zh-CN" w:bidi="ar-SA"/>
        </w:rPr>
        <w:t>10中</w:t>
      </w:r>
      <w:r>
        <w:rPr>
          <w:rFonts w:hint="eastAsia" w:ascii="Times New Roman" w:hAnsi="Times New Roman" w:eastAsia="宋体" w:cs="Times New Roman"/>
          <w:kern w:val="0"/>
          <w:szCs w:val="21"/>
          <w:lang w:val="en-US" w:eastAsia="zh-CN" w:bidi="ar-SA"/>
        </w:rPr>
        <w:t>央信号装置的设计</w:t>
      </w:r>
      <w:r>
        <w:rPr>
          <w:rFonts w:hint="eastAsia" w:cs="Times New Roman"/>
          <w:kern w:val="0"/>
          <w:szCs w:val="21"/>
          <w:lang w:val="en-US" w:eastAsia="zh-CN" w:bidi="ar-SA"/>
        </w:rPr>
        <w:t>要求</w:t>
      </w:r>
      <w:r>
        <w:tab/>
      </w:r>
      <w:r>
        <w:fldChar w:fldCharType="begin"/>
      </w:r>
      <w:r>
        <w:instrText xml:space="preserve"> PAGEREF _Toc18707 \h </w:instrText>
      </w:r>
      <w:r>
        <w:fldChar w:fldCharType="separate"/>
      </w:r>
      <w:r>
        <w:t>84</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_Toc5318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2.</w:t>
      </w:r>
      <w:r>
        <w:rPr>
          <w:rFonts w:hint="eastAsia" w:cs="Times New Roman"/>
          <w:kern w:val="0"/>
          <w:szCs w:val="21"/>
          <w:lang w:val="en-US" w:eastAsia="zh-CN" w:bidi="ar-SA"/>
        </w:rPr>
        <w:t>4</w:t>
      </w:r>
      <w:r>
        <w:rPr>
          <w:rFonts w:hint="eastAsia" w:ascii="Times New Roman" w:hAnsi="Times New Roman" w:eastAsia="宋体" w:cs="Times New Roman"/>
          <w:kern w:val="0"/>
          <w:szCs w:val="21"/>
          <w:lang w:val="en-US" w:eastAsia="zh-CN" w:bidi="ar-SA"/>
        </w:rPr>
        <w:t>.</w:t>
      </w:r>
      <w:r>
        <w:rPr>
          <w:rFonts w:hint="eastAsia" w:cs="Times New Roman"/>
          <w:kern w:val="0"/>
          <w:szCs w:val="21"/>
          <w:lang w:val="en-US" w:eastAsia="zh-CN" w:bidi="ar-SA"/>
        </w:rPr>
        <w:t>12</w:t>
      </w:r>
      <w:r>
        <w:rPr>
          <w:rFonts w:hint="eastAsia" w:ascii="Times New Roman" w:hAnsi="Times New Roman" w:eastAsia="宋体" w:cs="Times New Roman"/>
          <w:kern w:val="0"/>
          <w:szCs w:val="21"/>
          <w:lang w:val="en-US" w:eastAsia="zh-CN" w:bidi="ar-SA"/>
        </w:rPr>
        <w:t>信号回路的设备选择</w:t>
      </w:r>
      <w:r>
        <w:rPr>
          <w:rFonts w:hint="eastAsia" w:cs="Times New Roman"/>
          <w:kern w:val="0"/>
          <w:szCs w:val="21"/>
          <w:lang w:val="en-US" w:eastAsia="zh-CN" w:bidi="ar-SA"/>
        </w:rPr>
        <w:t>、监控及二次接线</w:t>
      </w:r>
      <w:r>
        <w:tab/>
      </w:r>
      <w:r>
        <w:fldChar w:fldCharType="begin"/>
      </w:r>
      <w:r>
        <w:instrText xml:space="preserve"> PAGEREF _Toc5318 \h </w:instrText>
      </w:r>
      <w:r>
        <w:fldChar w:fldCharType="separate"/>
      </w:r>
      <w:r>
        <w:t>85</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_Toc4155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2.</w:t>
      </w:r>
      <w:r>
        <w:rPr>
          <w:rFonts w:hint="eastAsia" w:cs="Times New Roman"/>
          <w:kern w:val="0"/>
          <w:szCs w:val="21"/>
          <w:lang w:val="en-US" w:eastAsia="zh-CN" w:bidi="ar-SA"/>
        </w:rPr>
        <w:t>4</w:t>
      </w:r>
      <w:r>
        <w:rPr>
          <w:rFonts w:hint="eastAsia" w:ascii="Times New Roman" w:hAnsi="Times New Roman" w:eastAsia="宋体" w:cs="Times New Roman"/>
          <w:kern w:val="0"/>
          <w:szCs w:val="21"/>
          <w:lang w:val="en-US" w:eastAsia="zh-CN" w:bidi="ar-SA"/>
        </w:rPr>
        <w:t>.1</w:t>
      </w:r>
      <w:r>
        <w:rPr>
          <w:rFonts w:hint="eastAsia" w:cs="Times New Roman"/>
          <w:kern w:val="0"/>
          <w:szCs w:val="21"/>
          <w:lang w:val="en-US" w:eastAsia="zh-CN" w:bidi="ar-SA"/>
        </w:rPr>
        <w:t>3</w:t>
      </w:r>
      <w:r>
        <w:rPr>
          <w:rFonts w:hint="eastAsia" w:ascii="Times New Roman" w:hAnsi="Times New Roman" w:eastAsia="宋体" w:cs="Times New Roman"/>
          <w:kern w:val="0"/>
          <w:szCs w:val="21"/>
          <w:lang w:val="en-US" w:eastAsia="zh-CN" w:bidi="ar-SA"/>
        </w:rPr>
        <w:t>二次回路配线</w:t>
      </w:r>
      <w:r>
        <w:tab/>
      </w:r>
      <w:r>
        <w:fldChar w:fldCharType="begin"/>
      </w:r>
      <w:r>
        <w:instrText xml:space="preserve"> PAGEREF _Toc4155 \h </w:instrText>
      </w:r>
      <w:r>
        <w:fldChar w:fldCharType="separate"/>
      </w:r>
      <w:r>
        <w:t>86</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_Toc28260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2.</w:t>
      </w:r>
      <w:r>
        <w:rPr>
          <w:rFonts w:hint="eastAsia" w:cs="Times New Roman"/>
          <w:kern w:val="0"/>
          <w:szCs w:val="21"/>
          <w:lang w:val="en-US" w:eastAsia="zh-CN" w:bidi="ar-SA"/>
        </w:rPr>
        <w:t>4</w:t>
      </w:r>
      <w:r>
        <w:rPr>
          <w:rFonts w:hint="eastAsia" w:ascii="Times New Roman" w:hAnsi="Times New Roman" w:eastAsia="宋体" w:cs="Times New Roman"/>
          <w:kern w:val="0"/>
          <w:szCs w:val="21"/>
          <w:lang w:val="en-US" w:eastAsia="zh-CN" w:bidi="ar-SA"/>
        </w:rPr>
        <w:t>.1</w:t>
      </w:r>
      <w:r>
        <w:rPr>
          <w:rFonts w:hint="eastAsia" w:cs="Times New Roman"/>
          <w:kern w:val="0"/>
          <w:szCs w:val="21"/>
          <w:lang w:val="en-US" w:eastAsia="zh-CN" w:bidi="ar-SA"/>
        </w:rPr>
        <w:t>4</w:t>
      </w:r>
      <w:r>
        <w:rPr>
          <w:rFonts w:hint="eastAsia" w:ascii="Times New Roman" w:hAnsi="Times New Roman" w:eastAsia="宋体" w:cs="Times New Roman"/>
          <w:kern w:val="0"/>
          <w:szCs w:val="21"/>
          <w:lang w:val="en-US" w:eastAsia="zh-CN" w:bidi="ar-SA"/>
        </w:rPr>
        <w:t>变电站综合自动化系统</w:t>
      </w:r>
      <w:r>
        <w:tab/>
      </w:r>
      <w:r>
        <w:fldChar w:fldCharType="begin"/>
      </w:r>
      <w:r>
        <w:instrText xml:space="preserve"> PAGEREF _Toc28260 \h </w:instrText>
      </w:r>
      <w:r>
        <w:fldChar w:fldCharType="separate"/>
      </w:r>
      <w:r>
        <w:t>88</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_Toc24000 </w:instrText>
      </w:r>
      <w:r>
        <w:rPr>
          <w:rFonts w:hint="eastAsia" w:ascii="黑体" w:eastAsia="黑体"/>
          <w:bCs/>
          <w:szCs w:val="28"/>
        </w:rPr>
        <w:fldChar w:fldCharType="separate"/>
      </w:r>
      <w:r>
        <w:rPr>
          <w:rFonts w:hint="eastAsia" w:ascii="Times New Roman" w:hAnsi="Times New Roman" w:eastAsia="宋体" w:cs="Times New Roman"/>
          <w:kern w:val="0"/>
          <w:szCs w:val="21"/>
          <w:lang w:val="en-US" w:eastAsia="zh-CN" w:bidi="ar-SA"/>
        </w:rPr>
        <w:t>2.4.15时钟同步系统</w:t>
      </w:r>
      <w:r>
        <w:tab/>
      </w:r>
      <w:r>
        <w:fldChar w:fldCharType="begin"/>
      </w:r>
      <w:r>
        <w:instrText xml:space="preserve"> PAGEREF _Toc24000 \h </w:instrText>
      </w:r>
      <w:r>
        <w:fldChar w:fldCharType="separate"/>
      </w:r>
      <w:r>
        <w:t>103</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_Toc16342 </w:instrText>
      </w:r>
      <w:r>
        <w:rPr>
          <w:rFonts w:hint="eastAsia" w:ascii="黑体" w:eastAsia="黑体"/>
          <w:bCs/>
          <w:szCs w:val="28"/>
        </w:rPr>
        <w:fldChar w:fldCharType="separate"/>
      </w:r>
      <w:r>
        <w:rPr>
          <w:rFonts w:hint="default" w:ascii="Times New Roman" w:hAnsi="Times New Roman" w:eastAsia="宋体" w:cs="Times New Roman"/>
          <w:kern w:val="0"/>
          <w:szCs w:val="21"/>
          <w:lang w:val="en-US" w:eastAsia="zh-CN" w:bidi="ar-SA"/>
        </w:rPr>
        <w:t>2.</w:t>
      </w:r>
      <w:r>
        <w:rPr>
          <w:rFonts w:hint="eastAsia" w:cs="Times New Roman"/>
          <w:kern w:val="0"/>
          <w:szCs w:val="21"/>
          <w:lang w:val="en-US" w:eastAsia="zh-CN" w:bidi="ar-SA"/>
        </w:rPr>
        <w:t>4</w:t>
      </w:r>
      <w:r>
        <w:rPr>
          <w:rFonts w:hint="default" w:ascii="Times New Roman" w:hAnsi="Times New Roman" w:eastAsia="宋体" w:cs="Times New Roman"/>
          <w:kern w:val="0"/>
          <w:szCs w:val="21"/>
          <w:lang w:val="en-US" w:eastAsia="zh-CN" w:bidi="ar-SA"/>
        </w:rPr>
        <w:t>.1</w:t>
      </w:r>
      <w:r>
        <w:rPr>
          <w:rFonts w:hint="eastAsia" w:cs="Times New Roman"/>
          <w:kern w:val="0"/>
          <w:szCs w:val="21"/>
          <w:lang w:val="en-US" w:eastAsia="zh-CN" w:bidi="ar-SA"/>
        </w:rPr>
        <w:t>6</w:t>
      </w:r>
      <w:r>
        <w:rPr>
          <w:rFonts w:hint="default" w:ascii="Times New Roman" w:hAnsi="Times New Roman" w:eastAsia="宋体" w:cs="Times New Roman"/>
          <w:kern w:val="0"/>
          <w:szCs w:val="21"/>
          <w:lang w:val="en-US" w:eastAsia="zh-CN" w:bidi="ar-SA"/>
        </w:rPr>
        <w:t>故障录波装置</w:t>
      </w:r>
      <w:r>
        <w:tab/>
      </w:r>
      <w:r>
        <w:fldChar w:fldCharType="begin"/>
      </w:r>
      <w:r>
        <w:instrText xml:space="preserve"> PAGEREF _Toc16342 \h </w:instrText>
      </w:r>
      <w:r>
        <w:fldChar w:fldCharType="separate"/>
      </w:r>
      <w:r>
        <w:t>104</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_Toc24584 </w:instrText>
      </w:r>
      <w:r>
        <w:rPr>
          <w:rFonts w:hint="eastAsia" w:ascii="黑体" w:eastAsia="黑体"/>
          <w:bCs/>
          <w:szCs w:val="28"/>
        </w:rPr>
        <w:fldChar w:fldCharType="separate"/>
      </w:r>
      <w:r>
        <w:rPr>
          <w:rFonts w:hint="eastAsia" w:cs="Times New Roman"/>
          <w:kern w:val="0"/>
          <w:szCs w:val="21"/>
          <w:lang w:val="en-US" w:eastAsia="zh-CN" w:bidi="ar-SA"/>
        </w:rPr>
        <w:t>2.4.17电能质量</w:t>
      </w:r>
      <w:r>
        <w:tab/>
      </w:r>
      <w:r>
        <w:fldChar w:fldCharType="begin"/>
      </w:r>
      <w:r>
        <w:instrText xml:space="preserve"> PAGEREF _Toc24584 \h </w:instrText>
      </w:r>
      <w:r>
        <w:fldChar w:fldCharType="separate"/>
      </w:r>
      <w:r>
        <w:t>107</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_Toc26433 </w:instrText>
      </w:r>
      <w:r>
        <w:rPr>
          <w:rFonts w:hint="eastAsia" w:ascii="黑体" w:eastAsia="黑体"/>
          <w:bCs/>
          <w:szCs w:val="28"/>
        </w:rPr>
        <w:fldChar w:fldCharType="separate"/>
      </w:r>
      <w:r>
        <w:rPr>
          <w:rFonts w:hint="eastAsia" w:ascii="宋体" w:hAnsi="Times New Roman" w:eastAsia="宋体" w:cs="Times New Roman"/>
          <w:snapToGrid w:val="0"/>
          <w:kern w:val="0"/>
          <w:szCs w:val="21"/>
          <w:lang w:val="en-US" w:eastAsia="zh-CN" w:bidi="ar-SA"/>
        </w:rPr>
        <w:t>2.4.1</w:t>
      </w:r>
      <w:r>
        <w:rPr>
          <w:rFonts w:hint="eastAsia" w:ascii="宋体" w:cs="Times New Roman"/>
          <w:snapToGrid w:val="0"/>
          <w:kern w:val="0"/>
          <w:szCs w:val="21"/>
          <w:lang w:val="en-US" w:eastAsia="zh-CN" w:bidi="ar-SA"/>
        </w:rPr>
        <w:t>8</w:t>
      </w:r>
      <w:r>
        <w:rPr>
          <w:rFonts w:hint="eastAsia" w:ascii="宋体" w:hAnsi="Times New Roman" w:eastAsia="宋体" w:cs="Times New Roman"/>
          <w:snapToGrid w:val="0"/>
          <w:kern w:val="0"/>
          <w:szCs w:val="21"/>
          <w:lang w:val="en-US" w:eastAsia="zh-CN" w:bidi="ar-SA"/>
        </w:rPr>
        <w:t>综合在线监测系统</w:t>
      </w:r>
      <w:r>
        <w:tab/>
      </w:r>
      <w:r>
        <w:fldChar w:fldCharType="begin"/>
      </w:r>
      <w:r>
        <w:instrText xml:space="preserve"> PAGEREF _Toc26433 \h </w:instrText>
      </w:r>
      <w:r>
        <w:fldChar w:fldCharType="separate"/>
      </w:r>
      <w:r>
        <w:t>109</w:t>
      </w:r>
      <w:r>
        <w:fldChar w:fldCharType="end"/>
      </w:r>
      <w:r>
        <w:rPr>
          <w:rFonts w:hint="eastAsia" w:ascii="黑体" w:eastAsia="黑体"/>
          <w:bCs/>
          <w:color w:val="000000"/>
          <w:szCs w:val="28"/>
        </w:rPr>
        <w:fldChar w:fldCharType="end"/>
      </w:r>
    </w:p>
    <w:p>
      <w:pPr>
        <w:pStyle w:val="5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_Toc10388 </w:instrText>
      </w:r>
      <w:r>
        <w:rPr>
          <w:rFonts w:hint="eastAsia" w:ascii="黑体" w:eastAsia="黑体"/>
          <w:bCs/>
          <w:szCs w:val="28"/>
        </w:rPr>
        <w:fldChar w:fldCharType="separate"/>
      </w:r>
      <w:r>
        <w:rPr>
          <w:rFonts w:hint="eastAsia" w:ascii="宋体" w:cs="Times New Roman"/>
          <w:snapToGrid w:val="0"/>
          <w:kern w:val="0"/>
          <w:szCs w:val="21"/>
          <w:lang w:val="en-US" w:eastAsia="zh-CN" w:bidi="ar-SA"/>
        </w:rPr>
        <w:t>2.6线缆、敷设、屏体要求</w:t>
      </w:r>
      <w:r>
        <w:tab/>
      </w:r>
      <w:r>
        <w:fldChar w:fldCharType="begin"/>
      </w:r>
      <w:r>
        <w:instrText xml:space="preserve"> PAGEREF _Toc10388 \h </w:instrText>
      </w:r>
      <w:r>
        <w:fldChar w:fldCharType="separate"/>
      </w:r>
      <w:r>
        <w:t>117</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_Toc29780 </w:instrText>
      </w:r>
      <w:r>
        <w:rPr>
          <w:rFonts w:hint="eastAsia" w:ascii="黑体" w:eastAsia="黑体"/>
          <w:bCs/>
          <w:szCs w:val="28"/>
        </w:rPr>
        <w:fldChar w:fldCharType="separate"/>
      </w:r>
      <w:r>
        <w:rPr>
          <w:rFonts w:hint="eastAsia" w:ascii="宋体" w:cs="宋体"/>
          <w:bCs/>
          <w:kern w:val="0"/>
          <w:szCs w:val="28"/>
          <w:lang w:val="en-US" w:eastAsia="zh-CN"/>
        </w:rPr>
        <w:t>2.6.1线路技术要求</w:t>
      </w:r>
      <w:r>
        <w:tab/>
      </w:r>
      <w:r>
        <w:fldChar w:fldCharType="begin"/>
      </w:r>
      <w:r>
        <w:instrText xml:space="preserve"> PAGEREF _Toc29780 \h </w:instrText>
      </w:r>
      <w:r>
        <w:fldChar w:fldCharType="separate"/>
      </w:r>
      <w:r>
        <w:t>118</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_Toc25566 </w:instrText>
      </w:r>
      <w:r>
        <w:rPr>
          <w:rFonts w:hint="eastAsia" w:ascii="黑体" w:eastAsia="黑体"/>
          <w:bCs/>
          <w:szCs w:val="28"/>
        </w:rPr>
        <w:fldChar w:fldCharType="separate"/>
      </w:r>
      <w:r>
        <w:rPr>
          <w:rFonts w:hint="eastAsia" w:ascii="宋体" w:cs="宋体"/>
          <w:bCs/>
          <w:kern w:val="0"/>
          <w:szCs w:val="28"/>
          <w:lang w:val="en-US" w:eastAsia="zh-CN"/>
        </w:rPr>
        <w:t>2.6.2电缆敷设的防火、防爆、防腐措施</w:t>
      </w:r>
      <w:r>
        <w:tab/>
      </w:r>
      <w:r>
        <w:fldChar w:fldCharType="begin"/>
      </w:r>
      <w:r>
        <w:instrText xml:space="preserve"> PAGEREF _Toc25566 \h </w:instrText>
      </w:r>
      <w:r>
        <w:fldChar w:fldCharType="separate"/>
      </w:r>
      <w:r>
        <w:t>119</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_Toc22293 </w:instrText>
      </w:r>
      <w:r>
        <w:rPr>
          <w:rFonts w:hint="eastAsia" w:ascii="黑体" w:eastAsia="黑体"/>
          <w:bCs/>
          <w:szCs w:val="28"/>
        </w:rPr>
        <w:fldChar w:fldCharType="separate"/>
      </w:r>
      <w:r>
        <w:rPr>
          <w:rFonts w:hint="eastAsia" w:ascii="宋体" w:cs="Times New Roman"/>
          <w:snapToGrid w:val="0"/>
          <w:kern w:val="0"/>
          <w:szCs w:val="21"/>
          <w:lang w:val="en-US" w:eastAsia="zh-CN" w:bidi="ar-SA"/>
        </w:rPr>
        <w:t>2.6.3电缆接头</w:t>
      </w:r>
      <w:r>
        <w:tab/>
      </w:r>
      <w:r>
        <w:fldChar w:fldCharType="begin"/>
      </w:r>
      <w:r>
        <w:instrText xml:space="preserve"> PAGEREF _Toc22293 \h </w:instrText>
      </w:r>
      <w:r>
        <w:fldChar w:fldCharType="separate"/>
      </w:r>
      <w:r>
        <w:t>120</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_Toc18781 </w:instrText>
      </w:r>
      <w:r>
        <w:rPr>
          <w:rFonts w:hint="eastAsia" w:ascii="黑体" w:eastAsia="黑体"/>
          <w:bCs/>
          <w:szCs w:val="28"/>
        </w:rPr>
        <w:fldChar w:fldCharType="separate"/>
      </w:r>
      <w:r>
        <w:rPr>
          <w:rFonts w:hint="eastAsia" w:ascii="宋体" w:cs="Times New Roman"/>
          <w:snapToGrid w:val="0"/>
          <w:kern w:val="0"/>
          <w:szCs w:val="21"/>
          <w:lang w:val="en-US" w:eastAsia="zh-CN" w:bidi="ar-SA"/>
        </w:rPr>
        <w:t>2.6.4屏体要求</w:t>
      </w:r>
      <w:r>
        <w:tab/>
      </w:r>
      <w:r>
        <w:fldChar w:fldCharType="begin"/>
      </w:r>
      <w:r>
        <w:instrText xml:space="preserve"> PAGEREF _Toc18781 \h </w:instrText>
      </w:r>
      <w:r>
        <w:fldChar w:fldCharType="separate"/>
      </w:r>
      <w:r>
        <w:t>120</w:t>
      </w:r>
      <w:r>
        <w:fldChar w:fldCharType="end"/>
      </w:r>
      <w:r>
        <w:rPr>
          <w:rFonts w:hint="eastAsia" w:ascii="黑体" w:eastAsia="黑体"/>
          <w:bCs/>
          <w:color w:val="000000"/>
          <w:szCs w:val="28"/>
        </w:rPr>
        <w:fldChar w:fldCharType="end"/>
      </w:r>
    </w:p>
    <w:p>
      <w:pPr>
        <w:pStyle w:val="43"/>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_Toc6761 </w:instrText>
      </w:r>
      <w:r>
        <w:rPr>
          <w:rFonts w:hint="eastAsia" w:ascii="黑体" w:eastAsia="黑体"/>
          <w:bCs/>
          <w:szCs w:val="28"/>
        </w:rPr>
        <w:fldChar w:fldCharType="separate"/>
      </w:r>
      <w:r>
        <w:rPr>
          <w:rFonts w:hint="eastAsia"/>
          <w:bCs/>
          <w:szCs w:val="32"/>
          <w:lang w:val="en-US" w:eastAsia="zh-CN"/>
        </w:rPr>
        <w:t>第3章其他配套设施</w:t>
      </w:r>
      <w:r>
        <w:tab/>
      </w:r>
      <w:r>
        <w:fldChar w:fldCharType="begin"/>
      </w:r>
      <w:r>
        <w:instrText xml:space="preserve"> PAGEREF _Toc6761 \h </w:instrText>
      </w:r>
      <w:r>
        <w:fldChar w:fldCharType="separate"/>
      </w:r>
      <w:r>
        <w:t>121</w:t>
      </w:r>
      <w:r>
        <w:fldChar w:fldCharType="end"/>
      </w:r>
      <w:r>
        <w:rPr>
          <w:rFonts w:hint="eastAsia" w:ascii="黑体" w:eastAsia="黑体"/>
          <w:bCs/>
          <w:color w:val="000000"/>
          <w:szCs w:val="28"/>
        </w:rPr>
        <w:fldChar w:fldCharType="end"/>
      </w:r>
    </w:p>
    <w:p>
      <w:pPr>
        <w:pStyle w:val="5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_Toc19596 </w:instrText>
      </w:r>
      <w:r>
        <w:rPr>
          <w:rFonts w:hint="eastAsia" w:ascii="黑体" w:eastAsia="黑体"/>
          <w:bCs/>
          <w:szCs w:val="28"/>
        </w:rPr>
        <w:fldChar w:fldCharType="separate"/>
      </w:r>
      <w:r>
        <w:rPr>
          <w:rFonts w:hint="eastAsia"/>
          <w:bCs/>
          <w:szCs w:val="28"/>
          <w:lang w:val="en-US" w:eastAsia="zh-CN"/>
        </w:rPr>
        <w:t>3.1暖通系统</w:t>
      </w:r>
      <w:r>
        <w:tab/>
      </w:r>
      <w:r>
        <w:fldChar w:fldCharType="begin"/>
      </w:r>
      <w:r>
        <w:instrText xml:space="preserve"> PAGEREF _Toc19596 \h </w:instrText>
      </w:r>
      <w:r>
        <w:fldChar w:fldCharType="separate"/>
      </w:r>
      <w:r>
        <w:t>121</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_Toc12155 </w:instrText>
      </w:r>
      <w:r>
        <w:rPr>
          <w:rFonts w:hint="eastAsia" w:ascii="黑体" w:eastAsia="黑体"/>
          <w:bCs/>
          <w:szCs w:val="28"/>
        </w:rPr>
        <w:fldChar w:fldCharType="separate"/>
      </w:r>
      <w:r>
        <w:rPr>
          <w:rFonts w:hint="eastAsia"/>
          <w:bCs/>
          <w:szCs w:val="28"/>
          <w:lang w:val="en-US" w:eastAsia="zh-CN"/>
        </w:rPr>
        <w:t>3.1.1概述</w:t>
      </w:r>
      <w:r>
        <w:tab/>
      </w:r>
      <w:r>
        <w:fldChar w:fldCharType="begin"/>
      </w:r>
      <w:r>
        <w:instrText xml:space="preserve"> PAGEREF _Toc12155 \h </w:instrText>
      </w:r>
      <w:r>
        <w:fldChar w:fldCharType="separate"/>
      </w:r>
      <w:r>
        <w:t>121</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_Toc7962 </w:instrText>
      </w:r>
      <w:r>
        <w:rPr>
          <w:rFonts w:hint="eastAsia" w:ascii="黑体" w:eastAsia="黑体"/>
          <w:bCs/>
          <w:szCs w:val="28"/>
        </w:rPr>
        <w:fldChar w:fldCharType="separate"/>
      </w:r>
      <w:r>
        <w:rPr>
          <w:rFonts w:hint="eastAsia"/>
          <w:bCs/>
          <w:szCs w:val="28"/>
          <w:lang w:val="en-US" w:eastAsia="zh-CN"/>
        </w:rPr>
        <w:t>3.1.2</w:t>
      </w:r>
      <w:r>
        <w:rPr>
          <w:rFonts w:hint="default"/>
          <w:bCs/>
          <w:szCs w:val="28"/>
          <w:lang w:val="en-US" w:eastAsia="zh-CN"/>
        </w:rPr>
        <w:t>通风</w:t>
      </w:r>
      <w:r>
        <w:rPr>
          <w:rFonts w:hint="eastAsia"/>
          <w:bCs/>
          <w:szCs w:val="28"/>
          <w:lang w:val="en-US" w:eastAsia="zh-CN"/>
        </w:rPr>
        <w:t>设计</w:t>
      </w:r>
      <w:r>
        <w:tab/>
      </w:r>
      <w:r>
        <w:fldChar w:fldCharType="begin"/>
      </w:r>
      <w:r>
        <w:instrText xml:space="preserve"> PAGEREF _Toc7962 \h </w:instrText>
      </w:r>
      <w:r>
        <w:fldChar w:fldCharType="separate"/>
      </w:r>
      <w:r>
        <w:t>121</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_Toc14760 </w:instrText>
      </w:r>
      <w:r>
        <w:rPr>
          <w:rFonts w:hint="eastAsia" w:ascii="黑体" w:eastAsia="黑体"/>
          <w:bCs/>
          <w:szCs w:val="28"/>
        </w:rPr>
        <w:fldChar w:fldCharType="separate"/>
      </w:r>
      <w:r>
        <w:rPr>
          <w:rFonts w:hint="eastAsia"/>
          <w:bCs/>
          <w:szCs w:val="28"/>
          <w:lang w:val="en-US" w:eastAsia="zh-CN"/>
        </w:rPr>
        <w:t>3.1.3</w:t>
      </w:r>
      <w:r>
        <w:rPr>
          <w:rFonts w:hint="default"/>
          <w:bCs/>
          <w:szCs w:val="28"/>
          <w:lang w:val="en-US" w:eastAsia="zh-CN"/>
        </w:rPr>
        <w:t>空调</w:t>
      </w:r>
      <w:r>
        <w:rPr>
          <w:rFonts w:hint="eastAsia"/>
          <w:bCs/>
          <w:szCs w:val="28"/>
          <w:lang w:val="en-US" w:eastAsia="zh-CN"/>
        </w:rPr>
        <w:t>设计</w:t>
      </w:r>
      <w:r>
        <w:tab/>
      </w:r>
      <w:r>
        <w:fldChar w:fldCharType="begin"/>
      </w:r>
      <w:r>
        <w:instrText xml:space="preserve"> PAGEREF _Toc14760 \h </w:instrText>
      </w:r>
      <w:r>
        <w:fldChar w:fldCharType="separate"/>
      </w:r>
      <w:r>
        <w:t>122</w:t>
      </w:r>
      <w:r>
        <w:fldChar w:fldCharType="end"/>
      </w:r>
      <w:r>
        <w:rPr>
          <w:rFonts w:hint="eastAsia" w:ascii="黑体" w:eastAsia="黑体"/>
          <w:bCs/>
          <w:color w:val="000000"/>
          <w:szCs w:val="28"/>
        </w:rPr>
        <w:fldChar w:fldCharType="end"/>
      </w:r>
    </w:p>
    <w:p>
      <w:pPr>
        <w:pStyle w:val="5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_Toc21938 </w:instrText>
      </w:r>
      <w:r>
        <w:rPr>
          <w:rFonts w:hint="eastAsia" w:ascii="黑体" w:eastAsia="黑体"/>
          <w:bCs/>
          <w:szCs w:val="28"/>
        </w:rPr>
        <w:fldChar w:fldCharType="separate"/>
      </w:r>
      <w:r>
        <w:rPr>
          <w:rFonts w:hint="eastAsia"/>
          <w:bCs/>
          <w:szCs w:val="28"/>
          <w:lang w:val="en-US" w:eastAsia="zh-CN"/>
        </w:rPr>
        <w:t>3.2</w:t>
      </w:r>
      <w:r>
        <w:rPr>
          <w:rFonts w:hint="default"/>
          <w:bCs/>
          <w:szCs w:val="28"/>
          <w:lang w:val="en-US" w:eastAsia="zh-CN"/>
        </w:rPr>
        <w:t>给排水</w:t>
      </w:r>
      <w:r>
        <w:tab/>
      </w:r>
      <w:r>
        <w:fldChar w:fldCharType="begin"/>
      </w:r>
      <w:r>
        <w:instrText xml:space="preserve"> PAGEREF _Toc21938 \h </w:instrText>
      </w:r>
      <w:r>
        <w:fldChar w:fldCharType="separate"/>
      </w:r>
      <w:r>
        <w:t>122</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_Toc1702 </w:instrText>
      </w:r>
      <w:r>
        <w:rPr>
          <w:rFonts w:hint="eastAsia" w:ascii="黑体" w:eastAsia="黑体"/>
          <w:bCs/>
          <w:szCs w:val="28"/>
        </w:rPr>
        <w:fldChar w:fldCharType="separate"/>
      </w:r>
      <w:r>
        <w:rPr>
          <w:rFonts w:hint="eastAsia"/>
          <w:bCs/>
          <w:szCs w:val="28"/>
          <w:lang w:val="en-US" w:eastAsia="zh-CN"/>
        </w:rPr>
        <w:t>3.2.1</w:t>
      </w:r>
      <w:r>
        <w:rPr>
          <w:rFonts w:hint="default"/>
          <w:bCs/>
          <w:szCs w:val="28"/>
          <w:lang w:val="en-US" w:eastAsia="zh-CN"/>
        </w:rPr>
        <w:t>概述</w:t>
      </w:r>
      <w:r>
        <w:tab/>
      </w:r>
      <w:r>
        <w:fldChar w:fldCharType="begin"/>
      </w:r>
      <w:r>
        <w:instrText xml:space="preserve"> PAGEREF _Toc1702 \h </w:instrText>
      </w:r>
      <w:r>
        <w:fldChar w:fldCharType="separate"/>
      </w:r>
      <w:r>
        <w:t>122</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_Toc19458 </w:instrText>
      </w:r>
      <w:r>
        <w:rPr>
          <w:rFonts w:hint="eastAsia" w:ascii="黑体" w:eastAsia="黑体"/>
          <w:bCs/>
          <w:szCs w:val="28"/>
        </w:rPr>
        <w:fldChar w:fldCharType="separate"/>
      </w:r>
      <w:r>
        <w:rPr>
          <w:rFonts w:hint="eastAsia"/>
          <w:bCs/>
          <w:szCs w:val="28"/>
          <w:lang w:val="en-US" w:eastAsia="zh-CN"/>
        </w:rPr>
        <w:t>3.2.2</w:t>
      </w:r>
      <w:r>
        <w:rPr>
          <w:rFonts w:hint="default"/>
          <w:bCs/>
          <w:szCs w:val="28"/>
          <w:lang w:val="en-US" w:eastAsia="zh-CN"/>
        </w:rPr>
        <w:t>给排水设施</w:t>
      </w:r>
      <w:r>
        <w:rPr>
          <w:rFonts w:hint="eastAsia"/>
          <w:bCs/>
          <w:szCs w:val="28"/>
          <w:lang w:val="en-US" w:eastAsia="zh-CN"/>
        </w:rPr>
        <w:t>设计</w:t>
      </w:r>
      <w:r>
        <w:tab/>
      </w:r>
      <w:r>
        <w:fldChar w:fldCharType="begin"/>
      </w:r>
      <w:r>
        <w:instrText xml:space="preserve"> PAGEREF _Toc19458 \h </w:instrText>
      </w:r>
      <w:r>
        <w:fldChar w:fldCharType="separate"/>
      </w:r>
      <w:r>
        <w:t>123</w:t>
      </w:r>
      <w:r>
        <w:fldChar w:fldCharType="end"/>
      </w:r>
      <w:r>
        <w:rPr>
          <w:rFonts w:hint="eastAsia" w:ascii="黑体" w:eastAsia="黑体"/>
          <w:bCs/>
          <w:color w:val="000000"/>
          <w:szCs w:val="28"/>
        </w:rPr>
        <w:fldChar w:fldCharType="end"/>
      </w:r>
    </w:p>
    <w:p>
      <w:pPr>
        <w:pStyle w:val="5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_Toc31993 </w:instrText>
      </w:r>
      <w:r>
        <w:rPr>
          <w:rFonts w:hint="eastAsia" w:ascii="黑体" w:eastAsia="黑体"/>
          <w:bCs/>
          <w:szCs w:val="28"/>
        </w:rPr>
        <w:fldChar w:fldCharType="separate"/>
      </w:r>
      <w:r>
        <w:rPr>
          <w:rFonts w:hint="eastAsia"/>
          <w:bCs/>
          <w:szCs w:val="28"/>
          <w:lang w:val="en-US" w:eastAsia="zh-CN"/>
        </w:rPr>
        <w:t>3.3弱电系统</w:t>
      </w:r>
      <w:r>
        <w:tab/>
      </w:r>
      <w:r>
        <w:fldChar w:fldCharType="begin"/>
      </w:r>
      <w:r>
        <w:instrText xml:space="preserve"> PAGEREF _Toc31993 \h </w:instrText>
      </w:r>
      <w:r>
        <w:fldChar w:fldCharType="separate"/>
      </w:r>
      <w:r>
        <w:t>124</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_Toc2529 </w:instrText>
      </w:r>
      <w:r>
        <w:rPr>
          <w:rFonts w:hint="eastAsia" w:ascii="黑体" w:eastAsia="黑体"/>
          <w:bCs/>
          <w:szCs w:val="28"/>
        </w:rPr>
        <w:fldChar w:fldCharType="separate"/>
      </w:r>
      <w:r>
        <w:rPr>
          <w:rFonts w:hint="eastAsia"/>
          <w:bCs/>
          <w:szCs w:val="28"/>
          <w:lang w:val="en-US" w:eastAsia="zh-CN"/>
        </w:rPr>
        <w:t>3.3.1概述</w:t>
      </w:r>
      <w:r>
        <w:tab/>
      </w:r>
      <w:r>
        <w:fldChar w:fldCharType="begin"/>
      </w:r>
      <w:r>
        <w:instrText xml:space="preserve"> PAGEREF _Toc2529 \h </w:instrText>
      </w:r>
      <w:r>
        <w:fldChar w:fldCharType="separate"/>
      </w:r>
      <w:r>
        <w:t>124</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_Toc23284 </w:instrText>
      </w:r>
      <w:r>
        <w:rPr>
          <w:rFonts w:hint="eastAsia" w:ascii="黑体" w:eastAsia="黑体"/>
          <w:bCs/>
          <w:szCs w:val="28"/>
        </w:rPr>
        <w:fldChar w:fldCharType="separate"/>
      </w:r>
      <w:r>
        <w:rPr>
          <w:rFonts w:hint="eastAsia"/>
          <w:bCs/>
          <w:szCs w:val="28"/>
          <w:lang w:val="en-US" w:eastAsia="zh-CN"/>
        </w:rPr>
        <w:t>3.3.2弱电设计</w:t>
      </w:r>
      <w:r>
        <w:tab/>
      </w:r>
      <w:r>
        <w:fldChar w:fldCharType="begin"/>
      </w:r>
      <w:r>
        <w:instrText xml:space="preserve"> PAGEREF _Toc23284 \h </w:instrText>
      </w:r>
      <w:r>
        <w:fldChar w:fldCharType="separate"/>
      </w:r>
      <w:r>
        <w:t>124</w:t>
      </w:r>
      <w:r>
        <w:fldChar w:fldCharType="end"/>
      </w:r>
      <w:r>
        <w:rPr>
          <w:rFonts w:hint="eastAsia" w:ascii="黑体" w:eastAsia="黑体"/>
          <w:bCs/>
          <w:color w:val="000000"/>
          <w:szCs w:val="28"/>
        </w:rPr>
        <w:fldChar w:fldCharType="end"/>
      </w:r>
    </w:p>
    <w:p>
      <w:pPr>
        <w:pStyle w:val="5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_Toc15048 </w:instrText>
      </w:r>
      <w:r>
        <w:rPr>
          <w:rFonts w:hint="eastAsia" w:ascii="黑体" w:eastAsia="黑体"/>
          <w:bCs/>
          <w:szCs w:val="28"/>
        </w:rPr>
        <w:fldChar w:fldCharType="separate"/>
      </w:r>
      <w:r>
        <w:rPr>
          <w:rFonts w:hint="eastAsia"/>
          <w:bCs/>
          <w:szCs w:val="28"/>
          <w:lang w:val="en-US" w:eastAsia="zh-CN"/>
        </w:rPr>
        <w:t>3.3消防系统</w:t>
      </w:r>
      <w:r>
        <w:tab/>
      </w:r>
      <w:r>
        <w:fldChar w:fldCharType="begin"/>
      </w:r>
      <w:r>
        <w:instrText xml:space="preserve"> PAGEREF _Toc15048 \h </w:instrText>
      </w:r>
      <w:r>
        <w:fldChar w:fldCharType="separate"/>
      </w:r>
      <w:r>
        <w:t>131</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_Toc13013 </w:instrText>
      </w:r>
      <w:r>
        <w:rPr>
          <w:rFonts w:hint="eastAsia" w:ascii="黑体" w:eastAsia="黑体"/>
          <w:bCs/>
          <w:szCs w:val="28"/>
        </w:rPr>
        <w:fldChar w:fldCharType="separate"/>
      </w:r>
      <w:r>
        <w:rPr>
          <w:rFonts w:hint="eastAsia"/>
          <w:bCs/>
          <w:szCs w:val="28"/>
          <w:lang w:val="en-US" w:eastAsia="zh-CN"/>
        </w:rPr>
        <w:t>3.3.1概述</w:t>
      </w:r>
      <w:r>
        <w:tab/>
      </w:r>
      <w:r>
        <w:fldChar w:fldCharType="begin"/>
      </w:r>
      <w:r>
        <w:instrText xml:space="preserve"> PAGEREF _Toc13013 \h </w:instrText>
      </w:r>
      <w:r>
        <w:fldChar w:fldCharType="separate"/>
      </w:r>
      <w:r>
        <w:t>131</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_Toc4606 </w:instrText>
      </w:r>
      <w:r>
        <w:rPr>
          <w:rFonts w:hint="eastAsia" w:ascii="黑体" w:eastAsia="黑体"/>
          <w:bCs/>
          <w:szCs w:val="28"/>
        </w:rPr>
        <w:fldChar w:fldCharType="separate"/>
      </w:r>
      <w:r>
        <w:rPr>
          <w:rFonts w:hint="eastAsia"/>
          <w:bCs/>
          <w:szCs w:val="28"/>
          <w:lang w:val="en-US" w:eastAsia="zh-CN"/>
        </w:rPr>
        <w:t>3.3.2</w:t>
      </w:r>
      <w:r>
        <w:rPr>
          <w:rFonts w:hint="default"/>
          <w:bCs/>
          <w:szCs w:val="28"/>
          <w:lang w:val="en-US" w:eastAsia="zh-CN"/>
        </w:rPr>
        <w:t>消防设计</w:t>
      </w:r>
      <w:r>
        <w:tab/>
      </w:r>
      <w:r>
        <w:fldChar w:fldCharType="begin"/>
      </w:r>
      <w:r>
        <w:instrText xml:space="preserve"> PAGEREF _Toc4606 \h </w:instrText>
      </w:r>
      <w:r>
        <w:fldChar w:fldCharType="separate"/>
      </w:r>
      <w:r>
        <w:t>131</w:t>
      </w:r>
      <w:r>
        <w:fldChar w:fldCharType="end"/>
      </w:r>
      <w:r>
        <w:rPr>
          <w:rFonts w:hint="eastAsia" w:ascii="黑体" w:eastAsia="黑体"/>
          <w:bCs/>
          <w:color w:val="000000"/>
          <w:szCs w:val="28"/>
        </w:rPr>
        <w:fldChar w:fldCharType="end"/>
      </w:r>
    </w:p>
    <w:p>
      <w:pPr>
        <w:pStyle w:val="5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_Toc13509 </w:instrText>
      </w:r>
      <w:r>
        <w:rPr>
          <w:rFonts w:hint="eastAsia" w:ascii="黑体" w:eastAsia="黑体"/>
          <w:bCs/>
          <w:szCs w:val="28"/>
        </w:rPr>
        <w:fldChar w:fldCharType="separate"/>
      </w:r>
      <w:r>
        <w:rPr>
          <w:rFonts w:hint="eastAsia"/>
          <w:bCs/>
          <w:szCs w:val="28"/>
          <w:lang w:val="en-US" w:eastAsia="zh-CN"/>
        </w:rPr>
        <w:t>3.4照明系统</w:t>
      </w:r>
      <w:r>
        <w:tab/>
      </w:r>
      <w:r>
        <w:fldChar w:fldCharType="begin"/>
      </w:r>
      <w:r>
        <w:instrText xml:space="preserve"> PAGEREF _Toc13509 \h </w:instrText>
      </w:r>
      <w:r>
        <w:fldChar w:fldCharType="separate"/>
      </w:r>
      <w:r>
        <w:t>134</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_Toc2334 </w:instrText>
      </w:r>
      <w:r>
        <w:rPr>
          <w:rFonts w:hint="eastAsia" w:ascii="黑体" w:eastAsia="黑体"/>
          <w:bCs/>
          <w:szCs w:val="28"/>
        </w:rPr>
        <w:fldChar w:fldCharType="separate"/>
      </w:r>
      <w:r>
        <w:rPr>
          <w:rFonts w:hint="eastAsia"/>
          <w:bCs/>
          <w:szCs w:val="28"/>
          <w:lang w:val="en-US" w:eastAsia="zh-CN"/>
        </w:rPr>
        <w:t>3.4.1概述</w:t>
      </w:r>
      <w:r>
        <w:tab/>
      </w:r>
      <w:r>
        <w:fldChar w:fldCharType="begin"/>
      </w:r>
      <w:r>
        <w:instrText xml:space="preserve"> PAGEREF _Toc2334 \h </w:instrText>
      </w:r>
      <w:r>
        <w:fldChar w:fldCharType="separate"/>
      </w:r>
      <w:r>
        <w:t>134</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_Toc7609 </w:instrText>
      </w:r>
      <w:r>
        <w:rPr>
          <w:rFonts w:hint="eastAsia" w:ascii="黑体" w:eastAsia="黑体"/>
          <w:bCs/>
          <w:szCs w:val="28"/>
        </w:rPr>
        <w:fldChar w:fldCharType="separate"/>
      </w:r>
      <w:r>
        <w:rPr>
          <w:rFonts w:hint="eastAsia"/>
          <w:bCs/>
          <w:szCs w:val="28"/>
          <w:lang w:val="en-US" w:eastAsia="zh-CN"/>
        </w:rPr>
        <w:t>3.4.2照明设计主要要求</w:t>
      </w:r>
      <w:r>
        <w:tab/>
      </w:r>
      <w:r>
        <w:fldChar w:fldCharType="begin"/>
      </w:r>
      <w:r>
        <w:instrText xml:space="preserve"> PAGEREF _Toc7609 \h </w:instrText>
      </w:r>
      <w:r>
        <w:fldChar w:fldCharType="separate"/>
      </w:r>
      <w:r>
        <w:t>135</w:t>
      </w:r>
      <w:r>
        <w:fldChar w:fldCharType="end"/>
      </w:r>
      <w:r>
        <w:rPr>
          <w:rFonts w:hint="eastAsia" w:ascii="黑体" w:eastAsia="黑体"/>
          <w:bCs/>
          <w:color w:val="000000"/>
          <w:szCs w:val="28"/>
        </w:rPr>
        <w:fldChar w:fldCharType="end"/>
      </w:r>
    </w:p>
    <w:p>
      <w:pPr>
        <w:pStyle w:val="5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_Toc5095 </w:instrText>
      </w:r>
      <w:r>
        <w:rPr>
          <w:rFonts w:hint="eastAsia" w:ascii="黑体" w:eastAsia="黑体"/>
          <w:bCs/>
          <w:szCs w:val="28"/>
        </w:rPr>
        <w:fldChar w:fldCharType="separate"/>
      </w:r>
      <w:r>
        <w:rPr>
          <w:rFonts w:hint="eastAsia"/>
          <w:bCs/>
          <w:szCs w:val="28"/>
          <w:lang w:val="en-US" w:eastAsia="zh-CN"/>
        </w:rPr>
        <w:t>3.5土建</w:t>
      </w:r>
      <w:r>
        <w:tab/>
      </w:r>
      <w:r>
        <w:fldChar w:fldCharType="begin"/>
      </w:r>
      <w:r>
        <w:instrText xml:space="preserve"> PAGEREF _Toc5095 \h </w:instrText>
      </w:r>
      <w:r>
        <w:fldChar w:fldCharType="separate"/>
      </w:r>
      <w:r>
        <w:t>135</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_Toc6797 </w:instrText>
      </w:r>
      <w:r>
        <w:rPr>
          <w:rFonts w:hint="eastAsia" w:ascii="黑体" w:eastAsia="黑体"/>
          <w:bCs/>
          <w:szCs w:val="28"/>
        </w:rPr>
        <w:fldChar w:fldCharType="separate"/>
      </w:r>
      <w:r>
        <w:rPr>
          <w:rFonts w:hint="eastAsia"/>
          <w:bCs/>
          <w:szCs w:val="28"/>
          <w:lang w:val="en-US" w:eastAsia="zh-CN"/>
        </w:rPr>
        <w:t>3.5.1概述</w:t>
      </w:r>
      <w:r>
        <w:tab/>
      </w:r>
      <w:r>
        <w:fldChar w:fldCharType="begin"/>
      </w:r>
      <w:r>
        <w:instrText xml:space="preserve"> PAGEREF _Toc6797 \h </w:instrText>
      </w:r>
      <w:r>
        <w:fldChar w:fldCharType="separate"/>
      </w:r>
      <w:r>
        <w:t>135</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_Toc31608 </w:instrText>
      </w:r>
      <w:r>
        <w:rPr>
          <w:rFonts w:hint="eastAsia" w:ascii="黑体" w:eastAsia="黑体"/>
          <w:bCs/>
          <w:szCs w:val="28"/>
        </w:rPr>
        <w:fldChar w:fldCharType="separate"/>
      </w:r>
      <w:r>
        <w:rPr>
          <w:rFonts w:hint="eastAsia"/>
          <w:bCs/>
          <w:szCs w:val="28"/>
          <w:lang w:val="en-US" w:eastAsia="zh-CN"/>
        </w:rPr>
        <w:t>3.5.2土建设计主要要求</w:t>
      </w:r>
      <w:r>
        <w:tab/>
      </w:r>
      <w:r>
        <w:fldChar w:fldCharType="begin"/>
      </w:r>
      <w:r>
        <w:instrText xml:space="preserve"> PAGEREF _Toc31608 \h </w:instrText>
      </w:r>
      <w:r>
        <w:fldChar w:fldCharType="separate"/>
      </w:r>
      <w:r>
        <w:t>136</w:t>
      </w:r>
      <w:r>
        <w:fldChar w:fldCharType="end"/>
      </w:r>
      <w:r>
        <w:rPr>
          <w:rFonts w:hint="eastAsia" w:ascii="黑体" w:eastAsia="黑体"/>
          <w:bCs/>
          <w:color w:val="000000"/>
          <w:szCs w:val="28"/>
        </w:rPr>
        <w:fldChar w:fldCharType="end"/>
      </w:r>
    </w:p>
    <w:p>
      <w:pPr>
        <w:pStyle w:val="5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_Toc10452 </w:instrText>
      </w:r>
      <w:r>
        <w:rPr>
          <w:rFonts w:hint="eastAsia" w:ascii="黑体" w:eastAsia="黑体"/>
          <w:bCs/>
          <w:szCs w:val="28"/>
        </w:rPr>
        <w:fldChar w:fldCharType="separate"/>
      </w:r>
      <w:r>
        <w:rPr>
          <w:rFonts w:hint="eastAsia"/>
          <w:bCs/>
          <w:szCs w:val="28"/>
          <w:lang w:val="en-US" w:eastAsia="zh-CN"/>
        </w:rPr>
        <w:t>3.6环境保护</w:t>
      </w:r>
      <w:r>
        <w:tab/>
      </w:r>
      <w:r>
        <w:fldChar w:fldCharType="begin"/>
      </w:r>
      <w:r>
        <w:instrText xml:space="preserve"> PAGEREF _Toc10452 \h </w:instrText>
      </w:r>
      <w:r>
        <w:fldChar w:fldCharType="separate"/>
      </w:r>
      <w:r>
        <w:t>140</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_Toc25689 </w:instrText>
      </w:r>
      <w:r>
        <w:rPr>
          <w:rFonts w:hint="eastAsia" w:ascii="黑体" w:eastAsia="黑体"/>
          <w:bCs/>
          <w:szCs w:val="28"/>
        </w:rPr>
        <w:fldChar w:fldCharType="separate"/>
      </w:r>
      <w:r>
        <w:rPr>
          <w:rFonts w:hint="eastAsia"/>
          <w:bCs/>
          <w:szCs w:val="28"/>
          <w:lang w:val="en-US" w:eastAsia="zh-CN"/>
        </w:rPr>
        <w:t>3.6.1概述</w:t>
      </w:r>
      <w:r>
        <w:tab/>
      </w:r>
      <w:r>
        <w:fldChar w:fldCharType="begin"/>
      </w:r>
      <w:r>
        <w:instrText xml:space="preserve"> PAGEREF _Toc25689 \h </w:instrText>
      </w:r>
      <w:r>
        <w:fldChar w:fldCharType="separate"/>
      </w:r>
      <w:r>
        <w:t>140</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_Toc2856 </w:instrText>
      </w:r>
      <w:r>
        <w:rPr>
          <w:rFonts w:hint="eastAsia" w:ascii="黑体" w:eastAsia="黑体"/>
          <w:bCs/>
          <w:szCs w:val="28"/>
        </w:rPr>
        <w:fldChar w:fldCharType="separate"/>
      </w:r>
      <w:r>
        <w:rPr>
          <w:rFonts w:hint="eastAsia"/>
          <w:bCs/>
          <w:szCs w:val="28"/>
          <w:lang w:val="en-US" w:eastAsia="zh-CN"/>
        </w:rPr>
        <w:t>3.6.2环境保护要求</w:t>
      </w:r>
      <w:r>
        <w:tab/>
      </w:r>
      <w:r>
        <w:fldChar w:fldCharType="begin"/>
      </w:r>
      <w:r>
        <w:instrText xml:space="preserve"> PAGEREF _Toc2856 \h </w:instrText>
      </w:r>
      <w:r>
        <w:fldChar w:fldCharType="separate"/>
      </w:r>
      <w:r>
        <w:t>140</w:t>
      </w:r>
      <w:r>
        <w:fldChar w:fldCharType="end"/>
      </w:r>
      <w:r>
        <w:rPr>
          <w:rFonts w:hint="eastAsia" w:ascii="黑体" w:eastAsia="黑体"/>
          <w:bCs/>
          <w:color w:val="000000"/>
          <w:szCs w:val="28"/>
        </w:rPr>
        <w:fldChar w:fldCharType="end"/>
      </w:r>
    </w:p>
    <w:p>
      <w:pPr>
        <w:pStyle w:val="5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_Toc24082 </w:instrText>
      </w:r>
      <w:r>
        <w:rPr>
          <w:rFonts w:hint="eastAsia" w:ascii="黑体" w:eastAsia="黑体"/>
          <w:bCs/>
          <w:szCs w:val="28"/>
        </w:rPr>
        <w:fldChar w:fldCharType="separate"/>
      </w:r>
      <w:r>
        <w:rPr>
          <w:rFonts w:hint="eastAsia"/>
          <w:bCs/>
          <w:szCs w:val="28"/>
          <w:lang w:val="en-US" w:eastAsia="zh-CN"/>
        </w:rPr>
        <w:t>3.7节能</w:t>
      </w:r>
      <w:r>
        <w:tab/>
      </w:r>
      <w:r>
        <w:fldChar w:fldCharType="begin"/>
      </w:r>
      <w:r>
        <w:instrText xml:space="preserve"> PAGEREF _Toc24082 \h </w:instrText>
      </w:r>
      <w:r>
        <w:fldChar w:fldCharType="separate"/>
      </w:r>
      <w:r>
        <w:t>141</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_Toc21763 </w:instrText>
      </w:r>
      <w:r>
        <w:rPr>
          <w:rFonts w:hint="eastAsia" w:ascii="黑体" w:eastAsia="黑体"/>
          <w:bCs/>
          <w:szCs w:val="28"/>
        </w:rPr>
        <w:fldChar w:fldCharType="separate"/>
      </w:r>
      <w:r>
        <w:rPr>
          <w:rFonts w:hint="eastAsia"/>
          <w:bCs/>
          <w:szCs w:val="28"/>
          <w:lang w:val="en-US" w:eastAsia="zh-CN"/>
        </w:rPr>
        <w:t>3.7.1概述</w:t>
      </w:r>
      <w:r>
        <w:tab/>
      </w:r>
      <w:r>
        <w:fldChar w:fldCharType="begin"/>
      </w:r>
      <w:r>
        <w:instrText xml:space="preserve"> PAGEREF _Toc21763 \h </w:instrText>
      </w:r>
      <w:r>
        <w:fldChar w:fldCharType="separate"/>
      </w:r>
      <w:r>
        <w:t>141</w:t>
      </w:r>
      <w:r>
        <w:fldChar w:fldCharType="end"/>
      </w:r>
      <w:r>
        <w:rPr>
          <w:rFonts w:hint="eastAsia" w:ascii="黑体" w:eastAsia="黑体"/>
          <w:bCs/>
          <w:color w:val="000000"/>
          <w:szCs w:val="28"/>
        </w:rPr>
        <w:fldChar w:fldCharType="end"/>
      </w:r>
    </w:p>
    <w:p>
      <w:pPr>
        <w:pStyle w:val="34"/>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_Toc4114 </w:instrText>
      </w:r>
      <w:r>
        <w:rPr>
          <w:rFonts w:hint="eastAsia" w:ascii="黑体" w:eastAsia="黑体"/>
          <w:bCs/>
          <w:szCs w:val="28"/>
        </w:rPr>
        <w:fldChar w:fldCharType="separate"/>
      </w:r>
      <w:r>
        <w:rPr>
          <w:rFonts w:hint="eastAsia"/>
          <w:bCs/>
          <w:szCs w:val="28"/>
          <w:lang w:val="en-US" w:eastAsia="zh-CN"/>
        </w:rPr>
        <w:t>3.7.2节能要求</w:t>
      </w:r>
      <w:r>
        <w:tab/>
      </w:r>
      <w:r>
        <w:fldChar w:fldCharType="begin"/>
      </w:r>
      <w:r>
        <w:instrText xml:space="preserve"> PAGEREF _Toc4114 \h </w:instrText>
      </w:r>
      <w:r>
        <w:fldChar w:fldCharType="separate"/>
      </w:r>
      <w:r>
        <w:t>141</w:t>
      </w:r>
      <w:r>
        <w:fldChar w:fldCharType="end"/>
      </w:r>
      <w:r>
        <w:rPr>
          <w:rFonts w:hint="eastAsia" w:ascii="黑体" w:eastAsia="黑体"/>
          <w:bCs/>
          <w:color w:val="000000"/>
          <w:szCs w:val="28"/>
        </w:rPr>
        <w:fldChar w:fldCharType="end"/>
      </w:r>
    </w:p>
    <w:p>
      <w:pPr>
        <w:pStyle w:val="43"/>
        <w:tabs>
          <w:tab w:val="right" w:leader="dot" w:pos="9070"/>
          <w:tab w:val="clear" w:pos="9085"/>
        </w:tabs>
      </w:pPr>
      <w:r>
        <w:rPr>
          <w:rFonts w:hint="eastAsia" w:ascii="黑体" w:eastAsia="黑体"/>
          <w:bCs/>
          <w:color w:val="000000"/>
          <w:szCs w:val="28"/>
        </w:rPr>
        <w:fldChar w:fldCharType="begin"/>
      </w:r>
      <w:r>
        <w:rPr>
          <w:rFonts w:hint="eastAsia" w:ascii="黑体" w:eastAsia="黑体"/>
          <w:bCs/>
          <w:szCs w:val="28"/>
        </w:rPr>
        <w:instrText xml:space="preserve"> HYPERLINK \l _Toc29294 </w:instrText>
      </w:r>
      <w:r>
        <w:rPr>
          <w:rFonts w:hint="eastAsia" w:ascii="黑体" w:eastAsia="黑体"/>
          <w:bCs/>
          <w:szCs w:val="28"/>
        </w:rPr>
        <w:fldChar w:fldCharType="separate"/>
      </w:r>
      <w:r>
        <w:rPr>
          <w:rFonts w:hint="eastAsia"/>
          <w:bCs/>
          <w:szCs w:val="28"/>
          <w:lang w:val="en-US" w:eastAsia="zh-CN"/>
        </w:rPr>
        <w:t>第4章：附表</w:t>
      </w:r>
      <w:r>
        <w:tab/>
      </w:r>
      <w:r>
        <w:fldChar w:fldCharType="begin"/>
      </w:r>
      <w:r>
        <w:instrText xml:space="preserve"> PAGEREF _Toc29294 \h </w:instrText>
      </w:r>
      <w:r>
        <w:fldChar w:fldCharType="separate"/>
      </w:r>
      <w:r>
        <w:t>141</w:t>
      </w:r>
      <w:r>
        <w:fldChar w:fldCharType="end"/>
      </w:r>
      <w:r>
        <w:rPr>
          <w:rFonts w:hint="eastAsia" w:ascii="黑体" w:eastAsia="黑体"/>
          <w:bCs/>
          <w:color w:val="000000"/>
          <w:szCs w:val="28"/>
        </w:rPr>
        <w:fldChar w:fldCharType="end"/>
      </w:r>
    </w:p>
    <w:p>
      <w:pPr>
        <w:pStyle w:val="43"/>
        <w:rPr>
          <w:color w:val="000000"/>
          <w:sz w:val="28"/>
          <w:szCs w:val="28"/>
        </w:rPr>
        <w:sectPr>
          <w:headerReference r:id="rId5" w:type="default"/>
          <w:footerReference r:id="rId6" w:type="default"/>
          <w:type w:val="continuous"/>
          <w:pgSz w:w="11906" w:h="16838"/>
          <w:pgMar w:top="1558" w:right="1418" w:bottom="1246" w:left="1418" w:header="1021" w:footer="907" w:gutter="0"/>
          <w:pgNumType w:fmt="decimal" w:start="1"/>
          <w:cols w:space="425" w:num="1"/>
          <w:docGrid w:type="lines" w:linePitch="312" w:charSpace="0"/>
        </w:sectPr>
      </w:pPr>
      <w:r>
        <w:rPr>
          <w:rFonts w:hint="eastAsia" w:ascii="黑体" w:eastAsia="黑体"/>
          <w:bCs/>
          <w:color w:val="000000"/>
          <w:szCs w:val="28"/>
        </w:rPr>
        <w:fldChar w:fldCharType="end"/>
      </w:r>
      <w:r>
        <w:rPr>
          <w:rFonts w:hint="eastAsia"/>
          <w:color w:val="000000"/>
          <w:sz w:val="28"/>
          <w:szCs w:val="28"/>
        </w:rPr>
        <w:t xml:space="preserve"> </w:t>
      </w:r>
    </w:p>
    <w:p>
      <w:pPr>
        <w:spacing w:line="0" w:lineRule="atLeast"/>
        <w:rPr>
          <w:color w:val="000000"/>
          <w:sz w:val="20"/>
          <w:szCs w:val="20"/>
        </w:rPr>
      </w:pPr>
      <w:bookmarkStart w:id="4" w:name="_Toc226451782"/>
      <w:bookmarkStart w:id="5" w:name="_Toc182122051"/>
    </w:p>
    <w:p>
      <w:pPr>
        <w:pStyle w:val="230"/>
        <w:rPr>
          <w:sz w:val="32"/>
          <w:szCs w:val="32"/>
        </w:rPr>
      </w:pPr>
      <w:bookmarkStart w:id="6" w:name="_Toc30229"/>
      <w:r>
        <w:rPr>
          <w:rFonts w:hint="eastAsia"/>
          <w:sz w:val="32"/>
          <w:szCs w:val="32"/>
        </w:rPr>
        <w:t xml:space="preserve">第1章 </w:t>
      </w:r>
      <w:bookmarkEnd w:id="0"/>
      <w:bookmarkEnd w:id="1"/>
      <w:bookmarkEnd w:id="2"/>
      <w:bookmarkEnd w:id="4"/>
      <w:bookmarkEnd w:id="5"/>
      <w:bookmarkStart w:id="7" w:name="_Toc26694411"/>
      <w:bookmarkStart w:id="8" w:name="_Toc15548757"/>
      <w:bookmarkStart w:id="9" w:name="_Toc182122052"/>
      <w:bookmarkStart w:id="10" w:name="_Toc19673876"/>
      <w:r>
        <w:rPr>
          <w:rFonts w:hint="eastAsia"/>
          <w:sz w:val="32"/>
          <w:szCs w:val="32"/>
        </w:rPr>
        <w:t>总则</w:t>
      </w:r>
      <w:bookmarkEnd w:id="6"/>
      <w:r>
        <w:rPr>
          <w:rFonts w:hint="eastAsia"/>
          <w:sz w:val="32"/>
          <w:szCs w:val="32"/>
        </w:rPr>
        <w:t xml:space="preserve"> </w:t>
      </w:r>
    </w:p>
    <w:bookmarkEnd w:id="7"/>
    <w:bookmarkEnd w:id="8"/>
    <w:bookmarkEnd w:id="9"/>
    <w:bookmarkEnd w:id="10"/>
    <w:p>
      <w:pPr>
        <w:pStyle w:val="7"/>
        <w:numPr>
          <w:ilvl w:val="0"/>
          <w:numId w:val="0"/>
        </w:numPr>
        <w:rPr>
          <w:rFonts w:hint="eastAsia" w:ascii="Times New Roman"/>
          <w:sz w:val="28"/>
          <w:szCs w:val="21"/>
        </w:rPr>
      </w:pPr>
      <w:bookmarkStart w:id="11" w:name="_Toc12369"/>
      <w:r>
        <w:rPr>
          <w:rFonts w:hint="eastAsia" w:ascii="Times New Roman"/>
          <w:sz w:val="28"/>
          <w:szCs w:val="21"/>
          <w:lang w:val="en-US" w:eastAsia="zh-CN"/>
        </w:rPr>
        <w:t>1.1</w:t>
      </w:r>
      <w:r>
        <w:rPr>
          <w:rFonts w:hint="eastAsia" w:ascii="Times New Roman"/>
          <w:sz w:val="28"/>
          <w:szCs w:val="21"/>
        </w:rPr>
        <w:t>概述</w:t>
      </w:r>
      <w:bookmarkEnd w:id="11"/>
    </w:p>
    <w:p>
      <w:pPr>
        <w:pStyle w:val="8"/>
        <w:rPr>
          <w:sz w:val="28"/>
          <w:szCs w:val="21"/>
        </w:rPr>
      </w:pPr>
      <w:bookmarkStart w:id="12" w:name="_Toc15669"/>
      <w:bookmarkStart w:id="13" w:name="_Toc226451784"/>
      <w:r>
        <w:rPr>
          <w:rFonts w:hint="eastAsia"/>
          <w:sz w:val="28"/>
          <w:szCs w:val="21"/>
        </w:rPr>
        <w:t>1.1.1 总体说明</w:t>
      </w:r>
      <w:bookmarkEnd w:id="12"/>
      <w:bookmarkEnd w:id="13"/>
    </w:p>
    <w:p>
      <w:pPr>
        <w:spacing w:line="360" w:lineRule="auto"/>
        <w:ind w:firstLine="560" w:firstLineChars="200"/>
        <w:rPr>
          <w:color w:val="000000"/>
          <w:sz w:val="28"/>
          <w:szCs w:val="28"/>
        </w:rPr>
      </w:pPr>
      <w:r>
        <w:rPr>
          <w:rFonts w:hint="eastAsia"/>
          <w:color w:val="000000"/>
          <w:sz w:val="28"/>
          <w:szCs w:val="28"/>
        </w:rPr>
        <w:t>1、本技术规定描述的是：整个项目的概况、招标的范围及工作内容，以及对本标段的技术规定。</w:t>
      </w:r>
    </w:p>
    <w:p>
      <w:pPr>
        <w:spacing w:line="360" w:lineRule="auto"/>
        <w:ind w:firstLine="560" w:firstLineChars="200"/>
        <w:rPr>
          <w:rFonts w:hint="default"/>
          <w:color w:val="000000"/>
          <w:sz w:val="28"/>
          <w:szCs w:val="28"/>
          <w:lang w:val="en-US"/>
        </w:rPr>
      </w:pPr>
      <w:r>
        <w:rPr>
          <w:rFonts w:hint="eastAsia"/>
          <w:color w:val="000000"/>
          <w:sz w:val="28"/>
          <w:szCs w:val="28"/>
        </w:rPr>
        <w:t>2、</w:t>
      </w:r>
      <w:r>
        <w:rPr>
          <w:rFonts w:hint="eastAsia"/>
          <w:color w:val="000000"/>
          <w:sz w:val="28"/>
          <w:szCs w:val="28"/>
          <w:lang w:val="en-US" w:eastAsia="zh-CN"/>
        </w:rPr>
        <w:t>所有的本</w:t>
      </w:r>
      <w:r>
        <w:rPr>
          <w:rFonts w:hint="eastAsia"/>
          <w:color w:val="000000"/>
          <w:sz w:val="28"/>
          <w:szCs w:val="28"/>
        </w:rPr>
        <w:t>技术规定不得被认为是详尽无遗的，无论规定与否，</w:t>
      </w:r>
      <w:r>
        <w:rPr>
          <w:rFonts w:hint="eastAsia"/>
          <w:color w:val="000000"/>
          <w:sz w:val="28"/>
          <w:szCs w:val="28"/>
          <w:lang w:eastAsia="zh-CN"/>
        </w:rPr>
        <w:t>投标单位</w:t>
      </w:r>
      <w:r>
        <w:rPr>
          <w:rFonts w:hint="eastAsia"/>
          <w:color w:val="000000"/>
          <w:sz w:val="28"/>
          <w:szCs w:val="28"/>
        </w:rPr>
        <w:t>应基于</w:t>
      </w:r>
      <w:r>
        <w:rPr>
          <w:rFonts w:hint="eastAsia"/>
          <w:color w:val="000000"/>
          <w:sz w:val="28"/>
          <w:szCs w:val="28"/>
          <w:lang w:val="en-US" w:eastAsia="zh-CN"/>
        </w:rPr>
        <w:t>规范标准、</w:t>
      </w:r>
      <w:r>
        <w:rPr>
          <w:rFonts w:hint="eastAsia"/>
          <w:color w:val="000000"/>
          <w:sz w:val="28"/>
          <w:szCs w:val="28"/>
        </w:rPr>
        <w:t>系统完整、</w:t>
      </w:r>
      <w:r>
        <w:rPr>
          <w:rFonts w:hint="eastAsia"/>
          <w:color w:val="000000"/>
          <w:sz w:val="28"/>
          <w:szCs w:val="28"/>
          <w:lang w:val="en-US" w:eastAsia="zh-CN"/>
        </w:rPr>
        <w:t>科学</w:t>
      </w:r>
      <w:r>
        <w:rPr>
          <w:rFonts w:hint="eastAsia"/>
          <w:color w:val="000000"/>
          <w:sz w:val="28"/>
          <w:szCs w:val="28"/>
        </w:rPr>
        <w:t>先进</w:t>
      </w:r>
      <w:r>
        <w:rPr>
          <w:rFonts w:hint="eastAsia"/>
          <w:color w:val="000000"/>
          <w:sz w:val="28"/>
          <w:szCs w:val="28"/>
          <w:lang w:eastAsia="zh-CN"/>
        </w:rPr>
        <w:t>、</w:t>
      </w:r>
      <w:r>
        <w:rPr>
          <w:rFonts w:hint="eastAsia"/>
          <w:color w:val="000000"/>
          <w:sz w:val="28"/>
          <w:szCs w:val="28"/>
          <w:lang w:val="en-US" w:eastAsia="zh-CN"/>
        </w:rPr>
        <w:t>经济性</w:t>
      </w:r>
      <w:r>
        <w:rPr>
          <w:rFonts w:hint="eastAsia"/>
          <w:color w:val="000000"/>
          <w:sz w:val="28"/>
          <w:szCs w:val="28"/>
        </w:rPr>
        <w:t>、</w:t>
      </w:r>
      <w:r>
        <w:rPr>
          <w:rFonts w:hint="eastAsia"/>
          <w:color w:val="000000"/>
          <w:sz w:val="28"/>
          <w:szCs w:val="28"/>
          <w:lang w:val="en-US" w:eastAsia="zh-CN"/>
        </w:rPr>
        <w:t>合理适用</w:t>
      </w:r>
      <w:r>
        <w:rPr>
          <w:rFonts w:hint="eastAsia"/>
          <w:color w:val="000000"/>
          <w:sz w:val="28"/>
          <w:szCs w:val="28"/>
          <w:lang w:eastAsia="zh-CN"/>
        </w:rPr>
        <w:t>、</w:t>
      </w:r>
      <w:r>
        <w:rPr>
          <w:rFonts w:hint="eastAsia"/>
          <w:color w:val="000000"/>
          <w:sz w:val="28"/>
          <w:szCs w:val="28"/>
        </w:rPr>
        <w:t>环境友好、安全可靠的原则，提供完成本标段工作内容所必需的</w:t>
      </w:r>
      <w:r>
        <w:rPr>
          <w:rFonts w:hint="eastAsia"/>
          <w:color w:val="000000"/>
          <w:sz w:val="28"/>
          <w:szCs w:val="28"/>
          <w:lang w:val="en-US" w:eastAsia="zh-CN"/>
        </w:rPr>
        <w:t>设计内容，并对设计负有完全责任。</w:t>
      </w:r>
    </w:p>
    <w:p>
      <w:pPr>
        <w:spacing w:line="360" w:lineRule="auto"/>
        <w:ind w:firstLine="560" w:firstLineChars="200"/>
        <w:rPr>
          <w:rFonts w:hint="eastAsia"/>
          <w:color w:val="000000"/>
          <w:sz w:val="28"/>
          <w:szCs w:val="28"/>
          <w:lang w:val="en-US" w:eastAsia="zh-CN"/>
        </w:rPr>
      </w:pPr>
      <w:r>
        <w:rPr>
          <w:rFonts w:hint="eastAsia"/>
          <w:color w:val="000000"/>
          <w:sz w:val="28"/>
          <w:szCs w:val="28"/>
          <w:lang w:val="en-US" w:eastAsia="zh-CN"/>
        </w:rPr>
        <w:t>3、投标单位应按照法律规定以及国家、行业和地方的规范和标准完成设计工作，并应符合发包人要求。</w:t>
      </w:r>
    </w:p>
    <w:p>
      <w:pPr>
        <w:spacing w:line="360" w:lineRule="auto"/>
        <w:ind w:firstLine="560" w:firstLineChars="200"/>
        <w:rPr>
          <w:rFonts w:hint="eastAsia"/>
          <w:color w:val="000000"/>
          <w:sz w:val="28"/>
          <w:szCs w:val="28"/>
          <w:lang w:val="en-US" w:eastAsia="zh-CN"/>
        </w:rPr>
      </w:pPr>
      <w:r>
        <w:rPr>
          <w:rFonts w:hint="eastAsia"/>
          <w:color w:val="000000"/>
          <w:sz w:val="28"/>
          <w:szCs w:val="28"/>
          <w:lang w:val="en-US" w:eastAsia="zh-CN"/>
        </w:rPr>
        <w:t>4、设计应满足质量、安全、节能、环保等要求。</w:t>
      </w:r>
    </w:p>
    <w:p>
      <w:pPr>
        <w:spacing w:line="360" w:lineRule="auto"/>
        <w:ind w:firstLine="560" w:firstLineChars="200"/>
        <w:rPr>
          <w:rFonts w:hint="default"/>
          <w:color w:val="000000"/>
          <w:sz w:val="28"/>
          <w:szCs w:val="28"/>
          <w:lang w:val="en-US" w:eastAsia="zh-CN"/>
        </w:rPr>
      </w:pPr>
      <w:r>
        <w:rPr>
          <w:rFonts w:hint="eastAsia"/>
          <w:color w:val="000000"/>
          <w:sz w:val="28"/>
          <w:szCs w:val="28"/>
          <w:lang w:val="en-US" w:eastAsia="zh-CN"/>
        </w:rPr>
        <w:t>5、设计选型不得有唯一性、品牌倾向性。</w:t>
      </w:r>
    </w:p>
    <w:p>
      <w:pPr>
        <w:pStyle w:val="8"/>
        <w:rPr>
          <w:sz w:val="28"/>
          <w:szCs w:val="21"/>
        </w:rPr>
      </w:pPr>
      <w:bookmarkStart w:id="14" w:name="_Toc226451785"/>
      <w:bookmarkStart w:id="15" w:name="_Toc29364"/>
      <w:r>
        <w:rPr>
          <w:rFonts w:hint="eastAsia"/>
          <w:sz w:val="28"/>
          <w:szCs w:val="21"/>
        </w:rPr>
        <w:t>1.1.2 招标图纸、资料</w:t>
      </w:r>
      <w:bookmarkEnd w:id="14"/>
      <w:bookmarkEnd w:id="15"/>
    </w:p>
    <w:p>
      <w:pPr>
        <w:spacing w:line="360" w:lineRule="auto"/>
        <w:ind w:firstLine="480"/>
        <w:rPr>
          <w:color w:val="000000"/>
          <w:sz w:val="28"/>
          <w:szCs w:val="28"/>
        </w:rPr>
      </w:pPr>
      <w:r>
        <w:rPr>
          <w:rFonts w:hint="eastAsia"/>
          <w:color w:val="000000"/>
          <w:sz w:val="28"/>
          <w:szCs w:val="28"/>
        </w:rPr>
        <w:t>招标图纸</w:t>
      </w:r>
      <w:r>
        <w:rPr>
          <w:rFonts w:hint="eastAsia"/>
          <w:color w:val="000000"/>
          <w:sz w:val="28"/>
          <w:szCs w:val="28"/>
          <w:lang w:val="en-US" w:eastAsia="zh-CN"/>
        </w:rPr>
        <w:t>、地勘报告等</w:t>
      </w:r>
      <w:r>
        <w:rPr>
          <w:rFonts w:hint="eastAsia"/>
          <w:color w:val="000000"/>
          <w:sz w:val="28"/>
          <w:szCs w:val="28"/>
        </w:rPr>
        <w:t>作为附件附在</w:t>
      </w:r>
      <w:r>
        <w:rPr>
          <w:rFonts w:hint="eastAsia"/>
          <w:color w:val="000000"/>
          <w:sz w:val="28"/>
          <w:szCs w:val="28"/>
          <w:lang w:val="en-US" w:eastAsia="zh-CN"/>
        </w:rPr>
        <w:t>招标技术文件</w:t>
      </w:r>
      <w:r>
        <w:rPr>
          <w:rFonts w:hint="eastAsia"/>
          <w:color w:val="000000"/>
          <w:sz w:val="28"/>
          <w:szCs w:val="28"/>
        </w:rPr>
        <w:t>之后，成为技术规定的一部分</w:t>
      </w:r>
      <w:r>
        <w:rPr>
          <w:rFonts w:hint="eastAsia"/>
          <w:color w:val="000000"/>
          <w:sz w:val="28"/>
          <w:szCs w:val="28"/>
          <w:lang w:eastAsia="zh-CN"/>
        </w:rPr>
        <w:t>。</w:t>
      </w:r>
    </w:p>
    <w:p>
      <w:pPr>
        <w:pStyle w:val="8"/>
        <w:rPr>
          <w:sz w:val="28"/>
          <w:szCs w:val="21"/>
        </w:rPr>
      </w:pPr>
      <w:bookmarkStart w:id="16" w:name="_Toc226451787"/>
      <w:bookmarkStart w:id="17" w:name="_Toc19621741"/>
      <w:bookmarkStart w:id="18" w:name="_Toc182122065"/>
      <w:bookmarkStart w:id="19" w:name="_Toc20710"/>
      <w:bookmarkStart w:id="20" w:name="_Toc15548777"/>
      <w:r>
        <w:rPr>
          <w:sz w:val="28"/>
          <w:szCs w:val="21"/>
        </w:rPr>
        <w:t>1.</w:t>
      </w:r>
      <w:r>
        <w:rPr>
          <w:rFonts w:hint="eastAsia"/>
          <w:sz w:val="28"/>
          <w:szCs w:val="21"/>
        </w:rPr>
        <w:t>1.</w:t>
      </w:r>
      <w:r>
        <w:rPr>
          <w:rFonts w:hint="eastAsia"/>
          <w:sz w:val="28"/>
          <w:szCs w:val="21"/>
          <w:lang w:val="en-US" w:eastAsia="zh-CN"/>
        </w:rPr>
        <w:t>3</w:t>
      </w:r>
      <w:r>
        <w:rPr>
          <w:rFonts w:hint="eastAsia"/>
          <w:sz w:val="28"/>
          <w:szCs w:val="21"/>
        </w:rPr>
        <w:t xml:space="preserve"> 专利</w:t>
      </w:r>
      <w:bookmarkEnd w:id="16"/>
      <w:bookmarkEnd w:id="17"/>
      <w:bookmarkEnd w:id="18"/>
      <w:bookmarkEnd w:id="19"/>
      <w:bookmarkEnd w:id="20"/>
    </w:p>
    <w:p>
      <w:pPr>
        <w:spacing w:line="360" w:lineRule="auto"/>
        <w:ind w:firstLine="480"/>
        <w:rPr>
          <w:color w:val="000000"/>
          <w:sz w:val="28"/>
          <w:szCs w:val="28"/>
        </w:rPr>
      </w:pPr>
      <w:r>
        <w:rPr>
          <w:rFonts w:hint="eastAsia"/>
          <w:color w:val="000000"/>
          <w:sz w:val="28"/>
          <w:szCs w:val="28"/>
          <w:lang w:eastAsia="zh-CN"/>
        </w:rPr>
        <w:t>投标单位</w:t>
      </w:r>
      <w:r>
        <w:rPr>
          <w:rFonts w:hint="eastAsia"/>
          <w:color w:val="000000"/>
          <w:sz w:val="28"/>
          <w:szCs w:val="28"/>
        </w:rPr>
        <w:t>在从事设计活动时，不得侵犯他人的知识产权。因侵犯专利权或其他知识产权所引起的责任，由</w:t>
      </w:r>
      <w:r>
        <w:rPr>
          <w:rFonts w:hint="eastAsia"/>
          <w:color w:val="000000"/>
          <w:sz w:val="28"/>
          <w:szCs w:val="28"/>
          <w:lang w:eastAsia="zh-CN"/>
        </w:rPr>
        <w:t>投标单位</w:t>
      </w:r>
      <w:r>
        <w:rPr>
          <w:rFonts w:hint="eastAsia"/>
          <w:color w:val="000000"/>
          <w:sz w:val="28"/>
          <w:szCs w:val="28"/>
        </w:rPr>
        <w:t>自行承担。</w:t>
      </w:r>
      <w:r>
        <w:rPr>
          <w:rFonts w:hint="eastAsia"/>
          <w:color w:val="000000"/>
          <w:sz w:val="28"/>
          <w:szCs w:val="28"/>
          <w:lang w:eastAsia="zh-CN"/>
        </w:rPr>
        <w:t>投标单位</w:t>
      </w:r>
      <w:r>
        <w:rPr>
          <w:rFonts w:hint="eastAsia"/>
          <w:color w:val="000000"/>
          <w:sz w:val="28"/>
          <w:szCs w:val="28"/>
        </w:rPr>
        <w:t>应保证</w:t>
      </w:r>
      <w:r>
        <w:rPr>
          <w:rFonts w:hint="eastAsia"/>
          <w:color w:val="000000"/>
          <w:sz w:val="28"/>
          <w:szCs w:val="28"/>
          <w:lang w:eastAsia="zh-CN"/>
        </w:rPr>
        <w:t>招标单位</w:t>
      </w:r>
      <w:r>
        <w:rPr>
          <w:rFonts w:hint="eastAsia"/>
          <w:color w:val="000000"/>
          <w:sz w:val="28"/>
          <w:szCs w:val="28"/>
        </w:rPr>
        <w:t>不承担系统有关专利的一切经济及法律责任。</w:t>
      </w:r>
      <w:bookmarkStart w:id="21" w:name="_Toc182122066"/>
    </w:p>
    <w:p>
      <w:pPr>
        <w:pStyle w:val="8"/>
        <w:rPr>
          <w:rFonts w:hint="default" w:eastAsia="宋体"/>
          <w:sz w:val="28"/>
          <w:szCs w:val="21"/>
          <w:lang w:val="en-US" w:eastAsia="zh-CN"/>
        </w:rPr>
      </w:pPr>
      <w:bookmarkStart w:id="22" w:name="_Toc16562"/>
      <w:r>
        <w:rPr>
          <w:sz w:val="28"/>
          <w:szCs w:val="21"/>
        </w:rPr>
        <w:t>1.1.</w:t>
      </w:r>
      <w:r>
        <w:rPr>
          <w:rFonts w:hint="eastAsia"/>
          <w:sz w:val="28"/>
          <w:szCs w:val="21"/>
          <w:lang w:val="en-US" w:eastAsia="zh-CN"/>
        </w:rPr>
        <w:t>4</w:t>
      </w:r>
      <w:r>
        <w:rPr>
          <w:sz w:val="28"/>
          <w:szCs w:val="21"/>
        </w:rPr>
        <w:t xml:space="preserve"> </w:t>
      </w:r>
      <w:r>
        <w:rPr>
          <w:rFonts w:hint="eastAsia"/>
          <w:sz w:val="28"/>
          <w:szCs w:val="21"/>
        </w:rPr>
        <w:t>规范标准</w:t>
      </w:r>
      <w:r>
        <w:rPr>
          <w:rFonts w:hint="eastAsia"/>
          <w:sz w:val="28"/>
          <w:szCs w:val="21"/>
          <w:lang w:val="en-US" w:eastAsia="zh-CN"/>
        </w:rPr>
        <w:t>及依据</w:t>
      </w:r>
      <w:bookmarkEnd w:id="22"/>
    </w:p>
    <w:p>
      <w:pPr>
        <w:spacing w:line="360" w:lineRule="auto"/>
        <w:ind w:firstLine="480"/>
        <w:rPr>
          <w:rFonts w:hint="eastAsia"/>
          <w:color w:val="000000"/>
          <w:sz w:val="28"/>
          <w:szCs w:val="28"/>
        </w:rPr>
      </w:pPr>
      <w:r>
        <w:rPr>
          <w:rFonts w:hint="eastAsia"/>
          <w:color w:val="000000"/>
          <w:sz w:val="28"/>
          <w:szCs w:val="28"/>
          <w:lang w:eastAsia="zh-CN"/>
        </w:rPr>
        <w:t>投标单位</w:t>
      </w:r>
      <w:r>
        <w:rPr>
          <w:rFonts w:hint="eastAsia"/>
          <w:color w:val="000000"/>
          <w:sz w:val="28"/>
          <w:szCs w:val="28"/>
        </w:rPr>
        <w:t>采用的规范</w:t>
      </w:r>
      <w:r>
        <w:rPr>
          <w:color w:val="000000"/>
          <w:sz w:val="28"/>
          <w:szCs w:val="28"/>
        </w:rPr>
        <w:t>标准应</w:t>
      </w:r>
      <w:r>
        <w:rPr>
          <w:rFonts w:hint="eastAsia"/>
          <w:color w:val="000000"/>
          <w:sz w:val="28"/>
          <w:szCs w:val="28"/>
        </w:rPr>
        <w:t>是</w:t>
      </w:r>
      <w:r>
        <w:rPr>
          <w:color w:val="000000"/>
          <w:sz w:val="28"/>
          <w:szCs w:val="28"/>
        </w:rPr>
        <w:t>截止开标日</w:t>
      </w:r>
      <w:r>
        <w:rPr>
          <w:rFonts w:hint="eastAsia"/>
          <w:color w:val="000000"/>
          <w:sz w:val="28"/>
          <w:szCs w:val="28"/>
        </w:rPr>
        <w:t>的</w:t>
      </w:r>
      <w:r>
        <w:rPr>
          <w:color w:val="000000"/>
          <w:sz w:val="28"/>
          <w:szCs w:val="28"/>
        </w:rPr>
        <w:t>最新版本</w:t>
      </w:r>
      <w:r>
        <w:rPr>
          <w:rFonts w:hint="eastAsia"/>
          <w:color w:val="000000"/>
          <w:sz w:val="28"/>
          <w:szCs w:val="28"/>
        </w:rPr>
        <w:t>。</w:t>
      </w:r>
      <w:r>
        <w:rPr>
          <w:color w:val="000000"/>
          <w:sz w:val="28"/>
          <w:szCs w:val="28"/>
        </w:rPr>
        <w:t>合同</w:t>
      </w:r>
      <w:r>
        <w:rPr>
          <w:rFonts w:hint="eastAsia"/>
          <w:color w:val="000000"/>
          <w:sz w:val="28"/>
          <w:szCs w:val="28"/>
        </w:rPr>
        <w:t>执行期间因</w:t>
      </w:r>
      <w:r>
        <w:rPr>
          <w:color w:val="000000"/>
          <w:sz w:val="28"/>
          <w:szCs w:val="28"/>
        </w:rPr>
        <w:t>规范标准</w:t>
      </w:r>
      <w:r>
        <w:rPr>
          <w:rFonts w:hint="eastAsia"/>
          <w:color w:val="000000"/>
          <w:sz w:val="28"/>
          <w:szCs w:val="28"/>
        </w:rPr>
        <w:t>发布</w:t>
      </w:r>
      <w:r>
        <w:rPr>
          <w:color w:val="000000"/>
          <w:sz w:val="28"/>
          <w:szCs w:val="28"/>
        </w:rPr>
        <w:t>新的版本，</w:t>
      </w:r>
      <w:r>
        <w:rPr>
          <w:rFonts w:hint="eastAsia"/>
          <w:color w:val="000000"/>
          <w:sz w:val="28"/>
          <w:szCs w:val="28"/>
          <w:lang w:eastAsia="zh-CN"/>
        </w:rPr>
        <w:t>投标单位</w:t>
      </w:r>
      <w:r>
        <w:rPr>
          <w:color w:val="000000"/>
          <w:sz w:val="28"/>
          <w:szCs w:val="28"/>
        </w:rPr>
        <w:t>应调整设计或相关的设备设施配置</w:t>
      </w:r>
      <w:r>
        <w:rPr>
          <w:rFonts w:hint="eastAsia"/>
          <w:color w:val="000000"/>
          <w:sz w:val="28"/>
          <w:szCs w:val="28"/>
        </w:rPr>
        <w:t>以</w:t>
      </w:r>
      <w:r>
        <w:rPr>
          <w:color w:val="000000"/>
          <w:sz w:val="28"/>
          <w:szCs w:val="28"/>
        </w:rPr>
        <w:t>符合强制性标准要求。</w:t>
      </w:r>
      <w:r>
        <w:rPr>
          <w:rFonts w:hint="eastAsia"/>
          <w:color w:val="000000"/>
          <w:sz w:val="28"/>
          <w:szCs w:val="28"/>
        </w:rPr>
        <w:t>除</w:t>
      </w:r>
      <w:r>
        <w:rPr>
          <w:rFonts w:hint="eastAsia"/>
          <w:color w:val="000000"/>
          <w:sz w:val="28"/>
          <w:szCs w:val="28"/>
          <w:lang w:val="en-US" w:eastAsia="zh-CN"/>
        </w:rPr>
        <w:t>技术</w:t>
      </w:r>
      <w:r>
        <w:rPr>
          <w:rFonts w:hint="eastAsia"/>
          <w:color w:val="000000"/>
          <w:sz w:val="28"/>
          <w:szCs w:val="28"/>
        </w:rPr>
        <w:t xml:space="preserve">条款另有约定外，本工程的设计依据如下： </w:t>
      </w:r>
    </w:p>
    <w:p>
      <w:pPr>
        <w:spacing w:line="360" w:lineRule="auto"/>
        <w:ind w:firstLine="480"/>
        <w:rPr>
          <w:rFonts w:hint="eastAsia"/>
          <w:color w:val="000000"/>
          <w:sz w:val="28"/>
          <w:szCs w:val="28"/>
        </w:rPr>
      </w:pPr>
      <w:r>
        <w:rPr>
          <w:rFonts w:hint="eastAsia"/>
          <w:color w:val="000000"/>
          <w:sz w:val="28"/>
          <w:szCs w:val="28"/>
        </w:rPr>
        <w:t xml:space="preserve">（1）适用的法律、行政法规及部门规章； </w:t>
      </w:r>
    </w:p>
    <w:p>
      <w:pPr>
        <w:spacing w:line="360" w:lineRule="auto"/>
        <w:ind w:firstLine="480"/>
        <w:rPr>
          <w:rFonts w:hint="eastAsia"/>
          <w:color w:val="000000"/>
          <w:sz w:val="28"/>
          <w:szCs w:val="28"/>
        </w:rPr>
      </w:pPr>
      <w:r>
        <w:rPr>
          <w:rFonts w:hint="eastAsia"/>
          <w:color w:val="000000"/>
          <w:sz w:val="28"/>
          <w:szCs w:val="28"/>
        </w:rPr>
        <w:t xml:space="preserve">（2）与工程有关的规范、标准、规程； </w:t>
      </w:r>
    </w:p>
    <w:p>
      <w:pPr>
        <w:spacing w:line="360" w:lineRule="auto"/>
        <w:ind w:firstLine="480"/>
        <w:rPr>
          <w:rFonts w:hint="eastAsia"/>
          <w:color w:val="000000"/>
          <w:sz w:val="28"/>
          <w:szCs w:val="28"/>
        </w:rPr>
      </w:pPr>
      <w:r>
        <w:rPr>
          <w:rFonts w:hint="eastAsia"/>
          <w:color w:val="000000"/>
          <w:sz w:val="28"/>
          <w:szCs w:val="28"/>
        </w:rPr>
        <w:t xml:space="preserve">（3）工程基础资料及其他文件； </w:t>
      </w:r>
    </w:p>
    <w:p>
      <w:pPr>
        <w:spacing w:line="360" w:lineRule="auto"/>
        <w:ind w:firstLine="480"/>
        <w:rPr>
          <w:rFonts w:hint="eastAsia"/>
          <w:color w:val="000000"/>
          <w:sz w:val="28"/>
          <w:szCs w:val="28"/>
        </w:rPr>
      </w:pPr>
      <w:r>
        <w:rPr>
          <w:rFonts w:hint="eastAsia"/>
          <w:color w:val="000000"/>
          <w:sz w:val="28"/>
          <w:szCs w:val="28"/>
        </w:rPr>
        <w:t>（</w:t>
      </w:r>
      <w:r>
        <w:rPr>
          <w:rFonts w:hint="eastAsia"/>
          <w:color w:val="000000"/>
          <w:sz w:val="28"/>
          <w:szCs w:val="28"/>
          <w:lang w:val="en-US" w:eastAsia="zh-CN"/>
        </w:rPr>
        <w:t>4</w:t>
      </w:r>
      <w:r>
        <w:rPr>
          <w:rFonts w:hint="eastAsia"/>
          <w:color w:val="000000"/>
          <w:sz w:val="28"/>
          <w:szCs w:val="28"/>
        </w:rPr>
        <w:t xml:space="preserve">）本工程勘察文件和施工需求； </w:t>
      </w:r>
    </w:p>
    <w:p>
      <w:pPr>
        <w:spacing w:line="360" w:lineRule="auto"/>
        <w:ind w:firstLine="480"/>
        <w:rPr>
          <w:rFonts w:hint="eastAsia"/>
          <w:color w:val="000000"/>
          <w:sz w:val="28"/>
          <w:szCs w:val="28"/>
        </w:rPr>
      </w:pPr>
      <w:r>
        <w:rPr>
          <w:rFonts w:hint="eastAsia"/>
          <w:color w:val="000000"/>
          <w:sz w:val="28"/>
          <w:szCs w:val="28"/>
        </w:rPr>
        <w:t>（</w:t>
      </w:r>
      <w:r>
        <w:rPr>
          <w:rFonts w:hint="eastAsia"/>
          <w:color w:val="000000"/>
          <w:sz w:val="28"/>
          <w:szCs w:val="28"/>
          <w:lang w:val="en-US" w:eastAsia="zh-CN"/>
        </w:rPr>
        <w:t>5</w:t>
      </w:r>
      <w:r>
        <w:rPr>
          <w:rFonts w:hint="eastAsia"/>
          <w:color w:val="000000"/>
          <w:sz w:val="28"/>
          <w:szCs w:val="28"/>
        </w:rPr>
        <w:t>）其他设计依据。</w:t>
      </w:r>
    </w:p>
    <w:p>
      <w:pPr>
        <w:spacing w:line="360" w:lineRule="auto"/>
        <w:rPr>
          <w:rFonts w:hint="eastAsia" w:eastAsia="宋体"/>
          <w:color w:val="000000"/>
          <w:sz w:val="28"/>
          <w:szCs w:val="28"/>
          <w:lang w:val="en-US" w:eastAsia="zh-CN"/>
        </w:rPr>
      </w:pPr>
      <w:r>
        <w:rPr>
          <w:rFonts w:hint="eastAsia"/>
          <w:color w:val="000000"/>
          <w:sz w:val="28"/>
          <w:szCs w:val="28"/>
        </w:rPr>
        <w:t>包括但限于本技术文件列明的以下规范</w:t>
      </w:r>
      <w:r>
        <w:rPr>
          <w:rFonts w:hint="eastAsia"/>
          <w:color w:val="000000"/>
          <w:sz w:val="28"/>
          <w:szCs w:val="28"/>
          <w:lang w:val="en-US" w:eastAsia="zh-CN"/>
        </w:rPr>
        <w:t>如下：</w:t>
      </w:r>
    </w:p>
    <w:p>
      <w:pPr>
        <w:spacing w:line="360" w:lineRule="auto"/>
        <w:ind w:firstLine="480"/>
        <w:rPr>
          <w:rFonts w:hint="eastAsia"/>
          <w:color w:val="000000"/>
          <w:sz w:val="28"/>
          <w:szCs w:val="28"/>
        </w:rPr>
      </w:pPr>
      <w:r>
        <w:rPr>
          <w:rFonts w:hint="eastAsia"/>
          <w:color w:val="000000"/>
          <w:sz w:val="28"/>
          <w:szCs w:val="28"/>
          <w:lang w:eastAsia="zh-CN"/>
        </w:rPr>
        <w:t>（</w:t>
      </w:r>
      <w:r>
        <w:rPr>
          <w:rFonts w:hint="eastAsia"/>
          <w:color w:val="000000"/>
          <w:sz w:val="28"/>
          <w:szCs w:val="28"/>
          <w:lang w:val="en-US" w:eastAsia="zh-CN"/>
        </w:rPr>
        <w:t>1</w:t>
      </w:r>
      <w:r>
        <w:rPr>
          <w:rFonts w:hint="eastAsia"/>
          <w:color w:val="000000"/>
          <w:sz w:val="28"/>
          <w:szCs w:val="28"/>
          <w:lang w:eastAsia="zh-CN"/>
        </w:rPr>
        <w:t>）</w:t>
      </w:r>
      <w:r>
        <w:rPr>
          <w:rFonts w:hint="eastAsia"/>
          <w:color w:val="000000"/>
          <w:sz w:val="28"/>
          <w:szCs w:val="28"/>
        </w:rPr>
        <w:t xml:space="preserve">《电力系统技术导则》（GB/T 38969-2020） </w:t>
      </w:r>
    </w:p>
    <w:p>
      <w:pPr>
        <w:spacing w:line="360" w:lineRule="auto"/>
        <w:ind w:firstLine="480"/>
        <w:rPr>
          <w:rFonts w:hint="eastAsia"/>
          <w:color w:val="000000"/>
          <w:sz w:val="28"/>
          <w:szCs w:val="28"/>
        </w:rPr>
      </w:pPr>
      <w:r>
        <w:rPr>
          <w:rFonts w:hint="eastAsia"/>
          <w:color w:val="000000"/>
          <w:sz w:val="28"/>
          <w:szCs w:val="28"/>
          <w:lang w:eastAsia="zh-CN"/>
        </w:rPr>
        <w:t>（</w:t>
      </w:r>
      <w:r>
        <w:rPr>
          <w:rFonts w:hint="eastAsia"/>
          <w:color w:val="000000"/>
          <w:sz w:val="28"/>
          <w:szCs w:val="28"/>
          <w:lang w:val="en-US" w:eastAsia="zh-CN"/>
        </w:rPr>
        <w:t>2</w:t>
      </w:r>
      <w:r>
        <w:rPr>
          <w:rFonts w:hint="eastAsia"/>
          <w:color w:val="000000"/>
          <w:sz w:val="28"/>
          <w:szCs w:val="28"/>
          <w:lang w:eastAsia="zh-CN"/>
        </w:rPr>
        <w:t>）</w:t>
      </w:r>
      <w:r>
        <w:rPr>
          <w:rFonts w:hint="eastAsia"/>
          <w:color w:val="000000"/>
          <w:sz w:val="28"/>
          <w:szCs w:val="28"/>
        </w:rPr>
        <w:t xml:space="preserve">《城市电力网规划规范》（GB/T50293-2014） </w:t>
      </w:r>
    </w:p>
    <w:p>
      <w:pPr>
        <w:spacing w:line="360" w:lineRule="auto"/>
        <w:ind w:firstLine="480"/>
        <w:rPr>
          <w:rFonts w:hint="eastAsia"/>
          <w:color w:val="000000"/>
          <w:sz w:val="28"/>
          <w:szCs w:val="28"/>
        </w:rPr>
      </w:pPr>
      <w:r>
        <w:rPr>
          <w:rFonts w:hint="eastAsia"/>
          <w:color w:val="000000"/>
          <w:sz w:val="28"/>
          <w:szCs w:val="28"/>
          <w:lang w:eastAsia="zh-CN"/>
        </w:rPr>
        <w:t>（</w:t>
      </w:r>
      <w:r>
        <w:rPr>
          <w:rFonts w:hint="eastAsia"/>
          <w:color w:val="000000"/>
          <w:sz w:val="28"/>
          <w:szCs w:val="28"/>
          <w:lang w:val="en-US" w:eastAsia="zh-CN"/>
        </w:rPr>
        <w:t>3</w:t>
      </w:r>
      <w:r>
        <w:rPr>
          <w:rFonts w:hint="eastAsia"/>
          <w:color w:val="000000"/>
          <w:sz w:val="28"/>
          <w:szCs w:val="28"/>
          <w:lang w:eastAsia="zh-CN"/>
        </w:rPr>
        <w:t>）</w:t>
      </w:r>
      <w:r>
        <w:rPr>
          <w:rFonts w:hint="eastAsia"/>
          <w:color w:val="000000"/>
          <w:sz w:val="28"/>
          <w:szCs w:val="28"/>
        </w:rPr>
        <w:t>《电力系统安全稳定导则》（GB38755-2019）</w:t>
      </w:r>
    </w:p>
    <w:p>
      <w:pPr>
        <w:spacing w:line="360" w:lineRule="auto"/>
        <w:ind w:firstLine="480"/>
        <w:rPr>
          <w:rFonts w:hint="eastAsia"/>
          <w:color w:val="000000"/>
          <w:sz w:val="28"/>
          <w:szCs w:val="28"/>
        </w:rPr>
      </w:pPr>
      <w:r>
        <w:rPr>
          <w:rFonts w:hint="eastAsia"/>
          <w:color w:val="000000"/>
          <w:sz w:val="28"/>
          <w:szCs w:val="28"/>
          <w:lang w:eastAsia="zh-CN"/>
        </w:rPr>
        <w:t>（</w:t>
      </w:r>
      <w:r>
        <w:rPr>
          <w:rFonts w:hint="eastAsia"/>
          <w:color w:val="000000"/>
          <w:sz w:val="28"/>
          <w:szCs w:val="28"/>
          <w:lang w:val="en-US" w:eastAsia="zh-CN"/>
        </w:rPr>
        <w:t>4</w:t>
      </w:r>
      <w:r>
        <w:rPr>
          <w:rFonts w:hint="eastAsia"/>
          <w:color w:val="000000"/>
          <w:sz w:val="28"/>
          <w:szCs w:val="28"/>
          <w:lang w:eastAsia="zh-CN"/>
        </w:rPr>
        <w:t>）</w:t>
      </w:r>
      <w:r>
        <w:rPr>
          <w:rFonts w:hint="eastAsia"/>
          <w:color w:val="000000"/>
          <w:sz w:val="28"/>
          <w:szCs w:val="28"/>
        </w:rPr>
        <w:t>《城市电力网规划设计导则》（Q/GDW 156-2016）</w:t>
      </w:r>
    </w:p>
    <w:p>
      <w:pPr>
        <w:spacing w:line="360" w:lineRule="auto"/>
        <w:ind w:firstLine="480"/>
        <w:rPr>
          <w:rFonts w:hint="eastAsia"/>
          <w:color w:val="000000"/>
          <w:sz w:val="28"/>
          <w:szCs w:val="28"/>
        </w:rPr>
      </w:pPr>
      <w:r>
        <w:rPr>
          <w:rFonts w:hint="eastAsia"/>
          <w:color w:val="000000"/>
          <w:sz w:val="28"/>
          <w:szCs w:val="28"/>
          <w:lang w:eastAsia="zh-CN"/>
        </w:rPr>
        <w:t>（</w:t>
      </w:r>
      <w:r>
        <w:rPr>
          <w:rFonts w:hint="eastAsia"/>
          <w:color w:val="000000"/>
          <w:sz w:val="28"/>
          <w:szCs w:val="28"/>
          <w:lang w:val="en-US" w:eastAsia="zh-CN"/>
        </w:rPr>
        <w:t>5</w:t>
      </w:r>
      <w:r>
        <w:rPr>
          <w:rFonts w:hint="eastAsia"/>
          <w:color w:val="000000"/>
          <w:sz w:val="28"/>
          <w:szCs w:val="28"/>
          <w:lang w:eastAsia="zh-CN"/>
        </w:rPr>
        <w:t>）</w:t>
      </w:r>
      <w:r>
        <w:rPr>
          <w:rFonts w:hint="eastAsia"/>
          <w:color w:val="000000"/>
          <w:sz w:val="28"/>
          <w:szCs w:val="28"/>
        </w:rPr>
        <w:t>《配电网规划设计技术导则》（Q/GDW 10738-2020）</w:t>
      </w:r>
    </w:p>
    <w:p>
      <w:pPr>
        <w:spacing w:line="360" w:lineRule="auto"/>
        <w:ind w:firstLine="480"/>
        <w:rPr>
          <w:rFonts w:hint="eastAsia"/>
          <w:color w:val="000000"/>
          <w:sz w:val="28"/>
          <w:szCs w:val="28"/>
        </w:rPr>
      </w:pPr>
      <w:r>
        <w:rPr>
          <w:rFonts w:hint="eastAsia"/>
          <w:color w:val="000000"/>
          <w:sz w:val="28"/>
          <w:szCs w:val="28"/>
          <w:lang w:eastAsia="zh-CN"/>
        </w:rPr>
        <w:t>（</w:t>
      </w:r>
      <w:r>
        <w:rPr>
          <w:rFonts w:hint="eastAsia"/>
          <w:color w:val="000000"/>
          <w:sz w:val="28"/>
          <w:szCs w:val="28"/>
          <w:lang w:val="en-US" w:eastAsia="zh-CN"/>
        </w:rPr>
        <w:t>6</w:t>
      </w:r>
      <w:r>
        <w:rPr>
          <w:rFonts w:hint="eastAsia"/>
          <w:color w:val="000000"/>
          <w:sz w:val="28"/>
          <w:szCs w:val="28"/>
          <w:lang w:eastAsia="zh-CN"/>
        </w:rPr>
        <w:t>）</w:t>
      </w:r>
      <w:r>
        <w:rPr>
          <w:rFonts w:hint="eastAsia"/>
          <w:color w:val="000000"/>
          <w:sz w:val="28"/>
          <w:szCs w:val="28"/>
        </w:rPr>
        <w:t>《导体和电器选择设计技术规定》（DL 5222-2005）</w:t>
      </w:r>
    </w:p>
    <w:p>
      <w:pPr>
        <w:spacing w:line="360" w:lineRule="auto"/>
        <w:ind w:firstLine="480"/>
        <w:rPr>
          <w:rFonts w:hint="eastAsia"/>
          <w:color w:val="000000"/>
          <w:sz w:val="28"/>
          <w:szCs w:val="28"/>
        </w:rPr>
      </w:pPr>
      <w:r>
        <w:rPr>
          <w:rFonts w:hint="eastAsia"/>
          <w:color w:val="000000"/>
          <w:sz w:val="28"/>
          <w:szCs w:val="28"/>
          <w:lang w:eastAsia="zh-CN"/>
        </w:rPr>
        <w:t>（</w:t>
      </w:r>
      <w:r>
        <w:rPr>
          <w:rFonts w:hint="eastAsia"/>
          <w:color w:val="000000"/>
          <w:sz w:val="28"/>
          <w:szCs w:val="28"/>
          <w:lang w:val="en-US" w:eastAsia="zh-CN"/>
        </w:rPr>
        <w:t>7</w:t>
      </w:r>
      <w:r>
        <w:rPr>
          <w:rFonts w:hint="eastAsia"/>
          <w:color w:val="000000"/>
          <w:sz w:val="28"/>
          <w:szCs w:val="28"/>
          <w:lang w:eastAsia="zh-CN"/>
        </w:rPr>
        <w:t>）</w:t>
      </w:r>
      <w:r>
        <w:rPr>
          <w:rFonts w:hint="eastAsia"/>
          <w:color w:val="000000"/>
          <w:sz w:val="28"/>
          <w:szCs w:val="28"/>
        </w:rPr>
        <w:t>《电力系统电压和无功电力技术导则》（DL/T1773-2017）</w:t>
      </w:r>
    </w:p>
    <w:p>
      <w:pPr>
        <w:spacing w:line="360" w:lineRule="auto"/>
        <w:ind w:firstLine="480"/>
        <w:rPr>
          <w:rFonts w:hint="eastAsia"/>
          <w:color w:val="000000"/>
          <w:sz w:val="28"/>
          <w:szCs w:val="28"/>
        </w:rPr>
      </w:pPr>
      <w:r>
        <w:rPr>
          <w:rFonts w:hint="eastAsia"/>
          <w:color w:val="000000"/>
          <w:sz w:val="28"/>
          <w:szCs w:val="28"/>
          <w:lang w:eastAsia="zh-CN"/>
        </w:rPr>
        <w:t>（</w:t>
      </w:r>
      <w:r>
        <w:rPr>
          <w:rFonts w:hint="eastAsia"/>
          <w:color w:val="000000"/>
          <w:sz w:val="28"/>
          <w:szCs w:val="28"/>
          <w:lang w:val="en-US" w:eastAsia="zh-CN"/>
        </w:rPr>
        <w:t>8</w:t>
      </w:r>
      <w:r>
        <w:rPr>
          <w:rFonts w:hint="eastAsia"/>
          <w:color w:val="000000"/>
          <w:sz w:val="28"/>
          <w:szCs w:val="28"/>
          <w:lang w:eastAsia="zh-CN"/>
        </w:rPr>
        <w:t>）</w:t>
      </w:r>
      <w:r>
        <w:rPr>
          <w:rFonts w:hint="eastAsia"/>
          <w:color w:val="000000"/>
          <w:sz w:val="28"/>
          <w:szCs w:val="28"/>
        </w:rPr>
        <w:t>《35～110 千伏变电站设计规范》（GB50059-2011）</w:t>
      </w:r>
    </w:p>
    <w:p>
      <w:pPr>
        <w:spacing w:line="360" w:lineRule="auto"/>
        <w:ind w:firstLine="480"/>
        <w:rPr>
          <w:rFonts w:hint="eastAsia"/>
          <w:color w:val="000000"/>
          <w:sz w:val="28"/>
          <w:szCs w:val="28"/>
        </w:rPr>
      </w:pPr>
      <w:r>
        <w:rPr>
          <w:rFonts w:hint="eastAsia"/>
          <w:color w:val="000000"/>
          <w:sz w:val="28"/>
          <w:szCs w:val="28"/>
          <w:lang w:eastAsia="zh-CN"/>
        </w:rPr>
        <w:t>（</w:t>
      </w:r>
      <w:r>
        <w:rPr>
          <w:rFonts w:hint="eastAsia"/>
          <w:color w:val="000000"/>
          <w:sz w:val="28"/>
          <w:szCs w:val="28"/>
          <w:lang w:val="en-US" w:eastAsia="zh-CN"/>
        </w:rPr>
        <w:t>9</w:t>
      </w:r>
      <w:r>
        <w:rPr>
          <w:rFonts w:hint="eastAsia"/>
          <w:color w:val="000000"/>
          <w:sz w:val="28"/>
          <w:szCs w:val="28"/>
          <w:lang w:eastAsia="zh-CN"/>
        </w:rPr>
        <w:t>）</w:t>
      </w:r>
      <w:r>
        <w:rPr>
          <w:rFonts w:hint="eastAsia"/>
          <w:color w:val="000000"/>
          <w:sz w:val="28"/>
          <w:szCs w:val="28"/>
        </w:rPr>
        <w:t>《35kV~220kV 城市地下变电站设计规程》（DL/T5216-2017）</w:t>
      </w:r>
    </w:p>
    <w:p>
      <w:pPr>
        <w:spacing w:line="360" w:lineRule="auto"/>
        <w:ind w:firstLine="480"/>
        <w:rPr>
          <w:rFonts w:hint="eastAsia"/>
          <w:color w:val="000000"/>
          <w:sz w:val="28"/>
          <w:szCs w:val="28"/>
        </w:rPr>
      </w:pPr>
      <w:r>
        <w:rPr>
          <w:rFonts w:hint="eastAsia"/>
          <w:color w:val="000000"/>
          <w:sz w:val="28"/>
          <w:szCs w:val="28"/>
          <w:lang w:eastAsia="zh-CN"/>
        </w:rPr>
        <w:t>（</w:t>
      </w:r>
      <w:r>
        <w:rPr>
          <w:rFonts w:hint="eastAsia"/>
          <w:color w:val="000000"/>
          <w:sz w:val="28"/>
          <w:szCs w:val="28"/>
          <w:lang w:val="en-US" w:eastAsia="zh-CN"/>
        </w:rPr>
        <w:t>10</w:t>
      </w:r>
      <w:r>
        <w:rPr>
          <w:rFonts w:hint="eastAsia"/>
          <w:color w:val="000000"/>
          <w:sz w:val="28"/>
          <w:szCs w:val="28"/>
          <w:lang w:eastAsia="zh-CN"/>
        </w:rPr>
        <w:t>）</w:t>
      </w:r>
      <w:r>
        <w:rPr>
          <w:rFonts w:hint="eastAsia"/>
          <w:color w:val="000000"/>
          <w:sz w:val="28"/>
          <w:szCs w:val="28"/>
        </w:rPr>
        <w:t xml:space="preserve">《继电保护和安全自动装置技术规程》（GB/T 14285-2006） </w:t>
      </w:r>
    </w:p>
    <w:p>
      <w:pPr>
        <w:spacing w:line="360" w:lineRule="auto"/>
        <w:ind w:firstLine="480"/>
        <w:rPr>
          <w:rFonts w:hint="eastAsia"/>
          <w:color w:val="000000"/>
          <w:sz w:val="28"/>
          <w:szCs w:val="28"/>
        </w:rPr>
      </w:pPr>
      <w:r>
        <w:rPr>
          <w:rFonts w:hint="eastAsia"/>
          <w:color w:val="000000"/>
          <w:sz w:val="28"/>
          <w:szCs w:val="28"/>
          <w:lang w:eastAsia="zh-CN"/>
        </w:rPr>
        <w:t>（</w:t>
      </w:r>
      <w:r>
        <w:rPr>
          <w:rFonts w:hint="eastAsia"/>
          <w:color w:val="000000"/>
          <w:sz w:val="28"/>
          <w:szCs w:val="28"/>
          <w:lang w:val="en-US" w:eastAsia="zh-CN"/>
        </w:rPr>
        <w:t>11</w:t>
      </w:r>
      <w:r>
        <w:rPr>
          <w:rFonts w:hint="eastAsia"/>
          <w:color w:val="000000"/>
          <w:sz w:val="28"/>
          <w:szCs w:val="28"/>
          <w:lang w:eastAsia="zh-CN"/>
        </w:rPr>
        <w:t>）</w:t>
      </w:r>
      <w:r>
        <w:rPr>
          <w:rFonts w:hint="eastAsia"/>
          <w:color w:val="000000"/>
          <w:sz w:val="28"/>
          <w:szCs w:val="28"/>
        </w:rPr>
        <w:t>《电力系统安全自动装置设计技术规定》（DL/T 5147-2016）</w:t>
      </w:r>
    </w:p>
    <w:p>
      <w:pPr>
        <w:spacing w:line="360" w:lineRule="auto"/>
        <w:ind w:firstLine="480"/>
        <w:rPr>
          <w:rFonts w:hint="eastAsia"/>
          <w:color w:val="000000"/>
          <w:sz w:val="28"/>
          <w:szCs w:val="28"/>
        </w:rPr>
      </w:pPr>
      <w:r>
        <w:rPr>
          <w:rFonts w:hint="eastAsia"/>
          <w:color w:val="000000"/>
          <w:sz w:val="28"/>
          <w:szCs w:val="28"/>
          <w:lang w:eastAsia="zh-CN"/>
        </w:rPr>
        <w:t>（</w:t>
      </w:r>
      <w:r>
        <w:rPr>
          <w:rFonts w:hint="eastAsia"/>
          <w:color w:val="000000"/>
          <w:sz w:val="28"/>
          <w:szCs w:val="28"/>
          <w:lang w:val="en-US" w:eastAsia="zh-CN"/>
        </w:rPr>
        <w:t>12</w:t>
      </w:r>
      <w:r>
        <w:rPr>
          <w:rFonts w:hint="eastAsia"/>
          <w:color w:val="000000"/>
          <w:sz w:val="28"/>
          <w:szCs w:val="28"/>
          <w:lang w:eastAsia="zh-CN"/>
        </w:rPr>
        <w:t>）</w:t>
      </w:r>
      <w:r>
        <w:rPr>
          <w:rFonts w:hint="eastAsia"/>
          <w:color w:val="000000"/>
          <w:sz w:val="28"/>
          <w:szCs w:val="28"/>
        </w:rPr>
        <w:t xml:space="preserve">《电力装置电测量仪表装置设计规范》（GB/T50063-2017） </w:t>
      </w:r>
    </w:p>
    <w:p>
      <w:pPr>
        <w:spacing w:line="360" w:lineRule="auto"/>
        <w:ind w:firstLine="480"/>
        <w:rPr>
          <w:rFonts w:hint="eastAsia"/>
          <w:color w:val="000000"/>
          <w:sz w:val="28"/>
          <w:szCs w:val="28"/>
        </w:rPr>
      </w:pPr>
      <w:r>
        <w:rPr>
          <w:rFonts w:hint="eastAsia"/>
          <w:color w:val="000000"/>
          <w:sz w:val="28"/>
          <w:szCs w:val="28"/>
          <w:lang w:eastAsia="zh-CN"/>
        </w:rPr>
        <w:t>（</w:t>
      </w:r>
      <w:r>
        <w:rPr>
          <w:rFonts w:hint="eastAsia"/>
          <w:color w:val="000000"/>
          <w:sz w:val="28"/>
          <w:szCs w:val="28"/>
          <w:lang w:val="en-US" w:eastAsia="zh-CN"/>
        </w:rPr>
        <w:t>13</w:t>
      </w:r>
      <w:r>
        <w:rPr>
          <w:rFonts w:hint="eastAsia"/>
          <w:color w:val="000000"/>
          <w:sz w:val="28"/>
          <w:szCs w:val="28"/>
          <w:lang w:eastAsia="zh-CN"/>
        </w:rPr>
        <w:t>）</w:t>
      </w:r>
      <w:r>
        <w:rPr>
          <w:rFonts w:hint="eastAsia"/>
          <w:color w:val="000000"/>
          <w:sz w:val="28"/>
          <w:szCs w:val="28"/>
        </w:rPr>
        <w:t xml:space="preserve">《地区电网调度自动化系统》（GB/T 13730-2002） </w:t>
      </w:r>
    </w:p>
    <w:p>
      <w:pPr>
        <w:spacing w:line="360" w:lineRule="auto"/>
        <w:ind w:firstLine="480"/>
        <w:rPr>
          <w:rFonts w:hint="eastAsia"/>
          <w:color w:val="000000"/>
          <w:sz w:val="28"/>
          <w:szCs w:val="28"/>
        </w:rPr>
      </w:pPr>
      <w:r>
        <w:rPr>
          <w:rFonts w:hint="eastAsia"/>
          <w:color w:val="000000"/>
          <w:sz w:val="28"/>
          <w:szCs w:val="28"/>
          <w:lang w:eastAsia="zh-CN"/>
        </w:rPr>
        <w:t>（</w:t>
      </w:r>
      <w:r>
        <w:rPr>
          <w:rFonts w:hint="eastAsia"/>
          <w:color w:val="000000"/>
          <w:sz w:val="28"/>
          <w:szCs w:val="28"/>
          <w:lang w:val="en-US" w:eastAsia="zh-CN"/>
        </w:rPr>
        <w:t>14</w:t>
      </w:r>
      <w:r>
        <w:rPr>
          <w:rFonts w:hint="eastAsia"/>
          <w:color w:val="000000"/>
          <w:sz w:val="28"/>
          <w:szCs w:val="28"/>
          <w:lang w:eastAsia="zh-CN"/>
        </w:rPr>
        <w:t>）</w:t>
      </w:r>
      <w:r>
        <w:rPr>
          <w:rFonts w:hint="eastAsia"/>
          <w:color w:val="000000"/>
          <w:sz w:val="28"/>
          <w:szCs w:val="28"/>
        </w:rPr>
        <w:t xml:space="preserve">《110kV～750kV 架空输电线路设计规范》（GB 50545-2010） </w:t>
      </w:r>
    </w:p>
    <w:p>
      <w:pPr>
        <w:spacing w:line="360" w:lineRule="auto"/>
        <w:ind w:firstLine="480"/>
        <w:rPr>
          <w:rFonts w:hint="eastAsia"/>
          <w:color w:val="000000"/>
          <w:sz w:val="28"/>
          <w:szCs w:val="28"/>
        </w:rPr>
      </w:pPr>
      <w:r>
        <w:rPr>
          <w:rFonts w:hint="eastAsia"/>
          <w:color w:val="000000"/>
          <w:sz w:val="28"/>
          <w:szCs w:val="28"/>
          <w:lang w:eastAsia="zh-CN"/>
        </w:rPr>
        <w:t>（</w:t>
      </w:r>
      <w:r>
        <w:rPr>
          <w:rFonts w:hint="eastAsia"/>
          <w:color w:val="000000"/>
          <w:sz w:val="28"/>
          <w:szCs w:val="28"/>
          <w:lang w:val="en-US" w:eastAsia="zh-CN"/>
        </w:rPr>
        <w:t>15</w:t>
      </w:r>
      <w:r>
        <w:rPr>
          <w:rFonts w:hint="eastAsia"/>
          <w:color w:val="000000"/>
          <w:sz w:val="28"/>
          <w:szCs w:val="28"/>
          <w:lang w:eastAsia="zh-CN"/>
        </w:rPr>
        <w:t>）</w:t>
      </w:r>
      <w:r>
        <w:rPr>
          <w:rFonts w:hint="eastAsia"/>
          <w:color w:val="000000"/>
          <w:sz w:val="28"/>
          <w:szCs w:val="28"/>
        </w:rPr>
        <w:t xml:space="preserve">《电力工程电缆设计标准》（GB 50217-2018） </w:t>
      </w:r>
    </w:p>
    <w:p>
      <w:pPr>
        <w:spacing w:line="360" w:lineRule="auto"/>
        <w:ind w:firstLine="480"/>
        <w:rPr>
          <w:rFonts w:hint="eastAsia"/>
          <w:color w:val="000000"/>
          <w:sz w:val="28"/>
          <w:szCs w:val="28"/>
        </w:rPr>
      </w:pPr>
      <w:r>
        <w:rPr>
          <w:rFonts w:hint="eastAsia"/>
          <w:color w:val="000000"/>
          <w:sz w:val="28"/>
          <w:szCs w:val="28"/>
          <w:lang w:eastAsia="zh-CN"/>
        </w:rPr>
        <w:t>（</w:t>
      </w:r>
      <w:r>
        <w:rPr>
          <w:rFonts w:hint="eastAsia"/>
          <w:color w:val="000000"/>
          <w:sz w:val="28"/>
          <w:szCs w:val="28"/>
          <w:lang w:val="en-US" w:eastAsia="zh-CN"/>
        </w:rPr>
        <w:t>16</w:t>
      </w:r>
      <w:r>
        <w:rPr>
          <w:rFonts w:hint="eastAsia"/>
          <w:color w:val="000000"/>
          <w:sz w:val="28"/>
          <w:szCs w:val="28"/>
          <w:lang w:eastAsia="zh-CN"/>
        </w:rPr>
        <w:t>）</w:t>
      </w:r>
      <w:r>
        <w:rPr>
          <w:rFonts w:hint="eastAsia"/>
          <w:color w:val="000000"/>
          <w:sz w:val="28"/>
          <w:szCs w:val="28"/>
        </w:rPr>
        <w:t xml:space="preserve">《消防应急照明和疏散指示系统技术标准》（GB 51309-2018） </w:t>
      </w:r>
    </w:p>
    <w:p>
      <w:pPr>
        <w:spacing w:line="360" w:lineRule="auto"/>
        <w:ind w:firstLine="480"/>
        <w:rPr>
          <w:rFonts w:hint="eastAsia"/>
          <w:color w:val="000000"/>
          <w:sz w:val="28"/>
          <w:szCs w:val="28"/>
        </w:rPr>
      </w:pPr>
      <w:r>
        <w:rPr>
          <w:rFonts w:hint="eastAsia"/>
          <w:color w:val="000000"/>
          <w:sz w:val="28"/>
          <w:szCs w:val="28"/>
          <w:lang w:eastAsia="zh-CN"/>
        </w:rPr>
        <w:t xml:space="preserve">（17）《火力发电厂与变电站设计防火标准》（GB 50229-2019） </w:t>
      </w:r>
    </w:p>
    <w:bookmarkEnd w:id="21"/>
    <w:p>
      <w:pPr>
        <w:numPr>
          <w:ilvl w:val="0"/>
          <w:numId w:val="0"/>
        </w:numPr>
        <w:outlineLvl w:val="9"/>
        <w:rPr>
          <w:rFonts w:hint="eastAsia" w:ascii="Times New Roman"/>
          <w:sz w:val="28"/>
          <w:szCs w:val="21"/>
        </w:rPr>
      </w:pPr>
      <w:bookmarkStart w:id="23" w:name="_Toc26694412"/>
      <w:bookmarkStart w:id="24" w:name="_Toc226451789"/>
      <w:bookmarkStart w:id="25" w:name="_Toc182122053"/>
      <w:bookmarkStart w:id="26" w:name="_Toc15548758"/>
      <w:bookmarkStart w:id="27" w:name="_Toc19673877"/>
    </w:p>
    <w:p>
      <w:pPr>
        <w:numPr>
          <w:ilvl w:val="0"/>
          <w:numId w:val="0"/>
        </w:numPr>
        <w:outlineLvl w:val="9"/>
        <w:rPr>
          <w:rFonts w:hint="eastAsia" w:ascii="Times New Roman"/>
          <w:sz w:val="28"/>
          <w:szCs w:val="21"/>
        </w:rPr>
      </w:pPr>
    </w:p>
    <w:p>
      <w:pPr>
        <w:numPr>
          <w:ilvl w:val="0"/>
          <w:numId w:val="0"/>
        </w:numPr>
        <w:outlineLvl w:val="9"/>
        <w:rPr>
          <w:rFonts w:hint="eastAsia" w:ascii="Times New Roman"/>
          <w:sz w:val="28"/>
          <w:szCs w:val="21"/>
        </w:rPr>
      </w:pPr>
    </w:p>
    <w:p>
      <w:pPr>
        <w:numPr>
          <w:ilvl w:val="0"/>
          <w:numId w:val="0"/>
        </w:numPr>
        <w:outlineLvl w:val="9"/>
        <w:rPr>
          <w:rFonts w:hint="eastAsia" w:ascii="Times New Roman"/>
          <w:sz w:val="28"/>
          <w:szCs w:val="21"/>
        </w:rPr>
      </w:pPr>
    </w:p>
    <w:p>
      <w:pPr>
        <w:numPr>
          <w:ilvl w:val="0"/>
          <w:numId w:val="0"/>
        </w:numPr>
        <w:outlineLvl w:val="9"/>
        <w:rPr>
          <w:rFonts w:hint="eastAsia" w:ascii="Times New Roman"/>
          <w:sz w:val="28"/>
          <w:szCs w:val="21"/>
        </w:rPr>
      </w:pPr>
    </w:p>
    <w:p>
      <w:pPr>
        <w:numPr>
          <w:ilvl w:val="0"/>
          <w:numId w:val="0"/>
        </w:numPr>
        <w:outlineLvl w:val="9"/>
        <w:rPr>
          <w:rFonts w:hint="eastAsia" w:ascii="Times New Roman"/>
          <w:sz w:val="28"/>
          <w:szCs w:val="21"/>
        </w:rPr>
      </w:pPr>
    </w:p>
    <w:p>
      <w:pPr>
        <w:numPr>
          <w:ilvl w:val="0"/>
          <w:numId w:val="0"/>
        </w:numPr>
        <w:outlineLvl w:val="9"/>
        <w:rPr>
          <w:rFonts w:hint="eastAsia" w:ascii="Times New Roman"/>
          <w:sz w:val="28"/>
          <w:szCs w:val="21"/>
        </w:rPr>
      </w:pPr>
    </w:p>
    <w:p>
      <w:pPr>
        <w:numPr>
          <w:ilvl w:val="0"/>
          <w:numId w:val="0"/>
        </w:numPr>
        <w:outlineLvl w:val="9"/>
        <w:rPr>
          <w:rFonts w:hint="eastAsia" w:ascii="Times New Roman"/>
          <w:sz w:val="28"/>
          <w:szCs w:val="21"/>
        </w:rPr>
      </w:pPr>
    </w:p>
    <w:p>
      <w:pPr>
        <w:numPr>
          <w:ilvl w:val="0"/>
          <w:numId w:val="0"/>
        </w:numPr>
        <w:outlineLvl w:val="9"/>
        <w:rPr>
          <w:rFonts w:hint="eastAsia" w:ascii="Times New Roman"/>
          <w:sz w:val="28"/>
          <w:szCs w:val="21"/>
        </w:rPr>
      </w:pPr>
    </w:p>
    <w:p>
      <w:pPr>
        <w:numPr>
          <w:ilvl w:val="0"/>
          <w:numId w:val="0"/>
        </w:numPr>
        <w:outlineLvl w:val="9"/>
        <w:rPr>
          <w:rFonts w:hint="eastAsia" w:ascii="Times New Roman"/>
          <w:sz w:val="28"/>
          <w:szCs w:val="21"/>
        </w:rPr>
      </w:pPr>
    </w:p>
    <w:p>
      <w:pPr>
        <w:numPr>
          <w:ilvl w:val="0"/>
          <w:numId w:val="0"/>
        </w:numPr>
        <w:outlineLvl w:val="9"/>
        <w:rPr>
          <w:rFonts w:hint="eastAsia" w:ascii="Times New Roman"/>
          <w:sz w:val="28"/>
          <w:szCs w:val="21"/>
        </w:rPr>
      </w:pPr>
    </w:p>
    <w:p>
      <w:pPr>
        <w:numPr>
          <w:ilvl w:val="0"/>
          <w:numId w:val="0"/>
        </w:numPr>
        <w:outlineLvl w:val="9"/>
        <w:rPr>
          <w:rFonts w:hint="eastAsia" w:ascii="Times New Roman"/>
          <w:sz w:val="28"/>
          <w:szCs w:val="21"/>
        </w:rPr>
      </w:pPr>
    </w:p>
    <w:p>
      <w:pPr>
        <w:numPr>
          <w:ilvl w:val="0"/>
          <w:numId w:val="0"/>
        </w:numPr>
        <w:outlineLvl w:val="9"/>
        <w:rPr>
          <w:rFonts w:hint="eastAsia" w:ascii="Times New Roman"/>
          <w:sz w:val="28"/>
          <w:szCs w:val="21"/>
        </w:rPr>
      </w:pPr>
    </w:p>
    <w:p>
      <w:pPr>
        <w:numPr>
          <w:ilvl w:val="0"/>
          <w:numId w:val="0"/>
        </w:numPr>
        <w:outlineLvl w:val="9"/>
        <w:rPr>
          <w:rFonts w:hint="eastAsia" w:ascii="Times New Roman"/>
          <w:sz w:val="28"/>
          <w:szCs w:val="21"/>
        </w:rPr>
      </w:pPr>
    </w:p>
    <w:p>
      <w:pPr>
        <w:numPr>
          <w:ilvl w:val="0"/>
          <w:numId w:val="0"/>
        </w:numPr>
        <w:outlineLvl w:val="9"/>
        <w:rPr>
          <w:rFonts w:hint="eastAsia" w:ascii="Times New Roman"/>
          <w:sz w:val="28"/>
          <w:szCs w:val="21"/>
        </w:rPr>
      </w:pPr>
    </w:p>
    <w:p>
      <w:pPr>
        <w:numPr>
          <w:ilvl w:val="0"/>
          <w:numId w:val="0"/>
        </w:numPr>
        <w:outlineLvl w:val="9"/>
        <w:rPr>
          <w:rFonts w:hint="eastAsia" w:ascii="Times New Roman"/>
          <w:sz w:val="28"/>
          <w:szCs w:val="21"/>
        </w:rPr>
      </w:pPr>
    </w:p>
    <w:p>
      <w:pPr>
        <w:pStyle w:val="7"/>
        <w:numPr>
          <w:ilvl w:val="0"/>
          <w:numId w:val="0"/>
        </w:numPr>
        <w:rPr>
          <w:rFonts w:ascii="Times New Roman"/>
          <w:sz w:val="28"/>
          <w:szCs w:val="21"/>
        </w:rPr>
      </w:pPr>
      <w:bookmarkStart w:id="28" w:name="_Toc32468"/>
      <w:r>
        <w:rPr>
          <w:rFonts w:hint="eastAsia" w:ascii="Times New Roman"/>
          <w:sz w:val="28"/>
          <w:szCs w:val="21"/>
        </w:rPr>
        <w:t>1.2 项目</w:t>
      </w:r>
      <w:bookmarkEnd w:id="23"/>
      <w:bookmarkEnd w:id="24"/>
      <w:bookmarkEnd w:id="25"/>
      <w:bookmarkEnd w:id="26"/>
      <w:bookmarkEnd w:id="27"/>
      <w:r>
        <w:rPr>
          <w:rFonts w:hint="eastAsia" w:ascii="Times New Roman"/>
          <w:sz w:val="28"/>
          <w:szCs w:val="21"/>
        </w:rPr>
        <w:t>概况</w:t>
      </w:r>
      <w:bookmarkEnd w:id="28"/>
    </w:p>
    <w:p>
      <w:pPr>
        <w:spacing w:line="360" w:lineRule="auto"/>
        <w:ind w:left="0" w:leftChars="0" w:firstLine="441" w:firstLineChars="157"/>
        <w:outlineLvl w:val="2"/>
        <w:rPr>
          <w:rFonts w:hint="eastAsia" w:ascii="Times New Roman" w:hAnsi="Times New Roman" w:eastAsia="宋体" w:cs="Times New Roman"/>
          <w:b/>
          <w:kern w:val="0"/>
          <w:sz w:val="28"/>
          <w:szCs w:val="21"/>
          <w:lang w:val="en-GB" w:eastAsia="zh-CN" w:bidi="ar-SA"/>
        </w:rPr>
      </w:pPr>
      <w:bookmarkStart w:id="29" w:name="_Toc216238840"/>
      <w:bookmarkStart w:id="30" w:name="_Toc162854739"/>
      <w:bookmarkStart w:id="31" w:name="_Toc21964"/>
      <w:bookmarkStart w:id="32" w:name="_Toc142621084"/>
      <w:bookmarkStart w:id="33" w:name="_Toc36387844"/>
      <w:r>
        <w:rPr>
          <w:rFonts w:hint="eastAsia" w:ascii="Times New Roman" w:hAnsi="Times New Roman" w:eastAsia="宋体" w:cs="Times New Roman"/>
          <w:b/>
          <w:kern w:val="0"/>
          <w:sz w:val="28"/>
          <w:szCs w:val="21"/>
          <w:lang w:val="en-US" w:eastAsia="zh-CN" w:bidi="ar-SA"/>
        </w:rPr>
        <w:t>1.2.</w:t>
      </w:r>
      <w:r>
        <w:rPr>
          <w:rFonts w:hint="eastAsia" w:ascii="Times New Roman" w:hAnsi="Times New Roman" w:eastAsia="宋体" w:cs="Times New Roman"/>
          <w:b/>
          <w:kern w:val="0"/>
          <w:sz w:val="28"/>
          <w:szCs w:val="21"/>
          <w:lang w:val="en-GB" w:eastAsia="zh-CN" w:bidi="ar-SA"/>
        </w:rPr>
        <w:t>1项目名称</w:t>
      </w:r>
      <w:bookmarkEnd w:id="29"/>
      <w:bookmarkEnd w:id="30"/>
      <w:bookmarkEnd w:id="31"/>
      <w:bookmarkEnd w:id="32"/>
      <w:bookmarkEnd w:id="33"/>
      <w:bookmarkStart w:id="34" w:name="_Toc216238841"/>
      <w:bookmarkStart w:id="35" w:name="_Toc142621090"/>
      <w:bookmarkStart w:id="36" w:name="_Toc162854745"/>
    </w:p>
    <w:p>
      <w:pPr>
        <w:spacing w:line="360" w:lineRule="auto"/>
        <w:ind w:left="0" w:leftChars="0" w:firstLine="439" w:firstLineChars="157"/>
        <w:outlineLvl w:val="9"/>
        <w:rPr>
          <w:rFonts w:hint="eastAsia" w:eastAsia="宋体"/>
          <w:color w:val="000000"/>
          <w:sz w:val="28"/>
          <w:szCs w:val="28"/>
          <w:lang w:val="en-US" w:eastAsia="zh-CN"/>
        </w:rPr>
      </w:pPr>
      <w:r>
        <w:rPr>
          <w:rFonts w:hint="eastAsia"/>
          <w:color w:val="000000"/>
          <w:sz w:val="28"/>
          <w:szCs w:val="28"/>
        </w:rPr>
        <w:t>乌江涪陵榨菜绿色智能化生产基地110kv专用站勘察设计</w:t>
      </w:r>
      <w:r>
        <w:rPr>
          <w:rFonts w:hint="eastAsia"/>
          <w:color w:val="000000"/>
          <w:sz w:val="28"/>
          <w:szCs w:val="28"/>
          <w:lang w:val="en-US" w:eastAsia="zh-CN"/>
        </w:rPr>
        <w:t>项目</w:t>
      </w:r>
    </w:p>
    <w:p>
      <w:pPr>
        <w:spacing w:line="360" w:lineRule="auto"/>
        <w:ind w:left="0" w:leftChars="0" w:firstLine="441" w:firstLineChars="157"/>
        <w:outlineLvl w:val="2"/>
        <w:rPr>
          <w:rFonts w:hint="eastAsia" w:ascii="Times New Roman" w:hAnsi="Times New Roman" w:eastAsia="宋体" w:cs="Times New Roman"/>
          <w:b/>
          <w:kern w:val="0"/>
          <w:sz w:val="28"/>
          <w:szCs w:val="21"/>
          <w:lang w:val="en-GB" w:eastAsia="zh-CN" w:bidi="ar-SA"/>
        </w:rPr>
      </w:pPr>
      <w:bookmarkStart w:id="37" w:name="_Toc12024"/>
      <w:r>
        <w:rPr>
          <w:rFonts w:hint="eastAsia" w:ascii="Times New Roman" w:hAnsi="Times New Roman" w:eastAsia="宋体" w:cs="Times New Roman"/>
          <w:b/>
          <w:kern w:val="0"/>
          <w:sz w:val="28"/>
          <w:szCs w:val="21"/>
          <w:lang w:val="en-US" w:eastAsia="zh-CN" w:bidi="ar-SA"/>
        </w:rPr>
        <w:t>1.2.</w:t>
      </w:r>
      <w:r>
        <w:rPr>
          <w:rFonts w:hint="eastAsia" w:ascii="Times New Roman" w:hAnsi="Times New Roman" w:eastAsia="宋体" w:cs="Times New Roman"/>
          <w:b/>
          <w:kern w:val="0"/>
          <w:sz w:val="28"/>
          <w:szCs w:val="21"/>
          <w:lang w:val="en-GB" w:eastAsia="zh-CN" w:bidi="ar-SA"/>
        </w:rPr>
        <w:t>2建设单位</w:t>
      </w:r>
      <w:bookmarkEnd w:id="34"/>
      <w:bookmarkEnd w:id="35"/>
      <w:bookmarkEnd w:id="36"/>
      <w:bookmarkEnd w:id="37"/>
      <w:bookmarkStart w:id="38" w:name="_Toc216238845"/>
    </w:p>
    <w:p>
      <w:pPr>
        <w:spacing w:line="360" w:lineRule="auto"/>
        <w:ind w:left="0" w:leftChars="0" w:firstLine="439" w:firstLineChars="157"/>
        <w:outlineLvl w:val="9"/>
        <w:rPr>
          <w:rFonts w:hint="default" w:eastAsia="宋体"/>
          <w:color w:val="000000"/>
          <w:sz w:val="28"/>
          <w:szCs w:val="28"/>
          <w:lang w:val="en-US" w:eastAsia="zh-CN"/>
        </w:rPr>
      </w:pPr>
      <w:r>
        <w:rPr>
          <w:rFonts w:hint="eastAsia"/>
          <w:color w:val="000000"/>
          <w:sz w:val="28"/>
          <w:szCs w:val="28"/>
          <w:lang w:val="en-US" w:eastAsia="zh-CN"/>
        </w:rPr>
        <w:t>重庆市涪陵榨菜集团股份有限公司</w:t>
      </w:r>
    </w:p>
    <w:p>
      <w:pPr>
        <w:spacing w:line="360" w:lineRule="auto"/>
        <w:ind w:left="0" w:leftChars="0" w:firstLine="441" w:firstLineChars="157"/>
        <w:outlineLvl w:val="2"/>
        <w:rPr>
          <w:rFonts w:hint="eastAsia" w:ascii="Times New Roman" w:hAnsi="Times New Roman" w:eastAsia="宋体" w:cs="Times New Roman"/>
          <w:b/>
          <w:kern w:val="0"/>
          <w:sz w:val="28"/>
          <w:szCs w:val="21"/>
          <w:lang w:val="en-GB" w:eastAsia="zh-CN" w:bidi="ar-SA"/>
        </w:rPr>
      </w:pPr>
      <w:bookmarkStart w:id="39" w:name="_Toc4777"/>
      <w:r>
        <w:rPr>
          <w:rFonts w:hint="eastAsia" w:ascii="Times New Roman" w:hAnsi="Times New Roman" w:eastAsia="宋体" w:cs="Times New Roman"/>
          <w:b/>
          <w:kern w:val="0"/>
          <w:sz w:val="28"/>
          <w:szCs w:val="21"/>
          <w:lang w:val="en-US" w:eastAsia="zh-CN" w:bidi="ar-SA"/>
        </w:rPr>
        <w:t>1.2.</w:t>
      </w:r>
      <w:r>
        <w:rPr>
          <w:rFonts w:hint="eastAsia" w:ascii="Times New Roman" w:hAnsi="Times New Roman" w:eastAsia="宋体" w:cs="Times New Roman"/>
          <w:b/>
          <w:kern w:val="0"/>
          <w:sz w:val="28"/>
          <w:szCs w:val="21"/>
          <w:lang w:val="en-GB" w:eastAsia="zh-CN" w:bidi="ar-SA"/>
        </w:rPr>
        <w:t>3建设地点</w:t>
      </w:r>
      <w:bookmarkEnd w:id="38"/>
      <w:bookmarkEnd w:id="39"/>
    </w:p>
    <w:p>
      <w:pPr>
        <w:spacing w:line="360" w:lineRule="auto"/>
        <w:ind w:left="0" w:leftChars="0" w:firstLine="439" w:firstLineChars="157"/>
        <w:outlineLvl w:val="9"/>
        <w:rPr>
          <w:rFonts w:hint="default" w:eastAsia="宋体"/>
          <w:color w:val="FF0000"/>
          <w:sz w:val="28"/>
          <w:szCs w:val="28"/>
          <w:lang w:val="en-US" w:eastAsia="zh-CN"/>
        </w:rPr>
      </w:pPr>
      <w:r>
        <w:rPr>
          <w:rFonts w:hint="eastAsia"/>
          <w:color w:val="000000"/>
          <w:sz w:val="28"/>
          <w:szCs w:val="28"/>
          <w:lang w:val="en-US" w:eastAsia="zh-CN"/>
        </w:rPr>
        <w:t>重庆市涪陵马鞍街道仁和社区</w:t>
      </w:r>
    </w:p>
    <w:p>
      <w:pPr>
        <w:spacing w:line="360" w:lineRule="auto"/>
        <w:ind w:left="0" w:leftChars="0" w:firstLine="441" w:firstLineChars="157"/>
        <w:outlineLvl w:val="2"/>
        <w:rPr>
          <w:rFonts w:hint="eastAsia" w:ascii="Times New Roman" w:hAnsi="Times New Roman" w:eastAsia="宋体" w:cs="Times New Roman"/>
          <w:b/>
          <w:kern w:val="0"/>
          <w:sz w:val="28"/>
          <w:szCs w:val="21"/>
          <w:lang w:val="en-GB" w:eastAsia="zh-CN" w:bidi="ar-SA"/>
        </w:rPr>
      </w:pPr>
      <w:bookmarkStart w:id="40" w:name="_Toc15783"/>
      <w:r>
        <w:rPr>
          <w:rFonts w:hint="eastAsia" w:ascii="Times New Roman" w:hAnsi="Times New Roman" w:eastAsia="宋体" w:cs="Times New Roman"/>
          <w:b/>
          <w:kern w:val="0"/>
          <w:sz w:val="28"/>
          <w:szCs w:val="21"/>
          <w:lang w:val="en-US" w:eastAsia="zh-CN" w:bidi="ar-SA"/>
        </w:rPr>
        <w:t>1.2.</w:t>
      </w:r>
      <w:r>
        <w:rPr>
          <w:rFonts w:hint="eastAsia" w:ascii="Times New Roman" w:hAnsi="Times New Roman" w:eastAsia="宋体" w:cs="Times New Roman"/>
          <w:b/>
          <w:kern w:val="0"/>
          <w:sz w:val="28"/>
          <w:szCs w:val="21"/>
          <w:lang w:val="en-GB" w:eastAsia="zh-CN" w:bidi="ar-SA"/>
        </w:rPr>
        <w:t>4工程内容</w:t>
      </w:r>
      <w:bookmarkEnd w:id="40"/>
    </w:p>
    <w:p>
      <w:pPr>
        <w:spacing w:line="360" w:lineRule="auto"/>
        <w:ind w:left="0" w:leftChars="0" w:firstLine="439" w:firstLineChars="157"/>
        <w:outlineLvl w:val="9"/>
        <w:rPr>
          <w:rFonts w:hint="eastAsia"/>
          <w:color w:val="auto"/>
          <w:sz w:val="28"/>
          <w:szCs w:val="28"/>
          <w:lang w:val="en-GB" w:eastAsia="zh-CN"/>
        </w:rPr>
      </w:pPr>
      <w:r>
        <w:rPr>
          <w:rFonts w:hint="eastAsia"/>
          <w:color w:val="auto"/>
          <w:sz w:val="28"/>
          <w:szCs w:val="28"/>
          <w:lang w:val="en-US" w:eastAsia="zh-CN"/>
        </w:rPr>
        <w:t>1、</w:t>
      </w:r>
      <w:r>
        <w:rPr>
          <w:rFonts w:hint="eastAsia"/>
          <w:color w:val="auto"/>
          <w:sz w:val="28"/>
          <w:szCs w:val="28"/>
          <w:lang w:val="en-GB" w:eastAsia="zh-CN"/>
        </w:rPr>
        <w:t>总体规划</w:t>
      </w:r>
    </w:p>
    <w:p>
      <w:pPr>
        <w:spacing w:line="360" w:lineRule="auto"/>
        <w:ind w:left="0" w:leftChars="0" w:firstLine="439" w:firstLineChars="157"/>
        <w:outlineLvl w:val="9"/>
        <w:rPr>
          <w:rFonts w:hint="eastAsia"/>
          <w:color w:val="auto"/>
          <w:sz w:val="28"/>
          <w:szCs w:val="28"/>
          <w:lang w:val="en-GB" w:eastAsia="zh-CN"/>
        </w:rPr>
      </w:pPr>
      <w:r>
        <w:rPr>
          <w:rFonts w:hint="eastAsia"/>
          <w:color w:val="auto"/>
          <w:sz w:val="28"/>
          <w:szCs w:val="28"/>
          <w:lang w:val="en-US" w:eastAsia="zh-CN"/>
        </w:rPr>
        <w:t>设计</w:t>
      </w:r>
      <w:r>
        <w:rPr>
          <w:rFonts w:hint="eastAsia"/>
          <w:color w:val="auto"/>
          <w:sz w:val="28"/>
          <w:szCs w:val="28"/>
          <w:lang w:val="en-GB" w:eastAsia="zh-CN"/>
        </w:rPr>
        <w:t>110kV专用变电站一座，其主变容量为1×40MVA+1×12.5MVA；新建本厂园区红线内至本厂专用站1回110kV电缆线路，10kV出线总规模为20回。</w:t>
      </w:r>
    </w:p>
    <w:p>
      <w:pPr>
        <w:spacing w:line="360" w:lineRule="auto"/>
        <w:ind w:left="0" w:leftChars="0" w:firstLine="439" w:firstLineChars="157"/>
        <w:outlineLvl w:val="9"/>
        <w:rPr>
          <w:rFonts w:hint="eastAsia"/>
          <w:color w:val="auto"/>
          <w:sz w:val="28"/>
          <w:szCs w:val="28"/>
          <w:lang w:val="en-GB" w:eastAsia="zh-CN"/>
        </w:rPr>
      </w:pPr>
      <w:r>
        <w:rPr>
          <w:rFonts w:hint="eastAsia"/>
          <w:color w:val="auto"/>
          <w:sz w:val="28"/>
          <w:szCs w:val="28"/>
          <w:lang w:val="en-US" w:eastAsia="zh-CN"/>
        </w:rPr>
        <w:t>2、专用站勘察、设计：</w:t>
      </w:r>
      <w:r>
        <w:rPr>
          <w:rFonts w:hint="eastAsia"/>
          <w:color w:val="auto"/>
          <w:sz w:val="28"/>
          <w:szCs w:val="28"/>
          <w:lang w:val="en-GB" w:eastAsia="zh-CN"/>
        </w:rPr>
        <w:t>完成本项目所必需的所有勘察、设计（</w:t>
      </w:r>
      <w:r>
        <w:rPr>
          <w:rFonts w:hint="eastAsia"/>
          <w:color w:val="auto"/>
          <w:sz w:val="28"/>
          <w:szCs w:val="28"/>
          <w:lang w:val="en-US" w:eastAsia="zh-CN"/>
        </w:rPr>
        <w:t>变电站一次、二次系统、保护定值计算、设施设备布置、辅助配套设施设计、站内市政、土建设计</w:t>
      </w:r>
      <w:r>
        <w:rPr>
          <w:rFonts w:hint="eastAsia"/>
          <w:color w:val="auto"/>
          <w:sz w:val="28"/>
          <w:szCs w:val="28"/>
          <w:lang w:val="en-GB" w:eastAsia="zh-CN"/>
        </w:rPr>
        <w:t>）、报批（包含工程所在地电力主管部门</w:t>
      </w:r>
      <w:r>
        <w:rPr>
          <w:rFonts w:hint="eastAsia"/>
          <w:color w:val="auto"/>
          <w:sz w:val="28"/>
          <w:szCs w:val="28"/>
          <w:lang w:val="en-US" w:eastAsia="zh-CN"/>
        </w:rPr>
        <w:t>或其他职能部门</w:t>
      </w:r>
      <w:r>
        <w:rPr>
          <w:rFonts w:hint="eastAsia"/>
          <w:color w:val="auto"/>
          <w:sz w:val="28"/>
          <w:szCs w:val="28"/>
          <w:lang w:val="en-GB" w:eastAsia="zh-CN"/>
        </w:rPr>
        <w:t>要求的各种审批手续）。</w:t>
      </w:r>
    </w:p>
    <w:p>
      <w:pPr>
        <w:spacing w:line="360" w:lineRule="auto"/>
        <w:ind w:left="0" w:leftChars="0" w:firstLine="439" w:firstLineChars="157"/>
        <w:outlineLvl w:val="9"/>
        <w:rPr>
          <w:rFonts w:hint="default"/>
          <w:lang w:val="en-US" w:eastAsia="zh-CN"/>
        </w:rPr>
      </w:pPr>
      <w:r>
        <w:rPr>
          <w:rFonts w:hint="eastAsia"/>
          <w:color w:val="auto"/>
          <w:sz w:val="28"/>
          <w:szCs w:val="28"/>
          <w:lang w:val="en-US" w:eastAsia="zh-CN"/>
        </w:rPr>
        <w:t>3、110kv</w:t>
      </w:r>
      <w:r>
        <w:rPr>
          <w:rFonts w:hint="eastAsia"/>
          <w:color w:val="auto"/>
          <w:sz w:val="28"/>
          <w:szCs w:val="28"/>
          <w:lang w:val="en-GB" w:eastAsia="zh-CN"/>
        </w:rPr>
        <w:t>线路</w:t>
      </w:r>
      <w:r>
        <w:rPr>
          <w:rFonts w:hint="eastAsia"/>
          <w:color w:val="auto"/>
          <w:sz w:val="28"/>
          <w:szCs w:val="28"/>
          <w:lang w:val="en-US" w:eastAsia="zh-CN"/>
        </w:rPr>
        <w:t>勘察、设计</w:t>
      </w:r>
      <w:r>
        <w:rPr>
          <w:rFonts w:hint="eastAsia"/>
          <w:color w:val="auto"/>
          <w:sz w:val="28"/>
          <w:szCs w:val="28"/>
          <w:lang w:val="en-GB" w:eastAsia="zh-CN"/>
        </w:rPr>
        <w:t>：</w:t>
      </w:r>
      <w:r>
        <w:rPr>
          <w:rFonts w:hint="eastAsia"/>
          <w:color w:val="auto"/>
          <w:sz w:val="28"/>
          <w:szCs w:val="28"/>
          <w:lang w:val="en-US" w:eastAsia="zh-CN"/>
        </w:rPr>
        <w:t>完成红线内供电公司产权分界点处至园区变电站</w:t>
      </w:r>
      <w:r>
        <w:rPr>
          <w:rFonts w:hint="eastAsia"/>
          <w:color w:val="auto"/>
          <w:sz w:val="28"/>
          <w:szCs w:val="28"/>
          <w:lang w:val="en-GB" w:eastAsia="zh-CN"/>
        </w:rPr>
        <w:t>110kV线路部分的</w:t>
      </w:r>
      <w:r>
        <w:rPr>
          <w:rFonts w:hint="eastAsia"/>
          <w:color w:val="auto"/>
          <w:sz w:val="28"/>
          <w:szCs w:val="28"/>
          <w:lang w:val="en-US" w:eastAsia="zh-CN"/>
        </w:rPr>
        <w:t>设计。</w:t>
      </w:r>
    </w:p>
    <w:p>
      <w:pPr>
        <w:pStyle w:val="2"/>
        <w:rPr>
          <w:rFonts w:hint="eastAsia"/>
          <w:lang w:val="en-US" w:eastAsia="zh-CN"/>
        </w:rPr>
      </w:pPr>
    </w:p>
    <w:p>
      <w:pPr>
        <w:numPr>
          <w:ilvl w:val="0"/>
          <w:numId w:val="0"/>
        </w:numPr>
        <w:spacing w:line="440" w:lineRule="exact"/>
        <w:ind w:left="0" w:leftChars="0" w:firstLine="441" w:firstLineChars="157"/>
        <w:outlineLvl w:val="2"/>
        <w:rPr>
          <w:rFonts w:hint="eastAsia" w:ascii="Times New Roman" w:hAnsi="Times New Roman" w:eastAsia="宋体" w:cs="Times New Roman"/>
          <w:b/>
          <w:kern w:val="0"/>
          <w:sz w:val="28"/>
          <w:szCs w:val="21"/>
          <w:lang w:val="en-US" w:eastAsia="zh-CN" w:bidi="ar-SA"/>
        </w:rPr>
      </w:pPr>
      <w:bookmarkStart w:id="41" w:name="_Toc25360"/>
      <w:r>
        <w:rPr>
          <w:rFonts w:hint="eastAsia" w:ascii="Times New Roman" w:hAnsi="Times New Roman" w:eastAsia="宋体" w:cs="Times New Roman"/>
          <w:b/>
          <w:kern w:val="0"/>
          <w:sz w:val="28"/>
          <w:szCs w:val="21"/>
          <w:lang w:val="en-US" w:eastAsia="zh-CN" w:bidi="ar-SA"/>
        </w:rPr>
        <w:t>1.2.</w:t>
      </w:r>
      <w:r>
        <w:rPr>
          <w:rFonts w:hint="eastAsia" w:cs="Times New Roman"/>
          <w:b/>
          <w:kern w:val="0"/>
          <w:sz w:val="28"/>
          <w:szCs w:val="21"/>
          <w:lang w:val="en-US" w:eastAsia="zh-CN" w:bidi="ar-SA"/>
        </w:rPr>
        <w:t>5</w:t>
      </w:r>
      <w:r>
        <w:rPr>
          <w:rFonts w:hint="eastAsia" w:ascii="Times New Roman" w:hAnsi="Times New Roman" w:eastAsia="宋体" w:cs="Times New Roman"/>
          <w:b/>
          <w:kern w:val="0"/>
          <w:sz w:val="28"/>
          <w:szCs w:val="21"/>
          <w:lang w:val="en-US" w:eastAsia="zh-CN" w:bidi="ar-SA"/>
        </w:rPr>
        <w:t>项目总图</w:t>
      </w:r>
      <w:bookmarkEnd w:id="41"/>
    </w:p>
    <w:p>
      <w:pPr>
        <w:numPr>
          <w:ilvl w:val="0"/>
          <w:numId w:val="0"/>
        </w:numPr>
        <w:spacing w:line="440" w:lineRule="exact"/>
        <w:outlineLvl w:val="9"/>
        <w:rPr>
          <w:rFonts w:hint="eastAsia" w:ascii="Times New Roman" w:hAnsi="Times New Roman" w:eastAsia="宋体" w:cs="Times New Roman"/>
          <w:b/>
          <w:kern w:val="0"/>
          <w:sz w:val="28"/>
          <w:szCs w:val="21"/>
          <w:lang w:val="en-US" w:eastAsia="zh-CN" w:bidi="ar-SA"/>
        </w:rPr>
      </w:pPr>
    </w:p>
    <w:p>
      <w:pPr>
        <w:numPr>
          <w:ilvl w:val="0"/>
          <w:numId w:val="0"/>
        </w:numPr>
        <w:spacing w:line="440" w:lineRule="exact"/>
        <w:ind w:left="0" w:leftChars="0" w:firstLine="441" w:firstLineChars="157"/>
        <w:outlineLvl w:val="9"/>
        <w:rPr>
          <w:rFonts w:hint="eastAsia" w:ascii="Times New Roman" w:hAnsi="Times New Roman" w:eastAsia="宋体" w:cs="Times New Roman"/>
          <w:b/>
          <w:kern w:val="0"/>
          <w:sz w:val="28"/>
          <w:szCs w:val="21"/>
          <w:lang w:val="en-US" w:eastAsia="zh-CN" w:bidi="ar-SA"/>
        </w:rPr>
      </w:pPr>
    </w:p>
    <w:p>
      <w:pPr>
        <w:numPr>
          <w:ilvl w:val="0"/>
          <w:numId w:val="0"/>
        </w:numPr>
        <w:spacing w:line="440" w:lineRule="exact"/>
        <w:ind w:left="0" w:leftChars="0" w:firstLine="329" w:firstLineChars="157"/>
        <w:outlineLvl w:val="9"/>
        <w:rPr>
          <w:rFonts w:hint="eastAsia" w:ascii="Times New Roman" w:hAnsi="Times New Roman" w:eastAsia="宋体" w:cs="Times New Roman"/>
          <w:b/>
          <w:kern w:val="0"/>
          <w:sz w:val="28"/>
          <w:szCs w:val="21"/>
          <w:lang w:val="en-US" w:eastAsia="zh-CN" w:bidi="ar-SA"/>
        </w:rPr>
      </w:pPr>
      <w:r>
        <w:drawing>
          <wp:anchor distT="0" distB="0" distL="114300" distR="114300" simplePos="0" relativeHeight="251660288" behindDoc="1" locked="0" layoutInCell="1" allowOverlap="1">
            <wp:simplePos x="0" y="0"/>
            <wp:positionH relativeFrom="column">
              <wp:posOffset>44450</wp:posOffset>
            </wp:positionH>
            <wp:positionV relativeFrom="paragraph">
              <wp:posOffset>87630</wp:posOffset>
            </wp:positionV>
            <wp:extent cx="5759450" cy="4560570"/>
            <wp:effectExtent l="0" t="0" r="12700" b="11430"/>
            <wp:wrapTight wrapText="bothSides">
              <wp:wrapPolygon>
                <wp:start x="0" y="0"/>
                <wp:lineTo x="0" y="21474"/>
                <wp:lineTo x="21505" y="21474"/>
                <wp:lineTo x="21505" y="0"/>
                <wp:lineTo x="0" y="0"/>
              </wp:wrapPolygon>
            </wp:wrapTight>
            <wp:docPr id="1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4"/>
                    <pic:cNvPicPr>
                      <a:picLocks noChangeAspect="1"/>
                    </pic:cNvPicPr>
                  </pic:nvPicPr>
                  <pic:blipFill>
                    <a:blip r:embed="rId10"/>
                    <a:stretch>
                      <a:fillRect/>
                    </a:stretch>
                  </pic:blipFill>
                  <pic:spPr>
                    <a:xfrm>
                      <a:off x="0" y="0"/>
                      <a:ext cx="5759450" cy="4560570"/>
                    </a:xfrm>
                    <a:prstGeom prst="rect">
                      <a:avLst/>
                    </a:prstGeom>
                    <a:noFill/>
                    <a:ln>
                      <a:noFill/>
                    </a:ln>
                  </pic:spPr>
                </pic:pic>
              </a:graphicData>
            </a:graphic>
          </wp:anchor>
        </w:drawing>
      </w:r>
    </w:p>
    <w:p>
      <w:pPr>
        <w:numPr>
          <w:ilvl w:val="0"/>
          <w:numId w:val="0"/>
        </w:numPr>
        <w:spacing w:line="440" w:lineRule="exact"/>
        <w:ind w:left="0" w:leftChars="0" w:firstLine="441" w:firstLineChars="157"/>
        <w:jc w:val="center"/>
        <w:outlineLvl w:val="9"/>
        <w:rPr>
          <w:rFonts w:hint="eastAsia" w:ascii="Times New Roman" w:hAnsi="Times New Roman" w:eastAsia="宋体" w:cs="Times New Roman"/>
          <w:b/>
          <w:kern w:val="0"/>
          <w:sz w:val="28"/>
          <w:szCs w:val="21"/>
          <w:lang w:val="en-US" w:eastAsia="zh-CN" w:bidi="ar-SA"/>
        </w:rPr>
      </w:pPr>
      <w:r>
        <w:rPr>
          <w:rFonts w:hint="eastAsia" w:cs="Times New Roman"/>
          <w:b/>
          <w:kern w:val="0"/>
          <w:sz w:val="28"/>
          <w:szCs w:val="21"/>
          <w:lang w:val="en-US" w:eastAsia="zh-CN" w:bidi="ar-SA"/>
        </w:rPr>
        <w:t>变电站位置示意图</w:t>
      </w:r>
    </w:p>
    <w:p>
      <w:pPr>
        <w:numPr>
          <w:ilvl w:val="0"/>
          <w:numId w:val="0"/>
        </w:numPr>
        <w:spacing w:line="440" w:lineRule="exact"/>
        <w:ind w:left="0" w:leftChars="0" w:firstLine="441" w:firstLineChars="157"/>
        <w:outlineLvl w:val="9"/>
        <w:rPr>
          <w:rFonts w:hint="default" w:ascii="Times New Roman" w:hAnsi="Times New Roman" w:eastAsia="宋体" w:cs="Times New Roman"/>
          <w:b/>
          <w:kern w:val="0"/>
          <w:sz w:val="28"/>
          <w:szCs w:val="21"/>
          <w:lang w:val="en-US" w:eastAsia="zh-CN" w:bidi="ar-SA"/>
        </w:rPr>
      </w:pPr>
    </w:p>
    <w:p>
      <w:pPr>
        <w:numPr>
          <w:ilvl w:val="0"/>
          <w:numId w:val="0"/>
        </w:numPr>
        <w:spacing w:line="440" w:lineRule="exact"/>
        <w:outlineLvl w:val="2"/>
        <w:rPr>
          <w:rFonts w:hint="eastAsia" w:ascii="Times New Roman" w:hAnsi="Times New Roman" w:eastAsia="宋体" w:cs="Times New Roman"/>
          <w:b/>
          <w:kern w:val="0"/>
          <w:sz w:val="28"/>
          <w:szCs w:val="21"/>
          <w:lang w:val="en-US" w:eastAsia="zh-CN" w:bidi="ar-SA"/>
        </w:rPr>
      </w:pPr>
      <w:bookmarkStart w:id="42" w:name="_Toc2488"/>
      <w:r>
        <w:rPr>
          <w:rFonts w:hint="eastAsia" w:ascii="Times New Roman" w:hAnsi="Times New Roman" w:eastAsia="宋体" w:cs="Times New Roman"/>
          <w:b/>
          <w:kern w:val="0"/>
          <w:sz w:val="28"/>
          <w:szCs w:val="21"/>
          <w:lang w:val="en-US" w:eastAsia="zh-CN" w:bidi="ar-SA"/>
        </w:rPr>
        <w:t>1.2.</w:t>
      </w:r>
      <w:r>
        <w:rPr>
          <w:rFonts w:hint="eastAsia" w:cs="Times New Roman"/>
          <w:b/>
          <w:kern w:val="0"/>
          <w:sz w:val="28"/>
          <w:szCs w:val="21"/>
          <w:lang w:val="en-US" w:eastAsia="zh-CN" w:bidi="ar-SA"/>
        </w:rPr>
        <w:t>6</w:t>
      </w:r>
      <w:r>
        <w:rPr>
          <w:rFonts w:hint="eastAsia" w:ascii="Times New Roman" w:hAnsi="Times New Roman" w:eastAsia="宋体" w:cs="Times New Roman"/>
          <w:b/>
          <w:kern w:val="0"/>
          <w:sz w:val="28"/>
          <w:szCs w:val="21"/>
          <w:lang w:val="en-US" w:eastAsia="zh-CN" w:bidi="ar-SA"/>
        </w:rPr>
        <w:t>气候条件</w:t>
      </w:r>
      <w:bookmarkEnd w:id="42"/>
    </w:p>
    <w:p>
      <w:pPr>
        <w:numPr>
          <w:ilvl w:val="0"/>
          <w:numId w:val="0"/>
        </w:numPr>
        <w:spacing w:line="240" w:lineRule="auto"/>
        <w:ind w:left="0" w:leftChars="0" w:firstLine="439" w:firstLineChars="157"/>
        <w:outlineLvl w:val="9"/>
        <w:rPr>
          <w:rFonts w:hint="eastAsia"/>
          <w:color w:val="auto"/>
          <w:sz w:val="28"/>
          <w:szCs w:val="28"/>
          <w:lang w:val="en-US" w:eastAsia="zh-CN"/>
        </w:rPr>
      </w:pPr>
      <w:r>
        <w:rPr>
          <w:rFonts w:hint="eastAsia"/>
          <w:color w:val="auto"/>
          <w:sz w:val="28"/>
          <w:szCs w:val="28"/>
          <w:lang w:val="en-US" w:eastAsia="zh-CN"/>
        </w:rPr>
        <w:t>拟建场地属亚热带，气候温暖潮湿，雨量充沛，具有春早夏长，秋雨连绵，冬暖多雾的特点，参考重庆市涪陵仁和街道气候数据。</w:t>
      </w:r>
    </w:p>
    <w:p>
      <w:pPr>
        <w:pStyle w:val="2"/>
        <w:rPr>
          <w:rFonts w:hint="eastAsia"/>
          <w:lang w:val="en-US" w:eastAsia="zh-CN"/>
        </w:rPr>
      </w:pPr>
    </w:p>
    <w:p>
      <w:pPr>
        <w:numPr>
          <w:ilvl w:val="0"/>
          <w:numId w:val="0"/>
        </w:numPr>
        <w:spacing w:line="440" w:lineRule="exact"/>
        <w:ind w:left="0" w:leftChars="0" w:firstLine="0" w:firstLineChars="0"/>
        <w:outlineLvl w:val="2"/>
        <w:rPr>
          <w:rFonts w:hint="eastAsia" w:ascii="Times New Roman" w:hAnsi="Times New Roman" w:eastAsia="宋体" w:cs="Times New Roman"/>
          <w:b/>
          <w:kern w:val="0"/>
          <w:sz w:val="28"/>
          <w:szCs w:val="21"/>
          <w:lang w:val="en-US" w:eastAsia="zh-CN" w:bidi="ar-SA"/>
        </w:rPr>
      </w:pPr>
      <w:bookmarkStart w:id="43" w:name="_Toc31671"/>
      <w:r>
        <w:rPr>
          <w:rFonts w:hint="eastAsia" w:ascii="Times New Roman" w:hAnsi="Times New Roman" w:eastAsia="宋体" w:cs="Times New Roman"/>
          <w:b/>
          <w:kern w:val="0"/>
          <w:sz w:val="28"/>
          <w:szCs w:val="21"/>
          <w:lang w:val="en-US" w:eastAsia="zh-CN" w:bidi="ar-SA"/>
        </w:rPr>
        <w:t>1.2.</w:t>
      </w:r>
      <w:r>
        <w:rPr>
          <w:rFonts w:hint="eastAsia" w:cs="Times New Roman"/>
          <w:b/>
          <w:kern w:val="0"/>
          <w:sz w:val="28"/>
          <w:szCs w:val="21"/>
          <w:lang w:val="en-US" w:eastAsia="zh-CN" w:bidi="ar-SA"/>
        </w:rPr>
        <w:t>7</w:t>
      </w:r>
      <w:r>
        <w:rPr>
          <w:rFonts w:hint="eastAsia" w:ascii="Times New Roman" w:hAnsi="Times New Roman" w:eastAsia="宋体" w:cs="Times New Roman"/>
          <w:b/>
          <w:kern w:val="0"/>
          <w:sz w:val="28"/>
          <w:szCs w:val="21"/>
          <w:lang w:val="en-US" w:eastAsia="zh-CN" w:bidi="ar-SA"/>
        </w:rPr>
        <w:t>工程地质水文条件</w:t>
      </w:r>
      <w:bookmarkEnd w:id="43"/>
    </w:p>
    <w:p>
      <w:pPr>
        <w:numPr>
          <w:ilvl w:val="0"/>
          <w:numId w:val="0"/>
        </w:numPr>
        <w:spacing w:line="440" w:lineRule="exact"/>
        <w:ind w:left="439" w:leftChars="209" w:firstLine="0" w:firstLineChars="0"/>
        <w:outlineLvl w:val="9"/>
        <w:rPr>
          <w:rFonts w:hint="eastAsia"/>
          <w:color w:val="auto"/>
          <w:sz w:val="28"/>
          <w:szCs w:val="28"/>
          <w:lang w:val="en-US" w:eastAsia="zh-CN"/>
        </w:rPr>
      </w:pPr>
      <w:r>
        <w:rPr>
          <w:rFonts w:hint="eastAsia"/>
          <w:color w:val="auto"/>
          <w:sz w:val="28"/>
          <w:szCs w:val="28"/>
          <w:lang w:val="en-US" w:eastAsia="zh-CN"/>
        </w:rPr>
        <w:t>参考地勘文件</w:t>
      </w:r>
    </w:p>
    <w:p>
      <w:pPr>
        <w:pStyle w:val="2"/>
        <w:rPr>
          <w:rFonts w:hint="eastAsia"/>
          <w:lang w:val="en-US" w:eastAsia="zh-CN"/>
        </w:rPr>
      </w:pPr>
    </w:p>
    <w:p>
      <w:pPr>
        <w:numPr>
          <w:ilvl w:val="0"/>
          <w:numId w:val="0"/>
        </w:numPr>
        <w:spacing w:line="440" w:lineRule="exact"/>
        <w:ind w:left="0" w:leftChars="0" w:firstLine="0" w:firstLineChars="0"/>
        <w:outlineLvl w:val="2"/>
        <w:rPr>
          <w:rFonts w:hint="eastAsia" w:ascii="Times New Roman" w:hAnsi="Times New Roman" w:eastAsia="宋体" w:cs="Times New Roman"/>
          <w:b/>
          <w:kern w:val="0"/>
          <w:sz w:val="28"/>
          <w:szCs w:val="21"/>
          <w:lang w:val="en-US" w:eastAsia="zh-CN" w:bidi="ar-SA"/>
        </w:rPr>
      </w:pPr>
      <w:bookmarkStart w:id="44" w:name="_Toc21445"/>
      <w:r>
        <w:rPr>
          <w:rFonts w:hint="eastAsia" w:ascii="Times New Roman" w:hAnsi="Times New Roman" w:eastAsia="宋体" w:cs="Times New Roman"/>
          <w:b/>
          <w:kern w:val="0"/>
          <w:sz w:val="28"/>
          <w:szCs w:val="21"/>
          <w:lang w:val="en-US" w:eastAsia="zh-CN" w:bidi="ar-SA"/>
        </w:rPr>
        <w:t>1.2.</w:t>
      </w:r>
      <w:r>
        <w:rPr>
          <w:rFonts w:hint="eastAsia" w:cs="Times New Roman"/>
          <w:b/>
          <w:kern w:val="0"/>
          <w:sz w:val="28"/>
          <w:szCs w:val="21"/>
          <w:lang w:val="en-US" w:eastAsia="zh-CN" w:bidi="ar-SA"/>
        </w:rPr>
        <w:t>8</w:t>
      </w:r>
      <w:r>
        <w:rPr>
          <w:rFonts w:hint="eastAsia" w:ascii="Times New Roman" w:hAnsi="Times New Roman" w:eastAsia="宋体" w:cs="Times New Roman"/>
          <w:b/>
          <w:kern w:val="0"/>
          <w:sz w:val="28"/>
          <w:szCs w:val="21"/>
          <w:lang w:val="en-US" w:eastAsia="zh-CN" w:bidi="ar-SA"/>
        </w:rPr>
        <w:t>能源介质条件</w:t>
      </w:r>
      <w:bookmarkEnd w:id="44"/>
    </w:p>
    <w:p>
      <w:pPr>
        <w:numPr>
          <w:ilvl w:val="0"/>
          <w:numId w:val="0"/>
        </w:numPr>
        <w:spacing w:line="440" w:lineRule="exact"/>
        <w:ind w:left="439" w:leftChars="209" w:firstLine="0" w:firstLineChars="0"/>
        <w:outlineLvl w:val="9"/>
        <w:rPr>
          <w:rFonts w:hint="default"/>
          <w:color w:val="FF0000"/>
          <w:sz w:val="28"/>
          <w:szCs w:val="28"/>
          <w:lang w:val="en-US" w:eastAsia="zh-CN"/>
        </w:rPr>
      </w:pPr>
      <w:r>
        <w:rPr>
          <w:rFonts w:hint="eastAsia"/>
          <w:color w:val="auto"/>
          <w:sz w:val="28"/>
          <w:szCs w:val="28"/>
          <w:lang w:val="en-US" w:eastAsia="zh-CN"/>
        </w:rPr>
        <w:t>电源条件：</w:t>
      </w:r>
      <w:r>
        <w:rPr>
          <w:rFonts w:hint="eastAsia"/>
          <w:color w:val="FF0000"/>
          <w:sz w:val="28"/>
          <w:szCs w:val="28"/>
          <w:lang w:val="en-US" w:eastAsia="zh-CN"/>
        </w:rPr>
        <w:t>自花桥220变电站取1路110kV电源。</w:t>
      </w:r>
    </w:p>
    <w:p>
      <w:pPr>
        <w:pStyle w:val="7"/>
        <w:numPr>
          <w:ilvl w:val="0"/>
          <w:numId w:val="0"/>
        </w:numPr>
        <w:rPr>
          <w:rFonts w:hint="eastAsia" w:ascii="Times New Roman" w:hAnsi="Times New Roman" w:eastAsia="宋体" w:cs="Times New Roman"/>
          <w:b/>
          <w:bCs/>
          <w:snapToGrid/>
          <w:color w:val="000000"/>
          <w:kern w:val="2"/>
          <w:sz w:val="28"/>
          <w:szCs w:val="28"/>
          <w:lang w:val="en-US" w:eastAsia="zh-CN" w:bidi="ar-SA"/>
        </w:rPr>
      </w:pPr>
      <w:bookmarkStart w:id="45" w:name="_Toc25002"/>
      <w:bookmarkStart w:id="46" w:name="_Toc226451798"/>
      <w:r>
        <w:rPr>
          <w:rFonts w:hint="eastAsia" w:ascii="Times New Roman" w:hAnsi="Times New Roman" w:eastAsia="宋体" w:cs="Times New Roman"/>
          <w:b/>
          <w:bCs/>
          <w:snapToGrid/>
          <w:color w:val="000000"/>
          <w:kern w:val="2"/>
          <w:sz w:val="28"/>
          <w:szCs w:val="28"/>
          <w:lang w:val="en-US" w:eastAsia="zh-CN" w:bidi="ar-SA"/>
        </w:rPr>
        <w:t>1.3 工作范围</w:t>
      </w:r>
      <w:bookmarkEnd w:id="45"/>
    </w:p>
    <w:p>
      <w:pPr>
        <w:pStyle w:val="6"/>
        <w:outlineLvl w:val="2"/>
        <w:rPr>
          <w:rFonts w:hint="default"/>
          <w:lang w:val="en-US" w:eastAsia="zh-CN"/>
        </w:rPr>
      </w:pPr>
      <w:bookmarkStart w:id="47" w:name="_Toc21816"/>
      <w:r>
        <w:rPr>
          <w:rFonts w:hint="eastAsia" w:cs="Times New Roman"/>
          <w:b/>
          <w:bCs/>
          <w:snapToGrid/>
          <w:color w:val="000000"/>
          <w:kern w:val="2"/>
          <w:sz w:val="28"/>
          <w:szCs w:val="28"/>
          <w:lang w:val="en-US" w:eastAsia="zh-CN" w:bidi="ar-SA"/>
        </w:rPr>
        <w:t>1.3.1范围说明</w:t>
      </w:r>
      <w:bookmarkEnd w:id="47"/>
    </w:p>
    <w:p>
      <w:pPr>
        <w:pStyle w:val="6"/>
        <w:ind w:firstLine="560" w:firstLineChars="200"/>
        <w:rPr>
          <w:rFonts w:hint="eastAsia" w:cs="Times New Roman"/>
          <w:b w:val="0"/>
          <w:snapToGrid/>
          <w:color w:val="000000"/>
          <w:kern w:val="2"/>
          <w:sz w:val="28"/>
          <w:szCs w:val="28"/>
          <w:lang w:val="en-US" w:eastAsia="zh-CN" w:bidi="ar-SA"/>
        </w:rPr>
      </w:pPr>
      <w:r>
        <w:rPr>
          <w:rFonts w:hint="eastAsia" w:cs="Times New Roman"/>
          <w:b w:val="0"/>
          <w:snapToGrid/>
          <w:color w:val="000000"/>
          <w:kern w:val="2"/>
          <w:sz w:val="28"/>
          <w:szCs w:val="28"/>
          <w:lang w:val="en-US" w:eastAsia="zh-CN" w:bidi="ar-SA"/>
        </w:rPr>
        <w:t>1、</w:t>
      </w:r>
      <w:r>
        <w:rPr>
          <w:rFonts w:hint="eastAsia" w:ascii="Times New Roman" w:hAnsi="Times New Roman" w:eastAsia="宋体" w:cs="Times New Roman"/>
          <w:b w:val="0"/>
          <w:snapToGrid/>
          <w:color w:val="000000"/>
          <w:kern w:val="2"/>
          <w:sz w:val="28"/>
          <w:szCs w:val="28"/>
          <w:lang w:val="en-US" w:eastAsia="zh-CN" w:bidi="ar-SA"/>
        </w:rPr>
        <w:t>本合同的设计范围包括工程范围、</w:t>
      </w:r>
      <w:r>
        <w:rPr>
          <w:rFonts w:hint="eastAsia" w:cs="Times New Roman"/>
          <w:b w:val="0"/>
          <w:snapToGrid/>
          <w:color w:val="000000"/>
          <w:kern w:val="2"/>
          <w:sz w:val="28"/>
          <w:szCs w:val="28"/>
          <w:lang w:val="en-US" w:eastAsia="zh-CN" w:bidi="ar-SA"/>
        </w:rPr>
        <w:t>设计</w:t>
      </w:r>
      <w:r>
        <w:rPr>
          <w:rFonts w:hint="eastAsia" w:ascii="Times New Roman" w:hAnsi="Times New Roman" w:eastAsia="宋体" w:cs="Times New Roman"/>
          <w:b w:val="0"/>
          <w:snapToGrid/>
          <w:color w:val="000000"/>
          <w:kern w:val="2"/>
          <w:sz w:val="28"/>
          <w:szCs w:val="28"/>
          <w:lang w:val="en-US" w:eastAsia="zh-CN" w:bidi="ar-SA"/>
        </w:rPr>
        <w:t>阶段范围和工作范围</w:t>
      </w:r>
      <w:r>
        <w:rPr>
          <w:rFonts w:hint="eastAsia" w:cs="Times New Roman"/>
          <w:b w:val="0"/>
          <w:snapToGrid/>
          <w:color w:val="000000"/>
          <w:kern w:val="2"/>
          <w:sz w:val="28"/>
          <w:szCs w:val="28"/>
          <w:lang w:val="en-US" w:eastAsia="zh-CN" w:bidi="ar-SA"/>
        </w:rPr>
        <w:t>。</w:t>
      </w:r>
    </w:p>
    <w:p>
      <w:pPr>
        <w:pStyle w:val="6"/>
        <w:ind w:firstLine="560" w:firstLineChars="200"/>
        <w:rPr>
          <w:rFonts w:hint="eastAsia" w:ascii="Times New Roman" w:hAnsi="Times New Roman" w:eastAsia="宋体" w:cs="Times New Roman"/>
          <w:b w:val="0"/>
          <w:snapToGrid/>
          <w:color w:val="000000"/>
          <w:kern w:val="2"/>
          <w:sz w:val="28"/>
          <w:szCs w:val="28"/>
          <w:lang w:val="en-US" w:eastAsia="zh-CN" w:bidi="ar-SA"/>
        </w:rPr>
      </w:pPr>
      <w:r>
        <w:rPr>
          <w:rFonts w:hint="eastAsia" w:cs="Times New Roman"/>
          <w:b w:val="0"/>
          <w:snapToGrid/>
          <w:color w:val="000000"/>
          <w:kern w:val="2"/>
          <w:sz w:val="28"/>
          <w:szCs w:val="28"/>
          <w:lang w:val="en-US" w:eastAsia="zh-CN" w:bidi="ar-SA"/>
        </w:rPr>
        <w:t>2、</w:t>
      </w:r>
      <w:r>
        <w:rPr>
          <w:rFonts w:hint="eastAsia" w:ascii="Times New Roman" w:hAnsi="Times New Roman" w:eastAsia="宋体" w:cs="Times New Roman"/>
          <w:b w:val="0"/>
          <w:snapToGrid/>
          <w:color w:val="000000"/>
          <w:kern w:val="2"/>
          <w:sz w:val="28"/>
          <w:szCs w:val="28"/>
          <w:lang w:val="en-US" w:eastAsia="zh-CN" w:bidi="ar-SA"/>
        </w:rPr>
        <w:t>工程范围指所设计工程的建设内容，具体范围在</w:t>
      </w:r>
      <w:r>
        <w:rPr>
          <w:rFonts w:hint="eastAsia" w:cs="Times New Roman"/>
          <w:b w:val="0"/>
          <w:snapToGrid/>
          <w:color w:val="000000"/>
          <w:kern w:val="2"/>
          <w:sz w:val="28"/>
          <w:szCs w:val="28"/>
          <w:lang w:val="en-US" w:eastAsia="zh-CN" w:bidi="ar-SA"/>
        </w:rPr>
        <w:t>技术</w:t>
      </w:r>
      <w:r>
        <w:rPr>
          <w:rFonts w:hint="eastAsia" w:ascii="Times New Roman" w:hAnsi="Times New Roman" w:eastAsia="宋体" w:cs="Times New Roman"/>
          <w:b w:val="0"/>
          <w:snapToGrid/>
          <w:color w:val="000000"/>
          <w:kern w:val="2"/>
          <w:sz w:val="28"/>
          <w:szCs w:val="28"/>
          <w:lang w:val="en-US" w:eastAsia="zh-CN" w:bidi="ar-SA"/>
        </w:rPr>
        <w:t>条款中约定。</w:t>
      </w:r>
    </w:p>
    <w:p>
      <w:pPr>
        <w:pStyle w:val="6"/>
        <w:ind w:firstLine="560" w:firstLineChars="200"/>
        <w:rPr>
          <w:rFonts w:hint="eastAsia" w:cs="Times New Roman"/>
          <w:b w:val="0"/>
          <w:snapToGrid/>
          <w:color w:val="000000"/>
          <w:kern w:val="2"/>
          <w:sz w:val="28"/>
          <w:szCs w:val="28"/>
          <w:lang w:val="en-US" w:eastAsia="zh-CN" w:bidi="ar-SA"/>
        </w:rPr>
      </w:pPr>
      <w:r>
        <w:rPr>
          <w:rFonts w:hint="eastAsia" w:cs="Times New Roman"/>
          <w:b w:val="0"/>
          <w:snapToGrid/>
          <w:color w:val="000000"/>
          <w:kern w:val="2"/>
          <w:sz w:val="28"/>
          <w:szCs w:val="28"/>
          <w:lang w:val="en-US" w:eastAsia="zh-CN" w:bidi="ar-SA"/>
        </w:rPr>
        <w:t>3、设计</w:t>
      </w:r>
      <w:r>
        <w:rPr>
          <w:rFonts w:hint="eastAsia" w:ascii="Times New Roman" w:hAnsi="Times New Roman" w:eastAsia="宋体" w:cs="Times New Roman"/>
          <w:b w:val="0"/>
          <w:snapToGrid/>
          <w:color w:val="000000"/>
          <w:kern w:val="2"/>
          <w:sz w:val="28"/>
          <w:szCs w:val="28"/>
          <w:lang w:val="en-US" w:eastAsia="zh-CN" w:bidi="ar-SA"/>
        </w:rPr>
        <w:t>阶段范围指工程建设程序中的</w:t>
      </w:r>
      <w:r>
        <w:rPr>
          <w:rFonts w:hint="eastAsia" w:ascii="Times New Roman" w:hAnsi="Times New Roman" w:eastAsia="宋体" w:cs="Times New Roman"/>
          <w:b w:val="0"/>
          <w:snapToGrid/>
          <w:color w:val="000000"/>
          <w:kern w:val="2"/>
          <w:sz w:val="28"/>
          <w:szCs w:val="28"/>
          <w:highlight w:val="yellow"/>
          <w:lang w:val="en-US" w:eastAsia="zh-CN" w:bidi="ar-SA"/>
        </w:rPr>
        <w:t>方案设计、初步设计、扩大初步设计、施工图设计</w:t>
      </w:r>
      <w:r>
        <w:rPr>
          <w:rFonts w:hint="eastAsia" w:cs="Times New Roman"/>
          <w:b w:val="0"/>
          <w:snapToGrid/>
          <w:color w:val="000000"/>
          <w:kern w:val="2"/>
          <w:sz w:val="28"/>
          <w:szCs w:val="28"/>
          <w:highlight w:val="yellow"/>
          <w:lang w:val="en-US" w:eastAsia="zh-CN" w:bidi="ar-SA"/>
        </w:rPr>
        <w:t>、竣工、维保</w:t>
      </w:r>
      <w:r>
        <w:rPr>
          <w:rFonts w:hint="eastAsia" w:ascii="Times New Roman" w:hAnsi="Times New Roman" w:eastAsia="宋体" w:cs="Times New Roman"/>
          <w:b w:val="0"/>
          <w:snapToGrid/>
          <w:color w:val="000000"/>
          <w:kern w:val="2"/>
          <w:sz w:val="28"/>
          <w:szCs w:val="28"/>
          <w:lang w:val="en-US" w:eastAsia="zh-CN" w:bidi="ar-SA"/>
        </w:rPr>
        <w:t>等阶段中的一个或者多个阶段</w:t>
      </w:r>
      <w:r>
        <w:rPr>
          <w:rFonts w:hint="eastAsia" w:cs="Times New Roman"/>
          <w:b w:val="0"/>
          <w:snapToGrid/>
          <w:color w:val="000000"/>
          <w:kern w:val="2"/>
          <w:sz w:val="28"/>
          <w:szCs w:val="28"/>
          <w:lang w:val="en-US" w:eastAsia="zh-CN" w:bidi="ar-SA"/>
        </w:rPr>
        <w:t>。</w:t>
      </w:r>
    </w:p>
    <w:p>
      <w:pPr>
        <w:pStyle w:val="6"/>
        <w:ind w:firstLine="560" w:firstLineChars="200"/>
        <w:rPr>
          <w:rFonts w:hint="eastAsia" w:ascii="Times New Roman" w:hAnsi="Times New Roman" w:eastAsia="宋体" w:cs="Times New Roman"/>
          <w:b w:val="0"/>
          <w:snapToGrid/>
          <w:color w:val="000000"/>
          <w:kern w:val="2"/>
          <w:sz w:val="28"/>
          <w:szCs w:val="28"/>
          <w:lang w:val="en-US" w:eastAsia="zh-CN" w:bidi="ar-SA"/>
        </w:rPr>
      </w:pPr>
      <w:r>
        <w:rPr>
          <w:rFonts w:hint="eastAsia" w:cs="Times New Roman"/>
          <w:b w:val="0"/>
          <w:snapToGrid/>
          <w:color w:val="000000"/>
          <w:kern w:val="2"/>
          <w:sz w:val="28"/>
          <w:szCs w:val="28"/>
          <w:lang w:val="en-US" w:eastAsia="zh-CN" w:bidi="ar-SA"/>
        </w:rPr>
        <w:t>4、</w:t>
      </w:r>
      <w:r>
        <w:rPr>
          <w:rFonts w:hint="eastAsia" w:ascii="Times New Roman" w:hAnsi="Times New Roman" w:eastAsia="宋体" w:cs="Times New Roman"/>
          <w:b w:val="0"/>
          <w:snapToGrid/>
          <w:color w:val="000000"/>
          <w:kern w:val="2"/>
          <w:sz w:val="28"/>
          <w:szCs w:val="28"/>
          <w:lang w:val="en-US" w:eastAsia="zh-CN" w:bidi="ar-SA"/>
        </w:rPr>
        <w:t>工作范围指编制设计文件、编制</w:t>
      </w:r>
      <w:r>
        <w:rPr>
          <w:rFonts w:hint="eastAsia" w:ascii="Times New Roman" w:hAnsi="Times New Roman" w:eastAsia="宋体" w:cs="Times New Roman"/>
          <w:b w:val="0"/>
          <w:snapToGrid/>
          <w:color w:val="FF0000"/>
          <w:kern w:val="2"/>
          <w:sz w:val="28"/>
          <w:szCs w:val="28"/>
          <w:lang w:val="en-US" w:eastAsia="zh-CN" w:bidi="ar-SA"/>
        </w:rPr>
        <w:t>设计概算</w:t>
      </w:r>
      <w:r>
        <w:rPr>
          <w:rFonts w:hint="eastAsia" w:ascii="Times New Roman" w:hAnsi="Times New Roman" w:eastAsia="宋体" w:cs="Times New Roman"/>
          <w:b w:val="0"/>
          <w:snapToGrid/>
          <w:color w:val="000000"/>
          <w:kern w:val="2"/>
          <w:sz w:val="28"/>
          <w:szCs w:val="28"/>
          <w:lang w:val="en-US" w:eastAsia="zh-CN" w:bidi="ar-SA"/>
        </w:rPr>
        <w:t>、提供技术交底</w:t>
      </w:r>
      <w:r>
        <w:rPr>
          <w:rFonts w:hint="eastAsia" w:cs="Times New Roman"/>
          <w:b w:val="0"/>
          <w:snapToGrid/>
          <w:color w:val="000000"/>
          <w:kern w:val="2"/>
          <w:sz w:val="28"/>
          <w:szCs w:val="28"/>
          <w:lang w:val="en-US" w:eastAsia="zh-CN" w:bidi="ar-SA"/>
        </w:rPr>
        <w:t>、专家评审</w:t>
      </w:r>
      <w:r>
        <w:rPr>
          <w:rFonts w:hint="eastAsia"/>
          <w:color w:val="auto"/>
          <w:sz w:val="28"/>
          <w:szCs w:val="28"/>
          <w:lang w:val="en-US" w:eastAsia="zh-CN"/>
        </w:rPr>
        <w:t>、咨询</w:t>
      </w:r>
      <w:r>
        <w:rPr>
          <w:rFonts w:hint="eastAsia" w:ascii="Times New Roman" w:hAnsi="Times New Roman" w:eastAsia="宋体" w:cs="Times New Roman"/>
          <w:b w:val="0"/>
          <w:snapToGrid/>
          <w:color w:val="000000"/>
          <w:kern w:val="2"/>
          <w:sz w:val="28"/>
          <w:szCs w:val="28"/>
          <w:lang w:val="en-US" w:eastAsia="zh-CN" w:bidi="ar-SA"/>
        </w:rPr>
        <w:t>、施工配合、参加试车（试运行）</w:t>
      </w:r>
      <w:r>
        <w:rPr>
          <w:rFonts w:hint="eastAsia" w:cs="Times New Roman"/>
          <w:b w:val="0"/>
          <w:snapToGrid/>
          <w:color w:val="000000"/>
          <w:kern w:val="2"/>
          <w:sz w:val="28"/>
          <w:szCs w:val="28"/>
          <w:lang w:val="en-US" w:eastAsia="zh-CN" w:bidi="ar-SA"/>
        </w:rPr>
        <w:t>、</w:t>
      </w:r>
      <w:r>
        <w:rPr>
          <w:rFonts w:hint="eastAsia"/>
          <w:color w:val="auto"/>
          <w:sz w:val="28"/>
          <w:szCs w:val="28"/>
          <w:lang w:val="en-US" w:eastAsia="zh-CN"/>
        </w:rPr>
        <w:t>试验检测</w:t>
      </w:r>
      <w:r>
        <w:rPr>
          <w:rFonts w:hint="eastAsia" w:ascii="Times New Roman" w:hAnsi="Times New Roman" w:eastAsia="宋体" w:cs="Times New Roman"/>
          <w:b w:val="0"/>
          <w:snapToGrid/>
          <w:color w:val="000000"/>
          <w:kern w:val="2"/>
          <w:sz w:val="28"/>
          <w:szCs w:val="28"/>
          <w:lang w:val="en-US" w:eastAsia="zh-CN" w:bidi="ar-SA"/>
        </w:rPr>
        <w:t>、编制竣工图、竣工验收</w:t>
      </w:r>
      <w:r>
        <w:rPr>
          <w:rFonts w:hint="eastAsia" w:cs="Times New Roman"/>
          <w:b w:val="0"/>
          <w:snapToGrid/>
          <w:color w:val="000000"/>
          <w:kern w:val="2"/>
          <w:sz w:val="28"/>
          <w:szCs w:val="28"/>
          <w:lang w:val="en-US" w:eastAsia="zh-CN" w:bidi="ar-SA"/>
        </w:rPr>
        <w:t>、资料汇总</w:t>
      </w:r>
      <w:r>
        <w:rPr>
          <w:rFonts w:hint="eastAsia" w:ascii="Times New Roman" w:hAnsi="Times New Roman" w:eastAsia="宋体" w:cs="Times New Roman"/>
          <w:b w:val="0"/>
          <w:snapToGrid/>
          <w:color w:val="000000"/>
          <w:kern w:val="2"/>
          <w:sz w:val="28"/>
          <w:szCs w:val="28"/>
          <w:lang w:val="en-US" w:eastAsia="zh-CN" w:bidi="ar-SA"/>
        </w:rPr>
        <w:t>和发包人委托的其他服务中的一项或者多项工作</w:t>
      </w:r>
      <w:r>
        <w:rPr>
          <w:rFonts w:hint="eastAsia" w:cs="Times New Roman"/>
          <w:b w:val="0"/>
          <w:snapToGrid/>
          <w:color w:val="000000"/>
          <w:kern w:val="2"/>
          <w:sz w:val="28"/>
          <w:szCs w:val="28"/>
          <w:lang w:val="en-US" w:eastAsia="zh-CN" w:bidi="ar-SA"/>
        </w:rPr>
        <w:t>，具体范围在技术条款中约定。</w:t>
      </w:r>
    </w:p>
    <w:p>
      <w:pPr>
        <w:pStyle w:val="8"/>
        <w:rPr>
          <w:rFonts w:hint="default" w:eastAsia="宋体"/>
          <w:sz w:val="28"/>
          <w:szCs w:val="21"/>
          <w:lang w:val="en-US" w:eastAsia="zh-CN"/>
        </w:rPr>
      </w:pPr>
      <w:bookmarkStart w:id="48" w:name="_Toc17545"/>
      <w:r>
        <w:rPr>
          <w:rFonts w:hint="eastAsia"/>
          <w:sz w:val="28"/>
          <w:szCs w:val="21"/>
        </w:rPr>
        <w:t>1.3.</w:t>
      </w:r>
      <w:r>
        <w:rPr>
          <w:rFonts w:hint="eastAsia"/>
          <w:sz w:val="28"/>
          <w:szCs w:val="21"/>
          <w:lang w:val="en-US" w:eastAsia="zh-CN"/>
        </w:rPr>
        <w:t>2</w:t>
      </w:r>
      <w:r>
        <w:rPr>
          <w:rFonts w:hint="eastAsia"/>
          <w:sz w:val="28"/>
          <w:szCs w:val="21"/>
        </w:rPr>
        <w:t xml:space="preserve"> </w:t>
      </w:r>
      <w:r>
        <w:rPr>
          <w:rFonts w:hint="eastAsia"/>
          <w:sz w:val="28"/>
          <w:szCs w:val="21"/>
          <w:lang w:val="en-US" w:eastAsia="zh-CN"/>
        </w:rPr>
        <w:t>工程范围</w:t>
      </w:r>
      <w:bookmarkEnd w:id="48"/>
    </w:p>
    <w:p>
      <w:pPr>
        <w:spacing w:line="360" w:lineRule="auto"/>
        <w:ind w:firstLine="562" w:firstLineChars="200"/>
        <w:rPr>
          <w:rFonts w:hint="eastAsia" w:eastAsia="宋体"/>
          <w:b/>
          <w:bCs w:val="0"/>
          <w:color w:val="000000"/>
          <w:sz w:val="28"/>
          <w:szCs w:val="28"/>
          <w:lang w:val="en-US" w:eastAsia="zh-CN"/>
        </w:rPr>
      </w:pPr>
      <w:r>
        <w:rPr>
          <w:rFonts w:hint="eastAsia"/>
          <w:b/>
          <w:bCs w:val="0"/>
          <w:color w:val="000000"/>
          <w:sz w:val="28"/>
          <w:szCs w:val="28"/>
          <w:lang w:val="en-US" w:eastAsia="zh-CN"/>
        </w:rPr>
        <w:t>1、</w:t>
      </w:r>
      <w:r>
        <w:rPr>
          <w:rFonts w:hint="eastAsia"/>
          <w:b/>
          <w:bCs w:val="0"/>
          <w:color w:val="000000"/>
          <w:sz w:val="28"/>
          <w:szCs w:val="28"/>
        </w:rPr>
        <w:t>勘察</w:t>
      </w:r>
    </w:p>
    <w:p>
      <w:pPr>
        <w:spacing w:line="360" w:lineRule="auto"/>
        <w:ind w:firstLine="560" w:firstLineChars="200"/>
        <w:rPr>
          <w:color w:val="000000"/>
          <w:sz w:val="28"/>
          <w:szCs w:val="28"/>
        </w:rPr>
      </w:pPr>
      <w:r>
        <w:rPr>
          <w:rFonts w:hint="eastAsia"/>
          <w:color w:val="000000"/>
          <w:sz w:val="28"/>
          <w:szCs w:val="28"/>
          <w:lang w:eastAsia="zh-CN"/>
        </w:rPr>
        <w:t>（</w:t>
      </w:r>
      <w:r>
        <w:rPr>
          <w:rFonts w:hint="eastAsia"/>
          <w:color w:val="000000"/>
          <w:sz w:val="28"/>
          <w:szCs w:val="28"/>
          <w:lang w:val="en-US" w:eastAsia="zh-CN"/>
        </w:rPr>
        <w:t>1</w:t>
      </w:r>
      <w:r>
        <w:rPr>
          <w:rFonts w:hint="eastAsia"/>
          <w:color w:val="000000"/>
          <w:sz w:val="28"/>
          <w:szCs w:val="28"/>
          <w:lang w:eastAsia="zh-CN"/>
        </w:rPr>
        <w:t>）</w:t>
      </w:r>
      <w:r>
        <w:rPr>
          <w:rFonts w:hint="eastAsia"/>
          <w:color w:val="auto"/>
          <w:sz w:val="28"/>
          <w:szCs w:val="28"/>
        </w:rPr>
        <w:t>变电站部分的</w:t>
      </w:r>
      <w:r>
        <w:rPr>
          <w:rFonts w:hint="eastAsia"/>
          <w:color w:val="auto"/>
          <w:sz w:val="28"/>
          <w:szCs w:val="28"/>
          <w:lang w:val="en-US" w:eastAsia="zh-CN"/>
        </w:rPr>
        <w:t>环境影响勘察、岩土勘察等包含在本</w:t>
      </w:r>
      <w:r>
        <w:rPr>
          <w:rFonts w:hint="eastAsia"/>
          <w:color w:val="auto"/>
          <w:sz w:val="28"/>
          <w:szCs w:val="28"/>
        </w:rPr>
        <w:t>合同内，</w:t>
      </w:r>
      <w:r>
        <w:rPr>
          <w:rFonts w:hint="eastAsia"/>
          <w:color w:val="auto"/>
          <w:sz w:val="28"/>
          <w:szCs w:val="28"/>
          <w:lang w:eastAsia="zh-CN"/>
        </w:rPr>
        <w:t>投标单位</w:t>
      </w:r>
      <w:r>
        <w:rPr>
          <w:rFonts w:hint="eastAsia"/>
          <w:color w:val="auto"/>
          <w:sz w:val="28"/>
          <w:szCs w:val="28"/>
        </w:rPr>
        <w:t>可根据招标文件提供的勘察成果进行设计</w:t>
      </w:r>
      <w:r>
        <w:rPr>
          <w:rFonts w:hint="eastAsia"/>
          <w:color w:val="auto"/>
          <w:sz w:val="28"/>
          <w:szCs w:val="28"/>
          <w:lang w:eastAsia="zh-CN"/>
        </w:rPr>
        <w:t>，</w:t>
      </w:r>
      <w:r>
        <w:rPr>
          <w:rFonts w:hint="eastAsia"/>
          <w:color w:val="auto"/>
          <w:sz w:val="28"/>
          <w:szCs w:val="28"/>
          <w:lang w:val="en-US" w:eastAsia="zh-CN"/>
        </w:rPr>
        <w:t>招标文件中地勘资料、能评及环评等未提及部分、不全面、有错误或缺失其他报告文件的，投标单位应自行勘察，并出具变电站必要的报告</w:t>
      </w:r>
      <w:r>
        <w:rPr>
          <w:rFonts w:hint="eastAsia"/>
          <w:color w:val="auto"/>
          <w:sz w:val="28"/>
          <w:szCs w:val="28"/>
        </w:rPr>
        <w:t>。</w:t>
      </w:r>
    </w:p>
    <w:p>
      <w:pPr>
        <w:spacing w:line="360" w:lineRule="auto"/>
        <w:ind w:firstLine="560" w:firstLineChars="200"/>
        <w:rPr>
          <w:color w:val="000000"/>
          <w:sz w:val="28"/>
          <w:szCs w:val="28"/>
        </w:rPr>
      </w:pPr>
      <w:r>
        <w:rPr>
          <w:rFonts w:hint="eastAsia"/>
          <w:color w:val="auto"/>
          <w:sz w:val="28"/>
          <w:szCs w:val="28"/>
          <w:lang w:val="en-US" w:eastAsia="zh-CN"/>
        </w:rPr>
        <w:t>（2）出具可行性研究报告文件</w:t>
      </w:r>
      <w:r>
        <w:rPr>
          <w:rFonts w:hint="eastAsia"/>
          <w:color w:val="auto"/>
          <w:sz w:val="28"/>
          <w:szCs w:val="28"/>
        </w:rPr>
        <w:t>。</w:t>
      </w:r>
    </w:p>
    <w:p>
      <w:pPr>
        <w:spacing w:line="360" w:lineRule="auto"/>
        <w:ind w:firstLine="560" w:firstLineChars="200"/>
        <w:rPr>
          <w:rFonts w:hint="eastAsia"/>
          <w:color w:val="000000"/>
          <w:sz w:val="28"/>
          <w:szCs w:val="28"/>
        </w:rPr>
      </w:pPr>
      <w:r>
        <w:rPr>
          <w:rFonts w:hint="eastAsia"/>
          <w:color w:val="000000"/>
          <w:sz w:val="28"/>
          <w:szCs w:val="28"/>
          <w:lang w:val="en-US" w:eastAsia="zh-CN"/>
        </w:rPr>
        <w:t>（3）</w:t>
      </w:r>
      <w:r>
        <w:rPr>
          <w:rFonts w:hint="eastAsia"/>
          <w:color w:val="000000"/>
          <w:sz w:val="28"/>
          <w:szCs w:val="28"/>
        </w:rPr>
        <w:t>负责110kV</w:t>
      </w:r>
      <w:r>
        <w:rPr>
          <w:rFonts w:hint="eastAsia"/>
          <w:color w:val="000000"/>
          <w:sz w:val="28"/>
          <w:szCs w:val="28"/>
          <w:lang w:val="en-US" w:eastAsia="zh-CN"/>
        </w:rPr>
        <w:t>站内设备</w:t>
      </w:r>
      <w:r>
        <w:rPr>
          <w:rFonts w:hint="eastAsia"/>
          <w:color w:val="000000"/>
          <w:sz w:val="28"/>
          <w:szCs w:val="28"/>
        </w:rPr>
        <w:t>及</w:t>
      </w:r>
      <w:r>
        <w:rPr>
          <w:rFonts w:hint="eastAsia"/>
          <w:color w:val="000000"/>
          <w:sz w:val="28"/>
          <w:szCs w:val="28"/>
          <w:lang w:val="en-US" w:eastAsia="zh-CN"/>
        </w:rPr>
        <w:t>上下</w:t>
      </w:r>
      <w:r>
        <w:rPr>
          <w:rFonts w:hint="eastAsia"/>
          <w:color w:val="000000"/>
          <w:sz w:val="28"/>
          <w:szCs w:val="28"/>
        </w:rPr>
        <w:t>级</w:t>
      </w:r>
      <w:r>
        <w:rPr>
          <w:rFonts w:hint="eastAsia"/>
          <w:color w:val="000000"/>
          <w:sz w:val="28"/>
          <w:szCs w:val="28"/>
          <w:lang w:val="en-US" w:eastAsia="zh-CN"/>
        </w:rPr>
        <w:t>变电站站端勘察，包括但不限于对侧站的线路保护、继电保护、调度通信系统、自动化系统、远动系统、电能计量装置及电能量远方终端、网络接入设备、安全评估和等保测评等</w:t>
      </w:r>
      <w:r>
        <w:rPr>
          <w:rFonts w:hint="eastAsia"/>
          <w:color w:val="000000"/>
          <w:sz w:val="28"/>
          <w:szCs w:val="28"/>
        </w:rPr>
        <w:t>。</w:t>
      </w:r>
    </w:p>
    <w:p>
      <w:pPr>
        <w:pStyle w:val="2"/>
        <w:ind w:left="0" w:leftChars="0" w:firstLine="560" w:firstLineChars="200"/>
        <w:rPr>
          <w:rFonts w:hint="default" w:eastAsia="宋体"/>
          <w:color w:val="auto"/>
          <w:lang w:val="en-US" w:eastAsia="zh-CN"/>
        </w:rPr>
      </w:pPr>
      <w:r>
        <w:rPr>
          <w:rFonts w:hint="eastAsia"/>
          <w:color w:val="auto"/>
          <w:sz w:val="28"/>
          <w:szCs w:val="28"/>
          <w:lang w:eastAsia="zh-CN"/>
        </w:rPr>
        <w:t>（</w:t>
      </w:r>
      <w:r>
        <w:rPr>
          <w:rFonts w:hint="eastAsia"/>
          <w:color w:val="auto"/>
          <w:sz w:val="28"/>
          <w:szCs w:val="28"/>
          <w:lang w:val="en-US" w:eastAsia="zh-CN"/>
        </w:rPr>
        <w:t>4</w:t>
      </w:r>
      <w:r>
        <w:rPr>
          <w:rFonts w:hint="eastAsia"/>
          <w:color w:val="auto"/>
          <w:sz w:val="28"/>
          <w:szCs w:val="28"/>
          <w:lang w:eastAsia="zh-CN"/>
        </w:rPr>
        <w:t>）</w:t>
      </w:r>
      <w:r>
        <w:rPr>
          <w:rFonts w:hint="eastAsia"/>
          <w:color w:val="auto"/>
          <w:sz w:val="28"/>
          <w:szCs w:val="28"/>
          <w:lang w:val="en-US" w:eastAsia="zh-CN"/>
        </w:rPr>
        <w:t>勘察本厂区农业初加工用电，负责初加工用电图审工作。</w:t>
      </w:r>
    </w:p>
    <w:p>
      <w:pPr>
        <w:pStyle w:val="2"/>
        <w:ind w:left="0" w:leftChars="0" w:firstLine="560" w:firstLineChars="200"/>
        <w:rPr>
          <w:rFonts w:hint="default"/>
          <w:color w:val="000000"/>
          <w:sz w:val="28"/>
          <w:szCs w:val="28"/>
          <w:lang w:val="en-US" w:eastAsia="zh-CN"/>
        </w:rPr>
      </w:pPr>
      <w:r>
        <w:rPr>
          <w:rFonts w:hint="eastAsia"/>
          <w:color w:val="000000"/>
          <w:sz w:val="28"/>
          <w:szCs w:val="28"/>
          <w:lang w:val="en-US" w:eastAsia="zh-CN"/>
        </w:rPr>
        <w:t>（5）出具接入报告，包括负责接入上级变电站系统设计、电力部门计量分界等工作。</w:t>
      </w:r>
    </w:p>
    <w:p>
      <w:pPr>
        <w:spacing w:line="360" w:lineRule="auto"/>
        <w:ind w:firstLine="562" w:firstLineChars="200"/>
        <w:rPr>
          <w:rFonts w:hint="eastAsia"/>
          <w:b/>
          <w:color w:val="000000"/>
          <w:sz w:val="28"/>
          <w:szCs w:val="28"/>
          <w:lang w:val="en-US" w:eastAsia="zh-CN"/>
        </w:rPr>
      </w:pPr>
      <w:r>
        <w:rPr>
          <w:rFonts w:hint="eastAsia"/>
          <w:b/>
          <w:color w:val="000000"/>
          <w:sz w:val="28"/>
          <w:szCs w:val="28"/>
          <w:lang w:val="en-US" w:eastAsia="zh-CN"/>
        </w:rPr>
        <w:t>2</w:t>
      </w:r>
      <w:r>
        <w:rPr>
          <w:rFonts w:hint="eastAsia"/>
          <w:b/>
          <w:color w:val="000000"/>
          <w:sz w:val="28"/>
          <w:szCs w:val="28"/>
        </w:rPr>
        <w:t>、</w:t>
      </w:r>
      <w:r>
        <w:rPr>
          <w:rFonts w:hint="eastAsia"/>
          <w:b/>
          <w:color w:val="000000"/>
          <w:sz w:val="28"/>
          <w:szCs w:val="28"/>
          <w:lang w:val="en-US" w:eastAsia="zh-CN"/>
        </w:rPr>
        <w:t>设计</w:t>
      </w:r>
    </w:p>
    <w:p>
      <w:pPr>
        <w:spacing w:line="360" w:lineRule="auto"/>
        <w:ind w:firstLine="560" w:firstLineChars="200"/>
        <w:rPr>
          <w:rFonts w:hint="default"/>
          <w:color w:val="000000"/>
          <w:sz w:val="28"/>
          <w:szCs w:val="28"/>
          <w:lang w:val="en-US" w:eastAsia="zh-CN"/>
        </w:rPr>
      </w:pPr>
      <w:r>
        <w:rPr>
          <w:rFonts w:hint="eastAsia"/>
          <w:color w:val="000000"/>
          <w:sz w:val="28"/>
          <w:szCs w:val="28"/>
          <w:lang w:val="en-US" w:eastAsia="zh-CN"/>
        </w:rPr>
        <w:t>（1）按照相关规程、规范和规定，完成变电站全部生产及辅助生产设施、附属设施设计，</w:t>
      </w:r>
      <w:r>
        <w:rPr>
          <w:rFonts w:hint="default"/>
          <w:color w:val="000000"/>
          <w:sz w:val="28"/>
          <w:szCs w:val="28"/>
          <w:lang w:val="en-US" w:eastAsia="zh-CN"/>
        </w:rPr>
        <w:t>包括</w:t>
      </w:r>
      <w:r>
        <w:rPr>
          <w:rFonts w:hint="eastAsia"/>
          <w:color w:val="000000"/>
          <w:sz w:val="28"/>
          <w:szCs w:val="28"/>
          <w:lang w:val="en-US" w:eastAsia="zh-CN"/>
        </w:rPr>
        <w:t>但不仅限于110kv线缆、变电站电气一次</w:t>
      </w:r>
      <w:r>
        <w:rPr>
          <w:rFonts w:hint="default"/>
          <w:color w:val="000000"/>
          <w:sz w:val="28"/>
          <w:szCs w:val="28"/>
          <w:lang w:val="en-US" w:eastAsia="zh-CN"/>
        </w:rPr>
        <w:t>系统、</w:t>
      </w:r>
      <w:r>
        <w:rPr>
          <w:rFonts w:hint="eastAsia"/>
          <w:color w:val="000000"/>
          <w:sz w:val="28"/>
          <w:szCs w:val="28"/>
          <w:lang w:val="en-US" w:eastAsia="zh-CN"/>
        </w:rPr>
        <w:t>二次系统、</w:t>
      </w:r>
      <w:r>
        <w:rPr>
          <w:rFonts w:hint="default"/>
          <w:color w:val="000000"/>
          <w:sz w:val="28"/>
          <w:szCs w:val="28"/>
          <w:lang w:val="en-US" w:eastAsia="zh-CN"/>
        </w:rPr>
        <w:t>土建</w:t>
      </w:r>
      <w:r>
        <w:rPr>
          <w:rFonts w:hint="eastAsia"/>
          <w:color w:val="000000"/>
          <w:sz w:val="28"/>
          <w:szCs w:val="28"/>
          <w:lang w:val="en-US" w:eastAsia="zh-CN"/>
        </w:rPr>
        <w:t>、站内道路</w:t>
      </w:r>
      <w:r>
        <w:rPr>
          <w:rFonts w:hint="default"/>
          <w:color w:val="000000"/>
          <w:sz w:val="28"/>
          <w:szCs w:val="28"/>
          <w:lang w:val="en-US" w:eastAsia="zh-CN"/>
        </w:rPr>
        <w:t>、</w:t>
      </w:r>
      <w:r>
        <w:rPr>
          <w:rFonts w:hint="eastAsia"/>
          <w:color w:val="000000"/>
          <w:sz w:val="28"/>
          <w:szCs w:val="28"/>
          <w:lang w:val="en-US" w:eastAsia="zh-CN"/>
        </w:rPr>
        <w:t>暖通、给排水、消防、弱电、照明、装饰装修、环境保护、节能</w:t>
      </w:r>
      <w:r>
        <w:rPr>
          <w:rFonts w:hint="default"/>
          <w:color w:val="000000"/>
          <w:sz w:val="28"/>
          <w:szCs w:val="28"/>
          <w:lang w:val="en-US" w:eastAsia="zh-CN"/>
        </w:rPr>
        <w:t>设计</w:t>
      </w:r>
      <w:r>
        <w:rPr>
          <w:rFonts w:hint="eastAsia"/>
          <w:color w:val="000000"/>
          <w:sz w:val="28"/>
          <w:szCs w:val="28"/>
          <w:lang w:val="en-US" w:eastAsia="zh-CN"/>
        </w:rPr>
        <w:t>、绿化、绿色建筑、</w:t>
      </w:r>
      <w:r>
        <w:rPr>
          <w:rFonts w:hint="eastAsia"/>
          <w:color w:val="FF0000"/>
          <w:sz w:val="28"/>
          <w:szCs w:val="28"/>
          <w:lang w:val="en-US" w:eastAsia="zh-CN"/>
        </w:rPr>
        <w:t>BIM模型</w:t>
      </w:r>
      <w:r>
        <w:rPr>
          <w:rFonts w:hint="eastAsia"/>
          <w:color w:val="000000"/>
          <w:sz w:val="28"/>
          <w:szCs w:val="28"/>
          <w:lang w:val="en-US" w:eastAsia="zh-CN"/>
        </w:rPr>
        <w:t>、环境、室内外综合管网、站内道路及本项目的所有附属配套工程设计。具体参考第四章附表</w:t>
      </w:r>
      <w:r>
        <w:rPr>
          <w:rFonts w:hint="default"/>
          <w:color w:val="000000"/>
          <w:sz w:val="28"/>
          <w:szCs w:val="28"/>
          <w:lang w:val="en-US" w:eastAsia="zh-CN"/>
        </w:rPr>
        <w:t>。</w:t>
      </w:r>
    </w:p>
    <w:p>
      <w:pPr>
        <w:pStyle w:val="2"/>
        <w:ind w:left="0" w:leftChars="0" w:firstLine="560" w:firstLineChars="200"/>
        <w:rPr>
          <w:rFonts w:hint="eastAsia"/>
          <w:highlight w:val="yellow"/>
          <w:lang w:val="en-US" w:eastAsia="zh-CN"/>
        </w:rPr>
      </w:pPr>
      <w:bookmarkStart w:id="220" w:name="_GoBack"/>
      <w:r>
        <w:rPr>
          <w:rFonts w:hint="eastAsia"/>
          <w:color w:val="000000"/>
          <w:sz w:val="28"/>
          <w:szCs w:val="28"/>
          <w:highlight w:val="yellow"/>
          <w:lang w:val="en-US" w:eastAsia="zh-CN"/>
        </w:rPr>
        <w:t>（2）站内所有设施设备的布置方案；根据原有土建框架设计，拟定变电站土建设计</w:t>
      </w:r>
      <w:r>
        <w:rPr>
          <w:rFonts w:hint="default"/>
          <w:color w:val="000000"/>
          <w:sz w:val="28"/>
          <w:szCs w:val="28"/>
          <w:highlight w:val="yellow"/>
          <w:lang w:val="en-US" w:eastAsia="zh-CN"/>
        </w:rPr>
        <w:t>。</w:t>
      </w:r>
    </w:p>
    <w:bookmarkEnd w:id="220"/>
    <w:p>
      <w:pPr>
        <w:pStyle w:val="2"/>
        <w:ind w:left="0" w:leftChars="0" w:firstLine="560" w:firstLineChars="200"/>
        <w:rPr>
          <w:rFonts w:hint="default"/>
          <w:color w:val="000000"/>
          <w:sz w:val="28"/>
          <w:szCs w:val="28"/>
          <w:lang w:val="en-US" w:eastAsia="zh-CN"/>
        </w:rPr>
      </w:pPr>
      <w:r>
        <w:rPr>
          <w:rFonts w:hint="eastAsia"/>
          <w:color w:val="000000"/>
          <w:sz w:val="28"/>
          <w:szCs w:val="28"/>
          <w:lang w:val="en-US" w:eastAsia="zh-CN"/>
        </w:rPr>
        <w:t>（3）</w:t>
      </w:r>
      <w:r>
        <w:rPr>
          <w:rFonts w:hint="default"/>
          <w:color w:val="000000"/>
          <w:sz w:val="28"/>
          <w:szCs w:val="28"/>
          <w:lang w:val="en-US" w:eastAsia="zh-CN"/>
        </w:rPr>
        <w:t>本变电站与</w:t>
      </w:r>
      <w:r>
        <w:rPr>
          <w:rFonts w:hint="eastAsia"/>
          <w:color w:val="000000"/>
          <w:sz w:val="28"/>
          <w:szCs w:val="28"/>
          <w:lang w:val="en-US" w:eastAsia="zh-CN"/>
        </w:rPr>
        <w:t>上级</w:t>
      </w:r>
      <w:r>
        <w:rPr>
          <w:rFonts w:hint="default"/>
          <w:color w:val="000000"/>
          <w:sz w:val="28"/>
          <w:szCs w:val="28"/>
          <w:lang w:val="en-US" w:eastAsia="zh-CN"/>
        </w:rPr>
        <w:t>变电站所涉及到的接入系统、通信系统等方案</w:t>
      </w:r>
      <w:r>
        <w:rPr>
          <w:rFonts w:hint="eastAsia"/>
          <w:color w:val="000000"/>
          <w:sz w:val="28"/>
          <w:szCs w:val="28"/>
          <w:lang w:val="en-US" w:eastAsia="zh-CN"/>
        </w:rPr>
        <w:t>、调度系统方案</w:t>
      </w:r>
      <w:r>
        <w:rPr>
          <w:rFonts w:hint="default"/>
          <w:color w:val="000000"/>
          <w:sz w:val="28"/>
          <w:szCs w:val="28"/>
          <w:lang w:val="en-US" w:eastAsia="zh-CN"/>
        </w:rPr>
        <w:t>、</w:t>
      </w:r>
      <w:r>
        <w:rPr>
          <w:rFonts w:hint="eastAsia"/>
          <w:color w:val="000000"/>
          <w:sz w:val="28"/>
          <w:szCs w:val="28"/>
          <w:lang w:val="en-US" w:eastAsia="zh-CN"/>
        </w:rPr>
        <w:t>综保、计量、整定值等设计</w:t>
      </w:r>
      <w:r>
        <w:rPr>
          <w:rFonts w:hint="default"/>
          <w:color w:val="000000"/>
          <w:sz w:val="28"/>
          <w:szCs w:val="28"/>
          <w:lang w:val="en-US" w:eastAsia="zh-CN"/>
        </w:rPr>
        <w:t>；</w:t>
      </w:r>
    </w:p>
    <w:p>
      <w:pPr>
        <w:spacing w:line="360" w:lineRule="auto"/>
        <w:ind w:firstLine="560" w:firstLineChars="200"/>
        <w:rPr>
          <w:rFonts w:hint="eastAsia"/>
          <w:color w:val="auto"/>
          <w:sz w:val="28"/>
          <w:szCs w:val="28"/>
          <w:lang w:val="en-US" w:eastAsia="zh-CN"/>
        </w:rPr>
      </w:pPr>
      <w:r>
        <w:rPr>
          <w:rFonts w:hint="eastAsia"/>
          <w:color w:val="auto"/>
          <w:sz w:val="28"/>
          <w:szCs w:val="28"/>
          <w:lang w:val="en-US" w:eastAsia="zh-CN"/>
        </w:rPr>
        <w:t>（4）设计本站至供电公司铁塔处的外线敷设方案设计；</w:t>
      </w:r>
    </w:p>
    <w:p>
      <w:pPr>
        <w:pStyle w:val="2"/>
        <w:ind w:left="0" w:leftChars="0" w:firstLine="560" w:firstLineChars="200"/>
        <w:rPr>
          <w:rFonts w:hint="default"/>
          <w:color w:val="auto"/>
          <w:lang w:val="en-US" w:eastAsia="zh-CN"/>
        </w:rPr>
      </w:pPr>
      <w:r>
        <w:rPr>
          <w:rFonts w:hint="eastAsia"/>
          <w:color w:val="auto"/>
          <w:sz w:val="28"/>
          <w:szCs w:val="28"/>
          <w:lang w:val="en-US" w:eastAsia="zh-CN"/>
        </w:rPr>
        <w:t>（5）规划设计中低压农业粗加工间隔及计量，并通过电力部门设计容量图审工作；</w:t>
      </w:r>
    </w:p>
    <w:p>
      <w:pPr>
        <w:spacing w:line="360" w:lineRule="auto"/>
        <w:ind w:firstLine="560" w:firstLineChars="200"/>
        <w:rPr>
          <w:rFonts w:hint="eastAsia"/>
          <w:color w:val="000000"/>
          <w:sz w:val="28"/>
          <w:szCs w:val="28"/>
          <w:lang w:val="en-US" w:eastAsia="zh-CN"/>
        </w:rPr>
      </w:pPr>
      <w:r>
        <w:rPr>
          <w:rFonts w:hint="eastAsia"/>
          <w:color w:val="000000"/>
          <w:sz w:val="28"/>
          <w:szCs w:val="28"/>
          <w:lang w:val="en-US" w:eastAsia="zh-CN"/>
        </w:rPr>
        <w:t>（6）满足供电答复函/供电方案的要求的必要设计。</w:t>
      </w:r>
    </w:p>
    <w:p>
      <w:pPr>
        <w:pStyle w:val="8"/>
        <w:rPr>
          <w:rFonts w:hint="eastAsia"/>
          <w:sz w:val="28"/>
          <w:szCs w:val="21"/>
          <w:lang w:val="en-US" w:eastAsia="zh-CN"/>
        </w:rPr>
      </w:pPr>
      <w:bookmarkStart w:id="49" w:name="_Toc29594"/>
      <w:r>
        <w:rPr>
          <w:rFonts w:hint="eastAsia"/>
          <w:sz w:val="28"/>
          <w:szCs w:val="21"/>
          <w:lang w:val="en-US" w:eastAsia="zh-CN"/>
        </w:rPr>
        <w:t>1.3.3工作范围</w:t>
      </w:r>
      <w:bookmarkEnd w:id="49"/>
    </w:p>
    <w:p>
      <w:pPr>
        <w:pStyle w:val="6"/>
        <w:numPr>
          <w:ilvl w:val="0"/>
          <w:numId w:val="0"/>
        </w:numPr>
        <w:ind w:firstLine="560" w:firstLineChars="200"/>
        <w:rPr>
          <w:rFonts w:hint="eastAsia"/>
          <w:sz w:val="28"/>
          <w:szCs w:val="21"/>
          <w:lang w:val="en-US" w:eastAsia="zh-CN"/>
        </w:rPr>
      </w:pPr>
      <w:r>
        <w:rPr>
          <w:rFonts w:hint="eastAsia"/>
          <w:sz w:val="28"/>
          <w:szCs w:val="21"/>
          <w:lang w:val="en-US" w:eastAsia="zh-CN"/>
        </w:rPr>
        <w:t>1、法律规定和技术文件约定及设计阶段范围过程中变更导致的，需办理的工程建设项目必须履行的各类审批、变更、核准或备案手续，投标单位应负责提供相关文件，以满足要求。</w:t>
      </w:r>
    </w:p>
    <w:p>
      <w:pPr>
        <w:pStyle w:val="6"/>
        <w:numPr>
          <w:ilvl w:val="0"/>
          <w:numId w:val="0"/>
        </w:numPr>
        <w:ind w:firstLine="560" w:firstLineChars="200"/>
        <w:rPr>
          <w:rFonts w:hint="eastAsia"/>
          <w:sz w:val="28"/>
          <w:szCs w:val="21"/>
          <w:lang w:val="en-US" w:eastAsia="zh-CN"/>
        </w:rPr>
      </w:pPr>
      <w:r>
        <w:rPr>
          <w:rFonts w:hint="eastAsia"/>
          <w:sz w:val="28"/>
          <w:szCs w:val="21"/>
          <w:lang w:val="en-US" w:eastAsia="zh-CN"/>
        </w:rPr>
        <w:t>2、在设计阶段范围期间，根据招标方要求，负责与规划等审批部门部门、电力公司等相关职能部门的协调工作，并取得电力及相关部门必要的审批/批复文件。</w:t>
      </w:r>
    </w:p>
    <w:p>
      <w:pPr>
        <w:pStyle w:val="6"/>
        <w:numPr>
          <w:ilvl w:val="0"/>
          <w:numId w:val="0"/>
        </w:numPr>
        <w:ind w:firstLine="560" w:firstLineChars="200"/>
        <w:rPr>
          <w:rFonts w:hint="default"/>
          <w:sz w:val="28"/>
          <w:szCs w:val="21"/>
          <w:lang w:val="en-US" w:eastAsia="zh-CN"/>
        </w:rPr>
      </w:pPr>
      <w:r>
        <w:rPr>
          <w:rFonts w:hint="eastAsia"/>
          <w:sz w:val="28"/>
          <w:szCs w:val="21"/>
          <w:lang w:val="en-US" w:eastAsia="zh-CN"/>
        </w:rPr>
        <w:t>3、</w:t>
      </w:r>
      <w:r>
        <w:rPr>
          <w:rFonts w:hint="default"/>
          <w:sz w:val="28"/>
          <w:szCs w:val="21"/>
          <w:lang w:val="en-US" w:eastAsia="zh-CN"/>
        </w:rPr>
        <w:t>在工程实施过程中根据</w:t>
      </w:r>
      <w:r>
        <w:rPr>
          <w:rFonts w:hint="eastAsia"/>
          <w:sz w:val="28"/>
          <w:szCs w:val="21"/>
          <w:lang w:val="en-US" w:eastAsia="zh-CN"/>
        </w:rPr>
        <w:t>招标方</w:t>
      </w:r>
      <w:r>
        <w:rPr>
          <w:rFonts w:hint="default"/>
          <w:sz w:val="28"/>
          <w:szCs w:val="21"/>
          <w:lang w:val="en-US" w:eastAsia="zh-CN"/>
        </w:rPr>
        <w:t>要求提供补充设计</w:t>
      </w:r>
      <w:r>
        <w:rPr>
          <w:rFonts w:hint="eastAsia"/>
          <w:sz w:val="28"/>
          <w:szCs w:val="21"/>
          <w:lang w:val="en-US" w:eastAsia="zh-CN"/>
        </w:rPr>
        <w:t>、BIM合图、设计联络、设计变更</w:t>
      </w:r>
      <w:r>
        <w:rPr>
          <w:rFonts w:hint="default"/>
          <w:sz w:val="28"/>
          <w:szCs w:val="21"/>
          <w:lang w:val="en-US" w:eastAsia="zh-CN"/>
        </w:rPr>
        <w:t>、参与施工阶段、竣工验收阶段、缺陷责任期阶段的全部设计</w:t>
      </w:r>
      <w:r>
        <w:rPr>
          <w:rFonts w:hint="eastAsia"/>
          <w:sz w:val="28"/>
          <w:szCs w:val="21"/>
          <w:lang w:val="en-US" w:eastAsia="zh-CN"/>
        </w:rPr>
        <w:t>及技术</w:t>
      </w:r>
      <w:r>
        <w:rPr>
          <w:rFonts w:hint="default"/>
          <w:sz w:val="28"/>
          <w:szCs w:val="21"/>
          <w:lang w:val="en-US" w:eastAsia="zh-CN"/>
        </w:rPr>
        <w:t>服务</w:t>
      </w:r>
      <w:r>
        <w:rPr>
          <w:rFonts w:hint="eastAsia"/>
          <w:sz w:val="28"/>
          <w:szCs w:val="21"/>
          <w:lang w:val="en-US" w:eastAsia="zh-CN"/>
        </w:rPr>
        <w:t>。</w:t>
      </w:r>
    </w:p>
    <w:p>
      <w:pPr>
        <w:pStyle w:val="6"/>
        <w:numPr>
          <w:ilvl w:val="0"/>
          <w:numId w:val="0"/>
        </w:numPr>
        <w:ind w:firstLine="560" w:firstLineChars="200"/>
        <w:rPr>
          <w:rFonts w:hint="default"/>
          <w:sz w:val="28"/>
          <w:szCs w:val="21"/>
          <w:lang w:val="en-US" w:eastAsia="zh-CN"/>
        </w:rPr>
      </w:pPr>
      <w:r>
        <w:rPr>
          <w:rFonts w:hint="eastAsia"/>
          <w:sz w:val="28"/>
          <w:szCs w:val="21"/>
          <w:lang w:val="en-US" w:eastAsia="zh-CN"/>
        </w:rPr>
        <w:t>4、实施期间及缺陷责任期期间有质量争议的，应配合业主进行质量鉴定；任何缺陷进行整改、完善和修补需要重新设计及复核的，投标单位应提供技术及设计服务。</w:t>
      </w:r>
    </w:p>
    <w:p>
      <w:pPr>
        <w:pStyle w:val="6"/>
        <w:numPr>
          <w:ilvl w:val="0"/>
          <w:numId w:val="0"/>
        </w:numPr>
        <w:ind w:firstLine="560" w:firstLineChars="200"/>
        <w:rPr>
          <w:rFonts w:hint="default"/>
          <w:sz w:val="28"/>
          <w:szCs w:val="21"/>
          <w:lang w:val="en-US" w:eastAsia="zh-CN"/>
        </w:rPr>
      </w:pPr>
      <w:r>
        <w:rPr>
          <w:rFonts w:hint="eastAsia"/>
          <w:sz w:val="28"/>
          <w:szCs w:val="21"/>
          <w:lang w:val="en-US" w:eastAsia="zh-CN"/>
        </w:rPr>
        <w:t>5、设计阶段范围期间，投标单位应提供变电站设计的技术服务，包括但不仅限于</w:t>
      </w:r>
      <w:r>
        <w:rPr>
          <w:rFonts w:hint="eastAsia"/>
          <w:color w:val="FF0000"/>
          <w:sz w:val="28"/>
          <w:szCs w:val="21"/>
          <w:lang w:val="en-US" w:eastAsia="zh-CN"/>
        </w:rPr>
        <w:t>设计概算、</w:t>
      </w:r>
      <w:r>
        <w:rPr>
          <w:rFonts w:hint="eastAsia"/>
          <w:sz w:val="28"/>
          <w:szCs w:val="21"/>
          <w:lang w:val="en-US" w:eastAsia="zh-CN"/>
        </w:rPr>
        <w:t>提供技术交底、施工配合、参加竣工验收或招标单位委托的其他服务、专家评审服务</w:t>
      </w:r>
      <w:r>
        <w:rPr>
          <w:rFonts w:hint="default"/>
          <w:sz w:val="28"/>
          <w:szCs w:val="21"/>
          <w:lang w:val="en-US" w:eastAsia="zh-CN"/>
        </w:rPr>
        <w:t>。</w:t>
      </w:r>
    </w:p>
    <w:p>
      <w:pPr>
        <w:pStyle w:val="6"/>
        <w:numPr>
          <w:ilvl w:val="0"/>
          <w:numId w:val="0"/>
        </w:numPr>
        <w:ind w:firstLine="560" w:firstLineChars="200"/>
        <w:rPr>
          <w:rFonts w:hint="default"/>
          <w:sz w:val="28"/>
          <w:szCs w:val="21"/>
          <w:lang w:val="en-US" w:eastAsia="zh-CN"/>
        </w:rPr>
      </w:pPr>
      <w:r>
        <w:rPr>
          <w:rFonts w:hint="eastAsia"/>
          <w:sz w:val="28"/>
          <w:szCs w:val="21"/>
          <w:lang w:val="en-US" w:eastAsia="zh-CN"/>
        </w:rPr>
        <w:t>6、</w:t>
      </w:r>
      <w:r>
        <w:rPr>
          <w:rFonts w:hint="default"/>
          <w:sz w:val="28"/>
          <w:szCs w:val="21"/>
          <w:lang w:val="en-US" w:eastAsia="zh-CN"/>
        </w:rPr>
        <w:t>按国家和地方法律法规要求开展设计</w:t>
      </w:r>
      <w:r>
        <w:rPr>
          <w:rFonts w:hint="eastAsia"/>
          <w:sz w:val="28"/>
          <w:szCs w:val="21"/>
          <w:lang w:val="en-US" w:eastAsia="zh-CN"/>
        </w:rPr>
        <w:t>，</w:t>
      </w:r>
      <w:r>
        <w:rPr>
          <w:rFonts w:hint="default"/>
          <w:sz w:val="28"/>
          <w:szCs w:val="21"/>
          <w:lang w:val="en-US" w:eastAsia="zh-CN"/>
        </w:rPr>
        <w:t>并负责对相关政府职能部门及业主的技术汇报、协调、直至完成施工图设计、施工服务等后续工作</w:t>
      </w:r>
      <w:r>
        <w:rPr>
          <w:rFonts w:hint="eastAsia"/>
          <w:sz w:val="28"/>
          <w:szCs w:val="21"/>
          <w:lang w:val="en-US" w:eastAsia="zh-CN"/>
        </w:rPr>
        <w:t>。</w:t>
      </w:r>
    </w:p>
    <w:p>
      <w:pPr>
        <w:pStyle w:val="6"/>
        <w:numPr>
          <w:ilvl w:val="0"/>
          <w:numId w:val="0"/>
        </w:numPr>
        <w:ind w:leftChars="0" w:firstLine="560" w:firstLineChars="200"/>
        <w:rPr>
          <w:rFonts w:hint="eastAsia"/>
          <w:sz w:val="28"/>
          <w:szCs w:val="21"/>
          <w:lang w:val="en-US" w:eastAsia="zh-CN"/>
        </w:rPr>
      </w:pPr>
      <w:r>
        <w:rPr>
          <w:rFonts w:hint="eastAsia"/>
          <w:sz w:val="28"/>
          <w:szCs w:val="21"/>
          <w:lang w:val="en-US" w:eastAsia="zh-CN"/>
        </w:rPr>
        <w:t>7、完成本项目设计阶段必要的的专项论证（包括但不限于与变电站相关的专项论证、消防专项论证、结构安全专项论证和超过一定规模的危大技术方案论证）。</w:t>
      </w:r>
    </w:p>
    <w:p>
      <w:pPr>
        <w:pStyle w:val="6"/>
        <w:numPr>
          <w:ilvl w:val="0"/>
          <w:numId w:val="0"/>
        </w:numPr>
        <w:ind w:leftChars="0" w:firstLine="560" w:firstLineChars="200"/>
        <w:rPr>
          <w:rFonts w:hint="default"/>
          <w:sz w:val="28"/>
          <w:szCs w:val="21"/>
          <w:lang w:val="en-US" w:eastAsia="zh-CN"/>
        </w:rPr>
      </w:pPr>
      <w:r>
        <w:rPr>
          <w:rFonts w:hint="eastAsia"/>
          <w:sz w:val="28"/>
          <w:szCs w:val="21"/>
          <w:lang w:val="en-US" w:eastAsia="zh-CN"/>
        </w:rPr>
        <w:t>8、负责110kv外线接入审批、进度协调工作。</w:t>
      </w:r>
    </w:p>
    <w:p>
      <w:pPr>
        <w:pStyle w:val="6"/>
        <w:numPr>
          <w:ilvl w:val="0"/>
          <w:numId w:val="0"/>
        </w:numPr>
        <w:ind w:leftChars="0" w:firstLine="560" w:firstLineChars="200"/>
        <w:rPr>
          <w:rFonts w:hint="default"/>
          <w:sz w:val="28"/>
          <w:szCs w:val="21"/>
          <w:lang w:val="en-US" w:eastAsia="zh-CN"/>
        </w:rPr>
      </w:pPr>
      <w:r>
        <w:rPr>
          <w:rFonts w:hint="eastAsia"/>
          <w:sz w:val="28"/>
          <w:szCs w:val="21"/>
          <w:lang w:val="en-US" w:eastAsia="zh-CN"/>
        </w:rPr>
        <w:t>9、设计阶段</w:t>
      </w:r>
      <w:r>
        <w:rPr>
          <w:rFonts w:hint="default"/>
          <w:sz w:val="28"/>
          <w:szCs w:val="21"/>
          <w:lang w:val="en-US" w:eastAsia="zh-CN"/>
        </w:rPr>
        <w:t>过程中应遵守法律，并保证发包人免于承担因</w:t>
      </w:r>
      <w:r>
        <w:rPr>
          <w:rFonts w:hint="eastAsia"/>
          <w:sz w:val="28"/>
          <w:szCs w:val="21"/>
          <w:lang w:val="en-US" w:eastAsia="zh-CN"/>
        </w:rPr>
        <w:t>投标单位</w:t>
      </w:r>
      <w:r>
        <w:rPr>
          <w:rFonts w:hint="default"/>
          <w:sz w:val="28"/>
          <w:szCs w:val="21"/>
          <w:lang w:val="en-US" w:eastAsia="zh-CN"/>
        </w:rPr>
        <w:t>违反法律而引起的任何责任</w:t>
      </w:r>
      <w:r>
        <w:rPr>
          <w:rFonts w:hint="eastAsia"/>
          <w:sz w:val="28"/>
          <w:szCs w:val="21"/>
          <w:lang w:val="en-US" w:eastAsia="zh-CN"/>
        </w:rPr>
        <w:t>。</w:t>
      </w:r>
    </w:p>
    <w:p>
      <w:pPr>
        <w:numPr>
          <w:ilvl w:val="0"/>
          <w:numId w:val="0"/>
        </w:numPr>
        <w:spacing w:line="360" w:lineRule="auto"/>
        <w:rPr>
          <w:rFonts w:hint="default"/>
          <w:b/>
          <w:color w:val="000000"/>
          <w:sz w:val="28"/>
          <w:szCs w:val="28"/>
          <w:lang w:val="en-US" w:eastAsia="zh-CN"/>
        </w:rPr>
      </w:pPr>
      <w:r>
        <w:rPr>
          <w:rFonts w:hint="eastAsia"/>
          <w:b/>
          <w:color w:val="000000"/>
          <w:sz w:val="28"/>
          <w:szCs w:val="28"/>
          <w:lang w:val="en-US" w:eastAsia="zh-CN"/>
        </w:rPr>
        <w:t xml:space="preserve"> </w:t>
      </w:r>
    </w:p>
    <w:p>
      <w:pPr>
        <w:adjustRightInd w:val="0"/>
        <w:snapToGrid w:val="0"/>
        <w:spacing w:line="348" w:lineRule="auto"/>
        <w:outlineLvl w:val="1"/>
        <w:rPr>
          <w:rFonts w:hint="eastAsia" w:ascii="Times New Roman" w:hAnsi="Times New Roman" w:eastAsia="宋体" w:cs="Times New Roman"/>
          <w:b/>
          <w:kern w:val="0"/>
          <w:sz w:val="28"/>
          <w:szCs w:val="21"/>
          <w:lang w:val="en-GB" w:eastAsia="zh-CN" w:bidi="ar-SA"/>
        </w:rPr>
      </w:pPr>
      <w:bookmarkStart w:id="50" w:name="_Toc7825"/>
      <w:bookmarkStart w:id="51" w:name="_Toc20725"/>
      <w:bookmarkStart w:id="52" w:name="_Toc294356109"/>
      <w:bookmarkStart w:id="53" w:name="_Toc290396037"/>
      <w:bookmarkStart w:id="54" w:name="_Toc293646845"/>
      <w:bookmarkStart w:id="55" w:name="_Toc303793098"/>
      <w:bookmarkStart w:id="56" w:name="_Toc290395768"/>
      <w:bookmarkStart w:id="57" w:name="_Toc294868688"/>
      <w:bookmarkStart w:id="58" w:name="_Toc296700580"/>
      <w:bookmarkStart w:id="59" w:name="_Toc296677223"/>
      <w:bookmarkStart w:id="60" w:name="_Toc377118423"/>
      <w:bookmarkStart w:id="61" w:name="_Toc294356952"/>
      <w:bookmarkStart w:id="62" w:name="_Toc303242166"/>
      <w:bookmarkStart w:id="63" w:name="_Toc293342483"/>
      <w:bookmarkStart w:id="64" w:name="_Toc289459205"/>
      <w:bookmarkStart w:id="65" w:name="_Toc294356671"/>
      <w:r>
        <w:rPr>
          <w:rFonts w:hint="eastAsia" w:ascii="Times New Roman" w:hAnsi="Times New Roman" w:eastAsia="宋体" w:cs="Times New Roman"/>
          <w:b/>
          <w:kern w:val="0"/>
          <w:sz w:val="28"/>
          <w:szCs w:val="21"/>
          <w:lang w:val="en-GB" w:eastAsia="zh-CN" w:bidi="ar-SA"/>
        </w:rPr>
        <w:t>1.4 质量</w:t>
      </w:r>
      <w:r>
        <w:rPr>
          <w:rFonts w:hint="eastAsia" w:cs="Times New Roman"/>
          <w:b/>
          <w:kern w:val="0"/>
          <w:sz w:val="28"/>
          <w:szCs w:val="21"/>
          <w:lang w:val="en-US" w:eastAsia="zh-CN" w:bidi="ar-SA"/>
        </w:rPr>
        <w:t>总体</w:t>
      </w:r>
      <w:r>
        <w:rPr>
          <w:rFonts w:hint="eastAsia" w:ascii="Times New Roman" w:hAnsi="Times New Roman" w:eastAsia="宋体" w:cs="Times New Roman"/>
          <w:b/>
          <w:kern w:val="0"/>
          <w:sz w:val="28"/>
          <w:szCs w:val="21"/>
          <w:lang w:val="en-GB" w:eastAsia="zh-CN" w:bidi="ar-SA"/>
        </w:rPr>
        <w:t>要求</w:t>
      </w:r>
      <w:bookmarkEnd w:id="50"/>
      <w:bookmarkEnd w:id="51"/>
    </w:p>
    <w:p>
      <w:pPr>
        <w:spacing w:line="360" w:lineRule="auto"/>
        <w:ind w:firstLine="560" w:firstLineChars="200"/>
        <w:rPr>
          <w:rFonts w:hint="eastAsia" w:ascii="Times New Roman" w:hAnsi="Times New Roman" w:cs="Times New Roman"/>
          <w:color w:val="000000"/>
          <w:sz w:val="28"/>
          <w:szCs w:val="28"/>
        </w:rPr>
      </w:pPr>
      <w:r>
        <w:rPr>
          <w:rFonts w:hint="eastAsia" w:ascii="Times New Roman" w:hAnsi="Times New Roman" w:cs="Times New Roman"/>
          <w:color w:val="000000"/>
          <w:sz w:val="28"/>
          <w:szCs w:val="28"/>
        </w:rPr>
        <w:t>工程设计按国家及行业颁发的现行技术标准和规范</w:t>
      </w:r>
      <w:r>
        <w:rPr>
          <w:rFonts w:hint="eastAsia" w:cs="Times New Roman"/>
          <w:color w:val="000000"/>
          <w:sz w:val="28"/>
          <w:szCs w:val="28"/>
          <w:lang w:val="en-US" w:eastAsia="zh-CN"/>
        </w:rPr>
        <w:t>设计，严格执行工程建设强制性质量标准，通过有关部门审查并获取批复</w:t>
      </w:r>
      <w:r>
        <w:rPr>
          <w:rFonts w:hint="eastAsia" w:cs="Times New Roman"/>
          <w:color w:val="000000"/>
          <w:sz w:val="28"/>
          <w:szCs w:val="28"/>
          <w:lang w:eastAsia="zh-CN"/>
        </w:rPr>
        <w:t>。</w:t>
      </w:r>
      <w:r>
        <w:rPr>
          <w:rFonts w:hint="eastAsia" w:cs="Times New Roman"/>
          <w:color w:val="000000"/>
          <w:sz w:val="28"/>
          <w:szCs w:val="28"/>
          <w:lang w:val="en-US" w:eastAsia="zh-CN"/>
        </w:rPr>
        <w:t>设计阶段</w:t>
      </w:r>
      <w:r>
        <w:rPr>
          <w:rFonts w:hint="eastAsia" w:ascii="Times New Roman" w:hAnsi="Times New Roman" w:cs="Times New Roman"/>
          <w:color w:val="000000"/>
          <w:sz w:val="28"/>
          <w:szCs w:val="28"/>
        </w:rPr>
        <w:t>期间因规范标准发布新的版本，</w:t>
      </w:r>
      <w:r>
        <w:rPr>
          <w:rFonts w:hint="eastAsia" w:cs="Times New Roman"/>
          <w:color w:val="000000"/>
          <w:sz w:val="28"/>
          <w:szCs w:val="28"/>
          <w:lang w:eastAsia="zh-CN"/>
        </w:rPr>
        <w:t>投标单位</w:t>
      </w:r>
      <w:r>
        <w:rPr>
          <w:rFonts w:hint="eastAsia" w:ascii="Times New Roman" w:hAnsi="Times New Roman" w:cs="Times New Roman"/>
          <w:color w:val="000000"/>
          <w:sz w:val="28"/>
          <w:szCs w:val="28"/>
        </w:rPr>
        <w:t>应调整设计以符合强制性标准要求，并满足</w:t>
      </w:r>
      <w:r>
        <w:rPr>
          <w:rFonts w:hint="eastAsia" w:cs="Times New Roman"/>
          <w:color w:val="000000"/>
          <w:sz w:val="28"/>
          <w:szCs w:val="28"/>
          <w:lang w:val="en-US" w:eastAsia="zh-CN"/>
        </w:rPr>
        <w:t>招标单位</w:t>
      </w:r>
      <w:r>
        <w:rPr>
          <w:rFonts w:hint="eastAsia" w:ascii="Times New Roman" w:hAnsi="Times New Roman" w:cs="Times New Roman"/>
          <w:color w:val="000000"/>
          <w:sz w:val="28"/>
          <w:szCs w:val="28"/>
        </w:rPr>
        <w:t>技术要求。</w:t>
      </w:r>
    </w:p>
    <w:p>
      <w:pPr>
        <w:spacing w:line="360" w:lineRule="auto"/>
        <w:ind w:firstLine="560" w:firstLineChars="200"/>
        <w:rPr>
          <w:rFonts w:hint="eastAsia"/>
          <w:color w:val="000000"/>
          <w:sz w:val="28"/>
          <w:szCs w:val="28"/>
        </w:rPr>
      </w:pPr>
    </w:p>
    <w:bookmarkEnd w:id="46"/>
    <w:bookmarkEnd w:id="52"/>
    <w:bookmarkEnd w:id="53"/>
    <w:bookmarkEnd w:id="54"/>
    <w:bookmarkEnd w:id="55"/>
    <w:bookmarkEnd w:id="56"/>
    <w:bookmarkEnd w:id="57"/>
    <w:bookmarkEnd w:id="58"/>
    <w:bookmarkEnd w:id="59"/>
    <w:bookmarkEnd w:id="60"/>
    <w:bookmarkEnd w:id="61"/>
    <w:bookmarkEnd w:id="62"/>
    <w:bookmarkEnd w:id="63"/>
    <w:bookmarkEnd w:id="64"/>
    <w:bookmarkEnd w:id="65"/>
    <w:p>
      <w:pPr>
        <w:pStyle w:val="230"/>
        <w:rPr>
          <w:sz w:val="32"/>
          <w:szCs w:val="32"/>
        </w:rPr>
      </w:pPr>
      <w:bookmarkStart w:id="66" w:name="_Toc10142"/>
      <w:bookmarkStart w:id="67" w:name="_Toc226451811"/>
      <w:r>
        <w:rPr>
          <w:rFonts w:hint="eastAsia"/>
          <w:sz w:val="32"/>
          <w:szCs w:val="32"/>
        </w:rPr>
        <w:t>第</w:t>
      </w:r>
      <w:r>
        <w:rPr>
          <w:sz w:val="32"/>
          <w:szCs w:val="32"/>
        </w:rPr>
        <w:t>2</w:t>
      </w:r>
      <w:r>
        <w:rPr>
          <w:rFonts w:hint="eastAsia"/>
          <w:sz w:val="32"/>
          <w:szCs w:val="32"/>
        </w:rPr>
        <w:t>章 技术要求</w:t>
      </w:r>
      <w:bookmarkEnd w:id="66"/>
      <w:bookmarkEnd w:id="67"/>
    </w:p>
    <w:p>
      <w:pPr>
        <w:pStyle w:val="7"/>
        <w:numPr>
          <w:ilvl w:val="0"/>
          <w:numId w:val="0"/>
        </w:numPr>
        <w:rPr>
          <w:rFonts w:ascii="Times New Roman"/>
          <w:sz w:val="28"/>
          <w:szCs w:val="21"/>
        </w:rPr>
      </w:pPr>
      <w:bookmarkStart w:id="68" w:name="_Toc5967"/>
      <w:bookmarkStart w:id="69" w:name="_Toc226451812"/>
      <w:r>
        <w:rPr>
          <w:rFonts w:ascii="Times New Roman"/>
          <w:sz w:val="28"/>
          <w:szCs w:val="21"/>
        </w:rPr>
        <w:t>2</w:t>
      </w:r>
      <w:r>
        <w:rPr>
          <w:rFonts w:hint="eastAsia" w:ascii="Times New Roman"/>
          <w:sz w:val="28"/>
          <w:szCs w:val="21"/>
        </w:rPr>
        <w:t>.1 总体要求</w:t>
      </w:r>
      <w:bookmarkEnd w:id="68"/>
    </w:p>
    <w:p>
      <w:pPr>
        <w:pStyle w:val="8"/>
        <w:rPr>
          <w:sz w:val="28"/>
          <w:szCs w:val="21"/>
        </w:rPr>
      </w:pPr>
      <w:bookmarkStart w:id="70" w:name="_Toc28064"/>
      <w:r>
        <w:rPr>
          <w:sz w:val="28"/>
          <w:szCs w:val="21"/>
        </w:rPr>
        <w:t>2</w:t>
      </w:r>
      <w:r>
        <w:rPr>
          <w:rFonts w:hint="eastAsia"/>
          <w:sz w:val="28"/>
          <w:szCs w:val="21"/>
        </w:rPr>
        <w:t>.1.1设计年限</w:t>
      </w:r>
      <w:bookmarkEnd w:id="70"/>
    </w:p>
    <w:p>
      <w:pPr>
        <w:pStyle w:val="228"/>
        <w:ind w:firstLine="480"/>
        <w:rPr>
          <w:color w:val="000000"/>
          <w:sz w:val="28"/>
          <w:szCs w:val="28"/>
        </w:rPr>
      </w:pPr>
      <w:r>
        <w:rPr>
          <w:rFonts w:hint="eastAsia"/>
          <w:color w:val="000000"/>
          <w:sz w:val="28"/>
          <w:szCs w:val="28"/>
        </w:rPr>
        <w:t>1、土建、钢筋混凝土结构的设计使用年限为50年；</w:t>
      </w:r>
    </w:p>
    <w:p>
      <w:pPr>
        <w:pStyle w:val="228"/>
        <w:ind w:firstLine="480"/>
        <w:rPr>
          <w:color w:val="000000"/>
          <w:sz w:val="28"/>
          <w:szCs w:val="28"/>
        </w:rPr>
      </w:pPr>
      <w:r>
        <w:rPr>
          <w:rFonts w:hint="eastAsia"/>
          <w:color w:val="000000"/>
          <w:sz w:val="28"/>
          <w:szCs w:val="28"/>
        </w:rPr>
        <w:t>2、主体设备设计年限不小于</w:t>
      </w:r>
      <w:r>
        <w:rPr>
          <w:rFonts w:hint="eastAsia"/>
          <w:color w:val="000000"/>
          <w:sz w:val="28"/>
          <w:szCs w:val="28"/>
          <w:lang w:val="en-US" w:eastAsia="zh-CN"/>
        </w:rPr>
        <w:t>30</w:t>
      </w:r>
      <w:r>
        <w:rPr>
          <w:rFonts w:hint="eastAsia"/>
          <w:color w:val="000000"/>
          <w:sz w:val="28"/>
          <w:szCs w:val="28"/>
        </w:rPr>
        <w:t>年；</w:t>
      </w:r>
    </w:p>
    <w:p>
      <w:pPr>
        <w:pStyle w:val="228"/>
        <w:ind w:firstLine="480"/>
        <w:rPr>
          <w:rFonts w:hint="eastAsia"/>
          <w:color w:val="000000"/>
          <w:sz w:val="28"/>
          <w:szCs w:val="28"/>
        </w:rPr>
      </w:pPr>
      <w:r>
        <w:rPr>
          <w:rFonts w:hint="eastAsia"/>
          <w:color w:val="000000"/>
          <w:sz w:val="28"/>
          <w:szCs w:val="28"/>
        </w:rPr>
        <w:t>3、设备及材料的使用应满足每天</w:t>
      </w:r>
      <w:r>
        <w:rPr>
          <w:color w:val="000000"/>
          <w:sz w:val="28"/>
          <w:szCs w:val="28"/>
        </w:rPr>
        <w:t>24</w:t>
      </w:r>
      <w:r>
        <w:rPr>
          <w:rFonts w:hint="eastAsia"/>
          <w:color w:val="000000"/>
          <w:sz w:val="28"/>
          <w:szCs w:val="28"/>
        </w:rPr>
        <w:t>小时连续运行，也可间断运行。</w:t>
      </w:r>
    </w:p>
    <w:p>
      <w:pPr>
        <w:pStyle w:val="228"/>
        <w:ind w:firstLine="480"/>
        <w:rPr>
          <w:rFonts w:hint="eastAsia" w:eastAsia="宋体"/>
          <w:color w:val="000000"/>
          <w:sz w:val="28"/>
          <w:szCs w:val="28"/>
          <w:lang w:val="en-US" w:eastAsia="zh-CN"/>
        </w:rPr>
      </w:pPr>
      <w:r>
        <w:rPr>
          <w:rFonts w:hint="eastAsia"/>
          <w:color w:val="000000"/>
          <w:sz w:val="28"/>
          <w:szCs w:val="28"/>
          <w:lang w:val="en-US" w:eastAsia="zh-CN"/>
        </w:rPr>
        <w:t>4、设计服务应当根据法律、规范标准和招标单位要求，保证工程的使用寿命年限，并在设计文件中予以注明。</w:t>
      </w:r>
    </w:p>
    <w:p>
      <w:pPr>
        <w:pStyle w:val="8"/>
        <w:rPr>
          <w:sz w:val="28"/>
          <w:szCs w:val="21"/>
        </w:rPr>
      </w:pPr>
      <w:bookmarkStart w:id="71" w:name="_Toc26796"/>
      <w:r>
        <w:rPr>
          <w:sz w:val="28"/>
          <w:szCs w:val="21"/>
        </w:rPr>
        <w:t>2</w:t>
      </w:r>
      <w:r>
        <w:rPr>
          <w:rFonts w:hint="eastAsia"/>
          <w:sz w:val="28"/>
          <w:szCs w:val="21"/>
        </w:rPr>
        <w:t>.1.2设计深度</w:t>
      </w:r>
      <w:bookmarkEnd w:id="71"/>
    </w:p>
    <w:p>
      <w:pPr>
        <w:numPr>
          <w:ilvl w:val="0"/>
          <w:numId w:val="7"/>
        </w:numPr>
        <w:spacing w:line="360" w:lineRule="auto"/>
        <w:ind w:firstLine="560" w:firstLineChars="200"/>
        <w:rPr>
          <w:rFonts w:hint="eastAsia"/>
          <w:sz w:val="28"/>
          <w:szCs w:val="28"/>
        </w:rPr>
      </w:pPr>
      <w:r>
        <w:rPr>
          <w:rFonts w:hint="eastAsia"/>
          <w:sz w:val="28"/>
          <w:szCs w:val="28"/>
        </w:rPr>
        <w:t>各个阶段所提供设计文件的深度，除执行中华人民共和国住房城乡建设部颁发的</w:t>
      </w:r>
      <w:r>
        <w:rPr>
          <w:rFonts w:hint="eastAsia"/>
          <w:sz w:val="28"/>
          <w:szCs w:val="28"/>
          <w:lang w:val="en-US" w:eastAsia="zh-CN"/>
        </w:rPr>
        <w:t>相关规范要求以外</w:t>
      </w:r>
      <w:r>
        <w:rPr>
          <w:rFonts w:hint="eastAsia"/>
          <w:sz w:val="28"/>
          <w:szCs w:val="28"/>
        </w:rPr>
        <w:t>，还应满足国家电网公司输变电工程设计内容深度规定，确保通过供电公司的设计审查。</w:t>
      </w:r>
    </w:p>
    <w:p>
      <w:pPr>
        <w:spacing w:line="360" w:lineRule="auto"/>
        <w:ind w:firstLine="560" w:firstLineChars="200"/>
        <w:rPr>
          <w:rFonts w:hint="eastAsia"/>
          <w:color w:val="000000"/>
          <w:sz w:val="28"/>
          <w:szCs w:val="28"/>
        </w:rPr>
      </w:pPr>
      <w:r>
        <w:rPr>
          <w:rFonts w:hint="eastAsia"/>
          <w:color w:val="000000"/>
          <w:sz w:val="28"/>
          <w:szCs w:val="28"/>
          <w:lang w:val="en-US" w:eastAsia="zh-CN"/>
        </w:rPr>
        <w:t>2、设计文件的深度应满足本合同相应设计阶段的规定要求，满足发包人的下步工作需要，并应符合国家和行业现行规定，提出保障施工作业人员安全和预防生产安全事故的措施建议。</w:t>
      </w:r>
    </w:p>
    <w:p>
      <w:pPr>
        <w:spacing w:line="360" w:lineRule="auto"/>
        <w:ind w:firstLine="560" w:firstLineChars="200"/>
        <w:rPr>
          <w:rFonts w:hint="default"/>
          <w:color w:val="000000"/>
          <w:sz w:val="28"/>
          <w:szCs w:val="28"/>
          <w:lang w:val="en-US" w:eastAsia="zh-CN"/>
        </w:rPr>
      </w:pPr>
      <w:r>
        <w:rPr>
          <w:rFonts w:hint="eastAsia"/>
          <w:color w:val="000000"/>
          <w:sz w:val="28"/>
          <w:szCs w:val="28"/>
          <w:lang w:val="en-US" w:eastAsia="zh-CN"/>
        </w:rPr>
        <w:t>3、专业设计图纸包括但不仅限于：建筑、结构、给水排水、暖通空调、站内市政、消防、弱电、建筑电气、建筑结构总图等专业的图纸。专项图纸包括但不限于：电气主接线图、设备平面图、外线电缆路径图、变电站总平图、建筑及结构图纸、变电站通信网络结构图、电气二次图、其他辅助配套设施图、</w:t>
      </w:r>
      <w:r>
        <w:rPr>
          <w:rFonts w:hint="eastAsia"/>
          <w:color w:val="FF0000"/>
          <w:sz w:val="28"/>
          <w:szCs w:val="28"/>
          <w:lang w:val="en-US" w:eastAsia="zh-CN"/>
        </w:rPr>
        <w:t>效果图</w:t>
      </w:r>
      <w:r>
        <w:rPr>
          <w:rFonts w:hint="eastAsia"/>
          <w:color w:val="000000"/>
          <w:sz w:val="28"/>
          <w:szCs w:val="28"/>
          <w:lang w:val="en-US" w:eastAsia="zh-CN"/>
        </w:rPr>
        <w:t>等。</w:t>
      </w:r>
      <w:r>
        <w:rPr>
          <w:rFonts w:hint="eastAsia"/>
          <w:color w:val="000000"/>
          <w:sz w:val="28"/>
          <w:szCs w:val="28"/>
        </w:rPr>
        <w:t>设计范围要表达清楚，用图纸进行说明，</w:t>
      </w:r>
      <w:r>
        <w:rPr>
          <w:rFonts w:hint="eastAsia"/>
          <w:color w:val="FF0000"/>
          <w:sz w:val="28"/>
          <w:szCs w:val="28"/>
        </w:rPr>
        <w:t>要求图面清晰</w:t>
      </w:r>
      <w:r>
        <w:rPr>
          <w:rFonts w:hint="eastAsia"/>
          <w:color w:val="FF0000"/>
          <w:sz w:val="28"/>
          <w:szCs w:val="28"/>
          <w:lang w:val="en-US" w:eastAsia="zh-CN"/>
        </w:rPr>
        <w:t>详细，无缺项漏项</w:t>
      </w:r>
      <w:r>
        <w:rPr>
          <w:rFonts w:hint="eastAsia"/>
          <w:color w:val="FF0000"/>
          <w:sz w:val="28"/>
          <w:szCs w:val="28"/>
        </w:rPr>
        <w:t>，一目了然。</w:t>
      </w:r>
    </w:p>
    <w:p>
      <w:pPr>
        <w:pStyle w:val="2"/>
        <w:ind w:left="0" w:leftChars="0" w:firstLine="0" w:firstLineChars="0"/>
        <w:outlineLvl w:val="2"/>
        <w:rPr>
          <w:rFonts w:hint="eastAsia"/>
          <w:b/>
          <w:bCs w:val="0"/>
          <w:color w:val="000000"/>
          <w:sz w:val="28"/>
          <w:szCs w:val="28"/>
          <w:lang w:val="en-US" w:eastAsia="zh-CN"/>
        </w:rPr>
      </w:pPr>
      <w:bookmarkStart w:id="72" w:name="_Toc29436"/>
      <w:r>
        <w:rPr>
          <w:rFonts w:hint="eastAsia" w:ascii="Times New Roman" w:hAnsi="Times New Roman" w:eastAsia="宋体" w:cs="Times New Roman"/>
          <w:b/>
          <w:bCs w:val="0"/>
          <w:kern w:val="0"/>
          <w:sz w:val="28"/>
          <w:szCs w:val="21"/>
          <w:lang w:val="en-US" w:eastAsia="zh-CN" w:bidi="ar-SA"/>
        </w:rPr>
        <w:t>2.1.3规范参</w:t>
      </w:r>
      <w:r>
        <w:rPr>
          <w:rFonts w:hint="eastAsia"/>
          <w:b/>
          <w:bCs w:val="0"/>
          <w:color w:val="000000"/>
          <w:sz w:val="28"/>
          <w:szCs w:val="28"/>
          <w:lang w:val="en-US" w:eastAsia="zh-CN"/>
        </w:rPr>
        <w:t>考</w:t>
      </w:r>
      <w:bookmarkEnd w:id="72"/>
    </w:p>
    <w:p>
      <w:pPr>
        <w:pStyle w:val="2"/>
        <w:ind w:left="0" w:leftChars="0" w:firstLine="0" w:firstLineChars="0"/>
        <w:outlineLvl w:val="9"/>
        <w:rPr>
          <w:rFonts w:hint="default"/>
          <w:b w:val="0"/>
          <w:bCs/>
          <w:color w:val="000000"/>
          <w:sz w:val="28"/>
          <w:szCs w:val="28"/>
          <w:lang w:val="en-US" w:eastAsia="zh-CN"/>
        </w:rPr>
      </w:pPr>
      <w:r>
        <w:rPr>
          <w:rFonts w:hint="eastAsia"/>
          <w:b w:val="0"/>
          <w:bCs/>
          <w:color w:val="000000"/>
          <w:sz w:val="28"/>
          <w:szCs w:val="28"/>
          <w:lang w:val="en-US" w:eastAsia="zh-CN"/>
        </w:rPr>
        <w:t>包括但不限于本技术文件列明的以下规范</w:t>
      </w:r>
    </w:p>
    <w:p>
      <w:pPr>
        <w:pStyle w:val="2"/>
        <w:numPr>
          <w:ilvl w:val="0"/>
          <w:numId w:val="8"/>
        </w:numPr>
        <w:ind w:left="0" w:leftChars="0" w:firstLine="0" w:firstLineChars="0"/>
        <w:rPr>
          <w:rFonts w:hint="default"/>
          <w:color w:val="000000"/>
          <w:sz w:val="28"/>
          <w:szCs w:val="28"/>
          <w:lang w:val="en-US" w:eastAsia="zh-CN"/>
        </w:rPr>
      </w:pPr>
      <w:r>
        <w:rPr>
          <w:rFonts w:hint="default"/>
          <w:color w:val="000000"/>
          <w:sz w:val="28"/>
          <w:szCs w:val="28"/>
          <w:lang w:val="en-US" w:eastAsia="zh-CN"/>
        </w:rPr>
        <w:t xml:space="preserve">《电力系统技术导则》（GB/T 38969-2020） </w:t>
      </w:r>
    </w:p>
    <w:p>
      <w:pPr>
        <w:pStyle w:val="2"/>
        <w:numPr>
          <w:ilvl w:val="0"/>
          <w:numId w:val="8"/>
        </w:numPr>
        <w:ind w:left="0" w:leftChars="0" w:firstLine="0" w:firstLineChars="0"/>
        <w:rPr>
          <w:rFonts w:hint="default"/>
          <w:color w:val="000000"/>
          <w:sz w:val="28"/>
          <w:szCs w:val="28"/>
          <w:lang w:val="en-US" w:eastAsia="zh-CN"/>
        </w:rPr>
      </w:pPr>
      <w:r>
        <w:rPr>
          <w:rFonts w:hint="default"/>
          <w:color w:val="000000"/>
          <w:sz w:val="28"/>
          <w:szCs w:val="28"/>
          <w:lang w:val="en-US" w:eastAsia="zh-CN"/>
        </w:rPr>
        <w:t xml:space="preserve">《城市电力网规划规范》（GB/T50293-2014） </w:t>
      </w:r>
    </w:p>
    <w:p>
      <w:pPr>
        <w:pStyle w:val="2"/>
        <w:numPr>
          <w:ilvl w:val="0"/>
          <w:numId w:val="8"/>
        </w:numPr>
        <w:ind w:left="0" w:leftChars="0" w:firstLine="0" w:firstLineChars="0"/>
        <w:rPr>
          <w:rFonts w:hint="default"/>
          <w:color w:val="000000"/>
          <w:sz w:val="28"/>
          <w:szCs w:val="28"/>
          <w:lang w:val="en-US" w:eastAsia="zh-CN"/>
        </w:rPr>
      </w:pPr>
      <w:r>
        <w:rPr>
          <w:rFonts w:hint="default"/>
          <w:color w:val="000000"/>
          <w:sz w:val="28"/>
          <w:szCs w:val="28"/>
          <w:lang w:val="en-US" w:eastAsia="zh-CN"/>
        </w:rPr>
        <w:t>《电力系统安全稳定导则》（GB38755-2019）</w:t>
      </w:r>
    </w:p>
    <w:p>
      <w:pPr>
        <w:pStyle w:val="2"/>
        <w:numPr>
          <w:ilvl w:val="0"/>
          <w:numId w:val="8"/>
        </w:numPr>
        <w:ind w:left="0" w:leftChars="0" w:firstLine="0" w:firstLineChars="0"/>
        <w:rPr>
          <w:rFonts w:hint="default"/>
          <w:color w:val="000000"/>
          <w:sz w:val="28"/>
          <w:szCs w:val="28"/>
          <w:lang w:val="en-US" w:eastAsia="zh-CN"/>
        </w:rPr>
      </w:pPr>
      <w:r>
        <w:rPr>
          <w:rFonts w:hint="default"/>
          <w:color w:val="000000"/>
          <w:sz w:val="28"/>
          <w:szCs w:val="28"/>
          <w:lang w:val="en-US" w:eastAsia="zh-CN"/>
        </w:rPr>
        <w:t>《城市电力网规划设计导则》（Q/GDW 156-2016）</w:t>
      </w:r>
    </w:p>
    <w:p>
      <w:pPr>
        <w:pStyle w:val="2"/>
        <w:numPr>
          <w:ilvl w:val="0"/>
          <w:numId w:val="8"/>
        </w:numPr>
        <w:ind w:left="0" w:leftChars="0" w:firstLine="0" w:firstLineChars="0"/>
        <w:rPr>
          <w:rFonts w:hint="default"/>
          <w:color w:val="000000"/>
          <w:sz w:val="28"/>
          <w:szCs w:val="28"/>
          <w:lang w:val="en-US" w:eastAsia="zh-CN"/>
        </w:rPr>
      </w:pPr>
      <w:r>
        <w:rPr>
          <w:rFonts w:hint="default"/>
          <w:color w:val="000000"/>
          <w:sz w:val="28"/>
          <w:szCs w:val="28"/>
          <w:lang w:val="en-US" w:eastAsia="zh-CN"/>
        </w:rPr>
        <w:t>《配电网规划设计技术导则》（Q/GDW 10738-2020）</w:t>
      </w:r>
    </w:p>
    <w:p>
      <w:pPr>
        <w:pStyle w:val="2"/>
        <w:numPr>
          <w:ilvl w:val="0"/>
          <w:numId w:val="8"/>
        </w:numPr>
        <w:ind w:left="0" w:leftChars="0" w:firstLine="0" w:firstLineChars="0"/>
        <w:rPr>
          <w:rFonts w:hint="default"/>
          <w:color w:val="000000"/>
          <w:sz w:val="28"/>
          <w:szCs w:val="28"/>
          <w:lang w:val="en-US" w:eastAsia="zh-CN"/>
        </w:rPr>
      </w:pPr>
      <w:r>
        <w:rPr>
          <w:rFonts w:hint="default"/>
          <w:color w:val="000000"/>
          <w:sz w:val="28"/>
          <w:szCs w:val="28"/>
          <w:lang w:val="en-US" w:eastAsia="zh-CN"/>
        </w:rPr>
        <w:t>《导体和电器选择设计技术规定》（DL 5222-2005）</w:t>
      </w:r>
    </w:p>
    <w:p>
      <w:pPr>
        <w:pStyle w:val="2"/>
        <w:numPr>
          <w:ilvl w:val="0"/>
          <w:numId w:val="8"/>
        </w:numPr>
        <w:ind w:left="0" w:leftChars="0" w:firstLine="0" w:firstLineChars="0"/>
        <w:rPr>
          <w:rFonts w:hint="default"/>
          <w:color w:val="000000"/>
          <w:sz w:val="28"/>
          <w:szCs w:val="28"/>
          <w:lang w:val="en-US" w:eastAsia="zh-CN"/>
        </w:rPr>
      </w:pPr>
      <w:r>
        <w:rPr>
          <w:rFonts w:hint="default"/>
          <w:color w:val="000000"/>
          <w:sz w:val="28"/>
          <w:szCs w:val="28"/>
          <w:lang w:val="en-US" w:eastAsia="zh-CN"/>
        </w:rPr>
        <w:t>《电力系统电压和无功电力技术导则》（DL/T1773-2017）</w:t>
      </w:r>
    </w:p>
    <w:p>
      <w:pPr>
        <w:pStyle w:val="2"/>
        <w:numPr>
          <w:ilvl w:val="0"/>
          <w:numId w:val="8"/>
        </w:numPr>
        <w:ind w:left="0" w:leftChars="0" w:firstLine="0" w:firstLineChars="0"/>
        <w:rPr>
          <w:rFonts w:hint="default"/>
          <w:color w:val="000000"/>
          <w:sz w:val="28"/>
          <w:szCs w:val="28"/>
          <w:lang w:val="en-US" w:eastAsia="zh-CN"/>
        </w:rPr>
      </w:pPr>
      <w:r>
        <w:rPr>
          <w:rFonts w:hint="default"/>
          <w:color w:val="000000"/>
          <w:sz w:val="28"/>
          <w:szCs w:val="28"/>
          <w:lang w:val="en-US" w:eastAsia="zh-CN"/>
        </w:rPr>
        <w:t>《35～110 千伏变电站设计规范》（GB50059-2011</w:t>
      </w:r>
      <w:r>
        <w:rPr>
          <w:rFonts w:hint="eastAsia"/>
          <w:color w:val="000000"/>
          <w:sz w:val="28"/>
          <w:szCs w:val="28"/>
          <w:lang w:val="en-US" w:eastAsia="zh-CN"/>
        </w:rPr>
        <w:t>）</w:t>
      </w:r>
    </w:p>
    <w:p>
      <w:pPr>
        <w:pStyle w:val="2"/>
        <w:numPr>
          <w:ilvl w:val="0"/>
          <w:numId w:val="8"/>
        </w:numPr>
        <w:ind w:left="0" w:leftChars="0" w:firstLine="0" w:firstLineChars="0"/>
        <w:rPr>
          <w:rFonts w:hint="default"/>
          <w:color w:val="000000"/>
          <w:sz w:val="28"/>
          <w:szCs w:val="28"/>
          <w:lang w:val="en-US" w:eastAsia="zh-CN"/>
        </w:rPr>
      </w:pPr>
      <w:r>
        <w:rPr>
          <w:rFonts w:hint="default"/>
          <w:color w:val="000000"/>
          <w:sz w:val="28"/>
          <w:szCs w:val="28"/>
          <w:lang w:val="en-US" w:eastAsia="zh-CN"/>
        </w:rPr>
        <w:t>《35kV~220kV 城市地下变电站设计规程》（DL/T5216-2017</w:t>
      </w:r>
      <w:r>
        <w:rPr>
          <w:rFonts w:hint="eastAsia"/>
          <w:color w:val="000000"/>
          <w:sz w:val="28"/>
          <w:szCs w:val="28"/>
          <w:lang w:val="en-US" w:eastAsia="zh-CN"/>
        </w:rPr>
        <w:t>）</w:t>
      </w:r>
    </w:p>
    <w:p>
      <w:pPr>
        <w:pStyle w:val="2"/>
        <w:numPr>
          <w:ilvl w:val="0"/>
          <w:numId w:val="8"/>
        </w:numPr>
        <w:ind w:left="0" w:leftChars="0" w:firstLine="0" w:firstLineChars="0"/>
        <w:rPr>
          <w:rFonts w:hint="default"/>
          <w:color w:val="000000"/>
          <w:sz w:val="28"/>
          <w:szCs w:val="28"/>
          <w:lang w:val="en-US" w:eastAsia="zh-CN"/>
        </w:rPr>
      </w:pPr>
      <w:r>
        <w:rPr>
          <w:rFonts w:hint="default"/>
          <w:color w:val="000000"/>
          <w:sz w:val="28"/>
          <w:szCs w:val="28"/>
          <w:lang w:val="en-US" w:eastAsia="zh-CN"/>
        </w:rPr>
        <w:t xml:space="preserve">《继电保护和安全自动装置技术规程》（GB/T 14285-2006） </w:t>
      </w:r>
    </w:p>
    <w:p>
      <w:pPr>
        <w:pStyle w:val="2"/>
        <w:numPr>
          <w:ilvl w:val="0"/>
          <w:numId w:val="8"/>
        </w:numPr>
        <w:ind w:left="0" w:leftChars="0" w:firstLine="0" w:firstLineChars="0"/>
        <w:rPr>
          <w:rFonts w:hint="default"/>
          <w:color w:val="000000"/>
          <w:sz w:val="28"/>
          <w:szCs w:val="28"/>
          <w:lang w:val="en-US" w:eastAsia="zh-CN"/>
        </w:rPr>
      </w:pPr>
      <w:r>
        <w:rPr>
          <w:rFonts w:hint="default"/>
          <w:color w:val="000000"/>
          <w:sz w:val="28"/>
          <w:szCs w:val="28"/>
          <w:lang w:val="en-US" w:eastAsia="zh-CN"/>
        </w:rPr>
        <w:t>《电力系统安全自动装置设计技术规定》（DL/T 5147-2016）</w:t>
      </w:r>
    </w:p>
    <w:p>
      <w:pPr>
        <w:pStyle w:val="2"/>
        <w:numPr>
          <w:ilvl w:val="0"/>
          <w:numId w:val="8"/>
        </w:numPr>
        <w:ind w:left="0" w:leftChars="0" w:firstLine="0" w:firstLineChars="0"/>
        <w:rPr>
          <w:rFonts w:hint="default"/>
          <w:color w:val="000000"/>
          <w:sz w:val="28"/>
          <w:szCs w:val="28"/>
          <w:lang w:val="en-US" w:eastAsia="zh-CN"/>
        </w:rPr>
      </w:pPr>
      <w:r>
        <w:rPr>
          <w:rFonts w:hint="default"/>
          <w:color w:val="000000"/>
          <w:sz w:val="28"/>
          <w:szCs w:val="28"/>
          <w:lang w:val="en-US" w:eastAsia="zh-CN"/>
        </w:rPr>
        <w:t xml:space="preserve">《电力装置电测量仪表装置设计规范》（GB/T50063-2017） </w:t>
      </w:r>
    </w:p>
    <w:p>
      <w:pPr>
        <w:pStyle w:val="2"/>
        <w:numPr>
          <w:ilvl w:val="0"/>
          <w:numId w:val="8"/>
        </w:numPr>
        <w:ind w:left="0" w:leftChars="0" w:firstLine="0" w:firstLineChars="0"/>
        <w:rPr>
          <w:rFonts w:hint="default"/>
          <w:color w:val="000000"/>
          <w:sz w:val="28"/>
          <w:szCs w:val="28"/>
          <w:lang w:val="en-US" w:eastAsia="zh-CN"/>
        </w:rPr>
      </w:pPr>
      <w:r>
        <w:rPr>
          <w:rFonts w:hint="default"/>
          <w:color w:val="000000"/>
          <w:sz w:val="28"/>
          <w:szCs w:val="28"/>
          <w:lang w:val="en-US" w:eastAsia="zh-CN"/>
        </w:rPr>
        <w:t xml:space="preserve">《地区电网调度自动化系统》（GB/T 13730-2002） </w:t>
      </w:r>
    </w:p>
    <w:p>
      <w:pPr>
        <w:pStyle w:val="2"/>
        <w:numPr>
          <w:ilvl w:val="0"/>
          <w:numId w:val="8"/>
        </w:numPr>
        <w:ind w:left="0" w:leftChars="0" w:firstLine="0" w:firstLineChars="0"/>
        <w:rPr>
          <w:rFonts w:hint="default"/>
          <w:color w:val="000000"/>
          <w:sz w:val="28"/>
          <w:szCs w:val="28"/>
          <w:lang w:val="en-US" w:eastAsia="zh-CN"/>
        </w:rPr>
      </w:pPr>
      <w:r>
        <w:rPr>
          <w:rFonts w:hint="default"/>
          <w:color w:val="000000"/>
          <w:sz w:val="28"/>
          <w:szCs w:val="28"/>
          <w:lang w:val="en-US" w:eastAsia="zh-CN"/>
        </w:rPr>
        <w:t xml:space="preserve">《110kV～750kV 架空输电线路设计规范》（GB 50545-2010） </w:t>
      </w:r>
    </w:p>
    <w:p>
      <w:pPr>
        <w:pStyle w:val="2"/>
        <w:numPr>
          <w:ilvl w:val="0"/>
          <w:numId w:val="8"/>
        </w:numPr>
        <w:ind w:left="0" w:leftChars="0" w:firstLine="0" w:firstLineChars="0"/>
        <w:rPr>
          <w:rFonts w:hint="default"/>
          <w:color w:val="000000"/>
          <w:sz w:val="28"/>
          <w:szCs w:val="28"/>
          <w:lang w:val="en-US" w:eastAsia="zh-CN"/>
        </w:rPr>
      </w:pPr>
      <w:r>
        <w:rPr>
          <w:rFonts w:hint="default"/>
          <w:color w:val="000000"/>
          <w:sz w:val="28"/>
          <w:szCs w:val="28"/>
          <w:lang w:val="en-US" w:eastAsia="zh-CN"/>
        </w:rPr>
        <w:t xml:space="preserve">《电力工程电缆设计标准》（GB 50217-2018） </w:t>
      </w:r>
    </w:p>
    <w:p>
      <w:pPr>
        <w:pStyle w:val="2"/>
        <w:numPr>
          <w:ilvl w:val="0"/>
          <w:numId w:val="8"/>
        </w:numPr>
        <w:ind w:left="0" w:leftChars="0" w:firstLine="0" w:firstLineChars="0"/>
        <w:rPr>
          <w:rFonts w:hint="default"/>
          <w:color w:val="000000"/>
          <w:sz w:val="28"/>
          <w:szCs w:val="28"/>
          <w:lang w:val="en-US" w:eastAsia="zh-CN"/>
        </w:rPr>
      </w:pPr>
      <w:r>
        <w:rPr>
          <w:rFonts w:hint="default"/>
          <w:color w:val="000000"/>
          <w:sz w:val="28"/>
          <w:szCs w:val="28"/>
          <w:lang w:val="en-US" w:eastAsia="zh-CN"/>
        </w:rPr>
        <w:t xml:space="preserve">《消防应急照明和疏散指示系统技术标准》（GB 51309-2018） （17）《火力发电厂与变电站设计防火标准》（GB 50229-2019） </w:t>
      </w:r>
    </w:p>
    <w:p>
      <w:pPr>
        <w:spacing w:line="360" w:lineRule="auto"/>
        <w:jc w:val="left"/>
        <w:outlineLvl w:val="1"/>
        <w:rPr>
          <w:rFonts w:hint="eastAsia" w:ascii="Times New Roman" w:hAnsi="Times New Roman" w:eastAsia="宋体" w:cs="Times New Roman"/>
          <w:b/>
          <w:snapToGrid w:val="0"/>
          <w:color w:val="000000"/>
          <w:kern w:val="0"/>
          <w:sz w:val="28"/>
          <w:szCs w:val="21"/>
          <w:lang w:val="en-US" w:eastAsia="zh-CN" w:bidi="ar-SA"/>
        </w:rPr>
      </w:pPr>
      <w:bookmarkStart w:id="73" w:name="_Toc16736"/>
      <w:r>
        <w:rPr>
          <w:rFonts w:hint="eastAsia" w:ascii="Times New Roman" w:hAnsi="Times New Roman" w:eastAsia="宋体" w:cs="Times New Roman"/>
          <w:b/>
          <w:snapToGrid w:val="0"/>
          <w:color w:val="000000"/>
          <w:kern w:val="0"/>
          <w:sz w:val="28"/>
          <w:szCs w:val="21"/>
          <w:lang w:val="en-US" w:eastAsia="zh-CN" w:bidi="ar-SA"/>
        </w:rPr>
        <w:t>2.2变电站布置要求</w:t>
      </w:r>
      <w:bookmarkEnd w:id="73"/>
    </w:p>
    <w:p>
      <w:pPr>
        <w:spacing w:line="360" w:lineRule="auto"/>
        <w:jc w:val="left"/>
        <w:outlineLvl w:val="2"/>
        <w:rPr>
          <w:rFonts w:hint="default" w:ascii="Times New Roman" w:hAnsi="Times New Roman" w:eastAsia="宋体" w:cs="Times New Roman"/>
          <w:b/>
          <w:snapToGrid w:val="0"/>
          <w:color w:val="000000"/>
          <w:kern w:val="0"/>
          <w:sz w:val="28"/>
          <w:szCs w:val="21"/>
          <w:lang w:val="en-US" w:eastAsia="zh-CN" w:bidi="ar-SA"/>
        </w:rPr>
      </w:pPr>
      <w:bookmarkStart w:id="74" w:name="_Toc12074"/>
      <w:r>
        <w:rPr>
          <w:rFonts w:hint="eastAsia" w:cs="Times New Roman"/>
          <w:b/>
          <w:snapToGrid w:val="0"/>
          <w:color w:val="000000"/>
          <w:kern w:val="0"/>
          <w:sz w:val="28"/>
          <w:szCs w:val="21"/>
          <w:lang w:val="en-US" w:eastAsia="zh-CN" w:bidi="ar-SA"/>
        </w:rPr>
        <w:t>2.2.1</w:t>
      </w:r>
      <w:r>
        <w:rPr>
          <w:rFonts w:hint="default" w:ascii="Times New Roman" w:hAnsi="Times New Roman" w:eastAsia="宋体" w:cs="Times New Roman"/>
          <w:b/>
          <w:snapToGrid w:val="0"/>
          <w:color w:val="000000"/>
          <w:kern w:val="0"/>
          <w:sz w:val="28"/>
          <w:szCs w:val="21"/>
          <w:lang w:val="en-US" w:eastAsia="zh-CN" w:bidi="ar-SA"/>
        </w:rPr>
        <w:t>总体布置</w:t>
      </w:r>
      <w:bookmarkEnd w:id="74"/>
    </w:p>
    <w:p>
      <w:pPr>
        <w:numPr>
          <w:ilvl w:val="0"/>
          <w:numId w:val="9"/>
        </w:numPr>
        <w:spacing w:line="360" w:lineRule="auto"/>
        <w:ind w:left="12" w:leftChars="0" w:firstLine="618" w:firstLineChars="0"/>
        <w:rPr>
          <w:rFonts w:hint="default"/>
          <w:color w:val="auto"/>
          <w:sz w:val="28"/>
          <w:szCs w:val="28"/>
          <w:lang w:val="en-US" w:eastAsia="zh-CN"/>
        </w:rPr>
      </w:pPr>
      <w:r>
        <w:rPr>
          <w:rFonts w:hint="default"/>
          <w:color w:val="auto"/>
          <w:sz w:val="28"/>
          <w:szCs w:val="28"/>
          <w:lang w:val="en-US" w:eastAsia="zh-CN"/>
        </w:rPr>
        <w:t>变（配）电站总平面布置应满足总体规划要求</w:t>
      </w:r>
      <w:r>
        <w:rPr>
          <w:rFonts w:hint="eastAsia"/>
          <w:color w:val="auto"/>
          <w:sz w:val="28"/>
          <w:szCs w:val="28"/>
          <w:lang w:val="en-US" w:eastAsia="zh-CN"/>
        </w:rPr>
        <w:t>，同时设计应参考招标文件中提供的变电站土建设计图纸，布置在规定的变电站结构尺寸内</w:t>
      </w:r>
      <w:r>
        <w:rPr>
          <w:rFonts w:hint="default"/>
          <w:color w:val="auto"/>
          <w:sz w:val="28"/>
          <w:szCs w:val="28"/>
          <w:lang w:val="en-US" w:eastAsia="zh-CN"/>
        </w:rPr>
        <w:t>，工艺布置紧凑合理，便于设备的操作、搬运、检修、试验和巡视，还要考虑发展的可能性，并使总平面布置尽量规整，应将近期建设的建（构）筑物集中布置，变电站工程按最终规模一次建成。</w:t>
      </w:r>
    </w:p>
    <w:p>
      <w:pPr>
        <w:pStyle w:val="2"/>
        <w:numPr>
          <w:ilvl w:val="0"/>
          <w:numId w:val="0"/>
        </w:numPr>
        <w:ind w:left="15" w:leftChars="7" w:firstLine="618" w:firstLineChars="221"/>
        <w:rPr>
          <w:rFonts w:hint="default"/>
          <w:lang w:val="en-US" w:eastAsia="zh-CN"/>
        </w:rPr>
      </w:pPr>
      <w:r>
        <w:rPr>
          <w:rFonts w:hint="eastAsia" w:ascii="Times New Roman" w:hAnsi="Times New Roman" w:eastAsia="宋体" w:cs="Times New Roman"/>
          <w:color w:val="000000"/>
          <w:kern w:val="2"/>
          <w:sz w:val="28"/>
          <w:szCs w:val="28"/>
          <w:lang w:val="en-US" w:eastAsia="zh-CN" w:bidi="ar-SA"/>
        </w:rPr>
        <w:t>2、110kV配电装置采用GIS设备，所有电气设备（除主变）采用户内布置方案进行设计，投标方自行考虑主变设计位置，但需满足原图纸对变电站框架结构的标高、外形尺寸等要求。</w:t>
      </w:r>
    </w:p>
    <w:p>
      <w:pPr>
        <w:numPr>
          <w:ilvl w:val="0"/>
          <w:numId w:val="0"/>
        </w:numPr>
        <w:spacing w:line="360" w:lineRule="auto"/>
        <w:ind w:left="0" w:leftChars="0" w:firstLine="490" w:firstLineChars="175"/>
        <w:rPr>
          <w:rFonts w:hint="default"/>
          <w:color w:val="000000"/>
          <w:sz w:val="28"/>
          <w:szCs w:val="28"/>
          <w:lang w:val="en-US" w:eastAsia="zh-CN"/>
        </w:rPr>
      </w:pPr>
      <w:r>
        <w:rPr>
          <w:rFonts w:hint="eastAsia"/>
          <w:color w:val="000000"/>
          <w:sz w:val="28"/>
          <w:szCs w:val="28"/>
          <w:lang w:val="en-US" w:eastAsia="zh-CN"/>
        </w:rPr>
        <w:t>3、</w:t>
      </w:r>
      <w:r>
        <w:rPr>
          <w:rFonts w:hint="default"/>
          <w:color w:val="000000"/>
          <w:sz w:val="28"/>
          <w:szCs w:val="28"/>
          <w:lang w:val="en-US" w:eastAsia="zh-CN"/>
        </w:rPr>
        <w:t>在兼顾出线规划顺畅、工艺布置合理的前提下，变（配）电站应结合自然地形，尽量减少土方量。</w:t>
      </w:r>
    </w:p>
    <w:p>
      <w:pPr>
        <w:numPr>
          <w:ilvl w:val="0"/>
          <w:numId w:val="0"/>
        </w:numPr>
        <w:spacing w:line="360" w:lineRule="auto"/>
        <w:ind w:left="0" w:leftChars="0" w:firstLine="490" w:firstLineChars="175"/>
        <w:rPr>
          <w:rFonts w:hint="eastAsia"/>
          <w:color w:val="000000"/>
          <w:sz w:val="28"/>
          <w:szCs w:val="28"/>
          <w:lang w:val="en-US" w:eastAsia="zh-CN"/>
        </w:rPr>
      </w:pPr>
      <w:r>
        <w:rPr>
          <w:rFonts w:hint="eastAsia"/>
          <w:color w:val="000000"/>
          <w:sz w:val="28"/>
          <w:szCs w:val="28"/>
          <w:lang w:val="en-US" w:eastAsia="zh-CN"/>
        </w:rPr>
        <w:t>4、消防车道的净宽和净高满足相关规范的规定。为满足消防要求的</w:t>
      </w:r>
      <w:r>
        <w:rPr>
          <w:rFonts w:hint="eastAsia"/>
          <w:color w:val="auto"/>
          <w:sz w:val="28"/>
          <w:szCs w:val="28"/>
          <w:lang w:val="en-US" w:eastAsia="zh-CN"/>
        </w:rPr>
        <w:t>变（配）电站内主要道路宽度应为4.0m。主要设</w:t>
      </w:r>
      <w:r>
        <w:rPr>
          <w:rFonts w:hint="eastAsia"/>
          <w:color w:val="000000"/>
          <w:sz w:val="28"/>
          <w:szCs w:val="28"/>
          <w:lang w:val="en-US" w:eastAsia="zh-CN"/>
        </w:rPr>
        <w:t>备运输道路的宽度可根据运输要求确定，并应具备回车条件。</w:t>
      </w:r>
    </w:p>
    <w:p>
      <w:pPr>
        <w:numPr>
          <w:ilvl w:val="0"/>
          <w:numId w:val="0"/>
        </w:numPr>
        <w:spacing w:line="360" w:lineRule="auto"/>
        <w:ind w:left="0" w:leftChars="0" w:firstLine="490" w:firstLineChars="175"/>
        <w:rPr>
          <w:rFonts w:hint="eastAsia"/>
          <w:color w:val="000000"/>
          <w:sz w:val="28"/>
          <w:szCs w:val="28"/>
          <w:lang w:val="en-US" w:eastAsia="zh-CN"/>
        </w:rPr>
      </w:pPr>
      <w:r>
        <w:rPr>
          <w:rFonts w:hint="eastAsia"/>
          <w:color w:val="000000"/>
          <w:sz w:val="28"/>
          <w:szCs w:val="28"/>
          <w:lang w:val="en-US" w:eastAsia="zh-CN"/>
        </w:rPr>
        <w:t>5、主控室、户内配电装置室、大型变电构架等重要建（构）筑物以及GIS、主变压器、高压电抗器、电容器等大型设备宜布置在土质均匀、地基可靠的地段。</w:t>
      </w:r>
    </w:p>
    <w:p>
      <w:pPr>
        <w:numPr>
          <w:ilvl w:val="0"/>
          <w:numId w:val="0"/>
        </w:numPr>
        <w:spacing w:line="360" w:lineRule="auto"/>
        <w:ind w:left="0" w:leftChars="0" w:firstLine="490" w:firstLineChars="175"/>
        <w:rPr>
          <w:rFonts w:hint="eastAsia"/>
          <w:color w:val="000000"/>
          <w:sz w:val="28"/>
          <w:szCs w:val="28"/>
          <w:lang w:val="en-US" w:eastAsia="zh-CN"/>
        </w:rPr>
      </w:pPr>
      <w:r>
        <w:rPr>
          <w:rFonts w:hint="eastAsia"/>
          <w:color w:val="000000"/>
          <w:sz w:val="28"/>
          <w:szCs w:val="28"/>
          <w:lang w:val="en-US" w:eastAsia="zh-CN"/>
        </w:rPr>
        <w:t>6、变（配）电站应根据所在区域特点，选择合适的配电装置形式，抗震设计应符合现行GB 50260—2013《电力设施抗震设计规范》的有关规定。</w:t>
      </w:r>
    </w:p>
    <w:p>
      <w:pPr>
        <w:numPr>
          <w:ilvl w:val="0"/>
          <w:numId w:val="0"/>
        </w:numPr>
        <w:spacing w:line="360" w:lineRule="auto"/>
        <w:ind w:left="0" w:leftChars="0" w:firstLine="490" w:firstLineChars="175"/>
        <w:rPr>
          <w:rFonts w:hint="eastAsia"/>
          <w:color w:val="000000"/>
          <w:sz w:val="28"/>
          <w:szCs w:val="28"/>
          <w:lang w:val="en-US" w:eastAsia="zh-CN"/>
        </w:rPr>
      </w:pPr>
      <w:r>
        <w:rPr>
          <w:rFonts w:hint="eastAsia"/>
          <w:color w:val="000000"/>
          <w:sz w:val="28"/>
          <w:szCs w:val="28"/>
          <w:lang w:val="en-US" w:eastAsia="zh-CN"/>
        </w:rPr>
        <w:t>7、变（配）电站主变压器布置除应运输方便外，并应布置在运行噪声对周边环境影响较小的位置。</w:t>
      </w:r>
    </w:p>
    <w:p>
      <w:pPr>
        <w:numPr>
          <w:ilvl w:val="0"/>
          <w:numId w:val="0"/>
        </w:numPr>
        <w:spacing w:line="360" w:lineRule="auto"/>
        <w:ind w:left="0" w:leftChars="0" w:firstLine="490" w:firstLineChars="175"/>
        <w:rPr>
          <w:rFonts w:hint="eastAsia"/>
          <w:color w:val="auto"/>
          <w:sz w:val="28"/>
          <w:szCs w:val="28"/>
          <w:lang w:val="en-US" w:eastAsia="zh-CN"/>
        </w:rPr>
      </w:pPr>
      <w:r>
        <w:rPr>
          <w:rFonts w:hint="eastAsia"/>
          <w:color w:val="auto"/>
          <w:sz w:val="28"/>
          <w:szCs w:val="28"/>
          <w:lang w:val="en-US" w:eastAsia="zh-CN"/>
        </w:rPr>
        <w:t>8、户外变（配）电站围栏不应低于2.2m，变（配）电站围栏形式应与周围环境相协调，不必建设实心围墙。</w:t>
      </w:r>
    </w:p>
    <w:p>
      <w:pPr>
        <w:numPr>
          <w:ilvl w:val="0"/>
          <w:numId w:val="0"/>
        </w:numPr>
        <w:spacing w:line="360" w:lineRule="auto"/>
        <w:ind w:left="0" w:leftChars="0" w:firstLine="490" w:firstLineChars="175"/>
        <w:rPr>
          <w:rFonts w:hint="eastAsia"/>
          <w:color w:val="000000"/>
          <w:sz w:val="28"/>
          <w:szCs w:val="28"/>
          <w:lang w:val="en-US" w:eastAsia="zh-CN"/>
        </w:rPr>
      </w:pPr>
      <w:r>
        <w:rPr>
          <w:rFonts w:hint="eastAsia"/>
          <w:color w:val="000000"/>
          <w:sz w:val="28"/>
          <w:szCs w:val="28"/>
          <w:lang w:val="en-US" w:eastAsia="zh-CN"/>
        </w:rPr>
        <w:t>9、电缆沟及其他类似沟道的沟底纵坡，不宜小于0.5％。</w:t>
      </w:r>
    </w:p>
    <w:p>
      <w:pPr>
        <w:numPr>
          <w:ilvl w:val="0"/>
          <w:numId w:val="0"/>
        </w:numPr>
        <w:spacing w:line="360" w:lineRule="auto"/>
        <w:ind w:left="0" w:leftChars="0" w:firstLine="490" w:firstLineChars="175"/>
        <w:rPr>
          <w:rFonts w:hint="eastAsia"/>
          <w:color w:val="000000"/>
          <w:sz w:val="28"/>
          <w:szCs w:val="28"/>
          <w:lang w:val="en-US" w:eastAsia="zh-CN"/>
        </w:rPr>
      </w:pPr>
      <w:r>
        <w:rPr>
          <w:rFonts w:hint="eastAsia"/>
          <w:color w:val="000000"/>
          <w:sz w:val="28"/>
          <w:szCs w:val="28"/>
          <w:lang w:val="en-US" w:eastAsia="zh-CN"/>
        </w:rPr>
        <w:t>10、变（配）电站内的建筑物标高、基础埋深、路基和管线埋深，应相互配合；建筑物内地面标高，宜高出地面0.3m，户外电缆沟壁，宜高出地面0.1m。</w:t>
      </w:r>
    </w:p>
    <w:p>
      <w:pPr>
        <w:numPr>
          <w:ilvl w:val="0"/>
          <w:numId w:val="0"/>
        </w:numPr>
        <w:spacing w:line="360" w:lineRule="auto"/>
        <w:ind w:left="0" w:leftChars="0" w:firstLine="490" w:firstLineChars="175"/>
        <w:rPr>
          <w:rFonts w:hint="eastAsia"/>
          <w:color w:val="000000"/>
          <w:sz w:val="28"/>
          <w:szCs w:val="28"/>
          <w:lang w:val="en-US" w:eastAsia="zh-CN"/>
        </w:rPr>
      </w:pPr>
      <w:r>
        <w:rPr>
          <w:rFonts w:hint="eastAsia"/>
          <w:color w:val="000000"/>
          <w:sz w:val="28"/>
          <w:szCs w:val="28"/>
          <w:lang w:val="en-US" w:eastAsia="zh-CN"/>
        </w:rPr>
        <w:t>11、各种地下管线之间和地下管线与建（构）筑物、道路之间的最小净距，应满足安全、检修安装及工艺的要求。</w:t>
      </w:r>
    </w:p>
    <w:p>
      <w:pPr>
        <w:numPr>
          <w:ilvl w:val="0"/>
          <w:numId w:val="0"/>
        </w:numPr>
        <w:spacing w:line="360" w:lineRule="auto"/>
        <w:ind w:left="0" w:leftChars="0" w:firstLine="490" w:firstLineChars="175"/>
        <w:rPr>
          <w:rFonts w:hint="eastAsia"/>
          <w:color w:val="000000"/>
          <w:sz w:val="28"/>
          <w:szCs w:val="28"/>
          <w:lang w:val="en-US" w:eastAsia="zh-CN"/>
        </w:rPr>
      </w:pPr>
      <w:r>
        <w:rPr>
          <w:rFonts w:hint="eastAsia"/>
          <w:color w:val="000000"/>
          <w:sz w:val="28"/>
          <w:szCs w:val="28"/>
          <w:lang w:val="en-US" w:eastAsia="zh-CN"/>
        </w:rPr>
        <w:t>12、变（配）电站内绿化规划应与周围环境相适应，并应防止绿化物影响安全运行。</w:t>
      </w:r>
    </w:p>
    <w:p>
      <w:pPr>
        <w:numPr>
          <w:ilvl w:val="0"/>
          <w:numId w:val="0"/>
        </w:numPr>
        <w:spacing w:line="360" w:lineRule="auto"/>
        <w:ind w:left="0" w:leftChars="0" w:firstLine="490" w:firstLineChars="175"/>
        <w:rPr>
          <w:rFonts w:hint="eastAsia"/>
          <w:color w:val="000000"/>
          <w:sz w:val="28"/>
          <w:szCs w:val="28"/>
          <w:lang w:val="en-US" w:eastAsia="zh-CN"/>
        </w:rPr>
      </w:pPr>
      <w:r>
        <w:rPr>
          <w:rFonts w:hint="eastAsia"/>
          <w:color w:val="000000"/>
          <w:sz w:val="28"/>
          <w:szCs w:val="28"/>
          <w:lang w:val="en-US" w:eastAsia="zh-CN"/>
        </w:rPr>
        <w:t>13、适当安排建筑物内各房间的相对位置；使配电室的位置便于进出线。110kv主变压器宜靠近10kV配电室。电容器宜与变压器室及相应电压等级的配电室相毗连，控制室、值班室和辅助房间的位置应便于运行人员工作和管理等。</w:t>
      </w:r>
    </w:p>
    <w:p>
      <w:pPr>
        <w:numPr>
          <w:ilvl w:val="0"/>
          <w:numId w:val="0"/>
        </w:numPr>
        <w:spacing w:line="360" w:lineRule="auto"/>
        <w:ind w:left="0" w:leftChars="0" w:firstLine="490" w:firstLineChars="175"/>
        <w:rPr>
          <w:rFonts w:hint="eastAsia"/>
          <w:color w:val="000000"/>
          <w:sz w:val="28"/>
          <w:szCs w:val="28"/>
          <w:lang w:val="en-US" w:eastAsia="zh-CN"/>
        </w:rPr>
      </w:pPr>
      <w:r>
        <w:rPr>
          <w:rFonts w:hint="eastAsia"/>
          <w:color w:val="000000"/>
          <w:sz w:val="28"/>
          <w:szCs w:val="28"/>
          <w:lang w:val="en-US" w:eastAsia="zh-CN"/>
        </w:rPr>
        <w:t>14、尽量利用自然采光和自然通风，变压器室和电容器室尽量避免西晒，控制室尽可能朝南。</w:t>
      </w:r>
    </w:p>
    <w:p>
      <w:pPr>
        <w:numPr>
          <w:ilvl w:val="0"/>
          <w:numId w:val="0"/>
        </w:numPr>
        <w:spacing w:line="360" w:lineRule="auto"/>
        <w:ind w:left="0" w:leftChars="0" w:firstLine="490" w:firstLineChars="175"/>
        <w:rPr>
          <w:rFonts w:hint="eastAsia"/>
          <w:color w:val="000000"/>
          <w:sz w:val="28"/>
          <w:szCs w:val="28"/>
          <w:lang w:val="en-US" w:eastAsia="zh-CN"/>
        </w:rPr>
      </w:pPr>
      <w:r>
        <w:rPr>
          <w:rFonts w:hint="eastAsia"/>
          <w:color w:val="000000"/>
          <w:sz w:val="28"/>
          <w:szCs w:val="28"/>
          <w:lang w:val="en-US" w:eastAsia="zh-CN"/>
        </w:rPr>
        <w:t>15、配电室、控制室、值班室等的地面，宜高出室外地面150～300mm，变压器室的地坪标高视需要而定。</w:t>
      </w:r>
    </w:p>
    <w:p>
      <w:pPr>
        <w:numPr>
          <w:ilvl w:val="0"/>
          <w:numId w:val="0"/>
        </w:numPr>
        <w:spacing w:line="360" w:lineRule="auto"/>
        <w:ind w:left="0" w:leftChars="0" w:firstLine="490" w:firstLineChars="175"/>
        <w:rPr>
          <w:rFonts w:hint="eastAsia"/>
          <w:color w:val="000000"/>
          <w:sz w:val="28"/>
          <w:szCs w:val="28"/>
          <w:lang w:val="en-US" w:eastAsia="zh-CN"/>
        </w:rPr>
      </w:pPr>
      <w:r>
        <w:rPr>
          <w:rFonts w:hint="eastAsia"/>
          <w:color w:val="000000"/>
          <w:sz w:val="28"/>
          <w:szCs w:val="28"/>
          <w:lang w:val="en-US" w:eastAsia="zh-CN"/>
        </w:rPr>
        <w:t>16、高、低压配电室内，应留有适当的配电装置备用位置。</w:t>
      </w:r>
    </w:p>
    <w:p>
      <w:pPr>
        <w:numPr>
          <w:ilvl w:val="0"/>
          <w:numId w:val="0"/>
        </w:numPr>
        <w:spacing w:line="360" w:lineRule="auto"/>
        <w:ind w:left="0" w:leftChars="0" w:firstLine="490" w:firstLineChars="175"/>
        <w:rPr>
          <w:rFonts w:hint="eastAsia"/>
          <w:color w:val="000000"/>
          <w:sz w:val="28"/>
          <w:szCs w:val="28"/>
          <w:lang w:val="en-US" w:eastAsia="zh-CN"/>
        </w:rPr>
      </w:pPr>
      <w:r>
        <w:rPr>
          <w:rFonts w:hint="eastAsia"/>
          <w:color w:val="000000"/>
          <w:sz w:val="28"/>
          <w:szCs w:val="28"/>
          <w:lang w:val="en-US" w:eastAsia="zh-CN"/>
        </w:rPr>
        <w:t>17、变（配）电站应设辅助生产用房，如载波通信室、值班室、休息室、工具室、备件库等，其他房间应根据需要和节约的原则确定。</w:t>
      </w:r>
    </w:p>
    <w:p>
      <w:pPr>
        <w:numPr>
          <w:ilvl w:val="0"/>
          <w:numId w:val="0"/>
        </w:numPr>
        <w:spacing w:line="360" w:lineRule="auto"/>
        <w:ind w:left="0" w:leftChars="0" w:firstLine="490" w:firstLineChars="175"/>
        <w:rPr>
          <w:rFonts w:hint="eastAsia"/>
          <w:color w:val="000000"/>
          <w:sz w:val="28"/>
          <w:szCs w:val="28"/>
          <w:lang w:val="en-US" w:eastAsia="zh-CN"/>
        </w:rPr>
      </w:pPr>
      <w:r>
        <w:rPr>
          <w:rFonts w:hint="eastAsia"/>
          <w:color w:val="000000"/>
          <w:sz w:val="28"/>
          <w:szCs w:val="28"/>
          <w:lang w:val="en-US" w:eastAsia="zh-CN"/>
        </w:rPr>
        <w:t>18、变（配）电站各房间经常开启的门、窗，不应直接通向相邻的酸、碱、蒸气、粉尘和噪声严重的场所。</w:t>
      </w:r>
    </w:p>
    <w:p>
      <w:pPr>
        <w:numPr>
          <w:ilvl w:val="0"/>
          <w:numId w:val="0"/>
        </w:numPr>
        <w:spacing w:line="360" w:lineRule="auto"/>
        <w:ind w:left="0" w:leftChars="0" w:firstLine="490" w:firstLineChars="175"/>
        <w:rPr>
          <w:rFonts w:hint="eastAsia"/>
          <w:color w:val="000000"/>
          <w:sz w:val="28"/>
          <w:szCs w:val="28"/>
          <w:lang w:val="en-US" w:eastAsia="zh-CN"/>
        </w:rPr>
      </w:pPr>
      <w:r>
        <w:rPr>
          <w:rFonts w:hint="eastAsia"/>
          <w:color w:val="000000"/>
          <w:sz w:val="28"/>
          <w:szCs w:val="28"/>
          <w:lang w:val="en-US" w:eastAsia="zh-CN"/>
        </w:rPr>
        <w:t>19、配电室、变压器室、电容器室的门应向外开。相邻配电室之间有门时，该门应双向开启或向低压方向开启。</w:t>
      </w:r>
    </w:p>
    <w:p>
      <w:pPr>
        <w:numPr>
          <w:ilvl w:val="0"/>
          <w:numId w:val="0"/>
        </w:numPr>
        <w:spacing w:line="360" w:lineRule="auto"/>
        <w:ind w:left="0" w:leftChars="0" w:firstLine="490" w:firstLineChars="175"/>
        <w:rPr>
          <w:rFonts w:hint="eastAsia"/>
          <w:color w:val="000000"/>
          <w:sz w:val="28"/>
          <w:szCs w:val="28"/>
          <w:lang w:val="en-US" w:eastAsia="zh-CN"/>
        </w:rPr>
      </w:pPr>
      <w:r>
        <w:rPr>
          <w:rFonts w:hint="eastAsia"/>
          <w:color w:val="000000"/>
          <w:sz w:val="28"/>
          <w:szCs w:val="28"/>
          <w:lang w:val="en-US" w:eastAsia="zh-CN"/>
        </w:rPr>
        <w:t>20、设备引线和设备间连线宜采用软导线，其长度应留有余量，当采用硬母线时，应有软导线或伸缩接头过渡。</w:t>
      </w:r>
    </w:p>
    <w:p>
      <w:pPr>
        <w:pStyle w:val="2"/>
        <w:ind w:left="218" w:leftChars="104" w:firstLine="420" w:firstLineChars="150"/>
        <w:rPr>
          <w:rFonts w:hint="eastAsia"/>
          <w:color w:val="auto"/>
          <w:sz w:val="28"/>
          <w:szCs w:val="28"/>
          <w:lang w:val="en-US" w:eastAsia="zh-CN"/>
        </w:rPr>
      </w:pPr>
      <w:r>
        <w:rPr>
          <w:rFonts w:hint="eastAsia"/>
          <w:color w:val="auto"/>
          <w:sz w:val="28"/>
          <w:szCs w:val="28"/>
          <w:lang w:val="en-US" w:eastAsia="zh-CN"/>
        </w:rPr>
        <w:t>21、电气设备和装置的安装必须牢固可靠，设备和装置安装螺栓或焊接强度必须满足抗震要求。</w:t>
      </w:r>
    </w:p>
    <w:p>
      <w:pPr>
        <w:pStyle w:val="2"/>
        <w:ind w:left="218" w:leftChars="104" w:firstLine="420" w:firstLineChars="150"/>
        <w:rPr>
          <w:rFonts w:hint="default"/>
          <w:color w:val="auto"/>
          <w:sz w:val="28"/>
          <w:szCs w:val="28"/>
          <w:lang w:val="en-US" w:eastAsia="zh-CN"/>
        </w:rPr>
      </w:pPr>
      <w:r>
        <w:rPr>
          <w:rFonts w:hint="eastAsia"/>
          <w:color w:val="auto"/>
          <w:sz w:val="28"/>
          <w:szCs w:val="28"/>
          <w:lang w:val="en-US" w:eastAsia="zh-CN"/>
        </w:rPr>
        <w:t>22、本站为独立变电站，需设给排水设施。（不设置厕所）</w:t>
      </w:r>
    </w:p>
    <w:p>
      <w:pPr>
        <w:pStyle w:val="2"/>
        <w:ind w:left="218" w:leftChars="104" w:firstLine="420" w:firstLineChars="150"/>
        <w:rPr>
          <w:rFonts w:hint="default"/>
          <w:color w:val="000000"/>
          <w:sz w:val="28"/>
          <w:szCs w:val="28"/>
          <w:lang w:val="en-US" w:eastAsia="zh-CN"/>
        </w:rPr>
      </w:pPr>
      <w:r>
        <w:rPr>
          <w:rFonts w:hint="eastAsia"/>
          <w:color w:val="000000"/>
          <w:sz w:val="28"/>
          <w:szCs w:val="28"/>
          <w:lang w:val="en-US" w:eastAsia="zh-CN"/>
        </w:rPr>
        <w:t>23、设备布置应使巡检通道合理、顺畅，连接电缆敷设长度短，便于设备的安装和检修。应保证设备分区合理，检修时不会对其他运行设备造成影响，火灾或设备事故时不扩大事故。</w:t>
      </w:r>
    </w:p>
    <w:p>
      <w:pPr>
        <w:numPr>
          <w:ilvl w:val="0"/>
          <w:numId w:val="0"/>
        </w:numPr>
        <w:tabs>
          <w:tab w:val="left" w:pos="7980"/>
        </w:tabs>
        <w:spacing w:line="360" w:lineRule="auto"/>
        <w:ind w:left="218" w:leftChars="104" w:firstLine="420" w:firstLineChars="150"/>
        <w:rPr>
          <w:rFonts w:hint="default"/>
          <w:color w:val="000000"/>
          <w:sz w:val="28"/>
          <w:szCs w:val="28"/>
          <w:lang w:val="en-US" w:eastAsia="zh-CN"/>
        </w:rPr>
      </w:pPr>
      <w:r>
        <w:rPr>
          <w:rFonts w:hint="eastAsia"/>
          <w:color w:val="000000"/>
          <w:sz w:val="28"/>
          <w:szCs w:val="28"/>
          <w:lang w:val="en-US" w:eastAsia="zh-CN"/>
        </w:rPr>
        <w:t>24、其他未说明处，参考工业与民用配电设计手册第四版及GB50059-2011 35-110kV变电所设计规范等现行国家标准。</w:t>
      </w:r>
    </w:p>
    <w:p>
      <w:pPr>
        <w:spacing w:line="360" w:lineRule="auto"/>
        <w:jc w:val="left"/>
        <w:outlineLvl w:val="2"/>
        <w:rPr>
          <w:rFonts w:hint="eastAsia" w:cs="Times New Roman"/>
          <w:b/>
          <w:snapToGrid w:val="0"/>
          <w:color w:val="000000"/>
          <w:kern w:val="0"/>
          <w:sz w:val="28"/>
          <w:szCs w:val="21"/>
          <w:lang w:val="en-US" w:eastAsia="zh-CN" w:bidi="ar-SA"/>
        </w:rPr>
      </w:pPr>
      <w:bookmarkStart w:id="75" w:name="_Toc14363"/>
      <w:r>
        <w:rPr>
          <w:rFonts w:hint="eastAsia" w:cs="Times New Roman"/>
          <w:b/>
          <w:snapToGrid w:val="0"/>
          <w:color w:val="000000"/>
          <w:kern w:val="0"/>
          <w:sz w:val="28"/>
          <w:szCs w:val="21"/>
          <w:lang w:val="en-US" w:eastAsia="zh-CN" w:bidi="ar-SA"/>
        </w:rPr>
        <w:t>2.2.2控制室</w:t>
      </w:r>
      <w:bookmarkEnd w:id="75"/>
    </w:p>
    <w:p>
      <w:pPr>
        <w:numPr>
          <w:ilvl w:val="0"/>
          <w:numId w:val="10"/>
        </w:numPr>
        <w:spacing w:line="360" w:lineRule="auto"/>
        <w:ind w:left="220" w:leftChars="0" w:firstLine="490" w:firstLineChars="175"/>
        <w:outlineLvl w:val="9"/>
        <w:rPr>
          <w:rFonts w:hint="eastAsia"/>
          <w:color w:val="000000"/>
          <w:sz w:val="28"/>
          <w:szCs w:val="28"/>
          <w:lang w:val="en-US" w:eastAsia="zh-CN"/>
        </w:rPr>
      </w:pPr>
      <w:r>
        <w:rPr>
          <w:rFonts w:hint="eastAsia"/>
          <w:color w:val="000000"/>
          <w:sz w:val="28"/>
          <w:szCs w:val="28"/>
          <w:lang w:val="en-US" w:eastAsia="zh-CN"/>
        </w:rPr>
        <w:t>控制室应布置在便于运行人员巡视检查、观察户外设备、电缆较短、避开噪声。控制室毗邻于高压配电室。当整个变电站为多层建筑时，控制室设在上层。</w:t>
      </w:r>
    </w:p>
    <w:p>
      <w:pPr>
        <w:numPr>
          <w:ilvl w:val="0"/>
          <w:numId w:val="10"/>
        </w:numPr>
        <w:spacing w:line="360" w:lineRule="auto"/>
        <w:ind w:left="220" w:leftChars="0" w:firstLine="490" w:firstLineChars="175"/>
        <w:outlineLvl w:val="9"/>
        <w:rPr>
          <w:rFonts w:hint="eastAsia"/>
          <w:color w:val="000000"/>
          <w:sz w:val="28"/>
          <w:szCs w:val="28"/>
          <w:lang w:val="en-US" w:eastAsia="zh-CN"/>
        </w:rPr>
      </w:pPr>
      <w:r>
        <w:rPr>
          <w:rFonts w:hint="eastAsia"/>
          <w:color w:val="000000"/>
          <w:sz w:val="28"/>
          <w:szCs w:val="28"/>
          <w:lang w:val="en-US" w:eastAsia="zh-CN"/>
        </w:rPr>
        <w:t>控制室内设置集中的事故信号和预告信号。室内安装的设备主要有控制屏、信号屏、站用电屏、电源屏，以及要求安装在控制室内的电能表屏和保护屏。</w:t>
      </w:r>
    </w:p>
    <w:p>
      <w:pPr>
        <w:numPr>
          <w:ilvl w:val="0"/>
          <w:numId w:val="10"/>
        </w:numPr>
        <w:spacing w:line="360" w:lineRule="auto"/>
        <w:ind w:left="220" w:leftChars="0" w:firstLine="490" w:firstLineChars="175"/>
        <w:outlineLvl w:val="9"/>
        <w:rPr>
          <w:rFonts w:hint="eastAsia"/>
          <w:color w:val="000000"/>
          <w:sz w:val="28"/>
          <w:szCs w:val="28"/>
          <w:lang w:val="en-US" w:eastAsia="zh-CN"/>
        </w:rPr>
      </w:pPr>
      <w:r>
        <w:rPr>
          <w:rFonts w:hint="eastAsia"/>
          <w:color w:val="000000"/>
          <w:sz w:val="28"/>
          <w:szCs w:val="28"/>
          <w:lang w:val="en-US" w:eastAsia="zh-CN"/>
        </w:rPr>
        <w:t>变电站屏的布置应使电缆最短、交叉最少。</w:t>
      </w:r>
    </w:p>
    <w:p>
      <w:pPr>
        <w:numPr>
          <w:ilvl w:val="0"/>
          <w:numId w:val="10"/>
        </w:numPr>
        <w:spacing w:line="360" w:lineRule="auto"/>
        <w:ind w:left="220" w:leftChars="0" w:firstLine="490" w:firstLineChars="175"/>
        <w:outlineLvl w:val="9"/>
        <w:rPr>
          <w:rFonts w:hint="eastAsia"/>
          <w:color w:val="000000"/>
          <w:sz w:val="28"/>
          <w:szCs w:val="28"/>
          <w:lang w:val="en-US" w:eastAsia="zh-CN"/>
        </w:rPr>
      </w:pPr>
      <w:r>
        <w:rPr>
          <w:rFonts w:hint="eastAsia"/>
          <w:color w:val="000000"/>
          <w:sz w:val="28"/>
          <w:szCs w:val="28"/>
          <w:lang w:val="en-US" w:eastAsia="zh-CN"/>
        </w:rPr>
        <w:t>变电站屏的布置要求监视、调试方便，力求紧凑，并应注意整齐美观。</w:t>
      </w:r>
    </w:p>
    <w:p>
      <w:pPr>
        <w:numPr>
          <w:ilvl w:val="0"/>
          <w:numId w:val="10"/>
        </w:numPr>
        <w:spacing w:line="360" w:lineRule="auto"/>
        <w:ind w:left="220" w:leftChars="0" w:firstLine="490" w:firstLineChars="175"/>
        <w:outlineLvl w:val="9"/>
        <w:rPr>
          <w:rFonts w:hint="eastAsia"/>
          <w:color w:val="000000"/>
          <w:sz w:val="28"/>
          <w:szCs w:val="28"/>
          <w:lang w:val="en-US" w:eastAsia="zh-CN"/>
        </w:rPr>
      </w:pPr>
      <w:r>
        <w:rPr>
          <w:rFonts w:hint="eastAsia"/>
          <w:color w:val="000000"/>
          <w:sz w:val="28"/>
          <w:szCs w:val="28"/>
          <w:lang w:val="en-US" w:eastAsia="zh-CN"/>
        </w:rPr>
        <w:t>变电站屏的排列方式视屏的数量多少而定，主环采用一字形布置。</w:t>
      </w:r>
    </w:p>
    <w:p>
      <w:pPr>
        <w:numPr>
          <w:ilvl w:val="0"/>
          <w:numId w:val="10"/>
        </w:numPr>
        <w:spacing w:line="360" w:lineRule="auto"/>
        <w:ind w:left="220" w:leftChars="0" w:firstLine="490" w:firstLineChars="175"/>
        <w:outlineLvl w:val="9"/>
        <w:rPr>
          <w:rFonts w:hint="eastAsia"/>
          <w:color w:val="000000"/>
          <w:sz w:val="28"/>
          <w:szCs w:val="28"/>
          <w:lang w:val="en-US" w:eastAsia="zh-CN"/>
        </w:rPr>
      </w:pPr>
      <w:r>
        <w:rPr>
          <w:rFonts w:hint="eastAsia"/>
          <w:color w:val="000000"/>
          <w:sz w:val="28"/>
          <w:szCs w:val="28"/>
          <w:lang w:val="en-US" w:eastAsia="zh-CN"/>
        </w:rPr>
        <w:t>主环的正面布置控制屏、信号屏，电源屏和站用电屏一般布置在主环的后面或正面的边上。控制屏的模拟接线应清晰，并尽量与实际配置相对应。</w:t>
      </w:r>
    </w:p>
    <w:p>
      <w:pPr>
        <w:numPr>
          <w:ilvl w:val="0"/>
          <w:numId w:val="10"/>
        </w:numPr>
        <w:spacing w:line="360" w:lineRule="auto"/>
        <w:ind w:left="220" w:leftChars="0" w:firstLine="490" w:firstLineChars="175"/>
        <w:outlineLvl w:val="9"/>
        <w:rPr>
          <w:rFonts w:hint="eastAsia"/>
          <w:color w:val="000000"/>
          <w:sz w:val="28"/>
          <w:szCs w:val="28"/>
          <w:lang w:val="en-US" w:eastAsia="zh-CN"/>
        </w:rPr>
      </w:pPr>
      <w:r>
        <w:rPr>
          <w:rFonts w:hint="eastAsia"/>
          <w:color w:val="000000"/>
          <w:sz w:val="28"/>
          <w:szCs w:val="28"/>
          <w:lang w:val="en-US" w:eastAsia="zh-CN"/>
        </w:rPr>
        <w:t>控制室各屏间及通道宽度参考下表。在工程设计中应根据房间大小、屏的排列长度作适当调整。在设计时的尺寸，应根据规划的建筑物尺寸，充分考虑运行维护便利性，按照保守尺寸设计。当场地紧张，设计困难时，可按规范要求的最低标准执行（DLT 5136-2012 火力发电厂、变电站二次接线设计技术规程）。</w:t>
      </w:r>
    </w:p>
    <w:p>
      <w:pPr>
        <w:numPr>
          <w:ilvl w:val="0"/>
          <w:numId w:val="0"/>
        </w:numPr>
        <w:spacing w:line="360" w:lineRule="auto"/>
        <w:ind w:leftChars="175"/>
        <w:jc w:val="right"/>
        <w:outlineLvl w:val="9"/>
        <w:rPr>
          <w:rFonts w:hint="eastAsia"/>
          <w:color w:val="000000"/>
          <w:sz w:val="28"/>
          <w:szCs w:val="28"/>
          <w:lang w:val="en-US" w:eastAsia="zh-CN"/>
        </w:rPr>
      </w:pPr>
    </w:p>
    <w:p>
      <w:pPr>
        <w:numPr>
          <w:ilvl w:val="0"/>
          <w:numId w:val="0"/>
        </w:numPr>
        <w:spacing w:line="360" w:lineRule="auto"/>
        <w:ind w:leftChars="175"/>
        <w:jc w:val="right"/>
        <w:outlineLvl w:val="9"/>
        <w:rPr>
          <w:rFonts w:hint="eastAsia"/>
          <w:color w:val="000000"/>
          <w:sz w:val="28"/>
          <w:szCs w:val="28"/>
          <w:lang w:val="en-US" w:eastAsia="zh-CN"/>
        </w:rPr>
      </w:pPr>
      <w:r>
        <w:rPr>
          <w:rFonts w:hint="eastAsia"/>
          <w:color w:val="000000"/>
          <w:sz w:val="28"/>
          <w:szCs w:val="28"/>
          <w:lang w:val="en-US" w:eastAsia="zh-CN"/>
        </w:rPr>
        <w:t>单位：毫米</w:t>
      </w:r>
    </w:p>
    <w:p>
      <w:pPr>
        <w:pStyle w:val="2"/>
        <w:ind w:left="0" w:leftChars="0" w:firstLine="0" w:firstLineChars="0"/>
        <w:jc w:val="both"/>
        <w:rPr>
          <w:rFonts w:hint="default"/>
          <w:lang w:val="en-US" w:eastAsia="zh-CN"/>
        </w:rPr>
      </w:pPr>
      <w:r>
        <w:drawing>
          <wp:inline distT="0" distB="0" distL="114300" distR="114300">
            <wp:extent cx="5489575" cy="2046605"/>
            <wp:effectExtent l="0" t="0" r="15875" b="10795"/>
            <wp:docPr id="2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
                    <pic:cNvPicPr>
                      <a:picLocks noChangeAspect="1"/>
                    </pic:cNvPicPr>
                  </pic:nvPicPr>
                  <pic:blipFill>
                    <a:blip r:embed="rId11"/>
                    <a:stretch>
                      <a:fillRect/>
                    </a:stretch>
                  </pic:blipFill>
                  <pic:spPr>
                    <a:xfrm>
                      <a:off x="0" y="0"/>
                      <a:ext cx="5489575" cy="2046605"/>
                    </a:xfrm>
                    <a:prstGeom prst="rect">
                      <a:avLst/>
                    </a:prstGeom>
                    <a:noFill/>
                    <a:ln>
                      <a:noFill/>
                    </a:ln>
                  </pic:spPr>
                </pic:pic>
              </a:graphicData>
            </a:graphic>
          </wp:inline>
        </w:drawing>
      </w:r>
    </w:p>
    <w:p>
      <w:pPr>
        <w:numPr>
          <w:ilvl w:val="0"/>
          <w:numId w:val="10"/>
        </w:numPr>
        <w:spacing w:line="360" w:lineRule="auto"/>
        <w:ind w:left="220" w:leftChars="0" w:firstLine="490" w:firstLineChars="175"/>
        <w:outlineLvl w:val="9"/>
        <w:rPr>
          <w:rFonts w:hint="default"/>
          <w:color w:val="000000"/>
          <w:sz w:val="28"/>
          <w:szCs w:val="28"/>
          <w:lang w:val="en-US" w:eastAsia="zh-CN"/>
        </w:rPr>
      </w:pPr>
      <w:r>
        <w:rPr>
          <w:rFonts w:hint="eastAsia"/>
          <w:color w:val="000000"/>
          <w:sz w:val="28"/>
          <w:szCs w:val="28"/>
          <w:lang w:val="en-US" w:eastAsia="zh-CN"/>
        </w:rPr>
        <w:t>控制室应有两个出口。</w:t>
      </w:r>
    </w:p>
    <w:p>
      <w:pPr>
        <w:numPr>
          <w:ilvl w:val="0"/>
          <w:numId w:val="10"/>
        </w:numPr>
        <w:spacing w:line="360" w:lineRule="auto"/>
        <w:ind w:left="220" w:leftChars="0" w:firstLine="490" w:firstLineChars="175"/>
        <w:outlineLvl w:val="9"/>
        <w:rPr>
          <w:rFonts w:hint="default"/>
          <w:color w:val="auto"/>
          <w:sz w:val="28"/>
          <w:szCs w:val="28"/>
          <w:lang w:val="en-US" w:eastAsia="zh-CN"/>
        </w:rPr>
      </w:pPr>
      <w:r>
        <w:rPr>
          <w:rFonts w:hint="default"/>
          <w:color w:val="auto"/>
          <w:sz w:val="28"/>
          <w:szCs w:val="28"/>
          <w:lang w:val="en-US" w:eastAsia="zh-CN"/>
        </w:rPr>
        <w:t>控制室的门不</w:t>
      </w:r>
      <w:r>
        <w:rPr>
          <w:rFonts w:hint="eastAsia"/>
          <w:color w:val="auto"/>
          <w:sz w:val="28"/>
          <w:szCs w:val="28"/>
          <w:lang w:val="en-US" w:eastAsia="zh-CN"/>
        </w:rPr>
        <w:t>应</w:t>
      </w:r>
      <w:r>
        <w:rPr>
          <w:rFonts w:hint="default"/>
          <w:color w:val="auto"/>
          <w:sz w:val="28"/>
          <w:szCs w:val="28"/>
          <w:lang w:val="en-US" w:eastAsia="zh-CN"/>
        </w:rPr>
        <w:t>直接通向屋外，宜通过走廊或套间。</w:t>
      </w:r>
    </w:p>
    <w:p>
      <w:pPr>
        <w:numPr>
          <w:ilvl w:val="0"/>
          <w:numId w:val="10"/>
        </w:numPr>
        <w:spacing w:line="360" w:lineRule="auto"/>
        <w:ind w:left="220" w:leftChars="0" w:firstLine="490" w:firstLineChars="175"/>
        <w:outlineLvl w:val="9"/>
        <w:rPr>
          <w:rFonts w:hint="default"/>
          <w:color w:val="000000"/>
          <w:sz w:val="28"/>
          <w:szCs w:val="28"/>
          <w:lang w:val="en-US" w:eastAsia="zh-CN"/>
        </w:rPr>
      </w:pPr>
      <w:r>
        <w:rPr>
          <w:rFonts w:hint="default"/>
          <w:color w:val="000000"/>
          <w:sz w:val="28"/>
          <w:szCs w:val="28"/>
          <w:lang w:val="en-US" w:eastAsia="zh-CN"/>
        </w:rPr>
        <w:t>微机综合自动化系统的变电站控制室内，安装的设备有系统模拟显示屏、微机及操作台、打印机、UPS电源、集中的事故信号和预告信号等</w:t>
      </w:r>
      <w:r>
        <w:rPr>
          <w:rFonts w:hint="eastAsia"/>
          <w:color w:val="000000"/>
          <w:sz w:val="28"/>
          <w:szCs w:val="28"/>
          <w:lang w:val="en-US" w:eastAsia="zh-CN"/>
        </w:rPr>
        <w:t>。</w:t>
      </w:r>
    </w:p>
    <w:p>
      <w:pPr>
        <w:spacing w:line="360" w:lineRule="auto"/>
        <w:jc w:val="left"/>
        <w:outlineLvl w:val="2"/>
        <w:rPr>
          <w:rFonts w:hint="eastAsia" w:cs="Times New Roman"/>
          <w:b/>
          <w:snapToGrid w:val="0"/>
          <w:color w:val="000000"/>
          <w:kern w:val="0"/>
          <w:sz w:val="28"/>
          <w:szCs w:val="21"/>
          <w:lang w:val="en-US" w:eastAsia="zh-CN" w:bidi="ar-SA"/>
        </w:rPr>
      </w:pPr>
      <w:bookmarkStart w:id="76" w:name="_Toc20171"/>
      <w:r>
        <w:rPr>
          <w:rFonts w:hint="eastAsia" w:cs="Times New Roman"/>
          <w:b/>
          <w:snapToGrid w:val="0"/>
          <w:color w:val="000000"/>
          <w:kern w:val="0"/>
          <w:sz w:val="28"/>
          <w:szCs w:val="21"/>
          <w:lang w:val="en-US" w:eastAsia="zh-CN" w:bidi="ar-SA"/>
        </w:rPr>
        <w:t>2.2.3高压配电室</w:t>
      </w:r>
      <w:bookmarkEnd w:id="76"/>
    </w:p>
    <w:p>
      <w:pPr>
        <w:numPr>
          <w:ilvl w:val="0"/>
          <w:numId w:val="11"/>
        </w:numPr>
        <w:spacing w:line="360" w:lineRule="auto"/>
        <w:ind w:left="220" w:leftChars="0" w:firstLine="397" w:firstLineChars="0"/>
        <w:jc w:val="left"/>
        <w:outlineLvl w:val="9"/>
        <w:rPr>
          <w:rFonts w:hint="eastAsia"/>
          <w:color w:val="000000"/>
          <w:sz w:val="28"/>
          <w:szCs w:val="28"/>
          <w:lang w:val="en-US" w:eastAsia="zh-CN"/>
        </w:rPr>
      </w:pPr>
      <w:r>
        <w:rPr>
          <w:rFonts w:hint="eastAsia"/>
          <w:color w:val="000000"/>
          <w:sz w:val="28"/>
          <w:szCs w:val="28"/>
          <w:lang w:val="en-US" w:eastAsia="zh-CN"/>
        </w:rPr>
        <w:t>高压配电设备应装设闭锁及连锁装置，以防止误操作事故的发生。</w:t>
      </w:r>
    </w:p>
    <w:p>
      <w:pPr>
        <w:numPr>
          <w:ilvl w:val="0"/>
          <w:numId w:val="11"/>
        </w:numPr>
        <w:spacing w:line="360" w:lineRule="auto"/>
        <w:ind w:left="210" w:leftChars="0" w:firstLine="420" w:firstLineChars="0"/>
        <w:jc w:val="left"/>
        <w:outlineLvl w:val="9"/>
        <w:rPr>
          <w:rFonts w:hint="eastAsia"/>
          <w:color w:val="auto"/>
          <w:sz w:val="28"/>
          <w:szCs w:val="28"/>
          <w:lang w:val="en-US" w:eastAsia="zh-CN"/>
        </w:rPr>
      </w:pPr>
      <w:r>
        <w:rPr>
          <w:rFonts w:hint="eastAsia"/>
          <w:color w:val="auto"/>
          <w:sz w:val="28"/>
          <w:szCs w:val="28"/>
          <w:lang w:val="en-US" w:eastAsia="zh-CN"/>
        </w:rPr>
        <w:t>当10kV高压开关柜的数量为6台及以下时，可和低压配电屏装设在同一房间内，否则分开布置。</w:t>
      </w:r>
    </w:p>
    <w:p>
      <w:pPr>
        <w:numPr>
          <w:ilvl w:val="0"/>
          <w:numId w:val="11"/>
        </w:numPr>
        <w:spacing w:line="360" w:lineRule="auto"/>
        <w:ind w:left="210" w:leftChars="0" w:firstLine="420" w:firstLineChars="0"/>
        <w:jc w:val="left"/>
        <w:outlineLvl w:val="9"/>
        <w:rPr>
          <w:rFonts w:hint="eastAsia"/>
          <w:color w:val="000000"/>
          <w:sz w:val="28"/>
          <w:szCs w:val="28"/>
          <w:lang w:val="en-US" w:eastAsia="zh-CN"/>
        </w:rPr>
      </w:pPr>
      <w:r>
        <w:rPr>
          <w:rFonts w:hint="eastAsia"/>
          <w:color w:val="000000"/>
          <w:sz w:val="28"/>
          <w:szCs w:val="28"/>
          <w:lang w:val="en-US" w:eastAsia="zh-CN"/>
        </w:rPr>
        <w:t>在同一配电室内单列布置的高低压配电装置，当高压开关柜或低压配电屏顶面有裸露带电导体时，两者之间的净距不应小于2m。</w:t>
      </w:r>
    </w:p>
    <w:p>
      <w:pPr>
        <w:numPr>
          <w:ilvl w:val="0"/>
          <w:numId w:val="11"/>
        </w:numPr>
        <w:spacing w:line="360" w:lineRule="auto"/>
        <w:ind w:left="620" w:leftChars="0" w:firstLineChars="0"/>
        <w:jc w:val="left"/>
        <w:outlineLvl w:val="9"/>
        <w:rPr>
          <w:rFonts w:hint="eastAsia"/>
          <w:color w:val="000000"/>
          <w:sz w:val="28"/>
          <w:szCs w:val="28"/>
          <w:lang w:val="en-US" w:eastAsia="zh-CN"/>
        </w:rPr>
      </w:pPr>
      <w:r>
        <w:rPr>
          <w:rFonts w:hint="eastAsia"/>
          <w:color w:val="000000"/>
          <w:sz w:val="28"/>
          <w:szCs w:val="28"/>
          <w:lang w:val="en-US" w:eastAsia="zh-CN"/>
        </w:rPr>
        <w:t>高压配电室内宜留有适当数量开关柜的备用位置。</w:t>
      </w:r>
    </w:p>
    <w:p>
      <w:pPr>
        <w:numPr>
          <w:ilvl w:val="0"/>
          <w:numId w:val="11"/>
        </w:numPr>
        <w:spacing w:line="360" w:lineRule="auto"/>
        <w:ind w:left="210" w:leftChars="0" w:firstLine="420" w:firstLineChars="0"/>
        <w:jc w:val="left"/>
        <w:outlineLvl w:val="9"/>
        <w:rPr>
          <w:rFonts w:hint="eastAsia"/>
          <w:color w:val="000000"/>
          <w:sz w:val="28"/>
          <w:szCs w:val="28"/>
          <w:lang w:val="en-US" w:eastAsia="zh-CN"/>
        </w:rPr>
      </w:pPr>
      <w:r>
        <w:rPr>
          <w:rFonts w:hint="eastAsia"/>
          <w:color w:val="000000"/>
          <w:sz w:val="28"/>
          <w:szCs w:val="28"/>
          <w:lang w:val="en-US" w:eastAsia="zh-CN"/>
        </w:rPr>
        <w:t>单层、双层布置，参考工业与民用配电设计手册第四版，图3.2-3 35/10kV变电站布置方案。</w:t>
      </w:r>
    </w:p>
    <w:p>
      <w:pPr>
        <w:numPr>
          <w:ilvl w:val="0"/>
          <w:numId w:val="11"/>
        </w:numPr>
        <w:spacing w:line="360" w:lineRule="auto"/>
        <w:ind w:left="210" w:leftChars="0" w:firstLine="420" w:firstLineChars="0"/>
        <w:jc w:val="left"/>
        <w:outlineLvl w:val="9"/>
        <w:rPr>
          <w:rFonts w:hint="default"/>
          <w:color w:val="000000"/>
          <w:sz w:val="28"/>
          <w:szCs w:val="28"/>
          <w:lang w:val="en-US" w:eastAsia="zh-CN"/>
        </w:rPr>
      </w:pPr>
      <w:r>
        <w:rPr>
          <w:rFonts w:hint="eastAsia"/>
          <w:color w:val="000000"/>
          <w:sz w:val="28"/>
          <w:szCs w:val="28"/>
          <w:lang w:val="en-US" w:eastAsia="zh-CN"/>
        </w:rPr>
        <w:t>高压配电室可开窗，但应采取防止雨、雪、小动物、风沙及污秽尘埃进入的措施，室内有驱鼠器等相关措施。窗台距室外地坪不宜低于1.8m。</w:t>
      </w:r>
    </w:p>
    <w:p>
      <w:pPr>
        <w:numPr>
          <w:ilvl w:val="0"/>
          <w:numId w:val="11"/>
        </w:numPr>
        <w:spacing w:line="360" w:lineRule="auto"/>
        <w:ind w:left="210" w:leftChars="0" w:firstLine="420" w:firstLineChars="0"/>
        <w:jc w:val="left"/>
        <w:outlineLvl w:val="9"/>
        <w:rPr>
          <w:rFonts w:hint="default"/>
          <w:color w:val="000000"/>
          <w:sz w:val="28"/>
          <w:szCs w:val="28"/>
          <w:lang w:val="en-US" w:eastAsia="zh-CN"/>
        </w:rPr>
      </w:pPr>
      <w:r>
        <w:rPr>
          <w:rFonts w:hint="eastAsia"/>
          <w:color w:val="000000"/>
          <w:sz w:val="28"/>
          <w:szCs w:val="28"/>
          <w:lang w:val="en-US" w:eastAsia="zh-CN"/>
        </w:rPr>
        <w:t>高压配电室装有较多断路器，应装设事故排烟装置。</w:t>
      </w:r>
    </w:p>
    <w:p>
      <w:pPr>
        <w:spacing w:line="360" w:lineRule="auto"/>
        <w:jc w:val="left"/>
        <w:outlineLvl w:val="2"/>
        <w:rPr>
          <w:rFonts w:hint="eastAsia" w:cs="Times New Roman"/>
          <w:b/>
          <w:snapToGrid w:val="0"/>
          <w:color w:val="000000"/>
          <w:kern w:val="0"/>
          <w:sz w:val="28"/>
          <w:szCs w:val="21"/>
          <w:lang w:val="en-US" w:eastAsia="zh-CN" w:bidi="ar-SA"/>
        </w:rPr>
      </w:pPr>
      <w:bookmarkStart w:id="77" w:name="_Toc15590"/>
      <w:r>
        <w:rPr>
          <w:rFonts w:hint="eastAsia" w:cs="Times New Roman"/>
          <w:b/>
          <w:snapToGrid w:val="0"/>
          <w:color w:val="000000"/>
          <w:kern w:val="0"/>
          <w:sz w:val="28"/>
          <w:szCs w:val="21"/>
          <w:lang w:val="en-US" w:eastAsia="zh-CN" w:bidi="ar-SA"/>
        </w:rPr>
        <w:t>2.2.4安全净距、通道、围栏及出口</w:t>
      </w:r>
      <w:bookmarkEnd w:id="77"/>
    </w:p>
    <w:p>
      <w:pPr>
        <w:numPr>
          <w:ilvl w:val="0"/>
          <w:numId w:val="12"/>
        </w:numPr>
        <w:spacing w:line="360" w:lineRule="auto"/>
        <w:ind w:left="230" w:leftChars="0" w:firstLine="397" w:firstLineChars="142"/>
        <w:jc w:val="left"/>
        <w:outlineLvl w:val="9"/>
        <w:rPr>
          <w:rFonts w:hint="eastAsia"/>
          <w:color w:val="000000"/>
          <w:sz w:val="28"/>
          <w:szCs w:val="28"/>
          <w:lang w:val="en-US" w:eastAsia="zh-CN"/>
        </w:rPr>
      </w:pPr>
      <w:r>
        <w:rPr>
          <w:rFonts w:hint="eastAsia"/>
          <w:color w:val="000000"/>
          <w:sz w:val="28"/>
          <w:szCs w:val="28"/>
          <w:lang w:val="en-US" w:eastAsia="zh-CN"/>
        </w:rPr>
        <w:t>户内配电装置的最小电气安全净距见参考工业与民用配电设计手册第四版，图3.2-8和表3.2-2。</w:t>
      </w:r>
    </w:p>
    <w:p>
      <w:pPr>
        <w:numPr>
          <w:ilvl w:val="0"/>
          <w:numId w:val="12"/>
        </w:numPr>
        <w:spacing w:line="360" w:lineRule="auto"/>
        <w:ind w:left="230" w:leftChars="0" w:firstLine="397" w:firstLineChars="142"/>
        <w:jc w:val="left"/>
        <w:outlineLvl w:val="9"/>
        <w:rPr>
          <w:rFonts w:hint="default"/>
          <w:color w:val="000000"/>
          <w:sz w:val="28"/>
          <w:szCs w:val="28"/>
          <w:lang w:val="en-US" w:eastAsia="zh-CN"/>
        </w:rPr>
      </w:pPr>
      <w:r>
        <w:rPr>
          <w:rFonts w:hint="default"/>
          <w:color w:val="000000"/>
          <w:sz w:val="28"/>
          <w:szCs w:val="28"/>
          <w:lang w:val="en-US" w:eastAsia="zh-CN"/>
        </w:rPr>
        <w:t>配电装置的布置应便于设备的搬运、检修、试验和操作。</w:t>
      </w:r>
    </w:p>
    <w:p>
      <w:pPr>
        <w:numPr>
          <w:ilvl w:val="0"/>
          <w:numId w:val="12"/>
        </w:numPr>
        <w:spacing w:line="360" w:lineRule="auto"/>
        <w:ind w:left="230" w:leftChars="0" w:firstLine="397" w:firstLineChars="142"/>
        <w:jc w:val="left"/>
        <w:outlineLvl w:val="9"/>
        <w:rPr>
          <w:rFonts w:hint="default"/>
          <w:color w:val="000000"/>
          <w:sz w:val="28"/>
          <w:szCs w:val="28"/>
          <w:lang w:val="en-US" w:eastAsia="zh-CN"/>
        </w:rPr>
      </w:pPr>
      <w:r>
        <w:rPr>
          <w:rFonts w:hint="default"/>
          <w:color w:val="000000"/>
          <w:sz w:val="28"/>
          <w:szCs w:val="28"/>
          <w:lang w:val="en-US" w:eastAsia="zh-CN"/>
        </w:rPr>
        <w:t>高压配电室内各种通道的宽度不应小于</w:t>
      </w:r>
      <w:r>
        <w:rPr>
          <w:rFonts w:hint="eastAsia"/>
          <w:color w:val="000000"/>
          <w:sz w:val="28"/>
          <w:szCs w:val="28"/>
          <w:lang w:val="en-US" w:eastAsia="zh-CN"/>
        </w:rPr>
        <w:t>下</w:t>
      </w:r>
      <w:r>
        <w:rPr>
          <w:rFonts w:hint="default"/>
          <w:color w:val="000000"/>
          <w:sz w:val="28"/>
          <w:szCs w:val="28"/>
          <w:lang w:val="en-US" w:eastAsia="zh-CN"/>
        </w:rPr>
        <w:t>表所列数值。固定式开关柜靠墙布置时，侧面与墙的净距应大于200mm，柜后与墙的净距应大于50mm</w:t>
      </w:r>
      <w:r>
        <w:rPr>
          <w:rFonts w:hint="eastAsia"/>
          <w:color w:val="000000"/>
          <w:sz w:val="28"/>
          <w:szCs w:val="28"/>
          <w:lang w:val="en-US" w:eastAsia="zh-CN"/>
        </w:rPr>
        <w:t>。</w:t>
      </w:r>
    </w:p>
    <w:p>
      <w:pPr>
        <w:numPr>
          <w:ilvl w:val="0"/>
          <w:numId w:val="0"/>
        </w:numPr>
        <w:spacing w:line="360" w:lineRule="auto"/>
        <w:jc w:val="right"/>
        <w:outlineLvl w:val="9"/>
        <w:rPr>
          <w:rFonts w:hint="default"/>
          <w:color w:val="000000"/>
          <w:sz w:val="28"/>
          <w:szCs w:val="28"/>
          <w:lang w:val="en-US" w:eastAsia="zh-CN"/>
        </w:rPr>
      </w:pPr>
      <w:r>
        <w:rPr>
          <w:rFonts w:hint="eastAsia"/>
          <w:color w:val="000000"/>
          <w:sz w:val="28"/>
          <w:szCs w:val="28"/>
          <w:lang w:val="en-US" w:eastAsia="zh-CN"/>
        </w:rPr>
        <w:t>单位：毫米</w:t>
      </w:r>
    </w:p>
    <w:p>
      <w:pPr>
        <w:numPr>
          <w:ilvl w:val="0"/>
          <w:numId w:val="0"/>
        </w:numPr>
        <w:spacing w:line="360" w:lineRule="auto"/>
        <w:jc w:val="left"/>
        <w:outlineLvl w:val="9"/>
        <w:rPr>
          <w:sz w:val="22"/>
          <w:szCs w:val="28"/>
        </w:rPr>
      </w:pPr>
      <w:r>
        <w:rPr>
          <w:sz w:val="22"/>
          <w:szCs w:val="28"/>
        </w:rPr>
        <w:drawing>
          <wp:inline distT="0" distB="0" distL="114300" distR="114300">
            <wp:extent cx="5757545" cy="1082040"/>
            <wp:effectExtent l="0" t="0" r="14605" b="3810"/>
            <wp:docPr id="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pic:cNvPicPr>
                      <a:picLocks noChangeAspect="1"/>
                    </pic:cNvPicPr>
                  </pic:nvPicPr>
                  <pic:blipFill>
                    <a:blip r:embed="rId12"/>
                    <a:stretch>
                      <a:fillRect/>
                    </a:stretch>
                  </pic:blipFill>
                  <pic:spPr>
                    <a:xfrm>
                      <a:off x="0" y="0"/>
                      <a:ext cx="5757545" cy="1082040"/>
                    </a:xfrm>
                    <a:prstGeom prst="rect">
                      <a:avLst/>
                    </a:prstGeom>
                    <a:noFill/>
                    <a:ln>
                      <a:noFill/>
                    </a:ln>
                  </pic:spPr>
                </pic:pic>
              </a:graphicData>
            </a:graphic>
          </wp:inline>
        </w:drawing>
      </w:r>
    </w:p>
    <w:p>
      <w:pPr>
        <w:numPr>
          <w:ilvl w:val="0"/>
          <w:numId w:val="0"/>
        </w:numPr>
        <w:spacing w:line="360" w:lineRule="auto"/>
        <w:ind w:left="638" w:leftChars="304" w:firstLine="0" w:firstLineChars="0"/>
        <w:jc w:val="left"/>
        <w:outlineLvl w:val="9"/>
        <w:rPr>
          <w:rFonts w:hint="default"/>
          <w:sz w:val="22"/>
          <w:szCs w:val="28"/>
          <w:lang w:val="en-US" w:eastAsia="zh-CN"/>
        </w:rPr>
      </w:pPr>
      <w:r>
        <w:rPr>
          <w:rFonts w:hint="default"/>
          <w:sz w:val="22"/>
          <w:szCs w:val="28"/>
          <w:lang w:val="en-US" w:eastAsia="zh-CN"/>
        </w:rPr>
        <w:t>注</w:t>
      </w:r>
    </w:p>
    <w:p>
      <w:pPr>
        <w:numPr>
          <w:ilvl w:val="0"/>
          <w:numId w:val="0"/>
        </w:numPr>
        <w:spacing w:line="360" w:lineRule="auto"/>
        <w:ind w:left="638" w:leftChars="304" w:firstLine="0" w:firstLineChars="0"/>
        <w:jc w:val="left"/>
        <w:outlineLvl w:val="9"/>
        <w:rPr>
          <w:rFonts w:hint="default"/>
          <w:sz w:val="22"/>
          <w:szCs w:val="28"/>
          <w:lang w:val="en-US" w:eastAsia="zh-CN"/>
        </w:rPr>
      </w:pPr>
      <w:r>
        <w:rPr>
          <w:rFonts w:hint="eastAsia"/>
          <w:sz w:val="22"/>
          <w:szCs w:val="28"/>
          <w:lang w:val="en-US" w:eastAsia="zh-CN"/>
        </w:rPr>
        <w:t>a</w:t>
      </w:r>
      <w:r>
        <w:rPr>
          <w:rFonts w:hint="default"/>
          <w:sz w:val="22"/>
          <w:szCs w:val="28"/>
          <w:lang w:val="en-US" w:eastAsia="zh-CN"/>
        </w:rPr>
        <w:t>.如果开关柜后面有进（出）线附加柜时，柜后维护通道宽度应从其附加柜算起。</w:t>
      </w:r>
    </w:p>
    <w:p>
      <w:pPr>
        <w:numPr>
          <w:ilvl w:val="0"/>
          <w:numId w:val="0"/>
        </w:numPr>
        <w:spacing w:line="360" w:lineRule="auto"/>
        <w:ind w:left="638" w:leftChars="304" w:firstLine="0" w:firstLineChars="0"/>
        <w:jc w:val="left"/>
        <w:outlineLvl w:val="9"/>
        <w:rPr>
          <w:rFonts w:hint="default"/>
          <w:sz w:val="22"/>
          <w:szCs w:val="28"/>
          <w:lang w:val="en-US" w:eastAsia="zh-CN"/>
        </w:rPr>
      </w:pPr>
      <w:r>
        <w:rPr>
          <w:rFonts w:hint="eastAsia"/>
          <w:sz w:val="22"/>
          <w:szCs w:val="28"/>
          <w:lang w:val="en-US" w:eastAsia="zh-CN"/>
        </w:rPr>
        <w:t>b</w:t>
      </w:r>
      <w:r>
        <w:rPr>
          <w:rFonts w:hint="default"/>
          <w:sz w:val="22"/>
          <w:szCs w:val="28"/>
          <w:lang w:val="en-US" w:eastAsia="zh-CN"/>
        </w:rPr>
        <w:t>.圆括号内的数值适用于35kV开关柜</w:t>
      </w:r>
      <w:r>
        <w:rPr>
          <w:rFonts w:hint="eastAsia"/>
          <w:sz w:val="22"/>
          <w:szCs w:val="28"/>
          <w:lang w:val="en-US" w:eastAsia="zh-CN"/>
        </w:rPr>
        <w:t>，本次参考10kv开关柜</w:t>
      </w:r>
      <w:r>
        <w:rPr>
          <w:rFonts w:hint="default"/>
          <w:sz w:val="22"/>
          <w:szCs w:val="28"/>
          <w:lang w:val="en-US" w:eastAsia="zh-CN"/>
        </w:rPr>
        <w:t>。</w:t>
      </w:r>
    </w:p>
    <w:p>
      <w:pPr>
        <w:numPr>
          <w:ilvl w:val="0"/>
          <w:numId w:val="0"/>
        </w:numPr>
        <w:spacing w:line="360" w:lineRule="auto"/>
        <w:ind w:left="638" w:leftChars="304" w:firstLine="0" w:firstLineChars="0"/>
        <w:jc w:val="left"/>
        <w:outlineLvl w:val="9"/>
        <w:rPr>
          <w:rFonts w:hint="default"/>
          <w:sz w:val="22"/>
          <w:szCs w:val="28"/>
          <w:lang w:val="en-US" w:eastAsia="zh-CN"/>
        </w:rPr>
      </w:pPr>
      <w:r>
        <w:rPr>
          <w:rFonts w:hint="eastAsia"/>
          <w:sz w:val="22"/>
          <w:szCs w:val="28"/>
          <w:lang w:val="en-US" w:eastAsia="zh-CN"/>
        </w:rPr>
        <w:t>c</w:t>
      </w:r>
      <w:r>
        <w:rPr>
          <w:rFonts w:hint="default"/>
          <w:sz w:val="22"/>
          <w:szCs w:val="28"/>
          <w:lang w:val="en-US" w:eastAsia="zh-CN"/>
        </w:rPr>
        <w:t>.通道宽度在建筑物的墙柱个别突出处，允许缩小 200mm。</w:t>
      </w:r>
    </w:p>
    <w:p>
      <w:pPr>
        <w:numPr>
          <w:ilvl w:val="0"/>
          <w:numId w:val="0"/>
        </w:numPr>
        <w:spacing w:line="360" w:lineRule="auto"/>
        <w:ind w:left="638" w:leftChars="304" w:firstLine="0" w:firstLineChars="0"/>
        <w:jc w:val="left"/>
        <w:outlineLvl w:val="9"/>
        <w:rPr>
          <w:rFonts w:hint="default"/>
          <w:sz w:val="22"/>
          <w:szCs w:val="28"/>
          <w:lang w:val="en-US" w:eastAsia="zh-CN"/>
        </w:rPr>
      </w:pPr>
      <w:r>
        <w:rPr>
          <w:rFonts w:hint="eastAsia"/>
          <w:sz w:val="22"/>
          <w:szCs w:val="28"/>
          <w:lang w:val="en-US" w:eastAsia="zh-CN"/>
        </w:rPr>
        <w:t>d</w:t>
      </w:r>
      <w:r>
        <w:rPr>
          <w:rFonts w:hint="default"/>
          <w:sz w:val="22"/>
          <w:szCs w:val="28"/>
          <w:lang w:val="en-US" w:eastAsia="zh-CN"/>
        </w:rPr>
        <w:t>.当开关柜侧面需要设置通道时，通道宽度不应小于800mm。</w:t>
      </w:r>
    </w:p>
    <w:p>
      <w:pPr>
        <w:numPr>
          <w:ilvl w:val="0"/>
          <w:numId w:val="0"/>
        </w:numPr>
        <w:spacing w:line="360" w:lineRule="auto"/>
        <w:ind w:left="638" w:leftChars="304" w:firstLine="0" w:firstLineChars="0"/>
        <w:jc w:val="left"/>
        <w:outlineLvl w:val="9"/>
        <w:rPr>
          <w:rFonts w:hint="default"/>
          <w:sz w:val="22"/>
          <w:szCs w:val="28"/>
          <w:lang w:val="en-US" w:eastAsia="zh-CN"/>
        </w:rPr>
      </w:pPr>
      <w:r>
        <w:rPr>
          <w:rFonts w:hint="eastAsia"/>
          <w:sz w:val="22"/>
          <w:szCs w:val="28"/>
          <w:lang w:val="en-US" w:eastAsia="zh-CN"/>
        </w:rPr>
        <w:t>e</w:t>
      </w:r>
      <w:r>
        <w:rPr>
          <w:rFonts w:hint="default"/>
          <w:sz w:val="22"/>
          <w:szCs w:val="28"/>
          <w:lang w:val="en-US" w:eastAsia="zh-CN"/>
        </w:rPr>
        <w:t>.对全绝缘密封式整套配电装置，可根据厂家安装使用说明书减小通道宽度。</w:t>
      </w:r>
    </w:p>
    <w:p>
      <w:pPr>
        <w:numPr>
          <w:ilvl w:val="0"/>
          <w:numId w:val="0"/>
        </w:numPr>
        <w:spacing w:line="360" w:lineRule="auto"/>
        <w:ind w:left="638" w:leftChars="304" w:firstLine="0" w:firstLineChars="0"/>
        <w:jc w:val="left"/>
        <w:outlineLvl w:val="9"/>
        <w:rPr>
          <w:rFonts w:hint="default"/>
          <w:sz w:val="22"/>
          <w:szCs w:val="28"/>
          <w:lang w:val="en-US" w:eastAsia="zh-CN"/>
        </w:rPr>
      </w:pPr>
      <w:r>
        <w:rPr>
          <w:rFonts w:hint="eastAsia"/>
          <w:sz w:val="22"/>
          <w:szCs w:val="28"/>
          <w:lang w:val="en-US" w:eastAsia="zh-CN"/>
        </w:rPr>
        <w:t>f</w:t>
      </w:r>
      <w:r>
        <w:rPr>
          <w:rFonts w:hint="default"/>
          <w:sz w:val="22"/>
          <w:szCs w:val="28"/>
          <w:lang w:val="en-US" w:eastAsia="zh-CN"/>
        </w:rPr>
        <w:t>.户内布置的GIS应设置通道。其通道宽度应满足运输部件的需要，但不宜小于1.5m。</w:t>
      </w:r>
    </w:p>
    <w:p>
      <w:pPr>
        <w:numPr>
          <w:ilvl w:val="0"/>
          <w:numId w:val="12"/>
        </w:numPr>
        <w:spacing w:line="360" w:lineRule="auto"/>
        <w:ind w:left="230" w:leftChars="0" w:firstLine="397" w:firstLineChars="142"/>
        <w:jc w:val="left"/>
        <w:outlineLvl w:val="9"/>
        <w:rPr>
          <w:rFonts w:hint="default"/>
          <w:color w:val="000000"/>
          <w:sz w:val="28"/>
          <w:szCs w:val="28"/>
          <w:lang w:val="en-US" w:eastAsia="zh-CN"/>
        </w:rPr>
      </w:pPr>
      <w:r>
        <w:rPr>
          <w:rFonts w:hint="eastAsia"/>
          <w:color w:val="000000"/>
          <w:sz w:val="28"/>
          <w:szCs w:val="28"/>
          <w:lang w:val="en-US" w:eastAsia="zh-CN"/>
        </w:rPr>
        <w:t>当电源从柜后进线且需在正背后墙上另设隔离开关及其手动操动机构时，柜后通道净宽不应小于1.5m。</w:t>
      </w:r>
    </w:p>
    <w:p>
      <w:pPr>
        <w:numPr>
          <w:ilvl w:val="0"/>
          <w:numId w:val="12"/>
        </w:numPr>
        <w:spacing w:line="360" w:lineRule="auto"/>
        <w:ind w:left="230" w:leftChars="0" w:firstLine="397" w:firstLineChars="142"/>
        <w:jc w:val="left"/>
        <w:outlineLvl w:val="9"/>
        <w:rPr>
          <w:rFonts w:hint="default"/>
          <w:color w:val="000000"/>
          <w:sz w:val="28"/>
          <w:szCs w:val="28"/>
          <w:lang w:val="en-US" w:eastAsia="zh-CN"/>
        </w:rPr>
      </w:pPr>
      <w:r>
        <w:rPr>
          <w:rFonts w:hint="default"/>
          <w:color w:val="000000"/>
          <w:sz w:val="28"/>
          <w:szCs w:val="28"/>
          <w:lang w:val="en-US" w:eastAsia="zh-CN"/>
        </w:rPr>
        <w:t>长度大于7m的高压配电室应设两个出口，并宜布置在配电室的两端。位于楼上的配电室至少设一个出口通向室外的平台或通道。</w:t>
      </w:r>
    </w:p>
    <w:p>
      <w:pPr>
        <w:numPr>
          <w:ilvl w:val="0"/>
          <w:numId w:val="12"/>
        </w:numPr>
        <w:spacing w:line="360" w:lineRule="auto"/>
        <w:ind w:left="230" w:leftChars="0" w:firstLine="397" w:firstLineChars="142"/>
        <w:jc w:val="left"/>
        <w:outlineLvl w:val="9"/>
        <w:rPr>
          <w:rFonts w:hint="default"/>
          <w:color w:val="000000"/>
          <w:sz w:val="28"/>
          <w:szCs w:val="28"/>
          <w:lang w:val="en-US" w:eastAsia="zh-CN"/>
        </w:rPr>
      </w:pPr>
      <w:r>
        <w:rPr>
          <w:rFonts w:hint="default"/>
          <w:color w:val="000000"/>
          <w:sz w:val="28"/>
          <w:szCs w:val="28"/>
          <w:lang w:val="en-US" w:eastAsia="zh-CN"/>
        </w:rPr>
        <w:t>配电装置的长度大于6m 时，其柜（屏）后的通道应为两个出口。</w:t>
      </w:r>
    </w:p>
    <w:p>
      <w:pPr>
        <w:numPr>
          <w:ilvl w:val="0"/>
          <w:numId w:val="12"/>
        </w:numPr>
        <w:spacing w:line="360" w:lineRule="auto"/>
        <w:ind w:left="230" w:leftChars="0" w:firstLine="397" w:firstLineChars="142"/>
        <w:jc w:val="left"/>
        <w:outlineLvl w:val="9"/>
        <w:rPr>
          <w:rFonts w:hint="default"/>
          <w:color w:val="000000"/>
          <w:sz w:val="28"/>
          <w:szCs w:val="28"/>
          <w:lang w:val="en-US" w:eastAsia="zh-CN"/>
        </w:rPr>
      </w:pPr>
      <w:r>
        <w:rPr>
          <w:rFonts w:hint="default"/>
          <w:color w:val="000000"/>
          <w:sz w:val="28"/>
          <w:szCs w:val="28"/>
          <w:lang w:val="en-US" w:eastAsia="zh-CN"/>
        </w:rPr>
        <w:t>配电室内裸带电部分上方不应布置灯具，若必须设置时，灯具与裸导体的水平净距应大于1m。灯具不得采用吊链或软线吊装</w:t>
      </w:r>
      <w:r>
        <w:rPr>
          <w:rFonts w:hint="eastAsia"/>
          <w:color w:val="000000"/>
          <w:sz w:val="28"/>
          <w:szCs w:val="28"/>
          <w:lang w:val="en-US" w:eastAsia="zh-CN"/>
        </w:rPr>
        <w:t>。</w:t>
      </w:r>
    </w:p>
    <w:p>
      <w:pPr>
        <w:numPr>
          <w:ilvl w:val="0"/>
          <w:numId w:val="12"/>
        </w:numPr>
        <w:spacing w:line="360" w:lineRule="auto"/>
        <w:ind w:left="230" w:leftChars="0" w:firstLine="397" w:firstLineChars="142"/>
        <w:jc w:val="left"/>
        <w:outlineLvl w:val="9"/>
        <w:rPr>
          <w:rFonts w:hint="default"/>
          <w:color w:val="000000"/>
          <w:sz w:val="28"/>
          <w:szCs w:val="28"/>
          <w:lang w:val="en-US" w:eastAsia="zh-CN"/>
        </w:rPr>
      </w:pPr>
      <w:r>
        <w:rPr>
          <w:rFonts w:hint="default"/>
          <w:color w:val="000000"/>
          <w:sz w:val="28"/>
          <w:szCs w:val="28"/>
          <w:lang w:val="en-US" w:eastAsia="zh-CN"/>
        </w:rPr>
        <w:t>户内配电装置裸露带电部分上方不应有明敷的照明或电力线路跨越</w:t>
      </w:r>
      <w:r>
        <w:rPr>
          <w:rFonts w:hint="eastAsia"/>
          <w:color w:val="000000"/>
          <w:sz w:val="28"/>
          <w:szCs w:val="28"/>
          <w:lang w:val="en-US" w:eastAsia="zh-CN"/>
        </w:rPr>
        <w:t>。</w:t>
      </w:r>
    </w:p>
    <w:p>
      <w:pPr>
        <w:numPr>
          <w:ilvl w:val="0"/>
          <w:numId w:val="12"/>
        </w:numPr>
        <w:spacing w:line="360" w:lineRule="auto"/>
        <w:ind w:left="230" w:leftChars="0" w:firstLine="397" w:firstLineChars="142"/>
        <w:jc w:val="left"/>
        <w:outlineLvl w:val="9"/>
        <w:rPr>
          <w:rFonts w:hint="default"/>
          <w:color w:val="000000"/>
          <w:sz w:val="28"/>
          <w:szCs w:val="28"/>
          <w:lang w:val="en-US" w:eastAsia="zh-CN"/>
        </w:rPr>
      </w:pPr>
      <w:r>
        <w:rPr>
          <w:rFonts w:hint="default"/>
          <w:color w:val="000000"/>
          <w:sz w:val="28"/>
          <w:szCs w:val="28"/>
          <w:lang w:val="en-US" w:eastAsia="zh-CN"/>
        </w:rPr>
        <w:t>配电装置室内通道应保证畅通无阻，不得设立门槛，并不应有与配电装置无关的管道通过</w:t>
      </w:r>
      <w:r>
        <w:rPr>
          <w:rFonts w:hint="eastAsia"/>
          <w:color w:val="000000"/>
          <w:sz w:val="28"/>
          <w:szCs w:val="28"/>
          <w:lang w:val="en-US" w:eastAsia="zh-CN"/>
        </w:rPr>
        <w:t>。</w:t>
      </w:r>
    </w:p>
    <w:p>
      <w:pPr>
        <w:numPr>
          <w:ilvl w:val="0"/>
          <w:numId w:val="12"/>
        </w:numPr>
        <w:spacing w:line="360" w:lineRule="auto"/>
        <w:ind w:left="230" w:leftChars="0" w:firstLine="397" w:firstLineChars="142"/>
        <w:jc w:val="left"/>
        <w:outlineLvl w:val="9"/>
        <w:rPr>
          <w:rFonts w:hint="default"/>
          <w:color w:val="000000"/>
          <w:sz w:val="28"/>
          <w:szCs w:val="28"/>
          <w:lang w:val="en-US" w:eastAsia="zh-CN"/>
        </w:rPr>
      </w:pPr>
      <w:r>
        <w:rPr>
          <w:rFonts w:hint="eastAsia"/>
          <w:color w:val="000000"/>
          <w:sz w:val="28"/>
          <w:szCs w:val="28"/>
          <w:lang w:val="en-US" w:eastAsia="zh-CN"/>
        </w:rPr>
        <w:t>变电站大门应设置为铁门，表面防腐防锈处理</w:t>
      </w:r>
    </w:p>
    <w:p>
      <w:pPr>
        <w:spacing w:line="360" w:lineRule="auto"/>
        <w:jc w:val="left"/>
        <w:outlineLvl w:val="2"/>
        <w:rPr>
          <w:rFonts w:hint="eastAsia" w:cs="Times New Roman"/>
          <w:b/>
          <w:snapToGrid w:val="0"/>
          <w:color w:val="000000"/>
          <w:kern w:val="0"/>
          <w:sz w:val="28"/>
          <w:szCs w:val="21"/>
          <w:lang w:val="en-US" w:eastAsia="zh-CN" w:bidi="ar-SA"/>
        </w:rPr>
      </w:pPr>
      <w:bookmarkStart w:id="78" w:name="_Toc18437"/>
      <w:r>
        <w:rPr>
          <w:rFonts w:hint="eastAsia" w:cs="Times New Roman"/>
          <w:b/>
          <w:snapToGrid w:val="0"/>
          <w:color w:val="000000"/>
          <w:kern w:val="0"/>
          <w:sz w:val="28"/>
          <w:szCs w:val="21"/>
          <w:lang w:val="en-US" w:eastAsia="zh-CN" w:bidi="ar-SA"/>
        </w:rPr>
        <w:t>2.2.5电容器室</w:t>
      </w:r>
      <w:bookmarkEnd w:id="78"/>
    </w:p>
    <w:p>
      <w:pPr>
        <w:numPr>
          <w:ilvl w:val="0"/>
          <w:numId w:val="13"/>
        </w:numPr>
        <w:spacing w:line="360" w:lineRule="auto"/>
        <w:ind w:left="210" w:leftChars="0" w:firstLine="420" w:firstLineChars="0"/>
        <w:jc w:val="left"/>
        <w:outlineLvl w:val="9"/>
        <w:rPr>
          <w:rFonts w:hint="eastAsia"/>
          <w:color w:val="auto"/>
          <w:sz w:val="28"/>
          <w:szCs w:val="28"/>
          <w:lang w:val="en-US" w:eastAsia="zh-CN"/>
        </w:rPr>
      </w:pPr>
      <w:r>
        <w:rPr>
          <w:rFonts w:hint="eastAsia"/>
          <w:color w:val="auto"/>
          <w:sz w:val="28"/>
          <w:szCs w:val="28"/>
          <w:lang w:val="en-US" w:eastAsia="zh-CN"/>
        </w:rPr>
        <w:t>户内高压电容器组装设在单独房间内。当采用非可燃介质的电容器且电容器组容量较小时，可装设在高压配电室内，但与高压开关柜的距离应不小于1.5m。本项目电容器组容量较大（大于3 台或 450kvar以上）考虑通风和安全运行，须装设在单独房间内。</w:t>
      </w:r>
    </w:p>
    <w:p>
      <w:pPr>
        <w:numPr>
          <w:ilvl w:val="0"/>
          <w:numId w:val="13"/>
        </w:numPr>
        <w:spacing w:line="360" w:lineRule="auto"/>
        <w:ind w:left="210" w:leftChars="0" w:firstLine="420" w:firstLineChars="0"/>
        <w:jc w:val="left"/>
        <w:outlineLvl w:val="9"/>
        <w:rPr>
          <w:rFonts w:hint="default"/>
          <w:color w:val="000000"/>
          <w:sz w:val="28"/>
          <w:szCs w:val="28"/>
          <w:lang w:val="en-US" w:eastAsia="zh-CN"/>
        </w:rPr>
      </w:pPr>
      <w:r>
        <w:rPr>
          <w:rFonts w:hint="default"/>
          <w:color w:val="000000"/>
          <w:sz w:val="28"/>
          <w:szCs w:val="28"/>
          <w:lang w:val="en-US" w:eastAsia="zh-CN"/>
        </w:rPr>
        <w:t>成套电容器柜单列布置时，柜正面与墙面之间的距离不应小于1.5m，还要考虑搬运的方便，双列布置时，柜面之间的距离不应小于2m。</w:t>
      </w:r>
    </w:p>
    <w:p>
      <w:pPr>
        <w:numPr>
          <w:ilvl w:val="0"/>
          <w:numId w:val="13"/>
        </w:numPr>
        <w:spacing w:line="360" w:lineRule="auto"/>
        <w:ind w:left="210" w:leftChars="0" w:firstLine="420" w:firstLineChars="0"/>
        <w:jc w:val="left"/>
        <w:outlineLvl w:val="9"/>
        <w:rPr>
          <w:rFonts w:hint="default"/>
          <w:color w:val="000000"/>
          <w:sz w:val="28"/>
          <w:szCs w:val="28"/>
          <w:lang w:val="en-US" w:eastAsia="zh-CN"/>
        </w:rPr>
      </w:pPr>
      <w:r>
        <w:rPr>
          <w:rFonts w:hint="default"/>
          <w:color w:val="000000"/>
          <w:sz w:val="28"/>
          <w:szCs w:val="28"/>
          <w:lang w:val="en-US" w:eastAsia="zh-CN"/>
        </w:rPr>
        <w:t>安装在户内的装配式高压电容器组，下层电容器的底部距离地面不应小于0.2m，上层电容器的底部距离地面不宜大于2.5m，电容器装置顶部到屋顶净距不应小于lm。高压电容器布置不宜超过3层。电容器外壳之间（宽面）的净距不宜小于0.1m。</w:t>
      </w:r>
    </w:p>
    <w:p>
      <w:pPr>
        <w:numPr>
          <w:ilvl w:val="0"/>
          <w:numId w:val="13"/>
        </w:numPr>
        <w:spacing w:line="360" w:lineRule="auto"/>
        <w:ind w:left="210" w:leftChars="0" w:firstLine="420" w:firstLineChars="0"/>
        <w:jc w:val="left"/>
        <w:outlineLvl w:val="9"/>
        <w:rPr>
          <w:rFonts w:hint="eastAsia"/>
          <w:color w:val="000000"/>
          <w:sz w:val="28"/>
          <w:szCs w:val="28"/>
          <w:lang w:val="en-US" w:eastAsia="zh-CN"/>
        </w:rPr>
      </w:pPr>
      <w:r>
        <w:rPr>
          <w:rFonts w:hint="eastAsia"/>
          <w:color w:val="000000"/>
          <w:sz w:val="28"/>
          <w:szCs w:val="28"/>
          <w:lang w:val="en-US" w:eastAsia="zh-CN"/>
        </w:rPr>
        <w:t>长度大于7m的高压电容器室（低压电容器室为 7m）应设两个出口，并宜布置在两端，电容器室的门应向外开。</w:t>
      </w:r>
    </w:p>
    <w:p>
      <w:pPr>
        <w:numPr>
          <w:ilvl w:val="0"/>
          <w:numId w:val="13"/>
        </w:numPr>
        <w:spacing w:line="360" w:lineRule="auto"/>
        <w:ind w:left="210" w:leftChars="0" w:firstLine="420" w:firstLineChars="0"/>
        <w:jc w:val="left"/>
        <w:outlineLvl w:val="9"/>
        <w:rPr>
          <w:rFonts w:hint="default"/>
          <w:color w:val="000000"/>
          <w:sz w:val="28"/>
          <w:szCs w:val="28"/>
          <w:lang w:val="en-US" w:eastAsia="zh-CN"/>
        </w:rPr>
      </w:pPr>
      <w:r>
        <w:rPr>
          <w:rFonts w:hint="default"/>
          <w:color w:val="000000"/>
          <w:sz w:val="28"/>
          <w:szCs w:val="28"/>
          <w:lang w:val="en-US" w:eastAsia="zh-CN"/>
        </w:rPr>
        <w:t>电容器室应有良好的自然通风，当自然通风</w:t>
      </w:r>
      <w:r>
        <w:rPr>
          <w:rFonts w:hint="eastAsia"/>
          <w:color w:val="000000"/>
          <w:sz w:val="28"/>
          <w:szCs w:val="28"/>
          <w:lang w:val="en-US" w:eastAsia="zh-CN"/>
        </w:rPr>
        <w:t>设计</w:t>
      </w:r>
      <w:r>
        <w:rPr>
          <w:rFonts w:hint="default"/>
          <w:color w:val="000000"/>
          <w:sz w:val="28"/>
          <w:szCs w:val="28"/>
          <w:lang w:val="en-US" w:eastAsia="zh-CN"/>
        </w:rPr>
        <w:t>不能满足排热要求时，增设机械排风</w:t>
      </w:r>
      <w:r>
        <w:rPr>
          <w:rFonts w:hint="eastAsia"/>
          <w:color w:val="000000"/>
          <w:sz w:val="28"/>
          <w:szCs w:val="28"/>
          <w:lang w:val="en-US" w:eastAsia="zh-CN"/>
        </w:rPr>
        <w:t>，</w:t>
      </w:r>
      <w:r>
        <w:rPr>
          <w:rFonts w:hint="default"/>
          <w:color w:val="000000"/>
          <w:sz w:val="28"/>
          <w:szCs w:val="28"/>
          <w:lang w:val="en-US" w:eastAsia="zh-CN"/>
        </w:rPr>
        <w:t>浸渍纸介质电容器的损耗不超过3W/kvar（lkV及以下时为4W/kvar），通风窗的有效面积如无准确的计算资料，可根据进风温度高低（35℃或30℃）按每1000kvar需要下部进风面积和上部出风面积0.6</w:t>
      </w:r>
      <w:r>
        <w:rPr>
          <w:rFonts w:hint="eastAsia"/>
          <w:color w:val="000000"/>
          <w:sz w:val="28"/>
          <w:szCs w:val="28"/>
          <w:lang w:val="en-US" w:eastAsia="zh-CN"/>
        </w:rPr>
        <w:t>㎡</w:t>
      </w:r>
      <w:r>
        <w:rPr>
          <w:rFonts w:hint="default"/>
          <w:color w:val="000000"/>
          <w:sz w:val="28"/>
          <w:szCs w:val="28"/>
          <w:lang w:val="en-US" w:eastAsia="zh-CN"/>
        </w:rPr>
        <w:t>或 0.33</w:t>
      </w:r>
      <w:r>
        <w:rPr>
          <w:rFonts w:hint="eastAsia"/>
          <w:color w:val="000000"/>
          <w:sz w:val="28"/>
          <w:szCs w:val="28"/>
          <w:lang w:val="en-US" w:eastAsia="zh-CN"/>
        </w:rPr>
        <w:t>㎡</w:t>
      </w:r>
      <w:r>
        <w:rPr>
          <w:rFonts w:hint="default"/>
          <w:color w:val="000000"/>
          <w:sz w:val="28"/>
          <w:szCs w:val="28"/>
          <w:lang w:val="en-US" w:eastAsia="zh-CN"/>
        </w:rPr>
        <w:t>估算，低压电容器室的通风面积加大1/3。</w:t>
      </w:r>
    </w:p>
    <w:p>
      <w:pPr>
        <w:numPr>
          <w:ilvl w:val="0"/>
          <w:numId w:val="13"/>
        </w:numPr>
        <w:spacing w:line="360" w:lineRule="auto"/>
        <w:ind w:left="210" w:leftChars="0" w:firstLine="420" w:firstLineChars="0"/>
        <w:jc w:val="left"/>
        <w:outlineLvl w:val="9"/>
        <w:rPr>
          <w:rFonts w:hint="default"/>
          <w:color w:val="000000"/>
          <w:sz w:val="28"/>
          <w:szCs w:val="28"/>
          <w:lang w:val="en-US" w:eastAsia="zh-CN"/>
        </w:rPr>
      </w:pPr>
      <w:r>
        <w:rPr>
          <w:rFonts w:hint="eastAsia"/>
          <w:color w:val="000000"/>
          <w:sz w:val="28"/>
          <w:szCs w:val="28"/>
          <w:lang w:val="en-US" w:eastAsia="zh-CN"/>
        </w:rPr>
        <w:t>其他高压电容器室的布置参见工业与民用配电设计手册-第四版3.2-16。</w:t>
      </w:r>
    </w:p>
    <w:p>
      <w:pPr>
        <w:spacing w:line="360" w:lineRule="auto"/>
        <w:jc w:val="left"/>
        <w:outlineLvl w:val="2"/>
        <w:rPr>
          <w:rFonts w:hint="eastAsia" w:cs="Times New Roman"/>
          <w:b/>
          <w:snapToGrid w:val="0"/>
          <w:color w:val="000000"/>
          <w:kern w:val="0"/>
          <w:sz w:val="28"/>
          <w:szCs w:val="21"/>
          <w:lang w:val="en-US" w:eastAsia="zh-CN" w:bidi="ar-SA"/>
        </w:rPr>
      </w:pPr>
      <w:bookmarkStart w:id="79" w:name="_Toc8835"/>
      <w:r>
        <w:rPr>
          <w:rFonts w:hint="eastAsia" w:cs="Times New Roman"/>
          <w:b/>
          <w:snapToGrid w:val="0"/>
          <w:color w:val="000000"/>
          <w:kern w:val="0"/>
          <w:sz w:val="28"/>
          <w:szCs w:val="21"/>
          <w:lang w:val="en-US" w:eastAsia="zh-CN" w:bidi="ar-SA"/>
        </w:rPr>
        <w:t>2.2.6低压配电室（二次配电、站内配电）</w:t>
      </w:r>
      <w:bookmarkEnd w:id="79"/>
    </w:p>
    <w:p>
      <w:pPr>
        <w:numPr>
          <w:ilvl w:val="0"/>
          <w:numId w:val="14"/>
        </w:numPr>
        <w:spacing w:line="360" w:lineRule="auto"/>
        <w:ind w:left="220" w:leftChars="0" w:firstLine="378" w:firstLineChars="135"/>
        <w:jc w:val="left"/>
        <w:outlineLvl w:val="9"/>
        <w:rPr>
          <w:rFonts w:hint="eastAsia"/>
          <w:color w:val="000000"/>
          <w:sz w:val="28"/>
          <w:szCs w:val="28"/>
          <w:lang w:val="en-US" w:eastAsia="zh-CN"/>
        </w:rPr>
      </w:pPr>
      <w:r>
        <w:rPr>
          <w:rFonts w:hint="eastAsia"/>
          <w:color w:val="000000"/>
          <w:sz w:val="28"/>
          <w:szCs w:val="28"/>
          <w:lang w:val="en-US" w:eastAsia="zh-CN"/>
        </w:rPr>
        <w:t>低压配电设备的布置应便于安装、操作、搬运、检修、试验和监测。</w:t>
      </w:r>
    </w:p>
    <w:p>
      <w:pPr>
        <w:numPr>
          <w:ilvl w:val="0"/>
          <w:numId w:val="14"/>
        </w:numPr>
        <w:spacing w:line="360" w:lineRule="auto"/>
        <w:ind w:left="220" w:leftChars="0" w:firstLine="378" w:firstLineChars="135"/>
        <w:jc w:val="left"/>
        <w:outlineLvl w:val="9"/>
        <w:rPr>
          <w:rFonts w:hint="default"/>
          <w:color w:val="000000"/>
          <w:sz w:val="28"/>
          <w:szCs w:val="28"/>
          <w:lang w:val="en-US" w:eastAsia="zh-CN"/>
        </w:rPr>
      </w:pPr>
      <w:r>
        <w:rPr>
          <w:rFonts w:hint="default"/>
          <w:color w:val="000000"/>
          <w:sz w:val="28"/>
          <w:szCs w:val="28"/>
          <w:lang w:val="en-US" w:eastAsia="zh-CN"/>
        </w:rPr>
        <w:t>低压配电室的长度超过7m时，应设两个出口，并宜布置在配电室两端</w:t>
      </w:r>
      <w:r>
        <w:rPr>
          <w:rFonts w:hint="eastAsia"/>
          <w:color w:val="000000"/>
          <w:sz w:val="28"/>
          <w:szCs w:val="28"/>
          <w:lang w:val="en-US" w:eastAsia="zh-CN"/>
        </w:rPr>
        <w:t>；</w:t>
      </w:r>
      <w:r>
        <w:rPr>
          <w:rFonts w:hint="default"/>
          <w:color w:val="000000"/>
          <w:sz w:val="28"/>
          <w:szCs w:val="28"/>
          <w:lang w:val="en-US" w:eastAsia="zh-CN"/>
        </w:rPr>
        <w:t>位于楼上时至少应设一个出口通向室外的平台或通道</w:t>
      </w:r>
      <w:r>
        <w:rPr>
          <w:rFonts w:hint="eastAsia"/>
          <w:color w:val="000000"/>
          <w:sz w:val="28"/>
          <w:szCs w:val="28"/>
          <w:lang w:val="en-US" w:eastAsia="zh-CN"/>
        </w:rPr>
        <w:t>。</w:t>
      </w:r>
    </w:p>
    <w:p>
      <w:pPr>
        <w:numPr>
          <w:ilvl w:val="0"/>
          <w:numId w:val="14"/>
        </w:numPr>
        <w:spacing w:line="360" w:lineRule="auto"/>
        <w:ind w:left="220" w:leftChars="0" w:firstLine="378" w:firstLineChars="135"/>
        <w:jc w:val="left"/>
        <w:outlineLvl w:val="9"/>
        <w:rPr>
          <w:rFonts w:hint="default"/>
          <w:color w:val="000000"/>
          <w:sz w:val="28"/>
          <w:szCs w:val="28"/>
          <w:lang w:val="en-US" w:eastAsia="zh-CN"/>
        </w:rPr>
      </w:pPr>
      <w:r>
        <w:rPr>
          <w:rFonts w:hint="default"/>
          <w:color w:val="000000"/>
          <w:sz w:val="28"/>
          <w:szCs w:val="28"/>
          <w:lang w:val="en-US" w:eastAsia="zh-CN"/>
        </w:rPr>
        <w:t>成排布置的低压配电装置的长度超过6m时，其柜（屏）后通道应设两个出口，当低压配电装置两个出口间的距离超过15m 时应增加出口。</w:t>
      </w:r>
    </w:p>
    <w:p>
      <w:pPr>
        <w:numPr>
          <w:ilvl w:val="0"/>
          <w:numId w:val="14"/>
        </w:numPr>
        <w:spacing w:line="360" w:lineRule="auto"/>
        <w:ind w:left="220" w:leftChars="0" w:firstLine="378" w:firstLineChars="135"/>
        <w:jc w:val="left"/>
        <w:outlineLvl w:val="9"/>
        <w:rPr>
          <w:rFonts w:hint="default"/>
          <w:color w:val="000000"/>
          <w:sz w:val="28"/>
          <w:szCs w:val="28"/>
          <w:lang w:val="en-US" w:eastAsia="zh-CN"/>
        </w:rPr>
      </w:pPr>
      <w:r>
        <w:rPr>
          <w:rFonts w:hint="default"/>
          <w:color w:val="000000"/>
          <w:sz w:val="28"/>
          <w:szCs w:val="28"/>
          <w:lang w:val="en-US" w:eastAsia="zh-CN"/>
        </w:rPr>
        <w:t>低压配电室可设能开启的自然采光窗，但应有防止雨、雪和小动物进入室内的措施。临街的一面不宜开窗。</w:t>
      </w:r>
    </w:p>
    <w:p>
      <w:pPr>
        <w:numPr>
          <w:ilvl w:val="0"/>
          <w:numId w:val="14"/>
        </w:numPr>
        <w:spacing w:line="360" w:lineRule="auto"/>
        <w:ind w:left="220" w:leftChars="0" w:firstLine="378" w:firstLineChars="135"/>
        <w:jc w:val="left"/>
        <w:outlineLvl w:val="9"/>
        <w:rPr>
          <w:rFonts w:hint="default"/>
          <w:color w:val="000000"/>
          <w:sz w:val="28"/>
          <w:szCs w:val="28"/>
          <w:lang w:val="en-US" w:eastAsia="zh-CN"/>
        </w:rPr>
      </w:pPr>
      <w:r>
        <w:rPr>
          <w:rFonts w:hint="default"/>
          <w:color w:val="000000"/>
          <w:sz w:val="28"/>
          <w:szCs w:val="28"/>
          <w:lang w:val="en-US" w:eastAsia="zh-CN"/>
        </w:rPr>
        <w:t>同一配电室内并列的两段母线，当任一段母线有一级负荷时，母线分段处应设防火隔断措施</w:t>
      </w:r>
      <w:r>
        <w:rPr>
          <w:rFonts w:hint="eastAsia"/>
          <w:color w:val="000000"/>
          <w:sz w:val="28"/>
          <w:szCs w:val="28"/>
          <w:lang w:val="en-US" w:eastAsia="zh-CN"/>
        </w:rPr>
        <w:t>。</w:t>
      </w:r>
    </w:p>
    <w:p>
      <w:pPr>
        <w:numPr>
          <w:ilvl w:val="0"/>
          <w:numId w:val="14"/>
        </w:numPr>
        <w:spacing w:line="360" w:lineRule="auto"/>
        <w:ind w:left="220" w:leftChars="0" w:firstLine="378" w:firstLineChars="135"/>
        <w:jc w:val="left"/>
        <w:outlineLvl w:val="9"/>
        <w:rPr>
          <w:rFonts w:hint="default"/>
          <w:color w:val="000000"/>
          <w:sz w:val="28"/>
          <w:szCs w:val="28"/>
          <w:lang w:val="en-US" w:eastAsia="zh-CN"/>
        </w:rPr>
      </w:pPr>
      <w:r>
        <w:rPr>
          <w:rFonts w:hint="default"/>
          <w:color w:val="000000"/>
          <w:sz w:val="28"/>
          <w:szCs w:val="28"/>
          <w:lang w:val="en-US" w:eastAsia="zh-CN"/>
        </w:rPr>
        <w:t>由同一低压配电室供给一级负荷用电的两路电缆不应通过同一电缆沟，当无法分开时，则该两路电缆应采用阻燃电缆，且应分别敷设在电缆沟两侧支架上</w:t>
      </w:r>
      <w:r>
        <w:rPr>
          <w:rFonts w:hint="eastAsia"/>
          <w:color w:val="000000"/>
          <w:sz w:val="28"/>
          <w:szCs w:val="28"/>
          <w:lang w:val="en-US" w:eastAsia="zh-CN"/>
        </w:rPr>
        <w:t>。</w:t>
      </w:r>
    </w:p>
    <w:p>
      <w:pPr>
        <w:numPr>
          <w:ilvl w:val="0"/>
          <w:numId w:val="14"/>
        </w:numPr>
        <w:spacing w:line="360" w:lineRule="auto"/>
        <w:ind w:left="220" w:leftChars="0" w:firstLine="378" w:firstLineChars="135"/>
        <w:jc w:val="left"/>
        <w:outlineLvl w:val="9"/>
        <w:rPr>
          <w:rFonts w:hint="default"/>
          <w:color w:val="000000"/>
          <w:sz w:val="28"/>
          <w:szCs w:val="28"/>
          <w:lang w:val="en-US" w:eastAsia="zh-CN"/>
        </w:rPr>
      </w:pPr>
      <w:r>
        <w:rPr>
          <w:rFonts w:hint="default"/>
          <w:color w:val="000000"/>
          <w:sz w:val="28"/>
          <w:szCs w:val="28"/>
          <w:lang w:val="en-US" w:eastAsia="zh-CN"/>
        </w:rPr>
        <w:t>低压配电室兼作值班室时，配电屏正面距墙不宜小于3m</w:t>
      </w:r>
      <w:r>
        <w:rPr>
          <w:rFonts w:hint="eastAsia"/>
          <w:color w:val="000000"/>
          <w:sz w:val="28"/>
          <w:szCs w:val="28"/>
          <w:lang w:val="en-US" w:eastAsia="zh-CN"/>
        </w:rPr>
        <w:t>。</w:t>
      </w:r>
    </w:p>
    <w:p>
      <w:pPr>
        <w:numPr>
          <w:ilvl w:val="0"/>
          <w:numId w:val="14"/>
        </w:numPr>
        <w:spacing w:line="360" w:lineRule="auto"/>
        <w:ind w:left="220" w:leftChars="0" w:firstLine="378" w:firstLineChars="135"/>
        <w:jc w:val="left"/>
        <w:outlineLvl w:val="9"/>
        <w:rPr>
          <w:rFonts w:hint="default"/>
          <w:color w:val="000000"/>
          <w:sz w:val="28"/>
          <w:szCs w:val="28"/>
          <w:lang w:val="en-US" w:eastAsia="zh-CN"/>
        </w:rPr>
      </w:pPr>
      <w:r>
        <w:rPr>
          <w:rFonts w:hint="default"/>
          <w:color w:val="000000"/>
          <w:sz w:val="28"/>
          <w:szCs w:val="28"/>
          <w:lang w:val="en-US" w:eastAsia="zh-CN"/>
        </w:rPr>
        <w:t>低压配电室内各种通道最小宽度</w:t>
      </w:r>
      <w:r>
        <w:rPr>
          <w:rFonts w:hint="eastAsia"/>
          <w:color w:val="000000"/>
          <w:sz w:val="28"/>
          <w:szCs w:val="28"/>
          <w:lang w:val="en-US" w:eastAsia="zh-CN"/>
        </w:rPr>
        <w:t>：</w:t>
      </w:r>
    </w:p>
    <w:p>
      <w:pPr>
        <w:numPr>
          <w:ilvl w:val="0"/>
          <w:numId w:val="0"/>
        </w:numPr>
        <w:spacing w:line="360" w:lineRule="auto"/>
        <w:jc w:val="left"/>
        <w:outlineLvl w:val="9"/>
        <w:rPr>
          <w:rFonts w:hint="default"/>
          <w:color w:val="000000"/>
          <w:sz w:val="28"/>
          <w:szCs w:val="28"/>
          <w:lang w:val="en-US" w:eastAsia="zh-CN"/>
        </w:rPr>
      </w:pPr>
      <w:r>
        <w:rPr>
          <w:sz w:val="22"/>
          <w:szCs w:val="28"/>
        </w:rPr>
        <w:drawing>
          <wp:inline distT="0" distB="0" distL="114300" distR="114300">
            <wp:extent cx="5749925" cy="2284730"/>
            <wp:effectExtent l="0" t="0" r="3175" b="1270"/>
            <wp:docPr id="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pic:cNvPicPr>
                      <a:picLocks noChangeAspect="1"/>
                    </pic:cNvPicPr>
                  </pic:nvPicPr>
                  <pic:blipFill>
                    <a:blip r:embed="rId13"/>
                    <a:stretch>
                      <a:fillRect/>
                    </a:stretch>
                  </pic:blipFill>
                  <pic:spPr>
                    <a:xfrm>
                      <a:off x="0" y="0"/>
                      <a:ext cx="5749925" cy="2284730"/>
                    </a:xfrm>
                    <a:prstGeom prst="rect">
                      <a:avLst/>
                    </a:prstGeom>
                    <a:noFill/>
                    <a:ln>
                      <a:noFill/>
                    </a:ln>
                  </pic:spPr>
                </pic:pic>
              </a:graphicData>
            </a:graphic>
          </wp:inline>
        </w:drawing>
      </w:r>
    </w:p>
    <w:p>
      <w:pPr>
        <w:numPr>
          <w:ilvl w:val="0"/>
          <w:numId w:val="0"/>
        </w:numPr>
        <w:spacing w:line="360" w:lineRule="auto"/>
        <w:ind w:left="638" w:leftChars="304" w:firstLine="0" w:firstLineChars="0"/>
        <w:jc w:val="left"/>
        <w:outlineLvl w:val="9"/>
        <w:rPr>
          <w:rFonts w:hint="eastAsia"/>
          <w:color w:val="000000"/>
          <w:sz w:val="24"/>
          <w:szCs w:val="24"/>
          <w:lang w:val="en-US" w:eastAsia="zh-CN"/>
        </w:rPr>
      </w:pPr>
      <w:r>
        <w:rPr>
          <w:rFonts w:hint="default"/>
          <w:color w:val="000000"/>
          <w:sz w:val="24"/>
          <w:szCs w:val="24"/>
          <w:lang w:val="en-US" w:eastAsia="zh-CN"/>
        </w:rPr>
        <w:t>注</w:t>
      </w:r>
      <w:r>
        <w:rPr>
          <w:rFonts w:hint="eastAsia"/>
          <w:color w:val="000000"/>
          <w:sz w:val="24"/>
          <w:szCs w:val="24"/>
          <w:lang w:val="en-US" w:eastAsia="zh-CN"/>
        </w:rPr>
        <w:t>：</w:t>
      </w:r>
    </w:p>
    <w:p>
      <w:pPr>
        <w:numPr>
          <w:ilvl w:val="0"/>
          <w:numId w:val="0"/>
        </w:numPr>
        <w:spacing w:line="360" w:lineRule="auto"/>
        <w:ind w:left="638" w:leftChars="304" w:firstLine="0" w:firstLineChars="0"/>
        <w:jc w:val="left"/>
        <w:outlineLvl w:val="9"/>
        <w:rPr>
          <w:rFonts w:hint="default"/>
          <w:color w:val="000000"/>
          <w:sz w:val="24"/>
          <w:szCs w:val="24"/>
          <w:lang w:val="en-US" w:eastAsia="zh-CN"/>
        </w:rPr>
      </w:pPr>
      <w:r>
        <w:rPr>
          <w:rFonts w:hint="eastAsia"/>
          <w:color w:val="000000"/>
          <w:sz w:val="24"/>
          <w:szCs w:val="24"/>
          <w:lang w:val="en-US" w:eastAsia="zh-CN"/>
        </w:rPr>
        <w:t>a</w:t>
      </w:r>
      <w:r>
        <w:rPr>
          <w:rFonts w:hint="default"/>
          <w:color w:val="000000"/>
          <w:sz w:val="24"/>
          <w:szCs w:val="24"/>
          <w:lang w:val="en-US" w:eastAsia="zh-CN"/>
        </w:rPr>
        <w:t>.当屏后有需要操作的断路器时，则称为屏后操作通道。</w:t>
      </w:r>
    </w:p>
    <w:p>
      <w:pPr>
        <w:numPr>
          <w:ilvl w:val="0"/>
          <w:numId w:val="0"/>
        </w:numPr>
        <w:spacing w:line="360" w:lineRule="auto"/>
        <w:ind w:left="638" w:leftChars="304" w:firstLine="0" w:firstLineChars="0"/>
        <w:jc w:val="left"/>
        <w:outlineLvl w:val="9"/>
        <w:rPr>
          <w:rFonts w:hint="default"/>
          <w:color w:val="000000"/>
          <w:sz w:val="24"/>
          <w:szCs w:val="24"/>
          <w:lang w:val="en-US" w:eastAsia="zh-CN"/>
        </w:rPr>
      </w:pPr>
      <w:r>
        <w:rPr>
          <w:rFonts w:hint="eastAsia"/>
          <w:color w:val="000000"/>
          <w:sz w:val="24"/>
          <w:szCs w:val="24"/>
          <w:lang w:val="en-US" w:eastAsia="zh-CN"/>
        </w:rPr>
        <w:t>b</w:t>
      </w:r>
      <w:r>
        <w:rPr>
          <w:rFonts w:hint="default"/>
          <w:color w:val="000000"/>
          <w:sz w:val="24"/>
          <w:szCs w:val="24"/>
          <w:lang w:val="en-US" w:eastAsia="zh-CN"/>
        </w:rPr>
        <w:t>.当建筑物墙面有柱类局部凸出时，凸出处通道宽度可减少 200mm。</w:t>
      </w:r>
    </w:p>
    <w:p>
      <w:pPr>
        <w:numPr>
          <w:ilvl w:val="0"/>
          <w:numId w:val="0"/>
        </w:numPr>
        <w:spacing w:line="360" w:lineRule="auto"/>
        <w:ind w:left="638" w:leftChars="304" w:firstLine="0" w:firstLineChars="0"/>
        <w:jc w:val="left"/>
        <w:outlineLvl w:val="9"/>
        <w:rPr>
          <w:rFonts w:hint="default"/>
          <w:color w:val="000000"/>
          <w:sz w:val="24"/>
          <w:szCs w:val="24"/>
          <w:lang w:val="en-US" w:eastAsia="zh-CN"/>
        </w:rPr>
      </w:pPr>
      <w:r>
        <w:rPr>
          <w:rFonts w:hint="eastAsia"/>
          <w:color w:val="000000"/>
          <w:sz w:val="24"/>
          <w:szCs w:val="24"/>
          <w:lang w:val="en-US" w:eastAsia="zh-CN"/>
        </w:rPr>
        <w:t>c</w:t>
      </w:r>
      <w:r>
        <w:rPr>
          <w:rFonts w:hint="default"/>
          <w:color w:val="000000"/>
          <w:sz w:val="24"/>
          <w:szCs w:val="24"/>
          <w:lang w:val="en-US" w:eastAsia="zh-CN"/>
        </w:rPr>
        <w:t>.屏侧通道不应小于800mm</w:t>
      </w:r>
      <w:r>
        <w:rPr>
          <w:rFonts w:hint="eastAsia"/>
          <w:color w:val="000000"/>
          <w:sz w:val="24"/>
          <w:szCs w:val="24"/>
          <w:lang w:val="en-US" w:eastAsia="zh-CN"/>
        </w:rPr>
        <w:t>。</w:t>
      </w:r>
    </w:p>
    <w:p>
      <w:pPr>
        <w:numPr>
          <w:ilvl w:val="0"/>
          <w:numId w:val="0"/>
        </w:numPr>
        <w:spacing w:line="360" w:lineRule="auto"/>
        <w:ind w:left="638" w:leftChars="304" w:firstLine="0" w:firstLineChars="0"/>
        <w:jc w:val="left"/>
        <w:outlineLvl w:val="9"/>
        <w:rPr>
          <w:rFonts w:hint="default"/>
          <w:color w:val="000000"/>
          <w:sz w:val="24"/>
          <w:szCs w:val="24"/>
          <w:lang w:val="en-US" w:eastAsia="zh-CN"/>
        </w:rPr>
      </w:pPr>
      <w:r>
        <w:rPr>
          <w:rFonts w:hint="eastAsia"/>
          <w:color w:val="000000"/>
          <w:sz w:val="24"/>
          <w:szCs w:val="24"/>
          <w:lang w:val="en-US" w:eastAsia="zh-CN"/>
        </w:rPr>
        <w:t>9、</w:t>
      </w:r>
      <w:r>
        <w:rPr>
          <w:rFonts w:hint="default"/>
          <w:color w:val="000000"/>
          <w:sz w:val="24"/>
          <w:szCs w:val="24"/>
          <w:lang w:val="en-US" w:eastAsia="zh-CN"/>
        </w:rPr>
        <w:t>配电室为电缆进线时，其高度为3m。</w:t>
      </w:r>
    </w:p>
    <w:p>
      <w:pPr>
        <w:numPr>
          <w:ilvl w:val="0"/>
          <w:numId w:val="0"/>
        </w:numPr>
        <w:spacing w:line="360" w:lineRule="auto"/>
        <w:ind w:left="638" w:leftChars="304" w:firstLine="0" w:firstLineChars="0"/>
        <w:jc w:val="left"/>
        <w:outlineLvl w:val="9"/>
        <w:rPr>
          <w:rFonts w:hint="default"/>
          <w:color w:val="000000"/>
          <w:sz w:val="24"/>
          <w:szCs w:val="24"/>
          <w:lang w:val="en-US" w:eastAsia="zh-CN"/>
        </w:rPr>
      </w:pPr>
      <w:r>
        <w:rPr>
          <w:rFonts w:hint="eastAsia"/>
          <w:color w:val="000000"/>
          <w:sz w:val="24"/>
          <w:szCs w:val="24"/>
          <w:lang w:val="en-US" w:eastAsia="zh-CN"/>
        </w:rPr>
        <w:t>10、低压配电室的布置及低压屏的外形尺寸同参考配电手册第四版图3.2-17及表3.2-7。</w:t>
      </w:r>
    </w:p>
    <w:p>
      <w:pPr>
        <w:spacing w:line="360" w:lineRule="auto"/>
        <w:jc w:val="left"/>
        <w:outlineLvl w:val="2"/>
        <w:rPr>
          <w:rFonts w:hint="eastAsia" w:cs="Times New Roman"/>
          <w:b/>
          <w:snapToGrid w:val="0"/>
          <w:color w:val="000000"/>
          <w:kern w:val="0"/>
          <w:sz w:val="28"/>
          <w:szCs w:val="21"/>
          <w:lang w:val="en-US" w:eastAsia="zh-CN" w:bidi="ar-SA"/>
        </w:rPr>
      </w:pPr>
      <w:bookmarkStart w:id="80" w:name="_Toc27367"/>
      <w:r>
        <w:rPr>
          <w:rFonts w:hint="eastAsia" w:cs="Times New Roman"/>
          <w:b/>
          <w:snapToGrid w:val="0"/>
          <w:color w:val="000000"/>
          <w:kern w:val="0"/>
          <w:sz w:val="28"/>
          <w:szCs w:val="21"/>
          <w:lang w:val="en-US" w:eastAsia="zh-CN" w:bidi="ar-SA"/>
        </w:rPr>
        <w:t>2.2.7露天变压器的安装要求</w:t>
      </w:r>
      <w:bookmarkEnd w:id="80"/>
    </w:p>
    <w:p>
      <w:pPr>
        <w:numPr>
          <w:ilvl w:val="0"/>
          <w:numId w:val="15"/>
        </w:numPr>
        <w:spacing w:line="360" w:lineRule="auto"/>
        <w:ind w:left="210" w:leftChars="0" w:firstLine="420" w:firstLineChars="0"/>
        <w:jc w:val="left"/>
        <w:outlineLvl w:val="9"/>
        <w:rPr>
          <w:rFonts w:hint="default"/>
          <w:color w:val="000000"/>
          <w:sz w:val="28"/>
          <w:szCs w:val="28"/>
          <w:lang w:val="en-US" w:eastAsia="zh-CN"/>
        </w:rPr>
      </w:pPr>
      <w:r>
        <w:rPr>
          <w:rFonts w:hint="eastAsia"/>
          <w:color w:val="000000"/>
          <w:sz w:val="28"/>
          <w:szCs w:val="28"/>
          <w:lang w:val="en-US" w:eastAsia="zh-CN"/>
        </w:rPr>
        <w:t>靠近建筑物外墙安装的普通型变压器不应设在倾斜屋面的低侧，以防止屋面冰块或水落到变压器上。</w:t>
      </w:r>
    </w:p>
    <w:p>
      <w:pPr>
        <w:numPr>
          <w:ilvl w:val="0"/>
          <w:numId w:val="15"/>
        </w:numPr>
        <w:spacing w:line="360" w:lineRule="auto"/>
        <w:ind w:left="210" w:leftChars="0" w:firstLine="420" w:firstLineChars="0"/>
        <w:jc w:val="left"/>
        <w:outlineLvl w:val="9"/>
        <w:rPr>
          <w:rFonts w:hint="default"/>
          <w:color w:val="000000"/>
          <w:sz w:val="28"/>
          <w:szCs w:val="28"/>
          <w:lang w:val="en-US" w:eastAsia="zh-CN"/>
        </w:rPr>
      </w:pPr>
      <w:r>
        <w:rPr>
          <w:rFonts w:hint="default"/>
          <w:color w:val="000000"/>
          <w:sz w:val="28"/>
          <w:szCs w:val="28"/>
          <w:lang w:val="en-US" w:eastAsia="zh-CN"/>
        </w:rPr>
        <w:t>相邻可燃性油浸变压器的防火净距不应小于5.0m，否则应设置防火墙，墙应高出储油柜顶部，其长度应大于挡油设施两侧各1m</w:t>
      </w:r>
      <w:r>
        <w:rPr>
          <w:rFonts w:hint="eastAsia"/>
          <w:color w:val="000000"/>
          <w:sz w:val="28"/>
          <w:szCs w:val="28"/>
          <w:lang w:val="en-US" w:eastAsia="zh-CN"/>
        </w:rPr>
        <w:t>。</w:t>
      </w:r>
    </w:p>
    <w:p>
      <w:pPr>
        <w:numPr>
          <w:ilvl w:val="0"/>
          <w:numId w:val="15"/>
        </w:numPr>
        <w:spacing w:line="360" w:lineRule="auto"/>
        <w:ind w:left="210" w:leftChars="0" w:firstLine="420" w:firstLineChars="0"/>
        <w:jc w:val="left"/>
        <w:outlineLvl w:val="9"/>
        <w:rPr>
          <w:rFonts w:hint="default"/>
          <w:color w:val="000000"/>
          <w:sz w:val="28"/>
          <w:szCs w:val="28"/>
          <w:lang w:val="en-US" w:eastAsia="zh-CN"/>
        </w:rPr>
      </w:pPr>
      <w:r>
        <w:rPr>
          <w:rFonts w:hint="default"/>
          <w:color w:val="000000"/>
          <w:sz w:val="28"/>
          <w:szCs w:val="28"/>
          <w:lang w:val="en-US" w:eastAsia="zh-CN"/>
        </w:rPr>
        <w:t>建筑物的外墙距室外可燃性油浸变压器外廓不足5m时，在变压器高度以上3m的水平线以下及外廓两侧各加3m的外墙范围内，不应有门、窗或通风孔。当建筑物外墙与变压器外廓的距离为 5～10m 时，可在外墙上设防火门，并可在变压器高度以上设非燃烧性的固定窗。</w:t>
      </w:r>
    </w:p>
    <w:p>
      <w:pPr>
        <w:numPr>
          <w:ilvl w:val="0"/>
          <w:numId w:val="15"/>
        </w:numPr>
        <w:spacing w:line="360" w:lineRule="auto"/>
        <w:ind w:left="210" w:leftChars="0" w:firstLine="420" w:firstLineChars="0"/>
        <w:jc w:val="left"/>
        <w:outlineLvl w:val="9"/>
        <w:rPr>
          <w:rFonts w:hint="default"/>
          <w:color w:val="000000"/>
          <w:sz w:val="28"/>
          <w:szCs w:val="28"/>
          <w:lang w:val="en-US" w:eastAsia="zh-CN"/>
        </w:rPr>
      </w:pPr>
      <w:r>
        <w:rPr>
          <w:rFonts w:hint="default"/>
          <w:color w:val="000000"/>
          <w:sz w:val="28"/>
          <w:szCs w:val="28"/>
          <w:lang w:val="en-US" w:eastAsia="zh-CN"/>
        </w:rPr>
        <w:t>当油量为1000kg以上时，应设置能容纳100</w:t>
      </w:r>
      <w:r>
        <w:rPr>
          <w:rFonts w:hint="eastAsia"/>
          <w:color w:val="000000"/>
          <w:sz w:val="28"/>
          <w:szCs w:val="28"/>
          <w:lang w:val="en-US" w:eastAsia="zh-CN"/>
        </w:rPr>
        <w:t>%</w:t>
      </w:r>
      <w:r>
        <w:rPr>
          <w:rFonts w:hint="default"/>
          <w:color w:val="000000"/>
          <w:sz w:val="28"/>
          <w:szCs w:val="28"/>
          <w:lang w:val="en-US" w:eastAsia="zh-CN"/>
        </w:rPr>
        <w:t>量的储油池，或设置20</w:t>
      </w:r>
      <w:r>
        <w:rPr>
          <w:rFonts w:hint="eastAsia"/>
          <w:color w:val="000000"/>
          <w:sz w:val="28"/>
          <w:szCs w:val="28"/>
          <w:lang w:val="en-US" w:eastAsia="zh-CN"/>
        </w:rPr>
        <w:t>%</w:t>
      </w:r>
      <w:r>
        <w:rPr>
          <w:rFonts w:hint="default"/>
          <w:color w:val="000000"/>
          <w:sz w:val="28"/>
          <w:szCs w:val="28"/>
          <w:lang w:val="en-US" w:eastAsia="zh-CN"/>
        </w:rPr>
        <w:t>量的储油池或挡油墙</w:t>
      </w:r>
      <w:r>
        <w:rPr>
          <w:rFonts w:hint="eastAsia"/>
          <w:color w:val="000000"/>
          <w:sz w:val="28"/>
          <w:szCs w:val="28"/>
          <w:lang w:val="en-US" w:eastAsia="zh-CN"/>
        </w:rPr>
        <w:t>。</w:t>
      </w:r>
    </w:p>
    <w:p>
      <w:pPr>
        <w:numPr>
          <w:ilvl w:val="0"/>
          <w:numId w:val="15"/>
        </w:numPr>
        <w:spacing w:line="360" w:lineRule="auto"/>
        <w:ind w:left="210" w:leftChars="0" w:firstLine="420" w:firstLineChars="0"/>
        <w:jc w:val="left"/>
        <w:outlineLvl w:val="9"/>
        <w:rPr>
          <w:rFonts w:hint="default"/>
          <w:color w:val="000000"/>
          <w:sz w:val="28"/>
          <w:szCs w:val="28"/>
          <w:lang w:val="en-US" w:eastAsia="zh-CN"/>
        </w:rPr>
      </w:pPr>
      <w:r>
        <w:rPr>
          <w:rFonts w:hint="default"/>
          <w:color w:val="000000"/>
          <w:sz w:val="28"/>
          <w:szCs w:val="28"/>
          <w:lang w:val="en-US" w:eastAsia="zh-CN"/>
        </w:rPr>
        <w:t>设置容纳20</w:t>
      </w:r>
      <w:r>
        <w:rPr>
          <w:rFonts w:hint="eastAsia"/>
          <w:color w:val="000000"/>
          <w:sz w:val="28"/>
          <w:szCs w:val="28"/>
          <w:lang w:val="en-US" w:eastAsia="zh-CN"/>
        </w:rPr>
        <w:t>%</w:t>
      </w:r>
      <w:r>
        <w:rPr>
          <w:rFonts w:hint="default"/>
          <w:color w:val="000000"/>
          <w:sz w:val="28"/>
          <w:szCs w:val="28"/>
          <w:lang w:val="en-US" w:eastAsia="zh-CN"/>
        </w:rPr>
        <w:t>量的储油池或挡油墙时。应有将油排到安全处所的设施，且不应引起污染危害。当设有油、水分离的总事故储油池时，其容量不应小于最大一台变压器的油量的60</w:t>
      </w:r>
      <w:r>
        <w:rPr>
          <w:rFonts w:hint="eastAsia"/>
          <w:color w:val="000000"/>
          <w:sz w:val="28"/>
          <w:szCs w:val="28"/>
          <w:lang w:val="en-US" w:eastAsia="zh-CN"/>
        </w:rPr>
        <w:t>%。</w:t>
      </w:r>
    </w:p>
    <w:p>
      <w:pPr>
        <w:numPr>
          <w:ilvl w:val="0"/>
          <w:numId w:val="15"/>
        </w:numPr>
        <w:spacing w:line="360" w:lineRule="auto"/>
        <w:ind w:left="210" w:leftChars="0" w:firstLine="420" w:firstLineChars="0"/>
        <w:jc w:val="left"/>
        <w:outlineLvl w:val="9"/>
        <w:rPr>
          <w:rFonts w:hint="eastAsia" w:cs="Times New Roman"/>
          <w:b/>
          <w:snapToGrid w:val="0"/>
          <w:color w:val="000000"/>
          <w:kern w:val="0"/>
          <w:sz w:val="28"/>
          <w:szCs w:val="21"/>
          <w:lang w:val="en-US" w:eastAsia="zh-CN" w:bidi="ar-SA"/>
        </w:rPr>
      </w:pPr>
      <w:r>
        <w:rPr>
          <w:rFonts w:hint="default"/>
          <w:color w:val="000000"/>
          <w:sz w:val="28"/>
          <w:szCs w:val="28"/>
          <w:lang w:val="en-US" w:eastAsia="zh-CN"/>
        </w:rPr>
        <w:t>储油池或挡油墙的长、宽尺寸，一般较变压器外廓尺寸每边相应加大1m。储油池的四周应高出地面100mm，以防止雨水泥沙流入池内。储油池内一般铺设厚度不小于250mm的卵石层，卵石直径为 50～80mm。</w:t>
      </w:r>
    </w:p>
    <w:p>
      <w:pPr>
        <w:spacing w:line="360" w:lineRule="auto"/>
        <w:jc w:val="left"/>
        <w:outlineLvl w:val="2"/>
        <w:rPr>
          <w:rFonts w:hint="default" w:cs="Times New Roman"/>
          <w:b/>
          <w:snapToGrid w:val="0"/>
          <w:color w:val="000000"/>
          <w:kern w:val="0"/>
          <w:sz w:val="28"/>
          <w:szCs w:val="21"/>
          <w:lang w:val="en-US" w:eastAsia="zh-CN" w:bidi="ar-SA"/>
        </w:rPr>
      </w:pPr>
      <w:bookmarkStart w:id="81" w:name="_Toc26582"/>
      <w:r>
        <w:rPr>
          <w:rFonts w:hint="eastAsia" w:cs="Times New Roman"/>
          <w:b/>
          <w:snapToGrid w:val="0"/>
          <w:color w:val="000000"/>
          <w:kern w:val="0"/>
          <w:sz w:val="28"/>
          <w:szCs w:val="21"/>
          <w:lang w:val="en-US" w:eastAsia="zh-CN" w:bidi="ar-SA"/>
        </w:rPr>
        <w:t>2.2.9变电站值守模式</w:t>
      </w:r>
      <w:bookmarkEnd w:id="81"/>
    </w:p>
    <w:p>
      <w:pPr>
        <w:numPr>
          <w:ilvl w:val="0"/>
          <w:numId w:val="0"/>
        </w:numPr>
        <w:spacing w:line="360" w:lineRule="auto"/>
        <w:ind w:left="220" w:leftChars="0" w:firstLine="420" w:firstLineChars="150"/>
        <w:jc w:val="left"/>
        <w:outlineLvl w:val="9"/>
        <w:rPr>
          <w:rFonts w:hint="eastAsia"/>
          <w:color w:val="auto"/>
          <w:sz w:val="28"/>
          <w:szCs w:val="28"/>
          <w:lang w:val="en-US" w:eastAsia="zh-CN"/>
        </w:rPr>
      </w:pPr>
      <w:r>
        <w:rPr>
          <w:rFonts w:hint="default"/>
          <w:color w:val="auto"/>
          <w:sz w:val="28"/>
          <w:szCs w:val="28"/>
          <w:lang w:val="en-US" w:eastAsia="zh-CN"/>
        </w:rPr>
        <w:t>变电站设置</w:t>
      </w:r>
      <w:r>
        <w:rPr>
          <w:rFonts w:hint="eastAsia"/>
          <w:color w:val="auto"/>
          <w:sz w:val="28"/>
          <w:szCs w:val="28"/>
          <w:lang w:val="en-US" w:eastAsia="zh-CN"/>
        </w:rPr>
        <w:t>少量</w:t>
      </w:r>
      <w:r>
        <w:rPr>
          <w:rFonts w:hint="default"/>
          <w:color w:val="auto"/>
          <w:sz w:val="28"/>
          <w:szCs w:val="28"/>
          <w:lang w:val="en-US" w:eastAsia="zh-CN"/>
        </w:rPr>
        <w:t>维护人员，运行监测，主要控制操作</w:t>
      </w:r>
      <w:r>
        <w:rPr>
          <w:rFonts w:hint="eastAsia"/>
          <w:color w:val="auto"/>
          <w:sz w:val="28"/>
          <w:szCs w:val="28"/>
          <w:lang w:val="en-US" w:eastAsia="zh-CN"/>
        </w:rPr>
        <w:t>由控制室的控制端</w:t>
      </w:r>
      <w:r>
        <w:rPr>
          <w:rFonts w:hint="default"/>
          <w:color w:val="auto"/>
          <w:sz w:val="28"/>
          <w:szCs w:val="28"/>
          <w:lang w:val="en-US" w:eastAsia="zh-CN"/>
        </w:rPr>
        <w:t>进行，设备采取定期巡视维护，设计应符合DL/T5103—2012《35kV～220kV无人值班变电站设计规程》的规定</w:t>
      </w:r>
      <w:r>
        <w:rPr>
          <w:rFonts w:hint="eastAsia"/>
          <w:color w:val="auto"/>
          <w:sz w:val="28"/>
          <w:szCs w:val="28"/>
          <w:lang w:val="en-US" w:eastAsia="zh-CN"/>
        </w:rPr>
        <w:t>。</w:t>
      </w:r>
    </w:p>
    <w:p>
      <w:pPr>
        <w:pStyle w:val="2"/>
        <w:ind w:left="0" w:leftChars="0" w:firstLine="0" w:firstLineChars="0"/>
        <w:outlineLvl w:val="2"/>
        <w:rPr>
          <w:rFonts w:hint="eastAsia" w:ascii="Times New Roman" w:hAnsi="Times New Roman" w:eastAsia="宋体" w:cs="Times New Roman"/>
          <w:b/>
          <w:snapToGrid w:val="0"/>
          <w:color w:val="auto"/>
          <w:kern w:val="0"/>
          <w:sz w:val="28"/>
          <w:szCs w:val="21"/>
          <w:lang w:val="en-US" w:eastAsia="zh-CN" w:bidi="ar-SA"/>
        </w:rPr>
      </w:pPr>
      <w:bookmarkStart w:id="82" w:name="_Toc5537"/>
      <w:r>
        <w:rPr>
          <w:rFonts w:hint="eastAsia" w:ascii="Times New Roman" w:hAnsi="Times New Roman" w:eastAsia="宋体" w:cs="Times New Roman"/>
          <w:b/>
          <w:snapToGrid w:val="0"/>
          <w:color w:val="auto"/>
          <w:kern w:val="0"/>
          <w:sz w:val="28"/>
          <w:szCs w:val="21"/>
          <w:lang w:val="en-US" w:eastAsia="zh-CN" w:bidi="ar-SA"/>
        </w:rPr>
        <w:t>2.3.10</w:t>
      </w:r>
      <w:r>
        <w:rPr>
          <w:rFonts w:hint="eastAsia" w:cs="Times New Roman"/>
          <w:b/>
          <w:snapToGrid w:val="0"/>
          <w:color w:val="auto"/>
          <w:kern w:val="0"/>
          <w:sz w:val="28"/>
          <w:szCs w:val="21"/>
          <w:lang w:val="en-US" w:eastAsia="zh-CN" w:bidi="ar-SA"/>
        </w:rPr>
        <w:t>变电</w:t>
      </w:r>
      <w:r>
        <w:rPr>
          <w:rFonts w:hint="eastAsia" w:ascii="Times New Roman" w:hAnsi="Times New Roman" w:eastAsia="宋体" w:cs="Times New Roman"/>
          <w:b/>
          <w:snapToGrid w:val="0"/>
          <w:color w:val="auto"/>
          <w:kern w:val="0"/>
          <w:sz w:val="28"/>
          <w:szCs w:val="21"/>
          <w:lang w:val="en-US" w:eastAsia="zh-CN" w:bidi="ar-SA"/>
        </w:rPr>
        <w:t>站</w:t>
      </w:r>
      <w:r>
        <w:rPr>
          <w:rFonts w:hint="eastAsia" w:cs="Times New Roman"/>
          <w:b/>
          <w:snapToGrid w:val="0"/>
          <w:color w:val="auto"/>
          <w:kern w:val="0"/>
          <w:sz w:val="28"/>
          <w:szCs w:val="21"/>
          <w:lang w:val="en-US" w:eastAsia="zh-CN" w:bidi="ar-SA"/>
        </w:rPr>
        <w:t>设计</w:t>
      </w:r>
      <w:r>
        <w:rPr>
          <w:rFonts w:hint="eastAsia" w:ascii="Times New Roman" w:hAnsi="Times New Roman" w:eastAsia="宋体" w:cs="Times New Roman"/>
          <w:b/>
          <w:snapToGrid w:val="0"/>
          <w:color w:val="auto"/>
          <w:kern w:val="0"/>
          <w:sz w:val="28"/>
          <w:szCs w:val="21"/>
          <w:lang w:val="en-US" w:eastAsia="zh-CN" w:bidi="ar-SA"/>
        </w:rPr>
        <w:t>方案</w:t>
      </w:r>
      <w:bookmarkEnd w:id="82"/>
    </w:p>
    <w:p>
      <w:pPr>
        <w:pStyle w:val="2"/>
        <w:ind w:left="0" w:leftChars="0" w:firstLine="0" w:firstLineChars="0"/>
        <w:rPr>
          <w:rFonts w:hint="eastAsia" w:ascii="Times New Roman" w:hAnsi="Times New Roman" w:eastAsia="宋体" w:cs="Times New Roman"/>
          <w:color w:val="auto"/>
          <w:kern w:val="2"/>
          <w:sz w:val="28"/>
          <w:szCs w:val="28"/>
          <w:lang w:val="en-US" w:eastAsia="zh-CN" w:bidi="ar-SA"/>
        </w:rPr>
      </w:pPr>
      <w:r>
        <w:rPr>
          <w:rFonts w:hint="eastAsia" w:ascii="Times New Roman" w:hAnsi="Times New Roman" w:cs="Times New Roman"/>
          <w:b/>
          <w:snapToGrid w:val="0"/>
          <w:color w:val="auto"/>
          <w:kern w:val="0"/>
          <w:sz w:val="28"/>
          <w:szCs w:val="21"/>
          <w:lang w:val="en-US" w:eastAsia="zh-CN" w:bidi="ar-SA"/>
        </w:rPr>
        <w:t xml:space="preserve">   </w:t>
      </w:r>
      <w:r>
        <w:rPr>
          <w:rFonts w:hint="eastAsia" w:ascii="Times New Roman" w:hAnsi="Times New Roman" w:eastAsia="宋体" w:cs="Times New Roman"/>
          <w:color w:val="auto"/>
          <w:kern w:val="2"/>
          <w:sz w:val="28"/>
          <w:szCs w:val="28"/>
          <w:lang w:val="en-US" w:eastAsia="zh-CN" w:bidi="ar-SA"/>
        </w:rPr>
        <w:t xml:space="preserve"> </w:t>
      </w:r>
      <w:r>
        <w:rPr>
          <w:rFonts w:hint="eastAsia" w:cs="Times New Roman"/>
          <w:color w:val="FF0000"/>
          <w:kern w:val="2"/>
          <w:sz w:val="28"/>
          <w:szCs w:val="28"/>
          <w:lang w:val="en-US" w:eastAsia="zh-CN" w:bidi="ar-SA"/>
        </w:rPr>
        <w:t>本站</w:t>
      </w:r>
      <w:r>
        <w:rPr>
          <w:rFonts w:hint="eastAsia" w:ascii="Times New Roman" w:hAnsi="Times New Roman" w:eastAsia="宋体" w:cs="Times New Roman"/>
          <w:color w:val="FF0000"/>
          <w:kern w:val="2"/>
          <w:sz w:val="28"/>
          <w:szCs w:val="28"/>
          <w:lang w:val="en-US" w:eastAsia="zh-CN" w:bidi="ar-SA"/>
        </w:rPr>
        <w:t>采用传统钢混结构变电站方案：建筑物的抗震、消防、通风应符合国家有关规定，同时考虑设备静、动荷载，</w:t>
      </w:r>
      <w:r>
        <w:rPr>
          <w:rFonts w:hint="eastAsia" w:cs="Times New Roman"/>
          <w:color w:val="FF0000"/>
          <w:kern w:val="2"/>
          <w:sz w:val="28"/>
          <w:szCs w:val="28"/>
          <w:lang w:val="en-US" w:eastAsia="zh-CN" w:bidi="ar-SA"/>
        </w:rPr>
        <w:t>配套</w:t>
      </w:r>
      <w:r>
        <w:rPr>
          <w:rFonts w:hint="eastAsia" w:ascii="Times New Roman" w:hAnsi="Times New Roman" w:eastAsia="宋体" w:cs="Times New Roman"/>
          <w:color w:val="FF0000"/>
          <w:kern w:val="2"/>
          <w:sz w:val="28"/>
          <w:szCs w:val="28"/>
          <w:lang w:val="en-US" w:eastAsia="zh-CN" w:bidi="ar-SA"/>
        </w:rPr>
        <w:t>设施满足二次控制的要求。</w:t>
      </w:r>
    </w:p>
    <w:p>
      <w:pPr>
        <w:pStyle w:val="7"/>
        <w:numPr>
          <w:ilvl w:val="0"/>
          <w:numId w:val="0"/>
        </w:numPr>
        <w:rPr>
          <w:rFonts w:ascii="Times New Roman"/>
          <w:sz w:val="28"/>
          <w:szCs w:val="21"/>
        </w:rPr>
      </w:pPr>
      <w:bookmarkStart w:id="83" w:name="_Toc222395915"/>
      <w:bookmarkStart w:id="84" w:name="_Toc219973855"/>
      <w:bookmarkStart w:id="85" w:name="_Toc226451864"/>
      <w:bookmarkStart w:id="86" w:name="_Toc27045"/>
      <w:r>
        <w:rPr>
          <w:rFonts w:ascii="Times New Roman"/>
          <w:sz w:val="28"/>
          <w:szCs w:val="21"/>
        </w:rPr>
        <w:t>2</w:t>
      </w:r>
      <w:r>
        <w:rPr>
          <w:rFonts w:hint="eastAsia" w:ascii="Times New Roman"/>
          <w:sz w:val="28"/>
          <w:szCs w:val="21"/>
        </w:rPr>
        <w:t>.</w:t>
      </w:r>
      <w:r>
        <w:rPr>
          <w:rFonts w:hint="eastAsia" w:ascii="Times New Roman"/>
          <w:sz w:val="28"/>
          <w:szCs w:val="21"/>
          <w:lang w:val="en-US" w:eastAsia="zh-CN"/>
        </w:rPr>
        <w:t>3</w:t>
      </w:r>
      <w:r>
        <w:rPr>
          <w:rFonts w:hint="eastAsia" w:ascii="Times New Roman"/>
          <w:sz w:val="28"/>
          <w:szCs w:val="21"/>
        </w:rPr>
        <w:t xml:space="preserve"> </w:t>
      </w:r>
      <w:bookmarkEnd w:id="83"/>
      <w:bookmarkEnd w:id="84"/>
      <w:bookmarkEnd w:id="85"/>
      <w:r>
        <w:rPr>
          <w:rFonts w:hint="eastAsia" w:ascii="Times New Roman"/>
          <w:sz w:val="28"/>
          <w:szCs w:val="21"/>
          <w:lang w:val="en-US" w:eastAsia="zh-CN"/>
        </w:rPr>
        <w:t>一次</w:t>
      </w:r>
      <w:r>
        <w:rPr>
          <w:rFonts w:hint="eastAsia" w:ascii="Times New Roman"/>
          <w:sz w:val="28"/>
          <w:szCs w:val="21"/>
        </w:rPr>
        <w:t>系统功能要求</w:t>
      </w:r>
      <w:bookmarkEnd w:id="86"/>
    </w:p>
    <w:p>
      <w:pPr>
        <w:pStyle w:val="8"/>
        <w:rPr>
          <w:sz w:val="28"/>
          <w:szCs w:val="21"/>
        </w:rPr>
      </w:pPr>
      <w:bookmarkStart w:id="87" w:name="_Toc226451866"/>
      <w:bookmarkStart w:id="88" w:name="_Toc222395917"/>
      <w:bookmarkStart w:id="89" w:name="_Toc219973857"/>
      <w:bookmarkStart w:id="90" w:name="_Toc13275"/>
      <w:r>
        <w:rPr>
          <w:sz w:val="28"/>
          <w:szCs w:val="21"/>
        </w:rPr>
        <w:t>2</w:t>
      </w:r>
      <w:r>
        <w:rPr>
          <w:rFonts w:hint="eastAsia"/>
          <w:sz w:val="28"/>
          <w:szCs w:val="21"/>
        </w:rPr>
        <w:t>.</w:t>
      </w:r>
      <w:r>
        <w:rPr>
          <w:rFonts w:hint="eastAsia"/>
          <w:sz w:val="28"/>
          <w:szCs w:val="21"/>
          <w:lang w:val="en-US" w:eastAsia="zh-CN"/>
        </w:rPr>
        <w:t>3</w:t>
      </w:r>
      <w:r>
        <w:rPr>
          <w:rFonts w:hint="eastAsia"/>
          <w:sz w:val="28"/>
          <w:szCs w:val="21"/>
        </w:rPr>
        <w:t>.</w:t>
      </w:r>
      <w:r>
        <w:rPr>
          <w:sz w:val="28"/>
          <w:szCs w:val="21"/>
        </w:rPr>
        <w:t>1</w:t>
      </w:r>
      <w:r>
        <w:rPr>
          <w:rFonts w:hint="eastAsia"/>
          <w:sz w:val="28"/>
          <w:szCs w:val="21"/>
        </w:rPr>
        <w:t xml:space="preserve"> </w:t>
      </w:r>
      <w:r>
        <w:rPr>
          <w:rFonts w:hint="eastAsia"/>
          <w:sz w:val="28"/>
          <w:szCs w:val="21"/>
          <w:lang w:val="en-US" w:eastAsia="zh-CN"/>
        </w:rPr>
        <w:t>总体</w:t>
      </w:r>
      <w:bookmarkEnd w:id="87"/>
      <w:bookmarkEnd w:id="88"/>
      <w:bookmarkEnd w:id="89"/>
      <w:r>
        <w:rPr>
          <w:rFonts w:hint="eastAsia"/>
          <w:sz w:val="28"/>
          <w:szCs w:val="21"/>
        </w:rPr>
        <w:t>要求</w:t>
      </w:r>
      <w:bookmarkEnd w:id="90"/>
    </w:p>
    <w:p>
      <w:pPr>
        <w:spacing w:line="360" w:lineRule="auto"/>
        <w:ind w:firstLine="480"/>
        <w:rPr>
          <w:sz w:val="28"/>
          <w:szCs w:val="28"/>
        </w:rPr>
      </w:pPr>
      <w:r>
        <w:rPr>
          <w:rFonts w:hint="eastAsia"/>
          <w:sz w:val="28"/>
          <w:szCs w:val="28"/>
          <w:lang w:val="en-US" w:eastAsia="zh-CN"/>
        </w:rPr>
        <w:t>1</w:t>
      </w:r>
      <w:r>
        <w:rPr>
          <w:rFonts w:hint="eastAsia"/>
          <w:sz w:val="28"/>
          <w:szCs w:val="28"/>
        </w:rPr>
        <w:t>、负荷等级为</w:t>
      </w:r>
      <w:r>
        <w:rPr>
          <w:rFonts w:hint="eastAsia"/>
          <w:sz w:val="28"/>
          <w:szCs w:val="28"/>
          <w:lang w:val="en-US" w:eastAsia="zh-CN"/>
        </w:rPr>
        <w:t>三级</w:t>
      </w:r>
      <w:r>
        <w:rPr>
          <w:rFonts w:hint="eastAsia"/>
          <w:color w:val="FF0000"/>
          <w:sz w:val="28"/>
          <w:szCs w:val="28"/>
        </w:rPr>
        <w:t>负荷</w:t>
      </w:r>
      <w:r>
        <w:rPr>
          <w:rFonts w:hint="eastAsia"/>
          <w:sz w:val="28"/>
          <w:szCs w:val="28"/>
        </w:rPr>
        <w:t>，重要性等级为</w:t>
      </w:r>
      <w:r>
        <w:rPr>
          <w:rFonts w:hint="eastAsia"/>
          <w:sz w:val="28"/>
          <w:szCs w:val="28"/>
          <w:lang w:val="en-US" w:eastAsia="zh-CN"/>
        </w:rPr>
        <w:t>三级</w:t>
      </w:r>
      <w:r>
        <w:rPr>
          <w:rFonts w:hint="eastAsia"/>
          <w:sz w:val="28"/>
          <w:szCs w:val="28"/>
        </w:rPr>
        <w:t>负荷。</w:t>
      </w:r>
    </w:p>
    <w:p>
      <w:pPr>
        <w:spacing w:line="240" w:lineRule="auto"/>
        <w:ind w:firstLine="482"/>
        <w:jc w:val="left"/>
        <w:rPr>
          <w:rFonts w:hint="eastAsia"/>
          <w:sz w:val="28"/>
          <w:szCs w:val="28"/>
        </w:rPr>
      </w:pPr>
      <w:r>
        <w:rPr>
          <w:rFonts w:hint="eastAsia"/>
          <w:sz w:val="28"/>
          <w:szCs w:val="28"/>
          <w:lang w:val="en-US" w:eastAsia="zh-CN"/>
        </w:rPr>
        <w:t>2</w:t>
      </w:r>
      <w:r>
        <w:rPr>
          <w:rFonts w:hint="eastAsia"/>
          <w:sz w:val="28"/>
          <w:szCs w:val="28"/>
        </w:rPr>
        <w:t>、招标文件提供的</w:t>
      </w:r>
      <w:r>
        <w:rPr>
          <w:rFonts w:hint="eastAsia"/>
          <w:color w:val="FF0000"/>
          <w:sz w:val="28"/>
          <w:szCs w:val="28"/>
        </w:rPr>
        <w:t>线路方案</w:t>
      </w:r>
      <w:r>
        <w:rPr>
          <w:rFonts w:hint="eastAsia"/>
          <w:sz w:val="28"/>
          <w:szCs w:val="28"/>
        </w:rPr>
        <w:t>仅供参考，</w:t>
      </w:r>
      <w:r>
        <w:rPr>
          <w:rFonts w:hint="eastAsia"/>
          <w:sz w:val="28"/>
          <w:szCs w:val="28"/>
          <w:lang w:eastAsia="zh-CN"/>
        </w:rPr>
        <w:t>投标单位</w:t>
      </w:r>
      <w:r>
        <w:rPr>
          <w:rFonts w:hint="eastAsia"/>
          <w:sz w:val="28"/>
          <w:szCs w:val="28"/>
        </w:rPr>
        <w:t>应自行对接</w:t>
      </w:r>
      <w:r>
        <w:rPr>
          <w:rFonts w:hint="eastAsia"/>
          <w:sz w:val="28"/>
          <w:szCs w:val="28"/>
          <w:lang w:val="en-US" w:eastAsia="zh-CN"/>
        </w:rPr>
        <w:t>入点</w:t>
      </w:r>
      <w:r>
        <w:rPr>
          <w:rFonts w:hint="eastAsia"/>
          <w:sz w:val="28"/>
          <w:szCs w:val="28"/>
        </w:rPr>
        <w:t>规划、</w:t>
      </w:r>
      <w:r>
        <w:rPr>
          <w:rFonts w:hint="eastAsia"/>
          <w:sz w:val="28"/>
          <w:szCs w:val="28"/>
          <w:lang w:val="en-US" w:eastAsia="zh-CN"/>
        </w:rPr>
        <w:t>上级变电站导线型号、二次系统、园区管线</w:t>
      </w:r>
      <w:r>
        <w:rPr>
          <w:rFonts w:hint="eastAsia"/>
          <w:sz w:val="28"/>
          <w:szCs w:val="28"/>
        </w:rPr>
        <w:t>（</w:t>
      </w:r>
      <w:r>
        <w:rPr>
          <w:rFonts w:hint="eastAsia"/>
          <w:sz w:val="28"/>
          <w:szCs w:val="28"/>
          <w:lang w:val="en-US" w:eastAsia="zh-CN"/>
        </w:rPr>
        <w:t>道路</w:t>
      </w:r>
      <w:r>
        <w:rPr>
          <w:rFonts w:hint="eastAsia"/>
          <w:sz w:val="28"/>
          <w:szCs w:val="28"/>
        </w:rPr>
        <w:t>、供水、电力、通讯</w:t>
      </w:r>
      <w:r>
        <w:rPr>
          <w:rFonts w:hint="eastAsia"/>
          <w:sz w:val="28"/>
          <w:szCs w:val="28"/>
          <w:lang w:eastAsia="zh-CN"/>
        </w:rPr>
        <w:t>、</w:t>
      </w:r>
      <w:r>
        <w:rPr>
          <w:rFonts w:hint="eastAsia"/>
          <w:sz w:val="28"/>
          <w:szCs w:val="28"/>
          <w:lang w:val="en-US" w:eastAsia="zh-CN"/>
        </w:rPr>
        <w:t>工艺管线</w:t>
      </w:r>
      <w:r>
        <w:rPr>
          <w:rFonts w:hint="eastAsia"/>
          <w:sz w:val="28"/>
          <w:szCs w:val="28"/>
        </w:rPr>
        <w:t>）</w:t>
      </w:r>
      <w:r>
        <w:rPr>
          <w:rFonts w:hint="eastAsia"/>
          <w:sz w:val="28"/>
          <w:szCs w:val="28"/>
          <w:lang w:val="en-US" w:eastAsia="zh-CN"/>
        </w:rPr>
        <w:t>进行勘察</w:t>
      </w:r>
      <w:r>
        <w:rPr>
          <w:rFonts w:hint="eastAsia"/>
          <w:sz w:val="28"/>
          <w:szCs w:val="28"/>
        </w:rPr>
        <w:t>，并确定线路实施方案</w:t>
      </w:r>
      <w:r>
        <w:rPr>
          <w:sz w:val="28"/>
          <w:szCs w:val="28"/>
        </w:rPr>
        <w:t>。</w:t>
      </w:r>
      <w:r>
        <w:rPr>
          <w:rFonts w:hint="eastAsia"/>
          <w:sz w:val="28"/>
          <w:szCs w:val="28"/>
        </w:rPr>
        <w:t>线路方案应取得</w:t>
      </w:r>
      <w:r>
        <w:rPr>
          <w:rFonts w:hint="eastAsia"/>
          <w:sz w:val="28"/>
          <w:szCs w:val="28"/>
          <w:lang w:val="en-US" w:eastAsia="zh-CN"/>
        </w:rPr>
        <w:t>业主认可</w:t>
      </w:r>
      <w:r>
        <w:rPr>
          <w:rFonts w:hint="eastAsia"/>
          <w:sz w:val="28"/>
          <w:szCs w:val="28"/>
        </w:rPr>
        <w:t>。</w:t>
      </w:r>
    </w:p>
    <w:p>
      <w:pPr>
        <w:pStyle w:val="2"/>
        <w:rPr>
          <w:rFonts w:hint="default"/>
          <w:sz w:val="28"/>
          <w:szCs w:val="28"/>
          <w:lang w:val="en-US" w:eastAsia="zh-CN"/>
        </w:rPr>
      </w:pPr>
    </w:p>
    <w:p>
      <w:pPr>
        <w:pStyle w:val="8"/>
        <w:rPr>
          <w:rFonts w:hint="eastAsia"/>
          <w:color w:val="000000"/>
          <w:sz w:val="28"/>
          <w:szCs w:val="21"/>
        </w:rPr>
      </w:pPr>
      <w:bookmarkStart w:id="91" w:name="_Toc10022"/>
      <w:r>
        <w:rPr>
          <w:color w:val="000000"/>
          <w:sz w:val="28"/>
          <w:szCs w:val="21"/>
        </w:rPr>
        <w:t>2</w:t>
      </w:r>
      <w:r>
        <w:rPr>
          <w:rFonts w:hint="eastAsia"/>
          <w:color w:val="000000"/>
          <w:sz w:val="28"/>
          <w:szCs w:val="21"/>
        </w:rPr>
        <w:t>.</w:t>
      </w:r>
      <w:r>
        <w:rPr>
          <w:rFonts w:hint="eastAsia"/>
          <w:color w:val="000000"/>
          <w:sz w:val="28"/>
          <w:szCs w:val="21"/>
          <w:lang w:val="en-US" w:eastAsia="zh-CN"/>
        </w:rPr>
        <w:t>3</w:t>
      </w:r>
      <w:r>
        <w:rPr>
          <w:rFonts w:hint="eastAsia"/>
          <w:color w:val="000000"/>
          <w:sz w:val="28"/>
          <w:szCs w:val="21"/>
        </w:rPr>
        <w:t>.</w:t>
      </w:r>
      <w:r>
        <w:rPr>
          <w:rFonts w:hint="eastAsia"/>
          <w:color w:val="000000"/>
          <w:sz w:val="28"/>
          <w:szCs w:val="21"/>
          <w:lang w:val="en-US" w:eastAsia="zh-CN"/>
        </w:rPr>
        <w:t>2</w:t>
      </w:r>
      <w:r>
        <w:rPr>
          <w:rFonts w:hint="eastAsia"/>
          <w:color w:val="000000"/>
          <w:sz w:val="28"/>
          <w:szCs w:val="21"/>
        </w:rPr>
        <w:t xml:space="preserve"> 主变压器选择</w:t>
      </w:r>
      <w:bookmarkEnd w:id="91"/>
    </w:p>
    <w:p>
      <w:pPr>
        <w:pStyle w:val="6"/>
        <w:rPr>
          <w:rFonts w:hint="eastAsia"/>
          <w:color w:val="000000"/>
          <w:sz w:val="22"/>
          <w:szCs w:val="28"/>
          <w:lang w:val="en-US" w:eastAsia="zh-CN"/>
        </w:rPr>
      </w:pPr>
      <w:r>
        <w:rPr>
          <w:rFonts w:hint="eastAsia"/>
          <w:color w:val="000000"/>
          <w:sz w:val="22"/>
          <w:szCs w:val="28"/>
          <w:lang w:val="en-US" w:eastAsia="zh-CN"/>
        </w:rPr>
        <w:t xml:space="preserve">    </w:t>
      </w:r>
      <w:r>
        <w:rPr>
          <w:rFonts w:hint="eastAsia" w:ascii="Times New Roman" w:hAnsi="Times New Roman" w:eastAsia="宋体" w:cs="Times New Roman"/>
          <w:color w:val="000000"/>
          <w:kern w:val="2"/>
          <w:sz w:val="28"/>
          <w:szCs w:val="28"/>
          <w:lang w:val="en-US" w:eastAsia="zh-CN" w:bidi="ar-SA"/>
        </w:rPr>
        <w:t xml:space="preserve"> 变压器应符合的相关标准：</w:t>
      </w:r>
    </w:p>
    <w:tbl>
      <w:tblPr>
        <w:tblStyle w:val="63"/>
        <w:tblpPr w:leftFromText="180" w:rightFromText="180" w:vertAnchor="text" w:horzAnchor="page" w:tblpX="1550" w:tblpY="356"/>
        <w:tblOverlap w:val="never"/>
        <w:tblW w:w="9013"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149"/>
        <w:gridCol w:w="686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标准号</w:t>
            </w:r>
          </w:p>
        </w:tc>
        <w:tc>
          <w:tcPr>
            <w:tcW w:w="6864" w:type="dxa"/>
            <w:noWrap w:val="0"/>
            <w:vAlign w:val="center"/>
          </w:tcPr>
          <w:p>
            <w:pPr>
              <w:topLinePunct/>
              <w:snapToGrid w:val="0"/>
              <w:spacing w:before="60" w:after="60"/>
              <w:jc w:val="center"/>
              <w:rPr>
                <w:color w:val="000000"/>
                <w:kern w:val="21"/>
                <w:sz w:val="20"/>
                <w:szCs w:val="22"/>
              </w:rPr>
            </w:pPr>
            <w:r>
              <w:rPr>
                <w:color w:val="000000"/>
                <w:kern w:val="21"/>
                <w:sz w:val="20"/>
                <w:szCs w:val="22"/>
              </w:rPr>
              <w:t>标  准  名  称</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GB</w:t>
            </w:r>
            <w:r>
              <w:rPr>
                <w:rFonts w:hint="eastAsia"/>
                <w:color w:val="000000"/>
                <w:kern w:val="21"/>
                <w:sz w:val="20"/>
                <w:szCs w:val="22"/>
              </w:rPr>
              <w:t xml:space="preserve"> </w:t>
            </w:r>
            <w:r>
              <w:rPr>
                <w:color w:val="000000"/>
                <w:kern w:val="21"/>
                <w:sz w:val="20"/>
                <w:szCs w:val="22"/>
              </w:rPr>
              <w:t>1094.1</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电力变压器  第1部分  总则</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GB</w:t>
            </w:r>
            <w:r>
              <w:rPr>
                <w:rFonts w:hint="eastAsia"/>
                <w:color w:val="000000"/>
                <w:kern w:val="21"/>
                <w:sz w:val="20"/>
                <w:szCs w:val="22"/>
              </w:rPr>
              <w:t xml:space="preserve"> </w:t>
            </w:r>
            <w:r>
              <w:rPr>
                <w:color w:val="000000"/>
                <w:kern w:val="21"/>
                <w:sz w:val="20"/>
                <w:szCs w:val="22"/>
              </w:rPr>
              <w:t>1094.2</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电力变压器  第2部分  温升</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GB</w:t>
            </w:r>
            <w:r>
              <w:rPr>
                <w:rFonts w:hint="eastAsia"/>
                <w:color w:val="000000"/>
                <w:kern w:val="21"/>
                <w:sz w:val="20"/>
                <w:szCs w:val="22"/>
              </w:rPr>
              <w:t xml:space="preserve"> </w:t>
            </w:r>
            <w:r>
              <w:rPr>
                <w:color w:val="000000"/>
                <w:kern w:val="21"/>
                <w:sz w:val="20"/>
                <w:szCs w:val="22"/>
              </w:rPr>
              <w:t>1094.3</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电力变压器  第3部分  绝缘水平、绝缘试验和外绝缘空气间隙</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GB</w:t>
            </w:r>
            <w:r>
              <w:rPr>
                <w:rFonts w:hint="eastAsia"/>
                <w:color w:val="000000"/>
                <w:kern w:val="21"/>
                <w:sz w:val="20"/>
                <w:szCs w:val="22"/>
              </w:rPr>
              <w:t xml:space="preserve"> </w:t>
            </w:r>
            <w:r>
              <w:rPr>
                <w:color w:val="000000"/>
                <w:kern w:val="21"/>
                <w:sz w:val="20"/>
                <w:szCs w:val="22"/>
              </w:rPr>
              <w:t>1094.4</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电力变压器  第4部分  电力变压器和电抗器雷电冲击和操作冲击试验导则</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GB</w:t>
            </w:r>
            <w:r>
              <w:rPr>
                <w:rFonts w:hint="eastAsia"/>
                <w:color w:val="000000"/>
                <w:kern w:val="21"/>
                <w:sz w:val="20"/>
                <w:szCs w:val="22"/>
              </w:rPr>
              <w:t xml:space="preserve"> </w:t>
            </w:r>
            <w:r>
              <w:rPr>
                <w:color w:val="000000"/>
                <w:kern w:val="21"/>
                <w:sz w:val="20"/>
                <w:szCs w:val="22"/>
              </w:rPr>
              <w:t>1094.5</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电力变压器  第5部分  承受短路的能力</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GB/T</w:t>
            </w:r>
            <w:r>
              <w:rPr>
                <w:rFonts w:hint="eastAsia"/>
                <w:color w:val="000000"/>
                <w:kern w:val="21"/>
                <w:sz w:val="20"/>
                <w:szCs w:val="22"/>
              </w:rPr>
              <w:t xml:space="preserve"> </w:t>
            </w:r>
            <w:r>
              <w:rPr>
                <w:color w:val="000000"/>
                <w:kern w:val="21"/>
                <w:sz w:val="20"/>
                <w:szCs w:val="22"/>
              </w:rPr>
              <w:t>1094.10</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电力变压器  第10部分  声级测定</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GB</w:t>
            </w:r>
            <w:r>
              <w:rPr>
                <w:rFonts w:hint="eastAsia"/>
                <w:color w:val="000000"/>
                <w:kern w:val="21"/>
                <w:sz w:val="20"/>
                <w:szCs w:val="22"/>
              </w:rPr>
              <w:t xml:space="preserve"> </w:t>
            </w:r>
            <w:r>
              <w:rPr>
                <w:color w:val="000000"/>
                <w:kern w:val="21"/>
                <w:sz w:val="20"/>
                <w:szCs w:val="22"/>
              </w:rPr>
              <w:t>311.1</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高压输变电设备的绝缘配合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GB</w:t>
            </w:r>
            <w:r>
              <w:rPr>
                <w:rFonts w:hint="eastAsia"/>
                <w:color w:val="000000"/>
                <w:kern w:val="21"/>
                <w:sz w:val="20"/>
                <w:szCs w:val="22"/>
              </w:rPr>
              <w:t xml:space="preserve"> </w:t>
            </w:r>
            <w:r>
              <w:rPr>
                <w:color w:val="000000"/>
                <w:kern w:val="21"/>
                <w:sz w:val="20"/>
                <w:szCs w:val="22"/>
              </w:rPr>
              <w:t>1208</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电流互感器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GB</w:t>
            </w:r>
            <w:r>
              <w:rPr>
                <w:rFonts w:hint="eastAsia"/>
                <w:color w:val="000000"/>
                <w:kern w:val="21"/>
                <w:sz w:val="20"/>
                <w:szCs w:val="22"/>
              </w:rPr>
              <w:t xml:space="preserve"> </w:t>
            </w:r>
            <w:r>
              <w:rPr>
                <w:color w:val="000000"/>
                <w:kern w:val="21"/>
                <w:sz w:val="20"/>
                <w:szCs w:val="22"/>
              </w:rPr>
              <w:t>2536</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变压器油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GB</w:t>
            </w:r>
            <w:r>
              <w:rPr>
                <w:rFonts w:hint="eastAsia"/>
                <w:color w:val="000000"/>
                <w:kern w:val="21"/>
                <w:sz w:val="20"/>
                <w:szCs w:val="22"/>
              </w:rPr>
              <w:t xml:space="preserve"> </w:t>
            </w:r>
            <w:r>
              <w:rPr>
                <w:color w:val="000000"/>
                <w:kern w:val="21"/>
                <w:sz w:val="20"/>
                <w:szCs w:val="22"/>
              </w:rPr>
              <w:t>5273</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变压器、高压电器和套管的接线端子</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GB</w:t>
            </w:r>
            <w:r>
              <w:rPr>
                <w:rFonts w:hint="eastAsia"/>
                <w:color w:val="000000"/>
                <w:kern w:val="21"/>
                <w:sz w:val="20"/>
                <w:szCs w:val="22"/>
              </w:rPr>
              <w:t xml:space="preserve"> </w:t>
            </w:r>
            <w:r>
              <w:rPr>
                <w:color w:val="000000"/>
                <w:kern w:val="21"/>
                <w:sz w:val="20"/>
                <w:szCs w:val="22"/>
              </w:rPr>
              <w:t>2900.15</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电工术语  变压器</w:t>
            </w:r>
            <w:r>
              <w:rPr>
                <w:rFonts w:hint="eastAsia"/>
                <w:color w:val="000000"/>
                <w:kern w:val="21"/>
                <w:sz w:val="20"/>
                <w:szCs w:val="22"/>
              </w:rPr>
              <w:t>、</w:t>
            </w:r>
            <w:r>
              <w:rPr>
                <w:color w:val="000000"/>
                <w:kern w:val="21"/>
                <w:sz w:val="20"/>
                <w:szCs w:val="22"/>
              </w:rPr>
              <w:t>互感器</w:t>
            </w:r>
            <w:r>
              <w:rPr>
                <w:rFonts w:hint="eastAsia"/>
                <w:color w:val="000000"/>
                <w:kern w:val="21"/>
                <w:sz w:val="20"/>
                <w:szCs w:val="22"/>
              </w:rPr>
              <w:t>、</w:t>
            </w:r>
            <w:r>
              <w:rPr>
                <w:color w:val="000000"/>
                <w:kern w:val="21"/>
                <w:sz w:val="20"/>
                <w:szCs w:val="22"/>
              </w:rPr>
              <w:t>调压器</w:t>
            </w:r>
            <w:r>
              <w:rPr>
                <w:rFonts w:hint="eastAsia"/>
                <w:color w:val="000000"/>
                <w:kern w:val="21"/>
                <w:sz w:val="20"/>
                <w:szCs w:val="22"/>
              </w:rPr>
              <w:t>和</w:t>
            </w:r>
            <w:r>
              <w:rPr>
                <w:color w:val="000000"/>
                <w:kern w:val="21"/>
                <w:sz w:val="20"/>
                <w:szCs w:val="22"/>
              </w:rPr>
              <w:t>电抗器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GB</w:t>
            </w:r>
            <w:r>
              <w:rPr>
                <w:rFonts w:hint="eastAsia"/>
                <w:color w:val="000000"/>
                <w:kern w:val="21"/>
                <w:sz w:val="20"/>
                <w:szCs w:val="22"/>
              </w:rPr>
              <w:t xml:space="preserve"> </w:t>
            </w:r>
            <w:r>
              <w:rPr>
                <w:color w:val="000000"/>
                <w:kern w:val="21"/>
                <w:sz w:val="20"/>
                <w:szCs w:val="22"/>
              </w:rPr>
              <w:t>10230</w:t>
            </w:r>
            <w:r>
              <w:rPr>
                <w:rFonts w:hint="eastAsia"/>
                <w:color w:val="000000"/>
                <w:kern w:val="21"/>
                <w:sz w:val="20"/>
                <w:szCs w:val="22"/>
              </w:rPr>
              <w:t>.1</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分接开关</w:t>
            </w:r>
            <w:r>
              <w:rPr>
                <w:rFonts w:hint="eastAsia"/>
                <w:color w:val="000000"/>
                <w:kern w:val="21"/>
                <w:sz w:val="20"/>
                <w:szCs w:val="22"/>
              </w:rPr>
              <w:t xml:space="preserve"> 第1部分：</w:t>
            </w:r>
            <w:r>
              <w:rPr>
                <w:color w:val="000000"/>
                <w:kern w:val="21"/>
                <w:sz w:val="20"/>
                <w:szCs w:val="22"/>
              </w:rPr>
              <w:t>性能要求和试验方法</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rFonts w:hint="eastAsia"/>
                <w:color w:val="000000"/>
                <w:kern w:val="21"/>
                <w:sz w:val="20"/>
                <w:szCs w:val="22"/>
              </w:rPr>
              <w:t>GB 10230.2</w:t>
            </w:r>
          </w:p>
        </w:tc>
        <w:tc>
          <w:tcPr>
            <w:tcW w:w="6864" w:type="dxa"/>
            <w:noWrap w:val="0"/>
            <w:vAlign w:val="center"/>
          </w:tcPr>
          <w:p>
            <w:pPr>
              <w:topLinePunct/>
              <w:snapToGrid w:val="0"/>
              <w:spacing w:before="60" w:after="60"/>
              <w:ind w:firstLine="170"/>
              <w:rPr>
                <w:color w:val="000000"/>
                <w:kern w:val="21"/>
                <w:sz w:val="20"/>
                <w:szCs w:val="22"/>
              </w:rPr>
            </w:pPr>
            <w:r>
              <w:rPr>
                <w:rFonts w:hint="eastAsia" w:cs="宋体"/>
                <w:color w:val="000000"/>
                <w:kern w:val="21"/>
                <w:sz w:val="20"/>
                <w:szCs w:val="22"/>
              </w:rPr>
              <w:t>分接开关 第2部分：应用导则</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GB</w:t>
            </w:r>
            <w:r>
              <w:rPr>
                <w:rFonts w:hint="eastAsia"/>
                <w:color w:val="000000"/>
                <w:kern w:val="21"/>
                <w:sz w:val="20"/>
                <w:szCs w:val="22"/>
              </w:rPr>
              <w:t xml:space="preserve"> </w:t>
            </w:r>
            <w:r>
              <w:rPr>
                <w:color w:val="000000"/>
                <w:kern w:val="21"/>
                <w:sz w:val="20"/>
                <w:szCs w:val="22"/>
              </w:rPr>
              <w:t>16847</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保护用电流互感器暂态特性技术要求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rFonts w:hint="eastAsia"/>
                <w:color w:val="000000"/>
                <w:kern w:val="21"/>
                <w:sz w:val="20"/>
                <w:szCs w:val="22"/>
              </w:rPr>
            </w:pPr>
            <w:r>
              <w:rPr>
                <w:color w:val="000000"/>
                <w:kern w:val="21"/>
                <w:sz w:val="20"/>
                <w:szCs w:val="22"/>
              </w:rPr>
              <w:t>GB</w:t>
            </w:r>
            <w:r>
              <w:rPr>
                <w:rFonts w:hint="eastAsia"/>
                <w:color w:val="000000"/>
                <w:kern w:val="21"/>
                <w:sz w:val="20"/>
                <w:szCs w:val="22"/>
              </w:rPr>
              <w:t xml:space="preserve"> </w:t>
            </w:r>
            <w:r>
              <w:rPr>
                <w:color w:val="000000"/>
                <w:kern w:val="21"/>
                <w:sz w:val="20"/>
                <w:szCs w:val="22"/>
              </w:rPr>
              <w:t>50150</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电气装置安装工程电气设备交接试验标准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rFonts w:hint="eastAsia"/>
                <w:color w:val="000000"/>
                <w:kern w:val="21"/>
                <w:sz w:val="20"/>
                <w:szCs w:val="22"/>
              </w:rPr>
            </w:pPr>
            <w:r>
              <w:rPr>
                <w:color w:val="000000"/>
                <w:kern w:val="21"/>
                <w:sz w:val="20"/>
                <w:szCs w:val="22"/>
              </w:rPr>
              <w:t>GB/T</w:t>
            </w:r>
            <w:r>
              <w:rPr>
                <w:rFonts w:hint="eastAsia"/>
                <w:color w:val="000000"/>
                <w:kern w:val="21"/>
                <w:sz w:val="20"/>
                <w:szCs w:val="22"/>
              </w:rPr>
              <w:t xml:space="preserve"> </w:t>
            </w:r>
            <w:r>
              <w:rPr>
                <w:color w:val="000000"/>
                <w:kern w:val="21"/>
                <w:sz w:val="20"/>
                <w:szCs w:val="22"/>
              </w:rPr>
              <w:t>4109</w:t>
            </w:r>
          </w:p>
        </w:tc>
        <w:tc>
          <w:tcPr>
            <w:tcW w:w="6864" w:type="dxa"/>
            <w:noWrap w:val="0"/>
            <w:vAlign w:val="center"/>
          </w:tcPr>
          <w:p>
            <w:pPr>
              <w:topLinePunct/>
              <w:snapToGrid w:val="0"/>
              <w:spacing w:before="60" w:after="60"/>
              <w:ind w:firstLine="170"/>
              <w:rPr>
                <w:color w:val="000000"/>
                <w:kern w:val="21"/>
                <w:sz w:val="20"/>
                <w:szCs w:val="22"/>
              </w:rPr>
            </w:pPr>
            <w:r>
              <w:rPr>
                <w:rFonts w:hint="eastAsia"/>
                <w:color w:val="000000"/>
                <w:kern w:val="21"/>
                <w:sz w:val="20"/>
                <w:szCs w:val="22"/>
              </w:rPr>
              <w:t>交流电压高于1000V的绝缘套管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rFonts w:hint="eastAsia"/>
                <w:color w:val="000000"/>
                <w:kern w:val="21"/>
                <w:sz w:val="20"/>
                <w:szCs w:val="22"/>
              </w:rPr>
            </w:pPr>
            <w:r>
              <w:rPr>
                <w:color w:val="000000"/>
                <w:kern w:val="21"/>
                <w:sz w:val="20"/>
                <w:szCs w:val="22"/>
              </w:rPr>
              <w:t>GB/T</w:t>
            </w:r>
            <w:r>
              <w:rPr>
                <w:rFonts w:hint="eastAsia"/>
                <w:color w:val="000000"/>
                <w:kern w:val="21"/>
                <w:sz w:val="20"/>
                <w:szCs w:val="22"/>
              </w:rPr>
              <w:t xml:space="preserve"> </w:t>
            </w:r>
            <w:r>
              <w:rPr>
                <w:color w:val="000000"/>
                <w:kern w:val="21"/>
                <w:sz w:val="20"/>
                <w:szCs w:val="22"/>
              </w:rPr>
              <w:t>458</w:t>
            </w:r>
            <w:r>
              <w:rPr>
                <w:rFonts w:hint="eastAsia"/>
                <w:color w:val="000000"/>
                <w:kern w:val="21"/>
                <w:sz w:val="20"/>
                <w:szCs w:val="22"/>
              </w:rPr>
              <w:t>5</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交流系统用高压绝缘子的人工污秽试验</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bookmarkStart w:id="92" w:name="OLE_LINK3"/>
            <w:r>
              <w:rPr>
                <w:color w:val="000000"/>
                <w:kern w:val="21"/>
                <w:sz w:val="20"/>
                <w:szCs w:val="22"/>
              </w:rPr>
              <w:t>GB/T</w:t>
            </w:r>
            <w:r>
              <w:rPr>
                <w:rFonts w:hint="eastAsia"/>
                <w:color w:val="000000"/>
                <w:kern w:val="21"/>
                <w:sz w:val="20"/>
                <w:szCs w:val="22"/>
              </w:rPr>
              <w:t xml:space="preserve"> </w:t>
            </w:r>
            <w:r>
              <w:rPr>
                <w:color w:val="000000"/>
                <w:kern w:val="21"/>
                <w:sz w:val="20"/>
                <w:szCs w:val="22"/>
              </w:rPr>
              <w:t>5582</w:t>
            </w:r>
            <w:bookmarkEnd w:id="92"/>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高压电力设备外绝缘污秽等级</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GB/T</w:t>
            </w:r>
            <w:r>
              <w:rPr>
                <w:rFonts w:hint="eastAsia"/>
                <w:color w:val="000000"/>
                <w:kern w:val="21"/>
                <w:sz w:val="20"/>
                <w:szCs w:val="22"/>
              </w:rPr>
              <w:t xml:space="preserve"> </w:t>
            </w:r>
            <w:r>
              <w:rPr>
                <w:color w:val="000000"/>
                <w:kern w:val="21"/>
                <w:sz w:val="20"/>
                <w:szCs w:val="22"/>
              </w:rPr>
              <w:t>7252</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变压器油中溶解气体分析与判断导则</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rFonts w:hint="eastAsia"/>
                <w:color w:val="000000"/>
                <w:kern w:val="21"/>
                <w:sz w:val="20"/>
                <w:szCs w:val="22"/>
              </w:rPr>
            </w:pPr>
            <w:r>
              <w:rPr>
                <w:color w:val="000000"/>
                <w:kern w:val="21"/>
                <w:sz w:val="20"/>
                <w:szCs w:val="22"/>
              </w:rPr>
              <w:t>GB/T</w:t>
            </w:r>
            <w:r>
              <w:rPr>
                <w:rFonts w:hint="eastAsia"/>
                <w:color w:val="000000"/>
                <w:kern w:val="21"/>
                <w:sz w:val="20"/>
                <w:szCs w:val="22"/>
              </w:rPr>
              <w:t xml:space="preserve"> </w:t>
            </w:r>
            <w:r>
              <w:rPr>
                <w:color w:val="000000"/>
                <w:kern w:val="21"/>
                <w:sz w:val="20"/>
                <w:szCs w:val="22"/>
              </w:rPr>
              <w:t>72</w:t>
            </w:r>
            <w:r>
              <w:rPr>
                <w:rFonts w:hint="eastAsia"/>
                <w:color w:val="000000"/>
                <w:kern w:val="21"/>
                <w:sz w:val="20"/>
                <w:szCs w:val="22"/>
              </w:rPr>
              <w:t>95</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运行中变压器油质量标准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GB/T</w:t>
            </w:r>
            <w:r>
              <w:rPr>
                <w:rFonts w:hint="eastAsia"/>
                <w:color w:val="000000"/>
                <w:kern w:val="21"/>
                <w:sz w:val="20"/>
                <w:szCs w:val="22"/>
              </w:rPr>
              <w:t xml:space="preserve"> </w:t>
            </w:r>
            <w:r>
              <w:rPr>
                <w:color w:val="000000"/>
                <w:kern w:val="21"/>
                <w:sz w:val="20"/>
                <w:szCs w:val="22"/>
              </w:rPr>
              <w:t>7354</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局部放电测量</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rFonts w:hint="eastAsia"/>
                <w:color w:val="000000"/>
                <w:kern w:val="21"/>
                <w:sz w:val="20"/>
                <w:szCs w:val="22"/>
              </w:rPr>
            </w:pPr>
            <w:r>
              <w:rPr>
                <w:color w:val="000000"/>
                <w:kern w:val="21"/>
                <w:sz w:val="20"/>
                <w:szCs w:val="22"/>
              </w:rPr>
              <w:t>GB/T</w:t>
            </w:r>
            <w:r>
              <w:rPr>
                <w:rFonts w:hint="eastAsia"/>
                <w:color w:val="000000"/>
                <w:kern w:val="21"/>
                <w:sz w:val="20"/>
                <w:szCs w:val="22"/>
              </w:rPr>
              <w:t xml:space="preserve"> 13499</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电力变压器应用导则</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rFonts w:hint="eastAsia"/>
                <w:color w:val="000000"/>
                <w:kern w:val="21"/>
                <w:sz w:val="20"/>
                <w:szCs w:val="22"/>
              </w:rPr>
              <w:t>GB 13027</w:t>
            </w:r>
          </w:p>
        </w:tc>
        <w:tc>
          <w:tcPr>
            <w:tcW w:w="6864" w:type="dxa"/>
            <w:noWrap w:val="0"/>
            <w:vAlign w:val="center"/>
          </w:tcPr>
          <w:p>
            <w:pPr>
              <w:topLinePunct/>
              <w:snapToGrid w:val="0"/>
              <w:spacing w:before="60" w:after="60"/>
              <w:ind w:firstLine="170"/>
              <w:rPr>
                <w:rFonts w:hint="eastAsia"/>
                <w:color w:val="000000"/>
                <w:kern w:val="21"/>
                <w:sz w:val="20"/>
                <w:szCs w:val="22"/>
              </w:rPr>
            </w:pPr>
            <w:r>
              <w:rPr>
                <w:rFonts w:hint="eastAsia"/>
                <w:color w:val="000000"/>
                <w:kern w:val="21"/>
                <w:sz w:val="20"/>
                <w:szCs w:val="22"/>
              </w:rPr>
              <w:t>油纸电容式变压器套管形式和尺寸</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GB/T</w:t>
            </w:r>
            <w:r>
              <w:rPr>
                <w:rFonts w:hint="eastAsia"/>
                <w:color w:val="000000"/>
                <w:kern w:val="21"/>
                <w:sz w:val="20"/>
                <w:szCs w:val="22"/>
              </w:rPr>
              <w:t xml:space="preserve"> </w:t>
            </w:r>
            <w:r>
              <w:rPr>
                <w:color w:val="000000"/>
                <w:kern w:val="21"/>
                <w:sz w:val="20"/>
                <w:szCs w:val="22"/>
              </w:rPr>
              <w:t>15164</w:t>
            </w:r>
          </w:p>
        </w:tc>
        <w:tc>
          <w:tcPr>
            <w:tcW w:w="6864" w:type="dxa"/>
            <w:noWrap w:val="0"/>
            <w:vAlign w:val="center"/>
          </w:tcPr>
          <w:p>
            <w:pPr>
              <w:topLinePunct/>
              <w:snapToGrid w:val="0"/>
              <w:spacing w:before="60" w:after="60"/>
              <w:ind w:firstLine="170"/>
              <w:rPr>
                <w:rFonts w:hint="eastAsia"/>
                <w:color w:val="000000"/>
                <w:kern w:val="21"/>
                <w:sz w:val="20"/>
                <w:szCs w:val="22"/>
              </w:rPr>
            </w:pPr>
            <w:r>
              <w:rPr>
                <w:color w:val="000000"/>
                <w:kern w:val="21"/>
                <w:sz w:val="20"/>
                <w:szCs w:val="22"/>
              </w:rPr>
              <w:t>油浸式电力变压器负载导则</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GB/T</w:t>
            </w:r>
            <w:r>
              <w:rPr>
                <w:rFonts w:hint="eastAsia"/>
                <w:color w:val="000000"/>
                <w:kern w:val="21"/>
                <w:sz w:val="20"/>
                <w:szCs w:val="22"/>
              </w:rPr>
              <w:t xml:space="preserve"> 6451　</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油浸式电力变压器技术参数和要求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GB</w:t>
            </w:r>
            <w:r>
              <w:rPr>
                <w:rFonts w:hint="eastAsia"/>
                <w:color w:val="000000"/>
                <w:kern w:val="21"/>
                <w:sz w:val="20"/>
                <w:szCs w:val="22"/>
              </w:rPr>
              <w:t xml:space="preserve"> </w:t>
            </w:r>
            <w:r>
              <w:rPr>
                <w:color w:val="000000"/>
                <w:kern w:val="21"/>
                <w:sz w:val="20"/>
                <w:szCs w:val="22"/>
              </w:rPr>
              <w:t>16434</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高压架空线路和发电厂、变电所环境污区分级及外绝缘选择标准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GB</w:t>
            </w:r>
            <w:r>
              <w:rPr>
                <w:rFonts w:hint="eastAsia"/>
                <w:color w:val="000000"/>
                <w:kern w:val="21"/>
                <w:sz w:val="20"/>
                <w:szCs w:val="22"/>
              </w:rPr>
              <w:t xml:space="preserve"> </w:t>
            </w:r>
            <w:r>
              <w:rPr>
                <w:color w:val="000000"/>
                <w:kern w:val="21"/>
                <w:sz w:val="20"/>
                <w:szCs w:val="22"/>
              </w:rPr>
              <w:t>16927.1</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高压试验技术</w:t>
            </w:r>
            <w:r>
              <w:rPr>
                <w:rFonts w:hint="eastAsia"/>
                <w:color w:val="000000"/>
                <w:kern w:val="21"/>
                <w:sz w:val="20"/>
                <w:szCs w:val="22"/>
              </w:rPr>
              <w:t xml:space="preserve">  </w:t>
            </w:r>
            <w:r>
              <w:rPr>
                <w:color w:val="000000"/>
                <w:kern w:val="21"/>
                <w:sz w:val="20"/>
                <w:szCs w:val="22"/>
              </w:rPr>
              <w:t>第一部分：一般试验要求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GB</w:t>
            </w:r>
            <w:r>
              <w:rPr>
                <w:rFonts w:hint="eastAsia"/>
                <w:color w:val="000000"/>
                <w:kern w:val="21"/>
                <w:sz w:val="20"/>
                <w:szCs w:val="22"/>
              </w:rPr>
              <w:t xml:space="preserve"> </w:t>
            </w:r>
            <w:r>
              <w:rPr>
                <w:color w:val="000000"/>
                <w:kern w:val="21"/>
                <w:sz w:val="20"/>
                <w:szCs w:val="22"/>
              </w:rPr>
              <w:t>16927.2</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高压试验技术</w:t>
            </w:r>
            <w:r>
              <w:rPr>
                <w:rFonts w:hint="eastAsia"/>
                <w:color w:val="000000"/>
                <w:kern w:val="21"/>
                <w:sz w:val="20"/>
                <w:szCs w:val="22"/>
              </w:rPr>
              <w:t xml:space="preserve">  </w:t>
            </w:r>
            <w:r>
              <w:rPr>
                <w:color w:val="000000"/>
                <w:kern w:val="21"/>
                <w:sz w:val="20"/>
                <w:szCs w:val="22"/>
              </w:rPr>
              <w:t>第二部分：测量系统</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rFonts w:hint="eastAsia"/>
                <w:color w:val="000000"/>
                <w:kern w:val="21"/>
                <w:sz w:val="20"/>
                <w:szCs w:val="22"/>
              </w:rPr>
            </w:pPr>
            <w:r>
              <w:rPr>
                <w:color w:val="000000"/>
                <w:kern w:val="21"/>
                <w:sz w:val="20"/>
                <w:szCs w:val="22"/>
              </w:rPr>
              <w:t>GB</w:t>
            </w:r>
            <w:r>
              <w:rPr>
                <w:rFonts w:hint="eastAsia"/>
                <w:color w:val="000000"/>
                <w:kern w:val="21"/>
                <w:sz w:val="20"/>
                <w:szCs w:val="22"/>
              </w:rPr>
              <w:t xml:space="preserve"> </w:t>
            </w:r>
            <w:r>
              <w:rPr>
                <w:color w:val="000000"/>
                <w:kern w:val="21"/>
                <w:sz w:val="20"/>
                <w:szCs w:val="22"/>
              </w:rPr>
              <w:t>13499</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电力变压器应用导则</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GB/T</w:t>
            </w:r>
            <w:r>
              <w:rPr>
                <w:rFonts w:hint="eastAsia"/>
                <w:color w:val="000000"/>
                <w:kern w:val="21"/>
                <w:sz w:val="20"/>
                <w:szCs w:val="22"/>
              </w:rPr>
              <w:t xml:space="preserve"> </w:t>
            </w:r>
            <w:r>
              <w:rPr>
                <w:color w:val="000000"/>
                <w:kern w:val="21"/>
                <w:sz w:val="20"/>
                <w:szCs w:val="22"/>
              </w:rPr>
              <w:t>17468</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电力变压器选用导则</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GB</w:t>
            </w:r>
            <w:r>
              <w:rPr>
                <w:rFonts w:hint="eastAsia"/>
                <w:color w:val="000000"/>
                <w:kern w:val="21"/>
                <w:sz w:val="20"/>
                <w:szCs w:val="22"/>
              </w:rPr>
              <w:t xml:space="preserve"> </w:t>
            </w:r>
            <w:r>
              <w:rPr>
                <w:color w:val="000000"/>
                <w:kern w:val="21"/>
                <w:sz w:val="20"/>
                <w:szCs w:val="22"/>
              </w:rPr>
              <w:t>148</w:t>
            </w:r>
          </w:p>
        </w:tc>
        <w:tc>
          <w:tcPr>
            <w:tcW w:w="6864" w:type="dxa"/>
            <w:noWrap w:val="0"/>
            <w:vAlign w:val="center"/>
          </w:tcPr>
          <w:p>
            <w:pPr>
              <w:topLinePunct/>
              <w:snapToGrid w:val="0"/>
              <w:spacing w:before="60" w:after="60"/>
              <w:ind w:firstLine="170"/>
              <w:rPr>
                <w:color w:val="000000"/>
                <w:kern w:val="21"/>
                <w:sz w:val="20"/>
                <w:szCs w:val="22"/>
              </w:rPr>
            </w:pPr>
            <w:r>
              <w:rPr>
                <w:rFonts w:hint="eastAsia"/>
                <w:color w:val="000000"/>
                <w:kern w:val="21"/>
                <w:sz w:val="20"/>
                <w:szCs w:val="22"/>
              </w:rPr>
              <w:t>电气装置安装工程电力变压器、油浸电抗器、互感器施工及验收规范</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DL/T</w:t>
            </w:r>
            <w:r>
              <w:rPr>
                <w:rFonts w:hint="eastAsia"/>
                <w:color w:val="000000"/>
                <w:kern w:val="21"/>
                <w:sz w:val="20"/>
                <w:szCs w:val="22"/>
              </w:rPr>
              <w:t xml:space="preserve"> </w:t>
            </w:r>
            <w:r>
              <w:rPr>
                <w:color w:val="000000"/>
                <w:kern w:val="21"/>
                <w:sz w:val="20"/>
                <w:szCs w:val="22"/>
              </w:rPr>
              <w:t>572</w:t>
            </w:r>
          </w:p>
        </w:tc>
        <w:tc>
          <w:tcPr>
            <w:tcW w:w="6864" w:type="dxa"/>
            <w:noWrap w:val="0"/>
            <w:vAlign w:val="center"/>
          </w:tcPr>
          <w:p>
            <w:pPr>
              <w:topLinePunct/>
              <w:snapToGrid w:val="0"/>
              <w:spacing w:before="60" w:after="60"/>
              <w:ind w:firstLine="170"/>
              <w:rPr>
                <w:rFonts w:hint="eastAsia"/>
                <w:color w:val="000000"/>
                <w:kern w:val="21"/>
                <w:sz w:val="20"/>
                <w:szCs w:val="22"/>
              </w:rPr>
            </w:pPr>
            <w:r>
              <w:rPr>
                <w:color w:val="000000"/>
                <w:kern w:val="21"/>
                <w:sz w:val="20"/>
                <w:szCs w:val="22"/>
              </w:rPr>
              <w:t>电力变压器运行规程</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DL/T</w:t>
            </w:r>
            <w:r>
              <w:rPr>
                <w:rFonts w:hint="eastAsia"/>
                <w:color w:val="000000"/>
                <w:kern w:val="21"/>
                <w:sz w:val="20"/>
                <w:szCs w:val="22"/>
              </w:rPr>
              <w:t xml:space="preserve"> </w:t>
            </w:r>
            <w:r>
              <w:rPr>
                <w:color w:val="000000"/>
                <w:kern w:val="21"/>
                <w:sz w:val="20"/>
                <w:szCs w:val="22"/>
              </w:rPr>
              <w:t>596</w:t>
            </w:r>
          </w:p>
        </w:tc>
        <w:tc>
          <w:tcPr>
            <w:tcW w:w="6864" w:type="dxa"/>
            <w:noWrap w:val="0"/>
            <w:vAlign w:val="center"/>
          </w:tcPr>
          <w:p>
            <w:pPr>
              <w:topLinePunct/>
              <w:snapToGrid w:val="0"/>
              <w:spacing w:before="60" w:after="60"/>
              <w:ind w:firstLine="170"/>
              <w:rPr>
                <w:rFonts w:hint="eastAsia"/>
                <w:color w:val="000000"/>
                <w:kern w:val="21"/>
                <w:sz w:val="20"/>
                <w:szCs w:val="22"/>
              </w:rPr>
            </w:pPr>
            <w:r>
              <w:rPr>
                <w:color w:val="000000"/>
                <w:kern w:val="21"/>
                <w:sz w:val="20"/>
                <w:szCs w:val="22"/>
              </w:rPr>
              <w:t>电力设备预防性试验规程</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DL</w:t>
            </w:r>
            <w:r>
              <w:rPr>
                <w:rFonts w:hint="eastAsia"/>
                <w:color w:val="000000"/>
                <w:kern w:val="21"/>
                <w:sz w:val="20"/>
                <w:szCs w:val="22"/>
              </w:rPr>
              <w:t xml:space="preserve"> 911</w:t>
            </w:r>
          </w:p>
        </w:tc>
        <w:tc>
          <w:tcPr>
            <w:tcW w:w="6864" w:type="dxa"/>
            <w:noWrap w:val="0"/>
            <w:vAlign w:val="center"/>
          </w:tcPr>
          <w:p>
            <w:pPr>
              <w:topLinePunct/>
              <w:snapToGrid w:val="0"/>
              <w:spacing w:before="60" w:after="60"/>
              <w:ind w:firstLine="170"/>
              <w:rPr>
                <w:rFonts w:hint="eastAsia"/>
                <w:color w:val="000000"/>
                <w:kern w:val="21"/>
                <w:sz w:val="20"/>
                <w:szCs w:val="22"/>
              </w:rPr>
            </w:pPr>
            <w:r>
              <w:rPr>
                <w:rFonts w:hint="eastAsia"/>
                <w:color w:val="000000"/>
                <w:kern w:val="21"/>
                <w:sz w:val="20"/>
                <w:szCs w:val="22"/>
              </w:rPr>
              <w:t>电力变压器</w:t>
            </w:r>
            <w:r>
              <w:rPr>
                <w:color w:val="000000"/>
                <w:kern w:val="21"/>
                <w:sz w:val="20"/>
                <w:szCs w:val="22"/>
              </w:rPr>
              <w:t>绕组变形</w:t>
            </w:r>
            <w:r>
              <w:rPr>
                <w:rFonts w:hint="eastAsia"/>
                <w:color w:val="000000"/>
                <w:kern w:val="21"/>
                <w:sz w:val="20"/>
                <w:szCs w:val="22"/>
              </w:rPr>
              <w:t>的频率响应分析法</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DL</w:t>
            </w:r>
            <w:r>
              <w:rPr>
                <w:rFonts w:hint="eastAsia"/>
                <w:color w:val="000000"/>
                <w:kern w:val="21"/>
                <w:sz w:val="20"/>
                <w:szCs w:val="22"/>
              </w:rPr>
              <w:t xml:space="preserve"> 1093</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电力变压器绕组变形的电抗法检测判断导则</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DL</w:t>
            </w:r>
            <w:r>
              <w:rPr>
                <w:rFonts w:hint="eastAsia"/>
                <w:color w:val="000000"/>
                <w:kern w:val="21"/>
                <w:sz w:val="20"/>
                <w:szCs w:val="22"/>
              </w:rPr>
              <w:t xml:space="preserve"> 1094</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电力变压器用绝缘油选用指南</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JB/T</w:t>
            </w:r>
            <w:r>
              <w:rPr>
                <w:rFonts w:hint="eastAsia"/>
                <w:color w:val="000000"/>
                <w:kern w:val="21"/>
                <w:sz w:val="20"/>
                <w:szCs w:val="22"/>
              </w:rPr>
              <w:t xml:space="preserve"> </w:t>
            </w:r>
            <w:r>
              <w:rPr>
                <w:color w:val="000000"/>
                <w:kern w:val="21"/>
                <w:sz w:val="20"/>
                <w:szCs w:val="22"/>
              </w:rPr>
              <w:t>3837</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变压器类产品型号编制方法</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rFonts w:hint="eastAsia"/>
                <w:color w:val="000000"/>
                <w:kern w:val="21"/>
                <w:sz w:val="20"/>
                <w:szCs w:val="22"/>
              </w:rPr>
            </w:pPr>
            <w:r>
              <w:rPr>
                <w:rFonts w:hint="eastAsia"/>
                <w:color w:val="000000"/>
                <w:kern w:val="21"/>
                <w:sz w:val="20"/>
                <w:szCs w:val="22"/>
              </w:rPr>
              <w:t>Q/GDW 152</w:t>
            </w:r>
          </w:p>
        </w:tc>
        <w:tc>
          <w:tcPr>
            <w:tcW w:w="6864" w:type="dxa"/>
            <w:noWrap w:val="0"/>
            <w:vAlign w:val="center"/>
          </w:tcPr>
          <w:p>
            <w:pPr>
              <w:topLinePunct/>
              <w:snapToGrid w:val="0"/>
              <w:spacing w:before="60" w:after="60"/>
              <w:ind w:firstLine="170"/>
              <w:rPr>
                <w:rFonts w:hint="eastAsia" w:cs="宋体"/>
                <w:color w:val="000000"/>
                <w:kern w:val="21"/>
                <w:sz w:val="20"/>
                <w:szCs w:val="22"/>
              </w:rPr>
            </w:pPr>
            <w:r>
              <w:rPr>
                <w:rFonts w:hint="eastAsia" w:cs="宋体"/>
                <w:color w:val="000000"/>
                <w:kern w:val="21"/>
                <w:sz w:val="20"/>
                <w:szCs w:val="22"/>
              </w:rPr>
              <w:t>电力系统污区分级与外绝缘选择标准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2149" w:type="dxa"/>
            <w:noWrap w:val="0"/>
            <w:vAlign w:val="center"/>
          </w:tcPr>
          <w:p>
            <w:pPr>
              <w:topLinePunct/>
              <w:snapToGrid w:val="0"/>
              <w:spacing w:before="60" w:after="60"/>
              <w:jc w:val="center"/>
              <w:rPr>
                <w:rFonts w:hint="eastAsia"/>
                <w:color w:val="000000"/>
                <w:kern w:val="21"/>
                <w:sz w:val="20"/>
                <w:szCs w:val="22"/>
              </w:rPr>
            </w:pPr>
            <w:r>
              <w:rPr>
                <w:rFonts w:hint="eastAsia"/>
                <w:color w:val="000000"/>
                <w:kern w:val="21"/>
                <w:sz w:val="20"/>
                <w:szCs w:val="22"/>
              </w:rPr>
              <w:t>Q/GDW</w:t>
            </w:r>
            <w:r>
              <w:rPr>
                <w:color w:val="000000"/>
                <w:kern w:val="21"/>
                <w:sz w:val="20"/>
                <w:szCs w:val="22"/>
              </w:rPr>
              <w:t xml:space="preserve"> 2010</w:t>
            </w:r>
          </w:p>
        </w:tc>
        <w:tc>
          <w:tcPr>
            <w:tcW w:w="6864" w:type="dxa"/>
            <w:noWrap w:val="0"/>
            <w:vAlign w:val="center"/>
          </w:tcPr>
          <w:p>
            <w:pPr>
              <w:topLinePunct/>
              <w:snapToGrid w:val="0"/>
              <w:spacing w:before="60" w:after="60"/>
              <w:ind w:firstLine="200" w:firstLineChars="100"/>
              <w:rPr>
                <w:rFonts w:hint="eastAsia"/>
                <w:color w:val="000000"/>
                <w:kern w:val="21"/>
                <w:sz w:val="20"/>
                <w:szCs w:val="22"/>
              </w:rPr>
            </w:pPr>
            <w:r>
              <w:rPr>
                <w:color w:val="000000"/>
                <w:kern w:val="21"/>
                <w:sz w:val="20"/>
                <w:szCs w:val="22"/>
              </w:rPr>
              <w:t>油浸式变压器测温装置现场校准规范</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9013" w:type="dxa"/>
            <w:gridSpan w:val="2"/>
            <w:noWrap w:val="0"/>
            <w:vAlign w:val="center"/>
          </w:tcPr>
          <w:p>
            <w:pPr>
              <w:topLinePunct/>
              <w:snapToGrid w:val="0"/>
              <w:spacing w:before="60" w:after="60"/>
              <w:ind w:firstLine="181"/>
              <w:rPr>
                <w:color w:val="000000"/>
                <w:kern w:val="21"/>
                <w:sz w:val="20"/>
                <w:szCs w:val="22"/>
              </w:rPr>
            </w:pPr>
            <w:r>
              <w:rPr>
                <w:color w:val="000000"/>
                <w:kern w:val="21"/>
                <w:sz w:val="20"/>
                <w:szCs w:val="22"/>
              </w:rPr>
              <w:t>下列为所参照的IEC标准，但不仅限于此：</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IEC60815</w:t>
            </w:r>
            <w:r>
              <w:rPr>
                <w:rFonts w:hint="eastAsia"/>
                <w:color w:val="000000"/>
                <w:kern w:val="21"/>
                <w:sz w:val="20"/>
                <w:szCs w:val="22"/>
              </w:rPr>
              <w:t>.1—2008</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污秽条件下</w:t>
            </w:r>
            <w:r>
              <w:rPr>
                <w:rFonts w:hint="eastAsia"/>
                <w:color w:val="000000"/>
                <w:kern w:val="21"/>
                <w:sz w:val="20"/>
                <w:szCs w:val="22"/>
              </w:rPr>
              <w:t>用高压</w:t>
            </w:r>
            <w:r>
              <w:rPr>
                <w:color w:val="000000"/>
                <w:kern w:val="21"/>
                <w:sz w:val="20"/>
                <w:szCs w:val="22"/>
              </w:rPr>
              <w:t>绝缘子</w:t>
            </w:r>
            <w:r>
              <w:rPr>
                <w:rFonts w:hint="eastAsia"/>
                <w:color w:val="000000"/>
                <w:kern w:val="21"/>
                <w:sz w:val="20"/>
                <w:szCs w:val="22"/>
              </w:rPr>
              <w:t>的选择和尺寸 第一部分：定义、信息和通用原理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149" w:type="dxa"/>
            <w:noWrap w:val="0"/>
            <w:vAlign w:val="center"/>
          </w:tcPr>
          <w:p>
            <w:pPr>
              <w:topLinePunct/>
              <w:snapToGrid w:val="0"/>
              <w:spacing w:before="60" w:after="60"/>
              <w:jc w:val="center"/>
              <w:rPr>
                <w:color w:val="000000"/>
                <w:kern w:val="21"/>
                <w:sz w:val="20"/>
                <w:szCs w:val="22"/>
              </w:rPr>
            </w:pPr>
            <w:r>
              <w:rPr>
                <w:color w:val="000000"/>
                <w:kern w:val="21"/>
                <w:sz w:val="20"/>
                <w:szCs w:val="22"/>
              </w:rPr>
              <w:t>IEC60815</w:t>
            </w:r>
            <w:r>
              <w:rPr>
                <w:rFonts w:hint="eastAsia"/>
                <w:color w:val="000000"/>
                <w:kern w:val="21"/>
                <w:sz w:val="20"/>
                <w:szCs w:val="22"/>
              </w:rPr>
              <w:t>.2—2008</w:t>
            </w:r>
          </w:p>
        </w:tc>
        <w:tc>
          <w:tcPr>
            <w:tcW w:w="6864" w:type="dxa"/>
            <w:noWrap w:val="0"/>
            <w:vAlign w:val="center"/>
          </w:tcPr>
          <w:p>
            <w:pPr>
              <w:topLinePunct/>
              <w:snapToGrid w:val="0"/>
              <w:spacing w:before="60" w:after="60"/>
              <w:ind w:firstLine="170"/>
              <w:rPr>
                <w:color w:val="000000"/>
                <w:kern w:val="21"/>
                <w:sz w:val="20"/>
                <w:szCs w:val="22"/>
              </w:rPr>
            </w:pPr>
            <w:r>
              <w:rPr>
                <w:color w:val="000000"/>
                <w:kern w:val="21"/>
                <w:sz w:val="20"/>
                <w:szCs w:val="22"/>
              </w:rPr>
              <w:t>污秽条件下</w:t>
            </w:r>
            <w:r>
              <w:rPr>
                <w:rFonts w:hint="eastAsia"/>
                <w:color w:val="000000"/>
                <w:kern w:val="21"/>
                <w:sz w:val="20"/>
                <w:szCs w:val="22"/>
              </w:rPr>
              <w:t>用高压</w:t>
            </w:r>
            <w:r>
              <w:rPr>
                <w:color w:val="000000"/>
                <w:kern w:val="21"/>
                <w:sz w:val="20"/>
                <w:szCs w:val="22"/>
              </w:rPr>
              <w:t>绝缘子</w:t>
            </w:r>
            <w:r>
              <w:rPr>
                <w:rFonts w:hint="eastAsia"/>
                <w:color w:val="000000"/>
                <w:kern w:val="21"/>
                <w:sz w:val="20"/>
                <w:szCs w:val="22"/>
              </w:rPr>
              <w:t>的选择和尺寸 第二部分：交流系统用陶瓷和玻璃绝缘子</w:t>
            </w:r>
          </w:p>
        </w:tc>
      </w:tr>
    </w:tbl>
    <w:p>
      <w:pPr>
        <w:pStyle w:val="6"/>
        <w:rPr>
          <w:rFonts w:hint="default"/>
          <w:color w:val="000000"/>
          <w:sz w:val="22"/>
          <w:szCs w:val="28"/>
          <w:lang w:val="en-US" w:eastAsia="zh-CN"/>
        </w:rPr>
      </w:pPr>
    </w:p>
    <w:p>
      <w:pPr>
        <w:spacing w:line="360" w:lineRule="auto"/>
        <w:ind w:firstLine="560" w:firstLineChars="200"/>
        <w:rPr>
          <w:rFonts w:hint="eastAsia" w:ascii="宋体" w:cs="宋体"/>
          <w:kern w:val="0"/>
          <w:sz w:val="28"/>
          <w:szCs w:val="28"/>
        </w:rPr>
      </w:pPr>
      <w:bookmarkStart w:id="93" w:name="_Toc386958814"/>
      <w:bookmarkStart w:id="94" w:name="_Toc386959019"/>
      <w:bookmarkStart w:id="95" w:name="_Toc423939978"/>
      <w:bookmarkStart w:id="96" w:name="_Toc386961494"/>
      <w:bookmarkStart w:id="97" w:name="_Toc386960457"/>
      <w:bookmarkStart w:id="98" w:name="_Toc386961078"/>
      <w:r>
        <w:rPr>
          <w:rFonts w:hint="eastAsia" w:ascii="宋体" w:cs="宋体"/>
          <w:kern w:val="0"/>
          <w:sz w:val="28"/>
          <w:szCs w:val="28"/>
          <w:lang w:val="en-US" w:eastAsia="zh-CN"/>
        </w:rPr>
        <w:t>1、</w:t>
      </w:r>
      <w:r>
        <w:rPr>
          <w:rFonts w:hint="eastAsia" w:ascii="宋体" w:cs="宋体"/>
          <w:kern w:val="0"/>
          <w:sz w:val="28"/>
          <w:szCs w:val="28"/>
        </w:rPr>
        <w:t>主变容量计划为</w:t>
      </w:r>
      <w:r>
        <w:rPr>
          <w:rFonts w:hint="eastAsia" w:ascii="宋体" w:cs="宋体"/>
          <w:color w:val="000000" w:themeColor="text1"/>
          <w:kern w:val="0"/>
          <w:sz w:val="28"/>
          <w:szCs w:val="28"/>
          <w:lang w:val="en-US" w:eastAsia="zh-CN"/>
          <w14:textFill>
            <w14:solidFill>
              <w14:schemeClr w14:val="tx1"/>
            </w14:solidFill>
          </w14:textFill>
        </w:rPr>
        <w:t>一台40</w:t>
      </w:r>
      <w:r>
        <w:rPr>
          <w:rFonts w:hint="eastAsia" w:ascii="宋体" w:cs="宋体"/>
          <w:color w:val="000000" w:themeColor="text1"/>
          <w:kern w:val="0"/>
          <w:sz w:val="28"/>
          <w:szCs w:val="28"/>
          <w14:textFill>
            <w14:solidFill>
              <w14:schemeClr w14:val="tx1"/>
            </w14:solidFill>
          </w14:textFill>
        </w:rPr>
        <w:t>M</w:t>
      </w:r>
      <w:r>
        <w:rPr>
          <w:rFonts w:hint="eastAsia" w:ascii="宋体" w:cs="宋体"/>
          <w:kern w:val="0"/>
          <w:sz w:val="28"/>
          <w:szCs w:val="28"/>
        </w:rPr>
        <w:t>VA</w:t>
      </w:r>
      <w:r>
        <w:rPr>
          <w:rFonts w:hint="eastAsia" w:ascii="宋体" w:cs="宋体"/>
          <w:kern w:val="0"/>
          <w:sz w:val="28"/>
          <w:szCs w:val="28"/>
          <w:lang w:eastAsia="zh-CN"/>
        </w:rPr>
        <w:t>，</w:t>
      </w:r>
      <w:r>
        <w:rPr>
          <w:rFonts w:hint="eastAsia" w:ascii="宋体" w:cs="宋体"/>
          <w:kern w:val="0"/>
          <w:sz w:val="28"/>
          <w:szCs w:val="28"/>
          <w:lang w:val="en-US" w:eastAsia="zh-CN"/>
        </w:rPr>
        <w:t>一台12.5MVA</w:t>
      </w:r>
      <w:r>
        <w:rPr>
          <w:rFonts w:hint="eastAsia" w:ascii="宋体" w:cs="宋体"/>
          <w:kern w:val="0"/>
          <w:sz w:val="28"/>
          <w:szCs w:val="28"/>
        </w:rPr>
        <w:t>，运行方式为</w:t>
      </w:r>
      <w:r>
        <w:rPr>
          <w:rFonts w:hint="eastAsia" w:ascii="宋体" w:cs="宋体"/>
          <w:kern w:val="0"/>
          <w:sz w:val="28"/>
          <w:szCs w:val="28"/>
          <w:lang w:val="en-US" w:eastAsia="zh-CN"/>
        </w:rPr>
        <w:t>前期</w:t>
      </w:r>
      <w:r>
        <w:rPr>
          <w:rFonts w:hint="eastAsia" w:ascii="宋体" w:cs="宋体"/>
          <w:kern w:val="0"/>
          <w:sz w:val="28"/>
          <w:szCs w:val="28"/>
        </w:rPr>
        <w:t>1用1备</w:t>
      </w:r>
      <w:r>
        <w:rPr>
          <w:rFonts w:hint="eastAsia" w:ascii="宋体" w:cs="宋体"/>
          <w:kern w:val="0"/>
          <w:sz w:val="28"/>
          <w:szCs w:val="28"/>
          <w:lang w:eastAsia="zh-CN"/>
        </w:rPr>
        <w:t>，</w:t>
      </w:r>
      <w:r>
        <w:rPr>
          <w:rFonts w:hint="eastAsia" w:ascii="宋体" w:cs="宋体"/>
          <w:kern w:val="0"/>
          <w:sz w:val="28"/>
          <w:szCs w:val="28"/>
          <w:lang w:val="en-US" w:eastAsia="zh-CN"/>
        </w:rPr>
        <w:t>远期2台同时运行</w:t>
      </w:r>
      <w:r>
        <w:rPr>
          <w:rFonts w:hint="eastAsia" w:ascii="宋体" w:cs="宋体"/>
          <w:kern w:val="0"/>
          <w:sz w:val="28"/>
          <w:szCs w:val="28"/>
          <w:lang w:eastAsia="zh-CN"/>
        </w:rPr>
        <w:t>，</w:t>
      </w:r>
      <w:r>
        <w:rPr>
          <w:rFonts w:hint="eastAsia" w:ascii="宋体" w:cs="宋体"/>
          <w:kern w:val="0"/>
          <w:sz w:val="28"/>
          <w:szCs w:val="28"/>
        </w:rPr>
        <w:t>采用</w:t>
      </w:r>
      <w:r>
        <w:rPr>
          <w:rFonts w:hint="eastAsia" w:ascii="宋体" w:cs="宋体"/>
          <w:color w:val="FF0000"/>
          <w:kern w:val="0"/>
          <w:sz w:val="28"/>
          <w:szCs w:val="28"/>
        </w:rPr>
        <w:t>有载调压双绕组变压器</w:t>
      </w:r>
      <w:r>
        <w:rPr>
          <w:rFonts w:hint="eastAsia" w:ascii="宋体" w:cs="宋体"/>
          <w:color w:val="FF0000"/>
          <w:kern w:val="0"/>
          <w:sz w:val="28"/>
          <w:szCs w:val="28"/>
          <w:lang w:eastAsia="zh-CN"/>
        </w:rPr>
        <w:t>，低噪音，低损耗，</w:t>
      </w:r>
      <w:r>
        <w:rPr>
          <w:rFonts w:hint="eastAsia" w:ascii="宋体" w:cs="宋体"/>
          <w:color w:val="FF0000"/>
          <w:kern w:val="0"/>
          <w:sz w:val="28"/>
          <w:szCs w:val="28"/>
          <w:lang w:val="en-US" w:eastAsia="zh-CN"/>
        </w:rPr>
        <w:t>玻璃钢套管，油浸式有载调压开关</w:t>
      </w:r>
      <w:r>
        <w:rPr>
          <w:rFonts w:hint="eastAsia" w:ascii="宋体" w:cs="宋体"/>
          <w:color w:val="FF0000"/>
          <w:kern w:val="0"/>
          <w:sz w:val="28"/>
          <w:szCs w:val="28"/>
        </w:rPr>
        <w:t>，</w:t>
      </w:r>
      <w:r>
        <w:rPr>
          <w:rFonts w:hint="eastAsia" w:ascii="宋体" w:cs="宋体"/>
          <w:color w:val="FF0000"/>
          <w:kern w:val="0"/>
          <w:sz w:val="28"/>
          <w:szCs w:val="28"/>
          <w:lang w:val="en-US" w:eastAsia="zh-CN"/>
        </w:rPr>
        <w:t>二级能效</w:t>
      </w:r>
      <w:r>
        <w:rPr>
          <w:rFonts w:hint="eastAsia" w:ascii="宋体" w:cs="宋体"/>
          <w:kern w:val="0"/>
          <w:sz w:val="28"/>
          <w:szCs w:val="28"/>
          <w:lang w:eastAsia="zh-CN"/>
        </w:rPr>
        <w:t>，</w:t>
      </w:r>
      <w:r>
        <w:rPr>
          <w:rFonts w:hint="eastAsia" w:ascii="宋体" w:cs="宋体"/>
          <w:kern w:val="0"/>
          <w:sz w:val="28"/>
          <w:szCs w:val="28"/>
        </w:rPr>
        <w:t>Uk=</w:t>
      </w:r>
      <w:r>
        <w:rPr>
          <w:rFonts w:hint="eastAsia" w:ascii="宋体" w:cs="宋体"/>
          <w:kern w:val="0"/>
          <w:sz w:val="28"/>
          <w:szCs w:val="28"/>
          <w:lang w:val="en-US" w:eastAsia="zh-CN"/>
        </w:rPr>
        <w:t>10.5</w:t>
      </w:r>
      <w:r>
        <w:rPr>
          <w:rFonts w:hint="eastAsia" w:ascii="宋体" w:cs="宋体"/>
          <w:kern w:val="0"/>
          <w:sz w:val="28"/>
          <w:szCs w:val="28"/>
        </w:rPr>
        <w:t>%。</w:t>
      </w:r>
    </w:p>
    <w:tbl>
      <w:tblPr>
        <w:tblStyle w:val="63"/>
        <w:tblpPr w:leftFromText="180" w:rightFromText="180" w:vertAnchor="text" w:horzAnchor="page" w:tblpX="1237" w:tblpY="618"/>
        <w:tblOverlap w:val="never"/>
        <w:tblW w:w="9598"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72"/>
        <w:gridCol w:w="1070"/>
        <w:gridCol w:w="901"/>
        <w:gridCol w:w="384"/>
        <w:gridCol w:w="1596"/>
        <w:gridCol w:w="696"/>
        <w:gridCol w:w="316"/>
        <w:gridCol w:w="86"/>
        <w:gridCol w:w="432"/>
        <w:gridCol w:w="825"/>
        <w:gridCol w:w="700"/>
        <w:gridCol w:w="380"/>
        <w:gridCol w:w="358"/>
        <w:gridCol w:w="108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772" w:type="dxa"/>
            <w:noWrap w:val="0"/>
            <w:vAlign w:val="center"/>
          </w:tcPr>
          <w:p>
            <w:pPr>
              <w:topLinePunct/>
              <w:adjustRightInd w:val="0"/>
              <w:snapToGrid w:val="0"/>
              <w:jc w:val="center"/>
              <w:rPr>
                <w:color w:val="000000"/>
                <w:kern w:val="21"/>
                <w:sz w:val="22"/>
                <w:szCs w:val="22"/>
              </w:rPr>
            </w:pPr>
            <w:r>
              <w:rPr>
                <w:rFonts w:hAnsi="宋体"/>
                <w:color w:val="000000"/>
                <w:kern w:val="21"/>
                <w:sz w:val="22"/>
                <w:szCs w:val="22"/>
              </w:rPr>
              <w:t>序号</w:t>
            </w:r>
          </w:p>
        </w:tc>
        <w:tc>
          <w:tcPr>
            <w:tcW w:w="1070"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名称</w:t>
            </w:r>
          </w:p>
        </w:tc>
        <w:tc>
          <w:tcPr>
            <w:tcW w:w="2881" w:type="dxa"/>
            <w:gridSpan w:val="3"/>
            <w:noWrap w:val="0"/>
            <w:vAlign w:val="center"/>
          </w:tcPr>
          <w:p>
            <w:pPr>
              <w:topLinePunct/>
              <w:adjustRightInd w:val="0"/>
              <w:snapToGrid w:val="0"/>
              <w:jc w:val="center"/>
              <w:rPr>
                <w:color w:val="000000"/>
                <w:kern w:val="21"/>
                <w:sz w:val="22"/>
                <w:szCs w:val="22"/>
              </w:rPr>
            </w:pPr>
            <w:r>
              <w:rPr>
                <w:rFonts w:hint="eastAsia"/>
                <w:color w:val="000000"/>
                <w:kern w:val="21"/>
                <w:sz w:val="22"/>
                <w:szCs w:val="22"/>
              </w:rPr>
              <w:t>项目</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int="eastAsia" w:hAnsi="宋体"/>
                <w:color w:val="000000"/>
                <w:kern w:val="21"/>
                <w:sz w:val="22"/>
                <w:szCs w:val="22"/>
              </w:rPr>
              <w:t>标准参数值</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int="eastAsia" w:hAnsi="宋体"/>
                <w:color w:val="000000"/>
                <w:kern w:val="21"/>
                <w:sz w:val="22"/>
                <w:szCs w:val="22"/>
                <w:lang w:val="en-US" w:eastAsia="zh-CN"/>
              </w:rPr>
              <w:t>投标单位</w:t>
            </w:r>
            <w:r>
              <w:rPr>
                <w:rFonts w:hAnsi="宋体"/>
                <w:color w:val="000000"/>
                <w:kern w:val="21"/>
                <w:sz w:val="22"/>
                <w:szCs w:val="22"/>
              </w:rPr>
              <w:t>保证值</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restart"/>
            <w:noWrap w:val="0"/>
            <w:vAlign w:val="center"/>
          </w:tcPr>
          <w:p>
            <w:pPr>
              <w:topLinePunct/>
              <w:adjustRightInd w:val="0"/>
              <w:snapToGrid w:val="0"/>
              <w:jc w:val="center"/>
              <w:rPr>
                <w:color w:val="000000"/>
                <w:kern w:val="21"/>
                <w:sz w:val="22"/>
                <w:szCs w:val="22"/>
              </w:rPr>
            </w:pPr>
            <w:r>
              <w:rPr>
                <w:color w:val="000000"/>
                <w:kern w:val="21"/>
                <w:sz w:val="22"/>
                <w:szCs w:val="22"/>
              </w:rPr>
              <w:t>1</w:t>
            </w:r>
          </w:p>
        </w:tc>
        <w:tc>
          <w:tcPr>
            <w:tcW w:w="1070"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额定值</w:t>
            </w: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变压器型式或型号</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SZ</w:t>
            </w:r>
            <w:r>
              <w:rPr>
                <w:rFonts w:hint="eastAsia"/>
                <w:color w:val="000000"/>
                <w:kern w:val="21"/>
                <w:sz w:val="22"/>
                <w:szCs w:val="22"/>
                <w:lang w:val="en-US" w:eastAsia="zh-CN"/>
              </w:rPr>
              <w:t>20</w:t>
            </w:r>
            <w:r>
              <w:rPr>
                <w:color w:val="000000"/>
                <w:kern w:val="21"/>
                <w:sz w:val="22"/>
                <w:szCs w:val="22"/>
              </w:rPr>
              <w:t>-40000/110</w:t>
            </w:r>
          </w:p>
          <w:p>
            <w:pPr>
              <w:topLinePunct/>
              <w:adjustRightInd w:val="0"/>
              <w:snapToGrid w:val="0"/>
              <w:jc w:val="center"/>
              <w:rPr>
                <w:rFonts w:hint="eastAsia" w:eastAsia="宋体"/>
                <w:color w:val="000000"/>
                <w:kern w:val="21"/>
                <w:sz w:val="22"/>
                <w:szCs w:val="22"/>
                <w:lang w:eastAsia="zh-CN"/>
              </w:rPr>
            </w:pPr>
            <w:r>
              <w:rPr>
                <w:rFonts w:hint="eastAsia"/>
                <w:color w:val="000000"/>
                <w:kern w:val="21"/>
                <w:sz w:val="22"/>
                <w:szCs w:val="22"/>
                <w:lang w:eastAsia="zh-CN"/>
              </w:rPr>
              <w:t>（</w:t>
            </w:r>
            <w:r>
              <w:rPr>
                <w:rFonts w:hint="eastAsia"/>
                <w:color w:val="000000"/>
                <w:kern w:val="21"/>
                <w:sz w:val="22"/>
                <w:szCs w:val="22"/>
                <w:lang w:val="en-US" w:eastAsia="zh-CN"/>
              </w:rPr>
              <w:t>满足</w:t>
            </w:r>
            <w:r>
              <w:rPr>
                <w:rFonts w:hint="eastAsia"/>
                <w:color w:val="FF0000"/>
                <w:kern w:val="21"/>
                <w:sz w:val="22"/>
                <w:szCs w:val="22"/>
                <w:lang w:val="en-US" w:eastAsia="zh-CN"/>
              </w:rPr>
              <w:t>二</w:t>
            </w:r>
            <w:r>
              <w:rPr>
                <w:rFonts w:hint="eastAsia"/>
                <w:color w:val="000000"/>
                <w:kern w:val="21"/>
                <w:sz w:val="22"/>
                <w:szCs w:val="22"/>
                <w:lang w:val="en-US" w:eastAsia="zh-CN"/>
              </w:rPr>
              <w:t>级能效要求</w:t>
            </w:r>
            <w:r>
              <w:rPr>
                <w:rFonts w:hint="eastAsia"/>
                <w:color w:val="000000"/>
                <w:kern w:val="21"/>
                <w:sz w:val="22"/>
                <w:szCs w:val="22"/>
                <w:lang w:eastAsia="zh-CN"/>
              </w:rPr>
              <w:t>）</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1285" w:type="dxa"/>
            <w:gridSpan w:val="2"/>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a. 额定电压(kV)</w:t>
            </w:r>
          </w:p>
        </w:tc>
        <w:tc>
          <w:tcPr>
            <w:tcW w:w="1596"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高压绕组</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110</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1285" w:type="dxa"/>
            <w:gridSpan w:val="2"/>
            <w:vMerge w:val="continue"/>
            <w:noWrap w:val="0"/>
            <w:vAlign w:val="center"/>
          </w:tcPr>
          <w:p>
            <w:pPr>
              <w:topLinePunct/>
              <w:adjustRightInd w:val="0"/>
              <w:snapToGrid w:val="0"/>
              <w:jc w:val="center"/>
              <w:rPr>
                <w:color w:val="000000"/>
                <w:kern w:val="21"/>
                <w:sz w:val="22"/>
                <w:szCs w:val="22"/>
              </w:rPr>
            </w:pPr>
          </w:p>
        </w:tc>
        <w:tc>
          <w:tcPr>
            <w:tcW w:w="1596"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低压绕组</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10.5</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b. 额定频率(Hz)</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50</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1285" w:type="dxa"/>
            <w:gridSpan w:val="2"/>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c. 额定容量(MVA)</w:t>
            </w:r>
          </w:p>
        </w:tc>
        <w:tc>
          <w:tcPr>
            <w:tcW w:w="1596"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高压绕组</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40</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1285" w:type="dxa"/>
            <w:gridSpan w:val="2"/>
            <w:vMerge w:val="continue"/>
            <w:noWrap w:val="0"/>
            <w:vAlign w:val="center"/>
          </w:tcPr>
          <w:p>
            <w:pPr>
              <w:topLinePunct/>
              <w:adjustRightInd w:val="0"/>
              <w:snapToGrid w:val="0"/>
              <w:jc w:val="center"/>
              <w:rPr>
                <w:color w:val="000000"/>
                <w:kern w:val="21"/>
                <w:sz w:val="22"/>
                <w:szCs w:val="22"/>
              </w:rPr>
            </w:pPr>
          </w:p>
        </w:tc>
        <w:tc>
          <w:tcPr>
            <w:tcW w:w="1596"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低压绕组</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40</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d. 相数</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3</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e. 调压方式</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有载</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f. 调压位置</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高压中性点</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g. 调压范围</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bookmarkStart w:id="99" w:name="OLE_LINK1"/>
            <w:bookmarkStart w:id="100" w:name="OLE_LINK2"/>
            <w:r>
              <w:rPr>
                <w:color w:val="000000"/>
                <w:kern w:val="21"/>
                <w:sz w:val="22"/>
                <w:szCs w:val="22"/>
              </w:rPr>
              <w:t>±8×1.25％</w:t>
            </w:r>
            <w:bookmarkEnd w:id="99"/>
            <w:bookmarkEnd w:id="100"/>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h. 中性点接地方式</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直接接地或不直接接地</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int="eastAsia"/>
                <w:color w:val="000000"/>
                <w:kern w:val="21"/>
                <w:sz w:val="22"/>
                <w:szCs w:val="22"/>
              </w:rPr>
              <w:t>直接接地或不直接接地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2881" w:type="dxa"/>
            <w:gridSpan w:val="3"/>
            <w:noWrap w:val="0"/>
            <w:vAlign w:val="center"/>
          </w:tcPr>
          <w:p>
            <w:pPr>
              <w:topLinePunct/>
              <w:adjustRightInd w:val="0"/>
              <w:snapToGrid w:val="0"/>
              <w:jc w:val="center"/>
              <w:rPr>
                <w:color w:val="000000"/>
                <w:kern w:val="21"/>
                <w:sz w:val="22"/>
                <w:szCs w:val="22"/>
              </w:rPr>
            </w:pPr>
            <w:r>
              <w:rPr>
                <w:color w:val="000000"/>
                <w:kern w:val="21"/>
                <w:sz w:val="22"/>
                <w:szCs w:val="22"/>
              </w:rPr>
              <w:t>i. 主分接的短路阻抗和允许偏差(全容量下)</w:t>
            </w:r>
          </w:p>
        </w:tc>
        <w:tc>
          <w:tcPr>
            <w:tcW w:w="1098" w:type="dxa"/>
            <w:gridSpan w:val="3"/>
            <w:noWrap w:val="0"/>
            <w:tcMar>
              <w:top w:w="0" w:type="dxa"/>
              <w:left w:w="57" w:type="dxa"/>
              <w:bottom w:w="0" w:type="dxa"/>
              <w:right w:w="57" w:type="dxa"/>
            </w:tcMar>
            <w:vAlign w:val="center"/>
          </w:tcPr>
          <w:p>
            <w:pPr>
              <w:topLinePunct/>
              <w:adjustRightInd w:val="0"/>
              <w:snapToGrid w:val="0"/>
              <w:jc w:val="center"/>
              <w:rPr>
                <w:rFonts w:hint="eastAsia" w:eastAsia="宋体"/>
                <w:color w:val="000000"/>
                <w:kern w:val="21"/>
                <w:sz w:val="22"/>
                <w:szCs w:val="22"/>
                <w:lang w:eastAsia="zh-CN"/>
              </w:rPr>
            </w:pPr>
            <w:r>
              <w:rPr>
                <w:color w:val="000000"/>
                <w:kern w:val="21"/>
                <w:sz w:val="22"/>
                <w:szCs w:val="22"/>
              </w:rPr>
              <w:t>短路阻抗</w:t>
            </w:r>
          </w:p>
          <w:p>
            <w:pPr>
              <w:topLinePunct/>
              <w:adjustRightInd w:val="0"/>
              <w:snapToGrid w:val="0"/>
              <w:jc w:val="center"/>
              <w:rPr>
                <w:color w:val="000000"/>
                <w:kern w:val="21"/>
                <w:sz w:val="22"/>
                <w:szCs w:val="22"/>
              </w:rPr>
            </w:pPr>
            <w:r>
              <w:rPr>
                <w:color w:val="000000"/>
                <w:kern w:val="21"/>
                <w:sz w:val="22"/>
                <w:szCs w:val="22"/>
              </w:rPr>
              <w:t>(％)</w:t>
            </w:r>
          </w:p>
        </w:tc>
        <w:tc>
          <w:tcPr>
            <w:tcW w:w="1257" w:type="dxa"/>
            <w:gridSpan w:val="2"/>
            <w:noWrap w:val="0"/>
            <w:tcMar>
              <w:top w:w="0" w:type="dxa"/>
              <w:left w:w="57" w:type="dxa"/>
              <w:bottom w:w="0" w:type="dxa"/>
              <w:right w:w="57" w:type="dxa"/>
            </w:tcMar>
            <w:vAlign w:val="center"/>
          </w:tcPr>
          <w:p>
            <w:pPr>
              <w:topLinePunct/>
              <w:adjustRightInd w:val="0"/>
              <w:snapToGrid w:val="0"/>
              <w:jc w:val="center"/>
              <w:rPr>
                <w:rFonts w:hint="eastAsia" w:eastAsia="宋体"/>
                <w:color w:val="000000"/>
                <w:kern w:val="21"/>
                <w:sz w:val="22"/>
                <w:szCs w:val="22"/>
                <w:lang w:eastAsia="zh-CN"/>
              </w:rPr>
            </w:pPr>
            <w:r>
              <w:rPr>
                <w:color w:val="000000"/>
                <w:kern w:val="21"/>
                <w:sz w:val="22"/>
                <w:szCs w:val="22"/>
              </w:rPr>
              <w:t>允许偏差</w:t>
            </w:r>
          </w:p>
          <w:p>
            <w:pPr>
              <w:topLinePunct/>
              <w:adjustRightInd w:val="0"/>
              <w:snapToGrid w:val="0"/>
              <w:jc w:val="center"/>
              <w:rPr>
                <w:color w:val="000000"/>
                <w:kern w:val="21"/>
                <w:sz w:val="22"/>
                <w:szCs w:val="22"/>
              </w:rPr>
            </w:pPr>
            <w:r>
              <w:rPr>
                <w:color w:val="000000"/>
                <w:kern w:val="21"/>
                <w:sz w:val="22"/>
                <w:szCs w:val="22"/>
              </w:rPr>
              <w:t>(％)</w:t>
            </w:r>
          </w:p>
        </w:tc>
        <w:tc>
          <w:tcPr>
            <w:tcW w:w="1080" w:type="dxa"/>
            <w:gridSpan w:val="2"/>
            <w:noWrap w:val="0"/>
            <w:tcMar>
              <w:top w:w="0" w:type="dxa"/>
              <w:left w:w="57" w:type="dxa"/>
              <w:bottom w:w="0" w:type="dxa"/>
              <w:right w:w="57" w:type="dxa"/>
            </w:tcMar>
            <w:vAlign w:val="center"/>
          </w:tcPr>
          <w:p>
            <w:pPr>
              <w:topLinePunct/>
              <w:adjustRightInd w:val="0"/>
              <w:snapToGrid w:val="0"/>
              <w:jc w:val="center"/>
              <w:rPr>
                <w:rFonts w:hint="eastAsia" w:eastAsia="宋体"/>
                <w:color w:val="000000"/>
                <w:kern w:val="21"/>
                <w:sz w:val="22"/>
                <w:szCs w:val="22"/>
                <w:lang w:eastAsia="zh-CN"/>
              </w:rPr>
            </w:pPr>
            <w:r>
              <w:rPr>
                <w:color w:val="000000"/>
                <w:kern w:val="21"/>
                <w:sz w:val="22"/>
                <w:szCs w:val="22"/>
              </w:rPr>
              <w:t>短路阻抗</w:t>
            </w:r>
          </w:p>
          <w:p>
            <w:pPr>
              <w:topLinePunct/>
              <w:adjustRightInd w:val="0"/>
              <w:snapToGrid w:val="0"/>
              <w:jc w:val="center"/>
              <w:rPr>
                <w:color w:val="000000"/>
                <w:kern w:val="21"/>
                <w:sz w:val="22"/>
                <w:szCs w:val="22"/>
              </w:rPr>
            </w:pPr>
            <w:r>
              <w:rPr>
                <w:color w:val="000000"/>
                <w:kern w:val="21"/>
                <w:sz w:val="22"/>
                <w:szCs w:val="22"/>
              </w:rPr>
              <w:t>(％)</w:t>
            </w:r>
          </w:p>
        </w:tc>
        <w:tc>
          <w:tcPr>
            <w:tcW w:w="1440" w:type="dxa"/>
            <w:gridSpan w:val="2"/>
            <w:noWrap w:val="0"/>
            <w:tcMar>
              <w:top w:w="0" w:type="dxa"/>
              <w:left w:w="57" w:type="dxa"/>
              <w:bottom w:w="0" w:type="dxa"/>
              <w:right w:w="57" w:type="dxa"/>
            </w:tcMar>
            <w:vAlign w:val="center"/>
          </w:tcPr>
          <w:p>
            <w:pPr>
              <w:topLinePunct/>
              <w:adjustRightInd w:val="0"/>
              <w:snapToGrid w:val="0"/>
              <w:jc w:val="center"/>
              <w:rPr>
                <w:rFonts w:hint="eastAsia" w:eastAsia="宋体"/>
                <w:color w:val="000000"/>
                <w:kern w:val="21"/>
                <w:sz w:val="22"/>
                <w:szCs w:val="22"/>
                <w:lang w:eastAsia="zh-CN"/>
              </w:rPr>
            </w:pPr>
            <w:r>
              <w:rPr>
                <w:color w:val="000000"/>
                <w:kern w:val="21"/>
                <w:sz w:val="22"/>
                <w:szCs w:val="22"/>
              </w:rPr>
              <w:t>允许偏差</w:t>
            </w:r>
          </w:p>
          <w:p>
            <w:pPr>
              <w:topLinePunct/>
              <w:adjustRightInd w:val="0"/>
              <w:snapToGrid w:val="0"/>
              <w:jc w:val="center"/>
              <w:rPr>
                <w:color w:val="000000"/>
                <w:kern w:val="21"/>
                <w:sz w:val="22"/>
                <w:szCs w:val="22"/>
              </w:rPr>
            </w:pPr>
            <w:r>
              <w:rPr>
                <w:color w:val="000000"/>
                <w:kern w:val="21"/>
                <w:sz w:val="22"/>
                <w:szCs w:val="22"/>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2881" w:type="dxa"/>
            <w:gridSpan w:val="3"/>
            <w:noWrap w:val="0"/>
            <w:vAlign w:val="center"/>
          </w:tcPr>
          <w:p>
            <w:pPr>
              <w:topLinePunct/>
              <w:adjustRightInd w:val="0"/>
              <w:snapToGrid w:val="0"/>
              <w:jc w:val="center"/>
              <w:rPr>
                <w:color w:val="000000"/>
                <w:kern w:val="21"/>
                <w:sz w:val="22"/>
                <w:szCs w:val="22"/>
              </w:rPr>
            </w:pPr>
            <w:r>
              <w:rPr>
                <w:color w:val="000000"/>
                <w:kern w:val="21"/>
                <w:sz w:val="22"/>
                <w:szCs w:val="22"/>
              </w:rPr>
              <w:t>高压—低压</w:t>
            </w:r>
          </w:p>
        </w:tc>
        <w:tc>
          <w:tcPr>
            <w:tcW w:w="1098"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int="eastAsia"/>
                <w:color w:val="auto"/>
                <w:kern w:val="21"/>
                <w:sz w:val="22"/>
                <w:szCs w:val="22"/>
              </w:rPr>
              <w:t>17</w:t>
            </w:r>
          </w:p>
        </w:tc>
        <w:tc>
          <w:tcPr>
            <w:tcW w:w="1257"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±7.5</w:t>
            </w:r>
          </w:p>
        </w:tc>
        <w:tc>
          <w:tcPr>
            <w:tcW w:w="10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c>
          <w:tcPr>
            <w:tcW w:w="144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j. 冷却方式</w:t>
            </w:r>
          </w:p>
        </w:tc>
        <w:tc>
          <w:tcPr>
            <w:tcW w:w="2355" w:type="dxa"/>
            <w:gridSpan w:val="5"/>
            <w:noWrap w:val="0"/>
            <w:tcMar>
              <w:top w:w="0" w:type="dxa"/>
              <w:left w:w="57" w:type="dxa"/>
              <w:bottom w:w="0" w:type="dxa"/>
              <w:right w:w="57" w:type="dxa"/>
            </w:tcMar>
            <w:vAlign w:val="center"/>
          </w:tcPr>
          <w:p>
            <w:pPr>
              <w:topLinePunct/>
              <w:adjustRightInd w:val="0"/>
              <w:snapToGrid w:val="0"/>
              <w:jc w:val="center"/>
              <w:rPr>
                <w:rFonts w:hint="eastAsia" w:eastAsia="宋体"/>
                <w:color w:val="000000"/>
                <w:kern w:val="21"/>
                <w:sz w:val="22"/>
                <w:szCs w:val="22"/>
                <w:lang w:eastAsia="zh-CN"/>
              </w:rPr>
            </w:pPr>
            <w:r>
              <w:rPr>
                <w:color w:val="000000"/>
                <w:kern w:val="21"/>
                <w:sz w:val="22"/>
                <w:szCs w:val="22"/>
              </w:rPr>
              <w:t>ONAN</w:t>
            </w:r>
            <w:r>
              <w:rPr>
                <w:rFonts w:hint="eastAsia"/>
                <w:color w:val="FF0000"/>
                <w:kern w:val="21"/>
                <w:sz w:val="22"/>
                <w:szCs w:val="22"/>
                <w:lang w:eastAsia="zh-CN"/>
              </w:rPr>
              <w:t>（</w:t>
            </w:r>
            <w:r>
              <w:rPr>
                <w:rFonts w:hint="eastAsia"/>
                <w:color w:val="FF0000"/>
                <w:kern w:val="21"/>
                <w:sz w:val="22"/>
                <w:szCs w:val="22"/>
                <w:lang w:val="en-US" w:eastAsia="zh-CN"/>
              </w:rPr>
              <w:t>自冷</w:t>
            </w:r>
            <w:r>
              <w:rPr>
                <w:rFonts w:hint="eastAsia"/>
                <w:color w:val="FF0000"/>
                <w:kern w:val="21"/>
                <w:sz w:val="22"/>
                <w:szCs w:val="22"/>
                <w:lang w:eastAsia="zh-CN"/>
              </w:rPr>
              <w:t>）</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k. 联结组标号</w:t>
            </w:r>
          </w:p>
        </w:tc>
        <w:tc>
          <w:tcPr>
            <w:tcW w:w="2355" w:type="dxa"/>
            <w:gridSpan w:val="5"/>
            <w:noWrap w:val="0"/>
            <w:tcMar>
              <w:top w:w="0" w:type="dxa"/>
              <w:left w:w="57" w:type="dxa"/>
              <w:bottom w:w="0" w:type="dxa"/>
              <w:right w:w="57" w:type="dxa"/>
            </w:tcMar>
            <w:vAlign w:val="center"/>
          </w:tcPr>
          <w:p>
            <w:pPr>
              <w:topLinePunct/>
              <w:adjustRightInd w:val="0"/>
              <w:snapToGrid w:val="0"/>
              <w:jc w:val="center"/>
              <w:rPr>
                <w:rFonts w:hint="eastAsia" w:eastAsia="宋体"/>
                <w:color w:val="000000"/>
                <w:kern w:val="21"/>
                <w:sz w:val="22"/>
                <w:szCs w:val="22"/>
                <w:lang w:eastAsia="zh-CN"/>
              </w:rPr>
            </w:pPr>
            <w:r>
              <w:rPr>
                <w:color w:val="000000"/>
                <w:kern w:val="21"/>
                <w:sz w:val="22"/>
                <w:szCs w:val="22"/>
              </w:rPr>
              <w:t>YNd11</w:t>
            </w:r>
            <w:r>
              <w:rPr>
                <w:rFonts w:hint="eastAsia"/>
                <w:color w:val="000000"/>
                <w:kern w:val="21"/>
                <w:sz w:val="22"/>
                <w:szCs w:val="22"/>
                <w:lang w:eastAsia="zh-CN"/>
              </w:rPr>
              <w:t>（</w:t>
            </w:r>
            <w:r>
              <w:rPr>
                <w:rFonts w:hint="eastAsia"/>
                <w:color w:val="FF0000"/>
                <w:kern w:val="21"/>
                <w:sz w:val="22"/>
                <w:szCs w:val="22"/>
                <w:lang w:val="en-US" w:eastAsia="zh-CN"/>
              </w:rPr>
              <w:t>高压星接连接方式</w:t>
            </w:r>
            <w:r>
              <w:rPr>
                <w:rFonts w:hint="eastAsia"/>
                <w:color w:val="000000"/>
                <w:kern w:val="21"/>
                <w:sz w:val="22"/>
                <w:szCs w:val="22"/>
                <w:lang w:eastAsia="zh-CN"/>
              </w:rPr>
              <w:t>）</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restart"/>
            <w:noWrap w:val="0"/>
            <w:vAlign w:val="center"/>
          </w:tcPr>
          <w:p>
            <w:pPr>
              <w:topLinePunct/>
              <w:adjustRightInd w:val="0"/>
              <w:snapToGrid w:val="0"/>
              <w:jc w:val="center"/>
              <w:rPr>
                <w:color w:val="000000"/>
                <w:kern w:val="21"/>
                <w:sz w:val="22"/>
                <w:szCs w:val="22"/>
              </w:rPr>
            </w:pPr>
            <w:r>
              <w:rPr>
                <w:color w:val="000000"/>
                <w:kern w:val="21"/>
                <w:sz w:val="22"/>
                <w:szCs w:val="22"/>
              </w:rPr>
              <w:t>2</w:t>
            </w:r>
          </w:p>
        </w:tc>
        <w:tc>
          <w:tcPr>
            <w:tcW w:w="1070"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绝缘水平</w:t>
            </w:r>
            <w:r>
              <w:rPr>
                <w:color w:val="000000"/>
                <w:kern w:val="21"/>
                <w:sz w:val="22"/>
                <w:szCs w:val="22"/>
              </w:rPr>
              <w:t>*</w:t>
            </w:r>
          </w:p>
        </w:tc>
        <w:tc>
          <w:tcPr>
            <w:tcW w:w="1285" w:type="dxa"/>
            <w:gridSpan w:val="2"/>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a. </w:t>
            </w:r>
            <w:r>
              <w:rPr>
                <w:rFonts w:hAnsi="宋体"/>
                <w:color w:val="000000"/>
                <w:kern w:val="21"/>
                <w:sz w:val="22"/>
                <w:szCs w:val="22"/>
              </w:rPr>
              <w:t>雷电全波冲击电压</w:t>
            </w:r>
            <w:r>
              <w:rPr>
                <w:color w:val="000000"/>
                <w:kern w:val="21"/>
                <w:sz w:val="22"/>
                <w:szCs w:val="22"/>
              </w:rPr>
              <w:t>(kV</w:t>
            </w:r>
            <w:r>
              <w:rPr>
                <w:rFonts w:hAnsi="宋体"/>
                <w:color w:val="000000"/>
                <w:kern w:val="21"/>
                <w:sz w:val="22"/>
                <w:szCs w:val="22"/>
              </w:rPr>
              <w:t>，峰值</w:t>
            </w:r>
            <w:r>
              <w:rPr>
                <w:color w:val="000000"/>
                <w:kern w:val="21"/>
                <w:sz w:val="22"/>
                <w:szCs w:val="22"/>
              </w:rPr>
              <w:t>)</w:t>
            </w:r>
          </w:p>
        </w:tc>
        <w:tc>
          <w:tcPr>
            <w:tcW w:w="1596"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高压线端</w:t>
            </w:r>
          </w:p>
        </w:tc>
        <w:tc>
          <w:tcPr>
            <w:tcW w:w="2355" w:type="dxa"/>
            <w:gridSpan w:val="5"/>
            <w:noWrap w:val="0"/>
            <w:tcMar>
              <w:top w:w="0" w:type="dxa"/>
              <w:left w:w="57" w:type="dxa"/>
              <w:bottom w:w="0" w:type="dxa"/>
              <w:right w:w="57" w:type="dxa"/>
            </w:tcMar>
            <w:vAlign w:val="center"/>
          </w:tcPr>
          <w:p>
            <w:pPr>
              <w:topLinePunct/>
              <w:adjustRightInd w:val="0"/>
              <w:snapToGrid w:val="0"/>
              <w:jc w:val="center"/>
              <w:rPr>
                <w:rFonts w:hint="eastAsia" w:eastAsia="宋体"/>
                <w:color w:val="000000"/>
                <w:kern w:val="21"/>
                <w:sz w:val="22"/>
                <w:szCs w:val="22"/>
                <w:lang w:eastAsia="zh-CN"/>
              </w:rPr>
            </w:pPr>
            <w:r>
              <w:rPr>
                <w:color w:val="000000"/>
                <w:kern w:val="21"/>
                <w:sz w:val="22"/>
                <w:szCs w:val="22"/>
              </w:rPr>
              <w:t>480</w:t>
            </w:r>
            <w:r>
              <w:rPr>
                <w:rFonts w:hint="eastAsia"/>
                <w:color w:val="000000"/>
                <w:kern w:val="21"/>
                <w:sz w:val="22"/>
                <w:szCs w:val="22"/>
                <w:lang w:eastAsia="zh-CN"/>
              </w:rPr>
              <w:t>（</w:t>
            </w:r>
            <w:r>
              <w:rPr>
                <w:rFonts w:hint="eastAsia"/>
                <w:color w:val="FF0000"/>
                <w:kern w:val="21"/>
                <w:sz w:val="22"/>
                <w:szCs w:val="22"/>
                <w:lang w:val="en-US" w:eastAsia="zh-CN"/>
              </w:rPr>
              <w:t>耐压等级</w:t>
            </w:r>
            <w:r>
              <w:rPr>
                <w:rFonts w:hint="eastAsia"/>
                <w:color w:val="000000"/>
                <w:kern w:val="21"/>
                <w:sz w:val="22"/>
                <w:szCs w:val="22"/>
                <w:lang w:eastAsia="zh-CN"/>
              </w:rPr>
              <w:t>）</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left"/>
              <w:rPr>
                <w:color w:val="000000"/>
                <w:kern w:val="21"/>
                <w:sz w:val="22"/>
                <w:szCs w:val="22"/>
              </w:rPr>
            </w:pPr>
          </w:p>
        </w:tc>
        <w:tc>
          <w:tcPr>
            <w:tcW w:w="1070" w:type="dxa"/>
            <w:vMerge w:val="continue"/>
            <w:noWrap w:val="0"/>
            <w:vAlign w:val="center"/>
          </w:tcPr>
          <w:p>
            <w:pPr>
              <w:widowControl/>
              <w:adjustRightInd w:val="0"/>
              <w:snapToGrid w:val="0"/>
              <w:jc w:val="left"/>
              <w:rPr>
                <w:color w:val="000000"/>
                <w:kern w:val="21"/>
                <w:sz w:val="22"/>
                <w:szCs w:val="22"/>
              </w:rPr>
            </w:pPr>
          </w:p>
        </w:tc>
        <w:tc>
          <w:tcPr>
            <w:tcW w:w="1285" w:type="dxa"/>
            <w:gridSpan w:val="2"/>
            <w:vMerge w:val="continue"/>
            <w:noWrap w:val="0"/>
            <w:vAlign w:val="center"/>
          </w:tcPr>
          <w:p>
            <w:pPr>
              <w:widowControl/>
              <w:adjustRightInd w:val="0"/>
              <w:snapToGrid w:val="0"/>
              <w:jc w:val="left"/>
              <w:rPr>
                <w:color w:val="000000"/>
                <w:kern w:val="21"/>
                <w:sz w:val="22"/>
                <w:szCs w:val="22"/>
              </w:rPr>
            </w:pPr>
          </w:p>
        </w:tc>
        <w:tc>
          <w:tcPr>
            <w:tcW w:w="1596"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低压线端</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75</w:t>
            </w:r>
            <w:r>
              <w:rPr>
                <w:rFonts w:hAnsi="宋体"/>
                <w:color w:val="000000"/>
                <w:kern w:val="21"/>
                <w:sz w:val="22"/>
                <w:szCs w:val="22"/>
              </w:rPr>
              <w:t>　</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left"/>
              <w:rPr>
                <w:color w:val="000000"/>
                <w:kern w:val="21"/>
                <w:sz w:val="22"/>
                <w:szCs w:val="22"/>
              </w:rPr>
            </w:pPr>
          </w:p>
        </w:tc>
        <w:tc>
          <w:tcPr>
            <w:tcW w:w="1070" w:type="dxa"/>
            <w:vMerge w:val="continue"/>
            <w:noWrap w:val="0"/>
            <w:vAlign w:val="center"/>
          </w:tcPr>
          <w:p>
            <w:pPr>
              <w:widowControl/>
              <w:adjustRightInd w:val="0"/>
              <w:snapToGrid w:val="0"/>
              <w:jc w:val="left"/>
              <w:rPr>
                <w:color w:val="000000"/>
                <w:kern w:val="21"/>
                <w:sz w:val="22"/>
                <w:szCs w:val="22"/>
              </w:rPr>
            </w:pPr>
          </w:p>
        </w:tc>
        <w:tc>
          <w:tcPr>
            <w:tcW w:w="1285" w:type="dxa"/>
            <w:gridSpan w:val="2"/>
            <w:vMerge w:val="continue"/>
            <w:noWrap w:val="0"/>
            <w:vAlign w:val="center"/>
          </w:tcPr>
          <w:p>
            <w:pPr>
              <w:widowControl/>
              <w:adjustRightInd w:val="0"/>
              <w:snapToGrid w:val="0"/>
              <w:jc w:val="left"/>
              <w:rPr>
                <w:color w:val="000000"/>
                <w:kern w:val="21"/>
                <w:sz w:val="22"/>
                <w:szCs w:val="22"/>
              </w:rPr>
            </w:pPr>
          </w:p>
        </w:tc>
        <w:tc>
          <w:tcPr>
            <w:tcW w:w="1596"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中性点端子</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325</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left"/>
              <w:rPr>
                <w:color w:val="000000"/>
                <w:kern w:val="21"/>
                <w:sz w:val="22"/>
                <w:szCs w:val="22"/>
              </w:rPr>
            </w:pPr>
          </w:p>
        </w:tc>
        <w:tc>
          <w:tcPr>
            <w:tcW w:w="1070" w:type="dxa"/>
            <w:vMerge w:val="continue"/>
            <w:noWrap w:val="0"/>
            <w:vAlign w:val="center"/>
          </w:tcPr>
          <w:p>
            <w:pPr>
              <w:widowControl/>
              <w:adjustRightInd w:val="0"/>
              <w:snapToGrid w:val="0"/>
              <w:jc w:val="left"/>
              <w:rPr>
                <w:color w:val="000000"/>
                <w:kern w:val="21"/>
                <w:sz w:val="22"/>
                <w:szCs w:val="22"/>
              </w:rPr>
            </w:pPr>
          </w:p>
        </w:tc>
        <w:tc>
          <w:tcPr>
            <w:tcW w:w="1285" w:type="dxa"/>
            <w:gridSpan w:val="2"/>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b. </w:t>
            </w:r>
            <w:r>
              <w:rPr>
                <w:rFonts w:hAnsi="宋体"/>
                <w:color w:val="000000"/>
                <w:kern w:val="21"/>
                <w:sz w:val="22"/>
                <w:szCs w:val="22"/>
              </w:rPr>
              <w:t>雷电截波冲击电压</w:t>
            </w:r>
            <w:r>
              <w:rPr>
                <w:color w:val="000000"/>
                <w:kern w:val="21"/>
                <w:sz w:val="22"/>
                <w:szCs w:val="22"/>
              </w:rPr>
              <w:t>(kV</w:t>
            </w:r>
            <w:r>
              <w:rPr>
                <w:rFonts w:hAnsi="宋体"/>
                <w:color w:val="000000"/>
                <w:kern w:val="21"/>
                <w:sz w:val="22"/>
                <w:szCs w:val="22"/>
              </w:rPr>
              <w:t>，峰值</w:t>
            </w:r>
            <w:r>
              <w:rPr>
                <w:color w:val="000000"/>
                <w:kern w:val="21"/>
                <w:sz w:val="22"/>
                <w:szCs w:val="22"/>
              </w:rPr>
              <w:t>)</w:t>
            </w:r>
          </w:p>
        </w:tc>
        <w:tc>
          <w:tcPr>
            <w:tcW w:w="1596"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高压线端</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530</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left"/>
              <w:rPr>
                <w:color w:val="000000"/>
                <w:kern w:val="21"/>
                <w:sz w:val="22"/>
                <w:szCs w:val="22"/>
              </w:rPr>
            </w:pPr>
          </w:p>
        </w:tc>
        <w:tc>
          <w:tcPr>
            <w:tcW w:w="1070" w:type="dxa"/>
            <w:vMerge w:val="continue"/>
            <w:noWrap w:val="0"/>
            <w:vAlign w:val="center"/>
          </w:tcPr>
          <w:p>
            <w:pPr>
              <w:widowControl/>
              <w:adjustRightInd w:val="0"/>
              <w:snapToGrid w:val="0"/>
              <w:jc w:val="left"/>
              <w:rPr>
                <w:color w:val="000000"/>
                <w:kern w:val="21"/>
                <w:sz w:val="22"/>
                <w:szCs w:val="22"/>
              </w:rPr>
            </w:pPr>
          </w:p>
        </w:tc>
        <w:tc>
          <w:tcPr>
            <w:tcW w:w="1285" w:type="dxa"/>
            <w:gridSpan w:val="2"/>
            <w:vMerge w:val="continue"/>
            <w:noWrap w:val="0"/>
            <w:vAlign w:val="center"/>
          </w:tcPr>
          <w:p>
            <w:pPr>
              <w:widowControl/>
              <w:adjustRightInd w:val="0"/>
              <w:snapToGrid w:val="0"/>
              <w:jc w:val="left"/>
              <w:rPr>
                <w:color w:val="000000"/>
                <w:kern w:val="21"/>
                <w:sz w:val="22"/>
                <w:szCs w:val="22"/>
              </w:rPr>
            </w:pPr>
          </w:p>
        </w:tc>
        <w:tc>
          <w:tcPr>
            <w:tcW w:w="1596"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低压线端</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85</w:t>
            </w:r>
            <w:r>
              <w:rPr>
                <w:rFonts w:hAnsi="宋体"/>
                <w:color w:val="000000"/>
                <w:kern w:val="21"/>
                <w:sz w:val="22"/>
                <w:szCs w:val="22"/>
              </w:rPr>
              <w:t>　</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left"/>
              <w:rPr>
                <w:color w:val="000000"/>
                <w:kern w:val="21"/>
                <w:sz w:val="22"/>
                <w:szCs w:val="22"/>
              </w:rPr>
            </w:pPr>
          </w:p>
        </w:tc>
        <w:tc>
          <w:tcPr>
            <w:tcW w:w="1070" w:type="dxa"/>
            <w:vMerge w:val="continue"/>
            <w:noWrap w:val="0"/>
            <w:vAlign w:val="center"/>
          </w:tcPr>
          <w:p>
            <w:pPr>
              <w:widowControl/>
              <w:adjustRightInd w:val="0"/>
              <w:snapToGrid w:val="0"/>
              <w:jc w:val="left"/>
              <w:rPr>
                <w:color w:val="000000"/>
                <w:kern w:val="21"/>
                <w:sz w:val="22"/>
                <w:szCs w:val="22"/>
              </w:rPr>
            </w:pPr>
          </w:p>
        </w:tc>
        <w:tc>
          <w:tcPr>
            <w:tcW w:w="1285" w:type="dxa"/>
            <w:gridSpan w:val="2"/>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c. </w:t>
            </w:r>
            <w:r>
              <w:rPr>
                <w:rFonts w:hAnsi="宋体"/>
                <w:color w:val="000000"/>
                <w:kern w:val="21"/>
                <w:sz w:val="22"/>
                <w:szCs w:val="22"/>
              </w:rPr>
              <w:t>短时工频耐受电压</w:t>
            </w:r>
            <w:r>
              <w:rPr>
                <w:color w:val="000000"/>
                <w:kern w:val="21"/>
                <w:sz w:val="22"/>
                <w:szCs w:val="22"/>
              </w:rPr>
              <w:t>(kV</w:t>
            </w:r>
            <w:r>
              <w:rPr>
                <w:rFonts w:hAnsi="宋体"/>
                <w:color w:val="000000"/>
                <w:kern w:val="21"/>
                <w:sz w:val="22"/>
                <w:szCs w:val="22"/>
              </w:rPr>
              <w:t>，方均根值</w:t>
            </w:r>
            <w:r>
              <w:rPr>
                <w:color w:val="000000"/>
                <w:kern w:val="21"/>
                <w:sz w:val="22"/>
                <w:szCs w:val="22"/>
              </w:rPr>
              <w:t>)</w:t>
            </w:r>
          </w:p>
        </w:tc>
        <w:tc>
          <w:tcPr>
            <w:tcW w:w="1596"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高压线端</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200</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left"/>
              <w:rPr>
                <w:color w:val="000000"/>
                <w:kern w:val="21"/>
                <w:sz w:val="22"/>
                <w:szCs w:val="22"/>
              </w:rPr>
            </w:pPr>
          </w:p>
        </w:tc>
        <w:tc>
          <w:tcPr>
            <w:tcW w:w="1070" w:type="dxa"/>
            <w:vMerge w:val="continue"/>
            <w:noWrap w:val="0"/>
            <w:vAlign w:val="center"/>
          </w:tcPr>
          <w:p>
            <w:pPr>
              <w:widowControl/>
              <w:adjustRightInd w:val="0"/>
              <w:snapToGrid w:val="0"/>
              <w:jc w:val="left"/>
              <w:rPr>
                <w:color w:val="000000"/>
                <w:kern w:val="21"/>
                <w:sz w:val="22"/>
                <w:szCs w:val="22"/>
              </w:rPr>
            </w:pPr>
          </w:p>
        </w:tc>
        <w:tc>
          <w:tcPr>
            <w:tcW w:w="1285" w:type="dxa"/>
            <w:gridSpan w:val="2"/>
            <w:vMerge w:val="continue"/>
            <w:noWrap w:val="0"/>
            <w:vAlign w:val="center"/>
          </w:tcPr>
          <w:p>
            <w:pPr>
              <w:widowControl/>
              <w:adjustRightInd w:val="0"/>
              <w:snapToGrid w:val="0"/>
              <w:jc w:val="left"/>
              <w:rPr>
                <w:color w:val="000000"/>
                <w:kern w:val="21"/>
                <w:sz w:val="22"/>
                <w:szCs w:val="22"/>
              </w:rPr>
            </w:pPr>
          </w:p>
        </w:tc>
        <w:tc>
          <w:tcPr>
            <w:tcW w:w="1596"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低压线端</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35</w:t>
            </w:r>
            <w:r>
              <w:rPr>
                <w:rFonts w:hAnsi="宋体"/>
                <w:color w:val="000000"/>
                <w:kern w:val="21"/>
                <w:sz w:val="22"/>
                <w:szCs w:val="22"/>
              </w:rPr>
              <w:t>　</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left"/>
              <w:rPr>
                <w:color w:val="000000"/>
                <w:kern w:val="21"/>
                <w:sz w:val="22"/>
                <w:szCs w:val="22"/>
              </w:rPr>
            </w:pPr>
          </w:p>
        </w:tc>
        <w:tc>
          <w:tcPr>
            <w:tcW w:w="1070" w:type="dxa"/>
            <w:vMerge w:val="continue"/>
            <w:noWrap w:val="0"/>
            <w:vAlign w:val="center"/>
          </w:tcPr>
          <w:p>
            <w:pPr>
              <w:widowControl/>
              <w:adjustRightInd w:val="0"/>
              <w:snapToGrid w:val="0"/>
              <w:jc w:val="left"/>
              <w:rPr>
                <w:color w:val="000000"/>
                <w:kern w:val="21"/>
                <w:sz w:val="22"/>
                <w:szCs w:val="22"/>
              </w:rPr>
            </w:pPr>
          </w:p>
        </w:tc>
        <w:tc>
          <w:tcPr>
            <w:tcW w:w="1285" w:type="dxa"/>
            <w:gridSpan w:val="2"/>
            <w:vMerge w:val="continue"/>
            <w:noWrap w:val="0"/>
            <w:vAlign w:val="center"/>
          </w:tcPr>
          <w:p>
            <w:pPr>
              <w:widowControl/>
              <w:adjustRightInd w:val="0"/>
              <w:snapToGrid w:val="0"/>
              <w:jc w:val="left"/>
              <w:rPr>
                <w:color w:val="000000"/>
                <w:kern w:val="21"/>
                <w:sz w:val="22"/>
                <w:szCs w:val="22"/>
              </w:rPr>
            </w:pPr>
          </w:p>
        </w:tc>
        <w:tc>
          <w:tcPr>
            <w:tcW w:w="1596"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中性点端子</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140</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restart"/>
            <w:noWrap w:val="0"/>
            <w:vAlign w:val="center"/>
          </w:tcPr>
          <w:p>
            <w:pPr>
              <w:topLinePunct/>
              <w:adjustRightInd w:val="0"/>
              <w:snapToGrid w:val="0"/>
              <w:jc w:val="center"/>
              <w:rPr>
                <w:color w:val="000000"/>
                <w:kern w:val="21"/>
                <w:sz w:val="22"/>
                <w:szCs w:val="22"/>
              </w:rPr>
            </w:pPr>
            <w:r>
              <w:rPr>
                <w:color w:val="000000"/>
                <w:kern w:val="21"/>
                <w:sz w:val="22"/>
                <w:szCs w:val="22"/>
              </w:rPr>
              <w:t>3</w:t>
            </w:r>
          </w:p>
        </w:tc>
        <w:tc>
          <w:tcPr>
            <w:tcW w:w="1070"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温升限值(K)</w:t>
            </w: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顶层油</w:t>
            </w:r>
          </w:p>
        </w:tc>
        <w:tc>
          <w:tcPr>
            <w:tcW w:w="2355" w:type="dxa"/>
            <w:gridSpan w:val="5"/>
            <w:noWrap w:val="0"/>
            <w:tcMar>
              <w:top w:w="0" w:type="dxa"/>
              <w:left w:w="57" w:type="dxa"/>
              <w:bottom w:w="0" w:type="dxa"/>
              <w:right w:w="57" w:type="dxa"/>
            </w:tcMar>
            <w:vAlign w:val="center"/>
          </w:tcPr>
          <w:p>
            <w:pPr>
              <w:topLinePunct/>
              <w:adjustRightInd w:val="0"/>
              <w:snapToGrid w:val="0"/>
              <w:jc w:val="center"/>
              <w:rPr>
                <w:rFonts w:hint="default" w:eastAsia="宋体"/>
                <w:color w:val="auto"/>
                <w:kern w:val="21"/>
                <w:sz w:val="22"/>
                <w:szCs w:val="22"/>
                <w:lang w:val="en-US" w:eastAsia="zh-CN"/>
              </w:rPr>
            </w:pPr>
            <w:r>
              <w:rPr>
                <w:rFonts w:hint="eastAsia"/>
                <w:color w:val="auto"/>
                <w:kern w:val="21"/>
                <w:sz w:val="22"/>
                <w:szCs w:val="22"/>
                <w:lang w:val="en-US" w:eastAsia="zh-CN"/>
              </w:rPr>
              <w:t>55</w:t>
            </w:r>
          </w:p>
        </w:tc>
        <w:tc>
          <w:tcPr>
            <w:tcW w:w="2520" w:type="dxa"/>
            <w:gridSpan w:val="4"/>
            <w:noWrap w:val="0"/>
            <w:tcMar>
              <w:top w:w="0" w:type="dxa"/>
              <w:left w:w="57" w:type="dxa"/>
              <w:bottom w:w="0" w:type="dxa"/>
              <w:right w:w="57" w:type="dxa"/>
            </w:tcMar>
            <w:vAlign w:val="center"/>
          </w:tcPr>
          <w:p>
            <w:pPr>
              <w:topLinePunct/>
              <w:adjustRightInd w:val="0"/>
              <w:snapToGrid w:val="0"/>
              <w:jc w:val="center"/>
              <w:rPr>
                <w:rFonts w:hint="default" w:eastAsia="宋体"/>
                <w:color w:val="000000"/>
                <w:kern w:val="21"/>
                <w:sz w:val="22"/>
                <w:szCs w:val="22"/>
                <w:lang w:val="en-US"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绕组(平均)</w:t>
            </w:r>
          </w:p>
        </w:tc>
        <w:tc>
          <w:tcPr>
            <w:tcW w:w="2355" w:type="dxa"/>
            <w:gridSpan w:val="5"/>
            <w:noWrap w:val="0"/>
            <w:tcMar>
              <w:top w:w="0" w:type="dxa"/>
              <w:left w:w="57" w:type="dxa"/>
              <w:bottom w:w="0" w:type="dxa"/>
              <w:right w:w="57" w:type="dxa"/>
            </w:tcMar>
            <w:vAlign w:val="center"/>
          </w:tcPr>
          <w:p>
            <w:pPr>
              <w:topLinePunct/>
              <w:adjustRightInd w:val="0"/>
              <w:snapToGrid w:val="0"/>
              <w:jc w:val="center"/>
              <w:rPr>
                <w:rFonts w:hint="default" w:eastAsia="宋体"/>
                <w:color w:val="auto"/>
                <w:kern w:val="21"/>
                <w:sz w:val="22"/>
                <w:szCs w:val="22"/>
                <w:lang w:val="en-US" w:eastAsia="zh-CN"/>
              </w:rPr>
            </w:pPr>
            <w:r>
              <w:rPr>
                <w:rFonts w:hint="eastAsia"/>
                <w:color w:val="auto"/>
                <w:kern w:val="21"/>
                <w:sz w:val="22"/>
                <w:szCs w:val="22"/>
                <w:lang w:val="en-US" w:eastAsia="zh-CN"/>
              </w:rPr>
              <w:t>60</w:t>
            </w:r>
          </w:p>
        </w:tc>
        <w:tc>
          <w:tcPr>
            <w:tcW w:w="2520" w:type="dxa"/>
            <w:gridSpan w:val="4"/>
            <w:noWrap w:val="0"/>
            <w:tcMar>
              <w:top w:w="0" w:type="dxa"/>
              <w:left w:w="57" w:type="dxa"/>
              <w:bottom w:w="0" w:type="dxa"/>
              <w:right w:w="57" w:type="dxa"/>
            </w:tcMar>
            <w:vAlign w:val="center"/>
          </w:tcPr>
          <w:p>
            <w:pPr>
              <w:topLinePunct/>
              <w:adjustRightInd w:val="0"/>
              <w:snapToGrid w:val="0"/>
              <w:jc w:val="center"/>
              <w:rPr>
                <w:rFonts w:hint="default" w:eastAsia="宋体"/>
                <w:color w:val="000000"/>
                <w:kern w:val="21"/>
                <w:sz w:val="22"/>
                <w:szCs w:val="22"/>
                <w:lang w:val="en-US"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绕组(热点)</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auto"/>
                <w:kern w:val="21"/>
                <w:sz w:val="22"/>
                <w:szCs w:val="22"/>
              </w:rPr>
            </w:pPr>
            <w:r>
              <w:rPr>
                <w:color w:val="auto"/>
                <w:kern w:val="21"/>
                <w:sz w:val="22"/>
                <w:szCs w:val="22"/>
              </w:rPr>
              <w:t>78</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油箱、铁心及金属结构件表面</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75</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restart"/>
            <w:noWrap w:val="0"/>
            <w:vAlign w:val="center"/>
          </w:tcPr>
          <w:p>
            <w:pPr>
              <w:topLinePunct/>
              <w:adjustRightInd w:val="0"/>
              <w:snapToGrid w:val="0"/>
              <w:jc w:val="center"/>
              <w:rPr>
                <w:color w:val="000000"/>
                <w:kern w:val="21"/>
                <w:sz w:val="22"/>
                <w:szCs w:val="22"/>
              </w:rPr>
            </w:pPr>
            <w:r>
              <w:rPr>
                <w:color w:val="000000"/>
                <w:kern w:val="21"/>
                <w:sz w:val="22"/>
                <w:szCs w:val="22"/>
              </w:rPr>
              <w:t>4</w:t>
            </w:r>
          </w:p>
        </w:tc>
        <w:tc>
          <w:tcPr>
            <w:tcW w:w="1070" w:type="dxa"/>
            <w:vMerge w:val="restart"/>
            <w:noWrap w:val="0"/>
            <w:vAlign w:val="center"/>
          </w:tcPr>
          <w:p>
            <w:pPr>
              <w:topLinePunct/>
              <w:adjustRightInd w:val="0"/>
              <w:snapToGrid w:val="0"/>
              <w:jc w:val="center"/>
              <w:rPr>
                <w:color w:val="000000"/>
                <w:kern w:val="21"/>
                <w:sz w:val="22"/>
                <w:szCs w:val="22"/>
              </w:rPr>
            </w:pPr>
            <w:r>
              <w:rPr>
                <w:rFonts w:hAnsi="宋体"/>
                <w:color w:val="000000"/>
                <w:kern w:val="21"/>
                <w:sz w:val="22"/>
                <w:szCs w:val="22"/>
              </w:rPr>
              <w:t>极限分接下短路阻抗和允许偏差</w:t>
            </w:r>
            <w:r>
              <w:rPr>
                <w:color w:val="000000"/>
                <w:kern w:val="21"/>
                <w:sz w:val="22"/>
                <w:szCs w:val="22"/>
              </w:rPr>
              <w:t>(</w:t>
            </w:r>
            <w:r>
              <w:rPr>
                <w:rFonts w:hAnsi="宋体"/>
                <w:color w:val="000000"/>
                <w:kern w:val="21"/>
                <w:sz w:val="22"/>
                <w:szCs w:val="22"/>
              </w:rPr>
              <w:t>全容量下</w:t>
            </w:r>
            <w:r>
              <w:rPr>
                <w:color w:val="000000"/>
                <w:kern w:val="21"/>
                <w:sz w:val="22"/>
                <w:szCs w:val="22"/>
              </w:rPr>
              <w:t>)</w:t>
            </w:r>
          </w:p>
        </w:tc>
        <w:tc>
          <w:tcPr>
            <w:tcW w:w="2881" w:type="dxa"/>
            <w:gridSpan w:val="3"/>
            <w:noWrap w:val="0"/>
            <w:vAlign w:val="center"/>
          </w:tcPr>
          <w:p>
            <w:pPr>
              <w:topLinePunct/>
              <w:adjustRightInd w:val="0"/>
              <w:snapToGrid w:val="0"/>
              <w:jc w:val="center"/>
              <w:rPr>
                <w:color w:val="000000"/>
                <w:kern w:val="21"/>
                <w:sz w:val="22"/>
                <w:szCs w:val="22"/>
              </w:rPr>
            </w:pPr>
            <w:r>
              <w:rPr>
                <w:color w:val="000000"/>
                <w:kern w:val="21"/>
                <w:sz w:val="22"/>
                <w:szCs w:val="22"/>
              </w:rPr>
              <w:t xml:space="preserve">a. </w:t>
            </w:r>
            <w:r>
              <w:rPr>
                <w:rFonts w:hAnsi="宋体"/>
                <w:color w:val="000000"/>
                <w:kern w:val="21"/>
                <w:sz w:val="22"/>
                <w:szCs w:val="22"/>
              </w:rPr>
              <w:t>最大分接</w:t>
            </w:r>
          </w:p>
        </w:tc>
        <w:tc>
          <w:tcPr>
            <w:tcW w:w="1098" w:type="dxa"/>
            <w:gridSpan w:val="3"/>
            <w:noWrap w:val="0"/>
            <w:tcMar>
              <w:top w:w="0" w:type="dxa"/>
              <w:left w:w="57" w:type="dxa"/>
              <w:bottom w:w="0" w:type="dxa"/>
              <w:right w:w="57" w:type="dxa"/>
            </w:tcMar>
            <w:vAlign w:val="center"/>
          </w:tcPr>
          <w:p>
            <w:pPr>
              <w:topLinePunct/>
              <w:adjustRightInd w:val="0"/>
              <w:snapToGrid w:val="0"/>
              <w:jc w:val="center"/>
              <w:rPr>
                <w:rFonts w:hint="eastAsia" w:hAnsi="宋体" w:eastAsia="宋体"/>
                <w:color w:val="000000"/>
                <w:kern w:val="21"/>
                <w:sz w:val="22"/>
                <w:szCs w:val="22"/>
                <w:lang w:eastAsia="zh-CN"/>
              </w:rPr>
            </w:pPr>
            <w:r>
              <w:rPr>
                <w:rFonts w:hAnsi="宋体"/>
                <w:color w:val="000000"/>
                <w:kern w:val="21"/>
                <w:sz w:val="22"/>
                <w:szCs w:val="22"/>
              </w:rPr>
              <w:t>短路阻抗</w:t>
            </w:r>
          </w:p>
          <w:p>
            <w:pPr>
              <w:topLinePunct/>
              <w:adjustRightInd w:val="0"/>
              <w:snapToGrid w:val="0"/>
              <w:jc w:val="center"/>
              <w:rPr>
                <w:color w:val="000000"/>
                <w:kern w:val="21"/>
                <w:sz w:val="22"/>
                <w:szCs w:val="22"/>
              </w:rPr>
            </w:pPr>
            <w:r>
              <w:rPr>
                <w:color w:val="000000"/>
                <w:kern w:val="21"/>
                <w:sz w:val="22"/>
                <w:szCs w:val="22"/>
              </w:rPr>
              <w:t>(</w:t>
            </w:r>
            <w:r>
              <w:rPr>
                <w:rFonts w:hAnsi="宋体"/>
                <w:color w:val="000000"/>
                <w:kern w:val="21"/>
                <w:sz w:val="22"/>
                <w:szCs w:val="22"/>
              </w:rPr>
              <w:t>％</w:t>
            </w:r>
            <w:r>
              <w:rPr>
                <w:color w:val="000000"/>
                <w:kern w:val="21"/>
                <w:sz w:val="22"/>
                <w:szCs w:val="22"/>
              </w:rPr>
              <w:t>)</w:t>
            </w:r>
          </w:p>
        </w:tc>
        <w:tc>
          <w:tcPr>
            <w:tcW w:w="1257" w:type="dxa"/>
            <w:gridSpan w:val="2"/>
            <w:noWrap w:val="0"/>
            <w:tcMar>
              <w:top w:w="0" w:type="dxa"/>
              <w:left w:w="57" w:type="dxa"/>
              <w:bottom w:w="0" w:type="dxa"/>
              <w:right w:w="57" w:type="dxa"/>
            </w:tcMar>
            <w:vAlign w:val="center"/>
          </w:tcPr>
          <w:p>
            <w:pPr>
              <w:topLinePunct/>
              <w:adjustRightInd w:val="0"/>
              <w:snapToGrid w:val="0"/>
              <w:jc w:val="center"/>
              <w:rPr>
                <w:rFonts w:hint="eastAsia" w:hAnsi="宋体" w:eastAsia="宋体"/>
                <w:color w:val="000000"/>
                <w:kern w:val="21"/>
                <w:sz w:val="22"/>
                <w:szCs w:val="22"/>
                <w:lang w:eastAsia="zh-CN"/>
              </w:rPr>
            </w:pPr>
            <w:r>
              <w:rPr>
                <w:rFonts w:hAnsi="宋体"/>
                <w:color w:val="000000"/>
                <w:kern w:val="21"/>
                <w:sz w:val="22"/>
                <w:szCs w:val="22"/>
              </w:rPr>
              <w:t>允许偏差</w:t>
            </w:r>
          </w:p>
          <w:p>
            <w:pPr>
              <w:topLinePunct/>
              <w:adjustRightInd w:val="0"/>
              <w:snapToGrid w:val="0"/>
              <w:jc w:val="center"/>
              <w:rPr>
                <w:color w:val="000000"/>
                <w:kern w:val="21"/>
                <w:sz w:val="22"/>
                <w:szCs w:val="22"/>
              </w:rPr>
            </w:pPr>
            <w:r>
              <w:rPr>
                <w:color w:val="000000"/>
                <w:kern w:val="21"/>
                <w:sz w:val="22"/>
                <w:szCs w:val="22"/>
              </w:rPr>
              <w:t>(</w:t>
            </w:r>
            <w:r>
              <w:rPr>
                <w:rFonts w:hAnsi="宋体"/>
                <w:color w:val="000000"/>
                <w:kern w:val="21"/>
                <w:sz w:val="22"/>
                <w:szCs w:val="22"/>
              </w:rPr>
              <w:t>％</w:t>
            </w:r>
            <w:r>
              <w:rPr>
                <w:color w:val="000000"/>
                <w:kern w:val="21"/>
                <w:sz w:val="22"/>
                <w:szCs w:val="22"/>
              </w:rPr>
              <w:t>)</w:t>
            </w:r>
          </w:p>
        </w:tc>
        <w:tc>
          <w:tcPr>
            <w:tcW w:w="1080" w:type="dxa"/>
            <w:gridSpan w:val="2"/>
            <w:noWrap w:val="0"/>
            <w:tcMar>
              <w:top w:w="0" w:type="dxa"/>
              <w:left w:w="57" w:type="dxa"/>
              <w:bottom w:w="0" w:type="dxa"/>
              <w:right w:w="57" w:type="dxa"/>
            </w:tcMar>
            <w:vAlign w:val="center"/>
          </w:tcPr>
          <w:p>
            <w:pPr>
              <w:topLinePunct/>
              <w:adjustRightInd w:val="0"/>
              <w:snapToGrid w:val="0"/>
              <w:jc w:val="center"/>
              <w:rPr>
                <w:rFonts w:hint="eastAsia" w:hAnsi="宋体" w:eastAsia="宋体"/>
                <w:color w:val="000000"/>
                <w:kern w:val="21"/>
                <w:sz w:val="22"/>
                <w:szCs w:val="22"/>
                <w:lang w:eastAsia="zh-CN"/>
              </w:rPr>
            </w:pPr>
            <w:r>
              <w:rPr>
                <w:rFonts w:hAnsi="宋体"/>
                <w:color w:val="000000"/>
                <w:kern w:val="21"/>
                <w:sz w:val="22"/>
                <w:szCs w:val="22"/>
              </w:rPr>
              <w:t>短路阻抗</w:t>
            </w:r>
          </w:p>
          <w:p>
            <w:pPr>
              <w:topLinePunct/>
              <w:adjustRightInd w:val="0"/>
              <w:snapToGrid w:val="0"/>
              <w:jc w:val="center"/>
              <w:rPr>
                <w:color w:val="000000"/>
                <w:kern w:val="21"/>
                <w:sz w:val="22"/>
                <w:szCs w:val="22"/>
              </w:rPr>
            </w:pPr>
            <w:r>
              <w:rPr>
                <w:color w:val="000000"/>
                <w:kern w:val="21"/>
                <w:sz w:val="22"/>
                <w:szCs w:val="22"/>
              </w:rPr>
              <w:t>(</w:t>
            </w:r>
            <w:r>
              <w:rPr>
                <w:rFonts w:hAnsi="宋体"/>
                <w:color w:val="000000"/>
                <w:kern w:val="21"/>
                <w:sz w:val="22"/>
                <w:szCs w:val="22"/>
              </w:rPr>
              <w:t>％</w:t>
            </w:r>
            <w:r>
              <w:rPr>
                <w:color w:val="000000"/>
                <w:kern w:val="21"/>
                <w:sz w:val="22"/>
                <w:szCs w:val="22"/>
              </w:rPr>
              <w:t>)</w:t>
            </w:r>
          </w:p>
        </w:tc>
        <w:tc>
          <w:tcPr>
            <w:tcW w:w="1440" w:type="dxa"/>
            <w:gridSpan w:val="2"/>
            <w:noWrap w:val="0"/>
            <w:tcMar>
              <w:top w:w="0" w:type="dxa"/>
              <w:left w:w="57" w:type="dxa"/>
              <w:bottom w:w="0" w:type="dxa"/>
              <w:right w:w="57" w:type="dxa"/>
            </w:tcMar>
            <w:vAlign w:val="center"/>
          </w:tcPr>
          <w:p>
            <w:pPr>
              <w:topLinePunct/>
              <w:adjustRightInd w:val="0"/>
              <w:snapToGrid w:val="0"/>
              <w:jc w:val="center"/>
              <w:rPr>
                <w:rFonts w:hint="eastAsia" w:hAnsi="宋体" w:eastAsia="宋体"/>
                <w:color w:val="000000"/>
                <w:kern w:val="21"/>
                <w:sz w:val="22"/>
                <w:szCs w:val="22"/>
                <w:lang w:eastAsia="zh-CN"/>
              </w:rPr>
            </w:pPr>
            <w:r>
              <w:rPr>
                <w:rFonts w:hAnsi="宋体"/>
                <w:color w:val="000000"/>
                <w:kern w:val="21"/>
                <w:sz w:val="22"/>
                <w:szCs w:val="22"/>
              </w:rPr>
              <w:t>允许偏差</w:t>
            </w:r>
          </w:p>
          <w:p>
            <w:pPr>
              <w:topLinePunct/>
              <w:adjustRightInd w:val="0"/>
              <w:snapToGrid w:val="0"/>
              <w:jc w:val="center"/>
              <w:rPr>
                <w:color w:val="000000"/>
                <w:kern w:val="21"/>
                <w:sz w:val="22"/>
                <w:szCs w:val="22"/>
              </w:rPr>
            </w:pPr>
            <w:r>
              <w:rPr>
                <w:color w:val="000000"/>
                <w:kern w:val="21"/>
                <w:sz w:val="22"/>
                <w:szCs w:val="22"/>
              </w:rPr>
              <w:t>(</w:t>
            </w:r>
            <w:r>
              <w:rPr>
                <w:rFonts w:hAnsi="宋体"/>
                <w:color w:val="000000"/>
                <w:kern w:val="21"/>
                <w:sz w:val="22"/>
                <w:szCs w:val="22"/>
              </w:rPr>
              <w:t>％</w:t>
            </w:r>
            <w:r>
              <w:rPr>
                <w:color w:val="000000"/>
                <w:kern w:val="21"/>
                <w:sz w:val="22"/>
                <w:szCs w:val="22"/>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vAlign w:val="center"/>
          </w:tcPr>
          <w:p>
            <w:pPr>
              <w:topLinePunct/>
              <w:adjustRightInd w:val="0"/>
              <w:snapToGrid w:val="0"/>
              <w:jc w:val="center"/>
              <w:rPr>
                <w:color w:val="000000"/>
                <w:kern w:val="21"/>
                <w:sz w:val="22"/>
                <w:szCs w:val="22"/>
              </w:rPr>
            </w:pPr>
            <w:r>
              <w:rPr>
                <w:rFonts w:hAnsi="宋体"/>
                <w:color w:val="000000"/>
                <w:kern w:val="21"/>
                <w:sz w:val="22"/>
                <w:szCs w:val="22"/>
              </w:rPr>
              <w:t>高压</w:t>
            </w:r>
            <w:r>
              <w:rPr>
                <w:color w:val="000000"/>
                <w:kern w:val="21"/>
                <w:sz w:val="22"/>
                <w:szCs w:val="22"/>
              </w:rPr>
              <w:t>—</w:t>
            </w:r>
            <w:r>
              <w:rPr>
                <w:rFonts w:hAnsi="宋体"/>
                <w:color w:val="000000"/>
                <w:kern w:val="21"/>
                <w:sz w:val="22"/>
                <w:szCs w:val="22"/>
              </w:rPr>
              <w:t>低压</w:t>
            </w:r>
          </w:p>
        </w:tc>
        <w:tc>
          <w:tcPr>
            <w:tcW w:w="1098"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int="eastAsia" w:hAnsi="宋体"/>
                <w:color w:val="000000"/>
                <w:kern w:val="21"/>
                <w:sz w:val="22"/>
                <w:szCs w:val="22"/>
                <w:lang w:eastAsia="zh-CN"/>
              </w:rPr>
              <w:t>投标单位</w:t>
            </w:r>
            <w:r>
              <w:rPr>
                <w:rFonts w:hAnsi="宋体"/>
                <w:color w:val="000000"/>
                <w:kern w:val="21"/>
                <w:sz w:val="22"/>
                <w:szCs w:val="22"/>
              </w:rPr>
              <w:t>提供</w:t>
            </w:r>
          </w:p>
        </w:tc>
        <w:tc>
          <w:tcPr>
            <w:tcW w:w="1257"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±10</w:t>
            </w:r>
          </w:p>
        </w:tc>
        <w:tc>
          <w:tcPr>
            <w:tcW w:w="1080" w:type="dxa"/>
            <w:gridSpan w:val="2"/>
            <w:noWrap w:val="0"/>
            <w:tcMar>
              <w:top w:w="0" w:type="dxa"/>
              <w:left w:w="57" w:type="dxa"/>
              <w:bottom w:w="0" w:type="dxa"/>
              <w:right w:w="57" w:type="dxa"/>
            </w:tcMar>
            <w:vAlign w:val="center"/>
          </w:tcPr>
          <w:p>
            <w:pPr>
              <w:topLinePunct/>
              <w:adjustRightInd w:val="0"/>
              <w:snapToGrid w:val="0"/>
              <w:jc w:val="center"/>
              <w:rPr>
                <w:color w:val="000000"/>
                <w:spacing w:val="-6"/>
                <w:kern w:val="21"/>
                <w:sz w:val="22"/>
                <w:szCs w:val="22"/>
              </w:rPr>
            </w:pPr>
          </w:p>
        </w:tc>
        <w:tc>
          <w:tcPr>
            <w:tcW w:w="1440" w:type="dxa"/>
            <w:gridSpan w:val="2"/>
            <w:noWrap w:val="0"/>
            <w:tcMar>
              <w:top w:w="0" w:type="dxa"/>
              <w:left w:w="57" w:type="dxa"/>
              <w:bottom w:w="0" w:type="dxa"/>
              <w:right w:w="57" w:type="dxa"/>
            </w:tcMar>
            <w:vAlign w:val="center"/>
          </w:tcPr>
          <w:p>
            <w:pPr>
              <w:topLinePunct/>
              <w:adjustRightInd w:val="0"/>
              <w:snapToGrid w:val="0"/>
              <w:jc w:val="center"/>
              <w:rPr>
                <w:color w:val="000000"/>
                <w:spacing w:val="-6"/>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vAlign w:val="center"/>
          </w:tcPr>
          <w:p>
            <w:pPr>
              <w:topLinePunct/>
              <w:adjustRightInd w:val="0"/>
              <w:snapToGrid w:val="0"/>
              <w:jc w:val="center"/>
              <w:rPr>
                <w:color w:val="000000"/>
                <w:kern w:val="21"/>
                <w:sz w:val="22"/>
                <w:szCs w:val="22"/>
              </w:rPr>
            </w:pPr>
            <w:r>
              <w:rPr>
                <w:color w:val="000000"/>
                <w:kern w:val="21"/>
                <w:sz w:val="22"/>
                <w:szCs w:val="22"/>
              </w:rPr>
              <w:t xml:space="preserve">b. </w:t>
            </w:r>
            <w:r>
              <w:rPr>
                <w:rFonts w:hAnsi="宋体"/>
                <w:color w:val="000000"/>
                <w:kern w:val="21"/>
                <w:sz w:val="22"/>
                <w:szCs w:val="22"/>
              </w:rPr>
              <w:t>最小分接</w:t>
            </w:r>
          </w:p>
        </w:tc>
        <w:tc>
          <w:tcPr>
            <w:tcW w:w="1098" w:type="dxa"/>
            <w:gridSpan w:val="3"/>
            <w:noWrap w:val="0"/>
            <w:tcMar>
              <w:top w:w="0" w:type="dxa"/>
              <w:left w:w="57" w:type="dxa"/>
              <w:bottom w:w="0" w:type="dxa"/>
              <w:right w:w="57" w:type="dxa"/>
            </w:tcMar>
            <w:vAlign w:val="center"/>
          </w:tcPr>
          <w:p>
            <w:pPr>
              <w:topLinePunct/>
              <w:adjustRightInd w:val="0"/>
              <w:snapToGrid w:val="0"/>
              <w:jc w:val="center"/>
              <w:rPr>
                <w:rFonts w:hint="eastAsia" w:hAnsi="宋体" w:eastAsia="宋体"/>
                <w:color w:val="000000"/>
                <w:kern w:val="21"/>
                <w:sz w:val="22"/>
                <w:szCs w:val="22"/>
                <w:lang w:eastAsia="zh-CN"/>
              </w:rPr>
            </w:pPr>
            <w:r>
              <w:rPr>
                <w:rFonts w:hAnsi="宋体"/>
                <w:color w:val="000000"/>
                <w:kern w:val="21"/>
                <w:sz w:val="22"/>
                <w:szCs w:val="22"/>
              </w:rPr>
              <w:t>短路阻抗</w:t>
            </w:r>
          </w:p>
          <w:p>
            <w:pPr>
              <w:topLinePunct/>
              <w:adjustRightInd w:val="0"/>
              <w:snapToGrid w:val="0"/>
              <w:jc w:val="center"/>
              <w:rPr>
                <w:color w:val="000000"/>
                <w:kern w:val="21"/>
                <w:sz w:val="22"/>
                <w:szCs w:val="22"/>
              </w:rPr>
            </w:pPr>
            <w:r>
              <w:rPr>
                <w:color w:val="000000"/>
                <w:kern w:val="21"/>
                <w:sz w:val="22"/>
                <w:szCs w:val="22"/>
              </w:rPr>
              <w:t>(</w:t>
            </w:r>
            <w:r>
              <w:rPr>
                <w:rFonts w:hAnsi="宋体"/>
                <w:color w:val="000000"/>
                <w:kern w:val="21"/>
                <w:sz w:val="22"/>
                <w:szCs w:val="22"/>
              </w:rPr>
              <w:t>％</w:t>
            </w:r>
            <w:r>
              <w:rPr>
                <w:color w:val="000000"/>
                <w:kern w:val="21"/>
                <w:sz w:val="22"/>
                <w:szCs w:val="22"/>
              </w:rPr>
              <w:t>)</w:t>
            </w:r>
          </w:p>
        </w:tc>
        <w:tc>
          <w:tcPr>
            <w:tcW w:w="1257" w:type="dxa"/>
            <w:gridSpan w:val="2"/>
            <w:noWrap w:val="0"/>
            <w:tcMar>
              <w:top w:w="0" w:type="dxa"/>
              <w:left w:w="57" w:type="dxa"/>
              <w:bottom w:w="0" w:type="dxa"/>
              <w:right w:w="57" w:type="dxa"/>
            </w:tcMar>
            <w:vAlign w:val="center"/>
          </w:tcPr>
          <w:p>
            <w:pPr>
              <w:topLinePunct/>
              <w:adjustRightInd w:val="0"/>
              <w:snapToGrid w:val="0"/>
              <w:jc w:val="center"/>
              <w:rPr>
                <w:rFonts w:hint="eastAsia" w:hAnsi="宋体" w:eastAsia="宋体"/>
                <w:color w:val="000000"/>
                <w:kern w:val="21"/>
                <w:sz w:val="22"/>
                <w:szCs w:val="22"/>
                <w:lang w:eastAsia="zh-CN"/>
              </w:rPr>
            </w:pPr>
            <w:r>
              <w:rPr>
                <w:rFonts w:hAnsi="宋体"/>
                <w:color w:val="000000"/>
                <w:kern w:val="21"/>
                <w:sz w:val="22"/>
                <w:szCs w:val="22"/>
              </w:rPr>
              <w:t>允许偏差</w:t>
            </w:r>
          </w:p>
          <w:p>
            <w:pPr>
              <w:topLinePunct/>
              <w:adjustRightInd w:val="0"/>
              <w:snapToGrid w:val="0"/>
              <w:jc w:val="center"/>
              <w:rPr>
                <w:color w:val="000000"/>
                <w:kern w:val="21"/>
                <w:sz w:val="22"/>
                <w:szCs w:val="22"/>
              </w:rPr>
            </w:pPr>
            <w:r>
              <w:rPr>
                <w:color w:val="000000"/>
                <w:kern w:val="21"/>
                <w:sz w:val="22"/>
                <w:szCs w:val="22"/>
              </w:rPr>
              <w:t>(</w:t>
            </w:r>
            <w:r>
              <w:rPr>
                <w:rFonts w:hAnsi="宋体"/>
                <w:color w:val="000000"/>
                <w:kern w:val="21"/>
                <w:sz w:val="22"/>
                <w:szCs w:val="22"/>
              </w:rPr>
              <w:t>％</w:t>
            </w:r>
            <w:r>
              <w:rPr>
                <w:color w:val="000000"/>
                <w:kern w:val="21"/>
                <w:sz w:val="22"/>
                <w:szCs w:val="22"/>
              </w:rPr>
              <w:t>)</w:t>
            </w:r>
          </w:p>
        </w:tc>
        <w:tc>
          <w:tcPr>
            <w:tcW w:w="1080" w:type="dxa"/>
            <w:gridSpan w:val="2"/>
            <w:noWrap w:val="0"/>
            <w:tcMar>
              <w:top w:w="0" w:type="dxa"/>
              <w:left w:w="57" w:type="dxa"/>
              <w:bottom w:w="0" w:type="dxa"/>
              <w:right w:w="57" w:type="dxa"/>
            </w:tcMar>
            <w:vAlign w:val="center"/>
          </w:tcPr>
          <w:p>
            <w:pPr>
              <w:topLinePunct/>
              <w:adjustRightInd w:val="0"/>
              <w:snapToGrid w:val="0"/>
              <w:jc w:val="center"/>
              <w:rPr>
                <w:rFonts w:hint="eastAsia" w:eastAsia="宋体"/>
                <w:color w:val="000000"/>
                <w:spacing w:val="-6"/>
                <w:kern w:val="21"/>
                <w:sz w:val="22"/>
                <w:szCs w:val="22"/>
                <w:lang w:eastAsia="zh-CN"/>
              </w:rPr>
            </w:pPr>
            <w:r>
              <w:rPr>
                <w:color w:val="000000"/>
                <w:spacing w:val="-6"/>
                <w:kern w:val="21"/>
                <w:sz w:val="22"/>
                <w:szCs w:val="22"/>
              </w:rPr>
              <w:t>短路阻抗</w:t>
            </w:r>
          </w:p>
          <w:p>
            <w:pPr>
              <w:topLinePunct/>
              <w:adjustRightInd w:val="0"/>
              <w:snapToGrid w:val="0"/>
              <w:jc w:val="center"/>
              <w:rPr>
                <w:color w:val="000000"/>
                <w:spacing w:val="-6"/>
                <w:kern w:val="21"/>
                <w:sz w:val="22"/>
                <w:szCs w:val="22"/>
              </w:rPr>
            </w:pPr>
            <w:r>
              <w:rPr>
                <w:color w:val="000000"/>
                <w:spacing w:val="-6"/>
                <w:kern w:val="21"/>
                <w:sz w:val="22"/>
                <w:szCs w:val="22"/>
              </w:rPr>
              <w:t>(％)</w:t>
            </w:r>
          </w:p>
        </w:tc>
        <w:tc>
          <w:tcPr>
            <w:tcW w:w="1440" w:type="dxa"/>
            <w:gridSpan w:val="2"/>
            <w:noWrap w:val="0"/>
            <w:tcMar>
              <w:top w:w="0" w:type="dxa"/>
              <w:left w:w="57" w:type="dxa"/>
              <w:bottom w:w="0" w:type="dxa"/>
              <w:right w:w="57" w:type="dxa"/>
            </w:tcMar>
            <w:vAlign w:val="center"/>
          </w:tcPr>
          <w:p>
            <w:pPr>
              <w:topLinePunct/>
              <w:adjustRightInd w:val="0"/>
              <w:snapToGrid w:val="0"/>
              <w:jc w:val="center"/>
              <w:rPr>
                <w:rFonts w:hint="eastAsia" w:hAnsi="宋体" w:eastAsia="宋体"/>
                <w:color w:val="000000"/>
                <w:kern w:val="21"/>
                <w:sz w:val="22"/>
                <w:szCs w:val="22"/>
                <w:lang w:eastAsia="zh-CN"/>
              </w:rPr>
            </w:pPr>
            <w:r>
              <w:rPr>
                <w:rFonts w:hAnsi="宋体"/>
                <w:color w:val="000000"/>
                <w:kern w:val="21"/>
                <w:sz w:val="22"/>
                <w:szCs w:val="22"/>
              </w:rPr>
              <w:t>允许偏差</w:t>
            </w:r>
          </w:p>
          <w:p>
            <w:pPr>
              <w:topLinePunct/>
              <w:adjustRightInd w:val="0"/>
              <w:snapToGrid w:val="0"/>
              <w:jc w:val="center"/>
              <w:rPr>
                <w:color w:val="000000"/>
                <w:kern w:val="21"/>
                <w:sz w:val="22"/>
                <w:szCs w:val="22"/>
              </w:rPr>
            </w:pPr>
            <w:r>
              <w:rPr>
                <w:color w:val="000000"/>
                <w:kern w:val="21"/>
                <w:sz w:val="22"/>
                <w:szCs w:val="22"/>
              </w:rPr>
              <w:t>(</w:t>
            </w:r>
            <w:r>
              <w:rPr>
                <w:rFonts w:hAnsi="宋体"/>
                <w:color w:val="000000"/>
                <w:kern w:val="21"/>
                <w:sz w:val="22"/>
                <w:szCs w:val="22"/>
              </w:rPr>
              <w:t>％</w:t>
            </w:r>
            <w:r>
              <w:rPr>
                <w:color w:val="000000"/>
                <w:kern w:val="21"/>
                <w:sz w:val="22"/>
                <w:szCs w:val="22"/>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vAlign w:val="center"/>
          </w:tcPr>
          <w:p>
            <w:pPr>
              <w:topLinePunct/>
              <w:adjustRightInd w:val="0"/>
              <w:snapToGrid w:val="0"/>
              <w:jc w:val="center"/>
              <w:rPr>
                <w:color w:val="000000"/>
                <w:kern w:val="21"/>
                <w:sz w:val="22"/>
                <w:szCs w:val="22"/>
              </w:rPr>
            </w:pPr>
            <w:r>
              <w:rPr>
                <w:rFonts w:hAnsi="宋体"/>
                <w:color w:val="000000"/>
                <w:kern w:val="21"/>
                <w:sz w:val="22"/>
                <w:szCs w:val="22"/>
              </w:rPr>
              <w:t>高压</w:t>
            </w:r>
            <w:r>
              <w:rPr>
                <w:color w:val="000000"/>
                <w:kern w:val="21"/>
                <w:sz w:val="22"/>
                <w:szCs w:val="22"/>
              </w:rPr>
              <w:t>—</w:t>
            </w:r>
            <w:r>
              <w:rPr>
                <w:rFonts w:hAnsi="宋体"/>
                <w:color w:val="000000"/>
                <w:kern w:val="21"/>
                <w:sz w:val="22"/>
                <w:szCs w:val="22"/>
              </w:rPr>
              <w:t>低压</w:t>
            </w:r>
          </w:p>
        </w:tc>
        <w:tc>
          <w:tcPr>
            <w:tcW w:w="1098"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int="eastAsia" w:hAnsi="宋体"/>
                <w:color w:val="000000"/>
                <w:kern w:val="21"/>
                <w:sz w:val="22"/>
                <w:szCs w:val="22"/>
                <w:lang w:eastAsia="zh-CN"/>
              </w:rPr>
              <w:t>投标单位</w:t>
            </w:r>
            <w:r>
              <w:rPr>
                <w:rFonts w:hAnsi="宋体"/>
                <w:color w:val="000000"/>
                <w:kern w:val="21"/>
                <w:sz w:val="22"/>
                <w:szCs w:val="22"/>
              </w:rPr>
              <w:t>提供</w:t>
            </w:r>
          </w:p>
        </w:tc>
        <w:tc>
          <w:tcPr>
            <w:tcW w:w="1257"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±10</w:t>
            </w:r>
          </w:p>
        </w:tc>
        <w:tc>
          <w:tcPr>
            <w:tcW w:w="1080" w:type="dxa"/>
            <w:gridSpan w:val="2"/>
            <w:noWrap w:val="0"/>
            <w:tcMar>
              <w:top w:w="0" w:type="dxa"/>
              <w:left w:w="57" w:type="dxa"/>
              <w:bottom w:w="0" w:type="dxa"/>
              <w:right w:w="57" w:type="dxa"/>
            </w:tcMar>
            <w:vAlign w:val="center"/>
          </w:tcPr>
          <w:p>
            <w:pPr>
              <w:topLinePunct/>
              <w:adjustRightInd w:val="0"/>
              <w:snapToGrid w:val="0"/>
              <w:jc w:val="center"/>
              <w:rPr>
                <w:color w:val="000000"/>
                <w:spacing w:val="-6"/>
                <w:kern w:val="21"/>
                <w:sz w:val="22"/>
                <w:szCs w:val="22"/>
              </w:rPr>
            </w:pPr>
          </w:p>
        </w:tc>
        <w:tc>
          <w:tcPr>
            <w:tcW w:w="1440" w:type="dxa"/>
            <w:gridSpan w:val="2"/>
            <w:noWrap w:val="0"/>
            <w:tcMar>
              <w:top w:w="0" w:type="dxa"/>
              <w:left w:w="57" w:type="dxa"/>
              <w:bottom w:w="0" w:type="dxa"/>
              <w:right w:w="57" w:type="dxa"/>
            </w:tcMar>
            <w:vAlign w:val="center"/>
          </w:tcPr>
          <w:p>
            <w:pPr>
              <w:topLinePunct/>
              <w:adjustRightInd w:val="0"/>
              <w:snapToGrid w:val="0"/>
              <w:jc w:val="center"/>
              <w:rPr>
                <w:color w:val="000000"/>
                <w:spacing w:val="-6"/>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restart"/>
            <w:noWrap w:val="0"/>
            <w:vAlign w:val="center"/>
          </w:tcPr>
          <w:p>
            <w:pPr>
              <w:topLinePunct/>
              <w:adjustRightInd w:val="0"/>
              <w:snapToGrid w:val="0"/>
              <w:jc w:val="center"/>
              <w:rPr>
                <w:color w:val="000000"/>
                <w:kern w:val="21"/>
                <w:sz w:val="22"/>
                <w:szCs w:val="22"/>
              </w:rPr>
            </w:pPr>
            <w:r>
              <w:rPr>
                <w:color w:val="000000"/>
                <w:kern w:val="21"/>
                <w:sz w:val="22"/>
                <w:szCs w:val="22"/>
              </w:rPr>
              <w:t>5</w:t>
            </w:r>
          </w:p>
        </w:tc>
        <w:tc>
          <w:tcPr>
            <w:tcW w:w="1070" w:type="dxa"/>
            <w:vMerge w:val="restart"/>
            <w:noWrap w:val="0"/>
            <w:vAlign w:val="center"/>
          </w:tcPr>
          <w:p>
            <w:pPr>
              <w:topLinePunct/>
              <w:adjustRightInd w:val="0"/>
              <w:snapToGrid w:val="0"/>
              <w:jc w:val="center"/>
              <w:rPr>
                <w:rFonts w:hAnsi="宋体"/>
                <w:color w:val="000000"/>
                <w:kern w:val="21"/>
                <w:sz w:val="22"/>
                <w:szCs w:val="22"/>
              </w:rPr>
            </w:pPr>
            <w:r>
              <w:rPr>
                <w:rFonts w:hAnsi="宋体"/>
                <w:color w:val="000000"/>
                <w:kern w:val="21"/>
                <w:sz w:val="22"/>
                <w:szCs w:val="22"/>
              </w:rPr>
              <w:t>绕组电阻</w:t>
            </w:r>
          </w:p>
          <w:p>
            <w:pPr>
              <w:topLinePunct/>
              <w:adjustRightInd w:val="0"/>
              <w:snapToGrid w:val="0"/>
              <w:jc w:val="center"/>
              <w:rPr>
                <w:color w:val="000000"/>
                <w:kern w:val="21"/>
                <w:sz w:val="22"/>
                <w:szCs w:val="22"/>
              </w:rPr>
            </w:pPr>
            <w:r>
              <w:rPr>
                <w:color w:val="000000"/>
                <w:kern w:val="21"/>
                <w:sz w:val="18"/>
                <w:szCs w:val="22"/>
              </w:rPr>
              <w:t>(</w:t>
            </w:r>
            <w:r>
              <w:rPr>
                <w:color w:val="000000"/>
                <w:kern w:val="21"/>
                <w:sz w:val="22"/>
                <w:szCs w:val="22"/>
              </w:rPr>
              <w:t>Ω</w:t>
            </w:r>
            <w:r>
              <w:rPr>
                <w:rFonts w:hAnsi="宋体"/>
                <w:color w:val="000000"/>
                <w:kern w:val="21"/>
                <w:sz w:val="18"/>
                <w:szCs w:val="22"/>
              </w:rPr>
              <w:t>，</w:t>
            </w:r>
            <w:r>
              <w:rPr>
                <w:color w:val="000000"/>
                <w:kern w:val="21"/>
                <w:sz w:val="18"/>
                <w:szCs w:val="22"/>
              </w:rPr>
              <w:t>75</w:t>
            </w:r>
            <w:r>
              <w:rPr>
                <w:rFonts w:hAnsi="宋体"/>
                <w:color w:val="000000"/>
                <w:kern w:val="21"/>
                <w:sz w:val="18"/>
                <w:szCs w:val="22"/>
              </w:rPr>
              <w:t>℃</w:t>
            </w:r>
            <w:r>
              <w:rPr>
                <w:color w:val="000000"/>
                <w:kern w:val="21"/>
                <w:sz w:val="18"/>
                <w:szCs w:val="22"/>
              </w:rPr>
              <w:t>)</w:t>
            </w:r>
          </w:p>
        </w:tc>
        <w:tc>
          <w:tcPr>
            <w:tcW w:w="1285" w:type="dxa"/>
            <w:gridSpan w:val="2"/>
            <w:vMerge w:val="restart"/>
            <w:noWrap w:val="0"/>
            <w:vAlign w:val="center"/>
          </w:tcPr>
          <w:p>
            <w:pPr>
              <w:topLinePunct/>
              <w:adjustRightInd w:val="0"/>
              <w:snapToGrid w:val="0"/>
              <w:jc w:val="center"/>
              <w:rPr>
                <w:color w:val="000000"/>
                <w:kern w:val="21"/>
                <w:sz w:val="22"/>
                <w:szCs w:val="22"/>
              </w:rPr>
            </w:pPr>
            <w:r>
              <w:rPr>
                <w:color w:val="000000"/>
                <w:kern w:val="21"/>
                <w:sz w:val="22"/>
                <w:szCs w:val="22"/>
              </w:rPr>
              <w:t xml:space="preserve">a. </w:t>
            </w:r>
            <w:r>
              <w:rPr>
                <w:rFonts w:hAnsi="宋体"/>
                <w:color w:val="000000"/>
                <w:kern w:val="21"/>
                <w:sz w:val="22"/>
                <w:szCs w:val="22"/>
              </w:rPr>
              <w:t>高压绕组</w:t>
            </w:r>
          </w:p>
        </w:tc>
        <w:tc>
          <w:tcPr>
            <w:tcW w:w="1596"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主分接</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1285" w:type="dxa"/>
            <w:gridSpan w:val="2"/>
            <w:vMerge w:val="continue"/>
            <w:noWrap w:val="0"/>
            <w:vAlign w:val="center"/>
          </w:tcPr>
          <w:p>
            <w:pPr>
              <w:widowControl/>
              <w:adjustRightInd w:val="0"/>
              <w:snapToGrid w:val="0"/>
              <w:jc w:val="center"/>
              <w:rPr>
                <w:color w:val="000000"/>
                <w:kern w:val="21"/>
                <w:sz w:val="22"/>
                <w:szCs w:val="22"/>
              </w:rPr>
            </w:pPr>
          </w:p>
        </w:tc>
        <w:tc>
          <w:tcPr>
            <w:tcW w:w="1596"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最大分接</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1285" w:type="dxa"/>
            <w:gridSpan w:val="2"/>
            <w:vMerge w:val="continue"/>
            <w:noWrap w:val="0"/>
            <w:vAlign w:val="center"/>
          </w:tcPr>
          <w:p>
            <w:pPr>
              <w:widowControl/>
              <w:adjustRightInd w:val="0"/>
              <w:snapToGrid w:val="0"/>
              <w:jc w:val="center"/>
              <w:rPr>
                <w:color w:val="000000"/>
                <w:kern w:val="21"/>
                <w:sz w:val="22"/>
                <w:szCs w:val="22"/>
              </w:rPr>
            </w:pPr>
          </w:p>
        </w:tc>
        <w:tc>
          <w:tcPr>
            <w:tcW w:w="1596"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最小分接</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b. </w:t>
            </w:r>
            <w:r>
              <w:rPr>
                <w:rFonts w:hAnsi="宋体"/>
                <w:color w:val="000000"/>
                <w:kern w:val="21"/>
                <w:sz w:val="22"/>
                <w:szCs w:val="22"/>
              </w:rPr>
              <w:t>低压绕组</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snapToGrid w:val="0"/>
              <w:spacing w:before="62" w:after="62"/>
              <w:ind w:left="-57" w:right="-57"/>
              <w:jc w:val="center"/>
              <w:rPr>
                <w:rFonts w:ascii="宋体" w:hAnsi="宋体"/>
                <w:color w:val="000000"/>
                <w:kern w:val="21"/>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restart"/>
            <w:noWrap w:val="0"/>
            <w:vAlign w:val="center"/>
          </w:tcPr>
          <w:p>
            <w:pPr>
              <w:topLinePunct/>
              <w:adjustRightInd w:val="0"/>
              <w:snapToGrid w:val="0"/>
              <w:jc w:val="center"/>
              <w:rPr>
                <w:color w:val="000000"/>
                <w:kern w:val="21"/>
                <w:sz w:val="22"/>
                <w:szCs w:val="22"/>
              </w:rPr>
            </w:pPr>
            <w:r>
              <w:rPr>
                <w:color w:val="000000"/>
                <w:kern w:val="21"/>
                <w:sz w:val="22"/>
                <w:szCs w:val="22"/>
              </w:rPr>
              <w:t>6</w:t>
            </w:r>
          </w:p>
        </w:tc>
        <w:tc>
          <w:tcPr>
            <w:tcW w:w="1070"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电流密度</w:t>
            </w:r>
            <w:r>
              <w:rPr>
                <w:color w:val="000000"/>
                <w:kern w:val="21"/>
                <w:sz w:val="22"/>
                <w:szCs w:val="22"/>
              </w:rPr>
              <w:t>(A/mm</w:t>
            </w:r>
            <w:r>
              <w:rPr>
                <w:color w:val="000000"/>
                <w:kern w:val="21"/>
                <w:sz w:val="22"/>
                <w:szCs w:val="22"/>
                <w:vertAlign w:val="superscript"/>
              </w:rPr>
              <w:t>2</w:t>
            </w:r>
            <w:r>
              <w:rPr>
                <w:color w:val="000000"/>
                <w:kern w:val="21"/>
                <w:sz w:val="22"/>
                <w:szCs w:val="22"/>
              </w:rPr>
              <w:t>)</w:t>
            </w: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a. </w:t>
            </w:r>
            <w:r>
              <w:rPr>
                <w:rFonts w:hAnsi="宋体"/>
                <w:color w:val="000000"/>
                <w:kern w:val="21"/>
                <w:sz w:val="22"/>
                <w:szCs w:val="22"/>
              </w:rPr>
              <w:t>高压绕组</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snapToGrid w:val="0"/>
              <w:spacing w:before="62" w:after="62"/>
              <w:ind w:left="-57" w:right="-57"/>
              <w:jc w:val="center"/>
              <w:rPr>
                <w:rFonts w:ascii="宋体" w:hAnsi="宋体"/>
                <w:kern w:val="21"/>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b. </w:t>
            </w:r>
            <w:r>
              <w:rPr>
                <w:rFonts w:hAnsi="宋体"/>
                <w:color w:val="000000"/>
                <w:kern w:val="21"/>
                <w:sz w:val="22"/>
                <w:szCs w:val="22"/>
              </w:rPr>
              <w:t>低压绕组</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snapToGrid w:val="0"/>
              <w:spacing w:before="62" w:after="62"/>
              <w:ind w:left="-57" w:right="-57"/>
              <w:jc w:val="center"/>
              <w:rPr>
                <w:rFonts w:ascii="宋体" w:hAnsi="宋体"/>
                <w:kern w:val="21"/>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c. </w:t>
            </w:r>
            <w:r>
              <w:rPr>
                <w:rFonts w:hAnsi="宋体"/>
                <w:color w:val="000000"/>
                <w:kern w:val="21"/>
                <w:sz w:val="22"/>
                <w:szCs w:val="22"/>
              </w:rPr>
              <w:t>调压绕组</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snapToGrid w:val="0"/>
              <w:spacing w:before="62" w:after="62"/>
              <w:ind w:left="-57" w:right="-57"/>
              <w:jc w:val="center"/>
              <w:rPr>
                <w:rFonts w:ascii="宋体" w:hAnsi="宋体"/>
                <w:color w:val="000000"/>
                <w:kern w:val="21"/>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noWrap w:val="0"/>
            <w:vAlign w:val="center"/>
          </w:tcPr>
          <w:p>
            <w:pPr>
              <w:topLinePunct/>
              <w:adjustRightInd w:val="0"/>
              <w:snapToGrid w:val="0"/>
              <w:jc w:val="center"/>
              <w:rPr>
                <w:color w:val="000000"/>
                <w:kern w:val="21"/>
                <w:sz w:val="22"/>
                <w:szCs w:val="22"/>
              </w:rPr>
            </w:pPr>
            <w:r>
              <w:rPr>
                <w:color w:val="000000"/>
                <w:kern w:val="21"/>
                <w:sz w:val="22"/>
                <w:szCs w:val="22"/>
              </w:rPr>
              <w:t>7</w:t>
            </w:r>
          </w:p>
        </w:tc>
        <w:tc>
          <w:tcPr>
            <w:tcW w:w="1070" w:type="dxa"/>
            <w:noWrap w:val="0"/>
            <w:tcMar>
              <w:top w:w="0" w:type="dxa"/>
              <w:left w:w="57" w:type="dxa"/>
              <w:bottom w:w="0" w:type="dxa"/>
              <w:right w:w="57" w:type="dxa"/>
            </w:tcMar>
            <w:vAlign w:val="center"/>
          </w:tcPr>
          <w:p>
            <w:pPr>
              <w:topLinePunct/>
              <w:adjustRightInd w:val="0"/>
              <w:snapToGrid w:val="0"/>
              <w:jc w:val="center"/>
              <w:rPr>
                <w:rFonts w:hint="eastAsia" w:hAnsi="宋体" w:eastAsia="宋体"/>
                <w:color w:val="000000"/>
                <w:kern w:val="21"/>
                <w:sz w:val="22"/>
                <w:szCs w:val="22"/>
                <w:lang w:eastAsia="zh-CN"/>
              </w:rPr>
            </w:pPr>
            <w:r>
              <w:rPr>
                <w:rFonts w:hAnsi="宋体"/>
                <w:color w:val="000000"/>
                <w:kern w:val="21"/>
                <w:sz w:val="22"/>
                <w:szCs w:val="22"/>
              </w:rPr>
              <w:t>匝间最大工作场强</w:t>
            </w:r>
          </w:p>
          <w:p>
            <w:pPr>
              <w:topLinePunct/>
              <w:adjustRightInd w:val="0"/>
              <w:snapToGrid w:val="0"/>
              <w:jc w:val="center"/>
              <w:rPr>
                <w:color w:val="000000"/>
                <w:kern w:val="21"/>
                <w:sz w:val="22"/>
                <w:szCs w:val="22"/>
              </w:rPr>
            </w:pPr>
            <w:r>
              <w:rPr>
                <w:color w:val="000000"/>
                <w:kern w:val="21"/>
                <w:sz w:val="22"/>
                <w:szCs w:val="22"/>
              </w:rPr>
              <w:t>(kV/mm)</w:t>
            </w: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设计值</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restart"/>
            <w:noWrap w:val="0"/>
            <w:vAlign w:val="center"/>
          </w:tcPr>
          <w:p>
            <w:pPr>
              <w:topLinePunct/>
              <w:adjustRightInd w:val="0"/>
              <w:snapToGrid w:val="0"/>
              <w:jc w:val="center"/>
              <w:rPr>
                <w:color w:val="000000"/>
                <w:kern w:val="21"/>
                <w:sz w:val="22"/>
                <w:szCs w:val="22"/>
              </w:rPr>
            </w:pPr>
            <w:r>
              <w:rPr>
                <w:color w:val="000000"/>
                <w:kern w:val="21"/>
                <w:sz w:val="22"/>
                <w:szCs w:val="22"/>
              </w:rPr>
              <w:t>8</w:t>
            </w:r>
          </w:p>
        </w:tc>
        <w:tc>
          <w:tcPr>
            <w:tcW w:w="1070"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铁心参数</w:t>
            </w:r>
          </w:p>
        </w:tc>
        <w:tc>
          <w:tcPr>
            <w:tcW w:w="2881" w:type="dxa"/>
            <w:gridSpan w:val="3"/>
            <w:noWrap w:val="0"/>
            <w:tcMar>
              <w:top w:w="0" w:type="dxa"/>
              <w:left w:w="57" w:type="dxa"/>
              <w:bottom w:w="0" w:type="dxa"/>
              <w:right w:w="57" w:type="dxa"/>
            </w:tcMar>
            <w:vAlign w:val="center"/>
          </w:tcPr>
          <w:p>
            <w:pPr>
              <w:topLinePunct/>
              <w:adjustRightInd w:val="0"/>
              <w:snapToGrid w:val="0"/>
              <w:jc w:val="center"/>
              <w:rPr>
                <w:rFonts w:hint="eastAsia" w:hAnsi="宋体" w:eastAsia="宋体"/>
                <w:color w:val="000000"/>
                <w:kern w:val="21"/>
                <w:sz w:val="22"/>
                <w:szCs w:val="22"/>
                <w:lang w:eastAsia="zh-CN"/>
              </w:rPr>
            </w:pPr>
            <w:r>
              <w:rPr>
                <w:rFonts w:hAnsi="宋体"/>
                <w:color w:val="000000"/>
                <w:kern w:val="21"/>
                <w:sz w:val="22"/>
                <w:szCs w:val="22"/>
              </w:rPr>
              <w:t>铁心柱磁通密度</w:t>
            </w:r>
            <w:r>
              <w:rPr>
                <w:color w:val="000000"/>
                <w:kern w:val="21"/>
                <w:sz w:val="22"/>
                <w:szCs w:val="22"/>
              </w:rPr>
              <w:t>(</w:t>
            </w:r>
            <w:r>
              <w:rPr>
                <w:rFonts w:hAnsi="宋体"/>
                <w:color w:val="000000"/>
                <w:kern w:val="21"/>
                <w:sz w:val="22"/>
                <w:szCs w:val="22"/>
              </w:rPr>
              <w:t>额定电压、</w:t>
            </w:r>
          </w:p>
          <w:p>
            <w:pPr>
              <w:topLinePunct/>
              <w:adjustRightInd w:val="0"/>
              <w:snapToGrid w:val="0"/>
              <w:jc w:val="center"/>
              <w:rPr>
                <w:color w:val="000000"/>
                <w:kern w:val="21"/>
                <w:sz w:val="22"/>
                <w:szCs w:val="22"/>
              </w:rPr>
            </w:pPr>
            <w:r>
              <w:rPr>
                <w:rFonts w:hAnsi="宋体"/>
                <w:color w:val="000000"/>
                <w:kern w:val="21"/>
                <w:sz w:val="22"/>
                <w:szCs w:val="22"/>
              </w:rPr>
              <w:t>额定频率时</w:t>
            </w:r>
            <w:r>
              <w:rPr>
                <w:color w:val="000000"/>
                <w:kern w:val="21"/>
                <w:sz w:val="22"/>
                <w:szCs w:val="22"/>
              </w:rPr>
              <w:t>)(T)</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硅钢片比损耗</w:t>
            </w:r>
            <w:r>
              <w:rPr>
                <w:color w:val="000000"/>
                <w:kern w:val="21"/>
                <w:sz w:val="22"/>
                <w:szCs w:val="22"/>
              </w:rPr>
              <w:t>(W/kg)</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jc w:val="center"/>
              <w:rPr>
                <w:rFonts w:eastAsia="等线"/>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铁心计算总质量</w:t>
            </w:r>
            <w:r>
              <w:rPr>
                <w:color w:val="000000"/>
                <w:kern w:val="21"/>
                <w:sz w:val="22"/>
                <w:szCs w:val="22"/>
              </w:rPr>
              <w:t>(t)</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restart"/>
            <w:noWrap w:val="0"/>
            <w:vAlign w:val="center"/>
          </w:tcPr>
          <w:p>
            <w:pPr>
              <w:topLinePunct/>
              <w:adjustRightInd w:val="0"/>
              <w:snapToGrid w:val="0"/>
              <w:jc w:val="center"/>
              <w:rPr>
                <w:color w:val="000000"/>
                <w:kern w:val="21"/>
                <w:sz w:val="22"/>
                <w:szCs w:val="22"/>
              </w:rPr>
            </w:pPr>
            <w:r>
              <w:rPr>
                <w:color w:val="000000"/>
                <w:kern w:val="21"/>
                <w:sz w:val="22"/>
                <w:szCs w:val="22"/>
              </w:rPr>
              <w:t>9</w:t>
            </w:r>
          </w:p>
        </w:tc>
        <w:tc>
          <w:tcPr>
            <w:tcW w:w="1070"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空载损耗</w:t>
            </w:r>
          </w:p>
          <w:p>
            <w:pPr>
              <w:topLinePunct/>
              <w:adjustRightInd w:val="0"/>
              <w:snapToGrid w:val="0"/>
              <w:jc w:val="center"/>
              <w:rPr>
                <w:color w:val="000000"/>
                <w:kern w:val="21"/>
                <w:sz w:val="22"/>
                <w:szCs w:val="22"/>
              </w:rPr>
            </w:pPr>
            <w:r>
              <w:rPr>
                <w:color w:val="000000"/>
                <w:kern w:val="21"/>
                <w:sz w:val="22"/>
                <w:szCs w:val="22"/>
              </w:rPr>
              <w:t>(kW)</w:t>
            </w: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额定频率额定电压时空载损耗</w:t>
            </w:r>
          </w:p>
        </w:tc>
        <w:tc>
          <w:tcPr>
            <w:tcW w:w="2355" w:type="dxa"/>
            <w:gridSpan w:val="5"/>
            <w:noWrap w:val="0"/>
            <w:tcMar>
              <w:top w:w="0" w:type="dxa"/>
              <w:left w:w="57" w:type="dxa"/>
              <w:bottom w:w="0" w:type="dxa"/>
              <w:right w:w="57" w:type="dxa"/>
            </w:tcMar>
            <w:vAlign w:val="center"/>
          </w:tcPr>
          <w:p>
            <w:pPr>
              <w:topLinePunct/>
              <w:adjustRightInd w:val="0"/>
              <w:snapToGrid w:val="0"/>
              <w:jc w:val="center"/>
              <w:rPr>
                <w:rFonts w:hint="eastAsia"/>
                <w:color w:val="FF0000"/>
                <w:sz w:val="20"/>
                <w:szCs w:val="20"/>
                <w:lang w:eastAsia="zh-CN"/>
              </w:rPr>
            </w:pPr>
            <w:r>
              <w:rPr>
                <w:rFonts w:hint="eastAsia" w:ascii="宋体"/>
                <w:color w:val="FF0000"/>
                <w:sz w:val="20"/>
                <w:szCs w:val="20"/>
              </w:rPr>
              <w:t>≤</w:t>
            </w:r>
            <w:r>
              <w:rPr>
                <w:color w:val="FF0000"/>
                <w:sz w:val="20"/>
                <w:szCs w:val="20"/>
              </w:rPr>
              <w:t>21</w:t>
            </w:r>
            <w:r>
              <w:rPr>
                <w:rFonts w:hint="eastAsia"/>
                <w:color w:val="FF0000"/>
                <w:sz w:val="20"/>
                <w:szCs w:val="20"/>
                <w:lang w:eastAsia="zh-CN"/>
              </w:rPr>
              <w:t>（</w:t>
            </w:r>
            <w:r>
              <w:rPr>
                <w:rFonts w:hint="eastAsia"/>
                <w:color w:val="FF0000"/>
                <w:sz w:val="20"/>
                <w:szCs w:val="20"/>
                <w:lang w:val="en-US" w:eastAsia="zh-CN"/>
              </w:rPr>
              <w:t>二级能效标准</w:t>
            </w:r>
            <w:r>
              <w:rPr>
                <w:rFonts w:hint="eastAsia"/>
                <w:color w:val="FF0000"/>
                <w:sz w:val="20"/>
                <w:szCs w:val="20"/>
                <w:lang w:eastAsia="zh-CN"/>
              </w:rPr>
              <w:t>）</w:t>
            </w:r>
          </w:p>
          <w:p>
            <w:pPr>
              <w:topLinePunct/>
              <w:adjustRightInd w:val="0"/>
              <w:snapToGrid w:val="0"/>
              <w:jc w:val="center"/>
              <w:rPr>
                <w:rFonts w:hint="eastAsia"/>
                <w:color w:val="FF0000"/>
                <w:sz w:val="20"/>
                <w:szCs w:val="20"/>
                <w:lang w:eastAsia="zh-CN"/>
              </w:rPr>
            </w:pPr>
            <w:r>
              <w:rPr>
                <w:rFonts w:hint="eastAsia"/>
                <w:color w:val="FF0000"/>
                <w:sz w:val="20"/>
                <w:szCs w:val="20"/>
                <w:lang w:val="en-US" w:eastAsia="zh-CN"/>
              </w:rPr>
              <w:t>≤17.8</w:t>
            </w:r>
            <w:r>
              <w:rPr>
                <w:rFonts w:hint="eastAsia"/>
                <w:color w:val="FF0000"/>
                <w:sz w:val="20"/>
                <w:szCs w:val="20"/>
                <w:lang w:eastAsia="zh-CN"/>
              </w:rPr>
              <w:t>（</w:t>
            </w:r>
            <w:r>
              <w:rPr>
                <w:rFonts w:hint="eastAsia"/>
                <w:color w:val="FF0000"/>
                <w:sz w:val="20"/>
                <w:szCs w:val="20"/>
                <w:lang w:val="en-US" w:eastAsia="zh-CN"/>
              </w:rPr>
              <w:t>一级能效</w:t>
            </w:r>
            <w:r>
              <w:rPr>
                <w:rFonts w:hint="eastAsia"/>
                <w:color w:val="FF0000"/>
                <w:sz w:val="20"/>
                <w:szCs w:val="20"/>
                <w:lang w:eastAsia="zh-CN"/>
              </w:rPr>
              <w:t>）</w:t>
            </w:r>
          </w:p>
        </w:tc>
        <w:tc>
          <w:tcPr>
            <w:tcW w:w="2520" w:type="dxa"/>
            <w:gridSpan w:val="4"/>
            <w:noWrap w:val="0"/>
            <w:tcMar>
              <w:top w:w="0" w:type="dxa"/>
              <w:left w:w="57" w:type="dxa"/>
              <w:bottom w:w="0" w:type="dxa"/>
              <w:right w:w="57" w:type="dxa"/>
            </w:tcMar>
            <w:vAlign w:val="center"/>
          </w:tcPr>
          <w:p>
            <w:pPr>
              <w:topLinePunct/>
              <w:adjustRightInd w:val="0"/>
              <w:snapToGrid w:val="0"/>
              <w:jc w:val="center"/>
              <w:rPr>
                <w:rFonts w:hint="default" w:eastAsia="宋体"/>
                <w:color w:val="000000"/>
                <w:kern w:val="21"/>
                <w:sz w:val="22"/>
                <w:szCs w:val="22"/>
                <w:lang w:val="en-US"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rFonts w:hint="eastAsia" w:hAnsi="宋体" w:eastAsia="宋体"/>
                <w:color w:val="000000"/>
                <w:kern w:val="21"/>
                <w:sz w:val="22"/>
                <w:szCs w:val="22"/>
                <w:lang w:eastAsia="zh-CN"/>
              </w:rPr>
            </w:pPr>
            <w:r>
              <w:rPr>
                <w:rFonts w:hAnsi="宋体"/>
                <w:color w:val="000000"/>
                <w:kern w:val="21"/>
                <w:sz w:val="22"/>
                <w:szCs w:val="22"/>
              </w:rPr>
              <w:t>额定频率</w:t>
            </w:r>
            <w:r>
              <w:rPr>
                <w:color w:val="000000"/>
                <w:kern w:val="21"/>
                <w:sz w:val="22"/>
                <w:szCs w:val="22"/>
              </w:rPr>
              <w:t>1.1</w:t>
            </w:r>
            <w:r>
              <w:rPr>
                <w:rFonts w:hAnsi="宋体"/>
                <w:color w:val="000000"/>
                <w:kern w:val="21"/>
                <w:sz w:val="22"/>
                <w:szCs w:val="22"/>
              </w:rPr>
              <w:t>倍额定电压</w:t>
            </w:r>
          </w:p>
          <w:p>
            <w:pPr>
              <w:topLinePunct/>
              <w:adjustRightInd w:val="0"/>
              <w:snapToGrid w:val="0"/>
              <w:jc w:val="center"/>
              <w:rPr>
                <w:color w:val="000000"/>
                <w:kern w:val="21"/>
                <w:sz w:val="22"/>
                <w:szCs w:val="22"/>
              </w:rPr>
            </w:pPr>
            <w:r>
              <w:rPr>
                <w:rFonts w:hAnsi="宋体"/>
                <w:color w:val="000000"/>
                <w:kern w:val="21"/>
                <w:sz w:val="22"/>
                <w:szCs w:val="22"/>
              </w:rPr>
              <w:t>时空载损耗</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bookmarkStart w:id="101" w:name="OLE_LINK13"/>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bookmarkEnd w:id="101"/>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restart"/>
            <w:noWrap w:val="0"/>
            <w:vAlign w:val="center"/>
          </w:tcPr>
          <w:p>
            <w:pPr>
              <w:topLinePunct/>
              <w:adjustRightInd w:val="0"/>
              <w:snapToGrid w:val="0"/>
              <w:jc w:val="center"/>
              <w:rPr>
                <w:color w:val="000000"/>
                <w:kern w:val="21"/>
                <w:sz w:val="22"/>
                <w:szCs w:val="22"/>
              </w:rPr>
            </w:pPr>
            <w:r>
              <w:rPr>
                <w:color w:val="000000"/>
                <w:kern w:val="21"/>
                <w:sz w:val="22"/>
                <w:szCs w:val="22"/>
              </w:rPr>
              <w:t>10</w:t>
            </w:r>
          </w:p>
        </w:tc>
        <w:tc>
          <w:tcPr>
            <w:tcW w:w="1070"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空载电流</w:t>
            </w:r>
            <w:r>
              <w:rPr>
                <w:color w:val="000000"/>
                <w:kern w:val="21"/>
                <w:sz w:val="22"/>
                <w:szCs w:val="22"/>
              </w:rPr>
              <w:t>(</w:t>
            </w:r>
            <w:r>
              <w:rPr>
                <w:rFonts w:hAnsi="宋体"/>
                <w:color w:val="000000"/>
                <w:kern w:val="21"/>
                <w:sz w:val="22"/>
                <w:szCs w:val="22"/>
              </w:rPr>
              <w:t>％</w:t>
            </w:r>
            <w:r>
              <w:rPr>
                <w:color w:val="000000"/>
                <w:kern w:val="21"/>
                <w:sz w:val="22"/>
                <w:szCs w:val="22"/>
              </w:rPr>
              <w:t>)</w:t>
            </w: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a. 100</w:t>
            </w:r>
            <w:r>
              <w:rPr>
                <w:rFonts w:hAnsi="宋体"/>
                <w:color w:val="000000"/>
                <w:kern w:val="21"/>
                <w:sz w:val="22"/>
                <w:szCs w:val="22"/>
              </w:rPr>
              <w:t>％额定电压时</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b. 110</w:t>
            </w:r>
            <w:r>
              <w:rPr>
                <w:rFonts w:hAnsi="宋体"/>
                <w:color w:val="000000"/>
                <w:kern w:val="21"/>
                <w:sz w:val="22"/>
                <w:szCs w:val="22"/>
              </w:rPr>
              <w:t>％额定电压时</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restart"/>
            <w:noWrap w:val="0"/>
            <w:vAlign w:val="center"/>
          </w:tcPr>
          <w:p>
            <w:pPr>
              <w:topLinePunct/>
              <w:adjustRightInd w:val="0"/>
              <w:snapToGrid w:val="0"/>
              <w:jc w:val="center"/>
              <w:rPr>
                <w:color w:val="000000"/>
                <w:kern w:val="21"/>
                <w:sz w:val="22"/>
                <w:szCs w:val="22"/>
              </w:rPr>
            </w:pPr>
            <w:r>
              <w:rPr>
                <w:color w:val="000000"/>
                <w:kern w:val="21"/>
                <w:sz w:val="22"/>
                <w:szCs w:val="22"/>
              </w:rPr>
              <w:t>11</w:t>
            </w:r>
          </w:p>
        </w:tc>
        <w:tc>
          <w:tcPr>
            <w:tcW w:w="1070"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负载损耗</w:t>
            </w:r>
            <w:r>
              <w:rPr>
                <w:color w:val="000000"/>
                <w:kern w:val="21"/>
                <w:sz w:val="22"/>
                <w:szCs w:val="22"/>
              </w:rPr>
              <w:t>(kW</w:t>
            </w:r>
            <w:r>
              <w:rPr>
                <w:rFonts w:hAnsi="宋体"/>
                <w:color w:val="000000"/>
                <w:kern w:val="21"/>
                <w:sz w:val="22"/>
                <w:szCs w:val="22"/>
              </w:rPr>
              <w:t>、</w:t>
            </w:r>
            <w:r>
              <w:rPr>
                <w:color w:val="000000"/>
                <w:kern w:val="21"/>
                <w:sz w:val="22"/>
                <w:szCs w:val="22"/>
              </w:rPr>
              <w:t>75</w:t>
            </w:r>
            <w:r>
              <w:rPr>
                <w:rFonts w:hAnsi="宋体"/>
                <w:color w:val="000000"/>
                <w:kern w:val="21"/>
                <w:sz w:val="22"/>
                <w:szCs w:val="22"/>
              </w:rPr>
              <w:t>℃</w:t>
            </w:r>
            <w:r>
              <w:rPr>
                <w:color w:val="000000"/>
                <w:kern w:val="21"/>
                <w:sz w:val="22"/>
                <w:szCs w:val="22"/>
              </w:rPr>
              <w:t>)</w:t>
            </w:r>
          </w:p>
        </w:tc>
        <w:tc>
          <w:tcPr>
            <w:tcW w:w="901"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高压</w:t>
            </w:r>
            <w:r>
              <w:rPr>
                <w:color w:val="000000"/>
                <w:kern w:val="21"/>
                <w:sz w:val="22"/>
                <w:szCs w:val="22"/>
              </w:rPr>
              <w:t>—</w:t>
            </w:r>
            <w:r>
              <w:rPr>
                <w:rFonts w:hAnsi="宋体"/>
                <w:color w:val="000000"/>
                <w:kern w:val="21"/>
                <w:sz w:val="22"/>
                <w:szCs w:val="22"/>
              </w:rPr>
              <w:t>低压</w:t>
            </w: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主分接</w:t>
            </w:r>
          </w:p>
        </w:tc>
        <w:tc>
          <w:tcPr>
            <w:tcW w:w="2355" w:type="dxa"/>
            <w:gridSpan w:val="5"/>
            <w:noWrap w:val="0"/>
            <w:tcMar>
              <w:top w:w="0" w:type="dxa"/>
              <w:left w:w="57" w:type="dxa"/>
              <w:bottom w:w="0" w:type="dxa"/>
              <w:right w:w="57" w:type="dxa"/>
            </w:tcMar>
            <w:vAlign w:val="center"/>
          </w:tcPr>
          <w:p>
            <w:pPr>
              <w:topLinePunct/>
              <w:adjustRightInd w:val="0"/>
              <w:snapToGrid w:val="0"/>
              <w:jc w:val="center"/>
              <w:rPr>
                <w:rFonts w:hint="eastAsia" w:eastAsia="宋体"/>
                <w:color w:val="FF0000"/>
                <w:sz w:val="20"/>
                <w:szCs w:val="20"/>
                <w:lang w:eastAsia="zh-CN"/>
              </w:rPr>
            </w:pPr>
            <w:r>
              <w:rPr>
                <w:rFonts w:hint="eastAsia" w:ascii="宋体"/>
                <w:color w:val="FF0000"/>
                <w:sz w:val="20"/>
                <w:szCs w:val="20"/>
              </w:rPr>
              <w:t>≤</w:t>
            </w:r>
            <w:r>
              <w:rPr>
                <w:rFonts w:eastAsia="Times New Roman"/>
                <w:color w:val="FF0000"/>
                <w:sz w:val="20"/>
                <w:szCs w:val="20"/>
              </w:rPr>
              <w:t>140</w:t>
            </w:r>
            <w:r>
              <w:rPr>
                <w:rFonts w:hint="eastAsia" w:eastAsia="宋体"/>
                <w:color w:val="FF0000"/>
                <w:sz w:val="20"/>
                <w:szCs w:val="20"/>
                <w:lang w:eastAsia="zh-CN"/>
              </w:rPr>
              <w:t>（</w:t>
            </w:r>
            <w:r>
              <w:rPr>
                <w:rFonts w:hint="eastAsia" w:eastAsia="宋体"/>
                <w:color w:val="FF0000"/>
                <w:sz w:val="20"/>
                <w:szCs w:val="20"/>
                <w:lang w:val="en-US" w:eastAsia="zh-CN"/>
              </w:rPr>
              <w:t>一、二级能效标准</w:t>
            </w:r>
            <w:r>
              <w:rPr>
                <w:rFonts w:hint="eastAsia" w:eastAsia="宋体"/>
                <w:color w:val="FF0000"/>
                <w:sz w:val="20"/>
                <w:szCs w:val="20"/>
                <w:lang w:eastAsia="zh-CN"/>
              </w:rPr>
              <w:t>）</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其中杂散损耗</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snapToGrid w:val="0"/>
              <w:spacing w:before="62" w:after="62"/>
              <w:ind w:left="-57" w:right="-57"/>
              <w:jc w:val="center"/>
              <w:rPr>
                <w:rFonts w:ascii="宋体" w:hAnsi="宋体"/>
                <w:color w:val="000000"/>
                <w:kern w:val="21"/>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最大分接</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snapToGrid w:val="0"/>
              <w:spacing w:before="62" w:after="62"/>
              <w:ind w:left="-57" w:right="-57"/>
              <w:jc w:val="center"/>
              <w:rPr>
                <w:rFonts w:ascii="宋体" w:hAnsi="宋体"/>
                <w:color w:val="000000"/>
                <w:kern w:val="21"/>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其中杂散损耗</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snapToGrid w:val="0"/>
              <w:spacing w:before="62" w:after="62"/>
              <w:ind w:left="-57" w:right="-57"/>
              <w:jc w:val="center"/>
              <w:rPr>
                <w:rFonts w:ascii="宋体" w:hAnsi="宋体"/>
                <w:color w:val="000000"/>
                <w:kern w:val="21"/>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highlight w:val="yellow"/>
              </w:rPr>
            </w:pPr>
          </w:p>
        </w:tc>
        <w:tc>
          <w:tcPr>
            <w:tcW w:w="1070" w:type="dxa"/>
            <w:vMerge w:val="continue"/>
            <w:noWrap w:val="0"/>
            <w:vAlign w:val="center"/>
          </w:tcPr>
          <w:p>
            <w:pPr>
              <w:widowControl/>
              <w:adjustRightInd w:val="0"/>
              <w:snapToGrid w:val="0"/>
              <w:jc w:val="center"/>
              <w:rPr>
                <w:color w:val="000000"/>
                <w:kern w:val="21"/>
                <w:sz w:val="22"/>
                <w:szCs w:val="22"/>
                <w:highlight w:val="yellow"/>
              </w:rPr>
            </w:pPr>
          </w:p>
        </w:tc>
        <w:tc>
          <w:tcPr>
            <w:tcW w:w="901" w:type="dxa"/>
            <w:vMerge w:val="continue"/>
            <w:noWrap w:val="0"/>
            <w:vAlign w:val="center"/>
          </w:tcPr>
          <w:p>
            <w:pPr>
              <w:widowControl/>
              <w:adjustRightInd w:val="0"/>
              <w:snapToGrid w:val="0"/>
              <w:jc w:val="center"/>
              <w:rPr>
                <w:color w:val="000000"/>
                <w:kern w:val="21"/>
                <w:sz w:val="22"/>
                <w:szCs w:val="22"/>
                <w:highlight w:val="yellow"/>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最小分接</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snapToGrid w:val="0"/>
              <w:spacing w:before="62" w:after="62"/>
              <w:ind w:left="-57" w:right="-57"/>
              <w:jc w:val="center"/>
              <w:rPr>
                <w:rFonts w:ascii="宋体" w:hAnsi="宋体"/>
                <w:color w:val="000000"/>
                <w:kern w:val="21"/>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highlight w:val="yellow"/>
              </w:rPr>
            </w:pPr>
          </w:p>
        </w:tc>
        <w:tc>
          <w:tcPr>
            <w:tcW w:w="1070" w:type="dxa"/>
            <w:vMerge w:val="continue"/>
            <w:noWrap w:val="0"/>
            <w:vAlign w:val="center"/>
          </w:tcPr>
          <w:p>
            <w:pPr>
              <w:widowControl/>
              <w:adjustRightInd w:val="0"/>
              <w:snapToGrid w:val="0"/>
              <w:jc w:val="center"/>
              <w:rPr>
                <w:color w:val="000000"/>
                <w:kern w:val="21"/>
                <w:sz w:val="22"/>
                <w:szCs w:val="22"/>
                <w:highlight w:val="yellow"/>
              </w:rPr>
            </w:pPr>
          </w:p>
        </w:tc>
        <w:tc>
          <w:tcPr>
            <w:tcW w:w="901" w:type="dxa"/>
            <w:vMerge w:val="continue"/>
            <w:noWrap w:val="0"/>
            <w:vAlign w:val="center"/>
          </w:tcPr>
          <w:p>
            <w:pPr>
              <w:widowControl/>
              <w:adjustRightInd w:val="0"/>
              <w:snapToGrid w:val="0"/>
              <w:jc w:val="center"/>
              <w:rPr>
                <w:color w:val="000000"/>
                <w:kern w:val="21"/>
                <w:sz w:val="22"/>
                <w:szCs w:val="22"/>
                <w:highlight w:val="yellow"/>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其中杂散损耗</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snapToGrid w:val="0"/>
              <w:spacing w:before="62" w:after="62"/>
              <w:ind w:left="-57" w:right="-57"/>
              <w:jc w:val="center"/>
              <w:rPr>
                <w:rFonts w:ascii="宋体" w:hAnsi="宋体"/>
                <w:color w:val="000000"/>
                <w:kern w:val="21"/>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restart"/>
            <w:noWrap w:val="0"/>
            <w:vAlign w:val="center"/>
          </w:tcPr>
          <w:p>
            <w:pPr>
              <w:topLinePunct/>
              <w:adjustRightInd w:val="0"/>
              <w:snapToGrid w:val="0"/>
              <w:jc w:val="center"/>
              <w:rPr>
                <w:color w:val="000000"/>
                <w:kern w:val="21"/>
                <w:sz w:val="22"/>
                <w:szCs w:val="22"/>
              </w:rPr>
            </w:pPr>
            <w:r>
              <w:rPr>
                <w:color w:val="000000"/>
                <w:kern w:val="21"/>
                <w:sz w:val="22"/>
                <w:szCs w:val="22"/>
              </w:rPr>
              <w:t>12</w:t>
            </w:r>
          </w:p>
        </w:tc>
        <w:tc>
          <w:tcPr>
            <w:tcW w:w="1070"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噪声水平</w:t>
            </w:r>
            <w:r>
              <w:rPr>
                <w:color w:val="000000"/>
                <w:kern w:val="21"/>
                <w:sz w:val="22"/>
                <w:szCs w:val="22"/>
              </w:rPr>
              <w:t>dB(A)</w:t>
            </w:r>
          </w:p>
        </w:tc>
        <w:tc>
          <w:tcPr>
            <w:tcW w:w="2881" w:type="dxa"/>
            <w:gridSpan w:val="3"/>
            <w:noWrap w:val="0"/>
            <w:tcMar>
              <w:top w:w="0" w:type="dxa"/>
              <w:left w:w="57" w:type="dxa"/>
              <w:bottom w:w="0" w:type="dxa"/>
              <w:right w:w="57" w:type="dxa"/>
            </w:tcMar>
            <w:vAlign w:val="center"/>
          </w:tcPr>
          <w:p>
            <w:pPr>
              <w:numPr>
                <w:ilvl w:val="0"/>
                <w:numId w:val="0"/>
              </w:numPr>
              <w:topLinePunct/>
              <w:adjustRightInd w:val="0"/>
              <w:snapToGrid w:val="0"/>
              <w:jc w:val="center"/>
              <w:rPr>
                <w:color w:val="000000"/>
                <w:kern w:val="21"/>
                <w:sz w:val="22"/>
                <w:szCs w:val="22"/>
              </w:rPr>
            </w:pPr>
            <w:r>
              <w:rPr>
                <w:rFonts w:hAnsi="宋体"/>
                <w:color w:val="000000"/>
                <w:kern w:val="21"/>
                <w:sz w:val="22"/>
                <w:szCs w:val="22"/>
              </w:rPr>
              <w:t>空载状态下</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≤65</w:t>
            </w:r>
          </w:p>
        </w:tc>
        <w:tc>
          <w:tcPr>
            <w:tcW w:w="2520" w:type="dxa"/>
            <w:gridSpan w:val="4"/>
            <w:noWrap w:val="0"/>
            <w:tcMar>
              <w:top w:w="0" w:type="dxa"/>
              <w:left w:w="57" w:type="dxa"/>
              <w:bottom w:w="0" w:type="dxa"/>
              <w:right w:w="57" w:type="dxa"/>
            </w:tcMar>
            <w:vAlign w:val="top"/>
          </w:tcPr>
          <w:p>
            <w:pPr>
              <w:jc w:val="center"/>
              <w:rPr>
                <w:color w:val="0000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numPr>
                <w:ilvl w:val="0"/>
                <w:numId w:val="0"/>
              </w:numPr>
              <w:topLinePunct/>
              <w:adjustRightInd w:val="0"/>
              <w:snapToGrid w:val="0"/>
              <w:jc w:val="center"/>
              <w:rPr>
                <w:color w:val="000000"/>
                <w:kern w:val="21"/>
                <w:sz w:val="22"/>
                <w:szCs w:val="22"/>
              </w:rPr>
            </w:pPr>
            <w:r>
              <w:rPr>
                <w:color w:val="000000"/>
                <w:kern w:val="21"/>
                <w:sz w:val="22"/>
                <w:szCs w:val="22"/>
              </w:rPr>
              <w:t>100</w:t>
            </w:r>
            <w:r>
              <w:rPr>
                <w:rFonts w:hAnsi="宋体"/>
                <w:color w:val="000000"/>
                <w:kern w:val="21"/>
                <w:sz w:val="22"/>
                <w:szCs w:val="22"/>
              </w:rPr>
              <w:t>％负荷状态下</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≤65</w:t>
            </w:r>
          </w:p>
        </w:tc>
        <w:tc>
          <w:tcPr>
            <w:tcW w:w="2520" w:type="dxa"/>
            <w:gridSpan w:val="4"/>
            <w:noWrap w:val="0"/>
            <w:tcMar>
              <w:top w:w="0" w:type="dxa"/>
              <w:left w:w="57" w:type="dxa"/>
              <w:bottom w:w="0" w:type="dxa"/>
              <w:right w:w="57" w:type="dxa"/>
            </w:tcMar>
            <w:vAlign w:val="top"/>
          </w:tcPr>
          <w:p>
            <w:pPr>
              <w:jc w:val="center"/>
              <w:rPr>
                <w:color w:val="0000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restart"/>
            <w:noWrap w:val="0"/>
            <w:vAlign w:val="center"/>
          </w:tcPr>
          <w:p>
            <w:pPr>
              <w:topLinePunct/>
              <w:adjustRightInd w:val="0"/>
              <w:snapToGrid w:val="0"/>
              <w:jc w:val="center"/>
              <w:rPr>
                <w:color w:val="000000"/>
                <w:kern w:val="21"/>
                <w:sz w:val="22"/>
                <w:szCs w:val="22"/>
              </w:rPr>
            </w:pPr>
            <w:r>
              <w:rPr>
                <w:color w:val="000000"/>
                <w:kern w:val="21"/>
                <w:sz w:val="22"/>
                <w:szCs w:val="22"/>
              </w:rPr>
              <w:t>13</w:t>
            </w:r>
          </w:p>
        </w:tc>
        <w:tc>
          <w:tcPr>
            <w:tcW w:w="1070"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可承受的</w:t>
            </w:r>
            <w:r>
              <w:rPr>
                <w:color w:val="000000"/>
                <w:kern w:val="21"/>
                <w:sz w:val="22"/>
                <w:szCs w:val="22"/>
              </w:rPr>
              <w:t>2s</w:t>
            </w:r>
            <w:r>
              <w:rPr>
                <w:rFonts w:hAnsi="宋体"/>
                <w:color w:val="000000"/>
                <w:kern w:val="21"/>
                <w:sz w:val="22"/>
                <w:szCs w:val="22"/>
              </w:rPr>
              <w:t>出口对称短路电流值</w:t>
            </w:r>
            <w:r>
              <w:rPr>
                <w:color w:val="000000"/>
                <w:kern w:val="21"/>
                <w:sz w:val="22"/>
                <w:szCs w:val="22"/>
              </w:rPr>
              <w:t>(kA)(</w:t>
            </w:r>
            <w:r>
              <w:rPr>
                <w:rFonts w:hAnsi="宋体"/>
                <w:color w:val="000000"/>
                <w:kern w:val="21"/>
                <w:sz w:val="22"/>
                <w:szCs w:val="22"/>
              </w:rPr>
              <w:t>忽略系统阻抗</w:t>
            </w:r>
            <w:r>
              <w:rPr>
                <w:color w:val="000000"/>
                <w:kern w:val="21"/>
                <w:sz w:val="22"/>
                <w:szCs w:val="22"/>
              </w:rPr>
              <w:t>)</w:t>
            </w: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高压绕组</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低压绕组</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短路</w:t>
            </w:r>
            <w:r>
              <w:rPr>
                <w:color w:val="000000"/>
                <w:kern w:val="21"/>
                <w:sz w:val="22"/>
                <w:szCs w:val="22"/>
              </w:rPr>
              <w:t>2s</w:t>
            </w:r>
            <w:r>
              <w:rPr>
                <w:rFonts w:hAnsi="宋体"/>
                <w:color w:val="000000"/>
                <w:kern w:val="21"/>
                <w:sz w:val="22"/>
                <w:szCs w:val="22"/>
              </w:rPr>
              <w:t>后绕组平均温度计算值</w:t>
            </w:r>
            <w:r>
              <w:rPr>
                <w:color w:val="000000"/>
                <w:kern w:val="21"/>
                <w:sz w:val="22"/>
                <w:szCs w:val="22"/>
              </w:rPr>
              <w:t>(</w:t>
            </w:r>
            <w:r>
              <w:rPr>
                <w:rFonts w:hAnsi="宋体"/>
                <w:color w:val="000000"/>
                <w:kern w:val="21"/>
                <w:sz w:val="22"/>
                <w:szCs w:val="22"/>
              </w:rPr>
              <w:t>℃</w:t>
            </w:r>
            <w:r>
              <w:rPr>
                <w:color w:val="000000"/>
                <w:kern w:val="21"/>
                <w:sz w:val="22"/>
                <w:szCs w:val="22"/>
              </w:rPr>
              <w:t>)</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bookmarkStart w:id="102" w:name="OLE_LINK6"/>
            <w:r>
              <w:rPr>
                <w:rFonts w:hAnsi="宋体"/>
                <w:color w:val="000000"/>
                <w:kern w:val="21"/>
                <w:sz w:val="22"/>
                <w:szCs w:val="22"/>
              </w:rPr>
              <w:t>＜</w:t>
            </w:r>
            <w:r>
              <w:rPr>
                <w:color w:val="000000"/>
                <w:kern w:val="21"/>
                <w:sz w:val="22"/>
                <w:szCs w:val="22"/>
              </w:rPr>
              <w:t>250</w:t>
            </w:r>
            <w:bookmarkEnd w:id="102"/>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restart"/>
            <w:noWrap w:val="0"/>
            <w:vAlign w:val="center"/>
          </w:tcPr>
          <w:p>
            <w:pPr>
              <w:topLinePunct/>
              <w:adjustRightInd w:val="0"/>
              <w:snapToGrid w:val="0"/>
              <w:jc w:val="center"/>
              <w:rPr>
                <w:color w:val="000000"/>
                <w:kern w:val="21"/>
                <w:sz w:val="22"/>
                <w:szCs w:val="22"/>
              </w:rPr>
            </w:pPr>
            <w:r>
              <w:rPr>
                <w:color w:val="000000"/>
                <w:kern w:val="21"/>
                <w:sz w:val="22"/>
                <w:szCs w:val="22"/>
              </w:rPr>
              <w:t>14</w:t>
            </w:r>
          </w:p>
        </w:tc>
        <w:tc>
          <w:tcPr>
            <w:tcW w:w="1070"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在</w:t>
            </w:r>
            <w:r>
              <w:rPr>
                <w:color w:val="000000"/>
                <w:kern w:val="21"/>
                <w:sz w:val="22"/>
                <w:szCs w:val="22"/>
              </w:rPr>
              <w:t>1.5×</w:t>
            </w:r>
            <w:r>
              <w:rPr>
                <w:i/>
                <w:color w:val="000000"/>
                <w:kern w:val="21"/>
                <w:sz w:val="22"/>
                <w:szCs w:val="22"/>
              </w:rPr>
              <w:t>U</w:t>
            </w:r>
            <w:r>
              <w:rPr>
                <w:color w:val="000000"/>
                <w:kern w:val="21"/>
                <w:sz w:val="22"/>
                <w:szCs w:val="22"/>
                <w:vertAlign w:val="subscript"/>
              </w:rPr>
              <w:t>m</w:t>
            </w:r>
            <w:r>
              <w:rPr>
                <w:color w:val="000000"/>
                <w:kern w:val="21"/>
                <w:sz w:val="22"/>
                <w:szCs w:val="22"/>
              </w:rPr>
              <w:t xml:space="preserve">/ </w:t>
            </w:r>
            <w:r>
              <w:rPr>
                <w:color w:val="000000"/>
                <w:kern w:val="21"/>
                <w:position w:val="-6"/>
                <w:sz w:val="22"/>
                <w:szCs w:val="22"/>
              </w:rPr>
              <w:drawing>
                <wp:inline distT="0" distB="0" distL="114300" distR="114300">
                  <wp:extent cx="190500" cy="182880"/>
                  <wp:effectExtent l="0" t="0" r="0" b="635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4"/>
                          <a:stretch>
                            <a:fillRect/>
                          </a:stretch>
                        </pic:blipFill>
                        <pic:spPr>
                          <a:xfrm>
                            <a:off x="0" y="0"/>
                            <a:ext cx="190500" cy="182880"/>
                          </a:xfrm>
                          <a:prstGeom prst="rect">
                            <a:avLst/>
                          </a:prstGeom>
                          <a:noFill/>
                          <a:ln>
                            <a:noFill/>
                          </a:ln>
                        </pic:spPr>
                      </pic:pic>
                    </a:graphicData>
                  </a:graphic>
                </wp:inline>
              </w:drawing>
            </w:r>
            <w:r>
              <w:rPr>
                <w:color w:val="000000"/>
                <w:kern w:val="21"/>
                <w:sz w:val="22"/>
                <w:szCs w:val="22"/>
              </w:rPr>
              <w:t>kV</w:t>
            </w:r>
            <w:r>
              <w:rPr>
                <w:rFonts w:hAnsi="宋体"/>
                <w:color w:val="000000"/>
                <w:kern w:val="21"/>
                <w:sz w:val="22"/>
                <w:szCs w:val="22"/>
              </w:rPr>
              <w:t>下局部放电水平</w:t>
            </w:r>
            <w:r>
              <w:rPr>
                <w:color w:val="000000"/>
                <w:kern w:val="21"/>
                <w:sz w:val="22"/>
                <w:szCs w:val="22"/>
              </w:rPr>
              <w:t>(pC)</w:t>
            </w: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高压绕组</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bookmarkStart w:id="103" w:name="OLE_LINK10"/>
            <w:bookmarkStart w:id="104" w:name="OLE_LINK8"/>
            <w:bookmarkStart w:id="105" w:name="OLE_LINK7"/>
            <w:r>
              <w:rPr>
                <w:color w:val="000000"/>
                <w:kern w:val="21"/>
                <w:sz w:val="22"/>
                <w:szCs w:val="22"/>
              </w:rPr>
              <w:t>≤100</w:t>
            </w:r>
            <w:bookmarkEnd w:id="103"/>
            <w:bookmarkEnd w:id="104"/>
            <w:bookmarkEnd w:id="105"/>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低压绕组</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restart"/>
            <w:noWrap w:val="0"/>
            <w:vAlign w:val="center"/>
          </w:tcPr>
          <w:p>
            <w:pPr>
              <w:topLinePunct/>
              <w:adjustRightInd w:val="0"/>
              <w:snapToGrid w:val="0"/>
              <w:jc w:val="center"/>
              <w:rPr>
                <w:color w:val="000000"/>
                <w:kern w:val="21"/>
                <w:sz w:val="22"/>
                <w:szCs w:val="22"/>
              </w:rPr>
            </w:pPr>
            <w:r>
              <w:rPr>
                <w:color w:val="000000"/>
                <w:kern w:val="21"/>
                <w:sz w:val="22"/>
                <w:szCs w:val="22"/>
              </w:rPr>
              <w:t>15</w:t>
            </w:r>
          </w:p>
        </w:tc>
        <w:tc>
          <w:tcPr>
            <w:tcW w:w="1070"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绕组连同套管的</w:t>
            </w:r>
            <w:r>
              <w:rPr>
                <w:color w:val="000000"/>
                <w:kern w:val="21"/>
                <w:sz w:val="22"/>
                <w:szCs w:val="22"/>
              </w:rPr>
              <w:t>tan</w:t>
            </w:r>
            <w:r>
              <w:rPr>
                <w:i/>
                <w:color w:val="000000"/>
                <w:kern w:val="21"/>
                <w:sz w:val="22"/>
                <w:szCs w:val="22"/>
              </w:rPr>
              <w:t></w:t>
            </w:r>
            <w:r>
              <w:rPr>
                <w:color w:val="000000"/>
                <w:kern w:val="21"/>
                <w:sz w:val="22"/>
                <w:szCs w:val="22"/>
              </w:rPr>
              <w:t>(</w:t>
            </w:r>
            <w:r>
              <w:rPr>
                <w:rFonts w:hAnsi="宋体"/>
                <w:color w:val="000000"/>
                <w:kern w:val="21"/>
                <w:sz w:val="22"/>
                <w:szCs w:val="22"/>
              </w:rPr>
              <w:t>％</w:t>
            </w:r>
            <w:r>
              <w:rPr>
                <w:color w:val="000000"/>
                <w:kern w:val="21"/>
                <w:sz w:val="22"/>
                <w:szCs w:val="22"/>
              </w:rPr>
              <w:t>)</w:t>
            </w: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高压绕组</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≤0.5</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低压绕组</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≤0.5</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restart"/>
            <w:noWrap w:val="0"/>
            <w:vAlign w:val="center"/>
          </w:tcPr>
          <w:p>
            <w:pPr>
              <w:topLinePunct/>
              <w:adjustRightInd w:val="0"/>
              <w:snapToGrid w:val="0"/>
              <w:jc w:val="center"/>
              <w:rPr>
                <w:color w:val="000000"/>
                <w:kern w:val="21"/>
                <w:sz w:val="22"/>
                <w:szCs w:val="22"/>
              </w:rPr>
            </w:pPr>
            <w:r>
              <w:rPr>
                <w:color w:val="000000"/>
                <w:kern w:val="21"/>
                <w:sz w:val="22"/>
                <w:szCs w:val="22"/>
              </w:rPr>
              <w:t>16</w:t>
            </w:r>
          </w:p>
        </w:tc>
        <w:tc>
          <w:tcPr>
            <w:tcW w:w="1070"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质量和尺寸</w:t>
            </w:r>
            <w:r>
              <w:rPr>
                <w:color w:val="000000"/>
                <w:kern w:val="21"/>
                <w:sz w:val="22"/>
                <w:szCs w:val="22"/>
              </w:rPr>
              <w:t>(</w:t>
            </w:r>
            <w:r>
              <w:rPr>
                <w:rFonts w:hAnsi="宋体"/>
                <w:color w:val="000000"/>
                <w:kern w:val="21"/>
                <w:sz w:val="22"/>
                <w:szCs w:val="22"/>
              </w:rPr>
              <w:t>如有限值</w:t>
            </w:r>
            <w:r>
              <w:rPr>
                <w:rFonts w:hint="eastAsia" w:hAnsi="宋体"/>
                <w:color w:val="000000"/>
                <w:kern w:val="21"/>
                <w:sz w:val="22"/>
                <w:szCs w:val="22"/>
                <w:lang w:eastAsia="zh-CN"/>
              </w:rPr>
              <w:t>招标单位</w:t>
            </w:r>
            <w:r>
              <w:rPr>
                <w:rFonts w:hAnsi="宋体"/>
                <w:color w:val="000000"/>
                <w:kern w:val="21"/>
                <w:sz w:val="22"/>
                <w:szCs w:val="22"/>
              </w:rPr>
              <w:t>需填写</w:t>
            </w:r>
            <w:r>
              <w:rPr>
                <w:color w:val="000000"/>
                <w:kern w:val="21"/>
                <w:sz w:val="22"/>
                <w:szCs w:val="22"/>
              </w:rPr>
              <w:t>)</w:t>
            </w: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a. </w:t>
            </w:r>
            <w:r>
              <w:rPr>
                <w:rFonts w:hAnsi="宋体"/>
                <w:color w:val="000000"/>
                <w:kern w:val="21"/>
                <w:sz w:val="22"/>
                <w:szCs w:val="22"/>
              </w:rPr>
              <w:t>安装尺寸</w:t>
            </w:r>
            <w:r>
              <w:rPr>
                <w:color w:val="000000"/>
                <w:kern w:val="21"/>
                <w:sz w:val="22"/>
                <w:szCs w:val="22"/>
              </w:rPr>
              <w:t>(</w:t>
            </w:r>
            <w:r>
              <w:rPr>
                <w:rFonts w:hAnsi="宋体"/>
                <w:color w:val="000000"/>
                <w:kern w:val="21"/>
                <w:sz w:val="22"/>
                <w:szCs w:val="22"/>
              </w:rPr>
              <w:t>长</w:t>
            </w:r>
            <w:r>
              <w:rPr>
                <w:color w:val="000000"/>
                <w:kern w:val="21"/>
                <w:sz w:val="22"/>
                <w:szCs w:val="22"/>
              </w:rPr>
              <w:t>×</w:t>
            </w:r>
            <w:r>
              <w:rPr>
                <w:rFonts w:hAnsi="宋体"/>
                <w:color w:val="000000"/>
                <w:kern w:val="21"/>
                <w:sz w:val="22"/>
                <w:szCs w:val="22"/>
              </w:rPr>
              <w:t>宽</w:t>
            </w:r>
            <w:r>
              <w:rPr>
                <w:color w:val="000000"/>
                <w:kern w:val="21"/>
                <w:sz w:val="22"/>
                <w:szCs w:val="22"/>
              </w:rPr>
              <w:t>×</w:t>
            </w:r>
            <w:r>
              <w:rPr>
                <w:rFonts w:hAnsi="宋体"/>
                <w:color w:val="000000"/>
                <w:kern w:val="21"/>
                <w:sz w:val="22"/>
                <w:szCs w:val="22"/>
              </w:rPr>
              <w:t>高</w:t>
            </w:r>
            <w:r>
              <w:rPr>
                <w:color w:val="000000"/>
                <w:kern w:val="21"/>
                <w:sz w:val="22"/>
                <w:szCs w:val="22"/>
              </w:rPr>
              <w:t>)(m)</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b. </w:t>
            </w:r>
            <w:r>
              <w:rPr>
                <w:rFonts w:hAnsi="宋体"/>
                <w:color w:val="000000"/>
                <w:kern w:val="21"/>
                <w:sz w:val="22"/>
                <w:szCs w:val="22"/>
              </w:rPr>
              <w:t>运输尺寸</w:t>
            </w:r>
            <w:r>
              <w:rPr>
                <w:color w:val="000000"/>
                <w:kern w:val="21"/>
                <w:sz w:val="22"/>
                <w:szCs w:val="22"/>
              </w:rPr>
              <w:t>(</w:t>
            </w:r>
            <w:r>
              <w:rPr>
                <w:rFonts w:hAnsi="宋体"/>
                <w:color w:val="000000"/>
                <w:kern w:val="21"/>
                <w:sz w:val="22"/>
                <w:szCs w:val="22"/>
              </w:rPr>
              <w:t>长</w:t>
            </w:r>
            <w:r>
              <w:rPr>
                <w:color w:val="000000"/>
                <w:kern w:val="21"/>
                <w:sz w:val="22"/>
                <w:szCs w:val="22"/>
              </w:rPr>
              <w:t>×</w:t>
            </w:r>
            <w:r>
              <w:rPr>
                <w:rFonts w:hAnsi="宋体"/>
                <w:color w:val="000000"/>
                <w:kern w:val="21"/>
                <w:sz w:val="22"/>
                <w:szCs w:val="22"/>
              </w:rPr>
              <w:t>宽</w:t>
            </w:r>
            <w:r>
              <w:rPr>
                <w:color w:val="000000"/>
                <w:kern w:val="21"/>
                <w:sz w:val="22"/>
                <w:szCs w:val="22"/>
              </w:rPr>
              <w:t>×</w:t>
            </w:r>
            <w:r>
              <w:rPr>
                <w:rFonts w:hAnsi="宋体"/>
                <w:color w:val="000000"/>
                <w:kern w:val="21"/>
                <w:sz w:val="22"/>
                <w:szCs w:val="22"/>
              </w:rPr>
              <w:t>高</w:t>
            </w:r>
            <w:r>
              <w:rPr>
                <w:color w:val="000000"/>
                <w:kern w:val="21"/>
                <w:sz w:val="22"/>
                <w:szCs w:val="22"/>
              </w:rPr>
              <w:t>)(m)</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spacing w:val="-6"/>
                <w:kern w:val="21"/>
                <w:sz w:val="22"/>
                <w:szCs w:val="22"/>
              </w:rPr>
            </w:pPr>
            <w:r>
              <w:rPr>
                <w:color w:val="000000"/>
                <w:spacing w:val="-6"/>
                <w:kern w:val="21"/>
                <w:sz w:val="22"/>
                <w:szCs w:val="22"/>
              </w:rPr>
              <w:t>(</w:t>
            </w:r>
            <w:r>
              <w:rPr>
                <w:rFonts w:hint="eastAsia" w:hAnsi="宋体"/>
                <w:color w:val="000000"/>
                <w:spacing w:val="-6"/>
                <w:kern w:val="21"/>
                <w:sz w:val="22"/>
                <w:szCs w:val="22"/>
                <w:lang w:eastAsia="zh-CN"/>
              </w:rPr>
              <w:t>投标单位</w:t>
            </w:r>
            <w:r>
              <w:rPr>
                <w:rFonts w:hAnsi="宋体"/>
                <w:color w:val="000000"/>
                <w:spacing w:val="-6"/>
                <w:kern w:val="21"/>
                <w:sz w:val="22"/>
                <w:szCs w:val="22"/>
              </w:rPr>
              <w:t>提供，并满足运输要求</w:t>
            </w:r>
            <w:r>
              <w:rPr>
                <w:color w:val="000000"/>
                <w:spacing w:val="-6"/>
                <w:kern w:val="21"/>
                <w:sz w:val="22"/>
                <w:szCs w:val="22"/>
              </w:rPr>
              <w:t>)</w:t>
            </w:r>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c. </w:t>
            </w:r>
            <w:r>
              <w:rPr>
                <w:rFonts w:hAnsi="宋体"/>
                <w:color w:val="000000"/>
                <w:kern w:val="21"/>
                <w:sz w:val="22"/>
                <w:szCs w:val="22"/>
              </w:rPr>
              <w:t>重心高度</w:t>
            </w:r>
            <w:r>
              <w:rPr>
                <w:color w:val="000000"/>
                <w:kern w:val="21"/>
                <w:sz w:val="22"/>
                <w:szCs w:val="22"/>
              </w:rPr>
              <w:t>(m)</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d. </w:t>
            </w:r>
            <w:r>
              <w:rPr>
                <w:rFonts w:hAnsi="宋体"/>
                <w:color w:val="000000"/>
                <w:kern w:val="21"/>
                <w:sz w:val="22"/>
                <w:szCs w:val="22"/>
              </w:rPr>
              <w:t>安装质量</w:t>
            </w:r>
            <w:r>
              <w:rPr>
                <w:color w:val="000000"/>
                <w:kern w:val="21"/>
                <w:sz w:val="22"/>
                <w:szCs w:val="22"/>
              </w:rPr>
              <w:t>(t)</w:t>
            </w: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器身质量</w:t>
            </w:r>
            <w:r>
              <w:rPr>
                <w:color w:val="000000"/>
                <w:kern w:val="21"/>
                <w:sz w:val="22"/>
                <w:szCs w:val="22"/>
              </w:rPr>
              <w:t>(t)</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上节油箱质量</w:t>
            </w:r>
            <w:r>
              <w:rPr>
                <w:color w:val="000000"/>
                <w:kern w:val="21"/>
                <w:sz w:val="22"/>
                <w:szCs w:val="22"/>
              </w:rPr>
              <w:t>(t)</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rFonts w:hint="eastAsia" w:eastAsia="宋体"/>
                <w:color w:val="000000"/>
                <w:kern w:val="21"/>
                <w:sz w:val="22"/>
                <w:szCs w:val="22"/>
                <w:lang w:eastAsia="zh-CN"/>
              </w:rPr>
            </w:pPr>
            <w:r>
              <w:rPr>
                <w:rFonts w:hAnsi="宋体"/>
                <w:color w:val="000000"/>
                <w:kern w:val="21"/>
                <w:sz w:val="22"/>
                <w:szCs w:val="22"/>
              </w:rPr>
              <w:t>油质量</w:t>
            </w:r>
            <w:r>
              <w:rPr>
                <w:color w:val="000000"/>
                <w:kern w:val="21"/>
                <w:sz w:val="22"/>
                <w:szCs w:val="22"/>
              </w:rPr>
              <w:t>(t)</w:t>
            </w:r>
          </w:p>
          <w:p>
            <w:pPr>
              <w:topLinePunct/>
              <w:adjustRightInd w:val="0"/>
              <w:snapToGrid w:val="0"/>
              <w:jc w:val="center"/>
              <w:rPr>
                <w:color w:val="000000"/>
                <w:kern w:val="21"/>
                <w:sz w:val="22"/>
                <w:szCs w:val="22"/>
              </w:rPr>
            </w:pPr>
            <w:r>
              <w:rPr>
                <w:color w:val="000000"/>
                <w:kern w:val="21"/>
                <w:sz w:val="22"/>
                <w:szCs w:val="22"/>
              </w:rPr>
              <w:t>(</w:t>
            </w:r>
            <w:r>
              <w:rPr>
                <w:rFonts w:hAnsi="宋体"/>
                <w:color w:val="000000"/>
                <w:kern w:val="21"/>
                <w:sz w:val="22"/>
                <w:szCs w:val="22"/>
              </w:rPr>
              <w:t>不含备用</w:t>
            </w:r>
            <w:r>
              <w:rPr>
                <w:color w:val="000000"/>
                <w:kern w:val="21"/>
                <w:sz w:val="22"/>
                <w:szCs w:val="22"/>
              </w:rPr>
              <w:t>)</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总质量</w:t>
            </w:r>
            <w:r>
              <w:rPr>
                <w:color w:val="000000"/>
                <w:kern w:val="21"/>
                <w:sz w:val="22"/>
                <w:szCs w:val="22"/>
              </w:rPr>
              <w:t>(t)</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e. </w:t>
            </w:r>
            <w:r>
              <w:rPr>
                <w:rFonts w:hAnsi="宋体"/>
                <w:color w:val="000000"/>
                <w:kern w:val="21"/>
                <w:sz w:val="22"/>
                <w:szCs w:val="22"/>
              </w:rPr>
              <w:t>运输质量</w:t>
            </w:r>
            <w:r>
              <w:rPr>
                <w:color w:val="000000"/>
                <w:kern w:val="21"/>
                <w:sz w:val="22"/>
                <w:szCs w:val="22"/>
              </w:rPr>
              <w:t>(t)</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rFonts w:hint="eastAsia" w:hAnsi="宋体" w:eastAsia="宋体"/>
                <w:color w:val="000000"/>
                <w:kern w:val="21"/>
                <w:sz w:val="22"/>
                <w:szCs w:val="22"/>
                <w:lang w:eastAsia="zh-CN"/>
              </w:rPr>
            </w:pPr>
            <w:r>
              <w:rPr>
                <w:color w:val="000000"/>
                <w:kern w:val="21"/>
                <w:sz w:val="22"/>
                <w:szCs w:val="22"/>
              </w:rPr>
              <w:t xml:space="preserve">f. </w:t>
            </w:r>
            <w:r>
              <w:rPr>
                <w:rFonts w:hAnsi="宋体"/>
                <w:color w:val="000000"/>
                <w:kern w:val="21"/>
                <w:sz w:val="22"/>
                <w:szCs w:val="22"/>
              </w:rPr>
              <w:t>变压器运输时允许的</w:t>
            </w:r>
          </w:p>
          <w:p>
            <w:pPr>
              <w:topLinePunct/>
              <w:adjustRightInd w:val="0"/>
              <w:snapToGrid w:val="0"/>
              <w:jc w:val="center"/>
              <w:rPr>
                <w:color w:val="000000"/>
                <w:kern w:val="21"/>
                <w:sz w:val="22"/>
                <w:szCs w:val="22"/>
              </w:rPr>
            </w:pPr>
            <w:r>
              <w:rPr>
                <w:rFonts w:hAnsi="宋体"/>
                <w:color w:val="000000"/>
                <w:kern w:val="21"/>
                <w:sz w:val="22"/>
                <w:szCs w:val="22"/>
              </w:rPr>
              <w:t>最大倾斜度</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15°</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restart"/>
            <w:noWrap w:val="0"/>
            <w:vAlign w:val="center"/>
          </w:tcPr>
          <w:p>
            <w:pPr>
              <w:topLinePunct/>
              <w:adjustRightInd w:val="0"/>
              <w:snapToGrid w:val="0"/>
              <w:jc w:val="center"/>
              <w:rPr>
                <w:color w:val="000000"/>
                <w:kern w:val="21"/>
                <w:sz w:val="22"/>
                <w:szCs w:val="22"/>
              </w:rPr>
            </w:pPr>
            <w:r>
              <w:rPr>
                <w:color w:val="000000"/>
                <w:kern w:val="21"/>
                <w:sz w:val="22"/>
                <w:szCs w:val="22"/>
              </w:rPr>
              <w:t>17</w:t>
            </w:r>
          </w:p>
        </w:tc>
        <w:tc>
          <w:tcPr>
            <w:tcW w:w="1070" w:type="dxa"/>
            <w:vMerge w:val="restart"/>
            <w:noWrap w:val="0"/>
            <w:tcMar>
              <w:top w:w="0" w:type="dxa"/>
              <w:left w:w="57" w:type="dxa"/>
              <w:bottom w:w="0" w:type="dxa"/>
              <w:right w:w="57" w:type="dxa"/>
            </w:tcMar>
            <w:vAlign w:val="center"/>
          </w:tcPr>
          <w:p>
            <w:pPr>
              <w:topLinePunct/>
              <w:adjustRightInd w:val="0"/>
              <w:snapToGrid w:val="0"/>
              <w:jc w:val="center"/>
              <w:rPr>
                <w:rFonts w:hAnsi="宋体"/>
                <w:color w:val="000000"/>
                <w:kern w:val="21"/>
                <w:sz w:val="22"/>
                <w:szCs w:val="22"/>
              </w:rPr>
            </w:pPr>
            <w:r>
              <w:rPr>
                <w:rFonts w:hAnsi="宋体"/>
                <w:color w:val="000000"/>
                <w:kern w:val="21"/>
                <w:sz w:val="22"/>
                <w:szCs w:val="22"/>
              </w:rPr>
              <w:t>片式散</w:t>
            </w:r>
          </w:p>
          <w:p>
            <w:pPr>
              <w:topLinePunct/>
              <w:adjustRightInd w:val="0"/>
              <w:snapToGrid w:val="0"/>
              <w:jc w:val="center"/>
              <w:rPr>
                <w:color w:val="000000"/>
                <w:kern w:val="21"/>
                <w:sz w:val="22"/>
                <w:szCs w:val="22"/>
              </w:rPr>
            </w:pPr>
            <w:r>
              <w:rPr>
                <w:rFonts w:hAnsi="宋体"/>
                <w:color w:val="000000"/>
                <w:kern w:val="21"/>
                <w:sz w:val="22"/>
                <w:szCs w:val="22"/>
              </w:rPr>
              <w:t>热器</w:t>
            </w: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型号</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组数</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每组质量</w:t>
            </w:r>
            <w:r>
              <w:rPr>
                <w:color w:val="000000"/>
                <w:kern w:val="21"/>
                <w:sz w:val="22"/>
                <w:szCs w:val="22"/>
              </w:rPr>
              <w:t>(t)</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restart"/>
            <w:noWrap w:val="0"/>
            <w:vAlign w:val="center"/>
          </w:tcPr>
          <w:p>
            <w:pPr>
              <w:topLinePunct/>
              <w:adjustRightInd w:val="0"/>
              <w:snapToGrid w:val="0"/>
              <w:jc w:val="center"/>
              <w:rPr>
                <w:color w:val="000000"/>
                <w:kern w:val="21"/>
                <w:sz w:val="22"/>
                <w:szCs w:val="22"/>
              </w:rPr>
            </w:pPr>
          </w:p>
          <w:p>
            <w:pPr>
              <w:topLinePunct/>
              <w:adjustRightInd w:val="0"/>
              <w:snapToGrid w:val="0"/>
              <w:jc w:val="center"/>
              <w:rPr>
                <w:color w:val="000000"/>
                <w:kern w:val="21"/>
                <w:sz w:val="22"/>
                <w:szCs w:val="22"/>
              </w:rPr>
            </w:pPr>
          </w:p>
          <w:p>
            <w:pPr>
              <w:topLinePunct/>
              <w:adjustRightInd w:val="0"/>
              <w:snapToGrid w:val="0"/>
              <w:jc w:val="center"/>
              <w:rPr>
                <w:color w:val="000000"/>
                <w:kern w:val="21"/>
                <w:sz w:val="22"/>
                <w:szCs w:val="22"/>
              </w:rPr>
            </w:pPr>
          </w:p>
          <w:p>
            <w:pPr>
              <w:topLinePunct/>
              <w:adjustRightInd w:val="0"/>
              <w:snapToGrid w:val="0"/>
              <w:jc w:val="center"/>
              <w:rPr>
                <w:color w:val="000000"/>
                <w:kern w:val="21"/>
                <w:sz w:val="22"/>
                <w:szCs w:val="22"/>
              </w:rPr>
            </w:pPr>
            <w:r>
              <w:rPr>
                <w:rFonts w:hint="eastAsia"/>
                <w:color w:val="000000"/>
                <w:kern w:val="21"/>
                <w:sz w:val="22"/>
                <w:szCs w:val="22"/>
              </w:rPr>
              <w:t>18</w:t>
            </w:r>
          </w:p>
          <w:p>
            <w:pPr>
              <w:topLinePunct/>
              <w:adjustRightInd w:val="0"/>
              <w:snapToGrid w:val="0"/>
              <w:jc w:val="center"/>
              <w:rPr>
                <w:color w:val="000000"/>
                <w:kern w:val="21"/>
                <w:sz w:val="22"/>
                <w:szCs w:val="22"/>
              </w:rPr>
            </w:pPr>
          </w:p>
          <w:p>
            <w:pPr>
              <w:topLinePunct/>
              <w:adjustRightInd w:val="0"/>
              <w:snapToGrid w:val="0"/>
              <w:jc w:val="center"/>
              <w:rPr>
                <w:color w:val="000000"/>
                <w:kern w:val="21"/>
                <w:sz w:val="22"/>
                <w:szCs w:val="22"/>
              </w:rPr>
            </w:pPr>
          </w:p>
          <w:p>
            <w:pPr>
              <w:topLinePunct/>
              <w:adjustRightInd w:val="0"/>
              <w:snapToGrid w:val="0"/>
              <w:jc w:val="center"/>
              <w:rPr>
                <w:color w:val="000000"/>
                <w:kern w:val="21"/>
                <w:sz w:val="22"/>
                <w:szCs w:val="22"/>
              </w:rPr>
            </w:pPr>
          </w:p>
          <w:p>
            <w:pPr>
              <w:topLinePunct/>
              <w:adjustRightInd w:val="0"/>
              <w:snapToGrid w:val="0"/>
              <w:jc w:val="center"/>
              <w:rPr>
                <w:color w:val="000000"/>
                <w:kern w:val="21"/>
                <w:sz w:val="22"/>
                <w:szCs w:val="22"/>
              </w:rPr>
            </w:pPr>
          </w:p>
          <w:p>
            <w:pPr>
              <w:topLinePunct/>
              <w:adjustRightInd w:val="0"/>
              <w:snapToGrid w:val="0"/>
              <w:jc w:val="center"/>
              <w:rPr>
                <w:color w:val="000000"/>
                <w:kern w:val="21"/>
                <w:sz w:val="22"/>
                <w:szCs w:val="22"/>
              </w:rPr>
            </w:pPr>
          </w:p>
          <w:p>
            <w:pPr>
              <w:topLinePunct/>
              <w:adjustRightInd w:val="0"/>
              <w:snapToGrid w:val="0"/>
              <w:jc w:val="center"/>
              <w:rPr>
                <w:color w:val="000000"/>
                <w:kern w:val="21"/>
                <w:sz w:val="22"/>
                <w:szCs w:val="22"/>
              </w:rPr>
            </w:pPr>
          </w:p>
          <w:p>
            <w:pPr>
              <w:topLinePunct/>
              <w:adjustRightInd w:val="0"/>
              <w:snapToGrid w:val="0"/>
              <w:jc w:val="center"/>
              <w:rPr>
                <w:color w:val="000000"/>
                <w:kern w:val="21"/>
                <w:sz w:val="22"/>
                <w:szCs w:val="22"/>
              </w:rPr>
            </w:pPr>
          </w:p>
          <w:p>
            <w:pPr>
              <w:topLinePunct/>
              <w:adjustRightInd w:val="0"/>
              <w:snapToGrid w:val="0"/>
              <w:jc w:val="center"/>
              <w:rPr>
                <w:color w:val="000000"/>
                <w:kern w:val="21"/>
                <w:sz w:val="22"/>
                <w:szCs w:val="22"/>
              </w:rPr>
            </w:pPr>
          </w:p>
          <w:p>
            <w:pPr>
              <w:topLinePunct/>
              <w:adjustRightInd w:val="0"/>
              <w:snapToGrid w:val="0"/>
              <w:jc w:val="center"/>
              <w:rPr>
                <w:color w:val="000000"/>
                <w:kern w:val="21"/>
                <w:sz w:val="22"/>
                <w:szCs w:val="22"/>
              </w:rPr>
            </w:pPr>
          </w:p>
          <w:p>
            <w:pPr>
              <w:topLinePunct/>
              <w:adjustRightInd w:val="0"/>
              <w:snapToGrid w:val="0"/>
              <w:jc w:val="center"/>
              <w:rPr>
                <w:color w:val="000000"/>
                <w:kern w:val="21"/>
                <w:sz w:val="22"/>
                <w:szCs w:val="22"/>
              </w:rPr>
            </w:pPr>
          </w:p>
          <w:p>
            <w:pPr>
              <w:topLinePunct/>
              <w:adjustRightInd w:val="0"/>
              <w:snapToGrid w:val="0"/>
              <w:jc w:val="center"/>
              <w:rPr>
                <w:color w:val="000000"/>
                <w:kern w:val="21"/>
                <w:sz w:val="22"/>
                <w:szCs w:val="22"/>
              </w:rPr>
            </w:pPr>
          </w:p>
          <w:p>
            <w:pPr>
              <w:topLinePunct/>
              <w:adjustRightInd w:val="0"/>
              <w:snapToGrid w:val="0"/>
              <w:jc w:val="center"/>
              <w:rPr>
                <w:color w:val="000000"/>
                <w:kern w:val="21"/>
                <w:sz w:val="22"/>
                <w:szCs w:val="22"/>
              </w:rPr>
            </w:pPr>
          </w:p>
          <w:p>
            <w:pPr>
              <w:topLinePunct/>
              <w:adjustRightInd w:val="0"/>
              <w:snapToGrid w:val="0"/>
              <w:jc w:val="center"/>
              <w:rPr>
                <w:color w:val="000000"/>
                <w:kern w:val="21"/>
                <w:sz w:val="22"/>
                <w:szCs w:val="22"/>
              </w:rPr>
            </w:pPr>
          </w:p>
        </w:tc>
        <w:tc>
          <w:tcPr>
            <w:tcW w:w="1070"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p>
            <w:pPr>
              <w:topLinePunct/>
              <w:adjustRightInd w:val="0"/>
              <w:snapToGrid w:val="0"/>
              <w:jc w:val="center"/>
              <w:rPr>
                <w:color w:val="000000"/>
                <w:kern w:val="21"/>
                <w:sz w:val="22"/>
                <w:szCs w:val="22"/>
              </w:rPr>
            </w:pPr>
          </w:p>
          <w:p>
            <w:pPr>
              <w:topLinePunct/>
              <w:adjustRightInd w:val="0"/>
              <w:snapToGrid w:val="0"/>
              <w:jc w:val="center"/>
              <w:rPr>
                <w:color w:val="000000"/>
                <w:kern w:val="21"/>
                <w:sz w:val="22"/>
                <w:szCs w:val="22"/>
              </w:rPr>
            </w:pPr>
          </w:p>
          <w:p>
            <w:pPr>
              <w:topLinePunct/>
              <w:adjustRightInd w:val="0"/>
              <w:snapToGrid w:val="0"/>
              <w:jc w:val="center"/>
              <w:rPr>
                <w:rFonts w:hAnsi="宋体"/>
                <w:color w:val="000000"/>
                <w:kern w:val="21"/>
                <w:sz w:val="22"/>
                <w:szCs w:val="22"/>
              </w:rPr>
            </w:pPr>
            <w:r>
              <w:rPr>
                <w:rFonts w:hAnsi="宋体"/>
                <w:color w:val="000000"/>
                <w:kern w:val="21"/>
                <w:sz w:val="22"/>
                <w:szCs w:val="22"/>
              </w:rPr>
              <w:t>套管</w:t>
            </w:r>
          </w:p>
          <w:p>
            <w:pPr>
              <w:topLinePunct/>
              <w:adjustRightInd w:val="0"/>
              <w:snapToGrid w:val="0"/>
              <w:jc w:val="center"/>
              <w:rPr>
                <w:rFonts w:hAnsi="宋体"/>
                <w:color w:val="000000"/>
                <w:kern w:val="21"/>
                <w:sz w:val="22"/>
                <w:szCs w:val="22"/>
              </w:rPr>
            </w:pPr>
          </w:p>
          <w:p>
            <w:pPr>
              <w:topLinePunct/>
              <w:adjustRightInd w:val="0"/>
              <w:snapToGrid w:val="0"/>
              <w:jc w:val="center"/>
              <w:rPr>
                <w:rFonts w:hAnsi="宋体"/>
                <w:color w:val="000000"/>
                <w:kern w:val="21"/>
                <w:sz w:val="22"/>
                <w:szCs w:val="22"/>
              </w:rPr>
            </w:pPr>
          </w:p>
          <w:p>
            <w:pPr>
              <w:topLinePunct/>
              <w:adjustRightInd w:val="0"/>
              <w:snapToGrid w:val="0"/>
              <w:jc w:val="center"/>
              <w:rPr>
                <w:rFonts w:hAnsi="宋体"/>
                <w:color w:val="000000"/>
                <w:kern w:val="21"/>
                <w:sz w:val="22"/>
                <w:szCs w:val="22"/>
              </w:rPr>
            </w:pPr>
          </w:p>
          <w:p>
            <w:pPr>
              <w:topLinePunct/>
              <w:adjustRightInd w:val="0"/>
              <w:snapToGrid w:val="0"/>
              <w:jc w:val="center"/>
              <w:rPr>
                <w:rFonts w:hAnsi="宋体"/>
                <w:color w:val="000000"/>
                <w:kern w:val="21"/>
                <w:sz w:val="22"/>
                <w:szCs w:val="22"/>
              </w:rPr>
            </w:pPr>
          </w:p>
          <w:p>
            <w:pPr>
              <w:topLinePunct/>
              <w:adjustRightInd w:val="0"/>
              <w:snapToGrid w:val="0"/>
              <w:jc w:val="center"/>
              <w:rPr>
                <w:rFonts w:hAnsi="宋体"/>
                <w:color w:val="000000"/>
                <w:kern w:val="21"/>
                <w:sz w:val="22"/>
                <w:szCs w:val="22"/>
              </w:rPr>
            </w:pPr>
          </w:p>
          <w:p>
            <w:pPr>
              <w:topLinePunct/>
              <w:adjustRightInd w:val="0"/>
              <w:snapToGrid w:val="0"/>
              <w:jc w:val="center"/>
              <w:rPr>
                <w:rFonts w:hAnsi="宋体"/>
                <w:color w:val="000000"/>
                <w:kern w:val="21"/>
                <w:sz w:val="22"/>
                <w:szCs w:val="22"/>
              </w:rPr>
            </w:pPr>
          </w:p>
          <w:p>
            <w:pPr>
              <w:topLinePunct/>
              <w:adjustRightInd w:val="0"/>
              <w:snapToGrid w:val="0"/>
              <w:jc w:val="center"/>
              <w:rPr>
                <w:rFonts w:hAnsi="宋体"/>
                <w:color w:val="000000"/>
                <w:kern w:val="21"/>
                <w:sz w:val="22"/>
                <w:szCs w:val="22"/>
              </w:rPr>
            </w:pPr>
          </w:p>
          <w:p>
            <w:pPr>
              <w:topLinePunct/>
              <w:adjustRightInd w:val="0"/>
              <w:snapToGrid w:val="0"/>
              <w:jc w:val="center"/>
              <w:rPr>
                <w:rFonts w:hAnsi="宋体"/>
                <w:color w:val="000000"/>
                <w:kern w:val="21"/>
                <w:sz w:val="22"/>
                <w:szCs w:val="22"/>
              </w:rPr>
            </w:pPr>
          </w:p>
          <w:p>
            <w:pPr>
              <w:topLinePunct/>
              <w:adjustRightInd w:val="0"/>
              <w:snapToGrid w:val="0"/>
              <w:jc w:val="center"/>
              <w:rPr>
                <w:rFonts w:hAnsi="宋体"/>
                <w:color w:val="000000"/>
                <w:kern w:val="21"/>
                <w:sz w:val="22"/>
                <w:szCs w:val="22"/>
              </w:rPr>
            </w:pPr>
          </w:p>
          <w:p>
            <w:pPr>
              <w:topLinePunct/>
              <w:adjustRightInd w:val="0"/>
              <w:snapToGrid w:val="0"/>
              <w:jc w:val="center"/>
              <w:rPr>
                <w:rFonts w:hAnsi="宋体"/>
                <w:color w:val="000000"/>
                <w:kern w:val="21"/>
                <w:sz w:val="22"/>
                <w:szCs w:val="22"/>
              </w:rPr>
            </w:pPr>
          </w:p>
          <w:p>
            <w:pPr>
              <w:topLinePunct/>
              <w:adjustRightInd w:val="0"/>
              <w:snapToGrid w:val="0"/>
              <w:jc w:val="center"/>
              <w:rPr>
                <w:rFonts w:hAnsi="宋体"/>
                <w:color w:val="000000"/>
                <w:kern w:val="21"/>
                <w:sz w:val="22"/>
                <w:szCs w:val="22"/>
              </w:rPr>
            </w:pPr>
          </w:p>
          <w:p>
            <w:pPr>
              <w:topLinePunct/>
              <w:adjustRightInd w:val="0"/>
              <w:snapToGrid w:val="0"/>
              <w:jc w:val="center"/>
              <w:rPr>
                <w:rFonts w:hAnsi="宋体"/>
                <w:color w:val="000000"/>
                <w:kern w:val="21"/>
                <w:sz w:val="22"/>
                <w:szCs w:val="22"/>
              </w:rPr>
            </w:pPr>
          </w:p>
          <w:p>
            <w:pPr>
              <w:topLinePunct/>
              <w:adjustRightInd w:val="0"/>
              <w:snapToGrid w:val="0"/>
              <w:jc w:val="center"/>
              <w:rPr>
                <w:color w:val="000000"/>
                <w:kern w:val="21"/>
                <w:sz w:val="22"/>
                <w:szCs w:val="22"/>
              </w:rPr>
            </w:pPr>
          </w:p>
        </w:tc>
        <w:tc>
          <w:tcPr>
            <w:tcW w:w="901"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型号规格</w:t>
            </w: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a. </w:t>
            </w:r>
            <w:r>
              <w:rPr>
                <w:rFonts w:hAnsi="宋体"/>
                <w:color w:val="000000"/>
                <w:kern w:val="21"/>
                <w:sz w:val="22"/>
                <w:szCs w:val="22"/>
              </w:rPr>
              <w:t>高压套管</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b. </w:t>
            </w:r>
            <w:r>
              <w:rPr>
                <w:rFonts w:hAnsi="宋体"/>
                <w:color w:val="000000"/>
                <w:kern w:val="21"/>
                <w:sz w:val="22"/>
                <w:szCs w:val="22"/>
              </w:rPr>
              <w:t>低压套管</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c. </w:t>
            </w:r>
            <w:r>
              <w:rPr>
                <w:rFonts w:hAnsi="宋体"/>
                <w:color w:val="000000"/>
                <w:kern w:val="21"/>
                <w:sz w:val="22"/>
                <w:szCs w:val="22"/>
              </w:rPr>
              <w:t>中性点套管</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901"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额定电流</w:t>
            </w:r>
            <w:r>
              <w:rPr>
                <w:color w:val="000000"/>
                <w:kern w:val="21"/>
                <w:sz w:val="22"/>
                <w:szCs w:val="22"/>
              </w:rPr>
              <w:t>(A)</w:t>
            </w:r>
          </w:p>
          <w:p>
            <w:pPr>
              <w:topLinePunct/>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a. </w:t>
            </w:r>
            <w:r>
              <w:rPr>
                <w:rFonts w:hAnsi="宋体"/>
                <w:color w:val="000000"/>
                <w:kern w:val="21"/>
                <w:sz w:val="22"/>
                <w:szCs w:val="22"/>
              </w:rPr>
              <w:t>高压套管</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≥1.2</w:t>
            </w:r>
            <w:r>
              <w:rPr>
                <w:rFonts w:hAnsi="宋体"/>
                <w:color w:val="000000"/>
                <w:kern w:val="21"/>
                <w:sz w:val="22"/>
                <w:szCs w:val="22"/>
              </w:rPr>
              <w:t>倍相应绕组线端额定电流</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b. </w:t>
            </w:r>
            <w:r>
              <w:rPr>
                <w:rFonts w:hAnsi="宋体"/>
                <w:color w:val="000000"/>
                <w:kern w:val="21"/>
                <w:sz w:val="22"/>
                <w:szCs w:val="22"/>
              </w:rPr>
              <w:t>低压套管</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≥1.2</w:t>
            </w:r>
            <w:r>
              <w:rPr>
                <w:rFonts w:hAnsi="宋体"/>
                <w:color w:val="000000"/>
                <w:kern w:val="21"/>
                <w:sz w:val="22"/>
                <w:szCs w:val="22"/>
              </w:rPr>
              <w:t>倍相应绕组线端额定电流</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c. </w:t>
            </w:r>
            <w:r>
              <w:rPr>
                <w:rFonts w:hAnsi="宋体"/>
                <w:color w:val="000000"/>
                <w:kern w:val="21"/>
                <w:sz w:val="22"/>
                <w:szCs w:val="22"/>
              </w:rPr>
              <w:t>中性点套管</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Ansi="宋体"/>
                <w:color w:val="000000"/>
                <w:kern w:val="21"/>
                <w:sz w:val="22"/>
                <w:szCs w:val="22"/>
              </w:rPr>
              <w:t>相应绕组额定电流</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901"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绝缘水平</w:t>
            </w:r>
            <w:r>
              <w:rPr>
                <w:color w:val="000000"/>
                <w:kern w:val="21"/>
                <w:sz w:val="22"/>
                <w:szCs w:val="22"/>
              </w:rPr>
              <w:t>(</w:t>
            </w:r>
            <w:r>
              <w:rPr>
                <w:i/>
                <w:color w:val="000000"/>
                <w:kern w:val="21"/>
                <w:sz w:val="22"/>
                <w:szCs w:val="22"/>
              </w:rPr>
              <w:t>LI</w:t>
            </w:r>
            <w:r>
              <w:rPr>
                <w:color w:val="000000"/>
                <w:kern w:val="21"/>
                <w:sz w:val="22"/>
                <w:szCs w:val="22"/>
              </w:rPr>
              <w:t>/</w:t>
            </w:r>
            <w:r>
              <w:rPr>
                <w:i/>
                <w:color w:val="000000"/>
                <w:kern w:val="21"/>
                <w:sz w:val="22"/>
                <w:szCs w:val="22"/>
              </w:rPr>
              <w:t>AC</w:t>
            </w:r>
            <w:r>
              <w:rPr>
                <w:color w:val="000000"/>
                <w:kern w:val="21"/>
                <w:sz w:val="22"/>
                <w:szCs w:val="22"/>
              </w:rPr>
              <w:t>)(kV)</w:t>
            </w: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a. </w:t>
            </w:r>
            <w:r>
              <w:rPr>
                <w:rFonts w:hAnsi="宋体"/>
                <w:color w:val="000000"/>
                <w:kern w:val="21"/>
                <w:sz w:val="22"/>
                <w:szCs w:val="22"/>
              </w:rPr>
              <w:t>高压套管</w:t>
            </w:r>
            <w:r>
              <w:rPr>
                <w:color w:val="000000"/>
                <w:kern w:val="21"/>
                <w:sz w:val="22"/>
                <w:szCs w:val="22"/>
              </w:rPr>
              <w:t>*</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550/230</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b. </w:t>
            </w:r>
            <w:r>
              <w:rPr>
                <w:rFonts w:hAnsi="宋体"/>
                <w:color w:val="000000"/>
                <w:kern w:val="21"/>
                <w:sz w:val="22"/>
                <w:szCs w:val="22"/>
              </w:rPr>
              <w:t>低压套管</w:t>
            </w:r>
            <w:r>
              <w:rPr>
                <w:color w:val="000000"/>
                <w:kern w:val="21"/>
                <w:sz w:val="22"/>
                <w:szCs w:val="22"/>
              </w:rPr>
              <w:t>*</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125/58</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c. </w:t>
            </w:r>
            <w:r>
              <w:rPr>
                <w:rFonts w:hAnsi="宋体"/>
                <w:color w:val="000000"/>
                <w:kern w:val="21"/>
                <w:sz w:val="22"/>
                <w:szCs w:val="22"/>
              </w:rPr>
              <w:t>中性点套管</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325/147</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901"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66kV</w:t>
            </w:r>
            <w:r>
              <w:rPr>
                <w:rFonts w:hAnsi="宋体"/>
                <w:color w:val="000000"/>
                <w:kern w:val="21"/>
                <w:sz w:val="22"/>
                <w:szCs w:val="22"/>
              </w:rPr>
              <w:t>及以上套管在</w:t>
            </w:r>
            <w:r>
              <w:rPr>
                <w:color w:val="000000"/>
                <w:kern w:val="21"/>
                <w:sz w:val="22"/>
                <w:szCs w:val="22"/>
              </w:rPr>
              <w:t>1.5×</w:t>
            </w:r>
            <w:r>
              <w:rPr>
                <w:i/>
                <w:color w:val="000000"/>
                <w:kern w:val="21"/>
                <w:sz w:val="22"/>
                <w:szCs w:val="22"/>
              </w:rPr>
              <w:t>U</w:t>
            </w:r>
            <w:r>
              <w:rPr>
                <w:color w:val="000000"/>
                <w:kern w:val="21"/>
                <w:sz w:val="22"/>
                <w:szCs w:val="22"/>
                <w:vertAlign w:val="subscript"/>
              </w:rPr>
              <w:t>m</w:t>
            </w:r>
            <w:r>
              <w:rPr>
                <w:color w:val="000000"/>
                <w:kern w:val="21"/>
                <w:sz w:val="22"/>
                <w:szCs w:val="22"/>
              </w:rPr>
              <w:t xml:space="preserve">/ </w:t>
            </w:r>
            <w:r>
              <w:rPr>
                <w:color w:val="000000"/>
                <w:kern w:val="21"/>
                <w:position w:val="-6"/>
                <w:sz w:val="22"/>
                <w:szCs w:val="22"/>
              </w:rPr>
              <w:drawing>
                <wp:inline distT="0" distB="0" distL="114300" distR="114300">
                  <wp:extent cx="190500" cy="182880"/>
                  <wp:effectExtent l="0" t="0" r="0" b="6350"/>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pic:cNvPicPr>
                        </pic:nvPicPr>
                        <pic:blipFill>
                          <a:blip r:embed="rId15"/>
                          <a:stretch>
                            <a:fillRect/>
                          </a:stretch>
                        </pic:blipFill>
                        <pic:spPr>
                          <a:xfrm>
                            <a:off x="0" y="0"/>
                            <a:ext cx="190500" cy="182880"/>
                          </a:xfrm>
                          <a:prstGeom prst="rect">
                            <a:avLst/>
                          </a:prstGeom>
                          <a:noFill/>
                          <a:ln>
                            <a:noFill/>
                          </a:ln>
                        </pic:spPr>
                      </pic:pic>
                    </a:graphicData>
                  </a:graphic>
                </wp:inline>
              </w:drawing>
            </w:r>
            <w:r>
              <w:rPr>
                <w:color w:val="000000"/>
                <w:kern w:val="21"/>
                <w:sz w:val="22"/>
                <w:szCs w:val="22"/>
              </w:rPr>
              <w:t>kV</w:t>
            </w:r>
            <w:r>
              <w:rPr>
                <w:rFonts w:hAnsi="宋体"/>
                <w:color w:val="000000"/>
                <w:kern w:val="21"/>
                <w:sz w:val="22"/>
                <w:szCs w:val="22"/>
              </w:rPr>
              <w:t>下局部放电水平</w:t>
            </w:r>
            <w:r>
              <w:rPr>
                <w:color w:val="000000"/>
                <w:kern w:val="21"/>
                <w:sz w:val="22"/>
                <w:szCs w:val="22"/>
              </w:rPr>
              <w:t>(pC)</w:t>
            </w: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a. </w:t>
            </w:r>
            <w:r>
              <w:rPr>
                <w:rFonts w:hAnsi="宋体"/>
                <w:color w:val="000000"/>
                <w:kern w:val="21"/>
                <w:sz w:val="22"/>
                <w:szCs w:val="22"/>
              </w:rPr>
              <w:t>高压套管</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≤10</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b. </w:t>
            </w:r>
            <w:r>
              <w:rPr>
                <w:rFonts w:hAnsi="宋体"/>
                <w:color w:val="000000"/>
                <w:kern w:val="21"/>
                <w:sz w:val="22"/>
                <w:szCs w:val="22"/>
              </w:rPr>
              <w:t>中性点套管</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≤10</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2881" w:type="dxa"/>
            <w:gridSpan w:val="3"/>
            <w:noWrap w:val="0"/>
            <w:vAlign w:val="center"/>
          </w:tcPr>
          <w:p>
            <w:pPr>
              <w:topLinePunct/>
              <w:adjustRightInd w:val="0"/>
              <w:snapToGrid w:val="0"/>
              <w:jc w:val="center"/>
              <w:rPr>
                <w:color w:val="000000"/>
                <w:spacing w:val="-4"/>
                <w:kern w:val="21"/>
                <w:sz w:val="22"/>
                <w:szCs w:val="22"/>
              </w:rPr>
            </w:pPr>
            <w:r>
              <w:rPr>
                <w:rFonts w:hAnsi="宋体"/>
                <w:color w:val="000000"/>
                <w:spacing w:val="-4"/>
                <w:kern w:val="21"/>
                <w:sz w:val="22"/>
                <w:szCs w:val="22"/>
              </w:rPr>
              <w:t>电容式套管</w:t>
            </w:r>
            <w:r>
              <w:rPr>
                <w:color w:val="000000"/>
                <w:spacing w:val="-4"/>
                <w:kern w:val="21"/>
                <w:sz w:val="22"/>
                <w:szCs w:val="22"/>
              </w:rPr>
              <w:t>tan</w:t>
            </w:r>
            <w:r>
              <w:rPr>
                <w:i/>
                <w:color w:val="000000"/>
                <w:spacing w:val="-4"/>
                <w:kern w:val="21"/>
                <w:sz w:val="22"/>
                <w:szCs w:val="22"/>
              </w:rPr>
              <w:t></w:t>
            </w:r>
            <w:r>
              <w:rPr>
                <w:color w:val="000000"/>
                <w:spacing w:val="-4"/>
                <w:kern w:val="21"/>
                <w:sz w:val="22"/>
                <w:szCs w:val="22"/>
              </w:rPr>
              <w:t>(</w:t>
            </w:r>
            <w:r>
              <w:rPr>
                <w:rFonts w:hAnsi="宋体"/>
                <w:color w:val="000000"/>
                <w:spacing w:val="-4"/>
                <w:kern w:val="21"/>
                <w:sz w:val="22"/>
                <w:szCs w:val="22"/>
              </w:rPr>
              <w:t>％</w:t>
            </w:r>
            <w:r>
              <w:rPr>
                <w:color w:val="000000"/>
                <w:spacing w:val="-4"/>
                <w:kern w:val="21"/>
                <w:sz w:val="22"/>
                <w:szCs w:val="22"/>
              </w:rPr>
              <w:t>)</w:t>
            </w:r>
            <w:r>
              <w:rPr>
                <w:rFonts w:hAnsi="宋体"/>
                <w:color w:val="000000"/>
                <w:spacing w:val="-4"/>
                <w:kern w:val="21"/>
                <w:sz w:val="22"/>
                <w:szCs w:val="22"/>
              </w:rPr>
              <w:t>及电容量</w:t>
            </w:r>
            <w:r>
              <w:rPr>
                <w:color w:val="000000"/>
                <w:spacing w:val="-4"/>
                <w:kern w:val="21"/>
                <w:sz w:val="22"/>
                <w:szCs w:val="22"/>
              </w:rPr>
              <w:t>(pF)</w:t>
            </w:r>
          </w:p>
        </w:tc>
        <w:tc>
          <w:tcPr>
            <w:tcW w:w="1098"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tan</w:t>
            </w:r>
            <w:r>
              <w:rPr>
                <w:i/>
                <w:color w:val="000000"/>
                <w:kern w:val="21"/>
                <w:sz w:val="22"/>
                <w:szCs w:val="22"/>
              </w:rPr>
              <w:t></w:t>
            </w:r>
          </w:p>
        </w:tc>
        <w:tc>
          <w:tcPr>
            <w:tcW w:w="1257"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电容量</w:t>
            </w:r>
          </w:p>
        </w:tc>
        <w:tc>
          <w:tcPr>
            <w:tcW w:w="10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tan</w:t>
            </w:r>
            <w:r>
              <w:rPr>
                <w:i/>
                <w:color w:val="000000"/>
                <w:kern w:val="21"/>
                <w:sz w:val="22"/>
                <w:szCs w:val="22"/>
              </w:rPr>
              <w:t></w:t>
            </w:r>
          </w:p>
        </w:tc>
        <w:tc>
          <w:tcPr>
            <w:tcW w:w="144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电容量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2881" w:type="dxa"/>
            <w:gridSpan w:val="3"/>
            <w:noWrap w:val="0"/>
            <w:vAlign w:val="center"/>
          </w:tcPr>
          <w:p>
            <w:pPr>
              <w:topLinePunct/>
              <w:adjustRightInd w:val="0"/>
              <w:snapToGrid w:val="0"/>
              <w:jc w:val="center"/>
              <w:rPr>
                <w:color w:val="000000"/>
                <w:kern w:val="21"/>
                <w:sz w:val="22"/>
                <w:szCs w:val="22"/>
              </w:rPr>
            </w:pPr>
            <w:r>
              <w:rPr>
                <w:color w:val="000000"/>
                <w:kern w:val="21"/>
                <w:sz w:val="22"/>
                <w:szCs w:val="22"/>
              </w:rPr>
              <w:t xml:space="preserve">a. </w:t>
            </w:r>
            <w:r>
              <w:rPr>
                <w:rFonts w:hAnsi="宋体"/>
                <w:color w:val="000000"/>
                <w:kern w:val="21"/>
                <w:sz w:val="22"/>
                <w:szCs w:val="22"/>
              </w:rPr>
              <w:t>高压套管</w:t>
            </w:r>
          </w:p>
        </w:tc>
        <w:tc>
          <w:tcPr>
            <w:tcW w:w="1098"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≤0.4</w:t>
            </w:r>
          </w:p>
        </w:tc>
        <w:tc>
          <w:tcPr>
            <w:tcW w:w="1257" w:type="dxa"/>
            <w:gridSpan w:val="2"/>
            <w:noWrap w:val="0"/>
            <w:tcMar>
              <w:top w:w="0" w:type="dxa"/>
              <w:left w:w="57" w:type="dxa"/>
              <w:bottom w:w="0" w:type="dxa"/>
              <w:right w:w="57" w:type="dxa"/>
            </w:tcMar>
            <w:vAlign w:val="center"/>
          </w:tcPr>
          <w:p>
            <w:pPr>
              <w:topLinePunct/>
              <w:adjustRightInd w:val="0"/>
              <w:snapToGrid w:val="0"/>
              <w:jc w:val="center"/>
              <w:rPr>
                <w:color w:val="000000"/>
                <w:spacing w:val="-6"/>
                <w:kern w:val="21"/>
                <w:sz w:val="22"/>
                <w:szCs w:val="22"/>
              </w:rPr>
            </w:pPr>
            <w:r>
              <w:rPr>
                <w:color w:val="000000"/>
                <w:spacing w:val="-6"/>
                <w:kern w:val="21"/>
                <w:sz w:val="22"/>
                <w:szCs w:val="22"/>
              </w:rPr>
              <w:t>(</w:t>
            </w:r>
            <w:r>
              <w:rPr>
                <w:rFonts w:hint="eastAsia" w:hAnsi="宋体"/>
                <w:color w:val="000000"/>
                <w:spacing w:val="-6"/>
                <w:kern w:val="21"/>
                <w:sz w:val="22"/>
                <w:szCs w:val="22"/>
                <w:lang w:eastAsia="zh-CN"/>
              </w:rPr>
              <w:t>投标单位</w:t>
            </w:r>
            <w:r>
              <w:rPr>
                <w:rFonts w:hAnsi="宋体"/>
                <w:color w:val="000000"/>
                <w:spacing w:val="-6"/>
                <w:kern w:val="21"/>
                <w:sz w:val="22"/>
                <w:szCs w:val="22"/>
              </w:rPr>
              <w:t>提供</w:t>
            </w:r>
            <w:r>
              <w:rPr>
                <w:color w:val="000000"/>
                <w:spacing w:val="-6"/>
                <w:kern w:val="21"/>
                <w:sz w:val="22"/>
                <w:szCs w:val="22"/>
              </w:rPr>
              <w:t>)</w:t>
            </w:r>
          </w:p>
        </w:tc>
        <w:tc>
          <w:tcPr>
            <w:tcW w:w="10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c>
          <w:tcPr>
            <w:tcW w:w="1440" w:type="dxa"/>
            <w:gridSpan w:val="2"/>
            <w:noWrap w:val="0"/>
            <w:tcMar>
              <w:top w:w="0" w:type="dxa"/>
              <w:left w:w="57" w:type="dxa"/>
              <w:bottom w:w="0" w:type="dxa"/>
              <w:right w:w="57" w:type="dxa"/>
            </w:tcMar>
            <w:vAlign w:val="center"/>
          </w:tcPr>
          <w:p>
            <w:pPr>
              <w:topLinePunct/>
              <w:adjustRightInd w:val="0"/>
              <w:snapToGrid w:val="0"/>
              <w:jc w:val="center"/>
              <w:rPr>
                <w:color w:val="000000"/>
                <w:spacing w:val="-6"/>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2881" w:type="dxa"/>
            <w:gridSpan w:val="3"/>
            <w:noWrap w:val="0"/>
            <w:vAlign w:val="center"/>
          </w:tcPr>
          <w:p>
            <w:pPr>
              <w:topLinePunct/>
              <w:adjustRightInd w:val="0"/>
              <w:snapToGrid w:val="0"/>
              <w:jc w:val="center"/>
              <w:rPr>
                <w:color w:val="000000"/>
                <w:kern w:val="21"/>
                <w:sz w:val="22"/>
                <w:szCs w:val="22"/>
              </w:rPr>
            </w:pPr>
            <w:r>
              <w:rPr>
                <w:color w:val="000000"/>
                <w:kern w:val="21"/>
                <w:sz w:val="22"/>
                <w:szCs w:val="22"/>
              </w:rPr>
              <w:t xml:space="preserve">b. </w:t>
            </w:r>
            <w:r>
              <w:rPr>
                <w:rFonts w:hAnsi="宋体"/>
                <w:color w:val="000000"/>
                <w:kern w:val="21"/>
                <w:sz w:val="22"/>
                <w:szCs w:val="22"/>
              </w:rPr>
              <w:t>中性点套管</w:t>
            </w:r>
          </w:p>
        </w:tc>
        <w:tc>
          <w:tcPr>
            <w:tcW w:w="1098"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≤0.4</w:t>
            </w:r>
          </w:p>
        </w:tc>
        <w:tc>
          <w:tcPr>
            <w:tcW w:w="1257" w:type="dxa"/>
            <w:gridSpan w:val="2"/>
            <w:noWrap w:val="0"/>
            <w:tcMar>
              <w:top w:w="0" w:type="dxa"/>
              <w:left w:w="57" w:type="dxa"/>
              <w:bottom w:w="0" w:type="dxa"/>
              <w:right w:w="57" w:type="dxa"/>
            </w:tcMar>
            <w:vAlign w:val="center"/>
          </w:tcPr>
          <w:p>
            <w:pPr>
              <w:topLinePunct/>
              <w:adjustRightInd w:val="0"/>
              <w:snapToGrid w:val="0"/>
              <w:jc w:val="center"/>
              <w:rPr>
                <w:color w:val="000000"/>
                <w:spacing w:val="-6"/>
                <w:kern w:val="21"/>
                <w:sz w:val="22"/>
                <w:szCs w:val="22"/>
              </w:rPr>
            </w:pPr>
            <w:r>
              <w:rPr>
                <w:color w:val="000000"/>
                <w:spacing w:val="-6"/>
                <w:kern w:val="21"/>
                <w:sz w:val="22"/>
                <w:szCs w:val="22"/>
              </w:rPr>
              <w:t>(</w:t>
            </w:r>
            <w:r>
              <w:rPr>
                <w:rFonts w:hint="eastAsia" w:hAnsi="宋体"/>
                <w:color w:val="000000"/>
                <w:spacing w:val="-6"/>
                <w:kern w:val="21"/>
                <w:sz w:val="22"/>
                <w:szCs w:val="22"/>
                <w:lang w:eastAsia="zh-CN"/>
              </w:rPr>
              <w:t>投标单位</w:t>
            </w:r>
            <w:r>
              <w:rPr>
                <w:rFonts w:hAnsi="宋体"/>
                <w:color w:val="000000"/>
                <w:spacing w:val="-6"/>
                <w:kern w:val="21"/>
                <w:sz w:val="22"/>
                <w:szCs w:val="22"/>
              </w:rPr>
              <w:t>提供</w:t>
            </w:r>
            <w:r>
              <w:rPr>
                <w:color w:val="000000"/>
                <w:spacing w:val="-6"/>
                <w:kern w:val="21"/>
                <w:sz w:val="22"/>
                <w:szCs w:val="22"/>
              </w:rPr>
              <w:t>)</w:t>
            </w:r>
          </w:p>
        </w:tc>
        <w:tc>
          <w:tcPr>
            <w:tcW w:w="10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c>
          <w:tcPr>
            <w:tcW w:w="1440" w:type="dxa"/>
            <w:gridSpan w:val="2"/>
            <w:noWrap w:val="0"/>
            <w:tcMar>
              <w:top w:w="0" w:type="dxa"/>
              <w:left w:w="57" w:type="dxa"/>
              <w:bottom w:w="0" w:type="dxa"/>
              <w:right w:w="57" w:type="dxa"/>
            </w:tcMar>
            <w:vAlign w:val="center"/>
          </w:tcPr>
          <w:p>
            <w:pPr>
              <w:topLinePunct/>
              <w:adjustRightInd w:val="0"/>
              <w:snapToGrid w:val="0"/>
              <w:jc w:val="center"/>
              <w:rPr>
                <w:color w:val="000000"/>
                <w:spacing w:val="-6"/>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2881" w:type="dxa"/>
            <w:gridSpan w:val="3"/>
            <w:noWrap w:val="0"/>
            <w:vAlign w:val="center"/>
          </w:tcPr>
          <w:p>
            <w:pPr>
              <w:topLinePunct/>
              <w:adjustRightInd w:val="0"/>
              <w:snapToGrid w:val="0"/>
              <w:jc w:val="center"/>
              <w:rPr>
                <w:color w:val="000000"/>
                <w:kern w:val="21"/>
                <w:sz w:val="22"/>
                <w:szCs w:val="22"/>
              </w:rPr>
            </w:pPr>
            <w:r>
              <w:rPr>
                <w:rFonts w:hAnsi="宋体"/>
                <w:color w:val="000000"/>
                <w:kern w:val="21"/>
                <w:sz w:val="22"/>
                <w:szCs w:val="22"/>
              </w:rPr>
              <w:t>套管的弯曲耐受负荷</w:t>
            </w:r>
            <w:r>
              <w:rPr>
                <w:color w:val="000000"/>
                <w:kern w:val="21"/>
                <w:sz w:val="22"/>
                <w:szCs w:val="22"/>
              </w:rPr>
              <w:t>(kN)</w:t>
            </w:r>
          </w:p>
        </w:tc>
        <w:tc>
          <w:tcPr>
            <w:tcW w:w="696" w:type="dxa"/>
            <w:noWrap w:val="0"/>
            <w:vAlign w:val="center"/>
          </w:tcPr>
          <w:p>
            <w:pPr>
              <w:topLinePunct/>
              <w:adjustRightInd w:val="0"/>
              <w:snapToGrid w:val="0"/>
              <w:jc w:val="center"/>
              <w:rPr>
                <w:color w:val="000000"/>
                <w:kern w:val="21"/>
                <w:sz w:val="22"/>
                <w:szCs w:val="22"/>
              </w:rPr>
            </w:pPr>
            <w:r>
              <w:rPr>
                <w:rFonts w:hAnsi="宋体"/>
                <w:color w:val="000000"/>
                <w:kern w:val="21"/>
                <w:sz w:val="22"/>
                <w:szCs w:val="22"/>
              </w:rPr>
              <w:t>水平</w:t>
            </w:r>
          </w:p>
        </w:tc>
        <w:tc>
          <w:tcPr>
            <w:tcW w:w="834" w:type="dxa"/>
            <w:gridSpan w:val="3"/>
            <w:noWrap w:val="0"/>
            <w:vAlign w:val="center"/>
          </w:tcPr>
          <w:p>
            <w:pPr>
              <w:topLinePunct/>
              <w:adjustRightInd w:val="0"/>
              <w:snapToGrid w:val="0"/>
              <w:jc w:val="center"/>
              <w:rPr>
                <w:color w:val="000000"/>
                <w:kern w:val="21"/>
                <w:sz w:val="22"/>
                <w:szCs w:val="22"/>
              </w:rPr>
            </w:pPr>
            <w:r>
              <w:rPr>
                <w:rFonts w:hAnsi="宋体"/>
                <w:color w:val="000000"/>
                <w:kern w:val="21"/>
                <w:sz w:val="22"/>
                <w:szCs w:val="22"/>
              </w:rPr>
              <w:t>横向</w:t>
            </w:r>
          </w:p>
        </w:tc>
        <w:tc>
          <w:tcPr>
            <w:tcW w:w="825"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垂直</w:t>
            </w:r>
          </w:p>
        </w:tc>
        <w:tc>
          <w:tcPr>
            <w:tcW w:w="700"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水平</w:t>
            </w:r>
          </w:p>
        </w:tc>
        <w:tc>
          <w:tcPr>
            <w:tcW w:w="738"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横向</w:t>
            </w:r>
          </w:p>
        </w:tc>
        <w:tc>
          <w:tcPr>
            <w:tcW w:w="1082"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垂直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vAlign w:val="center"/>
          </w:tcPr>
          <w:p>
            <w:pPr>
              <w:topLinePunct/>
              <w:adjustRightInd w:val="0"/>
              <w:snapToGrid w:val="0"/>
              <w:jc w:val="center"/>
              <w:rPr>
                <w:color w:val="000000"/>
                <w:kern w:val="21"/>
                <w:sz w:val="22"/>
                <w:szCs w:val="22"/>
              </w:rPr>
            </w:pPr>
            <w:r>
              <w:rPr>
                <w:color w:val="000000"/>
                <w:kern w:val="21"/>
                <w:sz w:val="22"/>
                <w:szCs w:val="22"/>
              </w:rPr>
              <w:t xml:space="preserve">a. </w:t>
            </w:r>
            <w:r>
              <w:rPr>
                <w:rFonts w:hAnsi="宋体"/>
                <w:color w:val="000000"/>
                <w:kern w:val="21"/>
                <w:sz w:val="22"/>
                <w:szCs w:val="22"/>
              </w:rPr>
              <w:t>高压套管</w:t>
            </w:r>
          </w:p>
        </w:tc>
        <w:tc>
          <w:tcPr>
            <w:tcW w:w="696" w:type="dxa"/>
            <w:noWrap w:val="0"/>
            <w:vAlign w:val="center"/>
          </w:tcPr>
          <w:p>
            <w:pPr>
              <w:topLinePunct/>
              <w:adjustRightInd w:val="0"/>
              <w:snapToGrid w:val="0"/>
              <w:jc w:val="center"/>
              <w:rPr>
                <w:color w:val="000000"/>
                <w:kern w:val="21"/>
                <w:sz w:val="22"/>
                <w:szCs w:val="22"/>
              </w:rPr>
            </w:pPr>
            <w:r>
              <w:rPr>
                <w:color w:val="000000"/>
                <w:kern w:val="21"/>
                <w:sz w:val="22"/>
                <w:szCs w:val="22"/>
              </w:rPr>
              <w:t>3</w:t>
            </w:r>
          </w:p>
        </w:tc>
        <w:tc>
          <w:tcPr>
            <w:tcW w:w="834" w:type="dxa"/>
            <w:gridSpan w:val="3"/>
            <w:noWrap w:val="0"/>
            <w:vAlign w:val="center"/>
          </w:tcPr>
          <w:p>
            <w:pPr>
              <w:topLinePunct/>
              <w:adjustRightInd w:val="0"/>
              <w:snapToGrid w:val="0"/>
              <w:jc w:val="center"/>
              <w:rPr>
                <w:color w:val="000000"/>
                <w:kern w:val="21"/>
                <w:sz w:val="22"/>
                <w:szCs w:val="22"/>
              </w:rPr>
            </w:pPr>
            <w:r>
              <w:rPr>
                <w:color w:val="000000"/>
                <w:kern w:val="21"/>
                <w:sz w:val="22"/>
                <w:szCs w:val="22"/>
              </w:rPr>
              <w:t>1.25</w:t>
            </w:r>
          </w:p>
        </w:tc>
        <w:tc>
          <w:tcPr>
            <w:tcW w:w="825"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1.5</w:t>
            </w:r>
          </w:p>
        </w:tc>
        <w:tc>
          <w:tcPr>
            <w:tcW w:w="700"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c>
          <w:tcPr>
            <w:tcW w:w="738"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c>
          <w:tcPr>
            <w:tcW w:w="1082"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vAlign w:val="center"/>
          </w:tcPr>
          <w:p>
            <w:pPr>
              <w:topLinePunct/>
              <w:adjustRightInd w:val="0"/>
              <w:snapToGrid w:val="0"/>
              <w:jc w:val="center"/>
              <w:rPr>
                <w:color w:val="000000"/>
                <w:kern w:val="21"/>
                <w:sz w:val="22"/>
                <w:szCs w:val="22"/>
              </w:rPr>
            </w:pPr>
            <w:r>
              <w:rPr>
                <w:color w:val="000000"/>
                <w:kern w:val="21"/>
                <w:sz w:val="22"/>
                <w:szCs w:val="22"/>
              </w:rPr>
              <w:t xml:space="preserve">b. </w:t>
            </w:r>
            <w:r>
              <w:rPr>
                <w:rFonts w:hAnsi="宋体"/>
                <w:color w:val="000000"/>
                <w:kern w:val="21"/>
                <w:sz w:val="22"/>
                <w:szCs w:val="22"/>
              </w:rPr>
              <w:t>低压套管</w:t>
            </w:r>
          </w:p>
        </w:tc>
        <w:tc>
          <w:tcPr>
            <w:tcW w:w="696" w:type="dxa"/>
            <w:noWrap w:val="0"/>
            <w:vAlign w:val="center"/>
          </w:tcPr>
          <w:p>
            <w:pPr>
              <w:topLinePunct/>
              <w:adjustRightInd w:val="0"/>
              <w:snapToGrid w:val="0"/>
              <w:jc w:val="center"/>
              <w:rPr>
                <w:color w:val="000000"/>
                <w:kern w:val="21"/>
                <w:sz w:val="22"/>
                <w:szCs w:val="22"/>
              </w:rPr>
            </w:pPr>
            <w:r>
              <w:rPr>
                <w:color w:val="000000"/>
                <w:kern w:val="21"/>
                <w:sz w:val="22"/>
                <w:szCs w:val="22"/>
              </w:rPr>
              <w:t>3</w:t>
            </w:r>
          </w:p>
        </w:tc>
        <w:tc>
          <w:tcPr>
            <w:tcW w:w="834" w:type="dxa"/>
            <w:gridSpan w:val="3"/>
            <w:noWrap w:val="0"/>
            <w:vAlign w:val="center"/>
          </w:tcPr>
          <w:p>
            <w:pPr>
              <w:topLinePunct/>
              <w:adjustRightInd w:val="0"/>
              <w:snapToGrid w:val="0"/>
              <w:jc w:val="center"/>
              <w:rPr>
                <w:color w:val="000000"/>
                <w:kern w:val="21"/>
                <w:sz w:val="22"/>
                <w:szCs w:val="22"/>
              </w:rPr>
            </w:pPr>
            <w:r>
              <w:rPr>
                <w:color w:val="000000"/>
                <w:kern w:val="21"/>
                <w:sz w:val="22"/>
                <w:szCs w:val="22"/>
              </w:rPr>
              <w:t>1.5</w:t>
            </w:r>
          </w:p>
        </w:tc>
        <w:tc>
          <w:tcPr>
            <w:tcW w:w="825"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2</w:t>
            </w:r>
          </w:p>
        </w:tc>
        <w:tc>
          <w:tcPr>
            <w:tcW w:w="700"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c>
          <w:tcPr>
            <w:tcW w:w="738"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c>
          <w:tcPr>
            <w:tcW w:w="1082"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vAlign w:val="center"/>
          </w:tcPr>
          <w:p>
            <w:pPr>
              <w:topLinePunct/>
              <w:adjustRightInd w:val="0"/>
              <w:snapToGrid w:val="0"/>
              <w:jc w:val="center"/>
              <w:rPr>
                <w:color w:val="000000"/>
                <w:kern w:val="21"/>
                <w:sz w:val="22"/>
                <w:szCs w:val="22"/>
              </w:rPr>
            </w:pPr>
            <w:r>
              <w:rPr>
                <w:color w:val="000000"/>
                <w:kern w:val="21"/>
                <w:sz w:val="22"/>
                <w:szCs w:val="22"/>
              </w:rPr>
              <w:t xml:space="preserve">c. </w:t>
            </w:r>
            <w:r>
              <w:rPr>
                <w:rFonts w:hAnsi="宋体"/>
                <w:color w:val="000000"/>
                <w:kern w:val="21"/>
                <w:sz w:val="22"/>
                <w:szCs w:val="22"/>
              </w:rPr>
              <w:t>中性点套管</w:t>
            </w:r>
          </w:p>
        </w:tc>
        <w:tc>
          <w:tcPr>
            <w:tcW w:w="696" w:type="dxa"/>
            <w:noWrap w:val="0"/>
            <w:vAlign w:val="center"/>
          </w:tcPr>
          <w:p>
            <w:pPr>
              <w:topLinePunct/>
              <w:adjustRightInd w:val="0"/>
              <w:snapToGrid w:val="0"/>
              <w:jc w:val="center"/>
              <w:rPr>
                <w:color w:val="000000"/>
                <w:kern w:val="21"/>
                <w:sz w:val="22"/>
                <w:szCs w:val="22"/>
              </w:rPr>
            </w:pPr>
            <w:r>
              <w:rPr>
                <w:color w:val="000000"/>
                <w:kern w:val="21"/>
                <w:sz w:val="22"/>
                <w:szCs w:val="22"/>
              </w:rPr>
              <w:t>2</w:t>
            </w:r>
          </w:p>
        </w:tc>
        <w:tc>
          <w:tcPr>
            <w:tcW w:w="834" w:type="dxa"/>
            <w:gridSpan w:val="3"/>
            <w:noWrap w:val="0"/>
            <w:vAlign w:val="center"/>
          </w:tcPr>
          <w:p>
            <w:pPr>
              <w:topLinePunct/>
              <w:adjustRightInd w:val="0"/>
              <w:snapToGrid w:val="0"/>
              <w:jc w:val="center"/>
              <w:rPr>
                <w:color w:val="000000"/>
                <w:kern w:val="21"/>
                <w:sz w:val="22"/>
                <w:szCs w:val="22"/>
              </w:rPr>
            </w:pPr>
            <w:r>
              <w:rPr>
                <w:color w:val="000000"/>
                <w:kern w:val="21"/>
                <w:sz w:val="22"/>
                <w:szCs w:val="22"/>
              </w:rPr>
              <w:t>1</w:t>
            </w:r>
          </w:p>
        </w:tc>
        <w:tc>
          <w:tcPr>
            <w:tcW w:w="825"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1</w:t>
            </w:r>
          </w:p>
        </w:tc>
        <w:tc>
          <w:tcPr>
            <w:tcW w:w="700"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c>
          <w:tcPr>
            <w:tcW w:w="738"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c>
          <w:tcPr>
            <w:tcW w:w="1082"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套管的爬距</w:t>
            </w:r>
            <w:r>
              <w:rPr>
                <w:color w:val="000000"/>
                <w:kern w:val="21"/>
                <w:sz w:val="22"/>
                <w:szCs w:val="22"/>
              </w:rPr>
              <w:t>(</w:t>
            </w:r>
            <w:r>
              <w:rPr>
                <w:rFonts w:hAnsi="宋体"/>
                <w:color w:val="000000"/>
                <w:kern w:val="21"/>
                <w:sz w:val="22"/>
                <w:szCs w:val="22"/>
              </w:rPr>
              <w:t>等于有效爬距乘以直径系数</w:t>
            </w:r>
            <w:r>
              <w:rPr>
                <w:i/>
                <w:color w:val="000000"/>
                <w:kern w:val="21"/>
                <w:sz w:val="22"/>
                <w:szCs w:val="22"/>
              </w:rPr>
              <w:t>K</w:t>
            </w:r>
            <w:r>
              <w:rPr>
                <w:color w:val="000000"/>
                <w:kern w:val="21"/>
                <w:sz w:val="22"/>
                <w:szCs w:val="22"/>
                <w:vertAlign w:val="subscript"/>
              </w:rPr>
              <w:t>d</w:t>
            </w:r>
            <w:r>
              <w:rPr>
                <w:color w:val="000000"/>
                <w:kern w:val="21"/>
                <w:sz w:val="22"/>
                <w:szCs w:val="22"/>
              </w:rPr>
              <w:t>)(mm)</w:t>
            </w: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a. </w:t>
            </w:r>
            <w:r>
              <w:rPr>
                <w:rFonts w:hAnsi="宋体"/>
                <w:color w:val="000000"/>
                <w:kern w:val="21"/>
                <w:sz w:val="22"/>
                <w:szCs w:val="22"/>
              </w:rPr>
              <w:t>高压套管</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≥3906</w:t>
            </w:r>
            <w:r>
              <w:rPr>
                <w:i/>
                <w:color w:val="000000"/>
                <w:kern w:val="21"/>
                <w:sz w:val="22"/>
                <w:szCs w:val="22"/>
              </w:rPr>
              <w:t>K</w:t>
            </w:r>
            <w:r>
              <w:rPr>
                <w:color w:val="000000"/>
                <w:kern w:val="21"/>
                <w:sz w:val="22"/>
                <w:szCs w:val="22"/>
                <w:vertAlign w:val="subscript"/>
              </w:rPr>
              <w:t>d</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b. </w:t>
            </w:r>
            <w:r>
              <w:rPr>
                <w:rFonts w:hAnsi="宋体"/>
                <w:color w:val="000000"/>
                <w:kern w:val="21"/>
                <w:sz w:val="22"/>
                <w:szCs w:val="22"/>
              </w:rPr>
              <w:t>低压套管</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≥744</w:t>
            </w:r>
            <w:r>
              <w:rPr>
                <w:i/>
                <w:color w:val="000000"/>
                <w:kern w:val="21"/>
                <w:sz w:val="22"/>
                <w:szCs w:val="22"/>
              </w:rPr>
              <w:t>K</w:t>
            </w:r>
            <w:r>
              <w:rPr>
                <w:color w:val="000000"/>
                <w:kern w:val="21"/>
                <w:sz w:val="22"/>
                <w:szCs w:val="22"/>
                <w:vertAlign w:val="subscript"/>
              </w:rPr>
              <w:t>d</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c. </w:t>
            </w:r>
            <w:r>
              <w:rPr>
                <w:rFonts w:hAnsi="宋体"/>
                <w:color w:val="000000"/>
                <w:kern w:val="21"/>
                <w:sz w:val="22"/>
                <w:szCs w:val="22"/>
              </w:rPr>
              <w:t>中性点套管</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≥2248</w:t>
            </w:r>
            <w:r>
              <w:rPr>
                <w:i/>
                <w:color w:val="000000"/>
                <w:kern w:val="21"/>
                <w:sz w:val="22"/>
                <w:szCs w:val="22"/>
              </w:rPr>
              <w:t>K</w:t>
            </w:r>
            <w:r>
              <w:rPr>
                <w:color w:val="000000"/>
                <w:kern w:val="21"/>
                <w:sz w:val="22"/>
                <w:szCs w:val="22"/>
                <w:vertAlign w:val="subscript"/>
              </w:rPr>
              <w:t>d</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套管的干弧距离</w:t>
            </w:r>
            <w:r>
              <w:rPr>
                <w:color w:val="000000"/>
                <w:kern w:val="21"/>
                <w:sz w:val="22"/>
                <w:szCs w:val="22"/>
              </w:rPr>
              <w:t>(</w:t>
            </w:r>
            <w:r>
              <w:rPr>
                <w:rFonts w:hAnsi="宋体"/>
                <w:color w:val="000000"/>
                <w:kern w:val="21"/>
                <w:sz w:val="22"/>
                <w:szCs w:val="22"/>
              </w:rPr>
              <w:t>应乘以海拔修正系数</w:t>
            </w:r>
            <w:r>
              <w:rPr>
                <w:i/>
                <w:color w:val="000000"/>
                <w:kern w:val="21"/>
                <w:sz w:val="22"/>
                <w:szCs w:val="22"/>
              </w:rPr>
              <w:t>K</w:t>
            </w:r>
            <w:r>
              <w:rPr>
                <w:color w:val="000000"/>
                <w:kern w:val="21"/>
                <w:sz w:val="22"/>
                <w:szCs w:val="22"/>
                <w:vertAlign w:val="subscript"/>
              </w:rPr>
              <w:t>H</w:t>
            </w:r>
            <w:r>
              <w:rPr>
                <w:color w:val="000000"/>
                <w:kern w:val="21"/>
                <w:sz w:val="22"/>
                <w:szCs w:val="22"/>
              </w:rPr>
              <w:t>)(mm)</w:t>
            </w: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a. </w:t>
            </w:r>
            <w:r>
              <w:rPr>
                <w:rFonts w:hAnsi="宋体"/>
                <w:color w:val="000000"/>
                <w:kern w:val="21"/>
                <w:sz w:val="22"/>
                <w:szCs w:val="22"/>
              </w:rPr>
              <w:t>高压套管</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b. </w:t>
            </w:r>
            <w:r>
              <w:rPr>
                <w:rFonts w:hAnsi="宋体"/>
                <w:color w:val="000000"/>
                <w:kern w:val="21"/>
                <w:sz w:val="22"/>
                <w:szCs w:val="22"/>
              </w:rPr>
              <w:t>低压套管</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c. </w:t>
            </w:r>
            <w:r>
              <w:rPr>
                <w:rFonts w:hAnsi="宋体"/>
                <w:color w:val="000000"/>
                <w:kern w:val="21"/>
                <w:sz w:val="22"/>
                <w:szCs w:val="22"/>
              </w:rPr>
              <w:t>中性点套管</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套管的爬距</w:t>
            </w:r>
            <w:r>
              <w:rPr>
                <w:color w:val="000000"/>
                <w:kern w:val="21"/>
                <w:sz w:val="22"/>
                <w:szCs w:val="22"/>
              </w:rPr>
              <w:t>/</w:t>
            </w:r>
            <w:r>
              <w:rPr>
                <w:rFonts w:hAnsi="宋体"/>
                <w:color w:val="000000"/>
                <w:kern w:val="21"/>
                <w:sz w:val="22"/>
                <w:szCs w:val="22"/>
              </w:rPr>
              <w:t>干弧距离</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≤4</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套管平均直径</w:t>
            </w:r>
            <w:r>
              <w:rPr>
                <w:color w:val="000000"/>
                <w:kern w:val="21"/>
                <w:sz w:val="22"/>
                <w:szCs w:val="22"/>
              </w:rPr>
              <w:t>(mm)</w:t>
            </w: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a. </w:t>
            </w:r>
            <w:r>
              <w:rPr>
                <w:rFonts w:hAnsi="宋体"/>
                <w:color w:val="000000"/>
                <w:kern w:val="21"/>
                <w:sz w:val="22"/>
                <w:szCs w:val="22"/>
              </w:rPr>
              <w:t>高压套管</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b. </w:t>
            </w:r>
            <w:r>
              <w:rPr>
                <w:rFonts w:hAnsi="宋体"/>
                <w:color w:val="000000"/>
                <w:kern w:val="21"/>
                <w:sz w:val="22"/>
                <w:szCs w:val="22"/>
              </w:rPr>
              <w:t>低压套管</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 xml:space="preserve">c. </w:t>
            </w:r>
            <w:r>
              <w:rPr>
                <w:rFonts w:hAnsi="宋体"/>
                <w:color w:val="000000"/>
                <w:kern w:val="21"/>
                <w:sz w:val="22"/>
                <w:szCs w:val="22"/>
              </w:rPr>
              <w:t>中性点套管</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restart"/>
            <w:noWrap w:val="0"/>
            <w:vAlign w:val="center"/>
          </w:tcPr>
          <w:p>
            <w:pPr>
              <w:topLinePunct/>
              <w:adjustRightInd w:val="0"/>
              <w:snapToGrid w:val="0"/>
              <w:jc w:val="center"/>
              <w:rPr>
                <w:color w:val="000000"/>
                <w:kern w:val="21"/>
                <w:sz w:val="22"/>
                <w:szCs w:val="22"/>
              </w:rPr>
            </w:pPr>
            <w:r>
              <w:rPr>
                <w:color w:val="000000"/>
                <w:kern w:val="21"/>
                <w:sz w:val="22"/>
                <w:szCs w:val="22"/>
              </w:rPr>
              <w:t>19</w:t>
            </w:r>
          </w:p>
        </w:tc>
        <w:tc>
          <w:tcPr>
            <w:tcW w:w="1070" w:type="dxa"/>
            <w:vMerge w:val="restart"/>
            <w:noWrap w:val="0"/>
            <w:vAlign w:val="center"/>
          </w:tcPr>
          <w:p>
            <w:pPr>
              <w:topLinePunct/>
              <w:adjustRightInd w:val="0"/>
              <w:snapToGrid w:val="0"/>
              <w:jc w:val="center"/>
              <w:rPr>
                <w:color w:val="000000"/>
                <w:kern w:val="21"/>
                <w:sz w:val="22"/>
                <w:szCs w:val="22"/>
              </w:rPr>
            </w:pPr>
            <w:r>
              <w:rPr>
                <w:rFonts w:hAnsi="宋体"/>
                <w:color w:val="000000"/>
                <w:kern w:val="21"/>
                <w:sz w:val="22"/>
                <w:szCs w:val="22"/>
              </w:rPr>
              <w:t>套管式电流互感器</w:t>
            </w:r>
          </w:p>
        </w:tc>
        <w:tc>
          <w:tcPr>
            <w:tcW w:w="901" w:type="dxa"/>
            <w:vMerge w:val="restart"/>
            <w:noWrap w:val="0"/>
            <w:vAlign w:val="center"/>
          </w:tcPr>
          <w:p>
            <w:pPr>
              <w:topLinePunct/>
              <w:adjustRightInd w:val="0"/>
              <w:snapToGrid w:val="0"/>
              <w:jc w:val="center"/>
              <w:rPr>
                <w:color w:val="000000"/>
                <w:kern w:val="21"/>
                <w:sz w:val="22"/>
                <w:szCs w:val="22"/>
              </w:rPr>
            </w:pPr>
            <w:r>
              <w:rPr>
                <w:rFonts w:hAnsi="宋体"/>
                <w:color w:val="000000"/>
                <w:kern w:val="21"/>
                <w:sz w:val="22"/>
                <w:szCs w:val="22"/>
              </w:rPr>
              <w:t>装设在高压侧</w:t>
            </w: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绕组数</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3</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vAlign w:val="center"/>
          </w:tcPr>
          <w:p>
            <w:pPr>
              <w:topLinePunct/>
              <w:adjustRightInd w:val="0"/>
              <w:snapToGrid w:val="0"/>
              <w:jc w:val="center"/>
              <w:rPr>
                <w:color w:val="000000"/>
                <w:kern w:val="21"/>
                <w:sz w:val="22"/>
                <w:szCs w:val="22"/>
              </w:rPr>
            </w:pPr>
            <w:r>
              <w:rPr>
                <w:rFonts w:hAnsi="宋体"/>
                <w:color w:val="000000"/>
                <w:kern w:val="21"/>
                <w:sz w:val="22"/>
                <w:szCs w:val="22"/>
              </w:rPr>
              <w:t>准确级</w:t>
            </w:r>
          </w:p>
        </w:tc>
        <w:tc>
          <w:tcPr>
            <w:tcW w:w="696" w:type="dxa"/>
            <w:noWrap w:val="0"/>
            <w:vAlign w:val="center"/>
          </w:tcPr>
          <w:p>
            <w:pPr>
              <w:topLinePunct/>
              <w:adjustRightInd w:val="0"/>
              <w:snapToGrid w:val="0"/>
              <w:jc w:val="center"/>
              <w:rPr>
                <w:rFonts w:hAnsi="宋体"/>
                <w:color w:val="000000"/>
                <w:kern w:val="21"/>
                <w:sz w:val="22"/>
                <w:szCs w:val="22"/>
              </w:rPr>
            </w:pPr>
            <w:r>
              <w:rPr>
                <w:rFonts w:hAnsi="宋体"/>
                <w:color w:val="000000"/>
                <w:kern w:val="21"/>
                <w:sz w:val="22"/>
                <w:szCs w:val="22"/>
              </w:rPr>
              <w:t>5P30</w:t>
            </w:r>
          </w:p>
        </w:tc>
        <w:tc>
          <w:tcPr>
            <w:tcW w:w="834" w:type="dxa"/>
            <w:gridSpan w:val="3"/>
            <w:noWrap w:val="0"/>
            <w:vAlign w:val="center"/>
          </w:tcPr>
          <w:p>
            <w:pPr>
              <w:topLinePunct/>
              <w:adjustRightInd w:val="0"/>
              <w:snapToGrid w:val="0"/>
              <w:jc w:val="center"/>
              <w:rPr>
                <w:rFonts w:hAnsi="宋体"/>
                <w:color w:val="000000"/>
                <w:kern w:val="21"/>
                <w:sz w:val="22"/>
                <w:szCs w:val="22"/>
              </w:rPr>
            </w:pPr>
            <w:r>
              <w:rPr>
                <w:rFonts w:hAnsi="宋体"/>
                <w:color w:val="000000"/>
                <w:kern w:val="21"/>
                <w:sz w:val="22"/>
                <w:szCs w:val="22"/>
              </w:rPr>
              <w:t>5P30</w:t>
            </w:r>
          </w:p>
        </w:tc>
        <w:tc>
          <w:tcPr>
            <w:tcW w:w="825" w:type="dxa"/>
            <w:noWrap w:val="0"/>
            <w:tcMar>
              <w:top w:w="0" w:type="dxa"/>
              <w:left w:w="57" w:type="dxa"/>
              <w:bottom w:w="0" w:type="dxa"/>
              <w:right w:w="57" w:type="dxa"/>
            </w:tcMar>
            <w:vAlign w:val="center"/>
          </w:tcPr>
          <w:p>
            <w:pPr>
              <w:topLinePunct/>
              <w:adjustRightInd w:val="0"/>
              <w:snapToGrid w:val="0"/>
              <w:jc w:val="center"/>
              <w:rPr>
                <w:rFonts w:hint="eastAsia" w:hAnsi="宋体" w:eastAsia="宋体"/>
                <w:color w:val="000000"/>
                <w:kern w:val="21"/>
                <w:sz w:val="22"/>
                <w:szCs w:val="22"/>
                <w:lang w:val="en-US" w:eastAsia="zh-CN"/>
              </w:rPr>
            </w:pPr>
            <w:r>
              <w:rPr>
                <w:rFonts w:hAnsi="宋体"/>
                <w:color w:val="000000"/>
                <w:kern w:val="21"/>
                <w:sz w:val="22"/>
                <w:szCs w:val="22"/>
              </w:rPr>
              <w:t>0.</w:t>
            </w:r>
            <w:r>
              <w:rPr>
                <w:rFonts w:hint="eastAsia" w:hAnsi="宋体"/>
                <w:color w:val="000000"/>
                <w:kern w:val="21"/>
                <w:sz w:val="22"/>
                <w:szCs w:val="22"/>
                <w:lang w:val="en-US" w:eastAsia="zh-CN"/>
              </w:rPr>
              <w:t>5</w:t>
            </w:r>
          </w:p>
        </w:tc>
        <w:tc>
          <w:tcPr>
            <w:tcW w:w="700"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c>
          <w:tcPr>
            <w:tcW w:w="738"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c>
          <w:tcPr>
            <w:tcW w:w="1082" w:type="dxa"/>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电流比</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200~400/5A</w:t>
            </w:r>
          </w:p>
        </w:tc>
        <w:tc>
          <w:tcPr>
            <w:tcW w:w="2520" w:type="dxa"/>
            <w:gridSpan w:val="4"/>
            <w:noWrap w:val="0"/>
            <w:tcMar>
              <w:top w:w="0" w:type="dxa"/>
              <w:left w:w="57" w:type="dxa"/>
              <w:bottom w:w="0" w:type="dxa"/>
              <w:right w:w="57" w:type="dxa"/>
            </w:tcMar>
            <w:vAlign w:val="center"/>
          </w:tcPr>
          <w:p>
            <w:pPr>
              <w:topLinePunct/>
              <w:adjustRightInd w:val="0"/>
              <w:snapToGrid w:val="0"/>
              <w:jc w:val="center"/>
              <w:rPr>
                <w:b/>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vAlign w:val="center"/>
          </w:tcPr>
          <w:p>
            <w:pPr>
              <w:topLinePunct/>
              <w:adjustRightInd w:val="0"/>
              <w:snapToGrid w:val="0"/>
              <w:jc w:val="center"/>
              <w:rPr>
                <w:color w:val="000000"/>
                <w:kern w:val="21"/>
                <w:sz w:val="22"/>
                <w:szCs w:val="22"/>
              </w:rPr>
            </w:pPr>
            <w:r>
              <w:rPr>
                <w:rFonts w:hAnsi="宋体"/>
                <w:color w:val="000000"/>
                <w:kern w:val="21"/>
                <w:sz w:val="22"/>
                <w:szCs w:val="22"/>
              </w:rPr>
              <w:t>二次容量</w:t>
            </w:r>
            <w:r>
              <w:rPr>
                <w:color w:val="000000"/>
                <w:kern w:val="21"/>
                <w:sz w:val="22"/>
                <w:szCs w:val="22"/>
              </w:rPr>
              <w:t>(VA)</w:t>
            </w:r>
          </w:p>
        </w:tc>
        <w:tc>
          <w:tcPr>
            <w:tcW w:w="2355" w:type="dxa"/>
            <w:gridSpan w:val="5"/>
            <w:noWrap w:val="0"/>
            <w:vAlign w:val="center"/>
          </w:tcPr>
          <w:p>
            <w:pPr>
              <w:numPr>
                <w:ilvl w:val="0"/>
                <w:numId w:val="0"/>
              </w:numPr>
              <w:topLinePunct/>
              <w:adjustRightInd w:val="0"/>
              <w:snapToGrid w:val="0"/>
              <w:jc w:val="center"/>
              <w:rPr>
                <w:color w:val="000000"/>
                <w:kern w:val="21"/>
                <w:sz w:val="22"/>
                <w:szCs w:val="22"/>
              </w:rPr>
            </w:pPr>
            <w:r>
              <w:rPr>
                <w:color w:val="000000"/>
                <w:kern w:val="21"/>
                <w:sz w:val="22"/>
                <w:szCs w:val="22"/>
              </w:rPr>
              <w:t>30</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vAlign w:val="center"/>
          </w:tcPr>
          <w:p>
            <w:pPr>
              <w:topLinePunct/>
              <w:adjustRightInd w:val="0"/>
              <w:snapToGrid w:val="0"/>
              <w:jc w:val="center"/>
              <w:rPr>
                <w:color w:val="000000"/>
                <w:kern w:val="21"/>
                <w:sz w:val="22"/>
                <w:szCs w:val="22"/>
              </w:rPr>
            </w:pPr>
            <w:r>
              <w:rPr>
                <w:i/>
                <w:color w:val="000000"/>
                <w:kern w:val="21"/>
                <w:sz w:val="22"/>
                <w:szCs w:val="22"/>
              </w:rPr>
              <w:t>FS</w:t>
            </w:r>
            <w:r>
              <w:rPr>
                <w:rFonts w:hAnsi="宋体"/>
                <w:color w:val="000000"/>
                <w:kern w:val="21"/>
                <w:sz w:val="22"/>
                <w:szCs w:val="22"/>
              </w:rPr>
              <w:t>或</w:t>
            </w:r>
            <w:r>
              <w:rPr>
                <w:i/>
                <w:color w:val="000000"/>
                <w:kern w:val="21"/>
                <w:sz w:val="22"/>
                <w:szCs w:val="22"/>
              </w:rPr>
              <w:t>ALF</w:t>
            </w:r>
          </w:p>
        </w:tc>
        <w:tc>
          <w:tcPr>
            <w:tcW w:w="696" w:type="dxa"/>
            <w:noWrap w:val="0"/>
            <w:vAlign w:val="center"/>
          </w:tcPr>
          <w:p>
            <w:pPr>
              <w:numPr>
                <w:ilvl w:val="0"/>
                <w:numId w:val="0"/>
              </w:numPr>
              <w:topLinePunct/>
              <w:adjustRightInd w:val="0"/>
              <w:snapToGrid w:val="0"/>
              <w:jc w:val="center"/>
              <w:rPr>
                <w:color w:val="000000"/>
                <w:kern w:val="21"/>
                <w:sz w:val="22"/>
                <w:szCs w:val="22"/>
              </w:rPr>
            </w:pPr>
            <w:r>
              <w:rPr>
                <w:color w:val="000000"/>
                <w:kern w:val="21"/>
                <w:sz w:val="22"/>
                <w:szCs w:val="22"/>
              </w:rPr>
              <w:t xml:space="preserve"> </w:t>
            </w:r>
          </w:p>
        </w:tc>
        <w:tc>
          <w:tcPr>
            <w:tcW w:w="834" w:type="dxa"/>
            <w:gridSpan w:val="3"/>
            <w:noWrap w:val="0"/>
            <w:vAlign w:val="center"/>
          </w:tcPr>
          <w:p>
            <w:pPr>
              <w:numPr>
                <w:ilvl w:val="0"/>
                <w:numId w:val="0"/>
              </w:numPr>
              <w:topLinePunct/>
              <w:adjustRightInd w:val="0"/>
              <w:snapToGrid w:val="0"/>
              <w:jc w:val="center"/>
              <w:rPr>
                <w:color w:val="000000"/>
                <w:kern w:val="21"/>
                <w:sz w:val="22"/>
                <w:szCs w:val="22"/>
              </w:rPr>
            </w:pPr>
            <w:r>
              <w:rPr>
                <w:color w:val="000000"/>
                <w:kern w:val="21"/>
                <w:sz w:val="22"/>
                <w:szCs w:val="22"/>
              </w:rPr>
              <w:t xml:space="preserve"> </w:t>
            </w:r>
          </w:p>
        </w:tc>
        <w:tc>
          <w:tcPr>
            <w:tcW w:w="825" w:type="dxa"/>
            <w:noWrap w:val="0"/>
            <w:tcMar>
              <w:top w:w="0" w:type="dxa"/>
              <w:left w:w="57" w:type="dxa"/>
              <w:bottom w:w="0" w:type="dxa"/>
              <w:right w:w="57" w:type="dxa"/>
            </w:tcMar>
            <w:vAlign w:val="center"/>
          </w:tcPr>
          <w:p>
            <w:pPr>
              <w:numPr>
                <w:ilvl w:val="0"/>
                <w:numId w:val="0"/>
              </w:numPr>
              <w:topLinePunct/>
              <w:adjustRightInd w:val="0"/>
              <w:snapToGrid w:val="0"/>
              <w:jc w:val="center"/>
              <w:rPr>
                <w:color w:val="000000"/>
                <w:kern w:val="21"/>
                <w:sz w:val="22"/>
                <w:szCs w:val="22"/>
              </w:rPr>
            </w:pPr>
            <w:r>
              <w:rPr>
                <w:color w:val="000000"/>
                <w:kern w:val="21"/>
                <w:sz w:val="22"/>
                <w:szCs w:val="22"/>
              </w:rPr>
              <w:t xml:space="preserve"> </w:t>
            </w:r>
          </w:p>
        </w:tc>
        <w:tc>
          <w:tcPr>
            <w:tcW w:w="700" w:type="dxa"/>
            <w:noWrap w:val="0"/>
            <w:tcMar>
              <w:top w:w="0" w:type="dxa"/>
              <w:left w:w="57" w:type="dxa"/>
              <w:bottom w:w="0" w:type="dxa"/>
              <w:right w:w="57" w:type="dxa"/>
            </w:tcMar>
            <w:vAlign w:val="center"/>
          </w:tcPr>
          <w:p>
            <w:pPr>
              <w:numPr>
                <w:ilvl w:val="0"/>
                <w:numId w:val="0"/>
              </w:numPr>
              <w:topLinePunct/>
              <w:adjustRightInd w:val="0"/>
              <w:snapToGrid w:val="0"/>
              <w:jc w:val="center"/>
              <w:rPr>
                <w:color w:val="000000"/>
                <w:kern w:val="21"/>
                <w:sz w:val="22"/>
                <w:szCs w:val="22"/>
              </w:rPr>
            </w:pPr>
          </w:p>
        </w:tc>
        <w:tc>
          <w:tcPr>
            <w:tcW w:w="738" w:type="dxa"/>
            <w:gridSpan w:val="2"/>
            <w:noWrap w:val="0"/>
            <w:tcMar>
              <w:top w:w="0" w:type="dxa"/>
              <w:left w:w="57" w:type="dxa"/>
              <w:bottom w:w="0" w:type="dxa"/>
              <w:right w:w="57" w:type="dxa"/>
            </w:tcMar>
            <w:vAlign w:val="center"/>
          </w:tcPr>
          <w:p>
            <w:pPr>
              <w:numPr>
                <w:ilvl w:val="0"/>
                <w:numId w:val="0"/>
              </w:numPr>
              <w:topLinePunct/>
              <w:adjustRightInd w:val="0"/>
              <w:snapToGrid w:val="0"/>
              <w:jc w:val="center"/>
              <w:rPr>
                <w:color w:val="000000"/>
                <w:kern w:val="21"/>
                <w:sz w:val="22"/>
                <w:szCs w:val="22"/>
              </w:rPr>
            </w:pPr>
          </w:p>
        </w:tc>
        <w:tc>
          <w:tcPr>
            <w:tcW w:w="1082" w:type="dxa"/>
            <w:noWrap w:val="0"/>
            <w:tcMar>
              <w:top w:w="0" w:type="dxa"/>
              <w:left w:w="57" w:type="dxa"/>
              <w:bottom w:w="0" w:type="dxa"/>
              <w:right w:w="57" w:type="dxa"/>
            </w:tcMar>
            <w:vAlign w:val="center"/>
          </w:tcPr>
          <w:p>
            <w:pPr>
              <w:numPr>
                <w:ilvl w:val="0"/>
                <w:numId w:val="0"/>
              </w:num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restart"/>
            <w:noWrap w:val="0"/>
            <w:vAlign w:val="center"/>
          </w:tcPr>
          <w:p>
            <w:pPr>
              <w:topLinePunct/>
              <w:adjustRightInd w:val="0"/>
              <w:snapToGrid w:val="0"/>
              <w:jc w:val="center"/>
              <w:rPr>
                <w:rFonts w:hAnsi="宋体"/>
                <w:color w:val="000000"/>
                <w:kern w:val="21"/>
                <w:sz w:val="22"/>
                <w:szCs w:val="22"/>
              </w:rPr>
            </w:pPr>
            <w:r>
              <w:rPr>
                <w:rFonts w:hAnsi="宋体"/>
                <w:color w:val="000000"/>
                <w:kern w:val="21"/>
                <w:sz w:val="22"/>
                <w:szCs w:val="22"/>
              </w:rPr>
              <w:t>装设在中性</w:t>
            </w:r>
          </w:p>
          <w:p>
            <w:pPr>
              <w:topLinePunct/>
              <w:adjustRightInd w:val="0"/>
              <w:snapToGrid w:val="0"/>
              <w:jc w:val="center"/>
              <w:rPr>
                <w:color w:val="000000"/>
                <w:kern w:val="21"/>
                <w:sz w:val="22"/>
                <w:szCs w:val="22"/>
              </w:rPr>
            </w:pPr>
            <w:r>
              <w:rPr>
                <w:rFonts w:hAnsi="宋体"/>
                <w:color w:val="000000"/>
                <w:kern w:val="21"/>
                <w:sz w:val="22"/>
                <w:szCs w:val="22"/>
              </w:rPr>
              <w:t>点侧</w:t>
            </w: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绕组数</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int="eastAsia"/>
                <w:color w:val="000000"/>
                <w:kern w:val="21"/>
                <w:sz w:val="22"/>
                <w:szCs w:val="22"/>
              </w:rPr>
              <w:t>2</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准确级</w:t>
            </w:r>
          </w:p>
        </w:tc>
        <w:tc>
          <w:tcPr>
            <w:tcW w:w="1098" w:type="dxa"/>
            <w:gridSpan w:val="3"/>
            <w:noWrap w:val="0"/>
            <w:tcMar>
              <w:top w:w="0" w:type="dxa"/>
              <w:left w:w="57" w:type="dxa"/>
              <w:bottom w:w="0" w:type="dxa"/>
              <w:right w:w="57" w:type="dxa"/>
            </w:tcMar>
            <w:vAlign w:val="center"/>
          </w:tcPr>
          <w:p>
            <w:pPr>
              <w:jc w:val="center"/>
              <w:rPr>
                <w:color w:val="000000"/>
                <w:sz w:val="21"/>
                <w:szCs w:val="21"/>
              </w:rPr>
            </w:pPr>
            <w:r>
              <w:rPr>
                <w:rFonts w:hint="eastAsia"/>
                <w:color w:val="000000"/>
                <w:sz w:val="21"/>
                <w:szCs w:val="21"/>
              </w:rPr>
              <w:t>5P</w:t>
            </w:r>
            <w:r>
              <w:rPr>
                <w:color w:val="000000"/>
                <w:sz w:val="21"/>
                <w:szCs w:val="21"/>
              </w:rPr>
              <w:t>3</w:t>
            </w:r>
            <w:r>
              <w:rPr>
                <w:rFonts w:hint="eastAsia"/>
                <w:color w:val="000000"/>
                <w:sz w:val="21"/>
                <w:szCs w:val="21"/>
              </w:rPr>
              <w:t>0</w:t>
            </w:r>
          </w:p>
        </w:tc>
        <w:tc>
          <w:tcPr>
            <w:tcW w:w="1257" w:type="dxa"/>
            <w:gridSpan w:val="2"/>
            <w:noWrap w:val="0"/>
            <w:tcMar>
              <w:top w:w="0" w:type="dxa"/>
              <w:left w:w="57" w:type="dxa"/>
              <w:bottom w:w="0" w:type="dxa"/>
              <w:right w:w="57" w:type="dxa"/>
            </w:tcMar>
            <w:vAlign w:val="center"/>
          </w:tcPr>
          <w:p>
            <w:pPr>
              <w:jc w:val="center"/>
              <w:rPr>
                <w:color w:val="000000"/>
                <w:sz w:val="21"/>
                <w:szCs w:val="21"/>
              </w:rPr>
            </w:pPr>
            <w:r>
              <w:rPr>
                <w:rFonts w:hint="eastAsia"/>
                <w:color w:val="000000"/>
                <w:sz w:val="21"/>
                <w:szCs w:val="21"/>
              </w:rPr>
              <w:t>5P</w:t>
            </w:r>
            <w:r>
              <w:rPr>
                <w:color w:val="000000"/>
                <w:sz w:val="21"/>
                <w:szCs w:val="21"/>
              </w:rPr>
              <w:t>3</w:t>
            </w:r>
            <w:r>
              <w:rPr>
                <w:rFonts w:hint="eastAsia"/>
                <w:color w:val="000000"/>
                <w:sz w:val="21"/>
                <w:szCs w:val="21"/>
              </w:rPr>
              <w:t>0</w:t>
            </w:r>
          </w:p>
        </w:tc>
        <w:tc>
          <w:tcPr>
            <w:tcW w:w="1080" w:type="dxa"/>
            <w:gridSpan w:val="2"/>
            <w:noWrap w:val="0"/>
            <w:tcMar>
              <w:top w:w="0" w:type="dxa"/>
              <w:left w:w="57" w:type="dxa"/>
              <w:bottom w:w="0" w:type="dxa"/>
              <w:right w:w="57" w:type="dxa"/>
            </w:tcMar>
            <w:vAlign w:val="center"/>
          </w:tcPr>
          <w:p>
            <w:pPr>
              <w:jc w:val="center"/>
              <w:rPr>
                <w:color w:val="000000"/>
                <w:sz w:val="21"/>
                <w:szCs w:val="21"/>
              </w:rPr>
            </w:pPr>
          </w:p>
        </w:tc>
        <w:tc>
          <w:tcPr>
            <w:tcW w:w="1440" w:type="dxa"/>
            <w:gridSpan w:val="2"/>
            <w:noWrap w:val="0"/>
            <w:tcMar>
              <w:top w:w="0" w:type="dxa"/>
              <w:left w:w="57" w:type="dxa"/>
              <w:bottom w:w="0" w:type="dxa"/>
              <w:right w:w="57" w:type="dxa"/>
            </w:tcMar>
            <w:vAlign w:val="center"/>
          </w:tcPr>
          <w:p>
            <w:pPr>
              <w:jc w:val="center"/>
              <w:rPr>
                <w:color w:val="0000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电流比</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1</w:t>
            </w:r>
            <w:r>
              <w:rPr>
                <w:rFonts w:hint="eastAsia"/>
                <w:color w:val="000000"/>
                <w:kern w:val="21"/>
                <w:sz w:val="22"/>
                <w:szCs w:val="22"/>
              </w:rPr>
              <w:t>00-</w:t>
            </w:r>
            <w:r>
              <w:rPr>
                <w:color w:val="000000"/>
                <w:kern w:val="21"/>
                <w:sz w:val="22"/>
                <w:szCs w:val="22"/>
              </w:rPr>
              <w:t>3</w:t>
            </w:r>
            <w:r>
              <w:rPr>
                <w:rFonts w:hint="eastAsia"/>
                <w:color w:val="000000"/>
                <w:kern w:val="21"/>
                <w:sz w:val="22"/>
                <w:szCs w:val="22"/>
              </w:rPr>
              <w:t>00/5A</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rFonts w:hAnsi="宋体"/>
                <w:color w:val="000000"/>
                <w:kern w:val="21"/>
                <w:sz w:val="22"/>
                <w:szCs w:val="22"/>
              </w:rPr>
            </w:pPr>
            <w:r>
              <w:rPr>
                <w:rFonts w:hAnsi="宋体"/>
                <w:color w:val="000000"/>
                <w:kern w:val="21"/>
                <w:sz w:val="22"/>
                <w:szCs w:val="22"/>
              </w:rPr>
              <w:t>二次容量</w:t>
            </w:r>
            <w:r>
              <w:rPr>
                <w:color w:val="000000"/>
                <w:kern w:val="21"/>
                <w:sz w:val="22"/>
                <w:szCs w:val="22"/>
              </w:rPr>
              <w:t>(VA)</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spacing w:val="-6"/>
                <w:kern w:val="21"/>
                <w:sz w:val="22"/>
                <w:szCs w:val="22"/>
              </w:rPr>
              <w:t>30</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i/>
                <w:color w:val="000000"/>
                <w:kern w:val="21"/>
                <w:sz w:val="22"/>
                <w:szCs w:val="22"/>
              </w:rPr>
              <w:t>FS</w:t>
            </w:r>
            <w:r>
              <w:rPr>
                <w:rFonts w:hAnsi="宋体"/>
                <w:color w:val="000000"/>
                <w:kern w:val="21"/>
                <w:sz w:val="22"/>
                <w:szCs w:val="22"/>
              </w:rPr>
              <w:t>或</w:t>
            </w:r>
            <w:r>
              <w:rPr>
                <w:i/>
                <w:color w:val="000000"/>
                <w:kern w:val="21"/>
                <w:sz w:val="22"/>
                <w:szCs w:val="22"/>
              </w:rPr>
              <w:t>ALF</w:t>
            </w:r>
          </w:p>
        </w:tc>
        <w:tc>
          <w:tcPr>
            <w:tcW w:w="1098" w:type="dxa"/>
            <w:gridSpan w:val="3"/>
            <w:noWrap w:val="0"/>
            <w:tcMar>
              <w:top w:w="0" w:type="dxa"/>
              <w:left w:w="57" w:type="dxa"/>
              <w:bottom w:w="0" w:type="dxa"/>
              <w:right w:w="57" w:type="dxa"/>
            </w:tcMar>
            <w:vAlign w:val="center"/>
          </w:tcPr>
          <w:p>
            <w:pPr>
              <w:numPr>
                <w:ilvl w:val="0"/>
                <w:numId w:val="0"/>
              </w:numPr>
              <w:topLinePunct/>
              <w:adjustRightInd w:val="0"/>
              <w:snapToGrid w:val="0"/>
              <w:jc w:val="center"/>
              <w:rPr>
                <w:color w:val="000000"/>
                <w:kern w:val="21"/>
                <w:sz w:val="22"/>
                <w:szCs w:val="22"/>
              </w:rPr>
            </w:pPr>
          </w:p>
        </w:tc>
        <w:tc>
          <w:tcPr>
            <w:tcW w:w="1257" w:type="dxa"/>
            <w:gridSpan w:val="2"/>
            <w:noWrap w:val="0"/>
            <w:tcMar>
              <w:top w:w="0" w:type="dxa"/>
              <w:left w:w="57" w:type="dxa"/>
              <w:bottom w:w="0" w:type="dxa"/>
              <w:right w:w="57" w:type="dxa"/>
            </w:tcMar>
            <w:vAlign w:val="center"/>
          </w:tcPr>
          <w:p>
            <w:pPr>
              <w:numPr>
                <w:ilvl w:val="0"/>
                <w:numId w:val="0"/>
              </w:numPr>
              <w:topLinePunct/>
              <w:adjustRightInd w:val="0"/>
              <w:snapToGrid w:val="0"/>
              <w:jc w:val="center"/>
              <w:rPr>
                <w:color w:val="000000"/>
                <w:kern w:val="21"/>
                <w:sz w:val="22"/>
                <w:szCs w:val="22"/>
              </w:rPr>
            </w:pPr>
          </w:p>
        </w:tc>
        <w:tc>
          <w:tcPr>
            <w:tcW w:w="1080" w:type="dxa"/>
            <w:gridSpan w:val="2"/>
            <w:noWrap w:val="0"/>
            <w:tcMar>
              <w:top w:w="0" w:type="dxa"/>
              <w:left w:w="57" w:type="dxa"/>
              <w:bottom w:w="0" w:type="dxa"/>
              <w:right w:w="57" w:type="dxa"/>
            </w:tcMar>
            <w:vAlign w:val="center"/>
          </w:tcPr>
          <w:p>
            <w:pPr>
              <w:numPr>
                <w:ilvl w:val="0"/>
                <w:numId w:val="0"/>
              </w:numPr>
              <w:topLinePunct/>
              <w:adjustRightInd w:val="0"/>
              <w:snapToGrid w:val="0"/>
              <w:jc w:val="center"/>
              <w:rPr>
                <w:color w:val="000000"/>
                <w:kern w:val="21"/>
                <w:sz w:val="22"/>
                <w:szCs w:val="22"/>
              </w:rPr>
            </w:pPr>
          </w:p>
        </w:tc>
        <w:tc>
          <w:tcPr>
            <w:tcW w:w="1440" w:type="dxa"/>
            <w:gridSpan w:val="2"/>
            <w:noWrap w:val="0"/>
            <w:tcMar>
              <w:top w:w="0" w:type="dxa"/>
              <w:left w:w="57" w:type="dxa"/>
              <w:bottom w:w="0" w:type="dxa"/>
              <w:right w:w="57" w:type="dxa"/>
            </w:tcMar>
            <w:vAlign w:val="center"/>
          </w:tcPr>
          <w:p>
            <w:pPr>
              <w:numPr>
                <w:ilvl w:val="0"/>
                <w:numId w:val="0"/>
              </w:num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restart"/>
            <w:noWrap w:val="0"/>
            <w:vAlign w:val="center"/>
          </w:tcPr>
          <w:p>
            <w:pPr>
              <w:topLinePunct/>
              <w:adjustRightInd w:val="0"/>
              <w:snapToGrid w:val="0"/>
              <w:jc w:val="center"/>
              <w:rPr>
                <w:color w:val="000000"/>
                <w:kern w:val="21"/>
                <w:sz w:val="22"/>
                <w:szCs w:val="22"/>
              </w:rPr>
            </w:pPr>
            <w:bookmarkStart w:id="106" w:name="_Hlk52089574"/>
            <w:r>
              <w:rPr>
                <w:color w:val="000000"/>
                <w:kern w:val="21"/>
                <w:sz w:val="22"/>
                <w:szCs w:val="22"/>
              </w:rPr>
              <w:t>20</w:t>
            </w:r>
          </w:p>
          <w:p>
            <w:pPr>
              <w:topLinePunct/>
              <w:adjustRightInd w:val="0"/>
              <w:snapToGrid w:val="0"/>
              <w:jc w:val="center"/>
              <w:rPr>
                <w:color w:val="000000"/>
                <w:kern w:val="21"/>
                <w:sz w:val="22"/>
                <w:szCs w:val="22"/>
              </w:rPr>
            </w:pPr>
          </w:p>
        </w:tc>
        <w:tc>
          <w:tcPr>
            <w:tcW w:w="1070"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分接开关</w:t>
            </w:r>
          </w:p>
          <w:p>
            <w:pPr>
              <w:topLinePunct/>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型号</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int="eastAsia"/>
                <w:color w:val="000000"/>
                <w:kern w:val="21"/>
                <w:sz w:val="22"/>
                <w:szCs w:val="22"/>
              </w:rPr>
              <w:t>真空</w:t>
            </w:r>
            <w:r>
              <w:rPr>
                <w:rFonts w:hint="eastAsia"/>
                <w:color w:val="000000"/>
                <w:kern w:val="21"/>
                <w:sz w:val="22"/>
                <w:szCs w:val="22"/>
                <w:lang w:val="en-US" w:eastAsia="zh-CN"/>
              </w:rPr>
              <w:t>组合</w:t>
            </w:r>
            <w:r>
              <w:rPr>
                <w:rFonts w:hint="eastAsia"/>
                <w:color w:val="000000"/>
                <w:kern w:val="21"/>
                <w:sz w:val="22"/>
                <w:szCs w:val="22"/>
              </w:rPr>
              <w:t>式</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lang w:val="es-ES"/>
              </w:rPr>
            </w:pPr>
          </w:p>
        </w:tc>
        <w:tc>
          <w:tcPr>
            <w:tcW w:w="1070" w:type="dxa"/>
            <w:vMerge w:val="continue"/>
            <w:noWrap w:val="0"/>
            <w:vAlign w:val="center"/>
          </w:tcPr>
          <w:p>
            <w:pPr>
              <w:topLinePunct/>
              <w:adjustRightInd w:val="0"/>
              <w:snapToGrid w:val="0"/>
              <w:jc w:val="center"/>
              <w:rPr>
                <w:color w:val="000000"/>
                <w:kern w:val="21"/>
                <w:sz w:val="22"/>
                <w:szCs w:val="22"/>
                <w:lang w:val="es-ES"/>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额定电流</w:t>
            </w:r>
            <w:r>
              <w:rPr>
                <w:color w:val="000000"/>
                <w:kern w:val="21"/>
                <w:sz w:val="22"/>
                <w:szCs w:val="22"/>
              </w:rPr>
              <w:t>(A)</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0"/>
                <w:szCs w:val="22"/>
              </w:rPr>
              <w:t>≥1.2倍相应绕组额定电流</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级电压</w:t>
            </w:r>
            <w:r>
              <w:rPr>
                <w:color w:val="000000"/>
                <w:kern w:val="21"/>
                <w:sz w:val="22"/>
                <w:szCs w:val="22"/>
              </w:rPr>
              <w:t>(kV)</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有载分接开关电气寿命</w:t>
            </w:r>
            <w:r>
              <w:rPr>
                <w:color w:val="000000"/>
                <w:kern w:val="21"/>
                <w:sz w:val="22"/>
                <w:szCs w:val="22"/>
              </w:rPr>
              <w:t>(</w:t>
            </w:r>
            <w:r>
              <w:rPr>
                <w:rFonts w:hAnsi="宋体"/>
                <w:color w:val="000000"/>
                <w:kern w:val="21"/>
                <w:sz w:val="22"/>
                <w:szCs w:val="22"/>
              </w:rPr>
              <w:t>次</w:t>
            </w:r>
            <w:r>
              <w:rPr>
                <w:color w:val="000000"/>
                <w:kern w:val="21"/>
                <w:sz w:val="22"/>
                <w:szCs w:val="22"/>
              </w:rPr>
              <w:t>)</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≥20</w:t>
            </w:r>
            <w:r>
              <w:rPr>
                <w:rFonts w:hAnsi="宋体"/>
                <w:color w:val="000000"/>
                <w:kern w:val="21"/>
                <w:sz w:val="22"/>
                <w:szCs w:val="22"/>
              </w:rPr>
              <w:t>万</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有载分接开关机械寿命</w:t>
            </w:r>
            <w:r>
              <w:rPr>
                <w:color w:val="000000"/>
                <w:kern w:val="21"/>
                <w:sz w:val="22"/>
                <w:szCs w:val="22"/>
              </w:rPr>
              <w:t>(</w:t>
            </w:r>
            <w:r>
              <w:rPr>
                <w:rFonts w:hAnsi="宋体"/>
                <w:color w:val="000000"/>
                <w:kern w:val="21"/>
                <w:sz w:val="22"/>
                <w:szCs w:val="22"/>
              </w:rPr>
              <w:t>次</w:t>
            </w:r>
            <w:r>
              <w:rPr>
                <w:color w:val="000000"/>
                <w:kern w:val="21"/>
                <w:sz w:val="22"/>
                <w:szCs w:val="22"/>
              </w:rPr>
              <w:t>)</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≥80</w:t>
            </w:r>
            <w:r>
              <w:rPr>
                <w:rFonts w:hAnsi="宋体"/>
                <w:color w:val="000000"/>
                <w:kern w:val="21"/>
                <w:sz w:val="22"/>
                <w:szCs w:val="22"/>
              </w:rPr>
              <w:t>万</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绝缘水平</w:t>
            </w:r>
            <w:r>
              <w:rPr>
                <w:color w:val="000000"/>
                <w:kern w:val="21"/>
                <w:sz w:val="22"/>
                <w:szCs w:val="22"/>
              </w:rPr>
              <w:t>(</w:t>
            </w:r>
            <w:r>
              <w:rPr>
                <w:i/>
                <w:color w:val="000000"/>
                <w:kern w:val="21"/>
                <w:sz w:val="22"/>
                <w:szCs w:val="22"/>
              </w:rPr>
              <w:t>LI</w:t>
            </w:r>
            <w:r>
              <w:rPr>
                <w:color w:val="000000"/>
                <w:kern w:val="21"/>
                <w:sz w:val="22"/>
                <w:szCs w:val="22"/>
              </w:rPr>
              <w:t>/</w:t>
            </w:r>
            <w:r>
              <w:rPr>
                <w:i/>
                <w:color w:val="000000"/>
                <w:kern w:val="21"/>
                <w:sz w:val="22"/>
                <w:szCs w:val="22"/>
              </w:rPr>
              <w:t>AC</w:t>
            </w:r>
            <w:r>
              <w:rPr>
                <w:color w:val="000000"/>
                <w:kern w:val="21"/>
                <w:sz w:val="22"/>
                <w:szCs w:val="22"/>
              </w:rPr>
              <w:t>)(kV)</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topLinePunct/>
              <w:adjustRightInd w:val="0"/>
              <w:snapToGrid w:val="0"/>
              <w:jc w:val="center"/>
              <w:rPr>
                <w:color w:val="000000"/>
                <w:kern w:val="21"/>
                <w:sz w:val="22"/>
                <w:szCs w:val="22"/>
              </w:rPr>
            </w:pPr>
          </w:p>
        </w:tc>
        <w:tc>
          <w:tcPr>
            <w:tcW w:w="1070" w:type="dxa"/>
            <w:vMerge w:val="continue"/>
            <w:noWrap w:val="0"/>
            <w:vAlign w:val="center"/>
          </w:tcPr>
          <w:p>
            <w:pPr>
              <w:topLinePunct/>
              <w:adjustRightInd w:val="0"/>
              <w:snapToGrid w:val="0"/>
              <w:jc w:val="center"/>
              <w:rPr>
                <w:color w:val="000000"/>
                <w:kern w:val="21"/>
                <w:sz w:val="22"/>
                <w:szCs w:val="22"/>
              </w:rPr>
            </w:pPr>
          </w:p>
        </w:tc>
        <w:tc>
          <w:tcPr>
            <w:tcW w:w="901" w:type="dxa"/>
            <w:vMerge w:val="restart"/>
            <w:noWrap w:val="0"/>
            <w:vAlign w:val="center"/>
          </w:tcPr>
          <w:p>
            <w:pPr>
              <w:topLinePunct/>
              <w:adjustRightInd w:val="0"/>
              <w:snapToGrid w:val="0"/>
              <w:jc w:val="center"/>
              <w:rPr>
                <w:color w:val="000000"/>
                <w:kern w:val="21"/>
                <w:sz w:val="22"/>
                <w:szCs w:val="22"/>
              </w:rPr>
            </w:pPr>
            <w:r>
              <w:rPr>
                <w:rFonts w:hAnsi="宋体"/>
                <w:color w:val="000000"/>
                <w:kern w:val="21"/>
                <w:sz w:val="22"/>
                <w:szCs w:val="22"/>
              </w:rPr>
              <w:t>有载分接开关的驱动电机</w:t>
            </w: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功率</w:t>
            </w:r>
            <w:r>
              <w:rPr>
                <w:color w:val="000000"/>
                <w:kern w:val="21"/>
                <w:sz w:val="22"/>
                <w:szCs w:val="22"/>
              </w:rPr>
              <w:t>(kW)</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相数</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电压</w:t>
            </w:r>
            <w:r>
              <w:rPr>
                <w:color w:val="000000"/>
                <w:kern w:val="21"/>
                <w:sz w:val="22"/>
                <w:szCs w:val="22"/>
              </w:rPr>
              <w:t>(V)</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bookmarkEnd w:id="106"/>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restart"/>
            <w:noWrap w:val="0"/>
            <w:vAlign w:val="center"/>
          </w:tcPr>
          <w:p>
            <w:pPr>
              <w:topLinePunct/>
              <w:adjustRightInd w:val="0"/>
              <w:snapToGrid w:val="0"/>
              <w:jc w:val="center"/>
              <w:rPr>
                <w:color w:val="000000"/>
                <w:kern w:val="21"/>
                <w:sz w:val="22"/>
                <w:szCs w:val="22"/>
              </w:rPr>
            </w:pPr>
            <w:r>
              <w:rPr>
                <w:color w:val="000000"/>
                <w:kern w:val="21"/>
                <w:sz w:val="22"/>
                <w:szCs w:val="22"/>
              </w:rPr>
              <w:t>21</w:t>
            </w:r>
          </w:p>
        </w:tc>
        <w:tc>
          <w:tcPr>
            <w:tcW w:w="1070" w:type="dxa"/>
            <w:vMerge w:val="restart"/>
            <w:noWrap w:val="0"/>
            <w:tcMar>
              <w:top w:w="0" w:type="dxa"/>
              <w:left w:w="57" w:type="dxa"/>
              <w:bottom w:w="0" w:type="dxa"/>
              <w:right w:w="57" w:type="dxa"/>
            </w:tcMar>
            <w:vAlign w:val="center"/>
          </w:tcPr>
          <w:p>
            <w:pPr>
              <w:topLinePunct/>
              <w:adjustRightInd w:val="0"/>
              <w:snapToGrid w:val="0"/>
              <w:jc w:val="center"/>
              <w:rPr>
                <w:rFonts w:hint="eastAsia" w:hAnsi="宋体" w:eastAsia="宋体"/>
                <w:color w:val="000000"/>
                <w:kern w:val="21"/>
                <w:sz w:val="22"/>
                <w:szCs w:val="22"/>
                <w:lang w:eastAsia="zh-CN"/>
              </w:rPr>
            </w:pPr>
            <w:r>
              <w:rPr>
                <w:rFonts w:hAnsi="宋体"/>
                <w:color w:val="000000"/>
                <w:kern w:val="21"/>
                <w:sz w:val="22"/>
                <w:szCs w:val="22"/>
              </w:rPr>
              <w:t>压力释放</w:t>
            </w:r>
          </w:p>
          <w:p>
            <w:pPr>
              <w:topLinePunct/>
              <w:adjustRightInd w:val="0"/>
              <w:snapToGrid w:val="0"/>
              <w:jc w:val="center"/>
              <w:rPr>
                <w:color w:val="000000"/>
                <w:kern w:val="21"/>
                <w:sz w:val="22"/>
                <w:szCs w:val="22"/>
              </w:rPr>
            </w:pPr>
            <w:r>
              <w:rPr>
                <w:rFonts w:hAnsi="宋体"/>
                <w:color w:val="000000"/>
                <w:kern w:val="21"/>
                <w:sz w:val="22"/>
                <w:szCs w:val="22"/>
              </w:rPr>
              <w:t>装置</w:t>
            </w: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型号</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w:t>
            </w:r>
            <w:r>
              <w:rPr>
                <w:rFonts w:hint="eastAsia" w:hAnsi="宋体"/>
                <w:color w:val="000000"/>
                <w:kern w:val="21"/>
                <w:sz w:val="22"/>
                <w:szCs w:val="22"/>
                <w:lang w:eastAsia="zh-CN"/>
              </w:rPr>
              <w:t>投标单位</w:t>
            </w:r>
            <w:r>
              <w:rPr>
                <w:rFonts w:hAnsi="宋体"/>
                <w:color w:val="000000"/>
                <w:kern w:val="21"/>
                <w:sz w:val="22"/>
                <w:szCs w:val="22"/>
              </w:rPr>
              <w:t>提供</w:t>
            </w:r>
            <w:r>
              <w:rPr>
                <w:color w:val="000000"/>
                <w:kern w:val="21"/>
                <w:sz w:val="22"/>
                <w:szCs w:val="22"/>
              </w:rPr>
              <w:t>)</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台数</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1</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释放压力</w:t>
            </w:r>
            <w:r>
              <w:rPr>
                <w:color w:val="000000"/>
                <w:kern w:val="21"/>
                <w:sz w:val="22"/>
                <w:szCs w:val="22"/>
              </w:rPr>
              <w:t>(MPa)</w:t>
            </w:r>
          </w:p>
        </w:tc>
        <w:tc>
          <w:tcPr>
            <w:tcW w:w="2355" w:type="dxa"/>
            <w:gridSpan w:val="5"/>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0.055</w:t>
            </w:r>
          </w:p>
        </w:tc>
        <w:tc>
          <w:tcPr>
            <w:tcW w:w="2520" w:type="dxa"/>
            <w:gridSpan w:val="4"/>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restart"/>
            <w:noWrap w:val="0"/>
            <w:vAlign w:val="center"/>
          </w:tcPr>
          <w:p>
            <w:pPr>
              <w:topLinePunct/>
              <w:adjustRightInd w:val="0"/>
              <w:snapToGrid w:val="0"/>
              <w:jc w:val="center"/>
              <w:rPr>
                <w:color w:val="000000"/>
                <w:kern w:val="21"/>
                <w:sz w:val="22"/>
                <w:szCs w:val="22"/>
              </w:rPr>
            </w:pPr>
            <w:r>
              <w:rPr>
                <w:color w:val="000000"/>
                <w:kern w:val="21"/>
                <w:sz w:val="22"/>
                <w:szCs w:val="22"/>
              </w:rPr>
              <w:t>22</w:t>
            </w:r>
          </w:p>
        </w:tc>
        <w:tc>
          <w:tcPr>
            <w:tcW w:w="1070" w:type="dxa"/>
            <w:vMerge w:val="restart"/>
            <w:noWrap w:val="0"/>
            <w:vAlign w:val="center"/>
          </w:tcPr>
          <w:p>
            <w:pPr>
              <w:topLinePunct/>
              <w:adjustRightInd w:val="0"/>
              <w:snapToGrid w:val="0"/>
              <w:jc w:val="center"/>
              <w:rPr>
                <w:color w:val="000000"/>
                <w:kern w:val="21"/>
                <w:sz w:val="22"/>
                <w:szCs w:val="22"/>
              </w:rPr>
            </w:pPr>
            <w:r>
              <w:rPr>
                <w:rFonts w:hAnsi="宋体"/>
                <w:color w:val="000000"/>
                <w:kern w:val="21"/>
                <w:sz w:val="22"/>
                <w:szCs w:val="22"/>
              </w:rPr>
              <w:t>工频电压升高倍数和持续时间</w:t>
            </w:r>
          </w:p>
        </w:tc>
        <w:tc>
          <w:tcPr>
            <w:tcW w:w="2881" w:type="dxa"/>
            <w:gridSpan w:val="3"/>
            <w:noWrap w:val="0"/>
            <w:vAlign w:val="center"/>
          </w:tcPr>
          <w:p>
            <w:pPr>
              <w:topLinePunct/>
              <w:adjustRightInd w:val="0"/>
              <w:snapToGrid w:val="0"/>
              <w:jc w:val="center"/>
              <w:rPr>
                <w:color w:val="000000"/>
                <w:kern w:val="21"/>
                <w:sz w:val="22"/>
                <w:szCs w:val="22"/>
              </w:rPr>
            </w:pPr>
            <w:r>
              <w:rPr>
                <w:rFonts w:hAnsi="宋体"/>
                <w:color w:val="000000"/>
                <w:kern w:val="21"/>
                <w:sz w:val="22"/>
                <w:szCs w:val="22"/>
              </w:rPr>
              <w:t>工频电压升高倍数</w:t>
            </w:r>
          </w:p>
        </w:tc>
        <w:tc>
          <w:tcPr>
            <w:tcW w:w="1012" w:type="dxa"/>
            <w:gridSpan w:val="2"/>
            <w:noWrap w:val="0"/>
            <w:tcMar>
              <w:top w:w="0" w:type="dxa"/>
              <w:left w:w="57" w:type="dxa"/>
              <w:bottom w:w="0" w:type="dxa"/>
              <w:right w:w="57" w:type="dxa"/>
            </w:tcMar>
            <w:vAlign w:val="center"/>
          </w:tcPr>
          <w:p>
            <w:pPr>
              <w:topLinePunct/>
              <w:adjustRightInd w:val="0"/>
              <w:snapToGrid w:val="0"/>
              <w:jc w:val="center"/>
              <w:rPr>
                <w:rFonts w:hint="eastAsia" w:hAnsi="宋体" w:eastAsia="宋体"/>
                <w:color w:val="000000"/>
                <w:kern w:val="21"/>
                <w:sz w:val="22"/>
                <w:szCs w:val="22"/>
                <w:lang w:eastAsia="zh-CN"/>
              </w:rPr>
            </w:pPr>
            <w:r>
              <w:rPr>
                <w:rFonts w:hAnsi="宋体"/>
                <w:color w:val="000000"/>
                <w:kern w:val="21"/>
                <w:sz w:val="22"/>
                <w:szCs w:val="22"/>
              </w:rPr>
              <w:t>空载持续</w:t>
            </w:r>
          </w:p>
          <w:p>
            <w:pPr>
              <w:topLinePunct/>
              <w:adjustRightInd w:val="0"/>
              <w:snapToGrid w:val="0"/>
              <w:jc w:val="center"/>
              <w:rPr>
                <w:color w:val="000000"/>
                <w:kern w:val="21"/>
                <w:sz w:val="22"/>
                <w:szCs w:val="22"/>
              </w:rPr>
            </w:pPr>
            <w:r>
              <w:rPr>
                <w:rFonts w:hAnsi="宋体"/>
                <w:color w:val="000000"/>
                <w:kern w:val="21"/>
                <w:sz w:val="22"/>
                <w:szCs w:val="22"/>
              </w:rPr>
              <w:t>时间</w:t>
            </w:r>
          </w:p>
        </w:tc>
        <w:tc>
          <w:tcPr>
            <w:tcW w:w="1343" w:type="dxa"/>
            <w:gridSpan w:val="3"/>
            <w:noWrap w:val="0"/>
            <w:tcMar>
              <w:top w:w="0" w:type="dxa"/>
              <w:left w:w="57" w:type="dxa"/>
              <w:bottom w:w="0" w:type="dxa"/>
              <w:right w:w="57" w:type="dxa"/>
            </w:tcMar>
            <w:vAlign w:val="center"/>
          </w:tcPr>
          <w:p>
            <w:pPr>
              <w:topLinePunct/>
              <w:adjustRightInd w:val="0"/>
              <w:snapToGrid w:val="0"/>
              <w:jc w:val="center"/>
              <w:rPr>
                <w:rFonts w:hint="eastAsia" w:hAnsi="宋体" w:eastAsia="宋体"/>
                <w:color w:val="000000"/>
                <w:kern w:val="21"/>
                <w:sz w:val="22"/>
                <w:szCs w:val="22"/>
                <w:lang w:eastAsia="zh-CN"/>
              </w:rPr>
            </w:pPr>
            <w:r>
              <w:rPr>
                <w:rFonts w:hAnsi="宋体"/>
                <w:color w:val="000000"/>
                <w:kern w:val="21"/>
                <w:sz w:val="22"/>
                <w:szCs w:val="22"/>
              </w:rPr>
              <w:t>满载持续</w:t>
            </w:r>
          </w:p>
          <w:p>
            <w:pPr>
              <w:topLinePunct/>
              <w:adjustRightInd w:val="0"/>
              <w:snapToGrid w:val="0"/>
              <w:jc w:val="center"/>
              <w:rPr>
                <w:color w:val="000000"/>
                <w:kern w:val="21"/>
                <w:sz w:val="22"/>
                <w:szCs w:val="22"/>
              </w:rPr>
            </w:pPr>
            <w:r>
              <w:rPr>
                <w:rFonts w:hAnsi="宋体"/>
                <w:color w:val="000000"/>
                <w:kern w:val="21"/>
                <w:sz w:val="22"/>
                <w:szCs w:val="22"/>
              </w:rPr>
              <w:t>时间</w:t>
            </w:r>
          </w:p>
        </w:tc>
        <w:tc>
          <w:tcPr>
            <w:tcW w:w="10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c>
          <w:tcPr>
            <w:tcW w:w="144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bookmarkStart w:id="107" w:name="OLE_LINK11" w:colFirst="3" w:colLast="68"/>
            <w:bookmarkStart w:id="108" w:name="OLE_LINK12" w:colFirst="3" w:colLast="68"/>
            <w:bookmarkStart w:id="109" w:name="_Hlk1373893"/>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vAlign w:val="center"/>
          </w:tcPr>
          <w:p>
            <w:pPr>
              <w:topLinePunct/>
              <w:adjustRightInd w:val="0"/>
              <w:snapToGrid w:val="0"/>
              <w:jc w:val="center"/>
              <w:rPr>
                <w:color w:val="000000"/>
                <w:kern w:val="21"/>
                <w:sz w:val="22"/>
                <w:szCs w:val="22"/>
              </w:rPr>
            </w:pPr>
            <w:r>
              <w:rPr>
                <w:color w:val="000000"/>
                <w:kern w:val="21"/>
                <w:sz w:val="22"/>
                <w:szCs w:val="22"/>
              </w:rPr>
              <w:t>1.05</w:t>
            </w:r>
          </w:p>
        </w:tc>
        <w:tc>
          <w:tcPr>
            <w:tcW w:w="1012"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连续</w:t>
            </w:r>
          </w:p>
        </w:tc>
        <w:tc>
          <w:tcPr>
            <w:tcW w:w="1343"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连续</w:t>
            </w:r>
          </w:p>
        </w:tc>
        <w:tc>
          <w:tcPr>
            <w:tcW w:w="10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c>
          <w:tcPr>
            <w:tcW w:w="144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vAlign w:val="center"/>
          </w:tcPr>
          <w:p>
            <w:pPr>
              <w:topLinePunct/>
              <w:adjustRightInd w:val="0"/>
              <w:snapToGrid w:val="0"/>
              <w:jc w:val="center"/>
              <w:rPr>
                <w:color w:val="000000"/>
                <w:kern w:val="21"/>
                <w:sz w:val="22"/>
                <w:szCs w:val="22"/>
              </w:rPr>
            </w:pPr>
            <w:r>
              <w:rPr>
                <w:color w:val="000000"/>
                <w:kern w:val="21"/>
                <w:sz w:val="22"/>
                <w:szCs w:val="22"/>
              </w:rPr>
              <w:t>1.1</w:t>
            </w:r>
          </w:p>
        </w:tc>
        <w:tc>
          <w:tcPr>
            <w:tcW w:w="1012"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连续</w:t>
            </w:r>
          </w:p>
        </w:tc>
        <w:tc>
          <w:tcPr>
            <w:tcW w:w="1343"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20min</w:t>
            </w:r>
          </w:p>
        </w:tc>
        <w:tc>
          <w:tcPr>
            <w:tcW w:w="10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c>
          <w:tcPr>
            <w:tcW w:w="144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2881" w:type="dxa"/>
            <w:gridSpan w:val="3"/>
            <w:noWrap w:val="0"/>
            <w:vAlign w:val="center"/>
          </w:tcPr>
          <w:p>
            <w:pPr>
              <w:topLinePunct/>
              <w:adjustRightInd w:val="0"/>
              <w:snapToGrid w:val="0"/>
              <w:jc w:val="center"/>
              <w:rPr>
                <w:color w:val="000000"/>
                <w:kern w:val="21"/>
                <w:sz w:val="22"/>
                <w:szCs w:val="22"/>
              </w:rPr>
            </w:pPr>
            <w:r>
              <w:rPr>
                <w:color w:val="000000"/>
                <w:kern w:val="21"/>
                <w:sz w:val="22"/>
                <w:szCs w:val="22"/>
              </w:rPr>
              <w:t>1.3</w:t>
            </w:r>
          </w:p>
        </w:tc>
        <w:tc>
          <w:tcPr>
            <w:tcW w:w="1012"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1min</w:t>
            </w:r>
          </w:p>
        </w:tc>
        <w:tc>
          <w:tcPr>
            <w:tcW w:w="1343" w:type="dxa"/>
            <w:gridSpan w:val="3"/>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int="eastAsia"/>
                <w:color w:val="000000"/>
                <w:kern w:val="21"/>
                <w:sz w:val="22"/>
                <w:szCs w:val="22"/>
              </w:rPr>
              <w:t>/</w:t>
            </w:r>
          </w:p>
        </w:tc>
        <w:tc>
          <w:tcPr>
            <w:tcW w:w="10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c>
          <w:tcPr>
            <w:tcW w:w="144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p>
        </w:tc>
      </w:tr>
      <w:bookmarkEnd w:id="107"/>
      <w:bookmarkEnd w:id="108"/>
      <w:bookmarkEnd w:id="109"/>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restart"/>
            <w:noWrap w:val="0"/>
            <w:vAlign w:val="center"/>
          </w:tcPr>
          <w:p>
            <w:pPr>
              <w:topLinePunct/>
              <w:adjustRightInd w:val="0"/>
              <w:snapToGrid w:val="0"/>
              <w:jc w:val="center"/>
              <w:rPr>
                <w:color w:val="000000"/>
                <w:kern w:val="21"/>
                <w:sz w:val="22"/>
                <w:szCs w:val="22"/>
              </w:rPr>
            </w:pPr>
            <w:r>
              <w:rPr>
                <w:color w:val="000000"/>
                <w:kern w:val="21"/>
                <w:sz w:val="22"/>
                <w:szCs w:val="22"/>
              </w:rPr>
              <w:t>23</w:t>
            </w:r>
          </w:p>
        </w:tc>
        <w:tc>
          <w:tcPr>
            <w:tcW w:w="1070" w:type="dxa"/>
            <w:vMerge w:val="restart"/>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变压器油</w:t>
            </w:r>
          </w:p>
        </w:tc>
        <w:tc>
          <w:tcPr>
            <w:tcW w:w="901" w:type="dxa"/>
            <w:vMerge w:val="restart"/>
            <w:noWrap w:val="0"/>
            <w:tcMar>
              <w:top w:w="0" w:type="dxa"/>
              <w:left w:w="57" w:type="dxa"/>
              <w:bottom w:w="0" w:type="dxa"/>
              <w:right w:w="57" w:type="dxa"/>
            </w:tcMar>
            <w:vAlign w:val="center"/>
          </w:tcPr>
          <w:p>
            <w:pPr>
              <w:topLinePunct/>
              <w:adjustRightInd w:val="0"/>
              <w:snapToGrid w:val="0"/>
              <w:jc w:val="center"/>
              <w:rPr>
                <w:rFonts w:hint="eastAsia" w:hAnsi="宋体" w:eastAsia="宋体"/>
                <w:color w:val="000000"/>
                <w:kern w:val="21"/>
                <w:sz w:val="22"/>
                <w:szCs w:val="22"/>
                <w:lang w:eastAsia="zh-CN"/>
              </w:rPr>
            </w:pPr>
            <w:r>
              <w:rPr>
                <w:rFonts w:hAnsi="宋体"/>
                <w:color w:val="000000"/>
                <w:kern w:val="21"/>
                <w:sz w:val="22"/>
                <w:szCs w:val="22"/>
              </w:rPr>
              <w:t>提供的新油</w:t>
            </w:r>
          </w:p>
          <w:p>
            <w:pPr>
              <w:topLinePunct/>
              <w:adjustRightInd w:val="0"/>
              <w:snapToGrid w:val="0"/>
              <w:jc w:val="center"/>
              <w:rPr>
                <w:rFonts w:hint="eastAsia" w:hAnsi="宋体" w:eastAsia="宋体"/>
                <w:color w:val="000000"/>
                <w:kern w:val="21"/>
                <w:sz w:val="22"/>
                <w:szCs w:val="22"/>
                <w:lang w:eastAsia="zh-CN"/>
              </w:rPr>
            </w:pPr>
            <w:r>
              <w:rPr>
                <w:color w:val="000000"/>
                <w:kern w:val="21"/>
                <w:sz w:val="22"/>
                <w:szCs w:val="22"/>
              </w:rPr>
              <w:t>(</w:t>
            </w:r>
            <w:r>
              <w:rPr>
                <w:rFonts w:hAnsi="宋体"/>
                <w:color w:val="000000"/>
                <w:kern w:val="21"/>
                <w:sz w:val="22"/>
                <w:szCs w:val="22"/>
              </w:rPr>
              <w:t>包括所需的</w:t>
            </w:r>
          </w:p>
          <w:p>
            <w:pPr>
              <w:topLinePunct/>
              <w:adjustRightInd w:val="0"/>
              <w:snapToGrid w:val="0"/>
              <w:jc w:val="center"/>
              <w:rPr>
                <w:color w:val="000000"/>
                <w:kern w:val="21"/>
                <w:sz w:val="22"/>
                <w:szCs w:val="22"/>
              </w:rPr>
            </w:pPr>
            <w:r>
              <w:rPr>
                <w:rFonts w:hAnsi="宋体"/>
                <w:color w:val="000000"/>
                <w:kern w:val="21"/>
                <w:sz w:val="22"/>
                <w:szCs w:val="22"/>
              </w:rPr>
              <w:t>备用油</w:t>
            </w:r>
            <w:r>
              <w:rPr>
                <w:color w:val="000000"/>
                <w:kern w:val="21"/>
                <w:sz w:val="22"/>
                <w:szCs w:val="22"/>
              </w:rPr>
              <w:t>)</w:t>
            </w: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过滤后应达到油的击穿电压</w:t>
            </w:r>
            <w:r>
              <w:rPr>
                <w:color w:val="000000"/>
                <w:kern w:val="21"/>
                <w:sz w:val="22"/>
                <w:szCs w:val="22"/>
              </w:rPr>
              <w:t>(kV)</w:t>
            </w:r>
          </w:p>
        </w:tc>
        <w:tc>
          <w:tcPr>
            <w:tcW w:w="2355" w:type="dxa"/>
            <w:gridSpan w:val="5"/>
            <w:noWrap w:val="0"/>
            <w:tcMar>
              <w:top w:w="0" w:type="dxa"/>
              <w:left w:w="57" w:type="dxa"/>
              <w:bottom w:w="0" w:type="dxa"/>
              <w:right w:w="57" w:type="dxa"/>
            </w:tcMar>
            <w:vAlign w:val="center"/>
          </w:tcPr>
          <w:p>
            <w:pPr>
              <w:numPr>
                <w:ilvl w:val="0"/>
                <w:numId w:val="0"/>
              </w:numPr>
              <w:topLinePunct/>
              <w:adjustRightInd w:val="0"/>
              <w:snapToGrid w:val="0"/>
              <w:jc w:val="center"/>
              <w:rPr>
                <w:color w:val="000000"/>
                <w:kern w:val="21"/>
                <w:sz w:val="22"/>
                <w:szCs w:val="22"/>
              </w:rPr>
            </w:pPr>
            <w:r>
              <w:rPr>
                <w:color w:val="000000"/>
                <w:kern w:val="21"/>
                <w:sz w:val="22"/>
                <w:szCs w:val="22"/>
              </w:rPr>
              <w:t>≥45</w:t>
            </w:r>
          </w:p>
        </w:tc>
        <w:tc>
          <w:tcPr>
            <w:tcW w:w="2520" w:type="dxa"/>
            <w:gridSpan w:val="4"/>
            <w:noWrap w:val="0"/>
            <w:tcMar>
              <w:top w:w="0" w:type="dxa"/>
              <w:left w:w="57" w:type="dxa"/>
              <w:bottom w:w="0" w:type="dxa"/>
              <w:right w:w="57" w:type="dxa"/>
            </w:tcMar>
            <w:vAlign w:val="center"/>
          </w:tcPr>
          <w:p>
            <w:pPr>
              <w:numPr>
                <w:ilvl w:val="0"/>
                <w:numId w:val="0"/>
              </w:num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color w:val="000000"/>
                <w:kern w:val="21"/>
                <w:sz w:val="22"/>
                <w:szCs w:val="22"/>
              </w:rPr>
              <w:t>tan</w:t>
            </w:r>
            <w:r>
              <w:rPr>
                <w:i/>
                <w:color w:val="000000"/>
                <w:kern w:val="21"/>
                <w:sz w:val="22"/>
                <w:szCs w:val="22"/>
              </w:rPr>
              <w:t></w:t>
            </w:r>
            <w:r>
              <w:rPr>
                <w:color w:val="000000"/>
                <w:kern w:val="21"/>
                <w:sz w:val="22"/>
                <w:szCs w:val="22"/>
              </w:rPr>
              <w:t>(90</w:t>
            </w:r>
            <w:r>
              <w:rPr>
                <w:rFonts w:hAnsi="宋体"/>
                <w:color w:val="000000"/>
                <w:kern w:val="21"/>
                <w:sz w:val="22"/>
                <w:szCs w:val="22"/>
              </w:rPr>
              <w:t>℃</w:t>
            </w:r>
            <w:r>
              <w:rPr>
                <w:color w:val="000000"/>
                <w:kern w:val="21"/>
                <w:sz w:val="22"/>
                <w:szCs w:val="22"/>
              </w:rPr>
              <w:t>)</w:t>
            </w:r>
          </w:p>
          <w:p>
            <w:pPr>
              <w:topLinePunct/>
              <w:adjustRightInd w:val="0"/>
              <w:snapToGrid w:val="0"/>
              <w:jc w:val="center"/>
              <w:rPr>
                <w:color w:val="000000"/>
                <w:kern w:val="21"/>
                <w:sz w:val="22"/>
                <w:szCs w:val="22"/>
              </w:rPr>
            </w:pPr>
            <w:r>
              <w:rPr>
                <w:color w:val="000000"/>
                <w:kern w:val="21"/>
                <w:sz w:val="22"/>
                <w:szCs w:val="22"/>
              </w:rPr>
              <w:t>(</w:t>
            </w:r>
            <w:r>
              <w:rPr>
                <w:rFonts w:hAnsi="宋体"/>
                <w:color w:val="000000"/>
                <w:kern w:val="21"/>
                <w:sz w:val="22"/>
                <w:szCs w:val="22"/>
              </w:rPr>
              <w:t>％</w:t>
            </w:r>
            <w:r>
              <w:rPr>
                <w:color w:val="000000"/>
                <w:kern w:val="21"/>
                <w:sz w:val="22"/>
                <w:szCs w:val="22"/>
              </w:rPr>
              <w:t>)</w:t>
            </w:r>
          </w:p>
        </w:tc>
        <w:tc>
          <w:tcPr>
            <w:tcW w:w="2355" w:type="dxa"/>
            <w:gridSpan w:val="5"/>
            <w:noWrap w:val="0"/>
            <w:tcMar>
              <w:top w:w="0" w:type="dxa"/>
              <w:left w:w="57" w:type="dxa"/>
              <w:bottom w:w="0" w:type="dxa"/>
              <w:right w:w="57" w:type="dxa"/>
            </w:tcMar>
            <w:vAlign w:val="center"/>
          </w:tcPr>
          <w:p>
            <w:pPr>
              <w:numPr>
                <w:ilvl w:val="0"/>
                <w:numId w:val="0"/>
              </w:numPr>
              <w:topLinePunct/>
              <w:adjustRightInd w:val="0"/>
              <w:snapToGrid w:val="0"/>
              <w:jc w:val="center"/>
              <w:rPr>
                <w:color w:val="000000"/>
                <w:kern w:val="21"/>
                <w:sz w:val="22"/>
                <w:szCs w:val="22"/>
              </w:rPr>
            </w:pPr>
            <w:r>
              <w:rPr>
                <w:color w:val="000000"/>
                <w:kern w:val="21"/>
                <w:sz w:val="22"/>
                <w:szCs w:val="22"/>
              </w:rPr>
              <w:t>≤0.5</w:t>
            </w:r>
          </w:p>
        </w:tc>
        <w:tc>
          <w:tcPr>
            <w:tcW w:w="2520" w:type="dxa"/>
            <w:gridSpan w:val="4"/>
            <w:noWrap w:val="0"/>
            <w:tcMar>
              <w:top w:w="0" w:type="dxa"/>
              <w:left w:w="57" w:type="dxa"/>
              <w:bottom w:w="0" w:type="dxa"/>
              <w:right w:w="57" w:type="dxa"/>
            </w:tcMar>
            <w:vAlign w:val="center"/>
          </w:tcPr>
          <w:p>
            <w:pPr>
              <w:numPr>
                <w:ilvl w:val="0"/>
                <w:numId w:val="0"/>
              </w:num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vMerge w:val="continue"/>
            <w:noWrap w:val="0"/>
            <w:vAlign w:val="center"/>
          </w:tcPr>
          <w:p>
            <w:pPr>
              <w:widowControl/>
              <w:adjustRightInd w:val="0"/>
              <w:snapToGrid w:val="0"/>
              <w:jc w:val="center"/>
              <w:rPr>
                <w:color w:val="000000"/>
                <w:kern w:val="21"/>
                <w:sz w:val="22"/>
                <w:szCs w:val="22"/>
              </w:rPr>
            </w:pPr>
          </w:p>
        </w:tc>
        <w:tc>
          <w:tcPr>
            <w:tcW w:w="1070" w:type="dxa"/>
            <w:vMerge w:val="continue"/>
            <w:noWrap w:val="0"/>
            <w:vAlign w:val="center"/>
          </w:tcPr>
          <w:p>
            <w:pPr>
              <w:widowControl/>
              <w:adjustRightInd w:val="0"/>
              <w:snapToGrid w:val="0"/>
              <w:jc w:val="center"/>
              <w:rPr>
                <w:color w:val="000000"/>
                <w:kern w:val="21"/>
                <w:sz w:val="22"/>
                <w:szCs w:val="22"/>
              </w:rPr>
            </w:pPr>
          </w:p>
        </w:tc>
        <w:tc>
          <w:tcPr>
            <w:tcW w:w="901" w:type="dxa"/>
            <w:vMerge w:val="continue"/>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color w:val="000000"/>
                <w:kern w:val="21"/>
                <w:sz w:val="22"/>
                <w:szCs w:val="22"/>
              </w:rPr>
            </w:pPr>
            <w:r>
              <w:rPr>
                <w:rFonts w:hAnsi="宋体"/>
                <w:color w:val="000000"/>
                <w:kern w:val="21"/>
                <w:sz w:val="22"/>
                <w:szCs w:val="22"/>
              </w:rPr>
              <w:t>含水量</w:t>
            </w:r>
            <w:r>
              <w:rPr>
                <w:color w:val="000000"/>
                <w:kern w:val="21"/>
                <w:sz w:val="22"/>
                <w:szCs w:val="22"/>
              </w:rPr>
              <w:t>(mg/L)</w:t>
            </w:r>
          </w:p>
        </w:tc>
        <w:tc>
          <w:tcPr>
            <w:tcW w:w="2355" w:type="dxa"/>
            <w:gridSpan w:val="5"/>
            <w:noWrap w:val="0"/>
            <w:tcMar>
              <w:top w:w="0" w:type="dxa"/>
              <w:left w:w="57" w:type="dxa"/>
              <w:bottom w:w="0" w:type="dxa"/>
              <w:right w:w="57" w:type="dxa"/>
            </w:tcMar>
            <w:vAlign w:val="center"/>
          </w:tcPr>
          <w:p>
            <w:pPr>
              <w:numPr>
                <w:ilvl w:val="0"/>
                <w:numId w:val="0"/>
              </w:numPr>
              <w:topLinePunct/>
              <w:adjustRightInd w:val="0"/>
              <w:snapToGrid w:val="0"/>
              <w:jc w:val="center"/>
              <w:rPr>
                <w:color w:val="000000"/>
                <w:kern w:val="21"/>
                <w:sz w:val="22"/>
                <w:szCs w:val="22"/>
              </w:rPr>
            </w:pPr>
            <w:r>
              <w:rPr>
                <w:color w:val="000000"/>
                <w:kern w:val="21"/>
                <w:sz w:val="22"/>
                <w:szCs w:val="22"/>
              </w:rPr>
              <w:t>≤20</w:t>
            </w:r>
          </w:p>
        </w:tc>
        <w:tc>
          <w:tcPr>
            <w:tcW w:w="2520" w:type="dxa"/>
            <w:gridSpan w:val="4"/>
            <w:noWrap w:val="0"/>
            <w:tcMar>
              <w:top w:w="0" w:type="dxa"/>
              <w:left w:w="57" w:type="dxa"/>
              <w:bottom w:w="0" w:type="dxa"/>
              <w:right w:w="57" w:type="dxa"/>
            </w:tcMar>
            <w:vAlign w:val="center"/>
          </w:tcPr>
          <w:p>
            <w:pPr>
              <w:numPr>
                <w:ilvl w:val="0"/>
                <w:numId w:val="0"/>
              </w:num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noWrap w:val="0"/>
            <w:vAlign w:val="center"/>
          </w:tcPr>
          <w:p>
            <w:pPr>
              <w:widowControl/>
              <w:adjustRightInd w:val="0"/>
              <w:snapToGrid w:val="0"/>
              <w:jc w:val="center"/>
              <w:rPr>
                <w:rFonts w:hint="default" w:eastAsia="宋体"/>
                <w:color w:val="000000"/>
                <w:kern w:val="21"/>
                <w:sz w:val="22"/>
                <w:szCs w:val="22"/>
                <w:lang w:val="en-US" w:eastAsia="zh-CN"/>
              </w:rPr>
            </w:pPr>
            <w:r>
              <w:rPr>
                <w:rFonts w:hint="eastAsia"/>
                <w:color w:val="000000"/>
                <w:kern w:val="21"/>
                <w:sz w:val="22"/>
                <w:szCs w:val="22"/>
                <w:lang w:val="en-US" w:eastAsia="zh-CN"/>
              </w:rPr>
              <w:t>24</w:t>
            </w:r>
          </w:p>
        </w:tc>
        <w:tc>
          <w:tcPr>
            <w:tcW w:w="1070" w:type="dxa"/>
            <w:noWrap w:val="0"/>
            <w:vAlign w:val="center"/>
          </w:tcPr>
          <w:p>
            <w:pPr>
              <w:widowControl/>
              <w:adjustRightInd w:val="0"/>
              <w:snapToGrid w:val="0"/>
              <w:jc w:val="center"/>
              <w:rPr>
                <w:rFonts w:hint="default" w:eastAsia="宋体"/>
                <w:color w:val="000000"/>
                <w:kern w:val="21"/>
                <w:sz w:val="22"/>
                <w:szCs w:val="22"/>
                <w:lang w:val="en-US" w:eastAsia="zh-CN"/>
              </w:rPr>
            </w:pPr>
            <w:r>
              <w:rPr>
                <w:rFonts w:hint="eastAsia"/>
                <w:color w:val="000000"/>
                <w:kern w:val="21"/>
                <w:sz w:val="22"/>
                <w:szCs w:val="22"/>
                <w:lang w:val="en-US" w:eastAsia="zh-CN"/>
              </w:rPr>
              <w:t>空载损耗</w:t>
            </w:r>
          </w:p>
        </w:tc>
        <w:tc>
          <w:tcPr>
            <w:tcW w:w="901" w:type="dxa"/>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rFonts w:hAnsi="宋体"/>
                <w:color w:val="000000"/>
                <w:kern w:val="21"/>
                <w:sz w:val="22"/>
                <w:szCs w:val="22"/>
              </w:rPr>
            </w:pPr>
          </w:p>
        </w:tc>
        <w:tc>
          <w:tcPr>
            <w:tcW w:w="2355" w:type="dxa"/>
            <w:gridSpan w:val="5"/>
            <w:noWrap w:val="0"/>
            <w:tcMar>
              <w:top w:w="0" w:type="dxa"/>
              <w:left w:w="57" w:type="dxa"/>
              <w:bottom w:w="0" w:type="dxa"/>
              <w:right w:w="57" w:type="dxa"/>
            </w:tcMar>
            <w:vAlign w:val="center"/>
          </w:tcPr>
          <w:p>
            <w:pPr>
              <w:numPr>
                <w:ilvl w:val="0"/>
                <w:numId w:val="0"/>
              </w:numPr>
              <w:topLinePunct/>
              <w:adjustRightInd w:val="0"/>
              <w:snapToGrid w:val="0"/>
              <w:ind w:firstLine="880" w:firstLineChars="400"/>
              <w:jc w:val="both"/>
              <w:rPr>
                <w:rFonts w:hint="default" w:eastAsia="宋体"/>
                <w:color w:val="000000"/>
                <w:kern w:val="21"/>
                <w:sz w:val="22"/>
                <w:szCs w:val="22"/>
                <w:lang w:val="en-US" w:eastAsia="zh-CN"/>
              </w:rPr>
            </w:pPr>
            <w:r>
              <w:rPr>
                <w:rFonts w:hint="eastAsia"/>
                <w:color w:val="000000"/>
                <w:kern w:val="21"/>
                <w:sz w:val="22"/>
                <w:szCs w:val="22"/>
                <w:lang w:val="en-US" w:eastAsia="zh-CN"/>
              </w:rPr>
              <w:t>21kW</w:t>
            </w:r>
          </w:p>
        </w:tc>
        <w:tc>
          <w:tcPr>
            <w:tcW w:w="2520" w:type="dxa"/>
            <w:gridSpan w:val="4"/>
            <w:noWrap w:val="0"/>
            <w:tcMar>
              <w:top w:w="0" w:type="dxa"/>
              <w:left w:w="57" w:type="dxa"/>
              <w:bottom w:w="0" w:type="dxa"/>
              <w:right w:w="57" w:type="dxa"/>
            </w:tcMar>
            <w:vAlign w:val="center"/>
          </w:tcPr>
          <w:p>
            <w:pPr>
              <w:numPr>
                <w:ilvl w:val="0"/>
                <w:numId w:val="0"/>
              </w:numPr>
              <w:topLinePunct/>
              <w:adjustRightInd w:val="0"/>
              <w:snapToGrid w:val="0"/>
              <w:jc w:val="center"/>
              <w:rPr>
                <w:color w:val="000000"/>
                <w:kern w:val="21"/>
                <w:sz w:val="22"/>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72" w:type="dxa"/>
            <w:noWrap w:val="0"/>
            <w:vAlign w:val="center"/>
          </w:tcPr>
          <w:p>
            <w:pPr>
              <w:widowControl/>
              <w:adjustRightInd w:val="0"/>
              <w:snapToGrid w:val="0"/>
              <w:jc w:val="center"/>
              <w:rPr>
                <w:rFonts w:hint="default" w:eastAsia="宋体"/>
                <w:color w:val="000000"/>
                <w:kern w:val="21"/>
                <w:sz w:val="22"/>
                <w:szCs w:val="22"/>
                <w:lang w:val="en-US" w:eastAsia="zh-CN"/>
              </w:rPr>
            </w:pPr>
            <w:r>
              <w:rPr>
                <w:rFonts w:hint="eastAsia"/>
                <w:color w:val="000000"/>
                <w:kern w:val="21"/>
                <w:sz w:val="22"/>
                <w:szCs w:val="22"/>
                <w:lang w:val="en-US" w:eastAsia="zh-CN"/>
              </w:rPr>
              <w:t>25</w:t>
            </w:r>
          </w:p>
        </w:tc>
        <w:tc>
          <w:tcPr>
            <w:tcW w:w="1070" w:type="dxa"/>
            <w:noWrap w:val="0"/>
            <w:vAlign w:val="center"/>
          </w:tcPr>
          <w:p>
            <w:pPr>
              <w:widowControl/>
              <w:adjustRightInd w:val="0"/>
              <w:snapToGrid w:val="0"/>
              <w:jc w:val="center"/>
              <w:rPr>
                <w:rFonts w:hint="default" w:eastAsia="宋体"/>
                <w:color w:val="000000"/>
                <w:kern w:val="21"/>
                <w:sz w:val="22"/>
                <w:szCs w:val="22"/>
                <w:lang w:val="en-US" w:eastAsia="zh-CN"/>
              </w:rPr>
            </w:pPr>
            <w:r>
              <w:rPr>
                <w:rFonts w:hint="eastAsia"/>
                <w:color w:val="000000"/>
                <w:kern w:val="21"/>
                <w:sz w:val="22"/>
                <w:szCs w:val="22"/>
                <w:lang w:val="en-US" w:eastAsia="zh-CN"/>
              </w:rPr>
              <w:t>负载损耗</w:t>
            </w:r>
          </w:p>
        </w:tc>
        <w:tc>
          <w:tcPr>
            <w:tcW w:w="901" w:type="dxa"/>
            <w:noWrap w:val="0"/>
            <w:vAlign w:val="center"/>
          </w:tcPr>
          <w:p>
            <w:pPr>
              <w:widowControl/>
              <w:adjustRightInd w:val="0"/>
              <w:snapToGrid w:val="0"/>
              <w:jc w:val="center"/>
              <w:rPr>
                <w:color w:val="000000"/>
                <w:kern w:val="21"/>
                <w:sz w:val="22"/>
                <w:szCs w:val="22"/>
              </w:rPr>
            </w:pPr>
          </w:p>
        </w:tc>
        <w:tc>
          <w:tcPr>
            <w:tcW w:w="1980" w:type="dxa"/>
            <w:gridSpan w:val="2"/>
            <w:noWrap w:val="0"/>
            <w:tcMar>
              <w:top w:w="0" w:type="dxa"/>
              <w:left w:w="57" w:type="dxa"/>
              <w:bottom w:w="0" w:type="dxa"/>
              <w:right w:w="57" w:type="dxa"/>
            </w:tcMar>
            <w:vAlign w:val="center"/>
          </w:tcPr>
          <w:p>
            <w:pPr>
              <w:topLinePunct/>
              <w:adjustRightInd w:val="0"/>
              <w:snapToGrid w:val="0"/>
              <w:jc w:val="center"/>
              <w:rPr>
                <w:rFonts w:hAnsi="宋体"/>
                <w:color w:val="000000"/>
                <w:kern w:val="21"/>
                <w:sz w:val="22"/>
                <w:szCs w:val="22"/>
              </w:rPr>
            </w:pPr>
          </w:p>
        </w:tc>
        <w:tc>
          <w:tcPr>
            <w:tcW w:w="2355" w:type="dxa"/>
            <w:gridSpan w:val="5"/>
            <w:noWrap w:val="0"/>
            <w:tcMar>
              <w:top w:w="0" w:type="dxa"/>
              <w:left w:w="57" w:type="dxa"/>
              <w:bottom w:w="0" w:type="dxa"/>
              <w:right w:w="57" w:type="dxa"/>
            </w:tcMar>
            <w:vAlign w:val="center"/>
          </w:tcPr>
          <w:p>
            <w:pPr>
              <w:numPr>
                <w:ilvl w:val="0"/>
                <w:numId w:val="0"/>
              </w:numPr>
              <w:topLinePunct/>
              <w:adjustRightInd w:val="0"/>
              <w:snapToGrid w:val="0"/>
              <w:jc w:val="center"/>
              <w:rPr>
                <w:rFonts w:hint="default" w:eastAsia="宋体"/>
                <w:color w:val="000000"/>
                <w:kern w:val="21"/>
                <w:sz w:val="22"/>
                <w:szCs w:val="22"/>
                <w:lang w:val="en-US" w:eastAsia="zh-CN"/>
              </w:rPr>
            </w:pPr>
            <w:r>
              <w:rPr>
                <w:rFonts w:hint="eastAsia"/>
                <w:color w:val="000000"/>
                <w:kern w:val="21"/>
                <w:sz w:val="22"/>
                <w:szCs w:val="22"/>
                <w:lang w:val="en-US" w:eastAsia="zh-CN"/>
              </w:rPr>
              <w:t>140kW</w:t>
            </w:r>
          </w:p>
        </w:tc>
        <w:tc>
          <w:tcPr>
            <w:tcW w:w="2520" w:type="dxa"/>
            <w:gridSpan w:val="4"/>
            <w:noWrap w:val="0"/>
            <w:tcMar>
              <w:top w:w="0" w:type="dxa"/>
              <w:left w:w="57" w:type="dxa"/>
              <w:bottom w:w="0" w:type="dxa"/>
              <w:right w:w="57" w:type="dxa"/>
            </w:tcMar>
            <w:vAlign w:val="center"/>
          </w:tcPr>
          <w:p>
            <w:pPr>
              <w:numPr>
                <w:ilvl w:val="0"/>
                <w:numId w:val="0"/>
              </w:numPr>
              <w:topLinePunct/>
              <w:adjustRightInd w:val="0"/>
              <w:snapToGrid w:val="0"/>
              <w:jc w:val="center"/>
              <w:rPr>
                <w:color w:val="000000"/>
                <w:kern w:val="21"/>
                <w:sz w:val="22"/>
                <w:szCs w:val="22"/>
              </w:rPr>
            </w:pPr>
          </w:p>
        </w:tc>
      </w:tr>
    </w:tbl>
    <w:p>
      <w:pPr>
        <w:spacing w:line="360" w:lineRule="auto"/>
        <w:ind w:firstLine="560" w:firstLineChars="200"/>
        <w:rPr>
          <w:rFonts w:hint="eastAsia" w:ascii="宋体" w:cs="宋体"/>
          <w:kern w:val="0"/>
          <w:sz w:val="28"/>
          <w:szCs w:val="28"/>
          <w:lang w:val="en-US" w:eastAsia="zh-CN"/>
        </w:rPr>
      </w:pPr>
      <w:r>
        <w:rPr>
          <w:rFonts w:hint="eastAsia" w:ascii="宋体" w:cs="宋体"/>
          <w:color w:val="000000" w:themeColor="text1"/>
          <w:kern w:val="0"/>
          <w:sz w:val="28"/>
          <w:szCs w:val="28"/>
          <w:lang w:val="en-US" w:eastAsia="zh-CN"/>
          <w14:textFill>
            <w14:solidFill>
              <w14:schemeClr w14:val="tx1"/>
            </w14:solidFill>
          </w14:textFill>
        </w:rPr>
        <w:t>4</w:t>
      </w:r>
      <w:r>
        <w:rPr>
          <w:rFonts w:hint="eastAsia" w:ascii="宋体" w:cs="宋体"/>
          <w:color w:val="000000" w:themeColor="text1"/>
          <w:kern w:val="0"/>
          <w:sz w:val="28"/>
          <w:szCs w:val="28"/>
          <w14:textFill>
            <w14:solidFill>
              <w14:schemeClr w14:val="tx1"/>
            </w14:solidFill>
          </w14:textFill>
        </w:rPr>
        <w:t>M</w:t>
      </w:r>
      <w:r>
        <w:rPr>
          <w:rFonts w:hint="eastAsia" w:ascii="宋体" w:cs="宋体"/>
          <w:kern w:val="0"/>
          <w:sz w:val="28"/>
          <w:szCs w:val="28"/>
        </w:rPr>
        <w:t>VA</w:t>
      </w:r>
      <w:r>
        <w:rPr>
          <w:rFonts w:hint="eastAsia" w:ascii="宋体" w:cs="宋体"/>
          <w:kern w:val="0"/>
          <w:sz w:val="28"/>
          <w:szCs w:val="28"/>
          <w:lang w:val="en-US" w:eastAsia="zh-CN"/>
        </w:rPr>
        <w:t>主变技术要求：</w:t>
      </w:r>
    </w:p>
    <w:p>
      <w:pPr>
        <w:spacing w:line="360" w:lineRule="auto"/>
        <w:ind w:firstLine="560" w:firstLineChars="200"/>
        <w:rPr>
          <w:rFonts w:hint="eastAsia" w:ascii="宋体" w:cs="宋体"/>
          <w:kern w:val="0"/>
          <w:sz w:val="28"/>
          <w:szCs w:val="28"/>
          <w:lang w:val="en-US" w:eastAsia="zh-CN"/>
        </w:rPr>
      </w:pPr>
      <w:r>
        <w:rPr>
          <w:rFonts w:hint="eastAsia" w:ascii="宋体" w:cs="宋体"/>
          <w:color w:val="000000" w:themeColor="text1"/>
          <w:kern w:val="0"/>
          <w:sz w:val="28"/>
          <w:szCs w:val="28"/>
          <w:lang w:val="en-US" w:eastAsia="zh-CN"/>
          <w14:textFill>
            <w14:solidFill>
              <w14:schemeClr w14:val="tx1"/>
            </w14:solidFill>
          </w14:textFill>
        </w:rPr>
        <w:t>1.25</w:t>
      </w:r>
      <w:r>
        <w:rPr>
          <w:rFonts w:hint="eastAsia" w:ascii="宋体" w:cs="宋体"/>
          <w:color w:val="000000" w:themeColor="text1"/>
          <w:kern w:val="0"/>
          <w:sz w:val="28"/>
          <w:szCs w:val="28"/>
          <w14:textFill>
            <w14:solidFill>
              <w14:schemeClr w14:val="tx1"/>
            </w14:solidFill>
          </w14:textFill>
        </w:rPr>
        <w:t>M</w:t>
      </w:r>
      <w:r>
        <w:rPr>
          <w:rFonts w:hint="eastAsia" w:ascii="宋体" w:cs="宋体"/>
          <w:kern w:val="0"/>
          <w:sz w:val="28"/>
          <w:szCs w:val="28"/>
        </w:rPr>
        <w:t>VA</w:t>
      </w:r>
      <w:r>
        <w:rPr>
          <w:rFonts w:hint="eastAsia" w:ascii="宋体" w:cs="宋体"/>
          <w:kern w:val="0"/>
          <w:sz w:val="28"/>
          <w:szCs w:val="28"/>
          <w:lang w:val="en-US" w:eastAsia="zh-CN"/>
        </w:rPr>
        <w:t>主变技术要求：</w:t>
      </w:r>
    </w:p>
    <w:tbl>
      <w:tblPr>
        <w:tblStyle w:val="63"/>
        <w:tblW w:w="9598"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72"/>
        <w:gridCol w:w="1070"/>
        <w:gridCol w:w="901"/>
        <w:gridCol w:w="384"/>
        <w:gridCol w:w="1596"/>
        <w:gridCol w:w="696"/>
        <w:gridCol w:w="316"/>
        <w:gridCol w:w="86"/>
        <w:gridCol w:w="432"/>
        <w:gridCol w:w="825"/>
        <w:gridCol w:w="700"/>
        <w:gridCol w:w="380"/>
        <w:gridCol w:w="358"/>
        <w:gridCol w:w="108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772" w:type="dxa"/>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序号</w:t>
            </w:r>
          </w:p>
        </w:tc>
        <w:tc>
          <w:tcPr>
            <w:tcW w:w="1070"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名称</w:t>
            </w:r>
          </w:p>
        </w:tc>
        <w:tc>
          <w:tcPr>
            <w:tcW w:w="2881"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hint="eastAsia"/>
                <w:b w:val="0"/>
                <w:i w:val="0"/>
                <w:caps w:val="0"/>
                <w:spacing w:val="0"/>
                <w:w w:val="100"/>
                <w:sz w:val="22"/>
                <w:szCs w:val="28"/>
              </w:rPr>
              <w:t>项目</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hint="eastAsia"/>
                <w:b w:val="0"/>
                <w:i w:val="0"/>
                <w:caps w:val="0"/>
                <w:spacing w:val="0"/>
                <w:w w:val="100"/>
                <w:sz w:val="22"/>
                <w:szCs w:val="28"/>
              </w:rPr>
              <w:t>标准参数值</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hint="eastAsia"/>
                <w:b w:val="0"/>
                <w:i w:val="0"/>
                <w:caps w:val="0"/>
                <w:spacing w:val="0"/>
                <w:w w:val="100"/>
                <w:sz w:val="22"/>
                <w:szCs w:val="28"/>
                <w:lang w:val="en-US" w:eastAsia="zh-CN"/>
              </w:rPr>
              <w:t>投标单位</w:t>
            </w:r>
            <w:r>
              <w:rPr>
                <w:rFonts w:ascii="Times New Roman" w:hAnsi="Times New Roman"/>
                <w:b w:val="0"/>
                <w:i w:val="0"/>
                <w:caps w:val="0"/>
                <w:spacing w:val="0"/>
                <w:w w:val="100"/>
                <w:sz w:val="22"/>
                <w:szCs w:val="28"/>
              </w:rPr>
              <w:t>保证值</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w:t>
            </w:r>
          </w:p>
        </w:tc>
        <w:tc>
          <w:tcPr>
            <w:tcW w:w="1070"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额定值*</w:t>
            </w: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变压器型式或型号</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SZ-12500/110</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285" w:type="dxa"/>
            <w:gridSpan w:val="2"/>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a. 额定电压(kV)</w:t>
            </w:r>
          </w:p>
        </w:tc>
        <w:tc>
          <w:tcPr>
            <w:tcW w:w="1596"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高压绕组</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110</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285" w:type="dxa"/>
            <w:gridSpan w:val="2"/>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596"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低压绕组</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10.5</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b. 额定频率(Hz)</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50</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285" w:type="dxa"/>
            <w:gridSpan w:val="2"/>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c. 额定容量(MVA)</w:t>
            </w:r>
          </w:p>
        </w:tc>
        <w:tc>
          <w:tcPr>
            <w:tcW w:w="1596"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高压绕组</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12.5</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285" w:type="dxa"/>
            <w:gridSpan w:val="2"/>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596"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低压绕组</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12.5</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d. 相数</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3</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e. 调压方式</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有载</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f. 调压位置</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高压中性点</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g. 调压范围</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±8×1.25％</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h. 中性点接地方式</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直接接地或不直接接地</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i. 主分接的短路阻抗和允许偏差(全容量下)</w:t>
            </w:r>
          </w:p>
        </w:tc>
        <w:tc>
          <w:tcPr>
            <w:tcW w:w="1098"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hint="eastAsia" w:ascii="Times New Roman" w:hAnsi="Times New Roman" w:eastAsia="宋体"/>
                <w:b w:val="0"/>
                <w:i w:val="0"/>
                <w:caps w:val="0"/>
                <w:spacing w:val="0"/>
                <w:w w:val="100"/>
                <w:sz w:val="22"/>
                <w:szCs w:val="28"/>
                <w:lang w:eastAsia="zh-CN"/>
              </w:rPr>
            </w:pPr>
            <w:r>
              <w:rPr>
                <w:rFonts w:ascii="Times New Roman" w:hAnsi="Times New Roman"/>
                <w:b w:val="0"/>
                <w:i w:val="0"/>
                <w:caps w:val="0"/>
                <w:spacing w:val="0"/>
                <w:w w:val="100"/>
                <w:sz w:val="22"/>
                <w:szCs w:val="28"/>
              </w:rPr>
              <w:t>短路阻抗</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p>
        </w:tc>
        <w:tc>
          <w:tcPr>
            <w:tcW w:w="1257"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hint="eastAsia" w:ascii="Times New Roman" w:hAnsi="Times New Roman" w:eastAsia="宋体"/>
                <w:b w:val="0"/>
                <w:i w:val="0"/>
                <w:caps w:val="0"/>
                <w:spacing w:val="0"/>
                <w:w w:val="100"/>
                <w:sz w:val="22"/>
                <w:szCs w:val="28"/>
                <w:lang w:eastAsia="zh-CN"/>
              </w:rPr>
            </w:pPr>
            <w:r>
              <w:rPr>
                <w:rFonts w:ascii="Times New Roman" w:hAnsi="Times New Roman"/>
                <w:b w:val="0"/>
                <w:i w:val="0"/>
                <w:caps w:val="0"/>
                <w:spacing w:val="0"/>
                <w:w w:val="100"/>
                <w:sz w:val="22"/>
                <w:szCs w:val="28"/>
              </w:rPr>
              <w:t>允许偏差</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p>
        </w:tc>
        <w:tc>
          <w:tcPr>
            <w:tcW w:w="10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44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高压—低压</w:t>
            </w:r>
          </w:p>
        </w:tc>
        <w:tc>
          <w:tcPr>
            <w:tcW w:w="1098"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hint="eastAsia"/>
                <w:b w:val="0"/>
                <w:i w:val="0"/>
                <w:caps w:val="0"/>
                <w:spacing w:val="0"/>
                <w:w w:val="100"/>
                <w:sz w:val="22"/>
                <w:szCs w:val="28"/>
              </w:rPr>
              <w:t>1</w:t>
            </w:r>
            <w:r>
              <w:rPr>
                <w:rFonts w:ascii="Times New Roman" w:hAnsi="Times New Roman"/>
                <w:b w:val="0"/>
                <w:i w:val="0"/>
                <w:caps w:val="0"/>
                <w:spacing w:val="0"/>
                <w:w w:val="100"/>
                <w:sz w:val="22"/>
                <w:szCs w:val="28"/>
              </w:rPr>
              <w:t>0.5</w:t>
            </w:r>
          </w:p>
        </w:tc>
        <w:tc>
          <w:tcPr>
            <w:tcW w:w="1257"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±7.5</w:t>
            </w:r>
          </w:p>
        </w:tc>
        <w:tc>
          <w:tcPr>
            <w:tcW w:w="10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44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j. 冷却方式</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ONAN</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k. 联结组标号</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YNd11</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2</w:t>
            </w:r>
          </w:p>
        </w:tc>
        <w:tc>
          <w:tcPr>
            <w:tcW w:w="1070"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绝缘水平*</w:t>
            </w:r>
          </w:p>
        </w:tc>
        <w:tc>
          <w:tcPr>
            <w:tcW w:w="1285" w:type="dxa"/>
            <w:gridSpan w:val="2"/>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a. 雷电全波冲击电压(kV，峰值)</w:t>
            </w:r>
          </w:p>
        </w:tc>
        <w:tc>
          <w:tcPr>
            <w:tcW w:w="1596"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高压线端</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480</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285" w:type="dxa"/>
            <w:gridSpan w:val="2"/>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596"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低压线端</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75　</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285" w:type="dxa"/>
            <w:gridSpan w:val="2"/>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596"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中性点端子</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325</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285" w:type="dxa"/>
            <w:gridSpan w:val="2"/>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b. 雷电截波冲击电压(kV，峰值)</w:t>
            </w:r>
          </w:p>
        </w:tc>
        <w:tc>
          <w:tcPr>
            <w:tcW w:w="1596"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高压线端</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530</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285" w:type="dxa"/>
            <w:gridSpan w:val="2"/>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596"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低压线端</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85　</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285" w:type="dxa"/>
            <w:gridSpan w:val="2"/>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c. 短时工频耐受电压(kV，方均根值)</w:t>
            </w:r>
          </w:p>
        </w:tc>
        <w:tc>
          <w:tcPr>
            <w:tcW w:w="1596"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高压线端</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200</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285" w:type="dxa"/>
            <w:gridSpan w:val="2"/>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596"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低压线端</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35　</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285" w:type="dxa"/>
            <w:gridSpan w:val="2"/>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596"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中性点端子</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140</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3</w:t>
            </w:r>
          </w:p>
        </w:tc>
        <w:tc>
          <w:tcPr>
            <w:tcW w:w="1070"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温升限值(K)</w:t>
            </w: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顶层油</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55</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绕组(平均)</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65</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绕组(热点)</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78</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油箱、铁心及金属结构件表面</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75</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4</w:t>
            </w:r>
          </w:p>
        </w:tc>
        <w:tc>
          <w:tcPr>
            <w:tcW w:w="1070"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极限分接下短路阻抗和允许偏差(全容量下)</w:t>
            </w:r>
          </w:p>
        </w:tc>
        <w:tc>
          <w:tcPr>
            <w:tcW w:w="2881"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a. 最大分接</w:t>
            </w:r>
          </w:p>
        </w:tc>
        <w:tc>
          <w:tcPr>
            <w:tcW w:w="1098"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hint="eastAsia" w:ascii="Times New Roman" w:hAnsi="Times New Roman" w:eastAsia="宋体"/>
                <w:b w:val="0"/>
                <w:i w:val="0"/>
                <w:caps w:val="0"/>
                <w:spacing w:val="0"/>
                <w:w w:val="100"/>
                <w:sz w:val="22"/>
                <w:szCs w:val="28"/>
                <w:lang w:eastAsia="zh-CN"/>
              </w:rPr>
            </w:pPr>
            <w:r>
              <w:rPr>
                <w:rFonts w:ascii="Times New Roman" w:hAnsi="Times New Roman"/>
                <w:b w:val="0"/>
                <w:i w:val="0"/>
                <w:caps w:val="0"/>
                <w:spacing w:val="0"/>
                <w:w w:val="100"/>
                <w:sz w:val="22"/>
                <w:szCs w:val="28"/>
              </w:rPr>
              <w:t>短路阻抗</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p>
        </w:tc>
        <w:tc>
          <w:tcPr>
            <w:tcW w:w="1257"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hint="eastAsia" w:ascii="Times New Roman" w:hAnsi="Times New Roman" w:eastAsia="宋体"/>
                <w:b w:val="0"/>
                <w:i w:val="0"/>
                <w:caps w:val="0"/>
                <w:spacing w:val="0"/>
                <w:w w:val="100"/>
                <w:sz w:val="22"/>
                <w:szCs w:val="28"/>
                <w:lang w:eastAsia="zh-CN"/>
              </w:rPr>
            </w:pPr>
            <w:r>
              <w:rPr>
                <w:rFonts w:ascii="Times New Roman" w:hAnsi="Times New Roman"/>
                <w:b w:val="0"/>
                <w:i w:val="0"/>
                <w:caps w:val="0"/>
                <w:spacing w:val="0"/>
                <w:w w:val="100"/>
                <w:sz w:val="22"/>
                <w:szCs w:val="28"/>
              </w:rPr>
              <w:t>允许偏差</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p>
        </w:tc>
        <w:tc>
          <w:tcPr>
            <w:tcW w:w="10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44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高压—低压</w:t>
            </w:r>
          </w:p>
        </w:tc>
        <w:tc>
          <w:tcPr>
            <w:tcW w:w="1098"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1257"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±10</w:t>
            </w:r>
          </w:p>
        </w:tc>
        <w:tc>
          <w:tcPr>
            <w:tcW w:w="10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6"/>
                <w:w w:val="100"/>
                <w:sz w:val="22"/>
                <w:szCs w:val="28"/>
              </w:rPr>
            </w:pPr>
          </w:p>
        </w:tc>
        <w:tc>
          <w:tcPr>
            <w:tcW w:w="144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6"/>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b. 最小分接</w:t>
            </w:r>
          </w:p>
        </w:tc>
        <w:tc>
          <w:tcPr>
            <w:tcW w:w="1098"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hint="eastAsia" w:ascii="Times New Roman" w:hAnsi="Times New Roman" w:eastAsia="宋体"/>
                <w:b w:val="0"/>
                <w:i w:val="0"/>
                <w:caps w:val="0"/>
                <w:spacing w:val="0"/>
                <w:w w:val="100"/>
                <w:sz w:val="22"/>
                <w:szCs w:val="28"/>
                <w:lang w:eastAsia="zh-CN"/>
              </w:rPr>
            </w:pPr>
            <w:r>
              <w:rPr>
                <w:rFonts w:ascii="Times New Roman" w:hAnsi="Times New Roman"/>
                <w:b w:val="0"/>
                <w:i w:val="0"/>
                <w:caps w:val="0"/>
                <w:spacing w:val="0"/>
                <w:w w:val="100"/>
                <w:sz w:val="22"/>
                <w:szCs w:val="28"/>
              </w:rPr>
              <w:t>短路阻抗</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p>
        </w:tc>
        <w:tc>
          <w:tcPr>
            <w:tcW w:w="1257"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hint="eastAsia" w:ascii="Times New Roman" w:hAnsi="Times New Roman" w:eastAsia="宋体"/>
                <w:b w:val="0"/>
                <w:i w:val="0"/>
                <w:caps w:val="0"/>
                <w:spacing w:val="0"/>
                <w:w w:val="100"/>
                <w:sz w:val="22"/>
                <w:szCs w:val="28"/>
                <w:lang w:eastAsia="zh-CN"/>
              </w:rPr>
            </w:pPr>
            <w:r>
              <w:rPr>
                <w:rFonts w:ascii="Times New Roman" w:hAnsi="Times New Roman"/>
                <w:b w:val="0"/>
                <w:i w:val="0"/>
                <w:caps w:val="0"/>
                <w:spacing w:val="0"/>
                <w:w w:val="100"/>
                <w:sz w:val="22"/>
                <w:szCs w:val="28"/>
              </w:rPr>
              <w:t>允许偏差</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p>
        </w:tc>
        <w:tc>
          <w:tcPr>
            <w:tcW w:w="10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6"/>
                <w:w w:val="100"/>
                <w:sz w:val="22"/>
                <w:szCs w:val="28"/>
              </w:rPr>
            </w:pPr>
          </w:p>
        </w:tc>
        <w:tc>
          <w:tcPr>
            <w:tcW w:w="144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高压—低压</w:t>
            </w:r>
          </w:p>
        </w:tc>
        <w:tc>
          <w:tcPr>
            <w:tcW w:w="1098"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1257"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±10</w:t>
            </w:r>
          </w:p>
        </w:tc>
        <w:tc>
          <w:tcPr>
            <w:tcW w:w="10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6"/>
                <w:w w:val="100"/>
                <w:sz w:val="22"/>
                <w:szCs w:val="28"/>
              </w:rPr>
            </w:pPr>
          </w:p>
        </w:tc>
        <w:tc>
          <w:tcPr>
            <w:tcW w:w="144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6"/>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5</w:t>
            </w:r>
          </w:p>
        </w:tc>
        <w:tc>
          <w:tcPr>
            <w:tcW w:w="1070"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绕组电阻</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18"/>
                <w:szCs w:val="28"/>
              </w:rPr>
              <w:t>(</w:t>
            </w:r>
            <w:r>
              <w:rPr>
                <w:rFonts w:ascii="Times New Roman" w:hAnsi="Times New Roman"/>
                <w:b w:val="0"/>
                <w:i w:val="0"/>
                <w:caps w:val="0"/>
                <w:spacing w:val="0"/>
                <w:w w:val="100"/>
                <w:sz w:val="22"/>
                <w:szCs w:val="28"/>
              </w:rPr>
              <w:t>Ω</w:t>
            </w:r>
            <w:r>
              <w:rPr>
                <w:rFonts w:ascii="Times New Roman" w:hAnsi="Times New Roman"/>
                <w:b w:val="0"/>
                <w:i w:val="0"/>
                <w:caps w:val="0"/>
                <w:spacing w:val="0"/>
                <w:w w:val="100"/>
                <w:sz w:val="18"/>
                <w:szCs w:val="28"/>
              </w:rPr>
              <w:t>，75℃)</w:t>
            </w:r>
          </w:p>
        </w:tc>
        <w:tc>
          <w:tcPr>
            <w:tcW w:w="1285" w:type="dxa"/>
            <w:gridSpan w:val="2"/>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a. 高压绕组</w:t>
            </w:r>
          </w:p>
        </w:tc>
        <w:tc>
          <w:tcPr>
            <w:tcW w:w="1596"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主分接</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285" w:type="dxa"/>
            <w:gridSpan w:val="2"/>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596"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最大分接</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285" w:type="dxa"/>
            <w:gridSpan w:val="2"/>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596"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最小分接</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b. 低压绕组</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宋体"/>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6</w:t>
            </w:r>
          </w:p>
        </w:tc>
        <w:tc>
          <w:tcPr>
            <w:tcW w:w="1070"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电流密度(A/mm</w:t>
            </w:r>
            <w:r>
              <w:rPr>
                <w:rFonts w:ascii="Times New Roman" w:hAnsi="Times New Roman"/>
                <w:b w:val="0"/>
                <w:i w:val="0"/>
                <w:caps w:val="0"/>
                <w:spacing w:val="0"/>
                <w:w w:val="100"/>
                <w:sz w:val="22"/>
                <w:szCs w:val="28"/>
                <w:vertAlign w:val="superscript"/>
              </w:rPr>
              <w:t>2</w:t>
            </w:r>
            <w:r>
              <w:rPr>
                <w:rFonts w:ascii="Times New Roman" w:hAnsi="Times New Roman"/>
                <w:b w:val="0"/>
                <w:i w:val="0"/>
                <w:caps w:val="0"/>
                <w:spacing w:val="0"/>
                <w:w w:val="100"/>
                <w:sz w:val="22"/>
                <w:szCs w:val="28"/>
              </w:rPr>
              <w:t>)</w:t>
            </w: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a. 高压绕组</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宋体"/>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b. 低压绕组</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宋体"/>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c. 调压绕组</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宋体"/>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7</w:t>
            </w:r>
          </w:p>
        </w:tc>
        <w:tc>
          <w:tcPr>
            <w:tcW w:w="1070"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hint="eastAsia" w:ascii="Times New Roman" w:hAnsi="Times New Roman" w:eastAsia="宋体"/>
                <w:b w:val="0"/>
                <w:i w:val="0"/>
                <w:caps w:val="0"/>
                <w:spacing w:val="0"/>
                <w:w w:val="100"/>
                <w:sz w:val="22"/>
                <w:szCs w:val="28"/>
                <w:lang w:eastAsia="zh-CN"/>
              </w:rPr>
            </w:pPr>
            <w:r>
              <w:rPr>
                <w:rFonts w:ascii="Times New Roman" w:hAnsi="Times New Roman"/>
                <w:b w:val="0"/>
                <w:i w:val="0"/>
                <w:caps w:val="0"/>
                <w:spacing w:val="0"/>
                <w:w w:val="100"/>
                <w:sz w:val="22"/>
                <w:szCs w:val="28"/>
              </w:rPr>
              <w:t>匝间最大工作场强</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(kV/mm)</w:t>
            </w: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设计值</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8</w:t>
            </w:r>
          </w:p>
        </w:tc>
        <w:tc>
          <w:tcPr>
            <w:tcW w:w="1070"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铁心参数</w:t>
            </w: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hint="eastAsia" w:ascii="Times New Roman" w:hAnsi="Times New Roman" w:eastAsia="宋体"/>
                <w:b w:val="0"/>
                <w:i w:val="0"/>
                <w:caps w:val="0"/>
                <w:spacing w:val="0"/>
                <w:w w:val="100"/>
                <w:sz w:val="22"/>
                <w:szCs w:val="28"/>
                <w:lang w:eastAsia="zh-CN"/>
              </w:rPr>
            </w:pPr>
            <w:r>
              <w:rPr>
                <w:rFonts w:ascii="Times New Roman" w:hAnsi="Times New Roman"/>
                <w:b w:val="0"/>
                <w:i w:val="0"/>
                <w:caps w:val="0"/>
                <w:spacing w:val="0"/>
                <w:w w:val="100"/>
                <w:sz w:val="22"/>
                <w:szCs w:val="28"/>
              </w:rPr>
              <w:t>铁心柱磁通密度(额定电压、</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额定频率时)(T)</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硅钢片比损耗(W/kg)</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eastAsia="等线"/>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铁心计算总质量(t)</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9</w:t>
            </w:r>
          </w:p>
        </w:tc>
        <w:tc>
          <w:tcPr>
            <w:tcW w:w="1070"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空载损耗</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(kW)</w:t>
            </w: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额定频率额定电压时空载损耗</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hint="eastAsia" w:ascii="宋体"/>
                <w:b w:val="0"/>
                <w:i w:val="0"/>
                <w:caps w:val="0"/>
                <w:spacing w:val="0"/>
                <w:w w:val="100"/>
                <w:sz w:val="20"/>
                <w:szCs w:val="20"/>
              </w:rPr>
              <w:t>≤</w:t>
            </w:r>
            <w:r>
              <w:rPr>
                <w:rFonts w:ascii="Times New Roman" w:hAnsi="Times New Roman"/>
                <w:b w:val="0"/>
                <w:i w:val="0"/>
                <w:caps w:val="0"/>
                <w:spacing w:val="0"/>
                <w:w w:val="100"/>
                <w:sz w:val="20"/>
                <w:szCs w:val="20"/>
              </w:rPr>
              <w:t>8.7</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hint="eastAsia" w:ascii="Times New Roman" w:hAnsi="Times New Roman" w:eastAsia="宋体"/>
                <w:b w:val="0"/>
                <w:i w:val="0"/>
                <w:caps w:val="0"/>
                <w:spacing w:val="0"/>
                <w:w w:val="100"/>
                <w:sz w:val="22"/>
                <w:szCs w:val="28"/>
                <w:lang w:eastAsia="zh-CN"/>
              </w:rPr>
            </w:pPr>
            <w:r>
              <w:rPr>
                <w:rFonts w:ascii="Times New Roman" w:hAnsi="Times New Roman"/>
                <w:b w:val="0"/>
                <w:i w:val="0"/>
                <w:caps w:val="0"/>
                <w:spacing w:val="0"/>
                <w:w w:val="100"/>
                <w:sz w:val="22"/>
                <w:szCs w:val="28"/>
              </w:rPr>
              <w:t>额定频率1.1倍额定电压</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时空载损耗</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10</w:t>
            </w:r>
          </w:p>
        </w:tc>
        <w:tc>
          <w:tcPr>
            <w:tcW w:w="1070"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空载电流(％)</w:t>
            </w: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a. 100％额定电压时</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b. 110％额定电压时</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11</w:t>
            </w:r>
          </w:p>
        </w:tc>
        <w:tc>
          <w:tcPr>
            <w:tcW w:w="1070"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负载损耗(kW、75℃)</w:t>
            </w:r>
          </w:p>
        </w:tc>
        <w:tc>
          <w:tcPr>
            <w:tcW w:w="901"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高压—低压</w:t>
            </w: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主分接</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hint="eastAsia" w:ascii="宋体"/>
                <w:b w:val="0"/>
                <w:i w:val="0"/>
                <w:caps w:val="0"/>
                <w:spacing w:val="0"/>
                <w:w w:val="100"/>
                <w:sz w:val="20"/>
                <w:szCs w:val="20"/>
              </w:rPr>
              <w:t>≤</w:t>
            </w:r>
            <w:r>
              <w:rPr>
                <w:rFonts w:eastAsia="Times New Roman"/>
                <w:b w:val="0"/>
                <w:i w:val="0"/>
                <w:caps w:val="0"/>
                <w:spacing w:val="0"/>
                <w:w w:val="100"/>
                <w:sz w:val="20"/>
                <w:szCs w:val="20"/>
              </w:rPr>
              <w:t>53</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其中杂散损耗</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宋体"/>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最大分接</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宋体"/>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其中杂散损耗</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宋体"/>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highlight w:val="yellow"/>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highlight w:val="yellow"/>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highlight w:val="yellow"/>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最小分接</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宋体"/>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highlight w:val="yellow"/>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highlight w:val="yellow"/>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highlight w:val="yellow"/>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其中杂散损耗</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宋体"/>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12</w:t>
            </w:r>
          </w:p>
        </w:tc>
        <w:tc>
          <w:tcPr>
            <w:tcW w:w="1070"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噪声水平dB(A)</w:t>
            </w: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空载状态下</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≤65</w:t>
            </w:r>
          </w:p>
        </w:tc>
        <w:tc>
          <w:tcPr>
            <w:tcW w:w="2520" w:type="dxa"/>
            <w:gridSpan w:val="4"/>
            <w:tcMar>
              <w:top w:w="0" w:type="dxa"/>
              <w:left w:w="57" w:type="dxa"/>
              <w:bottom w:w="0" w:type="dxa"/>
              <w:right w:w="57" w:type="dxa"/>
            </w:tcMa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100％负荷状态下</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≤65</w:t>
            </w:r>
          </w:p>
        </w:tc>
        <w:tc>
          <w:tcPr>
            <w:tcW w:w="2520" w:type="dxa"/>
            <w:gridSpan w:val="4"/>
            <w:tcMar>
              <w:top w:w="0" w:type="dxa"/>
              <w:left w:w="57" w:type="dxa"/>
              <w:bottom w:w="0" w:type="dxa"/>
              <w:right w:w="57" w:type="dxa"/>
            </w:tcMa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13</w:t>
            </w:r>
          </w:p>
        </w:tc>
        <w:tc>
          <w:tcPr>
            <w:tcW w:w="1070"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可承受的2s出口对称短路电流值(kA)(忽略系统阻抗)</w:t>
            </w: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高压绕组</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低压绕组</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短路2s后绕组平均温度计算值(℃)</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＜250</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14</w:t>
            </w:r>
          </w:p>
        </w:tc>
        <w:tc>
          <w:tcPr>
            <w:tcW w:w="1070"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在1.5×</w:t>
            </w:r>
            <w:r>
              <w:rPr>
                <w:rFonts w:ascii="Times New Roman" w:hAnsi="Times New Roman"/>
                <w:b w:val="0"/>
                <w:i/>
                <w:caps w:val="0"/>
                <w:spacing w:val="0"/>
                <w:w w:val="100"/>
                <w:sz w:val="22"/>
                <w:szCs w:val="28"/>
              </w:rPr>
              <w:t>U</w:t>
            </w:r>
            <w:r>
              <w:rPr>
                <w:rFonts w:ascii="Times New Roman" w:hAnsi="Times New Roman"/>
                <w:b w:val="0"/>
                <w:i w:val="0"/>
                <w:caps w:val="0"/>
                <w:spacing w:val="0"/>
                <w:w w:val="100"/>
                <w:sz w:val="22"/>
                <w:szCs w:val="28"/>
                <w:vertAlign w:val="subscript"/>
              </w:rPr>
              <w:t>m</w:t>
            </w:r>
            <w:r>
              <w:rPr>
                <w:rFonts w:ascii="Times New Roman" w:hAnsi="Times New Roman"/>
                <w:b w:val="0"/>
                <w:i w:val="0"/>
                <w:caps w:val="0"/>
                <w:spacing w:val="0"/>
                <w:w w:val="100"/>
                <w:sz w:val="22"/>
                <w:szCs w:val="28"/>
              </w:rPr>
              <w:t xml:space="preserve">/ </w:t>
            </w:r>
            <w:r>
              <w:rPr>
                <w:rFonts w:ascii="Times New Roman" w:hAnsi="Times New Roman"/>
                <w:b w:val="0"/>
                <w:i w:val="0"/>
                <w:caps w:val="0"/>
                <w:spacing w:val="0"/>
                <w:w w:val="100"/>
                <w:position w:val="-6"/>
                <w:sz w:val="22"/>
                <w:szCs w:val="28"/>
              </w:rPr>
              <w:drawing>
                <wp:inline distT="0" distB="0" distL="0" distR="0">
                  <wp:extent cx="190500" cy="180975"/>
                  <wp:effectExtent l="0" t="0" r="0" b="762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190500" cy="180975"/>
                          </a:xfrm>
                          <a:prstGeom prst="rect">
                            <a:avLst/>
                          </a:prstGeom>
                          <a:noFill/>
                          <a:ln>
                            <a:noFill/>
                          </a:ln>
                        </pic:spPr>
                      </pic:pic>
                    </a:graphicData>
                  </a:graphic>
                </wp:inline>
              </w:drawing>
            </w:r>
            <w:r>
              <w:rPr>
                <w:rFonts w:ascii="Times New Roman" w:hAnsi="Times New Roman"/>
                <w:b w:val="0"/>
                <w:i w:val="0"/>
                <w:caps w:val="0"/>
                <w:spacing w:val="0"/>
                <w:w w:val="100"/>
                <w:sz w:val="22"/>
                <w:szCs w:val="28"/>
              </w:rPr>
              <w:t>kV下局部放电水平(pC)</w:t>
            </w: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高压绕组</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≤100</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低压绕组</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15</w:t>
            </w:r>
          </w:p>
        </w:tc>
        <w:tc>
          <w:tcPr>
            <w:tcW w:w="1070"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绕组连同套管的tan</w:t>
            </w:r>
            <w:r>
              <w:rPr>
                <w:rFonts w:ascii="Times New Roman" w:hAnsi="Times New Roman"/>
                <w:b w:val="0"/>
                <w:i/>
                <w:caps w:val="0"/>
                <w:spacing w:val="0"/>
                <w:w w:val="100"/>
                <w:sz w:val="22"/>
                <w:szCs w:val="28"/>
              </w:rPr>
              <w:t></w:t>
            </w:r>
            <w:r>
              <w:rPr>
                <w:rFonts w:ascii="Times New Roman" w:hAnsi="Times New Roman"/>
                <w:b w:val="0"/>
                <w:i w:val="0"/>
                <w:caps w:val="0"/>
                <w:spacing w:val="0"/>
                <w:w w:val="100"/>
                <w:sz w:val="22"/>
                <w:szCs w:val="28"/>
              </w:rPr>
              <w:t>(％)</w:t>
            </w: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高压绕组</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≤0.5</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低压绕组</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≤0.5</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16</w:t>
            </w:r>
          </w:p>
        </w:tc>
        <w:tc>
          <w:tcPr>
            <w:tcW w:w="1070"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质量和尺寸(如有限值</w:t>
            </w:r>
            <w:r>
              <w:rPr>
                <w:rFonts w:hint="eastAsia"/>
                <w:b w:val="0"/>
                <w:i w:val="0"/>
                <w:caps w:val="0"/>
                <w:spacing w:val="0"/>
                <w:w w:val="100"/>
                <w:sz w:val="22"/>
                <w:szCs w:val="28"/>
                <w:lang w:eastAsia="zh-CN"/>
              </w:rPr>
              <w:t>招标单位</w:t>
            </w:r>
            <w:r>
              <w:rPr>
                <w:rFonts w:ascii="Times New Roman" w:hAnsi="Times New Roman"/>
                <w:b w:val="0"/>
                <w:i w:val="0"/>
                <w:caps w:val="0"/>
                <w:spacing w:val="0"/>
                <w:w w:val="100"/>
                <w:sz w:val="22"/>
                <w:szCs w:val="28"/>
              </w:rPr>
              <w:t>需填写)</w:t>
            </w: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a. 安装尺寸(长×宽×高)(m)</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b. 运输尺寸(长×宽×高)(m)</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6"/>
                <w:w w:val="100"/>
                <w:sz w:val="22"/>
                <w:szCs w:val="28"/>
              </w:rPr>
            </w:pPr>
            <w:r>
              <w:rPr>
                <w:rFonts w:ascii="Times New Roman" w:hAnsi="Times New Roman"/>
                <w:b w:val="0"/>
                <w:i w:val="0"/>
                <w:caps w:val="0"/>
                <w:spacing w:val="-6"/>
                <w:w w:val="100"/>
                <w:sz w:val="22"/>
                <w:szCs w:val="28"/>
              </w:rPr>
              <w:t>(</w:t>
            </w:r>
            <w:r>
              <w:rPr>
                <w:rFonts w:hint="eastAsia"/>
                <w:b w:val="0"/>
                <w:i w:val="0"/>
                <w:caps w:val="0"/>
                <w:spacing w:val="-6"/>
                <w:w w:val="100"/>
                <w:sz w:val="22"/>
                <w:szCs w:val="28"/>
                <w:lang w:eastAsia="zh-CN"/>
              </w:rPr>
              <w:t>投标单位</w:t>
            </w:r>
            <w:r>
              <w:rPr>
                <w:rFonts w:ascii="Times New Roman" w:hAnsi="Times New Roman"/>
                <w:b w:val="0"/>
                <w:i w:val="0"/>
                <w:caps w:val="0"/>
                <w:spacing w:val="-6"/>
                <w:w w:val="100"/>
                <w:sz w:val="22"/>
                <w:szCs w:val="28"/>
              </w:rPr>
              <w:t>提供，并满足运输要求)</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c. 重心高度(m)</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d. 安装质量(t)</w:t>
            </w: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器身质量(t)</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上节油箱质量(t)</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hint="eastAsia" w:ascii="Times New Roman" w:hAnsi="Times New Roman" w:eastAsia="宋体"/>
                <w:b w:val="0"/>
                <w:i w:val="0"/>
                <w:caps w:val="0"/>
                <w:spacing w:val="0"/>
                <w:w w:val="100"/>
                <w:sz w:val="22"/>
                <w:szCs w:val="28"/>
                <w:lang w:eastAsia="zh-CN"/>
              </w:rPr>
            </w:pPr>
            <w:r>
              <w:rPr>
                <w:rFonts w:ascii="Times New Roman" w:hAnsi="Times New Roman"/>
                <w:b w:val="0"/>
                <w:i w:val="0"/>
                <w:caps w:val="0"/>
                <w:spacing w:val="0"/>
                <w:w w:val="100"/>
                <w:sz w:val="22"/>
                <w:szCs w:val="28"/>
              </w:rPr>
              <w:t>油质量(t)</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(不含备用)</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总质量(t)</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e. 运输质量(t)</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hint="eastAsia" w:ascii="Times New Roman" w:hAnsi="Times New Roman" w:eastAsia="宋体"/>
                <w:b w:val="0"/>
                <w:i w:val="0"/>
                <w:caps w:val="0"/>
                <w:spacing w:val="0"/>
                <w:w w:val="100"/>
                <w:sz w:val="22"/>
                <w:szCs w:val="28"/>
                <w:lang w:eastAsia="zh-CN"/>
              </w:rPr>
            </w:pPr>
            <w:r>
              <w:rPr>
                <w:rFonts w:ascii="Times New Roman" w:hAnsi="Times New Roman"/>
                <w:b w:val="0"/>
                <w:i w:val="0"/>
                <w:caps w:val="0"/>
                <w:spacing w:val="0"/>
                <w:w w:val="100"/>
                <w:sz w:val="22"/>
                <w:szCs w:val="28"/>
              </w:rPr>
              <w:t>f. 变压器运输时允许的</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最大倾斜度</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15°</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17</w:t>
            </w:r>
          </w:p>
        </w:tc>
        <w:tc>
          <w:tcPr>
            <w:tcW w:w="1070"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片式散</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热器</w:t>
            </w: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型号</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组数</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每组质量(t)</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hint="eastAsia"/>
                <w:b w:val="0"/>
                <w:i w:val="0"/>
                <w:caps w:val="0"/>
                <w:spacing w:val="0"/>
                <w:w w:val="100"/>
                <w:sz w:val="22"/>
                <w:szCs w:val="28"/>
              </w:rPr>
              <w:t>18</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套管</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型号规格</w:t>
            </w: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a. 高压套管</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b. 低压套管</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c. 中性点套管</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额定电流(A)</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a. 高压套管</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≥1.2倍相应绕组线端额定电流</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b. 低压套管</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≥1.2倍相应绕组线端额定电流</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c. 中性点套管</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≥相应绕组额定电流</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绝缘水平(</w:t>
            </w:r>
            <w:r>
              <w:rPr>
                <w:rFonts w:ascii="Times New Roman" w:hAnsi="Times New Roman"/>
                <w:b w:val="0"/>
                <w:i/>
                <w:caps w:val="0"/>
                <w:spacing w:val="0"/>
                <w:w w:val="100"/>
                <w:sz w:val="22"/>
                <w:szCs w:val="28"/>
              </w:rPr>
              <w:t>LI</w:t>
            </w:r>
            <w:r>
              <w:rPr>
                <w:rFonts w:ascii="Times New Roman" w:hAnsi="Times New Roman"/>
                <w:b w:val="0"/>
                <w:i w:val="0"/>
                <w:caps w:val="0"/>
                <w:spacing w:val="0"/>
                <w:w w:val="100"/>
                <w:sz w:val="22"/>
                <w:szCs w:val="28"/>
              </w:rPr>
              <w:t>/</w:t>
            </w:r>
            <w:r>
              <w:rPr>
                <w:rFonts w:ascii="Times New Roman" w:hAnsi="Times New Roman"/>
                <w:b w:val="0"/>
                <w:i/>
                <w:caps w:val="0"/>
                <w:spacing w:val="0"/>
                <w:w w:val="100"/>
                <w:sz w:val="22"/>
                <w:szCs w:val="28"/>
              </w:rPr>
              <w:t>AC</w:t>
            </w:r>
            <w:r>
              <w:rPr>
                <w:rFonts w:ascii="Times New Roman" w:hAnsi="Times New Roman"/>
                <w:b w:val="0"/>
                <w:i w:val="0"/>
                <w:caps w:val="0"/>
                <w:spacing w:val="0"/>
                <w:w w:val="100"/>
                <w:sz w:val="22"/>
                <w:szCs w:val="28"/>
              </w:rPr>
              <w:t>)(kV)</w:t>
            </w: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a. 高压套管*</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550/230</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b. 低压套管*</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125/58</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c. 中性点套管</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325/147</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66kV及以上套管在1.5×</w:t>
            </w:r>
            <w:r>
              <w:rPr>
                <w:rFonts w:ascii="Times New Roman" w:hAnsi="Times New Roman"/>
                <w:b w:val="0"/>
                <w:i/>
                <w:caps w:val="0"/>
                <w:spacing w:val="0"/>
                <w:w w:val="100"/>
                <w:sz w:val="22"/>
                <w:szCs w:val="28"/>
              </w:rPr>
              <w:t>U</w:t>
            </w:r>
            <w:r>
              <w:rPr>
                <w:rFonts w:ascii="Times New Roman" w:hAnsi="Times New Roman"/>
                <w:b w:val="0"/>
                <w:i w:val="0"/>
                <w:caps w:val="0"/>
                <w:spacing w:val="0"/>
                <w:w w:val="100"/>
                <w:sz w:val="22"/>
                <w:szCs w:val="28"/>
                <w:vertAlign w:val="subscript"/>
              </w:rPr>
              <w:t>m</w:t>
            </w:r>
            <w:r>
              <w:rPr>
                <w:rFonts w:ascii="Times New Roman" w:hAnsi="Times New Roman"/>
                <w:b w:val="0"/>
                <w:i w:val="0"/>
                <w:caps w:val="0"/>
                <w:spacing w:val="0"/>
                <w:w w:val="100"/>
                <w:sz w:val="22"/>
                <w:szCs w:val="28"/>
              </w:rPr>
              <w:t xml:space="preserve">/ </w:t>
            </w:r>
            <w:r>
              <w:rPr>
                <w:rFonts w:ascii="Times New Roman" w:hAnsi="Times New Roman"/>
                <w:b w:val="0"/>
                <w:i w:val="0"/>
                <w:caps w:val="0"/>
                <w:spacing w:val="0"/>
                <w:w w:val="100"/>
                <w:position w:val="-6"/>
                <w:sz w:val="22"/>
                <w:szCs w:val="28"/>
              </w:rPr>
              <w:drawing>
                <wp:inline distT="0" distB="0" distL="0" distR="0">
                  <wp:extent cx="190500" cy="180975"/>
                  <wp:effectExtent l="0" t="0" r="0" b="762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190500" cy="180975"/>
                          </a:xfrm>
                          <a:prstGeom prst="rect">
                            <a:avLst/>
                          </a:prstGeom>
                          <a:noFill/>
                          <a:ln>
                            <a:noFill/>
                          </a:ln>
                        </pic:spPr>
                      </pic:pic>
                    </a:graphicData>
                  </a:graphic>
                </wp:inline>
              </w:drawing>
            </w:r>
            <w:r>
              <w:rPr>
                <w:rFonts w:ascii="Times New Roman" w:hAnsi="Times New Roman"/>
                <w:b w:val="0"/>
                <w:i w:val="0"/>
                <w:caps w:val="0"/>
                <w:spacing w:val="0"/>
                <w:w w:val="100"/>
                <w:sz w:val="22"/>
                <w:szCs w:val="28"/>
              </w:rPr>
              <w:t>kV下局部放电水平(pC)</w:t>
            </w: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a. 高压套管</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≤10</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b. 中性点套管</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≤10</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4"/>
                <w:w w:val="100"/>
                <w:sz w:val="22"/>
                <w:szCs w:val="28"/>
              </w:rPr>
            </w:pPr>
            <w:r>
              <w:rPr>
                <w:rFonts w:ascii="Times New Roman" w:hAnsi="Times New Roman"/>
                <w:b w:val="0"/>
                <w:i w:val="0"/>
                <w:caps w:val="0"/>
                <w:spacing w:val="-4"/>
                <w:w w:val="100"/>
                <w:sz w:val="22"/>
                <w:szCs w:val="28"/>
              </w:rPr>
              <w:t>电容式套管tan</w:t>
            </w:r>
            <w:r>
              <w:rPr>
                <w:rFonts w:ascii="Times New Roman" w:hAnsi="Times New Roman"/>
                <w:b w:val="0"/>
                <w:i/>
                <w:caps w:val="0"/>
                <w:spacing w:val="-4"/>
                <w:w w:val="100"/>
                <w:sz w:val="22"/>
                <w:szCs w:val="28"/>
              </w:rPr>
              <w:t></w:t>
            </w:r>
            <w:r>
              <w:rPr>
                <w:rFonts w:ascii="Times New Roman" w:hAnsi="Times New Roman"/>
                <w:b w:val="0"/>
                <w:i w:val="0"/>
                <w:caps w:val="0"/>
                <w:spacing w:val="-4"/>
                <w:w w:val="100"/>
                <w:sz w:val="22"/>
                <w:szCs w:val="28"/>
              </w:rPr>
              <w:t>(％)及电容量(pF)</w:t>
            </w:r>
          </w:p>
        </w:tc>
        <w:tc>
          <w:tcPr>
            <w:tcW w:w="1098"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tan</w:t>
            </w:r>
            <w:r>
              <w:rPr>
                <w:rFonts w:ascii="Times New Roman" w:hAnsi="Times New Roman"/>
                <w:b w:val="0"/>
                <w:i/>
                <w:caps w:val="0"/>
                <w:spacing w:val="0"/>
                <w:w w:val="100"/>
                <w:sz w:val="22"/>
                <w:szCs w:val="28"/>
              </w:rPr>
              <w:t></w:t>
            </w:r>
          </w:p>
        </w:tc>
        <w:tc>
          <w:tcPr>
            <w:tcW w:w="1257"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电容量</w:t>
            </w:r>
          </w:p>
        </w:tc>
        <w:tc>
          <w:tcPr>
            <w:tcW w:w="10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tan</w:t>
            </w:r>
            <w:r>
              <w:rPr>
                <w:rFonts w:ascii="Times New Roman" w:hAnsi="Times New Roman"/>
                <w:b w:val="0"/>
                <w:i/>
                <w:caps w:val="0"/>
                <w:spacing w:val="0"/>
                <w:w w:val="100"/>
                <w:sz w:val="22"/>
                <w:szCs w:val="28"/>
              </w:rPr>
              <w:t></w:t>
            </w:r>
          </w:p>
        </w:tc>
        <w:tc>
          <w:tcPr>
            <w:tcW w:w="144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电容量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a. 高压套管</w:t>
            </w:r>
          </w:p>
        </w:tc>
        <w:tc>
          <w:tcPr>
            <w:tcW w:w="1098"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≤0.4</w:t>
            </w:r>
          </w:p>
        </w:tc>
        <w:tc>
          <w:tcPr>
            <w:tcW w:w="1257"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6"/>
                <w:w w:val="100"/>
                <w:sz w:val="22"/>
                <w:szCs w:val="28"/>
              </w:rPr>
            </w:pPr>
            <w:r>
              <w:rPr>
                <w:rFonts w:ascii="Times New Roman" w:hAnsi="Times New Roman"/>
                <w:b w:val="0"/>
                <w:i w:val="0"/>
                <w:caps w:val="0"/>
                <w:spacing w:val="-6"/>
                <w:w w:val="100"/>
                <w:sz w:val="22"/>
                <w:szCs w:val="28"/>
              </w:rPr>
              <w:t>(</w:t>
            </w:r>
            <w:r>
              <w:rPr>
                <w:rFonts w:hint="eastAsia"/>
                <w:b w:val="0"/>
                <w:i w:val="0"/>
                <w:caps w:val="0"/>
                <w:spacing w:val="-6"/>
                <w:w w:val="100"/>
                <w:sz w:val="22"/>
                <w:szCs w:val="28"/>
                <w:lang w:eastAsia="zh-CN"/>
              </w:rPr>
              <w:t>投标单位</w:t>
            </w:r>
            <w:r>
              <w:rPr>
                <w:rFonts w:ascii="Times New Roman" w:hAnsi="Times New Roman"/>
                <w:b w:val="0"/>
                <w:i w:val="0"/>
                <w:caps w:val="0"/>
                <w:spacing w:val="-6"/>
                <w:w w:val="100"/>
                <w:sz w:val="22"/>
                <w:szCs w:val="28"/>
              </w:rPr>
              <w:t>提供)</w:t>
            </w:r>
          </w:p>
        </w:tc>
        <w:tc>
          <w:tcPr>
            <w:tcW w:w="10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44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6"/>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b. 中性点套管</w:t>
            </w:r>
          </w:p>
        </w:tc>
        <w:tc>
          <w:tcPr>
            <w:tcW w:w="1098"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≤0.4</w:t>
            </w:r>
          </w:p>
        </w:tc>
        <w:tc>
          <w:tcPr>
            <w:tcW w:w="1257"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6"/>
                <w:w w:val="100"/>
                <w:sz w:val="22"/>
                <w:szCs w:val="28"/>
              </w:rPr>
            </w:pPr>
            <w:r>
              <w:rPr>
                <w:rFonts w:ascii="Times New Roman" w:hAnsi="Times New Roman"/>
                <w:b w:val="0"/>
                <w:i w:val="0"/>
                <w:caps w:val="0"/>
                <w:spacing w:val="-6"/>
                <w:w w:val="100"/>
                <w:sz w:val="22"/>
                <w:szCs w:val="28"/>
              </w:rPr>
              <w:t>(</w:t>
            </w:r>
            <w:r>
              <w:rPr>
                <w:rFonts w:hint="eastAsia"/>
                <w:b w:val="0"/>
                <w:i w:val="0"/>
                <w:caps w:val="0"/>
                <w:spacing w:val="-6"/>
                <w:w w:val="100"/>
                <w:sz w:val="22"/>
                <w:szCs w:val="28"/>
                <w:lang w:eastAsia="zh-CN"/>
              </w:rPr>
              <w:t>投标单位</w:t>
            </w:r>
            <w:r>
              <w:rPr>
                <w:rFonts w:ascii="Times New Roman" w:hAnsi="Times New Roman"/>
                <w:b w:val="0"/>
                <w:i w:val="0"/>
                <w:caps w:val="0"/>
                <w:spacing w:val="-6"/>
                <w:w w:val="100"/>
                <w:sz w:val="22"/>
                <w:szCs w:val="28"/>
              </w:rPr>
              <w:t>提供)</w:t>
            </w:r>
          </w:p>
        </w:tc>
        <w:tc>
          <w:tcPr>
            <w:tcW w:w="10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44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6"/>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套管的弯曲耐受负荷(kN)</w:t>
            </w:r>
          </w:p>
        </w:tc>
        <w:tc>
          <w:tcPr>
            <w:tcW w:w="696" w:type="dxa"/>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水平</w:t>
            </w:r>
          </w:p>
        </w:tc>
        <w:tc>
          <w:tcPr>
            <w:tcW w:w="834"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横向</w:t>
            </w:r>
          </w:p>
        </w:tc>
        <w:tc>
          <w:tcPr>
            <w:tcW w:w="825"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垂直</w:t>
            </w:r>
          </w:p>
        </w:tc>
        <w:tc>
          <w:tcPr>
            <w:tcW w:w="700"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水平</w:t>
            </w:r>
          </w:p>
        </w:tc>
        <w:tc>
          <w:tcPr>
            <w:tcW w:w="738"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横向</w:t>
            </w:r>
          </w:p>
        </w:tc>
        <w:tc>
          <w:tcPr>
            <w:tcW w:w="1082"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垂直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a. 高压套管</w:t>
            </w:r>
          </w:p>
        </w:tc>
        <w:tc>
          <w:tcPr>
            <w:tcW w:w="696" w:type="dxa"/>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3</w:t>
            </w:r>
          </w:p>
        </w:tc>
        <w:tc>
          <w:tcPr>
            <w:tcW w:w="834"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1.25</w:t>
            </w:r>
          </w:p>
        </w:tc>
        <w:tc>
          <w:tcPr>
            <w:tcW w:w="825"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1.5</w:t>
            </w:r>
          </w:p>
        </w:tc>
        <w:tc>
          <w:tcPr>
            <w:tcW w:w="700"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738"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82"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b. 低压套管</w:t>
            </w:r>
          </w:p>
        </w:tc>
        <w:tc>
          <w:tcPr>
            <w:tcW w:w="696" w:type="dxa"/>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3</w:t>
            </w:r>
          </w:p>
        </w:tc>
        <w:tc>
          <w:tcPr>
            <w:tcW w:w="834"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1.5</w:t>
            </w:r>
          </w:p>
        </w:tc>
        <w:tc>
          <w:tcPr>
            <w:tcW w:w="825"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2</w:t>
            </w:r>
          </w:p>
        </w:tc>
        <w:tc>
          <w:tcPr>
            <w:tcW w:w="700"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738"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82"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c. 中性点套管</w:t>
            </w:r>
          </w:p>
        </w:tc>
        <w:tc>
          <w:tcPr>
            <w:tcW w:w="696" w:type="dxa"/>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2</w:t>
            </w:r>
          </w:p>
        </w:tc>
        <w:tc>
          <w:tcPr>
            <w:tcW w:w="834"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w:t>
            </w:r>
          </w:p>
        </w:tc>
        <w:tc>
          <w:tcPr>
            <w:tcW w:w="825"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w:t>
            </w:r>
          </w:p>
        </w:tc>
        <w:tc>
          <w:tcPr>
            <w:tcW w:w="700"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738"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82"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套管的爬距(等于有效爬距乘以直径系数</w:t>
            </w:r>
            <w:r>
              <w:rPr>
                <w:rFonts w:ascii="Times New Roman" w:hAnsi="Times New Roman"/>
                <w:b w:val="0"/>
                <w:i/>
                <w:caps w:val="0"/>
                <w:spacing w:val="0"/>
                <w:w w:val="100"/>
                <w:sz w:val="22"/>
                <w:szCs w:val="28"/>
              </w:rPr>
              <w:t>K</w:t>
            </w:r>
            <w:r>
              <w:rPr>
                <w:rFonts w:ascii="Times New Roman" w:hAnsi="Times New Roman"/>
                <w:b w:val="0"/>
                <w:i w:val="0"/>
                <w:caps w:val="0"/>
                <w:spacing w:val="0"/>
                <w:w w:val="100"/>
                <w:sz w:val="22"/>
                <w:szCs w:val="28"/>
                <w:vertAlign w:val="subscript"/>
              </w:rPr>
              <w:t>d</w:t>
            </w:r>
            <w:r>
              <w:rPr>
                <w:rFonts w:ascii="Times New Roman" w:hAnsi="Times New Roman"/>
                <w:b w:val="0"/>
                <w:i w:val="0"/>
                <w:caps w:val="0"/>
                <w:spacing w:val="0"/>
                <w:w w:val="100"/>
                <w:sz w:val="22"/>
                <w:szCs w:val="28"/>
              </w:rPr>
              <w:t>)(mm)</w:t>
            </w: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a. 高压套管</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≥3906</w:t>
            </w:r>
            <w:r>
              <w:rPr>
                <w:rFonts w:ascii="Times New Roman" w:hAnsi="Times New Roman"/>
                <w:b w:val="0"/>
                <w:i/>
                <w:caps w:val="0"/>
                <w:spacing w:val="0"/>
                <w:w w:val="100"/>
                <w:sz w:val="22"/>
                <w:szCs w:val="28"/>
              </w:rPr>
              <w:t>K</w:t>
            </w:r>
            <w:r>
              <w:rPr>
                <w:rFonts w:ascii="Times New Roman" w:hAnsi="Times New Roman"/>
                <w:b w:val="0"/>
                <w:i w:val="0"/>
                <w:caps w:val="0"/>
                <w:spacing w:val="0"/>
                <w:w w:val="100"/>
                <w:sz w:val="22"/>
                <w:szCs w:val="28"/>
                <w:vertAlign w:val="subscript"/>
              </w:rPr>
              <w:t>d</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b. 低压套管</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≥744</w:t>
            </w:r>
            <w:r>
              <w:rPr>
                <w:rFonts w:ascii="Times New Roman" w:hAnsi="Times New Roman"/>
                <w:b w:val="0"/>
                <w:i/>
                <w:caps w:val="0"/>
                <w:spacing w:val="0"/>
                <w:w w:val="100"/>
                <w:sz w:val="22"/>
                <w:szCs w:val="28"/>
              </w:rPr>
              <w:t>K</w:t>
            </w:r>
            <w:r>
              <w:rPr>
                <w:rFonts w:ascii="Times New Roman" w:hAnsi="Times New Roman"/>
                <w:b w:val="0"/>
                <w:i w:val="0"/>
                <w:caps w:val="0"/>
                <w:spacing w:val="0"/>
                <w:w w:val="100"/>
                <w:sz w:val="22"/>
                <w:szCs w:val="28"/>
                <w:vertAlign w:val="subscript"/>
              </w:rPr>
              <w:t>d</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c. 中性点套管</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≥2248</w:t>
            </w:r>
            <w:r>
              <w:rPr>
                <w:rFonts w:ascii="Times New Roman" w:hAnsi="Times New Roman"/>
                <w:b w:val="0"/>
                <w:i/>
                <w:caps w:val="0"/>
                <w:spacing w:val="0"/>
                <w:w w:val="100"/>
                <w:sz w:val="22"/>
                <w:szCs w:val="28"/>
              </w:rPr>
              <w:t>K</w:t>
            </w:r>
            <w:r>
              <w:rPr>
                <w:rFonts w:ascii="Times New Roman" w:hAnsi="Times New Roman"/>
                <w:b w:val="0"/>
                <w:i w:val="0"/>
                <w:caps w:val="0"/>
                <w:spacing w:val="0"/>
                <w:w w:val="100"/>
                <w:sz w:val="22"/>
                <w:szCs w:val="28"/>
                <w:vertAlign w:val="subscript"/>
              </w:rPr>
              <w:t>d</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套管的干弧距离(应乘以海拔修正系数</w:t>
            </w:r>
            <w:r>
              <w:rPr>
                <w:rFonts w:ascii="Times New Roman" w:hAnsi="Times New Roman"/>
                <w:b w:val="0"/>
                <w:i/>
                <w:caps w:val="0"/>
                <w:spacing w:val="0"/>
                <w:w w:val="100"/>
                <w:sz w:val="22"/>
                <w:szCs w:val="28"/>
              </w:rPr>
              <w:t>K</w:t>
            </w:r>
            <w:r>
              <w:rPr>
                <w:rFonts w:ascii="Times New Roman" w:hAnsi="Times New Roman"/>
                <w:b w:val="0"/>
                <w:i w:val="0"/>
                <w:caps w:val="0"/>
                <w:spacing w:val="0"/>
                <w:w w:val="100"/>
                <w:sz w:val="22"/>
                <w:szCs w:val="28"/>
                <w:vertAlign w:val="subscript"/>
              </w:rPr>
              <w:t>H</w:t>
            </w:r>
            <w:r>
              <w:rPr>
                <w:rFonts w:ascii="Times New Roman" w:hAnsi="Times New Roman"/>
                <w:b w:val="0"/>
                <w:i w:val="0"/>
                <w:caps w:val="0"/>
                <w:spacing w:val="0"/>
                <w:w w:val="100"/>
                <w:sz w:val="22"/>
                <w:szCs w:val="28"/>
              </w:rPr>
              <w:t>)(mm)</w:t>
            </w: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a. 高压套管</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b. 低压套管</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c. 中性点套管</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套管的爬距/干弧距离</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≤4</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套管平均直径(mm)</w:t>
            </w: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a. 高压套管</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b. 低压套管</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c. 中性点套管</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19</w:t>
            </w:r>
          </w:p>
        </w:tc>
        <w:tc>
          <w:tcPr>
            <w:tcW w:w="1070"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套管式电流互感器</w:t>
            </w:r>
          </w:p>
        </w:tc>
        <w:tc>
          <w:tcPr>
            <w:tcW w:w="901"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装设在高压侧</w:t>
            </w: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绕组数</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3</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准确级</w:t>
            </w:r>
          </w:p>
        </w:tc>
        <w:tc>
          <w:tcPr>
            <w:tcW w:w="696" w:type="dxa"/>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5P30</w:t>
            </w:r>
          </w:p>
        </w:tc>
        <w:tc>
          <w:tcPr>
            <w:tcW w:w="834"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5P30</w:t>
            </w:r>
          </w:p>
        </w:tc>
        <w:tc>
          <w:tcPr>
            <w:tcW w:w="825"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0.5</w:t>
            </w:r>
          </w:p>
        </w:tc>
        <w:tc>
          <w:tcPr>
            <w:tcW w:w="700"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738"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82"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电流比</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200~400/5A</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二次容量(VA)</w:t>
            </w:r>
          </w:p>
        </w:tc>
        <w:tc>
          <w:tcPr>
            <w:tcW w:w="2355" w:type="dxa"/>
            <w:gridSpan w:val="5"/>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30</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caps w:val="0"/>
                <w:spacing w:val="0"/>
                <w:w w:val="100"/>
                <w:sz w:val="22"/>
                <w:szCs w:val="28"/>
              </w:rPr>
              <w:t>FS</w:t>
            </w:r>
            <w:r>
              <w:rPr>
                <w:rFonts w:ascii="Times New Roman" w:hAnsi="Times New Roman"/>
                <w:b w:val="0"/>
                <w:i w:val="0"/>
                <w:caps w:val="0"/>
                <w:spacing w:val="0"/>
                <w:w w:val="100"/>
                <w:sz w:val="22"/>
                <w:szCs w:val="28"/>
              </w:rPr>
              <w:t>或</w:t>
            </w:r>
            <w:r>
              <w:rPr>
                <w:rFonts w:ascii="Times New Roman" w:hAnsi="Times New Roman"/>
                <w:b w:val="0"/>
                <w:i/>
                <w:caps w:val="0"/>
                <w:spacing w:val="0"/>
                <w:w w:val="100"/>
                <w:sz w:val="22"/>
                <w:szCs w:val="28"/>
              </w:rPr>
              <w:t>ALF</w:t>
            </w:r>
          </w:p>
        </w:tc>
        <w:tc>
          <w:tcPr>
            <w:tcW w:w="696" w:type="dxa"/>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 xml:space="preserve"> </w:t>
            </w:r>
          </w:p>
        </w:tc>
        <w:tc>
          <w:tcPr>
            <w:tcW w:w="834"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 xml:space="preserve"> </w:t>
            </w:r>
          </w:p>
        </w:tc>
        <w:tc>
          <w:tcPr>
            <w:tcW w:w="825"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 xml:space="preserve"> </w:t>
            </w:r>
          </w:p>
        </w:tc>
        <w:tc>
          <w:tcPr>
            <w:tcW w:w="700"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738"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82" w:type="dxa"/>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装设在中性</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点侧</w:t>
            </w: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绕组数</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hint="eastAsia"/>
                <w:b w:val="0"/>
                <w:i w:val="0"/>
                <w:caps w:val="0"/>
                <w:spacing w:val="0"/>
                <w:w w:val="100"/>
                <w:sz w:val="22"/>
                <w:szCs w:val="28"/>
              </w:rPr>
              <w:t>2</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准确级</w:t>
            </w:r>
          </w:p>
        </w:tc>
        <w:tc>
          <w:tcPr>
            <w:tcW w:w="1098"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r>
              <w:rPr>
                <w:rFonts w:hint="eastAsia"/>
                <w:b w:val="0"/>
                <w:i w:val="0"/>
                <w:caps w:val="0"/>
                <w:spacing w:val="0"/>
                <w:w w:val="100"/>
                <w:sz w:val="21"/>
                <w:szCs w:val="21"/>
              </w:rPr>
              <w:t>5P</w:t>
            </w:r>
            <w:r>
              <w:rPr>
                <w:rFonts w:ascii="Times New Roman" w:hAnsi="Times New Roman"/>
                <w:b w:val="0"/>
                <w:i w:val="0"/>
                <w:caps w:val="0"/>
                <w:spacing w:val="0"/>
                <w:w w:val="100"/>
                <w:sz w:val="21"/>
                <w:szCs w:val="21"/>
              </w:rPr>
              <w:t>3</w:t>
            </w:r>
            <w:r>
              <w:rPr>
                <w:rFonts w:hint="eastAsia"/>
                <w:b w:val="0"/>
                <w:i w:val="0"/>
                <w:caps w:val="0"/>
                <w:spacing w:val="0"/>
                <w:w w:val="100"/>
                <w:sz w:val="21"/>
                <w:szCs w:val="21"/>
              </w:rPr>
              <w:t>0</w:t>
            </w:r>
          </w:p>
        </w:tc>
        <w:tc>
          <w:tcPr>
            <w:tcW w:w="1257"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r>
              <w:rPr>
                <w:rFonts w:hint="eastAsia"/>
                <w:b w:val="0"/>
                <w:i w:val="0"/>
                <w:caps w:val="0"/>
                <w:spacing w:val="0"/>
                <w:w w:val="100"/>
                <w:sz w:val="21"/>
                <w:szCs w:val="21"/>
              </w:rPr>
              <w:t>5P</w:t>
            </w:r>
            <w:r>
              <w:rPr>
                <w:rFonts w:ascii="Times New Roman" w:hAnsi="Times New Roman"/>
                <w:b w:val="0"/>
                <w:i w:val="0"/>
                <w:caps w:val="0"/>
                <w:spacing w:val="0"/>
                <w:w w:val="100"/>
                <w:sz w:val="21"/>
                <w:szCs w:val="21"/>
              </w:rPr>
              <w:t>3</w:t>
            </w:r>
            <w:r>
              <w:rPr>
                <w:rFonts w:hint="eastAsia"/>
                <w:b w:val="0"/>
                <w:i w:val="0"/>
                <w:caps w:val="0"/>
                <w:spacing w:val="0"/>
                <w:w w:val="100"/>
                <w:sz w:val="21"/>
                <w:szCs w:val="21"/>
              </w:rPr>
              <w:t>0</w:t>
            </w:r>
          </w:p>
        </w:tc>
        <w:tc>
          <w:tcPr>
            <w:tcW w:w="10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c>
          <w:tcPr>
            <w:tcW w:w="144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电流比</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w:t>
            </w:r>
            <w:r>
              <w:rPr>
                <w:rFonts w:hint="eastAsia"/>
                <w:b w:val="0"/>
                <w:i w:val="0"/>
                <w:caps w:val="0"/>
                <w:spacing w:val="0"/>
                <w:w w:val="100"/>
                <w:sz w:val="22"/>
                <w:szCs w:val="28"/>
              </w:rPr>
              <w:t>00-</w:t>
            </w:r>
            <w:r>
              <w:rPr>
                <w:rFonts w:ascii="Times New Roman" w:hAnsi="Times New Roman"/>
                <w:b w:val="0"/>
                <w:i w:val="0"/>
                <w:caps w:val="0"/>
                <w:spacing w:val="0"/>
                <w:w w:val="100"/>
                <w:sz w:val="22"/>
                <w:szCs w:val="28"/>
              </w:rPr>
              <w:t>3</w:t>
            </w:r>
            <w:r>
              <w:rPr>
                <w:rFonts w:hint="eastAsia"/>
                <w:b w:val="0"/>
                <w:i w:val="0"/>
                <w:caps w:val="0"/>
                <w:spacing w:val="0"/>
                <w:w w:val="100"/>
                <w:sz w:val="22"/>
                <w:szCs w:val="28"/>
              </w:rPr>
              <w:t>00/5A</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二次容量(VA)</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6"/>
                <w:w w:val="100"/>
                <w:sz w:val="22"/>
                <w:szCs w:val="28"/>
              </w:rPr>
              <w:t>30</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caps w:val="0"/>
                <w:spacing w:val="0"/>
                <w:w w:val="100"/>
                <w:sz w:val="22"/>
                <w:szCs w:val="28"/>
              </w:rPr>
              <w:t>FS</w:t>
            </w:r>
            <w:r>
              <w:rPr>
                <w:rFonts w:ascii="Times New Roman" w:hAnsi="Times New Roman"/>
                <w:b w:val="0"/>
                <w:i w:val="0"/>
                <w:caps w:val="0"/>
                <w:spacing w:val="0"/>
                <w:w w:val="100"/>
                <w:sz w:val="22"/>
                <w:szCs w:val="28"/>
              </w:rPr>
              <w:t>或</w:t>
            </w:r>
            <w:r>
              <w:rPr>
                <w:rFonts w:ascii="Times New Roman" w:hAnsi="Times New Roman"/>
                <w:b w:val="0"/>
                <w:i/>
                <w:caps w:val="0"/>
                <w:spacing w:val="0"/>
                <w:w w:val="100"/>
                <w:sz w:val="22"/>
                <w:szCs w:val="28"/>
              </w:rPr>
              <w:t>ALF</w:t>
            </w:r>
          </w:p>
        </w:tc>
        <w:tc>
          <w:tcPr>
            <w:tcW w:w="1098"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257"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44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20</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分接开关</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型号</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hint="eastAsia"/>
                <w:b w:val="0"/>
                <w:i w:val="0"/>
                <w:caps w:val="0"/>
                <w:spacing w:val="0"/>
                <w:w w:val="100"/>
                <w:sz w:val="22"/>
                <w:szCs w:val="28"/>
              </w:rPr>
              <w:t>真空复合式</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lang w:val="es-ES"/>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lang w:val="es-ES"/>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额定电流(A)</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0"/>
                <w:szCs w:val="28"/>
              </w:rPr>
              <w:t>≥1.2倍相应绕组额定电流</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级电压(kV)</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有载分接开关电气寿命(次)</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≥20万</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有载分接开关机械寿命(次)</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≥80万</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绝缘水平(</w:t>
            </w:r>
            <w:r>
              <w:rPr>
                <w:rFonts w:ascii="Times New Roman" w:hAnsi="Times New Roman"/>
                <w:b w:val="0"/>
                <w:i/>
                <w:caps w:val="0"/>
                <w:spacing w:val="0"/>
                <w:w w:val="100"/>
                <w:sz w:val="22"/>
                <w:szCs w:val="28"/>
              </w:rPr>
              <w:t>LI</w:t>
            </w:r>
            <w:r>
              <w:rPr>
                <w:rFonts w:ascii="Times New Roman" w:hAnsi="Times New Roman"/>
                <w:b w:val="0"/>
                <w:i w:val="0"/>
                <w:caps w:val="0"/>
                <w:spacing w:val="0"/>
                <w:w w:val="100"/>
                <w:sz w:val="22"/>
                <w:szCs w:val="28"/>
              </w:rPr>
              <w:t>/</w:t>
            </w:r>
            <w:r>
              <w:rPr>
                <w:rFonts w:ascii="Times New Roman" w:hAnsi="Times New Roman"/>
                <w:b w:val="0"/>
                <w:i/>
                <w:caps w:val="0"/>
                <w:spacing w:val="0"/>
                <w:w w:val="100"/>
                <w:sz w:val="22"/>
                <w:szCs w:val="28"/>
              </w:rPr>
              <w:t>AC</w:t>
            </w:r>
            <w:r>
              <w:rPr>
                <w:rFonts w:ascii="Times New Roman" w:hAnsi="Times New Roman"/>
                <w:b w:val="0"/>
                <w:i w:val="0"/>
                <w:caps w:val="0"/>
                <w:spacing w:val="0"/>
                <w:w w:val="100"/>
                <w:sz w:val="22"/>
                <w:szCs w:val="28"/>
              </w:rPr>
              <w:t>)(kV)</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有载分接开关的驱动电机</w:t>
            </w: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功率(kW)</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相数</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电压(V)</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21</w:t>
            </w:r>
          </w:p>
        </w:tc>
        <w:tc>
          <w:tcPr>
            <w:tcW w:w="1070"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hint="eastAsia" w:ascii="Times New Roman" w:hAnsi="Times New Roman" w:eastAsia="宋体"/>
                <w:b w:val="0"/>
                <w:i w:val="0"/>
                <w:caps w:val="0"/>
                <w:spacing w:val="0"/>
                <w:w w:val="100"/>
                <w:sz w:val="22"/>
                <w:szCs w:val="28"/>
                <w:lang w:eastAsia="zh-CN"/>
              </w:rPr>
            </w:pPr>
            <w:r>
              <w:rPr>
                <w:rFonts w:ascii="Times New Roman" w:hAnsi="Times New Roman"/>
                <w:b w:val="0"/>
                <w:i w:val="0"/>
                <w:caps w:val="0"/>
                <w:spacing w:val="0"/>
                <w:w w:val="100"/>
                <w:sz w:val="22"/>
                <w:szCs w:val="28"/>
              </w:rPr>
              <w:t>压力释放</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装置</w:t>
            </w: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型号</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r>
              <w:rPr>
                <w:rFonts w:hint="eastAsia"/>
                <w:b w:val="0"/>
                <w:i w:val="0"/>
                <w:caps w:val="0"/>
                <w:spacing w:val="0"/>
                <w:w w:val="100"/>
                <w:sz w:val="22"/>
                <w:szCs w:val="28"/>
                <w:lang w:eastAsia="zh-CN"/>
              </w:rPr>
              <w:t>投标单位</w:t>
            </w:r>
            <w:r>
              <w:rPr>
                <w:rFonts w:ascii="Times New Roman" w:hAnsi="Times New Roman"/>
                <w:b w:val="0"/>
                <w:i w:val="0"/>
                <w:caps w:val="0"/>
                <w:spacing w:val="0"/>
                <w:w w:val="100"/>
                <w:sz w:val="22"/>
                <w:szCs w:val="28"/>
              </w:rPr>
              <w:t>提供)</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台数</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释放压力(MPa)</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0.055</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0.055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22</w:t>
            </w:r>
          </w:p>
        </w:tc>
        <w:tc>
          <w:tcPr>
            <w:tcW w:w="1070"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工频电压升高倍数和持续时间</w:t>
            </w:r>
          </w:p>
        </w:tc>
        <w:tc>
          <w:tcPr>
            <w:tcW w:w="2881"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工频电压升高倍数</w:t>
            </w:r>
          </w:p>
        </w:tc>
        <w:tc>
          <w:tcPr>
            <w:tcW w:w="1012"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hint="eastAsia" w:ascii="Times New Roman" w:hAnsi="Times New Roman" w:eastAsia="宋体"/>
                <w:b w:val="0"/>
                <w:i w:val="0"/>
                <w:caps w:val="0"/>
                <w:spacing w:val="0"/>
                <w:w w:val="100"/>
                <w:sz w:val="22"/>
                <w:szCs w:val="28"/>
                <w:lang w:eastAsia="zh-CN"/>
              </w:rPr>
            </w:pPr>
            <w:r>
              <w:rPr>
                <w:rFonts w:ascii="Times New Roman" w:hAnsi="Times New Roman"/>
                <w:b w:val="0"/>
                <w:i w:val="0"/>
                <w:caps w:val="0"/>
                <w:spacing w:val="0"/>
                <w:w w:val="100"/>
                <w:sz w:val="22"/>
                <w:szCs w:val="28"/>
              </w:rPr>
              <w:t>空载持续</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时间</w:t>
            </w:r>
          </w:p>
        </w:tc>
        <w:tc>
          <w:tcPr>
            <w:tcW w:w="1343"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hint="eastAsia" w:ascii="Times New Roman" w:hAnsi="Times New Roman" w:eastAsia="宋体"/>
                <w:b w:val="0"/>
                <w:i w:val="0"/>
                <w:caps w:val="0"/>
                <w:spacing w:val="0"/>
                <w:w w:val="100"/>
                <w:sz w:val="22"/>
                <w:szCs w:val="28"/>
                <w:lang w:eastAsia="zh-CN"/>
              </w:rPr>
            </w:pPr>
            <w:r>
              <w:rPr>
                <w:rFonts w:ascii="Times New Roman" w:hAnsi="Times New Roman"/>
                <w:b w:val="0"/>
                <w:i w:val="0"/>
                <w:caps w:val="0"/>
                <w:spacing w:val="0"/>
                <w:w w:val="100"/>
                <w:sz w:val="22"/>
                <w:szCs w:val="28"/>
              </w:rPr>
              <w:t>满载持续</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时间</w:t>
            </w:r>
          </w:p>
        </w:tc>
        <w:tc>
          <w:tcPr>
            <w:tcW w:w="10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44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1.05</w:t>
            </w:r>
          </w:p>
        </w:tc>
        <w:tc>
          <w:tcPr>
            <w:tcW w:w="1012"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连续</w:t>
            </w:r>
          </w:p>
        </w:tc>
        <w:tc>
          <w:tcPr>
            <w:tcW w:w="1343"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连续</w:t>
            </w:r>
          </w:p>
        </w:tc>
        <w:tc>
          <w:tcPr>
            <w:tcW w:w="10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44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1.1</w:t>
            </w:r>
          </w:p>
        </w:tc>
        <w:tc>
          <w:tcPr>
            <w:tcW w:w="1012"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连续</w:t>
            </w:r>
          </w:p>
        </w:tc>
        <w:tc>
          <w:tcPr>
            <w:tcW w:w="1343"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20min</w:t>
            </w:r>
          </w:p>
        </w:tc>
        <w:tc>
          <w:tcPr>
            <w:tcW w:w="10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44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881" w:type="dxa"/>
            <w:gridSpan w:val="3"/>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1.3</w:t>
            </w:r>
          </w:p>
        </w:tc>
        <w:tc>
          <w:tcPr>
            <w:tcW w:w="1012"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1min</w:t>
            </w:r>
          </w:p>
        </w:tc>
        <w:tc>
          <w:tcPr>
            <w:tcW w:w="1343" w:type="dxa"/>
            <w:gridSpan w:val="3"/>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hint="eastAsia"/>
                <w:b w:val="0"/>
                <w:i w:val="0"/>
                <w:caps w:val="0"/>
                <w:spacing w:val="0"/>
                <w:w w:val="100"/>
                <w:sz w:val="22"/>
                <w:szCs w:val="28"/>
              </w:rPr>
              <w:t>/</w:t>
            </w:r>
          </w:p>
        </w:tc>
        <w:tc>
          <w:tcPr>
            <w:tcW w:w="10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44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restart"/>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23</w:t>
            </w:r>
          </w:p>
        </w:tc>
        <w:tc>
          <w:tcPr>
            <w:tcW w:w="1070"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变压器油</w:t>
            </w:r>
          </w:p>
        </w:tc>
        <w:tc>
          <w:tcPr>
            <w:tcW w:w="901" w:type="dxa"/>
            <w:vMerge w:val="restart"/>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hint="eastAsia" w:ascii="Times New Roman" w:hAnsi="Times New Roman" w:eastAsia="宋体"/>
                <w:b w:val="0"/>
                <w:i w:val="0"/>
                <w:caps w:val="0"/>
                <w:spacing w:val="0"/>
                <w:w w:val="100"/>
                <w:sz w:val="22"/>
                <w:szCs w:val="28"/>
                <w:lang w:eastAsia="zh-CN"/>
              </w:rPr>
            </w:pPr>
            <w:r>
              <w:rPr>
                <w:rFonts w:ascii="Times New Roman" w:hAnsi="Times New Roman"/>
                <w:b w:val="0"/>
                <w:i w:val="0"/>
                <w:caps w:val="0"/>
                <w:spacing w:val="0"/>
                <w:w w:val="100"/>
                <w:sz w:val="22"/>
                <w:szCs w:val="28"/>
              </w:rPr>
              <w:t>提供的新油</w:t>
            </w:r>
          </w:p>
          <w:p>
            <w:pPr>
              <w:pStyle w:val="315"/>
              <w:snapToGrid/>
              <w:spacing w:before="0" w:beforeAutospacing="0" w:after="0" w:afterAutospacing="0" w:line="264" w:lineRule="auto"/>
              <w:ind w:left="21" w:leftChars="10" w:right="21"/>
              <w:jc w:val="left"/>
              <w:textAlignment w:val="baseline"/>
              <w:rPr>
                <w:rFonts w:hint="eastAsia" w:ascii="Times New Roman" w:hAnsi="Times New Roman" w:eastAsia="宋体"/>
                <w:b w:val="0"/>
                <w:i w:val="0"/>
                <w:caps w:val="0"/>
                <w:spacing w:val="0"/>
                <w:w w:val="100"/>
                <w:sz w:val="22"/>
                <w:szCs w:val="28"/>
                <w:lang w:eastAsia="zh-CN"/>
              </w:rPr>
            </w:pPr>
            <w:r>
              <w:rPr>
                <w:rFonts w:ascii="Times New Roman" w:hAnsi="Times New Roman"/>
                <w:b w:val="0"/>
                <w:i w:val="0"/>
                <w:caps w:val="0"/>
                <w:spacing w:val="0"/>
                <w:w w:val="100"/>
                <w:sz w:val="22"/>
                <w:szCs w:val="28"/>
              </w:rPr>
              <w:t>(包括所需的</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备用油)</w:t>
            </w: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过滤后应达到油的击穿电压(kV)</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≥45</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tan</w:t>
            </w:r>
            <w:r>
              <w:rPr>
                <w:rFonts w:ascii="Times New Roman" w:hAnsi="Times New Roman"/>
                <w:b w:val="0"/>
                <w:i/>
                <w:caps w:val="0"/>
                <w:spacing w:val="0"/>
                <w:w w:val="100"/>
                <w:sz w:val="22"/>
                <w:szCs w:val="28"/>
              </w:rPr>
              <w:t></w:t>
            </w:r>
            <w:r>
              <w:rPr>
                <w:rFonts w:ascii="Times New Roman" w:hAnsi="Times New Roman"/>
                <w:b w:val="0"/>
                <w:i w:val="0"/>
                <w:caps w:val="0"/>
                <w:spacing w:val="0"/>
                <w:w w:val="100"/>
                <w:sz w:val="22"/>
                <w:szCs w:val="28"/>
              </w:rPr>
              <w:t>(90℃)</w:t>
            </w:r>
          </w:p>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≤0.5</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Merge w:val="continue"/>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含水量(mg/L)</w:t>
            </w: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ascii="Times New Roman" w:hAnsi="Times New Roman"/>
                <w:b w:val="0"/>
                <w:i w:val="0"/>
                <w:caps w:val="0"/>
                <w:spacing w:val="0"/>
                <w:w w:val="100"/>
                <w:sz w:val="22"/>
                <w:szCs w:val="28"/>
              </w:rPr>
              <w:t>≤20</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Align w:val="center"/>
          </w:tcPr>
          <w:p>
            <w:pPr>
              <w:pStyle w:val="315"/>
              <w:snapToGrid/>
              <w:spacing w:before="0" w:beforeAutospacing="0" w:after="0" w:afterAutospacing="0" w:line="264" w:lineRule="auto"/>
              <w:ind w:left="21" w:leftChars="10" w:right="21"/>
              <w:jc w:val="left"/>
              <w:textAlignment w:val="baseline"/>
              <w:rPr>
                <w:rFonts w:hint="default" w:ascii="Times New Roman" w:hAnsi="Times New Roman" w:eastAsia="宋体"/>
                <w:b w:val="0"/>
                <w:i w:val="0"/>
                <w:caps w:val="0"/>
                <w:spacing w:val="0"/>
                <w:w w:val="100"/>
                <w:sz w:val="22"/>
                <w:szCs w:val="28"/>
                <w:lang w:val="en-US" w:eastAsia="zh-CN"/>
              </w:rPr>
            </w:pPr>
            <w:r>
              <w:rPr>
                <w:rFonts w:hint="eastAsia"/>
                <w:b w:val="0"/>
                <w:i w:val="0"/>
                <w:caps w:val="0"/>
                <w:spacing w:val="0"/>
                <w:w w:val="100"/>
                <w:sz w:val="22"/>
                <w:szCs w:val="28"/>
                <w:lang w:val="en-US" w:eastAsia="zh-CN"/>
              </w:rPr>
              <w:t>空载损耗</w:t>
            </w: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hint="eastAsia"/>
                <w:color w:val="000000"/>
                <w:kern w:val="21"/>
                <w:sz w:val="22"/>
                <w:szCs w:val="22"/>
                <w:lang w:val="en-US" w:eastAsia="zh-CN"/>
              </w:rPr>
              <w:t>8.7kW</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72" w:type="dxa"/>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1070" w:type="dxa"/>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901" w:type="dxa"/>
            <w:vAlign w:val="center"/>
          </w:tcPr>
          <w:p>
            <w:pPr>
              <w:pStyle w:val="315"/>
              <w:snapToGrid/>
              <w:spacing w:before="0" w:beforeAutospacing="0" w:after="0" w:afterAutospacing="0" w:line="264" w:lineRule="auto"/>
              <w:ind w:left="21" w:leftChars="10" w:right="21"/>
              <w:jc w:val="left"/>
              <w:textAlignment w:val="baseline"/>
              <w:rPr>
                <w:rFonts w:hint="default" w:ascii="Times New Roman" w:hAnsi="Times New Roman" w:eastAsia="宋体"/>
                <w:b w:val="0"/>
                <w:i w:val="0"/>
                <w:caps w:val="0"/>
                <w:spacing w:val="0"/>
                <w:w w:val="100"/>
                <w:sz w:val="22"/>
                <w:szCs w:val="28"/>
                <w:lang w:val="en-US" w:eastAsia="zh-CN"/>
              </w:rPr>
            </w:pPr>
            <w:r>
              <w:rPr>
                <w:rFonts w:hint="eastAsia"/>
                <w:b w:val="0"/>
                <w:i w:val="0"/>
                <w:caps w:val="0"/>
                <w:spacing w:val="0"/>
                <w:w w:val="100"/>
                <w:sz w:val="22"/>
                <w:szCs w:val="28"/>
                <w:lang w:val="en-US" w:eastAsia="zh-CN"/>
              </w:rPr>
              <w:t>负载损耗</w:t>
            </w:r>
          </w:p>
        </w:tc>
        <w:tc>
          <w:tcPr>
            <w:tcW w:w="1980" w:type="dxa"/>
            <w:gridSpan w:val="2"/>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c>
          <w:tcPr>
            <w:tcW w:w="2355" w:type="dxa"/>
            <w:gridSpan w:val="5"/>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r>
              <w:rPr>
                <w:rFonts w:hint="eastAsia"/>
                <w:color w:val="000000"/>
                <w:kern w:val="21"/>
                <w:sz w:val="22"/>
                <w:szCs w:val="22"/>
                <w:lang w:val="en-US" w:eastAsia="zh-CN"/>
              </w:rPr>
              <w:t>53kW</w:t>
            </w:r>
          </w:p>
        </w:tc>
        <w:tc>
          <w:tcPr>
            <w:tcW w:w="2520" w:type="dxa"/>
            <w:gridSpan w:val="4"/>
            <w:tcMar>
              <w:top w:w="0" w:type="dxa"/>
              <w:left w:w="57" w:type="dxa"/>
              <w:bottom w:w="0" w:type="dxa"/>
              <w:right w:w="57" w:type="dxa"/>
            </w:tcMar>
            <w:vAlign w:val="center"/>
          </w:tcPr>
          <w:p>
            <w:pPr>
              <w:pStyle w:val="315"/>
              <w:snapToGrid/>
              <w:spacing w:before="0" w:beforeAutospacing="0" w:after="0" w:afterAutospacing="0" w:line="264" w:lineRule="auto"/>
              <w:ind w:left="21" w:leftChars="10" w:right="21"/>
              <w:jc w:val="left"/>
              <w:textAlignment w:val="baseline"/>
              <w:rPr>
                <w:rFonts w:ascii="Times New Roman" w:hAnsi="Times New Roman"/>
                <w:b w:val="0"/>
                <w:i w:val="0"/>
                <w:caps w:val="0"/>
                <w:spacing w:val="0"/>
                <w:w w:val="100"/>
                <w:sz w:val="22"/>
                <w:szCs w:val="28"/>
              </w:rPr>
            </w:pPr>
          </w:p>
        </w:tc>
      </w:tr>
    </w:tbl>
    <w:p>
      <w:pPr>
        <w:numPr>
          <w:ilvl w:val="0"/>
          <w:numId w:val="16"/>
        </w:numPr>
        <w:spacing w:line="360" w:lineRule="auto"/>
        <w:rPr>
          <w:rFonts w:hint="default" w:ascii="宋体" w:cs="宋体"/>
          <w:kern w:val="0"/>
          <w:sz w:val="28"/>
          <w:szCs w:val="28"/>
          <w:lang w:val="en-US" w:eastAsia="zh-CN"/>
        </w:rPr>
      </w:pPr>
      <w:r>
        <w:rPr>
          <w:rFonts w:hint="eastAsia" w:ascii="宋体" w:cs="宋体"/>
          <w:kern w:val="0"/>
          <w:sz w:val="28"/>
          <w:szCs w:val="28"/>
          <w:lang w:val="en-US" w:eastAsia="zh-CN"/>
        </w:rPr>
        <w:t>本项目各台变压器采取分列运行方式。</w:t>
      </w:r>
    </w:p>
    <w:p>
      <w:pPr>
        <w:numPr>
          <w:ilvl w:val="0"/>
          <w:numId w:val="16"/>
        </w:numPr>
        <w:spacing w:line="360" w:lineRule="auto"/>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铁芯应使用优质低耗、晶粒取向冷轧硅钢片，并在心柱和铁轭上采用多阶斜搭接缝，装配时用均匀的压力压紧整个铁心，变压器铁心应不会由于运输和运行的振动而松动。</w:t>
      </w:r>
    </w:p>
    <w:p>
      <w:pPr>
        <w:numPr>
          <w:ilvl w:val="0"/>
          <w:numId w:val="16"/>
        </w:numPr>
        <w:spacing w:line="360" w:lineRule="auto"/>
        <w:ind w:left="0" w:leftChars="0" w:firstLine="0" w:firstLineChars="0"/>
        <w:rPr>
          <w:rFonts w:hint="default" w:ascii="宋体" w:cs="宋体"/>
          <w:kern w:val="0"/>
          <w:sz w:val="28"/>
          <w:szCs w:val="28"/>
          <w:lang w:val="en-US" w:eastAsia="zh-CN"/>
        </w:rPr>
      </w:pPr>
      <w:r>
        <w:rPr>
          <w:rFonts w:hint="default" w:ascii="宋体" w:cs="宋体"/>
          <w:kern w:val="0"/>
          <w:sz w:val="28"/>
          <w:szCs w:val="28"/>
          <w:lang w:val="en-US" w:eastAsia="zh-CN"/>
        </w:rPr>
        <w:t>全部绕组均应采用铜导线。</w:t>
      </w:r>
    </w:p>
    <w:p>
      <w:pPr>
        <w:numPr>
          <w:ilvl w:val="0"/>
          <w:numId w:val="16"/>
        </w:numPr>
        <w:spacing w:line="360" w:lineRule="auto"/>
        <w:ind w:left="0" w:leftChars="0" w:firstLine="0" w:firstLineChars="0"/>
        <w:rPr>
          <w:rFonts w:hint="default" w:ascii="宋体" w:cs="宋体"/>
          <w:kern w:val="0"/>
          <w:sz w:val="28"/>
          <w:szCs w:val="28"/>
          <w:lang w:val="en-US" w:eastAsia="zh-CN"/>
        </w:rPr>
      </w:pPr>
      <w:r>
        <w:rPr>
          <w:rFonts w:hint="default" w:ascii="宋体" w:cs="宋体"/>
          <w:kern w:val="0"/>
          <w:sz w:val="28"/>
          <w:szCs w:val="28"/>
          <w:lang w:val="en-US" w:eastAsia="zh-CN"/>
        </w:rPr>
        <w:t>变压器油箱的顶部不应形成积水，油箱内部不应有窝气死角。</w:t>
      </w:r>
    </w:p>
    <w:p>
      <w:pPr>
        <w:numPr>
          <w:ilvl w:val="0"/>
          <w:numId w:val="16"/>
        </w:numPr>
        <w:spacing w:line="360" w:lineRule="auto"/>
        <w:ind w:left="0" w:leftChars="0" w:firstLine="0" w:firstLineChars="0"/>
        <w:rPr>
          <w:rFonts w:hint="default" w:ascii="宋体" w:cs="宋体"/>
          <w:kern w:val="0"/>
          <w:sz w:val="28"/>
          <w:szCs w:val="28"/>
          <w:lang w:val="en-US" w:eastAsia="zh-CN"/>
        </w:rPr>
      </w:pPr>
      <w:r>
        <w:rPr>
          <w:rFonts w:hint="default" w:ascii="宋体" w:cs="宋体"/>
          <w:kern w:val="0"/>
          <w:sz w:val="28"/>
          <w:szCs w:val="28"/>
          <w:lang w:val="en-US" w:eastAsia="zh-CN"/>
        </w:rPr>
        <w:t>变压器</w:t>
      </w:r>
      <w:r>
        <w:rPr>
          <w:rFonts w:hint="eastAsia" w:ascii="宋体" w:cs="宋体"/>
          <w:kern w:val="0"/>
          <w:sz w:val="28"/>
          <w:szCs w:val="28"/>
          <w:lang w:val="en-US" w:eastAsia="zh-CN"/>
        </w:rPr>
        <w:t>油箱</w:t>
      </w:r>
      <w:r>
        <w:rPr>
          <w:rFonts w:hint="default" w:ascii="宋体" w:cs="宋体"/>
          <w:kern w:val="0"/>
          <w:sz w:val="28"/>
          <w:szCs w:val="28"/>
          <w:lang w:val="en-US" w:eastAsia="zh-CN"/>
        </w:rPr>
        <w:t>应装带报警或跳闸接点的压力释放装置，每台变压器</w:t>
      </w:r>
      <w:r>
        <w:rPr>
          <w:rFonts w:hint="eastAsia" w:ascii="宋体" w:cs="宋体"/>
          <w:kern w:val="0"/>
          <w:sz w:val="28"/>
          <w:szCs w:val="28"/>
          <w:lang w:val="en-US" w:eastAsia="zh-CN"/>
        </w:rPr>
        <w:t>2</w:t>
      </w:r>
      <w:r>
        <w:rPr>
          <w:rFonts w:hint="default" w:ascii="宋体" w:cs="宋体"/>
          <w:kern w:val="0"/>
          <w:sz w:val="28"/>
          <w:szCs w:val="28"/>
          <w:lang w:val="en-US" w:eastAsia="zh-CN"/>
        </w:rPr>
        <w:t>个。</w:t>
      </w:r>
    </w:p>
    <w:p>
      <w:pPr>
        <w:numPr>
          <w:ilvl w:val="0"/>
          <w:numId w:val="16"/>
        </w:numPr>
        <w:spacing w:line="360" w:lineRule="auto"/>
        <w:ind w:left="0" w:leftChars="0" w:firstLine="0" w:firstLineChars="0"/>
        <w:rPr>
          <w:rFonts w:hint="default" w:ascii="宋体" w:cs="宋体"/>
          <w:kern w:val="0"/>
          <w:sz w:val="28"/>
          <w:szCs w:val="28"/>
          <w:lang w:val="en-US" w:eastAsia="zh-CN"/>
        </w:rPr>
      </w:pPr>
      <w:r>
        <w:rPr>
          <w:rFonts w:hint="default" w:ascii="宋体" w:cs="宋体"/>
          <w:kern w:val="0"/>
          <w:sz w:val="28"/>
          <w:szCs w:val="28"/>
          <w:lang w:val="en-US" w:eastAsia="zh-CN"/>
        </w:rPr>
        <w:t>气体继电器的安装位置及其结构应能观察到分解出气体的数量和颜色，而且应便于取气体</w:t>
      </w:r>
      <w:r>
        <w:rPr>
          <w:rFonts w:hint="eastAsia" w:ascii="宋体" w:cs="宋体"/>
          <w:kern w:val="0"/>
          <w:sz w:val="28"/>
          <w:szCs w:val="28"/>
          <w:lang w:val="en-US" w:eastAsia="zh-CN"/>
        </w:rPr>
        <w:t>,</w:t>
      </w:r>
      <w:r>
        <w:rPr>
          <w:rFonts w:hint="default" w:ascii="宋体" w:cs="宋体"/>
          <w:kern w:val="0"/>
          <w:sz w:val="28"/>
          <w:szCs w:val="28"/>
          <w:lang w:val="en-US" w:eastAsia="zh-CN"/>
        </w:rPr>
        <w:t>气体继电器应加装防雨罩。积聚在气体继电器内的气体数量达到250～300mL或油速在整定范围内时，应分别接通相应的接点。</w:t>
      </w:r>
    </w:p>
    <w:p>
      <w:pPr>
        <w:numPr>
          <w:ilvl w:val="0"/>
          <w:numId w:val="16"/>
        </w:numPr>
        <w:spacing w:line="360" w:lineRule="auto"/>
        <w:ind w:left="0" w:leftChars="0" w:firstLine="0" w:firstLineChars="0"/>
        <w:rPr>
          <w:rFonts w:hint="default" w:ascii="宋体" w:cs="宋体"/>
          <w:kern w:val="0"/>
          <w:sz w:val="28"/>
          <w:szCs w:val="28"/>
          <w:lang w:val="en-US" w:eastAsia="zh-CN"/>
        </w:rPr>
      </w:pPr>
      <w:r>
        <w:rPr>
          <w:rFonts w:hint="default" w:ascii="宋体" w:cs="宋体"/>
          <w:kern w:val="0"/>
          <w:sz w:val="28"/>
          <w:szCs w:val="28"/>
          <w:lang w:val="en-US" w:eastAsia="zh-CN"/>
        </w:rPr>
        <w:t>变压器的负载能力应符合GB/T 15164《油浸式电力变压器负载导则》的要求，</w:t>
      </w:r>
      <w:r>
        <w:rPr>
          <w:rFonts w:hint="eastAsia" w:ascii="宋体" w:cs="宋体"/>
          <w:kern w:val="0"/>
          <w:sz w:val="28"/>
          <w:szCs w:val="28"/>
          <w:lang w:val="en-US" w:eastAsia="zh-CN"/>
        </w:rPr>
        <w:t>投标单位</w:t>
      </w:r>
      <w:r>
        <w:rPr>
          <w:rFonts w:hint="default" w:ascii="宋体" w:cs="宋体"/>
          <w:kern w:val="0"/>
          <w:sz w:val="28"/>
          <w:szCs w:val="28"/>
          <w:lang w:val="en-US" w:eastAsia="zh-CN"/>
        </w:rPr>
        <w:t>应提供短时急救过负载能力的计算报告，控制条件为环境温度40℃，起始负载为80％额定容量，150％额定容量连续运行不低于30min，变压器的热点温度不超过140℃。</w:t>
      </w:r>
    </w:p>
    <w:p>
      <w:pPr>
        <w:numPr>
          <w:ilvl w:val="0"/>
          <w:numId w:val="16"/>
        </w:numPr>
        <w:spacing w:line="360" w:lineRule="auto"/>
        <w:ind w:left="0" w:leftChars="0" w:firstLine="0" w:firstLineChars="0"/>
        <w:rPr>
          <w:rFonts w:hint="default" w:ascii="宋体" w:cs="宋体"/>
          <w:kern w:val="0"/>
          <w:sz w:val="28"/>
          <w:szCs w:val="28"/>
          <w:lang w:val="en-US" w:eastAsia="zh-CN"/>
        </w:rPr>
      </w:pPr>
      <w:r>
        <w:rPr>
          <w:rFonts w:hint="default" w:ascii="宋体" w:cs="宋体"/>
          <w:kern w:val="0"/>
          <w:sz w:val="28"/>
          <w:szCs w:val="28"/>
          <w:lang w:val="en-US" w:eastAsia="zh-CN"/>
        </w:rPr>
        <w:t>套管的试验和其他的性能要求应符合GB/T 4109规定。</w:t>
      </w:r>
    </w:p>
    <w:p>
      <w:pPr>
        <w:numPr>
          <w:ilvl w:val="0"/>
          <w:numId w:val="16"/>
        </w:numPr>
        <w:spacing w:line="360" w:lineRule="auto"/>
        <w:ind w:left="0" w:leftChars="0" w:firstLine="0" w:firstLineChars="0"/>
        <w:rPr>
          <w:rFonts w:hint="default" w:ascii="宋体" w:cs="宋体"/>
          <w:kern w:val="0"/>
          <w:sz w:val="28"/>
          <w:szCs w:val="28"/>
          <w:lang w:val="en-US" w:eastAsia="zh-CN"/>
        </w:rPr>
      </w:pPr>
      <w:r>
        <w:rPr>
          <w:rFonts w:hint="default" w:ascii="宋体" w:cs="宋体"/>
          <w:kern w:val="0"/>
          <w:sz w:val="28"/>
          <w:szCs w:val="28"/>
          <w:lang w:val="en-US" w:eastAsia="zh-CN"/>
        </w:rPr>
        <w:t>变压器油箱内表面、铁心上下夹件等均应涂以浅色漆，并与变压器油有良好的相容性</w:t>
      </w:r>
      <w:r>
        <w:rPr>
          <w:rFonts w:hint="eastAsia" w:ascii="宋体" w:cs="宋体"/>
          <w:kern w:val="0"/>
          <w:sz w:val="28"/>
          <w:szCs w:val="28"/>
          <w:lang w:val="en-US" w:eastAsia="zh-CN"/>
        </w:rPr>
        <w:t>。</w:t>
      </w:r>
    </w:p>
    <w:p>
      <w:pPr>
        <w:numPr>
          <w:ilvl w:val="0"/>
          <w:numId w:val="16"/>
        </w:numPr>
        <w:spacing w:line="360" w:lineRule="auto"/>
        <w:ind w:left="0" w:leftChars="0" w:firstLine="0" w:firstLineChars="0"/>
        <w:rPr>
          <w:rFonts w:hint="default" w:ascii="宋体" w:cs="宋体"/>
          <w:color w:val="FF0000"/>
          <w:kern w:val="0"/>
          <w:sz w:val="28"/>
          <w:szCs w:val="28"/>
          <w:lang w:val="en-US" w:eastAsia="zh-CN"/>
        </w:rPr>
      </w:pPr>
      <w:r>
        <w:rPr>
          <w:rFonts w:hint="default" w:ascii="宋体" w:cs="宋体"/>
          <w:color w:val="FF0000"/>
          <w:kern w:val="0"/>
          <w:sz w:val="28"/>
          <w:szCs w:val="28"/>
          <w:lang w:val="en-US" w:eastAsia="zh-CN"/>
        </w:rPr>
        <w:t>变压器油箱、箱盖、储油柜及联管、片散涂漆应达到 ISO12944-2017中C5-M涂漆</w:t>
      </w:r>
      <w:r>
        <w:rPr>
          <w:rFonts w:hint="eastAsia" w:ascii="宋体" w:cs="宋体"/>
          <w:color w:val="FF0000"/>
          <w:kern w:val="0"/>
          <w:sz w:val="28"/>
          <w:szCs w:val="28"/>
          <w:lang w:val="en-US" w:eastAsia="zh-CN"/>
        </w:rPr>
        <w:t>以上</w:t>
      </w:r>
      <w:r>
        <w:rPr>
          <w:rFonts w:hint="default" w:ascii="宋体" w:cs="宋体"/>
          <w:color w:val="FF0000"/>
          <w:kern w:val="0"/>
          <w:sz w:val="28"/>
          <w:szCs w:val="28"/>
          <w:lang w:val="en-US" w:eastAsia="zh-CN"/>
        </w:rPr>
        <w:t>要求</w:t>
      </w:r>
      <w:r>
        <w:rPr>
          <w:rFonts w:hint="eastAsia" w:ascii="宋体" w:cs="宋体"/>
          <w:color w:val="FF0000"/>
          <w:kern w:val="0"/>
          <w:sz w:val="28"/>
          <w:szCs w:val="28"/>
          <w:lang w:val="en-US" w:eastAsia="zh-CN"/>
        </w:rPr>
        <w:t>，其他裸露在空气中的变压器组部件防腐也应防盐、防弱酸腐蚀，且不低于ISO12944-2017中C4-H标准执行。</w:t>
      </w:r>
    </w:p>
    <w:p>
      <w:pPr>
        <w:numPr>
          <w:ilvl w:val="0"/>
          <w:numId w:val="0"/>
        </w:numPr>
        <w:spacing w:line="360" w:lineRule="auto"/>
        <w:rPr>
          <w:rFonts w:hint="default" w:ascii="宋体" w:cs="宋体"/>
          <w:kern w:val="0"/>
          <w:sz w:val="28"/>
          <w:szCs w:val="28"/>
          <w:lang w:val="en-US" w:eastAsia="zh-CN"/>
        </w:rPr>
      </w:pPr>
    </w:p>
    <w:p>
      <w:pPr>
        <w:spacing w:line="360" w:lineRule="auto"/>
        <w:outlineLvl w:val="2"/>
        <w:rPr>
          <w:rFonts w:hint="eastAsia" w:ascii="Times New Roman" w:hAnsi="Times New Roman" w:eastAsia="宋体" w:cs="Times New Roman"/>
          <w:b/>
          <w:kern w:val="0"/>
          <w:sz w:val="28"/>
          <w:szCs w:val="21"/>
          <w:lang w:val="en-US" w:eastAsia="zh-CN" w:bidi="ar-SA"/>
        </w:rPr>
      </w:pPr>
      <w:bookmarkStart w:id="110" w:name="_Toc10610"/>
      <w:r>
        <w:rPr>
          <w:rFonts w:hint="eastAsia" w:ascii="Times New Roman" w:hAnsi="Times New Roman" w:eastAsia="宋体" w:cs="Times New Roman"/>
          <w:b/>
          <w:kern w:val="0"/>
          <w:sz w:val="28"/>
          <w:szCs w:val="21"/>
          <w:lang w:val="en-US" w:eastAsia="zh-CN" w:bidi="ar-SA"/>
        </w:rPr>
        <w:t>2.</w:t>
      </w:r>
      <w:r>
        <w:rPr>
          <w:rFonts w:hint="eastAsia" w:cs="Times New Roman"/>
          <w:b/>
          <w:kern w:val="0"/>
          <w:sz w:val="28"/>
          <w:szCs w:val="21"/>
          <w:lang w:val="en-US" w:eastAsia="zh-CN" w:bidi="ar-SA"/>
        </w:rPr>
        <w:t>3</w:t>
      </w:r>
      <w:r>
        <w:rPr>
          <w:rFonts w:hint="eastAsia" w:ascii="Times New Roman" w:hAnsi="Times New Roman" w:eastAsia="宋体" w:cs="Times New Roman"/>
          <w:b/>
          <w:kern w:val="0"/>
          <w:sz w:val="28"/>
          <w:szCs w:val="21"/>
          <w:lang w:val="en-US" w:eastAsia="zh-CN" w:bidi="ar-SA"/>
        </w:rPr>
        <w:t>.</w:t>
      </w:r>
      <w:r>
        <w:rPr>
          <w:rFonts w:hint="eastAsia" w:cs="Times New Roman"/>
          <w:b/>
          <w:kern w:val="0"/>
          <w:sz w:val="28"/>
          <w:szCs w:val="21"/>
          <w:lang w:val="en-US" w:eastAsia="zh-CN" w:bidi="ar-SA"/>
        </w:rPr>
        <w:t xml:space="preserve">3 </w:t>
      </w:r>
      <w:r>
        <w:rPr>
          <w:rFonts w:hint="eastAsia" w:ascii="Times New Roman" w:hAnsi="Times New Roman" w:eastAsia="宋体" w:cs="Times New Roman"/>
          <w:b/>
          <w:kern w:val="0"/>
          <w:sz w:val="28"/>
          <w:szCs w:val="21"/>
          <w:lang w:val="en-US" w:eastAsia="zh-CN" w:bidi="ar-SA"/>
        </w:rPr>
        <w:t>GIS选择</w:t>
      </w:r>
      <w:bookmarkEnd w:id="110"/>
    </w:p>
    <w:p>
      <w:pPr>
        <w:spacing w:line="360" w:lineRule="auto"/>
        <w:ind w:firstLine="280" w:firstLineChars="100"/>
        <w:rPr>
          <w:rFonts w:hint="eastAsia" w:ascii="宋体" w:cs="宋体"/>
          <w:color w:val="auto"/>
          <w:kern w:val="0"/>
          <w:sz w:val="28"/>
          <w:szCs w:val="28"/>
          <w:highlight w:val="none"/>
          <w:lang w:val="en-US" w:eastAsia="zh-CN"/>
        </w:rPr>
      </w:pPr>
      <w:r>
        <w:rPr>
          <w:rFonts w:hint="eastAsia" w:ascii="宋体" w:cs="宋体"/>
          <w:color w:val="auto"/>
          <w:kern w:val="0"/>
          <w:sz w:val="28"/>
          <w:szCs w:val="28"/>
          <w:highlight w:val="none"/>
          <w:lang w:val="en-US" w:eastAsia="zh-CN"/>
        </w:rPr>
        <w:t>1、GIS采用双母线，1回进线间隔，2回出线间隔，2回PT间隔，1回母联间隔。</w:t>
      </w:r>
    </w:p>
    <w:tbl>
      <w:tblPr>
        <w:tblStyle w:val="63"/>
        <w:tblW w:w="8718"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CCFFCC"/>
        <w:tblLayout w:type="fixed"/>
        <w:tblCellMar>
          <w:top w:w="0" w:type="dxa"/>
          <w:left w:w="0" w:type="dxa"/>
          <w:bottom w:w="0" w:type="dxa"/>
          <w:right w:w="0" w:type="dxa"/>
        </w:tblCellMar>
      </w:tblPr>
      <w:tblGrid>
        <w:gridCol w:w="1574"/>
        <w:gridCol w:w="1846"/>
        <w:gridCol w:w="529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CCFFCC"/>
          <w:tblCellMar>
            <w:top w:w="0" w:type="dxa"/>
            <w:left w:w="0" w:type="dxa"/>
            <w:bottom w:w="0" w:type="dxa"/>
            <w:right w:w="0" w:type="dxa"/>
          </w:tblCellMar>
        </w:tblPrEx>
        <w:trPr>
          <w:cantSplit/>
          <w:trHeight w:val="454" w:hRule="atLeast"/>
          <w:tblHeader/>
          <w:jc w:val="center"/>
        </w:trPr>
        <w:tc>
          <w:tcPr>
            <w:tcW w:w="3420" w:type="dxa"/>
            <w:gridSpan w:val="2"/>
            <w:shd w:val="clear" w:color="auto" w:fill="FFFFFF"/>
            <w:vAlign w:val="center"/>
          </w:tcPr>
          <w:p>
            <w:pPr>
              <w:adjustRightInd w:val="0"/>
              <w:snapToGrid w:val="0"/>
              <w:spacing w:line="348" w:lineRule="auto"/>
              <w:jc w:val="center"/>
              <w:rPr>
                <w:color w:val="auto"/>
                <w:sz w:val="22"/>
                <w:szCs w:val="22"/>
                <w:highlight w:val="none"/>
              </w:rPr>
            </w:pPr>
            <w:r>
              <w:rPr>
                <w:color w:val="auto"/>
                <w:sz w:val="22"/>
                <w:szCs w:val="22"/>
                <w:highlight w:val="none"/>
              </w:rPr>
              <w:t>设备名称</w:t>
            </w:r>
          </w:p>
        </w:tc>
        <w:tc>
          <w:tcPr>
            <w:tcW w:w="5298" w:type="dxa"/>
            <w:shd w:val="clear" w:color="auto" w:fill="FFFFFF"/>
            <w:vAlign w:val="center"/>
          </w:tcPr>
          <w:p>
            <w:pPr>
              <w:adjustRightInd w:val="0"/>
              <w:snapToGrid w:val="0"/>
              <w:spacing w:line="348" w:lineRule="auto"/>
              <w:jc w:val="center"/>
              <w:rPr>
                <w:color w:val="auto"/>
                <w:sz w:val="22"/>
                <w:szCs w:val="22"/>
                <w:highlight w:val="none"/>
              </w:rPr>
            </w:pPr>
            <w:r>
              <w:rPr>
                <w:color w:val="auto"/>
                <w:sz w:val="22"/>
                <w:szCs w:val="22"/>
                <w:highlight w:val="none"/>
              </w:rPr>
              <w:t>型式及主要参数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CCFFCC"/>
          <w:tblCellMar>
            <w:top w:w="0" w:type="dxa"/>
            <w:left w:w="0" w:type="dxa"/>
            <w:bottom w:w="0" w:type="dxa"/>
            <w:right w:w="0" w:type="dxa"/>
          </w:tblCellMar>
        </w:tblPrEx>
        <w:trPr>
          <w:cantSplit/>
          <w:trHeight w:val="90" w:hRule="atLeast"/>
          <w:jc w:val="center"/>
        </w:trPr>
        <w:tc>
          <w:tcPr>
            <w:tcW w:w="1574" w:type="dxa"/>
            <w:vMerge w:val="restart"/>
            <w:shd w:val="clear" w:color="auto" w:fill="FFFFFF"/>
            <w:vAlign w:val="center"/>
          </w:tcPr>
          <w:p>
            <w:pPr>
              <w:adjustRightInd w:val="0"/>
              <w:snapToGrid w:val="0"/>
              <w:spacing w:line="348" w:lineRule="auto"/>
              <w:jc w:val="center"/>
              <w:rPr>
                <w:color w:val="auto"/>
                <w:sz w:val="22"/>
                <w:szCs w:val="22"/>
                <w:highlight w:val="none"/>
              </w:rPr>
            </w:pPr>
            <w:r>
              <w:rPr>
                <w:rFonts w:hint="eastAsia"/>
                <w:color w:val="auto"/>
                <w:sz w:val="22"/>
                <w:szCs w:val="22"/>
                <w:highlight w:val="none"/>
                <w:lang w:val="en-US" w:eastAsia="zh-CN"/>
              </w:rPr>
              <w:t>G</w:t>
            </w:r>
            <w:r>
              <w:rPr>
                <w:color w:val="auto"/>
                <w:sz w:val="22"/>
                <w:szCs w:val="22"/>
                <w:highlight w:val="none"/>
              </w:rPr>
              <w:t>IS</w:t>
            </w:r>
          </w:p>
        </w:tc>
        <w:tc>
          <w:tcPr>
            <w:tcW w:w="1846" w:type="dxa"/>
            <w:shd w:val="clear" w:color="auto" w:fill="FFFFFF"/>
            <w:vAlign w:val="center"/>
          </w:tcPr>
          <w:p>
            <w:pPr>
              <w:adjustRightInd w:val="0"/>
              <w:snapToGrid w:val="0"/>
              <w:spacing w:line="348" w:lineRule="auto"/>
              <w:jc w:val="center"/>
              <w:rPr>
                <w:color w:val="auto"/>
                <w:sz w:val="22"/>
                <w:szCs w:val="22"/>
                <w:highlight w:val="none"/>
              </w:rPr>
            </w:pPr>
            <w:r>
              <w:rPr>
                <w:color w:val="auto"/>
                <w:sz w:val="22"/>
                <w:szCs w:val="22"/>
                <w:highlight w:val="none"/>
              </w:rPr>
              <w:t>断路器</w:t>
            </w:r>
          </w:p>
        </w:tc>
        <w:tc>
          <w:tcPr>
            <w:tcW w:w="5298" w:type="dxa"/>
            <w:shd w:val="clear" w:color="auto" w:fill="FFFFFF"/>
            <w:vAlign w:val="center"/>
          </w:tcPr>
          <w:p>
            <w:pPr>
              <w:adjustRightInd w:val="0"/>
              <w:snapToGrid w:val="0"/>
              <w:spacing w:line="348" w:lineRule="auto"/>
              <w:jc w:val="center"/>
              <w:rPr>
                <w:rFonts w:hint="eastAsia" w:eastAsia="宋体"/>
                <w:color w:val="auto"/>
                <w:sz w:val="22"/>
                <w:szCs w:val="22"/>
                <w:highlight w:val="none"/>
                <w:lang w:eastAsia="zh-CN"/>
              </w:rPr>
            </w:pPr>
            <w:r>
              <w:rPr>
                <w:rFonts w:hint="eastAsia" w:eastAsia="宋体"/>
                <w:color w:val="auto"/>
                <w:sz w:val="22"/>
                <w:szCs w:val="22"/>
                <w:highlight w:val="none"/>
                <w:lang w:eastAsia="zh-CN"/>
              </w:rPr>
              <w:t xml:space="preserve">126kV </w:t>
            </w:r>
            <w:r>
              <w:rPr>
                <w:rFonts w:hint="eastAsia"/>
                <w:color w:val="auto"/>
                <w:sz w:val="22"/>
                <w:szCs w:val="22"/>
                <w:highlight w:val="none"/>
                <w:lang w:val="en-US" w:eastAsia="zh-CN"/>
              </w:rPr>
              <w:t>3150</w:t>
            </w:r>
            <w:r>
              <w:rPr>
                <w:rFonts w:hint="eastAsia" w:eastAsia="宋体"/>
                <w:color w:val="auto"/>
                <w:sz w:val="22"/>
                <w:szCs w:val="22"/>
                <w:highlight w:val="none"/>
                <w:lang w:eastAsia="zh-CN"/>
              </w:rPr>
              <w:t>A 40kA/4s</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CCFFCC"/>
          <w:tblCellMar>
            <w:top w:w="0" w:type="dxa"/>
            <w:left w:w="0" w:type="dxa"/>
            <w:bottom w:w="0" w:type="dxa"/>
            <w:right w:w="0" w:type="dxa"/>
          </w:tblCellMar>
        </w:tblPrEx>
        <w:trPr>
          <w:cantSplit/>
          <w:trHeight w:val="454" w:hRule="atLeast"/>
          <w:jc w:val="center"/>
        </w:trPr>
        <w:tc>
          <w:tcPr>
            <w:tcW w:w="1574" w:type="dxa"/>
            <w:vMerge w:val="continue"/>
            <w:shd w:val="clear" w:color="auto" w:fill="FFFFFF"/>
            <w:vAlign w:val="center"/>
          </w:tcPr>
          <w:p>
            <w:pPr>
              <w:adjustRightInd w:val="0"/>
              <w:snapToGrid w:val="0"/>
              <w:spacing w:line="348" w:lineRule="auto"/>
              <w:ind w:left="105" w:leftChars="50" w:firstLine="440" w:firstLineChars="200"/>
              <w:jc w:val="left"/>
              <w:rPr>
                <w:color w:val="auto"/>
                <w:sz w:val="22"/>
                <w:szCs w:val="22"/>
                <w:highlight w:val="none"/>
              </w:rPr>
            </w:pPr>
          </w:p>
        </w:tc>
        <w:tc>
          <w:tcPr>
            <w:tcW w:w="1846" w:type="dxa"/>
            <w:shd w:val="clear" w:color="auto" w:fill="FFFFFF"/>
            <w:vAlign w:val="center"/>
          </w:tcPr>
          <w:p>
            <w:pPr>
              <w:adjustRightInd w:val="0"/>
              <w:snapToGrid w:val="0"/>
              <w:spacing w:line="348" w:lineRule="auto"/>
              <w:jc w:val="center"/>
              <w:rPr>
                <w:color w:val="auto"/>
                <w:sz w:val="22"/>
                <w:szCs w:val="22"/>
                <w:highlight w:val="none"/>
              </w:rPr>
            </w:pPr>
            <w:r>
              <w:rPr>
                <w:color w:val="auto"/>
                <w:sz w:val="22"/>
                <w:szCs w:val="22"/>
                <w:highlight w:val="none"/>
              </w:rPr>
              <w:t>三工位隔离开关</w:t>
            </w:r>
          </w:p>
        </w:tc>
        <w:tc>
          <w:tcPr>
            <w:tcW w:w="5298" w:type="dxa"/>
            <w:shd w:val="clear" w:color="auto" w:fill="FFFFFF"/>
            <w:vAlign w:val="center"/>
          </w:tcPr>
          <w:p>
            <w:pPr>
              <w:adjustRightInd w:val="0"/>
              <w:snapToGrid w:val="0"/>
              <w:spacing w:line="348" w:lineRule="auto"/>
              <w:jc w:val="center"/>
              <w:rPr>
                <w:rFonts w:hint="eastAsia" w:eastAsia="宋体"/>
                <w:color w:val="auto"/>
                <w:sz w:val="22"/>
                <w:szCs w:val="22"/>
                <w:highlight w:val="none"/>
                <w:lang w:eastAsia="zh-CN"/>
              </w:rPr>
            </w:pPr>
            <w:r>
              <w:rPr>
                <w:rFonts w:hint="eastAsia" w:eastAsia="宋体"/>
                <w:color w:val="auto"/>
                <w:sz w:val="22"/>
                <w:szCs w:val="22"/>
                <w:highlight w:val="none"/>
                <w:lang w:eastAsia="zh-CN"/>
              </w:rPr>
              <w:t xml:space="preserve">126kV </w:t>
            </w:r>
            <w:r>
              <w:rPr>
                <w:rFonts w:hint="eastAsia"/>
                <w:color w:val="auto"/>
                <w:sz w:val="22"/>
                <w:szCs w:val="22"/>
                <w:highlight w:val="none"/>
                <w:lang w:val="en-US" w:eastAsia="zh-CN"/>
              </w:rPr>
              <w:t>3150</w:t>
            </w:r>
            <w:r>
              <w:rPr>
                <w:rFonts w:hint="eastAsia" w:eastAsia="宋体"/>
                <w:color w:val="auto"/>
                <w:sz w:val="22"/>
                <w:szCs w:val="22"/>
                <w:highlight w:val="none"/>
                <w:lang w:eastAsia="zh-CN"/>
              </w:rPr>
              <w:t>A 40kA/4s</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shd w:val="clear" w:color="auto" w:fill="CCFFCC"/>
          <w:tblCellMar>
            <w:top w:w="0" w:type="dxa"/>
            <w:left w:w="0" w:type="dxa"/>
            <w:bottom w:w="0" w:type="dxa"/>
            <w:right w:w="0" w:type="dxa"/>
          </w:tblCellMar>
        </w:tblPrEx>
        <w:trPr>
          <w:cantSplit/>
          <w:trHeight w:val="454" w:hRule="atLeast"/>
          <w:jc w:val="center"/>
        </w:trPr>
        <w:tc>
          <w:tcPr>
            <w:tcW w:w="1574" w:type="dxa"/>
            <w:vMerge w:val="continue"/>
            <w:shd w:val="clear" w:color="auto" w:fill="FFFFFF"/>
            <w:vAlign w:val="center"/>
          </w:tcPr>
          <w:p>
            <w:pPr>
              <w:adjustRightInd w:val="0"/>
              <w:snapToGrid w:val="0"/>
              <w:spacing w:line="348" w:lineRule="auto"/>
              <w:ind w:left="105" w:leftChars="50" w:firstLine="440" w:firstLineChars="200"/>
              <w:jc w:val="left"/>
              <w:rPr>
                <w:color w:val="auto"/>
                <w:sz w:val="22"/>
                <w:szCs w:val="22"/>
                <w:highlight w:val="none"/>
              </w:rPr>
            </w:pPr>
          </w:p>
        </w:tc>
        <w:tc>
          <w:tcPr>
            <w:tcW w:w="1846" w:type="dxa"/>
            <w:shd w:val="clear" w:color="auto" w:fill="FFFFFF"/>
            <w:vAlign w:val="center"/>
          </w:tcPr>
          <w:p>
            <w:pPr>
              <w:adjustRightInd w:val="0"/>
              <w:snapToGrid w:val="0"/>
              <w:spacing w:line="348" w:lineRule="auto"/>
              <w:jc w:val="center"/>
              <w:rPr>
                <w:color w:val="auto"/>
                <w:sz w:val="22"/>
                <w:szCs w:val="22"/>
                <w:highlight w:val="none"/>
              </w:rPr>
            </w:pPr>
            <w:r>
              <w:rPr>
                <w:color w:val="auto"/>
                <w:sz w:val="22"/>
                <w:szCs w:val="22"/>
                <w:highlight w:val="none"/>
              </w:rPr>
              <w:t>快速接地开关</w:t>
            </w:r>
          </w:p>
        </w:tc>
        <w:tc>
          <w:tcPr>
            <w:tcW w:w="5298" w:type="dxa"/>
            <w:shd w:val="clear" w:color="auto" w:fill="FFFFFF"/>
            <w:vAlign w:val="center"/>
          </w:tcPr>
          <w:p>
            <w:pPr>
              <w:adjustRightInd w:val="0"/>
              <w:snapToGrid w:val="0"/>
              <w:spacing w:line="348" w:lineRule="auto"/>
              <w:jc w:val="center"/>
              <w:rPr>
                <w:rFonts w:hint="eastAsia" w:eastAsia="宋体"/>
                <w:color w:val="auto"/>
                <w:sz w:val="22"/>
                <w:szCs w:val="22"/>
                <w:highlight w:val="none"/>
                <w:lang w:eastAsia="zh-CN"/>
              </w:rPr>
            </w:pPr>
            <w:r>
              <w:rPr>
                <w:rFonts w:hint="eastAsia" w:eastAsia="宋体"/>
                <w:color w:val="auto"/>
                <w:sz w:val="22"/>
                <w:szCs w:val="22"/>
                <w:highlight w:val="none"/>
                <w:lang w:eastAsia="zh-CN"/>
              </w:rPr>
              <w:t xml:space="preserve">126kV </w:t>
            </w:r>
            <w:r>
              <w:rPr>
                <w:rFonts w:hint="eastAsia"/>
                <w:color w:val="auto"/>
                <w:sz w:val="22"/>
                <w:szCs w:val="22"/>
                <w:highlight w:val="none"/>
                <w:lang w:val="en-US" w:eastAsia="zh-CN"/>
              </w:rPr>
              <w:t>3150</w:t>
            </w:r>
            <w:r>
              <w:rPr>
                <w:rFonts w:hint="eastAsia" w:eastAsia="宋体"/>
                <w:color w:val="auto"/>
                <w:sz w:val="22"/>
                <w:szCs w:val="22"/>
                <w:highlight w:val="none"/>
                <w:lang w:eastAsia="zh-CN"/>
              </w:rPr>
              <w:t>A 40kA/4s</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cantSplit/>
          <w:trHeight w:val="2094" w:hRule="atLeast"/>
          <w:jc w:val="center"/>
        </w:trPr>
        <w:tc>
          <w:tcPr>
            <w:tcW w:w="1574" w:type="dxa"/>
            <w:vMerge w:val="continue"/>
            <w:shd w:val="clear" w:color="auto" w:fill="FFFFFF"/>
            <w:vAlign w:val="center"/>
          </w:tcPr>
          <w:p>
            <w:pPr>
              <w:adjustRightInd w:val="0"/>
              <w:snapToGrid w:val="0"/>
              <w:spacing w:line="348" w:lineRule="auto"/>
              <w:ind w:left="105" w:leftChars="50" w:firstLine="440" w:firstLineChars="200"/>
              <w:jc w:val="left"/>
              <w:rPr>
                <w:color w:val="auto"/>
                <w:sz w:val="22"/>
                <w:szCs w:val="22"/>
                <w:highlight w:val="none"/>
              </w:rPr>
            </w:pPr>
          </w:p>
        </w:tc>
        <w:tc>
          <w:tcPr>
            <w:tcW w:w="1846" w:type="dxa"/>
            <w:shd w:val="clear" w:color="auto" w:fill="FFFFFF"/>
            <w:vAlign w:val="center"/>
          </w:tcPr>
          <w:p>
            <w:pPr>
              <w:adjustRightInd w:val="0"/>
              <w:snapToGrid w:val="0"/>
              <w:spacing w:line="348" w:lineRule="auto"/>
              <w:jc w:val="center"/>
              <w:rPr>
                <w:color w:val="auto"/>
                <w:sz w:val="22"/>
                <w:szCs w:val="22"/>
                <w:highlight w:val="none"/>
              </w:rPr>
            </w:pPr>
            <w:r>
              <w:rPr>
                <w:color w:val="auto"/>
                <w:sz w:val="22"/>
                <w:szCs w:val="22"/>
                <w:highlight w:val="none"/>
              </w:rPr>
              <w:t>电流互感器</w:t>
            </w:r>
          </w:p>
        </w:tc>
        <w:tc>
          <w:tcPr>
            <w:tcW w:w="5298" w:type="dxa"/>
            <w:shd w:val="clear" w:color="auto" w:fill="FFFFFF"/>
            <w:vAlign w:val="center"/>
          </w:tcPr>
          <w:p>
            <w:pPr>
              <w:adjustRightInd w:val="0"/>
              <w:snapToGrid w:val="0"/>
              <w:spacing w:line="348" w:lineRule="auto"/>
              <w:jc w:val="center"/>
              <w:rPr>
                <w:rFonts w:hint="eastAsia" w:eastAsia="宋体"/>
                <w:color w:val="auto"/>
                <w:sz w:val="22"/>
                <w:szCs w:val="22"/>
                <w:highlight w:val="none"/>
                <w:lang w:eastAsia="zh-CN"/>
              </w:rPr>
            </w:pPr>
            <w:r>
              <w:rPr>
                <w:rFonts w:hint="eastAsia" w:eastAsia="宋体"/>
                <w:color w:val="auto"/>
                <w:sz w:val="22"/>
                <w:szCs w:val="22"/>
                <w:highlight w:val="none"/>
                <w:lang w:val="en-US" w:eastAsia="zh-CN"/>
              </w:rPr>
              <w:t>600</w:t>
            </w:r>
            <w:r>
              <w:rPr>
                <w:rFonts w:hint="eastAsia" w:eastAsia="宋体"/>
                <w:color w:val="auto"/>
                <w:sz w:val="22"/>
                <w:szCs w:val="22"/>
                <w:highlight w:val="none"/>
                <w:lang w:eastAsia="zh-CN"/>
              </w:rPr>
              <w:t>-</w:t>
            </w:r>
            <w:r>
              <w:rPr>
                <w:rFonts w:hint="eastAsia" w:eastAsia="宋体"/>
                <w:color w:val="auto"/>
                <w:sz w:val="22"/>
                <w:szCs w:val="22"/>
                <w:highlight w:val="none"/>
                <w:lang w:val="en-US" w:eastAsia="zh-CN"/>
              </w:rPr>
              <w:t>12</w:t>
            </w:r>
            <w:r>
              <w:rPr>
                <w:rFonts w:hint="eastAsia" w:eastAsia="宋体"/>
                <w:color w:val="auto"/>
                <w:sz w:val="22"/>
                <w:szCs w:val="22"/>
                <w:highlight w:val="none"/>
                <w:lang w:eastAsia="zh-CN"/>
              </w:rPr>
              <w:t>00/5A 0.2S 30VA</w:t>
            </w:r>
          </w:p>
          <w:p>
            <w:pPr>
              <w:adjustRightInd w:val="0"/>
              <w:snapToGrid w:val="0"/>
              <w:spacing w:line="348" w:lineRule="auto"/>
              <w:jc w:val="center"/>
              <w:rPr>
                <w:rFonts w:hint="eastAsia" w:eastAsia="宋体"/>
                <w:color w:val="auto"/>
                <w:sz w:val="22"/>
                <w:szCs w:val="22"/>
                <w:highlight w:val="none"/>
                <w:lang w:eastAsia="zh-CN"/>
              </w:rPr>
            </w:pPr>
            <w:r>
              <w:rPr>
                <w:rFonts w:hint="eastAsia" w:eastAsia="宋体"/>
                <w:color w:val="auto"/>
                <w:sz w:val="22"/>
                <w:szCs w:val="22"/>
                <w:highlight w:val="none"/>
                <w:lang w:val="en-US" w:eastAsia="zh-CN"/>
              </w:rPr>
              <w:t>600</w:t>
            </w:r>
            <w:r>
              <w:rPr>
                <w:rFonts w:hint="eastAsia" w:eastAsia="宋体"/>
                <w:color w:val="auto"/>
                <w:sz w:val="22"/>
                <w:szCs w:val="22"/>
                <w:highlight w:val="none"/>
                <w:lang w:eastAsia="zh-CN"/>
              </w:rPr>
              <w:t>-</w:t>
            </w:r>
            <w:r>
              <w:rPr>
                <w:rFonts w:hint="eastAsia" w:eastAsia="宋体"/>
                <w:color w:val="auto"/>
                <w:sz w:val="22"/>
                <w:szCs w:val="22"/>
                <w:highlight w:val="none"/>
                <w:lang w:val="en-US" w:eastAsia="zh-CN"/>
              </w:rPr>
              <w:t>12</w:t>
            </w:r>
            <w:r>
              <w:rPr>
                <w:rFonts w:hint="eastAsia" w:eastAsia="宋体"/>
                <w:color w:val="auto"/>
                <w:sz w:val="22"/>
                <w:szCs w:val="22"/>
                <w:highlight w:val="none"/>
                <w:lang w:eastAsia="zh-CN"/>
              </w:rPr>
              <w:t>00/5A 0.5 30VA</w:t>
            </w:r>
          </w:p>
          <w:p>
            <w:pPr>
              <w:adjustRightInd w:val="0"/>
              <w:snapToGrid w:val="0"/>
              <w:spacing w:line="348" w:lineRule="auto"/>
              <w:jc w:val="center"/>
              <w:rPr>
                <w:rFonts w:hint="eastAsia" w:eastAsia="宋体"/>
                <w:color w:val="auto"/>
                <w:sz w:val="22"/>
                <w:szCs w:val="22"/>
                <w:highlight w:val="none"/>
                <w:lang w:eastAsia="zh-CN"/>
              </w:rPr>
            </w:pPr>
            <w:r>
              <w:rPr>
                <w:rFonts w:hint="eastAsia" w:eastAsia="宋体"/>
                <w:color w:val="auto"/>
                <w:sz w:val="22"/>
                <w:szCs w:val="22"/>
                <w:highlight w:val="none"/>
                <w:lang w:val="en-US" w:eastAsia="zh-CN"/>
              </w:rPr>
              <w:t>600</w:t>
            </w:r>
            <w:r>
              <w:rPr>
                <w:rFonts w:hint="eastAsia" w:eastAsia="宋体"/>
                <w:color w:val="auto"/>
                <w:sz w:val="22"/>
                <w:szCs w:val="22"/>
                <w:highlight w:val="none"/>
                <w:lang w:eastAsia="zh-CN"/>
              </w:rPr>
              <w:t>-</w:t>
            </w:r>
            <w:r>
              <w:rPr>
                <w:rFonts w:hint="eastAsia" w:eastAsia="宋体"/>
                <w:color w:val="auto"/>
                <w:sz w:val="22"/>
                <w:szCs w:val="22"/>
                <w:highlight w:val="none"/>
                <w:lang w:val="en-US" w:eastAsia="zh-CN"/>
              </w:rPr>
              <w:t>12</w:t>
            </w:r>
            <w:r>
              <w:rPr>
                <w:rFonts w:hint="eastAsia" w:eastAsia="宋体"/>
                <w:color w:val="auto"/>
                <w:sz w:val="22"/>
                <w:szCs w:val="22"/>
                <w:highlight w:val="none"/>
                <w:lang w:eastAsia="zh-CN"/>
              </w:rPr>
              <w:t>00/5A 5P</w:t>
            </w:r>
            <w:r>
              <w:rPr>
                <w:rFonts w:hint="eastAsia" w:eastAsia="宋体"/>
                <w:color w:val="auto"/>
                <w:sz w:val="22"/>
                <w:szCs w:val="22"/>
                <w:highlight w:val="none"/>
                <w:lang w:val="en-US" w:eastAsia="zh-CN"/>
              </w:rPr>
              <w:t>4</w:t>
            </w:r>
            <w:r>
              <w:rPr>
                <w:rFonts w:hint="eastAsia" w:eastAsia="宋体"/>
                <w:color w:val="auto"/>
                <w:sz w:val="22"/>
                <w:szCs w:val="22"/>
                <w:highlight w:val="none"/>
                <w:lang w:eastAsia="zh-CN"/>
              </w:rPr>
              <w:t>0 30VA</w:t>
            </w:r>
          </w:p>
          <w:p>
            <w:pPr>
              <w:adjustRightInd w:val="0"/>
              <w:snapToGrid w:val="0"/>
              <w:spacing w:line="348" w:lineRule="auto"/>
              <w:jc w:val="center"/>
              <w:rPr>
                <w:rFonts w:hint="eastAsia" w:eastAsia="宋体"/>
                <w:color w:val="auto"/>
                <w:sz w:val="22"/>
                <w:szCs w:val="22"/>
                <w:highlight w:val="none"/>
                <w:lang w:eastAsia="zh-CN"/>
              </w:rPr>
            </w:pPr>
            <w:r>
              <w:rPr>
                <w:rFonts w:hint="eastAsia" w:eastAsia="宋体"/>
                <w:color w:val="auto"/>
                <w:sz w:val="22"/>
                <w:szCs w:val="22"/>
                <w:highlight w:val="none"/>
                <w:lang w:val="en-US" w:eastAsia="zh-CN"/>
              </w:rPr>
              <w:t>600</w:t>
            </w:r>
            <w:r>
              <w:rPr>
                <w:rFonts w:hint="eastAsia" w:eastAsia="宋体"/>
                <w:color w:val="auto"/>
                <w:sz w:val="22"/>
                <w:szCs w:val="22"/>
                <w:highlight w:val="none"/>
                <w:lang w:eastAsia="zh-CN"/>
              </w:rPr>
              <w:t>-</w:t>
            </w:r>
            <w:r>
              <w:rPr>
                <w:rFonts w:hint="eastAsia" w:eastAsia="宋体"/>
                <w:color w:val="auto"/>
                <w:sz w:val="22"/>
                <w:szCs w:val="22"/>
                <w:highlight w:val="none"/>
                <w:lang w:val="en-US" w:eastAsia="zh-CN"/>
              </w:rPr>
              <w:t>12</w:t>
            </w:r>
            <w:r>
              <w:rPr>
                <w:rFonts w:hint="eastAsia" w:eastAsia="宋体"/>
                <w:color w:val="auto"/>
                <w:sz w:val="22"/>
                <w:szCs w:val="22"/>
                <w:highlight w:val="none"/>
                <w:lang w:eastAsia="zh-CN"/>
              </w:rPr>
              <w:t>00/5A 5P</w:t>
            </w:r>
            <w:r>
              <w:rPr>
                <w:rFonts w:hint="eastAsia" w:eastAsia="宋体"/>
                <w:color w:val="auto"/>
                <w:sz w:val="22"/>
                <w:szCs w:val="22"/>
                <w:highlight w:val="none"/>
                <w:lang w:val="en-US" w:eastAsia="zh-CN"/>
              </w:rPr>
              <w:t>4</w:t>
            </w:r>
            <w:r>
              <w:rPr>
                <w:rFonts w:hint="eastAsia" w:eastAsia="宋体"/>
                <w:color w:val="auto"/>
                <w:sz w:val="22"/>
                <w:szCs w:val="22"/>
                <w:highlight w:val="none"/>
                <w:lang w:eastAsia="zh-CN"/>
              </w:rPr>
              <w:t>0 30VA</w:t>
            </w:r>
          </w:p>
          <w:p>
            <w:pPr>
              <w:adjustRightInd w:val="0"/>
              <w:snapToGrid w:val="0"/>
              <w:spacing w:line="348" w:lineRule="auto"/>
              <w:jc w:val="center"/>
              <w:rPr>
                <w:rFonts w:hint="eastAsia" w:eastAsia="宋体"/>
                <w:color w:val="auto"/>
                <w:sz w:val="22"/>
                <w:szCs w:val="22"/>
                <w:highlight w:val="none"/>
                <w:lang w:eastAsia="zh-CN"/>
              </w:rPr>
            </w:pPr>
            <w:r>
              <w:rPr>
                <w:rFonts w:hint="eastAsia" w:eastAsia="宋体"/>
                <w:color w:val="auto"/>
                <w:sz w:val="22"/>
                <w:szCs w:val="22"/>
                <w:highlight w:val="none"/>
                <w:lang w:val="en-US" w:eastAsia="zh-CN"/>
              </w:rPr>
              <w:t>600</w:t>
            </w:r>
            <w:r>
              <w:rPr>
                <w:rFonts w:hint="eastAsia" w:eastAsia="宋体"/>
                <w:color w:val="auto"/>
                <w:sz w:val="22"/>
                <w:szCs w:val="22"/>
                <w:highlight w:val="none"/>
                <w:lang w:eastAsia="zh-CN"/>
              </w:rPr>
              <w:t>-</w:t>
            </w:r>
            <w:r>
              <w:rPr>
                <w:rFonts w:hint="eastAsia" w:eastAsia="宋体"/>
                <w:color w:val="auto"/>
                <w:sz w:val="22"/>
                <w:szCs w:val="22"/>
                <w:highlight w:val="none"/>
                <w:lang w:val="en-US" w:eastAsia="zh-CN"/>
              </w:rPr>
              <w:t>12</w:t>
            </w:r>
            <w:r>
              <w:rPr>
                <w:rFonts w:hint="eastAsia" w:eastAsia="宋体"/>
                <w:color w:val="auto"/>
                <w:sz w:val="22"/>
                <w:szCs w:val="22"/>
                <w:highlight w:val="none"/>
                <w:lang w:eastAsia="zh-CN"/>
              </w:rPr>
              <w:t>00/5A 5P</w:t>
            </w:r>
            <w:r>
              <w:rPr>
                <w:rFonts w:hint="eastAsia" w:eastAsia="宋体"/>
                <w:color w:val="auto"/>
                <w:sz w:val="22"/>
                <w:szCs w:val="22"/>
                <w:highlight w:val="none"/>
                <w:lang w:val="en-US" w:eastAsia="zh-CN"/>
              </w:rPr>
              <w:t>4</w:t>
            </w:r>
            <w:r>
              <w:rPr>
                <w:rFonts w:hint="eastAsia" w:eastAsia="宋体"/>
                <w:color w:val="auto"/>
                <w:sz w:val="22"/>
                <w:szCs w:val="22"/>
                <w:highlight w:val="none"/>
                <w:lang w:eastAsia="zh-CN"/>
              </w:rPr>
              <w:t>0 30VA</w:t>
            </w:r>
          </w:p>
          <w:p>
            <w:pPr>
              <w:adjustRightInd w:val="0"/>
              <w:snapToGrid w:val="0"/>
              <w:spacing w:line="348" w:lineRule="auto"/>
              <w:jc w:val="center"/>
              <w:rPr>
                <w:rFonts w:hint="eastAsia" w:eastAsia="宋体"/>
                <w:color w:val="auto"/>
                <w:sz w:val="22"/>
                <w:szCs w:val="22"/>
                <w:highlight w:val="none"/>
                <w:lang w:eastAsia="zh-CN"/>
              </w:rPr>
            </w:pPr>
            <w:r>
              <w:rPr>
                <w:rFonts w:hint="eastAsia" w:eastAsia="宋体"/>
                <w:color w:val="auto"/>
                <w:sz w:val="22"/>
                <w:szCs w:val="22"/>
                <w:highlight w:val="none"/>
                <w:lang w:val="en-US" w:eastAsia="zh-CN"/>
              </w:rPr>
              <w:t>600</w:t>
            </w:r>
            <w:r>
              <w:rPr>
                <w:rFonts w:hint="eastAsia" w:eastAsia="宋体"/>
                <w:color w:val="auto"/>
                <w:sz w:val="22"/>
                <w:szCs w:val="22"/>
                <w:highlight w:val="none"/>
                <w:lang w:eastAsia="zh-CN"/>
              </w:rPr>
              <w:t>-</w:t>
            </w:r>
            <w:r>
              <w:rPr>
                <w:rFonts w:hint="eastAsia" w:eastAsia="宋体"/>
                <w:color w:val="auto"/>
                <w:sz w:val="22"/>
                <w:szCs w:val="22"/>
                <w:highlight w:val="none"/>
                <w:lang w:val="en-US" w:eastAsia="zh-CN"/>
              </w:rPr>
              <w:t>12</w:t>
            </w:r>
            <w:r>
              <w:rPr>
                <w:rFonts w:hint="eastAsia" w:eastAsia="宋体"/>
                <w:color w:val="auto"/>
                <w:sz w:val="22"/>
                <w:szCs w:val="22"/>
                <w:highlight w:val="none"/>
                <w:lang w:eastAsia="zh-CN"/>
              </w:rPr>
              <w:t>00/5A 5P</w:t>
            </w:r>
            <w:r>
              <w:rPr>
                <w:rFonts w:hint="eastAsia" w:eastAsia="宋体"/>
                <w:color w:val="auto"/>
                <w:sz w:val="22"/>
                <w:szCs w:val="22"/>
                <w:highlight w:val="none"/>
                <w:lang w:val="en-US" w:eastAsia="zh-CN"/>
              </w:rPr>
              <w:t>4</w:t>
            </w:r>
            <w:r>
              <w:rPr>
                <w:rFonts w:hint="eastAsia" w:eastAsia="宋体"/>
                <w:color w:val="auto"/>
                <w:sz w:val="22"/>
                <w:szCs w:val="22"/>
                <w:highlight w:val="none"/>
                <w:lang w:eastAsia="zh-CN"/>
              </w:rPr>
              <w:t>0 30VA</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cantSplit/>
          <w:trHeight w:val="477" w:hRule="atLeast"/>
          <w:jc w:val="center"/>
        </w:trPr>
        <w:tc>
          <w:tcPr>
            <w:tcW w:w="1574" w:type="dxa"/>
            <w:vMerge w:val="continue"/>
            <w:shd w:val="clear" w:color="auto" w:fill="FFFFFF"/>
            <w:vAlign w:val="center"/>
          </w:tcPr>
          <w:p>
            <w:pPr>
              <w:adjustRightInd w:val="0"/>
              <w:snapToGrid w:val="0"/>
              <w:spacing w:line="348" w:lineRule="auto"/>
              <w:ind w:left="105" w:leftChars="50" w:firstLine="440" w:firstLineChars="200"/>
              <w:jc w:val="left"/>
              <w:rPr>
                <w:color w:val="auto"/>
                <w:sz w:val="22"/>
                <w:szCs w:val="22"/>
                <w:highlight w:val="none"/>
              </w:rPr>
            </w:pPr>
          </w:p>
        </w:tc>
        <w:tc>
          <w:tcPr>
            <w:tcW w:w="1846" w:type="dxa"/>
            <w:shd w:val="clear" w:color="auto" w:fill="FFFFFF"/>
            <w:vAlign w:val="center"/>
          </w:tcPr>
          <w:p>
            <w:pPr>
              <w:adjustRightInd w:val="0"/>
              <w:snapToGrid w:val="0"/>
              <w:spacing w:line="348" w:lineRule="auto"/>
              <w:jc w:val="center"/>
              <w:rPr>
                <w:color w:val="auto"/>
                <w:sz w:val="22"/>
                <w:szCs w:val="22"/>
                <w:highlight w:val="none"/>
              </w:rPr>
            </w:pPr>
            <w:r>
              <w:rPr>
                <w:color w:val="auto"/>
                <w:sz w:val="22"/>
                <w:szCs w:val="22"/>
                <w:highlight w:val="none"/>
              </w:rPr>
              <w:t>电压互感器</w:t>
            </w:r>
          </w:p>
        </w:tc>
        <w:tc>
          <w:tcPr>
            <w:tcW w:w="5298" w:type="dxa"/>
            <w:shd w:val="clear" w:color="auto" w:fill="FFFFFF"/>
            <w:vAlign w:val="bottom"/>
          </w:tcPr>
          <w:p>
            <w:pPr>
              <w:adjustRightInd w:val="0"/>
              <w:snapToGrid w:val="0"/>
              <w:spacing w:line="348" w:lineRule="auto"/>
              <w:jc w:val="center"/>
              <w:rPr>
                <w:rFonts w:hint="eastAsia" w:eastAsia="宋体"/>
                <w:color w:val="auto"/>
                <w:sz w:val="22"/>
                <w:szCs w:val="22"/>
                <w:highlight w:val="none"/>
                <w:lang w:eastAsia="zh-CN"/>
              </w:rPr>
            </w:pPr>
          </w:p>
          <w:p>
            <w:pPr>
              <w:adjustRightInd w:val="0"/>
              <w:snapToGrid w:val="0"/>
              <w:spacing w:line="348" w:lineRule="auto"/>
              <w:jc w:val="center"/>
              <w:rPr>
                <w:rFonts w:hint="eastAsia" w:eastAsia="宋体"/>
                <w:color w:val="auto"/>
                <w:sz w:val="22"/>
                <w:szCs w:val="22"/>
                <w:highlight w:val="none"/>
                <w:lang w:eastAsia="zh-CN"/>
              </w:rPr>
            </w:pPr>
            <w:r>
              <w:rPr>
                <w:rFonts w:hint="eastAsia" w:eastAsia="宋体"/>
                <w:color w:val="auto"/>
                <w:sz w:val="22"/>
                <w:szCs w:val="22"/>
                <w:highlight w:val="none"/>
                <w:lang w:eastAsia="zh-CN"/>
              </w:rPr>
              <w:t>母线电压互感器：电磁式</w:t>
            </w:r>
          </w:p>
          <w:p>
            <w:pPr>
              <w:adjustRightInd w:val="0"/>
              <w:snapToGrid w:val="0"/>
              <w:spacing w:line="348" w:lineRule="auto"/>
              <w:jc w:val="center"/>
              <w:rPr>
                <w:rFonts w:hint="default" w:eastAsia="宋体"/>
                <w:color w:val="auto"/>
                <w:sz w:val="22"/>
                <w:szCs w:val="22"/>
                <w:highlight w:val="none"/>
                <w:lang w:val="en-US"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cantSplit/>
          <w:trHeight w:val="454" w:hRule="atLeast"/>
          <w:jc w:val="center"/>
        </w:trPr>
        <w:tc>
          <w:tcPr>
            <w:tcW w:w="1574" w:type="dxa"/>
            <w:vMerge w:val="continue"/>
            <w:shd w:val="clear" w:color="auto" w:fill="FFFFFF"/>
            <w:vAlign w:val="center"/>
          </w:tcPr>
          <w:p>
            <w:pPr>
              <w:adjustRightInd w:val="0"/>
              <w:snapToGrid w:val="0"/>
              <w:spacing w:line="348" w:lineRule="auto"/>
              <w:ind w:left="105" w:leftChars="50" w:firstLine="440" w:firstLineChars="200"/>
              <w:jc w:val="left"/>
              <w:rPr>
                <w:color w:val="auto"/>
                <w:sz w:val="22"/>
                <w:szCs w:val="22"/>
                <w:highlight w:val="none"/>
              </w:rPr>
            </w:pPr>
          </w:p>
        </w:tc>
        <w:tc>
          <w:tcPr>
            <w:tcW w:w="1846" w:type="dxa"/>
            <w:shd w:val="clear" w:color="auto" w:fill="FFFFFF"/>
            <w:vAlign w:val="center"/>
          </w:tcPr>
          <w:p>
            <w:pPr>
              <w:adjustRightInd w:val="0"/>
              <w:snapToGrid w:val="0"/>
              <w:spacing w:line="348" w:lineRule="auto"/>
              <w:jc w:val="center"/>
              <w:rPr>
                <w:color w:val="auto"/>
                <w:sz w:val="22"/>
                <w:szCs w:val="22"/>
                <w:highlight w:val="none"/>
              </w:rPr>
            </w:pPr>
            <w:r>
              <w:rPr>
                <w:color w:val="auto"/>
                <w:sz w:val="22"/>
                <w:szCs w:val="22"/>
                <w:highlight w:val="none"/>
              </w:rPr>
              <w:t>带电显示器</w:t>
            </w:r>
          </w:p>
        </w:tc>
        <w:tc>
          <w:tcPr>
            <w:tcW w:w="5298" w:type="dxa"/>
            <w:shd w:val="clear" w:color="auto" w:fill="FFFFFF"/>
            <w:vAlign w:val="center"/>
          </w:tcPr>
          <w:p>
            <w:pPr>
              <w:adjustRightInd w:val="0"/>
              <w:snapToGrid w:val="0"/>
              <w:spacing w:line="348" w:lineRule="auto"/>
              <w:jc w:val="center"/>
              <w:rPr>
                <w:rFonts w:hint="eastAsia" w:eastAsia="宋体"/>
                <w:color w:val="auto"/>
                <w:sz w:val="22"/>
                <w:szCs w:val="22"/>
                <w:highlight w:val="none"/>
                <w:lang w:eastAsia="zh-CN"/>
              </w:rPr>
            </w:pPr>
            <w:r>
              <w:rPr>
                <w:rFonts w:hint="eastAsia" w:eastAsia="宋体"/>
                <w:color w:val="auto"/>
                <w:sz w:val="22"/>
                <w:szCs w:val="22"/>
                <w:highlight w:val="none"/>
                <w:lang w:eastAsia="zh-CN"/>
              </w:rPr>
              <w:t>110kV，三相</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cantSplit/>
          <w:trHeight w:val="454" w:hRule="atLeast"/>
          <w:jc w:val="center"/>
        </w:trPr>
        <w:tc>
          <w:tcPr>
            <w:tcW w:w="1574" w:type="dxa"/>
            <w:vMerge w:val="continue"/>
            <w:shd w:val="clear" w:color="auto" w:fill="FFFFFF"/>
            <w:vAlign w:val="center"/>
          </w:tcPr>
          <w:p>
            <w:pPr>
              <w:adjustRightInd w:val="0"/>
              <w:snapToGrid w:val="0"/>
              <w:spacing w:line="348" w:lineRule="auto"/>
              <w:ind w:left="105" w:leftChars="50" w:firstLine="440" w:firstLineChars="200"/>
              <w:jc w:val="left"/>
              <w:rPr>
                <w:color w:val="auto"/>
                <w:sz w:val="22"/>
                <w:szCs w:val="22"/>
                <w:highlight w:val="none"/>
              </w:rPr>
            </w:pPr>
          </w:p>
        </w:tc>
        <w:tc>
          <w:tcPr>
            <w:tcW w:w="1846" w:type="dxa"/>
            <w:tcBorders>
              <w:bottom w:val="single" w:color="auto" w:sz="4" w:space="0"/>
            </w:tcBorders>
            <w:shd w:val="clear" w:color="auto" w:fill="FFFFFF"/>
            <w:vAlign w:val="center"/>
          </w:tcPr>
          <w:p>
            <w:pPr>
              <w:adjustRightInd w:val="0"/>
              <w:snapToGrid w:val="0"/>
              <w:spacing w:line="348" w:lineRule="auto"/>
              <w:jc w:val="center"/>
              <w:rPr>
                <w:color w:val="auto"/>
                <w:sz w:val="22"/>
                <w:szCs w:val="22"/>
                <w:highlight w:val="none"/>
              </w:rPr>
            </w:pPr>
            <w:r>
              <w:rPr>
                <w:color w:val="auto"/>
                <w:sz w:val="22"/>
                <w:szCs w:val="22"/>
                <w:highlight w:val="none"/>
              </w:rPr>
              <w:t>氧化锌避雷器</w:t>
            </w:r>
          </w:p>
        </w:tc>
        <w:tc>
          <w:tcPr>
            <w:tcW w:w="5298" w:type="dxa"/>
            <w:shd w:val="clear" w:color="auto" w:fill="FFFFFF"/>
            <w:vAlign w:val="center"/>
          </w:tcPr>
          <w:p>
            <w:pPr>
              <w:adjustRightInd w:val="0"/>
              <w:snapToGrid w:val="0"/>
              <w:spacing w:line="348" w:lineRule="auto"/>
              <w:jc w:val="center"/>
              <w:rPr>
                <w:rFonts w:hint="eastAsia" w:eastAsia="宋体"/>
                <w:color w:val="auto"/>
                <w:sz w:val="22"/>
                <w:szCs w:val="22"/>
                <w:highlight w:val="none"/>
                <w:lang w:eastAsia="zh-CN"/>
              </w:rPr>
            </w:pPr>
            <w:r>
              <w:rPr>
                <w:rFonts w:hint="eastAsia" w:eastAsia="宋体"/>
                <w:color w:val="auto"/>
                <w:sz w:val="22"/>
                <w:szCs w:val="22"/>
                <w:highlight w:val="none"/>
                <w:lang w:eastAsia="zh-CN"/>
              </w:rPr>
              <w:t>102/266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cantSplit/>
          <w:trHeight w:val="454" w:hRule="atLeast"/>
          <w:jc w:val="center"/>
        </w:trPr>
        <w:tc>
          <w:tcPr>
            <w:tcW w:w="1574" w:type="dxa"/>
            <w:vMerge w:val="continue"/>
            <w:shd w:val="clear" w:color="auto" w:fill="FFFFFF"/>
            <w:vAlign w:val="center"/>
          </w:tcPr>
          <w:p>
            <w:pPr>
              <w:adjustRightInd w:val="0"/>
              <w:snapToGrid w:val="0"/>
              <w:spacing w:line="348" w:lineRule="auto"/>
              <w:ind w:left="105" w:leftChars="50" w:firstLine="440" w:firstLineChars="200"/>
              <w:jc w:val="left"/>
              <w:rPr>
                <w:color w:val="auto"/>
                <w:sz w:val="22"/>
                <w:szCs w:val="22"/>
                <w:highlight w:val="none"/>
              </w:rPr>
            </w:pPr>
          </w:p>
        </w:tc>
        <w:tc>
          <w:tcPr>
            <w:tcW w:w="1846" w:type="dxa"/>
            <w:tcBorders>
              <w:top w:val="single" w:color="auto" w:sz="4" w:space="0"/>
            </w:tcBorders>
            <w:shd w:val="clear" w:color="auto" w:fill="FFFFFF"/>
            <w:vAlign w:val="center"/>
          </w:tcPr>
          <w:p>
            <w:pPr>
              <w:adjustRightInd w:val="0"/>
              <w:snapToGrid w:val="0"/>
              <w:spacing w:line="348" w:lineRule="auto"/>
              <w:jc w:val="center"/>
              <w:rPr>
                <w:color w:val="auto"/>
                <w:sz w:val="22"/>
                <w:szCs w:val="22"/>
                <w:highlight w:val="none"/>
              </w:rPr>
            </w:pPr>
            <w:r>
              <w:rPr>
                <w:color w:val="auto"/>
                <w:sz w:val="22"/>
                <w:szCs w:val="22"/>
                <w:highlight w:val="none"/>
              </w:rPr>
              <w:t>主母线</w:t>
            </w:r>
          </w:p>
        </w:tc>
        <w:tc>
          <w:tcPr>
            <w:tcW w:w="5298" w:type="dxa"/>
            <w:shd w:val="clear" w:color="auto" w:fill="FFFFFF"/>
            <w:vAlign w:val="center"/>
          </w:tcPr>
          <w:p>
            <w:pPr>
              <w:adjustRightInd w:val="0"/>
              <w:snapToGrid w:val="0"/>
              <w:spacing w:line="348" w:lineRule="auto"/>
              <w:jc w:val="center"/>
              <w:rPr>
                <w:rFonts w:hint="eastAsia" w:eastAsia="宋体"/>
                <w:color w:val="auto"/>
                <w:sz w:val="22"/>
                <w:szCs w:val="22"/>
                <w:highlight w:val="none"/>
                <w:lang w:val="en-US" w:eastAsia="zh-CN"/>
              </w:rPr>
            </w:pPr>
            <w:r>
              <w:rPr>
                <w:rFonts w:hint="eastAsia" w:eastAsia="宋体"/>
                <w:color w:val="auto"/>
                <w:sz w:val="22"/>
                <w:szCs w:val="22"/>
                <w:highlight w:val="none"/>
                <w:lang w:eastAsia="zh-CN"/>
              </w:rPr>
              <w:t xml:space="preserve">126kV </w:t>
            </w:r>
            <w:r>
              <w:rPr>
                <w:rFonts w:hint="eastAsia"/>
                <w:color w:val="auto"/>
                <w:sz w:val="22"/>
                <w:szCs w:val="22"/>
                <w:highlight w:val="none"/>
                <w:lang w:val="en-US" w:eastAsia="zh-CN"/>
              </w:rPr>
              <w:t>3150</w:t>
            </w:r>
            <w:r>
              <w:rPr>
                <w:rFonts w:hint="eastAsia" w:eastAsia="宋体"/>
                <w:color w:val="auto"/>
                <w:sz w:val="22"/>
                <w:szCs w:val="22"/>
                <w:highlight w:val="none"/>
                <w:lang w:eastAsia="zh-CN"/>
              </w:rPr>
              <w:t>A 40kA/4s</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cantSplit/>
          <w:trHeight w:val="454" w:hRule="atLeast"/>
          <w:jc w:val="center"/>
        </w:trPr>
        <w:tc>
          <w:tcPr>
            <w:tcW w:w="1574" w:type="dxa"/>
            <w:shd w:val="clear" w:color="auto" w:fill="FFFFFF"/>
            <w:vAlign w:val="center"/>
          </w:tcPr>
          <w:p>
            <w:pPr>
              <w:adjustRightInd w:val="0"/>
              <w:snapToGrid w:val="0"/>
              <w:spacing w:line="348" w:lineRule="auto"/>
              <w:ind w:left="105" w:leftChars="50" w:firstLine="440" w:firstLineChars="200"/>
              <w:jc w:val="left"/>
              <w:rPr>
                <w:color w:val="auto"/>
                <w:sz w:val="22"/>
                <w:szCs w:val="22"/>
                <w:highlight w:val="none"/>
              </w:rPr>
            </w:pPr>
          </w:p>
        </w:tc>
        <w:tc>
          <w:tcPr>
            <w:tcW w:w="1846" w:type="dxa"/>
            <w:shd w:val="clear" w:color="auto" w:fill="FFFFFF"/>
            <w:vAlign w:val="center"/>
          </w:tcPr>
          <w:p>
            <w:pPr>
              <w:adjustRightInd w:val="0"/>
              <w:snapToGrid w:val="0"/>
              <w:spacing w:line="348" w:lineRule="auto"/>
              <w:jc w:val="center"/>
              <w:rPr>
                <w:color w:val="auto"/>
                <w:sz w:val="22"/>
                <w:szCs w:val="22"/>
                <w:highlight w:val="none"/>
              </w:rPr>
            </w:pPr>
            <w:r>
              <w:rPr>
                <w:rFonts w:hint="eastAsia"/>
                <w:color w:val="auto"/>
                <w:sz w:val="22"/>
                <w:szCs w:val="22"/>
                <w:highlight w:val="none"/>
              </w:rPr>
              <w:t>套管</w:t>
            </w:r>
          </w:p>
        </w:tc>
        <w:tc>
          <w:tcPr>
            <w:tcW w:w="5298" w:type="dxa"/>
            <w:shd w:val="clear" w:color="auto" w:fill="FFFFFF"/>
            <w:vAlign w:val="center"/>
          </w:tcPr>
          <w:p>
            <w:pPr>
              <w:adjustRightInd w:val="0"/>
              <w:snapToGrid w:val="0"/>
              <w:spacing w:line="348" w:lineRule="auto"/>
              <w:jc w:val="center"/>
              <w:rPr>
                <w:rFonts w:hint="eastAsia" w:eastAsia="宋体"/>
                <w:color w:val="auto"/>
                <w:sz w:val="22"/>
                <w:szCs w:val="22"/>
                <w:highlight w:val="none"/>
                <w:lang w:eastAsia="zh-CN"/>
              </w:rPr>
            </w:pPr>
            <w:r>
              <w:rPr>
                <w:rFonts w:hint="eastAsia" w:eastAsia="宋体"/>
                <w:color w:val="auto"/>
                <w:sz w:val="22"/>
                <w:szCs w:val="22"/>
                <w:highlight w:val="none"/>
                <w:lang w:eastAsia="zh-CN"/>
              </w:rPr>
              <w:t xml:space="preserve">126kV </w:t>
            </w:r>
            <w:r>
              <w:rPr>
                <w:rFonts w:hint="eastAsia"/>
                <w:color w:val="auto"/>
                <w:sz w:val="22"/>
                <w:szCs w:val="22"/>
                <w:highlight w:val="none"/>
                <w:lang w:val="en-US" w:eastAsia="zh-CN"/>
              </w:rPr>
              <w:t>3150</w:t>
            </w:r>
            <w:r>
              <w:rPr>
                <w:rFonts w:hint="eastAsia" w:eastAsia="宋体"/>
                <w:color w:val="auto"/>
                <w:sz w:val="22"/>
                <w:szCs w:val="22"/>
                <w:highlight w:val="none"/>
                <w:lang w:eastAsia="zh-CN"/>
              </w:rPr>
              <w:t>A 40kA/4s</w:t>
            </w:r>
          </w:p>
        </w:tc>
      </w:tr>
    </w:tbl>
    <w:p>
      <w:pPr>
        <w:numPr>
          <w:ilvl w:val="0"/>
          <w:numId w:val="17"/>
        </w:numPr>
        <w:spacing w:line="360" w:lineRule="auto"/>
        <w:ind w:firstLine="280" w:firstLineChars="100"/>
        <w:outlineLvl w:val="9"/>
        <w:rPr>
          <w:rFonts w:hint="eastAsia" w:ascii="宋体" w:cs="宋体"/>
          <w:kern w:val="0"/>
          <w:sz w:val="28"/>
          <w:szCs w:val="28"/>
          <w:lang w:val="en-US" w:eastAsia="zh-CN"/>
        </w:rPr>
      </w:pPr>
      <w:r>
        <w:rPr>
          <w:rFonts w:hint="eastAsia" w:ascii="宋体" w:cs="宋体"/>
          <w:kern w:val="0"/>
          <w:sz w:val="28"/>
          <w:szCs w:val="28"/>
          <w:lang w:val="en-US" w:eastAsia="zh-CN"/>
        </w:rPr>
        <w:t>气体绝缘金属封闭开关设备及其各元件的参数选择，应满足系统正常运行、维修、短路和过电压等要求。</w:t>
      </w:r>
    </w:p>
    <w:p>
      <w:pPr>
        <w:numPr>
          <w:ilvl w:val="0"/>
          <w:numId w:val="17"/>
        </w:numPr>
        <w:spacing w:line="360" w:lineRule="auto"/>
        <w:ind w:firstLine="280" w:firstLineChars="100"/>
        <w:outlineLvl w:val="9"/>
        <w:rPr>
          <w:rFonts w:hint="default" w:ascii="宋体" w:cs="宋体"/>
          <w:kern w:val="0"/>
          <w:sz w:val="28"/>
          <w:szCs w:val="28"/>
          <w:lang w:val="en-US" w:eastAsia="zh-CN"/>
        </w:rPr>
      </w:pPr>
      <w:r>
        <w:rPr>
          <w:rFonts w:hint="eastAsia" w:ascii="宋体" w:cs="宋体"/>
          <w:kern w:val="0"/>
          <w:sz w:val="28"/>
          <w:szCs w:val="28"/>
          <w:lang w:val="en-US" w:eastAsia="zh-CN"/>
        </w:rPr>
        <w:t>本项目</w:t>
      </w:r>
      <w:r>
        <w:rPr>
          <w:rFonts w:hint="default" w:ascii="宋体" w:cs="宋体"/>
          <w:kern w:val="0"/>
          <w:sz w:val="28"/>
          <w:szCs w:val="28"/>
          <w:lang w:val="en-US" w:eastAsia="zh-CN"/>
        </w:rPr>
        <w:t>气体绝缘金属封闭开关设备为</w:t>
      </w:r>
      <w:r>
        <w:rPr>
          <w:rFonts w:hint="eastAsia" w:ascii="宋体" w:cs="宋体"/>
          <w:kern w:val="0"/>
          <w:sz w:val="28"/>
          <w:szCs w:val="28"/>
          <w:lang w:val="en-US" w:eastAsia="zh-CN"/>
        </w:rPr>
        <w:t>内</w:t>
      </w:r>
      <w:r>
        <w:rPr>
          <w:rFonts w:hint="default" w:ascii="宋体" w:cs="宋体"/>
          <w:kern w:val="0"/>
          <w:sz w:val="28"/>
          <w:szCs w:val="28"/>
          <w:lang w:val="en-US" w:eastAsia="zh-CN"/>
        </w:rPr>
        <w:t>型。应按使用环境条件选择和校验</w:t>
      </w:r>
      <w:r>
        <w:rPr>
          <w:rFonts w:hint="eastAsia" w:ascii="宋体" w:cs="宋体"/>
          <w:kern w:val="0"/>
          <w:sz w:val="28"/>
          <w:szCs w:val="28"/>
          <w:lang w:val="en-US" w:eastAsia="zh-CN"/>
        </w:rPr>
        <w:t>；</w:t>
      </w:r>
      <w:r>
        <w:rPr>
          <w:rFonts w:hint="default" w:ascii="宋体" w:cs="宋体"/>
          <w:kern w:val="0"/>
          <w:sz w:val="28"/>
          <w:szCs w:val="28"/>
          <w:lang w:val="en-US" w:eastAsia="zh-CN"/>
        </w:rPr>
        <w:t>与变压器、电抗器及架空进出线布置在户外时，应分别按户内和户外的使用条件选择和校验。</w:t>
      </w:r>
    </w:p>
    <w:p>
      <w:pPr>
        <w:numPr>
          <w:ilvl w:val="0"/>
          <w:numId w:val="17"/>
        </w:numPr>
        <w:spacing w:line="360" w:lineRule="auto"/>
        <w:ind w:firstLine="280" w:firstLineChars="100"/>
        <w:outlineLvl w:val="9"/>
        <w:rPr>
          <w:rFonts w:hint="default" w:ascii="宋体" w:cs="宋体"/>
          <w:kern w:val="0"/>
          <w:sz w:val="28"/>
          <w:szCs w:val="28"/>
          <w:lang w:val="en-US" w:eastAsia="zh-CN"/>
        </w:rPr>
      </w:pPr>
      <w:r>
        <w:rPr>
          <w:rFonts w:hint="default" w:ascii="宋体" w:cs="宋体"/>
          <w:kern w:val="0"/>
          <w:sz w:val="28"/>
          <w:szCs w:val="28"/>
          <w:lang w:val="en-US" w:eastAsia="zh-CN"/>
        </w:rPr>
        <w:t>与气体绝缘金属封闭开关设备配电装置连接，并需要单独检修的电器设备、母线和出线均应配置接地开关</w:t>
      </w:r>
      <w:r>
        <w:rPr>
          <w:rFonts w:hint="eastAsia" w:ascii="宋体" w:cs="宋体"/>
          <w:kern w:val="0"/>
          <w:sz w:val="28"/>
          <w:szCs w:val="28"/>
          <w:lang w:val="en-US" w:eastAsia="zh-CN"/>
        </w:rPr>
        <w:t>。</w:t>
      </w:r>
    </w:p>
    <w:p>
      <w:pPr>
        <w:pStyle w:val="2"/>
        <w:ind w:left="0" w:leftChars="0" w:firstLine="0" w:firstLineChars="0"/>
        <w:rPr>
          <w:rFonts w:hint="default"/>
          <w:lang w:val="en-US" w:eastAsia="zh-CN"/>
        </w:rPr>
      </w:pPr>
      <w:r>
        <w:rPr>
          <w:rFonts w:hint="eastAsia" w:ascii="宋体" w:cs="宋体"/>
          <w:kern w:val="0"/>
          <w:sz w:val="28"/>
          <w:szCs w:val="28"/>
          <w:lang w:val="en-US" w:eastAsia="zh-CN"/>
        </w:rPr>
        <w:t xml:space="preserve">  5、互感器采用电磁式电压互感器。</w:t>
      </w:r>
    </w:p>
    <w:p>
      <w:pPr>
        <w:numPr>
          <w:ilvl w:val="0"/>
          <w:numId w:val="0"/>
        </w:numPr>
        <w:spacing w:line="360" w:lineRule="auto"/>
        <w:ind w:firstLine="280" w:firstLineChars="100"/>
        <w:outlineLvl w:val="9"/>
        <w:rPr>
          <w:rFonts w:hint="default" w:ascii="宋体" w:cs="宋体"/>
          <w:kern w:val="0"/>
          <w:sz w:val="28"/>
          <w:szCs w:val="28"/>
          <w:lang w:val="en-US" w:eastAsia="zh-CN"/>
        </w:rPr>
      </w:pPr>
      <w:r>
        <w:rPr>
          <w:rFonts w:hint="eastAsia" w:ascii="宋体" w:cs="宋体"/>
          <w:kern w:val="0"/>
          <w:sz w:val="28"/>
          <w:szCs w:val="28"/>
          <w:lang w:val="en-US" w:eastAsia="zh-CN"/>
        </w:rPr>
        <w:t>6、</w:t>
      </w:r>
      <w:r>
        <w:rPr>
          <w:rFonts w:hint="default" w:ascii="宋体" w:cs="宋体"/>
          <w:kern w:val="0"/>
          <w:sz w:val="28"/>
          <w:szCs w:val="28"/>
          <w:lang w:val="en-US" w:eastAsia="zh-CN"/>
        </w:rPr>
        <w:t>除气体绝缘金属封闭开关设备的断路器、负荷开关以及接地开关等开关元件应进行</w:t>
      </w:r>
      <w:r>
        <w:rPr>
          <w:rFonts w:hint="eastAsia" w:ascii="宋体" w:cs="宋体"/>
          <w:kern w:val="0"/>
          <w:sz w:val="28"/>
          <w:szCs w:val="28"/>
          <w:lang w:val="en-US" w:eastAsia="zh-CN"/>
        </w:rPr>
        <w:t>相</w:t>
      </w:r>
      <w:r>
        <w:rPr>
          <w:rFonts w:hint="default" w:ascii="宋体" w:cs="宋体"/>
          <w:kern w:val="0"/>
          <w:sz w:val="28"/>
          <w:szCs w:val="28"/>
          <w:lang w:val="en-US" w:eastAsia="zh-CN"/>
        </w:rPr>
        <w:t>关校验外，电缆终端和引线套管的动稳定、热稳定及安装时允许的倾角还应注意校验。</w:t>
      </w:r>
    </w:p>
    <w:p>
      <w:pPr>
        <w:numPr>
          <w:ilvl w:val="0"/>
          <w:numId w:val="0"/>
        </w:numPr>
        <w:spacing w:line="360" w:lineRule="auto"/>
        <w:ind w:firstLine="280" w:firstLineChars="100"/>
        <w:outlineLvl w:val="9"/>
        <w:rPr>
          <w:rFonts w:hint="default" w:ascii="宋体" w:cs="宋体"/>
          <w:kern w:val="0"/>
          <w:sz w:val="28"/>
          <w:szCs w:val="28"/>
          <w:lang w:val="en-US" w:eastAsia="zh-CN"/>
        </w:rPr>
      </w:pPr>
      <w:r>
        <w:rPr>
          <w:rFonts w:hint="eastAsia" w:ascii="宋体" w:cs="宋体"/>
          <w:kern w:val="0"/>
          <w:sz w:val="28"/>
          <w:szCs w:val="28"/>
          <w:lang w:val="en-US" w:eastAsia="zh-CN"/>
        </w:rPr>
        <w:t>7、</w:t>
      </w:r>
      <w:r>
        <w:rPr>
          <w:rFonts w:hint="default" w:ascii="宋体" w:cs="宋体"/>
          <w:kern w:val="0"/>
          <w:sz w:val="28"/>
          <w:szCs w:val="28"/>
          <w:lang w:val="en-US" w:eastAsia="zh-CN"/>
        </w:rPr>
        <w:t>气体绝缘金属封闭开关设备的感应电压不应危及人身和设备的安全，外壳和支架上的感应电压正常运行条件下不应大于24V，故障条件下不应大于100V。</w:t>
      </w:r>
    </w:p>
    <w:p>
      <w:pPr>
        <w:numPr>
          <w:ilvl w:val="0"/>
          <w:numId w:val="0"/>
        </w:numPr>
        <w:spacing w:line="360" w:lineRule="auto"/>
        <w:ind w:firstLine="280" w:firstLineChars="100"/>
        <w:outlineLvl w:val="9"/>
        <w:rPr>
          <w:rFonts w:hint="default" w:ascii="宋体" w:cs="宋体"/>
          <w:kern w:val="0"/>
          <w:sz w:val="28"/>
          <w:szCs w:val="28"/>
          <w:lang w:val="en-US" w:eastAsia="zh-CN"/>
        </w:rPr>
      </w:pPr>
      <w:r>
        <w:rPr>
          <w:rFonts w:hint="eastAsia" w:ascii="宋体" w:cs="宋体"/>
          <w:kern w:val="0"/>
          <w:sz w:val="28"/>
          <w:szCs w:val="28"/>
          <w:lang w:val="en-US" w:eastAsia="zh-CN"/>
        </w:rPr>
        <w:t>8、</w:t>
      </w:r>
      <w:r>
        <w:rPr>
          <w:rFonts w:hint="default" w:ascii="宋体" w:cs="宋体"/>
          <w:kern w:val="0"/>
          <w:sz w:val="28"/>
          <w:szCs w:val="28"/>
          <w:lang w:val="en-US" w:eastAsia="zh-CN"/>
        </w:rPr>
        <w:t>气体绝缘金属封闭开关设备宜采用多点接地方式，当选用分相设备时，应设置外壳三相短接线，并在短接线上引出接地线，通过接地母线接地。</w:t>
      </w:r>
    </w:p>
    <w:p>
      <w:pPr>
        <w:numPr>
          <w:ilvl w:val="0"/>
          <w:numId w:val="0"/>
        </w:numPr>
        <w:spacing w:line="360" w:lineRule="auto"/>
        <w:ind w:firstLine="280" w:firstLineChars="100"/>
        <w:outlineLvl w:val="9"/>
        <w:rPr>
          <w:rFonts w:hint="default" w:ascii="宋体" w:cs="宋体"/>
          <w:kern w:val="0"/>
          <w:sz w:val="28"/>
          <w:szCs w:val="28"/>
          <w:lang w:val="en-US" w:eastAsia="zh-CN"/>
        </w:rPr>
      </w:pPr>
      <w:r>
        <w:rPr>
          <w:rFonts w:hint="eastAsia" w:ascii="宋体" w:cs="宋体"/>
          <w:kern w:val="0"/>
          <w:sz w:val="28"/>
          <w:szCs w:val="28"/>
          <w:lang w:val="en-US" w:eastAsia="zh-CN"/>
        </w:rPr>
        <w:t>9、</w:t>
      </w:r>
      <w:r>
        <w:rPr>
          <w:rFonts w:hint="default" w:ascii="宋体" w:cs="宋体"/>
          <w:kern w:val="0"/>
          <w:sz w:val="28"/>
          <w:szCs w:val="28"/>
          <w:lang w:val="en-US" w:eastAsia="zh-CN"/>
        </w:rPr>
        <w:t>气体绝缘金属封闭开关设备各组成部件的温升，不应超过有关标准规定的允许温升。其外壳允许温升规定见</w:t>
      </w:r>
      <w:r>
        <w:rPr>
          <w:rFonts w:hint="eastAsia" w:ascii="宋体" w:cs="宋体"/>
          <w:kern w:val="0"/>
          <w:sz w:val="28"/>
          <w:szCs w:val="28"/>
          <w:lang w:val="en-US" w:eastAsia="zh-CN"/>
        </w:rPr>
        <w:t>下表：</w:t>
      </w:r>
    </w:p>
    <w:p>
      <w:pPr>
        <w:numPr>
          <w:ilvl w:val="0"/>
          <w:numId w:val="0"/>
        </w:numPr>
        <w:spacing w:line="360" w:lineRule="auto"/>
        <w:outlineLvl w:val="9"/>
        <w:rPr>
          <w:rFonts w:hint="default" w:ascii="宋体" w:cs="宋体"/>
          <w:kern w:val="0"/>
          <w:sz w:val="28"/>
          <w:szCs w:val="28"/>
          <w:lang w:val="en-US" w:eastAsia="zh-CN"/>
        </w:rPr>
      </w:pPr>
      <w:r>
        <w:drawing>
          <wp:inline distT="0" distB="0" distL="114300" distR="114300">
            <wp:extent cx="5751830" cy="1144270"/>
            <wp:effectExtent l="0" t="0" r="1270" b="17780"/>
            <wp:docPr id="21"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7"/>
                    <pic:cNvPicPr>
                      <a:picLocks noChangeAspect="1"/>
                    </pic:cNvPicPr>
                  </pic:nvPicPr>
                  <pic:blipFill>
                    <a:blip r:embed="rId16"/>
                    <a:stretch>
                      <a:fillRect/>
                    </a:stretch>
                  </pic:blipFill>
                  <pic:spPr>
                    <a:xfrm>
                      <a:off x="0" y="0"/>
                      <a:ext cx="5751830" cy="1144270"/>
                    </a:xfrm>
                    <a:prstGeom prst="rect">
                      <a:avLst/>
                    </a:prstGeom>
                    <a:noFill/>
                    <a:ln>
                      <a:noFill/>
                    </a:ln>
                  </pic:spPr>
                </pic:pic>
              </a:graphicData>
            </a:graphic>
          </wp:inline>
        </w:drawing>
      </w:r>
    </w:p>
    <w:p>
      <w:pPr>
        <w:numPr>
          <w:ilvl w:val="0"/>
          <w:numId w:val="0"/>
        </w:numPr>
        <w:spacing w:line="360" w:lineRule="auto"/>
        <w:ind w:leftChars="100" w:firstLine="280" w:firstLineChars="100"/>
        <w:rPr>
          <w:rFonts w:hint="eastAsia" w:ascii="宋体" w:cs="宋体"/>
          <w:kern w:val="0"/>
          <w:sz w:val="28"/>
          <w:szCs w:val="28"/>
          <w:lang w:val="en-US" w:eastAsia="zh-CN"/>
        </w:rPr>
      </w:pPr>
      <w:r>
        <w:rPr>
          <w:rFonts w:hint="eastAsia" w:ascii="宋体" w:cs="宋体"/>
          <w:kern w:val="0"/>
          <w:sz w:val="28"/>
          <w:szCs w:val="28"/>
          <w:lang w:val="en-US" w:eastAsia="zh-CN"/>
        </w:rPr>
        <w:t>10、气体绝缘金属封闭开关设备对于温升超过 40K 的部位，应做出明显的高温标记，以防维护人员接触，并应保证不损害周围的绝缘材料和密封材料。</w:t>
      </w:r>
    </w:p>
    <w:p>
      <w:pPr>
        <w:numPr>
          <w:ilvl w:val="0"/>
          <w:numId w:val="0"/>
        </w:numPr>
        <w:spacing w:line="360" w:lineRule="auto"/>
        <w:ind w:leftChars="100" w:firstLine="280" w:firstLineChars="100"/>
        <w:rPr>
          <w:rFonts w:hint="eastAsia" w:ascii="宋体" w:cs="宋体"/>
          <w:kern w:val="0"/>
          <w:sz w:val="28"/>
          <w:szCs w:val="28"/>
          <w:lang w:val="en-US" w:eastAsia="zh-CN"/>
        </w:rPr>
      </w:pPr>
      <w:r>
        <w:rPr>
          <w:rFonts w:hint="eastAsia" w:ascii="宋体" w:cs="宋体"/>
          <w:kern w:val="0"/>
          <w:sz w:val="28"/>
          <w:szCs w:val="28"/>
          <w:lang w:val="en-US" w:eastAsia="zh-CN"/>
        </w:rPr>
        <w:t>11、气体绝缘金属封闭开关设备的防护措施：</w:t>
      </w:r>
    </w:p>
    <w:p>
      <w:pPr>
        <w:numPr>
          <w:ilvl w:val="0"/>
          <w:numId w:val="0"/>
        </w:numPr>
        <w:spacing w:line="360" w:lineRule="auto"/>
        <w:ind w:leftChars="100"/>
        <w:rPr>
          <w:rFonts w:hint="eastAsia" w:ascii="宋体" w:cs="宋体"/>
          <w:kern w:val="0"/>
          <w:sz w:val="28"/>
          <w:szCs w:val="28"/>
          <w:lang w:val="en-US" w:eastAsia="zh-CN"/>
        </w:rPr>
      </w:pPr>
      <w:r>
        <w:rPr>
          <w:rFonts w:hint="eastAsia" w:ascii="宋体" w:cs="宋体"/>
          <w:kern w:val="0"/>
          <w:sz w:val="28"/>
          <w:szCs w:val="28"/>
          <w:lang w:val="en-US" w:eastAsia="zh-CN"/>
        </w:rPr>
        <w:t>（1）合理设置隔室，缩小内部故障的范围；</w:t>
      </w:r>
    </w:p>
    <w:p>
      <w:pPr>
        <w:numPr>
          <w:ilvl w:val="0"/>
          <w:numId w:val="0"/>
        </w:numPr>
        <w:spacing w:line="360" w:lineRule="auto"/>
        <w:ind w:leftChars="100"/>
        <w:rPr>
          <w:rFonts w:hint="eastAsia" w:ascii="宋体" w:cs="宋体"/>
          <w:kern w:val="0"/>
          <w:sz w:val="28"/>
          <w:szCs w:val="28"/>
          <w:lang w:val="en-US" w:eastAsia="zh-CN"/>
        </w:rPr>
      </w:pPr>
      <w:r>
        <w:rPr>
          <w:rFonts w:hint="eastAsia" w:ascii="宋体" w:cs="宋体"/>
          <w:kern w:val="0"/>
          <w:sz w:val="28"/>
          <w:szCs w:val="28"/>
          <w:lang w:val="en-US" w:eastAsia="zh-CN"/>
        </w:rPr>
        <w:t>（2）采用快速继电保护装置；</w:t>
      </w:r>
    </w:p>
    <w:p>
      <w:pPr>
        <w:numPr>
          <w:ilvl w:val="0"/>
          <w:numId w:val="0"/>
        </w:numPr>
        <w:spacing w:line="360" w:lineRule="auto"/>
        <w:ind w:leftChars="100"/>
        <w:rPr>
          <w:rFonts w:hint="eastAsia" w:ascii="宋体" w:cs="宋体"/>
          <w:kern w:val="0"/>
          <w:sz w:val="28"/>
          <w:szCs w:val="28"/>
          <w:lang w:val="en-US" w:eastAsia="zh-CN"/>
        </w:rPr>
      </w:pPr>
      <w:r>
        <w:rPr>
          <w:rFonts w:hint="eastAsia" w:ascii="宋体" w:cs="宋体"/>
          <w:kern w:val="0"/>
          <w:sz w:val="28"/>
          <w:szCs w:val="28"/>
          <w:lang w:val="en-US" w:eastAsia="zh-CN"/>
        </w:rPr>
        <w:t>（3）每个隔室应装设吸附剂、补气逆止阀、密度继电器；</w:t>
      </w:r>
    </w:p>
    <w:p>
      <w:pPr>
        <w:numPr>
          <w:ilvl w:val="0"/>
          <w:numId w:val="0"/>
        </w:numPr>
        <w:spacing w:line="360" w:lineRule="auto"/>
        <w:ind w:leftChars="100"/>
        <w:rPr>
          <w:rFonts w:hint="eastAsia" w:ascii="宋体" w:cs="宋体"/>
          <w:kern w:val="0"/>
          <w:sz w:val="28"/>
          <w:szCs w:val="28"/>
          <w:lang w:val="en-US" w:eastAsia="zh-CN"/>
        </w:rPr>
      </w:pPr>
      <w:r>
        <w:rPr>
          <w:rFonts w:hint="eastAsia" w:ascii="宋体" w:cs="宋体"/>
          <w:kern w:val="0"/>
          <w:sz w:val="28"/>
          <w:szCs w:val="28"/>
          <w:lang w:val="en-US" w:eastAsia="zh-CN"/>
        </w:rPr>
        <w:t>（4）外壳的设计应具有短时承受短路电流的能力，外壳承受短路电流烧穿时间应满足国家标准的相关要求；</w:t>
      </w:r>
    </w:p>
    <w:p>
      <w:pPr>
        <w:numPr>
          <w:ilvl w:val="0"/>
          <w:numId w:val="0"/>
        </w:numPr>
        <w:spacing w:line="360" w:lineRule="auto"/>
        <w:ind w:leftChars="100"/>
        <w:rPr>
          <w:rFonts w:hint="eastAsia" w:ascii="宋体" w:cs="宋体"/>
          <w:kern w:val="0"/>
          <w:sz w:val="28"/>
          <w:szCs w:val="28"/>
          <w:lang w:val="en-US" w:eastAsia="zh-CN"/>
        </w:rPr>
      </w:pPr>
      <w:r>
        <w:rPr>
          <w:rFonts w:hint="eastAsia" w:ascii="宋体" w:cs="宋体"/>
          <w:kern w:val="0"/>
          <w:sz w:val="28"/>
          <w:szCs w:val="28"/>
          <w:lang w:val="en-US" w:eastAsia="zh-CN"/>
        </w:rPr>
        <w:t>（5）外壳的强度未按最大压力升高值设计时，每个隔室内应设置一个有导向装置的压力释放装置，压力释放装置动作气体逸出时，不应危及现场运行的安全；</w:t>
      </w:r>
    </w:p>
    <w:p>
      <w:pPr>
        <w:numPr>
          <w:ilvl w:val="0"/>
          <w:numId w:val="0"/>
        </w:numPr>
        <w:spacing w:line="360" w:lineRule="auto"/>
        <w:ind w:leftChars="100"/>
        <w:rPr>
          <w:rFonts w:hint="eastAsia" w:ascii="宋体" w:cs="宋体"/>
          <w:kern w:val="0"/>
          <w:sz w:val="28"/>
          <w:szCs w:val="28"/>
          <w:lang w:val="en-US" w:eastAsia="zh-CN"/>
        </w:rPr>
      </w:pPr>
      <w:r>
        <w:rPr>
          <w:rFonts w:hint="eastAsia" w:ascii="宋体" w:cs="宋体"/>
          <w:kern w:val="0"/>
          <w:sz w:val="28"/>
          <w:szCs w:val="28"/>
          <w:lang w:val="en-US" w:eastAsia="zh-CN"/>
        </w:rPr>
        <w:t>（6）开关设备应配备正确可靠的联锁装置；</w:t>
      </w:r>
    </w:p>
    <w:p>
      <w:pPr>
        <w:numPr>
          <w:ilvl w:val="0"/>
          <w:numId w:val="0"/>
        </w:numPr>
        <w:spacing w:line="360" w:lineRule="auto"/>
        <w:ind w:leftChars="100"/>
        <w:rPr>
          <w:rFonts w:hint="default" w:ascii="宋体" w:cs="宋体"/>
          <w:kern w:val="0"/>
          <w:sz w:val="28"/>
          <w:szCs w:val="28"/>
          <w:lang w:val="en-US" w:eastAsia="zh-CN"/>
        </w:rPr>
      </w:pPr>
      <w:r>
        <w:rPr>
          <w:rFonts w:hint="eastAsia" w:ascii="宋体" w:cs="宋体"/>
          <w:kern w:val="0"/>
          <w:sz w:val="28"/>
          <w:szCs w:val="28"/>
          <w:lang w:val="en-US" w:eastAsia="zh-CN"/>
        </w:rPr>
        <w:t>（7）设置故障预诊断监控装置。</w:t>
      </w:r>
    </w:p>
    <w:p>
      <w:pPr>
        <w:numPr>
          <w:ilvl w:val="0"/>
          <w:numId w:val="0"/>
        </w:numPr>
        <w:spacing w:line="360" w:lineRule="auto"/>
        <w:ind w:firstLine="280" w:firstLineChars="100"/>
        <w:rPr>
          <w:rFonts w:hint="eastAsia" w:ascii="宋体" w:cs="宋体"/>
          <w:kern w:val="0"/>
          <w:sz w:val="28"/>
          <w:szCs w:val="28"/>
          <w:lang w:val="en-US" w:eastAsia="zh-CN"/>
        </w:rPr>
      </w:pPr>
      <w:r>
        <w:rPr>
          <w:rFonts w:hint="eastAsia" w:ascii="宋体" w:cs="宋体"/>
          <w:kern w:val="0"/>
          <w:sz w:val="28"/>
          <w:szCs w:val="28"/>
          <w:lang w:val="en-US" w:eastAsia="zh-CN"/>
        </w:rPr>
        <w:t>12、保证人员安全的防护措施。气体绝缘金属封闭开关设备充有大量SF6气体，纯净的SF6气体是无色、无味，不易引起人们的注意。由于SF6气体相对密度为空气的5倍，因而会在地势较低处沉积。当空气中的 SF6密度超过一定量时，可使人窒息，为了保证工作人员的安全，应注意采取安全防护措施：</w:t>
      </w:r>
    </w:p>
    <w:p>
      <w:pPr>
        <w:spacing w:line="360" w:lineRule="auto"/>
        <w:ind w:firstLine="280" w:firstLineChars="100"/>
        <w:outlineLvl w:val="9"/>
        <w:rPr>
          <w:rFonts w:hint="default" w:ascii="Times New Roman" w:hAnsi="Times New Roman" w:eastAsia="宋体" w:cs="Times New Roman"/>
          <w:b/>
          <w:kern w:val="0"/>
          <w:sz w:val="28"/>
          <w:szCs w:val="21"/>
          <w:lang w:val="en-US" w:eastAsia="zh-CN" w:bidi="ar-SA"/>
        </w:rPr>
      </w:pPr>
      <w:r>
        <w:rPr>
          <w:rFonts w:hint="default" w:ascii="宋体" w:cs="宋体"/>
          <w:kern w:val="0"/>
          <w:sz w:val="28"/>
          <w:szCs w:val="28"/>
          <w:lang w:val="en-US" w:eastAsia="zh-CN"/>
        </w:rPr>
        <w:t>在使用 SF</w:t>
      </w:r>
      <w:r>
        <w:rPr>
          <w:rFonts w:hint="eastAsia" w:ascii="宋体" w:cs="宋体"/>
          <w:kern w:val="0"/>
          <w:sz w:val="28"/>
          <w:szCs w:val="28"/>
          <w:lang w:val="en-US" w:eastAsia="zh-CN"/>
        </w:rPr>
        <w:t>6</w:t>
      </w:r>
      <w:r>
        <w:rPr>
          <w:rFonts w:hint="default" w:ascii="宋体" w:cs="宋体"/>
          <w:kern w:val="0"/>
          <w:sz w:val="28"/>
          <w:szCs w:val="28"/>
          <w:lang w:val="en-US" w:eastAsia="zh-CN"/>
        </w:rPr>
        <w:t>电器设备较多的</w:t>
      </w:r>
      <w:r>
        <w:rPr>
          <w:rFonts w:hint="eastAsia" w:ascii="宋体" w:cs="宋体"/>
          <w:kern w:val="0"/>
          <w:sz w:val="28"/>
          <w:szCs w:val="28"/>
          <w:lang w:val="en-US" w:eastAsia="zh-CN"/>
        </w:rPr>
        <w:t>房间内</w:t>
      </w:r>
      <w:r>
        <w:rPr>
          <w:rFonts w:hint="default" w:ascii="宋体" w:cs="宋体"/>
          <w:kern w:val="0"/>
          <w:sz w:val="28"/>
          <w:szCs w:val="28"/>
          <w:lang w:val="en-US" w:eastAsia="zh-CN"/>
        </w:rPr>
        <w:t>，均应配置检测空气中 SF</w:t>
      </w:r>
      <w:r>
        <w:rPr>
          <w:rFonts w:hint="eastAsia" w:ascii="宋体" w:cs="宋体"/>
          <w:kern w:val="0"/>
          <w:sz w:val="28"/>
          <w:szCs w:val="28"/>
          <w:lang w:val="en-US" w:eastAsia="zh-CN"/>
        </w:rPr>
        <w:t>6</w:t>
      </w:r>
      <w:r>
        <w:rPr>
          <w:rFonts w:hint="default" w:ascii="宋体" w:cs="宋体"/>
          <w:kern w:val="0"/>
          <w:sz w:val="28"/>
          <w:szCs w:val="28"/>
          <w:lang w:val="en-US" w:eastAsia="zh-CN"/>
        </w:rPr>
        <w:t>气体浓度的</w:t>
      </w:r>
      <w:r>
        <w:rPr>
          <w:rFonts w:hint="eastAsia" w:ascii="宋体" w:cs="宋体"/>
          <w:kern w:val="0"/>
          <w:sz w:val="28"/>
          <w:szCs w:val="28"/>
          <w:lang w:val="en-US" w:eastAsia="zh-CN"/>
        </w:rPr>
        <w:t>探测仪</w:t>
      </w:r>
      <w:r>
        <w:rPr>
          <w:rFonts w:hint="default" w:ascii="宋体" w:cs="宋体"/>
          <w:kern w:val="0"/>
          <w:sz w:val="28"/>
          <w:szCs w:val="28"/>
          <w:lang w:val="en-US" w:eastAsia="zh-CN"/>
        </w:rPr>
        <w:t>，以测量GIS室的 SF</w:t>
      </w:r>
      <w:r>
        <w:rPr>
          <w:rFonts w:hint="eastAsia" w:ascii="宋体" w:cs="宋体"/>
          <w:kern w:val="0"/>
          <w:sz w:val="28"/>
          <w:szCs w:val="28"/>
          <w:lang w:val="en-US" w:eastAsia="zh-CN"/>
        </w:rPr>
        <w:t>6</w:t>
      </w:r>
      <w:r>
        <w:rPr>
          <w:rFonts w:hint="default" w:ascii="宋体" w:cs="宋体"/>
          <w:kern w:val="0"/>
          <w:sz w:val="28"/>
          <w:szCs w:val="28"/>
          <w:lang w:val="en-US" w:eastAsia="zh-CN"/>
        </w:rPr>
        <w:t>气体含量。</w:t>
      </w:r>
      <w:r>
        <w:rPr>
          <w:rFonts w:hint="eastAsia" w:ascii="宋体" w:cs="宋体"/>
          <w:kern w:val="0"/>
          <w:sz w:val="28"/>
          <w:szCs w:val="28"/>
          <w:lang w:val="en-US" w:eastAsia="zh-CN"/>
        </w:rPr>
        <w:t>当全封闭开关设备中 SF6电器设备发生故障造成气体外逸时，联动风机启停，人员应立即撤离现场，并采取强力通风，换气控制不得少于15min一次，每小时不少于4次。</w:t>
      </w:r>
    </w:p>
    <w:p>
      <w:pPr>
        <w:spacing w:line="360" w:lineRule="auto"/>
        <w:outlineLvl w:val="9"/>
        <w:rPr>
          <w:rFonts w:hint="eastAsia" w:ascii="Times New Roman" w:hAnsi="Times New Roman" w:eastAsia="宋体" w:cs="Times New Roman"/>
          <w:b/>
          <w:kern w:val="0"/>
          <w:sz w:val="28"/>
          <w:szCs w:val="21"/>
          <w:lang w:val="en-US" w:eastAsia="zh-CN" w:bidi="ar-SA"/>
        </w:rPr>
      </w:pPr>
    </w:p>
    <w:p>
      <w:pPr>
        <w:spacing w:line="360" w:lineRule="auto"/>
        <w:outlineLvl w:val="2"/>
        <w:rPr>
          <w:rFonts w:hint="eastAsia" w:ascii="Times New Roman" w:hAnsi="Times New Roman" w:eastAsia="宋体" w:cs="Times New Roman"/>
          <w:b/>
          <w:kern w:val="0"/>
          <w:sz w:val="28"/>
          <w:szCs w:val="21"/>
          <w:lang w:val="en-US" w:eastAsia="zh-CN" w:bidi="ar-SA"/>
        </w:rPr>
      </w:pPr>
      <w:bookmarkStart w:id="111" w:name="_Toc22582"/>
      <w:r>
        <w:rPr>
          <w:rFonts w:hint="eastAsia" w:ascii="Times New Roman" w:hAnsi="Times New Roman" w:eastAsia="宋体" w:cs="Times New Roman"/>
          <w:b/>
          <w:kern w:val="0"/>
          <w:sz w:val="28"/>
          <w:szCs w:val="21"/>
          <w:lang w:val="en-US" w:eastAsia="zh-CN" w:bidi="ar-SA"/>
        </w:rPr>
        <w:t>2.</w:t>
      </w:r>
      <w:r>
        <w:rPr>
          <w:rFonts w:hint="eastAsia" w:cs="Times New Roman"/>
          <w:b/>
          <w:kern w:val="0"/>
          <w:sz w:val="28"/>
          <w:szCs w:val="21"/>
          <w:lang w:val="en-US" w:eastAsia="zh-CN" w:bidi="ar-SA"/>
        </w:rPr>
        <w:t>3</w:t>
      </w:r>
      <w:r>
        <w:rPr>
          <w:rFonts w:hint="eastAsia" w:ascii="Times New Roman" w:hAnsi="Times New Roman" w:eastAsia="宋体" w:cs="Times New Roman"/>
          <w:b/>
          <w:kern w:val="0"/>
          <w:sz w:val="28"/>
          <w:szCs w:val="21"/>
          <w:lang w:val="en-US" w:eastAsia="zh-CN" w:bidi="ar-SA"/>
        </w:rPr>
        <w:t>.</w:t>
      </w:r>
      <w:r>
        <w:rPr>
          <w:rFonts w:hint="eastAsia" w:cs="Times New Roman"/>
          <w:b/>
          <w:kern w:val="0"/>
          <w:sz w:val="28"/>
          <w:szCs w:val="21"/>
          <w:lang w:val="en-US" w:eastAsia="zh-CN" w:bidi="ar-SA"/>
        </w:rPr>
        <w:t>4开关柜选择</w:t>
      </w:r>
      <w:bookmarkEnd w:id="111"/>
    </w:p>
    <w:p>
      <w:pPr>
        <w:numPr>
          <w:ilvl w:val="0"/>
          <w:numId w:val="18"/>
        </w:numPr>
        <w:spacing w:line="360" w:lineRule="auto"/>
        <w:ind w:firstLine="560" w:firstLineChars="200"/>
        <w:rPr>
          <w:rFonts w:hint="eastAsia" w:ascii="宋体" w:cs="宋体"/>
          <w:kern w:val="0"/>
          <w:sz w:val="28"/>
          <w:szCs w:val="28"/>
          <w:lang w:eastAsia="zh-CN"/>
        </w:rPr>
      </w:pPr>
      <w:r>
        <w:rPr>
          <w:rFonts w:hint="eastAsia" w:ascii="宋体" w:cs="宋体"/>
          <w:kern w:val="0"/>
          <w:sz w:val="28"/>
          <w:szCs w:val="28"/>
        </w:rPr>
        <w:t>本站10kV配电装置设备选用户内金属封闭手车式开关柜。10kV配电装置选择结果详见下表：</w:t>
      </w:r>
    </w:p>
    <w:tbl>
      <w:tblPr>
        <w:tblStyle w:val="63"/>
        <w:tblW w:w="881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726"/>
        <w:gridCol w:w="1482"/>
        <w:gridCol w:w="1690"/>
        <w:gridCol w:w="491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cantSplit/>
          <w:trHeight w:val="454" w:hRule="atLeast"/>
          <w:tblHeader/>
          <w:jc w:val="center"/>
        </w:trPr>
        <w:tc>
          <w:tcPr>
            <w:tcW w:w="726" w:type="dxa"/>
            <w:vAlign w:val="center"/>
          </w:tcPr>
          <w:p>
            <w:pPr>
              <w:adjustRightInd w:val="0"/>
              <w:snapToGrid w:val="0"/>
              <w:spacing w:line="348" w:lineRule="auto"/>
              <w:jc w:val="center"/>
              <w:rPr>
                <w:color w:val="auto"/>
                <w:sz w:val="22"/>
                <w:szCs w:val="22"/>
              </w:rPr>
            </w:pPr>
            <w:r>
              <w:rPr>
                <w:color w:val="auto"/>
                <w:sz w:val="22"/>
                <w:szCs w:val="22"/>
              </w:rPr>
              <w:t>序号</w:t>
            </w:r>
          </w:p>
        </w:tc>
        <w:tc>
          <w:tcPr>
            <w:tcW w:w="3172" w:type="dxa"/>
            <w:gridSpan w:val="2"/>
            <w:vAlign w:val="center"/>
          </w:tcPr>
          <w:p>
            <w:pPr>
              <w:adjustRightInd w:val="0"/>
              <w:snapToGrid w:val="0"/>
              <w:spacing w:line="348" w:lineRule="auto"/>
              <w:jc w:val="center"/>
              <w:rPr>
                <w:color w:val="auto"/>
                <w:sz w:val="22"/>
                <w:szCs w:val="22"/>
              </w:rPr>
            </w:pPr>
            <w:r>
              <w:rPr>
                <w:color w:val="auto"/>
                <w:sz w:val="22"/>
                <w:szCs w:val="22"/>
              </w:rPr>
              <w:t>设备名称</w:t>
            </w:r>
          </w:p>
        </w:tc>
        <w:tc>
          <w:tcPr>
            <w:tcW w:w="4913" w:type="dxa"/>
            <w:vAlign w:val="center"/>
          </w:tcPr>
          <w:p>
            <w:pPr>
              <w:adjustRightInd w:val="0"/>
              <w:snapToGrid w:val="0"/>
              <w:spacing w:line="348" w:lineRule="auto"/>
              <w:jc w:val="center"/>
              <w:rPr>
                <w:color w:val="auto"/>
                <w:sz w:val="22"/>
                <w:szCs w:val="22"/>
              </w:rPr>
            </w:pPr>
            <w:r>
              <w:rPr>
                <w:color w:val="auto"/>
                <w:sz w:val="22"/>
                <w:szCs w:val="22"/>
              </w:rPr>
              <w:t>型式及主要参数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cantSplit/>
          <w:trHeight w:val="454" w:hRule="atLeast"/>
          <w:jc w:val="center"/>
        </w:trPr>
        <w:tc>
          <w:tcPr>
            <w:tcW w:w="726" w:type="dxa"/>
            <w:vMerge w:val="restart"/>
            <w:vAlign w:val="center"/>
          </w:tcPr>
          <w:p>
            <w:pPr>
              <w:adjustRightInd w:val="0"/>
              <w:snapToGrid w:val="0"/>
              <w:spacing w:line="348" w:lineRule="auto"/>
              <w:jc w:val="center"/>
              <w:rPr>
                <w:color w:val="auto"/>
                <w:sz w:val="22"/>
                <w:szCs w:val="22"/>
              </w:rPr>
            </w:pPr>
            <w:r>
              <w:rPr>
                <w:color w:val="auto"/>
                <w:sz w:val="22"/>
                <w:szCs w:val="22"/>
              </w:rPr>
              <w:t>1</w:t>
            </w:r>
          </w:p>
        </w:tc>
        <w:tc>
          <w:tcPr>
            <w:tcW w:w="1482" w:type="dxa"/>
            <w:vMerge w:val="restart"/>
            <w:vAlign w:val="center"/>
          </w:tcPr>
          <w:p>
            <w:pPr>
              <w:adjustRightInd w:val="0"/>
              <w:snapToGrid w:val="0"/>
              <w:spacing w:line="348" w:lineRule="auto"/>
              <w:ind w:left="105" w:leftChars="50"/>
              <w:jc w:val="left"/>
              <w:rPr>
                <w:rFonts w:hint="default" w:eastAsia="宋体"/>
                <w:color w:val="auto"/>
                <w:sz w:val="22"/>
                <w:szCs w:val="22"/>
                <w:lang w:val="en-US" w:eastAsia="zh-CN"/>
              </w:rPr>
            </w:pPr>
            <w:r>
              <w:rPr>
                <w:color w:val="auto"/>
                <w:sz w:val="22"/>
                <w:szCs w:val="22"/>
              </w:rPr>
              <w:t>10</w:t>
            </w:r>
            <w:r>
              <w:rPr>
                <w:rFonts w:hint="eastAsia"/>
                <w:color w:val="auto"/>
                <w:sz w:val="22"/>
                <w:szCs w:val="22"/>
                <w:lang w:eastAsia="zh-CN"/>
              </w:rPr>
              <w:t>kV</w:t>
            </w:r>
            <w:r>
              <w:rPr>
                <w:rFonts w:hint="eastAsia"/>
                <w:color w:val="auto"/>
                <w:sz w:val="22"/>
                <w:szCs w:val="22"/>
                <w:lang w:val="en-US" w:eastAsia="zh-CN"/>
              </w:rPr>
              <w:t>配电装置</w:t>
            </w:r>
          </w:p>
        </w:tc>
        <w:tc>
          <w:tcPr>
            <w:tcW w:w="1690" w:type="dxa"/>
            <w:vMerge w:val="restart"/>
            <w:vAlign w:val="center"/>
          </w:tcPr>
          <w:p>
            <w:pPr>
              <w:adjustRightInd w:val="0"/>
              <w:snapToGrid w:val="0"/>
              <w:spacing w:line="348" w:lineRule="auto"/>
              <w:ind w:left="105" w:leftChars="50"/>
              <w:jc w:val="left"/>
              <w:rPr>
                <w:color w:val="auto"/>
                <w:sz w:val="22"/>
                <w:szCs w:val="22"/>
              </w:rPr>
            </w:pPr>
            <w:r>
              <w:rPr>
                <w:color w:val="auto"/>
                <w:sz w:val="22"/>
                <w:szCs w:val="22"/>
              </w:rPr>
              <w:t>真空断路器</w:t>
            </w:r>
          </w:p>
        </w:tc>
        <w:tc>
          <w:tcPr>
            <w:tcW w:w="4913" w:type="dxa"/>
            <w:vAlign w:val="center"/>
          </w:tcPr>
          <w:p>
            <w:pPr>
              <w:adjustRightInd w:val="0"/>
              <w:snapToGrid w:val="0"/>
              <w:spacing w:line="312" w:lineRule="auto"/>
              <w:ind w:left="105" w:leftChars="50"/>
              <w:jc w:val="left"/>
              <w:rPr>
                <w:color w:val="auto"/>
                <w:sz w:val="22"/>
                <w:szCs w:val="22"/>
              </w:rPr>
            </w:pPr>
            <w:r>
              <w:rPr>
                <w:color w:val="auto"/>
                <w:sz w:val="22"/>
                <w:szCs w:val="22"/>
              </w:rPr>
              <w:t>主变进线、分段：</w:t>
            </w:r>
          </w:p>
          <w:p>
            <w:pPr>
              <w:adjustRightInd w:val="0"/>
              <w:snapToGrid w:val="0"/>
              <w:spacing w:line="312" w:lineRule="auto"/>
              <w:ind w:left="105" w:leftChars="50"/>
              <w:jc w:val="left"/>
              <w:rPr>
                <w:rFonts w:hint="default" w:eastAsia="宋体"/>
                <w:color w:val="auto"/>
                <w:sz w:val="22"/>
                <w:szCs w:val="22"/>
                <w:lang w:val="en-US" w:eastAsia="zh-CN"/>
              </w:rPr>
            </w:pPr>
            <w:r>
              <w:rPr>
                <w:rFonts w:hint="eastAsia"/>
                <w:color w:val="auto"/>
                <w:sz w:val="22"/>
                <w:szCs w:val="22"/>
                <w:lang w:val="en-US" w:eastAsia="zh-CN"/>
              </w:rPr>
              <w:t>12kV,3150A,31.5kA/4s 80kA</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cantSplit/>
          <w:trHeight w:val="454" w:hRule="atLeast"/>
          <w:jc w:val="center"/>
        </w:trPr>
        <w:tc>
          <w:tcPr>
            <w:tcW w:w="726" w:type="dxa"/>
            <w:vMerge w:val="continue"/>
            <w:vAlign w:val="center"/>
          </w:tcPr>
          <w:p>
            <w:pPr>
              <w:adjustRightInd w:val="0"/>
              <w:snapToGrid w:val="0"/>
              <w:spacing w:line="348" w:lineRule="auto"/>
              <w:jc w:val="left"/>
              <w:rPr>
                <w:color w:val="auto"/>
                <w:sz w:val="22"/>
                <w:szCs w:val="22"/>
              </w:rPr>
            </w:pPr>
          </w:p>
        </w:tc>
        <w:tc>
          <w:tcPr>
            <w:tcW w:w="1482" w:type="dxa"/>
            <w:vMerge w:val="continue"/>
            <w:vAlign w:val="center"/>
          </w:tcPr>
          <w:p>
            <w:pPr>
              <w:adjustRightInd w:val="0"/>
              <w:snapToGrid w:val="0"/>
              <w:spacing w:line="348" w:lineRule="auto"/>
              <w:ind w:left="105" w:leftChars="50"/>
              <w:jc w:val="left"/>
              <w:rPr>
                <w:color w:val="auto"/>
                <w:sz w:val="22"/>
                <w:szCs w:val="22"/>
              </w:rPr>
            </w:pPr>
          </w:p>
        </w:tc>
        <w:tc>
          <w:tcPr>
            <w:tcW w:w="1690" w:type="dxa"/>
            <w:vMerge w:val="continue"/>
            <w:vAlign w:val="center"/>
          </w:tcPr>
          <w:p>
            <w:pPr>
              <w:adjustRightInd w:val="0"/>
              <w:snapToGrid w:val="0"/>
              <w:spacing w:line="348" w:lineRule="auto"/>
              <w:ind w:left="105" w:leftChars="50"/>
              <w:jc w:val="left"/>
              <w:rPr>
                <w:color w:val="auto"/>
                <w:sz w:val="22"/>
                <w:szCs w:val="22"/>
              </w:rPr>
            </w:pPr>
          </w:p>
        </w:tc>
        <w:tc>
          <w:tcPr>
            <w:tcW w:w="4913" w:type="dxa"/>
            <w:vAlign w:val="center"/>
          </w:tcPr>
          <w:p>
            <w:pPr>
              <w:adjustRightInd w:val="0"/>
              <w:snapToGrid w:val="0"/>
              <w:spacing w:line="312" w:lineRule="auto"/>
              <w:ind w:left="105" w:leftChars="50"/>
              <w:jc w:val="left"/>
              <w:rPr>
                <w:color w:val="auto"/>
                <w:sz w:val="22"/>
                <w:szCs w:val="22"/>
              </w:rPr>
            </w:pPr>
            <w:r>
              <w:rPr>
                <w:color w:val="auto"/>
                <w:sz w:val="22"/>
                <w:szCs w:val="22"/>
              </w:rPr>
              <w:t>并联电容器、站用变：</w:t>
            </w:r>
          </w:p>
          <w:p>
            <w:pPr>
              <w:adjustRightInd w:val="0"/>
              <w:snapToGrid w:val="0"/>
              <w:spacing w:line="312" w:lineRule="auto"/>
              <w:ind w:left="105" w:leftChars="50"/>
              <w:jc w:val="left"/>
              <w:rPr>
                <w:color w:val="auto"/>
                <w:sz w:val="22"/>
                <w:szCs w:val="22"/>
              </w:rPr>
            </w:pPr>
            <w:r>
              <w:rPr>
                <w:rFonts w:hint="eastAsia"/>
                <w:color w:val="auto"/>
                <w:sz w:val="22"/>
                <w:szCs w:val="22"/>
                <w:lang w:val="en-US" w:eastAsia="zh-CN"/>
              </w:rPr>
              <w:t>12kV,1250A,31.5kA/4s 80kA</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cantSplit/>
          <w:trHeight w:val="454" w:hRule="atLeast"/>
          <w:jc w:val="center"/>
        </w:trPr>
        <w:tc>
          <w:tcPr>
            <w:tcW w:w="726" w:type="dxa"/>
            <w:vMerge w:val="continue"/>
            <w:vAlign w:val="center"/>
          </w:tcPr>
          <w:p>
            <w:pPr>
              <w:adjustRightInd w:val="0"/>
              <w:snapToGrid w:val="0"/>
              <w:spacing w:line="348" w:lineRule="auto"/>
              <w:jc w:val="left"/>
              <w:rPr>
                <w:color w:val="auto"/>
                <w:sz w:val="22"/>
                <w:szCs w:val="22"/>
              </w:rPr>
            </w:pPr>
          </w:p>
        </w:tc>
        <w:tc>
          <w:tcPr>
            <w:tcW w:w="1482" w:type="dxa"/>
            <w:vMerge w:val="continue"/>
            <w:vAlign w:val="center"/>
          </w:tcPr>
          <w:p>
            <w:pPr>
              <w:adjustRightInd w:val="0"/>
              <w:snapToGrid w:val="0"/>
              <w:spacing w:line="348" w:lineRule="auto"/>
              <w:ind w:left="105" w:leftChars="50"/>
              <w:jc w:val="left"/>
              <w:rPr>
                <w:color w:val="auto"/>
                <w:sz w:val="22"/>
                <w:szCs w:val="22"/>
              </w:rPr>
            </w:pPr>
          </w:p>
        </w:tc>
        <w:tc>
          <w:tcPr>
            <w:tcW w:w="1690" w:type="dxa"/>
            <w:vMerge w:val="continue"/>
            <w:vAlign w:val="center"/>
          </w:tcPr>
          <w:p>
            <w:pPr>
              <w:adjustRightInd w:val="0"/>
              <w:snapToGrid w:val="0"/>
              <w:spacing w:line="348" w:lineRule="auto"/>
              <w:ind w:left="105" w:leftChars="50"/>
              <w:jc w:val="left"/>
              <w:rPr>
                <w:color w:val="auto"/>
                <w:sz w:val="22"/>
                <w:szCs w:val="22"/>
              </w:rPr>
            </w:pPr>
          </w:p>
        </w:tc>
        <w:tc>
          <w:tcPr>
            <w:tcW w:w="4913" w:type="dxa"/>
            <w:vAlign w:val="center"/>
          </w:tcPr>
          <w:p>
            <w:pPr>
              <w:adjustRightInd w:val="0"/>
              <w:snapToGrid w:val="0"/>
              <w:spacing w:line="312" w:lineRule="auto"/>
              <w:ind w:left="105" w:leftChars="50"/>
              <w:jc w:val="left"/>
              <w:rPr>
                <w:color w:val="auto"/>
                <w:sz w:val="22"/>
                <w:szCs w:val="22"/>
              </w:rPr>
            </w:pPr>
            <w:r>
              <w:rPr>
                <w:color w:val="auto"/>
                <w:sz w:val="22"/>
                <w:szCs w:val="22"/>
              </w:rPr>
              <w:t>馈线：</w:t>
            </w:r>
          </w:p>
          <w:p>
            <w:pPr>
              <w:adjustRightInd w:val="0"/>
              <w:snapToGrid w:val="0"/>
              <w:spacing w:line="312" w:lineRule="auto"/>
              <w:ind w:left="105" w:leftChars="50"/>
              <w:jc w:val="left"/>
              <w:rPr>
                <w:color w:val="auto"/>
                <w:sz w:val="22"/>
                <w:szCs w:val="22"/>
              </w:rPr>
            </w:pPr>
            <w:r>
              <w:rPr>
                <w:rFonts w:hint="eastAsia"/>
                <w:color w:val="auto"/>
                <w:sz w:val="22"/>
                <w:szCs w:val="22"/>
                <w:lang w:val="en-US" w:eastAsia="zh-CN"/>
              </w:rPr>
              <w:t>12kV,1250A,31.5kA/4s 80kA</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cantSplit/>
          <w:trHeight w:val="454" w:hRule="atLeast"/>
          <w:jc w:val="center"/>
        </w:trPr>
        <w:tc>
          <w:tcPr>
            <w:tcW w:w="726" w:type="dxa"/>
            <w:vMerge w:val="continue"/>
            <w:vAlign w:val="center"/>
          </w:tcPr>
          <w:p>
            <w:pPr>
              <w:adjustRightInd w:val="0"/>
              <w:snapToGrid w:val="0"/>
              <w:spacing w:line="348" w:lineRule="auto"/>
              <w:jc w:val="left"/>
              <w:rPr>
                <w:color w:val="auto"/>
                <w:sz w:val="22"/>
                <w:szCs w:val="22"/>
              </w:rPr>
            </w:pPr>
          </w:p>
        </w:tc>
        <w:tc>
          <w:tcPr>
            <w:tcW w:w="1482" w:type="dxa"/>
            <w:vMerge w:val="continue"/>
            <w:vAlign w:val="center"/>
          </w:tcPr>
          <w:p>
            <w:pPr>
              <w:adjustRightInd w:val="0"/>
              <w:snapToGrid w:val="0"/>
              <w:spacing w:line="348" w:lineRule="auto"/>
              <w:ind w:left="105" w:leftChars="50"/>
              <w:jc w:val="left"/>
              <w:rPr>
                <w:color w:val="auto"/>
                <w:sz w:val="22"/>
                <w:szCs w:val="22"/>
              </w:rPr>
            </w:pPr>
          </w:p>
        </w:tc>
        <w:tc>
          <w:tcPr>
            <w:tcW w:w="1690" w:type="dxa"/>
            <w:vMerge w:val="restart"/>
            <w:vAlign w:val="center"/>
          </w:tcPr>
          <w:p>
            <w:pPr>
              <w:adjustRightInd w:val="0"/>
              <w:snapToGrid w:val="0"/>
              <w:spacing w:line="348" w:lineRule="auto"/>
              <w:ind w:left="105" w:leftChars="50"/>
              <w:jc w:val="left"/>
              <w:rPr>
                <w:color w:val="auto"/>
                <w:sz w:val="22"/>
                <w:szCs w:val="22"/>
              </w:rPr>
            </w:pPr>
            <w:r>
              <w:rPr>
                <w:color w:val="auto"/>
                <w:sz w:val="22"/>
                <w:szCs w:val="22"/>
              </w:rPr>
              <w:t>电流互感器</w:t>
            </w:r>
          </w:p>
        </w:tc>
        <w:tc>
          <w:tcPr>
            <w:tcW w:w="4913" w:type="dxa"/>
            <w:vAlign w:val="center"/>
          </w:tcPr>
          <w:p>
            <w:pPr>
              <w:adjustRightInd w:val="0"/>
              <w:snapToGrid w:val="0"/>
              <w:spacing w:line="312" w:lineRule="auto"/>
              <w:ind w:left="105" w:leftChars="50"/>
              <w:jc w:val="left"/>
              <w:rPr>
                <w:rFonts w:hint="eastAsia" w:eastAsia="宋体"/>
                <w:color w:val="auto"/>
                <w:sz w:val="22"/>
                <w:szCs w:val="22"/>
                <w:lang w:eastAsia="zh-CN"/>
              </w:rPr>
            </w:pPr>
            <w:r>
              <w:rPr>
                <w:color w:val="auto"/>
                <w:sz w:val="22"/>
                <w:szCs w:val="22"/>
              </w:rPr>
              <w:t>主变进线：干式，</w:t>
            </w:r>
            <w:r>
              <w:rPr>
                <w:rFonts w:hint="eastAsia"/>
                <w:color w:val="auto"/>
                <w:sz w:val="22"/>
                <w:szCs w:val="22"/>
                <w:lang w:val="en-US" w:eastAsia="zh-CN"/>
              </w:rPr>
              <w:t>12</w:t>
            </w:r>
            <w:r>
              <w:rPr>
                <w:rFonts w:hint="eastAsia"/>
                <w:color w:val="auto"/>
                <w:sz w:val="22"/>
                <w:szCs w:val="22"/>
                <w:lang w:eastAsia="zh-CN"/>
              </w:rPr>
              <w:t>kV</w:t>
            </w:r>
          </w:p>
          <w:p>
            <w:pPr>
              <w:adjustRightInd w:val="0"/>
              <w:snapToGrid w:val="0"/>
              <w:spacing w:line="312" w:lineRule="auto"/>
              <w:ind w:left="105" w:leftChars="50"/>
              <w:jc w:val="left"/>
              <w:rPr>
                <w:color w:val="auto"/>
                <w:sz w:val="22"/>
                <w:szCs w:val="22"/>
              </w:rPr>
            </w:pPr>
            <w:r>
              <w:rPr>
                <w:rFonts w:hint="eastAsia"/>
                <w:color w:val="auto"/>
                <w:sz w:val="22"/>
                <w:szCs w:val="22"/>
                <w:lang w:val="en-US" w:eastAsia="zh-CN"/>
              </w:rPr>
              <w:t>2000-3150/5A  5P30/0.5/0.2S 30VA</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cantSplit/>
          <w:trHeight w:val="454" w:hRule="atLeast"/>
          <w:jc w:val="center"/>
        </w:trPr>
        <w:tc>
          <w:tcPr>
            <w:tcW w:w="726" w:type="dxa"/>
            <w:vMerge w:val="continue"/>
            <w:vAlign w:val="center"/>
          </w:tcPr>
          <w:p>
            <w:pPr>
              <w:adjustRightInd w:val="0"/>
              <w:snapToGrid w:val="0"/>
              <w:spacing w:line="348" w:lineRule="auto"/>
              <w:jc w:val="left"/>
              <w:rPr>
                <w:color w:val="auto"/>
                <w:sz w:val="22"/>
                <w:szCs w:val="22"/>
              </w:rPr>
            </w:pPr>
          </w:p>
        </w:tc>
        <w:tc>
          <w:tcPr>
            <w:tcW w:w="1482" w:type="dxa"/>
            <w:vMerge w:val="continue"/>
            <w:vAlign w:val="center"/>
          </w:tcPr>
          <w:p>
            <w:pPr>
              <w:adjustRightInd w:val="0"/>
              <w:snapToGrid w:val="0"/>
              <w:spacing w:line="348" w:lineRule="auto"/>
              <w:ind w:left="105" w:leftChars="50"/>
              <w:jc w:val="left"/>
              <w:rPr>
                <w:color w:val="auto"/>
                <w:sz w:val="22"/>
                <w:szCs w:val="22"/>
              </w:rPr>
            </w:pPr>
          </w:p>
        </w:tc>
        <w:tc>
          <w:tcPr>
            <w:tcW w:w="1690" w:type="dxa"/>
            <w:vMerge w:val="continue"/>
            <w:vAlign w:val="center"/>
          </w:tcPr>
          <w:p>
            <w:pPr>
              <w:adjustRightInd w:val="0"/>
              <w:snapToGrid w:val="0"/>
              <w:spacing w:line="348" w:lineRule="auto"/>
              <w:ind w:left="105" w:leftChars="50"/>
              <w:jc w:val="left"/>
              <w:rPr>
                <w:color w:val="auto"/>
                <w:sz w:val="22"/>
                <w:szCs w:val="22"/>
              </w:rPr>
            </w:pPr>
          </w:p>
        </w:tc>
        <w:tc>
          <w:tcPr>
            <w:tcW w:w="4913" w:type="dxa"/>
            <w:vAlign w:val="center"/>
          </w:tcPr>
          <w:p>
            <w:pPr>
              <w:adjustRightInd w:val="0"/>
              <w:snapToGrid w:val="0"/>
              <w:spacing w:line="312" w:lineRule="auto"/>
              <w:ind w:left="105" w:leftChars="50"/>
              <w:jc w:val="left"/>
              <w:rPr>
                <w:rFonts w:hint="eastAsia" w:eastAsia="宋体"/>
                <w:color w:val="auto"/>
                <w:sz w:val="22"/>
                <w:szCs w:val="22"/>
                <w:lang w:eastAsia="zh-CN"/>
              </w:rPr>
            </w:pPr>
            <w:r>
              <w:rPr>
                <w:color w:val="auto"/>
                <w:sz w:val="22"/>
                <w:szCs w:val="22"/>
              </w:rPr>
              <w:t>分段：干式，10</w:t>
            </w:r>
            <w:r>
              <w:rPr>
                <w:rFonts w:hint="eastAsia"/>
                <w:color w:val="auto"/>
                <w:sz w:val="22"/>
                <w:szCs w:val="22"/>
                <w:lang w:eastAsia="zh-CN"/>
              </w:rPr>
              <w:t>kV</w:t>
            </w:r>
          </w:p>
          <w:p>
            <w:pPr>
              <w:adjustRightInd w:val="0"/>
              <w:snapToGrid w:val="0"/>
              <w:spacing w:line="312" w:lineRule="auto"/>
              <w:ind w:left="105" w:leftChars="50"/>
              <w:jc w:val="left"/>
              <w:rPr>
                <w:color w:val="auto"/>
                <w:sz w:val="22"/>
                <w:szCs w:val="22"/>
              </w:rPr>
            </w:pPr>
            <w:r>
              <w:rPr>
                <w:rFonts w:hint="eastAsia"/>
                <w:color w:val="auto"/>
                <w:sz w:val="22"/>
                <w:szCs w:val="22"/>
                <w:lang w:val="en-US" w:eastAsia="zh-CN"/>
              </w:rPr>
              <w:t>2000-3150/5A  5P30/0.5/0.2S 30VA</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cantSplit/>
          <w:trHeight w:val="615" w:hRule="atLeast"/>
          <w:jc w:val="center"/>
        </w:trPr>
        <w:tc>
          <w:tcPr>
            <w:tcW w:w="726" w:type="dxa"/>
            <w:vMerge w:val="continue"/>
            <w:vAlign w:val="center"/>
          </w:tcPr>
          <w:p>
            <w:pPr>
              <w:adjustRightInd w:val="0"/>
              <w:snapToGrid w:val="0"/>
              <w:spacing w:line="348" w:lineRule="auto"/>
              <w:jc w:val="left"/>
              <w:rPr>
                <w:color w:val="auto"/>
                <w:sz w:val="22"/>
                <w:szCs w:val="22"/>
              </w:rPr>
            </w:pPr>
          </w:p>
        </w:tc>
        <w:tc>
          <w:tcPr>
            <w:tcW w:w="1482" w:type="dxa"/>
            <w:vMerge w:val="continue"/>
            <w:vAlign w:val="center"/>
          </w:tcPr>
          <w:p>
            <w:pPr>
              <w:adjustRightInd w:val="0"/>
              <w:snapToGrid w:val="0"/>
              <w:spacing w:line="348" w:lineRule="auto"/>
              <w:ind w:left="105" w:leftChars="50"/>
              <w:jc w:val="left"/>
              <w:rPr>
                <w:color w:val="auto"/>
                <w:sz w:val="22"/>
                <w:szCs w:val="22"/>
              </w:rPr>
            </w:pPr>
          </w:p>
        </w:tc>
        <w:tc>
          <w:tcPr>
            <w:tcW w:w="1690" w:type="dxa"/>
            <w:vMerge w:val="continue"/>
            <w:vAlign w:val="center"/>
          </w:tcPr>
          <w:p>
            <w:pPr>
              <w:adjustRightInd w:val="0"/>
              <w:snapToGrid w:val="0"/>
              <w:spacing w:line="348" w:lineRule="auto"/>
              <w:ind w:left="105" w:leftChars="50"/>
              <w:jc w:val="left"/>
              <w:rPr>
                <w:color w:val="auto"/>
                <w:sz w:val="22"/>
                <w:szCs w:val="22"/>
              </w:rPr>
            </w:pPr>
          </w:p>
        </w:tc>
        <w:tc>
          <w:tcPr>
            <w:tcW w:w="4913" w:type="dxa"/>
            <w:vAlign w:val="center"/>
          </w:tcPr>
          <w:p>
            <w:pPr>
              <w:adjustRightInd w:val="0"/>
              <w:snapToGrid w:val="0"/>
              <w:spacing w:line="312" w:lineRule="auto"/>
              <w:ind w:left="105" w:leftChars="50"/>
              <w:jc w:val="left"/>
              <w:rPr>
                <w:rFonts w:hint="eastAsia" w:eastAsia="宋体"/>
                <w:color w:val="auto"/>
                <w:sz w:val="22"/>
                <w:szCs w:val="22"/>
                <w:lang w:eastAsia="zh-CN"/>
              </w:rPr>
            </w:pPr>
            <w:r>
              <w:rPr>
                <w:color w:val="auto"/>
                <w:sz w:val="22"/>
                <w:szCs w:val="22"/>
              </w:rPr>
              <w:t>站用变：干式，10</w:t>
            </w:r>
            <w:r>
              <w:rPr>
                <w:rFonts w:hint="eastAsia"/>
                <w:color w:val="auto"/>
                <w:sz w:val="22"/>
                <w:szCs w:val="22"/>
                <w:lang w:eastAsia="zh-CN"/>
              </w:rPr>
              <w:t>kV</w:t>
            </w:r>
          </w:p>
          <w:p>
            <w:pPr>
              <w:adjustRightInd w:val="0"/>
              <w:snapToGrid w:val="0"/>
              <w:spacing w:line="312" w:lineRule="auto"/>
              <w:ind w:left="105" w:leftChars="50"/>
              <w:jc w:val="left"/>
              <w:rPr>
                <w:color w:val="auto"/>
                <w:sz w:val="22"/>
                <w:szCs w:val="22"/>
              </w:rPr>
            </w:pPr>
            <w:r>
              <w:rPr>
                <w:rFonts w:hint="eastAsia"/>
                <w:color w:val="auto"/>
                <w:sz w:val="22"/>
                <w:szCs w:val="22"/>
                <w:lang w:val="en-US" w:eastAsia="zh-CN"/>
              </w:rPr>
              <w:t>300-600/5A  5P30/0.5/0.2S 30VA</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cantSplit/>
          <w:trHeight w:val="454" w:hRule="atLeast"/>
          <w:jc w:val="center"/>
        </w:trPr>
        <w:tc>
          <w:tcPr>
            <w:tcW w:w="726" w:type="dxa"/>
            <w:vMerge w:val="continue"/>
            <w:vAlign w:val="center"/>
          </w:tcPr>
          <w:p>
            <w:pPr>
              <w:adjustRightInd w:val="0"/>
              <w:snapToGrid w:val="0"/>
              <w:spacing w:line="348" w:lineRule="auto"/>
              <w:jc w:val="left"/>
              <w:rPr>
                <w:color w:val="auto"/>
                <w:sz w:val="22"/>
                <w:szCs w:val="22"/>
              </w:rPr>
            </w:pPr>
          </w:p>
        </w:tc>
        <w:tc>
          <w:tcPr>
            <w:tcW w:w="1482" w:type="dxa"/>
            <w:vMerge w:val="continue"/>
            <w:vAlign w:val="center"/>
          </w:tcPr>
          <w:p>
            <w:pPr>
              <w:adjustRightInd w:val="0"/>
              <w:snapToGrid w:val="0"/>
              <w:spacing w:line="348" w:lineRule="auto"/>
              <w:ind w:left="105" w:leftChars="50"/>
              <w:jc w:val="left"/>
              <w:rPr>
                <w:color w:val="auto"/>
                <w:sz w:val="22"/>
                <w:szCs w:val="22"/>
              </w:rPr>
            </w:pPr>
          </w:p>
        </w:tc>
        <w:tc>
          <w:tcPr>
            <w:tcW w:w="1690" w:type="dxa"/>
            <w:vMerge w:val="continue"/>
            <w:vAlign w:val="center"/>
          </w:tcPr>
          <w:p>
            <w:pPr>
              <w:adjustRightInd w:val="0"/>
              <w:snapToGrid w:val="0"/>
              <w:spacing w:line="348" w:lineRule="auto"/>
              <w:ind w:left="105" w:leftChars="50"/>
              <w:jc w:val="left"/>
              <w:rPr>
                <w:color w:val="auto"/>
                <w:sz w:val="22"/>
                <w:szCs w:val="22"/>
              </w:rPr>
            </w:pPr>
          </w:p>
        </w:tc>
        <w:tc>
          <w:tcPr>
            <w:tcW w:w="4913" w:type="dxa"/>
            <w:vAlign w:val="center"/>
          </w:tcPr>
          <w:p>
            <w:pPr>
              <w:adjustRightInd w:val="0"/>
              <w:snapToGrid w:val="0"/>
              <w:spacing w:line="312" w:lineRule="auto"/>
              <w:ind w:left="105" w:leftChars="50"/>
              <w:jc w:val="left"/>
              <w:rPr>
                <w:rFonts w:hint="eastAsia" w:eastAsia="宋体"/>
                <w:color w:val="auto"/>
                <w:sz w:val="22"/>
                <w:szCs w:val="22"/>
                <w:lang w:eastAsia="zh-CN"/>
              </w:rPr>
            </w:pPr>
            <w:r>
              <w:rPr>
                <w:color w:val="auto"/>
                <w:sz w:val="22"/>
                <w:szCs w:val="22"/>
              </w:rPr>
              <w:t>馈线：干式，1</w:t>
            </w:r>
            <w:r>
              <w:rPr>
                <w:rFonts w:hint="eastAsia"/>
                <w:color w:val="auto"/>
                <w:sz w:val="22"/>
                <w:szCs w:val="22"/>
                <w:lang w:val="en-US" w:eastAsia="zh-CN"/>
              </w:rPr>
              <w:t>0</w:t>
            </w:r>
            <w:r>
              <w:rPr>
                <w:rFonts w:hint="eastAsia"/>
                <w:color w:val="auto"/>
                <w:sz w:val="22"/>
                <w:szCs w:val="22"/>
                <w:lang w:eastAsia="zh-CN"/>
              </w:rPr>
              <w:t>kV</w:t>
            </w:r>
          </w:p>
          <w:p>
            <w:pPr>
              <w:adjustRightInd w:val="0"/>
              <w:snapToGrid w:val="0"/>
              <w:spacing w:line="312" w:lineRule="auto"/>
              <w:ind w:left="105" w:leftChars="50"/>
              <w:jc w:val="left"/>
              <w:rPr>
                <w:color w:val="auto"/>
                <w:sz w:val="22"/>
                <w:szCs w:val="22"/>
              </w:rPr>
            </w:pPr>
            <w:r>
              <w:rPr>
                <w:rFonts w:hint="eastAsia"/>
                <w:color w:val="auto"/>
                <w:sz w:val="22"/>
                <w:szCs w:val="22"/>
                <w:lang w:val="en-US" w:eastAsia="zh-CN"/>
              </w:rPr>
              <w:t>300-600/5A  5P30/0.5/0.2S 30VA</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cantSplit/>
          <w:trHeight w:val="454" w:hRule="atLeast"/>
          <w:jc w:val="center"/>
        </w:trPr>
        <w:tc>
          <w:tcPr>
            <w:tcW w:w="726" w:type="dxa"/>
            <w:vMerge w:val="continue"/>
            <w:vAlign w:val="center"/>
          </w:tcPr>
          <w:p>
            <w:pPr>
              <w:adjustRightInd w:val="0"/>
              <w:snapToGrid w:val="0"/>
              <w:spacing w:line="348" w:lineRule="auto"/>
              <w:jc w:val="left"/>
              <w:rPr>
                <w:color w:val="auto"/>
                <w:sz w:val="22"/>
                <w:szCs w:val="22"/>
              </w:rPr>
            </w:pPr>
          </w:p>
        </w:tc>
        <w:tc>
          <w:tcPr>
            <w:tcW w:w="1482" w:type="dxa"/>
            <w:vMerge w:val="continue"/>
            <w:vAlign w:val="center"/>
          </w:tcPr>
          <w:p>
            <w:pPr>
              <w:adjustRightInd w:val="0"/>
              <w:snapToGrid w:val="0"/>
              <w:spacing w:line="348" w:lineRule="auto"/>
              <w:ind w:left="105" w:leftChars="50"/>
              <w:jc w:val="left"/>
              <w:rPr>
                <w:color w:val="auto"/>
                <w:sz w:val="22"/>
                <w:szCs w:val="22"/>
              </w:rPr>
            </w:pPr>
          </w:p>
        </w:tc>
        <w:tc>
          <w:tcPr>
            <w:tcW w:w="1690" w:type="dxa"/>
            <w:vAlign w:val="center"/>
          </w:tcPr>
          <w:p>
            <w:pPr>
              <w:adjustRightInd w:val="0"/>
              <w:snapToGrid w:val="0"/>
              <w:spacing w:line="348" w:lineRule="auto"/>
              <w:ind w:left="105" w:leftChars="50"/>
              <w:jc w:val="left"/>
              <w:rPr>
                <w:color w:val="auto"/>
                <w:sz w:val="22"/>
                <w:szCs w:val="22"/>
              </w:rPr>
            </w:pPr>
            <w:r>
              <w:rPr>
                <w:color w:val="auto"/>
                <w:sz w:val="22"/>
                <w:szCs w:val="22"/>
              </w:rPr>
              <w:t>电压互感器</w:t>
            </w:r>
          </w:p>
        </w:tc>
        <w:tc>
          <w:tcPr>
            <w:tcW w:w="4913" w:type="dxa"/>
            <w:vAlign w:val="center"/>
          </w:tcPr>
          <w:p>
            <w:pPr>
              <w:adjustRightInd w:val="0"/>
              <w:snapToGrid w:val="0"/>
              <w:spacing w:line="312" w:lineRule="auto"/>
              <w:ind w:left="105" w:leftChars="50"/>
              <w:jc w:val="left"/>
            </w:pPr>
            <w:r>
              <w:t>母线电压互感器：</w:t>
            </w:r>
          </w:p>
          <w:p>
            <w:pPr>
              <w:snapToGrid w:val="0"/>
              <w:spacing w:before="40" w:after="40"/>
              <w:rPr>
                <w:rFonts w:hint="eastAsia"/>
              </w:rPr>
            </w:pPr>
            <w:r>
              <w:rPr>
                <w:rFonts w:hint="eastAsia"/>
              </w:rPr>
              <w:t>10/√3/0.1/√3/0.1/√3/0.1/3</w:t>
            </w:r>
          </w:p>
          <w:p>
            <w:pPr>
              <w:adjustRightInd w:val="0"/>
              <w:snapToGrid w:val="0"/>
              <w:spacing w:line="312" w:lineRule="auto"/>
              <w:ind w:left="105" w:leftChars="50"/>
              <w:jc w:val="left"/>
              <w:rPr>
                <w:rFonts w:hint="default" w:eastAsia="宋体"/>
                <w:lang w:val="en-US" w:eastAsia="zh-CN"/>
              </w:rPr>
            </w:pPr>
            <w:r>
              <w:rPr>
                <w:rFonts w:hint="eastAsia"/>
                <w:lang w:val="en-US" w:eastAsia="zh-CN"/>
              </w:rPr>
              <w:t>75</w:t>
            </w:r>
            <w:r>
              <w:rPr>
                <w:rFonts w:hint="eastAsia"/>
              </w:rPr>
              <w:t>/</w:t>
            </w:r>
            <w:r>
              <w:rPr>
                <w:rFonts w:hint="eastAsia"/>
                <w:lang w:val="en-US" w:eastAsia="zh-CN"/>
              </w:rPr>
              <w:t>75</w:t>
            </w:r>
            <w:r>
              <w:rPr>
                <w:rFonts w:hint="eastAsia"/>
              </w:rPr>
              <w:t>/100VA</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cantSplit/>
          <w:trHeight w:val="423" w:hRule="atLeast"/>
          <w:jc w:val="center"/>
        </w:trPr>
        <w:tc>
          <w:tcPr>
            <w:tcW w:w="726" w:type="dxa"/>
            <w:vMerge w:val="continue"/>
            <w:vAlign w:val="center"/>
          </w:tcPr>
          <w:p>
            <w:pPr>
              <w:adjustRightInd w:val="0"/>
              <w:snapToGrid w:val="0"/>
              <w:spacing w:line="348" w:lineRule="auto"/>
              <w:jc w:val="left"/>
              <w:rPr>
                <w:color w:val="auto"/>
                <w:sz w:val="22"/>
                <w:szCs w:val="22"/>
              </w:rPr>
            </w:pPr>
          </w:p>
        </w:tc>
        <w:tc>
          <w:tcPr>
            <w:tcW w:w="1482" w:type="dxa"/>
            <w:vMerge w:val="continue"/>
            <w:vAlign w:val="center"/>
          </w:tcPr>
          <w:p>
            <w:pPr>
              <w:adjustRightInd w:val="0"/>
              <w:snapToGrid w:val="0"/>
              <w:spacing w:line="348" w:lineRule="auto"/>
              <w:ind w:left="105" w:leftChars="50"/>
              <w:jc w:val="left"/>
              <w:rPr>
                <w:color w:val="auto"/>
                <w:sz w:val="22"/>
                <w:szCs w:val="22"/>
              </w:rPr>
            </w:pPr>
          </w:p>
        </w:tc>
        <w:tc>
          <w:tcPr>
            <w:tcW w:w="1690" w:type="dxa"/>
            <w:vAlign w:val="center"/>
          </w:tcPr>
          <w:p>
            <w:pPr>
              <w:adjustRightInd w:val="0"/>
              <w:snapToGrid w:val="0"/>
              <w:spacing w:line="348" w:lineRule="auto"/>
              <w:ind w:left="105" w:leftChars="50"/>
              <w:jc w:val="left"/>
              <w:rPr>
                <w:color w:val="auto"/>
                <w:sz w:val="22"/>
                <w:szCs w:val="22"/>
              </w:rPr>
            </w:pPr>
            <w:r>
              <w:rPr>
                <w:color w:val="auto"/>
                <w:sz w:val="22"/>
                <w:szCs w:val="22"/>
              </w:rPr>
              <w:t>氧化锌避雷器</w:t>
            </w:r>
          </w:p>
        </w:tc>
        <w:tc>
          <w:tcPr>
            <w:tcW w:w="4913" w:type="dxa"/>
            <w:vAlign w:val="center"/>
          </w:tcPr>
          <w:p>
            <w:pPr>
              <w:adjustRightInd w:val="0"/>
              <w:snapToGrid w:val="0"/>
              <w:spacing w:line="312" w:lineRule="auto"/>
              <w:ind w:left="105" w:leftChars="50"/>
              <w:jc w:val="left"/>
              <w:rPr>
                <w:color w:val="auto"/>
                <w:sz w:val="22"/>
                <w:szCs w:val="22"/>
              </w:rPr>
            </w:pPr>
            <w:r>
              <w:rPr>
                <w:color w:val="auto"/>
                <w:sz w:val="22"/>
                <w:szCs w:val="22"/>
              </w:rPr>
              <w:t>YH5WZ-17/45，附放电计数器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cantSplit/>
          <w:trHeight w:val="423" w:hRule="atLeast"/>
          <w:jc w:val="center"/>
        </w:trPr>
        <w:tc>
          <w:tcPr>
            <w:tcW w:w="726" w:type="dxa"/>
            <w:vAlign w:val="center"/>
          </w:tcPr>
          <w:p>
            <w:pPr>
              <w:adjustRightInd w:val="0"/>
              <w:snapToGrid w:val="0"/>
              <w:spacing w:line="348" w:lineRule="auto"/>
              <w:jc w:val="center"/>
              <w:rPr>
                <w:color w:val="auto"/>
                <w:sz w:val="22"/>
                <w:szCs w:val="22"/>
              </w:rPr>
            </w:pPr>
            <w:r>
              <w:rPr>
                <w:color w:val="auto"/>
                <w:sz w:val="22"/>
                <w:szCs w:val="22"/>
              </w:rPr>
              <w:t>2</w:t>
            </w:r>
          </w:p>
        </w:tc>
        <w:tc>
          <w:tcPr>
            <w:tcW w:w="3172" w:type="dxa"/>
            <w:gridSpan w:val="2"/>
            <w:vAlign w:val="center"/>
          </w:tcPr>
          <w:p>
            <w:pPr>
              <w:adjustRightInd w:val="0"/>
              <w:snapToGrid w:val="0"/>
              <w:spacing w:line="348" w:lineRule="auto"/>
              <w:ind w:left="105" w:leftChars="50"/>
              <w:jc w:val="left"/>
              <w:rPr>
                <w:color w:val="auto"/>
                <w:sz w:val="22"/>
                <w:szCs w:val="22"/>
              </w:rPr>
            </w:pPr>
            <w:r>
              <w:rPr>
                <w:color w:val="auto"/>
                <w:sz w:val="22"/>
                <w:szCs w:val="22"/>
              </w:rPr>
              <w:t>氧化锌避雷器（主变进线）</w:t>
            </w:r>
          </w:p>
        </w:tc>
        <w:tc>
          <w:tcPr>
            <w:tcW w:w="4913" w:type="dxa"/>
            <w:vAlign w:val="center"/>
          </w:tcPr>
          <w:p>
            <w:pPr>
              <w:adjustRightInd w:val="0"/>
              <w:snapToGrid w:val="0"/>
              <w:spacing w:line="312" w:lineRule="auto"/>
              <w:ind w:left="105" w:leftChars="50"/>
              <w:jc w:val="left"/>
              <w:rPr>
                <w:color w:val="auto"/>
                <w:sz w:val="22"/>
                <w:szCs w:val="22"/>
              </w:rPr>
            </w:pPr>
            <w:r>
              <w:rPr>
                <w:color w:val="auto"/>
                <w:sz w:val="22"/>
                <w:szCs w:val="22"/>
              </w:rPr>
              <w:t>YH5WZ-17/45，附放电计数器</w:t>
            </w:r>
          </w:p>
        </w:tc>
      </w:tr>
    </w:tbl>
    <w:p>
      <w:pPr>
        <w:pStyle w:val="2"/>
        <w:numPr>
          <w:ilvl w:val="0"/>
          <w:numId w:val="0"/>
        </w:numPr>
        <w:rPr>
          <w:rFonts w:hint="eastAsia"/>
          <w:lang w:eastAsia="zh-CN"/>
        </w:rPr>
      </w:pPr>
    </w:p>
    <w:p>
      <w:pPr>
        <w:numPr>
          <w:ilvl w:val="0"/>
          <w:numId w:val="19"/>
        </w:numPr>
        <w:spacing w:line="360" w:lineRule="auto"/>
        <w:ind w:firstLine="560" w:firstLineChars="200"/>
        <w:rPr>
          <w:rFonts w:hint="default" w:ascii="宋体" w:cs="宋体"/>
          <w:kern w:val="0"/>
          <w:sz w:val="28"/>
          <w:szCs w:val="28"/>
          <w:lang w:val="en-US" w:eastAsia="zh-CN"/>
        </w:rPr>
      </w:pPr>
      <w:r>
        <w:rPr>
          <w:rFonts w:hint="default" w:ascii="宋体" w:cs="宋体"/>
          <w:kern w:val="0"/>
          <w:sz w:val="28"/>
          <w:szCs w:val="28"/>
          <w:lang w:val="en-US" w:eastAsia="zh-CN"/>
        </w:rPr>
        <w:t>选用开关柜应符合一、</w:t>
      </w:r>
      <w:r>
        <w:rPr>
          <w:rFonts w:hint="eastAsia" w:ascii="宋体" w:cs="宋体"/>
          <w:kern w:val="0"/>
          <w:sz w:val="28"/>
          <w:szCs w:val="28"/>
          <w:lang w:val="en-US" w:eastAsia="zh-CN"/>
        </w:rPr>
        <w:t>二</w:t>
      </w:r>
      <w:r>
        <w:rPr>
          <w:rFonts w:hint="default" w:ascii="宋体" w:cs="宋体"/>
          <w:kern w:val="0"/>
          <w:sz w:val="28"/>
          <w:szCs w:val="28"/>
          <w:lang w:val="en-US" w:eastAsia="zh-CN"/>
        </w:rPr>
        <w:t>次系统方案的要求，满足继电保护、测量仪表、控制等配置及二次回路要求。</w:t>
      </w:r>
    </w:p>
    <w:p>
      <w:pPr>
        <w:numPr>
          <w:ilvl w:val="0"/>
          <w:numId w:val="19"/>
        </w:numPr>
        <w:spacing w:line="360" w:lineRule="auto"/>
        <w:ind w:firstLine="560" w:firstLineChars="200"/>
        <w:rPr>
          <w:rFonts w:hint="default" w:ascii="宋体" w:cs="宋体"/>
          <w:kern w:val="0"/>
          <w:sz w:val="28"/>
          <w:szCs w:val="28"/>
          <w:lang w:val="en-US" w:eastAsia="zh-CN"/>
        </w:rPr>
      </w:pPr>
      <w:r>
        <w:rPr>
          <w:rFonts w:hint="default" w:ascii="宋体" w:cs="宋体"/>
          <w:kern w:val="0"/>
          <w:sz w:val="28"/>
          <w:szCs w:val="28"/>
          <w:lang w:val="en-US" w:eastAsia="zh-CN"/>
        </w:rPr>
        <w:t>开关柜</w:t>
      </w:r>
      <w:r>
        <w:rPr>
          <w:rFonts w:hint="eastAsia" w:ascii="宋体" w:cs="宋体"/>
          <w:kern w:val="0"/>
          <w:sz w:val="28"/>
          <w:szCs w:val="28"/>
          <w:lang w:val="en-US" w:eastAsia="zh-CN"/>
        </w:rPr>
        <w:t>选择西门子、ABB、施耐德授权柜，</w:t>
      </w:r>
      <w:r>
        <w:rPr>
          <w:rFonts w:hint="default" w:ascii="宋体" w:cs="宋体"/>
          <w:kern w:val="0"/>
          <w:sz w:val="28"/>
          <w:szCs w:val="28"/>
          <w:lang w:val="en-US" w:eastAsia="zh-CN"/>
        </w:rPr>
        <w:t>选择应力求技术先进、安全可靠、经济适用、操作维护方便，设备选择要注意小型化、标准化、无油化、免维护或少维护。</w:t>
      </w:r>
    </w:p>
    <w:p>
      <w:pPr>
        <w:numPr>
          <w:ilvl w:val="0"/>
          <w:numId w:val="19"/>
        </w:numPr>
        <w:spacing w:line="360" w:lineRule="auto"/>
        <w:ind w:firstLine="560" w:firstLineChars="200"/>
        <w:rPr>
          <w:rFonts w:hint="default" w:ascii="宋体" w:cs="宋体"/>
          <w:kern w:val="0"/>
          <w:sz w:val="28"/>
          <w:szCs w:val="28"/>
          <w:lang w:val="en-US" w:eastAsia="zh-CN"/>
        </w:rPr>
      </w:pPr>
      <w:r>
        <w:rPr>
          <w:rFonts w:hint="default" w:ascii="宋体" w:cs="宋体"/>
          <w:kern w:val="0"/>
          <w:sz w:val="28"/>
          <w:szCs w:val="28"/>
          <w:lang w:val="en-US" w:eastAsia="zh-CN"/>
        </w:rPr>
        <w:t>开关柜还应满足正常运行、检修、短路和过电压情况下的要求，并考虑远景发展。</w:t>
      </w:r>
    </w:p>
    <w:p>
      <w:pPr>
        <w:numPr>
          <w:ilvl w:val="0"/>
          <w:numId w:val="19"/>
        </w:numPr>
        <w:spacing w:line="360" w:lineRule="auto"/>
        <w:ind w:firstLine="560" w:firstLineChars="200"/>
        <w:rPr>
          <w:rFonts w:hint="default" w:ascii="宋体" w:cs="宋体"/>
          <w:kern w:val="0"/>
          <w:sz w:val="28"/>
          <w:szCs w:val="28"/>
          <w:lang w:val="en-US" w:eastAsia="zh-CN"/>
        </w:rPr>
      </w:pPr>
      <w:r>
        <w:rPr>
          <w:rFonts w:hint="default" w:ascii="宋体" w:cs="宋体"/>
          <w:kern w:val="0"/>
          <w:sz w:val="28"/>
          <w:szCs w:val="28"/>
          <w:lang w:val="en-US" w:eastAsia="zh-CN"/>
        </w:rPr>
        <w:t>高压开关柜及环网负荷开关柜内主要元件应按</w:t>
      </w:r>
      <w:r>
        <w:rPr>
          <w:rFonts w:hint="eastAsia" w:ascii="宋体" w:cs="宋体"/>
          <w:kern w:val="0"/>
          <w:sz w:val="28"/>
          <w:szCs w:val="28"/>
          <w:lang w:val="en-US" w:eastAsia="zh-CN"/>
        </w:rPr>
        <w:t>规范</w:t>
      </w:r>
      <w:r>
        <w:rPr>
          <w:rFonts w:hint="default" w:ascii="宋体" w:cs="宋体"/>
          <w:kern w:val="0"/>
          <w:sz w:val="28"/>
          <w:szCs w:val="28"/>
          <w:lang w:val="en-US" w:eastAsia="zh-CN"/>
        </w:rPr>
        <w:t>相关要求选择和校验</w:t>
      </w:r>
      <w:r>
        <w:rPr>
          <w:rFonts w:hint="eastAsia" w:ascii="宋体" w:cs="宋体"/>
          <w:kern w:val="0"/>
          <w:sz w:val="28"/>
          <w:szCs w:val="28"/>
          <w:lang w:val="en-US" w:eastAsia="zh-CN"/>
        </w:rPr>
        <w:t>。</w:t>
      </w:r>
    </w:p>
    <w:p>
      <w:pPr>
        <w:numPr>
          <w:ilvl w:val="0"/>
          <w:numId w:val="19"/>
        </w:numPr>
        <w:spacing w:line="360" w:lineRule="auto"/>
        <w:ind w:firstLine="560" w:firstLineChars="200"/>
        <w:rPr>
          <w:rFonts w:hint="default" w:ascii="宋体" w:cs="宋体"/>
          <w:kern w:val="0"/>
          <w:sz w:val="28"/>
          <w:szCs w:val="28"/>
          <w:lang w:val="en-US" w:eastAsia="zh-CN"/>
        </w:rPr>
      </w:pPr>
      <w:r>
        <w:rPr>
          <w:rFonts w:hint="default" w:ascii="宋体" w:cs="宋体"/>
          <w:kern w:val="0"/>
          <w:sz w:val="28"/>
          <w:szCs w:val="28"/>
          <w:lang w:val="en-US" w:eastAsia="zh-CN"/>
        </w:rPr>
        <w:t>高压开关柜应具备联锁功能</w:t>
      </w:r>
      <w:r>
        <w:rPr>
          <w:rFonts w:hint="eastAsia" w:ascii="宋体" w:cs="宋体"/>
          <w:kern w:val="0"/>
          <w:sz w:val="28"/>
          <w:szCs w:val="28"/>
          <w:lang w:val="en-US" w:eastAsia="zh-CN"/>
        </w:rPr>
        <w:t>：为了保证安全和便于操作，金属封闭开关设备和控制设备的不同元件之间应设置联锁，并应采用机械联锁；</w:t>
      </w:r>
    </w:p>
    <w:p>
      <w:pPr>
        <w:numPr>
          <w:ilvl w:val="0"/>
          <w:numId w:val="19"/>
        </w:numPr>
        <w:spacing w:line="360" w:lineRule="auto"/>
        <w:ind w:firstLine="560" w:firstLineChars="200"/>
        <w:rPr>
          <w:rFonts w:hint="default" w:ascii="宋体" w:cs="宋体"/>
          <w:kern w:val="0"/>
          <w:sz w:val="28"/>
          <w:szCs w:val="28"/>
          <w:lang w:val="en-US" w:eastAsia="zh-CN"/>
        </w:rPr>
      </w:pPr>
      <w:r>
        <w:rPr>
          <w:rFonts w:hint="default" w:ascii="宋体" w:cs="宋体"/>
          <w:kern w:val="0"/>
          <w:sz w:val="28"/>
          <w:szCs w:val="28"/>
          <w:lang w:val="en-US" w:eastAsia="zh-CN"/>
        </w:rPr>
        <w:t>对于装有隔离开关的金属封闭开关设备和控制设备，联锁功能主要包括</w:t>
      </w:r>
      <w:r>
        <w:rPr>
          <w:rFonts w:hint="eastAsia" w:ascii="宋体" w:cs="宋体"/>
          <w:kern w:val="0"/>
          <w:sz w:val="28"/>
          <w:szCs w:val="28"/>
          <w:lang w:val="en-US" w:eastAsia="zh-CN"/>
        </w:rPr>
        <w:t>：</w:t>
      </w:r>
    </w:p>
    <w:p>
      <w:pPr>
        <w:numPr>
          <w:ilvl w:val="0"/>
          <w:numId w:val="0"/>
        </w:numPr>
        <w:spacing w:line="360" w:lineRule="auto"/>
        <w:ind w:left="15" w:leftChars="7" w:firstLine="400" w:firstLineChars="143"/>
        <w:rPr>
          <w:rFonts w:hint="eastAsia" w:ascii="宋体" w:cs="宋体"/>
          <w:kern w:val="0"/>
          <w:sz w:val="28"/>
          <w:szCs w:val="28"/>
          <w:lang w:val="en-US" w:eastAsia="zh-CN"/>
        </w:rPr>
      </w:pPr>
      <w:r>
        <w:rPr>
          <w:rFonts w:hint="eastAsia" w:ascii="宋体" w:cs="宋体"/>
          <w:kern w:val="0"/>
          <w:sz w:val="28"/>
          <w:szCs w:val="28"/>
          <w:lang w:val="en-US" w:eastAsia="zh-CN"/>
        </w:rPr>
        <w:t>（1）只有相关的断路器处于分闸位置时，才能进行隔离开关的操作。</w:t>
      </w:r>
    </w:p>
    <w:p>
      <w:pPr>
        <w:numPr>
          <w:ilvl w:val="0"/>
          <w:numId w:val="0"/>
        </w:numPr>
        <w:spacing w:line="360" w:lineRule="auto"/>
        <w:ind w:left="15" w:leftChars="7" w:firstLine="400" w:firstLineChars="143"/>
        <w:rPr>
          <w:rFonts w:hint="eastAsia" w:ascii="宋体" w:cs="宋体"/>
          <w:kern w:val="0"/>
          <w:sz w:val="28"/>
          <w:szCs w:val="28"/>
          <w:lang w:val="en-US" w:eastAsia="zh-CN"/>
        </w:rPr>
      </w:pPr>
      <w:r>
        <w:rPr>
          <w:rFonts w:hint="eastAsia" w:ascii="宋体" w:cs="宋体"/>
          <w:kern w:val="0"/>
          <w:sz w:val="28"/>
          <w:szCs w:val="28"/>
          <w:lang w:val="en-US" w:eastAsia="zh-CN"/>
        </w:rPr>
        <w:t>（2）接地开关与相关的隔离开关之间应设置联锁，只有隔离开关处于分闸位置时，其接地开关才能合闸，隔室的门才能打开；反之，只有隔室的门关闭后，处于合闸位置的接地开关才能分闸；</w:t>
      </w:r>
    </w:p>
    <w:p>
      <w:pPr>
        <w:numPr>
          <w:ilvl w:val="0"/>
          <w:numId w:val="0"/>
        </w:numPr>
        <w:spacing w:line="360" w:lineRule="auto"/>
        <w:ind w:left="15" w:leftChars="7" w:firstLine="400" w:firstLineChars="143"/>
        <w:rPr>
          <w:rFonts w:hint="eastAsia" w:ascii="宋体" w:cs="宋体"/>
          <w:kern w:val="0"/>
          <w:sz w:val="28"/>
          <w:szCs w:val="28"/>
          <w:lang w:val="en-US" w:eastAsia="zh-CN"/>
        </w:rPr>
      </w:pPr>
      <w:r>
        <w:rPr>
          <w:rFonts w:hint="eastAsia" w:ascii="宋体" w:cs="宋体"/>
          <w:kern w:val="0"/>
          <w:sz w:val="28"/>
          <w:szCs w:val="28"/>
          <w:lang w:val="en-US" w:eastAsia="zh-CN"/>
        </w:rPr>
        <w:t>（3）应装设可防止就地误分或误合断路器的防误操作装置；</w:t>
      </w:r>
    </w:p>
    <w:p>
      <w:pPr>
        <w:numPr>
          <w:ilvl w:val="0"/>
          <w:numId w:val="0"/>
        </w:numPr>
        <w:spacing w:line="360" w:lineRule="auto"/>
        <w:ind w:left="15" w:leftChars="7" w:firstLine="400" w:firstLineChars="143"/>
        <w:rPr>
          <w:rFonts w:hint="default" w:ascii="宋体" w:cs="宋体"/>
          <w:kern w:val="0"/>
          <w:sz w:val="28"/>
          <w:szCs w:val="28"/>
          <w:lang w:val="en-US" w:eastAsia="zh-CN"/>
        </w:rPr>
      </w:pPr>
      <w:r>
        <w:rPr>
          <w:rFonts w:hint="eastAsia" w:ascii="宋体" w:cs="宋体"/>
          <w:kern w:val="0"/>
          <w:sz w:val="28"/>
          <w:szCs w:val="28"/>
          <w:lang w:val="en-US" w:eastAsia="zh-CN"/>
        </w:rPr>
        <w:t>（4）如果回路接地是通过与接地开关串联的主开关装置接地，接地开关应与主开关装置设置联锁，并且应采取措施防止主开关意外分闸。</w:t>
      </w:r>
    </w:p>
    <w:p>
      <w:pPr>
        <w:numPr>
          <w:ilvl w:val="0"/>
          <w:numId w:val="19"/>
        </w:num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对于具有可移开部件的金属封闭开关设备和控制设备，联锁功能主要包括：</w:t>
      </w:r>
    </w:p>
    <w:p>
      <w:pPr>
        <w:numPr>
          <w:ilvl w:val="0"/>
          <w:numId w:val="0"/>
        </w:numPr>
        <w:spacing w:line="360" w:lineRule="auto"/>
        <w:ind w:left="0" w:leftChars="0"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（1）断路器只有在分闸位置时，可移开部件才能抽出或插入；</w:t>
      </w:r>
    </w:p>
    <w:p>
      <w:pPr>
        <w:numPr>
          <w:ilvl w:val="0"/>
          <w:numId w:val="0"/>
        </w:numPr>
        <w:spacing w:line="360" w:lineRule="auto"/>
        <w:ind w:left="0" w:leftChars="0"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（2）可移开部件只有处干试验位置时，接地开关才能合闸，相应隔室的门才能打开；</w:t>
      </w:r>
    </w:p>
    <w:p>
      <w:pPr>
        <w:numPr>
          <w:ilvl w:val="0"/>
          <w:numId w:val="0"/>
        </w:num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（3）可移开部件只有在工作位置、隔离位置、移开位置、试验位置或接地位置时，断路器才能操作；</w:t>
      </w:r>
    </w:p>
    <w:p>
      <w:pPr>
        <w:numPr>
          <w:ilvl w:val="0"/>
          <w:numId w:val="0"/>
        </w:num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（4）处干合闸位置的接地开关只有相应隔室的门关闭后才能分闸，可移开部件才能插入；</w:t>
      </w:r>
    </w:p>
    <w:p>
      <w:pPr>
        <w:numPr>
          <w:ilvl w:val="0"/>
          <w:numId w:val="0"/>
        </w:num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（5）断路器只有在与自动分闸相关的辅助回路均已接通时，才能在工作位置合闸；反之，断路器在工作位置时辅助回路不得断开，相应隔室的门也不能打开。</w:t>
      </w:r>
    </w:p>
    <w:p>
      <w:pPr>
        <w:numPr>
          <w:ilvl w:val="0"/>
          <w:numId w:val="0"/>
        </w:numPr>
        <w:spacing w:line="360" w:lineRule="auto"/>
        <w:ind w:firstLine="560" w:firstLineChars="200"/>
        <w:rPr>
          <w:rFonts w:hint="eastAsia" w:ascii="宋体" w:cs="宋体"/>
          <w:color w:val="FF0000"/>
          <w:kern w:val="0"/>
          <w:sz w:val="28"/>
          <w:szCs w:val="28"/>
          <w:lang w:val="en-US" w:eastAsia="zh-CN"/>
        </w:rPr>
      </w:pPr>
      <w:r>
        <w:rPr>
          <w:rFonts w:hint="eastAsia" w:ascii="宋体" w:cs="宋体"/>
          <w:color w:val="FF0000"/>
          <w:kern w:val="0"/>
          <w:sz w:val="28"/>
          <w:szCs w:val="28"/>
          <w:lang w:val="en-US" w:eastAsia="zh-CN"/>
        </w:rPr>
        <w:t>9、开关柜配置多功能智能电表，具有RS-485接口及MODBUS RTU通信协议，可对监控数据（电流、电压、功率、功率因数、频率、有功电度、无功电度全电量）进行远程上传主机。</w:t>
      </w:r>
    </w:p>
    <w:p>
      <w:pPr>
        <w:pStyle w:val="2"/>
        <w:ind w:left="0" w:leftChars="0" w:firstLine="560" w:firstLineChars="200"/>
        <w:rPr>
          <w:rFonts w:hint="eastAsia" w:ascii="宋体" w:hAnsi="Times New Roman" w:eastAsia="宋体" w:cs="宋体"/>
          <w:color w:val="auto"/>
          <w:kern w:val="0"/>
          <w:sz w:val="28"/>
          <w:szCs w:val="28"/>
          <w:shd w:val="clear" w:color="auto" w:fill="auto"/>
          <w:lang w:val="en-US" w:eastAsia="zh-CN" w:bidi="ar-SA"/>
        </w:rPr>
      </w:pPr>
      <w:r>
        <w:rPr>
          <w:rFonts w:hint="eastAsia" w:ascii="宋体" w:hAnsi="Times New Roman" w:eastAsia="宋体" w:cs="宋体"/>
          <w:color w:val="auto"/>
          <w:kern w:val="0"/>
          <w:sz w:val="28"/>
          <w:szCs w:val="28"/>
          <w:shd w:val="clear" w:color="auto" w:fill="auto"/>
          <w:lang w:val="en-US" w:eastAsia="zh-CN" w:bidi="ar-SA"/>
        </w:rPr>
        <w:t>1</w:t>
      </w:r>
      <w:r>
        <w:rPr>
          <w:rFonts w:hint="eastAsia" w:ascii="宋体" w:cs="宋体"/>
          <w:color w:val="auto"/>
          <w:kern w:val="0"/>
          <w:sz w:val="28"/>
          <w:szCs w:val="28"/>
          <w:shd w:val="clear" w:color="auto" w:fill="auto"/>
          <w:lang w:val="en-US" w:eastAsia="zh-CN" w:bidi="ar-SA"/>
        </w:rPr>
        <w:t>0</w:t>
      </w:r>
      <w:r>
        <w:rPr>
          <w:rFonts w:hint="eastAsia" w:ascii="宋体" w:hAnsi="Times New Roman" w:eastAsia="宋体" w:cs="宋体"/>
          <w:color w:val="auto"/>
          <w:kern w:val="0"/>
          <w:sz w:val="28"/>
          <w:szCs w:val="28"/>
          <w:shd w:val="clear" w:color="auto" w:fill="auto"/>
          <w:lang w:val="en-US" w:eastAsia="zh-CN" w:bidi="ar-SA"/>
        </w:rPr>
        <w:t>、</w:t>
      </w:r>
      <w:r>
        <w:rPr>
          <w:rFonts w:hint="eastAsia" w:ascii="宋体" w:cs="宋体"/>
          <w:color w:val="auto"/>
          <w:kern w:val="0"/>
          <w:sz w:val="28"/>
          <w:szCs w:val="28"/>
          <w:shd w:val="clear" w:color="auto" w:fill="auto"/>
          <w:lang w:val="en-US" w:eastAsia="zh-CN" w:bidi="ar-SA"/>
        </w:rPr>
        <w:t>因10kv</w:t>
      </w:r>
      <w:r>
        <w:rPr>
          <w:rFonts w:hint="eastAsia" w:ascii="宋体" w:hAnsi="Times New Roman" w:eastAsia="宋体" w:cs="宋体"/>
          <w:color w:val="auto"/>
          <w:kern w:val="0"/>
          <w:sz w:val="28"/>
          <w:szCs w:val="28"/>
          <w:shd w:val="clear" w:color="auto" w:fill="auto"/>
          <w:lang w:val="en-US" w:eastAsia="zh-CN" w:bidi="ar-SA"/>
        </w:rPr>
        <w:t>主接线采用分段单母线，分段方式应</w:t>
      </w:r>
      <w:r>
        <w:rPr>
          <w:rFonts w:hint="eastAsia" w:ascii="宋体" w:cs="宋体"/>
          <w:color w:val="auto"/>
          <w:kern w:val="0"/>
          <w:sz w:val="28"/>
          <w:szCs w:val="28"/>
          <w:shd w:val="clear" w:color="auto" w:fill="auto"/>
          <w:lang w:val="en-US" w:eastAsia="zh-CN" w:bidi="ar-SA"/>
        </w:rPr>
        <w:t>考虑</w:t>
      </w:r>
      <w:r>
        <w:rPr>
          <w:rFonts w:hint="eastAsia" w:ascii="宋体" w:hAnsi="Times New Roman" w:eastAsia="宋体" w:cs="宋体"/>
          <w:color w:val="auto"/>
          <w:kern w:val="0"/>
          <w:sz w:val="28"/>
          <w:szCs w:val="28"/>
          <w:shd w:val="clear" w:color="auto" w:fill="auto"/>
          <w:lang w:val="en-US" w:eastAsia="zh-CN" w:bidi="ar-SA"/>
        </w:rPr>
        <w:t>满足当其中一台变压器停运时，有利于其他主变压器的负荷分配。</w:t>
      </w:r>
    </w:p>
    <w:p>
      <w:pPr>
        <w:pStyle w:val="2"/>
        <w:ind w:left="0" w:leftChars="0" w:firstLine="560" w:firstLineChars="200"/>
        <w:rPr>
          <w:rFonts w:hint="default" w:ascii="宋体" w:hAnsi="Times New Roman" w:eastAsia="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11、农业粗加工用电应单独配置一套总计量柜，记录方案参考供电方案。</w:t>
      </w:r>
    </w:p>
    <w:p>
      <w:pPr>
        <w:pStyle w:val="2"/>
        <w:ind w:left="0" w:leftChars="0" w:firstLine="560" w:firstLine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12、10kv断路器要求：</w:t>
      </w:r>
    </w:p>
    <w:p>
      <w:pPr>
        <w:pStyle w:val="2"/>
        <w:ind w:left="0" w:leftChars="0" w:firstLine="560" w:firstLine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1）采用真空断路器，应装设分、合闸按钮和分、合闸指示器，真空断路器的额定电流电压及额定短路开断电流参考一次接线图配置断路器极柱部分应采用环氧树脂全固封结构，将真空灭弧室、一次导电回路和绝缘拉杆完全固封在一个环氧树脂的极柱内，一次回路完全免维护，以减小现场可能产生的粉尘及凝露对设备的影响。</w:t>
      </w:r>
    </w:p>
    <w:p>
      <w:pPr>
        <w:pStyle w:val="2"/>
        <w:ind w:left="0" w:leftChars="0" w:firstLine="560" w:firstLine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（2）断路器至少应提供8常开、8常闭辅助接点，以满足开关柜内和柜间的闭锁和操作。</w:t>
      </w:r>
    </w:p>
    <w:p>
      <w:pPr>
        <w:pStyle w:val="2"/>
        <w:ind w:left="0" w:leftChars="0" w:firstLine="560" w:firstLine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（3）手车的工作、试验和退出位置接点，除了应满足开关柜的闭锁及操作外、还应提供2常开、2常闭接点供计算机监控系统和外部其它系统用。</w:t>
      </w:r>
    </w:p>
    <w:p>
      <w:pPr>
        <w:pStyle w:val="2"/>
        <w:ind w:left="0" w:leftChars="0" w:firstLine="560" w:firstLine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4）断路器具有可靠的电气“防跳”功能，所有操作机构各辅助开关的接线，除特殊要求外，同规格均采用相同的连线以保证手车的互换性，手车上配有机械式计数器，用于分闸时计数，计数器应安装在手车面板上，并有观察孔， 断路器手车面板上设有机械式分合闸状态指示、弹簧储能状态指示和手动分合闸按钮，指示器易于观察。</w:t>
      </w:r>
    </w:p>
    <w:p>
      <w:pPr>
        <w:pStyle w:val="2"/>
        <w:ind w:left="0" w:leftChars="0" w:firstLine="560" w:firstLineChars="0"/>
        <w:rPr>
          <w:rFonts w:hint="default"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（5）可由微机保护装置控制开闭状态，在二次系统中实现远程控制。</w:t>
      </w:r>
    </w:p>
    <w:p>
      <w:pPr>
        <w:pStyle w:val="2"/>
        <w:ind w:left="0" w:leftChars="0" w:firstLine="560" w:firstLineChars="0"/>
        <w:rPr>
          <w:rFonts w:hint="default"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13、</w:t>
      </w:r>
      <w:r>
        <w:rPr>
          <w:rFonts w:hint="default" w:ascii="宋体" w:cs="宋体"/>
          <w:color w:val="auto"/>
          <w:kern w:val="0"/>
          <w:sz w:val="28"/>
          <w:szCs w:val="28"/>
          <w:shd w:val="clear" w:color="auto" w:fill="auto"/>
          <w:lang w:val="en-US" w:eastAsia="zh-CN" w:bidi="ar-SA"/>
        </w:rPr>
        <w:t>微机保护产品结构和技术要求：</w:t>
      </w:r>
    </w:p>
    <w:p>
      <w:pPr>
        <w:pStyle w:val="2"/>
        <w:ind w:left="0" w:leftChars="0" w:firstLine="560" w:firstLineChars="0"/>
        <w:rPr>
          <w:rFonts w:hint="default"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（1）</w:t>
      </w:r>
      <w:r>
        <w:rPr>
          <w:rFonts w:hint="default" w:ascii="宋体" w:cs="宋体"/>
          <w:color w:val="auto"/>
          <w:kern w:val="0"/>
          <w:sz w:val="28"/>
          <w:szCs w:val="28"/>
          <w:shd w:val="clear" w:color="auto" w:fill="auto"/>
          <w:lang w:val="en-US" w:eastAsia="zh-CN" w:bidi="ar-SA"/>
        </w:rPr>
        <w:t>所有保护装置均为微机型，具有大屏幕液晶显示屏，屏上能够显示开关柜电流、电压、功率、一次接线图及开关等状态，同时能够在面板上完成参数整定等操作</w:t>
      </w:r>
      <w:r>
        <w:rPr>
          <w:rFonts w:hint="eastAsia" w:ascii="宋体" w:cs="宋体"/>
          <w:color w:val="auto"/>
          <w:kern w:val="0"/>
          <w:sz w:val="28"/>
          <w:szCs w:val="28"/>
          <w:shd w:val="clear" w:color="auto" w:fill="auto"/>
          <w:lang w:val="en-US" w:eastAsia="zh-CN" w:bidi="ar-SA"/>
        </w:rPr>
        <w:t>，其控制、保护信息及状态变化、模拟量及开关量的输入、跳闸报告、定值整定、通信状态等均可在屏幕上显示</w:t>
      </w:r>
      <w:r>
        <w:rPr>
          <w:rFonts w:hint="default" w:ascii="宋体" w:cs="宋体"/>
          <w:color w:val="auto"/>
          <w:kern w:val="0"/>
          <w:sz w:val="28"/>
          <w:szCs w:val="28"/>
          <w:shd w:val="clear" w:color="auto" w:fill="auto"/>
          <w:lang w:val="en-US" w:eastAsia="zh-CN" w:bidi="ar-SA"/>
        </w:rPr>
        <w:t>。</w:t>
      </w:r>
    </w:p>
    <w:p>
      <w:pPr>
        <w:pStyle w:val="2"/>
        <w:ind w:left="0" w:leftChars="0" w:firstLine="560" w:firstLineChars="0"/>
        <w:rPr>
          <w:rFonts w:hint="default"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（2）</w:t>
      </w:r>
      <w:r>
        <w:rPr>
          <w:rFonts w:hint="default" w:ascii="宋体" w:cs="宋体"/>
          <w:color w:val="auto"/>
          <w:kern w:val="0"/>
          <w:sz w:val="28"/>
          <w:szCs w:val="28"/>
          <w:shd w:val="clear" w:color="auto" w:fill="auto"/>
          <w:lang w:val="en-US" w:eastAsia="zh-CN" w:bidi="ar-SA"/>
        </w:rPr>
        <w:t>微机综合保护装置面板具</w:t>
      </w:r>
      <w:r>
        <w:rPr>
          <w:rFonts w:hint="eastAsia" w:ascii="宋体" w:cs="宋体"/>
          <w:color w:val="auto"/>
          <w:kern w:val="0"/>
          <w:sz w:val="28"/>
          <w:szCs w:val="28"/>
          <w:shd w:val="clear" w:color="auto" w:fill="auto"/>
          <w:lang w:val="en-US" w:eastAsia="zh-CN" w:bidi="ar-SA"/>
        </w:rPr>
        <w:t>有</w:t>
      </w:r>
      <w:r>
        <w:rPr>
          <w:rFonts w:hint="default" w:ascii="宋体" w:cs="宋体"/>
          <w:color w:val="auto"/>
          <w:kern w:val="0"/>
          <w:sz w:val="28"/>
          <w:szCs w:val="28"/>
          <w:shd w:val="clear" w:color="auto" w:fill="auto"/>
          <w:lang w:val="en-US" w:eastAsia="zh-CN" w:bidi="ar-SA"/>
        </w:rPr>
        <w:t xml:space="preserve"> LED 指示灯，能指示各种信号状态和报警或故障信息。</w:t>
      </w:r>
    </w:p>
    <w:p>
      <w:pPr>
        <w:pStyle w:val="2"/>
        <w:ind w:left="0" w:leftChars="0" w:firstLine="560" w:firstLineChars="0"/>
        <w:rPr>
          <w:rFonts w:hint="default"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（3）</w:t>
      </w:r>
      <w:r>
        <w:rPr>
          <w:rFonts w:hint="default" w:ascii="宋体" w:cs="宋体"/>
          <w:color w:val="auto"/>
          <w:kern w:val="0"/>
          <w:sz w:val="28"/>
          <w:szCs w:val="28"/>
          <w:shd w:val="clear" w:color="auto" w:fill="auto"/>
          <w:lang w:val="en-US" w:eastAsia="zh-CN" w:bidi="ar-SA"/>
        </w:rPr>
        <w:t>所有的开关量输入、输出点、面板 LED 指示灯应均可自由定义。</w:t>
      </w:r>
    </w:p>
    <w:p>
      <w:pPr>
        <w:pStyle w:val="2"/>
        <w:ind w:left="0" w:leftChars="0" w:firstLine="560" w:firstLineChars="0"/>
        <w:rPr>
          <w:rFonts w:hint="default"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（4）</w:t>
      </w:r>
      <w:r>
        <w:rPr>
          <w:rFonts w:hint="default" w:ascii="宋体" w:cs="宋体"/>
          <w:color w:val="auto"/>
          <w:kern w:val="0"/>
          <w:sz w:val="28"/>
          <w:szCs w:val="28"/>
          <w:shd w:val="clear" w:color="auto" w:fill="auto"/>
          <w:lang w:val="en-US" w:eastAsia="zh-CN" w:bidi="ar-SA"/>
        </w:rPr>
        <w:t>保护测控装置具有不少于 6个开关量输入，不少于 7个控制输出和1个告警接点。</w:t>
      </w:r>
    </w:p>
    <w:p>
      <w:pPr>
        <w:pStyle w:val="2"/>
        <w:ind w:left="0" w:leftChars="0" w:firstLine="560" w:firstLineChars="0"/>
        <w:rPr>
          <w:rFonts w:hint="default"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（5）</w:t>
      </w:r>
      <w:r>
        <w:rPr>
          <w:rFonts w:hint="default" w:ascii="宋体" w:cs="宋体"/>
          <w:color w:val="auto"/>
          <w:kern w:val="0"/>
          <w:sz w:val="28"/>
          <w:szCs w:val="28"/>
          <w:shd w:val="clear" w:color="auto" w:fill="auto"/>
          <w:lang w:val="en-US" w:eastAsia="zh-CN" w:bidi="ar-SA"/>
        </w:rPr>
        <w:t>综保装置要求保护定值应能从装置面板简单可靠地设定，并经口令保护。</w:t>
      </w:r>
    </w:p>
    <w:p>
      <w:pPr>
        <w:pStyle w:val="2"/>
        <w:ind w:left="0" w:leftChars="0" w:firstLine="560" w:firstLineChars="0"/>
        <w:rPr>
          <w:rFonts w:hint="default"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（6）</w:t>
      </w:r>
      <w:r>
        <w:rPr>
          <w:rFonts w:hint="default" w:ascii="宋体" w:cs="宋体"/>
          <w:color w:val="auto"/>
          <w:kern w:val="0"/>
          <w:sz w:val="28"/>
          <w:szCs w:val="28"/>
          <w:shd w:val="clear" w:color="auto" w:fill="auto"/>
          <w:lang w:val="en-US" w:eastAsia="zh-CN" w:bidi="ar-SA"/>
        </w:rPr>
        <w:t>综保装置能记录512条事件记录，分辨率1ms。</w:t>
      </w:r>
    </w:p>
    <w:p>
      <w:pPr>
        <w:pStyle w:val="2"/>
        <w:ind w:left="0" w:leftChars="0" w:firstLine="560" w:firstLineChars="0"/>
        <w:rPr>
          <w:rFonts w:hint="default"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（7）</w:t>
      </w:r>
      <w:r>
        <w:rPr>
          <w:rFonts w:hint="default" w:ascii="宋体" w:cs="宋体"/>
          <w:color w:val="auto"/>
          <w:kern w:val="0"/>
          <w:sz w:val="28"/>
          <w:szCs w:val="28"/>
          <w:shd w:val="clear" w:color="auto" w:fill="auto"/>
          <w:lang w:val="en-US" w:eastAsia="zh-CN" w:bidi="ar-SA"/>
        </w:rPr>
        <w:t>综保装置控制功能/可编程逻辑</w:t>
      </w:r>
    </w:p>
    <w:p>
      <w:pPr>
        <w:pStyle w:val="2"/>
        <w:ind w:left="0" w:leftChars="0" w:firstLine="560" w:firstLineChars="0"/>
        <w:rPr>
          <w:rFonts w:hint="default"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1）</w:t>
      </w:r>
      <w:r>
        <w:rPr>
          <w:rFonts w:hint="default" w:ascii="宋体" w:cs="宋体"/>
          <w:color w:val="auto"/>
          <w:kern w:val="0"/>
          <w:sz w:val="28"/>
          <w:szCs w:val="28"/>
          <w:shd w:val="clear" w:color="auto" w:fill="auto"/>
          <w:lang w:val="en-US" w:eastAsia="zh-CN" w:bidi="ar-SA"/>
        </w:rPr>
        <w:t>集成可编程逻辑模块允许用户实现自定义功能</w:t>
      </w:r>
    </w:p>
    <w:p>
      <w:pPr>
        <w:pStyle w:val="2"/>
        <w:ind w:left="0" w:leftChars="0" w:firstLine="560" w:firstLineChars="0"/>
        <w:rPr>
          <w:rFonts w:hint="default"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2）</w:t>
      </w:r>
      <w:r>
        <w:rPr>
          <w:rFonts w:hint="default" w:ascii="宋体" w:cs="宋体"/>
          <w:color w:val="auto"/>
          <w:kern w:val="0"/>
          <w:sz w:val="28"/>
          <w:szCs w:val="28"/>
          <w:shd w:val="clear" w:color="auto" w:fill="auto"/>
          <w:lang w:val="en-US" w:eastAsia="zh-CN" w:bidi="ar-SA"/>
        </w:rPr>
        <w:t>可通过按键、二进制输入、调试软件或SCADA控制</w:t>
      </w:r>
    </w:p>
    <w:p>
      <w:pPr>
        <w:pStyle w:val="2"/>
        <w:ind w:left="0" w:leftChars="0" w:firstLine="560" w:firstLineChars="0"/>
        <w:rPr>
          <w:rFonts w:hint="default"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3）</w:t>
      </w:r>
      <w:r>
        <w:rPr>
          <w:rFonts w:hint="default" w:ascii="宋体" w:cs="宋体"/>
          <w:color w:val="auto"/>
          <w:kern w:val="0"/>
          <w:sz w:val="28"/>
          <w:szCs w:val="28"/>
          <w:shd w:val="clear" w:color="auto" w:fill="auto"/>
          <w:lang w:val="en-US" w:eastAsia="zh-CN" w:bidi="ar-SA"/>
        </w:rPr>
        <w:t>开关元件位置状态在显示屏上图形显示（手车位置、断路器状态、接地开关状态）</w:t>
      </w:r>
    </w:p>
    <w:p>
      <w:pPr>
        <w:pStyle w:val="2"/>
        <w:ind w:left="0" w:leftChars="0" w:firstLine="560" w:firstLineChars="0"/>
        <w:rPr>
          <w:rFonts w:hint="default"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4）</w:t>
      </w:r>
      <w:r>
        <w:rPr>
          <w:rFonts w:hint="default" w:ascii="宋体" w:cs="宋体"/>
          <w:color w:val="auto"/>
          <w:kern w:val="0"/>
          <w:sz w:val="28"/>
          <w:szCs w:val="28"/>
          <w:shd w:val="clear" w:color="auto" w:fill="auto"/>
          <w:lang w:val="en-US" w:eastAsia="zh-CN" w:bidi="ar-SA"/>
        </w:rPr>
        <w:t>能实现逻辑闭锁功能</w:t>
      </w:r>
    </w:p>
    <w:p>
      <w:pPr>
        <w:pStyle w:val="2"/>
        <w:ind w:left="0" w:leftChars="0" w:firstLine="560" w:firstLineChars="0"/>
        <w:rPr>
          <w:rFonts w:hint="default"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5</w:t>
      </w:r>
      <w:r>
        <w:rPr>
          <w:rFonts w:hint="default" w:ascii="宋体" w:cs="宋体"/>
          <w:color w:val="auto"/>
          <w:kern w:val="0"/>
          <w:sz w:val="28"/>
          <w:szCs w:val="28"/>
          <w:shd w:val="clear" w:color="auto" w:fill="auto"/>
          <w:lang w:val="en-US" w:eastAsia="zh-CN" w:bidi="ar-SA"/>
        </w:rPr>
        <w:t>）综保装置监视功能</w:t>
      </w:r>
    </w:p>
    <w:p>
      <w:pPr>
        <w:pStyle w:val="2"/>
        <w:ind w:left="0" w:leftChars="0" w:firstLine="560" w:firstLineChars="0"/>
        <w:rPr>
          <w:rFonts w:hint="default"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6）</w:t>
      </w:r>
      <w:r>
        <w:rPr>
          <w:rFonts w:hint="default" w:ascii="宋体" w:cs="宋体"/>
          <w:color w:val="auto"/>
          <w:kern w:val="0"/>
          <w:sz w:val="28"/>
          <w:szCs w:val="28"/>
          <w:shd w:val="clear" w:color="auto" w:fill="auto"/>
          <w:lang w:val="en-US" w:eastAsia="zh-CN" w:bidi="ar-SA"/>
        </w:rPr>
        <w:t>保护装置的自检功能</w:t>
      </w:r>
    </w:p>
    <w:p>
      <w:pPr>
        <w:pStyle w:val="2"/>
        <w:ind w:left="0" w:leftChars="0" w:firstLine="560" w:firstLineChars="0"/>
        <w:rPr>
          <w:rFonts w:hint="default"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7）</w:t>
      </w:r>
      <w:r>
        <w:rPr>
          <w:rFonts w:hint="default" w:ascii="宋体" w:cs="宋体"/>
          <w:color w:val="auto"/>
          <w:kern w:val="0"/>
          <w:sz w:val="28"/>
          <w:szCs w:val="28"/>
          <w:shd w:val="clear" w:color="auto" w:fill="auto"/>
          <w:lang w:val="en-US" w:eastAsia="zh-CN" w:bidi="ar-SA"/>
        </w:rPr>
        <w:t>二次回路监视功能</w:t>
      </w:r>
    </w:p>
    <w:p>
      <w:pPr>
        <w:pStyle w:val="2"/>
        <w:ind w:left="0" w:leftChars="0" w:firstLine="560" w:firstLineChars="0"/>
        <w:rPr>
          <w:rFonts w:hint="default"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8）</w:t>
      </w:r>
      <w:r>
        <w:rPr>
          <w:rFonts w:hint="default" w:ascii="宋体" w:cs="宋体"/>
          <w:color w:val="auto"/>
          <w:kern w:val="0"/>
          <w:sz w:val="28"/>
          <w:szCs w:val="28"/>
          <w:shd w:val="clear" w:color="auto" w:fill="auto"/>
          <w:lang w:val="en-US" w:eastAsia="zh-CN" w:bidi="ar-SA"/>
        </w:rPr>
        <w:t>熔丝故障监视</w:t>
      </w:r>
    </w:p>
    <w:p>
      <w:pPr>
        <w:pStyle w:val="2"/>
        <w:ind w:left="0" w:leftChars="0" w:firstLine="560" w:firstLineChars="0"/>
        <w:rPr>
          <w:rFonts w:hint="default"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9）</w:t>
      </w:r>
      <w:r>
        <w:rPr>
          <w:rFonts w:hint="default" w:ascii="宋体" w:cs="宋体"/>
          <w:color w:val="auto"/>
          <w:kern w:val="0"/>
          <w:sz w:val="28"/>
          <w:szCs w:val="28"/>
          <w:shd w:val="clear" w:color="auto" w:fill="auto"/>
          <w:lang w:val="en-US" w:eastAsia="zh-CN" w:bidi="ar-SA"/>
        </w:rPr>
        <w:t>跳闸回路监视</w:t>
      </w:r>
    </w:p>
    <w:p>
      <w:pPr>
        <w:pStyle w:val="2"/>
        <w:ind w:left="0" w:leftChars="0" w:firstLine="560" w:firstLineChars="0"/>
        <w:rPr>
          <w:rFonts w:hint="default"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10）</w:t>
      </w:r>
      <w:r>
        <w:rPr>
          <w:rFonts w:hint="default" w:ascii="宋体" w:cs="宋体"/>
          <w:color w:val="auto"/>
          <w:kern w:val="0"/>
          <w:sz w:val="28"/>
          <w:szCs w:val="28"/>
          <w:shd w:val="clear" w:color="auto" w:fill="auto"/>
          <w:lang w:val="en-US" w:eastAsia="zh-CN" w:bidi="ar-SA"/>
        </w:rPr>
        <w:t>最近20次故障录波，单次最长录波5秒以上</w:t>
      </w:r>
      <w:r>
        <w:rPr>
          <w:rFonts w:hint="eastAsia" w:ascii="宋体" w:cs="宋体"/>
          <w:color w:val="auto"/>
          <w:kern w:val="0"/>
          <w:sz w:val="28"/>
          <w:szCs w:val="28"/>
          <w:shd w:val="clear" w:color="auto" w:fill="auto"/>
          <w:lang w:val="en-US" w:eastAsia="zh-CN" w:bidi="ar-SA"/>
        </w:rPr>
        <w:t>。</w:t>
      </w:r>
    </w:p>
    <w:p>
      <w:pPr>
        <w:pStyle w:val="2"/>
        <w:ind w:left="0" w:leftChars="0" w:firstLine="560" w:firstLineChars="0"/>
        <w:rPr>
          <w:rFonts w:hint="default" w:ascii="宋体" w:cs="宋体"/>
          <w:color w:val="auto"/>
          <w:kern w:val="0"/>
          <w:sz w:val="28"/>
          <w:szCs w:val="28"/>
          <w:shd w:val="clear" w:color="auto" w:fill="auto"/>
          <w:lang w:val="en-US" w:eastAsia="zh-CN" w:bidi="ar-SA"/>
        </w:rPr>
      </w:pPr>
      <w:r>
        <w:rPr>
          <w:rFonts w:hint="default" w:ascii="宋体" w:cs="宋体"/>
          <w:color w:val="auto"/>
          <w:kern w:val="0"/>
          <w:sz w:val="28"/>
          <w:szCs w:val="28"/>
          <w:shd w:val="clear" w:color="auto" w:fill="auto"/>
          <w:lang w:val="en-US" w:eastAsia="zh-CN" w:bidi="ar-SA"/>
        </w:rPr>
        <w:t>1</w:t>
      </w:r>
      <w:r>
        <w:rPr>
          <w:rFonts w:hint="eastAsia" w:ascii="宋体" w:cs="宋体"/>
          <w:color w:val="auto"/>
          <w:kern w:val="0"/>
          <w:sz w:val="28"/>
          <w:szCs w:val="28"/>
          <w:shd w:val="clear" w:color="auto" w:fill="auto"/>
          <w:lang w:val="en-US" w:eastAsia="zh-CN" w:bidi="ar-SA"/>
        </w:rPr>
        <w:t>1</w:t>
      </w:r>
      <w:r>
        <w:rPr>
          <w:rFonts w:hint="default" w:ascii="宋体" w:cs="宋体"/>
          <w:color w:val="auto"/>
          <w:kern w:val="0"/>
          <w:sz w:val="28"/>
          <w:szCs w:val="28"/>
          <w:shd w:val="clear" w:color="auto" w:fill="auto"/>
          <w:lang w:val="en-US" w:eastAsia="zh-CN" w:bidi="ar-SA"/>
        </w:rPr>
        <w:t>）综保装置通讯接口</w:t>
      </w:r>
      <w:r>
        <w:rPr>
          <w:rFonts w:hint="eastAsia" w:ascii="宋体" w:cs="宋体"/>
          <w:color w:val="auto"/>
          <w:kern w:val="0"/>
          <w:sz w:val="28"/>
          <w:szCs w:val="28"/>
          <w:shd w:val="clear" w:color="auto" w:fill="auto"/>
          <w:lang w:val="en-US" w:eastAsia="zh-CN" w:bidi="ar-SA"/>
        </w:rPr>
        <w:t>：</w:t>
      </w:r>
      <w:r>
        <w:rPr>
          <w:rFonts w:hint="default" w:ascii="宋体" w:cs="宋体"/>
          <w:color w:val="auto"/>
          <w:kern w:val="0"/>
          <w:sz w:val="28"/>
          <w:szCs w:val="28"/>
          <w:shd w:val="clear" w:color="auto" w:fill="auto"/>
          <w:lang w:val="en-US" w:eastAsia="zh-CN" w:bidi="ar-SA"/>
        </w:rPr>
        <w:t>保护装置具有2个独立IP地址的系统接口，支持T103、IEC 61850、Modbus等通讯协议</w:t>
      </w:r>
      <w:r>
        <w:rPr>
          <w:rFonts w:hint="eastAsia" w:ascii="宋体" w:cs="宋体"/>
          <w:color w:val="auto"/>
          <w:kern w:val="0"/>
          <w:sz w:val="28"/>
          <w:szCs w:val="28"/>
          <w:shd w:val="clear" w:color="auto" w:fill="auto"/>
          <w:lang w:val="en-US" w:eastAsia="zh-CN" w:bidi="ar-SA"/>
        </w:rPr>
        <w:t>。</w:t>
      </w:r>
    </w:p>
    <w:p>
      <w:pPr>
        <w:pStyle w:val="2"/>
        <w:ind w:left="0" w:leftChars="0" w:firstLine="560" w:firstLine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12）</w:t>
      </w:r>
      <w:r>
        <w:rPr>
          <w:rFonts w:hint="default" w:ascii="宋体" w:cs="宋体"/>
          <w:color w:val="auto"/>
          <w:kern w:val="0"/>
          <w:sz w:val="28"/>
          <w:szCs w:val="28"/>
          <w:shd w:val="clear" w:color="auto" w:fill="auto"/>
          <w:lang w:val="en-US" w:eastAsia="zh-CN" w:bidi="ar-SA"/>
        </w:rPr>
        <w:t>服务接口</w:t>
      </w:r>
      <w:r>
        <w:rPr>
          <w:rFonts w:hint="eastAsia" w:ascii="宋体" w:cs="宋体"/>
          <w:color w:val="auto"/>
          <w:kern w:val="0"/>
          <w:sz w:val="28"/>
          <w:szCs w:val="28"/>
          <w:shd w:val="clear" w:color="auto" w:fill="auto"/>
          <w:lang w:val="en-US" w:eastAsia="zh-CN" w:bidi="ar-SA"/>
        </w:rPr>
        <w:t>：</w:t>
      </w:r>
      <w:r>
        <w:rPr>
          <w:rFonts w:hint="default" w:ascii="宋体" w:cs="宋体"/>
          <w:color w:val="auto"/>
          <w:kern w:val="0"/>
          <w:sz w:val="28"/>
          <w:szCs w:val="28"/>
          <w:shd w:val="clear" w:color="auto" w:fill="auto"/>
          <w:lang w:val="en-US" w:eastAsia="zh-CN" w:bidi="ar-SA"/>
        </w:rPr>
        <w:t>在综保装置面板上提供USB通讯接口，便于服务或调试工具与综保装置的通讯连接。支持U盘读取装置配置信息、故障录波、事件记录和错误信息。支持U盘下载保护配置、升级程序</w:t>
      </w:r>
      <w:r>
        <w:rPr>
          <w:rFonts w:hint="eastAsia" w:ascii="宋体" w:cs="宋体"/>
          <w:color w:val="auto"/>
          <w:kern w:val="0"/>
          <w:sz w:val="28"/>
          <w:szCs w:val="28"/>
          <w:shd w:val="clear" w:color="auto" w:fill="auto"/>
          <w:lang w:val="en-US" w:eastAsia="zh-CN" w:bidi="ar-SA"/>
        </w:rPr>
        <w:t>。</w:t>
      </w:r>
    </w:p>
    <w:p>
      <w:pPr>
        <w:pStyle w:val="2"/>
        <w:ind w:left="0" w:leftChars="0" w:firstLine="560" w:firstLineChars="0"/>
        <w:rPr>
          <w:rFonts w:hint="default"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13）监控、远程控制真空断路器开合状态，并实现在二次系统中远程控制。</w:t>
      </w:r>
    </w:p>
    <w:p>
      <w:pPr>
        <w:pStyle w:val="2"/>
        <w:ind w:left="0" w:leftChars="0" w:firstLine="560" w:firstLine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（8）综保装置监视功能：</w:t>
      </w:r>
    </w:p>
    <w:p>
      <w:pPr>
        <w:pStyle w:val="2"/>
        <w:ind w:left="0" w:leftChars="0" w:firstLine="560" w:firstLine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1）保护装置的自检功能</w:t>
      </w:r>
    </w:p>
    <w:p>
      <w:pPr>
        <w:pStyle w:val="2"/>
        <w:ind w:left="0" w:leftChars="0" w:firstLine="560" w:firstLine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2）电能测量值</w:t>
      </w:r>
    </w:p>
    <w:p>
      <w:pPr>
        <w:pStyle w:val="2"/>
        <w:ind w:left="0" w:leftChars="0" w:firstLine="560" w:firstLine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3）二次回路监视功能</w:t>
      </w:r>
    </w:p>
    <w:p>
      <w:pPr>
        <w:pStyle w:val="2"/>
        <w:ind w:left="0" w:leftChars="0" w:firstLine="560" w:firstLine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4）熔丝故障监视</w:t>
      </w:r>
    </w:p>
    <w:p>
      <w:pPr>
        <w:pStyle w:val="2"/>
        <w:ind w:left="0" w:leftChars="0" w:firstLine="560" w:firstLine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5）跳闸回路监视</w:t>
      </w:r>
    </w:p>
    <w:p>
      <w:pPr>
        <w:pStyle w:val="2"/>
        <w:ind w:left="0" w:leftChars="0" w:firstLine="560" w:firstLine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6）512条事件记录</w:t>
      </w:r>
    </w:p>
    <w:p>
      <w:pPr>
        <w:pStyle w:val="2"/>
        <w:numPr>
          <w:ilvl w:val="0"/>
          <w:numId w:val="20"/>
        </w:numPr>
        <w:ind w:left="0" w:leftChars="0" w:firstLine="560" w:firstLine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系统通讯口。保护装置具有2个独立IP地址的系统接口，支持T103、IEC 61850、Modbus等通讯协议</w:t>
      </w:r>
    </w:p>
    <w:p>
      <w:pPr>
        <w:pStyle w:val="2"/>
        <w:numPr>
          <w:ilvl w:val="0"/>
          <w:numId w:val="20"/>
        </w:numPr>
        <w:ind w:left="0" w:leftChars="0" w:firstLine="560" w:firstLineChars="0"/>
        <w:rPr>
          <w:rFonts w:hint="default" w:ascii="宋体" w:cs="宋体"/>
          <w:color w:val="auto"/>
          <w:kern w:val="0"/>
          <w:sz w:val="28"/>
          <w:szCs w:val="28"/>
          <w:shd w:val="clear" w:color="auto" w:fill="auto"/>
          <w:lang w:val="en-US" w:eastAsia="zh-CN" w:bidi="ar-SA"/>
        </w:rPr>
      </w:pPr>
      <w:r>
        <w:rPr>
          <w:rFonts w:hint="default" w:ascii="宋体" w:cs="宋体"/>
          <w:color w:val="auto"/>
          <w:kern w:val="0"/>
          <w:sz w:val="28"/>
          <w:szCs w:val="28"/>
          <w:shd w:val="clear" w:color="auto" w:fill="auto"/>
          <w:lang w:val="en-US" w:eastAsia="zh-CN" w:bidi="ar-SA"/>
        </w:rPr>
        <w:t>服务接口。在综保装置面板上提供USB通讯接口，便于服务或调试工具与综保装置的通讯连接。USB2.0支持Host和Client，支持DIGSI下载配置和装置升级程序。支持U盘读取装置配置信息、故障录波、事件记录和错误信息。支持U盘下载保护配置、升级程序、升级MLFB。</w:t>
      </w:r>
    </w:p>
    <w:p>
      <w:pPr>
        <w:pStyle w:val="2"/>
        <w:numPr>
          <w:ilvl w:val="0"/>
          <w:numId w:val="21"/>
        </w:numPr>
        <w:ind w:left="0" w:leftChars="0" w:firstLine="560" w:firstLine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微机综合保护装置面板具有不少于 9 个 LED 指示灯，能指示各种信号状态和报警或故障信息。</w:t>
      </w:r>
    </w:p>
    <w:p>
      <w:pPr>
        <w:pStyle w:val="2"/>
        <w:numPr>
          <w:ilvl w:val="0"/>
          <w:numId w:val="21"/>
        </w:numPr>
        <w:ind w:left="0" w:leftChars="0" w:firstLine="560" w:firstLine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保护功能：</w:t>
      </w:r>
    </w:p>
    <w:p>
      <w:pPr>
        <w:pStyle w:val="2"/>
        <w:numPr>
          <w:ilvl w:val="0"/>
          <w:numId w:val="0"/>
        </w:numPr>
        <w:ind w:left="560" w:left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1）过流保护；</w:t>
      </w:r>
    </w:p>
    <w:p>
      <w:pPr>
        <w:pStyle w:val="2"/>
        <w:numPr>
          <w:ilvl w:val="0"/>
          <w:numId w:val="0"/>
        </w:numPr>
        <w:ind w:left="560" w:left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2）接地保护；</w:t>
      </w:r>
    </w:p>
    <w:p>
      <w:pPr>
        <w:pStyle w:val="2"/>
        <w:numPr>
          <w:ilvl w:val="0"/>
          <w:numId w:val="0"/>
        </w:numPr>
        <w:ind w:left="560" w:left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3）负序电流保护；</w:t>
      </w:r>
    </w:p>
    <w:p>
      <w:pPr>
        <w:pStyle w:val="2"/>
        <w:numPr>
          <w:ilvl w:val="0"/>
          <w:numId w:val="0"/>
        </w:numPr>
        <w:ind w:left="560" w:left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4）断相保护；</w:t>
      </w:r>
    </w:p>
    <w:p>
      <w:pPr>
        <w:pStyle w:val="2"/>
        <w:numPr>
          <w:ilvl w:val="0"/>
          <w:numId w:val="0"/>
        </w:numPr>
        <w:ind w:left="560" w:left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5）零序电压保护；</w:t>
      </w:r>
    </w:p>
    <w:p>
      <w:pPr>
        <w:pStyle w:val="2"/>
        <w:numPr>
          <w:ilvl w:val="0"/>
          <w:numId w:val="0"/>
        </w:numPr>
        <w:ind w:left="560" w:left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6）三相欠压/过压保护；</w:t>
      </w:r>
    </w:p>
    <w:p>
      <w:pPr>
        <w:pStyle w:val="2"/>
        <w:numPr>
          <w:ilvl w:val="0"/>
          <w:numId w:val="0"/>
        </w:numPr>
        <w:ind w:left="560" w:left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7）断路器失灵保护；</w:t>
      </w:r>
    </w:p>
    <w:p>
      <w:pPr>
        <w:pStyle w:val="2"/>
        <w:numPr>
          <w:ilvl w:val="0"/>
          <w:numId w:val="0"/>
        </w:numPr>
        <w:ind w:left="560" w:leftChars="0"/>
        <w:rPr>
          <w:rFonts w:hint="eastAsia" w:ascii="宋体" w:cs="宋体"/>
          <w:color w:val="auto"/>
          <w:kern w:val="0"/>
          <w:sz w:val="28"/>
          <w:szCs w:val="28"/>
          <w:shd w:val="clear" w:color="auto" w:fill="auto"/>
          <w:lang w:val="en-US" w:eastAsia="zh-CN" w:bidi="ar-SA"/>
        </w:rPr>
      </w:pPr>
      <w:r>
        <w:rPr>
          <w:rFonts w:hint="eastAsia" w:ascii="宋体" w:cs="宋体"/>
          <w:color w:val="auto"/>
          <w:kern w:val="0"/>
          <w:sz w:val="28"/>
          <w:szCs w:val="28"/>
          <w:shd w:val="clear" w:color="auto" w:fill="auto"/>
          <w:lang w:val="en-US" w:eastAsia="zh-CN" w:bidi="ar-SA"/>
        </w:rPr>
        <w:t>8）馈线、电缆和变压器热过负荷保护；</w:t>
      </w:r>
    </w:p>
    <w:p>
      <w:pPr>
        <w:pStyle w:val="2"/>
        <w:numPr>
          <w:ilvl w:val="0"/>
          <w:numId w:val="0"/>
        </w:numPr>
        <w:ind w:left="560" w:leftChars="0"/>
        <w:rPr>
          <w:rFonts w:hint="eastAsia" w:ascii="宋体" w:cs="宋体"/>
          <w:color w:val="auto"/>
          <w:kern w:val="0"/>
          <w:sz w:val="28"/>
          <w:szCs w:val="28"/>
          <w:shd w:val="clear" w:color="auto" w:fill="auto"/>
          <w:lang w:val="en-US" w:eastAsia="zh-CN" w:bidi="ar-SA"/>
        </w:rPr>
      </w:pPr>
    </w:p>
    <w:p>
      <w:pPr>
        <w:pStyle w:val="2"/>
        <w:rPr>
          <w:rFonts w:hint="default"/>
          <w:lang w:val="en-US" w:eastAsia="zh-CN"/>
        </w:rPr>
      </w:pPr>
    </w:p>
    <w:p>
      <w:pPr>
        <w:numPr>
          <w:ilvl w:val="0"/>
          <w:numId w:val="0"/>
        </w:numPr>
        <w:spacing w:line="360" w:lineRule="auto"/>
        <w:outlineLvl w:val="2"/>
        <w:rPr>
          <w:rFonts w:hint="eastAsia" w:ascii="Times New Roman" w:hAnsi="Times New Roman" w:eastAsia="宋体" w:cs="Times New Roman"/>
          <w:b/>
          <w:kern w:val="0"/>
          <w:sz w:val="28"/>
          <w:szCs w:val="21"/>
          <w:lang w:val="en-US" w:eastAsia="zh-CN" w:bidi="ar-SA"/>
        </w:rPr>
      </w:pPr>
      <w:bookmarkStart w:id="112" w:name="_Toc3167"/>
      <w:r>
        <w:rPr>
          <w:rFonts w:hint="eastAsia" w:ascii="Times New Roman" w:hAnsi="Times New Roman" w:eastAsia="宋体" w:cs="Times New Roman"/>
          <w:b/>
          <w:kern w:val="0"/>
          <w:sz w:val="28"/>
          <w:szCs w:val="21"/>
          <w:lang w:val="en-US" w:eastAsia="zh-CN" w:bidi="ar-SA"/>
        </w:rPr>
        <w:t>2.3.</w:t>
      </w:r>
      <w:r>
        <w:rPr>
          <w:rFonts w:hint="eastAsia" w:cs="Times New Roman"/>
          <w:b/>
          <w:kern w:val="0"/>
          <w:sz w:val="28"/>
          <w:szCs w:val="21"/>
          <w:lang w:val="en-US" w:eastAsia="zh-CN" w:bidi="ar-SA"/>
        </w:rPr>
        <w:t>5补偿及并联电容</w:t>
      </w:r>
      <w:r>
        <w:rPr>
          <w:rFonts w:hint="eastAsia" w:ascii="Times New Roman" w:hAnsi="Times New Roman" w:eastAsia="宋体" w:cs="Times New Roman"/>
          <w:b/>
          <w:kern w:val="0"/>
          <w:sz w:val="28"/>
          <w:szCs w:val="21"/>
          <w:lang w:val="en-US" w:eastAsia="zh-CN" w:bidi="ar-SA"/>
        </w:rPr>
        <w:t>技术要求</w:t>
      </w:r>
      <w:bookmarkEnd w:id="112"/>
    </w:p>
    <w:p>
      <w:pPr>
        <w:numPr>
          <w:ilvl w:val="0"/>
          <w:numId w:val="22"/>
        </w:numPr>
        <w:spacing w:line="360" w:lineRule="auto"/>
        <w:ind w:left="70" w:leftChars="0" w:firstLine="560" w:firstLineChars="0"/>
        <w:rPr>
          <w:rFonts w:hint="default" w:ascii="宋体" w:cs="宋体"/>
          <w:kern w:val="0"/>
          <w:sz w:val="28"/>
          <w:szCs w:val="28"/>
          <w:lang w:val="en-US" w:eastAsia="zh-CN"/>
        </w:rPr>
      </w:pPr>
      <w:r>
        <w:rPr>
          <w:rFonts w:hint="eastAsia" w:ascii="宋体" w:cs="宋体"/>
          <w:kern w:val="0"/>
          <w:sz w:val="28"/>
          <w:szCs w:val="28"/>
          <w:lang w:val="en-US" w:eastAsia="zh-CN"/>
        </w:rPr>
        <w:t>根 据 DL/T1773-2017《电力系统电压和无功电力技术导则》中 ： 35kV-110kV 变电站的容性无功补偿设备以补偿主变压器无功损耗为主，并适当兼顾负荷侧无功补偿。容性无功补偿容量可按主变压器容量的 10%-30%配置，配置方案如下。</w:t>
      </w:r>
    </w:p>
    <w:p>
      <w:pPr>
        <w:numPr>
          <w:ilvl w:val="0"/>
          <w:numId w:val="22"/>
        </w:numPr>
        <w:spacing w:line="360" w:lineRule="auto"/>
        <w:ind w:left="70" w:leftChars="0" w:firstLine="560" w:firstLineChars="0"/>
        <w:rPr>
          <w:rFonts w:hint="default" w:ascii="宋体" w:cs="宋体"/>
          <w:color w:val="FF0000"/>
          <w:kern w:val="0"/>
          <w:sz w:val="28"/>
          <w:szCs w:val="28"/>
          <w:lang w:val="en-US" w:eastAsia="zh-CN"/>
        </w:rPr>
      </w:pPr>
      <w:r>
        <w:rPr>
          <w:rFonts w:hint="eastAsia" w:ascii="宋体" w:cs="宋体"/>
          <w:kern w:val="0"/>
          <w:sz w:val="28"/>
          <w:szCs w:val="28"/>
          <w:lang w:val="en-US" w:eastAsia="zh-CN"/>
        </w:rPr>
        <w:t>补偿设备采用柜式分组投切补偿方式，</w:t>
      </w:r>
      <w:r>
        <w:rPr>
          <w:rFonts w:hint="eastAsia" w:ascii="宋体" w:cs="宋体"/>
          <w:color w:val="FF0000"/>
          <w:kern w:val="0"/>
          <w:sz w:val="28"/>
          <w:szCs w:val="28"/>
          <w:lang w:val="en-US" w:eastAsia="zh-CN"/>
        </w:rPr>
        <w:t>功率因素不低于0.9。</w:t>
      </w:r>
    </w:p>
    <w:p>
      <w:pPr>
        <w:numPr>
          <w:ilvl w:val="0"/>
          <w:numId w:val="22"/>
        </w:numPr>
        <w:spacing w:line="360" w:lineRule="auto"/>
        <w:ind w:left="70" w:leftChars="0" w:firstLine="560" w:firstLine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补偿容量及电抗率：40mva主变下补偿一共分七路，其中三路每路1000kVar，电抗率5%，剩余四路每路1250kVar，电抗率12%；12.5mva主变下补偿一共分五路，其中二路每路1000kVar，电抗率5%，剩余二路每路1250kVar，电抗率12%，1500kVar一路，电抗率12%。</w:t>
      </w:r>
      <w:r>
        <w:rPr>
          <w:rFonts w:hint="default" w:ascii="宋体" w:cs="宋体"/>
          <w:color w:val="auto"/>
          <w:kern w:val="0"/>
          <w:sz w:val="28"/>
          <w:szCs w:val="28"/>
          <w:lang w:val="en-US" w:eastAsia="zh-CN"/>
        </w:rPr>
        <w:t>补偿基本无功功率的电容器组</w:t>
      </w:r>
      <w:r>
        <w:rPr>
          <w:rFonts w:hint="eastAsia" w:ascii="宋体" w:cs="宋体"/>
          <w:color w:val="auto"/>
          <w:kern w:val="0"/>
          <w:sz w:val="28"/>
          <w:szCs w:val="28"/>
          <w:lang w:val="en-US" w:eastAsia="zh-CN"/>
        </w:rPr>
        <w:t>应</w:t>
      </w:r>
      <w:r>
        <w:rPr>
          <w:rFonts w:hint="default" w:ascii="宋体" w:cs="宋体"/>
          <w:color w:val="auto"/>
          <w:kern w:val="0"/>
          <w:sz w:val="28"/>
          <w:szCs w:val="28"/>
          <w:lang w:val="en-US" w:eastAsia="zh-CN"/>
        </w:rPr>
        <w:t>在变电站</w:t>
      </w:r>
      <w:r>
        <w:rPr>
          <w:rFonts w:hint="eastAsia" w:ascii="宋体" w:cs="宋体"/>
          <w:color w:val="auto"/>
          <w:kern w:val="0"/>
          <w:sz w:val="28"/>
          <w:szCs w:val="28"/>
          <w:lang w:val="en-US" w:eastAsia="zh-CN"/>
        </w:rPr>
        <w:t>室内</w:t>
      </w:r>
      <w:r>
        <w:rPr>
          <w:rFonts w:hint="default" w:ascii="宋体" w:cs="宋体"/>
          <w:color w:val="auto"/>
          <w:kern w:val="0"/>
          <w:sz w:val="28"/>
          <w:szCs w:val="28"/>
          <w:lang w:val="en-US" w:eastAsia="zh-CN"/>
        </w:rPr>
        <w:t>集中补偿</w:t>
      </w:r>
      <w:r>
        <w:rPr>
          <w:rFonts w:hint="eastAsia" w:ascii="宋体" w:cs="宋体"/>
          <w:color w:val="auto"/>
          <w:kern w:val="0"/>
          <w:sz w:val="28"/>
          <w:szCs w:val="28"/>
          <w:lang w:val="en-US" w:eastAsia="zh-CN"/>
        </w:rPr>
        <w:t>，总补偿量以一次接线图为主。</w:t>
      </w:r>
    </w:p>
    <w:p>
      <w:pPr>
        <w:numPr>
          <w:ilvl w:val="0"/>
          <w:numId w:val="22"/>
        </w:numPr>
        <w:spacing w:line="360" w:lineRule="auto"/>
        <w:ind w:left="70" w:leftChars="0" w:firstLine="560" w:firstLine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应注意谐波对变电站的影响，本项目需选择主要采取以下措施：加装串联电抗器，采用有源滤波器等有效方式。</w:t>
      </w:r>
    </w:p>
    <w:p>
      <w:pPr>
        <w:numPr>
          <w:ilvl w:val="0"/>
          <w:numId w:val="22"/>
        </w:numPr>
        <w:spacing w:line="360" w:lineRule="auto"/>
        <w:ind w:left="70" w:leftChars="0" w:firstLine="56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并联电容器装置的串联电抗器宜装设于电容器的电源侧，并应校验其耐受短路电流的能力。当铁心电抗器的耐受短路电流的能力不能满足装设于电源侧要求时，应装设于中性点侧。</w:t>
      </w:r>
    </w:p>
    <w:p>
      <w:pPr>
        <w:numPr>
          <w:ilvl w:val="0"/>
          <w:numId w:val="22"/>
        </w:numPr>
        <w:spacing w:line="360" w:lineRule="auto"/>
        <w:ind w:left="70" w:leftChars="0" w:firstLine="560" w:firstLine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并联电容器装置应装设抑制操作过电压的避雷器</w:t>
      </w:r>
      <w:r>
        <w:rPr>
          <w:rFonts w:hint="eastAsia" w:ascii="宋体" w:cs="宋体"/>
          <w:color w:val="auto"/>
          <w:kern w:val="0"/>
          <w:sz w:val="28"/>
          <w:szCs w:val="28"/>
          <w:lang w:val="en-US" w:eastAsia="zh-CN"/>
        </w:rPr>
        <w:t>。</w:t>
      </w:r>
    </w:p>
    <w:p>
      <w:pPr>
        <w:numPr>
          <w:ilvl w:val="0"/>
          <w:numId w:val="22"/>
        </w:numPr>
        <w:spacing w:line="360" w:lineRule="auto"/>
        <w:ind w:left="70" w:leftChars="0" w:firstLine="560" w:firstLine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电</w:t>
      </w:r>
      <w:r>
        <w:rPr>
          <w:rFonts w:hint="default" w:ascii="宋体" w:cs="宋体"/>
          <w:color w:val="auto"/>
          <w:kern w:val="0"/>
          <w:sz w:val="28"/>
          <w:szCs w:val="28"/>
          <w:lang w:val="en-US" w:eastAsia="zh-CN"/>
        </w:rPr>
        <w:t>容器的绝缘水平应按电容器接人电网处的电压等级，电容器组接线方式确定的串并联组合、安装方式，环境条件要求等，根据电容器产品标准选取</w:t>
      </w:r>
      <w:r>
        <w:rPr>
          <w:rFonts w:hint="eastAsia" w:ascii="宋体" w:cs="宋体"/>
          <w:color w:val="auto"/>
          <w:kern w:val="0"/>
          <w:sz w:val="28"/>
          <w:szCs w:val="28"/>
          <w:lang w:val="en-US" w:eastAsia="zh-CN"/>
        </w:rPr>
        <w:t>。</w:t>
      </w:r>
    </w:p>
    <w:p>
      <w:pPr>
        <w:numPr>
          <w:ilvl w:val="0"/>
          <w:numId w:val="22"/>
        </w:numPr>
        <w:spacing w:line="360" w:lineRule="auto"/>
        <w:ind w:left="69" w:leftChars="33" w:firstLine="568" w:firstLineChars="203"/>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用于并联电容器装置的接触器选型，应采用真空接触器适合于电容器组投切的设备。对于10kV及以下并联电容器装置，选用真空接触器。补偿装置应带隔离开关。</w:t>
      </w:r>
    </w:p>
    <w:p>
      <w:pPr>
        <w:pStyle w:val="2"/>
        <w:numPr>
          <w:ilvl w:val="0"/>
          <w:numId w:val="22"/>
        </w:numPr>
        <w:ind w:left="69" w:leftChars="33" w:firstLine="568" w:firstLineChars="203"/>
        <w:rPr>
          <w:rFonts w:hint="eastAsia" w:ascii="宋体" w:hAnsi="Times New Roman" w:eastAsia="宋体" w:cs="宋体"/>
          <w:color w:val="auto"/>
          <w:kern w:val="0"/>
          <w:sz w:val="28"/>
          <w:szCs w:val="28"/>
          <w:lang w:val="en-US" w:eastAsia="zh-CN" w:bidi="ar-SA"/>
        </w:rPr>
      </w:pPr>
      <w:r>
        <w:rPr>
          <w:rFonts w:hint="eastAsia" w:ascii="宋体" w:hAnsi="Times New Roman" w:eastAsia="宋体" w:cs="宋体"/>
          <w:color w:val="auto"/>
          <w:kern w:val="0"/>
          <w:sz w:val="28"/>
          <w:szCs w:val="28"/>
          <w:lang w:val="en-US" w:eastAsia="zh-CN" w:bidi="ar-SA"/>
        </w:rPr>
        <w:t>补偿柜内部元件（包括电容、电抗）均需为同一供货厂商生产，应配置符合国家现行的相关规定的高性能产品</w:t>
      </w:r>
      <w:r>
        <w:rPr>
          <w:rFonts w:hint="eastAsia" w:ascii="宋体" w:cs="宋体"/>
          <w:color w:val="auto"/>
          <w:kern w:val="0"/>
          <w:sz w:val="28"/>
          <w:szCs w:val="28"/>
          <w:lang w:val="en-US" w:eastAsia="zh-CN" w:bidi="ar-SA"/>
        </w:rPr>
        <w:t>。</w:t>
      </w:r>
    </w:p>
    <w:p>
      <w:pPr>
        <w:pStyle w:val="2"/>
        <w:numPr>
          <w:ilvl w:val="0"/>
          <w:numId w:val="22"/>
        </w:numPr>
        <w:ind w:left="69" w:leftChars="33" w:firstLine="568" w:firstLineChars="203"/>
        <w:rPr>
          <w:rFonts w:hint="default" w:ascii="宋体" w:hAnsi="Times New Roman" w:eastAsia="宋体" w:cs="宋体"/>
          <w:color w:val="auto"/>
          <w:kern w:val="0"/>
          <w:sz w:val="28"/>
          <w:szCs w:val="28"/>
          <w:lang w:val="en-US" w:eastAsia="zh-CN" w:bidi="ar-SA"/>
        </w:rPr>
      </w:pPr>
      <w:r>
        <w:rPr>
          <w:rFonts w:hint="default" w:ascii="宋体" w:hAnsi="Times New Roman" w:eastAsia="宋体" w:cs="宋体"/>
          <w:color w:val="auto"/>
          <w:kern w:val="0"/>
          <w:sz w:val="28"/>
          <w:szCs w:val="28"/>
          <w:lang w:val="en-US" w:eastAsia="zh-CN" w:bidi="ar-SA"/>
        </w:rPr>
        <w:t>使用寿命不低于20年</w:t>
      </w:r>
      <w:r>
        <w:rPr>
          <w:rFonts w:hint="eastAsia" w:ascii="宋体" w:cs="宋体"/>
          <w:color w:val="auto"/>
          <w:kern w:val="0"/>
          <w:sz w:val="28"/>
          <w:szCs w:val="28"/>
          <w:lang w:val="en-US" w:eastAsia="zh-CN" w:bidi="ar-SA"/>
        </w:rPr>
        <w:t>，电抗器结构采用干式、铁心、风道自冷结构，三相一体。</w:t>
      </w:r>
    </w:p>
    <w:p>
      <w:pPr>
        <w:pStyle w:val="2"/>
        <w:numPr>
          <w:ilvl w:val="0"/>
          <w:numId w:val="22"/>
        </w:numPr>
        <w:ind w:left="69" w:leftChars="33" w:firstLine="568" w:firstLineChars="203"/>
        <w:rPr>
          <w:rFonts w:hint="default" w:ascii="宋体" w:hAnsi="Times New Roman" w:eastAsia="宋体" w:cs="宋体"/>
          <w:color w:val="auto"/>
          <w:kern w:val="0"/>
          <w:sz w:val="28"/>
          <w:szCs w:val="28"/>
          <w:lang w:val="en-US" w:eastAsia="zh-CN" w:bidi="ar-SA"/>
        </w:rPr>
      </w:pPr>
      <w:r>
        <w:rPr>
          <w:rFonts w:hint="default" w:ascii="宋体" w:hAnsi="Times New Roman" w:eastAsia="宋体" w:cs="宋体"/>
          <w:color w:val="auto"/>
          <w:kern w:val="0"/>
          <w:sz w:val="28"/>
          <w:szCs w:val="28"/>
          <w:lang w:val="en-US" w:eastAsia="zh-CN" w:bidi="ar-SA"/>
        </w:rPr>
        <w:t>电抗器能在工频电流为1.35倍额定电流的最高工作电流下连续运行。</w:t>
      </w:r>
    </w:p>
    <w:p>
      <w:pPr>
        <w:pStyle w:val="2"/>
        <w:numPr>
          <w:ilvl w:val="0"/>
          <w:numId w:val="22"/>
        </w:numPr>
        <w:ind w:left="69" w:leftChars="33" w:firstLine="568" w:firstLineChars="203"/>
        <w:rPr>
          <w:rFonts w:hint="default" w:ascii="宋体" w:hAnsi="Times New Roman" w:eastAsia="宋体" w:cs="宋体"/>
          <w:color w:val="auto"/>
          <w:kern w:val="0"/>
          <w:sz w:val="28"/>
          <w:szCs w:val="28"/>
          <w:lang w:val="en-US" w:eastAsia="zh-CN" w:bidi="ar-SA"/>
        </w:rPr>
      </w:pPr>
      <w:r>
        <w:rPr>
          <w:rFonts w:hint="default" w:ascii="宋体" w:hAnsi="Times New Roman" w:eastAsia="宋体" w:cs="宋体"/>
          <w:color w:val="auto"/>
          <w:kern w:val="0"/>
          <w:sz w:val="28"/>
          <w:szCs w:val="28"/>
          <w:lang w:val="en-US" w:eastAsia="zh-CN" w:bidi="ar-SA"/>
        </w:rPr>
        <w:t>主绝缘釆用复合绝缘结构，在保证优良电气性能的同时，又具有一定的机械强度，保证了电容器成套装置对地绝缘在无保护的情况下100%可靠</w:t>
      </w:r>
      <w:r>
        <w:rPr>
          <w:rFonts w:hint="eastAsia" w:ascii="宋体" w:cs="宋体"/>
          <w:color w:val="auto"/>
          <w:kern w:val="0"/>
          <w:sz w:val="28"/>
          <w:szCs w:val="28"/>
          <w:lang w:val="en-US" w:eastAsia="zh-CN" w:bidi="ar-SA"/>
        </w:rPr>
        <w:t>。</w:t>
      </w:r>
    </w:p>
    <w:p>
      <w:pPr>
        <w:pStyle w:val="2"/>
        <w:numPr>
          <w:ilvl w:val="0"/>
          <w:numId w:val="22"/>
        </w:numPr>
        <w:ind w:left="69" w:leftChars="33" w:firstLine="568" w:firstLineChars="203"/>
        <w:rPr>
          <w:rFonts w:hint="default" w:ascii="宋体" w:hAnsi="Times New Roman" w:eastAsia="宋体" w:cs="宋体"/>
          <w:color w:val="auto"/>
          <w:kern w:val="0"/>
          <w:sz w:val="28"/>
          <w:szCs w:val="28"/>
          <w:lang w:val="en-US" w:eastAsia="zh-CN" w:bidi="ar-SA"/>
        </w:rPr>
      </w:pPr>
      <w:r>
        <w:rPr>
          <w:rFonts w:hint="eastAsia" w:ascii="宋体" w:cs="宋体"/>
          <w:color w:val="auto"/>
          <w:kern w:val="0"/>
          <w:sz w:val="28"/>
          <w:szCs w:val="28"/>
          <w:lang w:val="en-US" w:eastAsia="zh-CN" w:bidi="ar-SA"/>
        </w:rPr>
        <w:t>补偿装置安装在室内集中补偿。</w:t>
      </w:r>
    </w:p>
    <w:p>
      <w:pPr>
        <w:pStyle w:val="8"/>
        <w:rPr>
          <w:color w:val="auto"/>
          <w:sz w:val="28"/>
          <w:szCs w:val="21"/>
        </w:rPr>
      </w:pPr>
      <w:bookmarkStart w:id="113" w:name="_Toc19002"/>
      <w:r>
        <w:rPr>
          <w:sz w:val="28"/>
          <w:szCs w:val="21"/>
        </w:rPr>
        <w:t>2.</w:t>
      </w:r>
      <w:r>
        <w:rPr>
          <w:rFonts w:hint="eastAsia"/>
          <w:sz w:val="28"/>
          <w:szCs w:val="21"/>
          <w:lang w:val="en-US" w:eastAsia="zh-CN"/>
        </w:rPr>
        <w:t>3</w:t>
      </w:r>
      <w:r>
        <w:rPr>
          <w:color w:val="auto"/>
          <w:sz w:val="28"/>
          <w:szCs w:val="21"/>
        </w:rPr>
        <w:t>.</w:t>
      </w:r>
      <w:r>
        <w:rPr>
          <w:rFonts w:hint="eastAsia"/>
          <w:color w:val="auto"/>
          <w:sz w:val="28"/>
          <w:szCs w:val="21"/>
          <w:lang w:val="en-US" w:eastAsia="zh-CN"/>
        </w:rPr>
        <w:t>6</w:t>
      </w:r>
      <w:r>
        <w:rPr>
          <w:color w:val="auto"/>
          <w:sz w:val="28"/>
          <w:szCs w:val="21"/>
        </w:rPr>
        <w:t xml:space="preserve"> </w:t>
      </w:r>
      <w:bookmarkEnd w:id="93"/>
      <w:bookmarkEnd w:id="94"/>
      <w:bookmarkEnd w:id="95"/>
      <w:bookmarkEnd w:id="96"/>
      <w:bookmarkEnd w:id="97"/>
      <w:bookmarkEnd w:id="98"/>
      <w:r>
        <w:rPr>
          <w:rFonts w:hint="eastAsia"/>
          <w:color w:val="auto"/>
          <w:sz w:val="28"/>
          <w:szCs w:val="21"/>
        </w:rPr>
        <w:t>电气主接线</w:t>
      </w:r>
      <w:bookmarkEnd w:id="113"/>
    </w:p>
    <w:p>
      <w:pPr>
        <w:spacing w:line="360" w:lineRule="auto"/>
        <w:ind w:firstLine="560" w:firstLineChars="200"/>
        <w:rPr>
          <w:rFonts w:ascii="宋体" w:cs="宋体"/>
          <w:color w:val="auto"/>
          <w:kern w:val="0"/>
          <w:sz w:val="28"/>
          <w:szCs w:val="28"/>
        </w:rPr>
      </w:pPr>
      <w:r>
        <w:rPr>
          <w:rFonts w:hint="eastAsia" w:ascii="宋体" w:cs="宋体"/>
          <w:color w:val="auto"/>
          <w:kern w:val="0"/>
          <w:sz w:val="28"/>
          <w:szCs w:val="28"/>
          <w:lang w:val="en-US" w:eastAsia="zh-CN"/>
        </w:rPr>
        <w:t>1、</w:t>
      </w:r>
      <w:r>
        <w:rPr>
          <w:rFonts w:hint="eastAsia" w:ascii="宋体" w:cs="宋体"/>
          <w:color w:val="auto"/>
          <w:kern w:val="0"/>
          <w:sz w:val="28"/>
          <w:szCs w:val="28"/>
        </w:rPr>
        <w:t>1</w:t>
      </w:r>
      <w:r>
        <w:rPr>
          <w:rFonts w:ascii="宋体" w:cs="宋体"/>
          <w:color w:val="auto"/>
          <w:kern w:val="0"/>
          <w:sz w:val="28"/>
          <w:szCs w:val="28"/>
        </w:rPr>
        <w:t>10</w:t>
      </w:r>
      <w:r>
        <w:rPr>
          <w:rFonts w:hint="eastAsia" w:ascii="宋体" w:cs="宋体"/>
          <w:color w:val="auto"/>
          <w:kern w:val="0"/>
          <w:sz w:val="28"/>
          <w:szCs w:val="28"/>
        </w:rPr>
        <w:t>kV侧采用</w:t>
      </w:r>
      <w:r>
        <w:rPr>
          <w:rFonts w:hint="eastAsia" w:ascii="宋体" w:cs="宋体"/>
          <w:color w:val="auto"/>
          <w:kern w:val="0"/>
          <w:sz w:val="28"/>
          <w:szCs w:val="28"/>
          <w:lang w:val="en-US" w:eastAsia="zh-CN"/>
        </w:rPr>
        <w:t>双</w:t>
      </w:r>
      <w:r>
        <w:rPr>
          <w:rFonts w:hint="eastAsia" w:ascii="宋体" w:cs="宋体"/>
          <w:color w:val="auto"/>
          <w:kern w:val="0"/>
          <w:sz w:val="28"/>
          <w:szCs w:val="28"/>
        </w:rPr>
        <w:t>母线。</w:t>
      </w:r>
    </w:p>
    <w:p>
      <w:pPr>
        <w:spacing w:line="360" w:lineRule="auto"/>
        <w:ind w:firstLine="560" w:firstLineChars="200"/>
        <w:rPr>
          <w:rFonts w:hint="eastAsia" w:ascii="宋体" w:cs="宋体"/>
          <w:color w:val="auto"/>
          <w:kern w:val="0"/>
          <w:sz w:val="28"/>
          <w:szCs w:val="28"/>
        </w:rPr>
      </w:pPr>
      <w:r>
        <w:rPr>
          <w:rFonts w:hint="eastAsia" w:ascii="宋体" w:cs="宋体"/>
          <w:color w:val="auto"/>
          <w:kern w:val="0"/>
          <w:sz w:val="28"/>
          <w:szCs w:val="28"/>
          <w:lang w:val="en-US" w:eastAsia="zh-CN"/>
        </w:rPr>
        <w:t>2、</w:t>
      </w:r>
      <w:r>
        <w:rPr>
          <w:rFonts w:hint="eastAsia" w:ascii="宋体" w:cs="宋体"/>
          <w:color w:val="auto"/>
          <w:kern w:val="0"/>
          <w:sz w:val="28"/>
          <w:szCs w:val="28"/>
        </w:rPr>
        <w:t>1</w:t>
      </w:r>
      <w:r>
        <w:rPr>
          <w:rFonts w:ascii="宋体" w:cs="宋体"/>
          <w:color w:val="auto"/>
          <w:kern w:val="0"/>
          <w:sz w:val="28"/>
          <w:szCs w:val="28"/>
        </w:rPr>
        <w:t>0</w:t>
      </w:r>
      <w:r>
        <w:rPr>
          <w:rFonts w:hint="eastAsia" w:ascii="宋体" w:cs="宋体"/>
          <w:color w:val="auto"/>
          <w:kern w:val="0"/>
          <w:sz w:val="28"/>
          <w:szCs w:val="28"/>
        </w:rPr>
        <w:t>kV侧</w:t>
      </w:r>
      <w:r>
        <w:rPr>
          <w:rFonts w:hint="eastAsia" w:ascii="宋体" w:cs="宋体"/>
          <w:color w:val="auto"/>
          <w:kern w:val="0"/>
          <w:sz w:val="28"/>
          <w:szCs w:val="28"/>
          <w:lang w:val="en-US" w:eastAsia="zh-CN"/>
        </w:rPr>
        <w:t>采用</w:t>
      </w:r>
      <w:r>
        <w:rPr>
          <w:rFonts w:hint="eastAsia" w:ascii="宋体" w:cs="宋体"/>
          <w:color w:val="auto"/>
          <w:kern w:val="0"/>
          <w:sz w:val="28"/>
          <w:szCs w:val="28"/>
        </w:rPr>
        <w:t>单母线分</w:t>
      </w:r>
      <w:r>
        <w:rPr>
          <w:rFonts w:hint="eastAsia" w:ascii="宋体" w:cs="宋体"/>
          <w:color w:val="auto"/>
          <w:kern w:val="0"/>
          <w:sz w:val="28"/>
          <w:szCs w:val="28"/>
          <w:lang w:val="en-US" w:eastAsia="zh-CN"/>
        </w:rPr>
        <w:t>断</w:t>
      </w:r>
      <w:r>
        <w:rPr>
          <w:rFonts w:hint="eastAsia" w:ascii="宋体" w:cs="宋体"/>
          <w:color w:val="auto"/>
          <w:kern w:val="0"/>
          <w:sz w:val="28"/>
          <w:szCs w:val="28"/>
        </w:rPr>
        <w:t>接线，中间联络。</w:t>
      </w:r>
    </w:p>
    <w:p>
      <w:pPr>
        <w:spacing w:line="360" w:lineRule="auto"/>
        <w:ind w:firstLine="560" w:firstLineChars="200"/>
        <w:rPr>
          <w:rFonts w:hint="default" w:ascii="宋体" w:eastAsia="宋体" w:cs="宋体"/>
          <w:color w:val="auto"/>
          <w:kern w:val="0"/>
          <w:sz w:val="28"/>
          <w:szCs w:val="28"/>
          <w:lang w:val="en-US" w:eastAsia="zh-CN"/>
        </w:rPr>
      </w:pPr>
      <w:r>
        <w:rPr>
          <w:rFonts w:hint="eastAsia" w:ascii="宋体" w:cs="宋体"/>
          <w:color w:val="auto"/>
          <w:kern w:val="0"/>
          <w:sz w:val="28"/>
          <w:szCs w:val="28"/>
          <w:lang w:val="en-US" w:eastAsia="zh-CN"/>
        </w:rPr>
        <w:t>3、以一次接线图布置为准。</w:t>
      </w:r>
    </w:p>
    <w:p>
      <w:pPr>
        <w:pStyle w:val="8"/>
        <w:rPr>
          <w:sz w:val="28"/>
          <w:szCs w:val="21"/>
        </w:rPr>
      </w:pPr>
      <w:bookmarkStart w:id="114" w:name="_Toc28310"/>
      <w:r>
        <w:rPr>
          <w:rFonts w:hint="eastAsia"/>
          <w:sz w:val="28"/>
          <w:szCs w:val="21"/>
        </w:rPr>
        <w:t>2</w:t>
      </w:r>
      <w:r>
        <w:rPr>
          <w:sz w:val="28"/>
          <w:szCs w:val="21"/>
        </w:rPr>
        <w:t>.</w:t>
      </w:r>
      <w:r>
        <w:rPr>
          <w:rFonts w:hint="eastAsia"/>
          <w:sz w:val="28"/>
          <w:szCs w:val="21"/>
          <w:lang w:val="en-US" w:eastAsia="zh-CN"/>
        </w:rPr>
        <w:t>3</w:t>
      </w:r>
      <w:r>
        <w:rPr>
          <w:sz w:val="28"/>
          <w:szCs w:val="21"/>
        </w:rPr>
        <w:t>.</w:t>
      </w:r>
      <w:r>
        <w:rPr>
          <w:rFonts w:hint="eastAsia"/>
          <w:sz w:val="28"/>
          <w:szCs w:val="21"/>
          <w:lang w:val="en-US" w:eastAsia="zh-CN"/>
        </w:rPr>
        <w:t>7</w:t>
      </w:r>
      <w:r>
        <w:rPr>
          <w:sz w:val="28"/>
          <w:szCs w:val="21"/>
        </w:rPr>
        <w:t xml:space="preserve"> </w:t>
      </w:r>
      <w:r>
        <w:rPr>
          <w:rFonts w:hint="eastAsia"/>
          <w:sz w:val="28"/>
          <w:szCs w:val="21"/>
        </w:rPr>
        <w:t>中性点接地方式</w:t>
      </w:r>
      <w:bookmarkEnd w:id="114"/>
    </w:p>
    <w:p>
      <w:pPr>
        <w:spacing w:line="360" w:lineRule="auto"/>
        <w:ind w:left="420" w:leftChars="20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1、110kV：中性点经隔离开关、避雷器、电流互感器、放电间隙直接接地。</w:t>
      </w:r>
    </w:p>
    <w:p>
      <w:pPr>
        <w:spacing w:line="360" w:lineRule="auto"/>
        <w:ind w:left="420" w:leftChars="200" w:firstLine="0" w:firstLineChars="0"/>
        <w:rPr>
          <w:rFonts w:hint="default" w:ascii="宋体" w:cs="宋体"/>
          <w:color w:val="FF0000"/>
          <w:kern w:val="0"/>
          <w:sz w:val="28"/>
          <w:szCs w:val="28"/>
          <w:lang w:val="en-US" w:eastAsia="zh-CN"/>
        </w:rPr>
      </w:pPr>
      <w:r>
        <w:rPr>
          <w:rFonts w:hint="eastAsia" w:ascii="宋体" w:cs="宋体"/>
          <w:kern w:val="0"/>
          <w:sz w:val="28"/>
          <w:szCs w:val="28"/>
          <w:lang w:val="en-US" w:eastAsia="zh-CN"/>
        </w:rPr>
        <w:t>2、</w:t>
      </w:r>
      <w:r>
        <w:rPr>
          <w:rFonts w:hint="eastAsia" w:ascii="宋体" w:cs="宋体"/>
          <w:kern w:val="0"/>
          <w:sz w:val="28"/>
          <w:szCs w:val="28"/>
        </w:rPr>
        <w:t>10kV</w:t>
      </w:r>
      <w:r>
        <w:rPr>
          <w:rFonts w:hint="eastAsia" w:ascii="宋体" w:cs="宋体"/>
          <w:kern w:val="0"/>
          <w:sz w:val="28"/>
          <w:szCs w:val="28"/>
          <w:lang w:eastAsia="zh-CN"/>
        </w:rPr>
        <w:t>：</w:t>
      </w:r>
      <w:r>
        <w:rPr>
          <w:rFonts w:hint="eastAsia" w:ascii="宋体" w:cs="宋体"/>
          <w:kern w:val="0"/>
          <w:sz w:val="28"/>
          <w:szCs w:val="28"/>
        </w:rPr>
        <w:t>中性点</w:t>
      </w:r>
      <w:r>
        <w:rPr>
          <w:rFonts w:hint="eastAsia" w:ascii="宋体" w:cs="宋体"/>
          <w:kern w:val="0"/>
          <w:sz w:val="28"/>
          <w:szCs w:val="28"/>
          <w:lang w:val="en-US" w:eastAsia="zh-CN"/>
        </w:rPr>
        <w:t>接地设置两套单相接地故障管理系统。</w:t>
      </w:r>
    </w:p>
    <w:p>
      <w:pPr>
        <w:spacing w:line="360" w:lineRule="auto"/>
        <w:ind w:left="420" w:leftChars="200" w:firstLine="0" w:firstLineChars="0"/>
        <w:rPr>
          <w:rFonts w:hint="default" w:ascii="宋体" w:hAnsi="Times New Roman" w:cs="宋体"/>
          <w:kern w:val="0"/>
          <w:sz w:val="28"/>
          <w:szCs w:val="28"/>
          <w:lang w:val="en-US" w:eastAsia="zh-CN"/>
        </w:rPr>
      </w:pPr>
      <w:r>
        <w:rPr>
          <w:rFonts w:hint="eastAsia" w:ascii="宋体" w:cs="宋体"/>
          <w:kern w:val="0"/>
          <w:sz w:val="28"/>
          <w:szCs w:val="28"/>
          <w:lang w:val="en-US" w:eastAsia="zh-CN"/>
        </w:rPr>
        <w:t>3、</w:t>
      </w:r>
      <w:r>
        <w:rPr>
          <w:rFonts w:hint="default" w:ascii="宋体" w:hAnsi="Times New Roman" w:cs="宋体"/>
          <w:kern w:val="0"/>
          <w:sz w:val="28"/>
          <w:szCs w:val="28"/>
          <w:lang w:val="en-US" w:eastAsia="zh-CN"/>
        </w:rPr>
        <w:t>380V：直接接地系统，TN-S。</w:t>
      </w:r>
    </w:p>
    <w:p>
      <w:pPr>
        <w:pStyle w:val="2"/>
        <w:ind w:left="420" w:leftChars="200" w:firstLine="0" w:firstLineChars="0"/>
        <w:jc w:val="left"/>
        <w:rPr>
          <w:rFonts w:hint="default" w:ascii="宋体" w:hAnsi="Times New Roman" w:eastAsia="宋体" w:cs="宋体"/>
          <w:kern w:val="0"/>
          <w:sz w:val="28"/>
          <w:szCs w:val="28"/>
          <w:lang w:val="en-US" w:eastAsia="zh-CN" w:bidi="ar-SA"/>
        </w:rPr>
      </w:pPr>
      <w:r>
        <w:rPr>
          <w:rFonts w:hint="eastAsia" w:ascii="宋体" w:cs="宋体"/>
          <w:kern w:val="0"/>
          <w:sz w:val="28"/>
          <w:szCs w:val="28"/>
          <w:lang w:val="en-US" w:eastAsia="zh-CN" w:bidi="ar-SA"/>
        </w:rPr>
        <w:t>4、</w:t>
      </w:r>
      <w:r>
        <w:rPr>
          <w:rFonts w:hint="default" w:ascii="宋体" w:hAnsi="Times New Roman" w:eastAsia="宋体" w:cs="宋体"/>
          <w:kern w:val="0"/>
          <w:sz w:val="28"/>
          <w:szCs w:val="28"/>
          <w:lang w:val="en-US" w:eastAsia="zh-CN" w:bidi="ar-SA"/>
        </w:rPr>
        <w:t>10kV系统两段各配置1套单相接地故障管理系统。为发挥非有效接地系统高供电可靠性，有效防止单相弧光接地故障产生的弧光接地过电压，带来的电缆烧毁、PT及保护器爆炸及人身触电事故发生。要求在10KV系统中，每个变压器下同一电源上，加装一套单相接地故障管理系统装置，拥有脉冲选线功能和综合消弧处理功能，采用脉冲电流选线技术、消弧线圈与软触点消弧相配合消弧原理，实现在系统发生单相接地故障后，能快速、准确选取故障线路并可分级选线到最末端故障支路，彻底熄灭电弧，消除弧光接地过电压，规避电气事故发生，提高供电安全性和可靠性。</w:t>
      </w:r>
    </w:p>
    <w:p>
      <w:pPr>
        <w:pStyle w:val="2"/>
        <w:ind w:left="420" w:leftChars="200" w:firstLine="0" w:firstLineChars="0"/>
        <w:jc w:val="left"/>
        <w:rPr>
          <w:rFonts w:hint="default" w:ascii="宋体" w:hAnsi="Times New Roman" w:eastAsia="宋体" w:cs="宋体"/>
          <w:kern w:val="0"/>
          <w:sz w:val="28"/>
          <w:szCs w:val="28"/>
          <w:lang w:val="en-US" w:eastAsia="zh-CN" w:bidi="ar-SA"/>
        </w:rPr>
      </w:pPr>
      <w:r>
        <w:rPr>
          <w:rFonts w:hint="eastAsia" w:ascii="宋体" w:cs="宋体"/>
          <w:kern w:val="0"/>
          <w:sz w:val="28"/>
          <w:szCs w:val="28"/>
          <w:lang w:val="en-US" w:eastAsia="zh-CN" w:bidi="ar-SA"/>
        </w:rPr>
        <w:t>5、</w:t>
      </w:r>
      <w:r>
        <w:rPr>
          <w:rFonts w:hint="eastAsia" w:ascii="宋体" w:cs="宋体"/>
          <w:kern w:val="0"/>
          <w:sz w:val="28"/>
          <w:szCs w:val="28"/>
          <w:lang w:val="en-US" w:eastAsia="zh-CN"/>
        </w:rPr>
        <w:t>单相接地故障管理系统</w:t>
      </w:r>
      <w:r>
        <w:rPr>
          <w:rFonts w:hint="default" w:ascii="宋体" w:hAnsi="Times New Roman" w:eastAsia="宋体" w:cs="宋体"/>
          <w:kern w:val="0"/>
          <w:sz w:val="28"/>
          <w:szCs w:val="28"/>
          <w:lang w:val="en-US" w:eastAsia="zh-CN" w:bidi="ar-SA"/>
        </w:rPr>
        <w:t>装置的性能要求：</w:t>
      </w:r>
    </w:p>
    <w:p>
      <w:pPr>
        <w:pStyle w:val="2"/>
        <w:ind w:left="420" w:leftChars="200" w:firstLine="0" w:firstLineChars="0"/>
        <w:jc w:val="left"/>
        <w:rPr>
          <w:rFonts w:hint="default" w:ascii="宋体" w:hAnsi="Times New Roman" w:eastAsia="宋体" w:cs="宋体"/>
          <w:kern w:val="0"/>
          <w:sz w:val="28"/>
          <w:szCs w:val="28"/>
          <w:lang w:val="en-US" w:eastAsia="zh-CN" w:bidi="ar-SA"/>
        </w:rPr>
      </w:pPr>
      <w:r>
        <w:rPr>
          <w:rFonts w:hint="default" w:ascii="宋体" w:hAnsi="Times New Roman" w:eastAsia="宋体" w:cs="宋体"/>
          <w:kern w:val="0"/>
          <w:sz w:val="28"/>
          <w:szCs w:val="28"/>
          <w:lang w:val="en-US" w:eastAsia="zh-CN" w:bidi="ar-SA"/>
        </w:rPr>
        <w:t>装置故障选线</w:t>
      </w:r>
    </w:p>
    <w:p>
      <w:pPr>
        <w:pStyle w:val="2"/>
        <w:ind w:left="420" w:leftChars="200" w:firstLine="0" w:firstLineChars="0"/>
        <w:jc w:val="left"/>
        <w:rPr>
          <w:rFonts w:hint="default" w:ascii="宋体" w:hAnsi="Times New Roman" w:eastAsia="宋体" w:cs="宋体"/>
          <w:kern w:val="0"/>
          <w:sz w:val="28"/>
          <w:szCs w:val="28"/>
          <w:lang w:val="en-US" w:eastAsia="zh-CN" w:bidi="ar-SA"/>
        </w:rPr>
      </w:pPr>
      <w:r>
        <w:rPr>
          <w:rFonts w:hint="eastAsia" w:ascii="宋体" w:cs="宋体"/>
          <w:kern w:val="0"/>
          <w:sz w:val="28"/>
          <w:szCs w:val="28"/>
          <w:lang w:val="en-US" w:eastAsia="zh-CN" w:bidi="ar-SA"/>
        </w:rPr>
        <w:t>（1）</w:t>
      </w:r>
      <w:r>
        <w:rPr>
          <w:rFonts w:hint="default" w:ascii="宋体" w:hAnsi="Times New Roman" w:eastAsia="宋体" w:cs="宋体"/>
          <w:kern w:val="0"/>
          <w:sz w:val="28"/>
          <w:szCs w:val="28"/>
          <w:lang w:val="en-US" w:eastAsia="zh-CN" w:bidi="ar-SA"/>
        </w:rPr>
        <w:t>装置具有快速准确的接地故障选线功能，当系统发生单相接地故障后，装置主控制器能在≤30mS时间内作出响应，接地变压器中性点触发导通接地，</w:t>
      </w:r>
      <w:r>
        <w:rPr>
          <w:rFonts w:hint="eastAsia" w:ascii="宋体" w:cs="宋体"/>
          <w:kern w:val="0"/>
          <w:sz w:val="28"/>
          <w:szCs w:val="28"/>
          <w:lang w:val="en-US" w:eastAsia="zh-CN" w:bidi="ar-SA"/>
        </w:rPr>
        <w:t>要求</w:t>
      </w:r>
      <w:r>
        <w:rPr>
          <w:rFonts w:hint="default" w:ascii="宋体" w:hAnsi="Times New Roman" w:eastAsia="宋体" w:cs="宋体"/>
          <w:kern w:val="0"/>
          <w:sz w:val="28"/>
          <w:szCs w:val="28"/>
          <w:lang w:val="en-US" w:eastAsia="zh-CN" w:bidi="ar-SA"/>
        </w:rPr>
        <w:t>故障选线正确率达100%，且不影响电力系统的继电保护运行；</w:t>
      </w:r>
    </w:p>
    <w:p>
      <w:pPr>
        <w:pStyle w:val="2"/>
        <w:ind w:left="420" w:leftChars="200" w:firstLine="0" w:firstLineChars="0"/>
        <w:jc w:val="left"/>
        <w:rPr>
          <w:rFonts w:hint="default" w:ascii="宋体" w:hAnsi="Times New Roman" w:eastAsia="宋体" w:cs="宋体"/>
          <w:kern w:val="0"/>
          <w:sz w:val="28"/>
          <w:szCs w:val="28"/>
          <w:lang w:val="en-US" w:eastAsia="zh-CN" w:bidi="ar-SA"/>
        </w:rPr>
      </w:pPr>
      <w:r>
        <w:rPr>
          <w:rFonts w:hint="eastAsia" w:ascii="宋体" w:cs="宋体"/>
          <w:kern w:val="0"/>
          <w:sz w:val="28"/>
          <w:szCs w:val="28"/>
          <w:lang w:val="en-US" w:eastAsia="zh-CN" w:bidi="ar-SA"/>
        </w:rPr>
        <w:t>（2）</w:t>
      </w:r>
      <w:r>
        <w:rPr>
          <w:rFonts w:hint="default" w:ascii="宋体" w:hAnsi="Times New Roman" w:eastAsia="宋体" w:cs="宋体"/>
          <w:kern w:val="0"/>
          <w:sz w:val="28"/>
          <w:szCs w:val="28"/>
          <w:lang w:val="en-US" w:eastAsia="zh-CN" w:bidi="ar-SA"/>
        </w:rPr>
        <w:t>装置每条配电支路配装专用脉冲零序电流互感器和信号采集单元，通过CAN实时通讯，把数字信号快速、准确传输给主控制器。</w:t>
      </w:r>
    </w:p>
    <w:p>
      <w:pPr>
        <w:pStyle w:val="2"/>
        <w:ind w:left="420" w:leftChars="200" w:firstLine="0" w:firstLineChars="0"/>
        <w:jc w:val="left"/>
        <w:rPr>
          <w:rFonts w:hint="default" w:ascii="宋体" w:hAnsi="Times New Roman" w:eastAsia="宋体" w:cs="宋体"/>
          <w:kern w:val="0"/>
          <w:sz w:val="28"/>
          <w:szCs w:val="28"/>
          <w:lang w:val="en-US" w:eastAsia="zh-CN" w:bidi="ar-SA"/>
        </w:rPr>
      </w:pPr>
      <w:r>
        <w:rPr>
          <w:rFonts w:hint="eastAsia" w:ascii="宋体" w:cs="宋体"/>
          <w:kern w:val="0"/>
          <w:sz w:val="28"/>
          <w:szCs w:val="28"/>
          <w:lang w:val="en-US" w:eastAsia="zh-CN" w:bidi="ar-SA"/>
        </w:rPr>
        <w:t>6、</w:t>
      </w:r>
      <w:r>
        <w:rPr>
          <w:rFonts w:hint="default" w:ascii="宋体" w:hAnsi="Times New Roman" w:eastAsia="宋体" w:cs="宋体"/>
          <w:kern w:val="0"/>
          <w:sz w:val="28"/>
          <w:szCs w:val="28"/>
          <w:lang w:val="en-US" w:eastAsia="zh-CN" w:bidi="ar-SA"/>
        </w:rPr>
        <w:t>装置故障处理</w:t>
      </w:r>
    </w:p>
    <w:p>
      <w:pPr>
        <w:pStyle w:val="2"/>
        <w:ind w:left="420" w:leftChars="200" w:firstLine="0" w:firstLineChars="0"/>
        <w:jc w:val="left"/>
        <w:rPr>
          <w:rFonts w:hint="default" w:ascii="宋体" w:hAnsi="Times New Roman" w:eastAsia="宋体" w:cs="宋体"/>
          <w:kern w:val="0"/>
          <w:sz w:val="28"/>
          <w:szCs w:val="28"/>
          <w:lang w:val="en-US" w:eastAsia="zh-CN" w:bidi="ar-SA"/>
        </w:rPr>
      </w:pPr>
      <w:r>
        <w:rPr>
          <w:rFonts w:hint="eastAsia" w:ascii="宋体" w:cs="宋体"/>
          <w:kern w:val="0"/>
          <w:sz w:val="28"/>
          <w:szCs w:val="28"/>
          <w:lang w:val="en-US" w:eastAsia="zh-CN" w:bidi="ar-SA"/>
        </w:rPr>
        <w:t>（1）</w:t>
      </w:r>
      <w:r>
        <w:rPr>
          <w:rFonts w:hint="default" w:ascii="宋体" w:hAnsi="Times New Roman" w:eastAsia="宋体" w:cs="宋体"/>
          <w:kern w:val="0"/>
          <w:sz w:val="28"/>
          <w:szCs w:val="28"/>
          <w:lang w:val="en-US" w:eastAsia="zh-CN" w:bidi="ar-SA"/>
        </w:rPr>
        <w:t>装置具有消弧线圈和触点消弧2种故障处理功能；能够根据单相接地故障的性能，快速有效的选择消弧处理方式，并且能够配合使用；</w:t>
      </w:r>
    </w:p>
    <w:p>
      <w:pPr>
        <w:pStyle w:val="2"/>
        <w:ind w:left="420" w:leftChars="200" w:firstLine="0" w:firstLineChars="0"/>
        <w:jc w:val="left"/>
        <w:rPr>
          <w:rFonts w:hint="default" w:ascii="宋体" w:hAnsi="Times New Roman" w:eastAsia="宋体" w:cs="宋体"/>
          <w:kern w:val="0"/>
          <w:sz w:val="28"/>
          <w:szCs w:val="28"/>
          <w:lang w:val="en-US" w:eastAsia="zh-CN" w:bidi="ar-SA"/>
        </w:rPr>
      </w:pPr>
      <w:r>
        <w:rPr>
          <w:rFonts w:hint="eastAsia" w:ascii="宋体" w:cs="宋体"/>
          <w:kern w:val="0"/>
          <w:sz w:val="28"/>
          <w:szCs w:val="28"/>
          <w:lang w:val="en-US" w:eastAsia="zh-CN" w:bidi="ar-SA"/>
        </w:rPr>
        <w:t>（2）</w:t>
      </w:r>
      <w:r>
        <w:rPr>
          <w:rFonts w:hint="default" w:ascii="宋体" w:hAnsi="Times New Roman" w:eastAsia="宋体" w:cs="宋体"/>
          <w:kern w:val="0"/>
          <w:sz w:val="28"/>
          <w:szCs w:val="28"/>
          <w:lang w:val="en-US" w:eastAsia="zh-CN" w:bidi="ar-SA"/>
        </w:rPr>
        <w:t>装置不论是间隙性弧光接地、金属性接地，PT断线，PT谐振，还是系统过电压、低电压，测控装置显示屏上显示出事故属性和相别，各相电压值，并准确记录各种异常状态下的技术数据，便于事故分析，同时装置提供无源报警触点；</w:t>
      </w:r>
    </w:p>
    <w:p>
      <w:pPr>
        <w:pStyle w:val="2"/>
        <w:ind w:left="420" w:leftChars="200" w:firstLine="0" w:firstLineChars="0"/>
        <w:jc w:val="left"/>
        <w:rPr>
          <w:rFonts w:hint="default" w:ascii="宋体" w:hAnsi="Times New Roman" w:eastAsia="宋体" w:cs="宋体"/>
          <w:kern w:val="0"/>
          <w:sz w:val="28"/>
          <w:szCs w:val="28"/>
          <w:lang w:val="en-US" w:eastAsia="zh-CN" w:bidi="ar-SA"/>
        </w:rPr>
      </w:pPr>
      <w:r>
        <w:rPr>
          <w:rFonts w:hint="eastAsia" w:ascii="宋体" w:cs="宋体"/>
          <w:kern w:val="0"/>
          <w:sz w:val="28"/>
          <w:szCs w:val="28"/>
          <w:lang w:val="en-US" w:eastAsia="zh-CN" w:bidi="ar-SA"/>
        </w:rPr>
        <w:t>7、</w:t>
      </w:r>
      <w:r>
        <w:rPr>
          <w:rFonts w:hint="default" w:ascii="宋体" w:hAnsi="Times New Roman" w:eastAsia="宋体" w:cs="宋体"/>
          <w:kern w:val="0"/>
          <w:sz w:val="28"/>
          <w:szCs w:val="28"/>
          <w:lang w:val="en-US" w:eastAsia="zh-CN" w:bidi="ar-SA"/>
        </w:rPr>
        <w:t>装置在线监测</w:t>
      </w:r>
    </w:p>
    <w:p>
      <w:pPr>
        <w:pStyle w:val="2"/>
        <w:ind w:left="420" w:leftChars="200" w:firstLine="0" w:firstLineChars="0"/>
        <w:jc w:val="left"/>
        <w:rPr>
          <w:rFonts w:hint="default" w:ascii="宋体" w:hAnsi="Times New Roman" w:eastAsia="宋体" w:cs="宋体"/>
          <w:kern w:val="0"/>
          <w:sz w:val="28"/>
          <w:szCs w:val="28"/>
          <w:lang w:val="en-US" w:eastAsia="zh-CN" w:bidi="ar-SA"/>
        </w:rPr>
      </w:pPr>
      <w:r>
        <w:rPr>
          <w:rFonts w:hint="eastAsia" w:ascii="宋体" w:cs="宋体"/>
          <w:kern w:val="0"/>
          <w:sz w:val="28"/>
          <w:szCs w:val="28"/>
          <w:lang w:val="en-US" w:eastAsia="zh-CN" w:bidi="ar-SA"/>
        </w:rPr>
        <w:t>（1）</w:t>
      </w:r>
      <w:r>
        <w:rPr>
          <w:rFonts w:hint="default" w:ascii="宋体" w:hAnsi="Times New Roman" w:eastAsia="宋体" w:cs="宋体"/>
          <w:kern w:val="0"/>
          <w:sz w:val="28"/>
          <w:szCs w:val="28"/>
          <w:lang w:val="en-US" w:eastAsia="zh-CN" w:bidi="ar-SA"/>
        </w:rPr>
        <w:t>装置能实时监测电力系统电压信号，同步输出并显示电力系统电压波形，在系统电压故障时启动故障录波功能，记录故障波形，包括操作和雷电过电压波形，并发出报警；</w:t>
      </w:r>
    </w:p>
    <w:p>
      <w:pPr>
        <w:pStyle w:val="2"/>
        <w:ind w:left="420" w:leftChars="200" w:firstLine="0" w:firstLineChars="0"/>
        <w:jc w:val="left"/>
        <w:rPr>
          <w:rFonts w:hint="default" w:ascii="宋体" w:hAnsi="Times New Roman" w:eastAsia="宋体" w:cs="宋体"/>
          <w:kern w:val="0"/>
          <w:sz w:val="28"/>
          <w:szCs w:val="28"/>
          <w:lang w:val="en-US" w:eastAsia="zh-CN" w:bidi="ar-SA"/>
        </w:rPr>
      </w:pPr>
      <w:r>
        <w:rPr>
          <w:rFonts w:hint="eastAsia" w:ascii="宋体" w:cs="宋体"/>
          <w:kern w:val="0"/>
          <w:sz w:val="28"/>
          <w:szCs w:val="28"/>
          <w:lang w:val="en-US" w:eastAsia="zh-CN" w:bidi="ar-SA"/>
        </w:rPr>
        <w:t>（2）</w:t>
      </w:r>
      <w:r>
        <w:rPr>
          <w:rFonts w:hint="default" w:ascii="宋体" w:hAnsi="Times New Roman" w:eastAsia="宋体" w:cs="宋体"/>
          <w:kern w:val="0"/>
          <w:sz w:val="28"/>
          <w:szCs w:val="28"/>
          <w:lang w:val="en-US" w:eastAsia="zh-CN" w:bidi="ar-SA"/>
        </w:rPr>
        <w:t>装置满足无人值班变电所要求；控制器本身有电源监视等自身监控系统。</w:t>
      </w:r>
    </w:p>
    <w:p>
      <w:pPr>
        <w:pStyle w:val="2"/>
        <w:ind w:left="420" w:leftChars="200" w:firstLine="0" w:firstLineChars="0"/>
        <w:jc w:val="left"/>
        <w:rPr>
          <w:rFonts w:hint="default" w:ascii="宋体" w:hAnsi="Times New Roman" w:eastAsia="宋体" w:cs="宋体"/>
          <w:kern w:val="0"/>
          <w:sz w:val="28"/>
          <w:szCs w:val="28"/>
          <w:lang w:val="en-US" w:eastAsia="zh-CN" w:bidi="ar-SA"/>
        </w:rPr>
      </w:pPr>
    </w:p>
    <w:p>
      <w:pPr>
        <w:pStyle w:val="8"/>
        <w:rPr>
          <w:rFonts w:hint="eastAsia"/>
          <w:sz w:val="28"/>
          <w:szCs w:val="21"/>
        </w:rPr>
      </w:pPr>
      <w:bookmarkStart w:id="115" w:name="_Toc24810"/>
      <w:r>
        <w:rPr>
          <w:sz w:val="28"/>
          <w:szCs w:val="21"/>
        </w:rPr>
        <w:t>2.</w:t>
      </w:r>
      <w:r>
        <w:rPr>
          <w:rFonts w:hint="eastAsia"/>
          <w:sz w:val="28"/>
          <w:szCs w:val="21"/>
          <w:lang w:val="en-US" w:eastAsia="zh-CN"/>
        </w:rPr>
        <w:t>3</w:t>
      </w:r>
      <w:r>
        <w:rPr>
          <w:sz w:val="28"/>
          <w:szCs w:val="21"/>
        </w:rPr>
        <w:t>.</w:t>
      </w:r>
      <w:r>
        <w:rPr>
          <w:rFonts w:hint="eastAsia"/>
          <w:sz w:val="28"/>
          <w:szCs w:val="21"/>
          <w:lang w:val="en-US" w:eastAsia="zh-CN"/>
        </w:rPr>
        <w:t>8</w:t>
      </w:r>
      <w:r>
        <w:rPr>
          <w:rFonts w:hint="eastAsia"/>
          <w:sz w:val="28"/>
          <w:szCs w:val="21"/>
        </w:rPr>
        <w:t>一次系统方案</w:t>
      </w:r>
      <w:bookmarkEnd w:id="115"/>
    </w:p>
    <w:p>
      <w:pPr>
        <w:pStyle w:val="6"/>
        <w:rPr>
          <w:rFonts w:hint="eastAsia"/>
        </w:rPr>
      </w:pPr>
      <w:r>
        <w:rPr>
          <w:rFonts w:hint="eastAsia"/>
          <w:color w:val="000000"/>
          <w:sz w:val="28"/>
          <w:szCs w:val="28"/>
          <w:lang w:val="en-US" w:eastAsia="zh-CN"/>
        </w:rPr>
        <w:t>一次系统方案参考招标技术文件中“一次布接线图”，未响应部分的，应以技术差异表进行说明。</w:t>
      </w:r>
    </w:p>
    <w:tbl>
      <w:tblPr>
        <w:tblStyle w:val="63"/>
        <w:tblW w:w="8810"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09"/>
        <w:gridCol w:w="2138"/>
        <w:gridCol w:w="5963"/>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09" w:type="dxa"/>
            <w:vAlign w:val="center"/>
          </w:tcPr>
          <w:p>
            <w:pPr>
              <w:pStyle w:val="316"/>
              <w:spacing w:line="348" w:lineRule="auto"/>
              <w:jc w:val="center"/>
              <w:rPr>
                <w:rFonts w:ascii="Times New Roman" w:hAnsi="Times New Roman"/>
                <w:kern w:val="0"/>
                <w:sz w:val="22"/>
                <w:szCs w:val="22"/>
              </w:rPr>
            </w:pPr>
            <w:r>
              <w:rPr>
                <w:rFonts w:ascii="Times New Roman" w:hAnsi="Times New Roman"/>
                <w:kern w:val="0"/>
                <w:sz w:val="22"/>
                <w:szCs w:val="22"/>
              </w:rPr>
              <w:t>序号</w:t>
            </w:r>
          </w:p>
        </w:tc>
        <w:tc>
          <w:tcPr>
            <w:tcW w:w="2138" w:type="dxa"/>
            <w:vAlign w:val="center"/>
          </w:tcPr>
          <w:p>
            <w:pPr>
              <w:pStyle w:val="316"/>
              <w:spacing w:line="348" w:lineRule="auto"/>
              <w:jc w:val="center"/>
              <w:rPr>
                <w:rFonts w:ascii="Times New Roman" w:hAnsi="Times New Roman"/>
                <w:kern w:val="0"/>
                <w:sz w:val="22"/>
                <w:szCs w:val="22"/>
              </w:rPr>
            </w:pPr>
            <w:r>
              <w:rPr>
                <w:rFonts w:ascii="Times New Roman" w:hAnsi="Times New Roman"/>
                <w:kern w:val="0"/>
                <w:sz w:val="22"/>
                <w:szCs w:val="22"/>
              </w:rPr>
              <w:t>项目</w:t>
            </w:r>
          </w:p>
        </w:tc>
        <w:tc>
          <w:tcPr>
            <w:tcW w:w="5963" w:type="dxa"/>
            <w:vAlign w:val="center"/>
          </w:tcPr>
          <w:p>
            <w:pPr>
              <w:pStyle w:val="316"/>
              <w:spacing w:line="348" w:lineRule="auto"/>
              <w:jc w:val="center"/>
              <w:rPr>
                <w:rFonts w:ascii="Times New Roman" w:hAnsi="Times New Roman"/>
                <w:kern w:val="0"/>
                <w:sz w:val="22"/>
                <w:szCs w:val="22"/>
              </w:rPr>
            </w:pPr>
            <w:r>
              <w:rPr>
                <w:rFonts w:ascii="Times New Roman" w:hAnsi="Times New Roman"/>
                <w:kern w:val="0"/>
                <w:sz w:val="22"/>
                <w:szCs w:val="22"/>
              </w:rPr>
              <w:t>建设规模</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jc w:val="center"/>
        </w:trPr>
        <w:tc>
          <w:tcPr>
            <w:tcW w:w="709" w:type="dxa"/>
            <w:vAlign w:val="center"/>
          </w:tcPr>
          <w:p>
            <w:pPr>
              <w:pStyle w:val="316"/>
              <w:spacing w:line="348" w:lineRule="auto"/>
              <w:jc w:val="center"/>
              <w:rPr>
                <w:rFonts w:ascii="Times New Roman" w:hAnsi="Times New Roman"/>
                <w:kern w:val="0"/>
                <w:sz w:val="22"/>
                <w:szCs w:val="22"/>
              </w:rPr>
            </w:pPr>
            <w:r>
              <w:rPr>
                <w:rFonts w:ascii="Times New Roman" w:hAnsi="Times New Roman"/>
                <w:kern w:val="0"/>
                <w:sz w:val="22"/>
                <w:szCs w:val="22"/>
              </w:rPr>
              <w:t>1</w:t>
            </w:r>
          </w:p>
        </w:tc>
        <w:tc>
          <w:tcPr>
            <w:tcW w:w="2138" w:type="dxa"/>
            <w:vAlign w:val="center"/>
          </w:tcPr>
          <w:p>
            <w:pPr>
              <w:pStyle w:val="316"/>
              <w:spacing w:line="348" w:lineRule="auto"/>
              <w:rPr>
                <w:rFonts w:ascii="Times New Roman" w:hAnsi="Times New Roman"/>
                <w:kern w:val="0"/>
                <w:sz w:val="22"/>
                <w:szCs w:val="22"/>
              </w:rPr>
            </w:pPr>
            <w:r>
              <w:rPr>
                <w:rFonts w:ascii="Times New Roman" w:hAnsi="Times New Roman"/>
                <w:kern w:val="0"/>
                <w:sz w:val="22"/>
                <w:szCs w:val="22"/>
              </w:rPr>
              <w:t>主变压器</w:t>
            </w:r>
          </w:p>
        </w:tc>
        <w:tc>
          <w:tcPr>
            <w:tcW w:w="5963" w:type="dxa"/>
            <w:vAlign w:val="center"/>
          </w:tcPr>
          <w:p>
            <w:pPr>
              <w:pStyle w:val="316"/>
              <w:spacing w:line="348" w:lineRule="auto"/>
              <w:rPr>
                <w:rFonts w:hint="default" w:ascii="Times New Roman" w:hAnsi="Times New Roman" w:eastAsia="宋体"/>
                <w:kern w:val="0"/>
                <w:sz w:val="22"/>
                <w:szCs w:val="22"/>
                <w:lang w:val="en-US" w:eastAsia="zh-CN"/>
              </w:rPr>
            </w:pPr>
            <w:r>
              <w:rPr>
                <w:rFonts w:hint="eastAsia" w:ascii="Times New Roman" w:hAnsi="Times New Roman"/>
                <w:kern w:val="0"/>
                <w:sz w:val="22"/>
                <w:szCs w:val="22"/>
                <w:lang w:val="en-US" w:eastAsia="zh-CN"/>
              </w:rPr>
              <w:t>40</w:t>
            </w:r>
            <w:r>
              <w:rPr>
                <w:rFonts w:ascii="Times New Roman" w:hAnsi="Times New Roman"/>
                <w:kern w:val="0"/>
                <w:sz w:val="22"/>
                <w:szCs w:val="22"/>
              </w:rPr>
              <w:t>MVA</w:t>
            </w:r>
            <w:r>
              <w:rPr>
                <w:rFonts w:hint="eastAsia" w:ascii="Times New Roman" w:hAnsi="Times New Roman"/>
                <w:kern w:val="0"/>
                <w:sz w:val="22"/>
                <w:szCs w:val="22"/>
                <w:lang w:val="en-US" w:eastAsia="zh-CN"/>
              </w:rPr>
              <w:t>+12.5MVA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jc w:val="center"/>
        </w:trPr>
        <w:tc>
          <w:tcPr>
            <w:tcW w:w="709" w:type="dxa"/>
            <w:vAlign w:val="center"/>
          </w:tcPr>
          <w:p>
            <w:pPr>
              <w:pStyle w:val="316"/>
              <w:spacing w:line="348" w:lineRule="auto"/>
              <w:jc w:val="center"/>
              <w:rPr>
                <w:rFonts w:ascii="Times New Roman" w:hAnsi="Times New Roman"/>
                <w:kern w:val="0"/>
                <w:sz w:val="22"/>
                <w:szCs w:val="22"/>
              </w:rPr>
            </w:pPr>
            <w:r>
              <w:rPr>
                <w:rFonts w:ascii="Times New Roman" w:hAnsi="Times New Roman"/>
                <w:kern w:val="0"/>
                <w:sz w:val="22"/>
                <w:szCs w:val="22"/>
              </w:rPr>
              <w:t>2</w:t>
            </w:r>
          </w:p>
        </w:tc>
        <w:tc>
          <w:tcPr>
            <w:tcW w:w="2138" w:type="dxa"/>
            <w:vAlign w:val="center"/>
          </w:tcPr>
          <w:p>
            <w:pPr>
              <w:pStyle w:val="316"/>
              <w:spacing w:line="348" w:lineRule="auto"/>
              <w:rPr>
                <w:rFonts w:ascii="Times New Roman" w:hAnsi="Times New Roman"/>
                <w:kern w:val="0"/>
                <w:sz w:val="22"/>
                <w:szCs w:val="22"/>
              </w:rPr>
            </w:pPr>
            <w:r>
              <w:rPr>
                <w:rFonts w:ascii="Times New Roman" w:hAnsi="Times New Roman"/>
                <w:kern w:val="0"/>
                <w:sz w:val="22"/>
                <w:szCs w:val="22"/>
              </w:rPr>
              <w:t>110kV配电装置</w:t>
            </w:r>
          </w:p>
        </w:tc>
        <w:tc>
          <w:tcPr>
            <w:tcW w:w="5963" w:type="dxa"/>
            <w:vAlign w:val="center"/>
          </w:tcPr>
          <w:p>
            <w:pPr>
              <w:pStyle w:val="316"/>
              <w:spacing w:line="348" w:lineRule="auto"/>
              <w:rPr>
                <w:rFonts w:hint="eastAsia" w:ascii="Times New Roman" w:hAnsi="Times New Roman"/>
                <w:kern w:val="0"/>
                <w:sz w:val="22"/>
                <w:szCs w:val="22"/>
              </w:rPr>
            </w:pPr>
            <w:r>
              <w:rPr>
                <w:rFonts w:hint="eastAsia" w:ascii="Times New Roman" w:hAnsi="Times New Roman"/>
                <w:kern w:val="0"/>
                <w:sz w:val="22"/>
                <w:szCs w:val="22"/>
              </w:rPr>
              <w:t>110kV配电装置采用</w:t>
            </w:r>
            <w:r>
              <w:rPr>
                <w:rFonts w:hint="eastAsia" w:ascii="Times New Roman" w:hAnsi="Times New Roman"/>
                <w:kern w:val="0"/>
                <w:sz w:val="22"/>
                <w:szCs w:val="22"/>
                <w:lang w:val="en-US" w:eastAsia="zh-CN"/>
              </w:rPr>
              <w:t>双</w:t>
            </w:r>
            <w:r>
              <w:rPr>
                <w:rFonts w:hint="eastAsia" w:ascii="Times New Roman" w:hAnsi="Times New Roman"/>
                <w:kern w:val="0"/>
                <w:sz w:val="22"/>
                <w:szCs w:val="22"/>
              </w:rPr>
              <w:t>母线接线，设备选用户内GIS。</w:t>
            </w:r>
          </w:p>
          <w:p>
            <w:pPr>
              <w:pStyle w:val="316"/>
              <w:spacing w:line="348" w:lineRule="auto"/>
              <w:rPr>
                <w:rFonts w:hint="eastAsia" w:ascii="Times New Roman" w:hAnsi="Times New Roman"/>
                <w:kern w:val="0"/>
                <w:sz w:val="22"/>
                <w:szCs w:val="22"/>
              </w:rPr>
            </w:pPr>
            <w:r>
              <w:rPr>
                <w:rFonts w:hint="eastAsia" w:ascii="Times New Roman" w:hAnsi="Times New Roman"/>
                <w:kern w:val="0"/>
                <w:sz w:val="22"/>
                <w:szCs w:val="22"/>
              </w:rPr>
              <w:t>本期新建间隔6个：</w:t>
            </w:r>
          </w:p>
          <w:p>
            <w:pPr>
              <w:pStyle w:val="316"/>
              <w:spacing w:line="348" w:lineRule="auto"/>
              <w:rPr>
                <w:rFonts w:ascii="Times New Roman" w:hAnsi="Times New Roman"/>
                <w:kern w:val="0"/>
                <w:sz w:val="22"/>
                <w:szCs w:val="22"/>
              </w:rPr>
            </w:pPr>
            <w:r>
              <w:rPr>
                <w:rFonts w:hint="eastAsia" w:ascii="Times New Roman" w:hAnsi="Times New Roman"/>
                <w:kern w:val="0"/>
                <w:sz w:val="22"/>
                <w:szCs w:val="22"/>
              </w:rPr>
              <w:t>电源进线GIS采用1个进线间隔，2个出线间隔，1联络间隔，2PT间隔（配带通讯电能表，信号同时上传到110kV变电站运行主机）；</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jc w:val="center"/>
        </w:trPr>
        <w:tc>
          <w:tcPr>
            <w:tcW w:w="709" w:type="dxa"/>
            <w:vAlign w:val="center"/>
          </w:tcPr>
          <w:p>
            <w:pPr>
              <w:pStyle w:val="316"/>
              <w:spacing w:line="348" w:lineRule="auto"/>
              <w:jc w:val="center"/>
              <w:rPr>
                <w:rFonts w:ascii="Times New Roman" w:hAnsi="Times New Roman"/>
                <w:kern w:val="0"/>
                <w:sz w:val="22"/>
                <w:szCs w:val="22"/>
              </w:rPr>
            </w:pPr>
            <w:r>
              <w:rPr>
                <w:rFonts w:ascii="Times New Roman" w:hAnsi="Times New Roman"/>
                <w:kern w:val="0"/>
                <w:sz w:val="22"/>
                <w:szCs w:val="22"/>
              </w:rPr>
              <w:t>3</w:t>
            </w:r>
          </w:p>
        </w:tc>
        <w:tc>
          <w:tcPr>
            <w:tcW w:w="2138" w:type="dxa"/>
            <w:vAlign w:val="center"/>
          </w:tcPr>
          <w:p>
            <w:pPr>
              <w:pStyle w:val="316"/>
              <w:spacing w:line="348" w:lineRule="auto"/>
              <w:rPr>
                <w:rFonts w:ascii="Times New Roman" w:hAnsi="Times New Roman"/>
                <w:kern w:val="0"/>
                <w:sz w:val="22"/>
                <w:szCs w:val="22"/>
              </w:rPr>
            </w:pPr>
            <w:r>
              <w:rPr>
                <w:rFonts w:ascii="Times New Roman" w:hAnsi="Times New Roman"/>
                <w:kern w:val="0"/>
                <w:sz w:val="22"/>
                <w:szCs w:val="22"/>
              </w:rPr>
              <w:t>10kV配电装置</w:t>
            </w:r>
          </w:p>
        </w:tc>
        <w:tc>
          <w:tcPr>
            <w:tcW w:w="5963" w:type="dxa"/>
            <w:vAlign w:val="center"/>
          </w:tcPr>
          <w:p>
            <w:pPr>
              <w:pStyle w:val="316"/>
              <w:spacing w:line="348" w:lineRule="auto"/>
              <w:rPr>
                <w:rFonts w:ascii="Times New Roman" w:hAnsi="Times New Roman"/>
                <w:kern w:val="0"/>
                <w:sz w:val="22"/>
                <w:szCs w:val="22"/>
              </w:rPr>
            </w:pPr>
            <w:r>
              <w:rPr>
                <w:rFonts w:ascii="Times New Roman" w:hAnsi="Times New Roman"/>
                <w:kern w:val="0"/>
                <w:sz w:val="22"/>
                <w:szCs w:val="22"/>
              </w:rPr>
              <w:t>10kV配电装置采用单母线分段接线，设备选用户内小车式开关柜。</w:t>
            </w:r>
          </w:p>
          <w:p>
            <w:pPr>
              <w:pStyle w:val="316"/>
              <w:spacing w:line="348" w:lineRule="auto"/>
              <w:rPr>
                <w:rFonts w:hint="eastAsia" w:ascii="Times New Roman" w:hAnsi="Times New Roman" w:eastAsia="宋体"/>
                <w:kern w:val="0"/>
                <w:sz w:val="22"/>
                <w:szCs w:val="22"/>
                <w:lang w:val="en-US" w:eastAsia="zh-CN"/>
              </w:rPr>
            </w:pPr>
            <w:r>
              <w:rPr>
                <w:rFonts w:hint="eastAsia" w:ascii="Times New Roman" w:hAnsi="Times New Roman"/>
                <w:kern w:val="0"/>
                <w:sz w:val="22"/>
                <w:szCs w:val="22"/>
              </w:rPr>
              <w:t>本期新建出线间隔</w:t>
            </w:r>
            <w:r>
              <w:rPr>
                <w:rFonts w:hint="eastAsia" w:ascii="Times New Roman" w:hAnsi="Times New Roman"/>
                <w:kern w:val="0"/>
                <w:sz w:val="22"/>
                <w:szCs w:val="22"/>
                <w:lang w:val="en-US" w:eastAsia="zh-CN"/>
              </w:rPr>
              <w:t>20</w:t>
            </w:r>
            <w:r>
              <w:rPr>
                <w:rFonts w:hint="eastAsia" w:ascii="Times New Roman" w:hAnsi="Times New Roman"/>
                <w:kern w:val="0"/>
                <w:sz w:val="22"/>
                <w:szCs w:val="22"/>
              </w:rPr>
              <w:t>回</w:t>
            </w:r>
            <w:r>
              <w:rPr>
                <w:rFonts w:hint="eastAsia" w:ascii="Times New Roman" w:hAnsi="Times New Roman"/>
                <w:kern w:val="0"/>
                <w:sz w:val="22"/>
                <w:szCs w:val="22"/>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jc w:val="center"/>
        </w:trPr>
        <w:tc>
          <w:tcPr>
            <w:tcW w:w="709" w:type="dxa"/>
            <w:vAlign w:val="center"/>
          </w:tcPr>
          <w:p>
            <w:pPr>
              <w:pStyle w:val="316"/>
              <w:spacing w:line="348" w:lineRule="auto"/>
              <w:jc w:val="center"/>
              <w:rPr>
                <w:rFonts w:hint="eastAsia" w:ascii="Times New Roman" w:hAnsi="Times New Roman" w:eastAsia="宋体"/>
                <w:kern w:val="0"/>
                <w:sz w:val="22"/>
                <w:szCs w:val="22"/>
                <w:lang w:eastAsia="zh-CN"/>
              </w:rPr>
            </w:pPr>
            <w:r>
              <w:rPr>
                <w:rFonts w:hint="eastAsia" w:ascii="Times New Roman" w:hAnsi="Times New Roman"/>
                <w:kern w:val="0"/>
                <w:sz w:val="22"/>
                <w:szCs w:val="22"/>
                <w:lang w:val="en-US" w:eastAsia="zh-CN"/>
              </w:rPr>
              <w:t>4</w:t>
            </w:r>
          </w:p>
        </w:tc>
        <w:tc>
          <w:tcPr>
            <w:tcW w:w="2138" w:type="dxa"/>
            <w:vAlign w:val="center"/>
          </w:tcPr>
          <w:p>
            <w:pPr>
              <w:pStyle w:val="316"/>
              <w:spacing w:line="348" w:lineRule="auto"/>
              <w:rPr>
                <w:rFonts w:ascii="Times New Roman" w:hAnsi="Times New Roman"/>
                <w:kern w:val="0"/>
                <w:sz w:val="22"/>
                <w:szCs w:val="22"/>
              </w:rPr>
            </w:pPr>
            <w:r>
              <w:rPr>
                <w:rFonts w:ascii="Times New Roman" w:hAnsi="Times New Roman"/>
                <w:kern w:val="0"/>
                <w:sz w:val="22"/>
                <w:szCs w:val="22"/>
              </w:rPr>
              <w:t>10kV站用电</w:t>
            </w:r>
          </w:p>
        </w:tc>
        <w:tc>
          <w:tcPr>
            <w:tcW w:w="5963" w:type="dxa"/>
            <w:vAlign w:val="center"/>
          </w:tcPr>
          <w:p>
            <w:pPr>
              <w:pStyle w:val="316"/>
              <w:spacing w:line="348" w:lineRule="auto"/>
              <w:rPr>
                <w:rFonts w:hint="default" w:ascii="Times New Roman" w:hAnsi="Times New Roman" w:eastAsia="宋体"/>
                <w:kern w:val="0"/>
                <w:sz w:val="22"/>
                <w:szCs w:val="22"/>
                <w:lang w:val="en-US" w:eastAsia="zh-CN"/>
              </w:rPr>
            </w:pPr>
            <w:r>
              <w:rPr>
                <w:rFonts w:hint="eastAsia" w:ascii="Times New Roman" w:hAnsi="Times New Roman"/>
                <w:kern w:val="0"/>
                <w:sz w:val="22"/>
                <w:szCs w:val="22"/>
                <w:lang w:val="en-US" w:eastAsia="zh-CN"/>
              </w:rPr>
              <w:t>根据站内设计负荷考虑，10kv侧每段母线配置一台</w:t>
            </w:r>
          </w:p>
        </w:tc>
      </w:tr>
    </w:tbl>
    <w:p>
      <w:pPr>
        <w:pStyle w:val="6"/>
        <w:rPr>
          <w:rFonts w:hint="eastAsia"/>
          <w:sz w:val="22"/>
          <w:szCs w:val="28"/>
        </w:rPr>
      </w:pPr>
    </w:p>
    <w:p>
      <w:pPr>
        <w:spacing w:line="360" w:lineRule="auto"/>
        <w:ind w:firstLine="560" w:firstLineChars="200"/>
        <w:rPr>
          <w:rFonts w:hint="eastAsia" w:ascii="宋体" w:cs="宋体"/>
          <w:kern w:val="0"/>
          <w:sz w:val="28"/>
          <w:szCs w:val="28"/>
        </w:rPr>
      </w:pPr>
      <w:r>
        <w:rPr>
          <w:rFonts w:hint="eastAsia" w:ascii="宋体" w:cs="宋体"/>
          <w:kern w:val="0"/>
          <w:sz w:val="28"/>
          <w:szCs w:val="28"/>
        </w:rPr>
        <w:t>10kV电压等级母线上的电能质量满足国家标准《电能质量 公用电网谐波》（GB/T14549-1993）的要求，并且满足主变压器最大负荷时其110kV高压侧的功率因数不低于</w:t>
      </w:r>
      <w:r>
        <w:rPr>
          <w:rFonts w:hint="eastAsia" w:ascii="宋体" w:cs="宋体"/>
          <w:color w:val="FF0000"/>
          <w:kern w:val="0"/>
          <w:sz w:val="28"/>
          <w:szCs w:val="28"/>
        </w:rPr>
        <w:t>0.9</w:t>
      </w:r>
      <w:r>
        <w:rPr>
          <w:rFonts w:hint="eastAsia" w:ascii="宋体" w:cs="宋体"/>
          <w:color w:val="FF0000"/>
          <w:kern w:val="0"/>
          <w:sz w:val="28"/>
          <w:szCs w:val="28"/>
          <w:lang w:eastAsia="zh-CN"/>
        </w:rPr>
        <w:t>（</w:t>
      </w:r>
      <w:r>
        <w:rPr>
          <w:rFonts w:hint="eastAsia" w:ascii="宋体" w:cs="宋体"/>
          <w:color w:val="FF0000"/>
          <w:kern w:val="0"/>
          <w:sz w:val="28"/>
          <w:szCs w:val="28"/>
          <w:lang w:val="en-US" w:eastAsia="zh-CN"/>
        </w:rPr>
        <w:t>以批复文件为准</w:t>
      </w:r>
      <w:r>
        <w:rPr>
          <w:rFonts w:hint="eastAsia" w:ascii="宋体" w:cs="宋体"/>
          <w:color w:val="FF0000"/>
          <w:kern w:val="0"/>
          <w:sz w:val="28"/>
          <w:szCs w:val="28"/>
          <w:lang w:eastAsia="zh-CN"/>
        </w:rPr>
        <w:t>）</w:t>
      </w:r>
      <w:r>
        <w:rPr>
          <w:rFonts w:hint="eastAsia" w:ascii="宋体" w:cs="宋体"/>
          <w:kern w:val="0"/>
          <w:sz w:val="28"/>
          <w:szCs w:val="28"/>
        </w:rPr>
        <w:t>。</w:t>
      </w:r>
    </w:p>
    <w:p>
      <w:pPr>
        <w:pStyle w:val="8"/>
        <w:rPr>
          <w:sz w:val="28"/>
          <w:szCs w:val="21"/>
        </w:rPr>
      </w:pPr>
      <w:bookmarkStart w:id="116" w:name="_Toc16415"/>
      <w:r>
        <w:rPr>
          <w:sz w:val="28"/>
          <w:szCs w:val="21"/>
        </w:rPr>
        <w:t>2.</w:t>
      </w:r>
      <w:r>
        <w:rPr>
          <w:rFonts w:hint="eastAsia"/>
          <w:sz w:val="28"/>
          <w:szCs w:val="21"/>
          <w:lang w:val="en-US" w:eastAsia="zh-CN"/>
        </w:rPr>
        <w:t>3</w:t>
      </w:r>
      <w:r>
        <w:rPr>
          <w:sz w:val="28"/>
          <w:szCs w:val="21"/>
        </w:rPr>
        <w:t>.</w:t>
      </w:r>
      <w:r>
        <w:rPr>
          <w:rFonts w:hint="eastAsia"/>
          <w:sz w:val="28"/>
          <w:szCs w:val="21"/>
          <w:lang w:val="en-US" w:eastAsia="zh-CN"/>
        </w:rPr>
        <w:t>9</w:t>
      </w:r>
      <w:r>
        <w:rPr>
          <w:sz w:val="28"/>
          <w:szCs w:val="21"/>
        </w:rPr>
        <w:t xml:space="preserve"> </w:t>
      </w:r>
      <w:r>
        <w:rPr>
          <w:rFonts w:hint="eastAsia"/>
          <w:sz w:val="28"/>
          <w:szCs w:val="21"/>
        </w:rPr>
        <w:t>短路电流水平、设备布置及选型</w:t>
      </w:r>
      <w:bookmarkEnd w:id="116"/>
    </w:p>
    <w:p>
      <w:pPr>
        <w:spacing w:line="360" w:lineRule="auto"/>
        <w:ind w:firstLine="560" w:firstLineChars="200"/>
        <w:rPr>
          <w:rFonts w:hint="eastAsia" w:ascii="宋体" w:cs="宋体"/>
          <w:kern w:val="0"/>
          <w:sz w:val="28"/>
          <w:szCs w:val="28"/>
        </w:rPr>
      </w:pPr>
      <w:r>
        <w:rPr>
          <w:rFonts w:hint="eastAsia" w:ascii="宋体" w:cs="宋体"/>
          <w:kern w:val="0"/>
          <w:sz w:val="28"/>
          <w:szCs w:val="28"/>
        </w:rPr>
        <w:t>110kV母线通流容量按不小于</w:t>
      </w:r>
      <w:r>
        <w:rPr>
          <w:rFonts w:hint="eastAsia" w:ascii="宋体" w:cs="宋体"/>
          <w:color w:val="FF0000"/>
          <w:kern w:val="0"/>
          <w:sz w:val="28"/>
          <w:szCs w:val="28"/>
          <w:lang w:val="en-US" w:eastAsia="zh-CN"/>
        </w:rPr>
        <w:t>3150</w:t>
      </w:r>
      <w:r>
        <w:rPr>
          <w:rFonts w:hint="eastAsia" w:ascii="宋体" w:cs="宋体"/>
          <w:color w:val="FF0000"/>
          <w:kern w:val="0"/>
          <w:sz w:val="28"/>
          <w:szCs w:val="28"/>
        </w:rPr>
        <w:t>A</w:t>
      </w:r>
      <w:r>
        <w:rPr>
          <w:rFonts w:hint="eastAsia" w:ascii="宋体" w:cs="宋体"/>
          <w:kern w:val="0"/>
          <w:sz w:val="28"/>
          <w:szCs w:val="28"/>
        </w:rPr>
        <w:t>设计。</w:t>
      </w:r>
    </w:p>
    <w:p>
      <w:pPr>
        <w:spacing w:line="360" w:lineRule="auto"/>
        <w:ind w:firstLine="560" w:firstLineChars="200"/>
        <w:rPr>
          <w:rFonts w:hint="eastAsia" w:ascii="宋体" w:cs="宋体"/>
          <w:kern w:val="0"/>
          <w:sz w:val="28"/>
          <w:szCs w:val="28"/>
        </w:rPr>
      </w:pPr>
      <w:r>
        <w:rPr>
          <w:rFonts w:hint="eastAsia" w:ascii="宋体" w:cs="宋体"/>
          <w:kern w:val="0"/>
          <w:sz w:val="28"/>
          <w:szCs w:val="28"/>
        </w:rPr>
        <w:t>110kV电气设备按短路电流水平</w:t>
      </w:r>
      <w:r>
        <w:rPr>
          <w:rFonts w:hint="eastAsia" w:ascii="宋体" w:cs="宋体"/>
          <w:color w:val="FF0000"/>
          <w:kern w:val="0"/>
          <w:sz w:val="28"/>
          <w:szCs w:val="28"/>
        </w:rPr>
        <w:t>40kA</w:t>
      </w:r>
      <w:r>
        <w:rPr>
          <w:rFonts w:hint="eastAsia" w:ascii="宋体" w:cs="宋体"/>
          <w:kern w:val="0"/>
          <w:sz w:val="28"/>
          <w:szCs w:val="28"/>
        </w:rPr>
        <w:t xml:space="preserve">设计，按户内GIS设备进行设计。 </w:t>
      </w:r>
    </w:p>
    <w:p>
      <w:pPr>
        <w:pStyle w:val="2"/>
        <w:ind w:left="0" w:leftChars="0" w:firstLine="560" w:firstLineChars="200"/>
        <w:rPr>
          <w:rFonts w:hint="default" w:eastAsia="宋体"/>
          <w:lang w:val="en-US" w:eastAsia="zh-CN"/>
        </w:rPr>
      </w:pPr>
      <w:r>
        <w:rPr>
          <w:rFonts w:hint="eastAsia" w:ascii="宋体" w:cs="宋体"/>
          <w:kern w:val="0"/>
          <w:sz w:val="28"/>
          <w:szCs w:val="28"/>
          <w:lang w:val="en-US" w:eastAsia="zh-CN"/>
        </w:rPr>
        <w:t>10kv</w:t>
      </w:r>
      <w:r>
        <w:rPr>
          <w:rFonts w:hint="eastAsia" w:ascii="宋体" w:cs="宋体"/>
          <w:kern w:val="0"/>
          <w:sz w:val="28"/>
          <w:szCs w:val="28"/>
        </w:rPr>
        <w:t>母线通流容量按不小于</w:t>
      </w:r>
      <w:r>
        <w:rPr>
          <w:rFonts w:hint="eastAsia" w:ascii="宋体" w:cs="宋体"/>
          <w:color w:val="FF0000"/>
          <w:kern w:val="0"/>
          <w:sz w:val="28"/>
          <w:szCs w:val="28"/>
          <w:lang w:val="en-US" w:eastAsia="zh-CN"/>
        </w:rPr>
        <w:t>4000A</w:t>
      </w:r>
      <w:r>
        <w:rPr>
          <w:rFonts w:hint="eastAsia" w:ascii="宋体" w:cs="宋体"/>
          <w:kern w:val="0"/>
          <w:sz w:val="28"/>
          <w:szCs w:val="28"/>
          <w:lang w:val="en-US" w:eastAsia="zh-CN"/>
        </w:rPr>
        <w:t>设计。</w:t>
      </w:r>
    </w:p>
    <w:p>
      <w:pPr>
        <w:spacing w:line="360" w:lineRule="auto"/>
        <w:ind w:firstLine="560" w:firstLineChars="200"/>
        <w:rPr>
          <w:rFonts w:ascii="宋体" w:cs="宋体"/>
          <w:kern w:val="0"/>
          <w:sz w:val="28"/>
          <w:szCs w:val="28"/>
        </w:rPr>
      </w:pPr>
      <w:r>
        <w:rPr>
          <w:rFonts w:hint="eastAsia" w:ascii="宋体" w:cs="宋体"/>
          <w:kern w:val="0"/>
          <w:sz w:val="28"/>
          <w:szCs w:val="28"/>
        </w:rPr>
        <w:t>10kV电气设备按短路电流水平</w:t>
      </w:r>
      <w:r>
        <w:rPr>
          <w:rFonts w:hint="eastAsia" w:ascii="宋体" w:cs="宋体"/>
          <w:color w:val="FF0000"/>
          <w:kern w:val="0"/>
          <w:sz w:val="28"/>
          <w:szCs w:val="28"/>
        </w:rPr>
        <w:t>31.5kA</w:t>
      </w:r>
      <w:r>
        <w:rPr>
          <w:rFonts w:hint="eastAsia" w:ascii="宋体" w:cs="宋体"/>
          <w:kern w:val="0"/>
          <w:sz w:val="28"/>
          <w:szCs w:val="28"/>
        </w:rPr>
        <w:t>设计，选用中置式</w:t>
      </w:r>
      <w:r>
        <w:rPr>
          <w:rFonts w:hint="eastAsia" w:ascii="宋体" w:cs="宋体"/>
          <w:kern w:val="0"/>
          <w:sz w:val="28"/>
          <w:szCs w:val="28"/>
          <w:lang w:val="en-US" w:eastAsia="zh-CN"/>
        </w:rPr>
        <w:t>(手车式)</w:t>
      </w:r>
      <w:r>
        <w:rPr>
          <w:rFonts w:hint="eastAsia" w:ascii="宋体" w:cs="宋体"/>
          <w:kern w:val="0"/>
          <w:sz w:val="28"/>
          <w:szCs w:val="28"/>
        </w:rPr>
        <w:t>高压开关柜。</w:t>
      </w:r>
    </w:p>
    <w:p>
      <w:pPr>
        <w:spacing w:line="360" w:lineRule="auto"/>
        <w:ind w:firstLine="560" w:firstLineChars="200"/>
        <w:rPr>
          <w:rFonts w:hint="eastAsia" w:ascii="宋体" w:cs="宋体"/>
          <w:kern w:val="0"/>
          <w:sz w:val="28"/>
          <w:szCs w:val="28"/>
        </w:rPr>
      </w:pPr>
      <w:r>
        <w:rPr>
          <w:rFonts w:hint="eastAsia" w:ascii="宋体" w:cs="宋体"/>
          <w:kern w:val="0"/>
          <w:sz w:val="28"/>
          <w:szCs w:val="28"/>
        </w:rPr>
        <w:t>变电站直流电源装置容量按照规范设计，且不小于200Ah，N+</w:t>
      </w:r>
      <w:r>
        <w:rPr>
          <w:rFonts w:hint="eastAsia" w:ascii="宋体" w:cs="宋体"/>
          <w:kern w:val="0"/>
          <w:sz w:val="28"/>
          <w:szCs w:val="28"/>
          <w:lang w:val="en-US" w:eastAsia="zh-CN"/>
        </w:rPr>
        <w:t>2</w:t>
      </w:r>
      <w:r>
        <w:rPr>
          <w:rFonts w:hint="eastAsia" w:ascii="宋体" w:cs="宋体"/>
          <w:kern w:val="0"/>
          <w:sz w:val="28"/>
          <w:szCs w:val="28"/>
        </w:rPr>
        <w:t xml:space="preserve">配置电源模块，合母和控母须分开。直流操作系统采用单母线分段系统运行方式，中间设联络刀闸，每段母线各自带有一套充电装置和一组蓄电池。 </w:t>
      </w:r>
    </w:p>
    <w:p>
      <w:pPr>
        <w:pStyle w:val="8"/>
        <w:rPr>
          <w:rFonts w:hint="default"/>
          <w:sz w:val="28"/>
          <w:szCs w:val="21"/>
          <w:lang w:val="en-US" w:eastAsia="zh-CN"/>
        </w:rPr>
      </w:pPr>
      <w:bookmarkStart w:id="117" w:name="_Toc17055"/>
      <w:r>
        <w:rPr>
          <w:rFonts w:hint="eastAsia"/>
          <w:sz w:val="28"/>
          <w:szCs w:val="21"/>
          <w:lang w:val="en-US" w:eastAsia="zh-CN"/>
        </w:rPr>
        <w:t>2.2.10绝缘配合及过电压保护、避雷器配置</w:t>
      </w:r>
      <w:bookmarkEnd w:id="117"/>
    </w:p>
    <w:p>
      <w:pPr>
        <w:pStyle w:val="6"/>
        <w:ind w:firstLine="560" w:firstLineChars="200"/>
        <w:rPr>
          <w:rFonts w:hint="default" w:ascii="宋体" w:hAnsi="Times New Roman" w:eastAsia="宋体" w:cs="宋体"/>
          <w:kern w:val="0"/>
          <w:sz w:val="28"/>
          <w:szCs w:val="28"/>
          <w:lang w:val="en-US" w:eastAsia="zh-CN" w:bidi="ar-SA"/>
        </w:rPr>
      </w:pPr>
      <w:r>
        <w:rPr>
          <w:rFonts w:hint="eastAsia" w:ascii="宋体" w:cs="宋体"/>
          <w:kern w:val="0"/>
          <w:sz w:val="28"/>
          <w:szCs w:val="28"/>
          <w:lang w:val="en-US" w:eastAsia="zh-CN" w:bidi="ar-SA"/>
        </w:rPr>
        <w:t>1、</w:t>
      </w:r>
      <w:r>
        <w:rPr>
          <w:rFonts w:hint="default" w:ascii="宋体" w:hAnsi="Times New Roman" w:eastAsia="宋体" w:cs="宋体"/>
          <w:kern w:val="0"/>
          <w:sz w:val="28"/>
          <w:szCs w:val="28"/>
          <w:lang w:val="en-US" w:eastAsia="zh-CN" w:bidi="ar-SA"/>
        </w:rPr>
        <w:t>本变电站地处海拔1000m以下地区，绝缘配合按《交流电气装置的过电压保护和绝缘配合》GB/T-50064-2014等标准规定进行设计。</w:t>
      </w:r>
    </w:p>
    <w:p>
      <w:pPr>
        <w:pStyle w:val="6"/>
        <w:ind w:firstLine="560" w:firstLineChars="200"/>
        <w:rPr>
          <w:rFonts w:hint="default" w:ascii="宋体" w:hAnsi="Times New Roman" w:eastAsia="宋体" w:cs="宋体"/>
          <w:kern w:val="0"/>
          <w:sz w:val="28"/>
          <w:szCs w:val="28"/>
          <w:lang w:val="en-US" w:eastAsia="zh-CN" w:bidi="ar-SA"/>
        </w:rPr>
      </w:pPr>
      <w:r>
        <w:rPr>
          <w:rFonts w:hint="eastAsia" w:ascii="宋体" w:cs="宋体"/>
          <w:kern w:val="0"/>
          <w:sz w:val="28"/>
          <w:szCs w:val="28"/>
          <w:lang w:val="en-US" w:eastAsia="zh-CN" w:bidi="ar-SA"/>
        </w:rPr>
        <w:t>2、</w:t>
      </w:r>
      <w:r>
        <w:rPr>
          <w:rFonts w:hint="default" w:ascii="宋体" w:hAnsi="Times New Roman" w:eastAsia="宋体" w:cs="宋体"/>
          <w:kern w:val="0"/>
          <w:sz w:val="28"/>
          <w:szCs w:val="28"/>
          <w:lang w:val="en-US" w:eastAsia="zh-CN" w:bidi="ar-SA"/>
        </w:rPr>
        <w:t>避雷器的配置</w:t>
      </w:r>
    </w:p>
    <w:p>
      <w:pPr>
        <w:pStyle w:val="6"/>
        <w:ind w:firstLine="560" w:firstLineChars="200"/>
        <w:rPr>
          <w:rFonts w:hint="default" w:ascii="宋体" w:hAnsi="Times New Roman" w:eastAsia="宋体" w:cs="宋体"/>
          <w:kern w:val="0"/>
          <w:sz w:val="28"/>
          <w:szCs w:val="28"/>
          <w:lang w:val="en-US" w:eastAsia="zh-CN" w:bidi="ar-SA"/>
        </w:rPr>
      </w:pPr>
      <w:r>
        <w:rPr>
          <w:rFonts w:hint="default" w:ascii="宋体" w:hAnsi="Times New Roman" w:eastAsia="宋体" w:cs="宋体"/>
          <w:kern w:val="0"/>
          <w:sz w:val="28"/>
          <w:szCs w:val="28"/>
          <w:lang w:val="en-US" w:eastAsia="zh-CN" w:bidi="ar-SA"/>
        </w:rPr>
        <w:t>根据《交流电气装置的过电压保护和绝缘配合设计规范》GB/T 50064-2014的要求，避雷器配置如下：</w:t>
      </w:r>
    </w:p>
    <w:p>
      <w:pPr>
        <w:pStyle w:val="6"/>
        <w:ind w:left="210" w:leftChars="100" w:firstLine="425" w:firstLineChars="152"/>
        <w:rPr>
          <w:rFonts w:hint="default" w:ascii="宋体" w:hAnsi="Times New Roman" w:eastAsia="宋体" w:cs="宋体"/>
          <w:kern w:val="0"/>
          <w:sz w:val="28"/>
          <w:szCs w:val="28"/>
          <w:lang w:val="en-US" w:eastAsia="zh-CN" w:bidi="ar-SA"/>
        </w:rPr>
      </w:pPr>
      <w:r>
        <w:rPr>
          <w:rFonts w:hint="eastAsia" w:ascii="宋体" w:cs="宋体"/>
          <w:kern w:val="0"/>
          <w:sz w:val="28"/>
          <w:szCs w:val="28"/>
          <w:lang w:val="en-US" w:eastAsia="zh-CN" w:bidi="ar-SA"/>
        </w:rPr>
        <w:t>（1）</w:t>
      </w:r>
      <w:r>
        <w:rPr>
          <w:rFonts w:hint="default" w:ascii="宋体" w:hAnsi="Times New Roman" w:eastAsia="宋体" w:cs="宋体"/>
          <w:kern w:val="0"/>
          <w:sz w:val="28"/>
          <w:szCs w:val="28"/>
          <w:lang w:val="en-US" w:eastAsia="zh-CN" w:bidi="ar-SA"/>
        </w:rPr>
        <w:t>110kV GIS电缆出线在GIS内置1组避雷器；</w:t>
      </w:r>
    </w:p>
    <w:p>
      <w:pPr>
        <w:pStyle w:val="6"/>
        <w:ind w:left="210" w:leftChars="100" w:firstLine="425" w:firstLineChars="152"/>
        <w:rPr>
          <w:rFonts w:hint="default" w:ascii="宋体" w:hAnsi="Times New Roman" w:eastAsia="宋体" w:cs="宋体"/>
          <w:kern w:val="0"/>
          <w:sz w:val="28"/>
          <w:szCs w:val="28"/>
          <w:lang w:val="en-US" w:eastAsia="zh-CN" w:bidi="ar-SA"/>
        </w:rPr>
      </w:pPr>
      <w:r>
        <w:rPr>
          <w:rFonts w:hint="eastAsia" w:ascii="宋体" w:cs="宋体"/>
          <w:kern w:val="0"/>
          <w:sz w:val="28"/>
          <w:szCs w:val="28"/>
          <w:lang w:val="en-US" w:eastAsia="zh-CN" w:bidi="ar-SA"/>
        </w:rPr>
        <w:t>（2）</w:t>
      </w:r>
      <w:r>
        <w:rPr>
          <w:rFonts w:hint="default" w:ascii="宋体" w:hAnsi="Times New Roman" w:eastAsia="宋体" w:cs="宋体"/>
          <w:kern w:val="0"/>
          <w:sz w:val="28"/>
          <w:szCs w:val="28"/>
          <w:lang w:val="en-US" w:eastAsia="zh-CN" w:bidi="ar-SA"/>
        </w:rPr>
        <w:t>主变压器110kV 进线在GIS内置1组避雷器；</w:t>
      </w:r>
    </w:p>
    <w:p>
      <w:pPr>
        <w:pStyle w:val="6"/>
        <w:keepNext w:val="0"/>
        <w:keepLines w:val="0"/>
        <w:pageBreakBefore w:val="0"/>
        <w:widowControl w:val="0"/>
        <w:kinsoku/>
        <w:wordWrap/>
        <w:overflowPunct/>
        <w:topLinePunct w:val="0"/>
        <w:autoSpaceDE/>
        <w:autoSpaceDN/>
        <w:bidi w:val="0"/>
        <w:adjustRightInd/>
        <w:snapToGrid/>
        <w:ind w:left="210" w:leftChars="100" w:firstLine="425" w:firstLineChars="152"/>
        <w:textAlignment w:val="auto"/>
        <w:rPr>
          <w:rFonts w:hint="default" w:ascii="宋体" w:hAnsi="Times New Roman" w:eastAsia="宋体" w:cs="宋体"/>
          <w:kern w:val="0"/>
          <w:sz w:val="28"/>
          <w:szCs w:val="28"/>
          <w:lang w:val="en-US" w:eastAsia="zh-CN" w:bidi="ar-SA"/>
        </w:rPr>
      </w:pPr>
      <w:r>
        <w:rPr>
          <w:rFonts w:hint="eastAsia" w:ascii="宋体" w:cs="宋体"/>
          <w:kern w:val="0"/>
          <w:sz w:val="28"/>
          <w:szCs w:val="28"/>
          <w:lang w:val="en-US" w:eastAsia="zh-CN" w:bidi="ar-SA"/>
        </w:rPr>
        <w:t>（3）</w:t>
      </w:r>
      <w:r>
        <w:rPr>
          <w:rFonts w:hint="default" w:ascii="宋体" w:hAnsi="Times New Roman" w:eastAsia="宋体" w:cs="宋体"/>
          <w:kern w:val="0"/>
          <w:sz w:val="28"/>
          <w:szCs w:val="28"/>
          <w:lang w:val="en-US" w:eastAsia="zh-CN" w:bidi="ar-SA"/>
        </w:rPr>
        <w:t>10kV主变压器进线侧配置1组氧化锌避雷器，以防止低压绕组开路运行时来自高压绕组的雷电波的感应电压危及低压绕组绝缘；</w:t>
      </w:r>
    </w:p>
    <w:p>
      <w:pPr>
        <w:pStyle w:val="6"/>
        <w:ind w:left="216" w:leftChars="103" w:firstLine="420" w:firstLineChars="150"/>
        <w:rPr>
          <w:rFonts w:hint="eastAsia" w:ascii="宋体" w:cs="宋体"/>
          <w:kern w:val="0"/>
          <w:sz w:val="28"/>
          <w:szCs w:val="28"/>
          <w:lang w:val="en-US" w:eastAsia="zh-CN" w:bidi="ar-SA"/>
        </w:rPr>
      </w:pPr>
      <w:r>
        <w:rPr>
          <w:rFonts w:hint="eastAsia" w:ascii="宋体" w:cs="宋体"/>
          <w:kern w:val="0"/>
          <w:sz w:val="28"/>
          <w:szCs w:val="28"/>
          <w:lang w:val="en-US" w:eastAsia="zh-CN" w:bidi="ar-SA"/>
        </w:rPr>
        <w:t>（4）</w:t>
      </w:r>
      <w:r>
        <w:rPr>
          <w:rFonts w:hint="default" w:ascii="宋体" w:hAnsi="Times New Roman" w:eastAsia="宋体" w:cs="宋体"/>
          <w:kern w:val="0"/>
          <w:sz w:val="28"/>
          <w:szCs w:val="28"/>
          <w:lang w:val="en-US" w:eastAsia="zh-CN" w:bidi="ar-SA"/>
        </w:rPr>
        <w:t>10kV开关柜内配置氧化锌避雷器，置于母线设备隔离手车之后</w:t>
      </w:r>
      <w:r>
        <w:rPr>
          <w:rFonts w:hint="eastAsia" w:ascii="宋体" w:cs="宋体"/>
          <w:kern w:val="0"/>
          <w:sz w:val="28"/>
          <w:szCs w:val="28"/>
          <w:lang w:val="en-US" w:eastAsia="zh-CN" w:bidi="ar-SA"/>
        </w:rPr>
        <w:t>。</w:t>
      </w:r>
    </w:p>
    <w:p>
      <w:pPr>
        <w:pStyle w:val="6"/>
        <w:ind w:left="216" w:leftChars="103" w:firstLine="420" w:firstLineChars="150"/>
        <w:rPr>
          <w:rFonts w:hint="default" w:ascii="宋体" w:cs="宋体"/>
          <w:kern w:val="0"/>
          <w:sz w:val="28"/>
          <w:szCs w:val="28"/>
          <w:lang w:val="en-US" w:eastAsia="zh-CN" w:bidi="ar-SA"/>
        </w:rPr>
      </w:pPr>
      <w:r>
        <w:rPr>
          <w:rFonts w:hint="eastAsia" w:ascii="宋体" w:cs="宋体"/>
          <w:kern w:val="0"/>
          <w:sz w:val="28"/>
          <w:szCs w:val="28"/>
          <w:lang w:val="en-US" w:eastAsia="zh-CN" w:bidi="ar-SA"/>
        </w:rPr>
        <w:t>（5）其他避雷器布置应符合现行国家标准及电力系统要求。</w:t>
      </w:r>
    </w:p>
    <w:p>
      <w:pPr>
        <w:spacing w:line="360" w:lineRule="auto"/>
        <w:ind w:left="0" w:leftChars="0" w:firstLine="0" w:firstLineChars="0"/>
        <w:outlineLvl w:val="2"/>
        <w:rPr>
          <w:rFonts w:hint="eastAsia" w:ascii="Times New Roman" w:hAnsi="Times New Roman" w:eastAsia="宋体" w:cs="Times New Roman"/>
          <w:b/>
          <w:kern w:val="0"/>
          <w:sz w:val="28"/>
          <w:szCs w:val="21"/>
          <w:lang w:val="en-US" w:eastAsia="zh-CN" w:bidi="ar-SA"/>
        </w:rPr>
      </w:pPr>
      <w:bookmarkStart w:id="118" w:name="_Toc21176"/>
      <w:r>
        <w:rPr>
          <w:rFonts w:hint="eastAsia" w:ascii="Times New Roman" w:hAnsi="Times New Roman" w:eastAsia="宋体" w:cs="Times New Roman"/>
          <w:b/>
          <w:kern w:val="0"/>
          <w:sz w:val="28"/>
          <w:szCs w:val="21"/>
          <w:lang w:val="en-US" w:eastAsia="zh-CN" w:bidi="ar-SA"/>
        </w:rPr>
        <w:t>2.2.1</w:t>
      </w:r>
      <w:r>
        <w:rPr>
          <w:rFonts w:hint="eastAsia" w:cs="Times New Roman"/>
          <w:b/>
          <w:kern w:val="0"/>
          <w:sz w:val="28"/>
          <w:szCs w:val="21"/>
          <w:lang w:val="en-US" w:eastAsia="zh-CN" w:bidi="ar-SA"/>
        </w:rPr>
        <w:t>1</w:t>
      </w:r>
      <w:r>
        <w:rPr>
          <w:rFonts w:hint="eastAsia" w:ascii="Times New Roman" w:hAnsi="Times New Roman" w:eastAsia="宋体" w:cs="Times New Roman"/>
          <w:b/>
          <w:kern w:val="0"/>
          <w:sz w:val="28"/>
          <w:szCs w:val="21"/>
          <w:lang w:val="en-US" w:eastAsia="zh-CN" w:bidi="ar-SA"/>
        </w:rPr>
        <w:t>站用电</w:t>
      </w:r>
      <w:bookmarkEnd w:id="118"/>
    </w:p>
    <w:p>
      <w:pPr>
        <w:spacing w:line="360" w:lineRule="auto"/>
        <w:ind w:left="0" w:leftChars="0" w:firstLine="0" w:firstLineChars="0"/>
        <w:outlineLvl w:val="9"/>
        <w:rPr>
          <w:rFonts w:hint="default" w:ascii="宋体" w:cs="宋体"/>
          <w:color w:val="auto"/>
          <w:kern w:val="0"/>
          <w:sz w:val="28"/>
          <w:szCs w:val="28"/>
          <w:lang w:val="en-US" w:eastAsia="zh-CN"/>
        </w:rPr>
      </w:pPr>
      <w:r>
        <w:rPr>
          <w:rFonts w:hint="eastAsia" w:cs="Times New Roman"/>
          <w:b w:val="0"/>
          <w:bCs/>
          <w:kern w:val="0"/>
          <w:sz w:val="28"/>
          <w:szCs w:val="21"/>
          <w:lang w:val="en-US" w:eastAsia="zh-CN" w:bidi="ar-SA"/>
        </w:rPr>
        <w:t>1、</w:t>
      </w:r>
      <w:r>
        <w:rPr>
          <w:rFonts w:hint="default" w:ascii="Times New Roman" w:hAnsi="Times New Roman" w:eastAsia="宋体" w:cs="Times New Roman"/>
          <w:b w:val="0"/>
          <w:bCs/>
          <w:kern w:val="0"/>
          <w:sz w:val="28"/>
          <w:szCs w:val="21"/>
          <w:lang w:val="en-US" w:eastAsia="zh-CN" w:bidi="ar-SA"/>
        </w:rPr>
        <w:t>站用变压器选择</w:t>
      </w:r>
      <w:r>
        <w:rPr>
          <w:rFonts w:hint="eastAsia" w:cs="Times New Roman"/>
          <w:b w:val="0"/>
          <w:bCs/>
          <w:kern w:val="0"/>
          <w:sz w:val="28"/>
          <w:szCs w:val="21"/>
          <w:lang w:val="en-US" w:eastAsia="zh-CN" w:bidi="ar-SA"/>
        </w:rPr>
        <w:t>：</w:t>
      </w:r>
      <w:r>
        <w:rPr>
          <w:rFonts w:hint="eastAsia" w:ascii="宋体" w:cs="宋体"/>
          <w:color w:val="auto"/>
          <w:kern w:val="0"/>
          <w:sz w:val="28"/>
          <w:szCs w:val="28"/>
          <w:lang w:val="en-US" w:eastAsia="zh-CN"/>
        </w:rPr>
        <w:t>设置2套站用变，</w:t>
      </w:r>
      <w:r>
        <w:rPr>
          <w:rFonts w:hint="default" w:ascii="宋体" w:cs="宋体"/>
          <w:color w:val="auto"/>
          <w:kern w:val="0"/>
          <w:sz w:val="28"/>
          <w:szCs w:val="28"/>
          <w:lang w:val="en-US" w:eastAsia="zh-CN"/>
        </w:rPr>
        <w:t>每台站用变压器容量应按全站计算负荷选择，考虑一定的备用裕度</w:t>
      </w:r>
      <w:r>
        <w:rPr>
          <w:rFonts w:hint="eastAsia" w:ascii="宋体" w:cs="宋体"/>
          <w:color w:val="auto"/>
          <w:kern w:val="0"/>
          <w:sz w:val="28"/>
          <w:szCs w:val="28"/>
          <w:lang w:val="en-US" w:eastAsia="zh-CN"/>
        </w:rPr>
        <w:t>，</w:t>
      </w:r>
      <w:r>
        <w:rPr>
          <w:rFonts w:hint="default" w:ascii="宋体" w:cs="宋体"/>
          <w:color w:val="auto"/>
          <w:kern w:val="0"/>
          <w:sz w:val="28"/>
          <w:szCs w:val="28"/>
          <w:lang w:val="en-US" w:eastAsia="zh-CN"/>
        </w:rPr>
        <w:t>变电站设置两台互为备用的</w:t>
      </w:r>
      <w:r>
        <w:rPr>
          <w:rFonts w:hint="eastAsia" w:ascii="宋体" w:cs="宋体"/>
          <w:color w:val="auto"/>
          <w:kern w:val="0"/>
          <w:sz w:val="28"/>
          <w:szCs w:val="28"/>
          <w:lang w:val="en-US" w:eastAsia="zh-CN"/>
        </w:rPr>
        <w:t>，站用变品牌为主变同一品牌</w:t>
      </w:r>
      <w:r>
        <w:rPr>
          <w:rFonts w:hint="default" w:ascii="宋体" w:cs="宋体"/>
          <w:color w:val="auto"/>
          <w:kern w:val="0"/>
          <w:sz w:val="28"/>
          <w:szCs w:val="28"/>
          <w:lang w:val="en-US" w:eastAsia="zh-CN"/>
        </w:rPr>
        <w:t>。</w:t>
      </w:r>
    </w:p>
    <w:p>
      <w:pPr>
        <w:numPr>
          <w:ilvl w:val="0"/>
          <w:numId w:val="0"/>
        </w:numPr>
        <w:spacing w:line="360" w:lineRule="auto"/>
        <w:ind w:leftChars="0"/>
        <w:outlineLvl w:val="9"/>
        <w:rPr>
          <w:rFonts w:hint="eastAsia" w:ascii="Times New Roman" w:hAnsi="Times New Roman" w:eastAsia="宋体" w:cs="Times New Roman"/>
          <w:b w:val="0"/>
          <w:bCs/>
          <w:kern w:val="0"/>
          <w:sz w:val="28"/>
          <w:szCs w:val="21"/>
          <w:lang w:val="en-US" w:eastAsia="zh-CN" w:bidi="ar-SA"/>
        </w:rPr>
      </w:pPr>
      <w:r>
        <w:rPr>
          <w:rFonts w:hint="eastAsia" w:cs="Times New Roman"/>
          <w:b w:val="0"/>
          <w:bCs/>
          <w:kern w:val="0"/>
          <w:sz w:val="28"/>
          <w:szCs w:val="21"/>
          <w:lang w:val="en-US" w:eastAsia="zh-CN" w:bidi="ar-SA"/>
        </w:rPr>
        <w:t>2、站</w:t>
      </w:r>
      <w:r>
        <w:rPr>
          <w:rFonts w:hint="eastAsia" w:ascii="Times New Roman" w:hAnsi="Times New Roman" w:eastAsia="宋体" w:cs="Times New Roman"/>
          <w:b w:val="0"/>
          <w:bCs/>
          <w:kern w:val="0"/>
          <w:sz w:val="28"/>
          <w:szCs w:val="21"/>
          <w:lang w:val="en-US" w:eastAsia="zh-CN" w:bidi="ar-SA"/>
        </w:rPr>
        <w:t>用变接线</w:t>
      </w:r>
    </w:p>
    <w:p>
      <w:pPr>
        <w:spacing w:line="360" w:lineRule="auto"/>
        <w:ind w:firstLine="560" w:firstLineChars="200"/>
        <w:outlineLvl w:val="9"/>
        <w:rPr>
          <w:rFonts w:hint="default" w:ascii="宋体" w:cs="宋体"/>
          <w:kern w:val="0"/>
          <w:sz w:val="28"/>
          <w:szCs w:val="28"/>
          <w:lang w:val="en-US" w:eastAsia="zh-CN"/>
        </w:rPr>
      </w:pPr>
      <w:r>
        <w:rPr>
          <w:rFonts w:hint="eastAsia" w:ascii="宋体" w:cs="宋体"/>
          <w:kern w:val="0"/>
          <w:sz w:val="28"/>
          <w:szCs w:val="28"/>
          <w:lang w:val="en-US" w:eastAsia="zh-CN"/>
        </w:rPr>
        <w:t>（1）</w:t>
      </w:r>
      <w:r>
        <w:rPr>
          <w:rFonts w:hint="default" w:ascii="宋体" w:cs="宋体"/>
          <w:kern w:val="0"/>
          <w:sz w:val="28"/>
          <w:szCs w:val="28"/>
          <w:lang w:val="en-US" w:eastAsia="zh-CN"/>
        </w:rPr>
        <w:t>站用变压器高压侧选用断路器作为控制保护。站用电低压系统采用三相</w:t>
      </w:r>
      <w:r>
        <w:rPr>
          <w:rFonts w:hint="eastAsia" w:ascii="宋体" w:cs="宋体"/>
          <w:kern w:val="0"/>
          <w:sz w:val="28"/>
          <w:szCs w:val="28"/>
          <w:lang w:val="en-US" w:eastAsia="zh-CN"/>
        </w:rPr>
        <w:t>五</w:t>
      </w:r>
      <w:r>
        <w:rPr>
          <w:rFonts w:hint="default" w:ascii="宋体" w:cs="宋体"/>
          <w:kern w:val="0"/>
          <w:sz w:val="28"/>
          <w:szCs w:val="28"/>
          <w:lang w:val="en-US" w:eastAsia="zh-CN"/>
        </w:rPr>
        <w:t>线制，接地系统型式采用TN-S</w:t>
      </w:r>
      <w:r>
        <w:rPr>
          <w:rFonts w:hint="eastAsia" w:ascii="宋体" w:cs="宋体"/>
          <w:kern w:val="0"/>
          <w:sz w:val="28"/>
          <w:szCs w:val="28"/>
          <w:lang w:val="en-US" w:eastAsia="zh-CN"/>
        </w:rPr>
        <w:t>。</w:t>
      </w:r>
    </w:p>
    <w:p>
      <w:pPr>
        <w:spacing w:line="360" w:lineRule="auto"/>
        <w:ind w:firstLine="560" w:firstLineChars="200"/>
        <w:outlineLvl w:val="9"/>
        <w:rPr>
          <w:rFonts w:hint="default" w:ascii="宋体" w:cs="宋体"/>
          <w:kern w:val="0"/>
          <w:sz w:val="28"/>
          <w:szCs w:val="28"/>
          <w:lang w:val="en-US" w:eastAsia="zh-CN"/>
        </w:rPr>
      </w:pPr>
      <w:r>
        <w:rPr>
          <w:rFonts w:hint="eastAsia" w:ascii="宋体" w:cs="宋体"/>
          <w:kern w:val="0"/>
          <w:sz w:val="28"/>
          <w:szCs w:val="28"/>
          <w:lang w:val="en-US" w:eastAsia="zh-CN"/>
        </w:rPr>
        <w:t>（2）站</w:t>
      </w:r>
      <w:r>
        <w:rPr>
          <w:rFonts w:hint="default" w:ascii="宋体" w:cs="宋体"/>
          <w:kern w:val="0"/>
          <w:sz w:val="28"/>
          <w:szCs w:val="28"/>
          <w:lang w:val="en-US" w:eastAsia="zh-CN"/>
        </w:rPr>
        <w:t>用电低压母线宜采用单母线分段接线</w:t>
      </w:r>
      <w:r>
        <w:rPr>
          <w:rFonts w:hint="eastAsia" w:ascii="宋体" w:cs="宋体"/>
          <w:kern w:val="0"/>
          <w:sz w:val="28"/>
          <w:szCs w:val="28"/>
          <w:lang w:val="en-US" w:eastAsia="zh-CN"/>
        </w:rPr>
        <w:t>，</w:t>
      </w:r>
      <w:r>
        <w:rPr>
          <w:rFonts w:hint="default" w:ascii="宋体" w:cs="宋体"/>
          <w:kern w:val="0"/>
          <w:sz w:val="28"/>
          <w:szCs w:val="28"/>
          <w:lang w:val="en-US" w:eastAsia="zh-CN"/>
        </w:rPr>
        <w:t>每台站用变压器宜各接一段母线。</w:t>
      </w:r>
    </w:p>
    <w:p>
      <w:pPr>
        <w:spacing w:line="360" w:lineRule="auto"/>
        <w:ind w:firstLine="560" w:firstLineChars="200"/>
        <w:outlineLvl w:val="9"/>
        <w:rPr>
          <w:rFonts w:hint="default" w:ascii="宋体" w:cs="宋体"/>
          <w:kern w:val="0"/>
          <w:sz w:val="28"/>
          <w:szCs w:val="28"/>
          <w:lang w:val="en-US" w:eastAsia="zh-CN"/>
        </w:rPr>
      </w:pPr>
      <w:r>
        <w:rPr>
          <w:rFonts w:hint="eastAsia" w:ascii="宋体" w:cs="宋体"/>
          <w:kern w:val="0"/>
          <w:sz w:val="28"/>
          <w:szCs w:val="28"/>
          <w:lang w:val="en-US" w:eastAsia="zh-CN"/>
        </w:rPr>
        <w:t>（3）站</w:t>
      </w:r>
      <w:r>
        <w:rPr>
          <w:rFonts w:hint="default" w:ascii="宋体" w:cs="宋体"/>
          <w:kern w:val="0"/>
          <w:sz w:val="28"/>
          <w:szCs w:val="28"/>
          <w:lang w:val="en-US" w:eastAsia="zh-CN"/>
        </w:rPr>
        <w:t>用电重要负荷宜采用双回路供电方式。</w:t>
      </w:r>
    </w:p>
    <w:p>
      <w:pPr>
        <w:spacing w:line="360" w:lineRule="auto"/>
        <w:ind w:firstLine="560" w:firstLineChars="200"/>
        <w:outlineLvl w:val="9"/>
        <w:rPr>
          <w:rFonts w:hint="default" w:ascii="宋体" w:cs="宋体"/>
          <w:kern w:val="0"/>
          <w:sz w:val="28"/>
          <w:szCs w:val="28"/>
          <w:lang w:val="en-US" w:eastAsia="zh-CN"/>
        </w:rPr>
      </w:pPr>
      <w:r>
        <w:rPr>
          <w:rFonts w:hint="eastAsia" w:ascii="宋体" w:cs="宋体"/>
          <w:kern w:val="0"/>
          <w:sz w:val="28"/>
          <w:szCs w:val="28"/>
          <w:lang w:val="en-US" w:eastAsia="zh-CN"/>
        </w:rPr>
        <w:t>（4）</w:t>
      </w:r>
      <w:r>
        <w:rPr>
          <w:rFonts w:hint="default" w:ascii="宋体" w:cs="宋体"/>
          <w:kern w:val="0"/>
          <w:sz w:val="28"/>
          <w:szCs w:val="28"/>
          <w:lang w:val="en-US" w:eastAsia="zh-CN"/>
        </w:rPr>
        <w:t>变电站宜设置固定的检修电源，并应设置漏电保护装置。</w:t>
      </w:r>
    </w:p>
    <w:p>
      <w:pPr>
        <w:numPr>
          <w:ilvl w:val="0"/>
          <w:numId w:val="0"/>
        </w:numPr>
        <w:spacing w:line="360" w:lineRule="auto"/>
        <w:ind w:leftChars="0"/>
        <w:outlineLvl w:val="9"/>
        <w:rPr>
          <w:rFonts w:hint="default" w:ascii="Times New Roman" w:hAnsi="Times New Roman" w:eastAsia="宋体" w:cs="Times New Roman"/>
          <w:b w:val="0"/>
          <w:bCs/>
          <w:kern w:val="0"/>
          <w:sz w:val="28"/>
          <w:szCs w:val="21"/>
          <w:lang w:val="en-US" w:eastAsia="zh-CN" w:bidi="ar-SA"/>
        </w:rPr>
      </w:pPr>
      <w:r>
        <w:rPr>
          <w:rFonts w:hint="eastAsia" w:cs="Times New Roman"/>
          <w:b w:val="0"/>
          <w:bCs/>
          <w:kern w:val="0"/>
          <w:sz w:val="28"/>
          <w:szCs w:val="21"/>
          <w:lang w:val="en-US" w:eastAsia="zh-CN" w:bidi="ar-SA"/>
        </w:rPr>
        <w:t>3、</w:t>
      </w:r>
      <w:r>
        <w:rPr>
          <w:rFonts w:hint="eastAsia" w:ascii="Times New Roman" w:hAnsi="Times New Roman" w:eastAsia="宋体" w:cs="Times New Roman"/>
          <w:b w:val="0"/>
          <w:bCs/>
          <w:kern w:val="0"/>
          <w:sz w:val="28"/>
          <w:szCs w:val="21"/>
          <w:lang w:val="en-US" w:eastAsia="zh-CN" w:bidi="ar-SA"/>
        </w:rPr>
        <w:t>检修动力电源、照明电源系统</w:t>
      </w:r>
    </w:p>
    <w:p>
      <w:pPr>
        <w:spacing w:line="360" w:lineRule="auto"/>
        <w:ind w:firstLine="560" w:firstLineChars="200"/>
        <w:outlineLvl w:val="9"/>
        <w:rPr>
          <w:rFonts w:hint="default" w:ascii="宋体" w:cs="宋体"/>
          <w:kern w:val="0"/>
          <w:sz w:val="28"/>
          <w:szCs w:val="28"/>
          <w:lang w:val="en-US" w:eastAsia="zh-CN"/>
        </w:rPr>
      </w:pPr>
      <w:r>
        <w:rPr>
          <w:rFonts w:hint="eastAsia" w:ascii="宋体" w:cs="宋体"/>
          <w:kern w:val="0"/>
          <w:sz w:val="28"/>
          <w:szCs w:val="28"/>
          <w:lang w:val="en-US" w:eastAsia="zh-CN"/>
        </w:rPr>
        <w:t>（1）</w:t>
      </w:r>
      <w:r>
        <w:rPr>
          <w:rFonts w:hint="default" w:ascii="宋体" w:cs="宋体"/>
          <w:kern w:val="0"/>
          <w:sz w:val="28"/>
          <w:szCs w:val="28"/>
          <w:lang w:val="en-US" w:eastAsia="zh-CN"/>
        </w:rPr>
        <w:t>按功能区域配置检修电源，电源引自站用配电屏。</w:t>
      </w:r>
    </w:p>
    <w:p>
      <w:pPr>
        <w:spacing w:line="360" w:lineRule="auto"/>
        <w:ind w:firstLine="560" w:firstLineChars="200"/>
        <w:outlineLvl w:val="9"/>
        <w:rPr>
          <w:rFonts w:hint="default" w:ascii="宋体" w:cs="宋体"/>
          <w:kern w:val="0"/>
          <w:sz w:val="28"/>
          <w:szCs w:val="28"/>
          <w:lang w:val="en-US" w:eastAsia="zh-CN"/>
        </w:rPr>
      </w:pPr>
      <w:r>
        <w:rPr>
          <w:rFonts w:hint="eastAsia" w:ascii="宋体" w:cs="宋体"/>
          <w:kern w:val="0"/>
          <w:sz w:val="28"/>
          <w:szCs w:val="28"/>
          <w:lang w:val="en-US" w:eastAsia="zh-CN"/>
        </w:rPr>
        <w:t>（2）</w:t>
      </w:r>
      <w:r>
        <w:rPr>
          <w:rFonts w:hint="default" w:ascii="宋体" w:cs="宋体"/>
          <w:kern w:val="0"/>
          <w:sz w:val="28"/>
          <w:szCs w:val="28"/>
          <w:lang w:val="en-US" w:eastAsia="zh-CN"/>
        </w:rPr>
        <w:t>在站内110kV 配电装置室、10kV 配电装置室、10kV无功补偿装置室、10kV电容器室、二次设备间设置检修电源箱，检修半径可涵盖全部配电装置区。</w:t>
      </w:r>
    </w:p>
    <w:p>
      <w:pPr>
        <w:spacing w:line="360" w:lineRule="auto"/>
        <w:ind w:firstLine="560" w:firstLineChars="200"/>
        <w:outlineLvl w:val="9"/>
        <w:rPr>
          <w:rFonts w:hint="default" w:ascii="宋体" w:cs="宋体"/>
          <w:kern w:val="0"/>
          <w:sz w:val="28"/>
          <w:szCs w:val="28"/>
          <w:lang w:val="en-US" w:eastAsia="zh-CN"/>
        </w:rPr>
      </w:pPr>
      <w:r>
        <w:rPr>
          <w:rFonts w:hint="eastAsia" w:ascii="宋体" w:cs="宋体"/>
          <w:kern w:val="0"/>
          <w:sz w:val="28"/>
          <w:szCs w:val="28"/>
          <w:lang w:val="en-US" w:eastAsia="zh-CN"/>
        </w:rPr>
        <w:t>（3）</w:t>
      </w:r>
      <w:r>
        <w:rPr>
          <w:rFonts w:hint="default" w:ascii="宋体" w:cs="宋体"/>
          <w:kern w:val="0"/>
          <w:sz w:val="28"/>
          <w:szCs w:val="28"/>
          <w:lang w:val="en-US" w:eastAsia="zh-CN"/>
        </w:rPr>
        <w:t>变电站内设置正常工作照明、应急疏散照明和应急备用照明。正常工作照明采用380/220V三相</w:t>
      </w:r>
      <w:r>
        <w:rPr>
          <w:rFonts w:hint="eastAsia" w:ascii="宋体" w:cs="宋体"/>
          <w:kern w:val="0"/>
          <w:sz w:val="28"/>
          <w:szCs w:val="28"/>
          <w:lang w:val="en-US" w:eastAsia="zh-CN"/>
        </w:rPr>
        <w:t>五</w:t>
      </w:r>
      <w:r>
        <w:rPr>
          <w:rFonts w:hint="default" w:ascii="宋体" w:cs="宋体"/>
          <w:kern w:val="0"/>
          <w:sz w:val="28"/>
          <w:szCs w:val="28"/>
          <w:lang w:val="en-US" w:eastAsia="zh-CN"/>
        </w:rPr>
        <w:t>线制；应急备用照明采用交流220V，除满足事故时照明需要外，平时可兼做正常照明。</w:t>
      </w:r>
    </w:p>
    <w:p>
      <w:pPr>
        <w:spacing w:line="360" w:lineRule="auto"/>
        <w:ind w:firstLine="560" w:firstLineChars="200"/>
        <w:outlineLvl w:val="9"/>
        <w:rPr>
          <w:rFonts w:hint="default" w:ascii="宋体" w:cs="宋体"/>
          <w:kern w:val="0"/>
          <w:sz w:val="28"/>
          <w:szCs w:val="28"/>
          <w:lang w:val="en-US" w:eastAsia="zh-CN"/>
        </w:rPr>
      </w:pPr>
      <w:r>
        <w:rPr>
          <w:rFonts w:hint="eastAsia" w:ascii="宋体" w:cs="宋体"/>
          <w:kern w:val="0"/>
          <w:sz w:val="28"/>
          <w:szCs w:val="28"/>
          <w:lang w:val="en-US" w:eastAsia="zh-CN"/>
        </w:rPr>
        <w:t>（4）</w:t>
      </w:r>
      <w:r>
        <w:rPr>
          <w:rFonts w:hint="default" w:ascii="宋体" w:cs="宋体"/>
          <w:kern w:val="0"/>
          <w:sz w:val="28"/>
          <w:szCs w:val="28"/>
          <w:lang w:val="en-US" w:eastAsia="zh-CN"/>
        </w:rPr>
        <w:t>消防应急及消防疏散照明采用自带蓄电池DC36V照明灯具。</w:t>
      </w:r>
    </w:p>
    <w:p>
      <w:pPr>
        <w:pStyle w:val="8"/>
        <w:rPr>
          <w:rFonts w:hint="eastAsia"/>
          <w:sz w:val="28"/>
          <w:szCs w:val="21"/>
        </w:rPr>
      </w:pPr>
      <w:bookmarkStart w:id="119" w:name="_Toc13267"/>
      <w:r>
        <w:rPr>
          <w:sz w:val="28"/>
          <w:szCs w:val="21"/>
        </w:rPr>
        <w:t>2.2.1</w:t>
      </w:r>
      <w:r>
        <w:rPr>
          <w:rFonts w:hint="eastAsia"/>
          <w:sz w:val="28"/>
          <w:szCs w:val="21"/>
          <w:lang w:val="en-US" w:eastAsia="zh-CN"/>
        </w:rPr>
        <w:t>2</w:t>
      </w:r>
      <w:r>
        <w:rPr>
          <w:rFonts w:hint="eastAsia"/>
          <w:sz w:val="28"/>
          <w:szCs w:val="21"/>
        </w:rPr>
        <w:t>电能计量</w:t>
      </w:r>
      <w:bookmarkEnd w:id="119"/>
    </w:p>
    <w:p>
      <w:pPr>
        <w:numPr>
          <w:ilvl w:val="0"/>
          <w:numId w:val="0"/>
        </w:numPr>
        <w:spacing w:line="360" w:lineRule="auto"/>
        <w:ind w:firstLine="560" w:firstLineChars="200"/>
      </w:pPr>
      <w:r>
        <w:rPr>
          <w:rFonts w:hint="eastAsia" w:ascii="宋体" w:cs="宋体"/>
          <w:kern w:val="0"/>
          <w:sz w:val="28"/>
          <w:szCs w:val="28"/>
          <w:lang w:val="en-US" w:eastAsia="zh-CN"/>
        </w:rPr>
        <w:t>1、开关柜安装三项多功能表，多功能表可实现点位数据采集功能，采集各回路电流、电压、功率、功率因素、频率、有功电度、无功度数、谐波等全电能测量，电能计量装置采用彩色显示屏，并可自定义显示内容，通信协议应与园区电能质量平台系统、站内自动化系统协议相通，与二次综合自动化系统协议相通，方便数据采集。电能质量监测仪表的计量精度符合应符合最新的标准IEC61000-4-30和IEC 61557， GB19862-2005电能质量设备要求，计量精度等级0.2S。</w:t>
      </w:r>
    </w:p>
    <w:p>
      <w:pPr>
        <w:numPr>
          <w:ilvl w:val="0"/>
          <w:numId w:val="0"/>
        </w:numPr>
        <w:spacing w:line="360" w:lineRule="auto"/>
        <w:ind w:left="230" w:leftChars="0" w:firstLine="397" w:firstLineChars="142"/>
        <w:rPr>
          <w:rFonts w:hint="eastAsia" w:ascii="宋体" w:cs="宋体"/>
          <w:kern w:val="0"/>
          <w:sz w:val="28"/>
          <w:szCs w:val="28"/>
          <w:lang w:val="en-US" w:eastAsia="zh-CN"/>
        </w:rPr>
      </w:pPr>
      <w:r>
        <w:rPr>
          <w:rFonts w:hint="eastAsia" w:ascii="宋体" w:cs="宋体"/>
          <w:kern w:val="0"/>
          <w:sz w:val="28"/>
          <w:szCs w:val="28"/>
          <w:lang w:val="en-US" w:eastAsia="zh-CN"/>
        </w:rPr>
        <w:t>2、用于电测量装置的电流、电压互感器及附件、配件的准确度不应低于下表的规定，与批复文件有不一致的，按照批复文件为准。</w:t>
      </w:r>
    </w:p>
    <w:p>
      <w:pPr>
        <w:numPr>
          <w:ilvl w:val="0"/>
          <w:numId w:val="0"/>
        </w:numPr>
        <w:spacing w:line="360" w:lineRule="auto"/>
        <w:rPr>
          <w:rFonts w:hint="eastAsia" w:ascii="宋体" w:cs="宋体"/>
          <w:kern w:val="0"/>
          <w:sz w:val="28"/>
          <w:szCs w:val="28"/>
          <w:lang w:val="en-US" w:eastAsia="zh-CN"/>
        </w:rPr>
      </w:pPr>
    </w:p>
    <w:p>
      <w:pPr>
        <w:numPr>
          <w:ilvl w:val="0"/>
          <w:numId w:val="0"/>
        </w:numPr>
        <w:spacing w:line="360" w:lineRule="auto"/>
        <w:ind w:leftChars="0"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3、无功补偿装置的测量仪表量程应满足设备允许通过的最大电流和允许耐受的最高电压的要求。并联电容器组的电流测量应按并联电容器组持续通过的电流为其额定电流的1.35倍设计。</w:t>
      </w:r>
    </w:p>
    <w:p>
      <w:pPr>
        <w:numPr>
          <w:ilvl w:val="0"/>
          <w:numId w:val="0"/>
        </w:numPr>
        <w:spacing w:line="360" w:lineRule="auto"/>
        <w:ind w:leftChars="0"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4、计算机监控系统中的测量部分、综合装置中的测量部分，应与多功能表显示内容一致。</w:t>
      </w:r>
    </w:p>
    <w:p>
      <w:pPr>
        <w:numPr>
          <w:ilvl w:val="0"/>
          <w:numId w:val="0"/>
        </w:numPr>
        <w:spacing w:line="360" w:lineRule="auto"/>
        <w:ind w:leftChars="0"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5、直接仪表测量中配置的电测量装置，应满足相应一次回路动、热稳定的要求。</w:t>
      </w:r>
    </w:p>
    <w:p>
      <w:pPr>
        <w:numPr>
          <w:ilvl w:val="0"/>
          <w:numId w:val="0"/>
        </w:numPr>
        <w:spacing w:line="360" w:lineRule="auto"/>
        <w:ind w:leftChars="0"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6、电能计量装置应满足发电、供电、用电准确计量的要求。</w:t>
      </w:r>
    </w:p>
    <w:p>
      <w:pPr>
        <w:numPr>
          <w:ilvl w:val="0"/>
          <w:numId w:val="0"/>
        </w:numPr>
        <w:spacing w:line="360" w:lineRule="auto"/>
        <w:ind w:leftChars="0"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7、电气测量与电能计量仪表的装设位置见下表（按企业布置规范要求）</w:t>
      </w:r>
    </w:p>
    <w:p>
      <w:pPr>
        <w:numPr>
          <w:ilvl w:val="0"/>
          <w:numId w:val="0"/>
        </w:numPr>
        <w:spacing w:line="360" w:lineRule="auto"/>
        <w:ind w:leftChars="200"/>
        <w:rPr>
          <w:rFonts w:hint="default" w:ascii="宋体" w:cs="宋体"/>
          <w:kern w:val="0"/>
          <w:sz w:val="28"/>
          <w:szCs w:val="28"/>
          <w:lang w:val="en-US" w:eastAsia="zh-CN"/>
        </w:rPr>
      </w:pPr>
      <w:r>
        <w:drawing>
          <wp:inline distT="0" distB="0" distL="114300" distR="114300">
            <wp:extent cx="5758815" cy="2940685"/>
            <wp:effectExtent l="0" t="0" r="13335" b="12065"/>
            <wp:docPr id="20"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6"/>
                    <pic:cNvPicPr>
                      <a:picLocks noChangeAspect="1"/>
                    </pic:cNvPicPr>
                  </pic:nvPicPr>
                  <pic:blipFill>
                    <a:blip r:embed="rId17"/>
                    <a:stretch>
                      <a:fillRect/>
                    </a:stretch>
                  </pic:blipFill>
                  <pic:spPr>
                    <a:xfrm>
                      <a:off x="0" y="0"/>
                      <a:ext cx="5758815" cy="2940685"/>
                    </a:xfrm>
                    <a:prstGeom prst="rect">
                      <a:avLst/>
                    </a:prstGeom>
                    <a:noFill/>
                    <a:ln>
                      <a:noFill/>
                    </a:ln>
                  </pic:spPr>
                </pic:pic>
              </a:graphicData>
            </a:graphic>
          </wp:inline>
        </w:drawing>
      </w:r>
    </w:p>
    <w:p>
      <w:pPr>
        <w:numPr>
          <w:ilvl w:val="0"/>
          <w:numId w:val="0"/>
        </w:numPr>
        <w:spacing w:line="360" w:lineRule="auto"/>
        <w:ind w:leftChars="0"/>
        <w:outlineLvl w:val="9"/>
        <w:rPr>
          <w:rFonts w:hint="eastAsia" w:ascii="宋体" w:cs="宋体"/>
          <w:kern w:val="0"/>
          <w:sz w:val="28"/>
          <w:szCs w:val="28"/>
          <w:lang w:val="en-US" w:eastAsia="zh-CN"/>
        </w:rPr>
      </w:pPr>
      <w:r>
        <w:rPr>
          <w:rFonts w:hint="eastAsia" w:ascii="宋体" w:cs="宋体"/>
          <w:kern w:val="0"/>
          <w:sz w:val="28"/>
          <w:szCs w:val="28"/>
          <w:lang w:val="en-US" w:eastAsia="zh-CN"/>
        </w:rPr>
        <w:t>8、回路的保护及控制、信号回路的设备选择设计按照工业与民用供配电设计手册8.4进行计算选择。</w:t>
      </w:r>
    </w:p>
    <w:p>
      <w:pPr>
        <w:numPr>
          <w:ilvl w:val="0"/>
          <w:numId w:val="0"/>
        </w:numPr>
        <w:spacing w:line="360" w:lineRule="auto"/>
        <w:ind w:leftChars="0"/>
        <w:outlineLvl w:val="9"/>
        <w:rPr>
          <w:rFonts w:hint="default" w:ascii="Times New Roman" w:hAnsi="Times New Roman" w:eastAsia="宋体" w:cs="Times New Roman"/>
          <w:b/>
          <w:kern w:val="0"/>
          <w:sz w:val="28"/>
          <w:szCs w:val="21"/>
          <w:lang w:val="en-US" w:eastAsia="zh-CN" w:bidi="ar-SA"/>
        </w:rPr>
      </w:pPr>
      <w:r>
        <w:rPr>
          <w:rFonts w:hint="eastAsia" w:ascii="宋体" w:cs="宋体"/>
          <w:kern w:val="0"/>
          <w:sz w:val="28"/>
          <w:szCs w:val="28"/>
          <w:lang w:val="en-US" w:eastAsia="zh-CN"/>
        </w:rPr>
        <w:t>9、其他用于电力部门计量的，按批复文件进行设计。</w:t>
      </w:r>
    </w:p>
    <w:p>
      <w:pPr>
        <w:spacing w:line="360" w:lineRule="auto"/>
        <w:outlineLvl w:val="2"/>
        <w:rPr>
          <w:rFonts w:hint="eastAsia" w:ascii="Times New Roman" w:hAnsi="Times New Roman" w:eastAsia="宋体" w:cs="Times New Roman"/>
          <w:b/>
          <w:kern w:val="0"/>
          <w:sz w:val="28"/>
          <w:szCs w:val="21"/>
          <w:lang w:val="en-US" w:eastAsia="zh-CN" w:bidi="ar-SA"/>
        </w:rPr>
      </w:pPr>
      <w:bookmarkStart w:id="120" w:name="_Toc5054"/>
      <w:r>
        <w:rPr>
          <w:rFonts w:hint="eastAsia" w:ascii="Times New Roman" w:hAnsi="Times New Roman" w:eastAsia="宋体" w:cs="Times New Roman"/>
          <w:b/>
          <w:kern w:val="0"/>
          <w:sz w:val="28"/>
          <w:szCs w:val="21"/>
          <w:lang w:val="en-US" w:eastAsia="zh-CN" w:bidi="ar-SA"/>
        </w:rPr>
        <w:t>2.2.1</w:t>
      </w:r>
      <w:r>
        <w:rPr>
          <w:rFonts w:hint="eastAsia" w:cs="Times New Roman"/>
          <w:b/>
          <w:kern w:val="0"/>
          <w:sz w:val="28"/>
          <w:szCs w:val="21"/>
          <w:lang w:val="en-US" w:eastAsia="zh-CN" w:bidi="ar-SA"/>
        </w:rPr>
        <w:t>3</w:t>
      </w:r>
      <w:r>
        <w:rPr>
          <w:rFonts w:hint="eastAsia" w:ascii="Times New Roman" w:hAnsi="Times New Roman" w:eastAsia="宋体" w:cs="Times New Roman"/>
          <w:b/>
          <w:kern w:val="0"/>
          <w:sz w:val="28"/>
          <w:szCs w:val="21"/>
          <w:lang w:val="en-US" w:eastAsia="zh-CN" w:bidi="ar-SA"/>
        </w:rPr>
        <w:t>防雷接地</w:t>
      </w:r>
      <w:bookmarkEnd w:id="120"/>
    </w:p>
    <w:p>
      <w:pPr>
        <w:spacing w:line="360" w:lineRule="auto"/>
        <w:ind w:left="0" w:leftChars="0" w:firstLine="420" w:firstLineChars="150"/>
        <w:outlineLvl w:val="9"/>
        <w:rPr>
          <w:rFonts w:hint="eastAsia" w:ascii="宋体" w:cs="宋体"/>
          <w:kern w:val="0"/>
          <w:sz w:val="28"/>
          <w:szCs w:val="28"/>
          <w:lang w:val="en-US" w:eastAsia="zh-CN"/>
        </w:rPr>
      </w:pPr>
      <w:r>
        <w:rPr>
          <w:rFonts w:hint="eastAsia" w:ascii="宋体" w:cs="宋体"/>
          <w:kern w:val="0"/>
          <w:sz w:val="28"/>
          <w:szCs w:val="28"/>
          <w:lang w:val="en-US" w:eastAsia="zh-CN"/>
        </w:rPr>
        <w:t>1、本站为半户内站，避雷针、避雷带按照规范设计配置。</w:t>
      </w:r>
    </w:p>
    <w:p>
      <w:pPr>
        <w:spacing w:line="360" w:lineRule="auto"/>
        <w:ind w:left="0" w:leftChars="0" w:firstLine="420" w:firstLineChars="150"/>
        <w:outlineLvl w:val="9"/>
        <w:rPr>
          <w:rFonts w:hint="default" w:ascii="宋体" w:cs="宋体"/>
          <w:kern w:val="0"/>
          <w:sz w:val="28"/>
          <w:szCs w:val="28"/>
          <w:lang w:val="en-US" w:eastAsia="zh-CN"/>
        </w:rPr>
      </w:pPr>
      <w:r>
        <w:rPr>
          <w:rFonts w:hint="eastAsia" w:ascii="宋体" w:cs="宋体"/>
          <w:kern w:val="0"/>
          <w:sz w:val="28"/>
          <w:szCs w:val="28"/>
          <w:lang w:val="en-US" w:eastAsia="zh-CN"/>
        </w:rPr>
        <w:t>2、</w:t>
      </w:r>
      <w:r>
        <w:rPr>
          <w:rFonts w:hint="default" w:ascii="宋体" w:cs="宋体"/>
          <w:kern w:val="0"/>
          <w:sz w:val="28"/>
          <w:szCs w:val="28"/>
          <w:lang w:val="en-US" w:eastAsia="zh-CN"/>
        </w:rPr>
        <w:t>变电站四周与人行道相邻处，设置与主接地网相连的均压带。按规程、反措的要求，变电站内采取防静电接地及保护接地措施，对装有微机保护、微机监控系统的电气二次设备采用铜排接地，且电气二次设备的接地点须与高压配电装置接地点分开并远离，以免干扰二次设备运行。</w:t>
      </w:r>
    </w:p>
    <w:p>
      <w:pPr>
        <w:pStyle w:val="2"/>
        <w:ind w:left="0" w:leftChars="0" w:firstLine="420" w:firstLineChars="150"/>
        <w:rPr>
          <w:rFonts w:hint="eastAsia" w:ascii="宋体" w:cs="宋体"/>
          <w:kern w:val="0"/>
          <w:sz w:val="28"/>
          <w:szCs w:val="28"/>
          <w:lang w:val="en-US" w:eastAsia="zh-CN"/>
        </w:rPr>
      </w:pPr>
      <w:r>
        <w:rPr>
          <w:rFonts w:hint="eastAsia" w:ascii="宋体" w:cs="宋体"/>
          <w:kern w:val="0"/>
          <w:sz w:val="28"/>
          <w:szCs w:val="28"/>
          <w:lang w:val="en-US" w:eastAsia="zh-CN"/>
        </w:rPr>
        <w:t>3、变（配）电站每段高压母线上必须装设避雷器。接在母线上的避雷器和电压互感器，合用一组隔离开关。</w:t>
      </w:r>
    </w:p>
    <w:p>
      <w:pPr>
        <w:pStyle w:val="2"/>
        <w:ind w:left="0" w:leftChars="0" w:firstLine="420" w:firstLineChars="150"/>
        <w:rPr>
          <w:rFonts w:hint="default" w:ascii="宋体" w:cs="宋体"/>
          <w:kern w:val="0"/>
          <w:sz w:val="28"/>
          <w:szCs w:val="28"/>
          <w:lang w:val="en-US" w:eastAsia="zh-CN"/>
        </w:rPr>
      </w:pPr>
      <w:r>
        <w:rPr>
          <w:rFonts w:hint="eastAsia" w:ascii="宋体" w:cs="宋体"/>
          <w:kern w:val="0"/>
          <w:sz w:val="28"/>
          <w:szCs w:val="28"/>
          <w:lang w:val="en-US" w:eastAsia="zh-CN"/>
        </w:rPr>
        <w:t>4、避雷器采用无间隙氧化锌避雷器。</w:t>
      </w:r>
    </w:p>
    <w:p>
      <w:pPr>
        <w:pStyle w:val="2"/>
        <w:ind w:left="422" w:leftChars="0" w:hanging="422" w:hangingChars="150"/>
        <w:outlineLvl w:val="2"/>
        <w:rPr>
          <w:rFonts w:hint="eastAsia" w:ascii="Times New Roman" w:hAnsi="Times New Roman" w:eastAsia="宋体" w:cs="Times New Roman"/>
          <w:b/>
          <w:kern w:val="0"/>
          <w:sz w:val="28"/>
          <w:szCs w:val="21"/>
          <w:lang w:val="en-US" w:eastAsia="zh-CN" w:bidi="ar-SA"/>
        </w:rPr>
      </w:pPr>
      <w:bookmarkStart w:id="121" w:name="_Toc1019"/>
      <w:r>
        <w:rPr>
          <w:rFonts w:hint="eastAsia" w:ascii="Times New Roman" w:hAnsi="Times New Roman" w:eastAsia="宋体" w:cs="Times New Roman"/>
          <w:b/>
          <w:kern w:val="0"/>
          <w:sz w:val="28"/>
          <w:szCs w:val="21"/>
          <w:lang w:val="en-US" w:eastAsia="zh-CN" w:bidi="ar-SA"/>
        </w:rPr>
        <w:t>2.2.14套管</w:t>
      </w:r>
      <w:bookmarkEnd w:id="121"/>
    </w:p>
    <w:p>
      <w:pPr>
        <w:pStyle w:val="2"/>
        <w:ind w:left="0" w:leftChars="0" w:firstLine="420" w:firstLineChars="150"/>
        <w:rPr>
          <w:rFonts w:hint="eastAsia" w:ascii="宋体" w:cs="宋体"/>
          <w:kern w:val="0"/>
          <w:sz w:val="28"/>
          <w:szCs w:val="28"/>
          <w:lang w:val="en-US" w:eastAsia="zh-CN"/>
        </w:rPr>
      </w:pPr>
      <w:r>
        <w:rPr>
          <w:rFonts w:hint="eastAsia" w:ascii="宋体" w:cs="宋体"/>
          <w:kern w:val="0"/>
          <w:sz w:val="28"/>
          <w:szCs w:val="28"/>
          <w:lang w:val="en-US" w:eastAsia="zh-CN"/>
        </w:rPr>
        <w:t>1、</w:t>
      </w:r>
      <w:r>
        <w:rPr>
          <w:rFonts w:hint="eastAsia" w:ascii="宋体" w:cs="宋体"/>
          <w:color w:val="auto"/>
          <w:kern w:val="0"/>
          <w:sz w:val="28"/>
          <w:szCs w:val="28"/>
          <w:lang w:val="en-US" w:eastAsia="zh-CN" w:bidi="ar-SA"/>
        </w:rPr>
        <w:t>变压器</w:t>
      </w:r>
      <w:r>
        <w:rPr>
          <w:rFonts w:hint="eastAsia" w:ascii="宋体" w:hAnsi="Times New Roman" w:eastAsia="宋体" w:cs="宋体"/>
          <w:color w:val="auto"/>
          <w:kern w:val="0"/>
          <w:sz w:val="28"/>
          <w:szCs w:val="28"/>
          <w:lang w:val="en-US" w:eastAsia="zh-CN" w:bidi="ar-SA"/>
        </w:rPr>
        <w:t>应采用玻璃钢干式套管</w:t>
      </w:r>
      <w:r>
        <w:rPr>
          <w:rFonts w:hint="eastAsia" w:ascii="宋体" w:cs="宋体"/>
          <w:kern w:val="0"/>
          <w:sz w:val="28"/>
          <w:szCs w:val="28"/>
          <w:lang w:val="en-US" w:eastAsia="zh-CN"/>
        </w:rPr>
        <w:t>。</w:t>
      </w:r>
    </w:p>
    <w:p>
      <w:pPr>
        <w:pStyle w:val="2"/>
        <w:ind w:left="0" w:leftChars="0" w:firstLine="420" w:firstLineChars="150"/>
        <w:rPr>
          <w:rFonts w:hint="eastAsia" w:ascii="宋体" w:cs="宋体"/>
          <w:kern w:val="0"/>
          <w:sz w:val="28"/>
          <w:szCs w:val="28"/>
          <w:lang w:val="en-US" w:eastAsia="zh-CN"/>
        </w:rPr>
      </w:pPr>
      <w:r>
        <w:rPr>
          <w:rFonts w:hint="eastAsia" w:ascii="宋体" w:cs="宋体"/>
          <w:kern w:val="0"/>
          <w:sz w:val="28"/>
          <w:szCs w:val="28"/>
          <w:lang w:val="en-US" w:eastAsia="zh-CN"/>
        </w:rPr>
        <w:t>2、套管应不渗漏。玻璃钢干式套管应有易于从地面检查油位的油位指示器。</w:t>
      </w:r>
    </w:p>
    <w:p>
      <w:pPr>
        <w:pStyle w:val="2"/>
        <w:ind w:left="0" w:leftChars="0" w:firstLine="420" w:firstLineChars="150"/>
        <w:rPr>
          <w:rFonts w:hint="eastAsia" w:ascii="宋体" w:cs="宋体"/>
          <w:kern w:val="0"/>
          <w:sz w:val="28"/>
          <w:szCs w:val="28"/>
          <w:lang w:val="en-US" w:eastAsia="zh-CN"/>
        </w:rPr>
      </w:pPr>
      <w:r>
        <w:rPr>
          <w:rFonts w:hint="eastAsia" w:ascii="宋体" w:cs="宋体"/>
          <w:kern w:val="0"/>
          <w:sz w:val="28"/>
          <w:szCs w:val="28"/>
          <w:lang w:val="en-US" w:eastAsia="zh-CN"/>
        </w:rPr>
        <w:t>3、每个套管应有一个可变化方向的平板式接线端子，以便于安装与电网的连接线。</w:t>
      </w:r>
    </w:p>
    <w:p>
      <w:pPr>
        <w:pStyle w:val="2"/>
        <w:ind w:left="0" w:leftChars="0" w:firstLine="420" w:firstLineChars="150"/>
        <w:rPr>
          <w:rFonts w:hint="eastAsia" w:ascii="宋体" w:cs="宋体"/>
          <w:kern w:val="0"/>
          <w:sz w:val="28"/>
          <w:szCs w:val="28"/>
          <w:lang w:val="en-US" w:eastAsia="zh-CN"/>
        </w:rPr>
      </w:pPr>
      <w:r>
        <w:rPr>
          <w:rFonts w:hint="eastAsia" w:ascii="宋体" w:cs="宋体"/>
          <w:kern w:val="0"/>
          <w:sz w:val="28"/>
          <w:szCs w:val="28"/>
          <w:lang w:val="en-US" w:eastAsia="zh-CN"/>
        </w:rPr>
        <w:t>4、伞裙应采用大小伞，伞裙的宽度、伞间距等应符合IEC 60815之规定，其两伞裙伸出之差不小于15mm，相邻裙间高与大裙伸出长度之比应大于0.9。</w:t>
      </w:r>
    </w:p>
    <w:p>
      <w:pPr>
        <w:pStyle w:val="2"/>
        <w:ind w:left="0" w:leftChars="0" w:firstLine="420" w:firstLineChars="150"/>
        <w:rPr>
          <w:rFonts w:hint="eastAsia" w:ascii="宋体" w:cs="宋体"/>
          <w:kern w:val="0"/>
          <w:sz w:val="28"/>
          <w:szCs w:val="28"/>
          <w:lang w:val="en-US" w:eastAsia="zh-CN"/>
        </w:rPr>
      </w:pPr>
      <w:r>
        <w:rPr>
          <w:rFonts w:hint="eastAsia" w:ascii="宋体" w:cs="宋体"/>
          <w:kern w:val="0"/>
          <w:sz w:val="28"/>
          <w:szCs w:val="28"/>
          <w:lang w:val="en-US" w:eastAsia="zh-CN"/>
        </w:rPr>
        <w:t>5、套管的试验和其他的性能要求应符合GB/T 4109规定。</w:t>
      </w:r>
    </w:p>
    <w:p>
      <w:pPr>
        <w:pStyle w:val="2"/>
        <w:ind w:left="422" w:leftChars="0" w:hanging="422" w:hangingChars="150"/>
        <w:outlineLvl w:val="2"/>
        <w:rPr>
          <w:rFonts w:hint="eastAsia" w:ascii="Times New Roman" w:hAnsi="Times New Roman" w:eastAsia="宋体" w:cs="Times New Roman"/>
          <w:b/>
          <w:kern w:val="0"/>
          <w:sz w:val="28"/>
          <w:szCs w:val="21"/>
          <w:lang w:val="en-US" w:eastAsia="zh-CN" w:bidi="ar-SA"/>
        </w:rPr>
      </w:pPr>
      <w:bookmarkStart w:id="122" w:name="_Toc30260"/>
      <w:r>
        <w:rPr>
          <w:rFonts w:hint="eastAsia" w:ascii="Times New Roman" w:hAnsi="Times New Roman" w:eastAsia="宋体" w:cs="Times New Roman"/>
          <w:b/>
          <w:kern w:val="0"/>
          <w:sz w:val="28"/>
          <w:szCs w:val="21"/>
          <w:lang w:val="en-US" w:eastAsia="zh-CN" w:bidi="ar-SA"/>
        </w:rPr>
        <w:t>2.2.15直流系统</w:t>
      </w:r>
      <w:bookmarkEnd w:id="122"/>
    </w:p>
    <w:p>
      <w:pPr>
        <w:pStyle w:val="2"/>
        <w:numPr>
          <w:ilvl w:val="0"/>
          <w:numId w:val="23"/>
        </w:numPr>
        <w:ind w:left="0" w:leftChars="0" w:firstLine="0" w:firstLineChars="0"/>
        <w:rPr>
          <w:rFonts w:hint="eastAsia" w:ascii="宋体" w:cs="宋体"/>
          <w:kern w:val="0"/>
          <w:sz w:val="28"/>
          <w:szCs w:val="28"/>
          <w:lang w:val="en-US" w:eastAsia="zh-CN" w:bidi="ar-SA"/>
        </w:rPr>
      </w:pPr>
      <w:r>
        <w:rPr>
          <w:rFonts w:hint="default" w:ascii="宋体" w:hAnsi="Times New Roman" w:eastAsia="宋体" w:cs="宋体"/>
          <w:kern w:val="0"/>
          <w:sz w:val="28"/>
          <w:szCs w:val="28"/>
          <w:lang w:val="en-US" w:eastAsia="zh-CN" w:bidi="ar-SA"/>
        </w:rPr>
        <w:t>变电站的直流母线，采用单母线分段的接线</w:t>
      </w:r>
      <w:r>
        <w:rPr>
          <w:rFonts w:hint="eastAsia" w:ascii="宋体" w:cs="宋体"/>
          <w:kern w:val="0"/>
          <w:sz w:val="28"/>
          <w:szCs w:val="28"/>
          <w:lang w:val="en-US" w:eastAsia="zh-CN" w:bidi="ar-SA"/>
        </w:rPr>
        <w:t>，</w:t>
      </w:r>
      <w:r>
        <w:rPr>
          <w:rFonts w:hint="default" w:ascii="宋体" w:hAnsi="Times New Roman" w:eastAsia="宋体" w:cs="宋体"/>
          <w:kern w:val="0"/>
          <w:sz w:val="28"/>
          <w:szCs w:val="28"/>
          <w:lang w:val="en-US" w:eastAsia="zh-CN" w:bidi="ar-SA"/>
        </w:rPr>
        <w:t>蓄电池应能切换至任一母线</w:t>
      </w:r>
      <w:r>
        <w:rPr>
          <w:rFonts w:hint="eastAsia" w:ascii="宋体" w:cs="宋体"/>
          <w:kern w:val="0"/>
          <w:sz w:val="28"/>
          <w:szCs w:val="28"/>
          <w:lang w:val="en-US" w:eastAsia="zh-CN" w:bidi="ar-SA"/>
        </w:rPr>
        <w:t>。</w:t>
      </w:r>
    </w:p>
    <w:p>
      <w:pPr>
        <w:pStyle w:val="2"/>
        <w:numPr>
          <w:ilvl w:val="0"/>
          <w:numId w:val="23"/>
        </w:numPr>
        <w:ind w:left="0" w:leftChars="0" w:firstLine="0" w:firstLineChars="0"/>
        <w:rPr>
          <w:rFonts w:hint="default" w:ascii="宋体" w:cs="宋体"/>
          <w:kern w:val="0"/>
          <w:sz w:val="28"/>
          <w:szCs w:val="28"/>
          <w:lang w:val="en-US" w:eastAsia="zh-CN" w:bidi="ar-SA"/>
        </w:rPr>
      </w:pPr>
      <w:r>
        <w:rPr>
          <w:rFonts w:hint="eastAsia" w:ascii="宋体" w:cs="宋体"/>
          <w:kern w:val="0"/>
          <w:sz w:val="28"/>
          <w:szCs w:val="28"/>
          <w:lang w:val="en-US" w:eastAsia="zh-CN" w:bidi="ar-SA"/>
        </w:rPr>
        <w:t>配置一套一体化直流电源系统。</w:t>
      </w:r>
    </w:p>
    <w:p>
      <w:pPr>
        <w:pStyle w:val="2"/>
        <w:ind w:left="422" w:leftChars="0" w:hanging="422" w:hangingChars="150"/>
        <w:outlineLvl w:val="2"/>
        <w:rPr>
          <w:rFonts w:hint="eastAsia" w:ascii="Times New Roman" w:hAnsi="Times New Roman" w:eastAsia="宋体" w:cs="Times New Roman"/>
          <w:b/>
          <w:kern w:val="0"/>
          <w:sz w:val="28"/>
          <w:szCs w:val="21"/>
          <w:lang w:val="en-US" w:eastAsia="zh-CN" w:bidi="ar-SA"/>
        </w:rPr>
      </w:pPr>
      <w:bookmarkStart w:id="123" w:name="_Toc15849"/>
      <w:r>
        <w:rPr>
          <w:rFonts w:hint="eastAsia" w:ascii="Times New Roman" w:hAnsi="Times New Roman" w:eastAsia="宋体" w:cs="Times New Roman"/>
          <w:b/>
          <w:kern w:val="0"/>
          <w:sz w:val="28"/>
          <w:szCs w:val="21"/>
          <w:lang w:val="en-US" w:eastAsia="zh-CN" w:bidi="ar-SA"/>
        </w:rPr>
        <w:t>2.2.16管母</w:t>
      </w:r>
      <w:bookmarkEnd w:id="123"/>
    </w:p>
    <w:p>
      <w:pPr>
        <w:pStyle w:val="2"/>
        <w:numPr>
          <w:ilvl w:val="0"/>
          <w:numId w:val="24"/>
        </w:numPr>
        <w:ind w:left="0" w:leftChars="0" w:firstLine="0" w:firstLineChars="0"/>
        <w:rPr>
          <w:rFonts w:hint="eastAsia" w:ascii="宋体" w:hAnsi="Times New Roman" w:eastAsia="宋体" w:cs="宋体"/>
          <w:kern w:val="0"/>
          <w:sz w:val="28"/>
          <w:szCs w:val="28"/>
          <w:lang w:val="en-US" w:eastAsia="zh-CN" w:bidi="ar-SA"/>
        </w:rPr>
      </w:pPr>
      <w:r>
        <w:rPr>
          <w:rFonts w:hint="eastAsia" w:ascii="宋体" w:hAnsi="Times New Roman" w:eastAsia="宋体" w:cs="宋体"/>
          <w:kern w:val="0"/>
          <w:sz w:val="28"/>
          <w:szCs w:val="28"/>
          <w:lang w:val="en-US" w:eastAsia="zh-CN" w:bidi="ar-SA"/>
        </w:rPr>
        <w:t>变压器至10kV开关柜电缆采用管母形式，额定电流</w:t>
      </w:r>
      <w:r>
        <w:rPr>
          <w:rFonts w:hint="eastAsia" w:ascii="宋体" w:cs="宋体"/>
          <w:kern w:val="0"/>
          <w:sz w:val="28"/>
          <w:szCs w:val="28"/>
          <w:lang w:val="en-US" w:eastAsia="zh-CN" w:bidi="ar-SA"/>
        </w:rPr>
        <w:t>4000</w:t>
      </w:r>
      <w:r>
        <w:rPr>
          <w:rFonts w:hint="eastAsia" w:ascii="宋体" w:hAnsi="Times New Roman" w:eastAsia="宋体" w:cs="宋体"/>
          <w:kern w:val="0"/>
          <w:sz w:val="28"/>
          <w:szCs w:val="28"/>
          <w:lang w:val="en-US" w:eastAsia="zh-CN" w:bidi="ar-SA"/>
        </w:rPr>
        <w:t>A，母线导体采用纯铜管制造，纯度99.90%</w:t>
      </w:r>
      <w:r>
        <w:rPr>
          <w:rFonts w:hint="eastAsia" w:ascii="宋体" w:cs="宋体"/>
          <w:kern w:val="0"/>
          <w:sz w:val="28"/>
          <w:szCs w:val="28"/>
          <w:lang w:val="en-US" w:eastAsia="zh-CN" w:bidi="ar-SA"/>
        </w:rPr>
        <w:t>，并应符合GB 5231-2012的规定，导电率≥98%，导体截面应满足招标产品额定电流1.05倍负载下安全运行的要求</w:t>
      </w:r>
      <w:r>
        <w:rPr>
          <w:rFonts w:hint="eastAsia" w:ascii="宋体" w:hAnsi="Times New Roman" w:eastAsia="宋体" w:cs="宋体"/>
          <w:kern w:val="0"/>
          <w:sz w:val="28"/>
          <w:szCs w:val="28"/>
          <w:lang w:val="en-US" w:eastAsia="zh-CN" w:bidi="ar-SA"/>
        </w:rPr>
        <w:t>。</w:t>
      </w:r>
    </w:p>
    <w:p>
      <w:pPr>
        <w:pStyle w:val="2"/>
        <w:numPr>
          <w:ilvl w:val="0"/>
          <w:numId w:val="24"/>
        </w:numPr>
        <w:ind w:left="0" w:leftChars="0" w:firstLine="0" w:firstLineChars="0"/>
        <w:rPr>
          <w:rFonts w:hint="default" w:ascii="宋体" w:hAnsi="Times New Roman" w:eastAsia="宋体" w:cs="宋体"/>
          <w:kern w:val="0"/>
          <w:sz w:val="28"/>
          <w:szCs w:val="28"/>
          <w:lang w:val="en-US" w:eastAsia="zh-CN" w:bidi="ar-SA"/>
        </w:rPr>
      </w:pPr>
      <w:r>
        <w:rPr>
          <w:rFonts w:hint="default" w:ascii="宋体" w:hAnsi="Times New Roman" w:eastAsia="宋体" w:cs="宋体"/>
          <w:kern w:val="0"/>
          <w:sz w:val="28"/>
          <w:szCs w:val="28"/>
          <w:lang w:val="en-US" w:eastAsia="zh-CN" w:bidi="ar-SA"/>
        </w:rPr>
        <w:t>可用于户内外一般和腐蚀环境；可靠性和抗震能力高于裸母线和半绝缘母线，安全系数高；安装方便、维护工作量少，能有效防止潮气和凝露；设有接地的屏蔽层，使表面电位为零。</w:t>
      </w:r>
    </w:p>
    <w:p>
      <w:pPr>
        <w:pStyle w:val="2"/>
        <w:numPr>
          <w:ilvl w:val="0"/>
          <w:numId w:val="0"/>
        </w:numPr>
        <w:ind w:left="0" w:leftChars="0" w:firstLine="420" w:firstLineChars="150"/>
        <w:rPr>
          <w:rFonts w:hint="default" w:ascii="宋体" w:cs="宋体"/>
          <w:kern w:val="0"/>
          <w:sz w:val="28"/>
          <w:szCs w:val="28"/>
          <w:lang w:val="en-US" w:eastAsia="zh-CN" w:bidi="ar-SA"/>
        </w:rPr>
      </w:pPr>
      <w:r>
        <w:rPr>
          <w:rFonts w:hint="default" w:ascii="宋体" w:cs="宋体"/>
          <w:kern w:val="0"/>
          <w:sz w:val="28"/>
          <w:szCs w:val="28"/>
          <w:lang w:val="en-US" w:eastAsia="zh-CN" w:bidi="ar-SA"/>
        </w:rPr>
        <w:t>（1）绝缘水平高，工频耐压时间按 5min计算，有效防止闪络与爆炸；</w:t>
      </w:r>
    </w:p>
    <w:p>
      <w:pPr>
        <w:pStyle w:val="2"/>
        <w:numPr>
          <w:ilvl w:val="0"/>
          <w:numId w:val="0"/>
        </w:numPr>
        <w:ind w:left="0" w:leftChars="0" w:firstLine="420" w:firstLineChars="150"/>
        <w:rPr>
          <w:rFonts w:hint="default" w:ascii="宋体" w:cs="宋体"/>
          <w:kern w:val="0"/>
          <w:sz w:val="28"/>
          <w:szCs w:val="28"/>
          <w:lang w:val="en-US" w:eastAsia="zh-CN" w:bidi="ar-SA"/>
        </w:rPr>
      </w:pPr>
      <w:r>
        <w:rPr>
          <w:rFonts w:hint="default" w:ascii="宋体" w:cs="宋体"/>
          <w:kern w:val="0"/>
          <w:sz w:val="28"/>
          <w:szCs w:val="28"/>
          <w:lang w:val="en-US" w:eastAsia="zh-CN" w:bidi="ar-SA"/>
        </w:rPr>
        <w:t>（2）导体长期允许最高工作温度 90℃，按环境温度 60℃设计，保证绝缘材料寿命30年；</w:t>
      </w:r>
    </w:p>
    <w:p>
      <w:pPr>
        <w:pStyle w:val="2"/>
        <w:numPr>
          <w:ilvl w:val="0"/>
          <w:numId w:val="0"/>
        </w:numPr>
        <w:ind w:left="0" w:leftChars="0" w:firstLine="420" w:firstLineChars="150"/>
        <w:rPr>
          <w:rFonts w:hint="default" w:ascii="宋体" w:cs="宋体"/>
          <w:kern w:val="0"/>
          <w:sz w:val="28"/>
          <w:szCs w:val="28"/>
          <w:lang w:val="en-US" w:eastAsia="zh-CN" w:bidi="ar-SA"/>
        </w:rPr>
      </w:pPr>
      <w:r>
        <w:rPr>
          <w:rFonts w:hint="default" w:ascii="宋体" w:cs="宋体"/>
          <w:kern w:val="0"/>
          <w:sz w:val="28"/>
          <w:szCs w:val="28"/>
          <w:lang w:val="en-US" w:eastAsia="zh-CN" w:bidi="ar-SA"/>
        </w:rPr>
        <w:t>（3）截面利用率高，节约导体材料。</w:t>
      </w:r>
    </w:p>
    <w:p>
      <w:pPr>
        <w:pStyle w:val="2"/>
        <w:ind w:left="422" w:leftChars="0" w:hanging="422" w:hangingChars="150"/>
        <w:outlineLvl w:val="2"/>
        <w:rPr>
          <w:rFonts w:hint="default" w:ascii="Times New Roman" w:hAnsi="Times New Roman" w:eastAsia="宋体" w:cs="Times New Roman"/>
          <w:b/>
          <w:kern w:val="0"/>
          <w:sz w:val="28"/>
          <w:szCs w:val="21"/>
          <w:lang w:val="en-US" w:eastAsia="zh-CN" w:bidi="ar-SA"/>
        </w:rPr>
      </w:pPr>
      <w:bookmarkStart w:id="124" w:name="_Toc5659"/>
      <w:r>
        <w:rPr>
          <w:rFonts w:hint="eastAsia" w:ascii="Times New Roman" w:hAnsi="Times New Roman" w:eastAsia="宋体" w:cs="Times New Roman"/>
          <w:b/>
          <w:kern w:val="0"/>
          <w:sz w:val="28"/>
          <w:szCs w:val="21"/>
          <w:lang w:val="en-US" w:eastAsia="zh-CN" w:bidi="ar-SA"/>
        </w:rPr>
        <w:t>2.2.17母线</w:t>
      </w:r>
      <w:bookmarkEnd w:id="124"/>
    </w:p>
    <w:p>
      <w:pPr>
        <w:pStyle w:val="230"/>
        <w:numPr>
          <w:ilvl w:val="0"/>
          <w:numId w:val="25"/>
        </w:numPr>
        <w:ind w:left="576" w:leftChars="0" w:hanging="366" w:firstLineChars="0"/>
        <w:jc w:val="both"/>
        <w:outlineLvl w:val="9"/>
        <w:rPr>
          <w:rFonts w:hint="default" w:ascii="Times New Roman" w:hAnsi="Times New Roman" w:eastAsia="宋体" w:cs="Times New Roman"/>
          <w:b w:val="0"/>
          <w:bCs/>
          <w:color w:val="000000"/>
          <w:kern w:val="2"/>
          <w:sz w:val="28"/>
          <w:szCs w:val="28"/>
          <w:lang w:val="en-US" w:eastAsia="zh-CN" w:bidi="ar-SA"/>
        </w:rPr>
      </w:pPr>
      <w:bookmarkStart w:id="125" w:name="_Toc8260"/>
      <w:r>
        <w:rPr>
          <w:rFonts w:hint="default" w:ascii="Times New Roman" w:hAnsi="Times New Roman" w:eastAsia="宋体" w:cs="Times New Roman"/>
          <w:b w:val="0"/>
          <w:bCs/>
          <w:color w:val="000000"/>
          <w:kern w:val="2"/>
          <w:sz w:val="28"/>
          <w:szCs w:val="28"/>
          <w:lang w:val="en-US" w:eastAsia="zh-CN" w:bidi="ar-SA"/>
        </w:rPr>
        <w:t>电压等级和绝缘水平</w:t>
      </w:r>
      <w:bookmarkEnd w:id="125"/>
    </w:p>
    <w:tbl>
      <w:tblPr>
        <w:tblStyle w:val="63"/>
        <w:tblW w:w="8079" w:type="dxa"/>
        <w:jc w:val="center"/>
        <w:tblCellSpacing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559"/>
        <w:gridCol w:w="1588"/>
        <w:gridCol w:w="1167"/>
        <w:gridCol w:w="1167"/>
        <w:gridCol w:w="25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5" w:hRule="atLeast"/>
          <w:tblCellSpacing w:w="0" w:type="dxa"/>
          <w:jc w:val="center"/>
        </w:trPr>
        <w:tc>
          <w:tcPr>
            <w:tcW w:w="1559" w:type="dxa"/>
            <w:vMerge w:val="restart"/>
            <w:shd w:val="clear" w:color="auto" w:fill="FFFFFF"/>
            <w:vAlign w:val="center"/>
          </w:tcPr>
          <w:p>
            <w:pPr>
              <w:jc w:val="center"/>
              <w:rPr>
                <w:rFonts w:hint="eastAsia" w:eastAsia="宋体"/>
                <w:color w:val="000000"/>
                <w:lang w:eastAsia="zh-CN"/>
              </w:rPr>
            </w:pPr>
            <w:r>
              <w:rPr>
                <w:rFonts w:hint="eastAsia"/>
                <w:color w:val="000000"/>
              </w:rPr>
              <w:t>额定电压</w:t>
            </w:r>
          </w:p>
          <w:p>
            <w:pPr>
              <w:jc w:val="center"/>
              <w:rPr>
                <w:rFonts w:hint="eastAsia" w:eastAsia="宋体"/>
                <w:color w:val="000000"/>
                <w:lang w:eastAsia="zh-CN"/>
              </w:rPr>
            </w:pPr>
            <w:r>
              <w:rPr>
                <w:rFonts w:hint="eastAsia"/>
                <w:color w:val="000000"/>
              </w:rPr>
              <w:t>（有效值）</w:t>
            </w:r>
          </w:p>
          <w:p>
            <w:pPr>
              <w:jc w:val="center"/>
              <w:rPr>
                <w:color w:val="000000"/>
              </w:rPr>
            </w:pPr>
            <w:r>
              <w:rPr>
                <w:rFonts w:hint="eastAsia"/>
                <w:color w:val="000000"/>
              </w:rPr>
              <w:t>kV</w:t>
            </w:r>
          </w:p>
        </w:tc>
        <w:tc>
          <w:tcPr>
            <w:tcW w:w="1588" w:type="dxa"/>
            <w:vMerge w:val="restart"/>
            <w:shd w:val="clear" w:color="auto" w:fill="FFFFFF"/>
            <w:vAlign w:val="center"/>
          </w:tcPr>
          <w:p>
            <w:pPr>
              <w:jc w:val="center"/>
              <w:rPr>
                <w:rFonts w:hint="eastAsia" w:eastAsia="宋体"/>
                <w:color w:val="000000"/>
                <w:lang w:eastAsia="zh-CN"/>
              </w:rPr>
            </w:pPr>
            <w:r>
              <w:rPr>
                <w:rFonts w:hint="eastAsia"/>
                <w:color w:val="000000"/>
              </w:rPr>
              <w:t>最高电压</w:t>
            </w:r>
          </w:p>
          <w:p>
            <w:pPr>
              <w:jc w:val="center"/>
              <w:rPr>
                <w:rFonts w:hint="eastAsia" w:eastAsia="宋体"/>
                <w:color w:val="000000"/>
                <w:lang w:eastAsia="zh-CN"/>
              </w:rPr>
            </w:pPr>
            <w:r>
              <w:rPr>
                <w:rFonts w:hint="eastAsia"/>
                <w:color w:val="000000"/>
              </w:rPr>
              <w:t>（有效值）</w:t>
            </w:r>
          </w:p>
          <w:p>
            <w:pPr>
              <w:jc w:val="center"/>
              <w:rPr>
                <w:color w:val="000000"/>
              </w:rPr>
            </w:pPr>
            <w:r>
              <w:rPr>
                <w:rFonts w:hint="eastAsia"/>
                <w:color w:val="000000"/>
              </w:rPr>
              <w:t>kV</w:t>
            </w:r>
          </w:p>
        </w:tc>
        <w:tc>
          <w:tcPr>
            <w:tcW w:w="4932" w:type="dxa"/>
            <w:gridSpan w:val="3"/>
            <w:shd w:val="clear" w:color="auto" w:fill="FFFFFF"/>
            <w:vAlign w:val="center"/>
          </w:tcPr>
          <w:p>
            <w:pPr>
              <w:jc w:val="center"/>
              <w:rPr>
                <w:color w:val="000000"/>
              </w:rPr>
            </w:pPr>
            <w:r>
              <w:rPr>
                <w:rFonts w:hint="eastAsia"/>
                <w:color w:val="000000"/>
              </w:rPr>
              <w:t>绝缘水平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atLeast"/>
          <w:tblCellSpacing w:w="0" w:type="dxa"/>
          <w:jc w:val="center"/>
        </w:trPr>
        <w:tc>
          <w:tcPr>
            <w:tcW w:w="1559" w:type="dxa"/>
            <w:vMerge w:val="continue"/>
            <w:shd w:val="clear" w:color="auto" w:fill="FFFFFF"/>
            <w:vAlign w:val="center"/>
          </w:tcPr>
          <w:p>
            <w:pPr>
              <w:ind w:left="716" w:leftChars="341" w:firstLine="2"/>
              <w:rPr>
                <w:color w:val="000000"/>
              </w:rPr>
            </w:pPr>
          </w:p>
        </w:tc>
        <w:tc>
          <w:tcPr>
            <w:tcW w:w="1588" w:type="dxa"/>
            <w:vMerge w:val="continue"/>
            <w:shd w:val="clear" w:color="auto" w:fill="FFFFFF"/>
            <w:vAlign w:val="center"/>
          </w:tcPr>
          <w:p>
            <w:pPr>
              <w:ind w:left="716" w:leftChars="341" w:firstLine="2"/>
              <w:rPr>
                <w:color w:val="000000"/>
              </w:rPr>
            </w:pPr>
          </w:p>
        </w:tc>
        <w:tc>
          <w:tcPr>
            <w:tcW w:w="2334" w:type="dxa"/>
            <w:gridSpan w:val="2"/>
            <w:shd w:val="clear" w:color="auto" w:fill="FFFFFF"/>
            <w:vAlign w:val="center"/>
          </w:tcPr>
          <w:p>
            <w:pPr>
              <w:jc w:val="center"/>
              <w:rPr>
                <w:rFonts w:hint="eastAsia" w:eastAsia="宋体"/>
                <w:color w:val="000000"/>
                <w:lang w:eastAsia="zh-CN"/>
              </w:rPr>
            </w:pPr>
            <w:r>
              <w:rPr>
                <w:rFonts w:hint="eastAsia"/>
                <w:color w:val="000000"/>
              </w:rPr>
              <w:t>额定1min工频耐受电压</w:t>
            </w:r>
          </w:p>
          <w:p>
            <w:pPr>
              <w:jc w:val="center"/>
              <w:rPr>
                <w:color w:val="000000"/>
              </w:rPr>
            </w:pPr>
            <w:r>
              <w:rPr>
                <w:rFonts w:hint="eastAsia"/>
                <w:color w:val="000000"/>
              </w:rPr>
              <w:t>kV</w:t>
            </w:r>
          </w:p>
        </w:tc>
        <w:tc>
          <w:tcPr>
            <w:tcW w:w="2598" w:type="dxa"/>
            <w:vMerge w:val="restart"/>
            <w:shd w:val="clear" w:color="auto" w:fill="FFFFFF"/>
            <w:vAlign w:val="center"/>
          </w:tcPr>
          <w:p>
            <w:pPr>
              <w:jc w:val="center"/>
              <w:rPr>
                <w:rFonts w:hint="eastAsia" w:eastAsia="宋体"/>
                <w:color w:val="000000"/>
                <w:lang w:eastAsia="zh-CN"/>
              </w:rPr>
            </w:pPr>
            <w:r>
              <w:rPr>
                <w:rFonts w:hint="eastAsia"/>
                <w:color w:val="000000"/>
              </w:rPr>
              <w:t>额定雷电冲击耐受电压</w:t>
            </w:r>
          </w:p>
          <w:p>
            <w:pPr>
              <w:jc w:val="center"/>
              <w:rPr>
                <w:rFonts w:hint="eastAsia" w:eastAsia="宋体"/>
                <w:color w:val="000000"/>
                <w:lang w:eastAsia="zh-CN"/>
              </w:rPr>
            </w:pPr>
            <w:r>
              <w:rPr>
                <w:rFonts w:hint="eastAsia"/>
                <w:color w:val="000000"/>
              </w:rPr>
              <w:t>（峰值）</w:t>
            </w:r>
          </w:p>
          <w:p>
            <w:pPr>
              <w:jc w:val="center"/>
              <w:rPr>
                <w:color w:val="000000"/>
              </w:rPr>
            </w:pPr>
            <w:r>
              <w:rPr>
                <w:rFonts w:hint="eastAsia"/>
                <w:color w:val="000000"/>
              </w:rPr>
              <w:t>kV</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5" w:hRule="atLeast"/>
          <w:tblCellSpacing w:w="0" w:type="dxa"/>
          <w:jc w:val="center"/>
        </w:trPr>
        <w:tc>
          <w:tcPr>
            <w:tcW w:w="1559" w:type="dxa"/>
            <w:vMerge w:val="continue"/>
            <w:shd w:val="clear" w:color="auto" w:fill="FFFFFF"/>
            <w:vAlign w:val="center"/>
          </w:tcPr>
          <w:p>
            <w:pPr>
              <w:ind w:left="716" w:leftChars="341" w:firstLine="2"/>
              <w:rPr>
                <w:color w:val="000000"/>
              </w:rPr>
            </w:pPr>
          </w:p>
        </w:tc>
        <w:tc>
          <w:tcPr>
            <w:tcW w:w="1588" w:type="dxa"/>
            <w:vMerge w:val="continue"/>
            <w:shd w:val="clear" w:color="auto" w:fill="FFFFFF"/>
            <w:vAlign w:val="center"/>
          </w:tcPr>
          <w:p>
            <w:pPr>
              <w:ind w:left="716" w:leftChars="341" w:firstLine="2"/>
              <w:rPr>
                <w:color w:val="000000"/>
              </w:rPr>
            </w:pPr>
          </w:p>
        </w:tc>
        <w:tc>
          <w:tcPr>
            <w:tcW w:w="1167" w:type="dxa"/>
            <w:shd w:val="clear" w:color="auto" w:fill="FFFFFF"/>
            <w:vAlign w:val="center"/>
          </w:tcPr>
          <w:p>
            <w:pPr>
              <w:jc w:val="center"/>
              <w:rPr>
                <w:rFonts w:hint="eastAsia" w:eastAsia="宋体"/>
                <w:color w:val="000000"/>
                <w:lang w:eastAsia="zh-CN"/>
              </w:rPr>
            </w:pPr>
            <w:r>
              <w:rPr>
                <w:rFonts w:hint="eastAsia"/>
                <w:color w:val="000000"/>
              </w:rPr>
              <w:t>湿试</w:t>
            </w:r>
          </w:p>
          <w:p>
            <w:pPr>
              <w:jc w:val="center"/>
              <w:rPr>
                <w:color w:val="000000"/>
              </w:rPr>
            </w:pPr>
            <w:r>
              <w:rPr>
                <w:rFonts w:hint="eastAsia"/>
                <w:color w:val="000000"/>
              </w:rPr>
              <w:t>（有效值）</w:t>
            </w:r>
          </w:p>
        </w:tc>
        <w:tc>
          <w:tcPr>
            <w:tcW w:w="1167" w:type="dxa"/>
            <w:shd w:val="clear" w:color="auto" w:fill="FFFFFF"/>
            <w:vAlign w:val="center"/>
          </w:tcPr>
          <w:p>
            <w:pPr>
              <w:jc w:val="center"/>
              <w:rPr>
                <w:rFonts w:hint="eastAsia" w:eastAsia="宋体"/>
                <w:color w:val="000000"/>
                <w:lang w:eastAsia="zh-CN"/>
              </w:rPr>
            </w:pPr>
            <w:r>
              <w:rPr>
                <w:rFonts w:hint="eastAsia"/>
                <w:color w:val="000000"/>
              </w:rPr>
              <w:t>干试</w:t>
            </w:r>
          </w:p>
          <w:p>
            <w:pPr>
              <w:jc w:val="center"/>
              <w:rPr>
                <w:color w:val="000000"/>
              </w:rPr>
            </w:pPr>
            <w:r>
              <w:rPr>
                <w:rFonts w:hint="eastAsia"/>
                <w:color w:val="000000"/>
              </w:rPr>
              <w:t>（有效值）</w:t>
            </w:r>
          </w:p>
        </w:tc>
        <w:tc>
          <w:tcPr>
            <w:tcW w:w="2598" w:type="dxa"/>
            <w:vMerge w:val="continue"/>
            <w:shd w:val="clear" w:color="auto" w:fill="FFFFFF"/>
            <w:vAlign w:val="center"/>
          </w:tcPr>
          <w:p>
            <w:pPr>
              <w:ind w:left="716" w:leftChars="341" w:firstLine="2"/>
              <w:jc w:val="center"/>
              <w:rPr>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5" w:hRule="atLeast"/>
          <w:tblCellSpacing w:w="0" w:type="dxa"/>
          <w:jc w:val="center"/>
        </w:trPr>
        <w:tc>
          <w:tcPr>
            <w:tcW w:w="1559" w:type="dxa"/>
            <w:shd w:val="clear" w:color="auto" w:fill="FFFFFF"/>
            <w:vAlign w:val="bottom"/>
          </w:tcPr>
          <w:p>
            <w:pPr>
              <w:ind w:left="716" w:leftChars="341" w:firstLine="2"/>
              <w:rPr>
                <w:color w:val="000000"/>
              </w:rPr>
            </w:pPr>
            <w:r>
              <w:rPr>
                <w:rFonts w:hint="eastAsia"/>
                <w:color w:val="000000"/>
              </w:rPr>
              <w:t>6.3</w:t>
            </w:r>
          </w:p>
        </w:tc>
        <w:tc>
          <w:tcPr>
            <w:tcW w:w="1588" w:type="dxa"/>
            <w:shd w:val="clear" w:color="auto" w:fill="FFFFFF"/>
            <w:vAlign w:val="bottom"/>
          </w:tcPr>
          <w:p>
            <w:pPr>
              <w:jc w:val="center"/>
              <w:rPr>
                <w:color w:val="000000"/>
              </w:rPr>
            </w:pPr>
            <w:r>
              <w:rPr>
                <w:rFonts w:hint="eastAsia"/>
                <w:color w:val="000000"/>
              </w:rPr>
              <w:t>7.2</w:t>
            </w:r>
          </w:p>
        </w:tc>
        <w:tc>
          <w:tcPr>
            <w:tcW w:w="1167" w:type="dxa"/>
            <w:shd w:val="clear" w:color="auto" w:fill="FFFFFF"/>
            <w:vAlign w:val="bottom"/>
          </w:tcPr>
          <w:p>
            <w:pPr>
              <w:jc w:val="center"/>
              <w:rPr>
                <w:color w:val="000000"/>
              </w:rPr>
            </w:pPr>
            <w:r>
              <w:rPr>
                <w:rFonts w:hint="eastAsia"/>
                <w:color w:val="000000"/>
              </w:rPr>
              <w:t>23</w:t>
            </w:r>
          </w:p>
        </w:tc>
        <w:tc>
          <w:tcPr>
            <w:tcW w:w="1167" w:type="dxa"/>
            <w:shd w:val="clear" w:color="auto" w:fill="FFFFFF"/>
            <w:vAlign w:val="bottom"/>
          </w:tcPr>
          <w:p>
            <w:pPr>
              <w:jc w:val="center"/>
              <w:rPr>
                <w:color w:val="000000"/>
              </w:rPr>
            </w:pPr>
            <w:r>
              <w:rPr>
                <w:rFonts w:hint="eastAsia"/>
                <w:color w:val="000000"/>
              </w:rPr>
              <w:t>32</w:t>
            </w:r>
          </w:p>
        </w:tc>
        <w:tc>
          <w:tcPr>
            <w:tcW w:w="2598" w:type="dxa"/>
            <w:shd w:val="clear" w:color="auto" w:fill="FFFFFF"/>
            <w:vAlign w:val="bottom"/>
          </w:tcPr>
          <w:p>
            <w:pPr>
              <w:jc w:val="center"/>
              <w:rPr>
                <w:color w:val="000000"/>
              </w:rPr>
            </w:pPr>
            <w:r>
              <w:rPr>
                <w:rFonts w:hint="eastAsia"/>
                <w:color w:val="000000"/>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5" w:hRule="atLeast"/>
          <w:tblCellSpacing w:w="0" w:type="dxa"/>
          <w:jc w:val="center"/>
        </w:trPr>
        <w:tc>
          <w:tcPr>
            <w:tcW w:w="1559" w:type="dxa"/>
            <w:shd w:val="clear" w:color="auto" w:fill="FFFFFF"/>
            <w:vAlign w:val="bottom"/>
          </w:tcPr>
          <w:p>
            <w:pPr>
              <w:ind w:left="716" w:leftChars="341" w:firstLine="2"/>
              <w:rPr>
                <w:color w:val="000000"/>
              </w:rPr>
            </w:pPr>
            <w:r>
              <w:rPr>
                <w:rFonts w:hint="eastAsia"/>
                <w:color w:val="000000"/>
              </w:rPr>
              <w:t>10.5</w:t>
            </w:r>
          </w:p>
        </w:tc>
        <w:tc>
          <w:tcPr>
            <w:tcW w:w="1588" w:type="dxa"/>
            <w:shd w:val="clear" w:color="auto" w:fill="FFFFFF"/>
            <w:vAlign w:val="bottom"/>
          </w:tcPr>
          <w:p>
            <w:pPr>
              <w:jc w:val="center"/>
              <w:rPr>
                <w:color w:val="000000"/>
              </w:rPr>
            </w:pPr>
            <w:r>
              <w:rPr>
                <w:rFonts w:hint="eastAsia"/>
                <w:color w:val="000000"/>
              </w:rPr>
              <w:t>12</w:t>
            </w:r>
          </w:p>
        </w:tc>
        <w:tc>
          <w:tcPr>
            <w:tcW w:w="1167" w:type="dxa"/>
            <w:shd w:val="clear" w:color="auto" w:fill="FFFFFF"/>
            <w:vAlign w:val="bottom"/>
          </w:tcPr>
          <w:p>
            <w:pPr>
              <w:jc w:val="center"/>
              <w:rPr>
                <w:color w:val="000000"/>
              </w:rPr>
            </w:pPr>
            <w:r>
              <w:rPr>
                <w:rFonts w:hint="eastAsia"/>
                <w:color w:val="000000"/>
              </w:rPr>
              <w:t>30</w:t>
            </w:r>
          </w:p>
        </w:tc>
        <w:tc>
          <w:tcPr>
            <w:tcW w:w="1167" w:type="dxa"/>
            <w:shd w:val="clear" w:color="auto" w:fill="FFFFFF"/>
            <w:vAlign w:val="bottom"/>
          </w:tcPr>
          <w:p>
            <w:pPr>
              <w:jc w:val="center"/>
              <w:rPr>
                <w:color w:val="000000"/>
              </w:rPr>
            </w:pPr>
            <w:r>
              <w:rPr>
                <w:rFonts w:hint="eastAsia"/>
                <w:color w:val="000000"/>
              </w:rPr>
              <w:t>42</w:t>
            </w:r>
          </w:p>
        </w:tc>
        <w:tc>
          <w:tcPr>
            <w:tcW w:w="2598" w:type="dxa"/>
            <w:shd w:val="clear" w:color="auto" w:fill="FFFFFF"/>
            <w:vAlign w:val="bottom"/>
          </w:tcPr>
          <w:p>
            <w:pPr>
              <w:jc w:val="center"/>
              <w:rPr>
                <w:color w:val="000000"/>
              </w:rPr>
            </w:pPr>
            <w:r>
              <w:rPr>
                <w:rFonts w:hint="eastAsia"/>
                <w:color w:val="000000"/>
              </w:rPr>
              <w:t>75</w:t>
            </w:r>
          </w:p>
        </w:tc>
      </w:tr>
    </w:tbl>
    <w:p>
      <w:pPr>
        <w:pStyle w:val="230"/>
        <w:numPr>
          <w:ilvl w:val="0"/>
          <w:numId w:val="25"/>
        </w:numPr>
        <w:ind w:left="576" w:leftChars="0" w:hanging="366" w:firstLineChars="0"/>
        <w:jc w:val="both"/>
        <w:outlineLvl w:val="9"/>
        <w:rPr>
          <w:rFonts w:hint="default" w:ascii="Times New Roman" w:hAnsi="Times New Roman" w:eastAsia="宋体" w:cs="Times New Roman"/>
          <w:b w:val="0"/>
          <w:bCs/>
          <w:color w:val="000000"/>
          <w:kern w:val="2"/>
          <w:sz w:val="28"/>
          <w:szCs w:val="28"/>
          <w:lang w:val="en-US" w:eastAsia="zh-CN" w:bidi="ar-SA"/>
        </w:rPr>
      </w:pPr>
      <w:bookmarkStart w:id="126" w:name="_Toc10108"/>
      <w:bookmarkStart w:id="127" w:name="_Toc201546911"/>
      <w:bookmarkStart w:id="128" w:name="_Toc201543837"/>
      <w:bookmarkStart w:id="129" w:name="_Toc201476441"/>
      <w:bookmarkStart w:id="130" w:name="_Toc201542383"/>
      <w:bookmarkStart w:id="131" w:name="_Toc201482806"/>
      <w:r>
        <w:rPr>
          <w:rFonts w:hint="eastAsia" w:ascii="Times New Roman" w:hAnsi="Times New Roman" w:eastAsia="宋体" w:cs="Times New Roman"/>
          <w:b w:val="0"/>
          <w:bCs/>
          <w:color w:val="000000"/>
          <w:kern w:val="2"/>
          <w:sz w:val="28"/>
          <w:szCs w:val="28"/>
          <w:lang w:val="en-US" w:eastAsia="zh-CN" w:bidi="ar-SA"/>
        </w:rPr>
        <w:t>额定频率：</w:t>
      </w:r>
      <w:r>
        <w:rPr>
          <w:rFonts w:hint="default" w:ascii="Times New Roman" w:hAnsi="Times New Roman" w:eastAsia="宋体" w:cs="Times New Roman"/>
          <w:b w:val="0"/>
          <w:bCs/>
          <w:color w:val="000000"/>
          <w:kern w:val="2"/>
          <w:sz w:val="28"/>
          <w:szCs w:val="28"/>
          <w:lang w:val="en-US" w:eastAsia="zh-CN" w:bidi="ar-SA"/>
        </w:rPr>
        <w:t>50HZ</w:t>
      </w:r>
      <w:bookmarkEnd w:id="126"/>
      <w:bookmarkEnd w:id="127"/>
      <w:bookmarkEnd w:id="128"/>
      <w:bookmarkEnd w:id="129"/>
      <w:bookmarkEnd w:id="130"/>
      <w:bookmarkEnd w:id="131"/>
    </w:p>
    <w:p>
      <w:pPr>
        <w:pStyle w:val="230"/>
        <w:numPr>
          <w:ilvl w:val="0"/>
          <w:numId w:val="25"/>
        </w:numPr>
        <w:ind w:left="576" w:leftChars="0" w:hanging="366" w:firstLineChars="0"/>
        <w:jc w:val="both"/>
        <w:outlineLvl w:val="9"/>
        <w:rPr>
          <w:rFonts w:hint="default" w:ascii="Times New Roman" w:hAnsi="Times New Roman" w:eastAsia="宋体" w:cs="Times New Roman"/>
          <w:b w:val="0"/>
          <w:bCs/>
          <w:color w:val="000000"/>
          <w:kern w:val="2"/>
          <w:sz w:val="28"/>
          <w:szCs w:val="28"/>
          <w:lang w:val="en-US" w:eastAsia="zh-CN" w:bidi="ar-SA"/>
        </w:rPr>
      </w:pPr>
      <w:bookmarkStart w:id="132" w:name="_Toc201482807"/>
      <w:bookmarkStart w:id="133" w:name="_Toc201546912"/>
      <w:bookmarkStart w:id="134" w:name="_Toc201543838"/>
      <w:bookmarkStart w:id="135" w:name="_Toc201542384"/>
      <w:bookmarkStart w:id="136" w:name="_Toc201476442"/>
      <w:bookmarkStart w:id="137" w:name="_Toc18154"/>
      <w:r>
        <w:rPr>
          <w:rFonts w:hint="eastAsia" w:ascii="Times New Roman" w:hAnsi="Times New Roman" w:eastAsia="宋体" w:cs="Times New Roman"/>
          <w:b w:val="0"/>
          <w:bCs/>
          <w:color w:val="000000"/>
          <w:kern w:val="2"/>
          <w:sz w:val="28"/>
          <w:szCs w:val="28"/>
          <w:lang w:val="en-US" w:eastAsia="zh-CN" w:bidi="ar-SA"/>
        </w:rPr>
        <w:t>电流范围：1250</w:t>
      </w:r>
      <w:r>
        <w:rPr>
          <w:rFonts w:hint="default" w:ascii="Times New Roman" w:hAnsi="Times New Roman" w:eastAsia="宋体" w:cs="Times New Roman"/>
          <w:b w:val="0"/>
          <w:bCs/>
          <w:color w:val="000000"/>
          <w:kern w:val="2"/>
          <w:sz w:val="28"/>
          <w:szCs w:val="28"/>
          <w:lang w:val="en-US" w:eastAsia="zh-CN" w:bidi="ar-SA"/>
        </w:rPr>
        <w:t>A~5000A</w:t>
      </w:r>
      <w:bookmarkEnd w:id="132"/>
      <w:bookmarkEnd w:id="133"/>
      <w:bookmarkEnd w:id="134"/>
      <w:bookmarkEnd w:id="135"/>
      <w:bookmarkEnd w:id="136"/>
      <w:r>
        <w:rPr>
          <w:rFonts w:hint="eastAsia" w:ascii="Times New Roman" w:hAnsi="Times New Roman" w:eastAsia="宋体" w:cs="Times New Roman"/>
          <w:b w:val="0"/>
          <w:bCs/>
          <w:color w:val="000000"/>
          <w:kern w:val="2"/>
          <w:sz w:val="28"/>
          <w:szCs w:val="28"/>
          <w:lang w:val="en-US" w:eastAsia="zh-CN" w:bidi="ar-SA"/>
        </w:rPr>
        <w:t>（具体按设计图纸要求）</w:t>
      </w:r>
      <w:bookmarkEnd w:id="137"/>
    </w:p>
    <w:p>
      <w:pPr>
        <w:pStyle w:val="230"/>
        <w:numPr>
          <w:ilvl w:val="0"/>
          <w:numId w:val="25"/>
        </w:numPr>
        <w:ind w:left="576" w:leftChars="0" w:hanging="366" w:firstLineChars="0"/>
        <w:jc w:val="both"/>
        <w:outlineLvl w:val="9"/>
        <w:rPr>
          <w:rFonts w:hint="default" w:ascii="Times New Roman" w:hAnsi="Times New Roman" w:eastAsia="宋体" w:cs="Times New Roman"/>
          <w:b w:val="0"/>
          <w:bCs/>
          <w:color w:val="000000"/>
          <w:kern w:val="2"/>
          <w:sz w:val="28"/>
          <w:szCs w:val="28"/>
          <w:lang w:val="en-US" w:eastAsia="zh-CN" w:bidi="ar-SA"/>
        </w:rPr>
      </w:pPr>
      <w:bookmarkStart w:id="138" w:name="_Toc201543840"/>
      <w:bookmarkStart w:id="139" w:name="_Toc201542386"/>
      <w:bookmarkStart w:id="140" w:name="_Toc5843"/>
      <w:bookmarkStart w:id="141" w:name="_Toc201546914"/>
      <w:bookmarkStart w:id="142" w:name="_Toc201476444"/>
      <w:bookmarkStart w:id="143" w:name="_Toc201482809"/>
      <w:r>
        <w:rPr>
          <w:rFonts w:hint="eastAsia" w:ascii="Times New Roman" w:hAnsi="Times New Roman" w:eastAsia="宋体" w:cs="Times New Roman"/>
          <w:b w:val="0"/>
          <w:bCs/>
          <w:color w:val="000000"/>
          <w:kern w:val="2"/>
          <w:sz w:val="28"/>
          <w:szCs w:val="28"/>
          <w:lang w:val="en-US" w:eastAsia="zh-CN" w:bidi="ar-SA"/>
        </w:rPr>
        <w:t>耐热等级：</w:t>
      </w:r>
      <w:r>
        <w:rPr>
          <w:rFonts w:hint="default" w:ascii="Times New Roman" w:hAnsi="Times New Roman" w:eastAsia="宋体" w:cs="Times New Roman"/>
          <w:b w:val="0"/>
          <w:bCs/>
          <w:color w:val="000000"/>
          <w:kern w:val="2"/>
          <w:sz w:val="28"/>
          <w:szCs w:val="28"/>
          <w:lang w:val="en-US" w:eastAsia="zh-CN" w:bidi="ar-SA"/>
        </w:rPr>
        <w:t>B</w:t>
      </w:r>
      <w:r>
        <w:rPr>
          <w:rFonts w:hint="eastAsia" w:ascii="Times New Roman" w:hAnsi="Times New Roman" w:eastAsia="宋体" w:cs="Times New Roman"/>
          <w:b w:val="0"/>
          <w:bCs/>
          <w:color w:val="000000"/>
          <w:kern w:val="2"/>
          <w:sz w:val="28"/>
          <w:szCs w:val="28"/>
          <w:lang w:val="en-US" w:eastAsia="zh-CN" w:bidi="ar-SA"/>
        </w:rPr>
        <w:t>级</w:t>
      </w:r>
      <w:bookmarkEnd w:id="138"/>
      <w:bookmarkEnd w:id="139"/>
      <w:bookmarkEnd w:id="140"/>
      <w:bookmarkEnd w:id="141"/>
      <w:bookmarkEnd w:id="142"/>
      <w:bookmarkEnd w:id="143"/>
    </w:p>
    <w:p>
      <w:pPr>
        <w:pStyle w:val="230"/>
        <w:numPr>
          <w:ilvl w:val="0"/>
          <w:numId w:val="25"/>
        </w:numPr>
        <w:ind w:left="576" w:leftChars="0" w:hanging="366" w:firstLineChars="0"/>
        <w:jc w:val="both"/>
        <w:outlineLvl w:val="9"/>
        <w:rPr>
          <w:rFonts w:hint="default" w:ascii="Times New Roman" w:hAnsi="Times New Roman" w:eastAsia="宋体" w:cs="Times New Roman"/>
          <w:b w:val="0"/>
          <w:bCs/>
          <w:color w:val="000000"/>
          <w:kern w:val="2"/>
          <w:sz w:val="28"/>
          <w:szCs w:val="28"/>
          <w:lang w:val="en-US" w:eastAsia="zh-CN" w:bidi="ar-SA"/>
        </w:rPr>
      </w:pPr>
      <w:bookmarkStart w:id="144" w:name="_Toc29745"/>
      <w:r>
        <w:rPr>
          <w:rFonts w:hint="eastAsia" w:ascii="Times New Roman" w:hAnsi="Times New Roman" w:eastAsia="宋体" w:cs="Times New Roman"/>
          <w:b w:val="0"/>
          <w:bCs/>
          <w:color w:val="000000"/>
          <w:kern w:val="2"/>
          <w:sz w:val="28"/>
          <w:szCs w:val="28"/>
          <w:lang w:val="en-US" w:eastAsia="zh-CN" w:bidi="ar-SA"/>
        </w:rPr>
        <w:t>绝缘电阻：</w:t>
      </w:r>
      <w:r>
        <w:rPr>
          <w:rFonts w:hint="default" w:ascii="Times New Roman" w:hAnsi="Times New Roman" w:eastAsia="宋体" w:cs="Times New Roman"/>
          <w:b w:val="0"/>
          <w:bCs/>
          <w:color w:val="000000"/>
          <w:kern w:val="2"/>
          <w:sz w:val="28"/>
          <w:szCs w:val="28"/>
          <w:lang w:val="en-US" w:eastAsia="zh-CN" w:bidi="ar-SA"/>
        </w:rPr>
        <w:t>≥</w:t>
      </w:r>
      <w:r>
        <w:rPr>
          <w:rFonts w:hint="eastAsia" w:ascii="Times New Roman" w:hAnsi="Times New Roman" w:eastAsia="宋体" w:cs="Times New Roman"/>
          <w:b w:val="0"/>
          <w:bCs/>
          <w:color w:val="000000"/>
          <w:kern w:val="2"/>
          <w:sz w:val="28"/>
          <w:szCs w:val="28"/>
          <w:lang w:val="en-US" w:eastAsia="zh-CN" w:bidi="ar-SA"/>
        </w:rPr>
        <w:t>100MΩ</w:t>
      </w:r>
      <w:bookmarkEnd w:id="144"/>
    </w:p>
    <w:p>
      <w:pPr>
        <w:pStyle w:val="230"/>
        <w:numPr>
          <w:ilvl w:val="0"/>
          <w:numId w:val="25"/>
        </w:numPr>
        <w:ind w:left="576" w:leftChars="0" w:hanging="366" w:firstLineChars="0"/>
        <w:jc w:val="both"/>
        <w:outlineLvl w:val="9"/>
        <w:rPr>
          <w:rFonts w:hint="default" w:ascii="Times New Roman" w:hAnsi="Times New Roman" w:eastAsia="宋体" w:cs="Times New Roman"/>
          <w:b w:val="0"/>
          <w:bCs/>
          <w:color w:val="000000"/>
          <w:kern w:val="2"/>
          <w:sz w:val="28"/>
          <w:szCs w:val="28"/>
          <w:lang w:val="en-US" w:eastAsia="zh-CN" w:bidi="ar-SA"/>
        </w:rPr>
      </w:pPr>
      <w:bookmarkStart w:id="145" w:name="_Toc11706"/>
      <w:r>
        <w:rPr>
          <w:rFonts w:hint="eastAsia" w:ascii="Times New Roman" w:hAnsi="Times New Roman" w:eastAsia="宋体" w:cs="Times New Roman"/>
          <w:b w:val="0"/>
          <w:bCs/>
          <w:color w:val="000000"/>
          <w:kern w:val="2"/>
          <w:sz w:val="28"/>
          <w:szCs w:val="28"/>
          <w:lang w:val="en-US" w:eastAsia="zh-CN" w:bidi="ar-SA"/>
        </w:rPr>
        <w:t>防护等级：主干IP68</w:t>
      </w:r>
      <w:bookmarkEnd w:id="145"/>
    </w:p>
    <w:p>
      <w:pPr>
        <w:pStyle w:val="230"/>
        <w:numPr>
          <w:ilvl w:val="0"/>
          <w:numId w:val="25"/>
        </w:numPr>
        <w:ind w:left="576" w:leftChars="0" w:hanging="366" w:firstLineChars="0"/>
        <w:jc w:val="both"/>
        <w:outlineLvl w:val="9"/>
        <w:rPr>
          <w:rFonts w:hint="default" w:ascii="Times New Roman" w:hAnsi="Times New Roman" w:eastAsia="宋体" w:cs="Times New Roman"/>
          <w:b w:val="0"/>
          <w:bCs/>
          <w:color w:val="000000"/>
          <w:kern w:val="2"/>
          <w:sz w:val="28"/>
          <w:szCs w:val="28"/>
          <w:lang w:val="en-US" w:eastAsia="zh-CN" w:bidi="ar-SA"/>
        </w:rPr>
      </w:pPr>
      <w:bookmarkStart w:id="146" w:name="_Toc8548"/>
      <w:r>
        <w:rPr>
          <w:rFonts w:hint="default" w:ascii="Times New Roman" w:hAnsi="Times New Roman" w:eastAsia="宋体" w:cs="Times New Roman"/>
          <w:b w:val="0"/>
          <w:bCs/>
          <w:color w:val="000000"/>
          <w:kern w:val="2"/>
          <w:sz w:val="28"/>
          <w:szCs w:val="28"/>
          <w:lang w:val="en-US" w:eastAsia="zh-CN" w:bidi="ar-SA"/>
        </w:rPr>
        <w:t>参考标准和规范：母线系统参考有关国家规范</w:t>
      </w:r>
      <w:r>
        <w:rPr>
          <w:rFonts w:hint="eastAsia" w:eastAsia="宋体" w:cs="Times New Roman"/>
          <w:b w:val="0"/>
          <w:bCs/>
          <w:color w:val="000000"/>
          <w:kern w:val="2"/>
          <w:sz w:val="28"/>
          <w:szCs w:val="28"/>
          <w:lang w:val="en-US" w:eastAsia="zh-CN" w:bidi="ar-SA"/>
        </w:rPr>
        <w:t>和</w:t>
      </w:r>
      <w:r>
        <w:rPr>
          <w:rFonts w:hint="default" w:ascii="Times New Roman" w:hAnsi="Times New Roman" w:eastAsia="宋体" w:cs="Times New Roman"/>
          <w:b w:val="0"/>
          <w:bCs/>
          <w:color w:val="000000"/>
          <w:kern w:val="2"/>
          <w:sz w:val="28"/>
          <w:szCs w:val="28"/>
          <w:lang w:val="en-US" w:eastAsia="zh-CN" w:bidi="ar-SA"/>
        </w:rPr>
        <w:t>最新修订本中之规定进行设计和制造。</w:t>
      </w:r>
      <w:bookmarkEnd w:id="146"/>
    </w:p>
    <w:p>
      <w:pPr>
        <w:pStyle w:val="230"/>
        <w:numPr>
          <w:ilvl w:val="0"/>
          <w:numId w:val="25"/>
        </w:numPr>
        <w:ind w:left="576" w:leftChars="0" w:hanging="366" w:firstLineChars="0"/>
        <w:jc w:val="both"/>
        <w:outlineLvl w:val="9"/>
        <w:rPr>
          <w:rFonts w:hint="default" w:ascii="Times New Roman" w:hAnsi="Times New Roman" w:eastAsia="宋体" w:cs="Times New Roman"/>
          <w:b w:val="0"/>
          <w:bCs/>
          <w:color w:val="000000"/>
          <w:kern w:val="2"/>
          <w:sz w:val="28"/>
          <w:szCs w:val="28"/>
          <w:lang w:val="en-US" w:eastAsia="zh-CN" w:bidi="ar-SA"/>
        </w:rPr>
      </w:pPr>
      <w:bookmarkStart w:id="147" w:name="_Toc26119"/>
      <w:r>
        <w:rPr>
          <w:rFonts w:hint="default" w:ascii="Times New Roman" w:hAnsi="Times New Roman" w:eastAsia="宋体" w:cs="Times New Roman"/>
          <w:b w:val="0"/>
          <w:bCs/>
          <w:color w:val="000000"/>
          <w:kern w:val="2"/>
          <w:sz w:val="28"/>
          <w:szCs w:val="28"/>
          <w:lang w:val="en-US" w:eastAsia="zh-CN" w:bidi="ar-SA"/>
        </w:rPr>
        <w:t>结构要求</w:t>
      </w:r>
      <w:bookmarkEnd w:id="147"/>
    </w:p>
    <w:p>
      <w:pPr>
        <w:pStyle w:val="230"/>
        <w:numPr>
          <w:ilvl w:val="0"/>
          <w:numId w:val="0"/>
        </w:numPr>
        <w:ind w:leftChars="-131"/>
        <w:jc w:val="both"/>
        <w:outlineLvl w:val="9"/>
        <w:rPr>
          <w:rFonts w:hint="default" w:ascii="Times New Roman" w:hAnsi="Times New Roman" w:eastAsia="宋体" w:cs="Times New Roman"/>
          <w:b w:val="0"/>
          <w:bCs/>
          <w:color w:val="000000"/>
          <w:kern w:val="2"/>
          <w:sz w:val="28"/>
          <w:szCs w:val="28"/>
          <w:lang w:val="en-US" w:eastAsia="zh-CN" w:bidi="ar-SA"/>
        </w:rPr>
      </w:pPr>
      <w:bookmarkStart w:id="148" w:name="_Toc30702"/>
      <w:r>
        <w:rPr>
          <w:rFonts w:hint="eastAsia" w:eastAsia="宋体" w:cs="Times New Roman"/>
          <w:b w:val="0"/>
          <w:bCs/>
          <w:color w:val="000000"/>
          <w:kern w:val="2"/>
          <w:sz w:val="28"/>
          <w:szCs w:val="28"/>
          <w:lang w:val="en-US" w:eastAsia="zh-CN" w:bidi="ar-SA"/>
        </w:rPr>
        <w:t>（1）</w:t>
      </w:r>
      <w:r>
        <w:rPr>
          <w:rFonts w:hint="default" w:ascii="Times New Roman" w:hAnsi="Times New Roman" w:eastAsia="宋体" w:cs="Times New Roman"/>
          <w:b w:val="0"/>
          <w:bCs/>
          <w:color w:val="000000"/>
          <w:kern w:val="2"/>
          <w:sz w:val="28"/>
          <w:szCs w:val="28"/>
          <w:lang w:val="en-US" w:eastAsia="zh-CN" w:bidi="ar-SA"/>
        </w:rPr>
        <w:t>整段全浇注母线回路为全连式，各段间有良好的电气连接。</w:t>
      </w:r>
      <w:bookmarkEnd w:id="148"/>
    </w:p>
    <w:p>
      <w:pPr>
        <w:pStyle w:val="230"/>
        <w:numPr>
          <w:ilvl w:val="0"/>
          <w:numId w:val="0"/>
        </w:numPr>
        <w:ind w:leftChars="-131"/>
        <w:jc w:val="both"/>
        <w:outlineLvl w:val="9"/>
        <w:rPr>
          <w:rFonts w:hint="default" w:ascii="Times New Roman" w:hAnsi="Times New Roman" w:eastAsia="宋体" w:cs="Times New Roman"/>
          <w:b w:val="0"/>
          <w:bCs/>
          <w:color w:val="000000"/>
          <w:kern w:val="2"/>
          <w:sz w:val="28"/>
          <w:szCs w:val="28"/>
          <w:lang w:val="en-US" w:eastAsia="zh-CN" w:bidi="ar-SA"/>
        </w:rPr>
      </w:pPr>
      <w:bookmarkStart w:id="149" w:name="_Toc9911"/>
      <w:r>
        <w:rPr>
          <w:rFonts w:hint="eastAsia" w:eastAsia="宋体" w:cs="Times New Roman"/>
          <w:b w:val="0"/>
          <w:bCs/>
          <w:color w:val="000000"/>
          <w:kern w:val="2"/>
          <w:sz w:val="28"/>
          <w:szCs w:val="28"/>
          <w:lang w:val="en-US" w:eastAsia="zh-CN" w:bidi="ar-SA"/>
        </w:rPr>
        <w:t>（2）</w:t>
      </w:r>
      <w:r>
        <w:rPr>
          <w:rFonts w:hint="default" w:ascii="Times New Roman" w:hAnsi="Times New Roman" w:eastAsia="宋体" w:cs="Times New Roman"/>
          <w:b w:val="0"/>
          <w:bCs/>
          <w:color w:val="000000"/>
          <w:kern w:val="2"/>
          <w:sz w:val="28"/>
          <w:szCs w:val="28"/>
          <w:lang w:val="en-US" w:eastAsia="zh-CN" w:bidi="ar-SA"/>
        </w:rPr>
        <w:t>全浇注母线的结构，可采用托架或悬吊式安装方式，支吊点位置应设置固定措施，钢制架构应做防腐热浸锌处理。</w:t>
      </w:r>
      <w:bookmarkEnd w:id="149"/>
    </w:p>
    <w:p>
      <w:pPr>
        <w:pStyle w:val="230"/>
        <w:numPr>
          <w:ilvl w:val="0"/>
          <w:numId w:val="0"/>
        </w:numPr>
        <w:ind w:leftChars="-131"/>
        <w:jc w:val="both"/>
        <w:outlineLvl w:val="9"/>
        <w:rPr>
          <w:rFonts w:hint="default" w:ascii="Times New Roman" w:hAnsi="Times New Roman" w:eastAsia="宋体" w:cs="Times New Roman"/>
          <w:b w:val="0"/>
          <w:bCs/>
          <w:color w:val="000000"/>
          <w:kern w:val="2"/>
          <w:sz w:val="28"/>
          <w:szCs w:val="28"/>
          <w:lang w:val="en-US" w:eastAsia="zh-CN" w:bidi="ar-SA"/>
        </w:rPr>
      </w:pPr>
      <w:bookmarkStart w:id="150" w:name="_Toc8463"/>
      <w:r>
        <w:rPr>
          <w:rFonts w:hint="eastAsia" w:eastAsia="宋体" w:cs="Times New Roman"/>
          <w:b w:val="0"/>
          <w:bCs/>
          <w:color w:val="000000"/>
          <w:kern w:val="2"/>
          <w:sz w:val="28"/>
          <w:szCs w:val="28"/>
          <w:lang w:val="en-US" w:eastAsia="zh-CN" w:bidi="ar-SA"/>
        </w:rPr>
        <w:t>（3）</w:t>
      </w:r>
      <w:r>
        <w:rPr>
          <w:rFonts w:hint="default" w:ascii="Times New Roman" w:hAnsi="Times New Roman" w:eastAsia="宋体" w:cs="Times New Roman"/>
          <w:b w:val="0"/>
          <w:bCs/>
          <w:color w:val="000000"/>
          <w:kern w:val="2"/>
          <w:sz w:val="28"/>
          <w:szCs w:val="28"/>
          <w:lang w:val="en-US" w:eastAsia="zh-CN" w:bidi="ar-SA"/>
        </w:rPr>
        <w:t>全浇注母线可制成不同长度的标准直线段、90度转弯段和各种不同长度的配合段。全浇注母线的设计应尽最大限度减少现场安装工作。</w:t>
      </w:r>
      <w:bookmarkEnd w:id="150"/>
    </w:p>
    <w:p>
      <w:pPr>
        <w:pStyle w:val="230"/>
        <w:numPr>
          <w:ilvl w:val="0"/>
          <w:numId w:val="0"/>
        </w:numPr>
        <w:ind w:leftChars="-131"/>
        <w:jc w:val="both"/>
        <w:outlineLvl w:val="9"/>
        <w:rPr>
          <w:rFonts w:hint="default" w:ascii="Times New Roman" w:hAnsi="Times New Roman" w:eastAsia="宋体" w:cs="Times New Roman"/>
          <w:b w:val="0"/>
          <w:bCs/>
          <w:color w:val="000000"/>
          <w:kern w:val="2"/>
          <w:sz w:val="28"/>
          <w:szCs w:val="28"/>
          <w:lang w:val="en-US" w:eastAsia="zh-CN" w:bidi="ar-SA"/>
        </w:rPr>
      </w:pPr>
      <w:bookmarkStart w:id="151" w:name="_Toc16735"/>
      <w:r>
        <w:rPr>
          <w:rFonts w:hint="eastAsia" w:eastAsia="宋体" w:cs="Times New Roman"/>
          <w:b w:val="0"/>
          <w:bCs/>
          <w:color w:val="000000"/>
          <w:kern w:val="2"/>
          <w:sz w:val="28"/>
          <w:szCs w:val="28"/>
          <w:lang w:val="en-US" w:eastAsia="zh-CN" w:bidi="ar-SA"/>
        </w:rPr>
        <w:t>（4）</w:t>
      </w:r>
      <w:r>
        <w:rPr>
          <w:rFonts w:hint="default" w:ascii="Times New Roman" w:hAnsi="Times New Roman" w:eastAsia="宋体" w:cs="Times New Roman"/>
          <w:b w:val="0"/>
          <w:bCs/>
          <w:color w:val="000000"/>
          <w:kern w:val="2"/>
          <w:sz w:val="28"/>
          <w:szCs w:val="28"/>
          <w:lang w:val="en-US" w:eastAsia="zh-CN" w:bidi="ar-SA"/>
        </w:rPr>
        <w:t>全浇注母线盘接头在与变压器或开关柜柜母线对接处，应设计为方便进行拆接、维护、试验的结构。</w:t>
      </w:r>
      <w:bookmarkEnd w:id="151"/>
    </w:p>
    <w:p>
      <w:pPr>
        <w:pStyle w:val="230"/>
        <w:numPr>
          <w:ilvl w:val="0"/>
          <w:numId w:val="0"/>
        </w:numPr>
        <w:ind w:leftChars="-131"/>
        <w:jc w:val="both"/>
        <w:outlineLvl w:val="9"/>
        <w:rPr>
          <w:rFonts w:hint="default" w:ascii="Times New Roman" w:hAnsi="Times New Roman" w:eastAsia="宋体" w:cs="Times New Roman"/>
          <w:b w:val="0"/>
          <w:bCs/>
          <w:color w:val="000000"/>
          <w:kern w:val="2"/>
          <w:sz w:val="28"/>
          <w:szCs w:val="28"/>
          <w:lang w:val="en-US" w:eastAsia="zh-CN" w:bidi="ar-SA"/>
        </w:rPr>
      </w:pPr>
      <w:bookmarkStart w:id="152" w:name="_Toc2068"/>
      <w:r>
        <w:rPr>
          <w:rFonts w:hint="eastAsia" w:eastAsia="宋体" w:cs="Times New Roman"/>
          <w:b w:val="0"/>
          <w:bCs/>
          <w:color w:val="000000"/>
          <w:kern w:val="2"/>
          <w:sz w:val="28"/>
          <w:szCs w:val="28"/>
          <w:lang w:val="en-US" w:eastAsia="zh-CN" w:bidi="ar-SA"/>
        </w:rPr>
        <w:t>（5）</w:t>
      </w:r>
      <w:r>
        <w:rPr>
          <w:rFonts w:hint="default" w:ascii="Times New Roman" w:hAnsi="Times New Roman" w:eastAsia="宋体" w:cs="Times New Roman"/>
          <w:b w:val="0"/>
          <w:bCs/>
          <w:color w:val="000000"/>
          <w:kern w:val="2"/>
          <w:sz w:val="28"/>
          <w:szCs w:val="28"/>
          <w:lang w:val="en-US" w:eastAsia="zh-CN" w:bidi="ar-SA"/>
        </w:rPr>
        <w:t>全浇注母线导体直线段误差不超过本身长度的0.1%。</w:t>
      </w:r>
      <w:bookmarkEnd w:id="152"/>
    </w:p>
    <w:p>
      <w:pPr>
        <w:pStyle w:val="230"/>
        <w:numPr>
          <w:ilvl w:val="0"/>
          <w:numId w:val="0"/>
        </w:numPr>
        <w:ind w:leftChars="-131"/>
        <w:jc w:val="both"/>
        <w:outlineLvl w:val="9"/>
        <w:rPr>
          <w:rFonts w:hint="default" w:ascii="Times New Roman" w:hAnsi="Times New Roman" w:eastAsia="宋体" w:cs="Times New Roman"/>
          <w:b w:val="0"/>
          <w:bCs/>
          <w:color w:val="000000"/>
          <w:kern w:val="2"/>
          <w:sz w:val="28"/>
          <w:szCs w:val="28"/>
          <w:lang w:val="en-US" w:eastAsia="zh-CN" w:bidi="ar-SA"/>
        </w:rPr>
      </w:pPr>
      <w:bookmarkStart w:id="153" w:name="_Toc31739"/>
      <w:r>
        <w:rPr>
          <w:rFonts w:hint="eastAsia" w:eastAsia="宋体" w:cs="Times New Roman"/>
          <w:b w:val="0"/>
          <w:bCs/>
          <w:color w:val="000000"/>
          <w:kern w:val="2"/>
          <w:sz w:val="28"/>
          <w:szCs w:val="28"/>
          <w:lang w:val="en-US" w:eastAsia="zh-CN" w:bidi="ar-SA"/>
        </w:rPr>
        <w:t>（6）</w:t>
      </w:r>
      <w:r>
        <w:rPr>
          <w:rFonts w:hint="default" w:ascii="Times New Roman" w:hAnsi="Times New Roman" w:eastAsia="宋体" w:cs="Times New Roman"/>
          <w:b w:val="0"/>
          <w:bCs/>
          <w:color w:val="000000"/>
          <w:kern w:val="2"/>
          <w:sz w:val="28"/>
          <w:szCs w:val="28"/>
          <w:lang w:val="en-US" w:eastAsia="zh-CN" w:bidi="ar-SA"/>
        </w:rPr>
        <w:t>设备和设备支架应能承受其额定范围内的地震荷载，即整个母线安装后的任何一部分，均能安全地耐受由地震引起的动态力(产品应按全动态法进行计算和试验)，并能保持其结构的整体性。选用材料的允许工作应力应大于地震荷载及其它所有荷载联合作用下的应力。</w:t>
      </w:r>
      <w:bookmarkEnd w:id="153"/>
    </w:p>
    <w:p>
      <w:pPr>
        <w:pStyle w:val="230"/>
        <w:numPr>
          <w:ilvl w:val="0"/>
          <w:numId w:val="0"/>
        </w:numPr>
        <w:ind w:leftChars="-131"/>
        <w:jc w:val="both"/>
        <w:outlineLvl w:val="9"/>
        <w:rPr>
          <w:rFonts w:hint="default" w:ascii="Times New Roman" w:hAnsi="Times New Roman" w:eastAsia="宋体" w:cs="Times New Roman"/>
          <w:b w:val="0"/>
          <w:bCs/>
          <w:color w:val="000000"/>
          <w:kern w:val="2"/>
          <w:sz w:val="28"/>
          <w:szCs w:val="28"/>
          <w:lang w:val="en-US" w:eastAsia="zh-CN" w:bidi="ar-SA"/>
        </w:rPr>
      </w:pPr>
      <w:bookmarkStart w:id="154" w:name="_Toc19297"/>
      <w:r>
        <w:rPr>
          <w:rFonts w:hint="eastAsia" w:eastAsia="宋体" w:cs="Times New Roman"/>
          <w:b w:val="0"/>
          <w:bCs/>
          <w:color w:val="000000"/>
          <w:kern w:val="2"/>
          <w:sz w:val="28"/>
          <w:szCs w:val="28"/>
          <w:lang w:val="en-US" w:eastAsia="zh-CN" w:bidi="ar-SA"/>
        </w:rPr>
        <w:t>（7）</w:t>
      </w:r>
      <w:r>
        <w:rPr>
          <w:rFonts w:hint="default" w:ascii="Times New Roman" w:hAnsi="Times New Roman" w:eastAsia="宋体" w:cs="Times New Roman"/>
          <w:b w:val="0"/>
          <w:bCs/>
          <w:color w:val="000000"/>
          <w:kern w:val="2"/>
          <w:sz w:val="28"/>
          <w:szCs w:val="28"/>
          <w:lang w:val="en-US" w:eastAsia="zh-CN" w:bidi="ar-SA"/>
        </w:rPr>
        <w:t>全浇注母线绝缘材料为不可燃烧无机矿物质材料材质。</w:t>
      </w:r>
      <w:bookmarkEnd w:id="154"/>
    </w:p>
    <w:p>
      <w:pPr>
        <w:pStyle w:val="230"/>
        <w:numPr>
          <w:ilvl w:val="0"/>
          <w:numId w:val="0"/>
        </w:numPr>
        <w:ind w:leftChars="-131"/>
        <w:jc w:val="both"/>
        <w:outlineLvl w:val="9"/>
        <w:rPr>
          <w:rFonts w:hint="default" w:ascii="Times New Roman" w:hAnsi="Times New Roman" w:eastAsia="宋体" w:cs="Times New Roman"/>
          <w:b w:val="0"/>
          <w:bCs/>
          <w:color w:val="000000"/>
          <w:kern w:val="2"/>
          <w:sz w:val="28"/>
          <w:szCs w:val="28"/>
          <w:lang w:val="en-US" w:eastAsia="zh-CN" w:bidi="ar-SA"/>
        </w:rPr>
      </w:pPr>
      <w:bookmarkStart w:id="155" w:name="_Toc4686"/>
      <w:r>
        <w:rPr>
          <w:rFonts w:hint="eastAsia" w:eastAsia="宋体" w:cs="Times New Roman"/>
          <w:b w:val="0"/>
          <w:bCs/>
          <w:color w:val="000000"/>
          <w:kern w:val="2"/>
          <w:sz w:val="28"/>
          <w:szCs w:val="28"/>
          <w:lang w:val="en-US" w:eastAsia="zh-CN" w:bidi="ar-SA"/>
        </w:rPr>
        <w:t>（8）</w:t>
      </w:r>
      <w:r>
        <w:rPr>
          <w:rFonts w:hint="default" w:ascii="Times New Roman" w:hAnsi="Times New Roman" w:eastAsia="宋体" w:cs="Times New Roman"/>
          <w:b w:val="0"/>
          <w:bCs/>
          <w:color w:val="000000"/>
          <w:kern w:val="2"/>
          <w:sz w:val="28"/>
          <w:szCs w:val="28"/>
          <w:lang w:val="en-US" w:eastAsia="zh-CN" w:bidi="ar-SA"/>
        </w:rPr>
        <w:t>全浇注母线整支回路均为全浇注工艺，整体寿命不少于30年。</w:t>
      </w:r>
      <w:bookmarkEnd w:id="155"/>
    </w:p>
    <w:p>
      <w:pPr>
        <w:pStyle w:val="230"/>
        <w:numPr>
          <w:ilvl w:val="0"/>
          <w:numId w:val="25"/>
        </w:numPr>
        <w:ind w:left="576" w:leftChars="0" w:hanging="366" w:firstLineChars="0"/>
        <w:jc w:val="both"/>
        <w:outlineLvl w:val="9"/>
        <w:rPr>
          <w:rFonts w:hint="default" w:ascii="Times New Roman" w:hAnsi="Times New Roman" w:eastAsia="宋体" w:cs="Times New Roman"/>
          <w:b w:val="0"/>
          <w:bCs/>
          <w:color w:val="000000"/>
          <w:kern w:val="2"/>
          <w:sz w:val="28"/>
          <w:szCs w:val="28"/>
          <w:lang w:val="en-US" w:eastAsia="zh-CN" w:bidi="ar-SA"/>
        </w:rPr>
      </w:pPr>
      <w:bookmarkStart w:id="156" w:name="_Toc15064"/>
      <w:r>
        <w:rPr>
          <w:rFonts w:hint="eastAsia" w:ascii="Times New Roman" w:hAnsi="Times New Roman" w:eastAsia="宋体" w:cs="Times New Roman"/>
          <w:b w:val="0"/>
          <w:bCs/>
          <w:color w:val="000000"/>
          <w:kern w:val="2"/>
          <w:sz w:val="28"/>
          <w:szCs w:val="28"/>
          <w:lang w:val="en-US" w:eastAsia="zh-CN" w:bidi="ar-SA"/>
        </w:rPr>
        <w:t>连接</w:t>
      </w:r>
      <w:bookmarkEnd w:id="156"/>
    </w:p>
    <w:p>
      <w:pPr>
        <w:pStyle w:val="230"/>
        <w:numPr>
          <w:ilvl w:val="0"/>
          <w:numId w:val="0"/>
        </w:numPr>
        <w:ind w:leftChars="-131"/>
        <w:jc w:val="both"/>
        <w:outlineLvl w:val="9"/>
        <w:rPr>
          <w:rFonts w:hint="eastAsia" w:ascii="Times New Roman" w:hAnsi="Times New Roman" w:eastAsia="宋体" w:cs="Times New Roman"/>
          <w:b w:val="0"/>
          <w:bCs/>
          <w:color w:val="000000"/>
          <w:kern w:val="2"/>
          <w:sz w:val="28"/>
          <w:szCs w:val="28"/>
          <w:lang w:val="en-US" w:eastAsia="zh-CN" w:bidi="ar-SA"/>
        </w:rPr>
      </w:pPr>
      <w:bookmarkStart w:id="157" w:name="_Toc13110"/>
      <w:r>
        <w:rPr>
          <w:rFonts w:hint="eastAsia" w:ascii="Times New Roman" w:hAnsi="Times New Roman" w:eastAsia="宋体" w:cs="Times New Roman"/>
          <w:b w:val="0"/>
          <w:bCs/>
          <w:color w:val="000000"/>
          <w:kern w:val="2"/>
          <w:sz w:val="28"/>
          <w:szCs w:val="28"/>
          <w:lang w:val="en-US" w:eastAsia="zh-CN" w:bidi="ar-SA"/>
        </w:rPr>
        <w:t>（1）各制造段间导体的连接采用螺栓连接，其紧固螺栓应采用非磁性材料。</w:t>
      </w:r>
      <w:bookmarkEnd w:id="157"/>
      <w:r>
        <w:rPr>
          <w:rFonts w:hint="eastAsia" w:ascii="Times New Roman" w:hAnsi="Times New Roman" w:eastAsia="宋体" w:cs="Times New Roman"/>
          <w:b w:val="0"/>
          <w:bCs/>
          <w:color w:val="000000"/>
          <w:kern w:val="2"/>
          <w:sz w:val="28"/>
          <w:szCs w:val="28"/>
          <w:lang w:val="en-US" w:eastAsia="zh-CN" w:bidi="ar-SA"/>
        </w:rPr>
        <w:t xml:space="preserve"> </w:t>
      </w:r>
    </w:p>
    <w:p>
      <w:pPr>
        <w:pStyle w:val="230"/>
        <w:numPr>
          <w:ilvl w:val="0"/>
          <w:numId w:val="0"/>
        </w:numPr>
        <w:ind w:leftChars="-131"/>
        <w:jc w:val="both"/>
        <w:outlineLvl w:val="9"/>
        <w:rPr>
          <w:rFonts w:hint="eastAsia" w:ascii="Times New Roman" w:hAnsi="Times New Roman" w:eastAsia="宋体" w:cs="Times New Roman"/>
          <w:b w:val="0"/>
          <w:bCs/>
          <w:color w:val="000000"/>
          <w:kern w:val="2"/>
          <w:sz w:val="28"/>
          <w:szCs w:val="28"/>
          <w:lang w:val="en-US" w:eastAsia="zh-CN" w:bidi="ar-SA"/>
        </w:rPr>
      </w:pPr>
      <w:bookmarkStart w:id="158" w:name="_Toc30301"/>
      <w:r>
        <w:rPr>
          <w:rFonts w:hint="eastAsia" w:ascii="Times New Roman" w:hAnsi="Times New Roman" w:eastAsia="宋体" w:cs="Times New Roman"/>
          <w:b w:val="0"/>
          <w:bCs/>
          <w:color w:val="000000"/>
          <w:kern w:val="2"/>
          <w:sz w:val="28"/>
          <w:szCs w:val="28"/>
          <w:lang w:val="en-US" w:eastAsia="zh-CN" w:bidi="ar-SA"/>
        </w:rPr>
        <w:t>（2）金属覆板的段间采用可拆连接。</w:t>
      </w:r>
      <w:bookmarkEnd w:id="158"/>
    </w:p>
    <w:p>
      <w:pPr>
        <w:pStyle w:val="230"/>
        <w:numPr>
          <w:ilvl w:val="0"/>
          <w:numId w:val="0"/>
        </w:numPr>
        <w:ind w:leftChars="-131"/>
        <w:jc w:val="both"/>
        <w:outlineLvl w:val="9"/>
        <w:rPr>
          <w:rFonts w:hint="eastAsia" w:ascii="Times New Roman" w:hAnsi="Times New Roman" w:eastAsia="宋体" w:cs="Times New Roman"/>
          <w:b w:val="0"/>
          <w:bCs/>
          <w:color w:val="000000"/>
          <w:kern w:val="2"/>
          <w:sz w:val="28"/>
          <w:szCs w:val="28"/>
          <w:lang w:val="en-US" w:eastAsia="zh-CN" w:bidi="ar-SA"/>
        </w:rPr>
      </w:pPr>
      <w:bookmarkStart w:id="159" w:name="_Toc24984"/>
      <w:r>
        <w:rPr>
          <w:rFonts w:hint="eastAsia" w:ascii="Times New Roman" w:hAnsi="Times New Roman" w:eastAsia="宋体" w:cs="Times New Roman"/>
          <w:b w:val="0"/>
          <w:bCs/>
          <w:color w:val="000000"/>
          <w:kern w:val="2"/>
          <w:sz w:val="28"/>
          <w:szCs w:val="28"/>
          <w:lang w:val="en-US" w:eastAsia="zh-CN" w:bidi="ar-SA"/>
        </w:rPr>
        <w:t>（3）浇注封闭母线金属覆板与设备外壳间应采用可拆连接。</w:t>
      </w:r>
      <w:bookmarkEnd w:id="159"/>
    </w:p>
    <w:p>
      <w:pPr>
        <w:pStyle w:val="230"/>
        <w:numPr>
          <w:ilvl w:val="0"/>
          <w:numId w:val="0"/>
        </w:numPr>
        <w:ind w:leftChars="0"/>
        <w:jc w:val="both"/>
        <w:outlineLvl w:val="9"/>
        <w:rPr>
          <w:rFonts w:hint="eastAsia" w:eastAsia="宋体" w:cs="Times New Roman"/>
          <w:b w:val="0"/>
          <w:bCs/>
          <w:color w:val="000000"/>
          <w:kern w:val="2"/>
          <w:sz w:val="28"/>
          <w:szCs w:val="28"/>
          <w:lang w:val="en-US" w:eastAsia="zh-CN" w:bidi="ar-SA"/>
        </w:rPr>
      </w:pPr>
      <w:bookmarkStart w:id="160" w:name="_Toc5507"/>
      <w:r>
        <w:rPr>
          <w:rFonts w:hint="eastAsia" w:eastAsia="宋体" w:cs="Times New Roman"/>
          <w:b w:val="0"/>
          <w:bCs/>
          <w:color w:val="000000"/>
          <w:kern w:val="2"/>
          <w:sz w:val="28"/>
          <w:szCs w:val="28"/>
          <w:lang w:val="en-US" w:eastAsia="zh-CN" w:bidi="ar-SA"/>
        </w:rPr>
        <w:t>10、导体要求</w:t>
      </w:r>
      <w:bookmarkEnd w:id="160"/>
    </w:p>
    <w:p>
      <w:pPr>
        <w:pStyle w:val="230"/>
        <w:numPr>
          <w:ilvl w:val="0"/>
          <w:numId w:val="0"/>
        </w:numPr>
        <w:ind w:leftChars="-131"/>
        <w:jc w:val="both"/>
        <w:outlineLvl w:val="9"/>
        <w:rPr>
          <w:rFonts w:hint="eastAsia" w:eastAsia="宋体" w:cs="Times New Roman"/>
          <w:b w:val="0"/>
          <w:bCs/>
          <w:color w:val="000000"/>
          <w:kern w:val="2"/>
          <w:sz w:val="28"/>
          <w:szCs w:val="28"/>
          <w:lang w:val="en-US" w:eastAsia="zh-CN" w:bidi="ar-SA"/>
        </w:rPr>
      </w:pPr>
      <w:bookmarkStart w:id="161" w:name="_Toc7646"/>
      <w:r>
        <w:rPr>
          <w:rFonts w:hint="eastAsia" w:eastAsia="宋体" w:cs="Times New Roman"/>
          <w:b w:val="0"/>
          <w:bCs/>
          <w:color w:val="000000"/>
          <w:kern w:val="2"/>
          <w:sz w:val="28"/>
          <w:szCs w:val="28"/>
          <w:lang w:val="en-US" w:eastAsia="zh-CN" w:bidi="ar-SA"/>
        </w:rPr>
        <w:t>（1）母线导体须由T2高导电率铜材制成，铜排纯度≥99.90%，导电率≥97% IACS。</w:t>
      </w:r>
      <w:bookmarkEnd w:id="161"/>
    </w:p>
    <w:p>
      <w:pPr>
        <w:pStyle w:val="230"/>
        <w:numPr>
          <w:ilvl w:val="0"/>
          <w:numId w:val="0"/>
        </w:numPr>
        <w:ind w:leftChars="-131"/>
        <w:jc w:val="both"/>
        <w:outlineLvl w:val="9"/>
        <w:rPr>
          <w:rFonts w:hint="eastAsia" w:eastAsia="宋体" w:cs="Times New Roman"/>
          <w:b w:val="0"/>
          <w:bCs/>
          <w:color w:val="000000"/>
          <w:kern w:val="2"/>
          <w:sz w:val="28"/>
          <w:szCs w:val="28"/>
          <w:lang w:val="en-US" w:eastAsia="zh-CN" w:bidi="ar-SA"/>
        </w:rPr>
      </w:pPr>
      <w:bookmarkStart w:id="162" w:name="_Toc18860"/>
      <w:r>
        <w:rPr>
          <w:rFonts w:hint="eastAsia" w:eastAsia="宋体" w:cs="Times New Roman"/>
          <w:b w:val="0"/>
          <w:bCs/>
          <w:color w:val="000000"/>
          <w:kern w:val="2"/>
          <w:sz w:val="28"/>
          <w:szCs w:val="28"/>
          <w:lang w:val="en-US" w:eastAsia="zh-CN" w:bidi="ar-SA"/>
        </w:rPr>
        <w:t>（2）母线所有连接部位必须做表面处理，可采用锡-锡或银-银搭接，以减小接触电阻；</w:t>
      </w:r>
      <w:bookmarkEnd w:id="162"/>
    </w:p>
    <w:p>
      <w:pPr>
        <w:pStyle w:val="230"/>
        <w:numPr>
          <w:ilvl w:val="0"/>
          <w:numId w:val="0"/>
        </w:numPr>
        <w:ind w:leftChars="-131"/>
        <w:jc w:val="both"/>
        <w:outlineLvl w:val="9"/>
        <w:rPr>
          <w:rFonts w:hint="eastAsia" w:eastAsia="宋体" w:cs="Times New Roman"/>
          <w:b w:val="0"/>
          <w:bCs/>
          <w:color w:val="000000"/>
          <w:kern w:val="2"/>
          <w:sz w:val="28"/>
          <w:szCs w:val="28"/>
          <w:lang w:val="en-US" w:eastAsia="zh-CN" w:bidi="ar-SA"/>
        </w:rPr>
      </w:pPr>
      <w:bookmarkStart w:id="163" w:name="_Toc9234"/>
      <w:r>
        <w:rPr>
          <w:rFonts w:hint="eastAsia" w:eastAsia="宋体" w:cs="Times New Roman"/>
          <w:b w:val="0"/>
          <w:bCs/>
          <w:color w:val="000000"/>
          <w:kern w:val="2"/>
          <w:sz w:val="28"/>
          <w:szCs w:val="28"/>
          <w:lang w:val="en-US" w:eastAsia="zh-CN" w:bidi="ar-SA"/>
        </w:rPr>
        <w:t>（3）浇注封闭母线各部位的允许温度和温升</w:t>
      </w:r>
      <w:bookmarkEnd w:id="163"/>
    </w:p>
    <w:tbl>
      <w:tblPr>
        <w:tblStyle w:val="63"/>
        <w:tblW w:w="7485" w:type="dxa"/>
        <w:jc w:val="center"/>
        <w:tblCellSpacing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3941"/>
        <w:gridCol w:w="1690"/>
        <w:gridCol w:w="18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5" w:hRule="atLeast"/>
          <w:tblCellSpacing w:w="0" w:type="dxa"/>
          <w:jc w:val="center"/>
        </w:trPr>
        <w:tc>
          <w:tcPr>
            <w:tcW w:w="3941" w:type="dxa"/>
            <w:vAlign w:val="center"/>
          </w:tcPr>
          <w:p>
            <w:pPr>
              <w:jc w:val="center"/>
            </w:pPr>
            <w:r>
              <w:rPr>
                <w:rFonts w:hint="eastAsia"/>
              </w:rPr>
              <w:t>浇注封闭母线的部件</w:t>
            </w:r>
          </w:p>
        </w:tc>
        <w:tc>
          <w:tcPr>
            <w:tcW w:w="1690" w:type="dxa"/>
            <w:vAlign w:val="center"/>
          </w:tcPr>
          <w:p>
            <w:pPr>
              <w:jc w:val="center"/>
            </w:pPr>
            <w:r>
              <w:rPr>
                <w:rFonts w:hint="eastAsia"/>
              </w:rPr>
              <w:t>最高允许温度</w:t>
            </w:r>
          </w:p>
          <w:p>
            <w:pPr>
              <w:jc w:val="center"/>
            </w:pPr>
            <w:r>
              <w:rPr>
                <w:rFonts w:hint="eastAsia"/>
              </w:rPr>
              <w:t>℃</w:t>
            </w:r>
          </w:p>
        </w:tc>
        <w:tc>
          <w:tcPr>
            <w:tcW w:w="1854" w:type="dxa"/>
            <w:vAlign w:val="center"/>
          </w:tcPr>
          <w:p>
            <w:pPr>
              <w:jc w:val="center"/>
            </w:pPr>
            <w:r>
              <w:rPr>
                <w:rFonts w:hint="eastAsia"/>
              </w:rPr>
              <w:t>最高允许温升</w:t>
            </w:r>
          </w:p>
          <w:p>
            <w:pPr>
              <w:jc w:val="center"/>
            </w:pPr>
            <w:r>
              <w:rPr>
                <w:rFonts w:hint="eastAsia"/>
              </w:rPr>
              <w:t>K</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5" w:hRule="atLeast"/>
          <w:tblCellSpacing w:w="0" w:type="dxa"/>
          <w:jc w:val="center"/>
        </w:trPr>
        <w:tc>
          <w:tcPr>
            <w:tcW w:w="3941" w:type="dxa"/>
            <w:vAlign w:val="center"/>
          </w:tcPr>
          <w:p>
            <w:pPr>
              <w:jc w:val="center"/>
            </w:pPr>
            <w:r>
              <w:rPr>
                <w:rFonts w:hint="eastAsia"/>
              </w:rPr>
              <w:t>铜导体</w:t>
            </w:r>
          </w:p>
        </w:tc>
        <w:tc>
          <w:tcPr>
            <w:tcW w:w="1690" w:type="dxa"/>
            <w:vAlign w:val="center"/>
          </w:tcPr>
          <w:p>
            <w:pPr>
              <w:jc w:val="center"/>
            </w:pPr>
            <w:r>
              <w:rPr>
                <w:rFonts w:hint="eastAsia"/>
              </w:rPr>
              <w:t>90</w:t>
            </w:r>
          </w:p>
        </w:tc>
        <w:tc>
          <w:tcPr>
            <w:tcW w:w="1854" w:type="dxa"/>
            <w:vAlign w:val="center"/>
          </w:tcPr>
          <w:p>
            <w:pPr>
              <w:jc w:val="center"/>
            </w:pPr>
            <w:r>
              <w:rPr>
                <w:rFonts w:hint="eastAsia"/>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65" w:hRule="atLeast"/>
          <w:tblCellSpacing w:w="0" w:type="dxa"/>
          <w:jc w:val="center"/>
        </w:trPr>
        <w:tc>
          <w:tcPr>
            <w:tcW w:w="3941" w:type="dxa"/>
            <w:vAlign w:val="center"/>
          </w:tcPr>
          <w:p>
            <w:pPr>
              <w:jc w:val="center"/>
            </w:pPr>
            <w:r>
              <w:rPr>
                <w:rFonts w:hint="eastAsia"/>
              </w:rPr>
              <w:t>用螺栓紧固的导体接触面</w:t>
            </w:r>
          </w:p>
          <w:p>
            <w:pPr>
              <w:jc w:val="center"/>
            </w:pPr>
            <w:r>
              <w:rPr>
                <w:rFonts w:hint="eastAsia"/>
              </w:rPr>
              <w:t>（表面镀锡）</w:t>
            </w:r>
          </w:p>
        </w:tc>
        <w:tc>
          <w:tcPr>
            <w:tcW w:w="1690" w:type="dxa"/>
            <w:vAlign w:val="center"/>
          </w:tcPr>
          <w:p>
            <w:pPr>
              <w:jc w:val="center"/>
            </w:pPr>
            <w:r>
              <w:rPr>
                <w:rFonts w:hint="eastAsia"/>
              </w:rPr>
              <w:t>90</w:t>
            </w:r>
          </w:p>
        </w:tc>
        <w:tc>
          <w:tcPr>
            <w:tcW w:w="1854" w:type="dxa"/>
            <w:vAlign w:val="center"/>
          </w:tcPr>
          <w:p>
            <w:pPr>
              <w:jc w:val="center"/>
            </w:pPr>
            <w:r>
              <w:rPr>
                <w:rFonts w:hint="eastAsia"/>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tblCellSpacing w:w="0" w:type="dxa"/>
          <w:jc w:val="center"/>
        </w:trPr>
        <w:tc>
          <w:tcPr>
            <w:tcW w:w="3941" w:type="dxa"/>
            <w:vAlign w:val="center"/>
          </w:tcPr>
          <w:p>
            <w:pPr>
              <w:jc w:val="center"/>
            </w:pPr>
            <w:r>
              <w:rPr>
                <w:rFonts w:hint="eastAsia"/>
              </w:rPr>
              <w:t>用螺栓紧固的导体接触面</w:t>
            </w:r>
          </w:p>
          <w:p>
            <w:pPr>
              <w:jc w:val="center"/>
            </w:pPr>
            <w:r>
              <w:rPr>
                <w:rFonts w:hint="eastAsia"/>
              </w:rPr>
              <w:t>（表面镀银）</w:t>
            </w:r>
          </w:p>
        </w:tc>
        <w:tc>
          <w:tcPr>
            <w:tcW w:w="1690" w:type="dxa"/>
            <w:vAlign w:val="center"/>
          </w:tcPr>
          <w:p>
            <w:pPr>
              <w:jc w:val="center"/>
            </w:pPr>
            <w:r>
              <w:rPr>
                <w:rFonts w:hint="eastAsia"/>
              </w:rPr>
              <w:t>105</w:t>
            </w:r>
          </w:p>
        </w:tc>
        <w:tc>
          <w:tcPr>
            <w:tcW w:w="1854" w:type="dxa"/>
            <w:vAlign w:val="center"/>
          </w:tcPr>
          <w:p>
            <w:pPr>
              <w:jc w:val="center"/>
            </w:pPr>
            <w:r>
              <w:rPr>
                <w:rFonts w:hint="eastAsia"/>
              </w:rPr>
              <w:t>65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tblCellSpacing w:w="0" w:type="dxa"/>
          <w:jc w:val="center"/>
        </w:trPr>
        <w:tc>
          <w:tcPr>
            <w:tcW w:w="3941" w:type="dxa"/>
            <w:vAlign w:val="center"/>
          </w:tcPr>
          <w:p>
            <w:pPr>
              <w:jc w:val="center"/>
            </w:pPr>
            <w:r>
              <w:rPr>
                <w:rFonts w:hint="eastAsia"/>
              </w:rPr>
              <w:t>外壳</w:t>
            </w:r>
          </w:p>
        </w:tc>
        <w:tc>
          <w:tcPr>
            <w:tcW w:w="1690" w:type="dxa"/>
            <w:vAlign w:val="center"/>
          </w:tcPr>
          <w:p>
            <w:pPr>
              <w:jc w:val="center"/>
            </w:pPr>
            <w:r>
              <w:rPr>
                <w:rFonts w:hint="eastAsia"/>
              </w:rPr>
              <w:t>70</w:t>
            </w:r>
          </w:p>
        </w:tc>
        <w:tc>
          <w:tcPr>
            <w:tcW w:w="1854" w:type="dxa"/>
            <w:vAlign w:val="center"/>
          </w:tcPr>
          <w:p>
            <w:pPr>
              <w:jc w:val="center"/>
            </w:pPr>
            <w:r>
              <w:rPr>
                <w:rFonts w:hint="eastAsia"/>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tblCellSpacing w:w="0" w:type="dxa"/>
          <w:jc w:val="center"/>
        </w:trPr>
        <w:tc>
          <w:tcPr>
            <w:tcW w:w="3941" w:type="dxa"/>
            <w:vAlign w:val="center"/>
          </w:tcPr>
          <w:p>
            <w:pPr>
              <w:jc w:val="center"/>
            </w:pPr>
            <w:r>
              <w:rPr>
                <w:rFonts w:hint="eastAsia"/>
              </w:rPr>
              <w:t>外壳支持结构</w:t>
            </w:r>
          </w:p>
        </w:tc>
        <w:tc>
          <w:tcPr>
            <w:tcW w:w="1690" w:type="dxa"/>
            <w:vAlign w:val="center"/>
          </w:tcPr>
          <w:p>
            <w:pPr>
              <w:jc w:val="center"/>
            </w:pPr>
            <w:r>
              <w:rPr>
                <w:rFonts w:hint="eastAsia"/>
              </w:rPr>
              <w:t>70</w:t>
            </w:r>
          </w:p>
        </w:tc>
        <w:tc>
          <w:tcPr>
            <w:tcW w:w="1854" w:type="dxa"/>
            <w:vAlign w:val="center"/>
          </w:tcPr>
          <w:p>
            <w:pPr>
              <w:jc w:val="center"/>
            </w:pPr>
            <w:r>
              <w:rPr>
                <w:rFonts w:hint="eastAsia"/>
              </w:rPr>
              <w:t>30</w:t>
            </w:r>
          </w:p>
        </w:tc>
      </w:tr>
    </w:tbl>
    <w:p>
      <w:pPr>
        <w:pStyle w:val="230"/>
        <w:numPr>
          <w:ilvl w:val="0"/>
          <w:numId w:val="26"/>
        </w:numPr>
        <w:ind w:left="0" w:leftChars="0" w:firstLine="0" w:firstLineChars="0"/>
        <w:jc w:val="both"/>
        <w:outlineLvl w:val="9"/>
        <w:rPr>
          <w:rFonts w:hint="eastAsia" w:eastAsia="宋体" w:cs="Times New Roman"/>
          <w:b w:val="0"/>
          <w:bCs/>
          <w:color w:val="000000"/>
          <w:kern w:val="2"/>
          <w:sz w:val="28"/>
          <w:szCs w:val="28"/>
          <w:lang w:val="en-US" w:eastAsia="zh-CN" w:bidi="ar-SA"/>
        </w:rPr>
      </w:pPr>
      <w:bookmarkStart w:id="164" w:name="_Toc13858"/>
      <w:r>
        <w:rPr>
          <w:rFonts w:hint="eastAsia" w:eastAsia="宋体" w:cs="Times New Roman"/>
          <w:b w:val="0"/>
          <w:bCs/>
          <w:color w:val="000000"/>
          <w:kern w:val="2"/>
          <w:sz w:val="28"/>
          <w:szCs w:val="28"/>
          <w:lang w:val="en-US" w:eastAsia="zh-CN" w:bidi="ar-SA"/>
        </w:rPr>
        <w:t>动、热稳定电流：浇注封闭母线承受规定的动、热稳定电流作用后，不得有影响产品正常工作的任何机械损伤，如母线导体、金具、外壳、支持等零部件有明显的变形，绝缘子、套管及其他绝缘部件因损伤而引起绝缘性能降低；不得有接头熔焊或有影响正常工作的烧伤。</w:t>
      </w:r>
      <w:bookmarkEnd w:id="164"/>
    </w:p>
    <w:p>
      <w:pPr>
        <w:pStyle w:val="230"/>
        <w:numPr>
          <w:ilvl w:val="0"/>
          <w:numId w:val="0"/>
        </w:numPr>
        <w:jc w:val="both"/>
        <w:outlineLvl w:val="9"/>
        <w:rPr>
          <w:rFonts w:hint="eastAsia" w:eastAsia="宋体" w:cs="Times New Roman"/>
          <w:b w:val="0"/>
          <w:bCs/>
          <w:color w:val="000000"/>
          <w:kern w:val="2"/>
          <w:sz w:val="28"/>
          <w:szCs w:val="28"/>
          <w:lang w:val="en-US" w:eastAsia="zh-CN" w:bidi="ar-SA"/>
        </w:rPr>
      </w:pPr>
      <w:bookmarkStart w:id="165" w:name="_Toc11290"/>
      <w:r>
        <w:rPr>
          <w:rFonts w:hint="eastAsia" w:eastAsia="宋体" w:cs="Times New Roman"/>
          <w:b w:val="0"/>
          <w:bCs/>
          <w:color w:val="000000"/>
          <w:kern w:val="2"/>
          <w:sz w:val="28"/>
          <w:szCs w:val="28"/>
          <w:lang w:val="en-US" w:eastAsia="zh-CN" w:bidi="ar-SA"/>
        </w:rPr>
        <w:t>11、接地</w:t>
      </w:r>
      <w:bookmarkEnd w:id="165"/>
    </w:p>
    <w:p>
      <w:pPr>
        <w:pStyle w:val="230"/>
        <w:numPr>
          <w:ilvl w:val="0"/>
          <w:numId w:val="0"/>
        </w:numPr>
        <w:jc w:val="both"/>
        <w:outlineLvl w:val="9"/>
        <w:rPr>
          <w:rFonts w:hint="eastAsia" w:eastAsia="宋体" w:cs="Times New Roman"/>
          <w:b w:val="0"/>
          <w:bCs/>
          <w:color w:val="000000"/>
          <w:kern w:val="2"/>
          <w:sz w:val="28"/>
          <w:szCs w:val="28"/>
          <w:lang w:val="en-US" w:eastAsia="zh-CN" w:bidi="ar-SA"/>
        </w:rPr>
      </w:pPr>
      <w:bookmarkStart w:id="166" w:name="_Toc21998"/>
      <w:r>
        <w:rPr>
          <w:rFonts w:hint="eastAsia" w:eastAsia="宋体" w:cs="Times New Roman"/>
          <w:b w:val="0"/>
          <w:bCs/>
          <w:color w:val="000000"/>
          <w:kern w:val="2"/>
          <w:sz w:val="28"/>
          <w:szCs w:val="28"/>
          <w:lang w:val="en-US" w:eastAsia="zh-CN" w:bidi="ar-SA"/>
        </w:rPr>
        <w:t>（1）浇注封闭母线的外壳及支持结构的金属部分应可靠接地。</w:t>
      </w:r>
      <w:bookmarkEnd w:id="166"/>
    </w:p>
    <w:p>
      <w:pPr>
        <w:pStyle w:val="230"/>
        <w:numPr>
          <w:ilvl w:val="0"/>
          <w:numId w:val="0"/>
        </w:numPr>
        <w:jc w:val="both"/>
        <w:outlineLvl w:val="9"/>
        <w:rPr>
          <w:rFonts w:hint="eastAsia" w:eastAsia="宋体" w:cs="Times New Roman"/>
          <w:b w:val="0"/>
          <w:bCs/>
          <w:color w:val="000000"/>
          <w:kern w:val="2"/>
          <w:sz w:val="28"/>
          <w:szCs w:val="28"/>
          <w:lang w:val="en-US" w:eastAsia="zh-CN" w:bidi="ar-SA"/>
        </w:rPr>
      </w:pPr>
      <w:bookmarkStart w:id="167" w:name="_Toc17577"/>
      <w:r>
        <w:rPr>
          <w:rFonts w:hint="eastAsia" w:eastAsia="宋体" w:cs="Times New Roman"/>
          <w:b w:val="0"/>
          <w:bCs/>
          <w:color w:val="000000"/>
          <w:kern w:val="2"/>
          <w:sz w:val="28"/>
          <w:szCs w:val="28"/>
          <w:lang w:val="en-US" w:eastAsia="zh-CN" w:bidi="ar-SA"/>
        </w:rPr>
        <w:t>（2）浇注封闭母线的金属结构各段间必须有可靠的电气连接，其中至少有一段金属覆板应可靠接地。</w:t>
      </w:r>
      <w:bookmarkEnd w:id="167"/>
    </w:p>
    <w:p>
      <w:pPr>
        <w:pStyle w:val="230"/>
        <w:numPr>
          <w:ilvl w:val="0"/>
          <w:numId w:val="0"/>
        </w:numPr>
        <w:jc w:val="both"/>
        <w:outlineLvl w:val="9"/>
        <w:rPr>
          <w:rFonts w:hint="eastAsia" w:eastAsia="宋体" w:cs="Times New Roman"/>
          <w:b w:val="0"/>
          <w:bCs/>
          <w:color w:val="000000"/>
          <w:kern w:val="2"/>
          <w:sz w:val="28"/>
          <w:szCs w:val="28"/>
          <w:lang w:val="en-US" w:eastAsia="zh-CN" w:bidi="ar-SA"/>
        </w:rPr>
      </w:pPr>
      <w:bookmarkStart w:id="168" w:name="_Toc17790"/>
      <w:r>
        <w:rPr>
          <w:rFonts w:hint="eastAsia" w:eastAsia="宋体" w:cs="Times New Roman"/>
          <w:b w:val="0"/>
          <w:bCs/>
          <w:color w:val="000000"/>
          <w:kern w:val="2"/>
          <w:sz w:val="28"/>
          <w:szCs w:val="28"/>
          <w:lang w:val="en-US" w:eastAsia="zh-CN" w:bidi="ar-SA"/>
        </w:rPr>
        <w:t>（3）当母线通过短路电流时外壳的感应电压应不超过24V。</w:t>
      </w:r>
      <w:bookmarkEnd w:id="168"/>
    </w:p>
    <w:p>
      <w:pPr>
        <w:pStyle w:val="2"/>
        <w:numPr>
          <w:ilvl w:val="0"/>
          <w:numId w:val="0"/>
        </w:numPr>
        <w:rPr>
          <w:rFonts w:hint="default" w:ascii="宋体" w:cs="宋体"/>
          <w:kern w:val="0"/>
          <w:sz w:val="28"/>
          <w:szCs w:val="28"/>
          <w:lang w:val="en-US" w:eastAsia="zh-CN" w:bidi="ar-SA"/>
        </w:rPr>
      </w:pPr>
      <w:r>
        <w:rPr>
          <w:rFonts w:hint="eastAsia" w:eastAsia="宋体" w:cs="Times New Roman"/>
          <w:b w:val="0"/>
          <w:bCs/>
          <w:color w:val="000000"/>
          <w:kern w:val="2"/>
          <w:sz w:val="28"/>
          <w:szCs w:val="28"/>
          <w:lang w:val="en-US" w:eastAsia="zh-CN" w:bidi="ar-SA"/>
        </w:rPr>
        <w:t>（4）接地导体应有足够的截面，以保证具有通过短路电流的能力。接地导体为铜导体，其截面360mm2。</w:t>
      </w:r>
    </w:p>
    <w:p>
      <w:pPr>
        <w:pStyle w:val="7"/>
        <w:numPr>
          <w:ilvl w:val="1"/>
          <w:numId w:val="0"/>
        </w:numPr>
        <w:tabs>
          <w:tab w:val="left" w:pos="0"/>
        </w:tabs>
        <w:outlineLvl w:val="1"/>
        <w:rPr>
          <w:rFonts w:hint="eastAsia"/>
          <w:sz w:val="32"/>
          <w:szCs w:val="22"/>
          <w:lang w:val="en-US" w:eastAsia="zh-CN"/>
        </w:rPr>
      </w:pPr>
      <w:bookmarkStart w:id="169" w:name="_Toc26335"/>
      <w:r>
        <w:rPr>
          <w:rFonts w:hint="eastAsia"/>
          <w:sz w:val="32"/>
          <w:szCs w:val="22"/>
          <w:lang w:val="en-US" w:eastAsia="zh-CN"/>
        </w:rPr>
        <w:t>2.4</w:t>
      </w:r>
      <w:r>
        <w:rPr>
          <w:sz w:val="32"/>
          <w:szCs w:val="22"/>
        </w:rPr>
        <w:t xml:space="preserve"> </w:t>
      </w:r>
      <w:r>
        <w:rPr>
          <w:rFonts w:hint="eastAsia"/>
          <w:sz w:val="32"/>
          <w:szCs w:val="22"/>
        </w:rPr>
        <w:t>二次</w:t>
      </w:r>
      <w:r>
        <w:rPr>
          <w:rFonts w:hint="eastAsia"/>
          <w:sz w:val="32"/>
          <w:szCs w:val="22"/>
          <w:lang w:val="en-US" w:eastAsia="zh-CN"/>
        </w:rPr>
        <w:t>系统要求</w:t>
      </w:r>
      <w:bookmarkEnd w:id="169"/>
    </w:p>
    <w:p>
      <w:pPr>
        <w:pStyle w:val="6"/>
        <w:rPr>
          <w:rFonts w:hint="eastAsia" w:ascii="宋体" w:cs="宋体"/>
          <w:kern w:val="0"/>
          <w:sz w:val="28"/>
          <w:szCs w:val="28"/>
          <w:lang w:val="en-US" w:eastAsia="zh-CN" w:bidi="ar-SA"/>
        </w:rPr>
      </w:pPr>
      <w:r>
        <w:rPr>
          <w:rFonts w:hint="eastAsia" w:ascii="宋体" w:hAnsi="Times New Roman" w:eastAsia="宋体" w:cs="宋体"/>
          <w:kern w:val="0"/>
          <w:sz w:val="28"/>
          <w:szCs w:val="28"/>
          <w:lang w:val="en-US" w:eastAsia="zh-CN" w:bidi="ar-SA"/>
        </w:rPr>
        <w:t>通用要求</w:t>
      </w:r>
      <w:r>
        <w:rPr>
          <w:rFonts w:hint="eastAsia" w:ascii="宋体" w:cs="宋体"/>
          <w:kern w:val="0"/>
          <w:sz w:val="28"/>
          <w:szCs w:val="28"/>
          <w:lang w:val="en-US" w:eastAsia="zh-CN" w:bidi="ar-SA"/>
        </w:rPr>
        <w:t>：</w:t>
      </w:r>
    </w:p>
    <w:p>
      <w:pPr>
        <w:pStyle w:val="6"/>
        <w:numPr>
          <w:ilvl w:val="0"/>
          <w:numId w:val="27"/>
        </w:numPr>
        <w:rPr>
          <w:rFonts w:hint="default" w:ascii="宋体" w:cs="宋体"/>
          <w:kern w:val="0"/>
          <w:sz w:val="28"/>
          <w:szCs w:val="28"/>
          <w:lang w:val="en-US" w:eastAsia="zh-CN" w:bidi="ar-SA"/>
        </w:rPr>
      </w:pPr>
      <w:r>
        <w:rPr>
          <w:rFonts w:hint="default" w:ascii="宋体" w:cs="宋体"/>
          <w:kern w:val="0"/>
          <w:sz w:val="28"/>
          <w:szCs w:val="28"/>
          <w:lang w:val="en-US" w:eastAsia="zh-CN" w:bidi="ar-SA"/>
        </w:rPr>
        <w:t>在雷击过电压、一次回路操作、系统故障及其他强干扰作用下，不应误动和拒动。保护装置的快速瞬变干扰试验、高频干扰试验、辐射电磁场干扰试验、冲击电压试验和绝缘试验应至少符合IEC标准。装置调试端口应带有光电隔离。</w:t>
      </w:r>
    </w:p>
    <w:p>
      <w:pPr>
        <w:pStyle w:val="6"/>
        <w:numPr>
          <w:ilvl w:val="0"/>
          <w:numId w:val="27"/>
        </w:numPr>
        <w:rPr>
          <w:rFonts w:hint="default" w:ascii="宋体" w:cs="宋体"/>
          <w:kern w:val="0"/>
          <w:sz w:val="28"/>
          <w:szCs w:val="28"/>
          <w:lang w:val="en-US" w:eastAsia="zh-CN" w:bidi="ar-SA"/>
        </w:rPr>
      </w:pPr>
      <w:r>
        <w:rPr>
          <w:rFonts w:hint="default" w:ascii="宋体" w:cs="宋体"/>
          <w:kern w:val="0"/>
          <w:sz w:val="28"/>
          <w:szCs w:val="28"/>
          <w:lang w:val="en-US" w:eastAsia="zh-CN" w:bidi="ar-SA"/>
        </w:rPr>
        <w:t>所有保护在谐波、直流分量、励磁涌流以及穿越性短路电流稳态和瞬态影响下，不应误动作。保护应该考虑瞬态时TA饱和的影响，即使在严重的穿越性短路故障情况下，也不误动。</w:t>
      </w:r>
    </w:p>
    <w:p>
      <w:pPr>
        <w:pStyle w:val="6"/>
        <w:numPr>
          <w:ilvl w:val="0"/>
          <w:numId w:val="27"/>
        </w:numPr>
        <w:rPr>
          <w:rFonts w:hint="default" w:ascii="宋体" w:cs="宋体"/>
          <w:kern w:val="0"/>
          <w:sz w:val="28"/>
          <w:szCs w:val="28"/>
          <w:lang w:val="en-US" w:eastAsia="zh-CN" w:bidi="ar-SA"/>
        </w:rPr>
      </w:pPr>
      <w:r>
        <w:rPr>
          <w:rFonts w:hint="default" w:ascii="宋体" w:cs="宋体"/>
          <w:kern w:val="0"/>
          <w:sz w:val="28"/>
          <w:szCs w:val="28"/>
          <w:lang w:val="en-US" w:eastAsia="zh-CN" w:bidi="ar-SA"/>
        </w:rPr>
        <w:t>各装置（包括各保护装置、操作箱、非电量保护等）均应具有独立的直流电源快速小开关，与装置安装在同一面屏（柜）上</w:t>
      </w:r>
      <w:r>
        <w:rPr>
          <w:rFonts w:hint="eastAsia" w:ascii="宋体" w:cs="宋体"/>
          <w:kern w:val="0"/>
          <w:sz w:val="28"/>
          <w:szCs w:val="28"/>
          <w:lang w:val="en-US" w:eastAsia="zh-CN" w:bidi="ar-SA"/>
        </w:rPr>
        <w:t>。</w:t>
      </w:r>
    </w:p>
    <w:p>
      <w:pPr>
        <w:pStyle w:val="6"/>
        <w:numPr>
          <w:ilvl w:val="0"/>
          <w:numId w:val="27"/>
        </w:numPr>
        <w:rPr>
          <w:rFonts w:hint="default" w:ascii="宋体" w:cs="宋体"/>
          <w:kern w:val="0"/>
          <w:sz w:val="28"/>
          <w:szCs w:val="28"/>
          <w:lang w:val="en-US" w:eastAsia="zh-CN" w:bidi="ar-SA"/>
        </w:rPr>
      </w:pPr>
      <w:r>
        <w:rPr>
          <w:rFonts w:hint="default" w:ascii="宋体" w:cs="宋体"/>
          <w:kern w:val="0"/>
          <w:sz w:val="28"/>
          <w:szCs w:val="28"/>
          <w:lang w:val="en-US" w:eastAsia="zh-CN" w:bidi="ar-SA"/>
        </w:rPr>
        <w:t>保护装置应能在装置面板上方便地进行参数设定但不影响设备的正常运行，且可在装置内储存不少于4组定值。当直流电源失去时，这些设定值不应丢失。</w:t>
      </w:r>
    </w:p>
    <w:p>
      <w:pPr>
        <w:pStyle w:val="6"/>
        <w:numPr>
          <w:ilvl w:val="0"/>
          <w:numId w:val="27"/>
        </w:numPr>
        <w:rPr>
          <w:rFonts w:hint="default" w:ascii="宋体" w:cs="宋体"/>
          <w:kern w:val="0"/>
          <w:sz w:val="28"/>
          <w:szCs w:val="28"/>
          <w:lang w:val="en-US" w:eastAsia="zh-CN" w:bidi="ar-SA"/>
        </w:rPr>
      </w:pPr>
      <w:r>
        <w:rPr>
          <w:rFonts w:hint="default" w:ascii="宋体" w:cs="宋体"/>
          <w:kern w:val="0"/>
          <w:sz w:val="28"/>
          <w:szCs w:val="28"/>
          <w:lang w:val="en-US" w:eastAsia="zh-CN" w:bidi="ar-SA"/>
        </w:rPr>
        <w:t>所提供的保护设备应能与变电站内继电保护运行及故障信息管理子站或直接与监控系统连接，</w:t>
      </w:r>
      <w:r>
        <w:rPr>
          <w:rFonts w:hint="eastAsia" w:ascii="宋体" w:cs="宋体"/>
          <w:kern w:val="0"/>
          <w:sz w:val="28"/>
          <w:szCs w:val="28"/>
          <w:lang w:val="en-US" w:eastAsia="zh-CN" w:bidi="ar-SA"/>
        </w:rPr>
        <w:t>保护设备</w:t>
      </w:r>
      <w:r>
        <w:rPr>
          <w:rFonts w:hint="default" w:ascii="宋体" w:cs="宋体"/>
          <w:kern w:val="0"/>
          <w:sz w:val="28"/>
          <w:szCs w:val="28"/>
          <w:lang w:val="en-US" w:eastAsia="zh-CN" w:bidi="ar-SA"/>
        </w:rPr>
        <w:t>应提供符合要求的通用规约文本。保护装置向子站或监控系统提供的信息包括：保护的运行定值及控制字；保护的当前运行定值区；保护的动作信号、动作时间、故障相别；保护的自检状态，自检出错的类型，出错时刻；保护的当前压板状态；保护的当前模拟量。提供的保护装置应能保证接入变电站其他厂家的子站或监控系统，必要时应提供规约转换装置（包括在投标报价中），保护装置需具备3组通信接口（包括以太网或RS-485通信接口）和打印机接口。</w:t>
      </w:r>
    </w:p>
    <w:p>
      <w:pPr>
        <w:pStyle w:val="6"/>
        <w:numPr>
          <w:ilvl w:val="0"/>
          <w:numId w:val="27"/>
        </w:numPr>
        <w:rPr>
          <w:rFonts w:hint="default" w:ascii="宋体" w:cs="宋体"/>
          <w:kern w:val="0"/>
          <w:sz w:val="28"/>
          <w:szCs w:val="28"/>
          <w:lang w:val="en-US" w:eastAsia="zh-CN" w:bidi="ar-SA"/>
        </w:rPr>
      </w:pPr>
      <w:r>
        <w:rPr>
          <w:rFonts w:hint="default" w:ascii="宋体" w:cs="宋体"/>
          <w:kern w:val="0"/>
          <w:sz w:val="28"/>
          <w:szCs w:val="28"/>
          <w:lang w:val="en-US" w:eastAsia="zh-CN" w:bidi="ar-SA"/>
        </w:rPr>
        <w:t>保护装置应具备远方修改定值功能、软压板远方投退和定值区远方切换功能，其软压板远方投退功能不允许通过修改定值实现。</w:t>
      </w:r>
    </w:p>
    <w:p>
      <w:pPr>
        <w:pStyle w:val="6"/>
        <w:numPr>
          <w:ilvl w:val="0"/>
          <w:numId w:val="27"/>
        </w:numPr>
        <w:rPr>
          <w:rFonts w:hint="default" w:ascii="宋体" w:cs="宋体"/>
          <w:kern w:val="0"/>
          <w:sz w:val="28"/>
          <w:szCs w:val="28"/>
          <w:lang w:val="en-US" w:eastAsia="zh-CN" w:bidi="ar-SA"/>
        </w:rPr>
      </w:pPr>
      <w:r>
        <w:rPr>
          <w:rFonts w:hint="default" w:ascii="宋体" w:cs="宋体"/>
          <w:kern w:val="0"/>
          <w:sz w:val="28"/>
          <w:szCs w:val="28"/>
          <w:lang w:val="en-US" w:eastAsia="zh-CN" w:bidi="ar-SA"/>
        </w:rPr>
        <w:t>微机保护装置应具备通信网络对时和卫星时钟对时功能。</w:t>
      </w:r>
    </w:p>
    <w:p>
      <w:pPr>
        <w:pStyle w:val="6"/>
        <w:numPr>
          <w:ilvl w:val="0"/>
          <w:numId w:val="27"/>
        </w:numPr>
        <w:rPr>
          <w:rFonts w:hint="default" w:ascii="宋体" w:cs="宋体"/>
          <w:kern w:val="0"/>
          <w:sz w:val="28"/>
          <w:szCs w:val="28"/>
          <w:lang w:val="en-US" w:eastAsia="zh-CN" w:bidi="ar-SA"/>
        </w:rPr>
      </w:pPr>
      <w:r>
        <w:rPr>
          <w:rFonts w:hint="default" w:ascii="宋体" w:cs="宋体"/>
          <w:kern w:val="0"/>
          <w:sz w:val="28"/>
          <w:szCs w:val="28"/>
          <w:lang w:val="en-US" w:eastAsia="zh-CN" w:bidi="ar-SA"/>
        </w:rPr>
        <w:t>装置中跳闸出口回路动作信号应自保持，在直流电源消失后，应能维持动作。只有当运行人员复归后，信号才能复归，复归按钮装在屏上的适当位置，以便于操作，并应同时具有远方复归功能。</w:t>
      </w:r>
    </w:p>
    <w:p>
      <w:pPr>
        <w:pStyle w:val="6"/>
        <w:numPr>
          <w:ilvl w:val="0"/>
          <w:numId w:val="27"/>
        </w:numPr>
        <w:rPr>
          <w:rFonts w:hint="default" w:ascii="宋体" w:cs="宋体"/>
          <w:kern w:val="0"/>
          <w:sz w:val="28"/>
          <w:szCs w:val="28"/>
          <w:lang w:val="en-US" w:eastAsia="zh-CN" w:bidi="ar-SA"/>
        </w:rPr>
      </w:pPr>
      <w:r>
        <w:rPr>
          <w:rFonts w:hint="default" w:ascii="宋体" w:cs="宋体"/>
          <w:kern w:val="0"/>
          <w:sz w:val="28"/>
          <w:szCs w:val="28"/>
          <w:lang w:val="en-US" w:eastAsia="zh-CN" w:bidi="ar-SA"/>
        </w:rPr>
        <w:t>装置中任一元件损坏时，装置不应误动作。</w:t>
      </w:r>
    </w:p>
    <w:p>
      <w:pPr>
        <w:pStyle w:val="6"/>
        <w:numPr>
          <w:ilvl w:val="0"/>
          <w:numId w:val="27"/>
        </w:numPr>
        <w:rPr>
          <w:rFonts w:hint="default" w:ascii="宋体" w:cs="宋体"/>
          <w:kern w:val="0"/>
          <w:sz w:val="28"/>
          <w:szCs w:val="28"/>
          <w:lang w:val="en-US" w:eastAsia="zh-CN" w:bidi="ar-SA"/>
        </w:rPr>
      </w:pPr>
      <w:r>
        <w:rPr>
          <w:rFonts w:hint="default" w:ascii="宋体" w:cs="宋体"/>
          <w:kern w:val="0"/>
          <w:sz w:val="28"/>
          <w:szCs w:val="28"/>
          <w:lang w:val="en-US" w:eastAsia="zh-CN" w:bidi="ar-SA"/>
        </w:rPr>
        <w:t>任何保护动作以后，除特别指明外，应包括以下内容：</w:t>
      </w:r>
    </w:p>
    <w:p>
      <w:pPr>
        <w:pStyle w:val="6"/>
        <w:numPr>
          <w:ilvl w:val="0"/>
          <w:numId w:val="0"/>
        </w:numPr>
        <w:rPr>
          <w:rFonts w:hint="default" w:ascii="宋体" w:cs="宋体"/>
          <w:kern w:val="0"/>
          <w:sz w:val="28"/>
          <w:szCs w:val="28"/>
          <w:lang w:val="en-US" w:eastAsia="zh-CN" w:bidi="ar-SA"/>
        </w:rPr>
      </w:pPr>
      <w:r>
        <w:rPr>
          <w:rFonts w:hint="eastAsia" w:ascii="宋体" w:cs="宋体"/>
          <w:kern w:val="0"/>
          <w:sz w:val="28"/>
          <w:szCs w:val="28"/>
          <w:lang w:val="en-US" w:eastAsia="zh-CN" w:bidi="ar-SA"/>
        </w:rPr>
        <w:t>（1）</w:t>
      </w:r>
      <w:r>
        <w:rPr>
          <w:rFonts w:hint="default" w:ascii="宋体" w:cs="宋体"/>
          <w:kern w:val="0"/>
          <w:sz w:val="28"/>
          <w:szCs w:val="28"/>
          <w:lang w:val="en-US" w:eastAsia="zh-CN" w:bidi="ar-SA"/>
        </w:rPr>
        <w:tab/>
      </w:r>
      <w:r>
        <w:rPr>
          <w:rFonts w:hint="default" w:ascii="宋体" w:cs="宋体"/>
          <w:kern w:val="0"/>
          <w:sz w:val="28"/>
          <w:szCs w:val="28"/>
          <w:lang w:val="en-US" w:eastAsia="zh-CN" w:bidi="ar-SA"/>
        </w:rPr>
        <w:t>独立跳闸接点闭合去出口跳闸。</w:t>
      </w:r>
    </w:p>
    <w:p>
      <w:pPr>
        <w:pStyle w:val="6"/>
        <w:numPr>
          <w:ilvl w:val="0"/>
          <w:numId w:val="0"/>
        </w:numPr>
        <w:rPr>
          <w:rFonts w:hint="default" w:ascii="宋体" w:cs="宋体"/>
          <w:kern w:val="0"/>
          <w:sz w:val="28"/>
          <w:szCs w:val="28"/>
          <w:lang w:val="en-US" w:eastAsia="zh-CN" w:bidi="ar-SA"/>
        </w:rPr>
      </w:pPr>
      <w:r>
        <w:rPr>
          <w:rFonts w:hint="eastAsia" w:ascii="宋体" w:cs="宋体"/>
          <w:kern w:val="0"/>
          <w:sz w:val="28"/>
          <w:szCs w:val="28"/>
          <w:lang w:val="en-US" w:eastAsia="zh-CN" w:bidi="ar-SA"/>
        </w:rPr>
        <w:t>（2）</w:t>
      </w:r>
      <w:r>
        <w:rPr>
          <w:rFonts w:hint="default" w:ascii="宋体" w:cs="宋体"/>
          <w:kern w:val="0"/>
          <w:sz w:val="28"/>
          <w:szCs w:val="28"/>
          <w:lang w:val="en-US" w:eastAsia="zh-CN" w:bidi="ar-SA"/>
        </w:rPr>
        <w:tab/>
      </w:r>
      <w:r>
        <w:rPr>
          <w:rFonts w:hint="default" w:ascii="宋体" w:cs="宋体"/>
          <w:kern w:val="0"/>
          <w:sz w:val="28"/>
          <w:szCs w:val="28"/>
          <w:lang w:val="en-US" w:eastAsia="zh-CN" w:bidi="ar-SA"/>
        </w:rPr>
        <w:t>继电器本身的动作指示。</w:t>
      </w:r>
    </w:p>
    <w:p>
      <w:pPr>
        <w:pStyle w:val="6"/>
        <w:numPr>
          <w:ilvl w:val="0"/>
          <w:numId w:val="0"/>
        </w:numPr>
        <w:rPr>
          <w:rFonts w:hint="default" w:ascii="宋体" w:cs="宋体"/>
          <w:kern w:val="0"/>
          <w:sz w:val="28"/>
          <w:szCs w:val="28"/>
          <w:lang w:val="en-US" w:eastAsia="zh-CN" w:bidi="ar-SA"/>
        </w:rPr>
      </w:pPr>
      <w:r>
        <w:rPr>
          <w:rFonts w:hint="eastAsia" w:ascii="宋体" w:cs="宋体"/>
          <w:kern w:val="0"/>
          <w:sz w:val="28"/>
          <w:szCs w:val="28"/>
          <w:lang w:val="en-US" w:eastAsia="zh-CN" w:bidi="ar-SA"/>
        </w:rPr>
        <w:t>（3）</w:t>
      </w:r>
      <w:r>
        <w:rPr>
          <w:rFonts w:hint="default" w:ascii="宋体" w:cs="宋体"/>
          <w:kern w:val="0"/>
          <w:sz w:val="28"/>
          <w:szCs w:val="28"/>
          <w:lang w:val="en-US" w:eastAsia="zh-CN" w:bidi="ar-SA"/>
        </w:rPr>
        <w:t>提供用户报警装置的接点闭合（包括中央信号、远动、事件记录信号）。</w:t>
      </w:r>
    </w:p>
    <w:p>
      <w:pPr>
        <w:pStyle w:val="6"/>
        <w:numPr>
          <w:ilvl w:val="0"/>
          <w:numId w:val="0"/>
        </w:numPr>
        <w:rPr>
          <w:rFonts w:hint="eastAsia" w:ascii="宋体" w:cs="宋体"/>
          <w:kern w:val="0"/>
          <w:sz w:val="28"/>
          <w:szCs w:val="28"/>
          <w:lang w:val="en-US" w:eastAsia="zh-CN" w:bidi="ar-SA"/>
        </w:rPr>
      </w:pPr>
      <w:r>
        <w:rPr>
          <w:rFonts w:hint="eastAsia" w:ascii="宋体" w:cs="宋体"/>
          <w:kern w:val="0"/>
          <w:sz w:val="28"/>
          <w:szCs w:val="28"/>
          <w:lang w:val="en-US" w:eastAsia="zh-CN" w:bidi="ar-SA"/>
        </w:rPr>
        <w:t>11、对于装置间不经附加判据直接启动跳闸的开入量，应经抗干扰继电器重动后开入。</w:t>
      </w:r>
    </w:p>
    <w:p>
      <w:pPr>
        <w:pStyle w:val="6"/>
        <w:numPr>
          <w:ilvl w:val="0"/>
          <w:numId w:val="0"/>
        </w:numPr>
        <w:rPr>
          <w:rFonts w:hint="default" w:ascii="宋体" w:cs="宋体"/>
          <w:kern w:val="0"/>
          <w:sz w:val="28"/>
          <w:szCs w:val="28"/>
          <w:lang w:val="en-US" w:eastAsia="zh-CN" w:bidi="ar-SA"/>
        </w:rPr>
      </w:pPr>
      <w:r>
        <w:rPr>
          <w:rFonts w:hint="eastAsia" w:ascii="宋体" w:cs="宋体"/>
          <w:kern w:val="0"/>
          <w:sz w:val="28"/>
          <w:szCs w:val="28"/>
          <w:lang w:val="en-US" w:eastAsia="zh-CN" w:bidi="ar-SA"/>
        </w:rPr>
        <w:t>12、本次招标范围包含对侧站的硬件更换（若对侧站需要）、联调工作（若对侧站需要）。</w:t>
      </w:r>
    </w:p>
    <w:bookmarkEnd w:id="69"/>
    <w:p>
      <w:pPr>
        <w:spacing w:line="360" w:lineRule="auto"/>
        <w:outlineLvl w:val="2"/>
        <w:rPr>
          <w:rFonts w:hint="eastAsia" w:cs="Times New Roman"/>
          <w:b/>
          <w:kern w:val="0"/>
          <w:sz w:val="28"/>
          <w:szCs w:val="21"/>
          <w:lang w:val="en-US" w:eastAsia="zh-CN" w:bidi="ar-SA"/>
        </w:rPr>
      </w:pPr>
      <w:bookmarkStart w:id="170" w:name="_Toc13906"/>
      <w:r>
        <w:rPr>
          <w:rFonts w:hint="eastAsia" w:ascii="Times New Roman" w:hAnsi="Times New Roman" w:eastAsia="宋体" w:cs="Times New Roman"/>
          <w:b/>
          <w:kern w:val="0"/>
          <w:sz w:val="28"/>
          <w:szCs w:val="21"/>
          <w:lang w:val="en-US" w:eastAsia="zh-CN" w:bidi="ar-SA"/>
        </w:rPr>
        <w:t>2.</w:t>
      </w:r>
      <w:r>
        <w:rPr>
          <w:rFonts w:hint="eastAsia" w:cs="Times New Roman"/>
          <w:b/>
          <w:kern w:val="0"/>
          <w:sz w:val="28"/>
          <w:szCs w:val="21"/>
          <w:lang w:val="en-US" w:eastAsia="zh-CN" w:bidi="ar-SA"/>
        </w:rPr>
        <w:t>4</w:t>
      </w:r>
      <w:r>
        <w:rPr>
          <w:rFonts w:hint="eastAsia" w:ascii="Times New Roman" w:hAnsi="Times New Roman" w:eastAsia="宋体" w:cs="Times New Roman"/>
          <w:b/>
          <w:kern w:val="0"/>
          <w:sz w:val="28"/>
          <w:szCs w:val="21"/>
          <w:lang w:val="en-US" w:eastAsia="zh-CN" w:bidi="ar-SA"/>
        </w:rPr>
        <w:t>.1</w:t>
      </w:r>
      <w:r>
        <w:rPr>
          <w:rFonts w:hint="eastAsia" w:cs="Times New Roman"/>
          <w:b/>
          <w:kern w:val="0"/>
          <w:sz w:val="28"/>
          <w:szCs w:val="21"/>
          <w:lang w:val="en-US" w:eastAsia="zh-CN" w:bidi="ar-SA"/>
        </w:rPr>
        <w:t>变压器保护要求</w:t>
      </w:r>
      <w:bookmarkEnd w:id="170"/>
    </w:p>
    <w:p>
      <w:pPr>
        <w:numPr>
          <w:ilvl w:val="0"/>
          <w:numId w:val="0"/>
        </w:numPr>
        <w:spacing w:line="360" w:lineRule="auto"/>
        <w:ind w:firstLine="560" w:firstLineChars="200"/>
        <w:rPr>
          <w:rFonts w:hint="default"/>
          <w:lang w:val="en-US" w:eastAsia="zh-CN"/>
        </w:rPr>
      </w:pPr>
      <w:r>
        <w:rPr>
          <w:rFonts w:hint="eastAsia" w:ascii="宋体" w:cs="宋体"/>
          <w:kern w:val="0"/>
          <w:sz w:val="28"/>
          <w:szCs w:val="28"/>
          <w:lang w:val="en-US" w:eastAsia="zh-CN"/>
        </w:rPr>
        <w:t>1、</w:t>
      </w:r>
      <w:r>
        <w:rPr>
          <w:rFonts w:hint="default" w:ascii="宋体" w:cs="宋体"/>
          <w:kern w:val="0"/>
          <w:sz w:val="28"/>
          <w:szCs w:val="28"/>
          <w:lang w:val="en-US" w:eastAsia="zh-CN"/>
        </w:rPr>
        <w:t>电力变压器根据规范要求应装设的保护装置</w:t>
      </w:r>
      <w:r>
        <w:rPr>
          <w:rFonts w:hint="eastAsia" w:ascii="宋体" w:cs="宋体"/>
          <w:kern w:val="0"/>
          <w:sz w:val="28"/>
          <w:szCs w:val="28"/>
          <w:lang w:val="en-US" w:eastAsia="zh-CN"/>
        </w:rPr>
        <w:t>，保护装置采用微机保护。变压器差动保护和非电量保护必须分开且独立。具备TA断线识别和闭锁功能。显示故障报告应汉化，简洁明了。</w:t>
      </w:r>
    </w:p>
    <w:p>
      <w:pPr>
        <w:numPr>
          <w:ilvl w:val="0"/>
          <w:numId w:val="0"/>
        </w:numPr>
        <w:spacing w:line="360" w:lineRule="auto"/>
        <w:ind w:firstLine="560" w:firstLineChars="200"/>
        <w:rPr>
          <w:rFonts w:hint="default" w:ascii="宋体" w:cs="宋体"/>
          <w:kern w:val="0"/>
          <w:sz w:val="28"/>
          <w:szCs w:val="28"/>
          <w:lang w:val="en-US" w:eastAsia="zh-CN"/>
        </w:rPr>
      </w:pPr>
      <w:r>
        <w:rPr>
          <w:rFonts w:hint="default" w:ascii="宋体" w:cs="宋体"/>
          <w:kern w:val="0"/>
          <w:sz w:val="28"/>
          <w:szCs w:val="28"/>
          <w:lang w:val="en-US" w:eastAsia="zh-CN"/>
        </w:rPr>
        <w:t>对下列故障及异常运行方式，应装设相应的保护装置</w:t>
      </w:r>
      <w:r>
        <w:rPr>
          <w:rFonts w:hint="eastAsia" w:ascii="宋体" w:cs="宋体"/>
          <w:kern w:val="0"/>
          <w:sz w:val="28"/>
          <w:szCs w:val="28"/>
          <w:lang w:val="en-US" w:eastAsia="zh-CN"/>
        </w:rPr>
        <w:t>：</w:t>
      </w:r>
    </w:p>
    <w:p>
      <w:pPr>
        <w:numPr>
          <w:ilvl w:val="0"/>
          <w:numId w:val="0"/>
        </w:numPr>
        <w:spacing w:line="360" w:lineRule="auto"/>
        <w:ind w:left="0" w:leftChars="0" w:firstLine="420" w:firstLineChars="150"/>
        <w:rPr>
          <w:rFonts w:hint="default" w:ascii="宋体" w:cs="宋体"/>
          <w:kern w:val="0"/>
          <w:sz w:val="28"/>
          <w:szCs w:val="28"/>
          <w:lang w:val="en-US" w:eastAsia="zh-CN"/>
        </w:rPr>
      </w:pPr>
      <w:r>
        <w:rPr>
          <w:rFonts w:hint="eastAsia" w:ascii="宋体" w:cs="宋体"/>
          <w:kern w:val="0"/>
          <w:sz w:val="28"/>
          <w:szCs w:val="28"/>
          <w:lang w:val="en-US" w:eastAsia="zh-CN"/>
        </w:rPr>
        <w:t>（</w:t>
      </w:r>
      <w:r>
        <w:rPr>
          <w:rFonts w:hint="default" w:ascii="宋体" w:cs="宋体"/>
          <w:kern w:val="0"/>
          <w:sz w:val="28"/>
          <w:szCs w:val="28"/>
          <w:lang w:val="en-US" w:eastAsia="zh-CN"/>
        </w:rPr>
        <w:t>1</w:t>
      </w:r>
      <w:r>
        <w:rPr>
          <w:rFonts w:hint="eastAsia" w:ascii="宋体" w:cs="宋体"/>
          <w:kern w:val="0"/>
          <w:sz w:val="28"/>
          <w:szCs w:val="28"/>
          <w:lang w:val="en-US" w:eastAsia="zh-CN"/>
        </w:rPr>
        <w:t>）</w:t>
      </w:r>
      <w:r>
        <w:rPr>
          <w:rFonts w:hint="default" w:ascii="宋体" w:cs="宋体"/>
          <w:kern w:val="0"/>
          <w:sz w:val="28"/>
          <w:szCs w:val="28"/>
          <w:lang w:val="en-US" w:eastAsia="zh-CN"/>
        </w:rPr>
        <w:t>绕组及其引出线的相间短路和在中性点直接接地或经低电阻接地侧的单相接地短路</w:t>
      </w:r>
      <w:r>
        <w:rPr>
          <w:rFonts w:hint="eastAsia" w:ascii="宋体" w:cs="宋体"/>
          <w:kern w:val="0"/>
          <w:sz w:val="28"/>
          <w:szCs w:val="28"/>
          <w:lang w:val="en-US" w:eastAsia="zh-CN"/>
        </w:rPr>
        <w:t>；</w:t>
      </w:r>
    </w:p>
    <w:p>
      <w:pPr>
        <w:numPr>
          <w:ilvl w:val="0"/>
          <w:numId w:val="0"/>
        </w:numPr>
        <w:spacing w:line="360" w:lineRule="auto"/>
        <w:ind w:left="0" w:leftChars="0" w:firstLine="420" w:firstLineChars="150"/>
        <w:rPr>
          <w:rFonts w:hint="default" w:ascii="宋体" w:cs="宋体"/>
          <w:kern w:val="0"/>
          <w:sz w:val="28"/>
          <w:szCs w:val="28"/>
          <w:lang w:val="en-US" w:eastAsia="zh-CN"/>
        </w:rPr>
      </w:pPr>
      <w:r>
        <w:rPr>
          <w:rFonts w:hint="eastAsia" w:ascii="宋体" w:cs="宋体"/>
          <w:kern w:val="0"/>
          <w:sz w:val="28"/>
          <w:szCs w:val="28"/>
          <w:lang w:val="en-US" w:eastAsia="zh-CN"/>
        </w:rPr>
        <w:t>（</w:t>
      </w:r>
      <w:r>
        <w:rPr>
          <w:rFonts w:hint="default" w:ascii="宋体" w:cs="宋体"/>
          <w:kern w:val="0"/>
          <w:sz w:val="28"/>
          <w:szCs w:val="28"/>
          <w:lang w:val="en-US" w:eastAsia="zh-CN"/>
        </w:rPr>
        <w:t>2</w:t>
      </w:r>
      <w:r>
        <w:rPr>
          <w:rFonts w:hint="eastAsia" w:ascii="宋体" w:cs="宋体"/>
          <w:kern w:val="0"/>
          <w:sz w:val="28"/>
          <w:szCs w:val="28"/>
          <w:lang w:val="en-US" w:eastAsia="zh-CN"/>
        </w:rPr>
        <w:t>）</w:t>
      </w:r>
      <w:r>
        <w:rPr>
          <w:rFonts w:hint="default" w:ascii="宋体" w:cs="宋体"/>
          <w:kern w:val="0"/>
          <w:sz w:val="28"/>
          <w:szCs w:val="28"/>
          <w:lang w:val="en-US" w:eastAsia="zh-CN"/>
        </w:rPr>
        <w:t>绕组的匝间短路</w:t>
      </w:r>
      <w:r>
        <w:rPr>
          <w:rFonts w:hint="eastAsia" w:ascii="宋体" w:cs="宋体"/>
          <w:kern w:val="0"/>
          <w:sz w:val="28"/>
          <w:szCs w:val="28"/>
          <w:lang w:val="en-US" w:eastAsia="zh-CN"/>
        </w:rPr>
        <w:t>；</w:t>
      </w:r>
    </w:p>
    <w:p>
      <w:pPr>
        <w:numPr>
          <w:ilvl w:val="0"/>
          <w:numId w:val="0"/>
        </w:numPr>
        <w:spacing w:line="360" w:lineRule="auto"/>
        <w:ind w:left="0" w:leftChars="0" w:firstLine="420" w:firstLineChars="150"/>
        <w:rPr>
          <w:rFonts w:hint="eastAsia" w:ascii="宋体" w:cs="宋体"/>
          <w:kern w:val="0"/>
          <w:sz w:val="28"/>
          <w:szCs w:val="28"/>
          <w:lang w:val="en-US" w:eastAsia="zh-CN"/>
        </w:rPr>
      </w:pPr>
      <w:r>
        <w:rPr>
          <w:rFonts w:hint="eastAsia" w:ascii="宋体" w:cs="宋体"/>
          <w:kern w:val="0"/>
          <w:sz w:val="28"/>
          <w:szCs w:val="28"/>
          <w:lang w:val="en-US" w:eastAsia="zh-CN"/>
        </w:rPr>
        <w:t>（</w:t>
      </w:r>
      <w:r>
        <w:rPr>
          <w:rFonts w:hint="default" w:ascii="宋体" w:cs="宋体"/>
          <w:kern w:val="0"/>
          <w:sz w:val="28"/>
          <w:szCs w:val="28"/>
          <w:lang w:val="en-US" w:eastAsia="zh-CN"/>
        </w:rPr>
        <w:t>3</w:t>
      </w:r>
      <w:r>
        <w:rPr>
          <w:rFonts w:hint="eastAsia" w:ascii="宋体" w:cs="宋体"/>
          <w:kern w:val="0"/>
          <w:sz w:val="28"/>
          <w:szCs w:val="28"/>
          <w:lang w:val="en-US" w:eastAsia="zh-CN"/>
        </w:rPr>
        <w:t>）</w:t>
      </w:r>
      <w:r>
        <w:rPr>
          <w:rFonts w:hint="default" w:ascii="宋体" w:cs="宋体"/>
          <w:kern w:val="0"/>
          <w:sz w:val="28"/>
          <w:szCs w:val="28"/>
          <w:lang w:val="en-US" w:eastAsia="zh-CN"/>
        </w:rPr>
        <w:t>外部相间短路引起的过电流</w:t>
      </w:r>
      <w:r>
        <w:rPr>
          <w:rFonts w:hint="eastAsia" w:ascii="宋体" w:cs="宋体"/>
          <w:kern w:val="0"/>
          <w:sz w:val="28"/>
          <w:szCs w:val="28"/>
          <w:lang w:val="en-US" w:eastAsia="zh-CN"/>
        </w:rPr>
        <w:t>；</w:t>
      </w:r>
    </w:p>
    <w:p>
      <w:pPr>
        <w:numPr>
          <w:ilvl w:val="0"/>
          <w:numId w:val="0"/>
        </w:numPr>
        <w:spacing w:line="360" w:lineRule="auto"/>
        <w:ind w:left="0" w:leftChars="0" w:firstLine="420" w:firstLineChars="150"/>
        <w:rPr>
          <w:rFonts w:hint="default" w:ascii="宋体" w:cs="宋体"/>
          <w:kern w:val="0"/>
          <w:sz w:val="28"/>
          <w:szCs w:val="28"/>
          <w:lang w:val="en-US" w:eastAsia="zh-CN"/>
        </w:rPr>
      </w:pPr>
      <w:r>
        <w:rPr>
          <w:rFonts w:hint="eastAsia" w:ascii="宋体" w:cs="宋体"/>
          <w:kern w:val="0"/>
          <w:sz w:val="28"/>
          <w:szCs w:val="28"/>
          <w:lang w:val="en-US" w:eastAsia="zh-CN"/>
        </w:rPr>
        <w:t>（4）</w:t>
      </w:r>
      <w:r>
        <w:rPr>
          <w:rFonts w:hint="default" w:ascii="宋体" w:cs="宋体"/>
          <w:kern w:val="0"/>
          <w:sz w:val="28"/>
          <w:szCs w:val="28"/>
          <w:lang w:val="en-US" w:eastAsia="zh-CN"/>
        </w:rPr>
        <w:t>中性点直接接地或经低电阻接地的电力网中外部接地短路引起的过电流及中性点过电压</w:t>
      </w:r>
      <w:r>
        <w:rPr>
          <w:rFonts w:hint="eastAsia" w:ascii="宋体" w:cs="宋体"/>
          <w:kern w:val="0"/>
          <w:sz w:val="28"/>
          <w:szCs w:val="28"/>
          <w:lang w:val="en-US" w:eastAsia="zh-CN"/>
        </w:rPr>
        <w:t>；</w:t>
      </w:r>
    </w:p>
    <w:p>
      <w:pPr>
        <w:numPr>
          <w:ilvl w:val="0"/>
          <w:numId w:val="0"/>
        </w:numPr>
        <w:spacing w:line="360" w:lineRule="auto"/>
        <w:ind w:left="0" w:leftChars="0" w:firstLine="420" w:firstLineChars="150"/>
        <w:rPr>
          <w:rFonts w:hint="default" w:ascii="宋体" w:cs="宋体"/>
          <w:kern w:val="0"/>
          <w:sz w:val="28"/>
          <w:szCs w:val="28"/>
          <w:lang w:val="en-US" w:eastAsia="zh-CN"/>
        </w:rPr>
      </w:pPr>
      <w:r>
        <w:rPr>
          <w:rFonts w:hint="eastAsia" w:ascii="宋体" w:cs="宋体"/>
          <w:kern w:val="0"/>
          <w:sz w:val="28"/>
          <w:szCs w:val="28"/>
          <w:lang w:val="en-US" w:eastAsia="zh-CN"/>
        </w:rPr>
        <w:t>（5）</w:t>
      </w:r>
      <w:r>
        <w:rPr>
          <w:rFonts w:hint="default" w:ascii="宋体" w:cs="宋体"/>
          <w:kern w:val="0"/>
          <w:sz w:val="28"/>
          <w:szCs w:val="28"/>
          <w:lang w:val="en-US" w:eastAsia="zh-CN"/>
        </w:rPr>
        <w:t>过负荷</w:t>
      </w:r>
      <w:r>
        <w:rPr>
          <w:rFonts w:hint="eastAsia" w:ascii="宋体" w:cs="宋体"/>
          <w:kern w:val="0"/>
          <w:sz w:val="28"/>
          <w:szCs w:val="28"/>
          <w:lang w:val="en-US" w:eastAsia="zh-CN"/>
        </w:rPr>
        <w:t>；</w:t>
      </w:r>
    </w:p>
    <w:p>
      <w:pPr>
        <w:numPr>
          <w:ilvl w:val="0"/>
          <w:numId w:val="0"/>
        </w:numPr>
        <w:spacing w:line="360" w:lineRule="auto"/>
        <w:ind w:left="0" w:leftChars="0" w:firstLine="420" w:firstLineChars="150"/>
        <w:rPr>
          <w:rFonts w:hint="default" w:ascii="宋体" w:cs="宋体"/>
          <w:kern w:val="0"/>
          <w:sz w:val="28"/>
          <w:szCs w:val="28"/>
          <w:lang w:val="en-US" w:eastAsia="zh-CN"/>
        </w:rPr>
      </w:pPr>
      <w:r>
        <w:rPr>
          <w:rFonts w:hint="eastAsia" w:ascii="宋体" w:cs="宋体"/>
          <w:kern w:val="0"/>
          <w:sz w:val="28"/>
          <w:szCs w:val="28"/>
          <w:lang w:val="en-US" w:eastAsia="zh-CN"/>
        </w:rPr>
        <w:t>（6）</w:t>
      </w:r>
      <w:r>
        <w:rPr>
          <w:rFonts w:hint="default" w:ascii="宋体" w:cs="宋体"/>
          <w:kern w:val="0"/>
          <w:sz w:val="28"/>
          <w:szCs w:val="28"/>
          <w:lang w:val="en-US" w:eastAsia="zh-CN"/>
        </w:rPr>
        <w:t>油面降低</w:t>
      </w:r>
      <w:r>
        <w:rPr>
          <w:rFonts w:hint="eastAsia" w:ascii="宋体" w:cs="宋体"/>
          <w:kern w:val="0"/>
          <w:sz w:val="28"/>
          <w:szCs w:val="28"/>
          <w:lang w:val="en-US" w:eastAsia="zh-CN"/>
        </w:rPr>
        <w:t>；</w:t>
      </w:r>
    </w:p>
    <w:p>
      <w:pPr>
        <w:numPr>
          <w:ilvl w:val="0"/>
          <w:numId w:val="0"/>
        </w:numPr>
        <w:spacing w:line="360" w:lineRule="auto"/>
        <w:ind w:left="0" w:leftChars="0" w:firstLine="420" w:firstLineChars="150"/>
        <w:rPr>
          <w:rFonts w:hint="default" w:ascii="宋体" w:cs="宋体"/>
          <w:kern w:val="0"/>
          <w:sz w:val="28"/>
          <w:szCs w:val="28"/>
          <w:lang w:val="en-US" w:eastAsia="zh-CN"/>
        </w:rPr>
      </w:pPr>
      <w:r>
        <w:rPr>
          <w:rFonts w:hint="eastAsia" w:ascii="宋体" w:cs="宋体"/>
          <w:kern w:val="0"/>
          <w:sz w:val="28"/>
          <w:szCs w:val="28"/>
          <w:lang w:val="en-US" w:eastAsia="zh-CN"/>
        </w:rPr>
        <w:t>（7）</w:t>
      </w:r>
      <w:r>
        <w:rPr>
          <w:rFonts w:hint="default" w:ascii="宋体" w:cs="宋体"/>
          <w:kern w:val="0"/>
          <w:sz w:val="28"/>
          <w:szCs w:val="28"/>
          <w:lang w:val="en-US" w:eastAsia="zh-CN"/>
        </w:rPr>
        <w:t>变压器油温过高、绕组温度过高、油箱压力过高、产生瓦斯或冷却系统故障</w:t>
      </w:r>
      <w:r>
        <w:rPr>
          <w:rFonts w:hint="eastAsia" w:ascii="宋体" w:cs="宋体"/>
          <w:kern w:val="0"/>
          <w:sz w:val="28"/>
          <w:szCs w:val="28"/>
          <w:lang w:val="en-US" w:eastAsia="zh-CN"/>
        </w:rPr>
        <w:t>；</w:t>
      </w:r>
    </w:p>
    <w:p>
      <w:pPr>
        <w:numPr>
          <w:ilvl w:val="0"/>
          <w:numId w:val="0"/>
        </w:numPr>
        <w:spacing w:line="360" w:lineRule="auto"/>
        <w:ind w:left="0" w:leftChars="0" w:firstLine="420" w:firstLineChars="150"/>
        <w:rPr>
          <w:rFonts w:hint="eastAsia" w:ascii="宋体" w:cs="宋体"/>
          <w:kern w:val="0"/>
          <w:sz w:val="28"/>
          <w:szCs w:val="28"/>
          <w:lang w:val="en-US" w:eastAsia="zh-CN"/>
        </w:rPr>
      </w:pPr>
      <w:r>
        <w:rPr>
          <w:rFonts w:hint="eastAsia" w:ascii="宋体" w:cs="宋体"/>
          <w:kern w:val="0"/>
          <w:sz w:val="28"/>
          <w:szCs w:val="28"/>
          <w:lang w:val="en-US" w:eastAsia="zh-CN"/>
        </w:rPr>
        <w:t>（8）容量为0.8MVA 及以上的油浸式变压器，以及带负荷调压变压器的充油调压开关均应装设瓦斯保护，瓦斯保护应采取防止因震动、瓦斯继电器的引线故障等引起瓦斯保护误动作的措施。</w:t>
      </w:r>
    </w:p>
    <w:p>
      <w:pPr>
        <w:numPr>
          <w:ilvl w:val="0"/>
          <w:numId w:val="0"/>
        </w:numPr>
        <w:spacing w:line="360" w:lineRule="auto"/>
        <w:ind w:left="0" w:leftChars="0" w:firstLine="420" w:firstLineChars="150"/>
        <w:rPr>
          <w:rFonts w:hint="eastAsia" w:ascii="宋体" w:cs="宋体"/>
          <w:kern w:val="0"/>
          <w:sz w:val="28"/>
          <w:szCs w:val="28"/>
          <w:lang w:val="en-US" w:eastAsia="zh-CN"/>
        </w:rPr>
      </w:pPr>
      <w:r>
        <w:rPr>
          <w:rFonts w:hint="eastAsia" w:ascii="宋体" w:cs="宋体"/>
          <w:kern w:val="0"/>
          <w:sz w:val="28"/>
          <w:szCs w:val="28"/>
          <w:lang w:val="en-US" w:eastAsia="zh-CN"/>
        </w:rPr>
        <w:t>（9）继电保护参考表：</w:t>
      </w:r>
    </w:p>
    <w:p>
      <w:pPr>
        <w:pStyle w:val="2"/>
        <w:ind w:left="420" w:leftChars="200" w:firstLine="0" w:firstLineChars="0"/>
        <w:rPr>
          <w:rFonts w:hint="default"/>
          <w:lang w:val="en-US" w:eastAsia="zh-CN"/>
        </w:rPr>
      </w:pPr>
      <w:r>
        <w:drawing>
          <wp:inline distT="0" distB="0" distL="114300" distR="114300">
            <wp:extent cx="5756910" cy="4128135"/>
            <wp:effectExtent l="0" t="0" r="15240" b="5715"/>
            <wp:docPr id="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pic:cNvPicPr>
                      <a:picLocks noChangeAspect="1"/>
                    </pic:cNvPicPr>
                  </pic:nvPicPr>
                  <pic:blipFill>
                    <a:blip r:embed="rId18"/>
                    <a:stretch>
                      <a:fillRect/>
                    </a:stretch>
                  </pic:blipFill>
                  <pic:spPr>
                    <a:xfrm>
                      <a:off x="0" y="0"/>
                      <a:ext cx="5756910" cy="4128135"/>
                    </a:xfrm>
                    <a:prstGeom prst="rect">
                      <a:avLst/>
                    </a:prstGeom>
                    <a:noFill/>
                    <a:ln>
                      <a:noFill/>
                    </a:ln>
                  </pic:spPr>
                </pic:pic>
              </a:graphicData>
            </a:graphic>
          </wp:inline>
        </w:drawing>
      </w:r>
    </w:p>
    <w:p>
      <w:pPr>
        <w:numPr>
          <w:ilvl w:val="0"/>
          <w:numId w:val="0"/>
        </w:num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2、应装设下列保护作为主保护，且应瞬时动作于断开变压器的各侧断路器：</w:t>
      </w:r>
    </w:p>
    <w:p>
      <w:pPr>
        <w:numPr>
          <w:ilvl w:val="0"/>
          <w:numId w:val="0"/>
        </w:num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（1）比率差动及差动速断保护，比率差动及差动速断保护：应满足工程中制动侧数的要求，跳各侧开关，并提供3组同步接点输出。</w:t>
      </w:r>
    </w:p>
    <w:p>
      <w:pPr>
        <w:numPr>
          <w:ilvl w:val="0"/>
          <w:numId w:val="0"/>
        </w:num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（2）变压器的纵联差动保护，变压器的纵联差动保护应符合下列要求：</w:t>
      </w:r>
    </w:p>
    <w:p>
      <w:pPr>
        <w:numPr>
          <w:ilvl w:val="0"/>
          <w:numId w:val="0"/>
        </w:num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1）应能躲过励磁涌流和外部短路产生的不平衡电流。</w:t>
      </w:r>
    </w:p>
    <w:p>
      <w:pPr>
        <w:numPr>
          <w:ilvl w:val="0"/>
          <w:numId w:val="0"/>
        </w:num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2）应具有电流回路断线的判别功能，并应能选择报警或允许差动保护动作跳闸。</w:t>
      </w:r>
    </w:p>
    <w:p>
      <w:pPr>
        <w:numPr>
          <w:ilvl w:val="0"/>
          <w:numId w:val="0"/>
        </w:numPr>
        <w:spacing w:line="360" w:lineRule="auto"/>
        <w:ind w:firstLine="560" w:firstLineChars="200"/>
        <w:rPr>
          <w:rFonts w:hint="eastAsia"/>
          <w:lang w:val="en-US" w:eastAsia="zh-CN"/>
        </w:rPr>
      </w:pPr>
      <w:r>
        <w:rPr>
          <w:rFonts w:hint="eastAsia" w:ascii="宋体" w:cs="宋体"/>
          <w:kern w:val="0"/>
          <w:sz w:val="28"/>
          <w:szCs w:val="28"/>
          <w:lang w:val="en-US" w:eastAsia="zh-CN"/>
        </w:rPr>
        <w:t>（3）差动保护范围还应包括变压器套管及其引出线，如不能包括引出线时，应采取快速切除故障的辅助措施。但在 66kV或 110kV电压等级的终端变电站和分支变电站，以及具有旁路母线的变电站在变压器断路器退出工作由旁路断路器代替时，纵联差动保护可短时利用变压器套管内的电流互感器，此时套管和引线故障可由后备保护动作切除；如电网安全稳定运行有要求时，应将纵联差动保护切至旁路断路器的电流互感器。</w:t>
      </w:r>
    </w:p>
    <w:p>
      <w:pPr>
        <w:numPr>
          <w:ilvl w:val="0"/>
          <w:numId w:val="0"/>
        </w:num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3、应装设以下保护作为后备保护，并应带时限动作于断开相应的断路器：</w:t>
      </w:r>
    </w:p>
    <w:p>
      <w:pPr>
        <w:pStyle w:val="2"/>
        <w:ind w:left="0" w:leftChars="0" w:firstLine="638" w:firstLineChars="228"/>
        <w:rPr>
          <w:rFonts w:hint="eastAsia" w:ascii="宋体" w:cs="宋体"/>
          <w:kern w:val="0"/>
          <w:sz w:val="28"/>
          <w:szCs w:val="28"/>
          <w:lang w:val="en-US" w:eastAsia="zh-CN"/>
        </w:rPr>
      </w:pPr>
      <w:r>
        <w:rPr>
          <w:rFonts w:hint="eastAsia" w:ascii="宋体" w:cs="宋体"/>
          <w:kern w:val="0"/>
          <w:sz w:val="28"/>
          <w:szCs w:val="28"/>
          <w:lang w:val="en-US" w:eastAsia="zh-CN"/>
        </w:rPr>
        <w:t>（1）高压侧复合电压闭锁过流保护，一段二时限。（一段电流速断保护，二段限时电流速断保护，三段定时限过电流保护）</w:t>
      </w:r>
    </w:p>
    <w:p>
      <w:pPr>
        <w:pStyle w:val="2"/>
        <w:ind w:left="420" w:leftChars="200" w:firstLine="218" w:firstLineChars="78"/>
        <w:rPr>
          <w:rFonts w:hint="eastAsia" w:ascii="宋体" w:cs="宋体"/>
          <w:kern w:val="0"/>
          <w:sz w:val="28"/>
          <w:szCs w:val="28"/>
          <w:lang w:val="en-US" w:eastAsia="zh-CN"/>
        </w:rPr>
      </w:pPr>
      <w:r>
        <w:rPr>
          <w:rFonts w:hint="eastAsia" w:ascii="宋体" w:cs="宋体"/>
          <w:kern w:val="0"/>
          <w:sz w:val="28"/>
          <w:szCs w:val="28"/>
          <w:lang w:val="en-US" w:eastAsia="zh-CN"/>
        </w:rPr>
        <w:t>（2）高压侧间隙零流、零压保护，一段二时限。</w:t>
      </w:r>
    </w:p>
    <w:p>
      <w:pPr>
        <w:pStyle w:val="2"/>
        <w:ind w:left="420" w:leftChars="200" w:firstLine="218" w:firstLineChars="78"/>
        <w:rPr>
          <w:rFonts w:hint="eastAsia" w:ascii="宋体" w:cs="宋体"/>
          <w:kern w:val="0"/>
          <w:sz w:val="28"/>
          <w:szCs w:val="28"/>
          <w:lang w:val="en-US" w:eastAsia="zh-CN"/>
        </w:rPr>
      </w:pPr>
      <w:r>
        <w:rPr>
          <w:rFonts w:hint="eastAsia" w:ascii="宋体" w:cs="宋体"/>
          <w:kern w:val="0"/>
          <w:sz w:val="28"/>
          <w:szCs w:val="28"/>
          <w:lang w:val="en-US" w:eastAsia="zh-CN"/>
        </w:rPr>
        <w:t>（3）高压侧中性点零流方向保护，一段二时限。</w:t>
      </w:r>
    </w:p>
    <w:p>
      <w:pPr>
        <w:pStyle w:val="2"/>
        <w:ind w:left="420" w:leftChars="200" w:firstLine="218" w:firstLineChars="78"/>
        <w:rPr>
          <w:rFonts w:hint="eastAsia" w:ascii="宋体" w:cs="宋体"/>
          <w:kern w:val="0"/>
          <w:sz w:val="28"/>
          <w:szCs w:val="28"/>
          <w:lang w:val="en-US" w:eastAsia="zh-CN"/>
        </w:rPr>
      </w:pPr>
      <w:r>
        <w:rPr>
          <w:rFonts w:hint="eastAsia" w:ascii="宋体" w:cs="宋体"/>
          <w:kern w:val="0"/>
          <w:sz w:val="28"/>
          <w:szCs w:val="28"/>
          <w:lang w:val="en-US" w:eastAsia="zh-CN"/>
        </w:rPr>
        <w:t>（4）低压侧复合电压闭锁过流保护，一段三时限，第三时限跳闸同时并闭锁备自投。</w:t>
      </w:r>
    </w:p>
    <w:p>
      <w:pPr>
        <w:pStyle w:val="2"/>
        <w:ind w:left="420" w:leftChars="200" w:firstLine="218" w:firstLineChars="78"/>
        <w:rPr>
          <w:rFonts w:hint="eastAsia" w:ascii="宋体" w:cs="宋体"/>
          <w:kern w:val="0"/>
          <w:sz w:val="28"/>
          <w:szCs w:val="28"/>
          <w:lang w:val="en-US" w:eastAsia="zh-CN"/>
        </w:rPr>
      </w:pPr>
      <w:r>
        <w:rPr>
          <w:rFonts w:hint="eastAsia" w:ascii="宋体" w:cs="宋体"/>
          <w:kern w:val="0"/>
          <w:sz w:val="28"/>
          <w:szCs w:val="28"/>
          <w:lang w:val="en-US" w:eastAsia="zh-CN"/>
        </w:rPr>
        <w:t>（5）对低压侧没有专用母线保护的变压器，配置一段电流保护，跳闸同时并闭锁备自投。</w:t>
      </w:r>
    </w:p>
    <w:p>
      <w:pPr>
        <w:pStyle w:val="2"/>
        <w:ind w:left="420" w:leftChars="200" w:firstLine="218" w:firstLineChars="78"/>
        <w:rPr>
          <w:rFonts w:hint="eastAsia" w:ascii="宋体" w:cs="宋体"/>
          <w:kern w:val="0"/>
          <w:sz w:val="28"/>
          <w:szCs w:val="28"/>
          <w:lang w:val="en-US" w:eastAsia="zh-CN"/>
        </w:rPr>
      </w:pPr>
      <w:r>
        <w:rPr>
          <w:rFonts w:hint="eastAsia" w:ascii="宋体" w:cs="宋体"/>
          <w:kern w:val="0"/>
          <w:sz w:val="28"/>
          <w:szCs w:val="28"/>
          <w:lang w:val="en-US" w:eastAsia="zh-CN"/>
        </w:rPr>
        <w:t>（6）低压侧系统采用电阻接地时，配置零序过流保护，设三段，每段一时限。</w:t>
      </w:r>
    </w:p>
    <w:p>
      <w:pPr>
        <w:pStyle w:val="2"/>
        <w:ind w:left="420" w:leftChars="200" w:firstLine="218" w:firstLineChars="78"/>
        <w:rPr>
          <w:rFonts w:hint="eastAsia" w:ascii="宋体" w:cs="宋体"/>
          <w:kern w:val="0"/>
          <w:sz w:val="28"/>
          <w:szCs w:val="28"/>
          <w:lang w:val="en-US" w:eastAsia="zh-CN"/>
        </w:rPr>
      </w:pPr>
      <w:r>
        <w:rPr>
          <w:rFonts w:hint="eastAsia" w:ascii="宋体" w:cs="宋体"/>
          <w:kern w:val="0"/>
          <w:sz w:val="28"/>
          <w:szCs w:val="28"/>
          <w:lang w:val="en-US" w:eastAsia="zh-CN"/>
        </w:rPr>
        <w:t>（7）高压侧过负荷发信，过流闭锁有载调压。</w:t>
      </w:r>
    </w:p>
    <w:p>
      <w:pPr>
        <w:pStyle w:val="2"/>
        <w:ind w:left="420" w:leftChars="200" w:firstLine="218" w:firstLineChars="78"/>
        <w:rPr>
          <w:rFonts w:hint="eastAsia" w:ascii="宋体" w:cs="宋体"/>
          <w:kern w:val="0"/>
          <w:sz w:val="28"/>
          <w:szCs w:val="28"/>
          <w:lang w:val="en-US" w:eastAsia="zh-CN"/>
        </w:rPr>
      </w:pPr>
      <w:r>
        <w:rPr>
          <w:rFonts w:hint="eastAsia" w:ascii="宋体" w:cs="宋体"/>
          <w:kern w:val="0"/>
          <w:sz w:val="28"/>
          <w:szCs w:val="28"/>
          <w:lang w:val="en-US" w:eastAsia="zh-CN"/>
        </w:rPr>
        <w:t>（8）过负荷保护，启动风机、闭锁调压信号报警；</w:t>
      </w:r>
    </w:p>
    <w:p>
      <w:pPr>
        <w:pStyle w:val="2"/>
        <w:ind w:left="420" w:leftChars="200" w:firstLine="218" w:firstLineChars="78"/>
        <w:rPr>
          <w:rFonts w:hint="eastAsia" w:ascii="宋体" w:cs="宋体"/>
          <w:kern w:val="0"/>
          <w:sz w:val="28"/>
          <w:szCs w:val="28"/>
          <w:lang w:val="en-US" w:eastAsia="zh-CN"/>
        </w:rPr>
      </w:pPr>
      <w:r>
        <w:rPr>
          <w:rFonts w:hint="eastAsia" w:ascii="宋体" w:cs="宋体"/>
          <w:kern w:val="0"/>
          <w:sz w:val="28"/>
          <w:szCs w:val="28"/>
          <w:lang w:val="en-US" w:eastAsia="zh-CN"/>
        </w:rPr>
        <w:t>（9）电流互感器断线报警及闭锁比率差动保护；</w:t>
      </w:r>
    </w:p>
    <w:p>
      <w:pPr>
        <w:pStyle w:val="2"/>
        <w:ind w:left="420" w:leftChars="200" w:firstLine="218" w:firstLineChars="78"/>
        <w:rPr>
          <w:rFonts w:hint="eastAsia" w:ascii="宋体" w:cs="宋体"/>
          <w:kern w:val="0"/>
          <w:sz w:val="28"/>
          <w:szCs w:val="28"/>
          <w:lang w:val="en-US" w:eastAsia="zh-CN"/>
        </w:rPr>
      </w:pPr>
      <w:r>
        <w:rPr>
          <w:rFonts w:hint="eastAsia" w:ascii="宋体" w:cs="宋体"/>
          <w:kern w:val="0"/>
          <w:sz w:val="28"/>
          <w:szCs w:val="28"/>
          <w:lang w:val="en-US" w:eastAsia="zh-CN"/>
        </w:rPr>
        <w:t>（10）电压互感器断线报警。</w:t>
      </w:r>
    </w:p>
    <w:p>
      <w:pPr>
        <w:pStyle w:val="2"/>
        <w:ind w:left="0" w:leftChars="0"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4、变压器非电量保护配置：包括本体重瓦斯、本体轻瓦斯、油温、油位异常、压力释放、冷却器全停等。非电量保护（除需经保护装置延时的信号外）直接启动装置跳闸回路，且保护动作应自动记录。并提供3组同步接点输出。</w:t>
      </w:r>
    </w:p>
    <w:p>
      <w:pPr>
        <w:pStyle w:val="2"/>
        <w:ind w:left="0" w:leftChars="0" w:firstLine="420" w:firstLineChars="200"/>
        <w:rPr>
          <w:rFonts w:hint="default" w:ascii="宋体" w:cs="宋体"/>
          <w:kern w:val="0"/>
          <w:sz w:val="28"/>
          <w:szCs w:val="28"/>
          <w:lang w:val="en-US" w:eastAsia="zh-CN"/>
        </w:rPr>
      </w:pPr>
      <w:r>
        <w:drawing>
          <wp:inline distT="0" distB="0" distL="114300" distR="114300">
            <wp:extent cx="5756910" cy="4357370"/>
            <wp:effectExtent l="0" t="0" r="15240" b="5080"/>
            <wp:docPr id="9"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5"/>
                    <pic:cNvPicPr>
                      <a:picLocks noChangeAspect="1"/>
                    </pic:cNvPicPr>
                  </pic:nvPicPr>
                  <pic:blipFill>
                    <a:blip r:embed="rId19"/>
                    <a:stretch>
                      <a:fillRect/>
                    </a:stretch>
                  </pic:blipFill>
                  <pic:spPr>
                    <a:xfrm>
                      <a:off x="0" y="0"/>
                      <a:ext cx="5756910" cy="4357370"/>
                    </a:xfrm>
                    <a:prstGeom prst="rect">
                      <a:avLst/>
                    </a:prstGeom>
                    <a:noFill/>
                    <a:ln>
                      <a:noFill/>
                    </a:ln>
                  </pic:spPr>
                </pic:pic>
              </a:graphicData>
            </a:graphic>
          </wp:inline>
        </w:drawing>
      </w:r>
    </w:p>
    <w:p>
      <w:pPr>
        <w:numPr>
          <w:ilvl w:val="0"/>
          <w:numId w:val="0"/>
        </w:num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5、外部相间短路保护应符合下列规定：</w:t>
      </w:r>
    </w:p>
    <w:p>
      <w:pPr>
        <w:numPr>
          <w:ilvl w:val="0"/>
          <w:numId w:val="0"/>
        </w:numPr>
        <w:spacing w:line="360" w:lineRule="auto"/>
        <w:ind w:firstLine="560" w:firstLineChars="200"/>
        <w:rPr>
          <w:rFonts w:hint="default" w:ascii="宋体" w:cs="宋体"/>
          <w:kern w:val="0"/>
          <w:sz w:val="28"/>
          <w:szCs w:val="28"/>
          <w:lang w:val="en-US" w:eastAsia="zh-CN"/>
        </w:rPr>
      </w:pPr>
      <w:r>
        <w:rPr>
          <w:rFonts w:hint="eastAsia" w:ascii="宋体" w:cs="宋体"/>
          <w:kern w:val="0"/>
          <w:sz w:val="28"/>
          <w:szCs w:val="28"/>
          <w:lang w:val="en-US" w:eastAsia="zh-CN"/>
        </w:rPr>
        <w:t>（1）</w:t>
      </w:r>
      <w:r>
        <w:rPr>
          <w:rFonts w:hint="default" w:ascii="宋体" w:cs="宋体"/>
          <w:kern w:val="0"/>
          <w:sz w:val="28"/>
          <w:szCs w:val="28"/>
          <w:lang w:val="en-US" w:eastAsia="zh-CN"/>
        </w:rPr>
        <w:t>除主电源侧外，其他各侧保护可仅作本侧相邻电力设备和线路的后备保护</w:t>
      </w:r>
      <w:r>
        <w:rPr>
          <w:rFonts w:hint="eastAsia" w:ascii="宋体" w:cs="宋体"/>
          <w:kern w:val="0"/>
          <w:sz w:val="28"/>
          <w:szCs w:val="28"/>
          <w:lang w:val="en-US" w:eastAsia="zh-CN"/>
        </w:rPr>
        <w:t>；</w:t>
      </w:r>
    </w:p>
    <w:p>
      <w:pPr>
        <w:numPr>
          <w:ilvl w:val="0"/>
          <w:numId w:val="0"/>
        </w:numPr>
        <w:spacing w:line="360" w:lineRule="auto"/>
        <w:ind w:firstLine="560" w:firstLineChars="200"/>
        <w:rPr>
          <w:rFonts w:hint="default" w:ascii="宋体" w:cs="宋体"/>
          <w:kern w:val="0"/>
          <w:sz w:val="28"/>
          <w:szCs w:val="28"/>
          <w:lang w:val="en-US" w:eastAsia="zh-CN"/>
        </w:rPr>
      </w:pPr>
      <w:r>
        <w:rPr>
          <w:rFonts w:hint="eastAsia" w:ascii="宋体" w:cs="宋体"/>
          <w:kern w:val="0"/>
          <w:sz w:val="28"/>
          <w:szCs w:val="28"/>
          <w:lang w:val="en-US" w:eastAsia="zh-CN"/>
        </w:rPr>
        <w:t>（2）</w:t>
      </w:r>
      <w:r>
        <w:rPr>
          <w:rFonts w:hint="default" w:ascii="宋体" w:cs="宋体"/>
          <w:kern w:val="0"/>
          <w:sz w:val="28"/>
          <w:szCs w:val="28"/>
          <w:lang w:val="en-US" w:eastAsia="zh-CN"/>
        </w:rPr>
        <w:t>保护装置作为本侧相邻电力设备和线路保护的后备时，灵敏系数可适当降低，但对本侧母线上的各类短路应符合灵敏性要求。</w:t>
      </w:r>
    </w:p>
    <w:p>
      <w:pPr>
        <w:pStyle w:val="2"/>
        <w:ind w:left="0" w:leftChars="0"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6、需装设操作箱，操作箱技术要求：</w:t>
      </w:r>
    </w:p>
    <w:p>
      <w:pPr>
        <w:pStyle w:val="2"/>
        <w:ind w:left="0" w:leftChars="0" w:firstLine="560" w:firstLineChars="0"/>
        <w:rPr>
          <w:rFonts w:hint="eastAsia" w:ascii="宋体" w:cs="宋体"/>
          <w:kern w:val="0"/>
          <w:sz w:val="28"/>
          <w:szCs w:val="28"/>
          <w:lang w:val="en-US" w:eastAsia="zh-CN"/>
        </w:rPr>
      </w:pPr>
      <w:r>
        <w:rPr>
          <w:rFonts w:hint="eastAsia" w:ascii="宋体" w:cs="宋体"/>
          <w:kern w:val="0"/>
          <w:sz w:val="28"/>
          <w:szCs w:val="28"/>
          <w:lang w:val="en-US" w:eastAsia="zh-CN"/>
        </w:rPr>
        <w:t>（1）操作箱应设有断路器合闸位置、跳闸位置和电源指示灯。操作箱的防跳功能应方便退出，跳闸位置监视与合闸回路的连接应便于断开，端子按跳闸位置监视与合闸回路依次排列。</w:t>
      </w:r>
    </w:p>
    <w:p>
      <w:pPr>
        <w:pStyle w:val="2"/>
        <w:ind w:left="0" w:leftChars="0" w:firstLine="560" w:firstLineChars="0"/>
        <w:rPr>
          <w:rFonts w:hint="eastAsia" w:ascii="宋体" w:cs="宋体"/>
          <w:kern w:val="0"/>
          <w:sz w:val="28"/>
          <w:szCs w:val="28"/>
          <w:lang w:val="en-US" w:eastAsia="zh-CN"/>
        </w:rPr>
      </w:pPr>
      <w:r>
        <w:rPr>
          <w:rFonts w:hint="eastAsia" w:ascii="宋体" w:cs="宋体"/>
          <w:kern w:val="0"/>
          <w:sz w:val="28"/>
          <w:szCs w:val="28"/>
          <w:lang w:val="en-US" w:eastAsia="zh-CN"/>
        </w:rPr>
        <w:t>（2）操作箱应具备以下功能：</w:t>
      </w:r>
    </w:p>
    <w:p>
      <w:pPr>
        <w:pStyle w:val="2"/>
        <w:ind w:left="0" w:leftChars="0" w:firstLine="560" w:firstLineChars="0"/>
        <w:rPr>
          <w:rFonts w:hint="eastAsia" w:ascii="宋体" w:cs="宋体"/>
          <w:kern w:val="0"/>
          <w:sz w:val="28"/>
          <w:szCs w:val="28"/>
          <w:lang w:val="en-US" w:eastAsia="zh-CN"/>
        </w:rPr>
      </w:pPr>
      <w:r>
        <w:rPr>
          <w:rFonts w:hint="eastAsia" w:ascii="宋体" w:cs="宋体"/>
          <w:kern w:val="0"/>
          <w:sz w:val="28"/>
          <w:szCs w:val="28"/>
          <w:lang w:val="en-US" w:eastAsia="zh-CN"/>
        </w:rPr>
        <w:t>1）手合、手跳回路；</w:t>
      </w:r>
    </w:p>
    <w:p>
      <w:pPr>
        <w:pStyle w:val="2"/>
        <w:ind w:left="0" w:leftChars="0" w:firstLine="560" w:firstLineChars="0"/>
        <w:rPr>
          <w:rFonts w:hint="eastAsia" w:ascii="宋体" w:cs="宋体"/>
          <w:kern w:val="0"/>
          <w:sz w:val="28"/>
          <w:szCs w:val="28"/>
          <w:lang w:val="en-US" w:eastAsia="zh-CN"/>
        </w:rPr>
      </w:pPr>
      <w:r>
        <w:rPr>
          <w:rFonts w:hint="eastAsia" w:ascii="宋体" w:cs="宋体"/>
          <w:kern w:val="0"/>
          <w:sz w:val="28"/>
          <w:szCs w:val="28"/>
          <w:lang w:val="en-US" w:eastAsia="zh-CN"/>
        </w:rPr>
        <w:t>2）保护跳闸回路；</w:t>
      </w:r>
    </w:p>
    <w:p>
      <w:pPr>
        <w:pStyle w:val="2"/>
        <w:ind w:left="0" w:leftChars="0" w:firstLine="560" w:firstLineChars="0"/>
        <w:rPr>
          <w:rFonts w:hint="eastAsia" w:ascii="宋体" w:cs="宋体"/>
          <w:kern w:val="0"/>
          <w:sz w:val="28"/>
          <w:szCs w:val="28"/>
          <w:lang w:val="en-US" w:eastAsia="zh-CN"/>
        </w:rPr>
      </w:pPr>
      <w:r>
        <w:rPr>
          <w:rFonts w:hint="eastAsia" w:ascii="宋体" w:cs="宋体"/>
          <w:kern w:val="0"/>
          <w:sz w:val="28"/>
          <w:szCs w:val="28"/>
          <w:lang w:val="en-US" w:eastAsia="zh-CN"/>
        </w:rPr>
        <w:t>3）断路器压力闭锁回路；</w:t>
      </w:r>
    </w:p>
    <w:p>
      <w:pPr>
        <w:pStyle w:val="2"/>
        <w:ind w:left="0" w:leftChars="0" w:firstLine="560" w:firstLineChars="0"/>
        <w:rPr>
          <w:rFonts w:hint="eastAsia" w:ascii="宋体" w:cs="宋体"/>
          <w:kern w:val="0"/>
          <w:sz w:val="28"/>
          <w:szCs w:val="28"/>
          <w:lang w:val="en-US" w:eastAsia="zh-CN"/>
        </w:rPr>
      </w:pPr>
      <w:r>
        <w:rPr>
          <w:rFonts w:hint="eastAsia" w:ascii="宋体" w:cs="宋体"/>
          <w:kern w:val="0"/>
          <w:sz w:val="28"/>
          <w:szCs w:val="28"/>
          <w:lang w:val="en-US" w:eastAsia="zh-CN"/>
        </w:rPr>
        <w:t>4）断路器防跳回路；</w:t>
      </w:r>
    </w:p>
    <w:p>
      <w:pPr>
        <w:pStyle w:val="2"/>
        <w:ind w:left="0" w:leftChars="0" w:firstLine="560" w:firstLineChars="0"/>
        <w:rPr>
          <w:rFonts w:hint="eastAsia" w:ascii="宋体" w:cs="宋体"/>
          <w:kern w:val="0"/>
          <w:sz w:val="28"/>
          <w:szCs w:val="28"/>
          <w:lang w:val="en-US" w:eastAsia="zh-CN"/>
        </w:rPr>
      </w:pPr>
      <w:r>
        <w:rPr>
          <w:rFonts w:hint="eastAsia" w:ascii="宋体" w:cs="宋体"/>
          <w:kern w:val="0"/>
          <w:sz w:val="28"/>
          <w:szCs w:val="28"/>
          <w:lang w:val="en-US" w:eastAsia="zh-CN"/>
        </w:rPr>
        <w:t>5）与相关保护配合的断路器位置等；</w:t>
      </w:r>
    </w:p>
    <w:p>
      <w:pPr>
        <w:pStyle w:val="2"/>
        <w:ind w:left="0" w:leftChars="0" w:firstLine="560" w:firstLineChars="0"/>
        <w:rPr>
          <w:rFonts w:hint="eastAsia" w:ascii="宋体" w:cs="宋体"/>
          <w:kern w:val="0"/>
          <w:sz w:val="28"/>
          <w:szCs w:val="28"/>
          <w:lang w:val="en-US" w:eastAsia="zh-CN"/>
        </w:rPr>
      </w:pPr>
      <w:r>
        <w:rPr>
          <w:rFonts w:hint="eastAsia" w:ascii="宋体" w:cs="宋体"/>
          <w:kern w:val="0"/>
          <w:sz w:val="28"/>
          <w:szCs w:val="28"/>
          <w:lang w:val="en-US" w:eastAsia="zh-CN"/>
        </w:rPr>
        <w:t>6）跳闸及合闸位置监视回路；</w:t>
      </w:r>
    </w:p>
    <w:p>
      <w:pPr>
        <w:pStyle w:val="2"/>
        <w:ind w:left="0" w:leftChars="0" w:firstLine="560" w:firstLineChars="0"/>
        <w:rPr>
          <w:rFonts w:hint="eastAsia" w:ascii="宋体" w:cs="宋体"/>
          <w:kern w:val="0"/>
          <w:sz w:val="28"/>
          <w:szCs w:val="28"/>
          <w:lang w:val="en-US" w:eastAsia="zh-CN"/>
        </w:rPr>
      </w:pPr>
      <w:r>
        <w:rPr>
          <w:rFonts w:hint="eastAsia" w:ascii="宋体" w:cs="宋体"/>
          <w:kern w:val="0"/>
          <w:sz w:val="28"/>
          <w:szCs w:val="28"/>
          <w:lang w:val="en-US" w:eastAsia="zh-CN"/>
        </w:rPr>
        <w:t>7）跳合闸信号；</w:t>
      </w:r>
    </w:p>
    <w:p>
      <w:pPr>
        <w:pStyle w:val="2"/>
        <w:ind w:left="0" w:leftChars="0" w:firstLine="560" w:firstLineChars="0"/>
        <w:rPr>
          <w:rFonts w:hint="eastAsia" w:ascii="宋体" w:cs="宋体"/>
          <w:kern w:val="0"/>
          <w:sz w:val="28"/>
          <w:szCs w:val="28"/>
          <w:lang w:val="en-US" w:eastAsia="zh-CN"/>
        </w:rPr>
      </w:pPr>
      <w:r>
        <w:rPr>
          <w:rFonts w:hint="eastAsia" w:ascii="宋体" w:cs="宋体"/>
          <w:kern w:val="0"/>
          <w:sz w:val="28"/>
          <w:szCs w:val="28"/>
          <w:lang w:val="en-US" w:eastAsia="zh-CN"/>
        </w:rPr>
        <w:t>8）控制回路断线信号；</w:t>
      </w:r>
    </w:p>
    <w:p>
      <w:pPr>
        <w:pStyle w:val="2"/>
        <w:ind w:left="0" w:leftChars="0" w:firstLine="560" w:firstLineChars="0"/>
        <w:rPr>
          <w:rFonts w:hint="eastAsia" w:ascii="宋体" w:cs="宋体"/>
          <w:kern w:val="0"/>
          <w:sz w:val="28"/>
          <w:szCs w:val="28"/>
          <w:lang w:val="en-US" w:eastAsia="zh-CN"/>
        </w:rPr>
      </w:pPr>
      <w:r>
        <w:rPr>
          <w:rFonts w:hint="eastAsia" w:ascii="宋体" w:cs="宋体"/>
          <w:kern w:val="0"/>
          <w:sz w:val="28"/>
          <w:szCs w:val="28"/>
          <w:lang w:val="en-US" w:eastAsia="zh-CN"/>
        </w:rPr>
        <w:t>9）备用中间继电器；</w:t>
      </w:r>
    </w:p>
    <w:p>
      <w:pPr>
        <w:pStyle w:val="2"/>
        <w:ind w:left="0" w:leftChars="0" w:firstLine="560" w:firstLineChars="0"/>
        <w:rPr>
          <w:rFonts w:hint="default" w:ascii="宋体" w:cs="宋体"/>
          <w:kern w:val="0"/>
          <w:sz w:val="28"/>
          <w:szCs w:val="28"/>
          <w:lang w:val="en-US" w:eastAsia="zh-CN"/>
        </w:rPr>
      </w:pPr>
      <w:r>
        <w:rPr>
          <w:rFonts w:hint="eastAsia" w:ascii="宋体" w:cs="宋体"/>
          <w:kern w:val="0"/>
          <w:sz w:val="28"/>
          <w:szCs w:val="28"/>
          <w:lang w:val="en-US" w:eastAsia="zh-CN"/>
        </w:rPr>
        <w:t>10）直流电源监视功能。</w:t>
      </w:r>
    </w:p>
    <w:p>
      <w:pPr>
        <w:numPr>
          <w:ilvl w:val="0"/>
          <w:numId w:val="0"/>
        </w:num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7、装设零序电流保护，并应符合下列规定（中性点直接接地的110kV电力网中，当低压侧有电源的变压器中性点直接接地运行时，对外部单相接地引起的过电流）：</w:t>
      </w:r>
    </w:p>
    <w:p>
      <w:pPr>
        <w:numPr>
          <w:ilvl w:val="0"/>
          <w:numId w:val="0"/>
        </w:num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1）零序电流保护可由两段组成，其动作电流与相关线路零序过电流保护相配合，每段应各带两个时限，并均应以较短的时限动作于缩小故障影响范围，或动作于断开本侧断路器，同时应以较长的时限动作于断开变压器各侧断路器。</w:t>
      </w:r>
    </w:p>
    <w:p>
      <w:pPr>
        <w:numPr>
          <w:ilvl w:val="0"/>
          <w:numId w:val="0"/>
        </w:num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（2）双绕组及三绕组变压器的零序电流保护应接到中性点引出线上的电流互感器上。</w:t>
      </w:r>
    </w:p>
    <w:p>
      <w:pPr>
        <w:numPr>
          <w:ilvl w:val="0"/>
          <w:numId w:val="0"/>
        </w:num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8、专用接地变压器应按工业与民用供配电设计手册（第四版）7.2.1配置主保护，并应配置过电流保护和零序过电流保护作为后备保护等。</w:t>
      </w:r>
    </w:p>
    <w:p>
      <w:pPr>
        <w:numPr>
          <w:ilvl w:val="0"/>
          <w:numId w:val="0"/>
        </w:num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9、变压器中性点经消弧线圈接地时，应在中性点设置零序过电流或过电压保护，并应动作于信号。</w:t>
      </w:r>
    </w:p>
    <w:p>
      <w:pPr>
        <w:numPr>
          <w:ilvl w:val="0"/>
          <w:numId w:val="0"/>
        </w:numPr>
        <w:spacing w:line="360" w:lineRule="auto"/>
        <w:ind w:firstLine="560" w:firstLineChars="20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10、过负荷保护可动作于跳闸或断开部分负荷。</w:t>
      </w:r>
    </w:p>
    <w:p>
      <w:pPr>
        <w:pStyle w:val="2"/>
        <w:ind w:left="0" w:leftChars="0" w:firstLine="0" w:firstLineChars="0"/>
        <w:rPr>
          <w:rFonts w:hint="default"/>
          <w:lang w:val="en-US" w:eastAsia="zh-CN"/>
        </w:rPr>
      </w:pPr>
      <w:r>
        <w:rPr>
          <w:rFonts w:hint="eastAsia" w:ascii="宋体" w:cs="宋体"/>
          <w:color w:val="auto"/>
          <w:kern w:val="0"/>
          <w:sz w:val="28"/>
          <w:szCs w:val="28"/>
          <w:lang w:val="en-US" w:eastAsia="zh-CN"/>
        </w:rPr>
        <w:t xml:space="preserve">    11、所有保护在谐波、直流分量、励磁涌流以及穿越性短路电流稳态和瞬态影响下，不应误动作。保护应该考虑瞬态时TA饱和的影响，即使在严重的穿越性短路故障情况下，也不误动。</w:t>
      </w:r>
    </w:p>
    <w:p>
      <w:pPr>
        <w:numPr>
          <w:ilvl w:val="0"/>
          <w:numId w:val="0"/>
        </w:numPr>
        <w:spacing w:line="360" w:lineRule="auto"/>
        <w:ind w:firstLine="560" w:firstLineChars="20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12、对变压器油温度过高、绕组温度过高、油面过低、油箱内压力过高、产生瓦斯和冷却系统故障，应装设可作用于信号或动作于跳闸的装置。</w:t>
      </w:r>
    </w:p>
    <w:p>
      <w:pPr>
        <w:pStyle w:val="2"/>
        <w:ind w:left="0" w:leftChars="0" w:firstLine="560" w:firstLineChars="20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13、设置一套变压器综合在线监测系统，主要监测：油色谱在线监测、铁芯监测、局放在线监测、光纤测温，提供综合状态在线监测系统（后台控制系统）。</w:t>
      </w:r>
    </w:p>
    <w:p>
      <w:pPr>
        <w:pStyle w:val="2"/>
        <w:ind w:left="0" w:leftChars="0" w:firstLine="560" w:firstLineChars="20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1）应为每台变压器提供油色谱在线监测装置，用于变压器初始故障监视，应能连续测量氢气（H2）、一氧化碳（CO）、二氧化碳（CO2）、乙炔（C2H2）、乙烯（C2H4）、甲烷（CH4）、乙烷（C2H6）七种气体和微水含量，应能准确分析各气体组份的浓度、相对增长率以及绝对增长速度。</w:t>
      </w:r>
    </w:p>
    <w:p>
      <w:pPr>
        <w:pStyle w:val="2"/>
        <w:ind w:left="0" w:leftChars="0" w:firstLine="560" w:firstLineChars="20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（2）具有对被监设备油中溶解气体组分异常的报警功能。</w:t>
      </w:r>
    </w:p>
    <w:p>
      <w:pPr>
        <w:pStyle w:val="2"/>
        <w:ind w:left="0" w:leftChars="0" w:firstLine="560" w:firstLineChars="20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（3）在线监测系统运行期间，如果监测系统内主要部件或单元故障后，装置能够发出装置异常的报警信号。</w:t>
      </w:r>
    </w:p>
    <w:p>
      <w:pPr>
        <w:pStyle w:val="2"/>
        <w:ind w:left="0" w:leftChars="0" w:firstLine="560" w:firstLineChars="20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（4）监测装置应具备长期稳定工作能力，能够免标定、具备恒温及除湿等功能。</w:t>
      </w:r>
    </w:p>
    <w:p>
      <w:pPr>
        <w:pStyle w:val="2"/>
        <w:ind w:left="0" w:leftChars="0" w:firstLine="560" w:firstLineChars="20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（5）在线监测系统的输出数据具备就地读取和远传功能，既可以就地读取装置的数据，又可以在控制室内实现数据的远程集中管理。</w:t>
      </w:r>
    </w:p>
    <w:p>
      <w:pPr>
        <w:pStyle w:val="2"/>
        <w:ind w:left="0" w:leftChars="0" w:firstLine="560" w:firstLineChars="20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（6）局放在线监测系统主要测量放电信号的幅值、相位、放电次数等基本的局部放电表征参数及各种统计特征参数。</w:t>
      </w:r>
    </w:p>
    <w:p>
      <w:pPr>
        <w:pStyle w:val="2"/>
        <w:ind w:left="0" w:leftChars="0" w:firstLine="560" w:firstLineChars="20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（7）利用各种谱图分析,进行故障诊断。包括放电类型识别，分析和预测局部放电缺陷的严重程度和发展趋势，对异常信号进行实时报警，为绝缘状态诊断提供有效判据。</w:t>
      </w:r>
    </w:p>
    <w:p>
      <w:pPr>
        <w:pStyle w:val="2"/>
        <w:ind w:left="0" w:leftChars="0" w:firstLine="560" w:firstLineChars="20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（8）装置应具备现场校验测试接口，方便用户开展现场调试和检测。</w:t>
      </w:r>
    </w:p>
    <w:p>
      <w:pPr>
        <w:pStyle w:val="2"/>
        <w:ind w:left="0" w:leftChars="0" w:firstLine="560" w:firstLineChars="20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（9）局放监测应具备抗干扰能力。</w:t>
      </w:r>
    </w:p>
    <w:p>
      <w:pPr>
        <w:spacing w:line="360" w:lineRule="auto"/>
        <w:outlineLvl w:val="2"/>
        <w:rPr>
          <w:rFonts w:hint="default" w:ascii="宋体" w:cs="宋体"/>
          <w:kern w:val="0"/>
          <w:sz w:val="28"/>
          <w:szCs w:val="28"/>
          <w:lang w:val="en-US" w:eastAsia="zh-CN"/>
        </w:rPr>
      </w:pPr>
      <w:bookmarkStart w:id="171" w:name="_Toc4006"/>
      <w:r>
        <w:rPr>
          <w:rFonts w:hint="eastAsia" w:ascii="Times New Roman" w:hAnsi="Times New Roman" w:eastAsia="宋体" w:cs="Times New Roman"/>
          <w:b/>
          <w:kern w:val="0"/>
          <w:sz w:val="28"/>
          <w:szCs w:val="21"/>
          <w:lang w:val="en-US" w:eastAsia="zh-CN" w:bidi="ar-SA"/>
        </w:rPr>
        <w:t>2.</w:t>
      </w:r>
      <w:r>
        <w:rPr>
          <w:rFonts w:hint="eastAsia" w:cs="Times New Roman"/>
          <w:b/>
          <w:kern w:val="0"/>
          <w:sz w:val="28"/>
          <w:szCs w:val="21"/>
          <w:lang w:val="en-US" w:eastAsia="zh-CN" w:bidi="ar-SA"/>
        </w:rPr>
        <w:t>4</w:t>
      </w:r>
      <w:r>
        <w:rPr>
          <w:rFonts w:hint="eastAsia" w:ascii="Times New Roman" w:hAnsi="Times New Roman" w:eastAsia="宋体" w:cs="Times New Roman"/>
          <w:b/>
          <w:kern w:val="0"/>
          <w:sz w:val="28"/>
          <w:szCs w:val="21"/>
          <w:lang w:val="en-US" w:eastAsia="zh-CN" w:bidi="ar-SA"/>
        </w:rPr>
        <w:t>.2</w:t>
      </w:r>
      <w:r>
        <w:rPr>
          <w:rFonts w:hint="eastAsia" w:cs="Times New Roman"/>
          <w:b/>
          <w:kern w:val="0"/>
          <w:sz w:val="28"/>
          <w:szCs w:val="21"/>
          <w:lang w:val="en-US" w:eastAsia="zh-CN" w:bidi="ar-SA"/>
        </w:rPr>
        <w:t>变压器保护闭锁和告警</w:t>
      </w:r>
      <w:bookmarkEnd w:id="171"/>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1、装置闭锁和告警功能：</w:t>
      </w:r>
    </w:p>
    <w:p>
      <w:pPr>
        <w:numPr>
          <w:ilvl w:val="0"/>
          <w:numId w:val="0"/>
        </w:numPr>
        <w:spacing w:line="360" w:lineRule="auto"/>
        <w:rPr>
          <w:rFonts w:hint="default" w:ascii="宋体" w:cs="宋体"/>
          <w:kern w:val="0"/>
          <w:sz w:val="28"/>
          <w:szCs w:val="28"/>
          <w:lang w:val="en-US" w:eastAsia="zh-CN"/>
        </w:rPr>
      </w:pPr>
      <w:r>
        <w:rPr>
          <w:rFonts w:hint="eastAsia" w:ascii="宋体" w:cs="宋体"/>
          <w:kern w:val="0"/>
          <w:sz w:val="28"/>
          <w:szCs w:val="28"/>
          <w:lang w:val="en-US" w:eastAsia="zh-CN"/>
        </w:rPr>
        <w:t>（1）</w:t>
      </w:r>
      <w:r>
        <w:rPr>
          <w:rFonts w:hint="default" w:ascii="宋体" w:cs="宋体"/>
          <w:kern w:val="0"/>
          <w:sz w:val="28"/>
          <w:szCs w:val="28"/>
          <w:lang w:val="en-US" w:eastAsia="zh-CN"/>
        </w:rPr>
        <w:t>装置本身硬件故障时发出装置闭锁信号，闭锁整套保护（只闭锁差动，过流保护，不闭锁非电量保护）</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（2）硬件故障包括∶RAM，EPROM，定值出错和出口三极管长期导通，另外平衡系数错，接线方式错也将闭锁整套保护。</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（3）当检测到下列故障时，发出运行异常报警。</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1）电流互感器告警；</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2）电流互感器断线（可经控制字选择是否闭锁比率差动保护）；</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3）过负荷；</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4）电压互感器断线；</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5）低压侧零序过电压。</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2、测控功能：</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（1）遥控功能：正常遥控跳闸操作，正常遥控合闸操作。</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（2）遥测功能：电流，电压，零序电压，有功、无功功率，功率因数，频率遥测。</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（3）遥信功能：开关位置，弹簧未储能接点、重瓦斯、轻瓦斯、油温高、压力释放等非电量遥信开入，装置遥信变位以及事故遥信，并做事件顺序记录。</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（4）电力变压器的测控装置安装在专设的测控柜中。</w:t>
      </w:r>
    </w:p>
    <w:p>
      <w:pPr>
        <w:spacing w:line="360" w:lineRule="auto"/>
        <w:outlineLvl w:val="2"/>
        <w:rPr>
          <w:rFonts w:hint="eastAsia" w:ascii="Times New Roman" w:hAnsi="Times New Roman" w:eastAsia="宋体" w:cs="Times New Roman"/>
          <w:b/>
          <w:kern w:val="0"/>
          <w:sz w:val="28"/>
          <w:szCs w:val="21"/>
          <w:lang w:val="en-US" w:eastAsia="zh-CN" w:bidi="ar-SA"/>
        </w:rPr>
      </w:pPr>
      <w:bookmarkStart w:id="172" w:name="_Toc17742"/>
      <w:r>
        <w:rPr>
          <w:rFonts w:hint="eastAsia" w:ascii="Times New Roman" w:hAnsi="Times New Roman" w:eastAsia="宋体" w:cs="Times New Roman"/>
          <w:b/>
          <w:kern w:val="0"/>
          <w:sz w:val="28"/>
          <w:szCs w:val="21"/>
          <w:lang w:val="en-US" w:eastAsia="zh-CN" w:bidi="ar-SA"/>
        </w:rPr>
        <w:t>2.4.</w:t>
      </w:r>
      <w:r>
        <w:rPr>
          <w:rFonts w:hint="eastAsia" w:cs="Times New Roman"/>
          <w:b/>
          <w:kern w:val="0"/>
          <w:sz w:val="28"/>
          <w:szCs w:val="21"/>
          <w:lang w:val="en-US" w:eastAsia="zh-CN" w:bidi="ar-SA"/>
        </w:rPr>
        <w:t>3</w:t>
      </w:r>
      <w:r>
        <w:rPr>
          <w:rFonts w:hint="eastAsia" w:ascii="Times New Roman" w:hAnsi="Times New Roman" w:eastAsia="宋体" w:cs="Times New Roman"/>
          <w:b/>
          <w:kern w:val="0"/>
          <w:sz w:val="28"/>
          <w:szCs w:val="21"/>
          <w:lang w:val="en-US" w:eastAsia="zh-CN" w:bidi="ar-SA"/>
        </w:rPr>
        <w:t>GIS保护</w:t>
      </w:r>
      <w:bookmarkEnd w:id="172"/>
    </w:p>
    <w:p>
      <w:pPr>
        <w:numPr>
          <w:ilvl w:val="0"/>
          <w:numId w:val="0"/>
        </w:numPr>
        <w:spacing w:line="360" w:lineRule="auto"/>
        <w:rPr>
          <w:rFonts w:hint="eastAsia" w:ascii="Times New Roman" w:hAnsi="Times New Roman" w:eastAsia="宋体" w:cs="Times New Roman"/>
          <w:b/>
          <w:kern w:val="0"/>
          <w:sz w:val="28"/>
          <w:szCs w:val="21"/>
          <w:lang w:val="en-US" w:eastAsia="zh-CN" w:bidi="ar-SA"/>
        </w:rPr>
      </w:pPr>
      <w:r>
        <w:rPr>
          <w:rFonts w:hint="eastAsia" w:ascii="宋体" w:cs="宋体"/>
          <w:kern w:val="0"/>
          <w:sz w:val="28"/>
          <w:szCs w:val="28"/>
          <w:lang w:val="en-US" w:eastAsia="zh-CN"/>
        </w:rPr>
        <w:t>1、配置系统：GIS综合故障预警系统，每个间隔配置2只特高频局放传感器，母线配置8只个特高频局放传感器，满足监测所有GIS设备要求。</w:t>
      </w:r>
    </w:p>
    <w:p>
      <w:pPr>
        <w:numPr>
          <w:ilvl w:val="0"/>
          <w:numId w:val="0"/>
        </w:numPr>
        <w:spacing w:line="360" w:lineRule="auto"/>
        <w:rPr>
          <w:rFonts w:hint="eastAsia" w:ascii="宋体" w:cs="宋体"/>
          <w:kern w:val="0"/>
          <w:sz w:val="28"/>
          <w:szCs w:val="28"/>
          <w:lang w:val="en-US" w:eastAsia="zh-CN"/>
        </w:rPr>
      </w:pPr>
      <w:r>
        <w:rPr>
          <w:rFonts w:hint="default" w:ascii="宋体" w:cs="宋体"/>
          <w:kern w:val="0"/>
          <w:sz w:val="28"/>
          <w:szCs w:val="28"/>
          <w:lang w:val="en-US" w:eastAsia="zh-CN"/>
        </w:rPr>
        <w:t>GIS综合故障预警系统包括GIS局部放电监测子系统、微水密度在线监测子系统、SF6气体泄漏监测子系统。对GIS运行状态进行在线监测并完成数据记录、绘制数据变化趋势图和定期保存相关数据的功能</w:t>
      </w:r>
      <w:r>
        <w:rPr>
          <w:rFonts w:hint="eastAsia" w:ascii="宋体" w:cs="宋体"/>
          <w:kern w:val="0"/>
          <w:sz w:val="28"/>
          <w:szCs w:val="28"/>
          <w:lang w:val="en-US" w:eastAsia="zh-CN"/>
        </w:rPr>
        <w:t>。</w:t>
      </w:r>
    </w:p>
    <w:p>
      <w:pPr>
        <w:numPr>
          <w:ilvl w:val="0"/>
          <w:numId w:val="28"/>
        </w:numPr>
        <w:spacing w:line="360" w:lineRule="auto"/>
        <w:rPr>
          <w:rFonts w:hint="eastAsia" w:ascii="宋体" w:cs="宋体"/>
          <w:kern w:val="0"/>
          <w:sz w:val="28"/>
          <w:szCs w:val="28"/>
          <w:lang w:val="en-US" w:eastAsia="zh-CN"/>
        </w:rPr>
      </w:pPr>
      <w:r>
        <w:rPr>
          <w:rFonts w:hint="default" w:ascii="宋体" w:cs="宋体"/>
          <w:kern w:val="0"/>
          <w:sz w:val="28"/>
          <w:szCs w:val="28"/>
          <w:lang w:val="en-US" w:eastAsia="zh-CN"/>
        </w:rPr>
        <w:t>GIS局放在线监测子系统</w:t>
      </w:r>
      <w:r>
        <w:rPr>
          <w:rFonts w:hint="eastAsia" w:ascii="宋体" w:cs="宋体"/>
          <w:kern w:val="0"/>
          <w:sz w:val="28"/>
          <w:szCs w:val="28"/>
          <w:lang w:val="en-US" w:eastAsia="zh-CN"/>
        </w:rPr>
        <w:t>：</w:t>
      </w:r>
    </w:p>
    <w:p>
      <w:pPr>
        <w:numPr>
          <w:ilvl w:val="0"/>
          <w:numId w:val="0"/>
        </w:numPr>
        <w:spacing w:line="360" w:lineRule="auto"/>
        <w:rPr>
          <w:rFonts w:hint="default"/>
          <w:lang w:val="en-US" w:eastAsia="zh-CN"/>
        </w:rPr>
      </w:pPr>
      <w:r>
        <w:rPr>
          <w:rFonts w:hint="default" w:ascii="宋体" w:cs="宋体"/>
          <w:kern w:val="0"/>
          <w:sz w:val="28"/>
          <w:szCs w:val="28"/>
          <w:lang w:val="en-US" w:eastAsia="zh-CN"/>
        </w:rPr>
        <w:t>110kV GIS配电装置配备一套GIS局放在线监测，用于监测如金属颗粒、悬浮电位、内部电晕、固体绝缘内部缺陷、固体绝缘表面脏污等典型缺陷产生的局部放电信号，局放设置监测点每个断路器室和母线气室设置，且采用内置式传感器。能够基于局部放电信号的幅值、发生频度、类型和发展趋势，对局部放电的严重程度作出判断。</w:t>
      </w:r>
    </w:p>
    <w:p>
      <w:pPr>
        <w:numPr>
          <w:ilvl w:val="0"/>
          <w:numId w:val="28"/>
        </w:numPr>
        <w:spacing w:line="360" w:lineRule="auto"/>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微水密度在线监测系统</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在GIS配备一套SF6微水密度在线监测系统，可同时在线监测SF6气体的温度、密度、水份三种数据，每个气室配置1个监测点。通过监测主机（IED）将监测数据实时上传至GIS局放后台管理系统，当被测气体指标超标时，监测器将自动按事先设定的门限上传报警或闭锁信号至后台管理系统，或直接启动报警、闭锁装置。</w:t>
      </w:r>
    </w:p>
    <w:p>
      <w:pPr>
        <w:numPr>
          <w:ilvl w:val="0"/>
          <w:numId w:val="28"/>
        </w:numPr>
        <w:spacing w:line="360" w:lineRule="auto"/>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GIS气体泄漏在线监测系统</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可实时监测室内SF6气体浓度，当达到报警界线时，发出报警声，并可将数据传输到后台电脑上。</w:t>
      </w:r>
    </w:p>
    <w:p>
      <w:pPr>
        <w:spacing w:line="360" w:lineRule="auto"/>
        <w:outlineLvl w:val="2"/>
        <w:rPr>
          <w:rFonts w:hint="eastAsia" w:ascii="Times New Roman" w:hAnsi="Times New Roman" w:eastAsia="宋体" w:cs="Times New Roman"/>
          <w:b/>
          <w:kern w:val="0"/>
          <w:sz w:val="28"/>
          <w:szCs w:val="21"/>
          <w:lang w:val="en-US" w:eastAsia="zh-CN" w:bidi="ar-SA"/>
        </w:rPr>
      </w:pPr>
      <w:bookmarkStart w:id="173" w:name="_Toc21848"/>
      <w:r>
        <w:rPr>
          <w:rFonts w:hint="eastAsia" w:ascii="Times New Roman" w:hAnsi="Times New Roman" w:eastAsia="宋体" w:cs="Times New Roman"/>
          <w:b/>
          <w:kern w:val="0"/>
          <w:sz w:val="28"/>
          <w:szCs w:val="21"/>
          <w:lang w:val="en-US" w:eastAsia="zh-CN" w:bidi="ar-SA"/>
        </w:rPr>
        <w:t>2.</w:t>
      </w:r>
      <w:r>
        <w:rPr>
          <w:rFonts w:hint="eastAsia" w:cs="Times New Roman"/>
          <w:b/>
          <w:kern w:val="0"/>
          <w:sz w:val="28"/>
          <w:szCs w:val="21"/>
          <w:lang w:val="en-US" w:eastAsia="zh-CN" w:bidi="ar-SA"/>
        </w:rPr>
        <w:t>4</w:t>
      </w:r>
      <w:r>
        <w:rPr>
          <w:rFonts w:hint="eastAsia" w:ascii="Times New Roman" w:hAnsi="Times New Roman" w:eastAsia="宋体" w:cs="Times New Roman"/>
          <w:b/>
          <w:kern w:val="0"/>
          <w:sz w:val="28"/>
          <w:szCs w:val="21"/>
          <w:lang w:val="en-US" w:eastAsia="zh-CN" w:bidi="ar-SA"/>
        </w:rPr>
        <w:t>.</w:t>
      </w:r>
      <w:r>
        <w:rPr>
          <w:rFonts w:hint="eastAsia" w:cs="Times New Roman"/>
          <w:b/>
          <w:kern w:val="0"/>
          <w:sz w:val="28"/>
          <w:szCs w:val="21"/>
          <w:lang w:val="en-US" w:eastAsia="zh-CN" w:bidi="ar-SA"/>
        </w:rPr>
        <w:t>4</w:t>
      </w:r>
      <w:r>
        <w:rPr>
          <w:rFonts w:hint="eastAsia" w:ascii="Times New Roman" w:hAnsi="Times New Roman" w:eastAsia="宋体" w:cs="Times New Roman"/>
          <w:b/>
          <w:kern w:val="0"/>
          <w:sz w:val="28"/>
          <w:szCs w:val="21"/>
          <w:lang w:val="en-US" w:eastAsia="zh-CN" w:bidi="ar-SA"/>
        </w:rPr>
        <w:t>线路的保护</w:t>
      </w:r>
      <w:bookmarkEnd w:id="173"/>
    </w:p>
    <w:p>
      <w:pPr>
        <w:numPr>
          <w:ilvl w:val="0"/>
          <w:numId w:val="29"/>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110kv应装设相应的保护装置：</w:t>
      </w:r>
    </w:p>
    <w:p>
      <w:pPr>
        <w:numPr>
          <w:ilvl w:val="0"/>
          <w:numId w:val="0"/>
        </w:numPr>
        <w:spacing w:line="360" w:lineRule="auto"/>
        <w:rPr>
          <w:rFonts w:hint="default" w:ascii="宋体" w:cs="宋体"/>
          <w:kern w:val="0"/>
          <w:sz w:val="28"/>
          <w:szCs w:val="28"/>
          <w:lang w:val="en-US" w:eastAsia="zh-CN"/>
        </w:rPr>
      </w:pPr>
      <w:r>
        <w:rPr>
          <w:rFonts w:hint="eastAsia" w:ascii="宋体" w:cs="宋体"/>
          <w:kern w:val="0"/>
          <w:sz w:val="28"/>
          <w:szCs w:val="28"/>
          <w:lang w:val="en-US" w:eastAsia="zh-CN"/>
        </w:rPr>
        <w:t>（</w:t>
      </w:r>
      <w:r>
        <w:rPr>
          <w:rFonts w:hint="default" w:ascii="宋体" w:cs="宋体"/>
          <w:kern w:val="0"/>
          <w:sz w:val="28"/>
          <w:szCs w:val="28"/>
          <w:lang w:val="en-US" w:eastAsia="zh-CN"/>
        </w:rPr>
        <w:t>1</w:t>
      </w:r>
      <w:r>
        <w:rPr>
          <w:rFonts w:hint="eastAsia" w:ascii="宋体" w:cs="宋体"/>
          <w:kern w:val="0"/>
          <w:sz w:val="28"/>
          <w:szCs w:val="28"/>
          <w:lang w:val="en-US" w:eastAsia="zh-CN"/>
        </w:rPr>
        <w:t>）</w:t>
      </w:r>
      <w:r>
        <w:rPr>
          <w:rFonts w:hint="default" w:ascii="宋体" w:cs="宋体"/>
          <w:kern w:val="0"/>
          <w:sz w:val="28"/>
          <w:szCs w:val="28"/>
          <w:lang w:val="en-US" w:eastAsia="zh-CN"/>
        </w:rPr>
        <w:t>相间短路</w:t>
      </w:r>
      <w:r>
        <w:rPr>
          <w:rFonts w:hint="eastAsia" w:ascii="宋体" w:cs="宋体"/>
          <w:kern w:val="0"/>
          <w:sz w:val="28"/>
          <w:szCs w:val="28"/>
          <w:lang w:val="en-US" w:eastAsia="zh-CN"/>
        </w:rPr>
        <w:t>；</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（2）</w:t>
      </w:r>
      <w:r>
        <w:rPr>
          <w:rFonts w:hint="default" w:ascii="宋体" w:cs="宋体"/>
          <w:kern w:val="0"/>
          <w:sz w:val="28"/>
          <w:szCs w:val="28"/>
          <w:lang w:val="en-US" w:eastAsia="zh-CN"/>
        </w:rPr>
        <w:t>单相接地</w:t>
      </w:r>
      <w:r>
        <w:rPr>
          <w:rFonts w:hint="eastAsia" w:ascii="宋体" w:cs="宋体"/>
          <w:kern w:val="0"/>
          <w:sz w:val="28"/>
          <w:szCs w:val="28"/>
          <w:lang w:val="en-US" w:eastAsia="zh-CN"/>
        </w:rPr>
        <w:t>；</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（3）过负荷；</w:t>
      </w:r>
    </w:p>
    <w:p>
      <w:pPr>
        <w:pStyle w:val="2"/>
        <w:ind w:left="420" w:leftChars="0" w:hanging="420" w:hangingChars="150"/>
        <w:rPr>
          <w:rFonts w:hint="default"/>
          <w:lang w:val="en-US" w:eastAsia="zh-CN"/>
        </w:rPr>
      </w:pPr>
      <w:r>
        <w:rPr>
          <w:rFonts w:hint="eastAsia" w:ascii="宋体" w:cs="宋体"/>
          <w:kern w:val="0"/>
          <w:sz w:val="28"/>
          <w:szCs w:val="28"/>
          <w:lang w:val="en-US" w:eastAsia="zh-CN"/>
        </w:rPr>
        <w:t>（4）光纤差动保护。</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2、110kV线路的相间短路，应装设相应的保护装置，并应符合下列规定：</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1）单侧电源线路，应装设三相多段式电流或电流电压保护，当不能满足要求时，可装设相间距离保护</w:t>
      </w:r>
      <w:r>
        <w:rPr>
          <w:rFonts w:hint="eastAsia" w:ascii="宋体" w:cs="宋体"/>
          <w:kern w:val="0"/>
          <w:sz w:val="28"/>
          <w:szCs w:val="28"/>
          <w:lang w:val="en-US" w:eastAsia="zh-CN"/>
        </w:rPr>
        <w:t>；</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2）双侧电源线路，应装设阶段式相间距离保护。</w:t>
      </w:r>
    </w:p>
    <w:p>
      <w:pPr>
        <w:numPr>
          <w:ilvl w:val="0"/>
          <w:numId w:val="0"/>
        </w:numPr>
        <w:spacing w:line="360" w:lineRule="auto"/>
        <w:rPr>
          <w:rFonts w:hint="default" w:ascii="宋体" w:cs="宋体"/>
          <w:kern w:val="0"/>
          <w:sz w:val="28"/>
          <w:szCs w:val="28"/>
          <w:lang w:val="en-US" w:eastAsia="zh-CN"/>
        </w:rPr>
      </w:pPr>
      <w:r>
        <w:rPr>
          <w:rFonts w:hint="eastAsia" w:ascii="宋体" w:cs="宋体"/>
          <w:kern w:val="0"/>
          <w:sz w:val="28"/>
          <w:szCs w:val="28"/>
          <w:lang w:val="en-US" w:eastAsia="zh-CN"/>
        </w:rPr>
        <w:t>3、其他法规规定的、批复文件规定的装设的保护。</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4、整定计算必须符合设计规范要求。</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5、在雷击过电压、一次回路操作、系统故障及其他强干扰作用下，不应误动和拒动。装置快速瞬变干扰试验、高频干扰试验，辐射电磁场干扰试验、冲击电压试验和绝缘试验应至少符合IEC标准。装置调试端口应带有光电隔离。</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6、保护柜与其他设备之间，应采用光电耦合或继电器触点进行连接，不应有电的直接联系。</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7、保护柜中的插件应接触可靠，并且有良好的互换性，以便检修时能迅速更换。</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8、装置的出口回路、主要电路、装置异常及交直流消失等应有经常监视及自诊断功能以便在动作后启动告警信号、远动信号、事件记录等。</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9</w:t>
      </w:r>
      <w:r>
        <w:rPr>
          <w:rFonts w:hint="default" w:ascii="宋体" w:cs="宋体"/>
          <w:kern w:val="0"/>
          <w:sz w:val="28"/>
          <w:szCs w:val="28"/>
          <w:lang w:val="en-US" w:eastAsia="zh-CN"/>
        </w:rPr>
        <w:t>、110kv线路差动保护需与上级变电站保持一致</w:t>
      </w:r>
      <w:r>
        <w:rPr>
          <w:rFonts w:hint="eastAsia" w:ascii="宋体" w:cs="宋体"/>
          <w:kern w:val="0"/>
          <w:sz w:val="28"/>
          <w:szCs w:val="28"/>
          <w:lang w:val="en-US" w:eastAsia="zh-CN"/>
        </w:rPr>
        <w:t>，光纤差动保护装置具体要求：</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1）110kV线路光纤差动保护应具备以分相电流差动和零序电流差动为主体的快速主保护，由三段相间和接地距离保护、四段零序方向过流保护构成的全套后备保护。保护装置应配有三相一次重合闸功能，TV断线、TA断线、过负荷告警功能，装置还带有跳合闸操作回路以及交流电压切换回路。各项功能指标应满足相关的电力行业标准或国家标准的要求。</w:t>
      </w:r>
    </w:p>
    <w:p>
      <w:pPr>
        <w:numPr>
          <w:ilvl w:val="0"/>
          <w:numId w:val="3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电流差动保护两侧启动元件和本侧差动元件同时动作才允许差动保护出口。线路两侧的电流差动保护装置均应设置本侧独立的电流启动元件，必要时可用交流电压量等作为辅助启动元件，但应考虑在TV断线时对辅助启动元件的影响，差动电流不能作为装置的启动元件。</w:t>
      </w:r>
    </w:p>
    <w:p>
      <w:pPr>
        <w:numPr>
          <w:ilvl w:val="0"/>
          <w:numId w:val="3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线路两侧电流差动保护装置应互相传输可供用户整定的通道识别码，并对通道识别码进行校验，校验出错时告警并闭锁差动保护。</w:t>
      </w:r>
    </w:p>
    <w:p>
      <w:pPr>
        <w:numPr>
          <w:ilvl w:val="0"/>
          <w:numId w:val="3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电流差动保护装置应具有通道监视功能，保护对通道中断或判断通道数据异常的情况应有完整的记录报告并发出报警信号，并在投标文件中阐明该情况下闭锁保护的延时时间及发通道异常告警信号的延时时间。</w:t>
      </w:r>
    </w:p>
    <w:p>
      <w:pPr>
        <w:numPr>
          <w:ilvl w:val="0"/>
          <w:numId w:val="3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自动重合闸由主保护和后备保护跳闸启动，并可由断路器状态不一致来启动。自动重合闸由三相跳闸启动回路启动。三相自动重合闸应有同期检查和无电压检查。</w:t>
      </w:r>
    </w:p>
    <w:p>
      <w:pPr>
        <w:numPr>
          <w:ilvl w:val="0"/>
          <w:numId w:val="3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重合闸装置应有外部闭锁重合闸的输入回路，用于在手动跳闸、手动合闸、母线故障、延时段保护动作、断路器操作压力降低等情况下接入闭锁重合闸接点。</w:t>
      </w:r>
    </w:p>
    <w:p>
      <w:pPr>
        <w:numPr>
          <w:ilvl w:val="0"/>
          <w:numId w:val="3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当不使用用于重合闸检线路侧电压和检同期的电压元件时，线路TV断线不应报警；检同期重合闸所采用的线路电压应该是自适应的，用户可自行选择任意相间或相电压。</w:t>
      </w:r>
    </w:p>
    <w:p>
      <w:pPr>
        <w:numPr>
          <w:ilvl w:val="0"/>
          <w:numId w:val="3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重合闸应有足够信号接点，启动中央信号、事件记录和远动信号。</w:t>
      </w:r>
    </w:p>
    <w:p>
      <w:pPr>
        <w:pStyle w:val="2"/>
        <w:numPr>
          <w:ilvl w:val="0"/>
          <w:numId w:val="27"/>
        </w:numPr>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光纤差动保护通道设备的要求：</w:t>
      </w:r>
    </w:p>
    <w:p>
      <w:pPr>
        <w:pStyle w:val="2"/>
        <w:numPr>
          <w:ilvl w:val="0"/>
          <w:numId w:val="31"/>
        </w:numPr>
        <w:ind w:left="420" w:leftChars="0" w:hanging="420" w:hangingChars="150"/>
        <w:rPr>
          <w:rFonts w:hint="eastAsia" w:ascii="宋体" w:cs="宋体"/>
          <w:kern w:val="0"/>
          <w:sz w:val="28"/>
          <w:szCs w:val="28"/>
          <w:lang w:val="en-US" w:eastAsia="zh-CN"/>
        </w:rPr>
      </w:pPr>
      <w:r>
        <w:rPr>
          <w:rFonts w:hint="eastAsia" w:ascii="宋体" w:cs="宋体"/>
          <w:kern w:val="0"/>
          <w:sz w:val="28"/>
          <w:szCs w:val="28"/>
          <w:lang w:val="en-US" w:eastAsia="zh-CN"/>
        </w:rPr>
        <w:t>采用专用光纤通道。</w:t>
      </w:r>
    </w:p>
    <w:p>
      <w:pPr>
        <w:pStyle w:val="2"/>
        <w:numPr>
          <w:ilvl w:val="0"/>
          <w:numId w:val="31"/>
        </w:numPr>
        <w:ind w:left="420" w:leftChars="0" w:hanging="420" w:hangingChars="150"/>
        <w:rPr>
          <w:rFonts w:hint="eastAsia" w:ascii="宋体" w:cs="宋体"/>
          <w:kern w:val="0"/>
          <w:sz w:val="28"/>
          <w:szCs w:val="28"/>
          <w:lang w:val="en-US" w:eastAsia="zh-CN"/>
        </w:rPr>
      </w:pPr>
      <w:r>
        <w:rPr>
          <w:rFonts w:hint="eastAsia" w:ascii="宋体" w:cs="宋体"/>
          <w:kern w:val="0"/>
          <w:sz w:val="28"/>
          <w:szCs w:val="28"/>
          <w:lang w:val="en-US" w:eastAsia="zh-CN"/>
        </w:rPr>
        <w:t>采用复用光纤时，优先采用2Mbit/s数字接口，对光纤通道的误码应有可靠的防护措施，确保通道传输发生误码时，不造成保护误动。</w:t>
      </w:r>
    </w:p>
    <w:p>
      <w:pPr>
        <w:pStyle w:val="2"/>
        <w:numPr>
          <w:ilvl w:val="0"/>
          <w:numId w:val="31"/>
        </w:numPr>
        <w:ind w:left="420" w:leftChars="0" w:hanging="420" w:hangingChars="150"/>
        <w:rPr>
          <w:rFonts w:hint="default" w:ascii="宋体" w:cs="宋体"/>
          <w:kern w:val="0"/>
          <w:sz w:val="28"/>
          <w:szCs w:val="28"/>
          <w:lang w:val="en-US" w:eastAsia="zh-CN"/>
        </w:rPr>
      </w:pPr>
      <w:r>
        <w:rPr>
          <w:rFonts w:hint="default" w:ascii="宋体" w:cs="宋体"/>
          <w:kern w:val="0"/>
          <w:sz w:val="28"/>
          <w:szCs w:val="28"/>
          <w:lang w:val="en-US" w:eastAsia="zh-CN"/>
        </w:rPr>
        <w:t>保护室光配线柜至保护柜、通信机房光配线柜至接口柜均应使用尾缆连接。尾缆应使用ST或FC型连接器与设备连接。光缆通过光配线柜转接。</w:t>
      </w:r>
    </w:p>
    <w:p>
      <w:pPr>
        <w:pStyle w:val="2"/>
        <w:numPr>
          <w:ilvl w:val="0"/>
          <w:numId w:val="31"/>
        </w:numPr>
        <w:ind w:left="420" w:leftChars="0" w:hanging="420" w:hangingChars="150"/>
        <w:rPr>
          <w:rFonts w:hint="default" w:ascii="宋体" w:cs="宋体"/>
          <w:kern w:val="0"/>
          <w:sz w:val="28"/>
          <w:szCs w:val="28"/>
          <w:lang w:val="en-US" w:eastAsia="zh-CN"/>
        </w:rPr>
      </w:pPr>
      <w:r>
        <w:rPr>
          <w:rFonts w:hint="default" w:ascii="宋体" w:cs="宋体"/>
          <w:kern w:val="0"/>
          <w:sz w:val="28"/>
          <w:szCs w:val="28"/>
          <w:lang w:val="en-US" w:eastAsia="zh-CN"/>
        </w:rPr>
        <w:t>同一机柜不得安装超过8条线路的继电保护专用光电转换接口装置设备。线路纵联电流差动保护通道的收发时延应相同。2Mbit/s数字接口装置与通信设备采用75Ω同轴电缆不平衡方式连接。</w:t>
      </w:r>
    </w:p>
    <w:p>
      <w:pPr>
        <w:pStyle w:val="2"/>
        <w:numPr>
          <w:ilvl w:val="0"/>
          <w:numId w:val="31"/>
        </w:numPr>
        <w:ind w:left="420" w:leftChars="0" w:hanging="420" w:hangingChars="150"/>
        <w:rPr>
          <w:rFonts w:hint="default" w:ascii="宋体" w:cs="宋体"/>
          <w:kern w:val="0"/>
          <w:sz w:val="28"/>
          <w:szCs w:val="28"/>
          <w:lang w:val="en-US" w:eastAsia="zh-CN"/>
        </w:rPr>
      </w:pPr>
      <w:r>
        <w:rPr>
          <w:rFonts w:hint="default" w:ascii="宋体" w:cs="宋体"/>
          <w:kern w:val="0"/>
          <w:sz w:val="28"/>
          <w:szCs w:val="28"/>
          <w:lang w:val="en-US" w:eastAsia="zh-CN"/>
        </w:rPr>
        <w:t>每个继电保护通信接口设备的直流电源均取自通信专业的直流电源，并与所接入通信设备的直流电源相对应。直流电源开关的报警接点引至监控系统。各光电转换装置失电、故障信号引至端子排。</w:t>
      </w:r>
    </w:p>
    <w:p>
      <w:pPr>
        <w:pStyle w:val="2"/>
        <w:numPr>
          <w:ilvl w:val="0"/>
          <w:numId w:val="31"/>
        </w:numPr>
        <w:ind w:left="420" w:leftChars="0" w:hanging="420" w:hangingChars="150"/>
        <w:rPr>
          <w:rFonts w:hint="default" w:ascii="宋体" w:cs="宋体"/>
          <w:kern w:val="0"/>
          <w:sz w:val="28"/>
          <w:szCs w:val="28"/>
          <w:lang w:val="en-US" w:eastAsia="zh-CN"/>
        </w:rPr>
      </w:pPr>
      <w:r>
        <w:rPr>
          <w:rFonts w:hint="default" w:ascii="宋体" w:cs="宋体"/>
          <w:kern w:val="0"/>
          <w:sz w:val="28"/>
          <w:szCs w:val="28"/>
          <w:lang w:val="en-US" w:eastAsia="zh-CN"/>
        </w:rPr>
        <w:t>保护屏和通信接口屏均应带有光纤接线盒。光电转换装置及相应的光电接线盒、尾纤、保护屏至光电转换装置之间连接用的引入光缆及敷设用穿管、光纤头熔接（包括备用纤芯）均由保护厂家同时配套提供，并负责与通信装置间的接口设计和配合。</w:t>
      </w:r>
    </w:p>
    <w:p>
      <w:pPr>
        <w:pStyle w:val="2"/>
        <w:numPr>
          <w:ilvl w:val="0"/>
          <w:numId w:val="31"/>
        </w:numPr>
        <w:ind w:left="420" w:leftChars="0" w:hanging="420" w:hangingChars="150"/>
        <w:rPr>
          <w:rFonts w:hint="default" w:ascii="宋体" w:cs="宋体"/>
          <w:kern w:val="0"/>
          <w:sz w:val="28"/>
          <w:szCs w:val="28"/>
          <w:lang w:val="en-US" w:eastAsia="zh-CN"/>
        </w:rPr>
      </w:pPr>
      <w:r>
        <w:rPr>
          <w:rFonts w:hint="default" w:ascii="宋体" w:cs="宋体"/>
          <w:kern w:val="0"/>
          <w:sz w:val="28"/>
          <w:szCs w:val="28"/>
          <w:lang w:val="en-US" w:eastAsia="zh-CN"/>
        </w:rPr>
        <w:t>110kV进线的线路保护装置为光差保护，应与上级变电站保护装置一致。其他测控保护装置应</w:t>
      </w:r>
      <w:r>
        <w:rPr>
          <w:rFonts w:hint="eastAsia" w:ascii="宋体" w:cs="宋体"/>
          <w:kern w:val="0"/>
          <w:sz w:val="28"/>
          <w:szCs w:val="28"/>
          <w:lang w:val="en-US" w:eastAsia="zh-CN"/>
        </w:rPr>
        <w:t>满足技术文件内品牌要求。</w:t>
      </w:r>
    </w:p>
    <w:p>
      <w:pPr>
        <w:spacing w:line="360" w:lineRule="auto"/>
        <w:outlineLvl w:val="2"/>
        <w:rPr>
          <w:rFonts w:hint="eastAsia" w:ascii="Times New Roman" w:hAnsi="Times New Roman" w:eastAsia="宋体" w:cs="Times New Roman"/>
          <w:b/>
          <w:kern w:val="0"/>
          <w:sz w:val="28"/>
          <w:szCs w:val="21"/>
          <w:lang w:val="en-US" w:eastAsia="zh-CN" w:bidi="ar-SA"/>
        </w:rPr>
      </w:pPr>
      <w:bookmarkStart w:id="174" w:name="_Toc28772"/>
      <w:r>
        <w:rPr>
          <w:rFonts w:hint="eastAsia" w:ascii="Times New Roman" w:hAnsi="Times New Roman" w:eastAsia="宋体" w:cs="Times New Roman"/>
          <w:b/>
          <w:kern w:val="0"/>
          <w:sz w:val="28"/>
          <w:szCs w:val="21"/>
          <w:lang w:val="en-US" w:eastAsia="zh-CN" w:bidi="ar-SA"/>
        </w:rPr>
        <w:t>2.</w:t>
      </w:r>
      <w:r>
        <w:rPr>
          <w:rFonts w:hint="eastAsia" w:cs="Times New Roman"/>
          <w:b/>
          <w:kern w:val="0"/>
          <w:sz w:val="28"/>
          <w:szCs w:val="21"/>
          <w:lang w:val="en-US" w:eastAsia="zh-CN" w:bidi="ar-SA"/>
        </w:rPr>
        <w:t>4</w:t>
      </w:r>
      <w:r>
        <w:rPr>
          <w:rFonts w:hint="eastAsia" w:ascii="Times New Roman" w:hAnsi="Times New Roman" w:eastAsia="宋体" w:cs="Times New Roman"/>
          <w:b/>
          <w:kern w:val="0"/>
          <w:sz w:val="28"/>
          <w:szCs w:val="21"/>
          <w:lang w:val="en-US" w:eastAsia="zh-CN" w:bidi="ar-SA"/>
        </w:rPr>
        <w:t>.</w:t>
      </w:r>
      <w:r>
        <w:rPr>
          <w:rFonts w:hint="eastAsia" w:cs="Times New Roman"/>
          <w:b/>
          <w:kern w:val="0"/>
          <w:sz w:val="28"/>
          <w:szCs w:val="21"/>
          <w:lang w:val="en-US" w:eastAsia="zh-CN" w:bidi="ar-SA"/>
        </w:rPr>
        <w:t>5 10</w:t>
      </w:r>
      <w:r>
        <w:rPr>
          <w:rFonts w:hint="eastAsia" w:ascii="Times New Roman" w:hAnsi="Times New Roman" w:eastAsia="宋体" w:cs="Times New Roman"/>
          <w:b/>
          <w:kern w:val="0"/>
          <w:sz w:val="28"/>
          <w:szCs w:val="21"/>
          <w:lang w:val="en-US" w:eastAsia="zh-CN" w:bidi="ar-SA"/>
        </w:rPr>
        <w:t>～110kV母母线及分段断路器的保护</w:t>
      </w:r>
      <w:bookmarkEnd w:id="174"/>
    </w:p>
    <w:p>
      <w:pPr>
        <w:numPr>
          <w:ilvl w:val="0"/>
          <w:numId w:val="0"/>
        </w:numPr>
        <w:spacing w:line="360" w:lineRule="auto"/>
        <w:ind w:leftChars="0"/>
        <w:rPr>
          <w:rFonts w:hint="default" w:ascii="宋体" w:cs="宋体"/>
          <w:kern w:val="0"/>
          <w:sz w:val="28"/>
          <w:szCs w:val="28"/>
          <w:lang w:val="en-US" w:eastAsia="zh-CN"/>
        </w:rPr>
      </w:pPr>
      <w:r>
        <w:rPr>
          <w:rFonts w:hint="eastAsia" w:ascii="宋体" w:cs="宋体"/>
          <w:kern w:val="0"/>
          <w:sz w:val="28"/>
          <w:szCs w:val="28"/>
          <w:lang w:val="en-US" w:eastAsia="zh-CN"/>
        </w:rPr>
        <w:t>1、本项目</w:t>
      </w:r>
      <w:r>
        <w:rPr>
          <w:rFonts w:hint="default" w:ascii="宋体" w:cs="宋体"/>
          <w:kern w:val="0"/>
          <w:sz w:val="28"/>
          <w:szCs w:val="28"/>
          <w:lang w:val="en-US" w:eastAsia="zh-CN"/>
        </w:rPr>
        <w:t>110kV母线，根据系统稳定或为保证重要用户最低允许电压要求，需快速切除母线上的故障时，装设母线保护</w:t>
      </w:r>
      <w:r>
        <w:rPr>
          <w:rFonts w:hint="eastAsia" w:ascii="宋体" w:cs="宋体"/>
          <w:kern w:val="0"/>
          <w:sz w:val="28"/>
          <w:szCs w:val="28"/>
          <w:lang w:val="en-US" w:eastAsia="zh-CN"/>
        </w:rPr>
        <w:t>装置，快速且选择性地切除一段或一组母线上的故障</w:t>
      </w:r>
      <w:r>
        <w:rPr>
          <w:rFonts w:hint="default" w:ascii="宋体" w:cs="宋体"/>
          <w:kern w:val="0"/>
          <w:sz w:val="28"/>
          <w:szCs w:val="28"/>
          <w:lang w:val="en-US" w:eastAsia="zh-CN"/>
        </w:rPr>
        <w:t>。</w:t>
      </w:r>
    </w:p>
    <w:p>
      <w:pPr>
        <w:numPr>
          <w:ilvl w:val="0"/>
          <w:numId w:val="0"/>
        </w:numPr>
        <w:spacing w:line="360" w:lineRule="auto"/>
        <w:ind w:leftChars="0"/>
        <w:rPr>
          <w:rFonts w:hint="eastAsia" w:ascii="宋体" w:cs="宋体"/>
          <w:kern w:val="0"/>
          <w:sz w:val="28"/>
          <w:szCs w:val="28"/>
          <w:lang w:val="en-US" w:eastAsia="zh-CN"/>
        </w:rPr>
      </w:pPr>
      <w:r>
        <w:rPr>
          <w:rFonts w:hint="eastAsia" w:ascii="宋体" w:cs="宋体"/>
          <w:kern w:val="0"/>
          <w:sz w:val="28"/>
          <w:szCs w:val="28"/>
          <w:lang w:val="en-US" w:eastAsia="zh-CN"/>
        </w:rPr>
        <w:t>2、</w:t>
      </w:r>
      <w:r>
        <w:rPr>
          <w:rFonts w:hint="default" w:ascii="宋体" w:cs="宋体"/>
          <w:kern w:val="0"/>
          <w:sz w:val="28"/>
          <w:szCs w:val="28"/>
          <w:lang w:val="en-US" w:eastAsia="zh-CN"/>
        </w:rPr>
        <w:t>母线保护应符合下列要求</w:t>
      </w:r>
      <w:r>
        <w:rPr>
          <w:rFonts w:hint="eastAsia" w:ascii="宋体" w:cs="宋体"/>
          <w:kern w:val="0"/>
          <w:sz w:val="28"/>
          <w:szCs w:val="28"/>
          <w:lang w:val="en-US" w:eastAsia="zh-CN"/>
        </w:rPr>
        <w:t>：</w:t>
      </w:r>
    </w:p>
    <w:p>
      <w:pPr>
        <w:numPr>
          <w:ilvl w:val="0"/>
          <w:numId w:val="0"/>
        </w:numPr>
        <w:spacing w:line="360" w:lineRule="auto"/>
        <w:ind w:leftChars="0"/>
        <w:rPr>
          <w:rFonts w:hint="default" w:ascii="宋体" w:cs="宋体"/>
          <w:kern w:val="0"/>
          <w:sz w:val="28"/>
          <w:szCs w:val="28"/>
          <w:lang w:val="en-US" w:eastAsia="zh-CN"/>
        </w:rPr>
      </w:pPr>
      <w:r>
        <w:rPr>
          <w:rFonts w:hint="eastAsia" w:ascii="宋体" w:cs="宋体"/>
          <w:kern w:val="0"/>
          <w:sz w:val="28"/>
          <w:szCs w:val="28"/>
          <w:lang w:val="en-US" w:eastAsia="zh-CN"/>
        </w:rPr>
        <w:t>（</w:t>
      </w:r>
      <w:r>
        <w:rPr>
          <w:rFonts w:hint="default" w:ascii="宋体" w:cs="宋体"/>
          <w:kern w:val="0"/>
          <w:sz w:val="28"/>
          <w:szCs w:val="28"/>
          <w:lang w:val="en-US" w:eastAsia="zh-CN"/>
        </w:rPr>
        <w:t>1</w:t>
      </w:r>
      <w:r>
        <w:rPr>
          <w:rFonts w:hint="eastAsia" w:ascii="宋体" w:cs="宋体"/>
          <w:kern w:val="0"/>
          <w:sz w:val="28"/>
          <w:szCs w:val="28"/>
          <w:lang w:val="en-US" w:eastAsia="zh-CN"/>
        </w:rPr>
        <w:t>）</w:t>
      </w:r>
      <w:r>
        <w:rPr>
          <w:rFonts w:hint="default" w:ascii="宋体" w:cs="宋体"/>
          <w:kern w:val="0"/>
          <w:sz w:val="28"/>
          <w:szCs w:val="28"/>
          <w:lang w:val="en-US" w:eastAsia="zh-CN"/>
        </w:rPr>
        <w:t>应具有简单可靠的闭锁装置或采用两个以上元件同时动作作为判别条件。</w:t>
      </w:r>
    </w:p>
    <w:p>
      <w:pPr>
        <w:numPr>
          <w:ilvl w:val="0"/>
          <w:numId w:val="0"/>
        </w:numPr>
        <w:spacing w:line="360" w:lineRule="auto"/>
        <w:ind w:leftChars="0"/>
        <w:rPr>
          <w:rFonts w:hint="default" w:ascii="宋体" w:cs="宋体"/>
          <w:kern w:val="0"/>
          <w:sz w:val="28"/>
          <w:szCs w:val="28"/>
          <w:lang w:val="en-US" w:eastAsia="zh-CN"/>
        </w:rPr>
      </w:pPr>
      <w:r>
        <w:rPr>
          <w:rFonts w:hint="eastAsia" w:ascii="宋体" w:cs="宋体"/>
          <w:kern w:val="0"/>
          <w:sz w:val="28"/>
          <w:szCs w:val="28"/>
          <w:lang w:val="en-US" w:eastAsia="zh-CN"/>
        </w:rPr>
        <w:t>（2）</w:t>
      </w:r>
      <w:r>
        <w:rPr>
          <w:rFonts w:hint="default" w:ascii="宋体" w:cs="宋体"/>
          <w:kern w:val="0"/>
          <w:sz w:val="28"/>
          <w:szCs w:val="28"/>
          <w:lang w:val="en-US" w:eastAsia="zh-CN"/>
        </w:rPr>
        <w:t>对于母线差动保护应采取减少外部短路产生的不平衡电流影响的措施，并应装设电流回路断线闭锁装置。当交流电流回路断线时，应闭锁母线保护，并应发出告警信号。</w:t>
      </w:r>
    </w:p>
    <w:p>
      <w:pPr>
        <w:numPr>
          <w:ilvl w:val="0"/>
          <w:numId w:val="0"/>
        </w:numPr>
        <w:spacing w:line="360" w:lineRule="auto"/>
        <w:ind w:leftChars="0"/>
        <w:rPr>
          <w:rFonts w:hint="default"/>
          <w:lang w:val="en-US" w:eastAsia="zh-CN"/>
        </w:rPr>
      </w:pPr>
      <w:r>
        <w:rPr>
          <w:rFonts w:hint="eastAsia" w:ascii="宋体" w:cs="宋体"/>
          <w:kern w:val="0"/>
          <w:sz w:val="28"/>
          <w:szCs w:val="28"/>
          <w:lang w:val="en-US" w:eastAsia="zh-CN"/>
        </w:rPr>
        <w:t>（3）</w:t>
      </w:r>
      <w:r>
        <w:rPr>
          <w:rFonts w:hint="default" w:ascii="宋体" w:cs="宋体"/>
          <w:kern w:val="0"/>
          <w:sz w:val="28"/>
          <w:szCs w:val="28"/>
          <w:lang w:val="en-US" w:eastAsia="zh-CN"/>
        </w:rPr>
        <w:t>母线保护在一组母线或某一段母线充电合闸时，应能快速且有选择性地断开有故障的母线</w:t>
      </w:r>
      <w:r>
        <w:rPr>
          <w:rFonts w:hint="eastAsia" w:ascii="宋体" w:cs="宋体"/>
          <w:kern w:val="0"/>
          <w:sz w:val="28"/>
          <w:szCs w:val="28"/>
          <w:lang w:val="en-US" w:eastAsia="zh-CN"/>
        </w:rPr>
        <w:t>。</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3、110kV母线配置两套微机型母线差动保护，其单元数按远最终规模配置，110kV 母线保护组 1 面柜，置于二次设备间。</w:t>
      </w:r>
    </w:p>
    <w:p>
      <w:pPr>
        <w:numPr>
          <w:ilvl w:val="0"/>
          <w:numId w:val="32"/>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分段保护：110kV 分段独立配置一套母线充电及过流保护，采用保护测控集成装置，保护带有两段时限的过流及一段时限的零序过流保护功能，还具有母线充电保护功能。</w:t>
      </w:r>
    </w:p>
    <w:p>
      <w:pPr>
        <w:numPr>
          <w:ilvl w:val="0"/>
          <w:numId w:val="32"/>
        </w:numPr>
        <w:spacing w:line="360" w:lineRule="auto"/>
        <w:rPr>
          <w:rFonts w:hint="default" w:ascii="宋体" w:cs="宋体"/>
          <w:kern w:val="0"/>
          <w:sz w:val="28"/>
          <w:szCs w:val="28"/>
          <w:lang w:val="en-US" w:eastAsia="zh-CN"/>
        </w:rPr>
      </w:pPr>
      <w:r>
        <w:rPr>
          <w:rFonts w:hint="eastAsia" w:ascii="宋体" w:cs="宋体"/>
          <w:kern w:val="0"/>
          <w:sz w:val="28"/>
          <w:szCs w:val="28"/>
          <w:lang w:val="en-US" w:eastAsia="zh-CN"/>
        </w:rPr>
        <w:t>继电保护配置：</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110kv见下表：</w:t>
      </w:r>
    </w:p>
    <w:p>
      <w:pPr>
        <w:numPr>
          <w:ilvl w:val="0"/>
          <w:numId w:val="0"/>
        </w:numPr>
        <w:spacing w:line="360" w:lineRule="auto"/>
        <w:rPr>
          <w:rFonts w:hint="default" w:ascii="宋体" w:cs="宋体"/>
          <w:kern w:val="0"/>
          <w:sz w:val="28"/>
          <w:szCs w:val="28"/>
          <w:lang w:val="en-US" w:eastAsia="zh-CN"/>
        </w:rPr>
      </w:pPr>
      <w:r>
        <w:drawing>
          <wp:inline distT="0" distB="0" distL="114300" distR="114300">
            <wp:extent cx="5759450" cy="1075690"/>
            <wp:effectExtent l="0" t="0" r="12700" b="10160"/>
            <wp:docPr id="11"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7"/>
                    <pic:cNvPicPr>
                      <a:picLocks noChangeAspect="1"/>
                    </pic:cNvPicPr>
                  </pic:nvPicPr>
                  <pic:blipFill>
                    <a:blip r:embed="rId20"/>
                    <a:stretch>
                      <a:fillRect/>
                    </a:stretch>
                  </pic:blipFill>
                  <pic:spPr>
                    <a:xfrm>
                      <a:off x="0" y="0"/>
                      <a:ext cx="5759450" cy="1075690"/>
                    </a:xfrm>
                    <a:prstGeom prst="rect">
                      <a:avLst/>
                    </a:prstGeom>
                    <a:noFill/>
                    <a:ln>
                      <a:noFill/>
                    </a:ln>
                  </pic:spPr>
                </pic:pic>
              </a:graphicData>
            </a:graphic>
          </wp:inline>
        </w:drawing>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10kv见下表：</w:t>
      </w:r>
    </w:p>
    <w:p>
      <w:pPr>
        <w:numPr>
          <w:ilvl w:val="0"/>
          <w:numId w:val="0"/>
        </w:numPr>
        <w:spacing w:line="360" w:lineRule="auto"/>
        <w:rPr>
          <w:rFonts w:hint="default" w:ascii="宋体" w:cs="宋体"/>
          <w:kern w:val="0"/>
          <w:sz w:val="28"/>
          <w:szCs w:val="28"/>
          <w:lang w:val="en-US" w:eastAsia="zh-CN"/>
        </w:rPr>
      </w:pPr>
      <w:r>
        <w:drawing>
          <wp:inline distT="0" distB="0" distL="114300" distR="114300">
            <wp:extent cx="5751195" cy="1140460"/>
            <wp:effectExtent l="0" t="0" r="1905" b="2540"/>
            <wp:docPr id="12"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8"/>
                    <pic:cNvPicPr>
                      <a:picLocks noChangeAspect="1"/>
                    </pic:cNvPicPr>
                  </pic:nvPicPr>
                  <pic:blipFill>
                    <a:blip r:embed="rId21"/>
                    <a:stretch>
                      <a:fillRect/>
                    </a:stretch>
                  </pic:blipFill>
                  <pic:spPr>
                    <a:xfrm>
                      <a:off x="0" y="0"/>
                      <a:ext cx="5751195" cy="1140460"/>
                    </a:xfrm>
                    <a:prstGeom prst="rect">
                      <a:avLst/>
                    </a:prstGeom>
                    <a:noFill/>
                    <a:ln>
                      <a:noFill/>
                    </a:ln>
                  </pic:spPr>
                </pic:pic>
              </a:graphicData>
            </a:graphic>
          </wp:inline>
        </w:drawing>
      </w:r>
    </w:p>
    <w:p>
      <w:pPr>
        <w:numPr>
          <w:ilvl w:val="0"/>
          <w:numId w:val="32"/>
        </w:numPr>
        <w:spacing w:line="360" w:lineRule="auto"/>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整定计算值必须满足设计规范要求。</w:t>
      </w:r>
    </w:p>
    <w:p>
      <w:pPr>
        <w:numPr>
          <w:ilvl w:val="0"/>
          <w:numId w:val="32"/>
        </w:numPr>
        <w:spacing w:line="360" w:lineRule="auto"/>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分段断路器保护测控装置要求：</w:t>
      </w:r>
    </w:p>
    <w:p>
      <w:pPr>
        <w:numPr>
          <w:ilvl w:val="0"/>
          <w:numId w:val="0"/>
        </w:numPr>
        <w:spacing w:line="360" w:lineRule="auto"/>
        <w:ind w:leftChars="0"/>
        <w:rPr>
          <w:rFonts w:hint="default" w:ascii="宋体" w:cs="宋体"/>
          <w:kern w:val="0"/>
          <w:sz w:val="28"/>
          <w:szCs w:val="28"/>
          <w:lang w:val="en-US" w:eastAsia="zh-CN"/>
        </w:rPr>
      </w:pPr>
      <w:r>
        <w:rPr>
          <w:rFonts w:hint="eastAsia" w:ascii="宋体" w:cs="宋体"/>
          <w:kern w:val="0"/>
          <w:sz w:val="28"/>
          <w:szCs w:val="28"/>
          <w:lang w:val="en-US" w:eastAsia="zh-CN"/>
        </w:rPr>
        <w:t>（1）</w:t>
      </w:r>
      <w:r>
        <w:rPr>
          <w:rFonts w:hint="default" w:ascii="宋体" w:cs="宋体"/>
          <w:kern w:val="0"/>
          <w:sz w:val="28"/>
          <w:szCs w:val="28"/>
          <w:lang w:val="en-US" w:eastAsia="zh-CN"/>
        </w:rPr>
        <w:t>复合电压闭锁的二段定时限过流保护</w:t>
      </w:r>
      <w:r>
        <w:rPr>
          <w:rFonts w:hint="eastAsia" w:ascii="宋体" w:cs="宋体"/>
          <w:kern w:val="0"/>
          <w:sz w:val="28"/>
          <w:szCs w:val="28"/>
          <w:lang w:val="en-US" w:eastAsia="zh-CN"/>
        </w:rPr>
        <w:t>；</w:t>
      </w:r>
    </w:p>
    <w:p>
      <w:pPr>
        <w:numPr>
          <w:ilvl w:val="0"/>
          <w:numId w:val="0"/>
        </w:numPr>
        <w:spacing w:line="360" w:lineRule="auto"/>
        <w:ind w:leftChars="0"/>
        <w:rPr>
          <w:rFonts w:hint="default" w:ascii="宋体" w:cs="宋体"/>
          <w:kern w:val="0"/>
          <w:sz w:val="28"/>
          <w:szCs w:val="28"/>
          <w:lang w:val="en-US" w:eastAsia="zh-CN"/>
        </w:rPr>
      </w:pPr>
      <w:r>
        <w:rPr>
          <w:rFonts w:hint="eastAsia" w:ascii="宋体" w:cs="宋体"/>
          <w:kern w:val="0"/>
          <w:sz w:val="28"/>
          <w:szCs w:val="28"/>
          <w:lang w:val="en-US" w:eastAsia="zh-CN"/>
        </w:rPr>
        <w:t>（2）</w:t>
      </w:r>
      <w:r>
        <w:rPr>
          <w:rFonts w:hint="default" w:ascii="宋体" w:cs="宋体"/>
          <w:kern w:val="0"/>
          <w:sz w:val="28"/>
          <w:szCs w:val="28"/>
          <w:lang w:val="en-US" w:eastAsia="zh-CN"/>
        </w:rPr>
        <w:t>一段零序过流保护</w:t>
      </w:r>
      <w:r>
        <w:rPr>
          <w:rFonts w:hint="eastAsia" w:ascii="宋体" w:cs="宋体"/>
          <w:kern w:val="0"/>
          <w:sz w:val="28"/>
          <w:szCs w:val="28"/>
          <w:lang w:val="en-US" w:eastAsia="zh-CN"/>
        </w:rPr>
        <w:t>；</w:t>
      </w:r>
    </w:p>
    <w:p>
      <w:pPr>
        <w:numPr>
          <w:ilvl w:val="0"/>
          <w:numId w:val="0"/>
        </w:numPr>
        <w:spacing w:line="360" w:lineRule="auto"/>
        <w:ind w:leftChars="0"/>
        <w:rPr>
          <w:rFonts w:hint="eastAsia" w:ascii="宋体" w:cs="宋体"/>
          <w:kern w:val="0"/>
          <w:sz w:val="28"/>
          <w:szCs w:val="28"/>
          <w:lang w:val="en-US" w:eastAsia="zh-CN"/>
        </w:rPr>
      </w:pPr>
      <w:r>
        <w:rPr>
          <w:rFonts w:hint="eastAsia" w:ascii="宋体" w:cs="宋体"/>
          <w:kern w:val="0"/>
          <w:sz w:val="28"/>
          <w:szCs w:val="28"/>
          <w:lang w:val="en-US" w:eastAsia="zh-CN"/>
        </w:rPr>
        <w:t>（3）</w:t>
      </w:r>
      <w:r>
        <w:rPr>
          <w:rFonts w:hint="default" w:ascii="宋体" w:cs="宋体"/>
          <w:kern w:val="0"/>
          <w:sz w:val="28"/>
          <w:szCs w:val="28"/>
          <w:lang w:val="en-US" w:eastAsia="zh-CN"/>
        </w:rPr>
        <w:t>分段断路器自投</w:t>
      </w:r>
      <w:r>
        <w:rPr>
          <w:rFonts w:hint="eastAsia" w:ascii="宋体" w:cs="宋体"/>
          <w:kern w:val="0"/>
          <w:sz w:val="28"/>
          <w:szCs w:val="28"/>
          <w:lang w:val="en-US" w:eastAsia="zh-CN"/>
        </w:rPr>
        <w:t>；</w:t>
      </w:r>
    </w:p>
    <w:p>
      <w:pPr>
        <w:numPr>
          <w:ilvl w:val="0"/>
          <w:numId w:val="0"/>
        </w:numPr>
        <w:spacing w:line="360" w:lineRule="auto"/>
        <w:ind w:leftChars="0"/>
        <w:rPr>
          <w:rFonts w:hint="eastAsia" w:ascii="宋体" w:cs="宋体"/>
          <w:kern w:val="0"/>
          <w:sz w:val="28"/>
          <w:szCs w:val="28"/>
          <w:lang w:val="en-US" w:eastAsia="zh-CN"/>
        </w:rPr>
      </w:pPr>
      <w:r>
        <w:rPr>
          <w:rFonts w:hint="eastAsia" w:ascii="宋体" w:cs="宋体"/>
          <w:kern w:val="0"/>
          <w:sz w:val="28"/>
          <w:szCs w:val="28"/>
          <w:lang w:val="en-US" w:eastAsia="zh-CN"/>
        </w:rPr>
        <w:t>（4）</w:t>
      </w:r>
      <w:r>
        <w:rPr>
          <w:rFonts w:hint="default" w:ascii="宋体" w:cs="宋体"/>
          <w:kern w:val="0"/>
          <w:sz w:val="28"/>
          <w:szCs w:val="28"/>
          <w:lang w:val="en-US" w:eastAsia="zh-CN"/>
        </w:rPr>
        <w:t>三相一次重合闸</w:t>
      </w:r>
      <w:r>
        <w:rPr>
          <w:rFonts w:hint="eastAsia" w:ascii="宋体" w:cs="宋体"/>
          <w:kern w:val="0"/>
          <w:sz w:val="28"/>
          <w:szCs w:val="28"/>
          <w:lang w:val="en-US" w:eastAsia="zh-CN"/>
        </w:rPr>
        <w:t>；</w:t>
      </w:r>
    </w:p>
    <w:p>
      <w:pPr>
        <w:numPr>
          <w:ilvl w:val="0"/>
          <w:numId w:val="0"/>
        </w:numPr>
        <w:spacing w:line="360" w:lineRule="auto"/>
        <w:ind w:leftChars="0"/>
        <w:rPr>
          <w:rFonts w:hint="default" w:ascii="宋体" w:cs="宋体"/>
          <w:kern w:val="0"/>
          <w:sz w:val="28"/>
          <w:szCs w:val="28"/>
          <w:lang w:val="en-US" w:eastAsia="zh-CN"/>
        </w:rPr>
      </w:pPr>
      <w:r>
        <w:rPr>
          <w:rFonts w:hint="eastAsia" w:ascii="宋体" w:cs="宋体"/>
          <w:kern w:val="0"/>
          <w:sz w:val="28"/>
          <w:szCs w:val="28"/>
          <w:lang w:val="en-US" w:eastAsia="zh-CN"/>
        </w:rPr>
        <w:t>（5）</w:t>
      </w:r>
      <w:r>
        <w:rPr>
          <w:rFonts w:hint="default" w:ascii="宋体" w:cs="宋体"/>
          <w:kern w:val="0"/>
          <w:sz w:val="28"/>
          <w:szCs w:val="28"/>
          <w:lang w:val="en-US" w:eastAsia="zh-CN"/>
        </w:rPr>
        <w:t>合闸后加速保护（零序加速段或可经复压闭锁的过流加速段）</w:t>
      </w:r>
      <w:r>
        <w:rPr>
          <w:rFonts w:hint="eastAsia" w:ascii="宋体" w:cs="宋体"/>
          <w:kern w:val="0"/>
          <w:sz w:val="28"/>
          <w:szCs w:val="28"/>
          <w:lang w:val="en-US" w:eastAsia="zh-CN"/>
        </w:rPr>
        <w:t>；</w:t>
      </w:r>
    </w:p>
    <w:p>
      <w:pPr>
        <w:numPr>
          <w:ilvl w:val="0"/>
          <w:numId w:val="0"/>
        </w:numPr>
        <w:spacing w:line="360" w:lineRule="auto"/>
        <w:ind w:leftChars="0"/>
        <w:rPr>
          <w:rFonts w:hint="default" w:ascii="宋体" w:cs="宋体"/>
          <w:kern w:val="0"/>
          <w:sz w:val="28"/>
          <w:szCs w:val="28"/>
          <w:lang w:val="en-US" w:eastAsia="zh-CN"/>
        </w:rPr>
      </w:pPr>
      <w:r>
        <w:rPr>
          <w:rFonts w:hint="eastAsia" w:ascii="宋体" w:cs="宋体"/>
          <w:kern w:val="0"/>
          <w:sz w:val="28"/>
          <w:szCs w:val="28"/>
          <w:lang w:val="en-US" w:eastAsia="zh-CN"/>
        </w:rPr>
        <w:t>（6）</w:t>
      </w:r>
      <w:r>
        <w:rPr>
          <w:rFonts w:hint="default" w:ascii="宋体" w:cs="宋体"/>
          <w:kern w:val="0"/>
          <w:sz w:val="28"/>
          <w:szCs w:val="28"/>
          <w:lang w:val="en-US" w:eastAsia="zh-CN"/>
        </w:rPr>
        <w:t>独立的操作回路及故障录波</w:t>
      </w:r>
      <w:r>
        <w:rPr>
          <w:rFonts w:hint="eastAsia" w:ascii="宋体" w:cs="宋体"/>
          <w:kern w:val="0"/>
          <w:sz w:val="28"/>
          <w:szCs w:val="28"/>
          <w:lang w:val="en-US" w:eastAsia="zh-CN"/>
        </w:rPr>
        <w:t>；</w:t>
      </w:r>
    </w:p>
    <w:p>
      <w:pPr>
        <w:numPr>
          <w:ilvl w:val="0"/>
          <w:numId w:val="0"/>
        </w:numPr>
        <w:spacing w:line="360" w:lineRule="auto"/>
        <w:ind w:leftChars="0"/>
        <w:rPr>
          <w:rFonts w:hint="eastAsia" w:ascii="宋体" w:cs="宋体"/>
          <w:kern w:val="0"/>
          <w:sz w:val="28"/>
          <w:szCs w:val="28"/>
          <w:lang w:val="en-US" w:eastAsia="zh-CN"/>
        </w:rPr>
      </w:pPr>
      <w:r>
        <w:rPr>
          <w:rFonts w:hint="eastAsia" w:ascii="宋体" w:cs="宋体"/>
          <w:kern w:val="0"/>
          <w:sz w:val="28"/>
          <w:szCs w:val="28"/>
          <w:lang w:val="en-US" w:eastAsia="zh-CN"/>
        </w:rPr>
        <w:t>（7）装置闭锁和装置告警功能：</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1）当装置检测到本身硬件故障时，发出装置报警信号，同时闭锁整套保护。硬件故障包括</w:t>
      </w:r>
      <w:r>
        <w:rPr>
          <w:rFonts w:hint="eastAsia" w:ascii="宋体" w:cs="宋体"/>
          <w:kern w:val="0"/>
          <w:sz w:val="28"/>
          <w:szCs w:val="28"/>
          <w:lang w:val="en-US" w:eastAsia="zh-CN"/>
        </w:rPr>
        <w:t>：</w:t>
      </w:r>
      <w:r>
        <w:rPr>
          <w:rFonts w:hint="default" w:ascii="宋体" w:cs="宋体"/>
          <w:kern w:val="0"/>
          <w:sz w:val="28"/>
          <w:szCs w:val="28"/>
          <w:lang w:val="en-US" w:eastAsia="zh-CN"/>
        </w:rPr>
        <w:t>RAM 出错，EPROM出错、定值出错、电源故障。</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2）当装置检测出如下问题，发出运行异常报警信号;</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a）跳闸位置继电器异常;</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b）分段断路器电流不平衡（报电流互感器异常）;</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c） Ⅰ、Ⅱ段母线电压互感器断线;</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d）控制回路断线;</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e）弹簧未储能;</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f）频率异常。</w:t>
      </w:r>
    </w:p>
    <w:p>
      <w:pPr>
        <w:numPr>
          <w:ilvl w:val="0"/>
          <w:numId w:val="0"/>
        </w:numPr>
        <w:spacing w:line="360" w:lineRule="auto"/>
        <w:ind w:leftChars="0"/>
        <w:rPr>
          <w:rFonts w:hint="eastAsia" w:ascii="宋体" w:cs="宋体"/>
          <w:kern w:val="0"/>
          <w:sz w:val="28"/>
          <w:szCs w:val="28"/>
          <w:lang w:val="en-US" w:eastAsia="zh-CN"/>
        </w:rPr>
      </w:pPr>
      <w:r>
        <w:rPr>
          <w:rFonts w:hint="eastAsia" w:ascii="宋体" w:cs="宋体"/>
          <w:kern w:val="0"/>
          <w:sz w:val="28"/>
          <w:szCs w:val="28"/>
          <w:lang w:val="en-US" w:eastAsia="zh-CN"/>
        </w:rPr>
        <w:t>（8）分段断路器测控功能：</w:t>
      </w:r>
    </w:p>
    <w:p>
      <w:pPr>
        <w:numPr>
          <w:ilvl w:val="0"/>
          <w:numId w:val="0"/>
        </w:numPr>
        <w:spacing w:line="360" w:lineRule="auto"/>
        <w:ind w:leftChars="0"/>
        <w:rPr>
          <w:rFonts w:hint="eastAsia" w:ascii="宋体" w:cs="宋体"/>
          <w:kern w:val="0"/>
          <w:sz w:val="28"/>
          <w:szCs w:val="28"/>
          <w:lang w:val="en-US" w:eastAsia="zh-CN"/>
        </w:rPr>
      </w:pPr>
      <w:r>
        <w:rPr>
          <w:rFonts w:hint="eastAsia" w:ascii="宋体" w:cs="宋体"/>
          <w:kern w:val="0"/>
          <w:sz w:val="28"/>
          <w:szCs w:val="28"/>
          <w:lang w:val="en-US" w:eastAsia="zh-CN"/>
        </w:rPr>
        <w:t>1）遥控功能：正常遥控跳闸操作，正常遥控合闸操作。</w:t>
      </w:r>
    </w:p>
    <w:p>
      <w:pPr>
        <w:numPr>
          <w:ilvl w:val="0"/>
          <w:numId w:val="0"/>
        </w:numPr>
        <w:spacing w:line="360" w:lineRule="auto"/>
        <w:ind w:leftChars="0"/>
        <w:rPr>
          <w:rFonts w:hint="eastAsia" w:ascii="宋体" w:cs="宋体"/>
          <w:kern w:val="0"/>
          <w:sz w:val="28"/>
          <w:szCs w:val="28"/>
          <w:lang w:val="en-US" w:eastAsia="zh-CN"/>
        </w:rPr>
      </w:pPr>
      <w:r>
        <w:rPr>
          <w:rFonts w:hint="eastAsia" w:ascii="宋体" w:cs="宋体"/>
          <w:kern w:val="0"/>
          <w:sz w:val="28"/>
          <w:szCs w:val="28"/>
          <w:lang w:val="en-US" w:eastAsia="zh-CN"/>
        </w:rPr>
        <w:t>2）遥测功能：电流，功率因数，有功、无功功率和有功、无功电度遥测。这些量都在当地实时计算，实时累加，计算不依赖于网络。</w:t>
      </w:r>
    </w:p>
    <w:p>
      <w:pPr>
        <w:numPr>
          <w:ilvl w:val="0"/>
          <w:numId w:val="0"/>
        </w:numPr>
        <w:spacing w:line="360" w:lineRule="auto"/>
        <w:ind w:leftChars="0"/>
        <w:rPr>
          <w:rFonts w:hint="eastAsia" w:ascii="宋体" w:cs="宋体"/>
          <w:kern w:val="0"/>
          <w:sz w:val="28"/>
          <w:szCs w:val="28"/>
          <w:lang w:val="en-US" w:eastAsia="zh-CN"/>
        </w:rPr>
      </w:pPr>
      <w:r>
        <w:rPr>
          <w:rFonts w:hint="eastAsia" w:ascii="宋体" w:cs="宋体"/>
          <w:kern w:val="0"/>
          <w:sz w:val="28"/>
          <w:szCs w:val="28"/>
          <w:lang w:val="en-US" w:eastAsia="zh-CN"/>
        </w:rPr>
        <w:t>3）遥信功能：遥信开入，装置变位遥信及事故遥信，并做事件顺序记录</w:t>
      </w:r>
    </w:p>
    <w:p>
      <w:pPr>
        <w:pStyle w:val="2"/>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（9）微机保护装置应具备通信网络对时和卫星时钟对时功能。</w:t>
      </w:r>
    </w:p>
    <w:p>
      <w:pPr>
        <w:pStyle w:val="2"/>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 xml:space="preserve">（10）双母线接线的差动保护应设有大差元件和小差元件；大差用于判别母线区内和区外故障，小差用于故障母线的选择。 </w:t>
      </w:r>
    </w:p>
    <w:p>
      <w:pPr>
        <w:spacing w:line="360" w:lineRule="auto"/>
        <w:outlineLvl w:val="2"/>
        <w:rPr>
          <w:rFonts w:hint="default" w:ascii="Times New Roman" w:hAnsi="Times New Roman" w:eastAsia="宋体" w:cs="Times New Roman"/>
          <w:b/>
          <w:kern w:val="0"/>
          <w:sz w:val="28"/>
          <w:szCs w:val="21"/>
          <w:lang w:val="en-US" w:eastAsia="zh-CN" w:bidi="ar-SA"/>
        </w:rPr>
      </w:pPr>
      <w:bookmarkStart w:id="175" w:name="_Toc25393"/>
      <w:r>
        <w:rPr>
          <w:rFonts w:hint="eastAsia" w:ascii="Times New Roman" w:hAnsi="Times New Roman" w:eastAsia="宋体" w:cs="Times New Roman"/>
          <w:b/>
          <w:kern w:val="0"/>
          <w:sz w:val="28"/>
          <w:szCs w:val="21"/>
          <w:lang w:val="en-US" w:eastAsia="zh-CN" w:bidi="ar-SA"/>
        </w:rPr>
        <w:t>2.</w:t>
      </w:r>
      <w:r>
        <w:rPr>
          <w:rFonts w:hint="eastAsia" w:cs="Times New Roman"/>
          <w:b/>
          <w:kern w:val="0"/>
          <w:sz w:val="28"/>
          <w:szCs w:val="21"/>
          <w:lang w:val="en-US" w:eastAsia="zh-CN" w:bidi="ar-SA"/>
        </w:rPr>
        <w:t>4</w:t>
      </w:r>
      <w:r>
        <w:rPr>
          <w:rFonts w:hint="eastAsia" w:ascii="Times New Roman" w:hAnsi="Times New Roman" w:eastAsia="宋体" w:cs="Times New Roman"/>
          <w:b/>
          <w:kern w:val="0"/>
          <w:sz w:val="28"/>
          <w:szCs w:val="21"/>
          <w:lang w:val="en-US" w:eastAsia="zh-CN" w:bidi="ar-SA"/>
        </w:rPr>
        <w:t>.</w:t>
      </w:r>
      <w:r>
        <w:rPr>
          <w:rFonts w:hint="eastAsia" w:cs="Times New Roman"/>
          <w:b/>
          <w:kern w:val="0"/>
          <w:sz w:val="28"/>
          <w:szCs w:val="21"/>
          <w:lang w:val="en-US" w:eastAsia="zh-CN" w:bidi="ar-SA"/>
        </w:rPr>
        <w:t>6 10kv</w:t>
      </w:r>
      <w:r>
        <w:rPr>
          <w:rFonts w:hint="eastAsia" w:ascii="Times New Roman" w:hAnsi="Times New Roman" w:eastAsia="宋体" w:cs="Times New Roman"/>
          <w:b/>
          <w:kern w:val="0"/>
          <w:sz w:val="28"/>
          <w:szCs w:val="21"/>
          <w:lang w:val="en-US" w:eastAsia="zh-CN" w:bidi="ar-SA"/>
        </w:rPr>
        <w:t>电力电容器的保护</w:t>
      </w:r>
      <w:bookmarkEnd w:id="175"/>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1、电力电容器根据规范要求应装设的保护装置</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（1）10kV及以上的并联补偿电容器组的下列故障及异常运行状态，应装设相应的保护：</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1）电容器内部故障及其引出线短路；</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2）电容器组和断路器之间连接线短路；</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3）电容器组中某一故障电容器切除后所引起的剩余电容器的过电压；</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4）电容器组的单相接地故障；</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5）电容器组过电压；</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6）电容器组所连接的母线失压；</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7）中性点不接地的电容器组，各组对中性点的单相短路。</w:t>
      </w:r>
    </w:p>
    <w:p>
      <w:pPr>
        <w:numPr>
          <w:ilvl w:val="0"/>
          <w:numId w:val="0"/>
        </w:numPr>
        <w:spacing w:line="360" w:lineRule="auto"/>
        <w:rPr>
          <w:rFonts w:hint="eastAsia" w:ascii="宋体" w:cs="宋体"/>
          <w:kern w:val="0"/>
          <w:sz w:val="28"/>
          <w:szCs w:val="28"/>
          <w:lang w:val="en-US" w:eastAsia="zh-CN"/>
        </w:rPr>
      </w:pPr>
      <w:r>
        <w:rPr>
          <w:rFonts w:hint="default" w:ascii="宋体" w:cs="宋体"/>
          <w:kern w:val="0"/>
          <w:sz w:val="28"/>
          <w:szCs w:val="28"/>
          <w:lang w:val="en-US" w:eastAsia="zh-CN"/>
        </w:rPr>
        <w:t>（2）并联补偿电容器组应装设相应的保护，并应符合下列规定</w:t>
      </w:r>
      <w:r>
        <w:rPr>
          <w:rFonts w:hint="eastAsia" w:ascii="宋体" w:cs="宋体"/>
          <w:kern w:val="0"/>
          <w:sz w:val="28"/>
          <w:szCs w:val="28"/>
          <w:lang w:val="en-US" w:eastAsia="zh-CN"/>
        </w:rPr>
        <w:t>；</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1） 电容器组和断路器之间连接线的短路，可装设带有短时限的电流速断和过电流保护。并应动作于跳闸。速断保护的动作电流，应按最小运行方式下，电容器端部弓|线发生两相短路时有足够的灵敏度，保护的动作时限应确保电容器充电产生涌流时不误动。过电流保护装置的动作电流，应按躲过电容器组长期允许的最大工作电流整定。</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2）电容器内部故障及其引出线的短路，宜对每台电容器分别装设专用的熔断器。熔丝的额定电流可为电容器额定电流的1.5～2.0倍。</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3）当电容器组中故障电容器切除到一定数量后，引起剩余电容器端电压超过 1</w:t>
      </w:r>
      <w:r>
        <w:rPr>
          <w:rFonts w:hint="eastAsia" w:ascii="宋体" w:cs="宋体"/>
          <w:kern w:val="0"/>
          <w:sz w:val="28"/>
          <w:szCs w:val="28"/>
          <w:lang w:val="en-US" w:eastAsia="zh-CN"/>
        </w:rPr>
        <w:t>05%额</w:t>
      </w:r>
      <w:r>
        <w:rPr>
          <w:rFonts w:hint="default" w:ascii="宋体" w:cs="宋体"/>
          <w:kern w:val="0"/>
          <w:sz w:val="28"/>
          <w:szCs w:val="28"/>
          <w:lang w:val="en-US" w:eastAsia="zh-CN"/>
        </w:rPr>
        <w:t>定电压时，保护应带时限动作干信号</w:t>
      </w:r>
      <w:r>
        <w:rPr>
          <w:rFonts w:hint="eastAsia" w:ascii="宋体" w:cs="宋体"/>
          <w:kern w:val="0"/>
          <w:sz w:val="28"/>
          <w:szCs w:val="28"/>
          <w:lang w:val="en-US" w:eastAsia="zh-CN"/>
        </w:rPr>
        <w:t>；</w:t>
      </w:r>
      <w:r>
        <w:rPr>
          <w:rFonts w:hint="default" w:ascii="宋体" w:cs="宋体"/>
          <w:kern w:val="0"/>
          <w:sz w:val="28"/>
          <w:szCs w:val="28"/>
          <w:lang w:val="en-US" w:eastAsia="zh-CN"/>
        </w:rPr>
        <w:t>过电压超过110</w:t>
      </w:r>
      <w:r>
        <w:rPr>
          <w:rFonts w:hint="eastAsia" w:ascii="宋体" w:cs="宋体"/>
          <w:kern w:val="0"/>
          <w:sz w:val="28"/>
          <w:szCs w:val="28"/>
          <w:lang w:val="en-US" w:eastAsia="zh-CN"/>
        </w:rPr>
        <w:t>%额</w:t>
      </w:r>
      <w:r>
        <w:rPr>
          <w:rFonts w:hint="default" w:ascii="宋体" w:cs="宋体"/>
          <w:kern w:val="0"/>
          <w:sz w:val="28"/>
          <w:szCs w:val="28"/>
          <w:lang w:val="en-US" w:eastAsia="zh-CN"/>
        </w:rPr>
        <w:t>定电压时，保护应将整组电容器断开，对不同接线的电容器组，可采用下列保护之一</w:t>
      </w:r>
      <w:r>
        <w:rPr>
          <w:rFonts w:hint="eastAsia" w:ascii="宋体" w:cs="宋体"/>
          <w:kern w:val="0"/>
          <w:sz w:val="28"/>
          <w:szCs w:val="28"/>
          <w:lang w:val="en-US" w:eastAsia="zh-CN"/>
        </w:rPr>
        <w:t>：</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a）中性点不接地单星形接线的电容器组，可装设中性点电压不平衡保护;</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b）中性点不接地双星形接线的电容器组，可装设中性点间电流或电压不平衡保护;</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c）多段串联单星形接线的电容器组，可装设段间电压差动或桥式差电流保护。</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4）不平衡保护应带有短延时的防误动的措施</w:t>
      </w:r>
    </w:p>
    <w:p>
      <w:pPr>
        <w:numPr>
          <w:ilvl w:val="0"/>
          <w:numId w:val="0"/>
        </w:numPr>
        <w:spacing w:line="360" w:lineRule="auto"/>
        <w:rPr>
          <w:rFonts w:hint="eastAsia" w:ascii="宋体" w:cs="宋体"/>
          <w:kern w:val="0"/>
          <w:sz w:val="28"/>
          <w:szCs w:val="28"/>
          <w:lang w:val="en-US" w:eastAsia="zh-CN"/>
        </w:rPr>
      </w:pPr>
      <w:r>
        <w:rPr>
          <w:rFonts w:hint="default" w:ascii="宋体" w:cs="宋体"/>
          <w:kern w:val="0"/>
          <w:sz w:val="28"/>
          <w:szCs w:val="28"/>
          <w:lang w:val="en-US" w:eastAsia="zh-CN"/>
        </w:rPr>
        <w:t>（3）电容器组单相接地故障，可利用电容器组所连接母线上的绝缘监察装置检出</w:t>
      </w:r>
      <w:r>
        <w:rPr>
          <w:rFonts w:hint="eastAsia" w:ascii="宋体" w:cs="宋体"/>
          <w:kern w:val="0"/>
          <w:sz w:val="28"/>
          <w:szCs w:val="28"/>
          <w:lang w:val="en-US" w:eastAsia="zh-CN"/>
        </w:rPr>
        <w:t>；</w:t>
      </w:r>
      <w:r>
        <w:rPr>
          <w:rFonts w:hint="default" w:ascii="宋体" w:cs="宋体"/>
          <w:kern w:val="0"/>
          <w:sz w:val="28"/>
          <w:szCs w:val="28"/>
          <w:lang w:val="en-US" w:eastAsia="zh-CN"/>
        </w:rPr>
        <w:t>当电容器组所连接母线有引出线路时，可装设有选择性的接地保护，并应动作于信号;必要时，保护应动作于跳闸。安装在绝缘支架上的电容器组，可不再装设单相接地保护</w:t>
      </w:r>
      <w:r>
        <w:rPr>
          <w:rFonts w:hint="eastAsia" w:ascii="宋体" w:cs="宋体"/>
          <w:kern w:val="0"/>
          <w:sz w:val="28"/>
          <w:szCs w:val="28"/>
          <w:lang w:val="en-US" w:eastAsia="zh-CN"/>
        </w:rPr>
        <w:t>。</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（4）电容器组应装设过电压保护，并应带时限动作于信号或跳闸。</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（5）电容器组应装设失压保护，当母线失压时，应带时限跳开所有接于母线上的电容器。</w:t>
      </w:r>
    </w:p>
    <w:p>
      <w:pPr>
        <w:numPr>
          <w:ilvl w:val="0"/>
          <w:numId w:val="0"/>
        </w:numPr>
        <w:spacing w:line="360" w:lineRule="auto"/>
        <w:rPr>
          <w:rFonts w:hint="eastAsia" w:ascii="宋体" w:cs="宋体"/>
          <w:kern w:val="0"/>
          <w:sz w:val="28"/>
          <w:szCs w:val="28"/>
          <w:lang w:val="en-US" w:eastAsia="zh-CN"/>
        </w:rPr>
      </w:pPr>
      <w:r>
        <w:rPr>
          <w:rFonts w:hint="default" w:ascii="宋体" w:cs="宋体"/>
          <w:kern w:val="0"/>
          <w:sz w:val="28"/>
          <w:szCs w:val="28"/>
          <w:lang w:val="en-US" w:eastAsia="zh-CN"/>
        </w:rPr>
        <w:t>（6）电网中出现的高次谐波可能导致电容器过负荷时，电容器组宜装设过负荷保护，并应带时限动作于信号或跳闸</w:t>
      </w:r>
      <w:r>
        <w:rPr>
          <w:rFonts w:hint="eastAsia" w:ascii="宋体" w:cs="宋体"/>
          <w:kern w:val="0"/>
          <w:sz w:val="28"/>
          <w:szCs w:val="28"/>
          <w:lang w:val="en-US" w:eastAsia="zh-CN"/>
        </w:rPr>
        <w:t>。</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2、电容器的继电保护配置见下表：</w:t>
      </w:r>
    </w:p>
    <w:p>
      <w:pPr>
        <w:numPr>
          <w:ilvl w:val="0"/>
          <w:numId w:val="0"/>
        </w:numPr>
        <w:spacing w:line="360" w:lineRule="auto"/>
        <w:rPr>
          <w:rFonts w:hint="eastAsia" w:ascii="宋体" w:cs="宋体"/>
          <w:kern w:val="0"/>
          <w:sz w:val="28"/>
          <w:szCs w:val="28"/>
          <w:lang w:val="en-US" w:eastAsia="zh-CN"/>
        </w:rPr>
      </w:pPr>
      <w:r>
        <w:drawing>
          <wp:inline distT="0" distB="0" distL="114300" distR="114300">
            <wp:extent cx="5755005" cy="1482725"/>
            <wp:effectExtent l="0" t="0" r="17145" b="3175"/>
            <wp:docPr id="13"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9"/>
                    <pic:cNvPicPr>
                      <a:picLocks noChangeAspect="1"/>
                    </pic:cNvPicPr>
                  </pic:nvPicPr>
                  <pic:blipFill>
                    <a:blip r:embed="rId22"/>
                    <a:stretch>
                      <a:fillRect/>
                    </a:stretch>
                  </pic:blipFill>
                  <pic:spPr>
                    <a:xfrm>
                      <a:off x="0" y="0"/>
                      <a:ext cx="5755005" cy="1482725"/>
                    </a:xfrm>
                    <a:prstGeom prst="rect">
                      <a:avLst/>
                    </a:prstGeom>
                    <a:noFill/>
                    <a:ln>
                      <a:noFill/>
                    </a:ln>
                  </pic:spPr>
                </pic:pic>
              </a:graphicData>
            </a:graphic>
          </wp:inline>
        </w:drawing>
      </w:r>
    </w:p>
    <w:p>
      <w:pPr>
        <w:numPr>
          <w:ilvl w:val="0"/>
          <w:numId w:val="0"/>
        </w:numPr>
        <w:spacing w:line="360" w:lineRule="auto"/>
        <w:ind w:leftChars="0"/>
        <w:rPr>
          <w:rFonts w:hint="eastAsia" w:ascii="宋体" w:cs="宋体"/>
          <w:kern w:val="0"/>
          <w:sz w:val="28"/>
          <w:szCs w:val="28"/>
          <w:lang w:val="en-US" w:eastAsia="zh-CN"/>
        </w:rPr>
      </w:pPr>
      <w:r>
        <w:rPr>
          <w:rFonts w:hint="eastAsia" w:ascii="宋体" w:cs="宋体"/>
          <w:kern w:val="0"/>
          <w:sz w:val="28"/>
          <w:szCs w:val="28"/>
          <w:lang w:val="en-US" w:eastAsia="zh-CN"/>
        </w:rPr>
        <w:t>3、整定值计算必须符合设计规范。</w:t>
      </w:r>
    </w:p>
    <w:p>
      <w:pPr>
        <w:numPr>
          <w:ilvl w:val="0"/>
          <w:numId w:val="0"/>
        </w:numPr>
        <w:spacing w:line="360" w:lineRule="auto"/>
        <w:ind w:leftChars="0"/>
        <w:rPr>
          <w:rFonts w:hint="eastAsia" w:ascii="宋体" w:cs="宋体"/>
          <w:kern w:val="0"/>
          <w:sz w:val="28"/>
          <w:szCs w:val="28"/>
          <w:lang w:val="en-US" w:eastAsia="zh-CN"/>
        </w:rPr>
      </w:pPr>
      <w:r>
        <w:rPr>
          <w:rFonts w:hint="eastAsia" w:ascii="宋体" w:cs="宋体"/>
          <w:kern w:val="0"/>
          <w:sz w:val="28"/>
          <w:szCs w:val="28"/>
          <w:lang w:val="en-US" w:eastAsia="zh-CN"/>
        </w:rPr>
        <w:t>4、电容器保护测控装置要求：</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（1）电容器保护功能∶</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1）三段定时限过流保护（其中第三段可整定为反时限段）或二段定时限过流保护</w:t>
      </w:r>
      <w:r>
        <w:rPr>
          <w:rFonts w:hint="eastAsia" w:ascii="宋体" w:cs="宋体"/>
          <w:kern w:val="0"/>
          <w:sz w:val="28"/>
          <w:szCs w:val="28"/>
          <w:lang w:val="en-US" w:eastAsia="zh-CN"/>
        </w:rPr>
        <w:t>；</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2）过电压保护</w:t>
      </w:r>
      <w:r>
        <w:rPr>
          <w:rFonts w:hint="eastAsia" w:ascii="宋体" w:cs="宋体"/>
          <w:kern w:val="0"/>
          <w:sz w:val="28"/>
          <w:szCs w:val="28"/>
          <w:lang w:val="en-US" w:eastAsia="zh-CN"/>
        </w:rPr>
        <w:t>；</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3）低电压保护</w:t>
      </w:r>
      <w:r>
        <w:rPr>
          <w:rFonts w:hint="eastAsia" w:ascii="宋体" w:cs="宋体"/>
          <w:kern w:val="0"/>
          <w:sz w:val="28"/>
          <w:szCs w:val="28"/>
          <w:lang w:val="en-US" w:eastAsia="zh-CN"/>
        </w:rPr>
        <w:t>；</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4）不平衡电压（零序电压）保护</w:t>
      </w:r>
      <w:r>
        <w:rPr>
          <w:rFonts w:hint="eastAsia" w:ascii="宋体" w:cs="宋体"/>
          <w:kern w:val="0"/>
          <w:sz w:val="28"/>
          <w:szCs w:val="28"/>
          <w:lang w:val="en-US" w:eastAsia="zh-CN"/>
        </w:rPr>
        <w:t>；</w:t>
      </w:r>
    </w:p>
    <w:p>
      <w:pPr>
        <w:numPr>
          <w:ilvl w:val="0"/>
          <w:numId w:val="0"/>
        </w:numPr>
        <w:spacing w:line="360" w:lineRule="auto"/>
        <w:ind w:leftChars="0"/>
        <w:rPr>
          <w:rFonts w:hint="eastAsia" w:ascii="宋体" w:cs="宋体"/>
          <w:kern w:val="0"/>
          <w:sz w:val="28"/>
          <w:szCs w:val="28"/>
          <w:lang w:val="en-US" w:eastAsia="zh-CN"/>
        </w:rPr>
      </w:pPr>
      <w:r>
        <w:rPr>
          <w:rFonts w:hint="default" w:ascii="宋体" w:cs="宋体"/>
          <w:kern w:val="0"/>
          <w:sz w:val="28"/>
          <w:szCs w:val="28"/>
          <w:lang w:val="en-US" w:eastAsia="zh-CN"/>
        </w:rPr>
        <w:t>5）不平衡电流（零序电流）保护</w:t>
      </w:r>
      <w:r>
        <w:rPr>
          <w:rFonts w:hint="eastAsia" w:ascii="宋体" w:cs="宋体"/>
          <w:kern w:val="0"/>
          <w:sz w:val="28"/>
          <w:szCs w:val="28"/>
          <w:lang w:val="en-US" w:eastAsia="zh-CN"/>
        </w:rPr>
        <w:t>；</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6）桥差电流保护</w:t>
      </w:r>
      <w:r>
        <w:rPr>
          <w:rFonts w:hint="eastAsia" w:ascii="宋体" w:cs="宋体"/>
          <w:kern w:val="0"/>
          <w:sz w:val="28"/>
          <w:szCs w:val="28"/>
          <w:lang w:val="en-US" w:eastAsia="zh-CN"/>
        </w:rPr>
        <w:t>；</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7）差电压保护</w:t>
      </w:r>
      <w:r>
        <w:rPr>
          <w:rFonts w:hint="eastAsia" w:ascii="宋体" w:cs="宋体"/>
          <w:kern w:val="0"/>
          <w:sz w:val="28"/>
          <w:szCs w:val="28"/>
          <w:lang w:val="en-US" w:eastAsia="zh-CN"/>
        </w:rPr>
        <w:t>；</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8）零序过流保护/非有效接地选线</w:t>
      </w:r>
      <w:r>
        <w:rPr>
          <w:rFonts w:hint="eastAsia" w:ascii="宋体" w:cs="宋体"/>
          <w:kern w:val="0"/>
          <w:sz w:val="28"/>
          <w:szCs w:val="28"/>
          <w:lang w:val="en-US" w:eastAsia="zh-CN"/>
        </w:rPr>
        <w:t>；</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9）非电量保护（瓦斯、温度）</w:t>
      </w:r>
      <w:r>
        <w:rPr>
          <w:rFonts w:hint="eastAsia" w:ascii="宋体" w:cs="宋体"/>
          <w:kern w:val="0"/>
          <w:sz w:val="28"/>
          <w:szCs w:val="28"/>
          <w:lang w:val="en-US" w:eastAsia="zh-CN"/>
        </w:rPr>
        <w:t>；</w:t>
      </w:r>
    </w:p>
    <w:p>
      <w:pPr>
        <w:numPr>
          <w:ilvl w:val="0"/>
          <w:numId w:val="0"/>
        </w:numPr>
        <w:spacing w:line="360" w:lineRule="auto"/>
        <w:ind w:leftChars="0"/>
        <w:rPr>
          <w:rFonts w:hint="eastAsia" w:ascii="宋体" w:cs="宋体"/>
          <w:kern w:val="0"/>
          <w:sz w:val="28"/>
          <w:szCs w:val="28"/>
          <w:lang w:val="en-US" w:eastAsia="zh-CN"/>
        </w:rPr>
      </w:pPr>
      <w:r>
        <w:rPr>
          <w:rFonts w:hint="default" w:ascii="宋体" w:cs="宋体"/>
          <w:kern w:val="0"/>
          <w:sz w:val="28"/>
          <w:szCs w:val="28"/>
          <w:lang w:val="en-US" w:eastAsia="zh-CN"/>
        </w:rPr>
        <w:t>10）自动投切功能</w:t>
      </w:r>
      <w:r>
        <w:rPr>
          <w:rFonts w:hint="eastAsia" w:ascii="宋体" w:cs="宋体"/>
          <w:kern w:val="0"/>
          <w:sz w:val="28"/>
          <w:szCs w:val="28"/>
          <w:lang w:val="en-US" w:eastAsia="zh-CN"/>
        </w:rPr>
        <w:t>；</w:t>
      </w:r>
    </w:p>
    <w:p>
      <w:pPr>
        <w:numPr>
          <w:ilvl w:val="0"/>
          <w:numId w:val="0"/>
        </w:numPr>
        <w:spacing w:line="360" w:lineRule="auto"/>
        <w:ind w:leftChars="0"/>
        <w:rPr>
          <w:rFonts w:hint="eastAsia" w:ascii="宋体" w:cs="宋体"/>
          <w:kern w:val="0"/>
          <w:sz w:val="28"/>
          <w:szCs w:val="28"/>
          <w:lang w:val="en-US" w:eastAsia="zh-CN"/>
        </w:rPr>
      </w:pPr>
      <w:r>
        <w:rPr>
          <w:rFonts w:hint="default" w:ascii="宋体" w:cs="宋体"/>
          <w:kern w:val="0"/>
          <w:sz w:val="28"/>
          <w:szCs w:val="28"/>
          <w:lang w:val="en-US" w:eastAsia="zh-CN"/>
        </w:rPr>
        <w:t>11）独立的操作回路及故障录波</w:t>
      </w:r>
      <w:r>
        <w:rPr>
          <w:rFonts w:hint="eastAsia" w:ascii="宋体" w:cs="宋体"/>
          <w:kern w:val="0"/>
          <w:sz w:val="28"/>
          <w:szCs w:val="28"/>
          <w:lang w:val="en-US" w:eastAsia="zh-CN"/>
        </w:rPr>
        <w:t>。</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（2）电容器测控功能∶</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1）遥控功能</w:t>
      </w:r>
      <w:r>
        <w:rPr>
          <w:rFonts w:hint="eastAsia" w:ascii="宋体" w:cs="宋体"/>
          <w:kern w:val="0"/>
          <w:sz w:val="28"/>
          <w:szCs w:val="28"/>
          <w:lang w:val="en-US" w:eastAsia="zh-CN"/>
        </w:rPr>
        <w:t>：</w:t>
      </w:r>
      <w:r>
        <w:rPr>
          <w:rFonts w:hint="default" w:ascii="宋体" w:cs="宋体"/>
          <w:kern w:val="0"/>
          <w:sz w:val="28"/>
          <w:szCs w:val="28"/>
          <w:lang w:val="en-US" w:eastAsia="zh-CN"/>
        </w:rPr>
        <w:t>正常遥控跳闸操作，正常遥控合闸操作，接地选线遥控跳闸;</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2）遥测功能</w:t>
      </w:r>
      <w:r>
        <w:rPr>
          <w:rFonts w:hint="eastAsia" w:ascii="宋体" w:cs="宋体"/>
          <w:kern w:val="0"/>
          <w:sz w:val="28"/>
          <w:szCs w:val="28"/>
          <w:lang w:val="en-US" w:eastAsia="zh-CN"/>
        </w:rPr>
        <w:t>：</w:t>
      </w:r>
      <w:r>
        <w:rPr>
          <w:rFonts w:hint="default" w:ascii="宋体" w:cs="宋体"/>
          <w:kern w:val="0"/>
          <w:sz w:val="28"/>
          <w:szCs w:val="28"/>
          <w:lang w:val="en-US" w:eastAsia="zh-CN"/>
        </w:rPr>
        <w:t>电流、无功功率、功率因数和无功电度，所有这些量都在当地实时计算，实时累加，计算不依赖于网络;</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3）遥信功能</w:t>
      </w:r>
      <w:r>
        <w:rPr>
          <w:rFonts w:hint="eastAsia" w:ascii="宋体" w:cs="宋体"/>
          <w:kern w:val="0"/>
          <w:sz w:val="28"/>
          <w:szCs w:val="28"/>
          <w:lang w:val="en-US" w:eastAsia="zh-CN"/>
        </w:rPr>
        <w:t>：</w:t>
      </w:r>
      <w:r>
        <w:rPr>
          <w:rFonts w:hint="default" w:ascii="宋体" w:cs="宋体"/>
          <w:kern w:val="0"/>
          <w:sz w:val="28"/>
          <w:szCs w:val="28"/>
          <w:lang w:val="en-US" w:eastAsia="zh-CN"/>
        </w:rPr>
        <w:t>遥信开入采集，装置变位遥信及事故遥信，并做事件顺序记录。</w:t>
      </w:r>
    </w:p>
    <w:p>
      <w:pPr>
        <w:spacing w:line="360" w:lineRule="auto"/>
        <w:outlineLvl w:val="2"/>
        <w:rPr>
          <w:rFonts w:hint="eastAsia" w:ascii="Times New Roman" w:hAnsi="Times New Roman" w:eastAsia="宋体" w:cs="Times New Roman"/>
          <w:b/>
          <w:kern w:val="0"/>
          <w:sz w:val="28"/>
          <w:szCs w:val="21"/>
          <w:lang w:val="en-US" w:eastAsia="zh-CN" w:bidi="ar-SA"/>
        </w:rPr>
      </w:pPr>
      <w:bookmarkStart w:id="176" w:name="_Toc3756"/>
      <w:r>
        <w:rPr>
          <w:rFonts w:hint="eastAsia" w:ascii="Times New Roman" w:hAnsi="Times New Roman" w:eastAsia="宋体" w:cs="Times New Roman"/>
          <w:b/>
          <w:kern w:val="0"/>
          <w:sz w:val="28"/>
          <w:szCs w:val="21"/>
          <w:lang w:val="en-US" w:eastAsia="zh-CN" w:bidi="ar-SA"/>
        </w:rPr>
        <w:t>2.</w:t>
      </w:r>
      <w:r>
        <w:rPr>
          <w:rFonts w:hint="eastAsia" w:cs="Times New Roman"/>
          <w:b/>
          <w:kern w:val="0"/>
          <w:sz w:val="28"/>
          <w:szCs w:val="21"/>
          <w:lang w:val="en-US" w:eastAsia="zh-CN" w:bidi="ar-SA"/>
        </w:rPr>
        <w:t>4</w:t>
      </w:r>
      <w:r>
        <w:rPr>
          <w:rFonts w:hint="eastAsia" w:ascii="Times New Roman" w:hAnsi="Times New Roman" w:eastAsia="宋体" w:cs="Times New Roman"/>
          <w:b/>
          <w:kern w:val="0"/>
          <w:sz w:val="28"/>
          <w:szCs w:val="21"/>
          <w:lang w:val="en-US" w:eastAsia="zh-CN" w:bidi="ar-SA"/>
        </w:rPr>
        <w:t>.</w:t>
      </w:r>
      <w:r>
        <w:rPr>
          <w:rFonts w:hint="eastAsia" w:cs="Times New Roman"/>
          <w:b/>
          <w:kern w:val="0"/>
          <w:sz w:val="28"/>
          <w:szCs w:val="21"/>
          <w:lang w:val="en-US" w:eastAsia="zh-CN" w:bidi="ar-SA"/>
        </w:rPr>
        <w:t>7</w:t>
      </w:r>
      <w:r>
        <w:rPr>
          <w:rFonts w:hint="eastAsia" w:ascii="Times New Roman" w:hAnsi="Times New Roman" w:eastAsia="宋体" w:cs="Times New Roman"/>
          <w:b/>
          <w:kern w:val="0"/>
          <w:sz w:val="28"/>
          <w:szCs w:val="21"/>
          <w:lang w:val="en-US" w:eastAsia="zh-CN" w:bidi="ar-SA"/>
        </w:rPr>
        <w:t>接地保护</w:t>
      </w:r>
      <w:bookmarkEnd w:id="176"/>
    </w:p>
    <w:p>
      <w:pPr>
        <w:numPr>
          <w:ilvl w:val="0"/>
          <w:numId w:val="0"/>
        </w:numPr>
        <w:spacing w:line="360" w:lineRule="auto"/>
        <w:rPr>
          <w:rFonts w:hint="default" w:ascii="宋体" w:cs="宋体"/>
          <w:kern w:val="0"/>
          <w:sz w:val="28"/>
          <w:szCs w:val="28"/>
          <w:lang w:val="en-US" w:eastAsia="zh-CN"/>
        </w:rPr>
      </w:pPr>
      <w:r>
        <w:rPr>
          <w:rFonts w:hint="eastAsia" w:ascii="宋体" w:cs="宋体"/>
          <w:kern w:val="0"/>
          <w:sz w:val="28"/>
          <w:szCs w:val="28"/>
          <w:lang w:val="en-US" w:eastAsia="zh-CN"/>
        </w:rPr>
        <w:t>1、10kv接地要求</w:t>
      </w:r>
    </w:p>
    <w:p>
      <w:pPr>
        <w:numPr>
          <w:ilvl w:val="0"/>
          <w:numId w:val="33"/>
        </w:numPr>
        <w:spacing w:line="360" w:lineRule="auto"/>
        <w:ind w:leftChars="0"/>
        <w:rPr>
          <w:rFonts w:hint="default" w:ascii="宋体" w:cs="宋体"/>
          <w:kern w:val="0"/>
          <w:sz w:val="28"/>
          <w:szCs w:val="28"/>
          <w:lang w:val="en-US" w:eastAsia="zh-CN"/>
        </w:rPr>
      </w:pPr>
      <w:r>
        <w:rPr>
          <w:rFonts w:hint="eastAsia" w:ascii="宋体" w:cs="宋体"/>
          <w:kern w:val="0"/>
          <w:sz w:val="28"/>
          <w:szCs w:val="28"/>
          <w:lang w:val="en-US" w:eastAsia="zh-CN"/>
        </w:rPr>
        <w:t>本项目</w:t>
      </w:r>
      <w:r>
        <w:rPr>
          <w:rFonts w:hint="default" w:ascii="宋体" w:cs="宋体"/>
          <w:kern w:val="0"/>
          <w:sz w:val="28"/>
          <w:szCs w:val="28"/>
          <w:lang w:val="en-US" w:eastAsia="zh-CN"/>
        </w:rPr>
        <w:t>变电站应设接地变压器，加装接地电阻。接地变压器与所用变压器</w:t>
      </w:r>
      <w:r>
        <w:rPr>
          <w:rFonts w:hint="eastAsia" w:ascii="宋体" w:cs="宋体"/>
          <w:kern w:val="0"/>
          <w:sz w:val="28"/>
          <w:szCs w:val="28"/>
          <w:lang w:val="en-US" w:eastAsia="zh-CN"/>
        </w:rPr>
        <w:t>应</w:t>
      </w:r>
      <w:r>
        <w:rPr>
          <w:rFonts w:hint="default" w:ascii="宋体" w:cs="宋体"/>
          <w:kern w:val="0"/>
          <w:sz w:val="28"/>
          <w:szCs w:val="28"/>
          <w:lang w:val="en-US" w:eastAsia="zh-CN"/>
        </w:rPr>
        <w:t>分开安装（接地变压器不带其他负荷），接地变压器采用 Z型接线或采用YNd接线的普通变压器。</w:t>
      </w:r>
    </w:p>
    <w:p>
      <w:pPr>
        <w:numPr>
          <w:ilvl w:val="0"/>
          <w:numId w:val="33"/>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架空线路应为绝缘线（或更换为绝缘线），其绝缘水平按有消弧线圈接地方式考虑</w:t>
      </w:r>
      <w:r>
        <w:rPr>
          <w:rFonts w:hint="eastAsia" w:ascii="宋体" w:cs="宋体"/>
          <w:kern w:val="0"/>
          <w:sz w:val="28"/>
          <w:szCs w:val="28"/>
          <w:lang w:val="en-US" w:eastAsia="zh-CN"/>
        </w:rPr>
        <w:t>。</w:t>
      </w:r>
    </w:p>
    <w:p>
      <w:pPr>
        <w:numPr>
          <w:ilvl w:val="0"/>
          <w:numId w:val="33"/>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接地电阻采用不锈钢或复合材料电阻器。其额定电压、额定电流、热稳定时间、电阻值按系统要求确定。</w:t>
      </w:r>
    </w:p>
    <w:p>
      <w:pPr>
        <w:numPr>
          <w:ilvl w:val="0"/>
          <w:numId w:val="33"/>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避雷器采用无间隙氧化锌（ZnO）避雷器。</w:t>
      </w:r>
    </w:p>
    <w:p>
      <w:pPr>
        <w:numPr>
          <w:ilvl w:val="0"/>
          <w:numId w:val="33"/>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10kV馈线采用加装外附零序电流互感器构成的零序回路，配置两段定时限零序保护。Ⅰ段为零序时限速断，Ⅱ段为零序过流保护，其时限同相间过流保护。</w:t>
      </w:r>
      <w:r>
        <w:rPr>
          <w:rFonts w:hint="eastAsia" w:ascii="宋体" w:cs="宋体"/>
          <w:kern w:val="0"/>
          <w:sz w:val="28"/>
          <w:szCs w:val="28"/>
          <w:lang w:val="en-US" w:eastAsia="zh-CN"/>
        </w:rPr>
        <w:t>本</w:t>
      </w:r>
      <w:r>
        <w:rPr>
          <w:rFonts w:hint="default" w:ascii="宋体" w:cs="宋体"/>
          <w:kern w:val="0"/>
          <w:sz w:val="28"/>
          <w:szCs w:val="28"/>
          <w:lang w:val="en-US" w:eastAsia="zh-CN"/>
        </w:rPr>
        <w:t>变电站采用微机型保护装置，加装外附零序回路，投入微机零序时限速断和零序过流保护</w:t>
      </w:r>
      <w:r>
        <w:rPr>
          <w:rFonts w:hint="eastAsia" w:ascii="宋体" w:cs="宋体"/>
          <w:kern w:val="0"/>
          <w:sz w:val="28"/>
          <w:szCs w:val="28"/>
          <w:lang w:val="en-US" w:eastAsia="zh-CN"/>
        </w:rPr>
        <w:t>。</w:t>
      </w:r>
    </w:p>
    <w:p>
      <w:pPr>
        <w:numPr>
          <w:ilvl w:val="0"/>
          <w:numId w:val="33"/>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变电站的10kV接地变压器作为零序保护总后备，配置两段定时限零序保护。</w:t>
      </w:r>
    </w:p>
    <w:p>
      <w:pPr>
        <w:numPr>
          <w:ilvl w:val="0"/>
          <w:numId w:val="33"/>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旁路断路器采用三相</w:t>
      </w:r>
      <w:r>
        <w:rPr>
          <w:rFonts w:hint="eastAsia" w:ascii="宋体" w:cs="宋体"/>
          <w:kern w:val="0"/>
          <w:sz w:val="28"/>
          <w:szCs w:val="28"/>
          <w:lang w:val="en-US" w:eastAsia="zh-CN"/>
        </w:rPr>
        <w:t>电</w:t>
      </w:r>
      <w:r>
        <w:rPr>
          <w:rFonts w:hint="default" w:ascii="宋体" w:cs="宋体"/>
          <w:kern w:val="0"/>
          <w:sz w:val="28"/>
          <w:szCs w:val="28"/>
          <w:lang w:val="en-US" w:eastAsia="zh-CN"/>
        </w:rPr>
        <w:t>流互感器构成的零序回路（零序滤过器），其三个电流互感器的型号、参数应保证一致，并配置零序时限速断和零序过流保护装置。</w:t>
      </w:r>
    </w:p>
    <w:p>
      <w:pPr>
        <w:numPr>
          <w:ilvl w:val="0"/>
          <w:numId w:val="29"/>
        </w:numPr>
        <w:spacing w:line="360" w:lineRule="auto"/>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接地变压器</w:t>
      </w:r>
    </w:p>
    <w:p>
      <w:pPr>
        <w:numPr>
          <w:ilvl w:val="0"/>
          <w:numId w:val="34"/>
        </w:numPr>
        <w:spacing w:line="360" w:lineRule="auto"/>
        <w:rPr>
          <w:rFonts w:hint="eastAsia" w:ascii="宋体" w:cs="宋体"/>
          <w:kern w:val="0"/>
          <w:sz w:val="28"/>
          <w:szCs w:val="28"/>
          <w:lang w:val="en-US" w:eastAsia="zh-CN"/>
        </w:rPr>
      </w:pPr>
      <w:r>
        <w:rPr>
          <w:rFonts w:hint="default" w:ascii="宋体" w:cs="宋体"/>
          <w:kern w:val="0"/>
          <w:sz w:val="28"/>
          <w:szCs w:val="28"/>
          <w:lang w:val="en-US" w:eastAsia="zh-CN"/>
        </w:rPr>
        <w:t>保护配置。接地变压器中性点上装设零序电流Ⅰ段、零序电流Ⅱ段保护，作为接地变压器单相接地故障的主保护和系统各元件的总后备保护。接地变压器电源侧装设三相式的电流速断、过电流保护，作为接地变压器内部相间故障的主保护和后备保护</w:t>
      </w:r>
      <w:r>
        <w:rPr>
          <w:rFonts w:hint="eastAsia" w:ascii="宋体" w:cs="宋体"/>
          <w:kern w:val="0"/>
          <w:sz w:val="28"/>
          <w:szCs w:val="28"/>
          <w:lang w:val="en-US" w:eastAsia="zh-CN"/>
        </w:rPr>
        <w:t>。</w:t>
      </w:r>
    </w:p>
    <w:p>
      <w:pPr>
        <w:numPr>
          <w:ilvl w:val="0"/>
          <w:numId w:val="34"/>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接地变压器接于低压侧母线，电流速断和过流保护动作后应联跳供电变压器同侧断路器，过电流保护动作时间宜与供电变压器后备保护跳低压侧断路器时间一致。</w:t>
      </w:r>
    </w:p>
    <w:p>
      <w:pPr>
        <w:numPr>
          <w:ilvl w:val="0"/>
          <w:numId w:val="34"/>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电流速断保护定值。保证接地变压器电源侧在最小方式下两相短路时有足够灵敏度</w:t>
      </w:r>
      <w:r>
        <w:rPr>
          <w:rFonts w:hint="eastAsia" w:ascii="宋体" w:cs="宋体"/>
          <w:kern w:val="0"/>
          <w:sz w:val="28"/>
          <w:szCs w:val="28"/>
          <w:lang w:val="en-US" w:eastAsia="zh-CN"/>
        </w:rPr>
        <w:t>；</w:t>
      </w:r>
      <w:r>
        <w:rPr>
          <w:rFonts w:hint="default" w:ascii="宋体" w:cs="宋体"/>
          <w:kern w:val="0"/>
          <w:sz w:val="28"/>
          <w:szCs w:val="28"/>
          <w:lang w:val="en-US" w:eastAsia="zh-CN"/>
        </w:rPr>
        <w:t>保证在充电合闸时，躲过励磁涌流，一般大于（7～10）倍接地变压器额定电流</w:t>
      </w:r>
      <w:r>
        <w:rPr>
          <w:rFonts w:hint="eastAsia" w:ascii="宋体" w:cs="宋体"/>
          <w:kern w:val="0"/>
          <w:sz w:val="28"/>
          <w:szCs w:val="28"/>
          <w:lang w:val="en-US" w:eastAsia="zh-CN"/>
        </w:rPr>
        <w:t>；</w:t>
      </w:r>
      <w:r>
        <w:rPr>
          <w:rFonts w:hint="default" w:ascii="宋体" w:cs="宋体"/>
          <w:kern w:val="0"/>
          <w:sz w:val="28"/>
          <w:szCs w:val="28"/>
          <w:lang w:val="en-US" w:eastAsia="zh-CN"/>
        </w:rPr>
        <w:t>躲过接地变压器低压侧故障电流</w:t>
      </w:r>
      <w:r>
        <w:rPr>
          <w:rFonts w:hint="eastAsia" w:ascii="宋体" w:cs="宋体"/>
          <w:kern w:val="0"/>
          <w:sz w:val="28"/>
          <w:szCs w:val="28"/>
          <w:lang w:val="en-US" w:eastAsia="zh-CN"/>
        </w:rPr>
        <w:t>。</w:t>
      </w:r>
    </w:p>
    <w:p>
      <w:pPr>
        <w:numPr>
          <w:ilvl w:val="0"/>
          <w:numId w:val="34"/>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过电流保护定值。躲过接地变压器额定电流</w:t>
      </w:r>
      <w:r>
        <w:rPr>
          <w:rFonts w:hint="eastAsia" w:ascii="宋体" w:cs="宋体"/>
          <w:kern w:val="0"/>
          <w:sz w:val="28"/>
          <w:szCs w:val="28"/>
          <w:lang w:val="en-US" w:eastAsia="zh-CN"/>
        </w:rPr>
        <w:t>；</w:t>
      </w:r>
      <w:r>
        <w:rPr>
          <w:rFonts w:hint="default" w:ascii="宋体" w:cs="宋体"/>
          <w:kern w:val="0"/>
          <w:sz w:val="28"/>
          <w:szCs w:val="28"/>
          <w:lang w:val="en-US" w:eastAsia="zh-CN"/>
        </w:rPr>
        <w:t>躲过区外单相接地时流过接地变压器的最大故障相电流。</w:t>
      </w:r>
    </w:p>
    <w:p>
      <w:pPr>
        <w:numPr>
          <w:ilvl w:val="0"/>
          <w:numId w:val="0"/>
        </w:numPr>
        <w:spacing w:line="360" w:lineRule="auto"/>
        <w:rPr>
          <w:rFonts w:hint="default" w:ascii="宋体" w:cs="宋体"/>
          <w:kern w:val="0"/>
          <w:sz w:val="28"/>
          <w:szCs w:val="28"/>
          <w:lang w:val="en-US" w:eastAsia="zh-CN"/>
        </w:rPr>
      </w:pPr>
    </w:p>
    <w:p>
      <w:pPr>
        <w:spacing w:line="360" w:lineRule="auto"/>
        <w:outlineLvl w:val="2"/>
        <w:rPr>
          <w:rFonts w:hint="eastAsia" w:ascii="Times New Roman" w:hAnsi="Times New Roman" w:eastAsia="宋体" w:cs="Times New Roman"/>
          <w:b/>
          <w:kern w:val="0"/>
          <w:sz w:val="28"/>
          <w:szCs w:val="21"/>
          <w:lang w:val="en-US" w:eastAsia="zh-CN" w:bidi="ar-SA"/>
        </w:rPr>
      </w:pPr>
      <w:bookmarkStart w:id="177" w:name="_Toc20876"/>
      <w:r>
        <w:rPr>
          <w:rFonts w:hint="eastAsia" w:ascii="Times New Roman" w:hAnsi="Times New Roman" w:eastAsia="宋体" w:cs="Times New Roman"/>
          <w:b/>
          <w:kern w:val="0"/>
          <w:sz w:val="28"/>
          <w:szCs w:val="21"/>
          <w:lang w:val="en-US" w:eastAsia="zh-CN" w:bidi="ar-SA"/>
        </w:rPr>
        <w:t>2.</w:t>
      </w:r>
      <w:r>
        <w:rPr>
          <w:rFonts w:hint="eastAsia" w:cs="Times New Roman"/>
          <w:b/>
          <w:kern w:val="0"/>
          <w:sz w:val="28"/>
          <w:szCs w:val="21"/>
          <w:lang w:val="en-US" w:eastAsia="zh-CN" w:bidi="ar-SA"/>
        </w:rPr>
        <w:t>4</w:t>
      </w:r>
      <w:r>
        <w:rPr>
          <w:rFonts w:hint="eastAsia" w:ascii="Times New Roman" w:hAnsi="Times New Roman" w:eastAsia="宋体" w:cs="Times New Roman"/>
          <w:b/>
          <w:kern w:val="0"/>
          <w:sz w:val="28"/>
          <w:szCs w:val="21"/>
          <w:lang w:val="en-US" w:eastAsia="zh-CN" w:bidi="ar-SA"/>
        </w:rPr>
        <w:t>.</w:t>
      </w:r>
      <w:r>
        <w:rPr>
          <w:rFonts w:hint="eastAsia" w:cs="Times New Roman"/>
          <w:b/>
          <w:kern w:val="0"/>
          <w:sz w:val="28"/>
          <w:szCs w:val="21"/>
          <w:lang w:val="en-US" w:eastAsia="zh-CN" w:bidi="ar-SA"/>
        </w:rPr>
        <w:t>8一体化直流</w:t>
      </w:r>
      <w:r>
        <w:rPr>
          <w:rFonts w:hint="eastAsia" w:ascii="Times New Roman" w:hAnsi="Times New Roman" w:eastAsia="宋体" w:cs="Times New Roman"/>
          <w:b/>
          <w:kern w:val="0"/>
          <w:sz w:val="28"/>
          <w:szCs w:val="21"/>
          <w:lang w:val="en-US" w:eastAsia="zh-CN" w:bidi="ar-SA"/>
        </w:rPr>
        <w:t>操作电源系统</w:t>
      </w:r>
      <w:bookmarkEnd w:id="177"/>
    </w:p>
    <w:p>
      <w:pPr>
        <w:numPr>
          <w:ilvl w:val="0"/>
          <w:numId w:val="35"/>
        </w:num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直流操作系统接线要求安全可靠、接线简单、供电范围明确、操作方便。</w:t>
      </w:r>
    </w:p>
    <w:p>
      <w:pPr>
        <w:numPr>
          <w:ilvl w:val="0"/>
          <w:numId w:val="35"/>
        </w:numPr>
        <w:spacing w:line="360" w:lineRule="auto"/>
        <w:ind w:firstLine="560" w:firstLineChars="200"/>
        <w:rPr>
          <w:rFonts w:hint="default" w:ascii="宋体" w:cs="宋体"/>
          <w:kern w:val="0"/>
          <w:sz w:val="28"/>
          <w:szCs w:val="28"/>
          <w:lang w:val="en-US" w:eastAsia="zh-CN"/>
        </w:rPr>
      </w:pPr>
      <w:r>
        <w:rPr>
          <w:rFonts w:hint="eastAsia" w:ascii="宋体" w:cs="宋体"/>
          <w:kern w:val="0"/>
          <w:sz w:val="28"/>
          <w:szCs w:val="28"/>
          <w:lang w:val="en-US" w:eastAsia="zh-CN"/>
        </w:rPr>
        <w:t>系统电压选择：220V。</w:t>
      </w:r>
    </w:p>
    <w:p>
      <w:pPr>
        <w:numPr>
          <w:ilvl w:val="0"/>
          <w:numId w:val="35"/>
        </w:numPr>
        <w:spacing w:line="360" w:lineRule="auto"/>
        <w:ind w:firstLine="560" w:firstLineChars="200"/>
        <w:rPr>
          <w:rFonts w:hint="default" w:ascii="宋体" w:cs="宋体"/>
          <w:kern w:val="0"/>
          <w:sz w:val="28"/>
          <w:szCs w:val="28"/>
          <w:lang w:val="en-US" w:eastAsia="zh-CN"/>
        </w:rPr>
      </w:pPr>
      <w:r>
        <w:rPr>
          <w:rFonts w:hint="default" w:ascii="宋体" w:cs="宋体"/>
          <w:kern w:val="0"/>
          <w:sz w:val="28"/>
          <w:szCs w:val="28"/>
          <w:lang w:val="en-US" w:eastAsia="zh-CN"/>
        </w:rPr>
        <w:t>蓄电池组数配置</w:t>
      </w:r>
      <w:r>
        <w:rPr>
          <w:rFonts w:hint="eastAsia" w:ascii="宋体" w:cs="宋体"/>
          <w:kern w:val="0"/>
          <w:sz w:val="28"/>
          <w:szCs w:val="28"/>
          <w:lang w:val="en-US" w:eastAsia="zh-CN"/>
        </w:rPr>
        <w:t>：</w:t>
      </w:r>
      <w:r>
        <w:rPr>
          <w:rFonts w:hint="default" w:ascii="宋体" w:cs="宋体"/>
          <w:kern w:val="0"/>
          <w:sz w:val="28"/>
          <w:szCs w:val="28"/>
          <w:lang w:val="en-US" w:eastAsia="zh-CN"/>
        </w:rPr>
        <w:t>装设</w:t>
      </w:r>
      <w:r>
        <w:rPr>
          <w:rFonts w:hint="eastAsia" w:ascii="宋体" w:cs="宋体"/>
          <w:kern w:val="0"/>
          <w:sz w:val="28"/>
          <w:szCs w:val="28"/>
          <w:lang w:val="en-US" w:eastAsia="zh-CN"/>
        </w:rPr>
        <w:t>2</w:t>
      </w:r>
      <w:r>
        <w:rPr>
          <w:rFonts w:hint="default" w:ascii="宋体" w:cs="宋体"/>
          <w:kern w:val="0"/>
          <w:sz w:val="28"/>
          <w:szCs w:val="28"/>
          <w:lang w:val="en-US" w:eastAsia="zh-CN"/>
        </w:rPr>
        <w:t>组蓄电池</w:t>
      </w:r>
      <w:r>
        <w:rPr>
          <w:rFonts w:hint="eastAsia" w:ascii="宋体" w:cs="宋体"/>
          <w:kern w:val="0"/>
          <w:sz w:val="28"/>
          <w:szCs w:val="28"/>
          <w:lang w:val="en-US" w:eastAsia="zh-CN"/>
        </w:rPr>
        <w:t>，每段母线装设一组，通信1组电池。</w:t>
      </w:r>
    </w:p>
    <w:p>
      <w:pPr>
        <w:numPr>
          <w:ilvl w:val="0"/>
          <w:numId w:val="35"/>
        </w:numPr>
        <w:spacing w:line="360" w:lineRule="auto"/>
        <w:ind w:firstLine="560" w:firstLineChars="200"/>
        <w:rPr>
          <w:rFonts w:hint="default" w:ascii="宋体" w:cs="宋体"/>
          <w:kern w:val="0"/>
          <w:sz w:val="28"/>
          <w:szCs w:val="28"/>
          <w:lang w:val="en-US" w:eastAsia="zh-CN"/>
        </w:rPr>
      </w:pPr>
      <w:r>
        <w:rPr>
          <w:rFonts w:hint="default" w:ascii="宋体" w:cs="宋体"/>
          <w:kern w:val="0"/>
          <w:sz w:val="28"/>
          <w:szCs w:val="28"/>
          <w:lang w:val="en-US" w:eastAsia="zh-CN"/>
        </w:rPr>
        <w:t>充电装置配置</w:t>
      </w:r>
      <w:r>
        <w:rPr>
          <w:rFonts w:hint="eastAsia" w:ascii="宋体" w:cs="宋体"/>
          <w:kern w:val="0"/>
          <w:sz w:val="28"/>
          <w:szCs w:val="28"/>
          <w:lang w:val="en-US" w:eastAsia="zh-CN"/>
        </w:rPr>
        <w:t>：</w:t>
      </w:r>
      <w:r>
        <w:rPr>
          <w:rFonts w:hint="default" w:ascii="宋体" w:cs="宋体"/>
          <w:kern w:val="0"/>
          <w:sz w:val="28"/>
          <w:szCs w:val="28"/>
          <w:lang w:val="en-US" w:eastAsia="zh-CN"/>
        </w:rPr>
        <w:t>充电装置型式宜选用高频开关电源模块型充电装置，也可选用相控式充电装置</w:t>
      </w:r>
      <w:r>
        <w:rPr>
          <w:rFonts w:hint="eastAsia" w:ascii="宋体" w:cs="宋体"/>
          <w:kern w:val="0"/>
          <w:sz w:val="28"/>
          <w:szCs w:val="28"/>
          <w:lang w:val="en-US" w:eastAsia="zh-CN"/>
        </w:rPr>
        <w:t>。</w:t>
      </w:r>
      <w:r>
        <w:rPr>
          <w:rFonts w:hint="default" w:ascii="宋体" w:cs="宋体"/>
          <w:kern w:val="0"/>
          <w:sz w:val="28"/>
          <w:szCs w:val="28"/>
          <w:lang w:val="en-US" w:eastAsia="zh-CN"/>
        </w:rPr>
        <w:t>1组蓄电池，采用相控式充电装置时，宜配置2套充电装置</w:t>
      </w:r>
      <w:r>
        <w:rPr>
          <w:rFonts w:hint="eastAsia" w:ascii="宋体" w:cs="宋体"/>
          <w:kern w:val="0"/>
          <w:sz w:val="28"/>
          <w:szCs w:val="28"/>
          <w:lang w:val="en-US" w:eastAsia="zh-CN"/>
        </w:rPr>
        <w:t>；</w:t>
      </w:r>
      <w:r>
        <w:rPr>
          <w:rFonts w:hint="default" w:ascii="宋体" w:cs="宋体"/>
          <w:kern w:val="0"/>
          <w:sz w:val="28"/>
          <w:szCs w:val="28"/>
          <w:lang w:val="en-US" w:eastAsia="zh-CN"/>
        </w:rPr>
        <w:t>采用高频开关充电装置时，宜配置1套充电装置，也可配置2套充电装置。</w:t>
      </w:r>
    </w:p>
    <w:p>
      <w:pPr>
        <w:numPr>
          <w:ilvl w:val="0"/>
          <w:numId w:val="35"/>
        </w:numPr>
        <w:spacing w:line="360" w:lineRule="auto"/>
        <w:ind w:firstLine="560" w:firstLineChars="200"/>
        <w:rPr>
          <w:rFonts w:hint="default" w:ascii="宋体" w:cs="宋体"/>
          <w:kern w:val="0"/>
          <w:sz w:val="28"/>
          <w:szCs w:val="28"/>
          <w:lang w:val="en-US" w:eastAsia="zh-CN"/>
        </w:rPr>
      </w:pPr>
      <w:r>
        <w:rPr>
          <w:rFonts w:hint="default" w:ascii="宋体" w:cs="宋体"/>
          <w:kern w:val="0"/>
          <w:sz w:val="28"/>
          <w:szCs w:val="28"/>
          <w:lang w:val="en-US" w:eastAsia="zh-CN"/>
        </w:rPr>
        <w:t>直流系统基本接线方式</w:t>
      </w:r>
      <w:r>
        <w:rPr>
          <w:rFonts w:hint="eastAsia" w:ascii="宋体" w:cs="宋体"/>
          <w:kern w:val="0"/>
          <w:sz w:val="28"/>
          <w:szCs w:val="28"/>
          <w:lang w:val="en-US" w:eastAsia="zh-CN"/>
        </w:rPr>
        <w:t>为</w:t>
      </w:r>
      <w:r>
        <w:rPr>
          <w:rFonts w:hint="default" w:ascii="宋体" w:cs="宋体"/>
          <w:kern w:val="0"/>
          <w:sz w:val="28"/>
          <w:szCs w:val="28"/>
          <w:lang w:val="en-US" w:eastAsia="zh-CN"/>
        </w:rPr>
        <w:t>单母线</w:t>
      </w:r>
      <w:r>
        <w:rPr>
          <w:rFonts w:hint="eastAsia" w:ascii="宋体" w:cs="宋体"/>
          <w:kern w:val="0"/>
          <w:sz w:val="28"/>
          <w:szCs w:val="28"/>
          <w:lang w:val="en-US" w:eastAsia="zh-CN"/>
        </w:rPr>
        <w:t>分段</w:t>
      </w:r>
      <w:r>
        <w:rPr>
          <w:rFonts w:hint="default" w:ascii="宋体" w:cs="宋体"/>
          <w:kern w:val="0"/>
          <w:sz w:val="28"/>
          <w:szCs w:val="28"/>
          <w:lang w:val="en-US" w:eastAsia="zh-CN"/>
        </w:rPr>
        <w:t>。</w:t>
      </w:r>
    </w:p>
    <w:p>
      <w:pPr>
        <w:numPr>
          <w:ilvl w:val="0"/>
          <w:numId w:val="35"/>
        </w:numPr>
        <w:spacing w:line="360" w:lineRule="auto"/>
        <w:ind w:firstLine="560" w:firstLineChars="200"/>
        <w:rPr>
          <w:rFonts w:hint="default" w:ascii="宋体" w:cs="宋体"/>
          <w:kern w:val="0"/>
          <w:sz w:val="28"/>
          <w:szCs w:val="28"/>
          <w:lang w:val="en-US" w:eastAsia="zh-CN"/>
        </w:rPr>
      </w:pPr>
      <w:r>
        <w:rPr>
          <w:rFonts w:hint="eastAsia" w:ascii="宋体" w:cs="宋体"/>
          <w:kern w:val="0"/>
          <w:sz w:val="28"/>
          <w:szCs w:val="28"/>
          <w:lang w:val="en-US" w:eastAsia="zh-CN"/>
        </w:rPr>
        <w:t>本项目</w:t>
      </w:r>
      <w:r>
        <w:rPr>
          <w:rFonts w:hint="default" w:ascii="宋体" w:cs="宋体"/>
          <w:kern w:val="0"/>
          <w:sz w:val="28"/>
          <w:szCs w:val="28"/>
          <w:lang w:val="en-US" w:eastAsia="zh-CN"/>
        </w:rPr>
        <w:t>直流负荷的分类为经常性负荷、事故性负荷和冲击负荷</w:t>
      </w:r>
      <w:r>
        <w:rPr>
          <w:rFonts w:hint="eastAsia" w:ascii="宋体" w:cs="宋体"/>
          <w:kern w:val="0"/>
          <w:sz w:val="28"/>
          <w:szCs w:val="28"/>
          <w:lang w:val="en-US" w:eastAsia="zh-CN"/>
        </w:rPr>
        <w:t>，以下为分类：</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（1）经常性负荷。要求直流电源在各种工况下均应可靠供电的负荷。经常性负荷包括以下几种：</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1）信号装置。</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2）继电保护和自动装置。</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3）直流照明灯。</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4）逆变器。</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（2）事故负荷</w:t>
      </w:r>
    </w:p>
    <w:p>
      <w:pPr>
        <w:numPr>
          <w:ilvl w:val="0"/>
          <w:numId w:val="0"/>
        </w:numPr>
        <w:spacing w:line="360" w:lineRule="auto"/>
        <w:rPr>
          <w:rFonts w:hint="default" w:ascii="宋体" w:cs="宋体"/>
          <w:kern w:val="0"/>
          <w:sz w:val="28"/>
          <w:szCs w:val="28"/>
          <w:lang w:val="en-US" w:eastAsia="zh-CN"/>
        </w:rPr>
      </w:pPr>
      <w:r>
        <w:rPr>
          <w:rFonts w:hint="eastAsia" w:ascii="宋体" w:cs="宋体"/>
          <w:kern w:val="0"/>
          <w:sz w:val="28"/>
          <w:szCs w:val="28"/>
          <w:lang w:val="en-US" w:eastAsia="zh-CN"/>
        </w:rPr>
        <w:t>1</w:t>
      </w:r>
      <w:r>
        <w:rPr>
          <w:rFonts w:hint="default" w:ascii="宋体" w:cs="宋体"/>
          <w:kern w:val="0"/>
          <w:sz w:val="28"/>
          <w:szCs w:val="28"/>
          <w:lang w:val="en-US" w:eastAsia="zh-CN"/>
        </w:rPr>
        <w:t>）事故照明。</w:t>
      </w:r>
    </w:p>
    <w:p>
      <w:pPr>
        <w:numPr>
          <w:ilvl w:val="0"/>
          <w:numId w:val="0"/>
        </w:numPr>
        <w:spacing w:line="360" w:lineRule="auto"/>
        <w:rPr>
          <w:rFonts w:hint="eastAsia" w:ascii="宋体" w:cs="宋体"/>
          <w:kern w:val="0"/>
          <w:sz w:val="28"/>
          <w:szCs w:val="28"/>
          <w:lang w:val="en-US" w:eastAsia="zh-CN"/>
        </w:rPr>
      </w:pPr>
      <w:r>
        <w:rPr>
          <w:rFonts w:hint="default" w:ascii="宋体" w:cs="宋体"/>
          <w:kern w:val="0"/>
          <w:sz w:val="28"/>
          <w:szCs w:val="28"/>
          <w:lang w:val="en-US" w:eastAsia="zh-CN"/>
        </w:rPr>
        <w:t>注 因正常照明的电源失效而启用的照明为应急照明，包括疏散照明、安全照明、备用照明。事故照明应理解为应急照明，为与电力系统标准对应</w:t>
      </w:r>
      <w:r>
        <w:rPr>
          <w:rFonts w:hint="eastAsia" w:ascii="宋体" w:cs="宋体"/>
          <w:kern w:val="0"/>
          <w:sz w:val="28"/>
          <w:szCs w:val="28"/>
          <w:lang w:val="en-US" w:eastAsia="zh-CN"/>
        </w:rPr>
        <w:t>。</w:t>
      </w:r>
    </w:p>
    <w:p>
      <w:pPr>
        <w:numPr>
          <w:ilvl w:val="0"/>
          <w:numId w:val="0"/>
        </w:numPr>
        <w:spacing w:line="360" w:lineRule="auto"/>
        <w:rPr>
          <w:rFonts w:hint="default" w:ascii="宋体" w:cs="宋体"/>
          <w:kern w:val="0"/>
          <w:sz w:val="28"/>
          <w:szCs w:val="28"/>
          <w:lang w:val="en-US" w:eastAsia="zh-CN"/>
        </w:rPr>
      </w:pPr>
      <w:r>
        <w:rPr>
          <w:rFonts w:hint="eastAsia" w:ascii="宋体" w:cs="宋体"/>
          <w:kern w:val="0"/>
          <w:sz w:val="28"/>
          <w:szCs w:val="28"/>
          <w:lang w:val="en-US" w:eastAsia="zh-CN"/>
        </w:rPr>
        <w:t>2</w:t>
      </w:r>
      <w:r>
        <w:rPr>
          <w:rFonts w:hint="default" w:ascii="宋体" w:cs="宋体"/>
          <w:kern w:val="0"/>
          <w:sz w:val="28"/>
          <w:szCs w:val="28"/>
          <w:lang w:val="en-US" w:eastAsia="zh-CN"/>
        </w:rPr>
        <w:t>）不间断电源设备。</w:t>
      </w:r>
    </w:p>
    <w:p>
      <w:pPr>
        <w:numPr>
          <w:ilvl w:val="0"/>
          <w:numId w:val="0"/>
        </w:numPr>
        <w:spacing w:line="360" w:lineRule="auto"/>
        <w:rPr>
          <w:rFonts w:hint="default" w:ascii="宋体" w:cs="宋体"/>
          <w:kern w:val="0"/>
          <w:sz w:val="28"/>
          <w:szCs w:val="28"/>
          <w:lang w:val="en-US" w:eastAsia="zh-CN"/>
        </w:rPr>
      </w:pPr>
      <w:r>
        <w:rPr>
          <w:rFonts w:hint="eastAsia" w:ascii="宋体" w:cs="宋体"/>
          <w:kern w:val="0"/>
          <w:sz w:val="28"/>
          <w:szCs w:val="28"/>
          <w:lang w:val="en-US" w:eastAsia="zh-CN"/>
        </w:rPr>
        <w:t>3</w:t>
      </w:r>
      <w:r>
        <w:rPr>
          <w:rFonts w:hint="default" w:ascii="宋体" w:cs="宋体"/>
          <w:kern w:val="0"/>
          <w:sz w:val="28"/>
          <w:szCs w:val="28"/>
          <w:lang w:val="en-US" w:eastAsia="zh-CN"/>
        </w:rPr>
        <w:t>）通信备用电源。为保证通信系统的可靠性，在无专用蓄电池组时，由直流系统供给备用电源。</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4</w:t>
      </w:r>
      <w:r>
        <w:rPr>
          <w:rFonts w:hint="default" w:ascii="宋体" w:cs="宋体"/>
          <w:kern w:val="0"/>
          <w:sz w:val="28"/>
          <w:szCs w:val="28"/>
          <w:lang w:val="en-US" w:eastAsia="zh-CN"/>
        </w:rPr>
        <w:t>）信号和继电保护装置。除正常工况下所消耗的功率外，在事故状态下，与事故相关的信号装置、继电保护装置和自动装置都将动作，瞬时所消耗的功率将有所增加</w:t>
      </w:r>
      <w:r>
        <w:rPr>
          <w:rFonts w:hint="eastAsia" w:ascii="宋体" w:cs="宋体"/>
          <w:kern w:val="0"/>
          <w:sz w:val="28"/>
          <w:szCs w:val="28"/>
          <w:lang w:val="en-US" w:eastAsia="zh-CN"/>
        </w:rPr>
        <w:t>。</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（3）冲击负荷</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1）事故初期冲击负荷。</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2）事故末期冲击负荷。</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（4）负荷计算要求：</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1）</w:t>
      </w:r>
      <w:r>
        <w:rPr>
          <w:rFonts w:hint="default" w:ascii="宋体" w:cs="宋体"/>
          <w:kern w:val="0"/>
          <w:sz w:val="28"/>
          <w:szCs w:val="28"/>
          <w:lang w:val="en-US" w:eastAsia="zh-CN"/>
        </w:rPr>
        <w:t>直流负荷统计的负荷系数及负荷统计计算时间见</w:t>
      </w:r>
      <w:r>
        <w:rPr>
          <w:rFonts w:hint="eastAsia" w:ascii="宋体" w:cs="宋体"/>
          <w:kern w:val="0"/>
          <w:sz w:val="28"/>
          <w:szCs w:val="28"/>
          <w:lang w:val="en-US" w:eastAsia="zh-CN"/>
        </w:rPr>
        <w:t>配电手册第四版。</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2）直流列项完整、不要漏项。负荷计算容量力求准确、合理。正确分析事故放电过程、合理选择工作时间。</w:t>
      </w:r>
    </w:p>
    <w:p>
      <w:pPr>
        <w:numPr>
          <w:ilvl w:val="0"/>
          <w:numId w:val="35"/>
        </w:numPr>
        <w:spacing w:line="360" w:lineRule="auto"/>
        <w:ind w:left="0" w:leftChars="0"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蓄电池的选择</w:t>
      </w:r>
    </w:p>
    <w:p>
      <w:pPr>
        <w:numPr>
          <w:ilvl w:val="0"/>
          <w:numId w:val="0"/>
        </w:numPr>
        <w:spacing w:line="360" w:lineRule="auto"/>
        <w:ind w:left="0" w:leftChars="0" w:firstLine="0" w:firstLineChars="0"/>
        <w:rPr>
          <w:rFonts w:hint="default" w:ascii="宋体" w:cs="宋体"/>
          <w:kern w:val="0"/>
          <w:sz w:val="28"/>
          <w:szCs w:val="28"/>
          <w:lang w:val="en-US" w:eastAsia="zh-CN"/>
        </w:rPr>
      </w:pPr>
      <w:r>
        <w:rPr>
          <w:rFonts w:hint="eastAsia" w:ascii="宋体" w:cs="宋体"/>
          <w:kern w:val="0"/>
          <w:sz w:val="28"/>
          <w:szCs w:val="28"/>
          <w:lang w:val="en-US" w:eastAsia="zh-CN"/>
        </w:rPr>
        <w:t>（1）</w:t>
      </w:r>
      <w:r>
        <w:rPr>
          <w:rFonts w:hint="default" w:ascii="宋体" w:cs="宋体"/>
          <w:kern w:val="0"/>
          <w:sz w:val="28"/>
          <w:szCs w:val="28"/>
          <w:lang w:val="en-US" w:eastAsia="zh-CN"/>
        </w:rPr>
        <w:t>蓄电池组在正常浮充电运行方式下，直流母线电压应为直流系统额定电压的105</w:t>
      </w:r>
      <w:r>
        <w:rPr>
          <w:rFonts w:hint="eastAsia" w:ascii="宋体" w:cs="宋体"/>
          <w:kern w:val="0"/>
          <w:sz w:val="28"/>
          <w:szCs w:val="28"/>
          <w:lang w:val="en-US" w:eastAsia="zh-CN"/>
        </w:rPr>
        <w:t>%</w:t>
      </w:r>
      <w:r>
        <w:rPr>
          <w:rFonts w:hint="default" w:ascii="宋体" w:cs="宋体"/>
          <w:kern w:val="0"/>
          <w:sz w:val="28"/>
          <w:szCs w:val="28"/>
          <w:lang w:val="en-US" w:eastAsia="zh-CN"/>
        </w:rPr>
        <w:t>其他运行方式下，直流系统母线电压不应超出直流用电设备所允许的电压波动范围。直流母线电压应在直流系统额定电压的87.5</w:t>
      </w:r>
      <w:r>
        <w:rPr>
          <w:rFonts w:hint="eastAsia" w:ascii="宋体" w:cs="宋体"/>
          <w:kern w:val="0"/>
          <w:sz w:val="28"/>
          <w:szCs w:val="28"/>
          <w:lang w:val="en-US" w:eastAsia="zh-CN"/>
        </w:rPr>
        <w:t>%-</w:t>
      </w:r>
      <w:r>
        <w:rPr>
          <w:rFonts w:hint="default" w:ascii="宋体" w:cs="宋体"/>
          <w:kern w:val="0"/>
          <w:sz w:val="28"/>
          <w:szCs w:val="28"/>
          <w:lang w:val="en-US" w:eastAsia="zh-CN"/>
        </w:rPr>
        <w:t>110</w:t>
      </w:r>
      <w:r>
        <w:rPr>
          <w:rFonts w:hint="eastAsia" w:ascii="宋体" w:cs="宋体"/>
          <w:kern w:val="0"/>
          <w:sz w:val="28"/>
          <w:szCs w:val="28"/>
          <w:lang w:val="en-US" w:eastAsia="zh-CN"/>
        </w:rPr>
        <w:t>%</w:t>
      </w:r>
      <w:r>
        <w:rPr>
          <w:rFonts w:hint="default" w:ascii="宋体" w:cs="宋体"/>
          <w:kern w:val="0"/>
          <w:sz w:val="28"/>
          <w:szCs w:val="28"/>
          <w:lang w:val="en-US" w:eastAsia="zh-CN"/>
        </w:rPr>
        <w:t>围内。</w:t>
      </w:r>
    </w:p>
    <w:p>
      <w:pPr>
        <w:numPr>
          <w:ilvl w:val="0"/>
          <w:numId w:val="0"/>
        </w:numPr>
        <w:spacing w:line="360" w:lineRule="auto"/>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（2）蓄电池浮充电压应根据厂家推荐值选取。</w:t>
      </w:r>
    </w:p>
    <w:p>
      <w:pPr>
        <w:numPr>
          <w:ilvl w:val="0"/>
          <w:numId w:val="0"/>
        </w:numPr>
        <w:spacing w:line="360" w:lineRule="auto"/>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（3）蓄电池参数选择应符合供配电设计手册表8.1-5和表8.1-6 的规定。</w:t>
      </w:r>
    </w:p>
    <w:p>
      <w:pPr>
        <w:numPr>
          <w:ilvl w:val="0"/>
          <w:numId w:val="0"/>
        </w:numPr>
        <w:spacing w:line="360" w:lineRule="auto"/>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4）蓄电池容量的选择：应满足全站事故停电时间内的放电容量；应满足事故初期（1min）冲击负荷电流的放电容量；应满足蓄电池组持续放电时间内随机（5s）冲击负荷电流的放电容量；应以最严重的事故放电阶段计算直流母线电压水平。</w:t>
      </w:r>
    </w:p>
    <w:p>
      <w:pPr>
        <w:numPr>
          <w:ilvl w:val="0"/>
          <w:numId w:val="0"/>
        </w:numPr>
        <w:spacing w:line="360" w:lineRule="auto"/>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（5）本变电站为少人值守变电站，应为全站事故停电2h的放电容量，且满足事故放电末期最大冲击负荷的要求。</w:t>
      </w:r>
    </w:p>
    <w:p>
      <w:pPr>
        <w:numPr>
          <w:ilvl w:val="0"/>
          <w:numId w:val="0"/>
        </w:numPr>
        <w:spacing w:line="360" w:lineRule="auto"/>
        <w:ind w:left="0" w:leftChars="0" w:firstLine="0" w:firstLineChars="0"/>
        <w:rPr>
          <w:rFonts w:hint="default" w:ascii="宋体" w:cs="宋体"/>
          <w:kern w:val="0"/>
          <w:sz w:val="28"/>
          <w:szCs w:val="28"/>
          <w:lang w:val="en-US" w:eastAsia="zh-CN"/>
        </w:rPr>
      </w:pPr>
      <w:r>
        <w:rPr>
          <w:rFonts w:hint="eastAsia" w:ascii="宋体" w:cs="宋体"/>
          <w:kern w:val="0"/>
          <w:sz w:val="28"/>
          <w:szCs w:val="28"/>
          <w:lang w:val="en-US" w:eastAsia="zh-CN"/>
        </w:rPr>
        <w:t>（6）蓄电池组宜采用性能可靠、维护量少的蓄电池。</w:t>
      </w:r>
    </w:p>
    <w:p>
      <w:pPr>
        <w:numPr>
          <w:ilvl w:val="0"/>
          <w:numId w:val="0"/>
        </w:numPr>
        <w:spacing w:line="360" w:lineRule="auto"/>
        <w:ind w:leftChars="0"/>
        <w:rPr>
          <w:rFonts w:hint="eastAsia" w:ascii="宋体" w:cs="宋体"/>
          <w:kern w:val="0"/>
          <w:sz w:val="28"/>
          <w:szCs w:val="28"/>
          <w:lang w:val="en-US" w:eastAsia="zh-CN"/>
        </w:rPr>
      </w:pPr>
      <w:r>
        <w:rPr>
          <w:rFonts w:hint="eastAsia" w:ascii="宋体" w:cs="宋体"/>
          <w:kern w:val="0"/>
          <w:sz w:val="28"/>
          <w:szCs w:val="28"/>
          <w:lang w:val="en-US" w:eastAsia="zh-CN"/>
        </w:rPr>
        <w:t>（7）通信设备的直流电源独立设置一组专用蓄电池。</w:t>
      </w:r>
    </w:p>
    <w:p>
      <w:pPr>
        <w:numPr>
          <w:ilvl w:val="0"/>
          <w:numId w:val="0"/>
        </w:numPr>
        <w:spacing w:line="360" w:lineRule="auto"/>
        <w:ind w:leftChars="0"/>
        <w:rPr>
          <w:rFonts w:hint="eastAsia" w:ascii="宋体" w:cs="宋体"/>
          <w:kern w:val="0"/>
          <w:sz w:val="28"/>
          <w:szCs w:val="28"/>
          <w:lang w:val="en-US" w:eastAsia="zh-CN"/>
        </w:rPr>
      </w:pPr>
      <w:r>
        <w:rPr>
          <w:rFonts w:hint="eastAsia" w:ascii="宋体" w:cs="宋体"/>
          <w:kern w:val="0"/>
          <w:sz w:val="28"/>
          <w:szCs w:val="28"/>
          <w:lang w:val="en-US" w:eastAsia="zh-CN"/>
        </w:rPr>
        <w:t xml:space="preserve">  8、直流屏</w:t>
      </w:r>
    </w:p>
    <w:p>
      <w:pPr>
        <w:numPr>
          <w:ilvl w:val="0"/>
          <w:numId w:val="0"/>
        </w:numPr>
        <w:spacing w:line="360" w:lineRule="auto"/>
        <w:ind w:left="0" w:leftChars="0" w:firstLine="0" w:firstLineChars="0"/>
        <w:rPr>
          <w:rFonts w:hint="default" w:ascii="宋体" w:cs="宋体"/>
          <w:kern w:val="0"/>
          <w:sz w:val="28"/>
          <w:szCs w:val="28"/>
          <w:lang w:val="en-US" w:eastAsia="zh-CN"/>
        </w:rPr>
      </w:pPr>
      <w:r>
        <w:rPr>
          <w:rFonts w:hint="default" w:ascii="宋体" w:cs="宋体"/>
          <w:kern w:val="0"/>
          <w:sz w:val="28"/>
          <w:szCs w:val="28"/>
          <w:lang w:val="en-US" w:eastAsia="zh-CN"/>
        </w:rPr>
        <w:t>（1）直流屏由蓄电池屏、充电装置屏、馈线屏和信号装置组成，采用柜式加强型结</w:t>
      </w:r>
      <w:r>
        <w:rPr>
          <w:rFonts w:hint="eastAsia" w:ascii="宋体" w:cs="宋体"/>
          <w:kern w:val="0"/>
          <w:sz w:val="28"/>
          <w:szCs w:val="28"/>
          <w:lang w:val="en-US" w:eastAsia="zh-CN"/>
        </w:rPr>
        <w:t>构，</w:t>
      </w:r>
      <w:r>
        <w:rPr>
          <w:rFonts w:hint="default" w:ascii="宋体" w:cs="宋体"/>
          <w:kern w:val="0"/>
          <w:sz w:val="28"/>
          <w:szCs w:val="28"/>
          <w:lang w:val="en-US" w:eastAsia="zh-CN"/>
        </w:rPr>
        <w:t>其防护等级不低于IP20。</w:t>
      </w:r>
    </w:p>
    <w:p>
      <w:pPr>
        <w:numPr>
          <w:ilvl w:val="0"/>
          <w:numId w:val="0"/>
        </w:numPr>
        <w:spacing w:line="360" w:lineRule="auto"/>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2）屏体尺寸宜采用800mm×600mm×2200mm（宽×深×高）。屏正面可按模数分隔成多个功能单元格，各自独立，通过插件或插头实现相互间的联系。每一单元格集中布置1个单元的设备，操作设备布置在中央，测量表计可布置在侧上方。</w:t>
      </w:r>
    </w:p>
    <w:p>
      <w:pPr>
        <w:numPr>
          <w:ilvl w:val="0"/>
          <w:numId w:val="0"/>
        </w:numPr>
        <w:spacing w:line="360" w:lineRule="auto"/>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（3）屏正面操作设备的高度不应超过1800mm，距地高度不应低于400mm。</w:t>
      </w:r>
    </w:p>
    <w:p>
      <w:pPr>
        <w:numPr>
          <w:ilvl w:val="0"/>
          <w:numId w:val="0"/>
        </w:numPr>
        <w:spacing w:line="360" w:lineRule="auto"/>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（4）直流屏主母线宜采用阻燃绝缘铜母线，应按 1h 放电率电流选择截面积，并应进行短路电流热稳定校验和按短时最大负荷电流校验其温度不超过绝缘体的允许事故过负荷温度。单体蓄电池之间宜采用绝缘软导线连接。</w:t>
      </w:r>
    </w:p>
    <w:p>
      <w:pPr>
        <w:numPr>
          <w:ilvl w:val="0"/>
          <w:numId w:val="0"/>
        </w:numPr>
        <w:spacing w:line="360" w:lineRule="auto"/>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（5）直流屏内主母线及其相应回路，应能满足直流母线出口短路时的动稳定要求。</w:t>
      </w:r>
    </w:p>
    <w:p>
      <w:pPr>
        <w:numPr>
          <w:ilvl w:val="0"/>
          <w:numId w:val="0"/>
        </w:numPr>
        <w:spacing w:line="360" w:lineRule="auto"/>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（6）直流屏体应设有保护接地，接地处应有防锈措施和明显标志。</w:t>
      </w:r>
    </w:p>
    <w:p>
      <w:pPr>
        <w:numPr>
          <w:ilvl w:val="0"/>
          <w:numId w:val="0"/>
        </w:numPr>
        <w:spacing w:line="360" w:lineRule="auto"/>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（7）蓄电池柜隔架最低距地不小于150mm，最高距地不超过 1700mm。</w:t>
      </w:r>
    </w:p>
    <w:p>
      <w:pPr>
        <w:pStyle w:val="2"/>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9、一体化电源配置：</w:t>
      </w:r>
    </w:p>
    <w:p>
      <w:pPr>
        <w:pStyle w:val="2"/>
        <w:ind w:left="0" w:leftChars="0" w:firstLine="0" w:firstLine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蓄电池组数：</w:t>
      </w:r>
      <w:r>
        <w:rPr>
          <w:rFonts w:hint="eastAsia" w:ascii="宋体" w:cs="宋体"/>
          <w:color w:val="auto"/>
          <w:kern w:val="0"/>
          <w:sz w:val="28"/>
          <w:szCs w:val="28"/>
          <w:lang w:val="en-US" w:eastAsia="zh-CN"/>
        </w:rPr>
        <w:t>三</w:t>
      </w:r>
      <w:r>
        <w:rPr>
          <w:rFonts w:hint="default" w:ascii="宋体" w:cs="宋体"/>
          <w:color w:val="auto"/>
          <w:kern w:val="0"/>
          <w:sz w:val="28"/>
          <w:szCs w:val="28"/>
          <w:lang w:val="en-US" w:eastAsia="zh-CN"/>
        </w:rPr>
        <w:t>组。</w:t>
      </w:r>
    </w:p>
    <w:p>
      <w:pPr>
        <w:pStyle w:val="2"/>
        <w:ind w:left="0" w:leftChars="0" w:firstLine="0" w:firstLine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蓄电池型式：阀控式密封铅酸蓄电池。</w:t>
      </w:r>
    </w:p>
    <w:p>
      <w:pPr>
        <w:pStyle w:val="2"/>
        <w:ind w:left="0" w:leftChars="0" w:firstLine="0" w:firstLine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蓄电池组容量：300A</w:t>
      </w:r>
      <w:r>
        <w:rPr>
          <w:rFonts w:hint="eastAsia" w:ascii="宋体" w:cs="宋体"/>
          <w:color w:val="auto"/>
          <w:kern w:val="0"/>
          <w:sz w:val="28"/>
          <w:szCs w:val="28"/>
          <w:lang w:val="en-US" w:eastAsia="zh-CN"/>
        </w:rPr>
        <w:t>H</w:t>
      </w:r>
      <w:r>
        <w:rPr>
          <w:rFonts w:hint="default" w:ascii="宋体" w:cs="宋体"/>
          <w:color w:val="auto"/>
          <w:kern w:val="0"/>
          <w:sz w:val="28"/>
          <w:szCs w:val="28"/>
          <w:lang w:val="en-US" w:eastAsia="zh-CN"/>
        </w:rPr>
        <w:t>。</w:t>
      </w:r>
    </w:p>
    <w:p>
      <w:pPr>
        <w:pStyle w:val="2"/>
        <w:ind w:left="0" w:leftChars="0" w:firstLine="0" w:firstLine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母线两组，每组</w:t>
      </w:r>
      <w:r>
        <w:rPr>
          <w:rFonts w:hint="default" w:ascii="宋体" w:cs="宋体"/>
          <w:color w:val="auto"/>
          <w:kern w:val="0"/>
          <w:sz w:val="28"/>
          <w:szCs w:val="28"/>
          <w:lang w:val="en-US" w:eastAsia="zh-CN"/>
        </w:rPr>
        <w:t>蓄电池个数：</w:t>
      </w:r>
      <w:r>
        <w:rPr>
          <w:rFonts w:hint="eastAsia" w:ascii="宋体" w:cs="宋体"/>
          <w:color w:val="auto"/>
          <w:kern w:val="0"/>
          <w:sz w:val="28"/>
          <w:szCs w:val="28"/>
          <w:lang w:val="en-US" w:eastAsia="zh-CN"/>
        </w:rPr>
        <w:t>220V</w:t>
      </w:r>
      <w:r>
        <w:rPr>
          <w:rFonts w:hint="default" w:ascii="宋体" w:cs="宋体"/>
          <w:color w:val="auto"/>
          <w:kern w:val="0"/>
          <w:sz w:val="28"/>
          <w:szCs w:val="28"/>
          <w:lang w:val="en-US" w:eastAsia="zh-CN"/>
        </w:rPr>
        <w:t>系统</w:t>
      </w:r>
      <w:r>
        <w:rPr>
          <w:rFonts w:hint="eastAsia" w:ascii="宋体" w:cs="宋体"/>
          <w:color w:val="auto"/>
          <w:kern w:val="0"/>
          <w:sz w:val="28"/>
          <w:szCs w:val="28"/>
          <w:lang w:val="en-US" w:eastAsia="zh-CN"/>
        </w:rPr>
        <w:t>108</w:t>
      </w:r>
      <w:r>
        <w:rPr>
          <w:rFonts w:hint="default" w:ascii="宋体" w:cs="宋体"/>
          <w:color w:val="auto"/>
          <w:kern w:val="0"/>
          <w:sz w:val="28"/>
          <w:szCs w:val="28"/>
          <w:lang w:val="en-US" w:eastAsia="zh-CN"/>
        </w:rPr>
        <w:t>只。</w:t>
      </w:r>
    </w:p>
    <w:p>
      <w:pPr>
        <w:pStyle w:val="2"/>
        <w:ind w:left="0" w:leftChars="0" w:firstLine="0" w:firstLine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通信</w:t>
      </w:r>
      <w:r>
        <w:rPr>
          <w:rFonts w:hint="eastAsia" w:ascii="宋体" w:cs="宋体"/>
          <w:color w:val="auto"/>
          <w:kern w:val="0"/>
          <w:sz w:val="28"/>
          <w:szCs w:val="28"/>
          <w:lang w:val="en-US" w:eastAsia="zh-CN"/>
        </w:rPr>
        <w:t>一组：</w:t>
      </w:r>
      <w:r>
        <w:rPr>
          <w:rFonts w:hint="default" w:ascii="宋体" w:cs="宋体"/>
          <w:color w:val="auto"/>
          <w:kern w:val="0"/>
          <w:sz w:val="28"/>
          <w:szCs w:val="28"/>
          <w:lang w:val="en-US" w:eastAsia="zh-CN"/>
        </w:rPr>
        <w:t>48V/300AH，24只</w:t>
      </w:r>
      <w:r>
        <w:rPr>
          <w:rFonts w:hint="eastAsia" w:ascii="宋体" w:cs="宋体"/>
          <w:color w:val="auto"/>
          <w:kern w:val="0"/>
          <w:sz w:val="28"/>
          <w:szCs w:val="28"/>
          <w:lang w:val="en-US" w:eastAsia="zh-CN"/>
        </w:rPr>
        <w:t>。</w:t>
      </w:r>
    </w:p>
    <w:p>
      <w:pPr>
        <w:pStyle w:val="2"/>
        <w:numPr>
          <w:ilvl w:val="0"/>
          <w:numId w:val="36"/>
        </w:numPr>
        <w:ind w:left="0" w:leftChars="0" w:firstLine="0" w:firstLine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直流电源系统应配备：总监控单元、220V高频开关电源模块、48V通信电源模块、雷击浪涌吸收器、仪表、电压电流采集装置、绝缘检测装置、蓄电池管理单元等。</w:t>
      </w:r>
    </w:p>
    <w:p>
      <w:pPr>
        <w:pStyle w:val="2"/>
        <w:numPr>
          <w:ilvl w:val="0"/>
          <w:numId w:val="36"/>
        </w:numPr>
        <w:ind w:left="0" w:leftChars="0" w:firstLine="0" w:firstLine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应满足在运行中两段母线切换时不中断供电的要求。切换过程中允许2组蓄电池短时并联运行。</w:t>
      </w:r>
    </w:p>
    <w:p>
      <w:pPr>
        <w:pStyle w:val="2"/>
        <w:numPr>
          <w:ilvl w:val="0"/>
          <w:numId w:val="36"/>
        </w:numPr>
        <w:ind w:left="0" w:leftChars="0" w:firstLine="0" w:firstLine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两段母线采用刀开关联络，每组蓄电池及充电装置应分别接入不同母线段。正常运行时，充电装置由两段380V交流电源经厂家内置的交流电源自投装置切换后供电，将交流整流为直流电后，通过双投刀熔开关分别接入充电母线和馈电母线，另设蓄电池上母线刀熔开关。如果有公用充电装置则输出通过双投刀熔开关分别接至两组蓄电池。</w:t>
      </w:r>
    </w:p>
    <w:p>
      <w:pPr>
        <w:pStyle w:val="2"/>
        <w:numPr>
          <w:ilvl w:val="0"/>
          <w:numId w:val="36"/>
        </w:numPr>
        <w:ind w:left="0" w:leftChars="0" w:firstLine="0" w:firstLine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直流电源系统开关应选用优质高分断直流断路器，上下级断路器应满足选择性配合要求，各断路器应配备跳闸报警触点，一个站的直流断路器应选用同一制造厂系列产品。</w:t>
      </w:r>
    </w:p>
    <w:p>
      <w:pPr>
        <w:pStyle w:val="2"/>
        <w:numPr>
          <w:ilvl w:val="0"/>
          <w:numId w:val="36"/>
        </w:numPr>
        <w:ind w:left="0" w:leftChars="0" w:firstLine="0" w:firstLine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蓄电池组等重要位置的熔断器、开关应装有辅助触点，并引至端子排。</w:t>
      </w:r>
    </w:p>
    <w:p>
      <w:pPr>
        <w:pStyle w:val="2"/>
        <w:numPr>
          <w:ilvl w:val="0"/>
          <w:numId w:val="36"/>
        </w:numPr>
        <w:ind w:left="0" w:leftChars="0" w:firstLine="0" w:firstLine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馈线开关带报警及辅助信号触点，有信号指示通断状态并配采集模块采集位置及跳闸信号，采集模块通过通信发信号到总监控单元。</w:t>
      </w:r>
    </w:p>
    <w:p>
      <w:pPr>
        <w:pStyle w:val="2"/>
        <w:numPr>
          <w:ilvl w:val="0"/>
          <w:numId w:val="36"/>
        </w:numPr>
        <w:ind w:left="0" w:leftChars="0" w:firstLine="0" w:firstLine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直流主母线及接头，应能满足相关规范要求的通流能力，母线应有阻燃绝缘套管。</w:t>
      </w:r>
    </w:p>
    <w:p>
      <w:pPr>
        <w:pStyle w:val="2"/>
        <w:numPr>
          <w:ilvl w:val="0"/>
          <w:numId w:val="36"/>
        </w:numPr>
        <w:ind w:left="0" w:leftChars="0" w:firstLine="0" w:firstLine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直流采用放射状结构供电，严禁环路。</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10、直流电源系统绝缘检测装置</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1）直流电源系统绝缘检测装置应具备的主要功能：在线监测直流电源系统对地绝缘状况（包括直流母线和各个馈线回路绝缘状况），并自动检出故障回路，能监测母线正对地、母线负对地电压，能检测出每个支路的正对地电阻和负对地电阻。</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（2）绝缘检测装置不宜对直流电源系统注入交流信号。</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（3）绝缘检测装置应与成套装置中的总监控单元或变电站监控系统通信。</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（4）被测母线及支路正极、负极对地绝缘电阻报警值可由检测装置设置，报警值宜设置为25k（220V系统），母线对地电压检测误差不大于±2％，支路电阻检测误差不大于±10%。</w:t>
      </w:r>
    </w:p>
    <w:p>
      <w:pPr>
        <w:spacing w:line="360" w:lineRule="auto"/>
        <w:outlineLvl w:val="2"/>
        <w:rPr>
          <w:rFonts w:hint="eastAsia" w:ascii="Times New Roman" w:hAnsi="Times New Roman" w:eastAsia="宋体" w:cs="Times New Roman"/>
          <w:b/>
          <w:kern w:val="0"/>
          <w:sz w:val="28"/>
          <w:szCs w:val="21"/>
          <w:lang w:val="en-US" w:eastAsia="zh-CN" w:bidi="ar-SA"/>
        </w:rPr>
      </w:pPr>
      <w:bookmarkStart w:id="178" w:name="_Toc1575"/>
      <w:r>
        <w:rPr>
          <w:rFonts w:hint="eastAsia" w:ascii="Times New Roman" w:hAnsi="Times New Roman" w:eastAsia="宋体" w:cs="Times New Roman"/>
          <w:b/>
          <w:kern w:val="0"/>
          <w:sz w:val="28"/>
          <w:szCs w:val="21"/>
          <w:lang w:val="en-US" w:eastAsia="zh-CN" w:bidi="ar-SA"/>
        </w:rPr>
        <w:t>2.4.9继电保护</w:t>
      </w:r>
      <w:r>
        <w:rPr>
          <w:rFonts w:hint="eastAsia" w:cs="Times New Roman"/>
          <w:b/>
          <w:kern w:val="0"/>
          <w:sz w:val="28"/>
          <w:szCs w:val="21"/>
          <w:lang w:val="en-US" w:eastAsia="zh-CN" w:bidi="ar-SA"/>
        </w:rPr>
        <w:t>设计</w:t>
      </w:r>
      <w:r>
        <w:rPr>
          <w:rFonts w:hint="eastAsia" w:ascii="Times New Roman" w:hAnsi="Times New Roman" w:eastAsia="宋体" w:cs="Times New Roman"/>
          <w:b/>
          <w:kern w:val="0"/>
          <w:sz w:val="28"/>
          <w:szCs w:val="21"/>
          <w:lang w:val="en-US" w:eastAsia="zh-CN" w:bidi="ar-SA"/>
        </w:rPr>
        <w:t>要求</w:t>
      </w:r>
      <w:bookmarkEnd w:id="178"/>
    </w:p>
    <w:p>
      <w:pPr>
        <w:numPr>
          <w:ilvl w:val="0"/>
          <w:numId w:val="37"/>
        </w:numPr>
        <w:spacing w:line="360" w:lineRule="auto"/>
        <w:ind w:left="0" w:leftChars="0" w:firstLine="0" w:firstLineChars="0"/>
        <w:rPr>
          <w:rFonts w:hint="default" w:ascii="宋体" w:cs="宋体"/>
          <w:kern w:val="0"/>
          <w:sz w:val="28"/>
          <w:szCs w:val="28"/>
          <w:lang w:val="en-US" w:eastAsia="zh-CN"/>
        </w:rPr>
      </w:pPr>
      <w:r>
        <w:rPr>
          <w:rFonts w:hint="eastAsia" w:ascii="宋体" w:cs="宋体"/>
          <w:kern w:val="0"/>
          <w:sz w:val="28"/>
          <w:szCs w:val="28"/>
          <w:lang w:val="en-US" w:eastAsia="zh-CN"/>
        </w:rPr>
        <w:t>继电保护</w:t>
      </w:r>
      <w:r>
        <w:rPr>
          <w:rFonts w:hint="default" w:ascii="宋体" w:cs="宋体"/>
          <w:kern w:val="0"/>
          <w:sz w:val="28"/>
          <w:szCs w:val="28"/>
          <w:lang w:val="en-US" w:eastAsia="zh-CN"/>
        </w:rPr>
        <w:t>设计应以合理的运行方式和可能的故障类型为依据，并应满足可靠性、选择性、灵敏性和速动性四项基本要求</w:t>
      </w:r>
      <w:r>
        <w:rPr>
          <w:rFonts w:hint="eastAsia" w:ascii="宋体" w:cs="宋体"/>
          <w:kern w:val="0"/>
          <w:sz w:val="28"/>
          <w:szCs w:val="28"/>
          <w:lang w:val="en-US" w:eastAsia="zh-CN"/>
        </w:rPr>
        <w:t>，同时满足供电答复函的要求及现行国家标准《继电保护和安全自动装置技术规程》GB/T14285、《电力装置的继电保护和自动装置设计规范》GB/T50062的有关规定规定。</w:t>
      </w:r>
    </w:p>
    <w:p>
      <w:pPr>
        <w:numPr>
          <w:ilvl w:val="0"/>
          <w:numId w:val="37"/>
        </w:numPr>
        <w:spacing w:line="360" w:lineRule="auto"/>
        <w:ind w:left="0" w:leftChars="0" w:firstLine="0" w:firstLineChars="0"/>
        <w:rPr>
          <w:rFonts w:hint="default" w:ascii="宋体" w:cs="宋体"/>
          <w:kern w:val="0"/>
          <w:sz w:val="28"/>
          <w:szCs w:val="28"/>
          <w:lang w:val="en-US" w:eastAsia="zh-CN"/>
        </w:rPr>
      </w:pPr>
      <w:r>
        <w:rPr>
          <w:rFonts w:hint="eastAsia" w:ascii="宋体" w:cs="宋体"/>
          <w:kern w:val="0"/>
          <w:sz w:val="28"/>
          <w:szCs w:val="28"/>
          <w:lang w:val="en-US" w:eastAsia="zh-CN"/>
        </w:rPr>
        <w:t>本次招标</w:t>
      </w:r>
      <w:r>
        <w:rPr>
          <w:rFonts w:hint="default" w:ascii="宋体" w:cs="宋体"/>
          <w:kern w:val="0"/>
          <w:sz w:val="28"/>
          <w:szCs w:val="28"/>
          <w:lang w:val="en-US" w:eastAsia="zh-CN"/>
        </w:rPr>
        <w:t>配电系统中的电力设备和线路应装设短路故障保护，短路故障保护有主保护和后备保护</w:t>
      </w:r>
      <w:r>
        <w:rPr>
          <w:rFonts w:hint="eastAsia" w:ascii="宋体" w:cs="宋体"/>
          <w:kern w:val="0"/>
          <w:sz w:val="28"/>
          <w:szCs w:val="28"/>
          <w:lang w:val="en-US" w:eastAsia="zh-CN"/>
        </w:rPr>
        <w:t>、异常运行保护、辅助保护。</w:t>
      </w:r>
    </w:p>
    <w:p>
      <w:pPr>
        <w:numPr>
          <w:ilvl w:val="0"/>
          <w:numId w:val="37"/>
        </w:numPr>
        <w:spacing w:line="360" w:lineRule="auto"/>
        <w:ind w:left="0" w:leftChars="0" w:firstLine="0" w:firstLineChars="0"/>
        <w:rPr>
          <w:rFonts w:hint="default" w:ascii="宋体" w:cs="宋体"/>
          <w:kern w:val="0"/>
          <w:sz w:val="28"/>
          <w:szCs w:val="28"/>
          <w:lang w:val="en-US" w:eastAsia="zh-CN"/>
        </w:rPr>
      </w:pPr>
      <w:r>
        <w:rPr>
          <w:rFonts w:hint="default" w:ascii="宋体" w:cs="宋体"/>
          <w:kern w:val="0"/>
          <w:sz w:val="28"/>
          <w:szCs w:val="28"/>
          <w:lang w:val="en-US" w:eastAsia="zh-CN"/>
        </w:rPr>
        <w:t>微机保护装置的</w:t>
      </w:r>
      <w:r>
        <w:rPr>
          <w:rFonts w:hint="eastAsia" w:ascii="宋体" w:cs="宋体"/>
          <w:kern w:val="0"/>
          <w:sz w:val="28"/>
          <w:szCs w:val="28"/>
          <w:lang w:val="en-US" w:eastAsia="zh-CN"/>
        </w:rPr>
        <w:t>技术</w:t>
      </w:r>
      <w:r>
        <w:rPr>
          <w:rFonts w:hint="default" w:ascii="宋体" w:cs="宋体"/>
          <w:kern w:val="0"/>
          <w:sz w:val="28"/>
          <w:szCs w:val="28"/>
          <w:lang w:val="en-US" w:eastAsia="zh-CN"/>
        </w:rPr>
        <w:t>要求</w:t>
      </w:r>
      <w:r>
        <w:rPr>
          <w:rFonts w:hint="eastAsia" w:ascii="宋体" w:cs="宋体"/>
          <w:kern w:val="0"/>
          <w:sz w:val="28"/>
          <w:szCs w:val="28"/>
          <w:lang w:val="en-US" w:eastAsia="zh-CN"/>
        </w:rPr>
        <w:t>：</w:t>
      </w:r>
    </w:p>
    <w:p>
      <w:pPr>
        <w:numPr>
          <w:ilvl w:val="0"/>
          <w:numId w:val="38"/>
        </w:numPr>
        <w:spacing w:line="360" w:lineRule="auto"/>
        <w:outlineLvl w:val="9"/>
        <w:rPr>
          <w:rFonts w:hint="eastAsia" w:ascii="宋体" w:cs="宋体"/>
          <w:kern w:val="0"/>
          <w:sz w:val="28"/>
          <w:szCs w:val="28"/>
          <w:lang w:val="en-US" w:eastAsia="zh-CN"/>
        </w:rPr>
      </w:pPr>
      <w:r>
        <w:rPr>
          <w:rFonts w:hint="eastAsia" w:ascii="宋体" w:cs="宋体"/>
          <w:kern w:val="0"/>
          <w:sz w:val="28"/>
          <w:szCs w:val="28"/>
          <w:lang w:val="en-US" w:eastAsia="zh-CN"/>
        </w:rPr>
        <w:t>将被保护设备或线路的主保护（包括光纤差动保护等）及后备保护综合在一整套装置内，共用直流电源输入回路及交流电压互感器和电流互感器的二次回路。反应被保护设备或线路的各种故障及异常状态，并动作于跳闸或给出信号。</w:t>
      </w:r>
    </w:p>
    <w:p>
      <w:pPr>
        <w:numPr>
          <w:ilvl w:val="0"/>
          <w:numId w:val="38"/>
        </w:numPr>
        <w:spacing w:line="360" w:lineRule="auto"/>
        <w:outlineLvl w:val="9"/>
        <w:rPr>
          <w:rFonts w:hint="eastAsia" w:ascii="宋体" w:cs="宋体"/>
          <w:kern w:val="0"/>
          <w:sz w:val="28"/>
          <w:szCs w:val="28"/>
          <w:lang w:val="en-US" w:eastAsia="zh-CN"/>
        </w:rPr>
      </w:pPr>
      <w:r>
        <w:rPr>
          <w:rFonts w:hint="eastAsia" w:ascii="宋体" w:cs="宋体"/>
          <w:kern w:val="0"/>
          <w:sz w:val="28"/>
          <w:szCs w:val="28"/>
          <w:lang w:val="en-US" w:eastAsia="zh-CN"/>
        </w:rPr>
        <w:t>保护装置应尽可能根据输入的电流、电压量，自行判别系统运行状态的变化，减少外接相关的输入信号来执行其应完成的功能。</w:t>
      </w:r>
    </w:p>
    <w:p>
      <w:pPr>
        <w:numPr>
          <w:ilvl w:val="0"/>
          <w:numId w:val="38"/>
        </w:numPr>
        <w:spacing w:line="360" w:lineRule="auto"/>
        <w:outlineLvl w:val="9"/>
        <w:rPr>
          <w:rFonts w:hint="eastAsia" w:ascii="宋体" w:cs="宋体"/>
          <w:kern w:val="0"/>
          <w:sz w:val="28"/>
          <w:szCs w:val="28"/>
          <w:lang w:val="en-US" w:eastAsia="zh-CN"/>
        </w:rPr>
      </w:pPr>
      <w:r>
        <w:rPr>
          <w:rFonts w:hint="eastAsia" w:ascii="宋体" w:cs="宋体"/>
          <w:kern w:val="0"/>
          <w:sz w:val="28"/>
          <w:szCs w:val="28"/>
          <w:lang w:val="en-US" w:eastAsia="zh-CN"/>
        </w:rPr>
        <w:t>对适用于110kV及以上电压线路的保护装置，应具有测量故障点距离的功能故障测距的精度要求为：对金属性短路误差不大于线路全长的±3%</w:t>
      </w:r>
    </w:p>
    <w:p>
      <w:pPr>
        <w:numPr>
          <w:ilvl w:val="0"/>
          <w:numId w:val="38"/>
        </w:numPr>
        <w:spacing w:line="360" w:lineRule="auto"/>
        <w:outlineLvl w:val="9"/>
        <w:rPr>
          <w:rFonts w:hint="eastAsia" w:ascii="宋体" w:cs="宋体"/>
          <w:kern w:val="0"/>
          <w:sz w:val="28"/>
          <w:szCs w:val="28"/>
          <w:lang w:val="en-US" w:eastAsia="zh-CN"/>
        </w:rPr>
      </w:pPr>
      <w:r>
        <w:rPr>
          <w:rFonts w:hint="eastAsia" w:ascii="宋体" w:cs="宋体"/>
          <w:kern w:val="0"/>
          <w:sz w:val="28"/>
          <w:szCs w:val="28"/>
          <w:lang w:val="en-US" w:eastAsia="zh-CN"/>
        </w:rPr>
        <w:t>保护装置应具有在线自动检测功能，包括保护硬件损坏、功能失效和二次回路异常运行状态的自动检测。</w:t>
      </w:r>
    </w:p>
    <w:p>
      <w:pPr>
        <w:numPr>
          <w:ilvl w:val="0"/>
          <w:numId w:val="38"/>
        </w:numPr>
        <w:spacing w:line="360" w:lineRule="auto"/>
        <w:outlineLvl w:val="9"/>
        <w:rPr>
          <w:rFonts w:hint="eastAsia" w:ascii="宋体" w:cs="宋体"/>
          <w:kern w:val="0"/>
          <w:sz w:val="28"/>
          <w:szCs w:val="28"/>
          <w:lang w:val="en-US" w:eastAsia="zh-CN"/>
        </w:rPr>
      </w:pPr>
      <w:r>
        <w:rPr>
          <w:rFonts w:hint="eastAsia" w:ascii="宋体" w:cs="宋体"/>
          <w:kern w:val="0"/>
          <w:sz w:val="28"/>
          <w:szCs w:val="28"/>
          <w:lang w:val="en-US" w:eastAsia="zh-CN"/>
        </w:rPr>
        <w:t>自动检测必须是在线自动检测，不应由外部手段启动；并应实现完善的检测，做到只要不告警，装置就处于正常工作状态，但应防止误告警。</w:t>
      </w:r>
    </w:p>
    <w:p>
      <w:pPr>
        <w:numPr>
          <w:ilvl w:val="0"/>
          <w:numId w:val="38"/>
        </w:numPr>
        <w:spacing w:line="360" w:lineRule="auto"/>
        <w:outlineLvl w:val="9"/>
        <w:rPr>
          <w:rFonts w:hint="eastAsia" w:ascii="宋体" w:cs="宋体"/>
          <w:kern w:val="0"/>
          <w:sz w:val="28"/>
          <w:szCs w:val="28"/>
          <w:lang w:val="en-US" w:eastAsia="zh-CN"/>
        </w:rPr>
      </w:pPr>
      <w:r>
        <w:rPr>
          <w:rFonts w:hint="eastAsia" w:ascii="宋体" w:cs="宋体"/>
          <w:kern w:val="0"/>
          <w:sz w:val="28"/>
          <w:szCs w:val="28"/>
          <w:lang w:val="en-US" w:eastAsia="zh-CN"/>
        </w:rPr>
        <w:t>除出口继电器外，装置内的任一元件损坏时，装置不应误动作跳闸，自动检测回路应能发出告警或装置异常信号，并给出有关信息指明损坏元件的所在部位，在最不利的情况下应能将故障定位至模块（插件）。</w:t>
      </w:r>
    </w:p>
    <w:p>
      <w:pPr>
        <w:numPr>
          <w:ilvl w:val="0"/>
          <w:numId w:val="38"/>
        </w:numPr>
        <w:spacing w:line="360" w:lineRule="auto"/>
        <w:outlineLvl w:val="9"/>
        <w:rPr>
          <w:rFonts w:hint="eastAsia" w:ascii="宋体" w:cs="宋体"/>
          <w:kern w:val="0"/>
          <w:sz w:val="28"/>
          <w:szCs w:val="28"/>
          <w:lang w:val="en-US" w:eastAsia="zh-CN"/>
        </w:rPr>
      </w:pPr>
      <w:r>
        <w:rPr>
          <w:rFonts w:hint="eastAsia" w:ascii="宋体" w:cs="宋体"/>
          <w:kern w:val="0"/>
          <w:sz w:val="28"/>
          <w:szCs w:val="28"/>
          <w:lang w:val="en-US" w:eastAsia="zh-CN"/>
        </w:rPr>
        <w:t>保护装置的定值应满足保护功能的要求，应尽可能做到简单、易整定。</w:t>
      </w:r>
    </w:p>
    <w:p>
      <w:pPr>
        <w:numPr>
          <w:ilvl w:val="0"/>
          <w:numId w:val="38"/>
        </w:numPr>
        <w:spacing w:line="360" w:lineRule="auto"/>
        <w:outlineLvl w:val="9"/>
        <w:rPr>
          <w:rFonts w:hint="eastAsia" w:ascii="宋体" w:cs="宋体"/>
          <w:kern w:val="0"/>
          <w:sz w:val="28"/>
          <w:szCs w:val="28"/>
          <w:lang w:val="en-US" w:eastAsia="zh-CN"/>
        </w:rPr>
      </w:pPr>
      <w:r>
        <w:rPr>
          <w:rFonts w:hint="eastAsia" w:ascii="宋体" w:cs="宋体"/>
          <w:kern w:val="0"/>
          <w:sz w:val="28"/>
          <w:szCs w:val="28"/>
          <w:lang w:val="en-US" w:eastAsia="zh-CN"/>
        </w:rPr>
        <w:t>保护装置故障记录的要求：</w:t>
      </w:r>
    </w:p>
    <w:p>
      <w:pPr>
        <w:numPr>
          <w:ilvl w:val="0"/>
          <w:numId w:val="0"/>
        </w:numPr>
        <w:spacing w:line="360" w:lineRule="auto"/>
        <w:outlineLvl w:val="9"/>
        <w:rPr>
          <w:rFonts w:hint="eastAsia" w:ascii="宋体" w:cs="宋体"/>
          <w:kern w:val="0"/>
          <w:sz w:val="28"/>
          <w:szCs w:val="28"/>
          <w:lang w:val="en-US" w:eastAsia="zh-CN"/>
        </w:rPr>
      </w:pPr>
      <w:r>
        <w:rPr>
          <w:rFonts w:hint="eastAsia" w:ascii="宋体" w:cs="宋体"/>
          <w:kern w:val="0"/>
          <w:sz w:val="28"/>
          <w:szCs w:val="28"/>
          <w:lang w:val="en-US" w:eastAsia="zh-CN"/>
        </w:rPr>
        <w:t>1）记录内容应为故障时的输入模拟量和开关量、输出开关量、动作元件、动作时间、返回时间、相别；</w:t>
      </w:r>
    </w:p>
    <w:p>
      <w:pPr>
        <w:numPr>
          <w:ilvl w:val="0"/>
          <w:numId w:val="0"/>
        </w:numPr>
        <w:spacing w:line="360" w:lineRule="auto"/>
        <w:outlineLvl w:val="9"/>
        <w:rPr>
          <w:rFonts w:hint="eastAsia" w:ascii="宋体" w:cs="宋体"/>
          <w:kern w:val="0"/>
          <w:sz w:val="28"/>
          <w:szCs w:val="28"/>
          <w:lang w:val="en-US" w:eastAsia="zh-CN"/>
        </w:rPr>
      </w:pPr>
      <w:r>
        <w:rPr>
          <w:rFonts w:hint="eastAsia" w:ascii="宋体" w:cs="宋体"/>
          <w:kern w:val="0"/>
          <w:sz w:val="28"/>
          <w:szCs w:val="28"/>
          <w:lang w:val="en-US" w:eastAsia="zh-CN"/>
        </w:rPr>
        <w:t>2）应能保证发生故障时不丢失故障记录信息；</w:t>
      </w:r>
    </w:p>
    <w:p>
      <w:pPr>
        <w:numPr>
          <w:ilvl w:val="0"/>
          <w:numId w:val="0"/>
        </w:numPr>
        <w:spacing w:line="360" w:lineRule="auto"/>
        <w:outlineLvl w:val="9"/>
        <w:rPr>
          <w:rFonts w:hint="eastAsia" w:ascii="宋体" w:cs="宋体"/>
          <w:kern w:val="0"/>
          <w:sz w:val="28"/>
          <w:szCs w:val="28"/>
          <w:lang w:val="en-US" w:eastAsia="zh-CN"/>
        </w:rPr>
      </w:pPr>
      <w:r>
        <w:rPr>
          <w:rFonts w:hint="eastAsia" w:ascii="宋体" w:cs="宋体"/>
          <w:kern w:val="0"/>
          <w:sz w:val="28"/>
          <w:szCs w:val="28"/>
          <w:lang w:val="en-US" w:eastAsia="zh-CN"/>
        </w:rPr>
        <w:t>3）应能保证在装置直流电源消失时，不丢失已记录信息。</w:t>
      </w:r>
    </w:p>
    <w:p>
      <w:pPr>
        <w:numPr>
          <w:ilvl w:val="0"/>
          <w:numId w:val="0"/>
        </w:numPr>
        <w:spacing w:line="360" w:lineRule="auto"/>
        <w:outlineLvl w:val="9"/>
        <w:rPr>
          <w:rFonts w:hint="eastAsia" w:ascii="宋体" w:cs="宋体"/>
          <w:kern w:val="0"/>
          <w:sz w:val="28"/>
          <w:szCs w:val="28"/>
          <w:lang w:val="en-US" w:eastAsia="zh-CN"/>
        </w:rPr>
      </w:pPr>
      <w:r>
        <w:rPr>
          <w:rFonts w:hint="eastAsia" w:ascii="宋体" w:cs="宋体"/>
          <w:kern w:val="0"/>
          <w:sz w:val="28"/>
          <w:szCs w:val="28"/>
          <w:lang w:val="en-US" w:eastAsia="zh-CN"/>
        </w:rPr>
        <w:t>（9）保护装置应以时间顺序记录的方式记录正常运行的操作信息，如开关变位、开入量输入变位、压板切换、定值修改、定值区切换等，记录应保证充足的容量。</w:t>
      </w:r>
    </w:p>
    <w:p>
      <w:pPr>
        <w:numPr>
          <w:ilvl w:val="0"/>
          <w:numId w:val="0"/>
        </w:numPr>
        <w:spacing w:line="360" w:lineRule="auto"/>
        <w:outlineLvl w:val="9"/>
        <w:rPr>
          <w:rFonts w:hint="eastAsia" w:ascii="宋体" w:cs="宋体"/>
          <w:kern w:val="0"/>
          <w:sz w:val="28"/>
          <w:szCs w:val="28"/>
          <w:lang w:val="en-US" w:eastAsia="zh-CN"/>
        </w:rPr>
      </w:pPr>
      <w:r>
        <w:rPr>
          <w:rFonts w:hint="eastAsia" w:ascii="宋体" w:cs="宋体"/>
          <w:kern w:val="0"/>
          <w:sz w:val="28"/>
          <w:szCs w:val="28"/>
          <w:lang w:val="en-US" w:eastAsia="zh-CN"/>
        </w:rPr>
        <w:t>（10）保护装置应配置能与自动化系统相连的通信接口，且应符合供电答复函标准要求。</w:t>
      </w:r>
    </w:p>
    <w:p>
      <w:pPr>
        <w:numPr>
          <w:ilvl w:val="0"/>
          <w:numId w:val="0"/>
        </w:numPr>
        <w:spacing w:line="360" w:lineRule="auto"/>
        <w:outlineLvl w:val="9"/>
        <w:rPr>
          <w:rFonts w:hint="eastAsia" w:ascii="宋体" w:cs="宋体"/>
          <w:kern w:val="0"/>
          <w:sz w:val="28"/>
          <w:szCs w:val="28"/>
          <w:lang w:val="en-US" w:eastAsia="zh-CN"/>
        </w:rPr>
      </w:pPr>
      <w:r>
        <w:rPr>
          <w:rFonts w:hint="eastAsia" w:ascii="宋体" w:cs="宋体"/>
          <w:kern w:val="0"/>
          <w:sz w:val="28"/>
          <w:szCs w:val="28"/>
          <w:lang w:val="en-US" w:eastAsia="zh-CN"/>
        </w:rPr>
        <w:t>（11）保护装置的软件应设有安全防护措施，防止程序出现不符合要求的更改。</w:t>
      </w:r>
    </w:p>
    <w:p>
      <w:pPr>
        <w:numPr>
          <w:ilvl w:val="0"/>
          <w:numId w:val="0"/>
        </w:numPr>
        <w:spacing w:line="360" w:lineRule="auto"/>
        <w:outlineLvl w:val="9"/>
        <w:rPr>
          <w:rFonts w:hint="eastAsia" w:ascii="Times New Roman" w:hAnsi="Times New Roman" w:eastAsia="宋体" w:cs="Times New Roman"/>
          <w:b w:val="0"/>
          <w:bCs/>
          <w:kern w:val="0"/>
          <w:sz w:val="28"/>
          <w:szCs w:val="21"/>
          <w:lang w:val="en-US" w:eastAsia="zh-CN" w:bidi="ar-SA"/>
        </w:rPr>
      </w:pPr>
      <w:r>
        <w:rPr>
          <w:rFonts w:hint="eastAsia" w:cs="Times New Roman"/>
          <w:b w:val="0"/>
          <w:bCs/>
          <w:kern w:val="0"/>
          <w:sz w:val="28"/>
          <w:szCs w:val="21"/>
          <w:lang w:val="en-US" w:eastAsia="zh-CN" w:bidi="ar-SA"/>
        </w:rPr>
        <w:t>4、</w:t>
      </w:r>
      <w:r>
        <w:rPr>
          <w:rFonts w:hint="eastAsia" w:ascii="Times New Roman" w:hAnsi="Times New Roman" w:eastAsia="宋体" w:cs="Times New Roman"/>
          <w:b w:val="0"/>
          <w:bCs/>
          <w:kern w:val="0"/>
          <w:sz w:val="28"/>
          <w:szCs w:val="21"/>
          <w:lang w:val="en-US" w:eastAsia="zh-CN" w:bidi="ar-SA"/>
        </w:rPr>
        <w:t>断路器控制回路技术要求</w:t>
      </w:r>
    </w:p>
    <w:p>
      <w:pPr>
        <w:numPr>
          <w:ilvl w:val="0"/>
          <w:numId w:val="0"/>
        </w:numPr>
        <w:spacing w:line="360" w:lineRule="auto"/>
        <w:rPr>
          <w:rFonts w:hint="default" w:ascii="宋体" w:cs="宋体"/>
          <w:kern w:val="0"/>
          <w:sz w:val="28"/>
          <w:szCs w:val="28"/>
          <w:lang w:val="en-US" w:eastAsia="zh-CN"/>
        </w:rPr>
      </w:pPr>
      <w:r>
        <w:rPr>
          <w:rFonts w:hint="eastAsia" w:ascii="宋体" w:cs="宋体"/>
          <w:kern w:val="0"/>
          <w:sz w:val="28"/>
          <w:szCs w:val="28"/>
          <w:lang w:val="en-US" w:eastAsia="zh-CN"/>
        </w:rPr>
        <w:t>（1）</w:t>
      </w:r>
      <w:r>
        <w:rPr>
          <w:rFonts w:hint="default" w:ascii="宋体" w:cs="宋体"/>
          <w:kern w:val="0"/>
          <w:sz w:val="28"/>
          <w:szCs w:val="28"/>
          <w:lang w:val="en-US" w:eastAsia="zh-CN"/>
        </w:rPr>
        <w:t>应有电源监视，并宜监视跳、合闸绕组回路的完整性（在合闸线圈及合闸接触器线圈上不允许并接电阻）。</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（2）</w:t>
      </w:r>
      <w:r>
        <w:rPr>
          <w:rFonts w:hint="default" w:ascii="宋体" w:cs="宋体"/>
          <w:kern w:val="0"/>
          <w:sz w:val="28"/>
          <w:szCs w:val="28"/>
          <w:lang w:val="en-US" w:eastAsia="zh-CN"/>
        </w:rPr>
        <w:t>应能指示断路器合闸与跳闸的位置状态，自动合闸或跳闸时应有明显信号</w:t>
      </w:r>
      <w:r>
        <w:rPr>
          <w:rFonts w:hint="eastAsia" w:ascii="宋体" w:cs="宋体"/>
          <w:kern w:val="0"/>
          <w:sz w:val="28"/>
          <w:szCs w:val="28"/>
          <w:lang w:val="en-US" w:eastAsia="zh-CN"/>
        </w:rPr>
        <w:t>。</w:t>
      </w:r>
    </w:p>
    <w:p>
      <w:pPr>
        <w:numPr>
          <w:ilvl w:val="0"/>
          <w:numId w:val="0"/>
        </w:numPr>
        <w:spacing w:line="360" w:lineRule="auto"/>
        <w:rPr>
          <w:rFonts w:hint="default" w:ascii="宋体" w:cs="宋体"/>
          <w:kern w:val="0"/>
          <w:sz w:val="28"/>
          <w:szCs w:val="28"/>
          <w:lang w:val="en-US" w:eastAsia="zh-CN"/>
        </w:rPr>
      </w:pPr>
      <w:r>
        <w:rPr>
          <w:rFonts w:hint="eastAsia" w:ascii="宋体" w:cs="宋体"/>
          <w:kern w:val="0"/>
          <w:sz w:val="28"/>
          <w:szCs w:val="28"/>
          <w:lang w:val="en-US" w:eastAsia="zh-CN"/>
        </w:rPr>
        <w:t>（3）</w:t>
      </w:r>
      <w:r>
        <w:rPr>
          <w:rFonts w:hint="default" w:ascii="宋体" w:cs="宋体"/>
          <w:kern w:val="0"/>
          <w:sz w:val="28"/>
          <w:szCs w:val="28"/>
          <w:lang w:val="en-US" w:eastAsia="zh-CN"/>
        </w:rPr>
        <w:t>有防止断路器跳跃（简称"防跳"）的电气闭锁装置。</w:t>
      </w:r>
    </w:p>
    <w:p>
      <w:pPr>
        <w:numPr>
          <w:ilvl w:val="0"/>
          <w:numId w:val="0"/>
        </w:numPr>
        <w:spacing w:line="360" w:lineRule="auto"/>
        <w:rPr>
          <w:rFonts w:hint="default" w:ascii="宋体" w:cs="宋体"/>
          <w:kern w:val="0"/>
          <w:sz w:val="28"/>
          <w:szCs w:val="28"/>
          <w:lang w:val="en-US" w:eastAsia="zh-CN"/>
        </w:rPr>
      </w:pPr>
      <w:r>
        <w:rPr>
          <w:rFonts w:hint="eastAsia" w:ascii="宋体" w:cs="宋体"/>
          <w:kern w:val="0"/>
          <w:sz w:val="28"/>
          <w:szCs w:val="28"/>
          <w:lang w:val="en-US" w:eastAsia="zh-CN"/>
        </w:rPr>
        <w:t>（4）</w:t>
      </w:r>
      <w:r>
        <w:rPr>
          <w:rFonts w:hint="default" w:ascii="宋体" w:cs="宋体"/>
          <w:kern w:val="0"/>
          <w:sz w:val="28"/>
          <w:szCs w:val="28"/>
          <w:lang w:val="en-US" w:eastAsia="zh-CN"/>
        </w:rPr>
        <w:t>合闸或跳闸完成后应使命令脉冲自动解除。</w:t>
      </w:r>
    </w:p>
    <w:p>
      <w:pPr>
        <w:numPr>
          <w:ilvl w:val="0"/>
          <w:numId w:val="0"/>
        </w:numPr>
        <w:spacing w:line="360" w:lineRule="auto"/>
        <w:rPr>
          <w:rFonts w:hint="default" w:ascii="宋体" w:cs="宋体"/>
          <w:kern w:val="0"/>
          <w:sz w:val="28"/>
          <w:szCs w:val="28"/>
          <w:lang w:val="en-US" w:eastAsia="zh-CN"/>
        </w:rPr>
      </w:pPr>
      <w:r>
        <w:rPr>
          <w:rFonts w:hint="eastAsia" w:ascii="宋体" w:cs="宋体"/>
          <w:kern w:val="0"/>
          <w:sz w:val="28"/>
          <w:szCs w:val="28"/>
          <w:lang w:val="en-US" w:eastAsia="zh-CN"/>
        </w:rPr>
        <w:t>（5）</w:t>
      </w:r>
      <w:r>
        <w:rPr>
          <w:rFonts w:hint="default" w:ascii="宋体" w:cs="宋体"/>
          <w:kern w:val="0"/>
          <w:sz w:val="28"/>
          <w:szCs w:val="28"/>
          <w:lang w:val="en-US" w:eastAsia="zh-CN"/>
        </w:rPr>
        <w:t>接线应简单可靠，使用电缆芯最少。</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w:t>
      </w:r>
      <w:r>
        <w:rPr>
          <w:rFonts w:hint="eastAsia" w:ascii="宋体" w:cs="宋体"/>
          <w:kern w:val="0"/>
          <w:sz w:val="28"/>
          <w:szCs w:val="28"/>
          <w:lang w:val="en-US" w:eastAsia="zh-CN"/>
        </w:rPr>
        <w:t>6</w:t>
      </w:r>
      <w:r>
        <w:rPr>
          <w:rFonts w:hint="default" w:ascii="宋体" w:cs="宋体"/>
          <w:kern w:val="0"/>
          <w:sz w:val="28"/>
          <w:szCs w:val="28"/>
          <w:lang w:val="en-US" w:eastAsia="zh-CN"/>
        </w:rPr>
        <w:t>）断路器宜采用双灯制接线的灯光监视回路。</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w:t>
      </w:r>
      <w:r>
        <w:rPr>
          <w:rFonts w:hint="eastAsia" w:ascii="宋体" w:cs="宋体"/>
          <w:kern w:val="0"/>
          <w:sz w:val="28"/>
          <w:szCs w:val="28"/>
          <w:lang w:val="en-US" w:eastAsia="zh-CN"/>
        </w:rPr>
        <w:t>7</w:t>
      </w:r>
      <w:r>
        <w:rPr>
          <w:rFonts w:hint="default" w:ascii="宋体" w:cs="宋体"/>
          <w:kern w:val="0"/>
          <w:sz w:val="28"/>
          <w:szCs w:val="28"/>
          <w:lang w:val="en-US" w:eastAsia="zh-CN"/>
        </w:rPr>
        <w:t>）各断路器应有事故跳闸信号。事故信号能使中央信号装置发出音响及灯光信号，并直接指示故障的性质。</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w:t>
      </w:r>
      <w:r>
        <w:rPr>
          <w:rFonts w:hint="eastAsia" w:ascii="宋体" w:cs="宋体"/>
          <w:kern w:val="0"/>
          <w:sz w:val="28"/>
          <w:szCs w:val="28"/>
          <w:lang w:val="en-US" w:eastAsia="zh-CN"/>
        </w:rPr>
        <w:t>8</w:t>
      </w:r>
      <w:r>
        <w:rPr>
          <w:rFonts w:hint="default" w:ascii="宋体" w:cs="宋体"/>
          <w:kern w:val="0"/>
          <w:sz w:val="28"/>
          <w:szCs w:val="28"/>
          <w:lang w:val="en-US" w:eastAsia="zh-CN"/>
        </w:rPr>
        <w:t>）有可能出现不正常情况的线路和回路，应有预告信号。预告信号应能使中央信号装 置发出音响及灯光信号，并直接指示故障的性质、发生故障的线路及回路。预告信号包括下列内容</w:t>
      </w:r>
      <w:r>
        <w:rPr>
          <w:rFonts w:hint="eastAsia" w:ascii="宋体" w:cs="宋体"/>
          <w:kern w:val="0"/>
          <w:sz w:val="28"/>
          <w:szCs w:val="28"/>
          <w:lang w:val="en-US" w:eastAsia="zh-CN"/>
        </w:rPr>
        <w:t>：</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1）变压器过负荷。</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2）变压器温度过高（油浸变压器为油温过高）。</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3）变压器温度信号装置电源故障。</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4）变压器轻瓦斯动作（油浸变压器）。</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5）变压器压力释放装置动作。</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6）自动装置动作。</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7）控制回路内故障（熔断器熔丝熔断或自动开关跳闸）。</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8）保护回路断线或跳、合闸回路断线。</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9）交流系统绝缘降低（高压中性点不接地系统）。</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10）直流系统绝缘降低。</w:t>
      </w:r>
    </w:p>
    <w:p>
      <w:pPr>
        <w:numPr>
          <w:ilvl w:val="0"/>
          <w:numId w:val="0"/>
        </w:numPr>
        <w:spacing w:line="360" w:lineRule="auto"/>
        <w:rPr>
          <w:rFonts w:hint="default" w:ascii="宋体" w:cs="宋体"/>
          <w:kern w:val="0"/>
          <w:sz w:val="28"/>
          <w:szCs w:val="28"/>
          <w:lang w:val="en-US" w:eastAsia="zh-CN"/>
        </w:rPr>
      </w:pPr>
      <w:r>
        <w:rPr>
          <w:rFonts w:hint="eastAsia" w:ascii="宋体" w:cs="宋体"/>
          <w:kern w:val="0"/>
          <w:sz w:val="28"/>
          <w:szCs w:val="28"/>
          <w:lang w:val="en-US" w:eastAsia="zh-CN"/>
        </w:rPr>
        <w:t>5、</w:t>
      </w:r>
      <w:r>
        <w:rPr>
          <w:rFonts w:hint="default" w:ascii="宋体" w:cs="宋体"/>
          <w:kern w:val="0"/>
          <w:sz w:val="28"/>
          <w:szCs w:val="28"/>
          <w:lang w:val="en-US" w:eastAsia="zh-CN"/>
        </w:rPr>
        <w:t>对110kV组合电器的每个间隔都要将下列信号送入监控系统;</w:t>
      </w:r>
    </w:p>
    <w:p>
      <w:pPr>
        <w:numPr>
          <w:ilvl w:val="0"/>
          <w:numId w:val="0"/>
        </w:numPr>
        <w:spacing w:line="360" w:lineRule="auto"/>
        <w:rPr>
          <w:rFonts w:hint="default" w:ascii="宋体" w:cs="宋体"/>
          <w:kern w:val="0"/>
          <w:sz w:val="28"/>
          <w:szCs w:val="28"/>
          <w:lang w:val="en-US" w:eastAsia="zh-CN"/>
        </w:rPr>
      </w:pPr>
      <w:r>
        <w:rPr>
          <w:rFonts w:hint="eastAsia" w:ascii="宋体" w:cs="宋体"/>
          <w:kern w:val="0"/>
          <w:sz w:val="28"/>
          <w:szCs w:val="28"/>
          <w:lang w:val="en-US" w:eastAsia="zh-CN"/>
        </w:rPr>
        <w:t>（1）</w:t>
      </w:r>
      <w:r>
        <w:rPr>
          <w:rFonts w:hint="default" w:ascii="宋体" w:cs="宋体"/>
          <w:kern w:val="0"/>
          <w:sz w:val="28"/>
          <w:szCs w:val="28"/>
          <w:lang w:val="en-US" w:eastAsia="zh-CN"/>
        </w:rPr>
        <w:t>断路器气室 SF</w:t>
      </w:r>
      <w:r>
        <w:rPr>
          <w:rFonts w:hint="eastAsia" w:ascii="宋体" w:cs="宋体"/>
          <w:kern w:val="0"/>
          <w:sz w:val="28"/>
          <w:szCs w:val="28"/>
          <w:lang w:val="en-US" w:eastAsia="zh-CN"/>
        </w:rPr>
        <w:t>6</w:t>
      </w:r>
      <w:r>
        <w:rPr>
          <w:rFonts w:hint="default" w:ascii="宋体" w:cs="宋体"/>
          <w:kern w:val="0"/>
          <w:sz w:val="28"/>
          <w:szCs w:val="28"/>
          <w:lang w:val="en-US" w:eastAsia="zh-CN"/>
        </w:rPr>
        <w:t>气体压力隆低报警。当断路器气室 SE</w:t>
      </w:r>
      <w:r>
        <w:rPr>
          <w:rFonts w:hint="eastAsia" w:ascii="宋体" w:cs="宋体"/>
          <w:kern w:val="0"/>
          <w:sz w:val="28"/>
          <w:szCs w:val="28"/>
          <w:lang w:val="en-US" w:eastAsia="zh-CN"/>
        </w:rPr>
        <w:t>6</w:t>
      </w:r>
      <w:r>
        <w:rPr>
          <w:rFonts w:hint="default" w:ascii="宋体" w:cs="宋体"/>
          <w:kern w:val="0"/>
          <w:sz w:val="28"/>
          <w:szCs w:val="28"/>
          <w:lang w:val="en-US" w:eastAsia="zh-CN"/>
        </w:rPr>
        <w:t>气体压力在室温 20℃以下降低到设定值1时，SF</w:t>
      </w:r>
      <w:r>
        <w:rPr>
          <w:rFonts w:hint="eastAsia" w:ascii="宋体" w:cs="宋体"/>
          <w:kern w:val="0"/>
          <w:sz w:val="28"/>
          <w:szCs w:val="28"/>
          <w:lang w:val="en-US" w:eastAsia="zh-CN"/>
        </w:rPr>
        <w:t>6</w:t>
      </w:r>
      <w:r>
        <w:rPr>
          <w:rFonts w:hint="default" w:ascii="宋体" w:cs="宋体"/>
          <w:kern w:val="0"/>
          <w:sz w:val="28"/>
          <w:szCs w:val="28"/>
          <w:lang w:val="en-US" w:eastAsia="zh-CN"/>
        </w:rPr>
        <w:t>气体低压报警开关动作，将信号送至就地信号灯和测控装置的信号采集输入回路。</w:t>
      </w:r>
    </w:p>
    <w:p>
      <w:pPr>
        <w:numPr>
          <w:ilvl w:val="0"/>
          <w:numId w:val="0"/>
        </w:numPr>
        <w:spacing w:line="360" w:lineRule="auto"/>
        <w:rPr>
          <w:rFonts w:hint="default" w:ascii="宋体" w:cs="宋体"/>
          <w:kern w:val="0"/>
          <w:sz w:val="28"/>
          <w:szCs w:val="28"/>
          <w:lang w:val="en-US" w:eastAsia="zh-CN"/>
        </w:rPr>
      </w:pPr>
      <w:r>
        <w:rPr>
          <w:rFonts w:hint="eastAsia" w:ascii="宋体" w:cs="宋体"/>
          <w:kern w:val="0"/>
          <w:sz w:val="28"/>
          <w:szCs w:val="28"/>
          <w:lang w:val="en-US" w:eastAsia="zh-CN"/>
        </w:rPr>
        <w:t>（2）</w:t>
      </w:r>
      <w:r>
        <w:rPr>
          <w:rFonts w:hint="default" w:ascii="宋体" w:cs="宋体"/>
          <w:kern w:val="0"/>
          <w:sz w:val="28"/>
          <w:szCs w:val="28"/>
          <w:lang w:val="en-US" w:eastAsia="zh-CN"/>
        </w:rPr>
        <w:t>断路器气室 SF</w:t>
      </w:r>
      <w:r>
        <w:rPr>
          <w:rFonts w:hint="eastAsia" w:ascii="宋体" w:cs="宋体"/>
          <w:kern w:val="0"/>
          <w:sz w:val="28"/>
          <w:szCs w:val="28"/>
          <w:lang w:val="en-US" w:eastAsia="zh-CN"/>
        </w:rPr>
        <w:t>6</w:t>
      </w:r>
      <w:r>
        <w:rPr>
          <w:rFonts w:hint="default" w:ascii="宋体" w:cs="宋体"/>
          <w:kern w:val="0"/>
          <w:sz w:val="28"/>
          <w:szCs w:val="28"/>
          <w:lang w:val="en-US" w:eastAsia="zh-CN"/>
        </w:rPr>
        <w:t>气体压力降低闭锁分、合闸回路报警。当断路器气室 SF</w:t>
      </w:r>
      <w:r>
        <w:rPr>
          <w:rFonts w:hint="eastAsia" w:ascii="宋体" w:cs="宋体"/>
          <w:kern w:val="0"/>
          <w:sz w:val="28"/>
          <w:szCs w:val="28"/>
          <w:lang w:val="en-US" w:eastAsia="zh-CN"/>
        </w:rPr>
        <w:t>6</w:t>
      </w:r>
      <w:r>
        <w:rPr>
          <w:rFonts w:hint="default" w:ascii="宋体" w:cs="宋体"/>
          <w:kern w:val="0"/>
          <w:sz w:val="28"/>
          <w:szCs w:val="28"/>
          <w:lang w:val="en-US" w:eastAsia="zh-CN"/>
        </w:rPr>
        <w:t>气体压力在室温 20℃以下继续降低到设定值2时，SF</w:t>
      </w:r>
      <w:r>
        <w:rPr>
          <w:rFonts w:hint="eastAsia" w:ascii="宋体" w:cs="宋体"/>
          <w:kern w:val="0"/>
          <w:sz w:val="28"/>
          <w:szCs w:val="28"/>
          <w:lang w:val="en-US" w:eastAsia="zh-CN"/>
        </w:rPr>
        <w:t>6</w:t>
      </w:r>
      <w:r>
        <w:rPr>
          <w:rFonts w:hint="default" w:ascii="宋体" w:cs="宋体"/>
          <w:kern w:val="0"/>
          <w:sz w:val="28"/>
          <w:szCs w:val="28"/>
          <w:lang w:val="en-US" w:eastAsia="zh-CN"/>
        </w:rPr>
        <w:t>气体低压报警开关动作，闭锁断路器的分合闸回路，并将信号送至就地信号灯和测控装置的信号采集输入回路。</w:t>
      </w:r>
    </w:p>
    <w:p>
      <w:pPr>
        <w:numPr>
          <w:ilvl w:val="0"/>
          <w:numId w:val="0"/>
        </w:numPr>
        <w:spacing w:line="360" w:lineRule="auto"/>
        <w:rPr>
          <w:rFonts w:hint="default" w:ascii="宋体" w:cs="宋体"/>
          <w:kern w:val="0"/>
          <w:sz w:val="28"/>
          <w:szCs w:val="28"/>
          <w:lang w:val="en-US" w:eastAsia="zh-CN"/>
        </w:rPr>
      </w:pPr>
      <w:r>
        <w:rPr>
          <w:rFonts w:hint="eastAsia" w:ascii="宋体" w:cs="宋体"/>
          <w:kern w:val="0"/>
          <w:sz w:val="28"/>
          <w:szCs w:val="28"/>
          <w:lang w:val="en-US" w:eastAsia="zh-CN"/>
        </w:rPr>
        <w:t>（3）</w:t>
      </w:r>
      <w:r>
        <w:rPr>
          <w:rFonts w:hint="default" w:ascii="宋体" w:cs="宋体"/>
          <w:kern w:val="0"/>
          <w:sz w:val="28"/>
          <w:szCs w:val="28"/>
          <w:lang w:val="en-US" w:eastAsia="zh-CN"/>
        </w:rPr>
        <w:t>断路器储能电动机故障报警。</w:t>
      </w:r>
    </w:p>
    <w:p>
      <w:pPr>
        <w:numPr>
          <w:ilvl w:val="0"/>
          <w:numId w:val="0"/>
        </w:numPr>
        <w:spacing w:line="360" w:lineRule="auto"/>
        <w:rPr>
          <w:rFonts w:hint="default" w:ascii="宋体" w:cs="宋体"/>
          <w:kern w:val="0"/>
          <w:sz w:val="28"/>
          <w:szCs w:val="28"/>
          <w:lang w:val="en-US" w:eastAsia="zh-CN"/>
        </w:rPr>
      </w:pPr>
      <w:r>
        <w:rPr>
          <w:rFonts w:hint="eastAsia" w:ascii="宋体" w:cs="宋体"/>
          <w:kern w:val="0"/>
          <w:sz w:val="28"/>
          <w:szCs w:val="28"/>
          <w:lang w:val="en-US" w:eastAsia="zh-CN"/>
        </w:rPr>
        <w:t>（4）</w:t>
      </w:r>
      <w:r>
        <w:rPr>
          <w:rFonts w:hint="default" w:ascii="宋体" w:cs="宋体"/>
          <w:kern w:val="0"/>
          <w:sz w:val="28"/>
          <w:szCs w:val="28"/>
          <w:lang w:val="en-US" w:eastAsia="zh-CN"/>
        </w:rPr>
        <w:t>隔离开关、接地开关故障和关合接地开关操作电动机故障报警。</w:t>
      </w:r>
    </w:p>
    <w:p>
      <w:pPr>
        <w:numPr>
          <w:ilvl w:val="0"/>
          <w:numId w:val="0"/>
        </w:numPr>
        <w:spacing w:line="360" w:lineRule="auto"/>
        <w:rPr>
          <w:rFonts w:hint="default" w:ascii="宋体" w:cs="宋体"/>
          <w:kern w:val="0"/>
          <w:sz w:val="28"/>
          <w:szCs w:val="28"/>
          <w:lang w:val="en-US" w:eastAsia="zh-CN"/>
        </w:rPr>
      </w:pPr>
      <w:r>
        <w:rPr>
          <w:rFonts w:hint="eastAsia" w:ascii="宋体" w:cs="宋体"/>
          <w:kern w:val="0"/>
          <w:sz w:val="28"/>
          <w:szCs w:val="28"/>
          <w:lang w:val="en-US" w:eastAsia="zh-CN"/>
        </w:rPr>
        <w:t>（5）</w:t>
      </w:r>
      <w:r>
        <w:rPr>
          <w:rFonts w:hint="default" w:ascii="宋体" w:cs="宋体"/>
          <w:kern w:val="0"/>
          <w:sz w:val="28"/>
          <w:szCs w:val="28"/>
          <w:lang w:val="en-US" w:eastAsia="zh-CN"/>
        </w:rPr>
        <w:t>隔离开关气室 SF</w:t>
      </w:r>
      <w:r>
        <w:rPr>
          <w:rFonts w:hint="eastAsia" w:ascii="宋体" w:cs="宋体"/>
          <w:kern w:val="0"/>
          <w:sz w:val="28"/>
          <w:szCs w:val="28"/>
          <w:lang w:val="en-US" w:eastAsia="zh-CN"/>
        </w:rPr>
        <w:t>6</w:t>
      </w:r>
      <w:r>
        <w:rPr>
          <w:rFonts w:hint="default" w:ascii="宋体" w:cs="宋体"/>
          <w:kern w:val="0"/>
          <w:sz w:val="28"/>
          <w:szCs w:val="28"/>
          <w:lang w:val="en-US" w:eastAsia="zh-CN"/>
        </w:rPr>
        <w:t>气体压力降低报警。</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（6）</w:t>
      </w:r>
      <w:r>
        <w:rPr>
          <w:rFonts w:hint="default" w:ascii="宋体" w:cs="宋体"/>
          <w:kern w:val="0"/>
          <w:sz w:val="28"/>
          <w:szCs w:val="28"/>
          <w:lang w:val="en-US" w:eastAsia="zh-CN"/>
        </w:rPr>
        <w:t>就地操作电源故障报警</w:t>
      </w:r>
      <w:r>
        <w:rPr>
          <w:rFonts w:hint="eastAsia" w:ascii="宋体" w:cs="宋体"/>
          <w:kern w:val="0"/>
          <w:sz w:val="28"/>
          <w:szCs w:val="28"/>
          <w:lang w:val="en-US" w:eastAsia="zh-CN"/>
        </w:rPr>
        <w:t>。</w:t>
      </w:r>
    </w:p>
    <w:p>
      <w:pPr>
        <w:spacing w:line="360" w:lineRule="auto"/>
        <w:outlineLvl w:val="2"/>
        <w:rPr>
          <w:rFonts w:hint="eastAsia" w:ascii="Times New Roman" w:hAnsi="Times New Roman" w:eastAsia="宋体" w:cs="Times New Roman"/>
          <w:b/>
          <w:kern w:val="0"/>
          <w:sz w:val="28"/>
          <w:szCs w:val="21"/>
          <w:lang w:val="en-US" w:eastAsia="zh-CN" w:bidi="ar-SA"/>
        </w:rPr>
      </w:pPr>
      <w:bookmarkStart w:id="179" w:name="_Toc18707"/>
      <w:r>
        <w:rPr>
          <w:rFonts w:hint="eastAsia" w:ascii="Times New Roman" w:hAnsi="Times New Roman" w:eastAsia="宋体" w:cs="Times New Roman"/>
          <w:b/>
          <w:kern w:val="0"/>
          <w:sz w:val="28"/>
          <w:szCs w:val="21"/>
          <w:lang w:val="en-US" w:eastAsia="zh-CN" w:bidi="ar-SA"/>
        </w:rPr>
        <w:t>2.</w:t>
      </w:r>
      <w:r>
        <w:rPr>
          <w:rFonts w:hint="eastAsia" w:cs="Times New Roman"/>
          <w:b/>
          <w:kern w:val="0"/>
          <w:sz w:val="28"/>
          <w:szCs w:val="21"/>
          <w:lang w:val="en-US" w:eastAsia="zh-CN" w:bidi="ar-SA"/>
        </w:rPr>
        <w:t>4</w:t>
      </w:r>
      <w:r>
        <w:rPr>
          <w:rFonts w:hint="eastAsia" w:ascii="Times New Roman" w:hAnsi="Times New Roman" w:eastAsia="宋体" w:cs="Times New Roman"/>
          <w:b/>
          <w:kern w:val="0"/>
          <w:sz w:val="28"/>
          <w:szCs w:val="21"/>
          <w:lang w:val="en-US" w:eastAsia="zh-CN" w:bidi="ar-SA"/>
        </w:rPr>
        <w:t>.</w:t>
      </w:r>
      <w:r>
        <w:rPr>
          <w:rFonts w:hint="eastAsia" w:cs="Times New Roman"/>
          <w:b/>
          <w:kern w:val="0"/>
          <w:sz w:val="28"/>
          <w:szCs w:val="21"/>
          <w:lang w:val="en-US" w:eastAsia="zh-CN" w:bidi="ar-SA"/>
        </w:rPr>
        <w:t>10中</w:t>
      </w:r>
      <w:r>
        <w:rPr>
          <w:rFonts w:hint="eastAsia" w:ascii="Times New Roman" w:hAnsi="Times New Roman" w:eastAsia="宋体" w:cs="Times New Roman"/>
          <w:b/>
          <w:kern w:val="0"/>
          <w:sz w:val="28"/>
          <w:szCs w:val="21"/>
          <w:lang w:val="en-US" w:eastAsia="zh-CN" w:bidi="ar-SA"/>
        </w:rPr>
        <w:t>央信号装置的设计</w:t>
      </w:r>
      <w:r>
        <w:rPr>
          <w:rFonts w:hint="eastAsia" w:cs="Times New Roman"/>
          <w:b/>
          <w:kern w:val="0"/>
          <w:sz w:val="28"/>
          <w:szCs w:val="21"/>
          <w:lang w:val="en-US" w:eastAsia="zh-CN" w:bidi="ar-SA"/>
        </w:rPr>
        <w:t>要求</w:t>
      </w:r>
      <w:bookmarkEnd w:id="179"/>
    </w:p>
    <w:p>
      <w:pPr>
        <w:numPr>
          <w:ilvl w:val="0"/>
          <w:numId w:val="39"/>
        </w:numPr>
        <w:spacing w:line="360" w:lineRule="auto"/>
        <w:ind w:left="0" w:leftChars="0" w:firstLine="0" w:firstLineChars="0"/>
        <w:rPr>
          <w:rFonts w:hint="default" w:ascii="宋体" w:cs="宋体"/>
          <w:kern w:val="0"/>
          <w:sz w:val="28"/>
          <w:szCs w:val="28"/>
          <w:lang w:val="en-US" w:eastAsia="zh-CN"/>
        </w:rPr>
      </w:pPr>
      <w:r>
        <w:rPr>
          <w:rFonts w:hint="eastAsia" w:ascii="宋体" w:cs="宋体"/>
          <w:kern w:val="0"/>
          <w:sz w:val="28"/>
          <w:szCs w:val="28"/>
          <w:lang w:val="en-US" w:eastAsia="zh-CN"/>
        </w:rPr>
        <w:t>本站为</w:t>
      </w:r>
      <w:r>
        <w:rPr>
          <w:rFonts w:hint="default" w:ascii="宋体" w:cs="宋体"/>
          <w:kern w:val="0"/>
          <w:sz w:val="28"/>
          <w:szCs w:val="28"/>
          <w:lang w:val="en-US" w:eastAsia="zh-CN"/>
        </w:rPr>
        <w:t>综合自动化系统的变电站，在后台机或集控中心的监控机上都可完成变电站的所有报警功能。</w:t>
      </w:r>
      <w:r>
        <w:rPr>
          <w:rFonts w:hint="default" w:ascii="宋体" w:cs="宋体"/>
          <w:color w:val="FF0000"/>
          <w:kern w:val="0"/>
          <w:sz w:val="28"/>
          <w:szCs w:val="28"/>
          <w:lang w:val="en-US" w:eastAsia="zh-CN"/>
        </w:rPr>
        <w:t>中央信号</w:t>
      </w:r>
      <w:r>
        <w:rPr>
          <w:rFonts w:hint="eastAsia" w:ascii="宋体" w:cs="宋体"/>
          <w:color w:val="FF0000"/>
          <w:kern w:val="0"/>
          <w:sz w:val="28"/>
          <w:szCs w:val="28"/>
          <w:lang w:val="en-US" w:eastAsia="zh-CN"/>
        </w:rPr>
        <w:t>装置</w:t>
      </w:r>
      <w:r>
        <w:rPr>
          <w:rFonts w:hint="default" w:ascii="宋体" w:cs="宋体"/>
          <w:kern w:val="0"/>
          <w:sz w:val="28"/>
          <w:szCs w:val="28"/>
          <w:lang w:val="en-US" w:eastAsia="zh-CN"/>
        </w:rPr>
        <w:t>完成全站事故信号与预告信号报警，同时可将全站各种信息传送至监控主机。此信号装置采用与直流屏配套的微机中央信号报警装置。</w:t>
      </w:r>
    </w:p>
    <w:p>
      <w:pPr>
        <w:numPr>
          <w:ilvl w:val="0"/>
          <w:numId w:val="39"/>
        </w:numPr>
        <w:spacing w:line="360" w:lineRule="auto"/>
        <w:ind w:left="0" w:leftChars="0" w:firstLine="0" w:firstLineChars="0"/>
        <w:rPr>
          <w:rFonts w:hint="default" w:ascii="宋体" w:cs="宋体"/>
          <w:kern w:val="0"/>
          <w:sz w:val="28"/>
          <w:szCs w:val="28"/>
          <w:lang w:val="en-US" w:eastAsia="zh-CN"/>
        </w:rPr>
      </w:pPr>
      <w:r>
        <w:rPr>
          <w:rFonts w:hint="default" w:ascii="宋体" w:cs="宋体"/>
          <w:kern w:val="0"/>
          <w:sz w:val="28"/>
          <w:szCs w:val="28"/>
          <w:lang w:val="en-US" w:eastAsia="zh-CN"/>
        </w:rPr>
        <w:t>中央信号装置的设计</w:t>
      </w:r>
      <w:r>
        <w:rPr>
          <w:rFonts w:hint="eastAsia" w:ascii="宋体" w:cs="宋体"/>
          <w:kern w:val="0"/>
          <w:sz w:val="28"/>
          <w:szCs w:val="28"/>
          <w:lang w:val="en-US" w:eastAsia="zh-CN"/>
        </w:rPr>
        <w:t>要求如下：</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（1）</w:t>
      </w:r>
      <w:r>
        <w:rPr>
          <w:rFonts w:hint="default" w:ascii="宋体" w:cs="宋体"/>
          <w:kern w:val="0"/>
          <w:sz w:val="28"/>
          <w:szCs w:val="28"/>
          <w:lang w:val="en-US" w:eastAsia="zh-CN"/>
        </w:rPr>
        <w:t>变电站在控制室或值班室内一般设中央信号装置。中央信号装置由事故信号和预告信号组成</w:t>
      </w:r>
      <w:r>
        <w:rPr>
          <w:rFonts w:hint="eastAsia" w:ascii="宋体" w:cs="宋体"/>
          <w:kern w:val="0"/>
          <w:sz w:val="28"/>
          <w:szCs w:val="28"/>
          <w:lang w:val="en-US" w:eastAsia="zh-CN"/>
        </w:rPr>
        <w:t>。</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（2）中央事故信号装置应保证在任何断路器事故跳闸时，能瞬时发出音响信号，在控制屏上或配电装置上还应有表示该回路事故跳闸的灯光或其他指示信号。</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（3）中央事故音响与预告音响信号应有区别，一般事故音响信号用电笛。预告音响信号用电铃。</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（4）中央信号装置应能进行事故和预告信号。</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（5）中央事故与预告信号装置在发出音响信号后，应能手动或自动复归音响，而灯光或指示信号仍应保持，直至处理后故障消除时为止。</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3、断路器操动机构具备"防跳"性能。</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4、10kV断路器、隔离开关、接地开关的操作联锁条件参考配电手册第四版P692及电力相关现行法规、要求。</w:t>
      </w:r>
    </w:p>
    <w:p>
      <w:pPr>
        <w:spacing w:line="360" w:lineRule="auto"/>
        <w:outlineLvl w:val="2"/>
        <w:rPr>
          <w:rFonts w:hint="default" w:ascii="Times New Roman" w:hAnsi="Times New Roman" w:eastAsia="宋体" w:cs="Times New Roman"/>
          <w:b/>
          <w:kern w:val="0"/>
          <w:sz w:val="28"/>
          <w:szCs w:val="21"/>
          <w:lang w:val="en-US" w:eastAsia="zh-CN" w:bidi="ar-SA"/>
        </w:rPr>
      </w:pPr>
      <w:bookmarkStart w:id="180" w:name="_Toc5318"/>
      <w:r>
        <w:rPr>
          <w:rFonts w:hint="eastAsia" w:ascii="Times New Roman" w:hAnsi="Times New Roman" w:eastAsia="宋体" w:cs="Times New Roman"/>
          <w:b/>
          <w:kern w:val="0"/>
          <w:sz w:val="28"/>
          <w:szCs w:val="21"/>
          <w:lang w:val="en-US" w:eastAsia="zh-CN" w:bidi="ar-SA"/>
        </w:rPr>
        <w:t>2.</w:t>
      </w:r>
      <w:r>
        <w:rPr>
          <w:rFonts w:hint="eastAsia" w:cs="Times New Roman"/>
          <w:b/>
          <w:kern w:val="0"/>
          <w:sz w:val="28"/>
          <w:szCs w:val="21"/>
          <w:lang w:val="en-US" w:eastAsia="zh-CN" w:bidi="ar-SA"/>
        </w:rPr>
        <w:t>4</w:t>
      </w:r>
      <w:r>
        <w:rPr>
          <w:rFonts w:hint="eastAsia" w:ascii="Times New Roman" w:hAnsi="Times New Roman" w:eastAsia="宋体" w:cs="Times New Roman"/>
          <w:b/>
          <w:kern w:val="0"/>
          <w:sz w:val="28"/>
          <w:szCs w:val="21"/>
          <w:lang w:val="en-US" w:eastAsia="zh-CN" w:bidi="ar-SA"/>
        </w:rPr>
        <w:t>.</w:t>
      </w:r>
      <w:r>
        <w:rPr>
          <w:rFonts w:hint="eastAsia" w:cs="Times New Roman"/>
          <w:b/>
          <w:kern w:val="0"/>
          <w:sz w:val="28"/>
          <w:szCs w:val="21"/>
          <w:lang w:val="en-US" w:eastAsia="zh-CN" w:bidi="ar-SA"/>
        </w:rPr>
        <w:t>12</w:t>
      </w:r>
      <w:r>
        <w:rPr>
          <w:rFonts w:hint="eastAsia" w:ascii="Times New Roman" w:hAnsi="Times New Roman" w:eastAsia="宋体" w:cs="Times New Roman"/>
          <w:b/>
          <w:kern w:val="0"/>
          <w:sz w:val="28"/>
          <w:szCs w:val="21"/>
          <w:lang w:val="en-US" w:eastAsia="zh-CN" w:bidi="ar-SA"/>
        </w:rPr>
        <w:t>信号回路的设备选择</w:t>
      </w:r>
      <w:r>
        <w:rPr>
          <w:rFonts w:hint="eastAsia" w:cs="Times New Roman"/>
          <w:b/>
          <w:kern w:val="0"/>
          <w:sz w:val="28"/>
          <w:szCs w:val="21"/>
          <w:lang w:val="en-US" w:eastAsia="zh-CN" w:bidi="ar-SA"/>
        </w:rPr>
        <w:t>、监控及二次接线</w:t>
      </w:r>
      <w:bookmarkEnd w:id="180"/>
    </w:p>
    <w:p>
      <w:pPr>
        <w:numPr>
          <w:ilvl w:val="0"/>
          <w:numId w:val="4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信号回路熔断器或低压断路器的配置</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（1）每个安装单位的信号回路 （</w:t>
      </w:r>
      <w:r>
        <w:rPr>
          <w:rFonts w:hint="eastAsia" w:ascii="宋体" w:cs="宋体"/>
          <w:kern w:val="0"/>
          <w:sz w:val="28"/>
          <w:szCs w:val="28"/>
          <w:lang w:val="en-US" w:eastAsia="zh-CN"/>
        </w:rPr>
        <w:t>包</w:t>
      </w:r>
      <w:r>
        <w:rPr>
          <w:rFonts w:hint="default" w:ascii="宋体" w:cs="宋体"/>
          <w:kern w:val="0"/>
          <w:sz w:val="28"/>
          <w:szCs w:val="28"/>
          <w:lang w:val="en-US" w:eastAsia="zh-CN"/>
        </w:rPr>
        <w:t>括隔离开关位置信号、事故和预告信号、指挥信号等），</w:t>
      </w:r>
      <w:r>
        <w:rPr>
          <w:rFonts w:hint="eastAsia" w:ascii="宋体" w:cs="宋体"/>
          <w:kern w:val="0"/>
          <w:sz w:val="28"/>
          <w:szCs w:val="28"/>
          <w:lang w:val="en-US" w:eastAsia="zh-CN"/>
        </w:rPr>
        <w:t>采</w:t>
      </w:r>
      <w:r>
        <w:rPr>
          <w:rFonts w:hint="default" w:ascii="宋体" w:cs="宋体"/>
          <w:kern w:val="0"/>
          <w:sz w:val="28"/>
          <w:szCs w:val="28"/>
          <w:lang w:val="en-US" w:eastAsia="zh-CN"/>
        </w:rPr>
        <w:t>用一组低压断路器。</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（2）公用信号（如中央信号、闪光报警器等），应装设单独的低压断路器。</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（3）厂用电源及母线设备信号回路，分别装设公用的低压断路器。</w:t>
      </w:r>
    </w:p>
    <w:p>
      <w:pPr>
        <w:numPr>
          <w:ilvl w:val="0"/>
          <w:numId w:val="0"/>
        </w:numPr>
        <w:spacing w:line="360" w:lineRule="auto"/>
        <w:rPr>
          <w:rFonts w:hint="eastAsia" w:ascii="宋体" w:cs="宋体"/>
          <w:kern w:val="0"/>
          <w:sz w:val="28"/>
          <w:szCs w:val="28"/>
          <w:lang w:val="en-US" w:eastAsia="zh-CN"/>
        </w:rPr>
      </w:pPr>
      <w:r>
        <w:rPr>
          <w:rFonts w:hint="default" w:ascii="宋体" w:cs="宋体"/>
          <w:kern w:val="0"/>
          <w:sz w:val="28"/>
          <w:szCs w:val="28"/>
          <w:lang w:val="en-US" w:eastAsia="zh-CN"/>
        </w:rPr>
        <w:t>（4）信号回路的熔断器或低压断路器应加以监视。可使用隔离开关位置指示器，也可用继电器或信号灯来监视。当采用继电器监视时，信号应接至另外的电源</w:t>
      </w:r>
      <w:r>
        <w:rPr>
          <w:rFonts w:hint="eastAsia" w:ascii="宋体" w:cs="宋体"/>
          <w:kern w:val="0"/>
          <w:sz w:val="28"/>
          <w:szCs w:val="28"/>
          <w:lang w:val="en-US" w:eastAsia="zh-CN"/>
        </w:rPr>
        <w:t>。</w:t>
      </w:r>
    </w:p>
    <w:p>
      <w:pPr>
        <w:pStyle w:val="2"/>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2、本变电站的下列设备，应能远方及就地控制：</w:t>
      </w:r>
    </w:p>
    <w:p>
      <w:pPr>
        <w:pStyle w:val="2"/>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（1）断路器；</w:t>
      </w:r>
    </w:p>
    <w:p>
      <w:pPr>
        <w:pStyle w:val="2"/>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（2）变压器有载调压分接开关；</w:t>
      </w:r>
    </w:p>
    <w:p>
      <w:pPr>
        <w:pStyle w:val="2"/>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（3）要远方控制的主变压器中性点接地隔离开关。</w:t>
      </w:r>
    </w:p>
    <w:p>
      <w:pPr>
        <w:pStyle w:val="2"/>
        <w:numPr>
          <w:ilvl w:val="0"/>
          <w:numId w:val="0"/>
        </w:numPr>
        <w:ind w:leftChars="0"/>
        <w:rPr>
          <w:rFonts w:hint="eastAsia" w:ascii="宋体" w:cs="宋体"/>
          <w:kern w:val="0"/>
          <w:sz w:val="28"/>
          <w:szCs w:val="28"/>
          <w:lang w:val="en-US" w:eastAsia="zh-CN"/>
        </w:rPr>
      </w:pPr>
      <w:r>
        <w:rPr>
          <w:rFonts w:hint="eastAsia" w:ascii="宋体" w:cs="宋体"/>
          <w:kern w:val="0"/>
          <w:sz w:val="28"/>
          <w:szCs w:val="28"/>
          <w:lang w:val="en-US" w:eastAsia="zh-CN"/>
        </w:rPr>
        <w:t>3、断路器的控制回路，应有监视信号。</w:t>
      </w:r>
    </w:p>
    <w:p>
      <w:pPr>
        <w:pStyle w:val="2"/>
        <w:numPr>
          <w:ilvl w:val="0"/>
          <w:numId w:val="0"/>
        </w:numPr>
        <w:ind w:leftChars="0"/>
        <w:rPr>
          <w:rFonts w:hint="default" w:ascii="宋体" w:cs="宋体"/>
          <w:kern w:val="0"/>
          <w:sz w:val="28"/>
          <w:szCs w:val="28"/>
          <w:lang w:val="en-US" w:eastAsia="zh-CN"/>
        </w:rPr>
      </w:pPr>
      <w:r>
        <w:rPr>
          <w:rFonts w:hint="eastAsia" w:ascii="宋体" w:cs="宋体"/>
          <w:kern w:val="0"/>
          <w:sz w:val="28"/>
          <w:szCs w:val="28"/>
          <w:lang w:val="en-US" w:eastAsia="zh-CN"/>
        </w:rPr>
        <w:t>4、配</w:t>
      </w:r>
      <w:r>
        <w:rPr>
          <w:rFonts w:hint="default" w:ascii="宋体" w:cs="宋体"/>
          <w:kern w:val="0"/>
          <w:sz w:val="28"/>
          <w:szCs w:val="28"/>
          <w:lang w:val="en-US" w:eastAsia="zh-CN"/>
        </w:rPr>
        <w:t>电装置应装设防止电气误操作闭锁装置。防止电气误操作闭锁装置采用机械闭锁，成套开关柜应采用机械闭锁装置。屋内间隔式配电</w:t>
      </w:r>
      <w:r>
        <w:rPr>
          <w:rFonts w:hint="eastAsia" w:ascii="宋体" w:cs="宋体"/>
          <w:kern w:val="0"/>
          <w:sz w:val="28"/>
          <w:szCs w:val="28"/>
          <w:lang w:val="en-US" w:eastAsia="zh-CN"/>
        </w:rPr>
        <w:t>装</w:t>
      </w:r>
      <w:r>
        <w:rPr>
          <w:rFonts w:hint="default" w:ascii="宋体" w:cs="宋体"/>
          <w:kern w:val="0"/>
          <w:sz w:val="28"/>
          <w:szCs w:val="28"/>
          <w:lang w:val="en-US" w:eastAsia="zh-CN"/>
        </w:rPr>
        <w:t>置，应装设防止误入带电间隔的设施。闭锁连锁回路的电源，应与继电保护、控制信号回路的电源分开。</w:t>
      </w:r>
    </w:p>
    <w:p>
      <w:pPr>
        <w:spacing w:line="360" w:lineRule="auto"/>
        <w:outlineLvl w:val="2"/>
        <w:rPr>
          <w:rFonts w:hint="default" w:ascii="Times New Roman" w:hAnsi="Times New Roman" w:eastAsia="宋体" w:cs="Times New Roman"/>
          <w:b/>
          <w:kern w:val="0"/>
          <w:sz w:val="28"/>
          <w:szCs w:val="21"/>
          <w:lang w:val="en-US" w:eastAsia="zh-CN" w:bidi="ar-SA"/>
        </w:rPr>
      </w:pPr>
      <w:bookmarkStart w:id="181" w:name="_Toc4155"/>
      <w:r>
        <w:rPr>
          <w:rFonts w:hint="eastAsia" w:ascii="Times New Roman" w:hAnsi="Times New Roman" w:eastAsia="宋体" w:cs="Times New Roman"/>
          <w:b/>
          <w:kern w:val="0"/>
          <w:sz w:val="28"/>
          <w:szCs w:val="21"/>
          <w:lang w:val="en-US" w:eastAsia="zh-CN" w:bidi="ar-SA"/>
        </w:rPr>
        <w:t>2.</w:t>
      </w:r>
      <w:r>
        <w:rPr>
          <w:rFonts w:hint="eastAsia" w:cs="Times New Roman"/>
          <w:b/>
          <w:kern w:val="0"/>
          <w:sz w:val="28"/>
          <w:szCs w:val="21"/>
          <w:lang w:val="en-US" w:eastAsia="zh-CN" w:bidi="ar-SA"/>
        </w:rPr>
        <w:t>4</w:t>
      </w:r>
      <w:r>
        <w:rPr>
          <w:rFonts w:hint="eastAsia" w:ascii="Times New Roman" w:hAnsi="Times New Roman" w:eastAsia="宋体" w:cs="Times New Roman"/>
          <w:b/>
          <w:kern w:val="0"/>
          <w:sz w:val="28"/>
          <w:szCs w:val="21"/>
          <w:lang w:val="en-US" w:eastAsia="zh-CN" w:bidi="ar-SA"/>
        </w:rPr>
        <w:t>.1</w:t>
      </w:r>
      <w:r>
        <w:rPr>
          <w:rFonts w:hint="eastAsia" w:cs="Times New Roman"/>
          <w:b/>
          <w:kern w:val="0"/>
          <w:sz w:val="28"/>
          <w:szCs w:val="21"/>
          <w:lang w:val="en-US" w:eastAsia="zh-CN" w:bidi="ar-SA"/>
        </w:rPr>
        <w:t>3</w:t>
      </w:r>
      <w:r>
        <w:rPr>
          <w:rFonts w:hint="eastAsia" w:ascii="Times New Roman" w:hAnsi="Times New Roman" w:eastAsia="宋体" w:cs="Times New Roman"/>
          <w:b/>
          <w:kern w:val="0"/>
          <w:sz w:val="28"/>
          <w:szCs w:val="21"/>
          <w:lang w:val="en-US" w:eastAsia="zh-CN" w:bidi="ar-SA"/>
        </w:rPr>
        <w:t>二次回路配线</w:t>
      </w:r>
      <w:bookmarkEnd w:id="181"/>
    </w:p>
    <w:p>
      <w:pPr>
        <w:numPr>
          <w:ilvl w:val="0"/>
          <w:numId w:val="41"/>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二次回路绝缘导线和电缆的一般要求</w:t>
      </w:r>
    </w:p>
    <w:p>
      <w:pPr>
        <w:numPr>
          <w:ilvl w:val="0"/>
          <w:numId w:val="42"/>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二次回路绝缘导线和控制电缆的额定电压的选择，应不低于该回路工作电压，并满足可能经受的暂态和工频过电压作用要求。</w:t>
      </w:r>
    </w:p>
    <w:p>
      <w:pPr>
        <w:numPr>
          <w:ilvl w:val="0"/>
          <w:numId w:val="42"/>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控制电缆和绝缘导线应采用铜芯</w:t>
      </w:r>
      <w:r>
        <w:rPr>
          <w:rFonts w:hint="eastAsia" w:ascii="宋体" w:cs="宋体"/>
          <w:kern w:val="0"/>
          <w:sz w:val="28"/>
          <w:szCs w:val="28"/>
          <w:lang w:val="en-US" w:eastAsia="zh-CN"/>
        </w:rPr>
        <w:t>，控制电缆与动力电缆应分开敷设</w:t>
      </w:r>
      <w:r>
        <w:rPr>
          <w:rFonts w:hint="default" w:ascii="宋体" w:cs="宋体"/>
          <w:kern w:val="0"/>
          <w:sz w:val="28"/>
          <w:szCs w:val="28"/>
          <w:lang w:val="en-US" w:eastAsia="zh-CN"/>
        </w:rPr>
        <w:t>。</w:t>
      </w:r>
    </w:p>
    <w:p>
      <w:pPr>
        <w:numPr>
          <w:ilvl w:val="0"/>
          <w:numId w:val="42"/>
        </w:numPr>
        <w:spacing w:line="360" w:lineRule="auto"/>
        <w:rPr>
          <w:rFonts w:hint="default" w:ascii="宋体" w:cs="宋体"/>
          <w:color w:val="FF0000"/>
          <w:kern w:val="0"/>
          <w:sz w:val="28"/>
          <w:szCs w:val="28"/>
          <w:lang w:val="en-US" w:eastAsia="zh-CN"/>
        </w:rPr>
      </w:pPr>
      <w:r>
        <w:rPr>
          <w:rFonts w:hint="default" w:ascii="宋体" w:cs="宋体"/>
          <w:color w:val="FF0000"/>
          <w:kern w:val="0"/>
          <w:sz w:val="28"/>
          <w:szCs w:val="28"/>
          <w:lang w:val="en-US" w:eastAsia="zh-CN"/>
        </w:rPr>
        <w:t>按机械强度要求，强电控制回路导体截面积应不小于</w:t>
      </w:r>
      <w:r>
        <w:rPr>
          <w:rFonts w:hint="eastAsia" w:ascii="宋体" w:cs="宋体"/>
          <w:color w:val="FF0000"/>
          <w:kern w:val="0"/>
          <w:sz w:val="28"/>
          <w:szCs w:val="28"/>
          <w:lang w:val="en-US" w:eastAsia="zh-CN"/>
        </w:rPr>
        <w:t>2</w:t>
      </w:r>
      <w:r>
        <w:rPr>
          <w:rFonts w:hint="default" w:ascii="宋体" w:cs="宋体"/>
          <w:color w:val="FF0000"/>
          <w:kern w:val="0"/>
          <w:sz w:val="28"/>
          <w:szCs w:val="28"/>
          <w:lang w:val="en-US" w:eastAsia="zh-CN"/>
        </w:rPr>
        <w:t>mm</w:t>
      </w:r>
      <w:r>
        <w:rPr>
          <w:rFonts w:hint="eastAsia" w:ascii="宋体" w:cs="宋体"/>
          <w:color w:val="FF0000"/>
          <w:kern w:val="0"/>
          <w:sz w:val="28"/>
          <w:szCs w:val="28"/>
          <w:lang w:val="en-US" w:eastAsia="zh-CN"/>
        </w:rPr>
        <w:t>²</w:t>
      </w:r>
      <w:r>
        <w:rPr>
          <w:rFonts w:hint="default" w:ascii="宋体" w:cs="宋体"/>
          <w:color w:val="FF0000"/>
          <w:kern w:val="0"/>
          <w:sz w:val="28"/>
          <w:szCs w:val="28"/>
          <w:lang w:val="en-US" w:eastAsia="zh-CN"/>
        </w:rPr>
        <w:t>，弱电控制回路导体截面积应不小于</w:t>
      </w:r>
      <w:r>
        <w:rPr>
          <w:rFonts w:hint="eastAsia" w:ascii="宋体" w:cs="宋体"/>
          <w:color w:val="FF0000"/>
          <w:kern w:val="0"/>
          <w:sz w:val="28"/>
          <w:szCs w:val="28"/>
          <w:lang w:val="en-US" w:eastAsia="zh-CN"/>
        </w:rPr>
        <w:t>1</w:t>
      </w:r>
      <w:r>
        <w:rPr>
          <w:rFonts w:hint="default" w:ascii="宋体" w:cs="宋体"/>
          <w:color w:val="FF0000"/>
          <w:kern w:val="0"/>
          <w:sz w:val="28"/>
          <w:szCs w:val="28"/>
          <w:lang w:val="en-US" w:eastAsia="zh-CN"/>
        </w:rPr>
        <w:t>mm</w:t>
      </w:r>
      <w:r>
        <w:rPr>
          <w:rFonts w:hint="eastAsia" w:ascii="宋体" w:cs="宋体"/>
          <w:color w:val="FF0000"/>
          <w:kern w:val="0"/>
          <w:sz w:val="28"/>
          <w:szCs w:val="28"/>
          <w:lang w:val="en-US" w:eastAsia="zh-CN"/>
        </w:rPr>
        <w:t>²。</w:t>
      </w:r>
    </w:p>
    <w:p>
      <w:pPr>
        <w:numPr>
          <w:ilvl w:val="0"/>
          <w:numId w:val="42"/>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在绝缘导线和电缆可能受到油浸蚀的地方，应采用耐油绝缘导线和电缆</w:t>
      </w:r>
      <w:r>
        <w:rPr>
          <w:rFonts w:hint="eastAsia" w:ascii="宋体" w:cs="宋体"/>
          <w:kern w:val="0"/>
          <w:sz w:val="28"/>
          <w:szCs w:val="28"/>
          <w:lang w:val="en-US" w:eastAsia="zh-CN"/>
        </w:rPr>
        <w:t>。</w:t>
      </w:r>
    </w:p>
    <w:p>
      <w:pPr>
        <w:numPr>
          <w:ilvl w:val="0"/>
          <w:numId w:val="41"/>
        </w:numPr>
        <w:spacing w:line="360" w:lineRule="auto"/>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控制电缆的金属屏蔽</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（1）控制电缆金属屏蔽型类的选择，应按可能的电气干扰影响，计入综合抑制干扰措施，并满足降低干扰或过电压的要求，同时应符合下列规定</w:t>
      </w:r>
      <w:r>
        <w:rPr>
          <w:rFonts w:hint="eastAsia" w:ascii="宋体" w:cs="宋体"/>
          <w:kern w:val="0"/>
          <w:sz w:val="28"/>
          <w:szCs w:val="28"/>
          <w:lang w:val="en-US" w:eastAsia="zh-CN"/>
        </w:rPr>
        <w:t>：</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1）</w:t>
      </w:r>
      <w:r>
        <w:rPr>
          <w:rFonts w:hint="eastAsia" w:ascii="宋体" w:cs="宋体"/>
          <w:kern w:val="0"/>
          <w:sz w:val="28"/>
          <w:szCs w:val="28"/>
          <w:lang w:val="en-US" w:eastAsia="zh-CN"/>
        </w:rPr>
        <w:t>本站</w:t>
      </w:r>
      <w:r>
        <w:rPr>
          <w:rFonts w:hint="default" w:ascii="宋体" w:cs="宋体"/>
          <w:kern w:val="0"/>
          <w:sz w:val="28"/>
          <w:szCs w:val="28"/>
          <w:lang w:val="en-US" w:eastAsia="zh-CN"/>
        </w:rPr>
        <w:t>配电装置的弱电控制电缆，选用总屏蔽或双层式总屏蔽。</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2）用于集成电路、微机保护的电流、电压和信号触点的控制电缆，应选用屏蔽型。</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3）计算机监测系统信号回路控制电缆的屏蔽选择，应符合下列规定</w:t>
      </w:r>
      <w:r>
        <w:rPr>
          <w:rFonts w:hint="eastAsia" w:ascii="宋体" w:cs="宋体"/>
          <w:kern w:val="0"/>
          <w:sz w:val="28"/>
          <w:szCs w:val="28"/>
          <w:lang w:val="en-US" w:eastAsia="zh-CN"/>
        </w:rPr>
        <w:t>：</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a）开关量信号，可用总屏蔽。</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b）高电平模拟信号，宜选用对绞线芯总屏蔽，必要时也可选用对绞线芯分屏蔽。</w:t>
      </w:r>
    </w:p>
    <w:p>
      <w:pPr>
        <w:numPr>
          <w:ilvl w:val="0"/>
          <w:numId w:val="0"/>
        </w:numPr>
        <w:spacing w:line="360" w:lineRule="auto"/>
        <w:ind w:leftChars="0"/>
        <w:rPr>
          <w:rFonts w:hint="eastAsia" w:ascii="宋体" w:cs="宋体"/>
          <w:kern w:val="0"/>
          <w:sz w:val="28"/>
          <w:szCs w:val="28"/>
          <w:lang w:val="en-US" w:eastAsia="zh-CN"/>
        </w:rPr>
      </w:pPr>
      <w:r>
        <w:rPr>
          <w:rFonts w:hint="default" w:ascii="宋体" w:cs="宋体"/>
          <w:kern w:val="0"/>
          <w:sz w:val="28"/>
          <w:szCs w:val="28"/>
          <w:lang w:val="en-US" w:eastAsia="zh-CN"/>
        </w:rPr>
        <w:t>c）低电平模拟信号或脉冲量信号，宜选用对绞线芯分屏蔽，必要时也可选用对绞线芯分屏蔽复合总屏蔽</w:t>
      </w:r>
      <w:r>
        <w:rPr>
          <w:rFonts w:hint="eastAsia" w:ascii="宋体" w:cs="宋体"/>
          <w:kern w:val="0"/>
          <w:sz w:val="28"/>
          <w:szCs w:val="28"/>
          <w:lang w:val="en-US" w:eastAsia="zh-CN"/>
        </w:rPr>
        <w:t>。</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（2）其他情况，应按电磁感应、静电感应和电位升高等影响因素，采用适宜屏蔽的型式。</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（3）敷设方式要求电缆具有钢铠、金属套时，应充分利用其屏蔽功能。</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（4）需降低电气干扰的控制电缆，可在工作芯数外增加一个接地的备用芯，并应在控制室侧一点接地。</w:t>
      </w:r>
    </w:p>
    <w:p>
      <w:pPr>
        <w:numPr>
          <w:ilvl w:val="0"/>
          <w:numId w:val="0"/>
        </w:numPr>
        <w:spacing w:line="360" w:lineRule="auto"/>
        <w:ind w:leftChars="0"/>
        <w:rPr>
          <w:rFonts w:hint="eastAsia" w:ascii="宋体" w:cs="宋体"/>
          <w:kern w:val="0"/>
          <w:sz w:val="28"/>
          <w:szCs w:val="28"/>
          <w:lang w:val="en-US" w:eastAsia="zh-CN"/>
        </w:rPr>
      </w:pPr>
      <w:r>
        <w:rPr>
          <w:rFonts w:hint="eastAsia" w:ascii="宋体" w:cs="宋体"/>
          <w:kern w:val="0"/>
          <w:sz w:val="28"/>
          <w:szCs w:val="28"/>
          <w:lang w:val="en-US" w:eastAsia="zh-CN"/>
        </w:rPr>
        <w:t>3、控制电缆接线的要求</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（1）一般采用整根控制电缆。当控制电缆的敷设长度超过制造长度时，或由于屏台的搬迁而使原有电缆长度不够时，或更换电缆的故障段时，可用焊接法连接电缆。焊接法连接电缆时在连接处应装设连接盒。</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（2）至屏上的控制电缆应接到端子排、试验盒或试验端钮上。至互感器或单独设备的电缆，允许直接接到这些设备上。</w:t>
      </w:r>
    </w:p>
    <w:p>
      <w:pPr>
        <w:numPr>
          <w:ilvl w:val="0"/>
          <w:numId w:val="0"/>
        </w:numPr>
        <w:spacing w:line="360" w:lineRule="auto"/>
        <w:ind w:leftChars="0"/>
        <w:rPr>
          <w:rFonts w:hint="eastAsia" w:ascii="宋体" w:cs="宋体"/>
          <w:kern w:val="0"/>
          <w:sz w:val="28"/>
          <w:szCs w:val="28"/>
          <w:lang w:val="en-US" w:eastAsia="zh-CN"/>
        </w:rPr>
      </w:pPr>
      <w:r>
        <w:rPr>
          <w:rFonts w:hint="default" w:ascii="宋体" w:cs="宋体"/>
          <w:kern w:val="0"/>
          <w:sz w:val="28"/>
          <w:szCs w:val="28"/>
          <w:lang w:val="en-US" w:eastAsia="zh-CN"/>
        </w:rPr>
        <w:t>（3）控制电缆接到端子和设备上的电缆芯应有标记</w:t>
      </w:r>
      <w:r>
        <w:rPr>
          <w:rFonts w:hint="eastAsia" w:ascii="宋体" w:cs="宋体"/>
          <w:kern w:val="0"/>
          <w:sz w:val="28"/>
          <w:szCs w:val="28"/>
          <w:lang w:val="en-US" w:eastAsia="zh-CN"/>
        </w:rPr>
        <w:t>。</w:t>
      </w:r>
    </w:p>
    <w:p>
      <w:pPr>
        <w:numPr>
          <w:ilvl w:val="0"/>
          <w:numId w:val="0"/>
        </w:numPr>
        <w:spacing w:line="360" w:lineRule="auto"/>
        <w:ind w:leftChars="0"/>
        <w:rPr>
          <w:rFonts w:hint="eastAsia" w:ascii="宋体" w:cs="宋体"/>
          <w:kern w:val="0"/>
          <w:sz w:val="28"/>
          <w:szCs w:val="28"/>
          <w:lang w:val="en-US" w:eastAsia="zh-CN"/>
        </w:rPr>
      </w:pPr>
      <w:r>
        <w:rPr>
          <w:rFonts w:hint="eastAsia" w:ascii="宋体" w:cs="宋体"/>
          <w:kern w:val="0"/>
          <w:sz w:val="28"/>
          <w:szCs w:val="28"/>
          <w:lang w:val="en-US" w:eastAsia="zh-CN"/>
        </w:rPr>
        <w:t>4、控制电缆芯数和根数的选择</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（1）控制电缆宜采用多芯电缆，应尽可能减少电缆根数。当芯线截面积为 1.5mm</w:t>
      </w:r>
      <w:r>
        <w:rPr>
          <w:rFonts w:hint="eastAsia" w:ascii="宋体" w:cs="宋体"/>
          <w:kern w:val="0"/>
          <w:sz w:val="28"/>
          <w:szCs w:val="28"/>
          <w:lang w:val="en-US" w:eastAsia="zh-CN"/>
        </w:rPr>
        <w:t>²</w:t>
      </w:r>
      <w:r>
        <w:rPr>
          <w:rFonts w:hint="default" w:ascii="宋体" w:cs="宋体"/>
          <w:kern w:val="0"/>
          <w:sz w:val="28"/>
          <w:szCs w:val="28"/>
          <w:lang w:val="en-US" w:eastAsia="zh-CN"/>
        </w:rPr>
        <w:t>时，电缆芯数不宜超过37 芯</w:t>
      </w:r>
      <w:r>
        <w:rPr>
          <w:rFonts w:hint="eastAsia" w:ascii="宋体" w:cs="宋体"/>
          <w:kern w:val="0"/>
          <w:sz w:val="28"/>
          <w:szCs w:val="28"/>
          <w:lang w:val="en-US" w:eastAsia="zh-CN"/>
        </w:rPr>
        <w:t>；</w:t>
      </w:r>
      <w:r>
        <w:rPr>
          <w:rFonts w:hint="default" w:ascii="宋体" w:cs="宋体"/>
          <w:kern w:val="0"/>
          <w:sz w:val="28"/>
          <w:szCs w:val="28"/>
          <w:lang w:val="en-US" w:eastAsia="zh-CN"/>
        </w:rPr>
        <w:t>当芯线截面积为 2.5mm</w:t>
      </w:r>
      <w:r>
        <w:rPr>
          <w:rFonts w:hint="eastAsia" w:ascii="宋体" w:cs="宋体"/>
          <w:kern w:val="0"/>
          <w:sz w:val="28"/>
          <w:szCs w:val="28"/>
          <w:lang w:val="en-US" w:eastAsia="zh-CN"/>
        </w:rPr>
        <w:t>²</w:t>
      </w:r>
      <w:r>
        <w:rPr>
          <w:rFonts w:hint="default" w:ascii="宋体" w:cs="宋体"/>
          <w:kern w:val="0"/>
          <w:sz w:val="28"/>
          <w:szCs w:val="28"/>
          <w:lang w:val="en-US" w:eastAsia="zh-CN"/>
        </w:rPr>
        <w:t>时，电缆芯数不宜超过 24 芯</w:t>
      </w:r>
      <w:r>
        <w:rPr>
          <w:rFonts w:hint="eastAsia" w:ascii="宋体" w:cs="宋体"/>
          <w:kern w:val="0"/>
          <w:sz w:val="28"/>
          <w:szCs w:val="28"/>
          <w:lang w:val="en-US" w:eastAsia="zh-CN"/>
        </w:rPr>
        <w:t>；</w:t>
      </w:r>
      <w:r>
        <w:rPr>
          <w:rFonts w:hint="default" w:ascii="宋体" w:cs="宋体"/>
          <w:kern w:val="0"/>
          <w:sz w:val="28"/>
          <w:szCs w:val="28"/>
          <w:lang w:val="en-US" w:eastAsia="zh-CN"/>
        </w:rPr>
        <w:t>当芯线截面积为 4～6mm</w:t>
      </w:r>
      <w:r>
        <w:rPr>
          <w:rFonts w:hint="eastAsia" w:ascii="宋体" w:cs="宋体"/>
          <w:kern w:val="0"/>
          <w:sz w:val="28"/>
          <w:szCs w:val="28"/>
          <w:lang w:val="en-US" w:eastAsia="zh-CN"/>
        </w:rPr>
        <w:t>²</w:t>
      </w:r>
      <w:r>
        <w:rPr>
          <w:rFonts w:hint="default" w:ascii="宋体" w:cs="宋体"/>
          <w:kern w:val="0"/>
          <w:sz w:val="28"/>
          <w:szCs w:val="28"/>
          <w:lang w:val="en-US" w:eastAsia="zh-CN"/>
        </w:rPr>
        <w:t>时，电缆芯数不宜超过10芯。弱电控制电缆不宜超过 50 芯。</w:t>
      </w:r>
    </w:p>
    <w:p>
      <w:pPr>
        <w:numPr>
          <w:ilvl w:val="0"/>
          <w:numId w:val="0"/>
        </w:numPr>
        <w:spacing w:line="360" w:lineRule="auto"/>
        <w:ind w:leftChars="0"/>
        <w:rPr>
          <w:rFonts w:hint="eastAsia" w:ascii="宋体" w:cs="宋体"/>
          <w:kern w:val="0"/>
          <w:sz w:val="28"/>
          <w:szCs w:val="28"/>
          <w:lang w:val="en-US" w:eastAsia="zh-CN"/>
        </w:rPr>
      </w:pPr>
      <w:r>
        <w:rPr>
          <w:rFonts w:hint="default" w:ascii="宋体" w:cs="宋体"/>
          <w:kern w:val="0"/>
          <w:sz w:val="28"/>
          <w:szCs w:val="28"/>
          <w:lang w:val="en-US" w:eastAsia="zh-CN"/>
        </w:rPr>
        <w:t>（2）对双重化保护的电流回路、电压回路、直流电源回路、双套跳闸绕组的控制回路等需要增强可靠性的两套系统，不应合用一个多芯电缆</w:t>
      </w:r>
      <w:r>
        <w:rPr>
          <w:rFonts w:hint="eastAsia" w:ascii="宋体" w:cs="宋体"/>
          <w:kern w:val="0"/>
          <w:sz w:val="28"/>
          <w:szCs w:val="28"/>
          <w:lang w:val="en-US" w:eastAsia="zh-CN"/>
        </w:rPr>
        <w:t>。</w:t>
      </w:r>
    </w:p>
    <w:p>
      <w:pPr>
        <w:numPr>
          <w:ilvl w:val="0"/>
          <w:numId w:val="0"/>
        </w:numPr>
        <w:spacing w:line="360" w:lineRule="auto"/>
        <w:ind w:leftChars="0"/>
        <w:rPr>
          <w:rFonts w:hint="eastAsia" w:ascii="宋体" w:cs="宋体"/>
          <w:kern w:val="0"/>
          <w:sz w:val="28"/>
          <w:szCs w:val="28"/>
          <w:lang w:val="en-US" w:eastAsia="zh-CN"/>
        </w:rPr>
      </w:pPr>
      <w:r>
        <w:rPr>
          <w:rFonts w:hint="default" w:ascii="宋体" w:cs="宋体"/>
          <w:kern w:val="0"/>
          <w:sz w:val="28"/>
          <w:szCs w:val="28"/>
          <w:lang w:val="en-US" w:eastAsia="zh-CN"/>
        </w:rPr>
        <w:t>（3）7芯及以上的芯数。截面积小于4mm</w:t>
      </w:r>
      <w:r>
        <w:rPr>
          <w:rFonts w:hint="eastAsia" w:ascii="宋体" w:cs="宋体"/>
          <w:kern w:val="0"/>
          <w:sz w:val="28"/>
          <w:szCs w:val="28"/>
          <w:lang w:val="en-US" w:eastAsia="zh-CN"/>
        </w:rPr>
        <w:t>²</w:t>
      </w:r>
      <w:r>
        <w:rPr>
          <w:rFonts w:hint="default" w:ascii="宋体" w:cs="宋体"/>
          <w:kern w:val="0"/>
          <w:sz w:val="28"/>
          <w:szCs w:val="28"/>
          <w:lang w:val="en-US" w:eastAsia="zh-CN"/>
        </w:rPr>
        <w:t>的较长控制电缆应留有必要的备用芯。但同一安装单位的同一起止点的控制电缆不必在每根电缆中都留有备用芯，可在同类性质的一根电缆中预留备用芯</w:t>
      </w:r>
      <w:r>
        <w:rPr>
          <w:rFonts w:hint="eastAsia" w:ascii="宋体" w:cs="宋体"/>
          <w:kern w:val="0"/>
          <w:sz w:val="28"/>
          <w:szCs w:val="28"/>
          <w:lang w:val="en-US" w:eastAsia="zh-CN"/>
        </w:rPr>
        <w:t>。</w:t>
      </w:r>
    </w:p>
    <w:p>
      <w:pPr>
        <w:numPr>
          <w:ilvl w:val="0"/>
          <w:numId w:val="0"/>
        </w:numPr>
        <w:spacing w:line="360" w:lineRule="auto"/>
        <w:ind w:leftChars="0"/>
        <w:rPr>
          <w:rFonts w:hint="eastAsia" w:ascii="宋体" w:cs="宋体"/>
          <w:kern w:val="0"/>
          <w:sz w:val="28"/>
          <w:szCs w:val="28"/>
          <w:lang w:val="en-US" w:eastAsia="zh-CN"/>
        </w:rPr>
      </w:pPr>
      <w:r>
        <w:rPr>
          <w:rFonts w:hint="eastAsia" w:ascii="宋体" w:cs="宋体"/>
          <w:kern w:val="0"/>
          <w:sz w:val="28"/>
          <w:szCs w:val="28"/>
          <w:lang w:val="en-US" w:eastAsia="zh-CN"/>
        </w:rPr>
        <w:t>（4）</w:t>
      </w:r>
      <w:r>
        <w:rPr>
          <w:rFonts w:hint="default" w:ascii="宋体" w:cs="宋体"/>
          <w:kern w:val="0"/>
          <w:sz w:val="28"/>
          <w:szCs w:val="28"/>
          <w:lang w:val="en-US" w:eastAsia="zh-CN"/>
        </w:rPr>
        <w:t>应尽量避免将一根电缆中的各芯线接至屏上两侧的端子排，若芯数为6芯及以上时，应采用单独的电缆</w:t>
      </w:r>
      <w:r>
        <w:rPr>
          <w:rFonts w:hint="eastAsia" w:ascii="宋体" w:cs="宋体"/>
          <w:kern w:val="0"/>
          <w:sz w:val="28"/>
          <w:szCs w:val="28"/>
          <w:lang w:val="en-US" w:eastAsia="zh-CN"/>
        </w:rPr>
        <w:t>。</w:t>
      </w:r>
    </w:p>
    <w:p>
      <w:pPr>
        <w:numPr>
          <w:ilvl w:val="0"/>
          <w:numId w:val="42"/>
        </w:numPr>
        <w:spacing w:line="360" w:lineRule="auto"/>
        <w:ind w:left="0" w:leftChars="0" w:firstLine="0" w:firstLineChars="0"/>
        <w:rPr>
          <w:rFonts w:hint="default" w:ascii="宋体" w:cs="宋体"/>
          <w:kern w:val="0"/>
          <w:sz w:val="28"/>
          <w:szCs w:val="28"/>
          <w:lang w:val="en-US" w:eastAsia="zh-CN"/>
        </w:rPr>
      </w:pPr>
      <w:r>
        <w:rPr>
          <w:rFonts w:hint="default" w:ascii="宋体" w:cs="宋体"/>
          <w:kern w:val="0"/>
          <w:sz w:val="28"/>
          <w:szCs w:val="28"/>
          <w:lang w:val="en-US" w:eastAsia="zh-CN"/>
        </w:rPr>
        <w:t>下列情况的回路，相互间不应合用同一根控制电缆</w:t>
      </w:r>
      <w:r>
        <w:rPr>
          <w:rFonts w:hint="eastAsia" w:ascii="宋体" w:cs="宋体"/>
          <w:kern w:val="0"/>
          <w:sz w:val="28"/>
          <w:szCs w:val="28"/>
          <w:lang w:val="en-US" w:eastAsia="zh-CN"/>
        </w:rPr>
        <w:t>：</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1）弱电信号、控制回路与强电信号、控制回路。</w:t>
      </w:r>
    </w:p>
    <w:p>
      <w:pPr>
        <w:numPr>
          <w:ilvl w:val="0"/>
          <w:numId w:val="0"/>
        </w:numPr>
        <w:spacing w:line="360" w:lineRule="auto"/>
        <w:ind w:leftChars="0"/>
        <w:rPr>
          <w:rFonts w:hint="default" w:ascii="宋体" w:cs="宋体"/>
          <w:kern w:val="0"/>
          <w:sz w:val="28"/>
          <w:szCs w:val="28"/>
          <w:lang w:val="en-US" w:eastAsia="zh-CN"/>
        </w:rPr>
      </w:pPr>
      <w:r>
        <w:rPr>
          <w:rFonts w:hint="default" w:ascii="宋体" w:cs="宋体"/>
          <w:kern w:val="0"/>
          <w:sz w:val="28"/>
          <w:szCs w:val="28"/>
          <w:lang w:val="en-US" w:eastAsia="zh-CN"/>
        </w:rPr>
        <w:t>2）低电平信号与高电平信号回路。</w:t>
      </w:r>
    </w:p>
    <w:p>
      <w:pPr>
        <w:numPr>
          <w:ilvl w:val="0"/>
          <w:numId w:val="0"/>
        </w:numPr>
        <w:spacing w:line="360" w:lineRule="auto"/>
        <w:ind w:leftChars="0"/>
        <w:rPr>
          <w:rFonts w:hint="eastAsia" w:ascii="宋体" w:cs="宋体"/>
          <w:kern w:val="0"/>
          <w:sz w:val="28"/>
          <w:szCs w:val="28"/>
          <w:lang w:val="en-US" w:eastAsia="zh-CN"/>
        </w:rPr>
      </w:pPr>
      <w:r>
        <w:rPr>
          <w:rFonts w:hint="default" w:ascii="宋体" w:cs="宋体"/>
          <w:kern w:val="0"/>
          <w:sz w:val="28"/>
          <w:szCs w:val="28"/>
          <w:lang w:val="en-US" w:eastAsia="zh-CN"/>
        </w:rPr>
        <w:t>3）交流断路器分相操作的各相弱电控制回路</w:t>
      </w:r>
      <w:r>
        <w:rPr>
          <w:rFonts w:hint="eastAsia" w:ascii="宋体" w:cs="宋体"/>
          <w:kern w:val="0"/>
          <w:sz w:val="28"/>
          <w:szCs w:val="28"/>
          <w:lang w:val="en-US" w:eastAsia="zh-CN"/>
        </w:rPr>
        <w:t>。</w:t>
      </w:r>
    </w:p>
    <w:p>
      <w:pPr>
        <w:pStyle w:val="2"/>
        <w:ind w:left="0" w:leftChars="0" w:firstLine="0" w:firstLineChars="0"/>
        <w:rPr>
          <w:rFonts w:hint="default"/>
          <w:lang w:val="en-US" w:eastAsia="zh-CN"/>
        </w:rPr>
      </w:pPr>
      <w:r>
        <w:rPr>
          <w:rFonts w:hint="eastAsia" w:ascii="宋体" w:cs="宋体"/>
          <w:kern w:val="0"/>
          <w:sz w:val="28"/>
          <w:szCs w:val="28"/>
          <w:lang w:val="en-US" w:eastAsia="zh-CN"/>
        </w:rPr>
        <w:t>5、制室的建筑，应按变电站的规划容量在第一期工程中一次建成，屏位应按规划容量确定，并应留有备用屏位的余地。</w:t>
      </w:r>
    </w:p>
    <w:p>
      <w:pPr>
        <w:spacing w:line="360" w:lineRule="auto"/>
        <w:outlineLvl w:val="2"/>
        <w:rPr>
          <w:rFonts w:hint="eastAsia" w:ascii="Times New Roman" w:hAnsi="Times New Roman" w:eastAsia="宋体" w:cs="Times New Roman"/>
          <w:b/>
          <w:kern w:val="0"/>
          <w:sz w:val="28"/>
          <w:szCs w:val="21"/>
          <w:lang w:val="en-US" w:eastAsia="zh-CN" w:bidi="ar-SA"/>
        </w:rPr>
      </w:pPr>
      <w:bookmarkStart w:id="182" w:name="_Toc28260"/>
      <w:r>
        <w:rPr>
          <w:rFonts w:hint="eastAsia" w:ascii="Times New Roman" w:hAnsi="Times New Roman" w:eastAsia="宋体" w:cs="Times New Roman"/>
          <w:b/>
          <w:kern w:val="0"/>
          <w:sz w:val="28"/>
          <w:szCs w:val="21"/>
          <w:lang w:val="en-US" w:eastAsia="zh-CN" w:bidi="ar-SA"/>
        </w:rPr>
        <w:t>2.</w:t>
      </w:r>
      <w:r>
        <w:rPr>
          <w:rFonts w:hint="eastAsia" w:cs="Times New Roman"/>
          <w:b/>
          <w:kern w:val="0"/>
          <w:sz w:val="28"/>
          <w:szCs w:val="21"/>
          <w:lang w:val="en-US" w:eastAsia="zh-CN" w:bidi="ar-SA"/>
        </w:rPr>
        <w:t>4</w:t>
      </w:r>
      <w:r>
        <w:rPr>
          <w:rFonts w:hint="eastAsia" w:ascii="Times New Roman" w:hAnsi="Times New Roman" w:eastAsia="宋体" w:cs="Times New Roman"/>
          <w:b/>
          <w:kern w:val="0"/>
          <w:sz w:val="28"/>
          <w:szCs w:val="21"/>
          <w:lang w:val="en-US" w:eastAsia="zh-CN" w:bidi="ar-SA"/>
        </w:rPr>
        <w:t>.1</w:t>
      </w:r>
      <w:r>
        <w:rPr>
          <w:rFonts w:hint="eastAsia" w:cs="Times New Roman"/>
          <w:b/>
          <w:kern w:val="0"/>
          <w:sz w:val="28"/>
          <w:szCs w:val="21"/>
          <w:lang w:val="en-US" w:eastAsia="zh-CN" w:bidi="ar-SA"/>
        </w:rPr>
        <w:t>4</w:t>
      </w:r>
      <w:r>
        <w:rPr>
          <w:rFonts w:hint="eastAsia" w:ascii="Times New Roman" w:hAnsi="Times New Roman" w:eastAsia="宋体" w:cs="Times New Roman"/>
          <w:b/>
          <w:kern w:val="0"/>
          <w:sz w:val="28"/>
          <w:szCs w:val="21"/>
          <w:lang w:val="en-US" w:eastAsia="zh-CN" w:bidi="ar-SA"/>
        </w:rPr>
        <w:t>变电站综合自动化系统</w:t>
      </w:r>
      <w:bookmarkEnd w:id="182"/>
    </w:p>
    <w:p>
      <w:pPr>
        <w:numPr>
          <w:ilvl w:val="0"/>
          <w:numId w:val="43"/>
        </w:numPr>
        <w:spacing w:line="360" w:lineRule="auto"/>
        <w:ind w:leftChars="0"/>
        <w:rPr>
          <w:rFonts w:hint="eastAsia" w:ascii="宋体" w:cs="宋体"/>
          <w:kern w:val="0"/>
          <w:sz w:val="28"/>
          <w:szCs w:val="28"/>
          <w:lang w:val="en-US" w:eastAsia="zh-CN"/>
        </w:rPr>
      </w:pPr>
      <w:r>
        <w:rPr>
          <w:rFonts w:hint="eastAsia" w:ascii="宋体" w:cs="宋体"/>
          <w:kern w:val="0"/>
          <w:sz w:val="28"/>
          <w:szCs w:val="28"/>
          <w:lang w:val="en-US" w:eastAsia="zh-CN"/>
        </w:rPr>
        <w:t>变电站综合自动化的基本功能</w:t>
      </w:r>
    </w:p>
    <w:p>
      <w:pPr>
        <w:numPr>
          <w:ilvl w:val="0"/>
          <w:numId w:val="0"/>
        </w:numPr>
        <w:spacing w:line="360" w:lineRule="auto"/>
        <w:rPr>
          <w:rFonts w:hint="eastAsia" w:ascii="宋体" w:cs="宋体"/>
          <w:kern w:val="0"/>
          <w:sz w:val="28"/>
          <w:szCs w:val="28"/>
          <w:lang w:val="en-US" w:eastAsia="zh-CN"/>
        </w:rPr>
      </w:pPr>
      <w:r>
        <w:rPr>
          <w:rFonts w:hint="default" w:ascii="宋体" w:cs="宋体"/>
          <w:kern w:val="0"/>
          <w:sz w:val="28"/>
          <w:szCs w:val="28"/>
          <w:lang w:val="en-US" w:eastAsia="zh-CN"/>
        </w:rPr>
        <w:t>变电站综合自动化的基本功能主要为</w:t>
      </w:r>
      <w:r>
        <w:rPr>
          <w:rFonts w:hint="eastAsia" w:ascii="宋体" w:cs="宋体"/>
          <w:kern w:val="0"/>
          <w:sz w:val="28"/>
          <w:szCs w:val="28"/>
          <w:lang w:val="en-US" w:eastAsia="zh-CN"/>
        </w:rPr>
        <w:t>：</w:t>
      </w:r>
      <w:r>
        <w:rPr>
          <w:rFonts w:hint="default" w:ascii="宋体" w:cs="宋体"/>
          <w:kern w:val="0"/>
          <w:sz w:val="28"/>
          <w:szCs w:val="28"/>
          <w:lang w:val="en-US" w:eastAsia="zh-CN"/>
        </w:rPr>
        <w:t>在线监视正常运行时的运行参数及设备运行状况</w:t>
      </w:r>
      <w:r>
        <w:rPr>
          <w:rFonts w:hint="eastAsia" w:ascii="宋体" w:cs="宋体"/>
          <w:kern w:val="0"/>
          <w:sz w:val="28"/>
          <w:szCs w:val="28"/>
          <w:lang w:val="en-US" w:eastAsia="zh-CN"/>
        </w:rPr>
        <w:t>；</w:t>
      </w:r>
      <w:r>
        <w:rPr>
          <w:rFonts w:hint="default" w:ascii="宋体" w:cs="宋体"/>
          <w:kern w:val="0"/>
          <w:sz w:val="28"/>
          <w:szCs w:val="28"/>
          <w:lang w:val="en-US" w:eastAsia="zh-CN"/>
        </w:rPr>
        <w:t>自检、自诊断设备本身的异常运行</w:t>
      </w:r>
      <w:r>
        <w:rPr>
          <w:rFonts w:hint="eastAsia" w:ascii="宋体" w:cs="宋体"/>
          <w:kern w:val="0"/>
          <w:sz w:val="28"/>
          <w:szCs w:val="28"/>
          <w:lang w:val="en-US" w:eastAsia="zh-CN"/>
        </w:rPr>
        <w:t>；</w:t>
      </w:r>
      <w:r>
        <w:rPr>
          <w:rFonts w:hint="default" w:ascii="宋体" w:cs="宋体"/>
          <w:kern w:val="0"/>
          <w:sz w:val="28"/>
          <w:szCs w:val="28"/>
          <w:lang w:val="en-US" w:eastAsia="zh-CN"/>
        </w:rPr>
        <w:t>发现电网设备异常变化或装置内部异常时，立即自动报警并闭锁相应的出口动作，以防止事态扩大</w:t>
      </w:r>
      <w:r>
        <w:rPr>
          <w:rFonts w:hint="eastAsia" w:ascii="宋体" w:cs="宋体"/>
          <w:kern w:val="0"/>
          <w:sz w:val="28"/>
          <w:szCs w:val="28"/>
          <w:lang w:val="en-US" w:eastAsia="zh-CN"/>
        </w:rPr>
        <w:t>；</w:t>
      </w:r>
      <w:r>
        <w:rPr>
          <w:rFonts w:hint="default" w:ascii="宋体" w:cs="宋体"/>
          <w:kern w:val="0"/>
          <w:sz w:val="28"/>
          <w:szCs w:val="28"/>
          <w:lang w:val="en-US" w:eastAsia="zh-CN"/>
        </w:rPr>
        <w:t>电网出现事故时，快速采样、判断、决策、动作并迅速消除事故，使故障限制在最小范围</w:t>
      </w:r>
      <w:r>
        <w:rPr>
          <w:rFonts w:hint="eastAsia" w:ascii="宋体" w:cs="宋体"/>
          <w:kern w:val="0"/>
          <w:sz w:val="28"/>
          <w:szCs w:val="28"/>
          <w:lang w:val="en-US" w:eastAsia="zh-CN"/>
        </w:rPr>
        <w:t>；</w:t>
      </w:r>
      <w:r>
        <w:rPr>
          <w:rFonts w:hint="default" w:ascii="宋体" w:cs="宋体"/>
          <w:kern w:val="0"/>
          <w:sz w:val="28"/>
          <w:szCs w:val="28"/>
          <w:lang w:val="en-US" w:eastAsia="zh-CN"/>
        </w:rPr>
        <w:t>完成电网在线实时计算、数据存储、统计、分析报表和保证电能质量的自动监控调整工作</w:t>
      </w:r>
      <w:r>
        <w:rPr>
          <w:rFonts w:hint="eastAsia" w:ascii="宋体" w:cs="宋体"/>
          <w:kern w:val="0"/>
          <w:sz w:val="28"/>
          <w:szCs w:val="28"/>
          <w:lang w:val="en-US" w:eastAsia="zh-CN"/>
        </w:rPr>
        <w:t>；</w:t>
      </w:r>
      <w:r>
        <w:rPr>
          <w:rFonts w:hint="default" w:ascii="宋体" w:cs="宋体"/>
          <w:kern w:val="0"/>
          <w:sz w:val="28"/>
          <w:szCs w:val="28"/>
          <w:lang w:val="en-US" w:eastAsia="zh-CN"/>
        </w:rPr>
        <w:t>实现变电站与远方调度通信的远动功能</w:t>
      </w:r>
      <w:r>
        <w:rPr>
          <w:rFonts w:hint="eastAsia" w:ascii="宋体" w:cs="宋体"/>
          <w:kern w:val="0"/>
          <w:sz w:val="28"/>
          <w:szCs w:val="28"/>
          <w:lang w:val="en-US" w:eastAsia="zh-CN"/>
        </w:rPr>
        <w:t>。本站</w:t>
      </w:r>
      <w:r>
        <w:rPr>
          <w:rFonts w:hint="default" w:ascii="宋体" w:cs="宋体"/>
          <w:kern w:val="0"/>
          <w:sz w:val="28"/>
          <w:szCs w:val="28"/>
          <w:lang w:val="en-US" w:eastAsia="zh-CN"/>
        </w:rPr>
        <w:t>归纳为以下几种子系统</w:t>
      </w:r>
      <w:r>
        <w:rPr>
          <w:rFonts w:hint="eastAsia" w:ascii="宋体" w:cs="宋体"/>
          <w:kern w:val="0"/>
          <w:sz w:val="28"/>
          <w:szCs w:val="28"/>
          <w:lang w:val="en-US" w:eastAsia="zh-CN"/>
        </w:rPr>
        <w:t>：</w:t>
      </w:r>
    </w:p>
    <w:p>
      <w:pPr>
        <w:numPr>
          <w:ilvl w:val="0"/>
          <w:numId w:val="44"/>
        </w:numPr>
        <w:spacing w:line="360" w:lineRule="auto"/>
        <w:rPr>
          <w:rFonts w:hint="default" w:ascii="宋体" w:cs="宋体"/>
          <w:kern w:val="0"/>
          <w:sz w:val="28"/>
          <w:szCs w:val="28"/>
          <w:lang w:val="en-US" w:eastAsia="zh-CN"/>
        </w:rPr>
      </w:pPr>
      <w:r>
        <w:rPr>
          <w:rFonts w:hint="eastAsia" w:ascii="宋体" w:cs="宋体"/>
          <w:kern w:val="0"/>
          <w:sz w:val="28"/>
          <w:szCs w:val="28"/>
          <w:lang w:val="en-US" w:eastAsia="zh-CN"/>
        </w:rPr>
        <w:t>监控子系统。监控子系统采用计算机和通信技术，通过后台机屏幕完成对变电站次系统的运行监视与控制。</w:t>
      </w:r>
      <w:r>
        <w:rPr>
          <w:rFonts w:hint="default" w:ascii="宋体" w:cs="宋体"/>
          <w:kern w:val="0"/>
          <w:sz w:val="28"/>
          <w:szCs w:val="28"/>
          <w:lang w:val="en-US" w:eastAsia="zh-CN"/>
        </w:rPr>
        <w:t>监控子系统的功能包括以下部分。</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1）数据采集和处理。</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2）安全监视功能。</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3）事件顺序记录。</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4）操作控制功能。</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5）画面生成及显示。</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6）时钟同步功能。</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7）人机联系功能。</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8）数据统计与处理。</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9）系统自诊断和自恢复功能</w:t>
      </w:r>
      <w:r>
        <w:rPr>
          <w:rFonts w:hint="eastAsia" w:ascii="宋体" w:cs="宋体"/>
          <w:kern w:val="0"/>
          <w:sz w:val="28"/>
          <w:szCs w:val="28"/>
          <w:lang w:val="en-US" w:eastAsia="zh-CN"/>
        </w:rPr>
        <w:t>。</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10）运行管理功能。</w:t>
      </w:r>
    </w:p>
    <w:p>
      <w:pPr>
        <w:numPr>
          <w:ilvl w:val="0"/>
          <w:numId w:val="0"/>
        </w:numPr>
        <w:spacing w:line="360" w:lineRule="auto"/>
        <w:rPr>
          <w:rFonts w:hint="eastAsia" w:ascii="宋体" w:cs="宋体"/>
          <w:kern w:val="0"/>
          <w:sz w:val="28"/>
          <w:szCs w:val="28"/>
          <w:lang w:val="en-US" w:eastAsia="zh-CN"/>
        </w:rPr>
      </w:pPr>
      <w:r>
        <w:rPr>
          <w:rFonts w:hint="default" w:ascii="宋体" w:cs="宋体"/>
          <w:kern w:val="0"/>
          <w:sz w:val="28"/>
          <w:szCs w:val="28"/>
          <w:lang w:val="en-US" w:eastAsia="zh-CN"/>
        </w:rPr>
        <w:t>（2）微机继电保护子系统。微机继电保护子系统是变电站综合自动化系统最基本、最重要的部分，包括变电站的主设备和输电线路的全套保护。微机继电保护具有逻辑判断清楚正确、保护性能优良、运行可靠性高、调试维护方便等特点</w:t>
      </w:r>
      <w:r>
        <w:rPr>
          <w:rFonts w:hint="eastAsia" w:ascii="宋体" w:cs="宋体"/>
          <w:kern w:val="0"/>
          <w:sz w:val="28"/>
          <w:szCs w:val="28"/>
          <w:lang w:val="en-US" w:eastAsia="zh-CN"/>
        </w:rPr>
        <w:t>，应满足《电力二次系统安全防护总体方案》等相关要求，具体微机保护装置要求按照2.3.4中微机保护装置要求配置，线路光差保护按照上级变电站配置。</w:t>
      </w:r>
    </w:p>
    <w:p>
      <w:pPr>
        <w:numPr>
          <w:ilvl w:val="0"/>
          <w:numId w:val="0"/>
        </w:numPr>
        <w:spacing w:line="360" w:lineRule="auto"/>
        <w:rPr>
          <w:rFonts w:hint="eastAsia" w:ascii="宋体" w:cs="宋体"/>
          <w:kern w:val="0"/>
          <w:sz w:val="28"/>
          <w:szCs w:val="28"/>
          <w:lang w:val="en-US" w:eastAsia="zh-CN"/>
        </w:rPr>
      </w:pPr>
      <w:r>
        <w:rPr>
          <w:rFonts w:hint="eastAsia" w:ascii="宋体" w:cs="宋体"/>
          <w:kern w:val="0"/>
          <w:sz w:val="28"/>
          <w:szCs w:val="28"/>
          <w:lang w:val="en-US" w:eastAsia="zh-CN"/>
        </w:rPr>
        <w:t>（3）安全自动装置子系统。为了保障电网的安全可靠经济运行，提高电能质量和供电可靠性，变电站综合自动化系统中根据不同情况设置了相应的安全自动装置子系统，主要句括以下功能：</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1）电压无功综合控制。</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2）低频减负荷控制。</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3）备用电源自动投入。</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4）小电流接地选线。</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5）故障录波和测距。</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6）同期操作。</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7）</w:t>
      </w:r>
      <w:r>
        <w:rPr>
          <w:rFonts w:hint="eastAsia" w:ascii="宋体" w:cs="宋体"/>
          <w:kern w:val="0"/>
          <w:sz w:val="28"/>
          <w:szCs w:val="28"/>
          <w:lang w:val="en-US" w:eastAsia="zh-CN"/>
        </w:rPr>
        <w:t>“</w:t>
      </w:r>
      <w:r>
        <w:rPr>
          <w:rFonts w:hint="default" w:ascii="宋体" w:cs="宋体"/>
          <w:kern w:val="0"/>
          <w:sz w:val="28"/>
          <w:szCs w:val="28"/>
          <w:lang w:val="en-US" w:eastAsia="zh-CN"/>
        </w:rPr>
        <w:t>五防</w:t>
      </w:r>
      <w:r>
        <w:rPr>
          <w:rFonts w:hint="eastAsia" w:ascii="宋体" w:cs="宋体"/>
          <w:kern w:val="0"/>
          <w:sz w:val="28"/>
          <w:szCs w:val="28"/>
          <w:lang w:val="en-US" w:eastAsia="zh-CN"/>
        </w:rPr>
        <w:t>”</w:t>
      </w:r>
      <w:r>
        <w:rPr>
          <w:rFonts w:hint="default" w:ascii="宋体" w:cs="宋体"/>
          <w:kern w:val="0"/>
          <w:sz w:val="28"/>
          <w:szCs w:val="28"/>
          <w:lang w:val="en-US" w:eastAsia="zh-CN"/>
        </w:rPr>
        <w:t>操作和闭锁</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4）通信管理子系统。为了确保各个单一功能的子系统之间或子系统与后台监控主机之间建立起数据通信和相互操作，必须解决网络技术、通信协议标准、分布式技术和数据共享等问题，所有这些问题的解决方案均可以纳入通信管理子系统</w:t>
      </w:r>
      <w:r>
        <w:rPr>
          <w:rFonts w:hint="eastAsia" w:ascii="宋体" w:cs="宋体"/>
          <w:kern w:val="0"/>
          <w:sz w:val="28"/>
          <w:szCs w:val="28"/>
          <w:lang w:val="en-US" w:eastAsia="zh-CN"/>
        </w:rPr>
        <w:t>。</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通信管理子系统主要包括三部分</w:t>
      </w:r>
      <w:r>
        <w:rPr>
          <w:rFonts w:hint="eastAsia" w:ascii="宋体" w:cs="宋体"/>
          <w:kern w:val="0"/>
          <w:sz w:val="28"/>
          <w:szCs w:val="28"/>
          <w:lang w:val="en-US" w:eastAsia="zh-CN"/>
        </w:rPr>
        <w:t>：</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1）综合自动化系统的现场级通信。</w:t>
      </w:r>
    </w:p>
    <w:p>
      <w:pPr>
        <w:numPr>
          <w:ilvl w:val="0"/>
          <w:numId w:val="0"/>
        </w:numPr>
        <w:spacing w:line="360" w:lineRule="auto"/>
        <w:rPr>
          <w:rFonts w:hint="default" w:ascii="宋体" w:cs="宋体"/>
          <w:kern w:val="0"/>
          <w:sz w:val="28"/>
          <w:szCs w:val="28"/>
          <w:lang w:val="en-US" w:eastAsia="zh-CN"/>
        </w:rPr>
      </w:pPr>
      <w:r>
        <w:rPr>
          <w:rFonts w:hint="default" w:ascii="宋体" w:cs="宋体"/>
          <w:kern w:val="0"/>
          <w:sz w:val="28"/>
          <w:szCs w:val="28"/>
          <w:lang w:val="en-US" w:eastAsia="zh-CN"/>
        </w:rPr>
        <w:t>2）通信管理机对其他公司产品的通信管理。</w:t>
      </w:r>
    </w:p>
    <w:p>
      <w:pPr>
        <w:numPr>
          <w:ilvl w:val="0"/>
          <w:numId w:val="0"/>
        </w:numPr>
        <w:spacing w:line="360" w:lineRule="auto"/>
        <w:rPr>
          <w:rFonts w:hint="eastAsia" w:ascii="宋体" w:cs="宋体"/>
          <w:color w:val="FF0000"/>
          <w:kern w:val="0"/>
          <w:sz w:val="28"/>
          <w:szCs w:val="28"/>
          <w:lang w:val="en-US" w:eastAsia="zh-CN"/>
        </w:rPr>
      </w:pPr>
      <w:r>
        <w:rPr>
          <w:rFonts w:hint="default" w:ascii="宋体" w:cs="宋体"/>
          <w:kern w:val="0"/>
          <w:sz w:val="28"/>
          <w:szCs w:val="28"/>
          <w:lang w:val="en-US" w:eastAsia="zh-CN"/>
        </w:rPr>
        <w:t>3）</w:t>
      </w:r>
      <w:r>
        <w:rPr>
          <w:rFonts w:hint="default" w:ascii="宋体" w:cs="宋体"/>
          <w:color w:val="FF0000"/>
          <w:kern w:val="0"/>
          <w:sz w:val="28"/>
          <w:szCs w:val="28"/>
          <w:lang w:val="en-US" w:eastAsia="zh-CN"/>
        </w:rPr>
        <w:t>综合自动化系统与上级调度的远动通信</w:t>
      </w:r>
      <w:r>
        <w:rPr>
          <w:rFonts w:hint="eastAsia" w:ascii="宋体" w:cs="宋体"/>
          <w:color w:val="FF0000"/>
          <w:kern w:val="0"/>
          <w:sz w:val="28"/>
          <w:szCs w:val="28"/>
          <w:lang w:val="en-US" w:eastAsia="zh-CN"/>
        </w:rPr>
        <w:t>。</w:t>
      </w:r>
    </w:p>
    <w:p>
      <w:pPr>
        <w:numPr>
          <w:ilvl w:val="0"/>
          <w:numId w:val="0"/>
        </w:numPr>
        <w:spacing w:line="360" w:lineRule="auto"/>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2、</w:t>
      </w:r>
      <w:r>
        <w:rPr>
          <w:rFonts w:hint="default" w:ascii="宋体" w:cs="宋体"/>
          <w:color w:val="auto"/>
          <w:kern w:val="0"/>
          <w:sz w:val="28"/>
          <w:szCs w:val="28"/>
          <w:lang w:val="en-US" w:eastAsia="zh-CN"/>
        </w:rPr>
        <w:t>变电站综合自动化的结构形式</w:t>
      </w:r>
    </w:p>
    <w:p>
      <w:pPr>
        <w:numPr>
          <w:ilvl w:val="0"/>
          <w:numId w:val="0"/>
        </w:numPr>
        <w:spacing w:line="360" w:lineRule="auto"/>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本站采用分层分布式结构。</w:t>
      </w:r>
    </w:p>
    <w:p>
      <w:pPr>
        <w:numPr>
          <w:ilvl w:val="0"/>
          <w:numId w:val="0"/>
        </w:numPr>
        <w:spacing w:line="360" w:lineRule="auto"/>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本站</w:t>
      </w:r>
      <w:r>
        <w:rPr>
          <w:rFonts w:hint="default" w:ascii="宋体" w:cs="宋体"/>
          <w:color w:val="auto"/>
          <w:kern w:val="0"/>
          <w:sz w:val="28"/>
          <w:szCs w:val="28"/>
          <w:lang w:val="en-US" w:eastAsia="zh-CN"/>
        </w:rPr>
        <w:t>层分布式集中组屏的综合自动化系统结构</w:t>
      </w:r>
      <w:r>
        <w:rPr>
          <w:rFonts w:hint="eastAsia" w:ascii="宋体" w:cs="宋体"/>
          <w:color w:val="auto"/>
          <w:kern w:val="0"/>
          <w:sz w:val="28"/>
          <w:szCs w:val="28"/>
          <w:lang w:val="en-US" w:eastAsia="zh-CN"/>
        </w:rPr>
        <w:t>示意</w:t>
      </w:r>
      <w:r>
        <w:rPr>
          <w:rFonts w:hint="default" w:ascii="宋体" w:cs="宋体"/>
          <w:color w:val="auto"/>
          <w:kern w:val="0"/>
          <w:sz w:val="28"/>
          <w:szCs w:val="28"/>
          <w:lang w:val="en-US" w:eastAsia="zh-CN"/>
        </w:rPr>
        <w:t>图</w:t>
      </w:r>
      <w:r>
        <w:rPr>
          <w:rFonts w:hint="eastAsia" w:ascii="宋体" w:cs="宋体"/>
          <w:color w:val="auto"/>
          <w:kern w:val="0"/>
          <w:sz w:val="28"/>
          <w:szCs w:val="28"/>
          <w:lang w:val="en-US" w:eastAsia="zh-CN"/>
        </w:rPr>
        <w:t>如下（参考）：</w:t>
      </w:r>
    </w:p>
    <w:p>
      <w:pPr>
        <w:numPr>
          <w:ilvl w:val="0"/>
          <w:numId w:val="0"/>
        </w:numPr>
        <w:spacing w:line="360" w:lineRule="auto"/>
      </w:pPr>
      <w:r>
        <w:drawing>
          <wp:inline distT="0" distB="0" distL="114300" distR="114300">
            <wp:extent cx="5755005" cy="4157980"/>
            <wp:effectExtent l="0" t="0" r="17145" b="13970"/>
            <wp:docPr id="1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4"/>
                    <pic:cNvPicPr>
                      <a:picLocks noChangeAspect="1"/>
                    </pic:cNvPicPr>
                  </pic:nvPicPr>
                  <pic:blipFill>
                    <a:blip r:embed="rId23"/>
                    <a:stretch>
                      <a:fillRect/>
                    </a:stretch>
                  </pic:blipFill>
                  <pic:spPr>
                    <a:xfrm>
                      <a:off x="0" y="0"/>
                      <a:ext cx="5755005" cy="4157980"/>
                    </a:xfrm>
                    <a:prstGeom prst="rect">
                      <a:avLst/>
                    </a:prstGeom>
                    <a:noFill/>
                    <a:ln>
                      <a:noFill/>
                    </a:ln>
                  </pic:spPr>
                </pic:pic>
              </a:graphicData>
            </a:graphic>
          </wp:inline>
        </w:drawing>
      </w:r>
    </w:p>
    <w:p>
      <w:pPr>
        <w:numPr>
          <w:ilvl w:val="0"/>
          <w:numId w:val="43"/>
        </w:numPr>
        <w:spacing w:line="360" w:lineRule="auto"/>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变电站综合自动化的通信网络</w:t>
      </w:r>
    </w:p>
    <w:p>
      <w:pPr>
        <w:numPr>
          <w:ilvl w:val="0"/>
          <w:numId w:val="0"/>
        </w:numPr>
        <w:spacing w:line="360" w:lineRule="auto"/>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本站通信</w:t>
      </w:r>
      <w:r>
        <w:rPr>
          <w:rFonts w:hint="default" w:ascii="宋体" w:cs="宋体"/>
          <w:color w:val="auto"/>
          <w:kern w:val="0"/>
          <w:sz w:val="28"/>
          <w:szCs w:val="28"/>
          <w:lang w:val="en-US" w:eastAsia="zh-CN"/>
        </w:rPr>
        <w:t>变电站综合自动化系统结构</w:t>
      </w:r>
      <w:r>
        <w:rPr>
          <w:rFonts w:hint="eastAsia" w:ascii="宋体" w:cs="宋体"/>
          <w:color w:val="auto"/>
          <w:kern w:val="0"/>
          <w:sz w:val="28"/>
          <w:szCs w:val="28"/>
          <w:lang w:val="en-US" w:eastAsia="zh-CN"/>
        </w:rPr>
        <w:t>示意</w:t>
      </w:r>
      <w:r>
        <w:rPr>
          <w:rFonts w:hint="default" w:ascii="宋体" w:cs="宋体"/>
          <w:color w:val="auto"/>
          <w:kern w:val="0"/>
          <w:sz w:val="28"/>
          <w:szCs w:val="28"/>
          <w:lang w:val="en-US" w:eastAsia="zh-CN"/>
        </w:rPr>
        <w:t>图</w:t>
      </w:r>
      <w:r>
        <w:rPr>
          <w:rFonts w:hint="eastAsia" w:ascii="宋体" w:cs="宋体"/>
          <w:color w:val="auto"/>
          <w:kern w:val="0"/>
          <w:sz w:val="28"/>
          <w:szCs w:val="28"/>
          <w:lang w:val="en-US" w:eastAsia="zh-CN"/>
        </w:rPr>
        <w:t>如下（参考）：</w:t>
      </w:r>
    </w:p>
    <w:p>
      <w:pPr>
        <w:numPr>
          <w:ilvl w:val="0"/>
          <w:numId w:val="0"/>
        </w:numPr>
        <w:spacing w:line="360" w:lineRule="auto"/>
        <w:ind w:leftChars="0"/>
        <w:rPr>
          <w:rFonts w:hint="default" w:ascii="宋体" w:cs="宋体"/>
          <w:color w:val="auto"/>
          <w:kern w:val="0"/>
          <w:sz w:val="28"/>
          <w:szCs w:val="28"/>
          <w:lang w:val="en-US" w:eastAsia="zh-CN"/>
        </w:rPr>
      </w:pPr>
      <w:r>
        <w:drawing>
          <wp:inline distT="0" distB="0" distL="114300" distR="114300">
            <wp:extent cx="5753100" cy="3811270"/>
            <wp:effectExtent l="0" t="0" r="0" b="17780"/>
            <wp:docPr id="1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5"/>
                    <pic:cNvPicPr>
                      <a:picLocks noChangeAspect="1"/>
                    </pic:cNvPicPr>
                  </pic:nvPicPr>
                  <pic:blipFill>
                    <a:blip r:embed="rId24"/>
                    <a:stretch>
                      <a:fillRect/>
                    </a:stretch>
                  </pic:blipFill>
                  <pic:spPr>
                    <a:xfrm>
                      <a:off x="0" y="0"/>
                      <a:ext cx="5753100" cy="3811270"/>
                    </a:xfrm>
                    <a:prstGeom prst="rect">
                      <a:avLst/>
                    </a:prstGeom>
                    <a:noFill/>
                    <a:ln>
                      <a:noFill/>
                    </a:ln>
                  </pic:spPr>
                </pic:pic>
              </a:graphicData>
            </a:graphic>
          </wp:inline>
        </w:drawing>
      </w:r>
    </w:p>
    <w:p>
      <w:pPr>
        <w:numPr>
          <w:ilvl w:val="0"/>
          <w:numId w:val="0"/>
        </w:numPr>
        <w:spacing w:line="360" w:lineRule="auto"/>
        <w:rPr>
          <w:rFonts w:hint="eastAsia" w:ascii="宋体" w:cs="宋体"/>
          <w:color w:val="auto"/>
          <w:kern w:val="0"/>
          <w:sz w:val="28"/>
          <w:szCs w:val="28"/>
          <w:lang w:val="en-US" w:eastAsia="zh-CN"/>
        </w:rPr>
      </w:pPr>
      <w:r>
        <w:rPr>
          <w:rFonts w:hint="eastAsia"/>
          <w:lang w:val="en-US" w:eastAsia="zh-CN"/>
        </w:rPr>
        <w:t>注：图中串行通信方式现在用于终端设备与通信网络的连接，且由于RS485存在通讯点位不稳定且点位个数局限性，故本变电站不采用RS485总线通讯。</w:t>
      </w:r>
    </w:p>
    <w:p>
      <w:pPr>
        <w:numPr>
          <w:ilvl w:val="0"/>
          <w:numId w:val="45"/>
        </w:numPr>
        <w:spacing w:line="360" w:lineRule="auto"/>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现场总线及其通信网络。</w:t>
      </w:r>
    </w:p>
    <w:p>
      <w:pPr>
        <w:numPr>
          <w:ilvl w:val="0"/>
          <w:numId w:val="0"/>
        </w:numPr>
        <w:spacing w:line="360" w:lineRule="auto"/>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1）本站采用工业工业以太网通信，采用CSMA/CD 总线仲裁技术通信标准的基带总线局域网。</w:t>
      </w:r>
    </w:p>
    <w:p>
      <w:pPr>
        <w:numPr>
          <w:ilvl w:val="0"/>
          <w:numId w:val="0"/>
        </w:numPr>
        <w:spacing w:line="360" w:lineRule="auto"/>
        <w:rPr>
          <w:rFonts w:hint="eastAsia" w:ascii="宋体" w:cs="宋体"/>
          <w:color w:val="FF0000"/>
          <w:kern w:val="0"/>
          <w:sz w:val="28"/>
          <w:szCs w:val="28"/>
          <w:lang w:val="en-US" w:eastAsia="zh-CN"/>
        </w:rPr>
      </w:pPr>
      <w:r>
        <w:rPr>
          <w:rFonts w:hint="eastAsia" w:ascii="宋体" w:cs="宋体"/>
          <w:color w:val="FF0000"/>
          <w:kern w:val="0"/>
          <w:sz w:val="28"/>
          <w:szCs w:val="28"/>
          <w:lang w:val="en-US" w:eastAsia="zh-CN"/>
        </w:rPr>
        <w:t>2）本站可采用的计算机网络拓扑结构有总线型、环型、星型。</w:t>
      </w:r>
    </w:p>
    <w:p>
      <w:pPr>
        <w:numPr>
          <w:ilvl w:val="0"/>
          <w:numId w:val="0"/>
        </w:numPr>
        <w:spacing w:line="360" w:lineRule="auto"/>
        <w:rPr>
          <w:rFonts w:hint="eastAsia" w:ascii="宋体" w:cs="宋体"/>
          <w:color w:val="FF0000"/>
          <w:kern w:val="0"/>
          <w:sz w:val="28"/>
          <w:szCs w:val="28"/>
          <w:lang w:val="en-US" w:eastAsia="zh-CN"/>
        </w:rPr>
      </w:pPr>
      <w:r>
        <w:rPr>
          <w:rFonts w:hint="eastAsia" w:ascii="宋体" w:cs="宋体"/>
          <w:color w:val="FF0000"/>
          <w:kern w:val="0"/>
          <w:sz w:val="28"/>
          <w:szCs w:val="28"/>
          <w:lang w:val="en-US" w:eastAsia="zh-CN"/>
        </w:rPr>
        <w:t>3）间隔层使用 10Mbit/s 以上的以太网，站控层使用 100Mbit/s以上的以太网，层站层、间隔层及设备层均采用超六类网线及模块。</w:t>
      </w:r>
    </w:p>
    <w:p>
      <w:pPr>
        <w:numPr>
          <w:ilvl w:val="0"/>
          <w:numId w:val="0"/>
        </w:numPr>
        <w:spacing w:line="360" w:lineRule="auto"/>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4）以太网的传输介质为屏蔽电缆、双绞线、同轴电缆、光纤和无线通信通道。</w:t>
      </w:r>
    </w:p>
    <w:p>
      <w:pPr>
        <w:numPr>
          <w:ilvl w:val="0"/>
          <w:numId w:val="0"/>
        </w:numPr>
        <w:spacing w:line="360" w:lineRule="auto"/>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其网络拓扑图结构参考如下（参考）：</w:t>
      </w:r>
    </w:p>
    <w:p>
      <w:pPr>
        <w:numPr>
          <w:ilvl w:val="0"/>
          <w:numId w:val="0"/>
        </w:numPr>
        <w:spacing w:line="360" w:lineRule="auto"/>
        <w:rPr>
          <w:rFonts w:hint="eastAsia" w:ascii="宋体" w:cs="宋体"/>
          <w:color w:val="auto"/>
          <w:kern w:val="0"/>
          <w:sz w:val="28"/>
          <w:szCs w:val="28"/>
          <w:lang w:val="en-US" w:eastAsia="zh-CN"/>
        </w:rPr>
      </w:pPr>
    </w:p>
    <w:p>
      <w:pPr>
        <w:numPr>
          <w:ilvl w:val="0"/>
          <w:numId w:val="0"/>
        </w:numPr>
        <w:spacing w:line="360" w:lineRule="auto"/>
        <w:rPr>
          <w:rFonts w:hint="eastAsia" w:ascii="宋体" w:cs="宋体"/>
          <w:color w:val="auto"/>
          <w:kern w:val="0"/>
          <w:sz w:val="28"/>
          <w:szCs w:val="28"/>
          <w:lang w:val="en-US" w:eastAsia="zh-CN"/>
        </w:rPr>
      </w:pPr>
    </w:p>
    <w:p>
      <w:pPr>
        <w:numPr>
          <w:ilvl w:val="0"/>
          <w:numId w:val="0"/>
        </w:numPr>
        <w:spacing w:line="360" w:lineRule="auto"/>
        <w:rPr>
          <w:rFonts w:hint="eastAsia" w:ascii="宋体" w:cs="宋体"/>
          <w:color w:val="auto"/>
          <w:kern w:val="0"/>
          <w:sz w:val="28"/>
          <w:szCs w:val="28"/>
          <w:lang w:val="en-US" w:eastAsia="zh-CN"/>
        </w:rPr>
      </w:pPr>
    </w:p>
    <w:p>
      <w:pPr>
        <w:numPr>
          <w:ilvl w:val="0"/>
          <w:numId w:val="0"/>
        </w:numPr>
        <w:spacing w:line="360" w:lineRule="auto"/>
        <w:rPr>
          <w:rFonts w:hint="eastAsia" w:ascii="宋体" w:cs="宋体"/>
          <w:color w:val="auto"/>
          <w:kern w:val="0"/>
          <w:sz w:val="28"/>
          <w:szCs w:val="28"/>
          <w:lang w:val="en-US" w:eastAsia="zh-CN"/>
        </w:rPr>
      </w:pPr>
    </w:p>
    <w:p>
      <w:pPr>
        <w:numPr>
          <w:ilvl w:val="0"/>
          <w:numId w:val="0"/>
        </w:numPr>
        <w:spacing w:line="360" w:lineRule="auto"/>
        <w:rPr>
          <w:rFonts w:hint="eastAsia" w:ascii="宋体" w:cs="宋体"/>
          <w:color w:val="auto"/>
          <w:kern w:val="0"/>
          <w:sz w:val="28"/>
          <w:szCs w:val="28"/>
          <w:lang w:val="en-US" w:eastAsia="zh-CN"/>
        </w:rPr>
      </w:pPr>
    </w:p>
    <w:p>
      <w:pPr>
        <w:numPr>
          <w:ilvl w:val="0"/>
          <w:numId w:val="0"/>
        </w:numPr>
        <w:spacing w:line="360" w:lineRule="auto"/>
        <w:rPr>
          <w:rFonts w:hint="eastAsia" w:ascii="宋体" w:cs="宋体"/>
          <w:color w:val="auto"/>
          <w:kern w:val="0"/>
          <w:sz w:val="28"/>
          <w:szCs w:val="28"/>
          <w:lang w:val="en-US" w:eastAsia="zh-CN"/>
        </w:rPr>
      </w:pPr>
    </w:p>
    <w:p>
      <w:pPr>
        <w:numPr>
          <w:ilvl w:val="0"/>
          <w:numId w:val="0"/>
        </w:numPr>
        <w:spacing w:line="360" w:lineRule="auto"/>
      </w:pPr>
      <w:r>
        <w:drawing>
          <wp:inline distT="0" distB="0" distL="114300" distR="114300">
            <wp:extent cx="5757545" cy="4022090"/>
            <wp:effectExtent l="0" t="0" r="14605" b="16510"/>
            <wp:docPr id="1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6"/>
                    <pic:cNvPicPr>
                      <a:picLocks noChangeAspect="1"/>
                    </pic:cNvPicPr>
                  </pic:nvPicPr>
                  <pic:blipFill>
                    <a:blip r:embed="rId25"/>
                    <a:stretch>
                      <a:fillRect/>
                    </a:stretch>
                  </pic:blipFill>
                  <pic:spPr>
                    <a:xfrm>
                      <a:off x="0" y="0"/>
                      <a:ext cx="5757545" cy="4022090"/>
                    </a:xfrm>
                    <a:prstGeom prst="rect">
                      <a:avLst/>
                    </a:prstGeom>
                    <a:noFill/>
                    <a:ln>
                      <a:noFill/>
                    </a:ln>
                  </pic:spPr>
                </pic:pic>
              </a:graphicData>
            </a:graphic>
          </wp:inline>
        </w:drawing>
      </w:r>
    </w:p>
    <w:p>
      <w:pPr>
        <w:numPr>
          <w:ilvl w:val="0"/>
          <w:numId w:val="43"/>
        </w:numPr>
        <w:spacing w:line="360" w:lineRule="auto"/>
        <w:ind w:left="0" w:leftChars="0" w:firstLine="0" w:firstLineChars="0"/>
        <w:rPr>
          <w:rFonts w:hint="eastAsia" w:ascii="宋体" w:cs="宋体"/>
          <w:color w:val="FF0000"/>
          <w:kern w:val="0"/>
          <w:sz w:val="28"/>
          <w:szCs w:val="28"/>
          <w:lang w:val="en-US" w:eastAsia="zh-CN"/>
        </w:rPr>
      </w:pPr>
      <w:r>
        <w:rPr>
          <w:rFonts w:hint="eastAsia" w:ascii="宋体" w:cs="宋体"/>
          <w:color w:val="FF0000"/>
          <w:kern w:val="0"/>
          <w:sz w:val="28"/>
          <w:szCs w:val="28"/>
          <w:lang w:val="en-US" w:eastAsia="zh-CN"/>
        </w:rPr>
        <w:t>调度自动化要求（根据接入报告及批复文件）</w:t>
      </w:r>
    </w:p>
    <w:p>
      <w:pPr>
        <w:numPr>
          <w:ilvl w:val="0"/>
          <w:numId w:val="46"/>
        </w:numPr>
        <w:spacing w:line="360" w:lineRule="auto"/>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调度自动化系统应根据调度自动化规划设计的要求配置。</w:t>
      </w:r>
    </w:p>
    <w:p>
      <w:pPr>
        <w:numPr>
          <w:ilvl w:val="0"/>
          <w:numId w:val="46"/>
        </w:numPr>
        <w:spacing w:line="360" w:lineRule="auto"/>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调度自动化系统的遥信、遥测、遥控、遥调量，应根据安全监控调度和保证电能质量。调度自动化系统应满足可靠的自动化信息采集和传送要求。</w:t>
      </w:r>
    </w:p>
    <w:p>
      <w:pPr>
        <w:numPr>
          <w:ilvl w:val="0"/>
          <w:numId w:val="46"/>
        </w:numPr>
        <w:spacing w:line="360" w:lineRule="auto"/>
        <w:ind w:left="0" w:leftChars="0" w:firstLine="0" w:firstLine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变电站与相应的调度端间应具备至少1个独立的远动通道或调度数据网，自动化通道应在通信设计中，统一组织。</w:t>
      </w:r>
    </w:p>
    <w:p>
      <w:pPr>
        <w:numPr>
          <w:ilvl w:val="0"/>
          <w:numId w:val="46"/>
        </w:numPr>
        <w:spacing w:line="360" w:lineRule="auto"/>
        <w:ind w:left="0" w:leftChars="0" w:firstLine="0" w:firstLine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调</w:t>
      </w:r>
      <w:r>
        <w:rPr>
          <w:rFonts w:hint="default" w:ascii="宋体" w:cs="宋体"/>
          <w:color w:val="auto"/>
          <w:kern w:val="0"/>
          <w:sz w:val="28"/>
          <w:szCs w:val="28"/>
          <w:lang w:val="en-US" w:eastAsia="zh-CN"/>
        </w:rPr>
        <w:t>度自动化系统应采用不间断电源供电</w:t>
      </w:r>
      <w:r>
        <w:rPr>
          <w:rFonts w:hint="eastAsia" w:ascii="宋体" w:cs="宋体"/>
          <w:color w:val="auto"/>
          <w:kern w:val="0"/>
          <w:sz w:val="28"/>
          <w:szCs w:val="28"/>
          <w:lang w:val="en-US" w:eastAsia="zh-CN"/>
        </w:rPr>
        <w:t>，双回路供电</w:t>
      </w:r>
      <w:r>
        <w:rPr>
          <w:rFonts w:hint="default" w:ascii="宋体" w:cs="宋体"/>
          <w:color w:val="auto"/>
          <w:kern w:val="0"/>
          <w:sz w:val="28"/>
          <w:szCs w:val="28"/>
          <w:lang w:val="en-US" w:eastAsia="zh-CN"/>
        </w:rPr>
        <w:t>。</w:t>
      </w:r>
    </w:p>
    <w:p>
      <w:pPr>
        <w:numPr>
          <w:ilvl w:val="0"/>
          <w:numId w:val="46"/>
        </w:numPr>
        <w:spacing w:line="360" w:lineRule="auto"/>
        <w:ind w:left="0" w:leftChars="0" w:firstLine="0" w:firstLine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变电站应按安全分区、网络专用的基本原则配置二次系统安全</w:t>
      </w:r>
      <w:r>
        <w:rPr>
          <w:rFonts w:hint="eastAsia" w:ascii="宋体" w:cs="宋体"/>
          <w:color w:val="auto"/>
          <w:kern w:val="0"/>
          <w:sz w:val="28"/>
          <w:szCs w:val="28"/>
          <w:lang w:val="en-US" w:eastAsia="zh-CN"/>
        </w:rPr>
        <w:t>防护设备。</w:t>
      </w:r>
    </w:p>
    <w:p>
      <w:pPr>
        <w:numPr>
          <w:ilvl w:val="0"/>
          <w:numId w:val="43"/>
        </w:numPr>
        <w:spacing w:line="360" w:lineRule="auto"/>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中保系统后台电能及保护数据点位均需上传至园区智能化平台，相关协议接口需开放，负责从通讯管理主机上接入园区管理主机，同时配合园区集成平台调试，实现远程监控功能，实现远程监视电能、控制断路器开闭功能。</w:t>
      </w:r>
    </w:p>
    <w:p>
      <w:pPr>
        <w:pStyle w:val="2"/>
        <w:numPr>
          <w:ilvl w:val="0"/>
          <w:numId w:val="43"/>
        </w:numPr>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计算机监控系统配置：</w:t>
      </w:r>
    </w:p>
    <w:p>
      <w:pPr>
        <w:pStyle w:val="2"/>
        <w:numPr>
          <w:ilvl w:val="0"/>
          <w:numId w:val="0"/>
        </w:numPr>
        <w:ind w:left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计算机监控系统宜采用分层、分布、开放式网络结构，由站控层、间隔层、过程层（可选）以及网络设备构成。站控层设备按变电站远景规模配置，间隔层和过程层设备按工程实际建设规模配置，但应考虑终期规模的应用。站控层设备布置在变电站主控制楼内的计算机室及主控制室内，间隔层设备分别布置在相应的继电器室内。过程层设备根据需要布置在配电装置现场或者相应的继电器室内。计算机监控系统安全防护应满足电力二次系统安全防护总体方案的要求。</w:t>
      </w:r>
    </w:p>
    <w:p>
      <w:pPr>
        <w:pStyle w:val="2"/>
        <w:numPr>
          <w:ilvl w:val="0"/>
          <w:numId w:val="43"/>
        </w:numPr>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系统设备配置</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（1）</w:t>
      </w:r>
      <w:r>
        <w:rPr>
          <w:rFonts w:hint="default" w:ascii="宋体" w:cs="宋体"/>
          <w:color w:val="auto"/>
          <w:kern w:val="0"/>
          <w:sz w:val="28"/>
          <w:szCs w:val="28"/>
          <w:lang w:val="en-US" w:eastAsia="zh-CN"/>
        </w:rPr>
        <w:t>站控层设备</w:t>
      </w:r>
      <w:r>
        <w:rPr>
          <w:rFonts w:hint="eastAsia" w:ascii="宋体" w:cs="宋体"/>
          <w:color w:val="auto"/>
          <w:kern w:val="0"/>
          <w:sz w:val="28"/>
          <w:szCs w:val="28"/>
          <w:lang w:val="en-US" w:eastAsia="zh-CN"/>
        </w:rPr>
        <w:t>：</w:t>
      </w:r>
    </w:p>
    <w:p>
      <w:pPr>
        <w:pStyle w:val="2"/>
        <w:numPr>
          <w:ilvl w:val="0"/>
          <w:numId w:val="0"/>
        </w:numPr>
        <w:ind w:left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1）</w:t>
      </w:r>
      <w:r>
        <w:rPr>
          <w:rFonts w:hint="default" w:ascii="宋体" w:cs="宋体"/>
          <w:color w:val="auto"/>
          <w:kern w:val="0"/>
          <w:sz w:val="28"/>
          <w:szCs w:val="28"/>
          <w:lang w:val="en-US" w:eastAsia="zh-CN"/>
        </w:rPr>
        <w:t>主机兼操作员工作站。用于整个计算机监控系统的维护、管理，可完成数据库的定义、修</w:t>
      </w:r>
      <w:r>
        <w:rPr>
          <w:rFonts w:hint="default" w:ascii="宋体" w:cs="宋体"/>
          <w:color w:val="auto"/>
          <w:kern w:val="0"/>
          <w:sz w:val="28"/>
          <w:szCs w:val="28"/>
          <w:lang w:val="en-US" w:eastAsia="zh-CN"/>
        </w:rPr>
        <w:tab/>
      </w:r>
      <w:r>
        <w:rPr>
          <w:rFonts w:hint="default" w:ascii="宋体" w:cs="宋体"/>
          <w:color w:val="auto"/>
          <w:kern w:val="0"/>
          <w:sz w:val="28"/>
          <w:szCs w:val="28"/>
          <w:lang w:val="en-US" w:eastAsia="zh-CN"/>
        </w:rPr>
        <w:t>改，系统参数的定义、修改，报表的制作、修改及网络管理维护、系统诊断等工作；负责</w:t>
      </w:r>
      <w:r>
        <w:rPr>
          <w:rFonts w:hint="default" w:ascii="宋体" w:cs="宋体"/>
          <w:color w:val="auto"/>
          <w:kern w:val="0"/>
          <w:sz w:val="28"/>
          <w:szCs w:val="28"/>
          <w:lang w:val="en-US" w:eastAsia="zh-CN"/>
        </w:rPr>
        <w:tab/>
      </w:r>
      <w:r>
        <w:rPr>
          <w:rFonts w:hint="default" w:ascii="宋体" w:cs="宋体"/>
          <w:color w:val="auto"/>
          <w:kern w:val="0"/>
          <w:sz w:val="28"/>
          <w:szCs w:val="28"/>
          <w:lang w:val="en-US" w:eastAsia="zh-CN"/>
        </w:rPr>
        <w:t>收集、处理、存储站控层数据；作为计算机监控系统的主要人机界面，用于图形及报表显示、事件记录及报警状态显示和查询，设备状态和参数的查询，操作指导，操作控制命令的解释和下达、闭锁逻辑功能、AVQC等。在进行维护和监控操作时应有可靠的登录保护。</w:t>
      </w:r>
    </w:p>
    <w:p>
      <w:pPr>
        <w:pStyle w:val="2"/>
        <w:numPr>
          <w:ilvl w:val="0"/>
          <w:numId w:val="0"/>
        </w:numPr>
        <w:ind w:left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2）</w:t>
      </w:r>
      <w:r>
        <w:rPr>
          <w:rFonts w:hint="default" w:ascii="宋体" w:cs="宋体"/>
          <w:color w:val="auto"/>
          <w:kern w:val="0"/>
          <w:sz w:val="28"/>
          <w:szCs w:val="28"/>
          <w:lang w:val="en-US" w:eastAsia="zh-CN"/>
        </w:rPr>
        <w:t>远动通信设备。应采用双套专用独立设备，无风扇设计，无硬盘，直采直送，通过专用通</w:t>
      </w:r>
      <w:r>
        <w:rPr>
          <w:rFonts w:hint="default" w:ascii="宋体" w:cs="宋体"/>
          <w:color w:val="auto"/>
          <w:kern w:val="0"/>
          <w:sz w:val="28"/>
          <w:szCs w:val="28"/>
          <w:lang w:val="en-US" w:eastAsia="zh-CN"/>
        </w:rPr>
        <w:tab/>
      </w:r>
      <w:r>
        <w:rPr>
          <w:rFonts w:hint="default" w:ascii="宋体" w:cs="宋体"/>
          <w:color w:val="auto"/>
          <w:kern w:val="0"/>
          <w:sz w:val="28"/>
          <w:szCs w:val="28"/>
          <w:lang w:val="en-US" w:eastAsia="zh-CN"/>
        </w:rPr>
        <w:t>道点对点方式以及站内的数据网接入设备向各级调度传送远动信息。</w:t>
      </w:r>
    </w:p>
    <w:p>
      <w:pPr>
        <w:pStyle w:val="2"/>
        <w:numPr>
          <w:ilvl w:val="0"/>
          <w:numId w:val="0"/>
        </w:numPr>
        <w:ind w:left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3）</w:t>
      </w:r>
      <w:r>
        <w:rPr>
          <w:rFonts w:hint="default" w:ascii="宋体" w:cs="宋体"/>
          <w:color w:val="auto"/>
          <w:kern w:val="0"/>
          <w:sz w:val="28"/>
          <w:szCs w:val="28"/>
          <w:lang w:val="en-US" w:eastAsia="zh-CN"/>
        </w:rPr>
        <w:t>防误工作站。根据变电站的防误闭锁方案，可选择配置防误工作站，通过防误工作站实现对全站设备的防误操作闭锁功能。在防误工作站上可进行操作预演，可检验、打印和传输操作票，并对一次设备实施防误强制闭锁。防误锁具按本期规模配置。</w:t>
      </w:r>
    </w:p>
    <w:p>
      <w:pPr>
        <w:pStyle w:val="2"/>
        <w:numPr>
          <w:ilvl w:val="0"/>
          <w:numId w:val="0"/>
        </w:numPr>
        <w:ind w:left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4）</w:t>
      </w:r>
      <w:r>
        <w:rPr>
          <w:rFonts w:hint="default" w:ascii="宋体" w:cs="宋体"/>
          <w:color w:val="auto"/>
          <w:kern w:val="0"/>
          <w:sz w:val="28"/>
          <w:szCs w:val="28"/>
          <w:lang w:val="en-US" w:eastAsia="zh-CN"/>
        </w:rPr>
        <w:t>智能接口设备。用于将站内智能设备的通信协议转换为DL/T 860（IEC 61850）标准协议的转换终端，无风扇设计，无硬盘，该设备为专用设备。设备组屏（柜）布置。</w:t>
      </w:r>
    </w:p>
    <w:p>
      <w:pPr>
        <w:pStyle w:val="2"/>
        <w:numPr>
          <w:ilvl w:val="0"/>
          <w:numId w:val="0"/>
        </w:numPr>
        <w:ind w:left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5）</w:t>
      </w:r>
      <w:r>
        <w:rPr>
          <w:rFonts w:hint="default" w:ascii="宋体" w:cs="宋体"/>
          <w:color w:val="auto"/>
          <w:kern w:val="0"/>
          <w:sz w:val="28"/>
          <w:szCs w:val="28"/>
          <w:lang w:val="en-US" w:eastAsia="zh-CN"/>
        </w:rPr>
        <w:t>打印机。配置激光打印机（A3、A4幅面任选）。用于打印事件、报警信号、报表等。打印</w:t>
      </w:r>
      <w:r>
        <w:rPr>
          <w:rFonts w:hint="default" w:ascii="宋体" w:cs="宋体"/>
          <w:color w:val="auto"/>
          <w:kern w:val="0"/>
          <w:sz w:val="28"/>
          <w:szCs w:val="28"/>
          <w:lang w:val="en-US" w:eastAsia="zh-CN"/>
        </w:rPr>
        <w:tab/>
      </w:r>
      <w:r>
        <w:rPr>
          <w:rFonts w:hint="default" w:ascii="宋体" w:cs="宋体"/>
          <w:color w:val="auto"/>
          <w:kern w:val="0"/>
          <w:sz w:val="28"/>
          <w:szCs w:val="28"/>
          <w:lang w:val="en-US" w:eastAsia="zh-CN"/>
        </w:rPr>
        <w:t>机应具有网络打印功能。</w:t>
      </w:r>
    </w:p>
    <w:p>
      <w:pPr>
        <w:pStyle w:val="2"/>
        <w:numPr>
          <w:ilvl w:val="0"/>
          <w:numId w:val="0"/>
        </w:numPr>
        <w:ind w:left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6）</w:t>
      </w:r>
      <w:r>
        <w:rPr>
          <w:rFonts w:hint="default" w:ascii="宋体" w:cs="宋体"/>
          <w:color w:val="auto"/>
          <w:kern w:val="0"/>
          <w:sz w:val="28"/>
          <w:szCs w:val="28"/>
          <w:lang w:val="en-US" w:eastAsia="zh-CN"/>
        </w:rPr>
        <w:t>音响报警装置。由工作站驱动音响报警，音量可调。</w:t>
      </w:r>
    </w:p>
    <w:p>
      <w:pPr>
        <w:pStyle w:val="2"/>
        <w:numPr>
          <w:ilvl w:val="0"/>
          <w:numId w:val="0"/>
        </w:numPr>
        <w:ind w:left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7）</w:t>
      </w:r>
      <w:r>
        <w:rPr>
          <w:rFonts w:hint="default" w:ascii="宋体" w:cs="宋体"/>
          <w:color w:val="auto"/>
          <w:kern w:val="0"/>
          <w:sz w:val="28"/>
          <w:szCs w:val="28"/>
          <w:lang w:val="en-US" w:eastAsia="zh-CN"/>
        </w:rPr>
        <w:t>网络分析仪。网络分析仪、记录仪独立组1面屏。</w:t>
      </w:r>
    </w:p>
    <w:p>
      <w:pPr>
        <w:pStyle w:val="2"/>
        <w:numPr>
          <w:ilvl w:val="0"/>
          <w:numId w:val="0"/>
        </w:numPr>
        <w:ind w:left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8）系统集成工作范围和职责：完成全站保护IED设备和子站系统之间的联调工作，确保全站保护IED设备与子站系统之间实现互操作。提供符合DL/T860标准的客户端软件，支持读取变电站的保护装置配置，便于保护信息的读取。完成其它与集成、监视、控制相关的工作内容。</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（2）网络设备：</w:t>
      </w:r>
    </w:p>
    <w:p>
      <w:pPr>
        <w:pStyle w:val="2"/>
        <w:numPr>
          <w:ilvl w:val="0"/>
          <w:numId w:val="0"/>
        </w:numPr>
        <w:ind w:left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1）</w:t>
      </w:r>
      <w:r>
        <w:rPr>
          <w:rFonts w:hint="default" w:ascii="宋体" w:cs="宋体"/>
          <w:color w:val="auto"/>
          <w:kern w:val="0"/>
          <w:sz w:val="28"/>
          <w:szCs w:val="28"/>
          <w:lang w:val="en-US" w:eastAsia="zh-CN"/>
        </w:rPr>
        <w:t>网络交换机。网络交换机网络传输速率大于或等于10</w:t>
      </w:r>
      <w:r>
        <w:rPr>
          <w:rFonts w:hint="eastAsia" w:ascii="宋体" w:cs="宋体"/>
          <w:color w:val="auto"/>
          <w:kern w:val="0"/>
          <w:sz w:val="28"/>
          <w:szCs w:val="28"/>
          <w:lang w:val="en-US" w:eastAsia="zh-CN"/>
        </w:rPr>
        <w:t>0</w:t>
      </w:r>
      <w:r>
        <w:rPr>
          <w:rFonts w:hint="default" w:ascii="宋体" w:cs="宋体"/>
          <w:color w:val="auto"/>
          <w:kern w:val="0"/>
          <w:sz w:val="28"/>
          <w:szCs w:val="28"/>
          <w:lang w:val="en-US" w:eastAsia="zh-CN"/>
        </w:rPr>
        <w:t>0Mbit/s，构成分布式高速以太网，应经过国家或电力工业检验测试中心检测，支持交流、直流供电，电口和光口数量应满足变电站应用要求。</w:t>
      </w:r>
    </w:p>
    <w:p>
      <w:pPr>
        <w:pStyle w:val="2"/>
        <w:numPr>
          <w:ilvl w:val="0"/>
          <w:numId w:val="0"/>
        </w:numPr>
        <w:ind w:left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2）</w:t>
      </w:r>
      <w:r>
        <w:rPr>
          <w:rFonts w:hint="default" w:ascii="宋体" w:cs="宋体"/>
          <w:color w:val="auto"/>
          <w:kern w:val="0"/>
          <w:sz w:val="28"/>
          <w:szCs w:val="28"/>
          <w:lang w:val="en-US" w:eastAsia="zh-CN"/>
        </w:rPr>
        <w:t>网络交换机的所有光口必须是交换机本身内置光纤端口，不应采用外接光电转换器。</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（3）间隔层设备。</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1）I/O测控装置。I/O测控装置具有状态量采集、交流采样及测量、防误闭锁、同期检测、就地断路器紧急操作和单接线状态及数字显示等功能，对全站运行设备的信息进行采集、转</w:t>
      </w:r>
      <w:r>
        <w:rPr>
          <w:rFonts w:hint="eastAsia" w:ascii="宋体" w:cs="宋体"/>
          <w:color w:val="auto"/>
          <w:kern w:val="0"/>
          <w:sz w:val="28"/>
          <w:szCs w:val="28"/>
          <w:lang w:val="en-US" w:eastAsia="zh-CN"/>
        </w:rPr>
        <w:tab/>
      </w:r>
      <w:r>
        <w:rPr>
          <w:rFonts w:hint="eastAsia" w:ascii="宋体" w:cs="宋体"/>
          <w:color w:val="auto"/>
          <w:kern w:val="0"/>
          <w:sz w:val="28"/>
          <w:szCs w:val="28"/>
          <w:lang w:val="en-US" w:eastAsia="zh-CN"/>
        </w:rPr>
        <w:t>换、处理和传送。I/O测控装置还应配置有“就地/远方”切换开关。</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2）I/O测控装置的配置原则为开关电气设备按每个电气单元配置，母线单元按每段母线单独配置，公用单元单独配置。主变压器单元按各侧电压等级单独配置，本体单独配置。</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3）间隔层网络设备。网络交换机网络传输速率大于或等于1000Mbit/s，构成分布式高速以太网，应经过国家或者电力工业检验测试中心检测，支持交流、直流供电，电口和光口数量应满足变电站应用要求。设备组屏（柜）布置。</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（3）设备层：综保装置功能</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1）保护装置的自检功能</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2）电能测量值</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3）二次回路监视功能</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4）熔丝故障监视</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5）跳闸回路监视</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6）512条事件记录</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7）系统通讯口。保护装置具有2个独立IP地址的系统接口，支持T103、IEC 61850、Modbus等通讯协议</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8）服务接口。在综保装置面板上提供USB通讯接口，便于服务或调试工具与综保装置的通讯连接。USB2.0支持Host和Client，支持DIGSI下载配置和装置升级程序。支持U盘读取装置配置信息、故障录波、事件记录和错误信息。支持U盘下载保护配置、升级程序、升级MLFB。</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（4）计算机监控系统硬件要求：</w:t>
      </w:r>
    </w:p>
    <w:p>
      <w:pPr>
        <w:pStyle w:val="2"/>
        <w:numPr>
          <w:ilvl w:val="0"/>
          <w:numId w:val="0"/>
        </w:numPr>
        <w:ind w:left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1）</w:t>
      </w:r>
      <w:r>
        <w:rPr>
          <w:rFonts w:hint="default" w:ascii="宋体" w:cs="宋体"/>
          <w:color w:val="auto"/>
          <w:kern w:val="0"/>
          <w:sz w:val="28"/>
          <w:szCs w:val="28"/>
          <w:lang w:val="en-US" w:eastAsia="zh-CN"/>
        </w:rPr>
        <w:t>计算机监控系统应该用标准的、网络的、分布功能和系统化的开放式的硬件结构。</w:t>
      </w:r>
    </w:p>
    <w:p>
      <w:pPr>
        <w:pStyle w:val="2"/>
        <w:numPr>
          <w:ilvl w:val="0"/>
          <w:numId w:val="0"/>
        </w:numPr>
        <w:ind w:left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2）</w:t>
      </w:r>
      <w:r>
        <w:rPr>
          <w:rFonts w:hint="default" w:ascii="宋体" w:cs="宋体"/>
          <w:color w:val="auto"/>
          <w:kern w:val="0"/>
          <w:sz w:val="28"/>
          <w:szCs w:val="28"/>
          <w:lang w:val="en-US" w:eastAsia="zh-CN"/>
        </w:rPr>
        <w:t>所有设备部件均应采取紧锁措施，抗振性能好，并且更换拆卸方便。</w:t>
      </w:r>
    </w:p>
    <w:p>
      <w:pPr>
        <w:pStyle w:val="2"/>
        <w:numPr>
          <w:ilvl w:val="0"/>
          <w:numId w:val="0"/>
        </w:numPr>
        <w:ind w:left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3）</w:t>
      </w:r>
      <w:r>
        <w:rPr>
          <w:rFonts w:hint="default" w:ascii="宋体" w:cs="宋体"/>
          <w:color w:val="auto"/>
          <w:kern w:val="0"/>
          <w:sz w:val="28"/>
          <w:szCs w:val="28"/>
          <w:lang w:val="en-US" w:eastAsia="zh-CN"/>
        </w:rPr>
        <w:t>I/O测控装置应满足工业级标准，采用模块化、标准化设计，容易维护更换，允许带电插拔，任何一个模块故障检修时，应不影响其他模块的正常工作。应有自检及自诊断功能，异常及交、直流消失等应有告警信号，装置本身也应有LED状态信号指示。所有I/O测控装置的部件在输入、输出回路上都必须具有电气隔离措施。</w:t>
      </w:r>
    </w:p>
    <w:p>
      <w:pPr>
        <w:pStyle w:val="2"/>
        <w:numPr>
          <w:ilvl w:val="0"/>
          <w:numId w:val="0"/>
        </w:numPr>
        <w:ind w:left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4）</w:t>
      </w:r>
      <w:r>
        <w:rPr>
          <w:rFonts w:hint="default" w:ascii="宋体" w:cs="宋体"/>
          <w:color w:val="auto"/>
          <w:kern w:val="0"/>
          <w:sz w:val="28"/>
          <w:szCs w:val="28"/>
          <w:lang w:val="en-US" w:eastAsia="zh-CN"/>
        </w:rPr>
        <w:t>一个元件故障不引起误动作，一个单元故障不影响其他单元。</w:t>
      </w:r>
    </w:p>
    <w:p>
      <w:pPr>
        <w:pStyle w:val="2"/>
        <w:numPr>
          <w:ilvl w:val="0"/>
          <w:numId w:val="0"/>
        </w:numPr>
        <w:ind w:left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5）</w:t>
      </w:r>
      <w:r>
        <w:rPr>
          <w:rFonts w:hint="default" w:ascii="宋体" w:cs="宋体"/>
          <w:color w:val="auto"/>
          <w:kern w:val="0"/>
          <w:sz w:val="28"/>
          <w:szCs w:val="28"/>
          <w:lang w:val="en-US" w:eastAsia="zh-CN"/>
        </w:rPr>
        <w:t>计算机监控系统站控层与间隔层的通信介质应为光缆或</w:t>
      </w:r>
      <w:r>
        <w:rPr>
          <w:rFonts w:hint="eastAsia" w:ascii="宋体" w:cs="宋体"/>
          <w:color w:val="auto"/>
          <w:kern w:val="0"/>
          <w:sz w:val="28"/>
          <w:szCs w:val="28"/>
          <w:lang w:val="en-US" w:eastAsia="zh-CN"/>
        </w:rPr>
        <w:t>超六类</w:t>
      </w:r>
      <w:r>
        <w:rPr>
          <w:rFonts w:hint="default" w:ascii="宋体" w:cs="宋体"/>
          <w:color w:val="auto"/>
          <w:kern w:val="0"/>
          <w:sz w:val="28"/>
          <w:szCs w:val="28"/>
          <w:lang w:val="en-US" w:eastAsia="zh-CN"/>
        </w:rPr>
        <w:t>双屏蔽双绞线，室内设备之间采用双屏蔽双绞线通信，需穿越室外电缆沟的通信媒介则采用光缆。光缆应有外保护层，能承受一定的机械应力。</w:t>
      </w:r>
    </w:p>
    <w:p>
      <w:pPr>
        <w:pStyle w:val="2"/>
        <w:numPr>
          <w:ilvl w:val="0"/>
          <w:numId w:val="0"/>
        </w:numPr>
        <w:ind w:leftChars="0"/>
        <w:rPr>
          <w:rFonts w:hint="eastAsia" w:ascii="宋体" w:cs="宋体"/>
          <w:color w:val="FF0000"/>
          <w:kern w:val="0"/>
          <w:sz w:val="28"/>
          <w:szCs w:val="28"/>
          <w:lang w:val="en-US" w:eastAsia="zh-CN"/>
        </w:rPr>
      </w:pPr>
      <w:r>
        <w:rPr>
          <w:rFonts w:hint="eastAsia" w:ascii="宋体" w:cs="宋体"/>
          <w:color w:val="auto"/>
          <w:kern w:val="0"/>
          <w:sz w:val="28"/>
          <w:szCs w:val="28"/>
          <w:lang w:val="en-US" w:eastAsia="zh-CN"/>
        </w:rPr>
        <w:t>（5）</w:t>
      </w:r>
      <w:r>
        <w:rPr>
          <w:rFonts w:hint="eastAsia" w:ascii="宋体" w:cs="宋体"/>
          <w:color w:val="FF0000"/>
          <w:kern w:val="0"/>
          <w:sz w:val="28"/>
          <w:szCs w:val="28"/>
          <w:lang w:val="en-US" w:eastAsia="zh-CN"/>
        </w:rPr>
        <w:t>计算机监控系统软件要求</w:t>
      </w:r>
    </w:p>
    <w:p>
      <w:pPr>
        <w:pStyle w:val="2"/>
        <w:numPr>
          <w:ilvl w:val="0"/>
          <w:numId w:val="0"/>
        </w:numPr>
        <w:ind w:left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1）计算机监控系统的软件包括操作系统、数据库和应用软件等，应采用成熟稳定的、标准版本的工业软件</w:t>
      </w:r>
      <w:r>
        <w:rPr>
          <w:rFonts w:hint="eastAsia" w:ascii="宋体" w:cs="宋体"/>
          <w:color w:val="auto"/>
          <w:kern w:val="0"/>
          <w:sz w:val="28"/>
          <w:szCs w:val="28"/>
          <w:lang w:val="en-US" w:eastAsia="zh-CN"/>
        </w:rPr>
        <w:t>，基于DL/T 860（IEC 61850）标准的110kV（66kV）变电站计算机监控系统的系统结构、技术参数、功能、试验等方面的技术要求。</w:t>
      </w:r>
      <w:r>
        <w:rPr>
          <w:rFonts w:hint="default" w:ascii="宋体" w:cs="宋体"/>
          <w:color w:val="auto"/>
          <w:kern w:val="0"/>
          <w:sz w:val="28"/>
          <w:szCs w:val="28"/>
          <w:lang w:val="en-US" w:eastAsia="zh-CN"/>
        </w:rPr>
        <w:t>有软件许可，软件配置应满足开放式系统要求，由实时多任务操作系统、支持软件及监控应用软件组成，采用模块化结构，具有实时性、可靠性、适应性、可扩充性及可维护性</w:t>
      </w:r>
      <w:r>
        <w:rPr>
          <w:rFonts w:hint="eastAsia" w:ascii="宋体" w:cs="宋体"/>
          <w:color w:val="auto"/>
          <w:kern w:val="0"/>
          <w:sz w:val="28"/>
          <w:szCs w:val="28"/>
          <w:lang w:val="en-US" w:eastAsia="zh-CN"/>
        </w:rPr>
        <w:t>，同时具备将电能数据上传至园区平台的接口，若非标准协议的，投标单位负责将非标协议转换为常规协议，配合能源管理平台对接及采集，</w:t>
      </w:r>
      <w:r>
        <w:rPr>
          <w:rFonts w:hint="eastAsia" w:ascii="宋体" w:cs="宋体"/>
          <w:color w:val="FF0000"/>
          <w:kern w:val="0"/>
          <w:sz w:val="28"/>
          <w:szCs w:val="28"/>
          <w:lang w:val="en-US" w:eastAsia="zh-CN"/>
        </w:rPr>
        <w:t>监控系统结构为双以太网冗余配置</w:t>
      </w:r>
      <w:r>
        <w:rPr>
          <w:rFonts w:hint="default" w:ascii="宋体" w:cs="宋体"/>
          <w:color w:val="FF0000"/>
          <w:kern w:val="0"/>
          <w:sz w:val="28"/>
          <w:szCs w:val="28"/>
          <w:lang w:val="en-US" w:eastAsia="zh-CN"/>
        </w:rPr>
        <w:t>。</w:t>
      </w:r>
    </w:p>
    <w:p>
      <w:pPr>
        <w:pStyle w:val="2"/>
        <w:numPr>
          <w:ilvl w:val="0"/>
          <w:numId w:val="0"/>
        </w:numPr>
        <w:ind w:left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2）应采用成熟稳定的操作系统软件，有软件许可，它应包括操作系统生成包、诊断系统和各种软件维护工具。操作系统能防止数据文件丢失或损坏，支持系统生成及用户程序装入，支持虚拟存储，能有效管理多种外部设备。</w:t>
      </w:r>
    </w:p>
    <w:p>
      <w:pPr>
        <w:pStyle w:val="2"/>
        <w:numPr>
          <w:ilvl w:val="0"/>
          <w:numId w:val="0"/>
        </w:numPr>
        <w:ind w:left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3）数据库的规模应能满足计算机监控系统基本功能所需的全部数据的需求，并适合所需的各种数据类型，数据库的各种性能指标应能满足系统功能和性能指标的要求。数据库应用软件应具有实时性，能对数据库进行快速访问；同时具有可维护性及可恢复性。对数据库的修改，应设置操作权限，并记录用户名、修改时间、修改前的内容等详细信息</w:t>
      </w:r>
      <w:r>
        <w:rPr>
          <w:rFonts w:hint="eastAsia" w:ascii="宋体" w:cs="宋体"/>
          <w:color w:val="auto"/>
          <w:kern w:val="0"/>
          <w:sz w:val="28"/>
          <w:szCs w:val="28"/>
          <w:lang w:val="en-US" w:eastAsia="zh-CN"/>
        </w:rPr>
        <w:t>，且能开放自己数据库以便园区能源管理平台对接</w:t>
      </w:r>
      <w:r>
        <w:rPr>
          <w:rFonts w:hint="default" w:ascii="宋体" w:cs="宋体"/>
          <w:color w:val="auto"/>
          <w:kern w:val="0"/>
          <w:sz w:val="28"/>
          <w:szCs w:val="28"/>
          <w:lang w:val="en-US" w:eastAsia="zh-CN"/>
        </w:rPr>
        <w:t>。</w:t>
      </w:r>
    </w:p>
    <w:p>
      <w:pPr>
        <w:pStyle w:val="2"/>
        <w:numPr>
          <w:ilvl w:val="0"/>
          <w:numId w:val="0"/>
        </w:numPr>
        <w:ind w:left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实时数据库</w:t>
      </w:r>
      <w:r>
        <w:rPr>
          <w:rFonts w:hint="eastAsia" w:ascii="宋体" w:cs="宋体"/>
          <w:color w:val="auto"/>
          <w:kern w:val="0"/>
          <w:sz w:val="28"/>
          <w:szCs w:val="28"/>
          <w:lang w:val="en-US" w:eastAsia="zh-CN"/>
        </w:rPr>
        <w:t>：</w:t>
      </w:r>
      <w:r>
        <w:rPr>
          <w:rFonts w:hint="default" w:ascii="宋体" w:cs="宋体"/>
          <w:color w:val="auto"/>
          <w:kern w:val="0"/>
          <w:sz w:val="28"/>
          <w:szCs w:val="28"/>
          <w:lang w:val="en-US" w:eastAsia="zh-CN"/>
        </w:rPr>
        <w:t>存储计算机监控系统采集的实时数据，其数值应根据运行工况的实时变化而</w:t>
      </w:r>
      <w:r>
        <w:rPr>
          <w:rFonts w:hint="default" w:ascii="宋体" w:cs="宋体"/>
          <w:color w:val="auto"/>
          <w:kern w:val="0"/>
          <w:sz w:val="28"/>
          <w:szCs w:val="28"/>
          <w:lang w:val="en-US" w:eastAsia="zh-CN"/>
        </w:rPr>
        <w:tab/>
      </w:r>
      <w:r>
        <w:rPr>
          <w:rFonts w:hint="default" w:ascii="宋体" w:cs="宋体"/>
          <w:color w:val="auto"/>
          <w:kern w:val="0"/>
          <w:sz w:val="28"/>
          <w:szCs w:val="28"/>
          <w:lang w:val="en-US" w:eastAsia="zh-CN"/>
        </w:rPr>
        <w:t>不断更新，记录被监控设备的当前状态。</w:t>
      </w:r>
    </w:p>
    <w:p>
      <w:pPr>
        <w:pStyle w:val="2"/>
        <w:numPr>
          <w:ilvl w:val="0"/>
          <w:numId w:val="0"/>
        </w:numPr>
        <w:ind w:left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历史数据库</w:t>
      </w:r>
      <w:r>
        <w:rPr>
          <w:rFonts w:hint="eastAsia" w:ascii="宋体" w:cs="宋体"/>
          <w:color w:val="auto"/>
          <w:kern w:val="0"/>
          <w:sz w:val="28"/>
          <w:szCs w:val="28"/>
          <w:lang w:val="en-US" w:eastAsia="zh-CN"/>
        </w:rPr>
        <w:t>：</w:t>
      </w:r>
      <w:r>
        <w:rPr>
          <w:rFonts w:hint="default" w:ascii="宋体" w:cs="宋体"/>
          <w:color w:val="auto"/>
          <w:kern w:val="0"/>
          <w:sz w:val="28"/>
          <w:szCs w:val="28"/>
          <w:lang w:val="en-US" w:eastAsia="zh-CN"/>
        </w:rPr>
        <w:t>对于需要长期保存的重要数据将存放在历史数据库中。应提供通用数据库，记录周期为1min～1h可调。历史数据应能够在线滚动存储</w:t>
      </w:r>
      <w:r>
        <w:rPr>
          <w:rFonts w:hint="eastAsia" w:ascii="宋体" w:cs="宋体"/>
          <w:color w:val="auto"/>
          <w:kern w:val="0"/>
          <w:sz w:val="28"/>
          <w:szCs w:val="28"/>
          <w:lang w:val="en-US" w:eastAsia="zh-CN"/>
        </w:rPr>
        <w:t>2</w:t>
      </w:r>
      <w:r>
        <w:rPr>
          <w:rFonts w:hint="default" w:ascii="宋体" w:cs="宋体"/>
          <w:color w:val="auto"/>
          <w:kern w:val="0"/>
          <w:sz w:val="28"/>
          <w:szCs w:val="28"/>
          <w:lang w:val="en-US" w:eastAsia="zh-CN"/>
        </w:rPr>
        <w:t>年，无需人工干预。所有的历史数据应能够转存到光盘或磁带等大容量存储设备上作为长期存档。对于状态量变位、事件、模拟量越限等信息，应按时间顺序分类保存在历史事件库中，保存时间可由用户自定义为几个月、几年等。</w:t>
      </w:r>
    </w:p>
    <w:p>
      <w:pPr>
        <w:pStyle w:val="2"/>
        <w:numPr>
          <w:ilvl w:val="0"/>
          <w:numId w:val="0"/>
        </w:numPr>
        <w:ind w:left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4）应采用系统组态软件用于数据生成、图形与报表编辑等数据库建模与系统维护操作。应满足系统各项功能的要求，为用户提供交互式的、面向对象的、方便灵活的、易于掌握的、多样化的组态工具，宜提供一些类似宏命令的编程手段和多种实用函数，以便扩展组态软件的功能。用户能很方便的对图形、曲线、报表、报文进行在线生成、修改；所有应用面均应汉化，用户可在画面上定义数据库和各种数据集的动态数据和各种动态字符、矢量汉字。</w:t>
      </w:r>
    </w:p>
    <w:p>
      <w:pPr>
        <w:pStyle w:val="2"/>
        <w:numPr>
          <w:ilvl w:val="0"/>
          <w:numId w:val="0"/>
        </w:numPr>
        <w:ind w:left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5）</w:t>
      </w:r>
      <w:r>
        <w:rPr>
          <w:rFonts w:hint="default" w:ascii="宋体" w:cs="宋体"/>
          <w:color w:val="FF0000"/>
          <w:kern w:val="0"/>
          <w:sz w:val="28"/>
          <w:szCs w:val="28"/>
          <w:lang w:val="en-US" w:eastAsia="zh-CN"/>
        </w:rPr>
        <w:t>应用软件应采用模块化结构，具有良好的实时响应速度和可扩充性。</w:t>
      </w:r>
      <w:r>
        <w:rPr>
          <w:rFonts w:hint="default" w:ascii="宋体" w:cs="宋体"/>
          <w:color w:val="auto"/>
          <w:kern w:val="0"/>
          <w:sz w:val="28"/>
          <w:szCs w:val="28"/>
          <w:lang w:val="en-US" w:eastAsia="zh-CN"/>
        </w:rPr>
        <w:t>具有出错检测能力。当某个应用软件出错时，除有错误信息提示外，不允许影响其他软件的正常运行。应用程序和数据在结构上应互相独立。由于各种原因造成硬盘空间不足，不得影响系统的实时控制功能。</w:t>
      </w:r>
    </w:p>
    <w:p>
      <w:pPr>
        <w:pStyle w:val="2"/>
        <w:numPr>
          <w:ilvl w:val="0"/>
          <w:numId w:val="0"/>
        </w:numPr>
        <w:ind w:left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6）网络系统应采用成熟可靠软件，管理各个工作站和就地控制单元相互之间的数据通信，保证它们的有效传送、不丢失。</w:t>
      </w:r>
    </w:p>
    <w:p>
      <w:pPr>
        <w:pStyle w:val="2"/>
        <w:numPr>
          <w:ilvl w:val="0"/>
          <w:numId w:val="0"/>
        </w:numPr>
        <w:ind w:left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7）当某种功能运行不正常时，不应影响其他功能的运行。</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8）测控屏（柜）具备2路直流供电方式，支持手动或自动切换。各装置应具有直流快速小开关或带有熔丝的隔离开关，与装置安装在同一面屏（柜）上。</w:t>
      </w:r>
    </w:p>
    <w:p>
      <w:pPr>
        <w:pStyle w:val="2"/>
        <w:numPr>
          <w:ilvl w:val="0"/>
          <w:numId w:val="0"/>
        </w:numPr>
        <w:ind w:left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9）直流电源电压在80%～115%额定值范围内变化时，装置应正确工作。直流电源波纹系数小于或等于5%时，装置应正确工作。</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5、防误闭锁：</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（1）应具备全站防误闭锁功能。应具有防止误拉、合断路器；防止带负荷拉、合隔离开关；防止带电挂接地线；防止带地线送电；防止误入带电间隔的功能（五防）。</w:t>
      </w:r>
    </w:p>
    <w:p>
      <w:pPr>
        <w:pStyle w:val="2"/>
        <w:numPr>
          <w:ilvl w:val="0"/>
          <w:numId w:val="0"/>
        </w:numPr>
        <w:ind w:left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（2）本变电站</w:t>
      </w:r>
      <w:r>
        <w:rPr>
          <w:rFonts w:hint="default" w:ascii="宋体" w:cs="宋体"/>
          <w:color w:val="auto"/>
          <w:kern w:val="0"/>
          <w:sz w:val="28"/>
          <w:szCs w:val="28"/>
          <w:lang w:val="en-US" w:eastAsia="zh-CN"/>
        </w:rPr>
        <w:t>配置独立于计算机监控系统的专用微机防误系统。远方操作时通过专用微机防误系统实现全站的防误操作闭锁功能，就地操作时则由电脑钥匙和锁具来实现，同时在受控设备的操作回路中串接本间隔的闭锁回路。专用微机防误系统与变电站计算机监控系统应共享采集的各种实时数据，不应独立采集信息。</w:t>
      </w:r>
    </w:p>
    <w:p>
      <w:pPr>
        <w:pStyle w:val="2"/>
        <w:numPr>
          <w:ilvl w:val="0"/>
          <w:numId w:val="0"/>
        </w:numPr>
        <w:ind w:left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（3）采用计算机监控系统逻辑闭锁防止电气误操作的要求。在站级控制层和间隔级I/O测控装置应具有实现全站电气防误操作的功能，该功能模块对运行人员的电气设备操作步骤进行</w:t>
      </w:r>
      <w:r>
        <w:rPr>
          <w:rFonts w:hint="eastAsia" w:ascii="宋体" w:cs="宋体"/>
          <w:color w:val="auto"/>
          <w:kern w:val="0"/>
          <w:sz w:val="28"/>
          <w:szCs w:val="28"/>
          <w:lang w:val="en-US" w:eastAsia="zh-CN"/>
        </w:rPr>
        <w:tab/>
      </w:r>
      <w:r>
        <w:rPr>
          <w:rFonts w:hint="eastAsia" w:ascii="宋体" w:cs="宋体"/>
          <w:color w:val="auto"/>
          <w:kern w:val="0"/>
          <w:sz w:val="28"/>
          <w:szCs w:val="28"/>
          <w:lang w:val="en-US" w:eastAsia="zh-CN"/>
        </w:rPr>
        <w:t>监测、判断和分析，以确定该操作是否正确。若发生不正确操作，应对该操作进行闭锁，并打印显示信息。在站控层无法工作时，间隔层应能实现全站断路器和隔离开关的控制联闭锁。</w:t>
      </w:r>
    </w:p>
    <w:p>
      <w:pPr>
        <w:numPr>
          <w:ilvl w:val="0"/>
          <w:numId w:val="0"/>
        </w:numPr>
        <w:spacing w:line="360" w:lineRule="auto"/>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（4）当进行测控装置校验、保护校验、断路器检修等工作时，应能利用“检修挂牌”禁止计算</w:t>
      </w:r>
      <w:r>
        <w:rPr>
          <w:rFonts w:hint="eastAsia" w:ascii="宋体" w:cs="宋体"/>
          <w:color w:val="auto"/>
          <w:kern w:val="0"/>
          <w:sz w:val="28"/>
          <w:szCs w:val="28"/>
          <w:lang w:val="en-US" w:eastAsia="zh-CN"/>
        </w:rPr>
        <w:tab/>
      </w:r>
      <w:r>
        <w:rPr>
          <w:rFonts w:hint="eastAsia" w:ascii="宋体" w:cs="宋体"/>
          <w:color w:val="auto"/>
          <w:kern w:val="0"/>
          <w:sz w:val="28"/>
          <w:szCs w:val="28"/>
          <w:lang w:val="en-US" w:eastAsia="zh-CN"/>
        </w:rPr>
        <w:t>机监控系统对此断路器进行遥控操作，并屏蔽该回路的报警，其试验数据应进入“检修记</w:t>
      </w:r>
      <w:r>
        <w:rPr>
          <w:rFonts w:hint="eastAsia" w:ascii="宋体" w:cs="宋体"/>
          <w:color w:val="auto"/>
          <w:kern w:val="0"/>
          <w:sz w:val="28"/>
          <w:szCs w:val="28"/>
          <w:lang w:val="en-US" w:eastAsia="zh-CN"/>
        </w:rPr>
        <w:tab/>
      </w:r>
      <w:r>
        <w:rPr>
          <w:rFonts w:hint="eastAsia" w:ascii="宋体" w:cs="宋体"/>
          <w:color w:val="auto"/>
          <w:kern w:val="0"/>
          <w:sz w:val="28"/>
          <w:szCs w:val="28"/>
          <w:lang w:val="en-US" w:eastAsia="zh-CN"/>
        </w:rPr>
        <w:t>录库”。当一次设备运行而自动化装置需要进行维护、校验或修改程序时，应能利用“闭锁挂牌”闭锁计算机监控系统对所有设备进行遥控操作。</w:t>
      </w:r>
    </w:p>
    <w:p>
      <w:pPr>
        <w:pStyle w:val="2"/>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（5）采用防误工作站防止电气误操作的要求。功能要求与电脑钥匙以及锁具的技术要求参见《变电站防误闭锁系统通用技术规范》相关部分。</w:t>
      </w:r>
    </w:p>
    <w:p>
      <w:pPr>
        <w:pStyle w:val="2"/>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6、报警处理：计算机监控系统应具有事故报警和预告报警功能。事故报警包括非正常操作引起的断路器跳闸和保护装置动作信号；预告报警包括一般设备变位、状态异常信息、模拟量或温度量越限等。</w:t>
      </w:r>
    </w:p>
    <w:p>
      <w:pPr>
        <w:pStyle w:val="2"/>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1）事故报警。事故状态方式时，事故报警立即发出音响报警（报警音量可调），操作员工作站的显示画面上用颜色改变并闪烁表示该设备变位，同时显示红色报警条文，报警条文可以选择随机打印或召唤打印。</w:t>
      </w:r>
    </w:p>
    <w:p>
      <w:pPr>
        <w:pStyle w:val="2"/>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ab/>
      </w:r>
      <w:r>
        <w:rPr>
          <w:rFonts w:hint="eastAsia" w:ascii="宋体" w:cs="宋体"/>
          <w:color w:val="auto"/>
          <w:kern w:val="0"/>
          <w:sz w:val="28"/>
          <w:szCs w:val="28"/>
          <w:lang w:val="en-US" w:eastAsia="zh-CN"/>
        </w:rPr>
        <w:t>事故报警通过手动或自动方式确认，每次确认一次报警，自动确认时间可调。报警一旦确认，声音、闪光即停止。</w:t>
      </w:r>
    </w:p>
    <w:p>
      <w:pPr>
        <w:pStyle w:val="2"/>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ab/>
      </w:r>
      <w:r>
        <w:rPr>
          <w:rFonts w:hint="eastAsia" w:ascii="宋体" w:cs="宋体"/>
          <w:color w:val="auto"/>
          <w:kern w:val="0"/>
          <w:sz w:val="28"/>
          <w:szCs w:val="28"/>
          <w:lang w:val="en-US" w:eastAsia="zh-CN"/>
        </w:rPr>
        <w:t>第一次事故报警发生阶段，允许下一个报警信号进入，即第二次报警不应覆盖上一次的报警内容。报警装置可在任何时间进行手动试验，试验信息不予传送、记录。报警处理可以在主计算机上予以定义或退出。事故报警应有自动推画面功能。</w:t>
      </w:r>
    </w:p>
    <w:p>
      <w:pPr>
        <w:pStyle w:val="2"/>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2）预告报警。预告报警发生时，除不向远方发送信息外，其处理方式与上述事故报警处理相同（音响和提示信息颜色应区别于事故报警）。部分预告信号应具有延时触发功能。</w:t>
      </w:r>
    </w:p>
    <w:p>
      <w:pPr>
        <w:pStyle w:val="2"/>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3）对每一测量值（包括计算量值），可由用户序列设置四种规定的运行限值（低低限、低限、高限、高高限），分别可以定义作为预告报警和事故报警。四个限值均设有越/复限死区，以避免实测值处于限值附近频繁报警。</w:t>
      </w:r>
    </w:p>
    <w:p>
      <w:pPr>
        <w:pStyle w:val="2"/>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4）开关事故跳闸到指定次数或开关拉闸到指定次数，应推出报警信息，提示用户检修。</w:t>
      </w:r>
    </w:p>
    <w:p>
      <w:pPr>
        <w:pStyle w:val="2"/>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5）应具备MMS网络通信状态和GOOSE网络通信状态异常告警。</w:t>
      </w:r>
    </w:p>
    <w:p>
      <w:pPr>
        <w:pStyle w:val="2"/>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6）具备交换机的网络管理和工作状态监视功能。</w:t>
      </w:r>
    </w:p>
    <w:p>
      <w:pPr>
        <w:pStyle w:val="2"/>
        <w:ind w:left="0" w:leftChars="0" w:firstLine="0" w:firstLine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7、远动功能：</w:t>
      </w:r>
      <w:r>
        <w:rPr>
          <w:rFonts w:hint="default" w:ascii="宋体" w:cs="宋体"/>
          <w:color w:val="auto"/>
          <w:kern w:val="0"/>
          <w:sz w:val="28"/>
          <w:szCs w:val="28"/>
          <w:lang w:val="en-US" w:eastAsia="zh-CN"/>
        </w:rPr>
        <w:t>远动通信设备。计算机监控系统的远动通信设备应采用双套专用独立设备</w:t>
      </w:r>
      <w:r>
        <w:rPr>
          <w:rFonts w:hint="eastAsia" w:ascii="宋体" w:cs="宋体"/>
          <w:color w:val="auto"/>
          <w:kern w:val="0"/>
          <w:sz w:val="28"/>
          <w:szCs w:val="28"/>
          <w:lang w:val="en-US" w:eastAsia="zh-CN"/>
        </w:rPr>
        <w:t>，具有两种工作模式：</w:t>
      </w:r>
    </w:p>
    <w:p>
      <w:pPr>
        <w:pStyle w:val="2"/>
        <w:ind w:left="0" w:leftChars="0" w:firstLine="0" w:firstLine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模式1：双机并行工作方式向调度端同时传送远动信息。</w:t>
      </w:r>
    </w:p>
    <w:p>
      <w:pPr>
        <w:pStyle w:val="2"/>
        <w:ind w:left="0" w:leftChars="0" w:firstLine="0" w:firstLine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模式2：双机主备模式运行，并具有无扰动切换（切换远动通信设备、切通道）功能。</w:t>
      </w:r>
    </w:p>
    <w:p>
      <w:pPr>
        <w:pStyle w:val="2"/>
        <w:numPr>
          <w:ilvl w:val="0"/>
          <w:numId w:val="47"/>
        </w:numPr>
        <w:ind w:left="0" w:leftChars="0" w:firstLine="0" w:firstLine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远动通信设备应直接从间隔层测控装置获取调度所需的数据，实现远动信息的直采直送。远动通信设备具有远动数据处理、规约转换及通信功能，满足调度自动化的要求，并具有串口输出和网络口输出能力，能同时适应通过专线通道和调度数据网通道与各级调度端主站系统通信的要求。</w:t>
      </w:r>
    </w:p>
    <w:p>
      <w:pPr>
        <w:pStyle w:val="2"/>
        <w:numPr>
          <w:ilvl w:val="0"/>
          <w:numId w:val="47"/>
        </w:numPr>
        <w:ind w:left="0" w:leftChars="0" w:firstLine="0" w:firstLine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通信规约</w:t>
      </w:r>
      <w:r>
        <w:rPr>
          <w:rFonts w:hint="eastAsia" w:ascii="宋体" w:cs="宋体"/>
          <w:color w:val="auto"/>
          <w:kern w:val="0"/>
          <w:sz w:val="28"/>
          <w:szCs w:val="28"/>
          <w:lang w:val="en-US" w:eastAsia="zh-CN"/>
        </w:rPr>
        <w:t>应满足最新规范及电力系统要求。</w:t>
      </w:r>
    </w:p>
    <w:p>
      <w:pPr>
        <w:pStyle w:val="2"/>
        <w:numPr>
          <w:ilvl w:val="0"/>
          <w:numId w:val="47"/>
        </w:numPr>
        <w:ind w:left="0" w:leftChars="0" w:firstLine="0" w:firstLine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远动功能要求。计算机监控系统应能够同时和多个控制中心进行数据通信，且能对通道状态进行监视。为保证远程通信的可靠，MODEM应具有手动/自动切换功能。</w:t>
      </w:r>
    </w:p>
    <w:p>
      <w:pPr>
        <w:pStyle w:val="2"/>
        <w:numPr>
          <w:ilvl w:val="0"/>
          <w:numId w:val="47"/>
        </w:numPr>
        <w:ind w:left="0" w:leftChars="0" w:firstLine="0" w:firstLine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计算机监控系统应能正确接收、处理、执行相关控制中心的遥控命令，但同一时刻只能执行一个主站的控制命令。</w:t>
      </w:r>
    </w:p>
    <w:p>
      <w:pPr>
        <w:pStyle w:val="2"/>
        <w:numPr>
          <w:ilvl w:val="0"/>
          <w:numId w:val="47"/>
        </w:numPr>
        <w:ind w:left="0" w:leftChars="0" w:firstLine="0" w:firstLine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远动通信设备具有进行软件组态、参数修改等维护功能。</w:t>
      </w:r>
    </w:p>
    <w:p>
      <w:pPr>
        <w:pStyle w:val="2"/>
        <w:numPr>
          <w:ilvl w:val="0"/>
          <w:numId w:val="47"/>
        </w:numPr>
        <w:ind w:left="0" w:leftChars="0" w:firstLine="0" w:firstLineChars="0"/>
        <w:rPr>
          <w:rFonts w:hint="default" w:ascii="宋体" w:cs="宋体"/>
          <w:color w:val="auto"/>
          <w:kern w:val="0"/>
          <w:sz w:val="28"/>
          <w:szCs w:val="28"/>
          <w:lang w:val="en-US" w:eastAsia="zh-CN"/>
        </w:rPr>
      </w:pPr>
      <w:r>
        <w:rPr>
          <w:rFonts w:hint="default" w:ascii="宋体" w:cs="宋体"/>
          <w:color w:val="auto"/>
          <w:kern w:val="0"/>
          <w:sz w:val="28"/>
          <w:szCs w:val="28"/>
          <w:lang w:val="en-US" w:eastAsia="zh-CN"/>
        </w:rPr>
        <w:t>需要向远方调度中心传送的实时信息。</w:t>
      </w:r>
    </w:p>
    <w:p>
      <w:pPr>
        <w:numPr>
          <w:ilvl w:val="0"/>
          <w:numId w:val="0"/>
        </w:numPr>
        <w:spacing w:line="360" w:lineRule="auto"/>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8、其他要求：</w:t>
      </w:r>
    </w:p>
    <w:p>
      <w:pPr>
        <w:pStyle w:val="2"/>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1）供货范围中所包含的二次设备，应至少满足相应设备的国网公司最新版本通用技术规范要求。符合最新国网公司18项反措要求，投标单位提供的产品须满足当地电网公司关于品牌、型号、版本、通信、验收等要求，否则无条件更换，保证验收通过。</w:t>
      </w:r>
    </w:p>
    <w:p>
      <w:pPr>
        <w:pStyle w:val="2"/>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2）应提供详细供货清单，清单中须依次说明型号、数量、产地、生产厂家等内容。为满足技术协议书中设备的技术要求，对于属于整套设备运行和施工所必需的部件，即使本招标书未列出或数目不足，投标方仍须在执行合同时补足。</w:t>
      </w:r>
    </w:p>
    <w:p>
      <w:pPr>
        <w:spacing w:line="360" w:lineRule="auto"/>
        <w:outlineLvl w:val="2"/>
        <w:rPr>
          <w:rFonts w:hint="eastAsia" w:ascii="Times New Roman" w:hAnsi="Times New Roman" w:eastAsia="宋体" w:cs="Times New Roman"/>
          <w:b/>
          <w:kern w:val="0"/>
          <w:sz w:val="28"/>
          <w:szCs w:val="21"/>
          <w:lang w:val="en-US" w:eastAsia="zh-CN" w:bidi="ar-SA"/>
        </w:rPr>
      </w:pPr>
      <w:bookmarkStart w:id="183" w:name="_Toc24000"/>
      <w:r>
        <w:rPr>
          <w:rFonts w:hint="eastAsia" w:ascii="Times New Roman" w:hAnsi="Times New Roman" w:eastAsia="宋体" w:cs="Times New Roman"/>
          <w:b/>
          <w:kern w:val="0"/>
          <w:sz w:val="28"/>
          <w:szCs w:val="21"/>
          <w:lang w:val="en-US" w:eastAsia="zh-CN" w:bidi="ar-SA"/>
        </w:rPr>
        <w:t>2.4.15时钟同步系统</w:t>
      </w:r>
      <w:bookmarkEnd w:id="183"/>
    </w:p>
    <w:p>
      <w:pPr>
        <w:pStyle w:val="2"/>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1、时间同步设备功能：</w:t>
      </w:r>
    </w:p>
    <w:p>
      <w:pPr>
        <w:pStyle w:val="2"/>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（1）装置功能时间同步设备为变电站中各种以计算机技术和通信技术为基础的电力二次设备提供了全网统一时间信号接收（输入）单元。</w:t>
      </w:r>
    </w:p>
    <w:p>
      <w:pPr>
        <w:pStyle w:val="2"/>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（2）装置应具备同时接收GPS、北斗、地面时间中心通过有线网络传递的时间信号的能力，以组成多源互比的时间系统，满足高精度、高可用的时间基准。</w:t>
      </w:r>
    </w:p>
    <w:p>
      <w:pPr>
        <w:pStyle w:val="2"/>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（3）接口扩展装置功能。一般主时钟应输出足够数量的不同类型时间同步信号，当数量不够时，通过接口扩展装置扩充出不同类型时间信号，以满足不同使用场合的需要，并具有延时补偿功能。</w:t>
      </w:r>
    </w:p>
    <w:p>
      <w:pPr>
        <w:pStyle w:val="2"/>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（4）满足中华人民共和国电力行业标准《电力系统的时间同步系统第1部分：技术规范》的要求。</w:t>
      </w:r>
    </w:p>
    <w:p>
      <w:pPr>
        <w:pStyle w:val="2"/>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2、电源与绝缘性能：</w:t>
      </w:r>
    </w:p>
    <w:p>
      <w:pPr>
        <w:pStyle w:val="2"/>
        <w:ind w:left="0" w:leftChars="0" w:firstLine="0" w:firstLine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（1）</w:t>
      </w:r>
      <w:r>
        <w:rPr>
          <w:rFonts w:hint="default" w:ascii="宋体" w:cs="宋体"/>
          <w:color w:val="auto"/>
          <w:kern w:val="0"/>
          <w:sz w:val="28"/>
          <w:szCs w:val="28"/>
          <w:lang w:val="en-US" w:eastAsia="zh-CN"/>
        </w:rPr>
        <w:t>交流电源</w:t>
      </w:r>
    </w:p>
    <w:p>
      <w:pPr>
        <w:pStyle w:val="2"/>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（2）额定电压220v，供电方式，采用双电源供电。</w:t>
      </w:r>
    </w:p>
    <w:p>
      <w:pPr>
        <w:pStyle w:val="2"/>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（3）绝缘电阻：</w:t>
      </w:r>
    </w:p>
    <w:p>
      <w:pPr>
        <w:pStyle w:val="2"/>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用电压等级为500V的兆欧表测量各回路之间的绝缘电阻，应符合下述规定：</w:t>
      </w:r>
    </w:p>
    <w:p>
      <w:pPr>
        <w:pStyle w:val="2"/>
        <w:ind w:left="0" w:leftChars="0" w:firstLine="0" w:firstLineChars="0"/>
        <w:rPr>
          <w:rFonts w:hint="eastAsia" w:ascii="宋体" w:cs="宋体"/>
          <w:color w:val="auto"/>
          <w:kern w:val="0"/>
          <w:sz w:val="28"/>
          <w:szCs w:val="28"/>
          <w:lang w:val="en-US" w:eastAsia="zh-CN"/>
        </w:rPr>
      </w:pPr>
      <w:r>
        <w:rPr>
          <w:rFonts w:hint="eastAsia" w:ascii="宋体" w:cs="宋体"/>
          <w:color w:val="auto"/>
          <w:kern w:val="0"/>
          <w:sz w:val="28"/>
          <w:szCs w:val="28"/>
          <w:lang w:val="en-US" w:eastAsia="zh-CN"/>
        </w:rPr>
        <w:t>1）所有导电回路与地（或与地有良好接触的金属框架）间的绝缘电阻应不小于20MΩ；</w:t>
      </w:r>
    </w:p>
    <w:p>
      <w:pPr>
        <w:pStyle w:val="2"/>
        <w:ind w:left="0" w:leftChars="0" w:firstLine="0" w:firstLineChars="0"/>
        <w:rPr>
          <w:rFonts w:hint="default" w:ascii="宋体" w:cs="宋体"/>
          <w:color w:val="auto"/>
          <w:kern w:val="0"/>
          <w:sz w:val="28"/>
          <w:szCs w:val="28"/>
          <w:lang w:val="en-US" w:eastAsia="zh-CN"/>
        </w:rPr>
      </w:pPr>
      <w:r>
        <w:rPr>
          <w:rFonts w:hint="eastAsia" w:ascii="宋体" w:cs="宋体"/>
          <w:color w:val="auto"/>
          <w:kern w:val="0"/>
          <w:sz w:val="28"/>
          <w:szCs w:val="28"/>
          <w:lang w:val="en-US" w:eastAsia="zh-CN"/>
        </w:rPr>
        <w:t>2）无电气联系的各导电回路间的绝缘电阻应不小于20MΩ。</w:t>
      </w:r>
    </w:p>
    <w:p>
      <w:pPr>
        <w:spacing w:line="360" w:lineRule="auto"/>
        <w:outlineLvl w:val="2"/>
        <w:rPr>
          <w:rFonts w:hint="default" w:ascii="Times New Roman" w:hAnsi="Times New Roman" w:eastAsia="宋体" w:cs="Times New Roman"/>
          <w:b/>
          <w:kern w:val="0"/>
          <w:sz w:val="28"/>
          <w:szCs w:val="21"/>
          <w:lang w:val="en-US" w:eastAsia="zh-CN" w:bidi="ar-SA"/>
        </w:rPr>
      </w:pPr>
      <w:bookmarkStart w:id="184" w:name="_Toc16342"/>
      <w:r>
        <w:rPr>
          <w:rFonts w:hint="default" w:ascii="Times New Roman" w:hAnsi="Times New Roman" w:eastAsia="宋体" w:cs="Times New Roman"/>
          <w:b/>
          <w:kern w:val="0"/>
          <w:sz w:val="28"/>
          <w:szCs w:val="21"/>
          <w:lang w:val="en-US" w:eastAsia="zh-CN" w:bidi="ar-SA"/>
        </w:rPr>
        <w:t>2.</w:t>
      </w:r>
      <w:r>
        <w:rPr>
          <w:rFonts w:hint="eastAsia" w:cs="Times New Roman"/>
          <w:b/>
          <w:kern w:val="0"/>
          <w:sz w:val="28"/>
          <w:szCs w:val="21"/>
          <w:lang w:val="en-US" w:eastAsia="zh-CN" w:bidi="ar-SA"/>
        </w:rPr>
        <w:t>4</w:t>
      </w:r>
      <w:r>
        <w:rPr>
          <w:rFonts w:hint="default" w:ascii="Times New Roman" w:hAnsi="Times New Roman" w:eastAsia="宋体" w:cs="Times New Roman"/>
          <w:b/>
          <w:kern w:val="0"/>
          <w:sz w:val="28"/>
          <w:szCs w:val="21"/>
          <w:lang w:val="en-US" w:eastAsia="zh-CN" w:bidi="ar-SA"/>
        </w:rPr>
        <w:t>.1</w:t>
      </w:r>
      <w:r>
        <w:rPr>
          <w:rFonts w:hint="eastAsia" w:cs="Times New Roman"/>
          <w:b/>
          <w:kern w:val="0"/>
          <w:sz w:val="28"/>
          <w:szCs w:val="21"/>
          <w:lang w:val="en-US" w:eastAsia="zh-CN" w:bidi="ar-SA"/>
        </w:rPr>
        <w:t>6</w:t>
      </w:r>
      <w:r>
        <w:rPr>
          <w:rFonts w:hint="default" w:ascii="Times New Roman" w:hAnsi="Times New Roman" w:eastAsia="宋体" w:cs="Times New Roman"/>
          <w:b/>
          <w:kern w:val="0"/>
          <w:sz w:val="28"/>
          <w:szCs w:val="21"/>
          <w:lang w:val="en-US" w:eastAsia="zh-CN" w:bidi="ar-SA"/>
        </w:rPr>
        <w:t>故障录波装置</w:t>
      </w:r>
      <w:bookmarkEnd w:id="184"/>
    </w:p>
    <w:p>
      <w:pPr>
        <w:spacing w:line="360" w:lineRule="auto"/>
        <w:ind w:firstLine="560" w:firstLineChars="200"/>
        <w:rPr>
          <w:rFonts w:hint="default" w:ascii="宋体" w:cs="宋体"/>
          <w:kern w:val="0"/>
          <w:sz w:val="28"/>
          <w:szCs w:val="28"/>
          <w:lang w:val="en-US" w:eastAsia="zh-CN"/>
        </w:rPr>
      </w:pPr>
      <w:r>
        <w:rPr>
          <w:rFonts w:hint="default" w:ascii="宋体" w:cs="宋体"/>
          <w:kern w:val="0"/>
          <w:sz w:val="28"/>
          <w:szCs w:val="28"/>
          <w:lang w:val="en-US" w:eastAsia="zh-CN"/>
        </w:rPr>
        <w:t>1、故障录波装置、故障录波柜之间，故障录波柜和其他设备之间，应采用光电耦合或继电器空触点进行连接，不应有电的联系。</w:t>
      </w:r>
    </w:p>
    <w:p>
      <w:pPr>
        <w:spacing w:line="360" w:lineRule="auto"/>
        <w:ind w:firstLine="560" w:firstLineChars="200"/>
        <w:rPr>
          <w:rFonts w:hint="default" w:ascii="宋体" w:cs="宋体"/>
          <w:kern w:val="0"/>
          <w:sz w:val="28"/>
          <w:szCs w:val="28"/>
          <w:lang w:val="en-US" w:eastAsia="zh-CN"/>
        </w:rPr>
      </w:pPr>
      <w:r>
        <w:rPr>
          <w:rFonts w:hint="default" w:ascii="宋体" w:cs="宋体"/>
          <w:kern w:val="0"/>
          <w:sz w:val="28"/>
          <w:szCs w:val="28"/>
          <w:lang w:val="en-US" w:eastAsia="zh-CN"/>
        </w:rPr>
        <w:t>2、在雷击过电压下，一次回路操作、系统故障及其他强干扰作用下，不应误动和拒动。装置快速瞬变干扰试验、高频干扰试验，辐射电磁场干扰试验，冲击试验和绝缘试验应至少符合IEC标准。装置调试端口应带有光电隔离。</w:t>
      </w:r>
    </w:p>
    <w:p>
      <w:pPr>
        <w:spacing w:line="360" w:lineRule="auto"/>
        <w:ind w:firstLine="560" w:firstLineChars="200"/>
        <w:rPr>
          <w:rFonts w:hint="default" w:ascii="宋体" w:cs="宋体"/>
          <w:kern w:val="0"/>
          <w:sz w:val="28"/>
          <w:szCs w:val="28"/>
          <w:lang w:val="en-US" w:eastAsia="zh-CN"/>
        </w:rPr>
      </w:pPr>
      <w:r>
        <w:rPr>
          <w:rFonts w:hint="default" w:ascii="宋体" w:cs="宋体"/>
          <w:kern w:val="0"/>
          <w:sz w:val="28"/>
          <w:szCs w:val="28"/>
          <w:lang w:val="en-US" w:eastAsia="zh-CN"/>
        </w:rPr>
        <w:t>3、故障录波柜中的插件应接触可靠，并且有良好的互换性，以便检修时能迅速更换。</w:t>
      </w:r>
    </w:p>
    <w:p>
      <w:pPr>
        <w:spacing w:line="360" w:lineRule="auto"/>
        <w:ind w:firstLine="560" w:firstLineChars="200"/>
        <w:rPr>
          <w:rFonts w:hint="default" w:ascii="宋体" w:cs="宋体"/>
          <w:kern w:val="0"/>
          <w:sz w:val="28"/>
          <w:szCs w:val="28"/>
          <w:lang w:val="en-US" w:eastAsia="zh-CN"/>
        </w:rPr>
      </w:pPr>
      <w:r>
        <w:rPr>
          <w:rFonts w:hint="default" w:ascii="宋体" w:cs="宋体"/>
          <w:kern w:val="0"/>
          <w:sz w:val="28"/>
          <w:szCs w:val="28"/>
          <w:lang w:val="en-US" w:eastAsia="zh-CN"/>
        </w:rPr>
        <w:t>4、各装置应具有直流电源快速小开关，与装置安装在同一柜上。直流电压消失时，装置不应误动，同时应有输出接点以启动告警信号。直流电压在80%～115%额定范围内变化时，装置应正确工作。直流电压波纹系数≤5%时，装置应正确工作。拉合直流电源时，装置不应误动作。直流电压出现各种异常情况（如短路、断线、一点接地等）时装置不应误动作。</w:t>
      </w:r>
    </w:p>
    <w:p>
      <w:p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5、各套装置的出口电路、主要电路、装置异常及交直流消失等应有经常监视及自诊断功能，以便在动作后启动告警信号、远动信号、事件记录等。</w:t>
      </w:r>
    </w:p>
    <w:p>
      <w:p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6、装置中央信号的接点应自保持，在直流电源消失后应能维持动作。只有当运行人员复归后，信号才能复归，复归按钮装在屏上的适当位置，以便于操作，并应有远方复归功能。用于远动信号和事件记录信号的接点不应保持。</w:t>
      </w:r>
    </w:p>
    <w:p>
      <w:p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7、装置中任一元件损坏时，装置不应误动作。</w:t>
      </w:r>
    </w:p>
    <w:p>
      <w:p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8、所提供的设备应能与变电站内继电保护运行及故障信息管理子站或直接与监控系统连接，供方应提供符合国家电网公司要求的通用规约文本。故障录波装置向子站或监控系统提供的信息包括：故障录波的动作信号、动作时间、故障相别以及测距信息。</w:t>
      </w:r>
    </w:p>
    <w:p>
      <w:p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9、提供的故障录波装置应能保证接入变电站其他厂家的子站或监控系统，必要时应提供协议转换装置（包括在投标报价中），故障录波装置需具备3个网络接口或RS-485口。</w:t>
      </w:r>
    </w:p>
    <w:p>
      <w:p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10、故障录波装置应具备通信网络对时和卫星时钟对时功能。</w:t>
      </w:r>
    </w:p>
    <w:p>
      <w:p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11、故障录波装置应为数字式的，宜采用嵌入式系统，所选用的微机故障录波装置应满足电力行业有关标准。</w:t>
      </w:r>
    </w:p>
    <w:p>
      <w:p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12、录波装置应具有本地和远方通信接口及与之相关的软件、硬件配置。既可在当地进行运行、录波数据存储、调试、定值整定和修改、信号监视、信号复归、控制操作、故障报告形成、远程传送、通信接口等功能；还可以与保护和故障信息管理子站系统接口，以实现对故障录波装置的故障警告、启动、复归和波形的监视、管理等，同时应具有远传功能，可将录波信息送往调度端。</w:t>
      </w:r>
    </w:p>
    <w:p>
      <w:p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13、装置不能由于频繁启动而冲击有效信息或造成突然死机。</w:t>
      </w:r>
    </w:p>
    <w:p>
      <w:p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14、装置内存容量应满足连续在规定的时间内发生规定次数的故障时能不中断地存入全部故障数据的要求。录波结束后，录波数据自动转至装置的硬盘保存。</w:t>
      </w:r>
    </w:p>
    <w:p>
      <w:p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15、装置记录的数据应可靠，不失真，记录的故障数据有足够安全性，当故障录波装置或后台机电压消失时，故障录波装置不应丢失录波波形。</w:t>
      </w:r>
    </w:p>
    <w:p>
      <w:p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16、为了便于调度处理事故，在线路或元件故障时，故障信息应上传到调度端，有助于事故处理时收集到重要的电气故障量。</w:t>
      </w:r>
    </w:p>
    <w:p>
      <w:p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17、波装置应能完成线路和主变压器各侧断路器、隔离开关及继电保护的开关量和模拟量的采集和记录、故障起动判别、信号转换等功能。对于线路，故障录波装置还应能记录高频信号量。</w:t>
      </w:r>
    </w:p>
    <w:p>
      <w:p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18、故障录波装置应能连续监视电力系统，任一起动元件动作，即开始记录，故障消除或系统振荡平息后，启动元件返回，在经预先整定的时间后停止记录，在单相重合过程中也能记录。故障录波装置应能连续记录多次故障波形。</w:t>
      </w:r>
    </w:p>
    <w:p>
      <w:p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19、要求故障录波装置能记录因故障、振荡等大扰动引起的系统电流、电压、有功功率、无功功率及系统频率全过程的变化波形。</w:t>
      </w:r>
    </w:p>
    <w:p>
      <w:p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20、应有足够的启动元件，在系统发生故障或振荡时能可靠启动。</w:t>
      </w:r>
    </w:p>
    <w:p>
      <w:p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21、故障启动方式包括模拟量启动、开关量启动和手动启动。装置可以同时由内部启动元件和外部启动元件启动，并可通过控制字整定。</w:t>
      </w:r>
    </w:p>
    <w:p>
      <w:p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22、故障录波装置应具有测距功能，测距误差应小于线路全长的3%（金属性故障）。</w:t>
      </w:r>
    </w:p>
    <w:p>
      <w:p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23、性能试验：</w:t>
      </w:r>
    </w:p>
    <w:p>
      <w:p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（1）装置内部所有元器件性能正确性试验及所有接线正确性试验。</w:t>
      </w:r>
    </w:p>
    <w:p>
      <w:p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（2）模拟实际情况进行连续通电，包括交流电流、电压、直流电源的试验。</w:t>
      </w:r>
    </w:p>
    <w:p>
      <w:p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（3）每个回路（除弱电回路外）应进行工频2000V、1min耐压试验。</w:t>
      </w:r>
    </w:p>
    <w:p>
      <w:p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（4）装置的整定值校对和动作特性试验。</w:t>
      </w:r>
    </w:p>
    <w:p>
      <w:pPr>
        <w:spacing w:line="360" w:lineRule="auto"/>
        <w:outlineLvl w:val="2"/>
        <w:rPr>
          <w:rFonts w:hint="eastAsia" w:cs="Times New Roman"/>
          <w:b/>
          <w:kern w:val="0"/>
          <w:sz w:val="28"/>
          <w:szCs w:val="21"/>
          <w:lang w:val="en-US" w:eastAsia="zh-CN" w:bidi="ar-SA"/>
        </w:rPr>
      </w:pPr>
      <w:bookmarkStart w:id="185" w:name="_Toc24584"/>
      <w:r>
        <w:rPr>
          <w:rFonts w:hint="eastAsia" w:cs="Times New Roman"/>
          <w:b/>
          <w:kern w:val="0"/>
          <w:sz w:val="28"/>
          <w:szCs w:val="21"/>
          <w:lang w:val="en-US" w:eastAsia="zh-CN" w:bidi="ar-SA"/>
        </w:rPr>
        <w:t>2.4.17电能质量</w:t>
      </w:r>
      <w:bookmarkEnd w:id="185"/>
    </w:p>
    <w:p>
      <w:pPr>
        <w:numPr>
          <w:ilvl w:val="0"/>
          <w:numId w:val="48"/>
        </w:numPr>
        <w:spacing w:line="360" w:lineRule="auto"/>
        <w:ind w:firstLine="560" w:firstLineChars="200"/>
        <w:rPr>
          <w:rFonts w:hint="default" w:ascii="宋体" w:cs="宋体"/>
          <w:kern w:val="0"/>
          <w:sz w:val="28"/>
          <w:szCs w:val="28"/>
          <w:lang w:val="en-US" w:eastAsia="zh-CN"/>
        </w:rPr>
      </w:pPr>
      <w:r>
        <w:rPr>
          <w:rFonts w:hint="default" w:ascii="宋体" w:cs="宋体"/>
          <w:kern w:val="0"/>
          <w:sz w:val="28"/>
          <w:szCs w:val="28"/>
          <w:lang w:val="en-US" w:eastAsia="zh-CN"/>
        </w:rPr>
        <w:t>监测设备根据安装地点和监测要求</w:t>
      </w:r>
      <w:r>
        <w:rPr>
          <w:rFonts w:hint="eastAsia" w:ascii="宋体" w:cs="宋体"/>
          <w:kern w:val="0"/>
          <w:sz w:val="28"/>
          <w:szCs w:val="28"/>
          <w:lang w:val="en-US" w:eastAsia="zh-CN"/>
        </w:rPr>
        <w:t>,</w:t>
      </w:r>
      <w:r>
        <w:rPr>
          <w:rFonts w:hint="default" w:ascii="宋体" w:cs="宋体"/>
          <w:kern w:val="0"/>
          <w:sz w:val="28"/>
          <w:szCs w:val="28"/>
          <w:lang w:val="en-US" w:eastAsia="zh-CN"/>
        </w:rPr>
        <w:t>应具备可选择的监测功能，包括电压偏差、频率偏差、三相电压幅值相位不平衡度、三相电流幅值相位不平衡度、负序电流、谐波、电压波动。</w:t>
      </w:r>
    </w:p>
    <w:p>
      <w:pPr>
        <w:numPr>
          <w:ilvl w:val="0"/>
          <w:numId w:val="48"/>
        </w:numPr>
        <w:spacing w:line="360" w:lineRule="auto"/>
        <w:ind w:firstLine="560" w:firstLineChars="200"/>
        <w:rPr>
          <w:rFonts w:hint="default" w:ascii="宋体" w:cs="宋体"/>
          <w:kern w:val="0"/>
          <w:sz w:val="28"/>
          <w:szCs w:val="28"/>
          <w:lang w:val="en-US" w:eastAsia="zh-CN"/>
        </w:rPr>
      </w:pPr>
      <w:r>
        <w:rPr>
          <w:rFonts w:hint="default" w:ascii="宋体" w:cs="宋体"/>
          <w:kern w:val="0"/>
          <w:sz w:val="28"/>
          <w:szCs w:val="28"/>
          <w:lang w:val="en-US" w:eastAsia="zh-CN"/>
        </w:rPr>
        <w:t>监测设备应具有记录存储功能，且监测设备的存储记录应至少保存15天。</w:t>
      </w:r>
    </w:p>
    <w:p>
      <w:pPr>
        <w:numPr>
          <w:ilvl w:val="0"/>
          <w:numId w:val="48"/>
        </w:numPr>
        <w:spacing w:line="360" w:lineRule="auto"/>
        <w:ind w:firstLine="560" w:firstLineChars="200"/>
        <w:rPr>
          <w:rFonts w:hint="default" w:ascii="宋体" w:cs="宋体"/>
          <w:kern w:val="0"/>
          <w:sz w:val="28"/>
          <w:szCs w:val="28"/>
          <w:lang w:val="en-US" w:eastAsia="zh-CN"/>
        </w:rPr>
      </w:pPr>
      <w:r>
        <w:rPr>
          <w:rFonts w:hint="default" w:ascii="宋体" w:cs="宋体"/>
          <w:kern w:val="0"/>
          <w:sz w:val="28"/>
          <w:szCs w:val="28"/>
          <w:lang w:val="en-US" w:eastAsia="zh-CN"/>
        </w:rPr>
        <w:t>监测设备应具有实时数据显示、权限管理、设置、对时、统计、自检等功能。</w:t>
      </w:r>
    </w:p>
    <w:p>
      <w:pPr>
        <w:numPr>
          <w:ilvl w:val="0"/>
          <w:numId w:val="48"/>
        </w:numPr>
        <w:spacing w:line="360" w:lineRule="auto"/>
        <w:ind w:firstLine="560" w:firstLineChars="200"/>
        <w:rPr>
          <w:rFonts w:hint="default" w:ascii="宋体" w:cs="宋体"/>
          <w:kern w:val="0"/>
          <w:sz w:val="28"/>
          <w:szCs w:val="28"/>
          <w:lang w:val="en-US" w:eastAsia="zh-CN"/>
        </w:rPr>
      </w:pPr>
      <w:r>
        <w:rPr>
          <w:rFonts w:hint="default" w:ascii="宋体" w:cs="宋体"/>
          <w:kern w:val="0"/>
          <w:sz w:val="28"/>
          <w:szCs w:val="28"/>
          <w:lang w:val="en-US" w:eastAsia="zh-CN"/>
        </w:rPr>
        <w:t>监测设备应具备标准通信接口，实现监测数据的实时传输或定时提取，并能对通信口进行灵活配置与实时监视。通信规约可参照变电站综合自动化设备的相关规定。</w:t>
      </w:r>
    </w:p>
    <w:p>
      <w:pPr>
        <w:numPr>
          <w:ilvl w:val="0"/>
          <w:numId w:val="48"/>
        </w:numPr>
        <w:spacing w:line="360" w:lineRule="auto"/>
        <w:ind w:firstLine="560" w:firstLineChars="200"/>
        <w:rPr>
          <w:rFonts w:hint="eastAsia" w:ascii="宋体" w:cs="宋体"/>
          <w:kern w:val="0"/>
          <w:sz w:val="28"/>
          <w:szCs w:val="28"/>
          <w:lang w:val="en-US" w:eastAsia="zh-CN"/>
        </w:rPr>
      </w:pPr>
      <w:r>
        <w:rPr>
          <w:rFonts w:hint="default" w:ascii="宋体" w:cs="宋体"/>
          <w:kern w:val="0"/>
          <w:sz w:val="28"/>
          <w:szCs w:val="28"/>
          <w:lang w:val="en-US" w:eastAsia="zh-CN"/>
        </w:rPr>
        <w:t>准确度要求</w:t>
      </w:r>
      <w:r>
        <w:rPr>
          <w:rFonts w:hint="eastAsia" w:ascii="宋体" w:cs="宋体"/>
          <w:kern w:val="0"/>
          <w:sz w:val="28"/>
          <w:szCs w:val="28"/>
          <w:lang w:val="en-US" w:eastAsia="zh-CN"/>
        </w:rPr>
        <w:t>：监测设备各相应指标的精度误差应满足下述要求：</w:t>
      </w:r>
    </w:p>
    <w:p>
      <w:pPr>
        <w:numPr>
          <w:ilvl w:val="0"/>
          <w:numId w:val="0"/>
        </w:num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电压偏差：≤0.5％；</w:t>
      </w:r>
    </w:p>
    <w:p>
      <w:pPr>
        <w:numPr>
          <w:ilvl w:val="0"/>
          <w:numId w:val="0"/>
        </w:num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频率偏差：≤0.01Hz；</w:t>
      </w:r>
    </w:p>
    <w:p>
      <w:pPr>
        <w:numPr>
          <w:ilvl w:val="0"/>
          <w:numId w:val="0"/>
        </w:num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三相电压不平衡度：≤0.2％；</w:t>
      </w:r>
    </w:p>
    <w:p>
      <w:pPr>
        <w:numPr>
          <w:ilvl w:val="0"/>
          <w:numId w:val="0"/>
        </w:num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三相电流不平衡度：≤1％；</w:t>
      </w:r>
    </w:p>
    <w:p>
      <w:pPr>
        <w:numPr>
          <w:ilvl w:val="0"/>
          <w:numId w:val="0"/>
        </w:num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闪变：≤5％；</w:t>
      </w:r>
    </w:p>
    <w:p>
      <w:pPr>
        <w:numPr>
          <w:ilvl w:val="0"/>
          <w:numId w:val="0"/>
        </w:numPr>
        <w:spacing w:line="360" w:lineRule="auto"/>
        <w:ind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电压波动：≤5％；</w:t>
      </w:r>
    </w:p>
    <w:p>
      <w:pPr>
        <w:numPr>
          <w:ilvl w:val="0"/>
          <w:numId w:val="0"/>
        </w:numPr>
        <w:spacing w:line="360" w:lineRule="auto"/>
        <w:ind w:firstLine="560" w:firstLineChars="200"/>
        <w:rPr>
          <w:rFonts w:hint="default" w:ascii="宋体" w:cs="宋体"/>
          <w:kern w:val="0"/>
          <w:sz w:val="28"/>
          <w:szCs w:val="28"/>
          <w:lang w:val="en-US" w:eastAsia="zh-CN"/>
        </w:rPr>
      </w:pPr>
      <w:r>
        <w:rPr>
          <w:rFonts w:hint="default" w:ascii="宋体" w:cs="宋体"/>
          <w:kern w:val="0"/>
          <w:sz w:val="28"/>
          <w:szCs w:val="28"/>
          <w:lang w:val="en-US" w:eastAsia="zh-CN"/>
        </w:rPr>
        <w:t>谐波：具体规定</w:t>
      </w:r>
      <w:r>
        <w:rPr>
          <w:rFonts w:hint="eastAsia" w:ascii="宋体" w:cs="宋体"/>
          <w:kern w:val="0"/>
          <w:sz w:val="28"/>
          <w:szCs w:val="28"/>
          <w:lang w:val="en-US" w:eastAsia="zh-CN"/>
        </w:rPr>
        <w:t>下</w:t>
      </w:r>
      <w:r>
        <w:rPr>
          <w:rFonts w:hint="default" w:ascii="宋体" w:cs="宋体"/>
          <w:kern w:val="0"/>
          <w:sz w:val="28"/>
          <w:szCs w:val="28"/>
          <w:lang w:val="en-US" w:eastAsia="zh-CN"/>
        </w:rPr>
        <w:t>表</w:t>
      </w:r>
    </w:p>
    <w:p>
      <w:pPr>
        <w:pStyle w:val="318"/>
        <w:rPr>
          <w:rFonts w:hint="eastAsia"/>
        </w:rPr>
      </w:pPr>
      <w:r>
        <w:rPr>
          <w:rFonts w:hint="eastAsia"/>
        </w:rPr>
        <w:t>谐波监测准确度等级</w:t>
      </w:r>
    </w:p>
    <w:tbl>
      <w:tblPr>
        <w:tblStyle w:val="63"/>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321"/>
        <w:gridCol w:w="2450"/>
        <w:gridCol w:w="2450"/>
        <w:gridCol w:w="244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762" w:type="pct"/>
            <w:noWrap w:val="0"/>
            <w:tcMar>
              <w:left w:w="0" w:type="dxa"/>
              <w:right w:w="0" w:type="dxa"/>
            </w:tcMar>
            <w:vAlign w:val="center"/>
          </w:tcPr>
          <w:p>
            <w:pPr>
              <w:pStyle w:val="319"/>
              <w:rPr>
                <w:rFonts w:hint="eastAsia"/>
              </w:rPr>
            </w:pPr>
            <w:r>
              <w:rPr>
                <w:rFonts w:hint="eastAsia"/>
              </w:rPr>
              <w:t>等    级</w:t>
            </w:r>
          </w:p>
        </w:tc>
        <w:tc>
          <w:tcPr>
            <w:tcW w:w="1413" w:type="pct"/>
            <w:noWrap w:val="0"/>
            <w:tcMar>
              <w:left w:w="0" w:type="dxa"/>
              <w:right w:w="0" w:type="dxa"/>
            </w:tcMar>
            <w:vAlign w:val="center"/>
          </w:tcPr>
          <w:p>
            <w:pPr>
              <w:pStyle w:val="319"/>
            </w:pPr>
            <w:r>
              <w:rPr>
                <w:rFonts w:hint="eastAsia"/>
              </w:rPr>
              <w:t>被  测  量</w:t>
            </w:r>
          </w:p>
        </w:tc>
        <w:tc>
          <w:tcPr>
            <w:tcW w:w="1413" w:type="pct"/>
            <w:noWrap w:val="0"/>
            <w:tcMar>
              <w:left w:w="0" w:type="dxa"/>
              <w:right w:w="0" w:type="dxa"/>
            </w:tcMar>
            <w:vAlign w:val="center"/>
          </w:tcPr>
          <w:p>
            <w:pPr>
              <w:pStyle w:val="319"/>
            </w:pPr>
            <w:r>
              <w:rPr>
                <w:rFonts w:hint="eastAsia"/>
              </w:rPr>
              <w:t>条    件</w:t>
            </w:r>
          </w:p>
        </w:tc>
        <w:tc>
          <w:tcPr>
            <w:tcW w:w="1413" w:type="pct"/>
            <w:noWrap w:val="0"/>
            <w:tcMar>
              <w:left w:w="0" w:type="dxa"/>
              <w:right w:w="0" w:type="dxa"/>
            </w:tcMar>
            <w:vAlign w:val="center"/>
          </w:tcPr>
          <w:p>
            <w:pPr>
              <w:pStyle w:val="319"/>
            </w:pPr>
            <w:r>
              <w:rPr>
                <w:rFonts w:hint="eastAsia"/>
              </w:rPr>
              <w:t>允  许  误  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762" w:type="pct"/>
            <w:vMerge w:val="restart"/>
            <w:noWrap w:val="0"/>
            <w:tcMar>
              <w:left w:w="0" w:type="dxa"/>
              <w:right w:w="0" w:type="dxa"/>
            </w:tcMar>
            <w:vAlign w:val="center"/>
          </w:tcPr>
          <w:p>
            <w:pPr>
              <w:pStyle w:val="319"/>
              <w:rPr>
                <w:rFonts w:hint="eastAsia"/>
              </w:rPr>
            </w:pPr>
            <w:r>
              <w:rPr>
                <w:rFonts w:hint="eastAsia"/>
              </w:rPr>
              <w:t>A</w:t>
            </w:r>
          </w:p>
        </w:tc>
        <w:tc>
          <w:tcPr>
            <w:tcW w:w="1413" w:type="pct"/>
            <w:noWrap w:val="0"/>
            <w:tcMar>
              <w:left w:w="0" w:type="dxa"/>
              <w:right w:w="0" w:type="dxa"/>
            </w:tcMar>
            <w:vAlign w:val="center"/>
          </w:tcPr>
          <w:p>
            <w:pPr>
              <w:pStyle w:val="319"/>
              <w:rPr>
                <w:lang w:val="fr-CA"/>
              </w:rPr>
            </w:pPr>
            <w:r>
              <w:rPr>
                <w:rFonts w:hint="eastAsia"/>
                <w:lang w:val="fr-CA"/>
              </w:rPr>
              <w:t>电压</w:t>
            </w:r>
          </w:p>
        </w:tc>
        <w:tc>
          <w:tcPr>
            <w:tcW w:w="1413" w:type="pct"/>
            <w:noWrap w:val="0"/>
            <w:tcMar>
              <w:left w:w="0" w:type="dxa"/>
              <w:right w:w="0" w:type="dxa"/>
            </w:tcMar>
            <w:vAlign w:val="center"/>
          </w:tcPr>
          <w:p>
            <w:pPr>
              <w:pStyle w:val="319"/>
              <w:spacing w:before="80" w:after="31" w:afterLines="10"/>
              <w:rPr>
                <w:vertAlign w:val="subscript"/>
                <w:lang w:val="fr-CA"/>
              </w:rPr>
            </w:pPr>
            <w:r>
              <w:rPr>
                <w:rFonts w:hint="eastAsia"/>
                <w:i/>
                <w:lang w:val="fr-CA"/>
              </w:rPr>
              <w:t>U</w:t>
            </w:r>
            <w:r>
              <w:rPr>
                <w:rFonts w:hint="eastAsia"/>
                <w:vertAlign w:val="subscript"/>
                <w:lang w:val="fr-CA"/>
              </w:rPr>
              <w:t>h</w:t>
            </w:r>
            <w:r>
              <w:rPr>
                <w:rFonts w:hint="eastAsia"/>
                <w:lang w:val="fr-CA"/>
              </w:rPr>
              <w:t>≥</w:t>
            </w:r>
            <w:r>
              <w:rPr>
                <w:lang w:val="fr-CA"/>
              </w:rPr>
              <w:t>1％</w:t>
            </w:r>
            <w:r>
              <w:rPr>
                <w:rFonts w:hint="eastAsia"/>
                <w:i/>
                <w:lang w:val="fr-CA"/>
              </w:rPr>
              <w:t>U</w:t>
            </w:r>
            <w:r>
              <w:rPr>
                <w:rFonts w:hint="eastAsia"/>
                <w:vertAlign w:val="subscript"/>
                <w:lang w:val="fr-CA"/>
              </w:rPr>
              <w:t>N</w:t>
            </w:r>
          </w:p>
          <w:p>
            <w:pPr>
              <w:pStyle w:val="319"/>
              <w:spacing w:before="0" w:after="80"/>
              <w:rPr>
                <w:vertAlign w:val="subscript"/>
                <w:lang w:val="fr-CA"/>
              </w:rPr>
            </w:pPr>
            <w:r>
              <w:rPr>
                <w:rFonts w:hint="eastAsia"/>
                <w:i/>
                <w:lang w:val="fr-CA"/>
              </w:rPr>
              <w:t>U</w:t>
            </w:r>
            <w:r>
              <w:rPr>
                <w:rFonts w:hint="eastAsia"/>
                <w:vertAlign w:val="subscript"/>
                <w:lang w:val="fr-CA"/>
              </w:rPr>
              <w:t>h</w:t>
            </w:r>
            <w:r>
              <w:rPr>
                <w:rFonts w:hint="eastAsia"/>
                <w:lang w:val="fr-CA"/>
              </w:rPr>
              <w:t>＜</w:t>
            </w:r>
            <w:r>
              <w:rPr>
                <w:lang w:val="fr-CA"/>
              </w:rPr>
              <w:t>1％</w:t>
            </w:r>
            <w:r>
              <w:rPr>
                <w:i/>
                <w:lang w:val="fr-CA"/>
              </w:rPr>
              <w:t>U</w:t>
            </w:r>
            <w:r>
              <w:rPr>
                <w:rFonts w:hint="eastAsia"/>
                <w:vertAlign w:val="subscript"/>
                <w:lang w:val="fr-CA"/>
              </w:rPr>
              <w:t>N</w:t>
            </w:r>
          </w:p>
        </w:tc>
        <w:tc>
          <w:tcPr>
            <w:tcW w:w="1413" w:type="pct"/>
            <w:noWrap w:val="0"/>
            <w:tcMar>
              <w:left w:w="0" w:type="dxa"/>
              <w:right w:w="0" w:type="dxa"/>
            </w:tcMar>
            <w:vAlign w:val="center"/>
          </w:tcPr>
          <w:p>
            <w:pPr>
              <w:pStyle w:val="319"/>
              <w:spacing w:after="0"/>
              <w:rPr>
                <w:vertAlign w:val="subscript"/>
                <w:lang w:val="en-GB"/>
              </w:rPr>
            </w:pPr>
            <w:r>
              <w:rPr>
                <w:lang w:val="en-GB"/>
              </w:rPr>
              <w:t>5％</w:t>
            </w:r>
            <w:r>
              <w:rPr>
                <w:rFonts w:hint="eastAsia"/>
                <w:i/>
                <w:lang w:val="fr-CA"/>
              </w:rPr>
              <w:t>U</w:t>
            </w:r>
            <w:r>
              <w:rPr>
                <w:rFonts w:hint="eastAsia"/>
                <w:vertAlign w:val="subscript"/>
                <w:lang w:val="fr-CA"/>
              </w:rPr>
              <w:t>h</w:t>
            </w:r>
          </w:p>
          <w:p>
            <w:pPr>
              <w:pStyle w:val="319"/>
              <w:spacing w:before="0"/>
            </w:pPr>
            <w:r>
              <w:t>0</w:t>
            </w:r>
            <w:r>
              <w:rPr>
                <w:rFonts w:hint="eastAsia"/>
              </w:rPr>
              <w:t>.</w:t>
            </w:r>
            <w:r>
              <w:t>05％</w:t>
            </w:r>
            <w:r>
              <w:rPr>
                <w:i/>
                <w:lang w:val="fr-CA"/>
              </w:rPr>
              <w:t>U</w:t>
            </w:r>
            <w:r>
              <w:rPr>
                <w:rFonts w:hint="eastAsia"/>
                <w:vertAlign w:val="subscript"/>
                <w:lang w:val="fr-CA"/>
              </w:rPr>
              <w:t>N</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762" w:type="pct"/>
            <w:vMerge w:val="continue"/>
            <w:noWrap w:val="0"/>
            <w:tcMar>
              <w:left w:w="0" w:type="dxa"/>
              <w:right w:w="0" w:type="dxa"/>
            </w:tcMar>
            <w:vAlign w:val="center"/>
          </w:tcPr>
          <w:p>
            <w:pPr>
              <w:pStyle w:val="319"/>
              <w:rPr>
                <w:rFonts w:hint="eastAsia"/>
              </w:rPr>
            </w:pPr>
          </w:p>
        </w:tc>
        <w:tc>
          <w:tcPr>
            <w:tcW w:w="1413" w:type="pct"/>
            <w:noWrap w:val="0"/>
            <w:tcMar>
              <w:left w:w="0" w:type="dxa"/>
              <w:right w:w="0" w:type="dxa"/>
            </w:tcMar>
            <w:vAlign w:val="center"/>
          </w:tcPr>
          <w:p>
            <w:pPr>
              <w:pStyle w:val="319"/>
            </w:pPr>
            <w:r>
              <w:rPr>
                <w:rFonts w:hint="eastAsia"/>
              </w:rPr>
              <w:t>电流</w:t>
            </w:r>
          </w:p>
        </w:tc>
        <w:tc>
          <w:tcPr>
            <w:tcW w:w="1413" w:type="pct"/>
            <w:noWrap w:val="0"/>
            <w:tcMar>
              <w:left w:w="0" w:type="dxa"/>
              <w:right w:w="0" w:type="dxa"/>
            </w:tcMar>
            <w:vAlign w:val="center"/>
          </w:tcPr>
          <w:p>
            <w:pPr>
              <w:pStyle w:val="319"/>
              <w:spacing w:before="80" w:after="31" w:afterLines="10"/>
              <w:rPr>
                <w:vertAlign w:val="subscript"/>
                <w:lang w:val="de-DE"/>
              </w:rPr>
            </w:pPr>
            <w:r>
              <w:rPr>
                <w:i/>
                <w:lang w:val="de-DE"/>
              </w:rPr>
              <w:t>I</w:t>
            </w:r>
            <w:r>
              <w:rPr>
                <w:rFonts w:hint="eastAsia"/>
                <w:vertAlign w:val="subscript"/>
                <w:lang w:val="de-DE"/>
              </w:rPr>
              <w:t>h</w:t>
            </w:r>
            <w:r>
              <w:rPr>
                <w:rFonts w:hint="eastAsia"/>
                <w:lang w:val="de-DE"/>
              </w:rPr>
              <w:t>≥</w:t>
            </w:r>
            <w:r>
              <w:rPr>
                <w:lang w:val="de-DE"/>
              </w:rPr>
              <w:t>3％</w:t>
            </w:r>
            <w:r>
              <w:rPr>
                <w:i/>
                <w:lang w:val="de-DE"/>
              </w:rPr>
              <w:t>I</w:t>
            </w:r>
            <w:r>
              <w:rPr>
                <w:rFonts w:hint="eastAsia"/>
                <w:vertAlign w:val="subscript"/>
                <w:lang w:val="de-DE"/>
              </w:rPr>
              <w:t>N</w:t>
            </w:r>
          </w:p>
          <w:p>
            <w:pPr>
              <w:pStyle w:val="319"/>
              <w:spacing w:before="0" w:after="80"/>
              <w:rPr>
                <w:lang w:val="de-DE"/>
              </w:rPr>
            </w:pPr>
            <w:r>
              <w:rPr>
                <w:i/>
                <w:lang w:val="de-DE"/>
              </w:rPr>
              <w:t>I</w:t>
            </w:r>
            <w:r>
              <w:rPr>
                <w:rFonts w:hint="eastAsia"/>
                <w:vertAlign w:val="subscript"/>
                <w:lang w:val="de-DE"/>
              </w:rPr>
              <w:t>h</w:t>
            </w:r>
            <w:r>
              <w:rPr>
                <w:rFonts w:hint="eastAsia"/>
                <w:lang w:val="de-DE"/>
              </w:rPr>
              <w:t>＜</w:t>
            </w:r>
            <w:r>
              <w:rPr>
                <w:lang w:val="de-DE"/>
              </w:rPr>
              <w:t>3％</w:t>
            </w:r>
            <w:r>
              <w:rPr>
                <w:i/>
                <w:lang w:val="de-DE"/>
              </w:rPr>
              <w:t>I</w:t>
            </w:r>
            <w:r>
              <w:rPr>
                <w:rFonts w:hint="eastAsia"/>
                <w:vertAlign w:val="subscript"/>
                <w:lang w:val="de-DE"/>
              </w:rPr>
              <w:t>N</w:t>
            </w:r>
          </w:p>
        </w:tc>
        <w:tc>
          <w:tcPr>
            <w:tcW w:w="1413" w:type="pct"/>
            <w:noWrap w:val="0"/>
            <w:tcMar>
              <w:left w:w="0" w:type="dxa"/>
              <w:right w:w="0" w:type="dxa"/>
            </w:tcMar>
            <w:vAlign w:val="center"/>
          </w:tcPr>
          <w:p>
            <w:pPr>
              <w:pStyle w:val="319"/>
              <w:spacing w:after="0"/>
              <w:rPr>
                <w:vertAlign w:val="subscript"/>
              </w:rPr>
            </w:pPr>
            <w:r>
              <w:t>5％</w:t>
            </w:r>
            <w:r>
              <w:rPr>
                <w:i/>
              </w:rPr>
              <w:t>I</w:t>
            </w:r>
            <w:r>
              <w:rPr>
                <w:rFonts w:hint="eastAsia"/>
                <w:vertAlign w:val="subscript"/>
              </w:rPr>
              <w:t>h</w:t>
            </w:r>
          </w:p>
          <w:p>
            <w:pPr>
              <w:pStyle w:val="319"/>
              <w:spacing w:before="0"/>
              <w:rPr>
                <w:lang w:val="fr-CA"/>
              </w:rPr>
            </w:pPr>
            <w:r>
              <w:rPr>
                <w:lang w:val="fr-CA"/>
              </w:rPr>
              <w:t>0.15％</w:t>
            </w:r>
            <w:r>
              <w:rPr>
                <w:i/>
                <w:lang w:val="fr-CA"/>
              </w:rPr>
              <w:t>I</w:t>
            </w:r>
            <w:r>
              <w:rPr>
                <w:rFonts w:hint="eastAsia"/>
                <w:vertAlign w:val="subscript"/>
                <w:lang w:val="fr-CA"/>
              </w:rPr>
              <w:t>N</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762" w:type="pct"/>
            <w:vMerge w:val="restart"/>
            <w:noWrap w:val="0"/>
            <w:tcMar>
              <w:left w:w="0" w:type="dxa"/>
              <w:right w:w="0" w:type="dxa"/>
            </w:tcMar>
            <w:vAlign w:val="center"/>
          </w:tcPr>
          <w:p>
            <w:pPr>
              <w:pStyle w:val="319"/>
              <w:rPr>
                <w:rFonts w:hint="eastAsia"/>
              </w:rPr>
            </w:pPr>
            <w:r>
              <w:rPr>
                <w:rFonts w:hint="eastAsia"/>
              </w:rPr>
              <w:t>B</w:t>
            </w:r>
          </w:p>
        </w:tc>
        <w:tc>
          <w:tcPr>
            <w:tcW w:w="1413" w:type="pct"/>
            <w:noWrap w:val="0"/>
            <w:tcMar>
              <w:left w:w="0" w:type="dxa"/>
              <w:right w:w="0" w:type="dxa"/>
            </w:tcMar>
            <w:vAlign w:val="center"/>
          </w:tcPr>
          <w:p>
            <w:pPr>
              <w:pStyle w:val="319"/>
              <w:rPr>
                <w:lang w:val="fr-CA"/>
              </w:rPr>
            </w:pPr>
            <w:r>
              <w:rPr>
                <w:rFonts w:hint="eastAsia"/>
                <w:lang w:val="fr-CA"/>
              </w:rPr>
              <w:t>电压</w:t>
            </w:r>
          </w:p>
        </w:tc>
        <w:tc>
          <w:tcPr>
            <w:tcW w:w="1413" w:type="pct"/>
            <w:noWrap w:val="0"/>
            <w:tcMar>
              <w:left w:w="0" w:type="dxa"/>
              <w:right w:w="0" w:type="dxa"/>
            </w:tcMar>
            <w:vAlign w:val="center"/>
          </w:tcPr>
          <w:p>
            <w:pPr>
              <w:pStyle w:val="319"/>
              <w:spacing w:before="80" w:after="31" w:afterLines="10"/>
              <w:rPr>
                <w:vertAlign w:val="subscript"/>
                <w:lang w:val="fr-CA"/>
              </w:rPr>
            </w:pPr>
            <w:r>
              <w:rPr>
                <w:rFonts w:hint="eastAsia"/>
                <w:i/>
                <w:lang w:val="fr-CA"/>
              </w:rPr>
              <w:t>U</w:t>
            </w:r>
            <w:r>
              <w:rPr>
                <w:rFonts w:hint="eastAsia"/>
                <w:vertAlign w:val="subscript"/>
                <w:lang w:val="fr-CA"/>
              </w:rPr>
              <w:t>h</w:t>
            </w:r>
            <w:r>
              <w:rPr>
                <w:rFonts w:hint="eastAsia"/>
                <w:lang w:val="fr-CA"/>
              </w:rPr>
              <w:t>≥3</w:t>
            </w:r>
            <w:r>
              <w:rPr>
                <w:lang w:val="fr-CA"/>
              </w:rPr>
              <w:t>％</w:t>
            </w:r>
            <w:r>
              <w:rPr>
                <w:rFonts w:hint="eastAsia"/>
                <w:i/>
                <w:lang w:val="fr-CA"/>
              </w:rPr>
              <w:t>U</w:t>
            </w:r>
            <w:r>
              <w:rPr>
                <w:rFonts w:hint="eastAsia"/>
                <w:vertAlign w:val="subscript"/>
                <w:lang w:val="fr-CA"/>
              </w:rPr>
              <w:t>N</w:t>
            </w:r>
          </w:p>
          <w:p>
            <w:pPr>
              <w:pStyle w:val="319"/>
              <w:spacing w:before="0" w:after="80"/>
              <w:rPr>
                <w:lang w:val="fr-CA"/>
              </w:rPr>
            </w:pPr>
            <w:r>
              <w:rPr>
                <w:rFonts w:hint="eastAsia"/>
                <w:i/>
                <w:lang w:val="fr-CA"/>
              </w:rPr>
              <w:t>U</w:t>
            </w:r>
            <w:r>
              <w:rPr>
                <w:rFonts w:hint="eastAsia"/>
                <w:vertAlign w:val="subscript"/>
                <w:lang w:val="fr-CA"/>
              </w:rPr>
              <w:t>h</w:t>
            </w:r>
            <w:r>
              <w:rPr>
                <w:rFonts w:hint="eastAsia"/>
                <w:lang w:val="fr-CA"/>
              </w:rPr>
              <w:t>＜3</w:t>
            </w:r>
            <w:r>
              <w:rPr>
                <w:lang w:val="fr-CA"/>
              </w:rPr>
              <w:t>％</w:t>
            </w:r>
            <w:r>
              <w:rPr>
                <w:i/>
                <w:lang w:val="fr-CA"/>
              </w:rPr>
              <w:t>U</w:t>
            </w:r>
            <w:r>
              <w:rPr>
                <w:rFonts w:hint="eastAsia"/>
                <w:vertAlign w:val="subscript"/>
                <w:lang w:val="fr-CA"/>
              </w:rPr>
              <w:t>N</w:t>
            </w:r>
          </w:p>
        </w:tc>
        <w:tc>
          <w:tcPr>
            <w:tcW w:w="1413" w:type="pct"/>
            <w:noWrap w:val="0"/>
            <w:tcMar>
              <w:left w:w="0" w:type="dxa"/>
              <w:right w:w="0" w:type="dxa"/>
            </w:tcMar>
            <w:vAlign w:val="center"/>
          </w:tcPr>
          <w:p>
            <w:pPr>
              <w:pStyle w:val="319"/>
              <w:spacing w:after="0"/>
              <w:rPr>
                <w:vertAlign w:val="subscript"/>
                <w:lang w:val="fr-CA"/>
              </w:rPr>
            </w:pPr>
            <w:r>
              <w:rPr>
                <w:lang w:val="fr-CA"/>
              </w:rPr>
              <w:t>5％</w:t>
            </w:r>
            <w:r>
              <w:rPr>
                <w:rFonts w:hint="eastAsia"/>
                <w:i/>
                <w:lang w:val="fr-CA"/>
              </w:rPr>
              <w:t>U</w:t>
            </w:r>
            <w:r>
              <w:rPr>
                <w:rFonts w:hint="eastAsia"/>
                <w:vertAlign w:val="subscript"/>
                <w:lang w:val="fr-CA"/>
              </w:rPr>
              <w:t>h</w:t>
            </w:r>
          </w:p>
          <w:p>
            <w:pPr>
              <w:pStyle w:val="319"/>
              <w:spacing w:before="0"/>
              <w:rPr>
                <w:lang w:val="fr-CA"/>
              </w:rPr>
            </w:pPr>
            <w:r>
              <w:rPr>
                <w:lang w:val="fr-CA"/>
              </w:rPr>
              <w:t>0</w:t>
            </w:r>
            <w:r>
              <w:rPr>
                <w:rFonts w:hint="eastAsia"/>
                <w:lang w:val="fr-CA"/>
              </w:rPr>
              <w:t>.1</w:t>
            </w:r>
            <w:r>
              <w:rPr>
                <w:lang w:val="fr-CA"/>
              </w:rPr>
              <w:t>5％</w:t>
            </w:r>
            <w:r>
              <w:rPr>
                <w:i/>
                <w:lang w:val="fr-CA"/>
              </w:rPr>
              <w:t>U</w:t>
            </w:r>
            <w:r>
              <w:rPr>
                <w:rFonts w:hint="eastAsia"/>
                <w:vertAlign w:val="subscript"/>
                <w:lang w:val="fr-CA"/>
              </w:rPr>
              <w:t>N</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762" w:type="pct"/>
            <w:vMerge w:val="continue"/>
            <w:noWrap w:val="0"/>
            <w:tcMar>
              <w:left w:w="0" w:type="dxa"/>
              <w:right w:w="0" w:type="dxa"/>
            </w:tcMar>
            <w:vAlign w:val="center"/>
          </w:tcPr>
          <w:p>
            <w:pPr>
              <w:pStyle w:val="319"/>
              <w:rPr>
                <w:rFonts w:hint="eastAsia"/>
              </w:rPr>
            </w:pPr>
          </w:p>
        </w:tc>
        <w:tc>
          <w:tcPr>
            <w:tcW w:w="1413" w:type="pct"/>
            <w:noWrap w:val="0"/>
            <w:tcMar>
              <w:left w:w="0" w:type="dxa"/>
              <w:right w:w="0" w:type="dxa"/>
            </w:tcMar>
            <w:vAlign w:val="center"/>
          </w:tcPr>
          <w:p>
            <w:pPr>
              <w:pStyle w:val="319"/>
              <w:rPr>
                <w:lang w:val="fr-CA"/>
              </w:rPr>
            </w:pPr>
            <w:r>
              <w:rPr>
                <w:rFonts w:hint="eastAsia"/>
              </w:rPr>
              <w:t>电流</w:t>
            </w:r>
          </w:p>
        </w:tc>
        <w:tc>
          <w:tcPr>
            <w:tcW w:w="1413" w:type="pct"/>
            <w:noWrap w:val="0"/>
            <w:tcMar>
              <w:left w:w="0" w:type="dxa"/>
              <w:right w:w="0" w:type="dxa"/>
            </w:tcMar>
            <w:vAlign w:val="center"/>
          </w:tcPr>
          <w:p>
            <w:pPr>
              <w:pStyle w:val="319"/>
              <w:spacing w:before="80" w:after="31" w:afterLines="10"/>
              <w:rPr>
                <w:lang w:val="de-DE"/>
              </w:rPr>
            </w:pPr>
            <w:r>
              <w:rPr>
                <w:i/>
                <w:lang w:val="de-DE"/>
              </w:rPr>
              <w:t>I</w:t>
            </w:r>
            <w:r>
              <w:rPr>
                <w:rFonts w:hint="eastAsia"/>
                <w:vertAlign w:val="subscript"/>
                <w:lang w:val="de-DE"/>
              </w:rPr>
              <w:t>h</w:t>
            </w:r>
            <w:r>
              <w:rPr>
                <w:rFonts w:hint="eastAsia"/>
                <w:lang w:val="de-DE"/>
              </w:rPr>
              <w:t>≥</w:t>
            </w:r>
            <w:r>
              <w:rPr>
                <w:lang w:val="de-DE"/>
              </w:rPr>
              <w:t>10％</w:t>
            </w:r>
            <w:r>
              <w:rPr>
                <w:i/>
                <w:lang w:val="de-DE"/>
              </w:rPr>
              <w:t>I</w:t>
            </w:r>
            <w:r>
              <w:rPr>
                <w:rFonts w:hint="eastAsia"/>
                <w:vertAlign w:val="subscript"/>
                <w:lang w:val="de-DE"/>
              </w:rPr>
              <w:t>N</w:t>
            </w:r>
          </w:p>
          <w:p>
            <w:pPr>
              <w:pStyle w:val="319"/>
              <w:spacing w:before="0" w:after="80"/>
              <w:rPr>
                <w:lang w:val="de-DE"/>
              </w:rPr>
            </w:pPr>
            <w:r>
              <w:rPr>
                <w:i/>
                <w:lang w:val="de-DE"/>
              </w:rPr>
              <w:t>I</w:t>
            </w:r>
            <w:r>
              <w:rPr>
                <w:rFonts w:hint="eastAsia"/>
                <w:vertAlign w:val="subscript"/>
                <w:lang w:val="de-DE"/>
              </w:rPr>
              <w:t>h</w:t>
            </w:r>
            <w:r>
              <w:rPr>
                <w:rFonts w:hint="eastAsia"/>
                <w:lang w:val="de-DE"/>
              </w:rPr>
              <w:t>＜</w:t>
            </w:r>
            <w:r>
              <w:rPr>
                <w:lang w:val="de-DE"/>
              </w:rPr>
              <w:t>10％</w:t>
            </w:r>
            <w:r>
              <w:rPr>
                <w:i/>
                <w:lang w:val="de-DE"/>
              </w:rPr>
              <w:t>I</w:t>
            </w:r>
            <w:r>
              <w:rPr>
                <w:rFonts w:hint="eastAsia"/>
                <w:vertAlign w:val="subscript"/>
                <w:lang w:val="de-DE"/>
              </w:rPr>
              <w:t>N</w:t>
            </w:r>
          </w:p>
        </w:tc>
        <w:tc>
          <w:tcPr>
            <w:tcW w:w="1413" w:type="pct"/>
            <w:noWrap w:val="0"/>
            <w:tcMar>
              <w:left w:w="0" w:type="dxa"/>
              <w:right w:w="0" w:type="dxa"/>
            </w:tcMar>
            <w:vAlign w:val="center"/>
          </w:tcPr>
          <w:p>
            <w:pPr>
              <w:pStyle w:val="319"/>
              <w:spacing w:after="0"/>
              <w:rPr>
                <w:lang w:val="fr-CA"/>
              </w:rPr>
            </w:pPr>
            <w:r>
              <w:rPr>
                <w:lang w:val="fr-CA"/>
              </w:rPr>
              <w:t>5％</w:t>
            </w:r>
            <w:r>
              <w:rPr>
                <w:i/>
                <w:lang w:val="fr-CA"/>
              </w:rPr>
              <w:t>I</w:t>
            </w:r>
            <w:r>
              <w:rPr>
                <w:rFonts w:hint="eastAsia"/>
                <w:vertAlign w:val="subscript"/>
                <w:lang w:val="fr-CA"/>
              </w:rPr>
              <w:t>h</w:t>
            </w:r>
          </w:p>
          <w:p>
            <w:pPr>
              <w:pStyle w:val="319"/>
              <w:spacing w:before="0"/>
              <w:rPr>
                <w:lang w:val="fr-CA"/>
              </w:rPr>
            </w:pPr>
            <w:r>
              <w:rPr>
                <w:lang w:val="fr-CA"/>
              </w:rPr>
              <w:t>0.5％</w:t>
            </w:r>
            <w:r>
              <w:rPr>
                <w:i/>
                <w:lang w:val="fr-CA"/>
              </w:rPr>
              <w:t>I</w:t>
            </w:r>
            <w:r>
              <w:rPr>
                <w:rFonts w:hint="eastAsia"/>
                <w:vertAlign w:val="subscript"/>
                <w:lang w:val="fr-CA"/>
              </w:rPr>
              <w:t>N</w:t>
            </w:r>
          </w:p>
        </w:tc>
      </w:tr>
    </w:tbl>
    <w:p>
      <w:pPr>
        <w:numPr>
          <w:ilvl w:val="0"/>
          <w:numId w:val="0"/>
        </w:numPr>
        <w:spacing w:line="360" w:lineRule="auto"/>
        <w:ind w:firstLine="560" w:firstLineChars="200"/>
        <w:rPr>
          <w:rFonts w:hint="default" w:ascii="宋体" w:cs="宋体"/>
          <w:kern w:val="0"/>
          <w:sz w:val="28"/>
          <w:szCs w:val="28"/>
          <w:lang w:val="en-US" w:eastAsia="zh-CN"/>
        </w:rPr>
      </w:pPr>
    </w:p>
    <w:p>
      <w:pPr>
        <w:numPr>
          <w:ilvl w:val="0"/>
          <w:numId w:val="48"/>
        </w:numPr>
        <w:spacing w:line="360" w:lineRule="auto"/>
        <w:ind w:left="0" w:leftChars="0"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电能质量系统要求，应与勘察设计上级变电站及电网需求，满足软件接口协议及硬件要求。</w:t>
      </w:r>
    </w:p>
    <w:p>
      <w:pPr>
        <w:pStyle w:val="2"/>
        <w:numPr>
          <w:ilvl w:val="0"/>
          <w:numId w:val="48"/>
        </w:numPr>
        <w:ind w:left="0" w:leftChars="0" w:firstLine="560" w:firstLineChars="200"/>
        <w:rPr>
          <w:rFonts w:hint="eastAsia" w:ascii="宋体" w:cs="宋体"/>
          <w:kern w:val="0"/>
          <w:sz w:val="28"/>
          <w:szCs w:val="28"/>
          <w:lang w:val="en-US" w:eastAsia="zh-CN"/>
        </w:rPr>
      </w:pPr>
      <w:r>
        <w:rPr>
          <w:rFonts w:hint="eastAsia" w:ascii="宋体" w:cs="宋体"/>
          <w:kern w:val="0"/>
          <w:sz w:val="28"/>
          <w:szCs w:val="28"/>
          <w:lang w:val="en-US" w:eastAsia="zh-CN"/>
        </w:rPr>
        <w:t>电能质量系统应作为能源管理的一个单元，应预留对接园区能源管理平台的接口，同时开放自身数据库，方便园区能源管理平台对接，且若协议不一致的，应由投标方进行转换。</w:t>
      </w:r>
    </w:p>
    <w:p>
      <w:pPr>
        <w:pStyle w:val="2"/>
        <w:numPr>
          <w:ilvl w:val="0"/>
          <w:numId w:val="0"/>
        </w:numPr>
        <w:outlineLvl w:val="2"/>
        <w:rPr>
          <w:rFonts w:hint="eastAsia" w:ascii="宋体" w:hAnsi="Times New Roman" w:eastAsia="宋体" w:cs="Times New Roman"/>
          <w:b/>
          <w:snapToGrid w:val="0"/>
          <w:color w:val="000000"/>
          <w:kern w:val="0"/>
          <w:sz w:val="28"/>
          <w:szCs w:val="21"/>
          <w:lang w:val="en-US" w:eastAsia="zh-CN" w:bidi="ar-SA"/>
        </w:rPr>
      </w:pPr>
      <w:bookmarkStart w:id="186" w:name="_Toc26433"/>
      <w:bookmarkStart w:id="187" w:name="OLE_LINK4"/>
      <w:r>
        <w:rPr>
          <w:rFonts w:hint="eastAsia" w:ascii="宋体" w:hAnsi="Times New Roman" w:eastAsia="宋体" w:cs="Times New Roman"/>
          <w:b/>
          <w:snapToGrid w:val="0"/>
          <w:color w:val="000000"/>
          <w:kern w:val="0"/>
          <w:sz w:val="28"/>
          <w:szCs w:val="21"/>
          <w:lang w:val="en-US" w:eastAsia="zh-CN" w:bidi="ar-SA"/>
        </w:rPr>
        <w:t>2.4.1</w:t>
      </w:r>
      <w:r>
        <w:rPr>
          <w:rFonts w:hint="eastAsia" w:ascii="宋体" w:cs="Times New Roman"/>
          <w:b/>
          <w:snapToGrid w:val="0"/>
          <w:color w:val="000000"/>
          <w:kern w:val="0"/>
          <w:sz w:val="28"/>
          <w:szCs w:val="21"/>
          <w:lang w:val="en-US" w:eastAsia="zh-CN" w:bidi="ar-SA"/>
        </w:rPr>
        <w:t>8</w:t>
      </w:r>
      <w:r>
        <w:rPr>
          <w:rFonts w:hint="eastAsia" w:ascii="宋体" w:hAnsi="Times New Roman" w:eastAsia="宋体" w:cs="Times New Roman"/>
          <w:b/>
          <w:snapToGrid w:val="0"/>
          <w:color w:val="000000"/>
          <w:kern w:val="0"/>
          <w:sz w:val="28"/>
          <w:szCs w:val="21"/>
          <w:lang w:val="en-US" w:eastAsia="zh-CN" w:bidi="ar-SA"/>
        </w:rPr>
        <w:t>综合在线监测系统</w:t>
      </w:r>
      <w:bookmarkEnd w:id="186"/>
    </w:p>
    <w:bookmarkEnd w:id="187"/>
    <w:p>
      <w:pPr>
        <w:pStyle w:val="2"/>
        <w:numPr>
          <w:ilvl w:val="0"/>
          <w:numId w:val="0"/>
        </w:numPr>
        <w:rPr>
          <w:rFonts w:hint="default" w:ascii="宋体" w:hAnsi="Times New Roman" w:eastAsia="宋体" w:cs="Times New Roman"/>
          <w:b w:val="0"/>
          <w:bCs/>
          <w:snapToGrid w:val="0"/>
          <w:color w:val="000000"/>
          <w:kern w:val="0"/>
          <w:sz w:val="28"/>
          <w:szCs w:val="21"/>
          <w:lang w:val="en-US" w:eastAsia="zh-CN" w:bidi="ar-SA"/>
        </w:rPr>
      </w:pPr>
      <w:bookmarkStart w:id="188" w:name="OLE_LINK5"/>
      <w:r>
        <w:rPr>
          <w:rFonts w:hint="default" w:ascii="宋体" w:hAnsi="Times New Roman" w:eastAsia="宋体" w:cs="Times New Roman"/>
          <w:b w:val="0"/>
          <w:bCs/>
          <w:snapToGrid w:val="0"/>
          <w:color w:val="000000"/>
          <w:kern w:val="0"/>
          <w:sz w:val="28"/>
          <w:szCs w:val="21"/>
          <w:lang w:val="en-US" w:eastAsia="zh-CN" w:bidi="ar-SA"/>
        </w:rPr>
        <w:t>变压器综合在线监测系统</w:t>
      </w:r>
      <w:bookmarkEnd w:id="188"/>
      <w:r>
        <w:rPr>
          <w:rFonts w:hint="default" w:ascii="宋体" w:hAnsi="Times New Roman" w:eastAsia="宋体" w:cs="Times New Roman"/>
          <w:b w:val="0"/>
          <w:bCs/>
          <w:snapToGrid w:val="0"/>
          <w:color w:val="000000"/>
          <w:kern w:val="0"/>
          <w:sz w:val="28"/>
          <w:szCs w:val="21"/>
          <w:lang w:val="en-US" w:eastAsia="zh-CN" w:bidi="ar-SA"/>
        </w:rPr>
        <w:t>（充氮灭火、油色谱、局放、铁心接地电流监测等）、GIS组合电器综合在线监测系统（局放在线监测系统、SF6密度及微水在线监测系统、SF6气体泄露报警在线监测系统）、10kV开关柜综合在线监测系统（局放、弧光保护系统、</w:t>
      </w:r>
      <w:r>
        <w:rPr>
          <w:rFonts w:hint="eastAsia" w:ascii="宋体" w:cs="Times New Roman"/>
          <w:b w:val="0"/>
          <w:bCs/>
          <w:snapToGrid w:val="0"/>
          <w:color w:val="000000"/>
          <w:kern w:val="0"/>
          <w:sz w:val="28"/>
          <w:szCs w:val="21"/>
          <w:lang w:val="en-US" w:eastAsia="zh-CN" w:bidi="ar-SA"/>
        </w:rPr>
        <w:t>光纤</w:t>
      </w:r>
      <w:r>
        <w:rPr>
          <w:rFonts w:hint="default" w:ascii="宋体" w:hAnsi="Times New Roman" w:eastAsia="宋体" w:cs="Times New Roman"/>
          <w:b w:val="0"/>
          <w:bCs/>
          <w:snapToGrid w:val="0"/>
          <w:color w:val="000000"/>
          <w:kern w:val="0"/>
          <w:sz w:val="28"/>
          <w:szCs w:val="21"/>
          <w:lang w:val="en-US" w:eastAsia="zh-CN" w:bidi="ar-SA"/>
        </w:rPr>
        <w:t>测温系统）、一体化电源（UPS/通信/逆变电源）</w:t>
      </w:r>
      <w:r>
        <w:rPr>
          <w:rFonts w:hint="eastAsia" w:ascii="宋体" w:cs="Times New Roman"/>
          <w:b w:val="0"/>
          <w:bCs/>
          <w:snapToGrid w:val="0"/>
          <w:color w:val="000000"/>
          <w:kern w:val="0"/>
          <w:sz w:val="28"/>
          <w:szCs w:val="21"/>
          <w:lang w:val="en-US" w:eastAsia="zh-CN" w:bidi="ar-SA"/>
        </w:rPr>
        <w:t>、全电压监测系统。</w:t>
      </w:r>
    </w:p>
    <w:p>
      <w:pPr>
        <w:pStyle w:val="2"/>
        <w:numPr>
          <w:ilvl w:val="0"/>
          <w:numId w:val="49"/>
        </w:numPr>
        <w:ind w:left="0" w:leftChars="0" w:firstLine="560" w:firstLineChars="200"/>
        <w:rPr>
          <w:rFonts w:hint="default"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变压器综合在线监测系统，</w:t>
      </w:r>
      <w:r>
        <w:rPr>
          <w:rFonts w:hint="default" w:ascii="宋体" w:cs="Times New Roman"/>
          <w:b w:val="0"/>
          <w:bCs/>
          <w:snapToGrid w:val="0"/>
          <w:color w:val="000000"/>
          <w:kern w:val="0"/>
          <w:sz w:val="28"/>
          <w:szCs w:val="21"/>
          <w:lang w:val="en-US" w:eastAsia="zh-CN" w:bidi="ar-SA"/>
        </w:rPr>
        <w:t>设置一套变压器综合在线监测系统，主要监测：油色谱在线监测、铁芯监测、局放在线监测、光纤测温</w:t>
      </w:r>
      <w:r>
        <w:rPr>
          <w:rFonts w:hint="eastAsia" w:ascii="宋体" w:cs="Times New Roman"/>
          <w:b w:val="0"/>
          <w:bCs/>
          <w:snapToGrid w:val="0"/>
          <w:color w:val="000000"/>
          <w:kern w:val="0"/>
          <w:sz w:val="28"/>
          <w:szCs w:val="21"/>
          <w:lang w:val="en-US" w:eastAsia="zh-CN" w:bidi="ar-SA"/>
        </w:rPr>
        <w:t>、</w:t>
      </w:r>
      <w:r>
        <w:rPr>
          <w:rFonts w:hint="default" w:ascii="宋体" w:hAnsi="Times New Roman" w:eastAsia="宋体" w:cs="Times New Roman"/>
          <w:b w:val="0"/>
          <w:bCs/>
          <w:snapToGrid w:val="0"/>
          <w:color w:val="000000"/>
          <w:kern w:val="0"/>
          <w:sz w:val="28"/>
          <w:szCs w:val="21"/>
          <w:lang w:val="en-US" w:eastAsia="zh-CN" w:bidi="ar-SA"/>
        </w:rPr>
        <w:t>铁心接地电流监测</w:t>
      </w:r>
      <w:r>
        <w:rPr>
          <w:rFonts w:hint="default" w:ascii="宋体" w:cs="Times New Roman"/>
          <w:b w:val="0"/>
          <w:bCs/>
          <w:snapToGrid w:val="0"/>
          <w:color w:val="000000"/>
          <w:kern w:val="0"/>
          <w:sz w:val="28"/>
          <w:szCs w:val="21"/>
          <w:lang w:val="en-US" w:eastAsia="zh-CN" w:bidi="ar-SA"/>
        </w:rPr>
        <w:t>，提供综合状态在线监测系统（后台控制系统）。</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1）应为每台变压器提供油色谱在线监测装置，用于变压器初始故障监视，应能连续测量氢气（H2）、一氧化碳（CO）、二氧化碳（CO2）、乙炔（C2H2）、乙烯（C2H4）、甲烷（CH4）、乙烷（C2H6）七种气体和微水含量，应能准确分析各气体组份的浓度、相对增长率以及绝对增长速度。</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（2）具有对被监设备油中溶解气体组分异常的报警功能。</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（3）在线监测系统运行期间，如果监测系统内主要部件或单元故障后，装置能够发出装置异常的报警信号。</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（4）监测装置应具备长期稳定工作能力，能够免标定、具备恒温及除湿等功能。</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（5）在线监测系统的输出数据具备就地读取和远传功能，既可以就地读取装置的数据，又可以在控制室内实现数据的远程集中管理。</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（6）局放在线监测系统主要测量放电信号的幅值、相位、放电次数等基本的局部放电表征参数及各种统计特征参数。</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（7）利用各种谱图分析,进行故障诊断。包括放电类型识别，分析和预测局部放电缺陷的严重程度和发展趋势，对异常信号进行实时报警，为绝缘状态诊断提供有效判据。</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（8）装置应具备现场校验测试接口，方便开展现场调试和检测。</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（9）局放监测应具备抗干扰能力。</w:t>
      </w:r>
    </w:p>
    <w:p>
      <w:pPr>
        <w:pStyle w:val="2"/>
        <w:numPr>
          <w:ilvl w:val="0"/>
          <w:numId w:val="0"/>
        </w:numPr>
        <w:ind w:firstLine="280" w:firstLineChars="10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（10）铁芯接地电流在线监测系统，报警功能：当设备检测到铁芯接地线中的电流大于100mA时，将输出报警节点，供综自使用。报警值可设：客户可以根据需要设置报警值，默认的报警值为100mA。</w:t>
      </w:r>
    </w:p>
    <w:p>
      <w:pPr>
        <w:pStyle w:val="2"/>
        <w:numPr>
          <w:ilvl w:val="0"/>
          <w:numId w:val="0"/>
        </w:numPr>
        <w:ind w:firstLine="280" w:firstLineChars="10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（11）变压器采用荧光光纤温控系统，实时监测变压器绕组、铁芯、油面温度。每台变压器测温点数8个，其中变压器每相高、低压侧各1个测点，铁芯1个测点 ，顶层油温1个测点。测温范围：-20~+150℃；测温精度：±1℃；带RS485通讯接口。</w:t>
      </w:r>
    </w:p>
    <w:p>
      <w:pPr>
        <w:pStyle w:val="2"/>
        <w:numPr>
          <w:ilvl w:val="0"/>
          <w:numId w:val="0"/>
        </w:numPr>
        <w:ind w:firstLine="280" w:firstLineChars="10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2、GIS监测：</w:t>
      </w:r>
    </w:p>
    <w:p>
      <w:pPr>
        <w:pStyle w:val="2"/>
        <w:numPr>
          <w:ilvl w:val="0"/>
          <w:numId w:val="0"/>
        </w:numPr>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配置系统：GIS综合故障预警系统，每个间隔配置2只特高频局放传感器，母线配置8只个特高频局放传感器，满足监测所有GIS设备要求。GIS综合故障预警系统包括GIS局部放电监测子系统、微水密度在线监测子系统、SF6气体泄漏监测子系统。对GIS运行状态进行在线监测并完成数据记录、绘制数据变化趋势图和定期保存相关数据的功能。</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（1）GIS局放在线监测子系统：</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110kV GIS配电装置配备一套GIS局放在线监测，用于监测如金属颗粒、悬浮电位、内部电晕、固体绝缘内部缺陷、固体绝缘表面脏污等典型缺陷产生的局部放电信号，局放设置监测点每个断路器室和母线气室设置，且采用内置式传感器。能够基于局部放电信号的幅值、发生频度、类型和发展趋势，对局部放电的严重程度作出判断</w:t>
      </w:r>
      <w:r>
        <w:rPr>
          <w:rFonts w:hint="eastAsia" w:ascii="宋体" w:cs="Times New Roman"/>
          <w:b w:val="0"/>
          <w:bCs/>
          <w:snapToGrid w:val="0"/>
          <w:color w:val="000000"/>
          <w:kern w:val="0"/>
          <w:sz w:val="28"/>
          <w:szCs w:val="21"/>
          <w:lang w:val="en-US" w:eastAsia="zh-CN" w:bidi="ar-SA"/>
        </w:rPr>
        <w:t>，每个间隔配置2只特高频局放传感器，母线配置8只个特高频局放传感器，满足监测所有GIS设备要求</w:t>
      </w:r>
      <w:r>
        <w:rPr>
          <w:rFonts w:hint="default" w:ascii="宋体" w:cs="Times New Roman"/>
          <w:b w:val="0"/>
          <w:bCs/>
          <w:snapToGrid w:val="0"/>
          <w:color w:val="000000"/>
          <w:kern w:val="0"/>
          <w:sz w:val="28"/>
          <w:szCs w:val="21"/>
          <w:lang w:val="en-US" w:eastAsia="zh-CN" w:bidi="ar-SA"/>
        </w:rPr>
        <w:t>。</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1）测量放电信号的幅值、相位、放电次数等基本的局部放电表征参数及各种统计特征参数；</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2）显示局部放电信号二维、三维谱图、幅值—时间关系、幅值—相位关系、放电次数—时间关系、放电次数—相位关系、有效能量幅度相关分析功能、工频周期放电谱图、放电发展趋势图；</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3）利用各种谱图分析,进行故障诊断。包括放电类型识别，分析和预测局部放电缺陷的严重程度和发展趋势，对异常信号进行实时报警，为绝缘状态诊断提供有效判据；</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4）提供放电发展趋势图、监测及报警结果历史查询、报表生成和报警设定等基本功能；</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5）装置应具备现场校验测试接口，方便用户开展现场调试和检测；</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6）检测系统应具备所有传感器的扩展接口，当检测到GIS内部存在局部放电信号时，可利用传感器和定位仪进行准确的定位。</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7）应具备放电类型识别功能，可准确判断GIS内部的悬浮电位体放电、电晕放电、绝缘缺陷放电等典型放电类型，并可用统计的方式明确给出各种放电类型所发生的概率，放电类型识别准确率不低于80%。</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8）局放监测应具备抗干扰能力。</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（2）微水密度在线监测系统</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在GIS配备一套SF6微水密度在线监测系统，可同时在线监测SF6气体的温度、密度、水份三种数据，每个气室配置1个监测点。通过监测主机（IED）将监测数据实时上传至GIS局放后台管理系统，当被测气体指标超标时，监测器将自动按事先设定的门限上传报警或闭锁信号至后台管理系统，或直接启动报警、闭锁装置。</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在每个气室安装一个SF6密度和微水传感器， SF6密度及微水在线监测控制屏布置在GIS控制室内。能够监测SF6系统中低湿度微水含量值，并且变送器本身自带漂移修正功能。</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（3）GIS气体泄漏在线监测系统</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可实时监测室内SF6气体浓度，当达到报警界线时，发出报警声，并可将数据传输到后台电脑上。</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 xml:space="preserve">1）SF6气体浓度检测范围 0～1500ppm </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2）SF6气体浓度检测准确度：5%</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3）含氧量浓度检测范围 0～25%；</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4）含氧量浓度检测精度 ≤2%</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5）温度检测范围：-30～70℃，检测精度±2℃</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6）湿度检测范围：0～99%RH</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7）人体红外传感器感应范围：半径3m</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8）提供传感器的试验报告。</w:t>
      </w:r>
    </w:p>
    <w:p>
      <w:pPr>
        <w:pStyle w:val="2"/>
        <w:numPr>
          <w:ilvl w:val="0"/>
          <w:numId w:val="0"/>
        </w:numPr>
        <w:ind w:firstLine="280" w:firstLineChars="100"/>
        <w:rPr>
          <w:rFonts w:hint="default" w:ascii="宋体" w:cs="Times New Roman"/>
          <w:b w:val="0"/>
          <w:bCs/>
          <w:snapToGrid w:val="0"/>
          <w:color w:val="000000"/>
          <w:kern w:val="0"/>
          <w:sz w:val="28"/>
          <w:szCs w:val="21"/>
          <w:lang w:val="en-US" w:eastAsia="zh-CN" w:bidi="ar-SA"/>
        </w:rPr>
      </w:pPr>
      <w:r>
        <w:rPr>
          <w:rFonts w:hint="default" w:ascii="宋体" w:cs="Times New Roman"/>
          <w:b w:val="0"/>
          <w:bCs/>
          <w:snapToGrid w:val="0"/>
          <w:color w:val="000000"/>
          <w:kern w:val="0"/>
          <w:sz w:val="28"/>
          <w:szCs w:val="21"/>
          <w:lang w:val="en-US" w:eastAsia="zh-CN" w:bidi="ar-SA"/>
        </w:rPr>
        <w:t>9）传感器须通过有资质的第三方检测机构检验合格，提供检验报告。</w:t>
      </w:r>
    </w:p>
    <w:p>
      <w:pPr>
        <w:spacing w:line="360" w:lineRule="auto"/>
        <w:outlineLvl w:val="9"/>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3、10kV开关柜综合在线监测系统</w:t>
      </w:r>
    </w:p>
    <w:p>
      <w:pPr>
        <w:pStyle w:val="2"/>
        <w:ind w:left="0" w:leftChars="0" w:firstLine="0" w:firstLineChars="0"/>
        <w:rPr>
          <w:rFonts w:hint="eastAsia" w:ascii="宋体" w:hAnsi="Times New Roman" w:eastAsia="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（1）</w:t>
      </w:r>
      <w:r>
        <w:rPr>
          <w:rFonts w:hint="eastAsia" w:ascii="宋体" w:hAnsi="Times New Roman" w:eastAsia="宋体" w:cs="Times New Roman"/>
          <w:b w:val="0"/>
          <w:bCs/>
          <w:snapToGrid w:val="0"/>
          <w:color w:val="000000"/>
          <w:kern w:val="0"/>
          <w:sz w:val="28"/>
          <w:szCs w:val="21"/>
          <w:lang w:val="en-US" w:eastAsia="zh-CN" w:bidi="ar-SA"/>
        </w:rPr>
        <w:t>局放在线监测系统</w:t>
      </w:r>
    </w:p>
    <w:p>
      <w:pPr>
        <w:pStyle w:val="2"/>
        <w:ind w:left="0" w:leftChars="0" w:firstLine="0" w:firstLineChars="0"/>
        <w:rPr>
          <w:rFonts w:hint="eastAsia" w:ascii="宋体" w:hAnsi="Times New Roman" w:eastAsia="宋体" w:cs="Times New Roman"/>
          <w:b w:val="0"/>
          <w:bCs/>
          <w:snapToGrid w:val="0"/>
          <w:color w:val="000000"/>
          <w:kern w:val="0"/>
          <w:sz w:val="28"/>
          <w:szCs w:val="21"/>
          <w:lang w:val="en-US" w:eastAsia="zh-CN" w:bidi="ar-SA"/>
        </w:rPr>
      </w:pPr>
      <w:r>
        <w:rPr>
          <w:rFonts w:hint="eastAsia" w:ascii="宋体" w:hAnsi="Times New Roman" w:eastAsia="宋体" w:cs="Times New Roman"/>
          <w:b w:val="0"/>
          <w:bCs/>
          <w:snapToGrid w:val="0"/>
          <w:color w:val="000000"/>
          <w:kern w:val="0"/>
          <w:sz w:val="28"/>
          <w:szCs w:val="21"/>
          <w:lang w:val="en-US" w:eastAsia="zh-CN" w:bidi="ar-SA"/>
        </w:rPr>
        <w:t>1）测量放电信号的幅值、相位、放电次数等基本的局部放电表征参数及各种统计特征参数；</w:t>
      </w:r>
    </w:p>
    <w:p>
      <w:pPr>
        <w:pStyle w:val="2"/>
        <w:ind w:left="0" w:leftChars="0" w:firstLine="0" w:firstLineChars="0"/>
        <w:rPr>
          <w:rFonts w:hint="eastAsia" w:ascii="宋体" w:hAnsi="Times New Roman" w:eastAsia="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2</w:t>
      </w:r>
      <w:r>
        <w:rPr>
          <w:rFonts w:hint="eastAsia" w:ascii="宋体" w:hAnsi="Times New Roman" w:eastAsia="宋体" w:cs="Times New Roman"/>
          <w:b w:val="0"/>
          <w:bCs/>
          <w:snapToGrid w:val="0"/>
          <w:color w:val="000000"/>
          <w:kern w:val="0"/>
          <w:sz w:val="28"/>
          <w:szCs w:val="21"/>
          <w:lang w:val="en-US" w:eastAsia="zh-CN" w:bidi="ar-SA"/>
        </w:rPr>
        <w:t>）显示局部放电信号二维、三维谱图、幅值—时间关系、幅值—相位关系、放电次数—时间关系、放电次数—相位关系、有效能量幅度相关分析功能、工频周期放电谱图、放电发展趋势图；</w:t>
      </w:r>
    </w:p>
    <w:p>
      <w:pPr>
        <w:pStyle w:val="2"/>
        <w:ind w:left="0" w:leftChars="0" w:firstLine="0" w:firstLineChars="0"/>
        <w:rPr>
          <w:rFonts w:hint="eastAsia" w:ascii="宋体" w:hAnsi="Times New Roman" w:eastAsia="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3</w:t>
      </w:r>
      <w:r>
        <w:rPr>
          <w:rFonts w:hint="eastAsia" w:ascii="宋体" w:hAnsi="Times New Roman" w:eastAsia="宋体" w:cs="Times New Roman"/>
          <w:b w:val="0"/>
          <w:bCs/>
          <w:snapToGrid w:val="0"/>
          <w:color w:val="000000"/>
          <w:kern w:val="0"/>
          <w:sz w:val="28"/>
          <w:szCs w:val="21"/>
          <w:lang w:val="en-US" w:eastAsia="zh-CN" w:bidi="ar-SA"/>
        </w:rPr>
        <w:t>）利用各种谱图分析,进行故障诊断。包括放电类型识别，分析和预测局部放电缺陷的严重程度和发展趋势，对异常信号进行实时报警，为绝缘状态诊断提供有效判据；</w:t>
      </w:r>
    </w:p>
    <w:p>
      <w:pPr>
        <w:pStyle w:val="2"/>
        <w:ind w:left="0" w:leftChars="0" w:firstLine="0" w:firstLineChars="0"/>
        <w:rPr>
          <w:rFonts w:hint="eastAsia" w:ascii="宋体" w:hAnsi="Times New Roman" w:eastAsia="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4</w:t>
      </w:r>
      <w:r>
        <w:rPr>
          <w:rFonts w:hint="eastAsia" w:ascii="宋体" w:hAnsi="Times New Roman" w:eastAsia="宋体" w:cs="Times New Roman"/>
          <w:b w:val="0"/>
          <w:bCs/>
          <w:snapToGrid w:val="0"/>
          <w:color w:val="000000"/>
          <w:kern w:val="0"/>
          <w:sz w:val="28"/>
          <w:szCs w:val="21"/>
          <w:lang w:val="en-US" w:eastAsia="zh-CN" w:bidi="ar-SA"/>
        </w:rPr>
        <w:t>）提供放电发展趋势图、监测及报警结果历史查询、报表生成和报警设定等基本功能；</w:t>
      </w:r>
    </w:p>
    <w:p>
      <w:pPr>
        <w:pStyle w:val="2"/>
        <w:ind w:left="0" w:leftChars="0" w:firstLine="0" w:firstLineChars="0"/>
        <w:rPr>
          <w:rFonts w:hint="eastAsia" w:ascii="宋体" w:hAnsi="Times New Roman" w:eastAsia="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5</w:t>
      </w:r>
      <w:r>
        <w:rPr>
          <w:rFonts w:hint="eastAsia" w:ascii="宋体" w:hAnsi="Times New Roman" w:eastAsia="宋体" w:cs="Times New Roman"/>
          <w:b w:val="0"/>
          <w:bCs/>
          <w:snapToGrid w:val="0"/>
          <w:color w:val="000000"/>
          <w:kern w:val="0"/>
          <w:sz w:val="28"/>
          <w:szCs w:val="21"/>
          <w:lang w:val="en-US" w:eastAsia="zh-CN" w:bidi="ar-SA"/>
        </w:rPr>
        <w:t>）装置应具备现场校验测试接口，方便用户开展现场调试和检测；</w:t>
      </w:r>
    </w:p>
    <w:p>
      <w:pPr>
        <w:pStyle w:val="2"/>
        <w:ind w:left="0" w:leftChars="0" w:firstLine="0" w:firstLineChars="0"/>
        <w:rPr>
          <w:rFonts w:hint="eastAsia" w:ascii="宋体" w:hAnsi="Times New Roman" w:eastAsia="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6</w:t>
      </w:r>
      <w:r>
        <w:rPr>
          <w:rFonts w:hint="eastAsia" w:ascii="宋体" w:hAnsi="Times New Roman" w:eastAsia="宋体" w:cs="Times New Roman"/>
          <w:b w:val="0"/>
          <w:bCs/>
          <w:snapToGrid w:val="0"/>
          <w:color w:val="000000"/>
          <w:kern w:val="0"/>
          <w:sz w:val="28"/>
          <w:szCs w:val="21"/>
          <w:lang w:val="en-US" w:eastAsia="zh-CN" w:bidi="ar-SA"/>
        </w:rPr>
        <w:t>）谐振频率45Mhz，检测频带3-100Mhz，检测频带宽，采样精度高，可有效捕捉TEV信号的时域特征；</w:t>
      </w:r>
    </w:p>
    <w:p>
      <w:pPr>
        <w:pStyle w:val="2"/>
        <w:ind w:left="0" w:leftChars="0" w:firstLine="0" w:firstLineChars="0"/>
        <w:rPr>
          <w:rFonts w:hint="eastAsia" w:ascii="宋体" w:hAnsi="Times New Roman" w:eastAsia="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7</w:t>
      </w:r>
      <w:r>
        <w:rPr>
          <w:rFonts w:hint="eastAsia" w:ascii="宋体" w:hAnsi="Times New Roman" w:eastAsia="宋体" w:cs="Times New Roman"/>
          <w:b w:val="0"/>
          <w:bCs/>
          <w:snapToGrid w:val="0"/>
          <w:color w:val="000000"/>
          <w:kern w:val="0"/>
          <w:sz w:val="28"/>
          <w:szCs w:val="21"/>
          <w:lang w:val="en-US" w:eastAsia="zh-CN" w:bidi="ar-SA"/>
        </w:rPr>
        <w:t>）采用磁吸式地电波传感器固定器，便于安装、故障定位。</w:t>
      </w:r>
    </w:p>
    <w:p>
      <w:pPr>
        <w:pStyle w:val="2"/>
        <w:ind w:left="0" w:leftChars="0" w:firstLine="0" w:firstLineChars="0"/>
        <w:rPr>
          <w:rFonts w:hint="eastAsia" w:ascii="宋体" w:hAnsi="Times New Roman" w:eastAsia="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（2）</w:t>
      </w:r>
      <w:r>
        <w:rPr>
          <w:rFonts w:hint="eastAsia" w:ascii="宋体" w:hAnsi="Times New Roman" w:eastAsia="宋体" w:cs="Times New Roman"/>
          <w:b w:val="0"/>
          <w:bCs/>
          <w:snapToGrid w:val="0"/>
          <w:color w:val="000000"/>
          <w:kern w:val="0"/>
          <w:sz w:val="28"/>
          <w:szCs w:val="21"/>
          <w:lang w:val="en-US" w:eastAsia="zh-CN" w:bidi="ar-SA"/>
        </w:rPr>
        <w:t>温度在线监测系统</w:t>
      </w:r>
    </w:p>
    <w:p>
      <w:pPr>
        <w:pStyle w:val="2"/>
        <w:ind w:left="0" w:leftChars="0" w:firstLine="0" w:firstLineChars="0"/>
        <w:rPr>
          <w:rFonts w:hint="eastAsia" w:ascii="宋体" w:hAnsi="Times New Roman" w:eastAsia="宋体" w:cs="Times New Roman"/>
          <w:b w:val="0"/>
          <w:bCs/>
          <w:snapToGrid w:val="0"/>
          <w:color w:val="000000"/>
          <w:kern w:val="0"/>
          <w:sz w:val="28"/>
          <w:szCs w:val="21"/>
          <w:lang w:val="en-US" w:eastAsia="zh-CN" w:bidi="ar-SA"/>
        </w:rPr>
      </w:pPr>
      <w:r>
        <w:rPr>
          <w:rFonts w:hint="eastAsia" w:ascii="宋体" w:hAnsi="Times New Roman" w:eastAsia="宋体" w:cs="Times New Roman"/>
          <w:b w:val="0"/>
          <w:bCs/>
          <w:snapToGrid w:val="0"/>
          <w:color w:val="000000"/>
          <w:kern w:val="0"/>
          <w:sz w:val="28"/>
          <w:szCs w:val="21"/>
          <w:lang w:val="en-US" w:eastAsia="zh-CN" w:bidi="ar-SA"/>
        </w:rPr>
        <w:t>开关柜内装设荧光光纤温控系统，对高压开关柜触头温度、母线排接头温度（共9点）进行实时在线监测和故障报警，通过RS485口传至监控后台，并能实现远程监控。</w:t>
      </w:r>
    </w:p>
    <w:p>
      <w:pPr>
        <w:pStyle w:val="2"/>
        <w:ind w:left="0" w:leftChars="0" w:firstLine="0" w:firstLineChars="0"/>
        <w:rPr>
          <w:rFonts w:hint="eastAsia" w:ascii="宋体" w:hAnsi="Times New Roman" w:eastAsia="宋体" w:cs="Times New Roman"/>
          <w:b w:val="0"/>
          <w:bCs/>
          <w:snapToGrid w:val="0"/>
          <w:color w:val="000000"/>
          <w:kern w:val="0"/>
          <w:sz w:val="28"/>
          <w:szCs w:val="21"/>
          <w:lang w:val="en-US" w:eastAsia="zh-CN" w:bidi="ar-SA"/>
        </w:rPr>
      </w:pPr>
      <w:r>
        <w:rPr>
          <w:rFonts w:hint="eastAsia" w:ascii="宋体" w:hAnsi="Times New Roman" w:eastAsia="宋体" w:cs="Times New Roman"/>
          <w:b w:val="0"/>
          <w:bCs/>
          <w:snapToGrid w:val="0"/>
          <w:color w:val="000000"/>
          <w:kern w:val="0"/>
          <w:sz w:val="28"/>
          <w:szCs w:val="21"/>
          <w:lang w:val="en-US" w:eastAsia="zh-CN" w:bidi="ar-SA"/>
        </w:rPr>
        <w:t>荧光光纤测温系统应包括以下几个组成部分：</w:t>
      </w:r>
    </w:p>
    <w:p>
      <w:pPr>
        <w:pStyle w:val="2"/>
        <w:ind w:left="0" w:leftChars="0" w:firstLine="0" w:firstLineChars="0"/>
        <w:rPr>
          <w:rFonts w:hint="eastAsia" w:ascii="宋体" w:hAnsi="Times New Roman" w:eastAsia="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1）</w:t>
      </w:r>
      <w:r>
        <w:rPr>
          <w:rFonts w:hint="eastAsia" w:ascii="宋体" w:hAnsi="Times New Roman" w:eastAsia="宋体" w:cs="Times New Roman"/>
          <w:b w:val="0"/>
          <w:bCs/>
          <w:snapToGrid w:val="0"/>
          <w:color w:val="000000"/>
          <w:kern w:val="0"/>
          <w:sz w:val="28"/>
          <w:szCs w:val="21"/>
          <w:lang w:val="en-US" w:eastAsia="zh-CN" w:bidi="ar-SA"/>
        </w:rPr>
        <w:t>荧光光纤解调仪；</w:t>
      </w:r>
    </w:p>
    <w:p>
      <w:pPr>
        <w:pStyle w:val="2"/>
        <w:ind w:left="0" w:leftChars="0" w:firstLine="0" w:firstLineChars="0"/>
        <w:rPr>
          <w:rFonts w:hint="eastAsia" w:ascii="宋体" w:hAnsi="Times New Roman" w:eastAsia="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2）</w:t>
      </w:r>
      <w:r>
        <w:rPr>
          <w:rFonts w:hint="eastAsia" w:ascii="宋体" w:hAnsi="Times New Roman" w:eastAsia="宋体" w:cs="Times New Roman"/>
          <w:b w:val="0"/>
          <w:bCs/>
          <w:snapToGrid w:val="0"/>
          <w:color w:val="000000"/>
          <w:kern w:val="0"/>
          <w:sz w:val="28"/>
          <w:szCs w:val="21"/>
          <w:lang w:val="en-US" w:eastAsia="zh-CN" w:bidi="ar-SA"/>
        </w:rPr>
        <w:t>荧光光纤传感器；</w:t>
      </w:r>
    </w:p>
    <w:p>
      <w:pPr>
        <w:pStyle w:val="2"/>
        <w:ind w:left="0" w:leftChars="0" w:firstLine="0" w:firstLineChars="0"/>
        <w:rPr>
          <w:rFonts w:hint="eastAsia" w:ascii="宋体" w:hAnsi="Times New Roman" w:eastAsia="宋体" w:cs="Times New Roman"/>
          <w:b w:val="0"/>
          <w:bCs/>
          <w:snapToGrid w:val="0"/>
          <w:color w:val="000000"/>
          <w:kern w:val="0"/>
          <w:sz w:val="28"/>
          <w:szCs w:val="21"/>
          <w:lang w:val="en-US" w:eastAsia="zh-CN" w:bidi="ar-SA"/>
        </w:rPr>
      </w:pPr>
      <w:r>
        <w:rPr>
          <w:rFonts w:hint="eastAsia" w:ascii="宋体" w:hAnsi="Times New Roman" w:eastAsia="宋体" w:cs="Times New Roman"/>
          <w:b w:val="0"/>
          <w:bCs/>
          <w:snapToGrid w:val="0"/>
          <w:color w:val="000000"/>
          <w:kern w:val="0"/>
          <w:sz w:val="28"/>
          <w:szCs w:val="21"/>
          <w:lang w:val="en-US" w:eastAsia="zh-CN" w:bidi="ar-SA"/>
        </w:rPr>
        <w:t>荧光光纤测温系统应满足如下技术要求：</w:t>
      </w:r>
    </w:p>
    <w:p>
      <w:pPr>
        <w:pStyle w:val="2"/>
        <w:ind w:left="0" w:leftChars="0" w:firstLine="0" w:firstLineChars="0"/>
        <w:rPr>
          <w:rFonts w:hint="eastAsia" w:ascii="宋体" w:hAnsi="Times New Roman" w:eastAsia="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1）</w:t>
      </w:r>
      <w:r>
        <w:rPr>
          <w:rFonts w:hint="eastAsia" w:ascii="宋体" w:hAnsi="Times New Roman" w:eastAsia="宋体" w:cs="Times New Roman"/>
          <w:b w:val="0"/>
          <w:bCs/>
          <w:snapToGrid w:val="0"/>
          <w:color w:val="000000"/>
          <w:kern w:val="0"/>
          <w:sz w:val="28"/>
          <w:szCs w:val="21"/>
          <w:lang w:val="en-US" w:eastAsia="zh-CN" w:bidi="ar-SA"/>
        </w:rPr>
        <w:t>测温范围：-20~+150℃；</w:t>
      </w:r>
    </w:p>
    <w:p>
      <w:pPr>
        <w:pStyle w:val="2"/>
        <w:ind w:left="0" w:leftChars="0" w:firstLine="0" w:firstLineChars="0"/>
        <w:rPr>
          <w:rFonts w:hint="eastAsia" w:ascii="宋体" w:hAnsi="Times New Roman" w:eastAsia="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2）</w:t>
      </w:r>
      <w:r>
        <w:rPr>
          <w:rFonts w:hint="eastAsia" w:ascii="宋体" w:hAnsi="Times New Roman" w:eastAsia="宋体" w:cs="Times New Roman"/>
          <w:b w:val="0"/>
          <w:bCs/>
          <w:snapToGrid w:val="0"/>
          <w:color w:val="000000"/>
          <w:kern w:val="0"/>
          <w:sz w:val="28"/>
          <w:szCs w:val="21"/>
          <w:lang w:val="en-US" w:eastAsia="zh-CN" w:bidi="ar-SA"/>
        </w:rPr>
        <w:t>测温精度：±1℃；</w:t>
      </w:r>
    </w:p>
    <w:p>
      <w:pPr>
        <w:pStyle w:val="2"/>
        <w:ind w:left="0" w:leftChars="0" w:firstLine="0" w:firstLineChars="0"/>
        <w:rPr>
          <w:rFonts w:hint="eastAsia" w:ascii="宋体" w:hAnsi="Times New Roman" w:eastAsia="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3）</w:t>
      </w:r>
      <w:r>
        <w:rPr>
          <w:rFonts w:hint="eastAsia" w:ascii="宋体" w:hAnsi="Times New Roman" w:eastAsia="宋体" w:cs="Times New Roman"/>
          <w:b w:val="0"/>
          <w:bCs/>
          <w:snapToGrid w:val="0"/>
          <w:color w:val="000000"/>
          <w:kern w:val="0"/>
          <w:sz w:val="28"/>
          <w:szCs w:val="21"/>
          <w:lang w:val="en-US" w:eastAsia="zh-CN" w:bidi="ar-SA"/>
        </w:rPr>
        <w:t>带RS485通讯接口；</w:t>
      </w:r>
    </w:p>
    <w:p>
      <w:pPr>
        <w:pStyle w:val="2"/>
        <w:ind w:left="0" w:leftChars="0" w:firstLine="0" w:firstLineChars="0"/>
        <w:rPr>
          <w:rFonts w:hint="eastAsia" w:ascii="宋体" w:hAnsi="Times New Roman" w:eastAsia="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4）</w:t>
      </w:r>
      <w:r>
        <w:rPr>
          <w:rFonts w:hint="eastAsia" w:ascii="宋体" w:hAnsi="Times New Roman" w:eastAsia="宋体" w:cs="Times New Roman"/>
          <w:b w:val="0"/>
          <w:bCs/>
          <w:snapToGrid w:val="0"/>
          <w:color w:val="000000"/>
          <w:kern w:val="0"/>
          <w:sz w:val="28"/>
          <w:szCs w:val="21"/>
          <w:lang w:val="en-US" w:eastAsia="zh-CN" w:bidi="ar-SA"/>
        </w:rPr>
        <w:t>接触式测量方式，为了满足绝缘要求，探头直径不大于3mm；</w:t>
      </w:r>
    </w:p>
    <w:p>
      <w:pPr>
        <w:pStyle w:val="2"/>
        <w:ind w:left="0" w:leftChars="0" w:firstLine="0" w:firstLineChars="0"/>
        <w:rPr>
          <w:rFonts w:hint="eastAsia" w:ascii="宋体" w:hAnsi="Times New Roman" w:eastAsia="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5）</w:t>
      </w:r>
      <w:r>
        <w:rPr>
          <w:rFonts w:hint="eastAsia" w:ascii="宋体" w:hAnsi="Times New Roman" w:eastAsia="宋体" w:cs="Times New Roman"/>
          <w:b w:val="0"/>
          <w:bCs/>
          <w:snapToGrid w:val="0"/>
          <w:color w:val="000000"/>
          <w:kern w:val="0"/>
          <w:sz w:val="28"/>
          <w:szCs w:val="21"/>
          <w:lang w:val="en-US" w:eastAsia="zh-CN" w:bidi="ar-SA"/>
        </w:rPr>
        <w:t>探头寿命不小于30年。</w:t>
      </w:r>
    </w:p>
    <w:p>
      <w:pPr>
        <w:pStyle w:val="2"/>
        <w:ind w:left="0" w:leftChars="0" w:firstLine="0" w:firstLineChars="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（3）电弧光保护系统</w:t>
      </w:r>
    </w:p>
    <w:p>
      <w:pPr>
        <w:pStyle w:val="2"/>
        <w:ind w:left="0" w:leftChars="0" w:firstLine="0" w:firstLineChars="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1）安装位置</w:t>
      </w:r>
    </w:p>
    <w:p>
      <w:pPr>
        <w:pStyle w:val="2"/>
        <w:ind w:left="0" w:leftChars="0" w:firstLine="0" w:firstLineChars="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电弧光保护系统完成在电弧光故障下对母线、断路器、电缆头的快速保护。在各回路的母线室、断路器室、电缆室配置弧光点传感器。母线室和断路器室发生弧光故障时，应快速断开本段母线的进线和母联断路器，电缆头室发生弧光故障时，快速断开出线回路断路器，抑制故障扩大，减少停电范围。</w:t>
      </w:r>
    </w:p>
    <w:p>
      <w:pPr>
        <w:pStyle w:val="2"/>
        <w:ind w:left="0" w:leftChars="0" w:firstLine="0" w:firstLineChars="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2）保护动作条件</w:t>
      </w:r>
    </w:p>
    <w:p>
      <w:pPr>
        <w:pStyle w:val="2"/>
        <w:ind w:left="0" w:leftChars="0" w:firstLine="0" w:firstLineChars="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母线和断路器电弧光保护动作判据为故障时产生的两个条件：</w:t>
      </w:r>
    </w:p>
    <w:p>
      <w:pPr>
        <w:pStyle w:val="2"/>
        <w:ind w:left="0" w:leftChars="0" w:firstLine="0" w:firstLineChars="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a弧光和过电流用于判定母线短路故障，当同时检测到弧光和电流增量时发出跳闸指令信号；当只检测到弧光或者电流增量时发出报警信号，不发跳闸指令；</w:t>
      </w:r>
    </w:p>
    <w:p>
      <w:pPr>
        <w:pStyle w:val="2"/>
        <w:ind w:left="0" w:leftChars="0" w:firstLine="0" w:firstLineChars="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b弧光和零序电压用于单相接地（小电流接地）故障在开关柜内部（母线室、断路器室及电缆头室）的精确定位，当同时检测到弧光和零序电压越限时发出报警指令信号，同时将准确定位信息保存并上传后台系统。</w:t>
      </w:r>
    </w:p>
    <w:p>
      <w:pPr>
        <w:pStyle w:val="2"/>
        <w:numPr>
          <w:ilvl w:val="0"/>
          <w:numId w:val="50"/>
        </w:numPr>
        <w:ind w:left="0" w:leftChars="0" w:firstLine="0" w:firstLineChars="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设备配置及技术要求</w:t>
      </w:r>
    </w:p>
    <w:p>
      <w:pPr>
        <w:pStyle w:val="2"/>
        <w:numPr>
          <w:ilvl w:val="0"/>
          <w:numId w:val="0"/>
        </w:numPr>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主控单元用于管理、控制整套电弧光保护系统，检测故障电流和弧光信号，并对收到的两种信号进行处理、判断，在满足跳闸条件时，发出跳闸指令以切除故障。主控单元根据弧光传感器输送的信号，应能准确判断故障点位置。主控单元应可根据不同接线和运行方式选择跳闸逻辑。主控单元安装于各进线柜。</w:t>
      </w:r>
    </w:p>
    <w:p>
      <w:pPr>
        <w:pStyle w:val="2"/>
        <w:numPr>
          <w:ilvl w:val="0"/>
          <w:numId w:val="51"/>
        </w:numPr>
        <w:ind w:left="0" w:leftChars="0" w:firstLine="0" w:firstLineChars="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真空度在线监测系统</w:t>
      </w:r>
    </w:p>
    <w:p>
      <w:pPr>
        <w:pStyle w:val="2"/>
        <w:numPr>
          <w:ilvl w:val="0"/>
          <w:numId w:val="0"/>
        </w:numPr>
        <w:tabs>
          <w:tab w:val="left" w:pos="0"/>
        </w:tabs>
        <w:ind w:leftChars="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断路器真空度在线监测装置能够24小时在线监测，采用非接触式微波传感技术，使用无源传感技术检测微波信号，捕捉真空断路器运行状态下真空度异常时的特殊反馈信号，无须停电维护，真正意义上实现VCB在线监测功能。并通过硬件和软件的有效配合，避开磁场、电场、电弧等各种干扰信号，做到事故预警，解决真空泄露导致的开关爆炸问题。</w:t>
      </w:r>
    </w:p>
    <w:p>
      <w:pPr>
        <w:pStyle w:val="2"/>
        <w:numPr>
          <w:ilvl w:val="0"/>
          <w:numId w:val="0"/>
        </w:numPr>
        <w:tabs>
          <w:tab w:val="left" w:pos="0"/>
        </w:tabs>
        <w:ind w:leftChars="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（5）除潮器</w:t>
      </w:r>
    </w:p>
    <w:p>
      <w:pPr>
        <w:pStyle w:val="2"/>
        <w:numPr>
          <w:ilvl w:val="0"/>
          <w:numId w:val="0"/>
        </w:numPr>
        <w:tabs>
          <w:tab w:val="left" w:pos="0"/>
        </w:tabs>
        <w:ind w:leftChars="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内置温湿度传感器，采用冷凝原理，将开关柜内的潮湿气体冷凝后，通过排水管道排出开关柜，使开关柜内部保持干燥，确保电气设备的正常安全运行，每面开关柜在电缆室内安装一台。</w:t>
      </w:r>
    </w:p>
    <w:p>
      <w:pPr>
        <w:pStyle w:val="2"/>
        <w:numPr>
          <w:ilvl w:val="0"/>
          <w:numId w:val="0"/>
        </w:numPr>
        <w:ind w:leftChars="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（6）PT柜及全电压监测柜要求：</w:t>
      </w:r>
    </w:p>
    <w:p>
      <w:pPr>
        <w:pStyle w:val="2"/>
        <w:numPr>
          <w:ilvl w:val="0"/>
          <w:numId w:val="0"/>
        </w:numPr>
        <w:ind w:leftChars="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设置PT柜及全电压监测柜，具体技术要求如下：</w:t>
      </w:r>
    </w:p>
    <w:p>
      <w:pPr>
        <w:pStyle w:val="2"/>
        <w:numPr>
          <w:ilvl w:val="0"/>
          <w:numId w:val="0"/>
        </w:numPr>
        <w:ind w:leftChars="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1)过电压保护装置正常运行时，柜内微机控制器实时不间断检测PT提供的电压信号，一旦系统发生PT断线、过电压、低电压、失压、谐振，微机控制器可根据PT提供的电压信号，对波形的实时采集，准确地判析系统的故障情况，并显示出故障类别，输出相应的开关量接点信号，用于报警。</w:t>
      </w:r>
    </w:p>
    <w:p>
      <w:pPr>
        <w:pStyle w:val="2"/>
        <w:numPr>
          <w:ilvl w:val="0"/>
          <w:numId w:val="0"/>
        </w:numPr>
        <w:ind w:leftChars="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2)过电压保护装置具有消谐功能，当系统出现铁磁谐振时，装置控制器根据谐振的不同频率实现快速动作消谐，并输出相应的开关量接点，用于报警。</w:t>
      </w:r>
    </w:p>
    <w:p>
      <w:pPr>
        <w:pStyle w:val="2"/>
        <w:numPr>
          <w:ilvl w:val="0"/>
          <w:numId w:val="0"/>
        </w:numPr>
        <w:ind w:leftChars="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3)过电压保护装置中的电压互感器具有抗饱和功能，有效抑制系统过电压对电压互感器损坏。</w:t>
      </w:r>
    </w:p>
    <w:p>
      <w:pPr>
        <w:pStyle w:val="2"/>
        <w:numPr>
          <w:ilvl w:val="0"/>
          <w:numId w:val="0"/>
        </w:numPr>
        <w:ind w:leftChars="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4)过电压保护装置应能存储32个动作、32个事件，并不因掉电或复位而丢失；装置满足无人值班变电所要求。</w:t>
      </w:r>
    </w:p>
    <w:p>
      <w:pPr>
        <w:pStyle w:val="2"/>
        <w:numPr>
          <w:ilvl w:val="0"/>
          <w:numId w:val="0"/>
        </w:numPr>
        <w:ind w:leftChars="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5)过电压保护装置的电压互感器采用在高压侧中性点串联单相PT作为消谐，三台单相电压互感器为全绝缘型，熔断器额定电流为0.5A；零序电压互感器为抗谐振阻振荡电压互感器；</w:t>
      </w:r>
    </w:p>
    <w:p>
      <w:pPr>
        <w:pStyle w:val="2"/>
        <w:numPr>
          <w:ilvl w:val="0"/>
          <w:numId w:val="0"/>
        </w:numPr>
        <w:ind w:leftChars="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6)过电压保护装置为固定式开关柜，宽度1000mm，要求安装户内母线桥。该装置应包括但不限于高压隔离开关、控制器、熔断器、电压互感器（4 PT配置，要求采用全绝缘型）、低残压吸收器等。</w:t>
      </w:r>
    </w:p>
    <w:p>
      <w:pPr>
        <w:pStyle w:val="2"/>
        <w:numPr>
          <w:ilvl w:val="0"/>
          <w:numId w:val="0"/>
        </w:numPr>
        <w:ind w:leftChars="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7)全电压监测装置要求能实时监测电力系统电压信号，同步输出并显示电力系统电压波形，在系统电压故障时启动故障录波功能，记录故障波形，包括操作和雷电过电压波形，并发出报警；</w:t>
      </w:r>
    </w:p>
    <w:p>
      <w:pPr>
        <w:pStyle w:val="2"/>
        <w:numPr>
          <w:ilvl w:val="0"/>
          <w:numId w:val="0"/>
        </w:numPr>
        <w:ind w:leftChars="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8)全电压监测装置应具有以太网、RS-485对外通讯接口，协议须通过国家级通信及规约检验，确保装置与整个监控系统兼容；</w:t>
      </w:r>
    </w:p>
    <w:p>
      <w:pPr>
        <w:pStyle w:val="2"/>
        <w:numPr>
          <w:ilvl w:val="0"/>
          <w:numId w:val="0"/>
        </w:numPr>
        <w:ind w:leftChars="0"/>
        <w:rPr>
          <w:rFonts w:hint="eastAsia" w:ascii="宋体" w:cs="Times New Roman"/>
          <w:b w:val="0"/>
          <w:bCs/>
          <w:snapToGrid w:val="0"/>
          <w:color w:val="000000"/>
          <w:kern w:val="0"/>
          <w:sz w:val="28"/>
          <w:szCs w:val="21"/>
          <w:lang w:val="en-US" w:eastAsia="zh-CN" w:bidi="ar-SA"/>
        </w:rPr>
      </w:pPr>
      <w:r>
        <w:rPr>
          <w:rFonts w:hint="eastAsia" w:ascii="宋体" w:cs="Times New Roman"/>
          <w:b w:val="0"/>
          <w:bCs/>
          <w:snapToGrid w:val="0"/>
          <w:color w:val="000000"/>
          <w:kern w:val="0"/>
          <w:sz w:val="28"/>
          <w:szCs w:val="21"/>
          <w:lang w:val="en-US" w:eastAsia="zh-CN" w:bidi="ar-SA"/>
        </w:rPr>
        <w:t>9)全电压监测装置应满足无人值班变电所要求，且控制器本身应有电源监视等自身监控系统。</w:t>
      </w:r>
    </w:p>
    <w:p>
      <w:pPr>
        <w:pStyle w:val="2"/>
        <w:ind w:left="0" w:leftChars="0" w:firstLine="0" w:firstLineChars="0"/>
        <w:rPr>
          <w:rFonts w:hint="default" w:ascii="宋体" w:hAnsi="Times New Roman" w:eastAsia="宋体" w:cs="Times New Roman"/>
          <w:b/>
          <w:snapToGrid w:val="0"/>
          <w:color w:val="000000"/>
          <w:kern w:val="0"/>
          <w:sz w:val="28"/>
          <w:szCs w:val="21"/>
          <w:lang w:val="en-US" w:eastAsia="zh-CN" w:bidi="ar-SA"/>
        </w:rPr>
      </w:pPr>
    </w:p>
    <w:p>
      <w:pPr>
        <w:spacing w:line="360" w:lineRule="auto"/>
        <w:outlineLvl w:val="9"/>
        <w:rPr>
          <w:rFonts w:hint="eastAsia" w:ascii="宋体" w:cs="Times New Roman"/>
          <w:b/>
          <w:snapToGrid w:val="0"/>
          <w:color w:val="000000"/>
          <w:kern w:val="0"/>
          <w:sz w:val="28"/>
          <w:szCs w:val="21"/>
          <w:lang w:val="en-US" w:eastAsia="zh-CN" w:bidi="ar-SA"/>
        </w:rPr>
      </w:pPr>
    </w:p>
    <w:p>
      <w:pPr>
        <w:spacing w:line="360" w:lineRule="auto"/>
        <w:outlineLvl w:val="1"/>
        <w:rPr>
          <w:rFonts w:hint="eastAsia" w:ascii="宋体" w:cs="Times New Roman"/>
          <w:b/>
          <w:snapToGrid w:val="0"/>
          <w:color w:val="000000"/>
          <w:kern w:val="0"/>
          <w:sz w:val="28"/>
          <w:szCs w:val="21"/>
          <w:lang w:val="en-US" w:eastAsia="zh-CN" w:bidi="ar-SA"/>
        </w:rPr>
      </w:pPr>
      <w:bookmarkStart w:id="189" w:name="_Toc10388"/>
      <w:r>
        <w:rPr>
          <w:rFonts w:hint="eastAsia" w:ascii="宋体" w:cs="Times New Roman"/>
          <w:b/>
          <w:snapToGrid w:val="0"/>
          <w:color w:val="000000"/>
          <w:kern w:val="0"/>
          <w:sz w:val="28"/>
          <w:szCs w:val="21"/>
          <w:lang w:val="en-US" w:eastAsia="zh-CN" w:bidi="ar-SA"/>
        </w:rPr>
        <w:t>2.6线缆、屏体要求</w:t>
      </w:r>
      <w:bookmarkEnd w:id="189"/>
    </w:p>
    <w:p>
      <w:pPr>
        <w:numPr>
          <w:ilvl w:val="0"/>
          <w:numId w:val="0"/>
        </w:numPr>
        <w:spacing w:line="360" w:lineRule="auto"/>
        <w:rPr>
          <w:rFonts w:hint="default" w:ascii="宋体" w:cs="宋体"/>
          <w:kern w:val="0"/>
          <w:sz w:val="28"/>
          <w:szCs w:val="28"/>
          <w:lang w:val="en-US" w:eastAsia="zh-CN"/>
        </w:rPr>
      </w:pPr>
      <w:r>
        <w:rPr>
          <w:rFonts w:hint="eastAsia" w:ascii="宋体" w:cs="宋体"/>
          <w:kern w:val="0"/>
          <w:sz w:val="28"/>
          <w:szCs w:val="28"/>
          <w:lang w:val="en-US" w:eastAsia="zh-CN"/>
        </w:rPr>
        <w:t>设计要求：满足国家输电线路设计规范及其他现行最新国家规范。布线方式应考虑建筑物和构筑物的特征、短路可能出现的机械应力、考虑由外部热源产生的热效应、在使用过程中因污水、高盐水、雨水等的侵入或因进入固体物而带来的损害、外部的机械损害、腐蚀或污染物存在的场所等。布线系统中所有金属导管、金属构架的接地要求应符合最新国家规范。</w:t>
      </w:r>
    </w:p>
    <w:p>
      <w:pPr>
        <w:spacing w:line="360" w:lineRule="auto"/>
        <w:outlineLvl w:val="2"/>
        <w:rPr>
          <w:rFonts w:hint="eastAsia" w:ascii="宋体" w:cs="宋体"/>
          <w:b/>
          <w:bCs/>
          <w:kern w:val="0"/>
          <w:sz w:val="28"/>
          <w:szCs w:val="28"/>
          <w:lang w:val="en-US" w:eastAsia="zh-CN"/>
        </w:rPr>
      </w:pPr>
      <w:bookmarkStart w:id="190" w:name="_Toc29780"/>
      <w:r>
        <w:rPr>
          <w:rFonts w:hint="eastAsia" w:ascii="宋体" w:cs="宋体"/>
          <w:b/>
          <w:bCs/>
          <w:kern w:val="0"/>
          <w:sz w:val="28"/>
          <w:szCs w:val="28"/>
          <w:lang w:val="en-US" w:eastAsia="zh-CN"/>
        </w:rPr>
        <w:t>2.6.1线路技术要求</w:t>
      </w:r>
      <w:bookmarkEnd w:id="190"/>
    </w:p>
    <w:p>
      <w:pPr>
        <w:numPr>
          <w:ilvl w:val="0"/>
          <w:numId w:val="52"/>
        </w:numPr>
        <w:spacing w:line="360" w:lineRule="auto"/>
        <w:rPr>
          <w:rFonts w:hint="eastAsia" w:ascii="宋体" w:hAnsi="Times New Roman" w:eastAsia="宋体" w:cs="宋体"/>
          <w:kern w:val="0"/>
          <w:sz w:val="28"/>
          <w:szCs w:val="28"/>
          <w:lang w:val="en-US" w:eastAsia="zh-CN"/>
        </w:rPr>
      </w:pPr>
      <w:r>
        <w:rPr>
          <w:rFonts w:hint="eastAsia" w:ascii="宋体" w:hAnsi="Times New Roman" w:eastAsia="宋体" w:cs="宋体"/>
          <w:kern w:val="0"/>
          <w:sz w:val="28"/>
          <w:szCs w:val="28"/>
          <w:lang w:val="en-US" w:eastAsia="zh-CN"/>
        </w:rPr>
        <w:t>考虑本项目经常有载重汽车通过，</w:t>
      </w:r>
      <w:r>
        <w:rPr>
          <w:rFonts w:hint="eastAsia" w:ascii="宋体" w:hAnsi="Times New Roman" w:eastAsia="宋体" w:cs="宋体"/>
          <w:color w:val="FF0000"/>
          <w:kern w:val="0"/>
          <w:sz w:val="28"/>
          <w:szCs w:val="28"/>
          <w:lang w:val="en-US" w:eastAsia="zh-CN"/>
        </w:rPr>
        <w:t>110kv</w:t>
      </w:r>
      <w:r>
        <w:rPr>
          <w:rFonts w:hint="eastAsia" w:ascii="宋体" w:cs="宋体"/>
          <w:color w:val="FF0000"/>
          <w:kern w:val="0"/>
          <w:sz w:val="28"/>
          <w:szCs w:val="28"/>
          <w:lang w:val="en-US" w:eastAsia="zh-CN"/>
        </w:rPr>
        <w:t>进</w:t>
      </w:r>
      <w:r>
        <w:rPr>
          <w:rFonts w:hint="eastAsia" w:ascii="宋体" w:hAnsi="Times New Roman" w:eastAsia="宋体" w:cs="宋体"/>
          <w:color w:val="FF0000"/>
          <w:kern w:val="0"/>
          <w:sz w:val="28"/>
          <w:szCs w:val="28"/>
          <w:lang w:val="en-US" w:eastAsia="zh-CN"/>
        </w:rPr>
        <w:t>线</w:t>
      </w:r>
      <w:r>
        <w:rPr>
          <w:rFonts w:hint="eastAsia" w:ascii="宋体" w:cs="宋体"/>
          <w:color w:val="FF0000"/>
          <w:kern w:val="0"/>
          <w:sz w:val="28"/>
          <w:szCs w:val="28"/>
          <w:lang w:val="en-US" w:eastAsia="zh-CN"/>
        </w:rPr>
        <w:t>回</w:t>
      </w:r>
      <w:r>
        <w:rPr>
          <w:rFonts w:hint="eastAsia" w:ascii="宋体" w:hAnsi="Times New Roman" w:eastAsia="宋体" w:cs="宋体"/>
          <w:color w:val="FF0000"/>
          <w:kern w:val="0"/>
          <w:sz w:val="28"/>
          <w:szCs w:val="28"/>
          <w:lang w:val="en-US" w:eastAsia="zh-CN"/>
        </w:rPr>
        <w:t>路以</w:t>
      </w:r>
      <w:r>
        <w:rPr>
          <w:rFonts w:hint="eastAsia" w:ascii="宋体" w:cs="宋体"/>
          <w:color w:val="FF0000"/>
          <w:kern w:val="0"/>
          <w:sz w:val="28"/>
          <w:szCs w:val="28"/>
          <w:lang w:val="en-US" w:eastAsia="zh-CN"/>
        </w:rPr>
        <w:t>混凝土包封</w:t>
      </w:r>
      <w:r>
        <w:rPr>
          <w:rFonts w:hint="eastAsia" w:ascii="宋体" w:hAnsi="Times New Roman" w:eastAsia="宋体" w:cs="宋体"/>
          <w:color w:val="FF0000"/>
          <w:kern w:val="0"/>
          <w:sz w:val="28"/>
          <w:szCs w:val="28"/>
          <w:lang w:val="en-US" w:eastAsia="zh-CN"/>
        </w:rPr>
        <w:t>排管形式敷设</w:t>
      </w:r>
      <w:r>
        <w:rPr>
          <w:rFonts w:hint="eastAsia" w:ascii="宋体" w:cs="宋体"/>
          <w:color w:val="FF0000"/>
          <w:kern w:val="0"/>
          <w:sz w:val="28"/>
          <w:szCs w:val="28"/>
          <w:lang w:val="en-US" w:eastAsia="zh-CN"/>
        </w:rPr>
        <w:t>。</w:t>
      </w:r>
    </w:p>
    <w:p>
      <w:pPr>
        <w:numPr>
          <w:ilvl w:val="0"/>
          <w:numId w:val="0"/>
        </w:numPr>
        <w:spacing w:line="360" w:lineRule="auto"/>
        <w:rPr>
          <w:rFonts w:hint="eastAsia" w:ascii="宋体" w:hAnsi="Times New Roman" w:eastAsia="宋体" w:cs="宋体"/>
          <w:kern w:val="0"/>
          <w:sz w:val="28"/>
          <w:szCs w:val="28"/>
          <w:lang w:val="en-US" w:eastAsia="zh-CN"/>
        </w:rPr>
      </w:pPr>
      <w:r>
        <w:rPr>
          <w:rFonts w:hint="eastAsia" w:ascii="宋体" w:cs="宋体"/>
          <w:color w:val="FF0000"/>
          <w:kern w:val="0"/>
          <w:sz w:val="28"/>
          <w:szCs w:val="28"/>
          <w:lang w:val="en-US" w:eastAsia="zh-CN"/>
        </w:rPr>
        <w:t>2、电缆规格型号应符合园区负荷要求选择设计，土建通道按照8+2管群通道，不允许跨越、通过二期地块，接驳点位置位于园区南面T形路口处，具体位置参考技术文件附件。</w:t>
      </w:r>
    </w:p>
    <w:p>
      <w:pPr>
        <w:pStyle w:val="2"/>
        <w:ind w:left="0" w:leftChars="0" w:firstLine="0" w:firstLineChars="0"/>
        <w:rPr>
          <w:rFonts w:hint="default" w:ascii="宋体" w:hAnsi="Times New Roman" w:eastAsia="宋体" w:cs="宋体"/>
          <w:kern w:val="0"/>
          <w:sz w:val="28"/>
          <w:szCs w:val="28"/>
          <w:lang w:val="en-US" w:eastAsia="zh-CN" w:bidi="ar-SA"/>
        </w:rPr>
      </w:pPr>
      <w:r>
        <w:rPr>
          <w:rFonts w:hint="eastAsia" w:ascii="宋体" w:cs="宋体"/>
          <w:kern w:val="0"/>
          <w:sz w:val="28"/>
          <w:szCs w:val="28"/>
          <w:lang w:val="en-US" w:eastAsia="zh-CN" w:bidi="ar-SA"/>
        </w:rPr>
        <w:t>3</w:t>
      </w:r>
      <w:r>
        <w:rPr>
          <w:rFonts w:hint="eastAsia" w:ascii="宋体" w:hAnsi="Times New Roman" w:eastAsia="宋体" w:cs="宋体"/>
          <w:kern w:val="0"/>
          <w:sz w:val="28"/>
          <w:szCs w:val="28"/>
          <w:lang w:val="en-US" w:eastAsia="zh-CN" w:bidi="ar-SA"/>
        </w:rPr>
        <w:t>、导体采用纯铜芯导体</w:t>
      </w:r>
      <w:r>
        <w:rPr>
          <w:rFonts w:hint="eastAsia" w:ascii="宋体" w:cs="宋体"/>
          <w:kern w:val="0"/>
          <w:sz w:val="28"/>
          <w:szCs w:val="28"/>
          <w:lang w:val="en-US" w:eastAsia="zh-CN" w:bidi="ar-SA"/>
        </w:rPr>
        <w:t>，</w:t>
      </w:r>
      <w:r>
        <w:rPr>
          <w:rFonts w:hint="eastAsia" w:ascii="宋体" w:hAnsi="Times New Roman" w:eastAsia="宋体" w:cs="宋体"/>
          <w:kern w:val="0"/>
          <w:sz w:val="28"/>
          <w:szCs w:val="28"/>
          <w:lang w:val="en-US" w:eastAsia="zh-CN" w:bidi="ar-SA"/>
        </w:rPr>
        <w:t>导体铜单线</w:t>
      </w:r>
      <w:r>
        <w:rPr>
          <w:rFonts w:hint="eastAsia" w:ascii="宋体" w:cs="宋体"/>
          <w:kern w:val="0"/>
          <w:sz w:val="28"/>
          <w:szCs w:val="28"/>
          <w:lang w:val="en-US" w:eastAsia="zh-CN" w:bidi="ar-SA"/>
        </w:rPr>
        <w:t>采用</w:t>
      </w:r>
      <w:r>
        <w:rPr>
          <w:rFonts w:hint="eastAsia" w:ascii="宋体" w:hAnsi="Times New Roman" w:eastAsia="宋体" w:cs="宋体"/>
          <w:kern w:val="0"/>
          <w:sz w:val="28"/>
          <w:szCs w:val="28"/>
          <w:lang w:val="en-US" w:eastAsia="zh-CN" w:bidi="ar-SA"/>
        </w:rPr>
        <w:t>TR型圆铜线。导体结构、性能应符合</w:t>
      </w:r>
      <w:r>
        <w:rPr>
          <w:rFonts w:hint="eastAsia" w:ascii="宋体" w:cs="宋体"/>
          <w:kern w:val="0"/>
          <w:sz w:val="28"/>
          <w:szCs w:val="28"/>
          <w:lang w:val="en-US" w:eastAsia="zh-CN" w:bidi="ar-SA"/>
        </w:rPr>
        <w:t>GB/T 3956和GB/T 11017.2的规定，导体表面应光洁、无油污、无损伤屏蔽及绝缘的毛刺、锐边以及凸起或断裂的单线。</w:t>
      </w:r>
    </w:p>
    <w:p>
      <w:pPr>
        <w:numPr>
          <w:ilvl w:val="0"/>
          <w:numId w:val="0"/>
        </w:numPr>
        <w:spacing w:line="360" w:lineRule="auto"/>
        <w:rPr>
          <w:rFonts w:hint="eastAsia" w:ascii="宋体" w:hAnsi="Times New Roman" w:eastAsia="宋体" w:cs="宋体"/>
          <w:kern w:val="0"/>
          <w:sz w:val="28"/>
          <w:szCs w:val="28"/>
          <w:lang w:val="en-US" w:eastAsia="zh-CN"/>
        </w:rPr>
      </w:pPr>
      <w:r>
        <w:rPr>
          <w:rFonts w:hint="eastAsia" w:ascii="宋体" w:cs="宋体"/>
          <w:kern w:val="0"/>
          <w:sz w:val="28"/>
          <w:szCs w:val="28"/>
          <w:lang w:val="en-US" w:eastAsia="zh-CN"/>
        </w:rPr>
        <w:t>4、</w:t>
      </w:r>
      <w:r>
        <w:rPr>
          <w:rFonts w:hint="default" w:ascii="宋体" w:hAnsi="Times New Roman" w:eastAsia="宋体" w:cs="宋体"/>
          <w:kern w:val="0"/>
          <w:sz w:val="28"/>
          <w:szCs w:val="28"/>
          <w:lang w:val="en-US" w:eastAsia="zh-CN"/>
        </w:rPr>
        <w:t>电缆保护管内壁应光滑无毛刺</w:t>
      </w:r>
      <w:r>
        <w:rPr>
          <w:rFonts w:hint="eastAsia" w:ascii="宋体" w:cs="宋体"/>
          <w:kern w:val="0"/>
          <w:sz w:val="28"/>
          <w:szCs w:val="28"/>
          <w:lang w:val="en-US" w:eastAsia="zh-CN"/>
        </w:rPr>
        <w:t>，导体屏蔽为挤包交联型半导电层。半导电层应均匀地包覆在导体上,表面光滑，无明显绞线凸纹，不应有尖角、颗粒、烧焦或擦伤的痕迹，剥离时不应卡留在线芯中</w:t>
      </w:r>
      <w:r>
        <w:rPr>
          <w:rFonts w:hint="eastAsia" w:ascii="宋体" w:hAnsi="Times New Roman" w:eastAsia="宋体" w:cs="宋体"/>
          <w:kern w:val="0"/>
          <w:sz w:val="28"/>
          <w:szCs w:val="28"/>
          <w:lang w:val="en-US" w:eastAsia="zh-CN"/>
        </w:rPr>
        <w:t>。</w:t>
      </w:r>
    </w:p>
    <w:p>
      <w:pPr>
        <w:pStyle w:val="2"/>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5、铝套任意点最小测量厚度不小于标称厚度的95%。皱纹铝套任意点最小测量厚度不小于标称厚度的90%。</w:t>
      </w:r>
    </w:p>
    <w:p>
      <w:pPr>
        <w:pStyle w:val="2"/>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6、电缆外护套任意点最小测量厚度不小于标称厚度的90%。</w:t>
      </w:r>
    </w:p>
    <w:p>
      <w:pPr>
        <w:pStyle w:val="2"/>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7、电缆外护外护套应牢固包覆在金属护套上，外护套其他方面应符合 GB/T 2952中的相应规定。</w:t>
      </w:r>
    </w:p>
    <w:p>
      <w:pPr>
        <w:pStyle w:val="2"/>
        <w:ind w:left="0" w:leftChars="0" w:firstLine="0" w:firstLineChars="0"/>
        <w:rPr>
          <w:rFonts w:hint="eastAsia" w:ascii="宋体" w:cs="宋体"/>
          <w:kern w:val="0"/>
          <w:sz w:val="28"/>
          <w:szCs w:val="28"/>
          <w:lang w:val="en-US" w:eastAsia="zh-CN"/>
        </w:rPr>
      </w:pPr>
      <w:r>
        <w:rPr>
          <w:rFonts w:hint="eastAsia" w:ascii="宋体" w:cs="宋体"/>
          <w:kern w:val="0"/>
          <w:sz w:val="28"/>
          <w:szCs w:val="28"/>
          <w:lang w:val="en-US" w:eastAsia="zh-CN"/>
        </w:rPr>
        <w:t>8、外护套应有导电层，导电层应均匀、光滑、牢固、不脱落，在敷设和长期运行条件下应牢固包覆在绝缘外护套上。</w:t>
      </w:r>
    </w:p>
    <w:p>
      <w:pPr>
        <w:numPr>
          <w:ilvl w:val="0"/>
          <w:numId w:val="0"/>
        </w:numPr>
        <w:spacing w:line="360" w:lineRule="auto"/>
        <w:rPr>
          <w:rFonts w:hint="default" w:ascii="宋体" w:hAnsi="Times New Roman" w:eastAsia="宋体" w:cs="宋体"/>
          <w:kern w:val="0"/>
          <w:sz w:val="28"/>
          <w:szCs w:val="28"/>
          <w:lang w:val="en-US" w:eastAsia="zh-CN"/>
        </w:rPr>
      </w:pPr>
      <w:r>
        <w:rPr>
          <w:rFonts w:hint="eastAsia" w:ascii="宋体" w:cs="宋体"/>
          <w:kern w:val="0"/>
          <w:sz w:val="28"/>
          <w:szCs w:val="28"/>
          <w:lang w:val="en-US" w:eastAsia="zh-CN"/>
        </w:rPr>
        <w:t>9、</w:t>
      </w:r>
      <w:r>
        <w:rPr>
          <w:rFonts w:hint="default" w:ascii="宋体" w:hAnsi="Times New Roman" w:eastAsia="宋体" w:cs="宋体"/>
          <w:kern w:val="0"/>
          <w:sz w:val="28"/>
          <w:szCs w:val="28"/>
          <w:lang w:val="en-US" w:eastAsia="zh-CN"/>
        </w:rPr>
        <w:t>电缆保护管的管材选择，应满足敷设场所所需的机械强度和耐久性</w:t>
      </w:r>
      <w:r>
        <w:rPr>
          <w:rFonts w:hint="eastAsia" w:ascii="宋体" w:hAnsi="Times New Roman" w:eastAsia="宋体" w:cs="宋体"/>
          <w:kern w:val="0"/>
          <w:sz w:val="28"/>
          <w:szCs w:val="28"/>
          <w:lang w:val="en-US" w:eastAsia="zh-CN"/>
        </w:rPr>
        <w:t>。</w:t>
      </w:r>
    </w:p>
    <w:p>
      <w:pPr>
        <w:numPr>
          <w:ilvl w:val="0"/>
          <w:numId w:val="0"/>
        </w:numPr>
        <w:spacing w:line="360" w:lineRule="auto"/>
        <w:rPr>
          <w:rFonts w:hint="default" w:ascii="宋体" w:hAnsi="Times New Roman" w:eastAsia="宋体" w:cs="宋体"/>
          <w:kern w:val="0"/>
          <w:sz w:val="28"/>
          <w:szCs w:val="28"/>
          <w:lang w:val="en-US" w:eastAsia="zh-CN"/>
        </w:rPr>
      </w:pPr>
      <w:r>
        <w:rPr>
          <w:rFonts w:hint="eastAsia" w:ascii="宋体" w:cs="宋体"/>
          <w:kern w:val="0"/>
          <w:sz w:val="28"/>
          <w:szCs w:val="28"/>
          <w:lang w:val="en-US" w:eastAsia="zh-CN"/>
        </w:rPr>
        <w:t>10、</w:t>
      </w:r>
      <w:r>
        <w:rPr>
          <w:rFonts w:hint="default" w:ascii="宋体" w:hAnsi="Times New Roman" w:eastAsia="宋体" w:cs="宋体"/>
          <w:kern w:val="0"/>
          <w:sz w:val="28"/>
          <w:szCs w:val="28"/>
          <w:lang w:val="en-US" w:eastAsia="zh-CN"/>
        </w:rPr>
        <w:t>电缆排管采用混凝土管块</w:t>
      </w:r>
      <w:r>
        <w:rPr>
          <w:rFonts w:hint="eastAsia" w:ascii="宋体" w:hAnsi="Times New Roman" w:eastAsia="宋体" w:cs="宋体"/>
          <w:kern w:val="0"/>
          <w:sz w:val="28"/>
          <w:szCs w:val="28"/>
          <w:lang w:val="en-US" w:eastAsia="zh-CN"/>
        </w:rPr>
        <w:t>加套管形式。</w:t>
      </w:r>
    </w:p>
    <w:p>
      <w:pPr>
        <w:numPr>
          <w:ilvl w:val="0"/>
          <w:numId w:val="0"/>
        </w:numPr>
        <w:spacing w:line="360" w:lineRule="auto"/>
        <w:rPr>
          <w:rFonts w:hint="default" w:ascii="宋体" w:hAnsi="Times New Roman" w:eastAsia="宋体" w:cs="宋体"/>
          <w:kern w:val="0"/>
          <w:sz w:val="28"/>
          <w:szCs w:val="28"/>
          <w:lang w:val="en-US" w:eastAsia="zh-CN"/>
        </w:rPr>
      </w:pPr>
      <w:r>
        <w:rPr>
          <w:rFonts w:hint="eastAsia" w:ascii="宋体" w:cs="宋体"/>
          <w:kern w:val="0"/>
          <w:sz w:val="28"/>
          <w:szCs w:val="28"/>
          <w:lang w:val="en-US" w:eastAsia="zh-CN"/>
        </w:rPr>
        <w:t>11、</w:t>
      </w:r>
      <w:r>
        <w:rPr>
          <w:rFonts w:hint="default" w:ascii="宋体" w:hAnsi="Times New Roman" w:eastAsia="宋体" w:cs="宋体"/>
          <w:kern w:val="0"/>
          <w:sz w:val="28"/>
          <w:szCs w:val="28"/>
          <w:lang w:val="en-US" w:eastAsia="zh-CN"/>
        </w:rPr>
        <w:t>电缆排管应预留备用孔，并应预留通信专用孔。</w:t>
      </w:r>
    </w:p>
    <w:p>
      <w:pPr>
        <w:numPr>
          <w:ilvl w:val="0"/>
          <w:numId w:val="0"/>
        </w:numPr>
        <w:spacing w:line="360" w:lineRule="auto"/>
        <w:rPr>
          <w:rFonts w:hint="default" w:ascii="宋体" w:hAnsi="Times New Roman" w:eastAsia="宋体" w:cs="宋体"/>
          <w:kern w:val="0"/>
          <w:sz w:val="28"/>
          <w:szCs w:val="28"/>
          <w:lang w:val="en-US" w:eastAsia="zh-CN"/>
        </w:rPr>
      </w:pPr>
      <w:r>
        <w:rPr>
          <w:rFonts w:hint="eastAsia" w:ascii="宋体" w:cs="宋体"/>
          <w:kern w:val="0"/>
          <w:sz w:val="28"/>
          <w:szCs w:val="28"/>
          <w:lang w:val="en-US" w:eastAsia="zh-CN"/>
        </w:rPr>
        <w:t>12、</w:t>
      </w:r>
      <w:r>
        <w:rPr>
          <w:rFonts w:hint="default" w:ascii="宋体" w:hAnsi="Times New Roman" w:eastAsia="宋体" w:cs="宋体"/>
          <w:kern w:val="0"/>
          <w:sz w:val="28"/>
          <w:szCs w:val="28"/>
          <w:lang w:val="en-US" w:eastAsia="zh-CN"/>
        </w:rPr>
        <w:t>当地面通过</w:t>
      </w:r>
      <w:r>
        <w:rPr>
          <w:rFonts w:hint="eastAsia" w:ascii="宋体" w:hAnsi="Times New Roman" w:eastAsia="宋体" w:cs="宋体"/>
          <w:kern w:val="0"/>
          <w:sz w:val="28"/>
          <w:szCs w:val="28"/>
          <w:lang w:val="en-US" w:eastAsia="zh-CN"/>
        </w:rPr>
        <w:t>道路</w:t>
      </w:r>
      <w:r>
        <w:rPr>
          <w:rFonts w:hint="default" w:ascii="宋体" w:hAnsi="Times New Roman" w:eastAsia="宋体" w:cs="宋体"/>
          <w:kern w:val="0"/>
          <w:sz w:val="28"/>
          <w:szCs w:val="28"/>
          <w:lang w:val="en-US" w:eastAsia="zh-CN"/>
        </w:rPr>
        <w:t>及</w:t>
      </w:r>
      <w:r>
        <w:rPr>
          <w:rFonts w:hint="eastAsia" w:ascii="宋体" w:hAnsi="Times New Roman" w:eastAsia="宋体" w:cs="宋体"/>
          <w:kern w:val="0"/>
          <w:sz w:val="28"/>
          <w:szCs w:val="28"/>
          <w:lang w:val="en-US" w:eastAsia="zh-CN"/>
        </w:rPr>
        <w:t>超过荷载</w:t>
      </w:r>
      <w:r>
        <w:rPr>
          <w:rFonts w:hint="default" w:ascii="宋体" w:hAnsi="Times New Roman" w:eastAsia="宋体" w:cs="宋体"/>
          <w:kern w:val="0"/>
          <w:sz w:val="28"/>
          <w:szCs w:val="28"/>
          <w:lang w:val="en-US" w:eastAsia="zh-CN"/>
        </w:rPr>
        <w:t>情况时，应采取防止电缆排管受到</w:t>
      </w:r>
      <w:r>
        <w:rPr>
          <w:rFonts w:hint="eastAsia" w:ascii="宋体" w:hAnsi="Times New Roman" w:eastAsia="宋体" w:cs="宋体"/>
          <w:kern w:val="0"/>
          <w:sz w:val="28"/>
          <w:szCs w:val="28"/>
          <w:lang w:val="en-US" w:eastAsia="zh-CN"/>
        </w:rPr>
        <w:t>机械损伤的措施。</w:t>
      </w:r>
    </w:p>
    <w:p>
      <w:pPr>
        <w:numPr>
          <w:ilvl w:val="0"/>
          <w:numId w:val="0"/>
        </w:numPr>
        <w:spacing w:line="360" w:lineRule="auto"/>
        <w:rPr>
          <w:rFonts w:hint="default" w:ascii="宋体" w:hAnsi="Times New Roman" w:eastAsia="宋体" w:cs="宋体"/>
          <w:kern w:val="0"/>
          <w:sz w:val="28"/>
          <w:szCs w:val="28"/>
          <w:lang w:val="en-US" w:eastAsia="zh-CN"/>
        </w:rPr>
      </w:pPr>
      <w:r>
        <w:rPr>
          <w:rFonts w:hint="eastAsia" w:ascii="宋体" w:cs="宋体"/>
          <w:kern w:val="0"/>
          <w:sz w:val="28"/>
          <w:szCs w:val="28"/>
          <w:lang w:val="en-US" w:eastAsia="zh-CN"/>
        </w:rPr>
        <w:t>13、</w:t>
      </w:r>
      <w:r>
        <w:rPr>
          <w:rFonts w:hint="default" w:ascii="宋体" w:hAnsi="Times New Roman" w:eastAsia="宋体" w:cs="宋体"/>
          <w:kern w:val="0"/>
          <w:sz w:val="28"/>
          <w:szCs w:val="28"/>
          <w:lang w:val="en-US" w:eastAsia="zh-CN"/>
        </w:rPr>
        <w:t>电缆排管安装时，应有倾向人孔井侧不小于0.2</w:t>
      </w:r>
      <w:r>
        <w:rPr>
          <w:rFonts w:hint="eastAsia" w:ascii="宋体" w:hAnsi="Times New Roman" w:eastAsia="宋体" w:cs="宋体"/>
          <w:kern w:val="0"/>
          <w:sz w:val="28"/>
          <w:szCs w:val="28"/>
          <w:lang w:val="en-US" w:eastAsia="zh-CN"/>
        </w:rPr>
        <w:t>%</w:t>
      </w:r>
      <w:r>
        <w:rPr>
          <w:rFonts w:hint="default" w:ascii="宋体" w:hAnsi="Times New Roman" w:eastAsia="宋体" w:cs="宋体"/>
          <w:kern w:val="0"/>
          <w:sz w:val="28"/>
          <w:szCs w:val="28"/>
          <w:lang w:val="en-US" w:eastAsia="zh-CN"/>
        </w:rPr>
        <w:t>排水坡度，并在人孔井内设集水坑，以便集中排水。</w:t>
      </w:r>
    </w:p>
    <w:p>
      <w:pPr>
        <w:numPr>
          <w:ilvl w:val="0"/>
          <w:numId w:val="0"/>
        </w:numPr>
        <w:spacing w:line="360" w:lineRule="auto"/>
        <w:rPr>
          <w:rFonts w:hint="default" w:ascii="宋体" w:hAnsi="Times New Roman" w:eastAsia="宋体" w:cs="宋体"/>
          <w:kern w:val="0"/>
          <w:sz w:val="28"/>
          <w:szCs w:val="28"/>
          <w:lang w:val="en-US" w:eastAsia="zh-CN"/>
        </w:rPr>
      </w:pPr>
      <w:r>
        <w:rPr>
          <w:rFonts w:hint="eastAsia" w:ascii="宋体" w:cs="宋体"/>
          <w:kern w:val="0"/>
          <w:sz w:val="28"/>
          <w:szCs w:val="28"/>
          <w:lang w:val="en-US" w:eastAsia="zh-CN"/>
        </w:rPr>
        <w:t>14、</w:t>
      </w:r>
      <w:r>
        <w:rPr>
          <w:rFonts w:hint="default" w:ascii="宋体" w:hAnsi="Times New Roman" w:eastAsia="宋体" w:cs="宋体"/>
          <w:kern w:val="0"/>
          <w:sz w:val="28"/>
          <w:szCs w:val="28"/>
          <w:lang w:val="en-US" w:eastAsia="zh-CN"/>
        </w:rPr>
        <w:t>电缆排管顶部距地面不应小于0.7m，在人行道下面时不应小于0.5m</w:t>
      </w:r>
      <w:r>
        <w:rPr>
          <w:rFonts w:hint="eastAsia" w:ascii="宋体" w:hAnsi="Times New Roman" w:eastAsia="宋体" w:cs="宋体"/>
          <w:kern w:val="0"/>
          <w:sz w:val="28"/>
          <w:szCs w:val="28"/>
          <w:lang w:val="en-US" w:eastAsia="zh-CN"/>
        </w:rPr>
        <w:t>。</w:t>
      </w:r>
    </w:p>
    <w:p>
      <w:pPr>
        <w:numPr>
          <w:ilvl w:val="0"/>
          <w:numId w:val="0"/>
        </w:numPr>
        <w:spacing w:line="360" w:lineRule="auto"/>
        <w:rPr>
          <w:rFonts w:hint="default" w:ascii="宋体" w:hAnsi="Times New Roman" w:eastAsia="宋体" w:cs="宋体"/>
          <w:kern w:val="0"/>
          <w:sz w:val="28"/>
          <w:szCs w:val="28"/>
          <w:lang w:val="en-US" w:eastAsia="zh-CN"/>
        </w:rPr>
      </w:pPr>
      <w:r>
        <w:rPr>
          <w:rFonts w:hint="eastAsia" w:ascii="宋体" w:cs="宋体"/>
          <w:kern w:val="0"/>
          <w:sz w:val="28"/>
          <w:szCs w:val="28"/>
          <w:lang w:val="en-US" w:eastAsia="zh-CN"/>
        </w:rPr>
        <w:t>15、</w:t>
      </w:r>
      <w:r>
        <w:rPr>
          <w:rFonts w:hint="default" w:ascii="宋体" w:hAnsi="Times New Roman" w:eastAsia="宋体" w:cs="宋体"/>
          <w:kern w:val="0"/>
          <w:sz w:val="28"/>
          <w:szCs w:val="28"/>
          <w:lang w:val="en-US" w:eastAsia="zh-CN"/>
        </w:rPr>
        <w:t>电缆排管沟底部应垫平夯实，并应铺设厚度不小于60mm的混凝土垫层。</w:t>
      </w:r>
    </w:p>
    <w:p>
      <w:pPr>
        <w:numPr>
          <w:ilvl w:val="0"/>
          <w:numId w:val="0"/>
        </w:numPr>
        <w:spacing w:line="360" w:lineRule="auto"/>
        <w:rPr>
          <w:rFonts w:hint="default" w:ascii="宋体" w:hAnsi="Times New Roman" w:eastAsia="宋体" w:cs="宋体"/>
          <w:kern w:val="0"/>
          <w:sz w:val="28"/>
          <w:szCs w:val="28"/>
          <w:lang w:val="en-US" w:eastAsia="zh-CN"/>
        </w:rPr>
      </w:pPr>
      <w:r>
        <w:rPr>
          <w:rFonts w:hint="eastAsia" w:ascii="宋体" w:cs="宋体"/>
          <w:kern w:val="0"/>
          <w:sz w:val="28"/>
          <w:szCs w:val="28"/>
          <w:lang w:val="en-US" w:eastAsia="zh-CN"/>
        </w:rPr>
        <w:t>16、</w:t>
      </w:r>
      <w:r>
        <w:rPr>
          <w:rFonts w:hint="default" w:ascii="宋体" w:hAnsi="Times New Roman" w:eastAsia="宋体" w:cs="宋体"/>
          <w:kern w:val="0"/>
          <w:sz w:val="28"/>
          <w:szCs w:val="28"/>
          <w:lang w:val="en-US" w:eastAsia="zh-CN"/>
        </w:rPr>
        <w:t>电缆人孔井的净空高度不应小于1.8m，其上部人孔的直径不应小于0.7m。</w:t>
      </w:r>
    </w:p>
    <w:p>
      <w:pPr>
        <w:spacing w:line="360" w:lineRule="auto"/>
        <w:outlineLvl w:val="2"/>
        <w:rPr>
          <w:rFonts w:hint="eastAsia" w:ascii="宋体" w:cs="Times New Roman"/>
          <w:b/>
          <w:snapToGrid w:val="0"/>
          <w:color w:val="000000"/>
          <w:kern w:val="0"/>
          <w:sz w:val="28"/>
          <w:szCs w:val="21"/>
          <w:lang w:val="en-US" w:eastAsia="zh-CN" w:bidi="ar-SA"/>
        </w:rPr>
      </w:pPr>
      <w:bookmarkStart w:id="191" w:name="_Toc22293"/>
      <w:r>
        <w:rPr>
          <w:rFonts w:hint="eastAsia" w:ascii="宋体" w:cs="Times New Roman"/>
          <w:b/>
          <w:snapToGrid w:val="0"/>
          <w:color w:val="000000"/>
          <w:kern w:val="0"/>
          <w:sz w:val="28"/>
          <w:szCs w:val="21"/>
          <w:lang w:val="en-US" w:eastAsia="zh-CN" w:bidi="ar-SA"/>
        </w:rPr>
        <w:t>2.6.2电缆接头</w:t>
      </w:r>
      <w:bookmarkEnd w:id="191"/>
    </w:p>
    <w:p>
      <w:pPr>
        <w:pStyle w:val="2"/>
        <w:ind w:left="0" w:leftChars="0" w:firstLine="0" w:firstLineChars="0"/>
        <w:rPr>
          <w:rFonts w:hint="default" w:ascii="宋体" w:hAnsi="Times New Roman" w:eastAsia="宋体" w:cs="宋体"/>
          <w:kern w:val="0"/>
          <w:sz w:val="28"/>
          <w:szCs w:val="28"/>
          <w:lang w:val="en-US" w:eastAsia="zh-CN" w:bidi="ar-SA"/>
        </w:rPr>
      </w:pPr>
      <w:r>
        <w:rPr>
          <w:rFonts w:hint="default" w:ascii="宋体" w:hAnsi="Times New Roman" w:eastAsia="宋体" w:cs="宋体"/>
          <w:kern w:val="0"/>
          <w:sz w:val="28"/>
          <w:szCs w:val="28"/>
          <w:lang w:val="en-US" w:eastAsia="zh-CN" w:bidi="ar-SA"/>
        </w:rPr>
        <w:t>中间接头要求：接头应满足通流和温升要求，</w:t>
      </w:r>
      <w:r>
        <w:rPr>
          <w:rFonts w:hint="eastAsia" w:ascii="宋体" w:cs="宋体"/>
          <w:kern w:val="0"/>
          <w:sz w:val="28"/>
          <w:szCs w:val="28"/>
          <w:lang w:val="en-US" w:eastAsia="zh-CN" w:bidi="ar-SA"/>
        </w:rPr>
        <w:t>不得</w:t>
      </w:r>
      <w:r>
        <w:rPr>
          <w:rFonts w:hint="default" w:ascii="宋体" w:hAnsi="Times New Roman" w:eastAsia="宋体" w:cs="宋体"/>
          <w:kern w:val="0"/>
          <w:sz w:val="28"/>
          <w:szCs w:val="28"/>
          <w:lang w:val="en-US" w:eastAsia="zh-CN" w:bidi="ar-SA"/>
        </w:rPr>
        <w:t xml:space="preserve">采用直接压扁式螺栓连接方式或焊接方式，确保管母线内通道空气能自由流动。中间接头处的屏蔽绝缘筒绝缘结构和管型母线相同，并确保接头处的绝缘外表电位达到人体安全电位以内，以保证运行维护的安全。 </w:t>
      </w:r>
    </w:p>
    <w:p>
      <w:pPr>
        <w:pStyle w:val="2"/>
        <w:ind w:left="0" w:leftChars="0" w:firstLine="0" w:firstLineChars="0"/>
        <w:rPr>
          <w:rFonts w:hint="default" w:ascii="宋体" w:hAnsi="Times New Roman" w:eastAsia="宋体" w:cs="宋体"/>
          <w:kern w:val="0"/>
          <w:sz w:val="28"/>
          <w:szCs w:val="28"/>
          <w:lang w:val="en-US" w:eastAsia="zh-CN" w:bidi="ar-SA"/>
        </w:rPr>
      </w:pPr>
      <w:r>
        <w:rPr>
          <w:rFonts w:hint="default" w:ascii="宋体" w:hAnsi="Times New Roman" w:eastAsia="宋体" w:cs="宋体"/>
          <w:kern w:val="0"/>
          <w:sz w:val="28"/>
          <w:szCs w:val="28"/>
          <w:lang w:val="en-US" w:eastAsia="zh-CN" w:bidi="ar-SA"/>
        </w:rPr>
        <w:t xml:space="preserve">终端接头要求：绝缘铜管型母线与设备之间采用铸造铜端子紧固于母线端部，再通过软连接过渡到设备端子上，不允许采用直接压扁式结构。  </w:t>
      </w:r>
    </w:p>
    <w:p>
      <w:pPr>
        <w:spacing w:line="360" w:lineRule="auto"/>
        <w:outlineLvl w:val="2"/>
        <w:rPr>
          <w:rFonts w:hint="eastAsia" w:ascii="宋体" w:cs="Times New Roman"/>
          <w:b/>
          <w:snapToGrid w:val="0"/>
          <w:color w:val="000000"/>
          <w:kern w:val="0"/>
          <w:sz w:val="28"/>
          <w:szCs w:val="21"/>
          <w:lang w:val="en-US" w:eastAsia="zh-CN" w:bidi="ar-SA"/>
        </w:rPr>
      </w:pPr>
      <w:bookmarkStart w:id="192" w:name="_Toc18781"/>
      <w:r>
        <w:rPr>
          <w:rFonts w:hint="eastAsia" w:ascii="宋体" w:cs="Times New Roman"/>
          <w:b/>
          <w:snapToGrid w:val="0"/>
          <w:color w:val="000000"/>
          <w:kern w:val="0"/>
          <w:sz w:val="28"/>
          <w:szCs w:val="21"/>
          <w:lang w:val="en-US" w:eastAsia="zh-CN" w:bidi="ar-SA"/>
        </w:rPr>
        <w:t>2.6.3屏体要求</w:t>
      </w:r>
      <w:bookmarkEnd w:id="192"/>
    </w:p>
    <w:p>
      <w:pPr>
        <w:pStyle w:val="2"/>
        <w:numPr>
          <w:ilvl w:val="0"/>
          <w:numId w:val="53"/>
        </w:numPr>
        <w:ind w:left="0" w:leftChars="0" w:firstLine="0" w:firstLineChars="0"/>
        <w:rPr>
          <w:rFonts w:hint="default" w:ascii="宋体" w:hAnsi="Times New Roman" w:eastAsia="宋体" w:cs="宋体"/>
          <w:kern w:val="0"/>
          <w:sz w:val="28"/>
          <w:szCs w:val="28"/>
          <w:lang w:val="en-US" w:eastAsia="zh-CN" w:bidi="ar-SA"/>
        </w:rPr>
      </w:pPr>
      <w:r>
        <w:rPr>
          <w:rFonts w:hint="default" w:ascii="宋体" w:hAnsi="Times New Roman" w:eastAsia="宋体" w:cs="宋体"/>
          <w:kern w:val="0"/>
          <w:sz w:val="28"/>
          <w:szCs w:val="28"/>
          <w:lang w:val="en-US" w:eastAsia="zh-CN" w:bidi="ar-SA"/>
        </w:rPr>
        <w:t>屏体要求详见《国家继电保护柜、屏制造规范》。</w:t>
      </w:r>
    </w:p>
    <w:p>
      <w:pPr>
        <w:pStyle w:val="2"/>
        <w:numPr>
          <w:ilvl w:val="0"/>
          <w:numId w:val="53"/>
        </w:numPr>
        <w:ind w:left="0" w:leftChars="0" w:firstLine="0" w:firstLineChars="0"/>
        <w:rPr>
          <w:rFonts w:hint="default" w:ascii="宋体" w:hAnsi="Times New Roman" w:eastAsia="宋体" w:cs="宋体"/>
          <w:kern w:val="0"/>
          <w:sz w:val="28"/>
          <w:szCs w:val="28"/>
          <w:lang w:val="en-US" w:eastAsia="zh-CN" w:bidi="ar-SA"/>
        </w:rPr>
      </w:pPr>
      <w:r>
        <w:rPr>
          <w:rFonts w:hint="default" w:ascii="宋体" w:hAnsi="Times New Roman" w:eastAsia="宋体" w:cs="宋体"/>
          <w:kern w:val="0"/>
          <w:sz w:val="28"/>
          <w:szCs w:val="28"/>
          <w:lang w:val="en-US" w:eastAsia="zh-CN" w:bidi="ar-SA"/>
        </w:rPr>
        <w:t>屏上跳闸回路应采用能接4mm2截面电缆芯的端子，并且跳闸回路的公共端子应采用多个端子的连接方式，以保证一个端子只允许接入一根电缆芯。屏上电源回路应采用能接4mm2截面电缆芯的端子，并且要求正、负级之间应有端子隔开。</w:t>
      </w:r>
    </w:p>
    <w:p>
      <w:pPr>
        <w:pStyle w:val="2"/>
        <w:numPr>
          <w:ilvl w:val="0"/>
          <w:numId w:val="53"/>
        </w:numPr>
        <w:ind w:left="0" w:leftChars="0" w:firstLine="0" w:firstLineChars="0"/>
        <w:rPr>
          <w:rFonts w:hint="default" w:ascii="宋体" w:hAnsi="Times New Roman" w:eastAsia="宋体" w:cs="宋体"/>
          <w:kern w:val="0"/>
          <w:sz w:val="28"/>
          <w:szCs w:val="28"/>
          <w:lang w:val="en-US" w:eastAsia="zh-CN" w:bidi="ar-SA"/>
        </w:rPr>
      </w:pPr>
      <w:r>
        <w:rPr>
          <w:rFonts w:hint="default" w:ascii="宋体" w:hAnsi="Times New Roman" w:eastAsia="宋体" w:cs="宋体"/>
          <w:kern w:val="0"/>
          <w:sz w:val="28"/>
          <w:szCs w:val="28"/>
          <w:lang w:val="en-US" w:eastAsia="zh-CN" w:bidi="ar-SA"/>
        </w:rPr>
        <w:t>屏上的所有设备（包括</w:t>
      </w:r>
      <w:r>
        <w:rPr>
          <w:rFonts w:hint="eastAsia" w:ascii="宋体" w:cs="宋体"/>
          <w:kern w:val="0"/>
          <w:sz w:val="28"/>
          <w:szCs w:val="28"/>
          <w:lang w:val="en-US" w:eastAsia="zh-CN" w:bidi="ar-SA"/>
        </w:rPr>
        <w:t>但不限于</w:t>
      </w:r>
      <w:r>
        <w:rPr>
          <w:rFonts w:hint="default" w:ascii="宋体" w:hAnsi="Times New Roman" w:eastAsia="宋体" w:cs="宋体"/>
          <w:kern w:val="0"/>
          <w:sz w:val="28"/>
          <w:szCs w:val="28"/>
          <w:lang w:val="en-US" w:eastAsia="zh-CN" w:bidi="ar-SA"/>
        </w:rPr>
        <w:t>继电器、控制开关、熔断器、空气开关、指示灯及其他独立安装的设备），均应有便于识别铭牌或标签框。</w:t>
      </w:r>
    </w:p>
    <w:p>
      <w:pPr>
        <w:pStyle w:val="2"/>
        <w:numPr>
          <w:ilvl w:val="0"/>
          <w:numId w:val="53"/>
        </w:numPr>
        <w:ind w:left="0" w:leftChars="0" w:firstLine="0" w:firstLineChars="0"/>
        <w:rPr>
          <w:rFonts w:hint="default" w:ascii="宋体" w:hAnsi="Times New Roman" w:eastAsia="宋体" w:cs="宋体"/>
          <w:kern w:val="0"/>
          <w:sz w:val="28"/>
          <w:szCs w:val="28"/>
          <w:lang w:val="en-US" w:eastAsia="zh-CN" w:bidi="ar-SA"/>
        </w:rPr>
      </w:pPr>
      <w:r>
        <w:rPr>
          <w:rFonts w:hint="default" w:ascii="宋体" w:hAnsi="Times New Roman" w:eastAsia="宋体" w:cs="宋体"/>
          <w:kern w:val="0"/>
          <w:sz w:val="28"/>
          <w:szCs w:val="28"/>
          <w:lang w:val="en-US" w:eastAsia="zh-CN" w:bidi="ar-SA"/>
        </w:rPr>
        <w:t>保护柜所有空气开关应设在门外。</w:t>
      </w:r>
    </w:p>
    <w:p>
      <w:pPr>
        <w:spacing w:line="360" w:lineRule="auto"/>
        <w:jc w:val="center"/>
        <w:outlineLvl w:val="0"/>
        <w:rPr>
          <w:rFonts w:hint="eastAsia"/>
          <w:b/>
          <w:bCs/>
          <w:color w:val="000000"/>
          <w:sz w:val="32"/>
          <w:szCs w:val="32"/>
          <w:lang w:val="en-US" w:eastAsia="zh-CN"/>
        </w:rPr>
      </w:pPr>
      <w:bookmarkStart w:id="193" w:name="_Toc6761"/>
      <w:r>
        <w:rPr>
          <w:rFonts w:hint="eastAsia"/>
          <w:b/>
          <w:bCs/>
          <w:color w:val="000000"/>
          <w:sz w:val="32"/>
          <w:szCs w:val="32"/>
          <w:lang w:val="en-US" w:eastAsia="zh-CN"/>
        </w:rPr>
        <w:t>第3章其他配套设施</w:t>
      </w:r>
      <w:bookmarkEnd w:id="193"/>
    </w:p>
    <w:p>
      <w:pPr>
        <w:spacing w:line="360" w:lineRule="auto"/>
        <w:ind w:left="0" w:leftChars="0" w:firstLine="0" w:firstLineChars="0"/>
        <w:jc w:val="left"/>
        <w:outlineLvl w:val="1"/>
        <w:rPr>
          <w:rFonts w:hint="default"/>
          <w:b/>
          <w:bCs/>
          <w:color w:val="000000"/>
          <w:sz w:val="28"/>
          <w:szCs w:val="28"/>
          <w:lang w:val="en-US" w:eastAsia="zh-CN"/>
        </w:rPr>
      </w:pPr>
      <w:bookmarkStart w:id="194" w:name="_Toc19596"/>
      <w:r>
        <w:rPr>
          <w:rFonts w:hint="eastAsia"/>
          <w:b/>
          <w:bCs/>
          <w:color w:val="000000"/>
          <w:sz w:val="28"/>
          <w:szCs w:val="28"/>
          <w:lang w:val="en-US" w:eastAsia="zh-CN"/>
        </w:rPr>
        <w:t>3.1暖通系统</w:t>
      </w:r>
      <w:bookmarkEnd w:id="194"/>
    </w:p>
    <w:p>
      <w:pPr>
        <w:spacing w:line="360" w:lineRule="auto"/>
        <w:jc w:val="left"/>
        <w:outlineLvl w:val="2"/>
        <w:rPr>
          <w:rFonts w:hint="default"/>
          <w:b/>
          <w:bCs/>
          <w:color w:val="000000"/>
          <w:sz w:val="28"/>
          <w:szCs w:val="28"/>
          <w:lang w:val="en-US" w:eastAsia="zh-CN"/>
        </w:rPr>
      </w:pPr>
      <w:bookmarkStart w:id="195" w:name="_Toc12155"/>
      <w:r>
        <w:rPr>
          <w:rFonts w:hint="eastAsia"/>
          <w:b/>
          <w:bCs/>
          <w:color w:val="000000"/>
          <w:sz w:val="28"/>
          <w:szCs w:val="28"/>
          <w:lang w:val="en-US" w:eastAsia="zh-CN"/>
        </w:rPr>
        <w:t>3.1.1概述</w:t>
      </w:r>
      <w:bookmarkEnd w:id="195"/>
    </w:p>
    <w:p>
      <w:pPr>
        <w:spacing w:line="360" w:lineRule="auto"/>
        <w:ind w:left="0" w:leftChars="0" w:firstLine="420" w:firstLineChars="150"/>
        <w:jc w:val="left"/>
        <w:rPr>
          <w:rFonts w:hint="default"/>
          <w:color w:val="FF0000"/>
          <w:sz w:val="28"/>
          <w:szCs w:val="28"/>
          <w:lang w:val="en-US" w:eastAsia="zh-CN"/>
        </w:rPr>
      </w:pPr>
      <w:r>
        <w:rPr>
          <w:rFonts w:hint="eastAsia"/>
          <w:color w:val="FF0000"/>
          <w:sz w:val="28"/>
          <w:szCs w:val="28"/>
          <w:lang w:val="en-US" w:eastAsia="zh-CN"/>
        </w:rPr>
        <w:t>1、</w:t>
      </w:r>
      <w:r>
        <w:rPr>
          <w:rFonts w:hint="default"/>
          <w:color w:val="FF0000"/>
          <w:sz w:val="28"/>
          <w:szCs w:val="28"/>
          <w:lang w:val="en-US" w:eastAsia="zh-CN"/>
        </w:rPr>
        <w:t>根据</w:t>
      </w:r>
      <w:r>
        <w:rPr>
          <w:rFonts w:hint="eastAsia"/>
          <w:color w:val="FF0000"/>
          <w:sz w:val="28"/>
          <w:szCs w:val="28"/>
          <w:lang w:val="en-US" w:eastAsia="zh-CN"/>
        </w:rPr>
        <w:t>重庆市涪陵区</w:t>
      </w:r>
      <w:r>
        <w:rPr>
          <w:rFonts w:hint="default"/>
          <w:color w:val="FF0000"/>
          <w:sz w:val="28"/>
          <w:szCs w:val="28"/>
          <w:lang w:val="en-US" w:eastAsia="zh-CN"/>
        </w:rPr>
        <w:t>气象条件，本设计范围的相关建筑物内的所有房间均可满足工艺及人员值班对于防寒防冻的要求，无需进行</w:t>
      </w:r>
      <w:r>
        <w:rPr>
          <w:rFonts w:hint="eastAsia"/>
          <w:color w:val="FF0000"/>
          <w:sz w:val="28"/>
          <w:szCs w:val="28"/>
          <w:lang w:val="en-US" w:eastAsia="zh-CN"/>
        </w:rPr>
        <w:t>其他采暖</w:t>
      </w:r>
      <w:r>
        <w:rPr>
          <w:rFonts w:hint="default"/>
          <w:color w:val="FF0000"/>
          <w:sz w:val="28"/>
          <w:szCs w:val="28"/>
          <w:lang w:val="en-US" w:eastAsia="zh-CN"/>
        </w:rPr>
        <w:t>设计。</w:t>
      </w:r>
    </w:p>
    <w:p>
      <w:pPr>
        <w:spacing w:line="360" w:lineRule="auto"/>
        <w:ind w:left="0" w:leftChars="0" w:firstLine="420" w:firstLineChars="150"/>
        <w:jc w:val="left"/>
        <w:rPr>
          <w:rFonts w:hint="default"/>
          <w:color w:val="000000"/>
          <w:sz w:val="28"/>
          <w:szCs w:val="28"/>
          <w:lang w:val="en-US" w:eastAsia="zh-CN"/>
        </w:rPr>
      </w:pPr>
      <w:r>
        <w:rPr>
          <w:rFonts w:hint="eastAsia"/>
          <w:color w:val="000000"/>
          <w:sz w:val="28"/>
          <w:szCs w:val="28"/>
          <w:lang w:val="en-US" w:eastAsia="zh-CN"/>
        </w:rPr>
        <w:t>2、</w:t>
      </w:r>
      <w:r>
        <w:rPr>
          <w:rFonts w:hint="default"/>
          <w:color w:val="000000"/>
          <w:sz w:val="28"/>
          <w:szCs w:val="28"/>
          <w:lang w:val="en-US" w:eastAsia="zh-CN"/>
        </w:rPr>
        <w:t>排除余热余湿的工艺房间的通风系统采用机械通风的方式。对于配电室，为满足其温湿度要求，同时配备了分体空调进行降温除湿设施。</w:t>
      </w:r>
    </w:p>
    <w:p>
      <w:pPr>
        <w:spacing w:line="360" w:lineRule="auto"/>
        <w:ind w:left="0" w:leftChars="0" w:firstLine="420" w:firstLineChars="150"/>
        <w:jc w:val="left"/>
        <w:rPr>
          <w:rFonts w:hint="default"/>
          <w:color w:val="000000"/>
          <w:sz w:val="28"/>
          <w:szCs w:val="28"/>
          <w:lang w:val="en-US" w:eastAsia="zh-CN"/>
        </w:rPr>
      </w:pPr>
      <w:r>
        <w:rPr>
          <w:rFonts w:hint="eastAsia"/>
          <w:color w:val="000000"/>
          <w:sz w:val="28"/>
          <w:szCs w:val="28"/>
          <w:lang w:val="en-US" w:eastAsia="zh-CN"/>
        </w:rPr>
        <w:t>3、</w:t>
      </w:r>
      <w:r>
        <w:rPr>
          <w:rFonts w:hint="default"/>
          <w:color w:val="000000"/>
          <w:sz w:val="28"/>
          <w:szCs w:val="28"/>
          <w:lang w:val="en-US" w:eastAsia="zh-CN"/>
        </w:rPr>
        <w:t>排除SF6等有毒有害气体的工艺房间的通风系统采用机械通风的方式</w:t>
      </w:r>
      <w:r>
        <w:rPr>
          <w:rFonts w:hint="eastAsia"/>
          <w:color w:val="000000"/>
          <w:sz w:val="28"/>
          <w:szCs w:val="28"/>
          <w:lang w:val="en-US" w:eastAsia="zh-CN"/>
        </w:rPr>
        <w:t>，</w:t>
      </w:r>
      <w:r>
        <w:rPr>
          <w:rFonts w:hint="default"/>
          <w:color w:val="000000"/>
          <w:sz w:val="28"/>
          <w:szCs w:val="28"/>
          <w:lang w:val="en-US" w:eastAsia="zh-CN"/>
        </w:rPr>
        <w:t>至少应设置下部吸风口。通风系统应与SF6气体泄漏报警装置连锁。</w:t>
      </w:r>
    </w:p>
    <w:p>
      <w:pPr>
        <w:spacing w:line="360" w:lineRule="auto"/>
        <w:ind w:left="0" w:leftChars="0" w:firstLine="420" w:firstLineChars="150"/>
        <w:jc w:val="left"/>
        <w:rPr>
          <w:rFonts w:hint="default"/>
          <w:color w:val="000000"/>
          <w:sz w:val="28"/>
          <w:szCs w:val="28"/>
          <w:lang w:val="en-US" w:eastAsia="zh-CN"/>
        </w:rPr>
      </w:pPr>
      <w:r>
        <w:rPr>
          <w:rFonts w:hint="eastAsia"/>
          <w:color w:val="000000"/>
          <w:sz w:val="28"/>
          <w:szCs w:val="28"/>
          <w:lang w:val="en-US" w:eastAsia="zh-CN"/>
        </w:rPr>
        <w:t>4、</w:t>
      </w:r>
      <w:r>
        <w:rPr>
          <w:rFonts w:hint="default"/>
          <w:color w:val="000000"/>
          <w:sz w:val="28"/>
          <w:szCs w:val="28"/>
          <w:lang w:val="en-US" w:eastAsia="zh-CN"/>
        </w:rPr>
        <w:t>排除易燃易爆</w:t>
      </w:r>
      <w:r>
        <w:rPr>
          <w:rFonts w:hint="eastAsia"/>
          <w:color w:val="000000"/>
          <w:sz w:val="28"/>
          <w:szCs w:val="28"/>
          <w:lang w:val="en-US" w:eastAsia="zh-CN"/>
        </w:rPr>
        <w:t>有毒</w:t>
      </w:r>
      <w:r>
        <w:rPr>
          <w:rFonts w:hint="default"/>
          <w:color w:val="000000"/>
          <w:sz w:val="28"/>
          <w:szCs w:val="28"/>
          <w:lang w:val="en-US" w:eastAsia="zh-CN"/>
        </w:rPr>
        <w:t>气体的工艺房间的通风系统采用机械通风的方式</w:t>
      </w:r>
      <w:r>
        <w:rPr>
          <w:rFonts w:hint="eastAsia"/>
          <w:color w:val="000000"/>
          <w:sz w:val="28"/>
          <w:szCs w:val="28"/>
          <w:lang w:val="en-US" w:eastAsia="zh-CN"/>
        </w:rPr>
        <w:t>，</w:t>
      </w:r>
      <w:r>
        <w:rPr>
          <w:rFonts w:hint="default"/>
          <w:color w:val="000000"/>
          <w:sz w:val="28"/>
          <w:szCs w:val="28"/>
          <w:lang w:val="en-US" w:eastAsia="zh-CN"/>
        </w:rPr>
        <w:t>应设置与顶棚平面不大于0.1米的上部吸风口。通风系统应与易燃易爆</w:t>
      </w:r>
      <w:r>
        <w:rPr>
          <w:rFonts w:hint="eastAsia"/>
          <w:color w:val="000000"/>
          <w:sz w:val="28"/>
          <w:szCs w:val="28"/>
          <w:lang w:val="en-US" w:eastAsia="zh-CN"/>
        </w:rPr>
        <w:t>有毒</w:t>
      </w:r>
      <w:r>
        <w:rPr>
          <w:rFonts w:hint="default"/>
          <w:color w:val="000000"/>
          <w:sz w:val="28"/>
          <w:szCs w:val="28"/>
          <w:lang w:val="en-US" w:eastAsia="zh-CN"/>
        </w:rPr>
        <w:t>气体浓度检测装置连锁。</w:t>
      </w:r>
    </w:p>
    <w:p>
      <w:pPr>
        <w:spacing w:line="360" w:lineRule="auto"/>
        <w:ind w:left="0" w:leftChars="0" w:firstLine="420" w:firstLineChars="150"/>
        <w:jc w:val="left"/>
        <w:rPr>
          <w:rFonts w:hint="default"/>
          <w:color w:val="000000"/>
          <w:sz w:val="28"/>
          <w:szCs w:val="28"/>
          <w:lang w:val="en-US" w:eastAsia="zh-CN"/>
        </w:rPr>
      </w:pPr>
      <w:r>
        <w:rPr>
          <w:rFonts w:hint="eastAsia"/>
          <w:color w:val="000000"/>
          <w:sz w:val="28"/>
          <w:szCs w:val="28"/>
          <w:lang w:val="en-US" w:eastAsia="zh-CN"/>
        </w:rPr>
        <w:t>5、</w:t>
      </w:r>
      <w:r>
        <w:rPr>
          <w:rFonts w:hint="default"/>
          <w:color w:val="000000"/>
          <w:sz w:val="28"/>
          <w:szCs w:val="28"/>
          <w:lang w:val="en-US" w:eastAsia="zh-CN"/>
        </w:rPr>
        <w:t>采用风冷分体空调机组。</w:t>
      </w:r>
    </w:p>
    <w:p>
      <w:pPr>
        <w:spacing w:line="360" w:lineRule="auto"/>
        <w:jc w:val="left"/>
        <w:outlineLvl w:val="2"/>
        <w:rPr>
          <w:rFonts w:hint="default"/>
          <w:b/>
          <w:bCs/>
          <w:color w:val="000000"/>
          <w:sz w:val="28"/>
          <w:szCs w:val="28"/>
          <w:lang w:val="en-US" w:eastAsia="zh-CN"/>
        </w:rPr>
      </w:pPr>
      <w:bookmarkStart w:id="196" w:name="_Toc7962"/>
      <w:r>
        <w:rPr>
          <w:rFonts w:hint="eastAsia"/>
          <w:b/>
          <w:bCs/>
          <w:color w:val="000000"/>
          <w:sz w:val="28"/>
          <w:szCs w:val="28"/>
          <w:lang w:val="en-US" w:eastAsia="zh-CN"/>
        </w:rPr>
        <w:t>3.1.2</w:t>
      </w:r>
      <w:r>
        <w:rPr>
          <w:rFonts w:hint="default"/>
          <w:b/>
          <w:bCs/>
          <w:color w:val="000000"/>
          <w:sz w:val="28"/>
          <w:szCs w:val="28"/>
          <w:lang w:val="en-US" w:eastAsia="zh-CN"/>
        </w:rPr>
        <w:t>通风</w:t>
      </w:r>
      <w:r>
        <w:rPr>
          <w:rFonts w:hint="eastAsia"/>
          <w:b/>
          <w:bCs/>
          <w:color w:val="000000"/>
          <w:sz w:val="28"/>
          <w:szCs w:val="28"/>
          <w:lang w:val="en-US" w:eastAsia="zh-CN"/>
        </w:rPr>
        <w:t>设计</w:t>
      </w:r>
      <w:bookmarkEnd w:id="196"/>
    </w:p>
    <w:p>
      <w:pPr>
        <w:spacing w:line="360" w:lineRule="auto"/>
        <w:ind w:firstLine="482"/>
        <w:jc w:val="left"/>
        <w:rPr>
          <w:rFonts w:hint="default"/>
          <w:color w:val="000000"/>
          <w:sz w:val="28"/>
          <w:szCs w:val="28"/>
          <w:lang w:val="en-US" w:eastAsia="zh-CN"/>
        </w:rPr>
      </w:pPr>
      <w:r>
        <w:rPr>
          <w:rFonts w:hint="eastAsia"/>
          <w:color w:val="000000"/>
          <w:sz w:val="28"/>
          <w:szCs w:val="28"/>
          <w:lang w:val="en-US" w:eastAsia="zh-CN"/>
        </w:rPr>
        <w:t>1、</w:t>
      </w:r>
      <w:r>
        <w:rPr>
          <w:rFonts w:hint="default"/>
          <w:color w:val="000000"/>
          <w:sz w:val="28"/>
          <w:szCs w:val="28"/>
          <w:lang w:val="en-US" w:eastAsia="zh-CN"/>
        </w:rPr>
        <w:t>110kV变电所内的电缆室、110kV补偿室、110kVGIS室、10kV接地装置室、10kV无功补偿室等各室的墙壁上设消除设备余热的墙壁式轴流风机，各房间的设计温度≤35℃</w:t>
      </w:r>
      <w:r>
        <w:rPr>
          <w:rFonts w:hint="eastAsia"/>
          <w:color w:val="000000"/>
          <w:sz w:val="28"/>
          <w:szCs w:val="28"/>
          <w:lang w:val="en-US" w:eastAsia="zh-CN"/>
        </w:rPr>
        <w:t>。</w:t>
      </w:r>
      <w:r>
        <w:rPr>
          <w:rFonts w:hint="default"/>
          <w:color w:val="000000"/>
          <w:sz w:val="28"/>
          <w:szCs w:val="28"/>
          <w:lang w:val="en-US" w:eastAsia="zh-CN"/>
        </w:rPr>
        <w:t xml:space="preserve"> </w:t>
      </w:r>
    </w:p>
    <w:p>
      <w:pPr>
        <w:spacing w:line="360" w:lineRule="auto"/>
        <w:ind w:firstLine="482"/>
        <w:jc w:val="left"/>
        <w:rPr>
          <w:rFonts w:hint="default"/>
          <w:color w:val="000000"/>
          <w:sz w:val="28"/>
          <w:szCs w:val="28"/>
          <w:lang w:val="en-US" w:eastAsia="zh-CN"/>
        </w:rPr>
      </w:pPr>
      <w:r>
        <w:rPr>
          <w:rFonts w:hint="eastAsia"/>
          <w:color w:val="000000"/>
          <w:sz w:val="28"/>
          <w:szCs w:val="28"/>
          <w:lang w:val="en-US" w:eastAsia="zh-CN"/>
        </w:rPr>
        <w:t>2、</w:t>
      </w:r>
      <w:r>
        <w:rPr>
          <w:rFonts w:hint="default"/>
          <w:color w:val="000000"/>
          <w:sz w:val="28"/>
          <w:szCs w:val="28"/>
          <w:lang w:val="en-US" w:eastAsia="zh-CN"/>
        </w:rPr>
        <w:t>110kV GIS室墙壁下部设排除SF6风机。</w:t>
      </w:r>
    </w:p>
    <w:p>
      <w:pPr>
        <w:spacing w:line="360" w:lineRule="auto"/>
        <w:ind w:firstLine="482"/>
        <w:jc w:val="left"/>
        <w:rPr>
          <w:rFonts w:hint="default"/>
          <w:color w:val="000000"/>
          <w:sz w:val="28"/>
          <w:szCs w:val="28"/>
          <w:lang w:val="en-US" w:eastAsia="zh-CN"/>
        </w:rPr>
      </w:pPr>
      <w:r>
        <w:rPr>
          <w:rFonts w:hint="eastAsia"/>
          <w:color w:val="000000"/>
          <w:sz w:val="28"/>
          <w:szCs w:val="28"/>
          <w:lang w:val="en-US" w:eastAsia="zh-CN"/>
        </w:rPr>
        <w:t>3、</w:t>
      </w:r>
      <w:r>
        <w:rPr>
          <w:rFonts w:hint="default"/>
          <w:color w:val="000000"/>
          <w:sz w:val="28"/>
          <w:szCs w:val="28"/>
          <w:lang w:val="en-US" w:eastAsia="zh-CN"/>
        </w:rPr>
        <w:t>110kVGIS室、10kV配电装置室等各室的墙壁上设房间事故后通风换气的墙壁式轴流风机，换气次数不小于12次/小时。</w:t>
      </w:r>
    </w:p>
    <w:p>
      <w:pPr>
        <w:pStyle w:val="2"/>
        <w:ind w:left="0" w:leftChars="0" w:firstLine="0" w:firstLineChars="0"/>
        <w:rPr>
          <w:rFonts w:hint="default"/>
          <w:sz w:val="28"/>
          <w:szCs w:val="28"/>
          <w:lang w:val="en-US" w:eastAsia="zh-CN"/>
        </w:rPr>
      </w:pPr>
      <w:r>
        <w:rPr>
          <w:rFonts w:hint="eastAsia"/>
          <w:color w:val="000000"/>
          <w:sz w:val="28"/>
          <w:szCs w:val="28"/>
          <w:lang w:val="en-US" w:eastAsia="zh-CN"/>
        </w:rPr>
        <w:t xml:space="preserve">   4、变压器室、电容器室当采用机械通风或变（配）电站位于地下室时，其通风管道应采用非燃烧材料制作。周围环境污秽，应加空气过滤器（进风口处）。</w:t>
      </w:r>
    </w:p>
    <w:p>
      <w:pPr>
        <w:spacing w:line="360" w:lineRule="auto"/>
        <w:jc w:val="left"/>
        <w:outlineLvl w:val="2"/>
        <w:rPr>
          <w:rFonts w:hint="default"/>
          <w:b/>
          <w:bCs/>
          <w:color w:val="000000"/>
          <w:sz w:val="28"/>
          <w:szCs w:val="28"/>
          <w:lang w:val="en-US" w:eastAsia="zh-CN"/>
        </w:rPr>
      </w:pPr>
      <w:bookmarkStart w:id="197" w:name="_Toc14760"/>
      <w:r>
        <w:rPr>
          <w:rFonts w:hint="eastAsia"/>
          <w:b/>
          <w:bCs/>
          <w:color w:val="000000"/>
          <w:sz w:val="28"/>
          <w:szCs w:val="28"/>
          <w:lang w:val="en-US" w:eastAsia="zh-CN"/>
        </w:rPr>
        <w:t>3.1.3</w:t>
      </w:r>
      <w:r>
        <w:rPr>
          <w:rFonts w:hint="default"/>
          <w:b/>
          <w:bCs/>
          <w:color w:val="000000"/>
          <w:sz w:val="28"/>
          <w:szCs w:val="28"/>
          <w:lang w:val="en-US" w:eastAsia="zh-CN"/>
        </w:rPr>
        <w:t>空调</w:t>
      </w:r>
      <w:r>
        <w:rPr>
          <w:rFonts w:hint="eastAsia"/>
          <w:b/>
          <w:bCs/>
          <w:color w:val="000000"/>
          <w:sz w:val="28"/>
          <w:szCs w:val="28"/>
          <w:lang w:val="en-US" w:eastAsia="zh-CN"/>
        </w:rPr>
        <w:t>设计</w:t>
      </w:r>
      <w:bookmarkEnd w:id="197"/>
    </w:p>
    <w:p>
      <w:pPr>
        <w:spacing w:line="360" w:lineRule="auto"/>
        <w:ind w:firstLine="482"/>
        <w:jc w:val="left"/>
        <w:rPr>
          <w:rFonts w:hint="default"/>
          <w:color w:val="000000"/>
          <w:sz w:val="28"/>
          <w:szCs w:val="28"/>
          <w:lang w:val="en-US" w:eastAsia="zh-CN"/>
        </w:rPr>
      </w:pPr>
      <w:r>
        <w:rPr>
          <w:rFonts w:hint="eastAsia"/>
          <w:color w:val="000000"/>
          <w:sz w:val="28"/>
          <w:szCs w:val="28"/>
          <w:lang w:val="en-US" w:eastAsia="zh-CN"/>
        </w:rPr>
        <w:t>1、</w:t>
      </w:r>
      <w:r>
        <w:rPr>
          <w:rFonts w:hint="default"/>
          <w:color w:val="000000"/>
          <w:sz w:val="28"/>
          <w:szCs w:val="28"/>
          <w:lang w:val="en-US" w:eastAsia="zh-CN"/>
        </w:rPr>
        <w:t>为消除10kV配电室、二次设备室、检修试验室、蓄电池室、办公室、休息室等室内设备散发的余热，改善工作人员的工作环境和确保电气设备正常运行，在房间内设置风冷型空调机进行温度调节。其中蓄电池室应设置防爆空调。</w:t>
      </w:r>
    </w:p>
    <w:p>
      <w:pPr>
        <w:spacing w:line="360" w:lineRule="auto"/>
        <w:ind w:firstLine="482"/>
        <w:jc w:val="left"/>
        <w:rPr>
          <w:rFonts w:hint="default"/>
          <w:color w:val="000000"/>
          <w:sz w:val="28"/>
          <w:szCs w:val="28"/>
          <w:lang w:val="en-US" w:eastAsia="zh-CN"/>
        </w:rPr>
      </w:pPr>
      <w:r>
        <w:rPr>
          <w:rFonts w:hint="eastAsia"/>
          <w:color w:val="000000"/>
          <w:sz w:val="28"/>
          <w:szCs w:val="28"/>
          <w:lang w:val="en-US" w:eastAsia="zh-CN"/>
        </w:rPr>
        <w:t>2、</w:t>
      </w:r>
      <w:r>
        <w:rPr>
          <w:rFonts w:hint="default"/>
          <w:color w:val="000000"/>
          <w:sz w:val="28"/>
          <w:szCs w:val="28"/>
          <w:lang w:val="en-US" w:eastAsia="zh-CN"/>
        </w:rPr>
        <w:t>二次设备室、办公室、休息室等有人值守的房间采用冷暖型空调机，夏季室温控制在26℃；其余高压配电室等无人值守的房间采用单冷型空调机，夏季室温控制在＜35℃。</w:t>
      </w:r>
    </w:p>
    <w:p>
      <w:pPr>
        <w:spacing w:line="360" w:lineRule="auto"/>
        <w:ind w:firstLine="482"/>
        <w:jc w:val="left"/>
        <w:rPr>
          <w:rFonts w:hint="default"/>
          <w:color w:val="000000"/>
          <w:sz w:val="28"/>
          <w:szCs w:val="28"/>
          <w:lang w:val="en-US" w:eastAsia="zh-CN"/>
        </w:rPr>
      </w:pPr>
      <w:r>
        <w:rPr>
          <w:rFonts w:hint="eastAsia"/>
          <w:color w:val="000000"/>
          <w:sz w:val="28"/>
          <w:szCs w:val="28"/>
          <w:lang w:val="en-US" w:eastAsia="zh-CN"/>
        </w:rPr>
        <w:t>3、</w:t>
      </w:r>
      <w:r>
        <w:rPr>
          <w:rFonts w:hint="default"/>
          <w:color w:val="000000"/>
          <w:sz w:val="28"/>
          <w:szCs w:val="28"/>
          <w:lang w:val="en-US" w:eastAsia="zh-CN"/>
        </w:rPr>
        <w:t>对于有消防要求的房间，空调设备和通风设备与火灾报警系统联锁。一旦机房内发生火灾，空调设备和通风设备自动断电停机。</w:t>
      </w:r>
    </w:p>
    <w:p>
      <w:pPr>
        <w:spacing w:line="360" w:lineRule="auto"/>
        <w:ind w:firstLine="482"/>
        <w:jc w:val="left"/>
        <w:rPr>
          <w:rFonts w:hint="default"/>
          <w:color w:val="000000"/>
          <w:sz w:val="28"/>
          <w:szCs w:val="28"/>
          <w:lang w:val="en-US" w:eastAsia="zh-CN"/>
        </w:rPr>
      </w:pPr>
      <w:r>
        <w:rPr>
          <w:rFonts w:hint="eastAsia"/>
          <w:color w:val="000000"/>
          <w:sz w:val="28"/>
          <w:szCs w:val="28"/>
          <w:lang w:val="en-US" w:eastAsia="zh-CN"/>
        </w:rPr>
        <w:t>4、控制室和配电室内的采暖装置，宜采用钢管焊接，且不应有法兰、螺纹接头和阀门等。</w:t>
      </w:r>
    </w:p>
    <w:p>
      <w:pPr>
        <w:spacing w:line="360" w:lineRule="auto"/>
        <w:jc w:val="left"/>
        <w:outlineLvl w:val="1"/>
        <w:rPr>
          <w:rFonts w:hint="default"/>
          <w:b/>
          <w:bCs/>
          <w:color w:val="000000"/>
          <w:sz w:val="28"/>
          <w:szCs w:val="28"/>
          <w:lang w:val="en-US" w:eastAsia="zh-CN"/>
        </w:rPr>
      </w:pPr>
      <w:bookmarkStart w:id="198" w:name="_Toc21938"/>
      <w:r>
        <w:rPr>
          <w:rFonts w:hint="eastAsia"/>
          <w:b/>
          <w:bCs/>
          <w:color w:val="000000"/>
          <w:sz w:val="28"/>
          <w:szCs w:val="28"/>
          <w:lang w:val="en-US" w:eastAsia="zh-CN"/>
        </w:rPr>
        <w:t>3.2</w:t>
      </w:r>
      <w:r>
        <w:rPr>
          <w:rFonts w:hint="default"/>
          <w:b/>
          <w:bCs/>
          <w:color w:val="000000"/>
          <w:sz w:val="28"/>
          <w:szCs w:val="28"/>
          <w:lang w:val="en-US" w:eastAsia="zh-CN"/>
        </w:rPr>
        <w:t>给排水</w:t>
      </w:r>
      <w:bookmarkEnd w:id="198"/>
    </w:p>
    <w:p>
      <w:pPr>
        <w:spacing w:line="360" w:lineRule="auto"/>
        <w:jc w:val="left"/>
        <w:outlineLvl w:val="2"/>
        <w:rPr>
          <w:rFonts w:hint="default"/>
          <w:b/>
          <w:bCs/>
          <w:color w:val="000000"/>
          <w:sz w:val="28"/>
          <w:szCs w:val="28"/>
          <w:lang w:val="en-US" w:eastAsia="zh-CN"/>
        </w:rPr>
      </w:pPr>
      <w:bookmarkStart w:id="199" w:name="_Toc1702"/>
      <w:r>
        <w:rPr>
          <w:rFonts w:hint="eastAsia"/>
          <w:b/>
          <w:bCs/>
          <w:color w:val="000000"/>
          <w:sz w:val="28"/>
          <w:szCs w:val="28"/>
          <w:lang w:val="en-US" w:eastAsia="zh-CN"/>
        </w:rPr>
        <w:t>3.2.1</w:t>
      </w:r>
      <w:r>
        <w:rPr>
          <w:rFonts w:hint="default"/>
          <w:b/>
          <w:bCs/>
          <w:color w:val="000000"/>
          <w:sz w:val="28"/>
          <w:szCs w:val="28"/>
          <w:lang w:val="en-US" w:eastAsia="zh-CN"/>
        </w:rPr>
        <w:t>概述</w:t>
      </w:r>
      <w:bookmarkEnd w:id="199"/>
    </w:p>
    <w:p>
      <w:pPr>
        <w:spacing w:line="360" w:lineRule="auto"/>
        <w:ind w:left="0" w:leftChars="0" w:firstLine="420" w:firstLineChars="150"/>
        <w:jc w:val="left"/>
        <w:rPr>
          <w:rFonts w:hint="default"/>
          <w:color w:val="000000"/>
          <w:sz w:val="28"/>
          <w:szCs w:val="28"/>
          <w:lang w:val="en-US" w:eastAsia="zh-CN"/>
        </w:rPr>
      </w:pPr>
      <w:r>
        <w:rPr>
          <w:rFonts w:hint="eastAsia"/>
          <w:color w:val="000000"/>
          <w:sz w:val="28"/>
          <w:szCs w:val="28"/>
          <w:lang w:val="en-US" w:eastAsia="zh-CN"/>
        </w:rPr>
        <w:t>1、</w:t>
      </w:r>
      <w:r>
        <w:rPr>
          <w:rFonts w:hint="default"/>
          <w:color w:val="000000"/>
          <w:sz w:val="28"/>
          <w:szCs w:val="28"/>
          <w:lang w:val="en-US" w:eastAsia="zh-CN"/>
        </w:rPr>
        <w:t>本设计为110kV变电站配套的给排水设施，给排水管道交接点在各变电所范围线外</w:t>
      </w:r>
      <w:r>
        <w:rPr>
          <w:rFonts w:hint="eastAsia"/>
          <w:color w:val="000000"/>
          <w:sz w:val="28"/>
          <w:szCs w:val="28"/>
          <w:lang w:val="en-US" w:eastAsia="zh-CN"/>
        </w:rPr>
        <w:t>，接驳位于园区蓄水池泵房内，其设计必须满足现行国家规</w:t>
      </w:r>
      <w:r>
        <w:rPr>
          <w:rFonts w:hint="eastAsia"/>
          <w:color w:val="auto"/>
          <w:sz w:val="28"/>
          <w:szCs w:val="28"/>
          <w:lang w:val="en-US" w:eastAsia="zh-CN"/>
        </w:rPr>
        <w:t>范标准</w:t>
      </w:r>
      <w:r>
        <w:rPr>
          <w:rFonts w:hint="default"/>
          <w:color w:val="auto"/>
          <w:sz w:val="28"/>
          <w:szCs w:val="28"/>
          <w:lang w:val="en-US" w:eastAsia="zh-CN"/>
        </w:rPr>
        <w:t>。</w:t>
      </w:r>
    </w:p>
    <w:p>
      <w:pPr>
        <w:pStyle w:val="2"/>
        <w:ind w:left="0" w:leftChars="0" w:firstLine="420" w:firstLineChars="150"/>
        <w:rPr>
          <w:rFonts w:hint="eastAsia" w:cs="Times New Roman"/>
          <w:color w:val="auto"/>
          <w:kern w:val="2"/>
          <w:sz w:val="28"/>
          <w:szCs w:val="28"/>
          <w:lang w:val="en-US" w:eastAsia="zh-CN" w:bidi="ar-SA"/>
        </w:rPr>
      </w:pPr>
      <w:r>
        <w:rPr>
          <w:rFonts w:hint="eastAsia" w:ascii="Times New Roman" w:hAnsi="Times New Roman" w:cs="Times New Roman"/>
          <w:color w:val="000000"/>
          <w:kern w:val="2"/>
          <w:sz w:val="28"/>
          <w:szCs w:val="28"/>
          <w:lang w:val="en-US" w:eastAsia="zh-CN" w:bidi="ar-SA"/>
        </w:rPr>
        <w:t>2</w:t>
      </w:r>
      <w:r>
        <w:rPr>
          <w:rFonts w:hint="eastAsia" w:ascii="Times New Roman" w:hAnsi="Times New Roman" w:cs="Times New Roman"/>
          <w:color w:val="auto"/>
          <w:kern w:val="2"/>
          <w:sz w:val="28"/>
          <w:szCs w:val="28"/>
          <w:lang w:val="en-US" w:eastAsia="zh-CN" w:bidi="ar-SA"/>
        </w:rPr>
        <w:t>、由于地块受限，变电站消防用水考虑接入蓄水池及水泵来解决</w:t>
      </w:r>
      <w:r>
        <w:rPr>
          <w:rFonts w:hint="eastAsia" w:cs="Times New Roman"/>
          <w:color w:val="auto"/>
          <w:kern w:val="2"/>
          <w:sz w:val="28"/>
          <w:szCs w:val="28"/>
          <w:lang w:val="en-US" w:eastAsia="zh-CN" w:bidi="ar-SA"/>
        </w:rPr>
        <w:t>，</w:t>
      </w:r>
      <w:r>
        <w:rPr>
          <w:rFonts w:hint="default" w:ascii="Times New Roman" w:hAnsi="Times New Roman" w:eastAsia="宋体" w:cs="Times New Roman"/>
          <w:color w:val="auto"/>
          <w:kern w:val="2"/>
          <w:sz w:val="28"/>
          <w:szCs w:val="28"/>
          <w:lang w:val="en-US" w:eastAsia="zh-CN" w:bidi="ar-SA"/>
        </w:rPr>
        <w:t>厂区工业生产生活用水与消防用水水池合用水池，</w:t>
      </w:r>
      <w:r>
        <w:rPr>
          <w:rFonts w:hint="eastAsia" w:cs="Times New Roman"/>
          <w:color w:val="auto"/>
          <w:kern w:val="2"/>
          <w:sz w:val="28"/>
          <w:szCs w:val="28"/>
          <w:lang w:val="en-US" w:eastAsia="zh-CN" w:bidi="ar-SA"/>
        </w:rPr>
        <w:t>总</w:t>
      </w:r>
      <w:r>
        <w:rPr>
          <w:rFonts w:hint="default" w:ascii="Times New Roman" w:hAnsi="Times New Roman" w:eastAsia="宋体" w:cs="Times New Roman"/>
          <w:color w:val="auto"/>
          <w:kern w:val="2"/>
          <w:sz w:val="28"/>
          <w:szCs w:val="28"/>
          <w:lang w:val="en-US" w:eastAsia="zh-CN" w:bidi="ar-SA"/>
        </w:rPr>
        <w:t>2000m3水池，其中存储消防用水量1476 m3，剩余524 m3为生产生活存储用水。投标单位负责</w:t>
      </w:r>
      <w:r>
        <w:rPr>
          <w:rFonts w:hint="eastAsia" w:cs="Times New Roman"/>
          <w:color w:val="auto"/>
          <w:kern w:val="2"/>
          <w:sz w:val="28"/>
          <w:szCs w:val="28"/>
          <w:lang w:val="en-US" w:eastAsia="zh-CN" w:bidi="ar-SA"/>
        </w:rPr>
        <w:t>设计由</w:t>
      </w:r>
      <w:r>
        <w:rPr>
          <w:rFonts w:hint="default" w:ascii="Times New Roman" w:hAnsi="Times New Roman" w:eastAsia="宋体" w:cs="Times New Roman"/>
          <w:color w:val="auto"/>
          <w:kern w:val="2"/>
          <w:sz w:val="28"/>
          <w:szCs w:val="28"/>
          <w:lang w:val="en-US" w:eastAsia="zh-CN" w:bidi="ar-SA"/>
        </w:rPr>
        <w:t>站</w:t>
      </w:r>
      <w:r>
        <w:rPr>
          <w:rFonts w:hint="eastAsia" w:cs="Times New Roman"/>
          <w:color w:val="auto"/>
          <w:kern w:val="2"/>
          <w:sz w:val="28"/>
          <w:szCs w:val="28"/>
          <w:lang w:val="en-US" w:eastAsia="zh-CN" w:bidi="ar-SA"/>
        </w:rPr>
        <w:t>附近用水排水管道处接入</w:t>
      </w:r>
      <w:r>
        <w:rPr>
          <w:rFonts w:hint="default" w:ascii="Times New Roman" w:hAnsi="Times New Roman" w:eastAsia="宋体" w:cs="Times New Roman"/>
          <w:color w:val="auto"/>
          <w:kern w:val="2"/>
          <w:sz w:val="28"/>
          <w:szCs w:val="28"/>
          <w:lang w:val="en-US" w:eastAsia="zh-CN" w:bidi="ar-SA"/>
        </w:rPr>
        <w:t>所需的消防及生活用水，设计管道及泵阀，</w:t>
      </w:r>
      <w:r>
        <w:rPr>
          <w:rFonts w:hint="eastAsia" w:cs="Times New Roman"/>
          <w:color w:val="auto"/>
          <w:kern w:val="2"/>
          <w:sz w:val="28"/>
          <w:szCs w:val="28"/>
          <w:lang w:val="en-US" w:eastAsia="zh-CN" w:bidi="ar-SA"/>
        </w:rPr>
        <w:t>附近用水管排水道</w:t>
      </w:r>
      <w:r>
        <w:rPr>
          <w:rFonts w:hint="default" w:ascii="Times New Roman" w:hAnsi="Times New Roman" w:eastAsia="宋体" w:cs="Times New Roman"/>
          <w:color w:val="auto"/>
          <w:kern w:val="2"/>
          <w:sz w:val="28"/>
          <w:szCs w:val="28"/>
          <w:lang w:val="en-US" w:eastAsia="zh-CN" w:bidi="ar-SA"/>
        </w:rPr>
        <w:t>接入变电站的管道</w:t>
      </w:r>
      <w:r>
        <w:rPr>
          <w:rFonts w:hint="eastAsia" w:cs="Times New Roman"/>
          <w:color w:val="auto"/>
          <w:kern w:val="2"/>
          <w:sz w:val="28"/>
          <w:szCs w:val="28"/>
          <w:lang w:val="en-US" w:eastAsia="zh-CN" w:bidi="ar-SA"/>
        </w:rPr>
        <w:t>。</w:t>
      </w:r>
    </w:p>
    <w:p>
      <w:pPr>
        <w:pStyle w:val="2"/>
        <w:ind w:left="0" w:leftChars="0" w:firstLine="420" w:firstLineChars="150"/>
        <w:rPr>
          <w:rFonts w:hint="default" w:ascii="Times New Roman" w:hAnsi="Times New Roman" w:eastAsia="宋体" w:cs="Times New Roman"/>
          <w:color w:val="000000"/>
          <w:kern w:val="2"/>
          <w:sz w:val="28"/>
          <w:szCs w:val="28"/>
          <w:lang w:val="en-US" w:eastAsia="zh-CN" w:bidi="ar-SA"/>
        </w:rPr>
      </w:pPr>
      <w:r>
        <w:rPr>
          <w:rFonts w:hint="eastAsia" w:cs="Times New Roman"/>
          <w:color w:val="000000"/>
          <w:kern w:val="2"/>
          <w:sz w:val="28"/>
          <w:szCs w:val="28"/>
          <w:lang w:val="en-US" w:eastAsia="zh-CN" w:bidi="ar-SA"/>
        </w:rPr>
        <w:t>3</w:t>
      </w:r>
      <w:r>
        <w:rPr>
          <w:rFonts w:hint="default" w:ascii="Times New Roman" w:hAnsi="Times New Roman" w:eastAsia="宋体" w:cs="Times New Roman"/>
          <w:color w:val="000000"/>
          <w:kern w:val="2"/>
          <w:sz w:val="28"/>
          <w:szCs w:val="28"/>
          <w:lang w:val="en-US" w:eastAsia="zh-CN" w:bidi="ar-SA"/>
        </w:rPr>
        <w:t>、变电站站内道路和排水应顺畅连接厂区道路和排水系统。</w:t>
      </w:r>
    </w:p>
    <w:p>
      <w:pPr>
        <w:spacing w:line="360" w:lineRule="auto"/>
        <w:jc w:val="left"/>
        <w:outlineLvl w:val="2"/>
        <w:rPr>
          <w:rFonts w:hint="default"/>
          <w:b/>
          <w:bCs/>
          <w:color w:val="000000"/>
          <w:sz w:val="28"/>
          <w:szCs w:val="28"/>
          <w:lang w:val="en-US" w:eastAsia="zh-CN"/>
        </w:rPr>
      </w:pPr>
      <w:bookmarkStart w:id="200" w:name="_Toc19458"/>
      <w:r>
        <w:rPr>
          <w:rFonts w:hint="eastAsia"/>
          <w:b/>
          <w:bCs/>
          <w:color w:val="000000"/>
          <w:sz w:val="28"/>
          <w:szCs w:val="28"/>
          <w:lang w:val="en-US" w:eastAsia="zh-CN"/>
        </w:rPr>
        <w:t>3.2.2</w:t>
      </w:r>
      <w:r>
        <w:rPr>
          <w:rFonts w:hint="default"/>
          <w:b/>
          <w:bCs/>
          <w:color w:val="000000"/>
          <w:sz w:val="28"/>
          <w:szCs w:val="28"/>
          <w:lang w:val="en-US" w:eastAsia="zh-CN"/>
        </w:rPr>
        <w:t>给排水设施</w:t>
      </w:r>
      <w:r>
        <w:rPr>
          <w:rFonts w:hint="eastAsia"/>
          <w:b/>
          <w:bCs/>
          <w:color w:val="000000"/>
          <w:sz w:val="28"/>
          <w:szCs w:val="28"/>
          <w:lang w:val="en-US" w:eastAsia="zh-CN"/>
        </w:rPr>
        <w:t>设计</w:t>
      </w:r>
      <w:bookmarkEnd w:id="200"/>
    </w:p>
    <w:p>
      <w:pPr>
        <w:spacing w:line="360" w:lineRule="auto"/>
        <w:ind w:firstLine="482"/>
        <w:jc w:val="left"/>
        <w:rPr>
          <w:rFonts w:hint="default"/>
          <w:color w:val="000000"/>
          <w:sz w:val="28"/>
          <w:szCs w:val="28"/>
          <w:lang w:val="en-US" w:eastAsia="zh-CN"/>
        </w:rPr>
      </w:pPr>
      <w:r>
        <w:rPr>
          <w:rFonts w:hint="eastAsia"/>
          <w:color w:val="000000"/>
          <w:sz w:val="28"/>
          <w:szCs w:val="28"/>
          <w:lang w:val="en-US" w:eastAsia="zh-CN"/>
        </w:rPr>
        <w:t>1、</w:t>
      </w:r>
      <w:r>
        <w:rPr>
          <w:rFonts w:hint="default"/>
          <w:color w:val="000000"/>
          <w:sz w:val="28"/>
          <w:szCs w:val="28"/>
          <w:lang w:val="en-US" w:eastAsia="zh-CN"/>
        </w:rPr>
        <w:t>给排水设施主要包括：生活给水系统、室内外消防给水系统、生活</w:t>
      </w:r>
      <w:r>
        <w:rPr>
          <w:rFonts w:hint="eastAsia"/>
          <w:color w:val="000000"/>
          <w:sz w:val="28"/>
          <w:szCs w:val="28"/>
          <w:lang w:val="en-US" w:eastAsia="zh-CN"/>
        </w:rPr>
        <w:t>及</w:t>
      </w:r>
      <w:r>
        <w:rPr>
          <w:rFonts w:hint="default"/>
          <w:color w:val="000000"/>
          <w:sz w:val="28"/>
          <w:szCs w:val="28"/>
          <w:lang w:val="en-US" w:eastAsia="zh-CN"/>
        </w:rPr>
        <w:t>生产废水排水系统、雨水排水系统。</w:t>
      </w:r>
    </w:p>
    <w:p>
      <w:pPr>
        <w:spacing w:line="360" w:lineRule="auto"/>
        <w:ind w:firstLine="482"/>
        <w:jc w:val="left"/>
        <w:rPr>
          <w:rFonts w:hint="default"/>
          <w:color w:val="000000"/>
          <w:sz w:val="28"/>
          <w:szCs w:val="28"/>
          <w:lang w:val="en-US" w:eastAsia="zh-CN"/>
        </w:rPr>
      </w:pPr>
      <w:r>
        <w:rPr>
          <w:rFonts w:hint="eastAsia"/>
          <w:color w:val="000000"/>
          <w:sz w:val="28"/>
          <w:szCs w:val="28"/>
          <w:lang w:val="en-US" w:eastAsia="zh-CN"/>
        </w:rPr>
        <w:t>（1）</w:t>
      </w:r>
      <w:r>
        <w:rPr>
          <w:rFonts w:hint="default"/>
          <w:color w:val="000000"/>
          <w:sz w:val="28"/>
          <w:szCs w:val="28"/>
          <w:lang w:val="en-US" w:eastAsia="zh-CN"/>
        </w:rPr>
        <w:t>生活给水系统</w:t>
      </w:r>
    </w:p>
    <w:p>
      <w:pPr>
        <w:spacing w:line="360" w:lineRule="auto"/>
        <w:ind w:firstLine="482"/>
        <w:jc w:val="left"/>
        <w:rPr>
          <w:rFonts w:hint="default"/>
          <w:color w:val="000000"/>
          <w:sz w:val="28"/>
          <w:szCs w:val="28"/>
          <w:lang w:val="en-US" w:eastAsia="zh-CN"/>
        </w:rPr>
      </w:pPr>
      <w:r>
        <w:rPr>
          <w:rFonts w:hint="default"/>
          <w:color w:val="000000"/>
          <w:sz w:val="28"/>
          <w:szCs w:val="28"/>
          <w:lang w:val="en-US" w:eastAsia="zh-CN"/>
        </w:rPr>
        <w:t>本系统主要供给110kV变电所卫生间用水，由全厂生活给水管网供给。</w:t>
      </w:r>
    </w:p>
    <w:p>
      <w:pPr>
        <w:spacing w:line="360" w:lineRule="auto"/>
        <w:ind w:firstLine="482"/>
        <w:jc w:val="left"/>
        <w:rPr>
          <w:rFonts w:hint="default"/>
          <w:color w:val="000000"/>
          <w:sz w:val="28"/>
          <w:szCs w:val="28"/>
          <w:lang w:val="en-US" w:eastAsia="zh-CN"/>
        </w:rPr>
      </w:pPr>
      <w:r>
        <w:rPr>
          <w:rFonts w:hint="eastAsia"/>
          <w:color w:val="000000"/>
          <w:sz w:val="28"/>
          <w:szCs w:val="28"/>
          <w:lang w:val="en-US" w:eastAsia="zh-CN"/>
        </w:rPr>
        <w:t>（2）</w:t>
      </w:r>
      <w:r>
        <w:rPr>
          <w:rFonts w:hint="default"/>
          <w:color w:val="000000"/>
          <w:sz w:val="28"/>
          <w:szCs w:val="28"/>
          <w:lang w:val="en-US" w:eastAsia="zh-CN"/>
        </w:rPr>
        <w:t>消防给水系统</w:t>
      </w:r>
    </w:p>
    <w:p>
      <w:pPr>
        <w:spacing w:line="360" w:lineRule="auto"/>
        <w:ind w:firstLine="482"/>
        <w:jc w:val="left"/>
        <w:rPr>
          <w:rFonts w:hint="default"/>
          <w:color w:val="000000"/>
          <w:sz w:val="28"/>
          <w:szCs w:val="28"/>
          <w:lang w:val="en-US" w:eastAsia="zh-CN"/>
        </w:rPr>
      </w:pPr>
      <w:r>
        <w:rPr>
          <w:rFonts w:hint="default"/>
          <w:color w:val="000000"/>
          <w:sz w:val="28"/>
          <w:szCs w:val="28"/>
          <w:lang w:val="en-US" w:eastAsia="zh-CN"/>
        </w:rPr>
        <w:t>室外消火栓给水系统</w:t>
      </w:r>
      <w:r>
        <w:rPr>
          <w:rFonts w:hint="eastAsia"/>
          <w:color w:val="000000"/>
          <w:sz w:val="28"/>
          <w:szCs w:val="28"/>
          <w:lang w:val="en-US" w:eastAsia="zh-CN"/>
        </w:rPr>
        <w:t>、</w:t>
      </w:r>
      <w:r>
        <w:rPr>
          <w:rFonts w:hint="default"/>
          <w:color w:val="000000"/>
          <w:sz w:val="28"/>
          <w:szCs w:val="28"/>
          <w:lang w:val="en-US" w:eastAsia="zh-CN"/>
        </w:rPr>
        <w:t>室内消火栓给水系统</w:t>
      </w:r>
      <w:r>
        <w:rPr>
          <w:rFonts w:hint="eastAsia"/>
          <w:color w:val="000000"/>
          <w:sz w:val="28"/>
          <w:szCs w:val="28"/>
          <w:lang w:val="en-US" w:eastAsia="zh-CN"/>
        </w:rPr>
        <w:t>：</w:t>
      </w:r>
      <w:r>
        <w:rPr>
          <w:rFonts w:hint="default"/>
          <w:color w:val="000000"/>
          <w:sz w:val="28"/>
          <w:szCs w:val="28"/>
          <w:lang w:val="en-US" w:eastAsia="zh-CN"/>
        </w:rPr>
        <w:t>水源来自厂区消防给水管网，外部接点压力</w:t>
      </w:r>
      <w:r>
        <w:rPr>
          <w:rFonts w:hint="eastAsia"/>
          <w:color w:val="000000"/>
          <w:sz w:val="28"/>
          <w:szCs w:val="28"/>
          <w:lang w:val="en-US" w:eastAsia="zh-CN"/>
        </w:rPr>
        <w:t>需进行现场勘查，其他设计按照最新消防验收规范进行设计</w:t>
      </w:r>
      <w:r>
        <w:rPr>
          <w:rFonts w:hint="default"/>
          <w:color w:val="000000"/>
          <w:sz w:val="28"/>
          <w:szCs w:val="28"/>
          <w:lang w:val="en-US" w:eastAsia="zh-CN"/>
        </w:rPr>
        <w:t>。</w:t>
      </w:r>
    </w:p>
    <w:p>
      <w:pPr>
        <w:spacing w:line="360" w:lineRule="auto"/>
        <w:ind w:firstLine="482"/>
        <w:jc w:val="left"/>
        <w:rPr>
          <w:rFonts w:hint="default"/>
          <w:color w:val="000000"/>
          <w:sz w:val="28"/>
          <w:szCs w:val="28"/>
          <w:lang w:val="en-US" w:eastAsia="zh-CN"/>
        </w:rPr>
      </w:pPr>
      <w:r>
        <w:rPr>
          <w:rFonts w:hint="eastAsia"/>
          <w:color w:val="000000"/>
          <w:sz w:val="28"/>
          <w:szCs w:val="28"/>
          <w:lang w:val="en-US" w:eastAsia="zh-CN"/>
        </w:rPr>
        <w:t>（3）</w:t>
      </w:r>
      <w:r>
        <w:rPr>
          <w:rFonts w:hint="default"/>
          <w:color w:val="000000"/>
          <w:sz w:val="28"/>
          <w:szCs w:val="28"/>
          <w:lang w:val="en-US" w:eastAsia="zh-CN"/>
        </w:rPr>
        <w:t>生产废水排水系统</w:t>
      </w:r>
    </w:p>
    <w:p>
      <w:pPr>
        <w:spacing w:line="360" w:lineRule="auto"/>
        <w:ind w:firstLine="482"/>
        <w:jc w:val="left"/>
        <w:rPr>
          <w:rFonts w:hint="default"/>
          <w:color w:val="000000"/>
          <w:sz w:val="28"/>
          <w:szCs w:val="28"/>
          <w:lang w:val="en-US" w:eastAsia="zh-CN"/>
        </w:rPr>
      </w:pPr>
      <w:r>
        <w:rPr>
          <w:rFonts w:hint="default"/>
          <w:color w:val="000000"/>
          <w:sz w:val="28"/>
          <w:szCs w:val="28"/>
          <w:lang w:val="en-US" w:eastAsia="zh-CN"/>
        </w:rPr>
        <w:t>本系统主要收集110kV变电站生活污水及事故油井排水。</w:t>
      </w:r>
      <w:r>
        <w:rPr>
          <w:rFonts w:hint="eastAsia"/>
          <w:color w:val="000000"/>
          <w:sz w:val="28"/>
          <w:szCs w:val="28"/>
          <w:lang w:val="en-US" w:eastAsia="zh-CN"/>
        </w:rPr>
        <w:t>废水排水</w:t>
      </w:r>
      <w:r>
        <w:rPr>
          <w:rFonts w:hint="default"/>
          <w:color w:val="000000"/>
          <w:sz w:val="28"/>
          <w:szCs w:val="28"/>
          <w:lang w:val="en-US" w:eastAsia="zh-CN"/>
        </w:rPr>
        <w:t>管排至全厂生活</w:t>
      </w:r>
      <w:r>
        <w:rPr>
          <w:rFonts w:hint="eastAsia"/>
          <w:color w:val="000000"/>
          <w:sz w:val="28"/>
          <w:szCs w:val="28"/>
          <w:lang w:val="en-US" w:eastAsia="zh-CN"/>
        </w:rPr>
        <w:t>，</w:t>
      </w:r>
      <w:r>
        <w:rPr>
          <w:rFonts w:hint="default"/>
          <w:color w:val="000000"/>
          <w:sz w:val="28"/>
          <w:szCs w:val="28"/>
          <w:lang w:val="en-US" w:eastAsia="zh-CN"/>
        </w:rPr>
        <w:t>生产废水排水管网。</w:t>
      </w:r>
    </w:p>
    <w:p>
      <w:pPr>
        <w:spacing w:line="360" w:lineRule="auto"/>
        <w:ind w:firstLine="482"/>
        <w:jc w:val="left"/>
        <w:rPr>
          <w:rFonts w:hint="default"/>
          <w:color w:val="000000"/>
          <w:sz w:val="28"/>
          <w:szCs w:val="28"/>
          <w:lang w:val="en-US" w:eastAsia="zh-CN"/>
        </w:rPr>
      </w:pPr>
      <w:r>
        <w:rPr>
          <w:rFonts w:hint="eastAsia"/>
          <w:color w:val="000000"/>
          <w:sz w:val="28"/>
          <w:szCs w:val="28"/>
          <w:lang w:val="en-US" w:eastAsia="zh-CN"/>
        </w:rPr>
        <w:t>（4）</w:t>
      </w:r>
      <w:r>
        <w:rPr>
          <w:rFonts w:hint="default"/>
          <w:color w:val="000000"/>
          <w:sz w:val="28"/>
          <w:szCs w:val="28"/>
          <w:lang w:val="en-US" w:eastAsia="zh-CN"/>
        </w:rPr>
        <w:t>雨水排水系统</w:t>
      </w:r>
    </w:p>
    <w:p>
      <w:pPr>
        <w:spacing w:line="360" w:lineRule="auto"/>
        <w:ind w:firstLine="482"/>
        <w:jc w:val="left"/>
        <w:rPr>
          <w:rFonts w:hint="default"/>
          <w:color w:val="000000"/>
          <w:sz w:val="28"/>
          <w:szCs w:val="28"/>
          <w:lang w:val="en-US" w:eastAsia="zh-CN"/>
        </w:rPr>
      </w:pPr>
      <w:r>
        <w:rPr>
          <w:rFonts w:hint="default"/>
          <w:color w:val="000000"/>
          <w:sz w:val="28"/>
          <w:szCs w:val="28"/>
          <w:lang w:val="en-US" w:eastAsia="zh-CN"/>
        </w:rPr>
        <w:t>本系统主要收集110kV变电站雨水、电缆井排水、变电站外电缆沟排水及空调冷凝水排水，排至全厂雨水排水系统。</w:t>
      </w:r>
    </w:p>
    <w:p>
      <w:pPr>
        <w:spacing w:line="360" w:lineRule="auto"/>
        <w:jc w:val="left"/>
        <w:outlineLvl w:val="1"/>
        <w:rPr>
          <w:rFonts w:hint="default"/>
          <w:b/>
          <w:bCs/>
          <w:color w:val="000000"/>
          <w:sz w:val="28"/>
          <w:szCs w:val="28"/>
          <w:lang w:val="en-US" w:eastAsia="zh-CN"/>
        </w:rPr>
      </w:pPr>
      <w:bookmarkStart w:id="201" w:name="_Toc31993"/>
      <w:r>
        <w:rPr>
          <w:rFonts w:hint="eastAsia"/>
          <w:b/>
          <w:bCs/>
          <w:color w:val="000000"/>
          <w:sz w:val="28"/>
          <w:szCs w:val="28"/>
          <w:lang w:val="en-US" w:eastAsia="zh-CN"/>
        </w:rPr>
        <w:t>3.3弱电系统</w:t>
      </w:r>
      <w:bookmarkEnd w:id="201"/>
    </w:p>
    <w:p>
      <w:pPr>
        <w:spacing w:line="360" w:lineRule="auto"/>
        <w:ind w:left="0" w:leftChars="0" w:firstLine="0" w:firstLineChars="0"/>
        <w:jc w:val="left"/>
        <w:outlineLvl w:val="2"/>
        <w:rPr>
          <w:rFonts w:hint="eastAsia"/>
          <w:b/>
          <w:bCs/>
          <w:color w:val="000000"/>
          <w:sz w:val="28"/>
          <w:szCs w:val="28"/>
          <w:lang w:val="en-US" w:eastAsia="zh-CN"/>
        </w:rPr>
      </w:pPr>
      <w:bookmarkStart w:id="202" w:name="_Toc2529"/>
      <w:r>
        <w:rPr>
          <w:rFonts w:hint="eastAsia"/>
          <w:b/>
          <w:bCs/>
          <w:color w:val="000000"/>
          <w:sz w:val="28"/>
          <w:szCs w:val="28"/>
          <w:lang w:val="en-US" w:eastAsia="zh-CN"/>
        </w:rPr>
        <w:t>3.3.1概述</w:t>
      </w:r>
      <w:bookmarkEnd w:id="202"/>
    </w:p>
    <w:p>
      <w:pPr>
        <w:pStyle w:val="2"/>
        <w:ind w:left="0" w:leftChars="0" w:firstLine="560" w:firstLineChars="200"/>
        <w:rPr>
          <w:rFonts w:hint="default"/>
          <w:color w:val="000000"/>
          <w:sz w:val="28"/>
          <w:szCs w:val="28"/>
          <w:lang w:val="en-US" w:eastAsia="zh-CN"/>
        </w:rPr>
      </w:pPr>
      <w:r>
        <w:rPr>
          <w:rFonts w:hint="eastAsia" w:ascii="Times New Roman" w:hAnsi="Times New Roman" w:eastAsia="宋体" w:cs="Times New Roman"/>
          <w:color w:val="000000"/>
          <w:kern w:val="2"/>
          <w:sz w:val="28"/>
          <w:szCs w:val="28"/>
          <w:lang w:val="en-US" w:eastAsia="zh-CN" w:bidi="ar-SA"/>
        </w:rPr>
        <w:t>弱电应考虑网络和数据库的标准化、开放性</w:t>
      </w:r>
      <w:r>
        <w:rPr>
          <w:rFonts w:hint="eastAsia" w:ascii="Times New Roman" w:hAnsi="Times New Roman" w:cs="Times New Roman"/>
          <w:color w:val="000000"/>
          <w:kern w:val="2"/>
          <w:sz w:val="28"/>
          <w:szCs w:val="28"/>
          <w:lang w:val="en-US" w:eastAsia="zh-CN" w:bidi="ar-SA"/>
        </w:rPr>
        <w:t>；</w:t>
      </w:r>
      <w:r>
        <w:rPr>
          <w:rFonts w:hint="eastAsia" w:ascii="Times New Roman" w:hAnsi="Times New Roman" w:eastAsia="宋体" w:cs="Times New Roman"/>
          <w:color w:val="000000"/>
          <w:kern w:val="2"/>
          <w:sz w:val="28"/>
          <w:szCs w:val="28"/>
          <w:lang w:val="en-US" w:eastAsia="zh-CN" w:bidi="ar-SA"/>
        </w:rPr>
        <w:t>系统的冗余配置</w:t>
      </w:r>
      <w:r>
        <w:rPr>
          <w:rFonts w:hint="eastAsia" w:ascii="Times New Roman" w:hAnsi="Times New Roman" w:cs="Times New Roman"/>
          <w:color w:val="000000"/>
          <w:kern w:val="2"/>
          <w:sz w:val="28"/>
          <w:szCs w:val="28"/>
          <w:lang w:val="en-US" w:eastAsia="zh-CN" w:bidi="ar-SA"/>
        </w:rPr>
        <w:t>；</w:t>
      </w:r>
      <w:r>
        <w:rPr>
          <w:rFonts w:hint="eastAsia" w:ascii="Times New Roman" w:hAnsi="Times New Roman" w:eastAsia="宋体" w:cs="Times New Roman"/>
          <w:color w:val="000000"/>
          <w:kern w:val="2"/>
          <w:sz w:val="28"/>
          <w:szCs w:val="28"/>
          <w:lang w:val="en-US" w:eastAsia="zh-CN" w:bidi="ar-SA"/>
        </w:rPr>
        <w:t>系统可扩展性</w:t>
      </w:r>
      <w:r>
        <w:rPr>
          <w:rFonts w:hint="eastAsia" w:ascii="Times New Roman" w:hAnsi="Times New Roman" w:cs="Times New Roman"/>
          <w:color w:val="000000"/>
          <w:kern w:val="2"/>
          <w:sz w:val="28"/>
          <w:szCs w:val="28"/>
          <w:lang w:val="en-US" w:eastAsia="zh-CN" w:bidi="ar-SA"/>
        </w:rPr>
        <w:t>；本项目</w:t>
      </w:r>
      <w:r>
        <w:rPr>
          <w:rFonts w:hint="default"/>
          <w:color w:val="000000"/>
          <w:sz w:val="28"/>
          <w:szCs w:val="28"/>
          <w:lang w:val="en-US" w:eastAsia="zh-CN"/>
        </w:rPr>
        <w:t>配置1套</w:t>
      </w:r>
      <w:r>
        <w:rPr>
          <w:rFonts w:hint="eastAsia"/>
          <w:color w:val="000000"/>
          <w:sz w:val="28"/>
          <w:szCs w:val="28"/>
          <w:lang w:val="en-US" w:eastAsia="zh-CN"/>
        </w:rPr>
        <w:t>弱电</w:t>
      </w:r>
      <w:r>
        <w:rPr>
          <w:rFonts w:hint="default"/>
          <w:color w:val="000000"/>
          <w:sz w:val="28"/>
          <w:szCs w:val="28"/>
          <w:lang w:val="en-US" w:eastAsia="zh-CN"/>
        </w:rPr>
        <w:t>系统</w:t>
      </w:r>
      <w:r>
        <w:rPr>
          <w:rFonts w:hint="eastAsia"/>
          <w:color w:val="000000"/>
          <w:sz w:val="28"/>
          <w:szCs w:val="28"/>
          <w:lang w:val="en-US" w:eastAsia="zh-CN"/>
        </w:rPr>
        <w:t>，各个子系统图纸应有系统图及平面点位图</w:t>
      </w:r>
      <w:r>
        <w:rPr>
          <w:rFonts w:hint="default"/>
          <w:color w:val="000000"/>
          <w:sz w:val="28"/>
          <w:szCs w:val="28"/>
          <w:lang w:val="en-US" w:eastAsia="zh-CN"/>
        </w:rPr>
        <w:t>，包括环境检测</w:t>
      </w:r>
      <w:r>
        <w:rPr>
          <w:rFonts w:hint="eastAsia"/>
          <w:color w:val="000000"/>
          <w:sz w:val="28"/>
          <w:szCs w:val="28"/>
          <w:lang w:val="en-US" w:eastAsia="zh-CN"/>
        </w:rPr>
        <w:t>、</w:t>
      </w:r>
      <w:r>
        <w:rPr>
          <w:rFonts w:hint="default"/>
          <w:color w:val="000000"/>
          <w:sz w:val="28"/>
          <w:szCs w:val="28"/>
          <w:lang w:val="en-US" w:eastAsia="zh-CN"/>
        </w:rPr>
        <w:t>空调风机控制</w:t>
      </w:r>
      <w:r>
        <w:rPr>
          <w:rFonts w:hint="eastAsia"/>
          <w:color w:val="000000"/>
          <w:sz w:val="28"/>
          <w:szCs w:val="28"/>
          <w:lang w:val="en-US" w:eastAsia="zh-CN"/>
        </w:rPr>
        <w:t>、</w:t>
      </w:r>
      <w:r>
        <w:rPr>
          <w:rFonts w:hint="default"/>
          <w:color w:val="000000"/>
          <w:sz w:val="28"/>
          <w:szCs w:val="28"/>
          <w:lang w:val="en-US" w:eastAsia="zh-CN"/>
        </w:rPr>
        <w:t>照明控制</w:t>
      </w:r>
      <w:r>
        <w:rPr>
          <w:rFonts w:hint="eastAsia"/>
          <w:color w:val="000000"/>
          <w:sz w:val="28"/>
          <w:szCs w:val="28"/>
          <w:lang w:val="en-US" w:eastAsia="zh-CN"/>
        </w:rPr>
        <w:t>、</w:t>
      </w:r>
      <w:r>
        <w:rPr>
          <w:rFonts w:hint="default"/>
          <w:color w:val="000000"/>
          <w:sz w:val="28"/>
          <w:szCs w:val="28"/>
          <w:lang w:val="en-US" w:eastAsia="zh-CN"/>
        </w:rPr>
        <w:t>安防</w:t>
      </w:r>
      <w:r>
        <w:rPr>
          <w:rFonts w:hint="eastAsia"/>
          <w:color w:val="000000"/>
          <w:sz w:val="28"/>
          <w:szCs w:val="28"/>
          <w:lang w:val="en-US" w:eastAsia="zh-CN"/>
        </w:rPr>
        <w:t>、报警</w:t>
      </w:r>
      <w:r>
        <w:rPr>
          <w:rFonts w:hint="default"/>
          <w:color w:val="000000"/>
          <w:sz w:val="28"/>
          <w:szCs w:val="28"/>
          <w:lang w:val="en-US" w:eastAsia="zh-CN"/>
        </w:rPr>
        <w:t>、</w:t>
      </w:r>
      <w:r>
        <w:rPr>
          <w:rFonts w:hint="eastAsia"/>
          <w:color w:val="000000"/>
          <w:sz w:val="28"/>
          <w:szCs w:val="28"/>
          <w:lang w:val="en-US" w:eastAsia="zh-CN"/>
        </w:rPr>
        <w:t>SF6联动等，可</w:t>
      </w:r>
      <w:r>
        <w:rPr>
          <w:rFonts w:hint="default"/>
          <w:color w:val="000000"/>
          <w:sz w:val="28"/>
          <w:szCs w:val="28"/>
          <w:lang w:val="en-US" w:eastAsia="zh-CN"/>
        </w:rPr>
        <w:t>将这些数据作为</w:t>
      </w:r>
      <w:r>
        <w:rPr>
          <w:rFonts w:hint="eastAsia"/>
          <w:color w:val="000000"/>
          <w:sz w:val="28"/>
          <w:szCs w:val="28"/>
          <w:lang w:val="en-US" w:eastAsia="zh-CN"/>
        </w:rPr>
        <w:t>整个园区</w:t>
      </w:r>
      <w:r>
        <w:rPr>
          <w:rFonts w:hint="default"/>
          <w:color w:val="000000"/>
          <w:sz w:val="28"/>
          <w:szCs w:val="28"/>
          <w:lang w:val="en-US" w:eastAsia="zh-CN"/>
        </w:rPr>
        <w:t>安全技术防范系统一个组成部分。</w:t>
      </w:r>
    </w:p>
    <w:p>
      <w:pPr>
        <w:spacing w:line="360" w:lineRule="auto"/>
        <w:ind w:left="0" w:leftChars="0" w:firstLine="0" w:firstLineChars="0"/>
        <w:jc w:val="left"/>
        <w:outlineLvl w:val="2"/>
        <w:rPr>
          <w:rFonts w:hint="default"/>
          <w:b/>
          <w:bCs/>
          <w:color w:val="000000"/>
          <w:sz w:val="28"/>
          <w:szCs w:val="28"/>
          <w:lang w:val="en-US" w:eastAsia="zh-CN"/>
        </w:rPr>
      </w:pPr>
      <w:bookmarkStart w:id="203" w:name="_Toc23284"/>
      <w:r>
        <w:rPr>
          <w:rFonts w:hint="eastAsia"/>
          <w:b/>
          <w:bCs/>
          <w:color w:val="000000"/>
          <w:sz w:val="28"/>
          <w:szCs w:val="28"/>
          <w:lang w:val="en-US" w:eastAsia="zh-CN"/>
        </w:rPr>
        <w:t>3.3.2弱电设计</w:t>
      </w:r>
      <w:bookmarkEnd w:id="203"/>
    </w:p>
    <w:p>
      <w:pPr>
        <w:spacing w:line="360" w:lineRule="auto"/>
        <w:ind w:firstLine="482"/>
        <w:jc w:val="left"/>
        <w:rPr>
          <w:rFonts w:hint="default"/>
          <w:color w:val="000000"/>
          <w:sz w:val="28"/>
          <w:szCs w:val="28"/>
          <w:lang w:val="en-US" w:eastAsia="zh-CN"/>
        </w:rPr>
      </w:pPr>
      <w:r>
        <w:rPr>
          <w:rFonts w:hint="eastAsia"/>
          <w:color w:val="000000"/>
          <w:sz w:val="28"/>
          <w:szCs w:val="28"/>
          <w:lang w:val="en-US" w:eastAsia="zh-CN"/>
        </w:rPr>
        <w:t>1、</w:t>
      </w:r>
      <w:r>
        <w:rPr>
          <w:rFonts w:hint="default"/>
          <w:color w:val="000000"/>
          <w:sz w:val="28"/>
          <w:szCs w:val="28"/>
          <w:lang w:val="en-US" w:eastAsia="zh-CN"/>
        </w:rPr>
        <w:t>利用视频探测技术、监视设防区域并实时显示和记录图像，还能与其他技防设备如电子围栏等联动报警，以实现防入侵、防盗窃、防破坏等安全防范功能。</w:t>
      </w:r>
    </w:p>
    <w:p>
      <w:pPr>
        <w:spacing w:line="360" w:lineRule="auto"/>
        <w:ind w:firstLine="482"/>
        <w:jc w:val="left"/>
        <w:rPr>
          <w:rFonts w:hint="default"/>
          <w:color w:val="000000"/>
          <w:sz w:val="28"/>
          <w:szCs w:val="28"/>
          <w:lang w:val="en-US" w:eastAsia="zh-CN"/>
        </w:rPr>
      </w:pPr>
      <w:r>
        <w:rPr>
          <w:rFonts w:hint="eastAsia"/>
          <w:color w:val="000000"/>
          <w:sz w:val="28"/>
          <w:szCs w:val="28"/>
          <w:lang w:val="en-US" w:eastAsia="zh-CN"/>
        </w:rPr>
        <w:t>2、</w:t>
      </w:r>
      <w:r>
        <w:rPr>
          <w:rFonts w:hint="default"/>
          <w:color w:val="000000"/>
          <w:sz w:val="28"/>
          <w:szCs w:val="28"/>
          <w:lang w:val="en-US" w:eastAsia="zh-CN"/>
        </w:rPr>
        <w:t>在变电站站内配置摄像头对围墙周边</w:t>
      </w:r>
      <w:r>
        <w:rPr>
          <w:rFonts w:hint="eastAsia"/>
          <w:color w:val="000000"/>
          <w:sz w:val="28"/>
          <w:szCs w:val="28"/>
          <w:lang w:val="en-US" w:eastAsia="zh-CN"/>
        </w:rPr>
        <w:t>、主变</w:t>
      </w:r>
      <w:r>
        <w:rPr>
          <w:rFonts w:hint="default"/>
          <w:color w:val="000000"/>
          <w:sz w:val="28"/>
          <w:szCs w:val="28"/>
          <w:lang w:val="en-US" w:eastAsia="zh-CN"/>
        </w:rPr>
        <w:t>、大门、高压设备室、二次设备室进行</w:t>
      </w:r>
      <w:r>
        <w:rPr>
          <w:rFonts w:hint="eastAsia"/>
          <w:color w:val="000000"/>
          <w:sz w:val="28"/>
          <w:szCs w:val="28"/>
          <w:lang w:val="en-US" w:eastAsia="zh-CN"/>
        </w:rPr>
        <w:t>无死角</w:t>
      </w:r>
      <w:r>
        <w:rPr>
          <w:rFonts w:hint="default"/>
          <w:color w:val="000000"/>
          <w:sz w:val="28"/>
          <w:szCs w:val="28"/>
          <w:lang w:val="en-US" w:eastAsia="zh-CN"/>
        </w:rPr>
        <w:t>视频监视。</w:t>
      </w:r>
    </w:p>
    <w:p>
      <w:pPr>
        <w:spacing w:line="360" w:lineRule="auto"/>
        <w:ind w:firstLine="482"/>
        <w:jc w:val="left"/>
        <w:rPr>
          <w:rFonts w:hint="default"/>
          <w:color w:val="000000"/>
          <w:sz w:val="28"/>
          <w:szCs w:val="28"/>
          <w:lang w:val="en-US" w:eastAsia="zh-CN"/>
        </w:rPr>
      </w:pPr>
      <w:r>
        <w:rPr>
          <w:rFonts w:hint="eastAsia"/>
          <w:color w:val="000000"/>
          <w:sz w:val="28"/>
          <w:szCs w:val="28"/>
          <w:lang w:val="en-US" w:eastAsia="zh-CN"/>
        </w:rPr>
        <w:t>3、</w:t>
      </w:r>
      <w:r>
        <w:rPr>
          <w:rFonts w:hint="default"/>
          <w:color w:val="000000"/>
          <w:sz w:val="28"/>
          <w:szCs w:val="28"/>
          <w:lang w:val="en-US" w:eastAsia="zh-CN"/>
        </w:rPr>
        <w:t>根据《火灾自动报警系统设计规范》GB50116-2013的规定，在各电气房间设置火灾自动报警系统，系统由火灾自动报警及联动控制器、差定温缆式探测器、感烟探测器、手动报警按钮、声光报警器、专用电源等设备组成。火灾自动报警控制器设在变电站主控室，火灾时对风机、空调等相关消防设备实施联锁控制。</w:t>
      </w:r>
    </w:p>
    <w:p>
      <w:pPr>
        <w:spacing w:line="360" w:lineRule="auto"/>
        <w:ind w:firstLine="482"/>
        <w:jc w:val="left"/>
        <w:rPr>
          <w:rFonts w:hint="default"/>
          <w:color w:val="000000"/>
          <w:sz w:val="28"/>
          <w:szCs w:val="28"/>
          <w:lang w:val="en-US" w:eastAsia="zh-CN"/>
        </w:rPr>
      </w:pPr>
      <w:r>
        <w:rPr>
          <w:rFonts w:hint="eastAsia"/>
          <w:color w:val="000000"/>
          <w:sz w:val="28"/>
          <w:szCs w:val="28"/>
          <w:lang w:val="en-US" w:eastAsia="zh-CN"/>
        </w:rPr>
        <w:t>4、</w:t>
      </w:r>
      <w:r>
        <w:rPr>
          <w:rFonts w:hint="default"/>
          <w:color w:val="000000"/>
          <w:sz w:val="28"/>
          <w:szCs w:val="28"/>
          <w:lang w:val="en-US" w:eastAsia="zh-CN"/>
        </w:rPr>
        <w:t>设置环境自动检测系统，其中包括GIS气体检测（与风机联动）、有毒气体检测、CO检测、温度和湿度（房间内），所有数据上传到监控主机。</w:t>
      </w:r>
    </w:p>
    <w:p>
      <w:pPr>
        <w:spacing w:line="360" w:lineRule="auto"/>
        <w:ind w:left="0" w:leftChars="0" w:firstLine="420" w:firstLineChars="150"/>
        <w:jc w:val="left"/>
        <w:rPr>
          <w:rFonts w:hint="eastAsia"/>
          <w:color w:val="000000"/>
          <w:sz w:val="28"/>
          <w:szCs w:val="28"/>
          <w:lang w:val="en-US" w:eastAsia="zh-CN"/>
        </w:rPr>
      </w:pPr>
      <w:r>
        <w:rPr>
          <w:rFonts w:hint="eastAsia"/>
          <w:color w:val="000000"/>
          <w:sz w:val="28"/>
          <w:szCs w:val="28"/>
          <w:lang w:val="en-US" w:eastAsia="zh-CN"/>
        </w:rPr>
        <w:t>5、重要房间内设置门禁：高压室、电容室、10kv配电室、控制室、主要出入口、大门等。</w:t>
      </w:r>
    </w:p>
    <w:p>
      <w:pPr>
        <w:pStyle w:val="2"/>
        <w:ind w:left="420" w:leftChars="200" w:firstLine="0" w:firstLineChars="0"/>
        <w:rPr>
          <w:rFonts w:hint="default"/>
          <w:lang w:val="en-US" w:eastAsia="zh-CN"/>
        </w:rPr>
      </w:pPr>
      <w:r>
        <w:rPr>
          <w:rFonts w:hint="eastAsia"/>
          <w:color w:val="000000"/>
          <w:sz w:val="28"/>
          <w:szCs w:val="28"/>
          <w:lang w:val="en-US" w:eastAsia="zh-CN"/>
        </w:rPr>
        <w:t>6、防护网需设置周界报警系统。</w:t>
      </w:r>
    </w:p>
    <w:p>
      <w:pPr>
        <w:pStyle w:val="2"/>
        <w:ind w:left="0" w:leftChars="0" w:firstLine="420" w:firstLineChars="150"/>
        <w:rPr>
          <w:rFonts w:hint="default" w:ascii="Times New Roman" w:hAnsi="Times New Roman" w:cs="Times New Roman"/>
          <w:color w:val="000000"/>
          <w:kern w:val="2"/>
          <w:sz w:val="28"/>
          <w:szCs w:val="28"/>
          <w:lang w:val="en-US" w:eastAsia="zh-CN" w:bidi="ar-SA"/>
        </w:rPr>
      </w:pPr>
      <w:r>
        <w:rPr>
          <w:rFonts w:hint="eastAsia" w:ascii="Times New Roman" w:hAnsi="Times New Roman" w:cs="Times New Roman"/>
          <w:color w:val="000000"/>
          <w:kern w:val="2"/>
          <w:sz w:val="28"/>
          <w:szCs w:val="28"/>
          <w:lang w:val="en-US" w:eastAsia="zh-CN" w:bidi="ar-SA"/>
        </w:rPr>
        <w:t>7、照明控制按无人值守规范布置，实现智能照明，设计智能照明系统。</w:t>
      </w:r>
    </w:p>
    <w:p>
      <w:pPr>
        <w:pStyle w:val="2"/>
        <w:ind w:left="0" w:leftChars="0" w:firstLine="420" w:firstLineChars="150"/>
        <w:rPr>
          <w:rFonts w:hint="eastAsia" w:ascii="Times New Roman" w:hAnsi="Times New Roman" w:cs="Times New Roman"/>
          <w:color w:val="000000"/>
          <w:kern w:val="2"/>
          <w:sz w:val="28"/>
          <w:szCs w:val="28"/>
          <w:lang w:val="en-US" w:eastAsia="zh-CN" w:bidi="ar-SA"/>
        </w:rPr>
      </w:pPr>
      <w:r>
        <w:rPr>
          <w:rFonts w:hint="eastAsia" w:ascii="Times New Roman" w:hAnsi="Times New Roman" w:cs="Times New Roman"/>
          <w:color w:val="000000"/>
          <w:kern w:val="2"/>
          <w:sz w:val="28"/>
          <w:szCs w:val="28"/>
          <w:lang w:val="en-US" w:eastAsia="zh-CN" w:bidi="ar-SA"/>
        </w:rPr>
        <w:t>8</w:t>
      </w:r>
      <w:r>
        <w:rPr>
          <w:rFonts w:hint="eastAsia" w:ascii="Times New Roman" w:hAnsi="Times New Roman" w:eastAsia="宋体" w:cs="Times New Roman"/>
          <w:color w:val="000000"/>
          <w:kern w:val="2"/>
          <w:sz w:val="28"/>
          <w:szCs w:val="28"/>
          <w:lang w:val="en-US" w:eastAsia="zh-CN" w:bidi="ar-SA"/>
        </w:rPr>
        <w:t>、</w:t>
      </w:r>
      <w:r>
        <w:rPr>
          <w:rFonts w:hint="eastAsia" w:ascii="Times New Roman" w:hAnsi="Times New Roman" w:cs="Times New Roman"/>
          <w:color w:val="000000"/>
          <w:kern w:val="2"/>
          <w:sz w:val="28"/>
          <w:szCs w:val="28"/>
          <w:lang w:val="en-US" w:eastAsia="zh-CN" w:bidi="ar-SA"/>
        </w:rPr>
        <w:t>弱电子系统，应作为园区安防的一部分</w:t>
      </w:r>
      <w:r>
        <w:rPr>
          <w:rFonts w:hint="eastAsia" w:cs="Times New Roman"/>
          <w:color w:val="000000"/>
          <w:kern w:val="2"/>
          <w:sz w:val="28"/>
          <w:szCs w:val="28"/>
          <w:lang w:val="en-US" w:eastAsia="zh-CN" w:bidi="ar-SA"/>
        </w:rPr>
        <w:t>，各个子系统需单独配置交换机实现物理隔离</w:t>
      </w:r>
      <w:r>
        <w:rPr>
          <w:rFonts w:hint="eastAsia" w:ascii="Times New Roman" w:hAnsi="Times New Roman" w:cs="Times New Roman"/>
          <w:color w:val="000000"/>
          <w:kern w:val="2"/>
          <w:sz w:val="28"/>
          <w:szCs w:val="28"/>
          <w:lang w:val="en-US" w:eastAsia="zh-CN" w:bidi="ar-SA"/>
        </w:rPr>
        <w:t>，应预留接口且负责敷设光纤接入园区总平台服务器上，接入园区平台系统。</w:t>
      </w:r>
    </w:p>
    <w:p>
      <w:pPr>
        <w:pStyle w:val="2"/>
        <w:ind w:left="0" w:leftChars="0" w:firstLine="420" w:firstLineChars="150"/>
        <w:rPr>
          <w:rFonts w:hint="eastAsia" w:ascii="Times New Roman" w:hAnsi="Times New Roman" w:cs="Times New Roman"/>
          <w:color w:val="000000"/>
          <w:kern w:val="2"/>
          <w:sz w:val="28"/>
          <w:szCs w:val="28"/>
          <w:lang w:val="en-US" w:eastAsia="zh-CN" w:bidi="ar-SA"/>
        </w:rPr>
      </w:pPr>
      <w:r>
        <w:rPr>
          <w:rFonts w:hint="eastAsia" w:ascii="Times New Roman" w:hAnsi="Times New Roman" w:cs="Times New Roman"/>
          <w:color w:val="000000"/>
          <w:kern w:val="2"/>
          <w:sz w:val="28"/>
          <w:szCs w:val="28"/>
          <w:lang w:val="en-US" w:eastAsia="zh-CN" w:bidi="ar-SA"/>
        </w:rPr>
        <w:t>9、弱电系统应具备被集成的条件：</w:t>
      </w:r>
      <w:r>
        <w:rPr>
          <w:rFonts w:hint="eastAsia" w:cs="Times New Roman"/>
          <w:color w:val="000000"/>
          <w:kern w:val="2"/>
          <w:sz w:val="28"/>
          <w:szCs w:val="28"/>
          <w:lang w:val="en-US" w:eastAsia="zh-CN" w:bidi="ar-SA"/>
        </w:rPr>
        <w:t>各个子系统应有独立的服务器及数据库，以便对接园区平台，且应预留对接接口。</w:t>
      </w:r>
      <w:r>
        <w:rPr>
          <w:rFonts w:hint="eastAsia" w:ascii="Times New Roman" w:hAnsi="Times New Roman" w:cs="Times New Roman"/>
          <w:color w:val="000000"/>
          <w:kern w:val="2"/>
          <w:sz w:val="28"/>
          <w:szCs w:val="28"/>
          <w:lang w:val="en-US" w:eastAsia="zh-CN" w:bidi="ar-SA"/>
        </w:rPr>
        <w:t>当设备的控制采用非标准通信协议或与园区总平台协议不一致时，则需要投标单位提供数据格式，且由投标方进行转换</w:t>
      </w:r>
      <w:r>
        <w:rPr>
          <w:rFonts w:hint="eastAsia" w:cs="Times New Roman"/>
          <w:color w:val="000000"/>
          <w:kern w:val="2"/>
          <w:sz w:val="28"/>
          <w:szCs w:val="28"/>
          <w:lang w:val="en-US" w:eastAsia="zh-CN" w:bidi="ar-SA"/>
        </w:rPr>
        <w:t>，预留接口</w:t>
      </w:r>
      <w:r>
        <w:rPr>
          <w:rFonts w:hint="eastAsia" w:ascii="Times New Roman" w:hAnsi="Times New Roman" w:cs="Times New Roman"/>
          <w:color w:val="000000"/>
          <w:kern w:val="2"/>
          <w:sz w:val="28"/>
          <w:szCs w:val="28"/>
          <w:lang w:val="en-US" w:eastAsia="zh-CN" w:bidi="ar-SA"/>
        </w:rPr>
        <w:t>。</w:t>
      </w:r>
    </w:p>
    <w:p>
      <w:pPr>
        <w:pStyle w:val="2"/>
        <w:ind w:left="0" w:leftChars="0" w:firstLine="0" w:firstLineChars="0"/>
        <w:jc w:val="left"/>
        <w:outlineLvl w:val="9"/>
        <w:rPr>
          <w:rFonts w:hint="default" w:cs="Times New Roman"/>
          <w:b/>
          <w:bCs/>
          <w:color w:val="000000"/>
          <w:kern w:val="2"/>
          <w:sz w:val="28"/>
          <w:szCs w:val="28"/>
          <w:lang w:val="en-US" w:eastAsia="zh-CN" w:bidi="ar-SA"/>
        </w:rPr>
      </w:pPr>
      <w:r>
        <w:rPr>
          <w:rFonts w:hint="eastAsia" w:cs="Times New Roman"/>
          <w:b/>
          <w:bCs/>
          <w:color w:val="000000"/>
          <w:kern w:val="2"/>
          <w:sz w:val="28"/>
          <w:szCs w:val="28"/>
          <w:lang w:val="en-US" w:eastAsia="zh-CN" w:bidi="ar-SA"/>
        </w:rPr>
        <w:t>3.3.3弱电系统技术要求</w:t>
      </w:r>
    </w:p>
    <w:p>
      <w:pPr>
        <w:pStyle w:val="2"/>
        <w:ind w:left="0" w:leftChars="0" w:firstLine="0" w:firstLineChars="0"/>
        <w:jc w:val="left"/>
        <w:outlineLvl w:val="9"/>
        <w:rPr>
          <w:rFonts w:hint="eastAsia" w:cs="Times New Roman"/>
          <w:b/>
          <w:bCs/>
          <w:color w:val="000000"/>
          <w:kern w:val="2"/>
          <w:sz w:val="28"/>
          <w:szCs w:val="28"/>
          <w:lang w:val="en-US" w:eastAsia="zh-CN" w:bidi="ar-SA"/>
        </w:rPr>
      </w:pPr>
      <w:r>
        <w:rPr>
          <w:rFonts w:hint="eastAsia" w:cs="Times New Roman"/>
          <w:b/>
          <w:bCs/>
          <w:color w:val="000000"/>
          <w:kern w:val="2"/>
          <w:sz w:val="28"/>
          <w:szCs w:val="28"/>
          <w:lang w:val="en-US" w:eastAsia="zh-CN" w:bidi="ar-SA"/>
        </w:rPr>
        <w:t>1、监控系统</w:t>
      </w:r>
    </w:p>
    <w:p>
      <w:pPr>
        <w:spacing w:line="360" w:lineRule="auto"/>
        <w:ind w:firstLine="280" w:firstLineChars="100"/>
        <w:jc w:val="left"/>
        <w:outlineLvl w:val="9"/>
        <w:rPr>
          <w:rFonts w:hint="eastAsia" w:cs="Times New Roman"/>
          <w:color w:val="000000"/>
          <w:kern w:val="2"/>
          <w:sz w:val="28"/>
          <w:szCs w:val="28"/>
          <w:lang w:val="en-US" w:eastAsia="zh-CN" w:bidi="ar-SA"/>
        </w:rPr>
      </w:pPr>
      <w:r>
        <w:rPr>
          <w:rFonts w:hint="eastAsia" w:cs="Times New Roman"/>
          <w:color w:val="000000"/>
          <w:kern w:val="2"/>
          <w:sz w:val="28"/>
          <w:szCs w:val="28"/>
          <w:lang w:val="en-US" w:eastAsia="zh-CN" w:bidi="ar-SA"/>
        </w:rPr>
        <w:t>（1）前端设备全部采用彩色摄像机，变电站室内外无死角监控，与室外交接有逆光情况的出入口应采用宽动态摄像机。所有摄像机应具备红外一体照明，出入口安装摄像机均能清楚显示人员面部特征；</w:t>
      </w:r>
    </w:p>
    <w:p>
      <w:pPr>
        <w:spacing w:line="360" w:lineRule="auto"/>
        <w:ind w:firstLine="280" w:firstLineChars="100"/>
        <w:jc w:val="left"/>
        <w:outlineLvl w:val="9"/>
        <w:rPr>
          <w:rFonts w:hint="eastAsia" w:cs="Times New Roman"/>
          <w:color w:val="000000"/>
          <w:kern w:val="2"/>
          <w:sz w:val="28"/>
          <w:szCs w:val="28"/>
          <w:lang w:val="en-US" w:eastAsia="zh-CN" w:bidi="ar-SA"/>
        </w:rPr>
      </w:pPr>
      <w:r>
        <w:rPr>
          <w:rFonts w:hint="eastAsia" w:cs="Times New Roman"/>
          <w:color w:val="000000"/>
          <w:kern w:val="2"/>
          <w:sz w:val="28"/>
          <w:szCs w:val="28"/>
          <w:lang w:val="en-US" w:eastAsia="zh-CN" w:bidi="ar-SA"/>
        </w:rPr>
        <w:t>（2）系摄像机应安装牢固，视野清晰，方向对准被监控部位，减少或避免图像逆光，在其监视范围内无有遮挡物。摄像机的防护罩应平整、无损伤。摄像机应避免在高温、潮湿、强磁场环境下工作；</w:t>
      </w:r>
    </w:p>
    <w:p>
      <w:pPr>
        <w:spacing w:line="360" w:lineRule="auto"/>
        <w:ind w:firstLine="280" w:firstLineChars="100"/>
        <w:jc w:val="left"/>
        <w:outlineLvl w:val="9"/>
        <w:rPr>
          <w:rFonts w:hint="eastAsia" w:cs="Times New Roman"/>
          <w:color w:val="000000"/>
          <w:kern w:val="2"/>
          <w:sz w:val="28"/>
          <w:szCs w:val="28"/>
          <w:lang w:val="en-US" w:eastAsia="zh-CN" w:bidi="ar-SA"/>
        </w:rPr>
      </w:pPr>
      <w:r>
        <w:rPr>
          <w:rFonts w:hint="eastAsia" w:cs="Times New Roman"/>
          <w:color w:val="000000"/>
          <w:kern w:val="2"/>
          <w:sz w:val="28"/>
          <w:szCs w:val="28"/>
          <w:lang w:val="en-US" w:eastAsia="zh-CN" w:bidi="ar-SA"/>
        </w:rPr>
        <w:t>（3）摄像机采用普通24v低压供电的方式：接入层交换机选用百兆交换机，通过千兆光纤连接核心交换机；核心交换机通过冗余的千兆光纤连接服务器接入交换机；</w:t>
      </w:r>
    </w:p>
    <w:p>
      <w:pPr>
        <w:spacing w:line="360" w:lineRule="auto"/>
        <w:ind w:firstLine="280" w:firstLineChars="100"/>
        <w:jc w:val="left"/>
        <w:outlineLvl w:val="9"/>
        <w:rPr>
          <w:rFonts w:hint="eastAsia" w:cs="Times New Roman"/>
          <w:color w:val="000000"/>
          <w:kern w:val="2"/>
          <w:sz w:val="28"/>
          <w:szCs w:val="28"/>
          <w:lang w:val="en-US" w:eastAsia="zh-CN" w:bidi="ar-SA"/>
        </w:rPr>
      </w:pPr>
      <w:r>
        <w:rPr>
          <w:rFonts w:hint="eastAsia" w:cs="Times New Roman"/>
          <w:color w:val="000000"/>
          <w:kern w:val="2"/>
          <w:sz w:val="28"/>
          <w:szCs w:val="28"/>
          <w:lang w:val="en-US" w:eastAsia="zh-CN" w:bidi="ar-SA"/>
        </w:rPr>
        <w:t>（4）在中控室采用网络化磁盘阵列存储设备进行录像和管理，考虑存储系统的稳定性采用RAID5方式进行磁盘级冗余。图像（声音）记录保存时间应不少于30天；</w:t>
      </w:r>
    </w:p>
    <w:p>
      <w:pPr>
        <w:spacing w:line="360" w:lineRule="auto"/>
        <w:ind w:firstLine="280" w:firstLineChars="100"/>
        <w:jc w:val="left"/>
        <w:outlineLvl w:val="9"/>
        <w:rPr>
          <w:rFonts w:hint="eastAsia" w:cs="Times New Roman"/>
          <w:color w:val="000000"/>
          <w:kern w:val="2"/>
          <w:sz w:val="28"/>
          <w:szCs w:val="28"/>
          <w:lang w:val="en-US" w:eastAsia="zh-CN" w:bidi="ar-SA"/>
        </w:rPr>
      </w:pPr>
      <w:r>
        <w:rPr>
          <w:rFonts w:hint="eastAsia" w:cs="Times New Roman"/>
          <w:color w:val="000000"/>
          <w:kern w:val="2"/>
          <w:sz w:val="28"/>
          <w:szCs w:val="28"/>
          <w:lang w:val="en-US" w:eastAsia="zh-CN" w:bidi="ar-SA"/>
        </w:rPr>
        <w:t>（5）视频录像应以不低于25帧/秒的速度保存。网络摄像机存储视频清晰度不低于1080P格式，且与摄像机的解像度一致；</w:t>
      </w:r>
    </w:p>
    <w:p>
      <w:pPr>
        <w:spacing w:line="360" w:lineRule="auto"/>
        <w:ind w:firstLine="280" w:firstLineChars="100"/>
        <w:jc w:val="left"/>
        <w:outlineLvl w:val="9"/>
        <w:rPr>
          <w:rFonts w:hint="eastAsia" w:cs="Times New Roman"/>
          <w:color w:val="000000"/>
          <w:kern w:val="2"/>
          <w:sz w:val="28"/>
          <w:szCs w:val="28"/>
          <w:lang w:val="en-US" w:eastAsia="zh-CN" w:bidi="ar-SA"/>
        </w:rPr>
      </w:pPr>
      <w:r>
        <w:rPr>
          <w:rFonts w:hint="eastAsia" w:cs="Times New Roman"/>
          <w:color w:val="000000"/>
          <w:kern w:val="2"/>
          <w:sz w:val="28"/>
          <w:szCs w:val="28"/>
          <w:lang w:val="en-US" w:eastAsia="zh-CN" w:bidi="ar-SA"/>
        </w:rPr>
        <w:t>（6）检查摄像机图像丢失报警功能，当视频输入信号丢失时，应能发出报警；</w:t>
      </w:r>
    </w:p>
    <w:p>
      <w:pPr>
        <w:spacing w:line="360" w:lineRule="auto"/>
        <w:ind w:firstLine="280" w:firstLineChars="100"/>
        <w:jc w:val="left"/>
        <w:outlineLvl w:val="9"/>
        <w:rPr>
          <w:rFonts w:hint="eastAsia" w:cs="Times New Roman"/>
          <w:color w:val="000000"/>
          <w:kern w:val="2"/>
          <w:sz w:val="28"/>
          <w:szCs w:val="28"/>
          <w:lang w:val="en-US" w:eastAsia="zh-CN" w:bidi="ar-SA"/>
        </w:rPr>
      </w:pPr>
      <w:r>
        <w:rPr>
          <w:rFonts w:hint="eastAsia" w:cs="Times New Roman"/>
          <w:color w:val="000000"/>
          <w:kern w:val="2"/>
          <w:sz w:val="28"/>
          <w:szCs w:val="28"/>
          <w:lang w:val="en-US" w:eastAsia="zh-CN" w:bidi="ar-SA"/>
        </w:rPr>
        <w:t>（7）室外摄像机具备防止雷电波沿线路侵入前端设备，严格按照国标要求在设备前的传输线、电源线上加装避雷器或浪涌保护器；室外的前端设备应有良好的接地，接地电阻小于10Ω。</w:t>
      </w:r>
    </w:p>
    <w:p>
      <w:pPr>
        <w:spacing w:line="360" w:lineRule="auto"/>
        <w:jc w:val="left"/>
        <w:outlineLvl w:val="9"/>
        <w:rPr>
          <w:rFonts w:hint="default" w:cs="Times New Roman"/>
          <w:color w:val="000000"/>
          <w:kern w:val="2"/>
          <w:sz w:val="28"/>
          <w:szCs w:val="28"/>
          <w:lang w:val="en-US" w:eastAsia="zh-CN" w:bidi="ar-SA"/>
        </w:rPr>
      </w:pPr>
      <w:r>
        <w:rPr>
          <w:rFonts w:hint="eastAsia" w:cs="Times New Roman"/>
          <w:color w:val="000000"/>
          <w:kern w:val="2"/>
          <w:sz w:val="28"/>
          <w:szCs w:val="28"/>
          <w:lang w:val="en-US" w:eastAsia="zh-CN" w:bidi="ar-SA"/>
        </w:rPr>
        <w:t>（8）室外摄像机需装设在监控立杆上，立杆均应布置避雷针，接地电阻小于10Ω</w:t>
      </w:r>
    </w:p>
    <w:p>
      <w:pPr>
        <w:pStyle w:val="2"/>
        <w:ind w:left="420" w:leftChars="200" w:firstLine="0" w:firstLineChars="0"/>
        <w:rPr>
          <w:rFonts w:hint="eastAsia" w:cs="Times New Roman"/>
          <w:b/>
          <w:bCs/>
          <w:color w:val="000000"/>
          <w:kern w:val="2"/>
          <w:sz w:val="28"/>
          <w:szCs w:val="28"/>
          <w:lang w:val="en-US" w:eastAsia="zh-CN" w:bidi="ar-SA"/>
        </w:rPr>
      </w:pPr>
      <w:r>
        <w:rPr>
          <w:rFonts w:hint="eastAsia" w:cs="Times New Roman"/>
          <w:b/>
          <w:bCs/>
          <w:color w:val="000000"/>
          <w:kern w:val="2"/>
          <w:sz w:val="28"/>
          <w:szCs w:val="28"/>
          <w:lang w:val="en-US" w:eastAsia="zh-CN" w:bidi="ar-SA"/>
        </w:rPr>
        <w:t>2、安全警卫子系统（电子围栏）</w:t>
      </w:r>
    </w:p>
    <w:p>
      <w:pPr>
        <w:spacing w:line="360" w:lineRule="auto"/>
        <w:ind w:firstLine="280" w:firstLineChars="100"/>
        <w:jc w:val="left"/>
        <w:outlineLvl w:val="9"/>
        <w:rPr>
          <w:rFonts w:hint="default" w:cs="Times New Roman"/>
          <w:color w:val="000000"/>
          <w:kern w:val="2"/>
          <w:sz w:val="28"/>
          <w:szCs w:val="28"/>
          <w:lang w:val="en-US" w:eastAsia="zh-CN" w:bidi="ar-SA"/>
        </w:rPr>
      </w:pPr>
      <w:r>
        <w:rPr>
          <w:rFonts w:hint="eastAsia" w:cs="Times New Roman"/>
          <w:color w:val="000000"/>
          <w:kern w:val="2"/>
          <w:sz w:val="28"/>
          <w:szCs w:val="28"/>
          <w:lang w:val="en-US" w:eastAsia="zh-CN" w:bidi="ar-SA"/>
        </w:rPr>
        <w:t>（1）</w:t>
      </w:r>
      <w:r>
        <w:rPr>
          <w:rFonts w:hint="default" w:cs="Times New Roman"/>
          <w:color w:val="000000"/>
          <w:kern w:val="2"/>
          <w:sz w:val="28"/>
          <w:szCs w:val="28"/>
          <w:lang w:val="en-US" w:eastAsia="zh-CN" w:bidi="ar-SA"/>
        </w:rPr>
        <w:t>须采用有备用电源供电的电子围栏。</w:t>
      </w:r>
    </w:p>
    <w:p>
      <w:pPr>
        <w:spacing w:line="360" w:lineRule="auto"/>
        <w:ind w:firstLine="280" w:firstLineChars="100"/>
        <w:jc w:val="left"/>
        <w:outlineLvl w:val="9"/>
        <w:rPr>
          <w:rFonts w:hint="default" w:cs="Times New Roman"/>
          <w:color w:val="000000"/>
          <w:kern w:val="2"/>
          <w:sz w:val="28"/>
          <w:szCs w:val="28"/>
          <w:lang w:val="en-US" w:eastAsia="zh-CN" w:bidi="ar-SA"/>
        </w:rPr>
      </w:pPr>
      <w:r>
        <w:rPr>
          <w:rFonts w:hint="eastAsia" w:cs="Times New Roman"/>
          <w:color w:val="000000"/>
          <w:kern w:val="2"/>
          <w:sz w:val="28"/>
          <w:szCs w:val="28"/>
          <w:lang w:val="en-US" w:eastAsia="zh-CN" w:bidi="ar-SA"/>
        </w:rPr>
        <w:t>（2）</w:t>
      </w:r>
      <w:r>
        <w:rPr>
          <w:rFonts w:hint="default" w:cs="Times New Roman"/>
          <w:color w:val="000000"/>
          <w:kern w:val="2"/>
          <w:sz w:val="28"/>
          <w:szCs w:val="28"/>
          <w:lang w:val="en-US" w:eastAsia="zh-CN" w:bidi="ar-SA"/>
        </w:rPr>
        <w:t>脉冲主机带有中文液晶显示功能，可显示当前工作输出电压、各防区预警状态、报警状态、与中央控制系统通讯状态、电压调整方式、当前时间显示。主机液晶显示屏应具备屏幕保护功能，5秒内没有操作时应关闭显示，按键操作时自动开启，以节能和延长显示屏寿命。</w:t>
      </w:r>
    </w:p>
    <w:p>
      <w:pPr>
        <w:spacing w:line="360" w:lineRule="auto"/>
        <w:ind w:firstLine="280" w:firstLineChars="100"/>
        <w:jc w:val="left"/>
        <w:outlineLvl w:val="9"/>
        <w:rPr>
          <w:rFonts w:hint="default" w:cs="Times New Roman"/>
          <w:color w:val="000000"/>
          <w:kern w:val="2"/>
          <w:sz w:val="28"/>
          <w:szCs w:val="28"/>
          <w:lang w:val="en-US" w:eastAsia="zh-CN" w:bidi="ar-SA"/>
        </w:rPr>
      </w:pPr>
      <w:r>
        <w:rPr>
          <w:rFonts w:hint="eastAsia" w:cs="Times New Roman"/>
          <w:color w:val="000000"/>
          <w:kern w:val="2"/>
          <w:sz w:val="28"/>
          <w:szCs w:val="28"/>
          <w:lang w:val="en-US" w:eastAsia="zh-CN" w:bidi="ar-SA"/>
        </w:rPr>
        <w:t>（3）</w:t>
      </w:r>
      <w:r>
        <w:rPr>
          <w:rFonts w:hint="default" w:cs="Times New Roman"/>
          <w:color w:val="000000"/>
          <w:kern w:val="2"/>
          <w:sz w:val="28"/>
          <w:szCs w:val="28"/>
          <w:lang w:val="en-US" w:eastAsia="zh-CN" w:bidi="ar-SA"/>
        </w:rPr>
        <w:t>脉冲主机能检测并响应前端金属导体的短路、断路、接地，以及主机开盖状态发出报警信号，应能分辨出入侵报警和故障报警。当发生报警时，应提供足够报警信号输出接口，能联动相关设备，如启动现场警笛（或喇叭）、联动摄像机预置位，启动相关设备</w:t>
      </w:r>
      <w:r>
        <w:rPr>
          <w:rFonts w:hint="eastAsia" w:cs="Times New Roman"/>
          <w:color w:val="000000"/>
          <w:kern w:val="2"/>
          <w:sz w:val="28"/>
          <w:szCs w:val="28"/>
          <w:lang w:val="en-US" w:eastAsia="zh-CN" w:bidi="ar-SA"/>
        </w:rPr>
        <w:t>（</w:t>
      </w:r>
      <w:r>
        <w:rPr>
          <w:rFonts w:hint="default" w:cs="Times New Roman"/>
          <w:color w:val="000000"/>
          <w:kern w:val="2"/>
          <w:sz w:val="28"/>
          <w:szCs w:val="28"/>
          <w:lang w:val="en-US" w:eastAsia="zh-CN" w:bidi="ar-SA"/>
        </w:rPr>
        <w:t>如灯光</w:t>
      </w:r>
      <w:r>
        <w:rPr>
          <w:rFonts w:hint="eastAsia" w:cs="Times New Roman"/>
          <w:color w:val="000000"/>
          <w:kern w:val="2"/>
          <w:sz w:val="28"/>
          <w:szCs w:val="28"/>
          <w:lang w:val="en-US" w:eastAsia="zh-CN" w:bidi="ar-SA"/>
        </w:rPr>
        <w:t>）</w:t>
      </w:r>
      <w:r>
        <w:rPr>
          <w:rFonts w:hint="default" w:cs="Times New Roman"/>
          <w:color w:val="000000"/>
          <w:kern w:val="2"/>
          <w:sz w:val="28"/>
          <w:szCs w:val="28"/>
          <w:lang w:val="en-US" w:eastAsia="zh-CN" w:bidi="ar-SA"/>
        </w:rPr>
        <w:t>等。</w:t>
      </w:r>
    </w:p>
    <w:p>
      <w:pPr>
        <w:spacing w:line="360" w:lineRule="auto"/>
        <w:ind w:firstLine="280" w:firstLineChars="100"/>
        <w:jc w:val="left"/>
        <w:outlineLvl w:val="9"/>
        <w:rPr>
          <w:rFonts w:hint="default" w:cs="Times New Roman"/>
          <w:color w:val="000000"/>
          <w:kern w:val="2"/>
          <w:sz w:val="28"/>
          <w:szCs w:val="28"/>
          <w:lang w:val="en-US" w:eastAsia="zh-CN" w:bidi="ar-SA"/>
        </w:rPr>
      </w:pPr>
      <w:r>
        <w:rPr>
          <w:rFonts w:hint="eastAsia" w:cs="Times New Roman"/>
          <w:color w:val="000000"/>
          <w:kern w:val="2"/>
          <w:sz w:val="28"/>
          <w:szCs w:val="28"/>
          <w:lang w:val="en-US" w:eastAsia="zh-CN" w:bidi="ar-SA"/>
        </w:rPr>
        <w:t>（4）</w:t>
      </w:r>
      <w:r>
        <w:rPr>
          <w:rFonts w:hint="default" w:cs="Times New Roman"/>
          <w:color w:val="000000"/>
          <w:kern w:val="2"/>
          <w:sz w:val="28"/>
          <w:szCs w:val="28"/>
          <w:lang w:val="en-US" w:eastAsia="zh-CN" w:bidi="ar-SA"/>
        </w:rPr>
        <w:t>脉冲主机内置7Ah蓄电池，带有智能蓄电管理系统（当主电源停止供电时自动切换蓄电池工作，并自动调整输出脉冲频率，确保系统连续延长工作12小时以上）。</w:t>
      </w:r>
    </w:p>
    <w:p>
      <w:pPr>
        <w:spacing w:line="360" w:lineRule="auto"/>
        <w:ind w:firstLine="280" w:firstLineChars="100"/>
        <w:jc w:val="left"/>
        <w:outlineLvl w:val="9"/>
        <w:rPr>
          <w:rFonts w:hint="default" w:cs="Times New Roman"/>
          <w:color w:val="000000"/>
          <w:kern w:val="2"/>
          <w:sz w:val="28"/>
          <w:szCs w:val="28"/>
          <w:lang w:val="en-US" w:eastAsia="zh-CN" w:bidi="ar-SA"/>
        </w:rPr>
      </w:pPr>
      <w:r>
        <w:rPr>
          <w:rFonts w:hint="eastAsia" w:cs="Times New Roman"/>
          <w:color w:val="000000"/>
          <w:kern w:val="2"/>
          <w:sz w:val="28"/>
          <w:szCs w:val="28"/>
          <w:lang w:val="en-US" w:eastAsia="zh-CN" w:bidi="ar-SA"/>
        </w:rPr>
        <w:t>（5）</w:t>
      </w:r>
      <w:r>
        <w:rPr>
          <w:rFonts w:hint="default" w:cs="Times New Roman"/>
          <w:color w:val="000000"/>
          <w:kern w:val="2"/>
          <w:sz w:val="28"/>
          <w:szCs w:val="28"/>
          <w:lang w:val="en-US" w:eastAsia="zh-CN" w:bidi="ar-SA"/>
        </w:rPr>
        <w:t>放置在保安室的脉冲主机中央控制系统，具备防区及及各防区电压显示，可控制电子脉冲围栏主机，包括撤防、布防，调整前端电子围栏电压高低，调整报警响应时间，中央控制系统须自带报警打印纪录功能，并带有防区报警输出功能，中央控制系统可联动其他报警设备。</w:t>
      </w:r>
    </w:p>
    <w:p>
      <w:pPr>
        <w:spacing w:line="360" w:lineRule="auto"/>
        <w:ind w:firstLine="280" w:firstLineChars="100"/>
        <w:jc w:val="left"/>
        <w:outlineLvl w:val="9"/>
        <w:rPr>
          <w:rFonts w:hint="default" w:cs="Times New Roman"/>
          <w:color w:val="000000"/>
          <w:kern w:val="2"/>
          <w:sz w:val="28"/>
          <w:szCs w:val="28"/>
          <w:lang w:val="en-US" w:eastAsia="zh-CN" w:bidi="ar-SA"/>
        </w:rPr>
      </w:pPr>
      <w:r>
        <w:rPr>
          <w:rFonts w:hint="eastAsia" w:cs="Times New Roman"/>
          <w:color w:val="000000"/>
          <w:kern w:val="2"/>
          <w:sz w:val="28"/>
          <w:szCs w:val="28"/>
          <w:lang w:val="en-US" w:eastAsia="zh-CN" w:bidi="ar-SA"/>
        </w:rPr>
        <w:t>（6）</w:t>
      </w:r>
      <w:r>
        <w:rPr>
          <w:rFonts w:hint="default" w:cs="Times New Roman"/>
          <w:color w:val="000000"/>
          <w:kern w:val="2"/>
          <w:sz w:val="28"/>
          <w:szCs w:val="28"/>
          <w:lang w:val="en-US" w:eastAsia="zh-CN" w:bidi="ar-SA"/>
        </w:rPr>
        <w:t>电子围栏子系统与智辅平台采用分布式集中控制方式：即脉冲控制器信号先传送到保安室脉冲主机中央控制系统管理，脉冲主机中央控制系统报警后再将信号以开关量方式传送到智能控制平台进行处理。</w:t>
      </w:r>
    </w:p>
    <w:p>
      <w:pPr>
        <w:spacing w:line="360" w:lineRule="auto"/>
        <w:ind w:firstLine="280" w:firstLineChars="100"/>
        <w:jc w:val="left"/>
        <w:outlineLvl w:val="9"/>
        <w:rPr>
          <w:rFonts w:hint="default" w:cs="Times New Roman"/>
          <w:color w:val="000000"/>
          <w:kern w:val="2"/>
          <w:sz w:val="28"/>
          <w:szCs w:val="28"/>
          <w:lang w:val="en-US" w:eastAsia="zh-CN" w:bidi="ar-SA"/>
        </w:rPr>
      </w:pPr>
      <w:r>
        <w:rPr>
          <w:rFonts w:hint="eastAsia" w:cs="Times New Roman"/>
          <w:color w:val="000000"/>
          <w:kern w:val="2"/>
          <w:sz w:val="28"/>
          <w:szCs w:val="28"/>
          <w:lang w:val="en-US" w:eastAsia="zh-CN" w:bidi="ar-SA"/>
        </w:rPr>
        <w:t>（7）</w:t>
      </w:r>
      <w:r>
        <w:rPr>
          <w:rFonts w:hint="default" w:cs="Times New Roman"/>
          <w:color w:val="000000"/>
          <w:kern w:val="2"/>
          <w:sz w:val="28"/>
          <w:szCs w:val="28"/>
          <w:lang w:val="en-US" w:eastAsia="zh-CN" w:bidi="ar-SA"/>
        </w:rPr>
        <w:t>在围墙上设置电子围栏，按围墙每</w:t>
      </w:r>
      <w:r>
        <w:rPr>
          <w:rFonts w:hint="eastAsia" w:cs="Times New Roman"/>
          <w:color w:val="000000"/>
          <w:kern w:val="2"/>
          <w:sz w:val="28"/>
          <w:szCs w:val="28"/>
          <w:lang w:val="en-US" w:eastAsia="zh-CN" w:bidi="ar-SA"/>
        </w:rPr>
        <w:t>30-</w:t>
      </w:r>
      <w:r>
        <w:rPr>
          <w:rFonts w:hint="default" w:cs="Times New Roman"/>
          <w:color w:val="000000"/>
          <w:kern w:val="2"/>
          <w:sz w:val="28"/>
          <w:szCs w:val="28"/>
          <w:lang w:val="en-US" w:eastAsia="zh-CN" w:bidi="ar-SA"/>
        </w:rPr>
        <w:t>70m设一个防区。可以每1～2个防区设一个主机箱，主机箱采用不锈钢等防腐能力强的材质，主机箱内设脉冲主机、变压器、端子排等设备，机箱布置在围墙适当位置上。</w:t>
      </w:r>
    </w:p>
    <w:p>
      <w:pPr>
        <w:spacing w:line="360" w:lineRule="auto"/>
        <w:ind w:firstLine="280" w:firstLineChars="100"/>
        <w:jc w:val="left"/>
        <w:outlineLvl w:val="9"/>
        <w:rPr>
          <w:rFonts w:hint="default" w:cs="Times New Roman"/>
          <w:color w:val="000000"/>
          <w:kern w:val="2"/>
          <w:sz w:val="28"/>
          <w:szCs w:val="28"/>
          <w:lang w:val="en-US" w:eastAsia="zh-CN" w:bidi="ar-SA"/>
        </w:rPr>
      </w:pPr>
      <w:r>
        <w:rPr>
          <w:rFonts w:hint="eastAsia" w:cs="Times New Roman"/>
          <w:color w:val="000000"/>
          <w:kern w:val="2"/>
          <w:sz w:val="28"/>
          <w:szCs w:val="28"/>
          <w:lang w:val="en-US" w:eastAsia="zh-CN" w:bidi="ar-SA"/>
        </w:rPr>
        <w:t>（8）</w:t>
      </w:r>
      <w:r>
        <w:rPr>
          <w:rFonts w:hint="default" w:cs="Times New Roman"/>
          <w:color w:val="000000"/>
          <w:kern w:val="2"/>
          <w:sz w:val="28"/>
          <w:szCs w:val="28"/>
          <w:lang w:val="en-US" w:eastAsia="zh-CN" w:bidi="ar-SA"/>
        </w:rPr>
        <w:t>光报警装置按防区设置。前端围栏直接安装在围墙顶部的上方，电子围栏的采用六线制，当发生短路或断路时，脉冲主机能发出报警并把报警信号通过接入装置上传至智能管理主机，主机能自动打开站内照明和启动录像。</w:t>
      </w:r>
    </w:p>
    <w:p>
      <w:pPr>
        <w:spacing w:line="360" w:lineRule="auto"/>
        <w:ind w:firstLine="280" w:firstLineChars="100"/>
        <w:jc w:val="left"/>
        <w:outlineLvl w:val="9"/>
        <w:rPr>
          <w:rFonts w:hint="default" w:cs="Times New Roman"/>
          <w:color w:val="000000"/>
          <w:kern w:val="2"/>
          <w:sz w:val="28"/>
          <w:szCs w:val="28"/>
          <w:lang w:val="en-US" w:eastAsia="zh-CN" w:bidi="ar-SA"/>
        </w:rPr>
      </w:pPr>
      <w:r>
        <w:rPr>
          <w:rFonts w:hint="eastAsia" w:cs="Times New Roman"/>
          <w:color w:val="000000"/>
          <w:kern w:val="2"/>
          <w:sz w:val="28"/>
          <w:szCs w:val="28"/>
          <w:lang w:val="en-US" w:eastAsia="zh-CN" w:bidi="ar-SA"/>
        </w:rPr>
        <w:t>（9）</w:t>
      </w:r>
      <w:r>
        <w:rPr>
          <w:rFonts w:hint="default" w:cs="Times New Roman"/>
          <w:color w:val="000000"/>
          <w:kern w:val="2"/>
          <w:sz w:val="28"/>
          <w:szCs w:val="28"/>
          <w:lang w:val="en-US" w:eastAsia="zh-CN" w:bidi="ar-SA"/>
        </w:rPr>
        <w:t>在电子围栏醒目处，每间隔8～10m安装一块“高压危险、禁止攀爬”夜光警示牌，警示牌固定在支架上。支架采用不锈钢等防腐、抗拉能力强的材质。</w:t>
      </w:r>
    </w:p>
    <w:p>
      <w:pPr>
        <w:spacing w:line="360" w:lineRule="auto"/>
        <w:ind w:firstLine="280" w:firstLineChars="100"/>
        <w:jc w:val="left"/>
        <w:outlineLvl w:val="9"/>
        <w:rPr>
          <w:rFonts w:hint="default" w:cs="Times New Roman"/>
          <w:color w:val="000000"/>
          <w:kern w:val="2"/>
          <w:sz w:val="28"/>
          <w:szCs w:val="28"/>
          <w:lang w:val="en-US" w:eastAsia="zh-CN" w:bidi="ar-SA"/>
        </w:rPr>
      </w:pPr>
      <w:r>
        <w:rPr>
          <w:rFonts w:hint="eastAsia" w:cs="Times New Roman"/>
          <w:color w:val="000000"/>
          <w:kern w:val="2"/>
          <w:sz w:val="28"/>
          <w:szCs w:val="28"/>
          <w:lang w:val="en-US" w:eastAsia="zh-CN" w:bidi="ar-SA"/>
        </w:rPr>
        <w:t>（10）</w:t>
      </w:r>
      <w:r>
        <w:rPr>
          <w:rFonts w:hint="default" w:cs="Times New Roman"/>
          <w:color w:val="000000"/>
          <w:kern w:val="2"/>
          <w:sz w:val="28"/>
          <w:szCs w:val="28"/>
          <w:lang w:val="en-US" w:eastAsia="zh-CN" w:bidi="ar-SA"/>
        </w:rPr>
        <w:t>脉冲电子围栏系统的支架应安装在坚固的墙体或其他物件上，支架与墙体或其他物件的结合应牢固，支架的间距应小于5m。</w:t>
      </w:r>
    </w:p>
    <w:p>
      <w:pPr>
        <w:spacing w:line="360" w:lineRule="auto"/>
        <w:ind w:firstLine="560" w:firstLineChars="200"/>
        <w:jc w:val="left"/>
        <w:outlineLvl w:val="9"/>
        <w:rPr>
          <w:rFonts w:hint="default" w:cs="Times New Roman"/>
          <w:color w:val="000000"/>
          <w:kern w:val="2"/>
          <w:sz w:val="28"/>
          <w:szCs w:val="28"/>
          <w:lang w:val="en-US" w:eastAsia="zh-CN" w:bidi="ar-SA"/>
        </w:rPr>
      </w:pPr>
      <w:r>
        <w:rPr>
          <w:rFonts w:hint="eastAsia" w:cs="Times New Roman"/>
          <w:color w:val="000000"/>
          <w:kern w:val="2"/>
          <w:sz w:val="28"/>
          <w:szCs w:val="28"/>
          <w:lang w:val="en-US" w:eastAsia="zh-CN" w:bidi="ar-SA"/>
        </w:rPr>
        <w:t>（11）</w:t>
      </w:r>
      <w:r>
        <w:rPr>
          <w:rFonts w:hint="default" w:cs="Times New Roman"/>
          <w:color w:val="000000"/>
          <w:kern w:val="2"/>
          <w:sz w:val="28"/>
          <w:szCs w:val="28"/>
          <w:lang w:val="en-US" w:eastAsia="zh-CN" w:bidi="ar-SA"/>
        </w:rPr>
        <w:t>电子围栏子系统应提供各防区的干结点告警输出，预留与公安机关报警平台联网的接口。</w:t>
      </w:r>
    </w:p>
    <w:p>
      <w:pPr>
        <w:pStyle w:val="2"/>
        <w:ind w:left="420" w:leftChars="200" w:firstLine="0" w:firstLineChars="0"/>
        <w:rPr>
          <w:rFonts w:hint="default" w:cs="Times New Roman"/>
          <w:b/>
          <w:bCs/>
          <w:color w:val="000000"/>
          <w:kern w:val="2"/>
          <w:sz w:val="28"/>
          <w:szCs w:val="28"/>
          <w:lang w:val="en-US" w:eastAsia="zh-CN" w:bidi="ar-SA"/>
        </w:rPr>
      </w:pPr>
      <w:r>
        <w:rPr>
          <w:rFonts w:hint="eastAsia" w:cs="Times New Roman"/>
          <w:b/>
          <w:bCs/>
          <w:color w:val="000000"/>
          <w:kern w:val="2"/>
          <w:sz w:val="28"/>
          <w:szCs w:val="28"/>
          <w:lang w:val="en-US" w:eastAsia="zh-CN" w:bidi="ar-SA"/>
        </w:rPr>
        <w:t>3、报警系统</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（1）</w:t>
      </w:r>
      <w:r>
        <w:rPr>
          <w:rFonts w:hint="default" w:cs="Times New Roman"/>
          <w:b w:val="0"/>
          <w:bCs w:val="0"/>
          <w:color w:val="000000"/>
          <w:kern w:val="2"/>
          <w:sz w:val="28"/>
          <w:szCs w:val="28"/>
          <w:lang w:val="en-US" w:eastAsia="zh-CN" w:bidi="ar-SA"/>
        </w:rPr>
        <w:t>红外线光束对射探头应采用四光束的，当有人或物体阻挡光线时产生告警信号，并可以设置其布防和撤防两种运行方式；</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（2）</w:t>
      </w:r>
      <w:r>
        <w:rPr>
          <w:rFonts w:hint="default" w:cs="Times New Roman"/>
          <w:b w:val="0"/>
          <w:bCs w:val="0"/>
          <w:color w:val="000000"/>
          <w:kern w:val="2"/>
          <w:sz w:val="28"/>
          <w:szCs w:val="28"/>
          <w:lang w:val="en-US" w:eastAsia="zh-CN" w:bidi="ar-SA"/>
        </w:rPr>
        <w:t>红外对射的安装应该覆盖所有的围墙及大门，红外线光束对射探头的裕度应不小于100%；</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（3）</w:t>
      </w:r>
      <w:r>
        <w:rPr>
          <w:rFonts w:hint="default" w:cs="Times New Roman"/>
          <w:b w:val="0"/>
          <w:bCs w:val="0"/>
          <w:color w:val="000000"/>
          <w:kern w:val="2"/>
          <w:sz w:val="28"/>
          <w:szCs w:val="28"/>
          <w:lang w:val="en-US" w:eastAsia="zh-CN" w:bidi="ar-SA"/>
        </w:rPr>
        <w:t>红外对射支撑管应用不锈钢管和底座，管厚不少于1.2mm， 座子厚度不小于2.5mm；座子的固定螺栓方向向下</w:t>
      </w:r>
      <w:r>
        <w:rPr>
          <w:rFonts w:hint="eastAsia" w:cs="Times New Roman"/>
          <w:b w:val="0"/>
          <w:bCs w:val="0"/>
          <w:color w:val="000000"/>
          <w:kern w:val="2"/>
          <w:sz w:val="28"/>
          <w:szCs w:val="28"/>
          <w:lang w:val="en-US" w:eastAsia="zh-CN" w:bidi="ar-SA"/>
        </w:rPr>
        <w:t>；</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（4）</w:t>
      </w:r>
      <w:r>
        <w:rPr>
          <w:rFonts w:hint="default" w:cs="Times New Roman"/>
          <w:b w:val="0"/>
          <w:bCs w:val="0"/>
          <w:color w:val="000000"/>
          <w:kern w:val="2"/>
          <w:sz w:val="28"/>
          <w:szCs w:val="28"/>
          <w:lang w:val="en-US" w:eastAsia="zh-CN" w:bidi="ar-SA"/>
        </w:rPr>
        <w:t>主动红外线对射系统应提供各防区的干结点告警输出</w:t>
      </w:r>
      <w:r>
        <w:rPr>
          <w:rFonts w:hint="eastAsia" w:cs="Times New Roman"/>
          <w:b w:val="0"/>
          <w:bCs w:val="0"/>
          <w:color w:val="000000"/>
          <w:kern w:val="2"/>
          <w:sz w:val="28"/>
          <w:szCs w:val="28"/>
          <w:lang w:val="en-US" w:eastAsia="zh-CN" w:bidi="ar-SA"/>
        </w:rPr>
        <w:t>；</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（5）</w:t>
      </w:r>
      <w:r>
        <w:rPr>
          <w:rFonts w:hint="default" w:cs="Times New Roman"/>
          <w:b w:val="0"/>
          <w:bCs w:val="0"/>
          <w:color w:val="000000"/>
          <w:kern w:val="2"/>
          <w:sz w:val="28"/>
          <w:szCs w:val="28"/>
          <w:lang w:val="en-US" w:eastAsia="zh-CN" w:bidi="ar-SA"/>
        </w:rPr>
        <w:t>安全警卫接入子系统中的单个控制器（智能接入装置）要求至少接入8个防区。</w:t>
      </w:r>
    </w:p>
    <w:p>
      <w:pPr>
        <w:pStyle w:val="2"/>
        <w:ind w:left="420" w:leftChars="200" w:firstLine="0" w:firstLineChars="0"/>
        <w:rPr>
          <w:rFonts w:hint="eastAsia" w:cs="Times New Roman"/>
          <w:b/>
          <w:bCs/>
          <w:color w:val="000000"/>
          <w:kern w:val="2"/>
          <w:sz w:val="28"/>
          <w:szCs w:val="28"/>
          <w:lang w:val="en-US" w:eastAsia="zh-CN" w:bidi="ar-SA"/>
        </w:rPr>
      </w:pPr>
      <w:r>
        <w:rPr>
          <w:rFonts w:hint="eastAsia" w:cs="Times New Roman"/>
          <w:b/>
          <w:bCs/>
          <w:color w:val="000000"/>
          <w:kern w:val="2"/>
          <w:sz w:val="28"/>
          <w:szCs w:val="28"/>
          <w:lang w:val="en-US" w:eastAsia="zh-CN" w:bidi="ar-SA"/>
        </w:rPr>
        <w:t>4、门禁子系统</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（1）</w:t>
      </w:r>
      <w:r>
        <w:rPr>
          <w:rFonts w:hint="default" w:cs="Times New Roman"/>
          <w:b w:val="0"/>
          <w:bCs w:val="0"/>
          <w:color w:val="000000"/>
          <w:kern w:val="2"/>
          <w:sz w:val="28"/>
          <w:szCs w:val="28"/>
          <w:lang w:val="en-US" w:eastAsia="zh-CN" w:bidi="ar-SA"/>
        </w:rPr>
        <w:t>变电站入口大门及二次设备室应配置门禁，高压室、通信室、蓄电池室、GIS室、电容器室</w:t>
      </w:r>
      <w:r>
        <w:rPr>
          <w:rFonts w:hint="eastAsia" w:cs="Times New Roman"/>
          <w:b w:val="0"/>
          <w:bCs w:val="0"/>
          <w:color w:val="000000"/>
          <w:kern w:val="2"/>
          <w:sz w:val="28"/>
          <w:szCs w:val="28"/>
          <w:lang w:val="en-US" w:eastAsia="zh-CN" w:bidi="ar-SA"/>
        </w:rPr>
        <w:t>等重要区域</w:t>
      </w:r>
      <w:r>
        <w:rPr>
          <w:rFonts w:hint="default" w:cs="Times New Roman"/>
          <w:b w:val="0"/>
          <w:bCs w:val="0"/>
          <w:color w:val="000000"/>
          <w:kern w:val="2"/>
          <w:sz w:val="28"/>
          <w:szCs w:val="28"/>
          <w:lang w:val="en-US" w:eastAsia="zh-CN" w:bidi="ar-SA"/>
        </w:rPr>
        <w:t>配置门禁</w:t>
      </w:r>
      <w:r>
        <w:rPr>
          <w:rFonts w:hint="eastAsia" w:cs="Times New Roman"/>
          <w:b w:val="0"/>
          <w:bCs w:val="0"/>
          <w:color w:val="000000"/>
          <w:kern w:val="2"/>
          <w:sz w:val="28"/>
          <w:szCs w:val="28"/>
          <w:lang w:val="en-US" w:eastAsia="zh-CN" w:bidi="ar-SA"/>
        </w:rPr>
        <w:t>；</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（2）</w:t>
      </w:r>
      <w:r>
        <w:rPr>
          <w:rFonts w:hint="default" w:cs="Times New Roman"/>
          <w:b w:val="0"/>
          <w:bCs w:val="0"/>
          <w:color w:val="000000"/>
          <w:kern w:val="2"/>
          <w:sz w:val="28"/>
          <w:szCs w:val="28"/>
          <w:lang w:val="en-US" w:eastAsia="zh-CN" w:bidi="ar-SA"/>
        </w:rPr>
        <w:t>多种开门方式，如刷卡开门、密码开门、门卡配合密码开门、多卡开门、远程控制开门等；</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（3）</w:t>
      </w:r>
      <w:r>
        <w:rPr>
          <w:rFonts w:hint="default" w:cs="Times New Roman"/>
          <w:b w:val="0"/>
          <w:bCs w:val="0"/>
          <w:color w:val="000000"/>
          <w:kern w:val="2"/>
          <w:sz w:val="28"/>
          <w:szCs w:val="28"/>
          <w:lang w:val="en-US" w:eastAsia="zh-CN" w:bidi="ar-SA"/>
        </w:rPr>
        <w:t>信息记录功能，能记录门禁开启时间及开启人的卡号、姓名、单位等信息，所有的记录信息能远程读取；</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（4）</w:t>
      </w:r>
      <w:r>
        <w:rPr>
          <w:rFonts w:hint="default" w:cs="Times New Roman"/>
          <w:b w:val="0"/>
          <w:bCs w:val="0"/>
          <w:color w:val="000000"/>
          <w:kern w:val="2"/>
          <w:sz w:val="28"/>
          <w:szCs w:val="28"/>
          <w:lang w:val="en-US" w:eastAsia="zh-CN" w:bidi="ar-SA"/>
        </w:rPr>
        <w:t>时间、地点进行多种组合的权限设置，具备非法闯入报警、非法卡刷卡报警等多种报警功能；</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（5）</w:t>
      </w:r>
      <w:r>
        <w:rPr>
          <w:rFonts w:hint="default" w:cs="Times New Roman"/>
          <w:b w:val="0"/>
          <w:bCs w:val="0"/>
          <w:color w:val="000000"/>
          <w:kern w:val="2"/>
          <w:sz w:val="28"/>
          <w:szCs w:val="28"/>
          <w:lang w:val="en-US" w:eastAsia="zh-CN" w:bidi="ar-SA"/>
        </w:rPr>
        <w:t>具备安全、休眠、常开、常闭等多种工作状态；</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（6）</w:t>
      </w:r>
      <w:r>
        <w:rPr>
          <w:rFonts w:hint="default" w:cs="Times New Roman"/>
          <w:b w:val="0"/>
          <w:bCs w:val="0"/>
          <w:color w:val="000000"/>
          <w:kern w:val="2"/>
          <w:sz w:val="28"/>
          <w:szCs w:val="28"/>
          <w:lang w:val="en-US" w:eastAsia="zh-CN" w:bidi="ar-SA"/>
        </w:rPr>
        <w:t>具有多路输入、输出接口及RS232/RS485/RJ45通信接口，能和消防子系统联动，在消防告警时将所有门打开；</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（7）</w:t>
      </w:r>
      <w:r>
        <w:rPr>
          <w:rFonts w:hint="default" w:cs="Times New Roman"/>
          <w:b w:val="0"/>
          <w:bCs w:val="0"/>
          <w:color w:val="000000"/>
          <w:kern w:val="2"/>
          <w:sz w:val="28"/>
          <w:szCs w:val="28"/>
          <w:lang w:val="en-US" w:eastAsia="zh-CN" w:bidi="ar-SA"/>
        </w:rPr>
        <w:t>具备保存30 000张不连续用户卡和15 000条脱机事件记录信息的存储能力。</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（8）</w:t>
      </w:r>
      <w:r>
        <w:rPr>
          <w:rFonts w:hint="default" w:cs="Times New Roman"/>
          <w:b w:val="0"/>
          <w:bCs w:val="0"/>
          <w:color w:val="000000"/>
          <w:kern w:val="2"/>
          <w:sz w:val="28"/>
          <w:szCs w:val="28"/>
          <w:lang w:val="en-US" w:eastAsia="zh-CN" w:bidi="ar-SA"/>
        </w:rPr>
        <w:t>门禁系统应提供开关门信号、门铃信号干</w:t>
      </w:r>
      <w:r>
        <w:rPr>
          <w:rFonts w:hint="eastAsia" w:cs="Times New Roman"/>
          <w:b w:val="0"/>
          <w:bCs w:val="0"/>
          <w:color w:val="000000"/>
          <w:kern w:val="2"/>
          <w:sz w:val="28"/>
          <w:szCs w:val="28"/>
          <w:lang w:val="en-US" w:eastAsia="zh-CN" w:bidi="ar-SA"/>
        </w:rPr>
        <w:t>节</w:t>
      </w:r>
      <w:r>
        <w:rPr>
          <w:rFonts w:hint="default" w:cs="Times New Roman"/>
          <w:b w:val="0"/>
          <w:bCs w:val="0"/>
          <w:color w:val="000000"/>
          <w:kern w:val="2"/>
          <w:sz w:val="28"/>
          <w:szCs w:val="28"/>
          <w:lang w:val="en-US" w:eastAsia="zh-CN" w:bidi="ar-SA"/>
        </w:rPr>
        <w:t>点接口。</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（9）</w:t>
      </w:r>
      <w:r>
        <w:rPr>
          <w:rFonts w:hint="default" w:cs="Times New Roman"/>
          <w:b w:val="0"/>
          <w:bCs w:val="0"/>
          <w:color w:val="000000"/>
          <w:kern w:val="2"/>
          <w:sz w:val="28"/>
          <w:szCs w:val="28"/>
          <w:lang w:val="en-US" w:eastAsia="zh-CN" w:bidi="ar-SA"/>
        </w:rPr>
        <w:t>门禁接入子系统中的单个控制器（智能接入装置）要求至少具备8个干节点输入接口。</w:t>
      </w:r>
    </w:p>
    <w:p>
      <w:pPr>
        <w:pStyle w:val="2"/>
        <w:ind w:left="420" w:leftChars="200" w:firstLine="0" w:firstLineChars="0"/>
        <w:rPr>
          <w:rFonts w:hint="eastAsia" w:cs="Times New Roman"/>
          <w:b/>
          <w:bCs/>
          <w:color w:val="000000"/>
          <w:kern w:val="2"/>
          <w:sz w:val="28"/>
          <w:szCs w:val="28"/>
          <w:lang w:val="en-US" w:eastAsia="zh-CN" w:bidi="ar-SA"/>
        </w:rPr>
      </w:pPr>
      <w:r>
        <w:rPr>
          <w:rFonts w:hint="default" w:cs="Times New Roman"/>
          <w:b/>
          <w:bCs/>
          <w:color w:val="000000"/>
          <w:kern w:val="2"/>
          <w:sz w:val="28"/>
          <w:szCs w:val="28"/>
          <w:lang w:val="en-US" w:eastAsia="zh-CN" w:bidi="ar-SA"/>
        </w:rPr>
        <w:t xml:space="preserve"> </w:t>
      </w:r>
      <w:r>
        <w:rPr>
          <w:rFonts w:hint="eastAsia" w:cs="Times New Roman"/>
          <w:b/>
          <w:bCs/>
          <w:color w:val="000000"/>
          <w:kern w:val="2"/>
          <w:sz w:val="28"/>
          <w:szCs w:val="28"/>
          <w:lang w:val="en-US" w:eastAsia="zh-CN" w:bidi="ar-SA"/>
        </w:rPr>
        <w:t>5、</w:t>
      </w:r>
      <w:r>
        <w:rPr>
          <w:rFonts w:hint="default" w:cs="Times New Roman"/>
          <w:b/>
          <w:bCs/>
          <w:color w:val="000000"/>
          <w:kern w:val="2"/>
          <w:sz w:val="28"/>
          <w:szCs w:val="28"/>
          <w:lang w:val="en-US" w:eastAsia="zh-CN" w:bidi="ar-SA"/>
        </w:rPr>
        <w:t>环境温湿度监测子系统</w:t>
      </w:r>
      <w:r>
        <w:rPr>
          <w:rFonts w:hint="eastAsia" w:cs="Times New Roman"/>
          <w:b/>
          <w:bCs/>
          <w:color w:val="000000"/>
          <w:kern w:val="2"/>
          <w:sz w:val="28"/>
          <w:szCs w:val="28"/>
          <w:lang w:val="en-US" w:eastAsia="zh-CN" w:bidi="ar-SA"/>
        </w:rPr>
        <w:t>、气体浓度监测子系统。</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（1）</w:t>
      </w:r>
      <w:r>
        <w:rPr>
          <w:rFonts w:hint="default" w:cs="Times New Roman"/>
          <w:b w:val="0"/>
          <w:bCs w:val="0"/>
          <w:color w:val="000000"/>
          <w:kern w:val="2"/>
          <w:sz w:val="28"/>
          <w:szCs w:val="28"/>
          <w:lang w:val="en-US" w:eastAsia="zh-CN" w:bidi="ar-SA"/>
        </w:rPr>
        <w:t>支持POE供电方式。</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（2）</w:t>
      </w:r>
      <w:r>
        <w:rPr>
          <w:rFonts w:hint="default" w:cs="Times New Roman"/>
          <w:b w:val="0"/>
          <w:bCs w:val="0"/>
          <w:color w:val="000000"/>
          <w:kern w:val="2"/>
          <w:sz w:val="28"/>
          <w:szCs w:val="28"/>
          <w:lang w:val="en-US" w:eastAsia="zh-CN" w:bidi="ar-SA"/>
        </w:rPr>
        <w:t>控制器采用导轨安装方式，可在配电箱内进行安装配置。</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（3）</w:t>
      </w:r>
      <w:r>
        <w:rPr>
          <w:rFonts w:hint="default" w:cs="Times New Roman"/>
          <w:b w:val="0"/>
          <w:bCs w:val="0"/>
          <w:color w:val="000000"/>
          <w:kern w:val="2"/>
          <w:sz w:val="28"/>
          <w:szCs w:val="28"/>
          <w:lang w:val="en-US" w:eastAsia="zh-CN" w:bidi="ar-SA"/>
        </w:rPr>
        <w:t>一个控制器可以外接不少于16个气体监测传感器。</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（4）</w:t>
      </w:r>
      <w:r>
        <w:rPr>
          <w:rFonts w:hint="default" w:cs="Times New Roman"/>
          <w:b w:val="0"/>
          <w:bCs w:val="0"/>
          <w:color w:val="000000"/>
          <w:kern w:val="2"/>
          <w:sz w:val="28"/>
          <w:szCs w:val="28"/>
          <w:lang w:val="en-US" w:eastAsia="zh-CN" w:bidi="ar-SA"/>
        </w:rPr>
        <w:t>可对SF6、O2浓度联动门限和告警门限进行设定。</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（5）</w:t>
      </w:r>
      <w:r>
        <w:rPr>
          <w:rFonts w:hint="default" w:cs="Times New Roman"/>
          <w:b w:val="0"/>
          <w:bCs w:val="0"/>
          <w:color w:val="000000"/>
          <w:kern w:val="2"/>
          <w:sz w:val="28"/>
          <w:szCs w:val="28"/>
          <w:lang w:val="en-US" w:eastAsia="zh-CN" w:bidi="ar-SA"/>
        </w:rPr>
        <w:t>可定时上传SF6、O2浓度采样值、采样时间间隔可调。</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（6）</w:t>
      </w:r>
      <w:r>
        <w:rPr>
          <w:rFonts w:hint="default" w:cs="Times New Roman"/>
          <w:b w:val="0"/>
          <w:bCs w:val="0"/>
          <w:color w:val="000000"/>
          <w:kern w:val="2"/>
          <w:sz w:val="28"/>
          <w:szCs w:val="28"/>
          <w:lang w:val="en-US" w:eastAsia="zh-CN" w:bidi="ar-SA"/>
        </w:rPr>
        <w:t>应具备基于WEB的管理与配置界面。</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（7）</w:t>
      </w:r>
      <w:r>
        <w:rPr>
          <w:rFonts w:hint="default" w:cs="Times New Roman"/>
          <w:b w:val="0"/>
          <w:bCs w:val="0"/>
          <w:color w:val="000000"/>
          <w:kern w:val="2"/>
          <w:sz w:val="28"/>
          <w:szCs w:val="28"/>
          <w:lang w:val="en-US" w:eastAsia="zh-CN" w:bidi="ar-SA"/>
        </w:rPr>
        <w:t>SF6测量范围：0～3000ppm；测量精度：满量程的正负1%。</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（8）</w:t>
      </w:r>
      <w:r>
        <w:rPr>
          <w:rFonts w:hint="default" w:cs="Times New Roman"/>
          <w:b w:val="0"/>
          <w:bCs w:val="0"/>
          <w:color w:val="000000"/>
          <w:kern w:val="2"/>
          <w:sz w:val="28"/>
          <w:szCs w:val="28"/>
          <w:lang w:val="en-US" w:eastAsia="zh-CN" w:bidi="ar-SA"/>
        </w:rPr>
        <w:t>O2 测量范围：0~25%，检测精度&lt;0.5%(O2浓度在21%时)，氧气浓度报警点：18%。</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（9）</w:t>
      </w:r>
      <w:r>
        <w:rPr>
          <w:rFonts w:hint="default" w:cs="Times New Roman"/>
          <w:b w:val="0"/>
          <w:bCs w:val="0"/>
          <w:color w:val="000000"/>
          <w:kern w:val="2"/>
          <w:sz w:val="28"/>
          <w:szCs w:val="28"/>
          <w:lang w:val="en-US" w:eastAsia="zh-CN" w:bidi="ar-SA"/>
        </w:rPr>
        <w:t>可对温湿度联动门限和告警门限进行设定。</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（10）</w:t>
      </w:r>
      <w:r>
        <w:rPr>
          <w:rFonts w:hint="default" w:cs="Times New Roman"/>
          <w:b w:val="0"/>
          <w:bCs w:val="0"/>
          <w:color w:val="000000"/>
          <w:kern w:val="2"/>
          <w:sz w:val="28"/>
          <w:szCs w:val="28"/>
          <w:lang w:val="en-US" w:eastAsia="zh-CN" w:bidi="ar-SA"/>
        </w:rPr>
        <w:t>可定时上传温湿度采样值、采样时间间隔可调。</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（11）</w:t>
      </w:r>
      <w:r>
        <w:rPr>
          <w:rFonts w:hint="default" w:cs="Times New Roman"/>
          <w:b w:val="0"/>
          <w:bCs w:val="0"/>
          <w:color w:val="000000"/>
          <w:kern w:val="2"/>
          <w:sz w:val="28"/>
          <w:szCs w:val="28"/>
          <w:lang w:val="en-US" w:eastAsia="zh-CN" w:bidi="ar-SA"/>
        </w:rPr>
        <w:t>应具备基于WEB的管理与配置界面。</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（12）</w:t>
      </w:r>
      <w:r>
        <w:rPr>
          <w:rFonts w:hint="default" w:cs="Times New Roman"/>
          <w:b w:val="0"/>
          <w:bCs w:val="0"/>
          <w:color w:val="000000"/>
          <w:kern w:val="2"/>
          <w:sz w:val="28"/>
          <w:szCs w:val="28"/>
          <w:lang w:val="en-US" w:eastAsia="zh-CN" w:bidi="ar-SA"/>
        </w:rPr>
        <w:t>温度测量：范围，－20～＋100℃；精度，±0.5℃ 。</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（13）</w:t>
      </w:r>
      <w:r>
        <w:rPr>
          <w:rFonts w:hint="default" w:cs="Times New Roman"/>
          <w:b w:val="0"/>
          <w:bCs w:val="0"/>
          <w:color w:val="000000"/>
          <w:kern w:val="2"/>
          <w:sz w:val="28"/>
          <w:szCs w:val="28"/>
          <w:lang w:val="en-US" w:eastAsia="zh-CN" w:bidi="ar-SA"/>
        </w:rPr>
        <w:t>湿度测量：范围，0－100％RH；精度，±1％RH（25％RH）。</w:t>
      </w:r>
    </w:p>
    <w:p>
      <w:pPr>
        <w:pStyle w:val="2"/>
        <w:ind w:left="420" w:leftChars="200" w:firstLine="0" w:firstLineChars="0"/>
        <w:rPr>
          <w:rFonts w:hint="eastAsia" w:cs="Times New Roman"/>
          <w:b/>
          <w:bCs/>
          <w:color w:val="000000"/>
          <w:kern w:val="2"/>
          <w:sz w:val="28"/>
          <w:szCs w:val="28"/>
          <w:lang w:val="en-US" w:eastAsia="zh-CN" w:bidi="ar-SA"/>
        </w:rPr>
      </w:pPr>
      <w:r>
        <w:rPr>
          <w:rFonts w:hint="eastAsia" w:cs="Times New Roman"/>
          <w:b/>
          <w:bCs/>
          <w:color w:val="000000"/>
          <w:kern w:val="2"/>
          <w:sz w:val="28"/>
          <w:szCs w:val="28"/>
          <w:lang w:val="en-US" w:eastAsia="zh-CN" w:bidi="ar-SA"/>
        </w:rPr>
        <w:t>6、风速监测子系统</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（1）</w:t>
      </w:r>
      <w:r>
        <w:rPr>
          <w:rFonts w:hint="default" w:cs="Times New Roman"/>
          <w:b w:val="0"/>
          <w:bCs w:val="0"/>
          <w:color w:val="000000"/>
          <w:kern w:val="2"/>
          <w:sz w:val="28"/>
          <w:szCs w:val="28"/>
          <w:lang w:val="en-US" w:eastAsia="zh-CN" w:bidi="ar-SA"/>
        </w:rPr>
        <w:t>风速监测子系统由控制器与风速监测传感器组成。控制器与风速传感器采用分离安装。</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（2）</w:t>
      </w:r>
      <w:r>
        <w:rPr>
          <w:rFonts w:hint="default" w:cs="Times New Roman"/>
          <w:b w:val="0"/>
          <w:bCs w:val="0"/>
          <w:color w:val="000000"/>
          <w:kern w:val="2"/>
          <w:sz w:val="28"/>
          <w:szCs w:val="28"/>
          <w:lang w:val="en-US" w:eastAsia="zh-CN" w:bidi="ar-SA"/>
        </w:rPr>
        <w:t>支持POE供电方式。</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（3）</w:t>
      </w:r>
      <w:r>
        <w:rPr>
          <w:rFonts w:hint="default" w:cs="Times New Roman"/>
          <w:b w:val="0"/>
          <w:bCs w:val="0"/>
          <w:color w:val="000000"/>
          <w:kern w:val="2"/>
          <w:sz w:val="28"/>
          <w:szCs w:val="28"/>
          <w:lang w:val="en-US" w:eastAsia="zh-CN" w:bidi="ar-SA"/>
        </w:rPr>
        <w:t>控制器采用导轨安装方式，可在配电箱内进行安装配置。</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（4）</w:t>
      </w:r>
      <w:r>
        <w:rPr>
          <w:rFonts w:hint="default" w:cs="Times New Roman"/>
          <w:b w:val="0"/>
          <w:bCs w:val="0"/>
          <w:color w:val="000000"/>
          <w:kern w:val="2"/>
          <w:sz w:val="28"/>
          <w:szCs w:val="28"/>
          <w:lang w:val="en-US" w:eastAsia="zh-CN" w:bidi="ar-SA"/>
        </w:rPr>
        <w:t>可定时上传风速采样值、采样时间间隔可调。</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（5）</w:t>
      </w:r>
      <w:r>
        <w:rPr>
          <w:rFonts w:hint="default" w:cs="Times New Roman"/>
          <w:b w:val="0"/>
          <w:bCs w:val="0"/>
          <w:color w:val="000000"/>
          <w:kern w:val="2"/>
          <w:sz w:val="28"/>
          <w:szCs w:val="28"/>
          <w:lang w:val="en-US" w:eastAsia="zh-CN" w:bidi="ar-SA"/>
        </w:rPr>
        <w:t>应具备基于WEB的管理与配置界面。</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（6）</w:t>
      </w:r>
      <w:r>
        <w:rPr>
          <w:rFonts w:hint="default" w:cs="Times New Roman"/>
          <w:b w:val="0"/>
          <w:bCs w:val="0"/>
          <w:color w:val="000000"/>
          <w:kern w:val="2"/>
          <w:sz w:val="28"/>
          <w:szCs w:val="28"/>
          <w:lang w:val="en-US" w:eastAsia="zh-CN" w:bidi="ar-SA"/>
        </w:rPr>
        <w:t>测量范围：0～30 (m/s)；测量精度：±0.5% 测量值。</w:t>
      </w:r>
    </w:p>
    <w:p>
      <w:pPr>
        <w:pStyle w:val="2"/>
        <w:ind w:left="420" w:leftChars="200" w:firstLine="0" w:firstLineChars="0"/>
        <w:rPr>
          <w:rFonts w:hint="eastAsia" w:cs="Times New Roman"/>
          <w:b/>
          <w:bCs/>
          <w:color w:val="000000"/>
          <w:kern w:val="2"/>
          <w:sz w:val="28"/>
          <w:szCs w:val="28"/>
          <w:lang w:val="en-US" w:eastAsia="zh-CN" w:bidi="ar-SA"/>
        </w:rPr>
      </w:pPr>
      <w:r>
        <w:rPr>
          <w:rFonts w:hint="eastAsia" w:cs="Times New Roman"/>
          <w:b/>
          <w:bCs/>
          <w:color w:val="000000"/>
          <w:kern w:val="2"/>
          <w:sz w:val="28"/>
          <w:szCs w:val="28"/>
          <w:lang w:val="en-US" w:eastAsia="zh-CN" w:bidi="ar-SA"/>
        </w:rPr>
        <w:t>7、空调、风机、水泵智能控制子系统</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（1）</w:t>
      </w:r>
      <w:r>
        <w:rPr>
          <w:rFonts w:hint="default" w:cs="Times New Roman"/>
          <w:b w:val="0"/>
          <w:bCs w:val="0"/>
          <w:color w:val="000000"/>
          <w:kern w:val="2"/>
          <w:sz w:val="28"/>
          <w:szCs w:val="28"/>
          <w:lang w:val="en-US" w:eastAsia="zh-CN" w:bidi="ar-SA"/>
        </w:rPr>
        <w:t>控制器采用导轨安装方式，可在配电箱内进行安装配置。</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（2）</w:t>
      </w:r>
      <w:r>
        <w:rPr>
          <w:rFonts w:hint="default" w:cs="Times New Roman"/>
          <w:b w:val="0"/>
          <w:bCs w:val="0"/>
          <w:color w:val="000000"/>
          <w:kern w:val="2"/>
          <w:sz w:val="28"/>
          <w:szCs w:val="28"/>
          <w:lang w:val="en-US" w:eastAsia="zh-CN" w:bidi="ar-SA"/>
        </w:rPr>
        <w:t>一个控制器可以外接不少于8个红外发射装置，并对不少于8台空调进行控制。</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（3）</w:t>
      </w:r>
      <w:r>
        <w:rPr>
          <w:rFonts w:hint="default" w:cs="Times New Roman"/>
          <w:b w:val="0"/>
          <w:bCs w:val="0"/>
          <w:color w:val="000000"/>
          <w:kern w:val="2"/>
          <w:sz w:val="28"/>
          <w:szCs w:val="28"/>
          <w:lang w:val="en-US" w:eastAsia="zh-CN" w:bidi="ar-SA"/>
        </w:rPr>
        <w:t>支持POE供电方式。</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（4）</w:t>
      </w:r>
      <w:r>
        <w:rPr>
          <w:rFonts w:hint="default" w:cs="Times New Roman"/>
          <w:b w:val="0"/>
          <w:bCs w:val="0"/>
          <w:color w:val="000000"/>
          <w:kern w:val="2"/>
          <w:sz w:val="28"/>
          <w:szCs w:val="28"/>
          <w:lang w:val="en-US" w:eastAsia="zh-CN" w:bidi="ar-SA"/>
        </w:rPr>
        <w:t>使用红外方式控制空调的工作状态。</w:t>
      </w:r>
    </w:p>
    <w:p>
      <w:pPr>
        <w:pStyle w:val="2"/>
        <w:ind w:left="420" w:leftChars="200" w:firstLine="0" w:firstLineChars="0"/>
        <w:rPr>
          <w:rFonts w:hint="default"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（5）</w:t>
      </w:r>
      <w:r>
        <w:rPr>
          <w:rFonts w:hint="default" w:cs="Times New Roman"/>
          <w:b w:val="0"/>
          <w:bCs w:val="0"/>
          <w:color w:val="000000"/>
          <w:kern w:val="2"/>
          <w:sz w:val="28"/>
          <w:szCs w:val="28"/>
          <w:lang w:val="en-US" w:eastAsia="zh-CN" w:bidi="ar-SA"/>
        </w:rPr>
        <w:t>应具备基于WEB的管理与配置界面。</w:t>
      </w:r>
    </w:p>
    <w:p>
      <w:pPr>
        <w:pStyle w:val="2"/>
        <w:ind w:left="420" w:leftChars="200" w:firstLine="0" w:firstLineChars="0"/>
        <w:rPr>
          <w:rFonts w:hint="eastAsia" w:cs="Times New Roman"/>
          <w:b/>
          <w:bCs/>
          <w:color w:val="000000"/>
          <w:kern w:val="2"/>
          <w:sz w:val="28"/>
          <w:szCs w:val="28"/>
          <w:lang w:val="en-US" w:eastAsia="zh-CN" w:bidi="ar-SA"/>
        </w:rPr>
      </w:pPr>
      <w:r>
        <w:rPr>
          <w:rFonts w:hint="eastAsia" w:cs="Times New Roman"/>
          <w:b/>
          <w:bCs/>
          <w:color w:val="000000"/>
          <w:kern w:val="2"/>
          <w:sz w:val="28"/>
          <w:szCs w:val="28"/>
          <w:lang w:val="en-US" w:eastAsia="zh-CN" w:bidi="ar-SA"/>
        </w:rPr>
        <w:t>8、智能照明系统</w:t>
      </w:r>
    </w:p>
    <w:p>
      <w:pPr>
        <w:pStyle w:val="2"/>
        <w:ind w:left="420" w:leftChars="200" w:firstLine="0" w:firstLineChars="0"/>
        <w:rPr>
          <w:rFonts w:hint="eastAsia"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（1）实现智能控制时间段内站内所有灯光自动开关照明。</w:t>
      </w:r>
    </w:p>
    <w:p>
      <w:pPr>
        <w:pStyle w:val="2"/>
        <w:ind w:left="420" w:leftChars="200" w:firstLine="0" w:firstLineChars="0"/>
        <w:rPr>
          <w:rFonts w:hint="eastAsia" w:cs="Times New Roman"/>
          <w:b w:val="0"/>
          <w:bCs w:val="0"/>
          <w:color w:val="000000"/>
          <w:kern w:val="2"/>
          <w:sz w:val="28"/>
          <w:szCs w:val="28"/>
          <w:lang w:val="en-US" w:eastAsia="zh-CN" w:bidi="ar-SA"/>
        </w:rPr>
      </w:pPr>
      <w:r>
        <w:rPr>
          <w:rFonts w:hint="eastAsia" w:cs="Times New Roman"/>
          <w:b w:val="0"/>
          <w:bCs w:val="0"/>
          <w:color w:val="000000"/>
          <w:kern w:val="2"/>
          <w:sz w:val="28"/>
          <w:szCs w:val="28"/>
          <w:lang w:val="en-US" w:eastAsia="zh-CN" w:bidi="ar-SA"/>
        </w:rPr>
        <w:t>（2）远程控制站内所有灯光照明、分组控制、分回路控制，实现节能控制。</w:t>
      </w:r>
    </w:p>
    <w:p>
      <w:pPr>
        <w:pStyle w:val="2"/>
        <w:ind w:left="420" w:leftChars="200" w:firstLine="0" w:firstLineChars="0"/>
        <w:rPr>
          <w:rFonts w:hint="default" w:cs="Times New Roman"/>
          <w:b w:val="0"/>
          <w:bCs w:val="0"/>
          <w:color w:val="000000"/>
          <w:kern w:val="2"/>
          <w:sz w:val="28"/>
          <w:szCs w:val="28"/>
          <w:lang w:val="en-US" w:eastAsia="zh-CN" w:bidi="ar-SA"/>
        </w:rPr>
      </w:pPr>
    </w:p>
    <w:p>
      <w:pPr>
        <w:pStyle w:val="2"/>
        <w:ind w:left="420" w:leftChars="200" w:firstLine="0" w:firstLineChars="0"/>
        <w:rPr>
          <w:rFonts w:hint="default" w:cs="Times New Roman"/>
          <w:b w:val="0"/>
          <w:bCs w:val="0"/>
          <w:color w:val="000000"/>
          <w:kern w:val="2"/>
          <w:sz w:val="28"/>
          <w:szCs w:val="28"/>
          <w:lang w:val="en-US" w:eastAsia="zh-CN" w:bidi="ar-SA"/>
        </w:rPr>
      </w:pPr>
    </w:p>
    <w:p>
      <w:pPr>
        <w:spacing w:line="360" w:lineRule="auto"/>
        <w:jc w:val="left"/>
        <w:outlineLvl w:val="1"/>
        <w:rPr>
          <w:rFonts w:hint="eastAsia"/>
          <w:b/>
          <w:bCs/>
          <w:color w:val="000000"/>
          <w:sz w:val="28"/>
          <w:szCs w:val="28"/>
          <w:lang w:val="en-US" w:eastAsia="zh-CN"/>
        </w:rPr>
      </w:pPr>
      <w:bookmarkStart w:id="204" w:name="_Toc15048"/>
      <w:r>
        <w:rPr>
          <w:rFonts w:hint="eastAsia"/>
          <w:b/>
          <w:bCs/>
          <w:color w:val="000000"/>
          <w:sz w:val="28"/>
          <w:szCs w:val="28"/>
          <w:lang w:val="en-US" w:eastAsia="zh-CN"/>
        </w:rPr>
        <w:t>3.3消防系统</w:t>
      </w:r>
      <w:bookmarkEnd w:id="204"/>
    </w:p>
    <w:p>
      <w:pPr>
        <w:spacing w:line="360" w:lineRule="auto"/>
        <w:jc w:val="left"/>
        <w:outlineLvl w:val="2"/>
        <w:rPr>
          <w:rFonts w:hint="eastAsia"/>
          <w:b/>
          <w:bCs/>
          <w:color w:val="000000"/>
          <w:sz w:val="28"/>
          <w:szCs w:val="28"/>
          <w:lang w:val="en-US" w:eastAsia="zh-CN"/>
        </w:rPr>
      </w:pPr>
      <w:bookmarkStart w:id="205" w:name="_Toc13013"/>
      <w:r>
        <w:rPr>
          <w:rFonts w:hint="eastAsia"/>
          <w:b/>
          <w:bCs/>
          <w:color w:val="000000"/>
          <w:sz w:val="28"/>
          <w:szCs w:val="28"/>
          <w:lang w:val="en-US" w:eastAsia="zh-CN"/>
        </w:rPr>
        <w:t>3.3.1概述</w:t>
      </w:r>
      <w:bookmarkEnd w:id="205"/>
    </w:p>
    <w:p>
      <w:pPr>
        <w:spacing w:line="360" w:lineRule="auto"/>
        <w:ind w:firstLine="482"/>
        <w:jc w:val="left"/>
        <w:rPr>
          <w:rFonts w:hint="default"/>
          <w:color w:val="000000"/>
          <w:sz w:val="28"/>
          <w:szCs w:val="28"/>
          <w:lang w:val="en-US" w:eastAsia="zh-CN"/>
        </w:rPr>
      </w:pPr>
      <w:r>
        <w:rPr>
          <w:rFonts w:hint="default"/>
          <w:color w:val="000000"/>
          <w:sz w:val="28"/>
          <w:szCs w:val="28"/>
          <w:lang w:val="en-US" w:eastAsia="zh-CN"/>
        </w:rPr>
        <w:t>本工程消防设计包括</w:t>
      </w:r>
      <w:r>
        <w:rPr>
          <w:rFonts w:hint="eastAsia"/>
          <w:color w:val="000000"/>
          <w:sz w:val="28"/>
          <w:szCs w:val="28"/>
          <w:lang w:val="en-US" w:eastAsia="zh-CN"/>
        </w:rPr>
        <w:t>不仅限于</w:t>
      </w:r>
      <w:r>
        <w:rPr>
          <w:rFonts w:hint="default"/>
          <w:color w:val="000000"/>
          <w:sz w:val="28"/>
          <w:szCs w:val="28"/>
          <w:lang w:val="en-US" w:eastAsia="zh-CN"/>
        </w:rPr>
        <w:t>下列内容：</w:t>
      </w:r>
    </w:p>
    <w:p>
      <w:pPr>
        <w:spacing w:line="360" w:lineRule="auto"/>
        <w:ind w:left="0" w:leftChars="0" w:firstLine="420" w:firstLineChars="150"/>
        <w:jc w:val="left"/>
        <w:rPr>
          <w:rFonts w:hint="default"/>
          <w:color w:val="000000"/>
          <w:sz w:val="28"/>
          <w:szCs w:val="28"/>
          <w:lang w:val="en-US" w:eastAsia="zh-CN"/>
        </w:rPr>
      </w:pPr>
      <w:r>
        <w:rPr>
          <w:rFonts w:hint="eastAsia"/>
          <w:color w:val="000000"/>
          <w:sz w:val="28"/>
          <w:szCs w:val="28"/>
          <w:lang w:val="en-US" w:eastAsia="zh-CN"/>
        </w:rPr>
        <w:t>1、</w:t>
      </w:r>
      <w:r>
        <w:rPr>
          <w:rFonts w:hint="default"/>
          <w:color w:val="000000"/>
          <w:sz w:val="28"/>
          <w:szCs w:val="28"/>
          <w:lang w:val="en-US" w:eastAsia="zh-CN"/>
        </w:rPr>
        <w:t>总平面布置及建（构）筑物防火；</w:t>
      </w:r>
    </w:p>
    <w:p>
      <w:pPr>
        <w:spacing w:line="360" w:lineRule="auto"/>
        <w:ind w:left="0" w:leftChars="0" w:firstLine="420" w:firstLineChars="150"/>
        <w:jc w:val="left"/>
        <w:rPr>
          <w:rFonts w:hint="default"/>
          <w:color w:val="000000"/>
          <w:sz w:val="28"/>
          <w:szCs w:val="28"/>
          <w:lang w:val="en-US" w:eastAsia="zh-CN"/>
        </w:rPr>
      </w:pPr>
      <w:r>
        <w:rPr>
          <w:rFonts w:hint="eastAsia"/>
          <w:color w:val="000000"/>
          <w:sz w:val="28"/>
          <w:szCs w:val="28"/>
          <w:lang w:val="en-US" w:eastAsia="zh-CN"/>
        </w:rPr>
        <w:t>2、</w:t>
      </w:r>
      <w:r>
        <w:rPr>
          <w:rFonts w:hint="default"/>
          <w:color w:val="000000"/>
          <w:sz w:val="28"/>
          <w:szCs w:val="28"/>
          <w:lang w:val="en-US" w:eastAsia="zh-CN"/>
        </w:rPr>
        <w:t>室外消火栓给水系统</w:t>
      </w:r>
      <w:r>
        <w:rPr>
          <w:rFonts w:hint="eastAsia"/>
          <w:color w:val="000000"/>
          <w:sz w:val="28"/>
          <w:szCs w:val="28"/>
          <w:lang w:val="en-US" w:eastAsia="zh-CN"/>
        </w:rPr>
        <w:t>；</w:t>
      </w:r>
    </w:p>
    <w:p>
      <w:pPr>
        <w:spacing w:line="360" w:lineRule="auto"/>
        <w:ind w:left="0" w:leftChars="0" w:firstLine="420" w:firstLineChars="150"/>
        <w:jc w:val="left"/>
        <w:rPr>
          <w:rFonts w:hint="default"/>
          <w:color w:val="000000"/>
          <w:sz w:val="28"/>
          <w:szCs w:val="28"/>
          <w:lang w:val="en-US" w:eastAsia="zh-CN"/>
        </w:rPr>
      </w:pPr>
      <w:r>
        <w:rPr>
          <w:rFonts w:hint="eastAsia"/>
          <w:color w:val="000000"/>
          <w:sz w:val="28"/>
          <w:szCs w:val="28"/>
          <w:lang w:val="en-US" w:eastAsia="zh-CN"/>
        </w:rPr>
        <w:t>3、</w:t>
      </w:r>
      <w:r>
        <w:rPr>
          <w:rFonts w:hint="default"/>
          <w:color w:val="000000"/>
          <w:sz w:val="28"/>
          <w:szCs w:val="28"/>
          <w:lang w:val="en-US" w:eastAsia="zh-CN"/>
        </w:rPr>
        <w:t>移动式灭火器配置；</w:t>
      </w:r>
    </w:p>
    <w:p>
      <w:pPr>
        <w:spacing w:line="360" w:lineRule="auto"/>
        <w:ind w:left="0" w:leftChars="0" w:firstLine="420" w:firstLineChars="150"/>
        <w:jc w:val="left"/>
        <w:rPr>
          <w:rFonts w:hint="default"/>
          <w:color w:val="000000"/>
          <w:sz w:val="28"/>
          <w:szCs w:val="28"/>
          <w:lang w:val="en-US" w:eastAsia="zh-CN"/>
        </w:rPr>
      </w:pPr>
      <w:r>
        <w:rPr>
          <w:rFonts w:hint="eastAsia"/>
          <w:color w:val="000000"/>
          <w:sz w:val="28"/>
          <w:szCs w:val="28"/>
          <w:lang w:val="en-US" w:eastAsia="zh-CN"/>
        </w:rPr>
        <w:t>4、</w:t>
      </w:r>
      <w:r>
        <w:rPr>
          <w:rFonts w:hint="default"/>
          <w:color w:val="000000"/>
          <w:sz w:val="28"/>
          <w:szCs w:val="28"/>
          <w:lang w:val="en-US" w:eastAsia="zh-CN"/>
        </w:rPr>
        <w:t>火灾探测报警系统；</w:t>
      </w:r>
    </w:p>
    <w:p>
      <w:pPr>
        <w:spacing w:line="360" w:lineRule="auto"/>
        <w:ind w:left="0" w:leftChars="0" w:firstLine="420" w:firstLineChars="150"/>
        <w:jc w:val="left"/>
        <w:rPr>
          <w:rFonts w:hint="default"/>
          <w:color w:val="000000"/>
          <w:sz w:val="28"/>
          <w:szCs w:val="28"/>
          <w:lang w:val="en-US" w:eastAsia="zh-CN"/>
        </w:rPr>
      </w:pPr>
      <w:r>
        <w:rPr>
          <w:rFonts w:hint="eastAsia"/>
          <w:color w:val="000000"/>
          <w:sz w:val="28"/>
          <w:szCs w:val="28"/>
          <w:lang w:val="en-US" w:eastAsia="zh-CN"/>
        </w:rPr>
        <w:t>5、</w:t>
      </w:r>
      <w:r>
        <w:rPr>
          <w:rFonts w:hint="default"/>
          <w:color w:val="000000"/>
          <w:sz w:val="28"/>
          <w:szCs w:val="28"/>
          <w:lang w:val="en-US" w:eastAsia="zh-CN"/>
        </w:rPr>
        <w:t>消防供电及电气设备消防措施；</w:t>
      </w:r>
    </w:p>
    <w:p>
      <w:pPr>
        <w:spacing w:line="360" w:lineRule="auto"/>
        <w:ind w:left="0" w:leftChars="0" w:firstLine="420" w:firstLineChars="150"/>
        <w:jc w:val="left"/>
        <w:rPr>
          <w:rFonts w:hint="default"/>
          <w:color w:val="000000"/>
          <w:sz w:val="28"/>
          <w:szCs w:val="28"/>
          <w:lang w:val="en-US" w:eastAsia="zh-CN"/>
        </w:rPr>
      </w:pPr>
      <w:r>
        <w:rPr>
          <w:rFonts w:hint="eastAsia"/>
          <w:color w:val="000000"/>
          <w:sz w:val="28"/>
          <w:szCs w:val="28"/>
          <w:lang w:val="en-US" w:eastAsia="zh-CN"/>
        </w:rPr>
        <w:t>6、</w:t>
      </w:r>
      <w:r>
        <w:rPr>
          <w:rFonts w:hint="default"/>
          <w:color w:val="000000"/>
          <w:sz w:val="28"/>
          <w:szCs w:val="28"/>
          <w:lang w:val="en-US" w:eastAsia="zh-CN"/>
        </w:rPr>
        <w:t>通(排)风防火排烟</w:t>
      </w:r>
      <w:r>
        <w:rPr>
          <w:rFonts w:hint="eastAsia"/>
          <w:color w:val="000000"/>
          <w:sz w:val="28"/>
          <w:szCs w:val="28"/>
          <w:lang w:val="en-US" w:eastAsia="zh-CN"/>
        </w:rPr>
        <w:t>；</w:t>
      </w:r>
    </w:p>
    <w:p>
      <w:pPr>
        <w:pStyle w:val="2"/>
        <w:ind w:left="0" w:leftChars="0" w:firstLine="420" w:firstLineChars="150"/>
        <w:rPr>
          <w:rFonts w:hint="eastAsia"/>
          <w:color w:val="000000"/>
          <w:sz w:val="28"/>
          <w:szCs w:val="28"/>
          <w:lang w:val="en-US" w:eastAsia="zh-CN"/>
        </w:rPr>
      </w:pPr>
      <w:r>
        <w:rPr>
          <w:rFonts w:hint="eastAsia"/>
          <w:color w:val="000000"/>
          <w:sz w:val="28"/>
          <w:szCs w:val="28"/>
          <w:lang w:val="en-US" w:eastAsia="zh-CN"/>
        </w:rPr>
        <w:t>7、主变消防灭火措施；</w:t>
      </w:r>
    </w:p>
    <w:p>
      <w:pPr>
        <w:pStyle w:val="2"/>
        <w:ind w:left="0" w:leftChars="0" w:firstLine="420" w:firstLineChars="150"/>
        <w:rPr>
          <w:rFonts w:hint="eastAsia"/>
          <w:color w:val="auto"/>
          <w:sz w:val="28"/>
          <w:szCs w:val="28"/>
          <w:lang w:val="en-US" w:eastAsia="zh-CN"/>
        </w:rPr>
      </w:pPr>
      <w:r>
        <w:rPr>
          <w:rFonts w:hint="eastAsia"/>
          <w:color w:val="auto"/>
          <w:sz w:val="28"/>
          <w:szCs w:val="28"/>
          <w:lang w:val="en-US" w:eastAsia="zh-CN"/>
        </w:rPr>
        <w:t>8、10kv柜内灭火措施。</w:t>
      </w:r>
    </w:p>
    <w:p>
      <w:pPr>
        <w:pStyle w:val="2"/>
        <w:ind w:left="0" w:leftChars="0" w:firstLine="420" w:firstLineChars="150"/>
        <w:rPr>
          <w:rFonts w:hint="default"/>
          <w:color w:val="auto"/>
          <w:sz w:val="28"/>
          <w:szCs w:val="28"/>
          <w:lang w:val="en-US" w:eastAsia="zh-CN"/>
        </w:rPr>
      </w:pPr>
      <w:r>
        <w:rPr>
          <w:rFonts w:hint="eastAsia"/>
          <w:color w:val="auto"/>
          <w:sz w:val="28"/>
          <w:szCs w:val="28"/>
          <w:lang w:val="en-US" w:eastAsia="zh-CN"/>
        </w:rPr>
        <w:t>投标方需通过站内消防备案及验收工作，任何因设计缺陷或者因消防验收不通过的均应由投标单位负责整改补齐。</w:t>
      </w:r>
    </w:p>
    <w:p>
      <w:pPr>
        <w:spacing w:line="360" w:lineRule="auto"/>
        <w:jc w:val="left"/>
        <w:outlineLvl w:val="2"/>
        <w:rPr>
          <w:rFonts w:hint="default"/>
          <w:b/>
          <w:bCs/>
          <w:color w:val="000000"/>
          <w:sz w:val="28"/>
          <w:szCs w:val="28"/>
          <w:lang w:val="en-US" w:eastAsia="zh-CN"/>
        </w:rPr>
      </w:pPr>
      <w:bookmarkStart w:id="206" w:name="_Toc4606"/>
      <w:r>
        <w:rPr>
          <w:rFonts w:hint="eastAsia"/>
          <w:b/>
          <w:bCs/>
          <w:color w:val="000000"/>
          <w:sz w:val="28"/>
          <w:szCs w:val="28"/>
          <w:lang w:val="en-US" w:eastAsia="zh-CN"/>
        </w:rPr>
        <w:t>3.3.2</w:t>
      </w:r>
      <w:r>
        <w:rPr>
          <w:rFonts w:hint="default"/>
          <w:b/>
          <w:bCs/>
          <w:color w:val="000000"/>
          <w:sz w:val="28"/>
          <w:szCs w:val="28"/>
          <w:lang w:val="en-US" w:eastAsia="zh-CN"/>
        </w:rPr>
        <w:t>消防设计</w:t>
      </w:r>
      <w:bookmarkEnd w:id="206"/>
    </w:p>
    <w:p>
      <w:pPr>
        <w:spacing w:line="360" w:lineRule="auto"/>
        <w:ind w:firstLine="482"/>
        <w:jc w:val="left"/>
        <w:rPr>
          <w:rFonts w:hint="default"/>
          <w:color w:val="000000"/>
          <w:sz w:val="28"/>
          <w:szCs w:val="28"/>
          <w:lang w:val="en-US" w:eastAsia="zh-CN"/>
        </w:rPr>
      </w:pPr>
      <w:r>
        <w:rPr>
          <w:rFonts w:hint="default"/>
          <w:color w:val="000000"/>
          <w:sz w:val="28"/>
          <w:szCs w:val="28"/>
          <w:lang w:val="en-US" w:eastAsia="zh-CN"/>
        </w:rPr>
        <w:t>1</w:t>
      </w:r>
      <w:r>
        <w:rPr>
          <w:rFonts w:hint="eastAsia"/>
          <w:color w:val="000000"/>
          <w:sz w:val="28"/>
          <w:szCs w:val="28"/>
          <w:lang w:val="en-US" w:eastAsia="zh-CN"/>
        </w:rPr>
        <w:t>、</w:t>
      </w:r>
      <w:r>
        <w:rPr>
          <w:rFonts w:hint="default"/>
          <w:color w:val="000000"/>
          <w:sz w:val="28"/>
          <w:szCs w:val="28"/>
          <w:lang w:val="en-US" w:eastAsia="zh-CN"/>
        </w:rPr>
        <w:t>本设计遵循</w:t>
      </w:r>
      <w:r>
        <w:rPr>
          <w:rFonts w:hint="eastAsia"/>
          <w:color w:val="000000"/>
          <w:sz w:val="28"/>
          <w:szCs w:val="28"/>
          <w:lang w:val="en-US" w:eastAsia="zh-CN"/>
        </w:rPr>
        <w:t>“</w:t>
      </w:r>
      <w:r>
        <w:rPr>
          <w:rFonts w:hint="default"/>
          <w:color w:val="000000"/>
          <w:sz w:val="28"/>
          <w:szCs w:val="28"/>
          <w:lang w:val="en-US" w:eastAsia="zh-CN"/>
        </w:rPr>
        <w:t>预防为主，防消结合</w:t>
      </w:r>
      <w:r>
        <w:rPr>
          <w:rFonts w:hint="eastAsia"/>
          <w:color w:val="000000"/>
          <w:sz w:val="28"/>
          <w:szCs w:val="28"/>
          <w:lang w:val="en-US" w:eastAsia="zh-CN"/>
        </w:rPr>
        <w:t>”</w:t>
      </w:r>
      <w:r>
        <w:rPr>
          <w:rFonts w:hint="default"/>
          <w:color w:val="000000"/>
          <w:sz w:val="28"/>
          <w:szCs w:val="28"/>
          <w:lang w:val="en-US" w:eastAsia="zh-CN"/>
        </w:rPr>
        <w:t>的方针，按照</w:t>
      </w:r>
      <w:r>
        <w:rPr>
          <w:rFonts w:hint="eastAsia"/>
          <w:color w:val="000000"/>
          <w:sz w:val="28"/>
          <w:szCs w:val="28"/>
          <w:lang w:val="en-US" w:eastAsia="zh-CN"/>
        </w:rPr>
        <w:t>国家、地方</w:t>
      </w:r>
      <w:r>
        <w:rPr>
          <w:rFonts w:hint="default"/>
          <w:color w:val="000000"/>
          <w:sz w:val="28"/>
          <w:szCs w:val="28"/>
          <w:lang w:val="en-US" w:eastAsia="zh-CN"/>
        </w:rPr>
        <w:t>规程、规范及规定的要求进行设计。消防系统设计力求技术先进，安全可靠，使用方便，经济合理。</w:t>
      </w:r>
    </w:p>
    <w:p>
      <w:pPr>
        <w:spacing w:line="360" w:lineRule="auto"/>
        <w:ind w:firstLine="482"/>
        <w:jc w:val="left"/>
        <w:rPr>
          <w:rFonts w:hint="default"/>
          <w:color w:val="000000"/>
          <w:sz w:val="28"/>
          <w:szCs w:val="28"/>
          <w:lang w:val="en-US" w:eastAsia="zh-CN"/>
        </w:rPr>
      </w:pPr>
      <w:r>
        <w:rPr>
          <w:rFonts w:hint="default"/>
          <w:color w:val="000000"/>
          <w:sz w:val="28"/>
          <w:szCs w:val="28"/>
          <w:lang w:val="en-US" w:eastAsia="zh-CN"/>
        </w:rPr>
        <w:t>2</w:t>
      </w:r>
      <w:r>
        <w:rPr>
          <w:rFonts w:hint="eastAsia"/>
          <w:color w:val="000000"/>
          <w:sz w:val="28"/>
          <w:szCs w:val="28"/>
          <w:lang w:val="en-US" w:eastAsia="zh-CN"/>
        </w:rPr>
        <w:t>、</w:t>
      </w:r>
      <w:r>
        <w:rPr>
          <w:rFonts w:hint="default"/>
          <w:color w:val="000000"/>
          <w:sz w:val="28"/>
          <w:szCs w:val="28"/>
          <w:lang w:val="en-US" w:eastAsia="zh-CN"/>
        </w:rPr>
        <w:t>本工程消防设计仅考虑站区内各类火灾的防止和扑灭，立足于自救。</w:t>
      </w:r>
    </w:p>
    <w:p>
      <w:pPr>
        <w:spacing w:line="360" w:lineRule="auto"/>
        <w:ind w:firstLine="482"/>
        <w:jc w:val="left"/>
        <w:rPr>
          <w:rFonts w:hint="default"/>
          <w:color w:val="000000"/>
          <w:sz w:val="28"/>
          <w:szCs w:val="28"/>
          <w:lang w:val="en-US" w:eastAsia="zh-CN"/>
        </w:rPr>
      </w:pPr>
      <w:r>
        <w:rPr>
          <w:rFonts w:hint="default"/>
          <w:color w:val="000000"/>
          <w:sz w:val="28"/>
          <w:szCs w:val="28"/>
          <w:lang w:val="en-US" w:eastAsia="zh-CN"/>
        </w:rPr>
        <w:t>3</w:t>
      </w:r>
      <w:r>
        <w:rPr>
          <w:rFonts w:hint="eastAsia"/>
          <w:color w:val="000000"/>
          <w:sz w:val="28"/>
          <w:szCs w:val="28"/>
          <w:lang w:val="en-US" w:eastAsia="zh-CN"/>
        </w:rPr>
        <w:t>、</w:t>
      </w:r>
      <w:r>
        <w:rPr>
          <w:rFonts w:hint="default"/>
          <w:color w:val="000000"/>
          <w:sz w:val="28"/>
          <w:szCs w:val="28"/>
          <w:lang w:val="en-US" w:eastAsia="zh-CN"/>
        </w:rPr>
        <w:t>主变压器消防措施</w:t>
      </w:r>
    </w:p>
    <w:p>
      <w:pPr>
        <w:spacing w:line="360" w:lineRule="auto"/>
        <w:ind w:firstLine="482"/>
        <w:jc w:val="left"/>
        <w:rPr>
          <w:rFonts w:hint="default"/>
          <w:color w:val="000000"/>
          <w:sz w:val="28"/>
          <w:szCs w:val="28"/>
          <w:lang w:val="en-US" w:eastAsia="zh-CN"/>
        </w:rPr>
      </w:pPr>
      <w:r>
        <w:rPr>
          <w:rFonts w:hint="eastAsia"/>
          <w:color w:val="000000"/>
          <w:sz w:val="28"/>
          <w:szCs w:val="28"/>
          <w:lang w:val="en-US" w:eastAsia="zh-CN"/>
        </w:rPr>
        <w:t>1）</w:t>
      </w:r>
      <w:r>
        <w:rPr>
          <w:rFonts w:hint="default"/>
          <w:color w:val="000000"/>
          <w:sz w:val="28"/>
          <w:szCs w:val="28"/>
          <w:lang w:val="en-US" w:eastAsia="zh-CN"/>
        </w:rPr>
        <w:t>变电站内设有总事故油池，主变压器事故时，其绝缘油经事故排油管排入总事故油池，总事故油池可容纳油量最大的一台变压器事故时的全部油量。</w:t>
      </w:r>
    </w:p>
    <w:p>
      <w:pPr>
        <w:spacing w:line="360" w:lineRule="auto"/>
        <w:ind w:firstLine="482"/>
        <w:jc w:val="left"/>
        <w:rPr>
          <w:rFonts w:hint="eastAsia"/>
          <w:color w:val="000000"/>
          <w:sz w:val="28"/>
          <w:szCs w:val="28"/>
          <w:lang w:val="en-US" w:eastAsia="zh-CN"/>
        </w:rPr>
      </w:pPr>
      <w:r>
        <w:rPr>
          <w:rFonts w:hint="eastAsia"/>
          <w:color w:val="000000"/>
          <w:sz w:val="28"/>
          <w:szCs w:val="28"/>
          <w:lang w:val="en-US" w:eastAsia="zh-CN"/>
        </w:rPr>
        <w:t>2）设置变压器集充氮灭火装置，运行维护方便，可靠性高，不污染环境。</w:t>
      </w:r>
    </w:p>
    <w:p>
      <w:pPr>
        <w:pStyle w:val="2"/>
        <w:ind w:left="0" w:leftChars="0" w:firstLine="560" w:firstLineChars="200"/>
        <w:rPr>
          <w:rFonts w:hint="default"/>
          <w:sz w:val="28"/>
          <w:szCs w:val="28"/>
          <w:lang w:val="en-US" w:eastAsia="zh-CN"/>
        </w:rPr>
      </w:pPr>
      <w:r>
        <w:rPr>
          <w:rFonts w:hint="default"/>
          <w:sz w:val="28"/>
          <w:szCs w:val="28"/>
          <w:lang w:val="en-US" w:eastAsia="zh-CN"/>
        </w:rPr>
        <w:t>充氮灭火装置标准技术参数表</w:t>
      </w:r>
    </w:p>
    <w:tbl>
      <w:tblPr>
        <w:tblStyle w:val="63"/>
        <w:tblW w:w="8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7"/>
        <w:gridCol w:w="900"/>
        <w:gridCol w:w="1363"/>
        <w:gridCol w:w="3276"/>
        <w:gridCol w:w="26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blHeader/>
          <w:jc w:val="center"/>
        </w:trPr>
        <w:tc>
          <w:tcPr>
            <w:tcW w:w="587" w:type="dxa"/>
            <w:noWrap w:val="0"/>
            <w:vAlign w:val="center"/>
          </w:tcPr>
          <w:p>
            <w:pPr>
              <w:ind w:firstLine="420"/>
              <w:rPr>
                <w:rFonts w:hint="eastAsia" w:ascii="宋体" w:hAnsi="宋体"/>
                <w:sz w:val="21"/>
              </w:rPr>
            </w:pPr>
            <w:r>
              <w:rPr>
                <w:rFonts w:hint="eastAsia"/>
                <w:lang w:eastAsia="zh-CN"/>
              </w:rPr>
              <w:t xml:space="preserve"> </w:t>
            </w:r>
            <w:r>
              <w:rPr>
                <w:rFonts w:hint="eastAsia" w:ascii="宋体" w:hAnsi="宋体"/>
                <w:sz w:val="21"/>
              </w:rPr>
              <w:t>序号</w:t>
            </w:r>
          </w:p>
        </w:tc>
        <w:tc>
          <w:tcPr>
            <w:tcW w:w="2263" w:type="dxa"/>
            <w:gridSpan w:val="2"/>
            <w:noWrap w:val="0"/>
            <w:vAlign w:val="center"/>
          </w:tcPr>
          <w:p>
            <w:pPr>
              <w:topLinePunct/>
              <w:ind w:left="-281" w:leftChars="-134" w:firstLine="170"/>
              <w:jc w:val="center"/>
              <w:textAlignment w:val="baseline"/>
              <w:rPr>
                <w:rFonts w:ascii="宋体" w:hAnsi="宋体"/>
                <w:sz w:val="21"/>
              </w:rPr>
            </w:pPr>
            <w:r>
              <w:rPr>
                <w:rFonts w:hint="eastAsia" w:ascii="宋体" w:hAnsi="宋体"/>
                <w:sz w:val="21"/>
              </w:rPr>
              <w:t>项目</w:t>
            </w:r>
          </w:p>
        </w:tc>
        <w:tc>
          <w:tcPr>
            <w:tcW w:w="3276" w:type="dxa"/>
            <w:noWrap w:val="0"/>
            <w:vAlign w:val="center"/>
          </w:tcPr>
          <w:p>
            <w:pPr>
              <w:topLinePunct/>
              <w:ind w:firstLine="170"/>
              <w:jc w:val="center"/>
              <w:textAlignment w:val="baseline"/>
              <w:rPr>
                <w:rFonts w:ascii="宋体" w:hAnsi="宋体"/>
                <w:sz w:val="21"/>
              </w:rPr>
            </w:pPr>
            <w:r>
              <w:rPr>
                <w:rFonts w:hint="eastAsia" w:ascii="宋体" w:hAnsi="宋体"/>
                <w:sz w:val="21"/>
                <w:lang w:eastAsia="zh-CN"/>
              </w:rPr>
              <w:t>招标单位</w:t>
            </w:r>
            <w:r>
              <w:rPr>
                <w:rFonts w:hint="eastAsia" w:ascii="宋体" w:hAnsi="宋体"/>
                <w:sz w:val="21"/>
              </w:rPr>
              <w:t>要求值</w:t>
            </w:r>
          </w:p>
        </w:tc>
        <w:tc>
          <w:tcPr>
            <w:tcW w:w="2603" w:type="dxa"/>
            <w:noWrap w:val="0"/>
            <w:vAlign w:val="center"/>
          </w:tcPr>
          <w:p>
            <w:pPr>
              <w:topLinePunct/>
              <w:ind w:firstLine="170"/>
              <w:jc w:val="center"/>
              <w:textAlignment w:val="baseline"/>
              <w:rPr>
                <w:rFonts w:hint="eastAsia" w:ascii="宋体" w:hAnsi="宋体"/>
                <w:sz w:val="21"/>
              </w:rPr>
            </w:pPr>
            <w:r>
              <w:rPr>
                <w:rFonts w:hint="eastAsia" w:ascii="宋体" w:hAnsi="宋体"/>
                <w:sz w:val="21"/>
              </w:rPr>
              <w:t xml:space="preserve"> 供方保证值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587" w:type="dxa"/>
            <w:vMerge w:val="restart"/>
            <w:noWrap w:val="0"/>
            <w:vAlign w:val="center"/>
          </w:tcPr>
          <w:p>
            <w:pPr>
              <w:topLinePunct/>
              <w:ind w:firstLine="170"/>
              <w:jc w:val="center"/>
              <w:textAlignment w:val="baseline"/>
              <w:rPr>
                <w:rFonts w:hint="eastAsia" w:ascii="宋体" w:hAnsi="宋体"/>
                <w:sz w:val="21"/>
              </w:rPr>
            </w:pPr>
            <w:r>
              <w:rPr>
                <w:rFonts w:hint="eastAsia" w:ascii="宋体" w:hAnsi="宋体"/>
                <w:sz w:val="21"/>
              </w:rPr>
              <w:t>1</w:t>
            </w:r>
          </w:p>
        </w:tc>
        <w:tc>
          <w:tcPr>
            <w:tcW w:w="900" w:type="dxa"/>
            <w:vMerge w:val="restart"/>
            <w:noWrap w:val="0"/>
            <w:vAlign w:val="center"/>
          </w:tcPr>
          <w:p>
            <w:pPr>
              <w:spacing w:line="400" w:lineRule="exact"/>
              <w:rPr>
                <w:rFonts w:hint="eastAsia" w:ascii="宋体" w:hAnsi="宋体"/>
                <w:sz w:val="21"/>
              </w:rPr>
            </w:pPr>
            <w:r>
              <w:rPr>
                <w:rFonts w:hint="eastAsia" w:ascii="宋体" w:hAnsi="宋体"/>
                <w:sz w:val="21"/>
              </w:rPr>
              <w:t>装置工作条件</w:t>
            </w:r>
          </w:p>
          <w:p>
            <w:pPr>
              <w:topLinePunct/>
              <w:ind w:firstLine="170"/>
              <w:textAlignment w:val="baseline"/>
              <w:rPr>
                <w:rFonts w:hint="eastAsia" w:ascii="宋体" w:hAnsi="宋体"/>
                <w:sz w:val="21"/>
              </w:rPr>
            </w:pPr>
          </w:p>
        </w:tc>
        <w:tc>
          <w:tcPr>
            <w:tcW w:w="1363" w:type="dxa"/>
            <w:noWrap w:val="0"/>
            <w:vAlign w:val="center"/>
          </w:tcPr>
          <w:p>
            <w:pPr>
              <w:topLinePunct/>
              <w:textAlignment w:val="baseline"/>
              <w:rPr>
                <w:rFonts w:hint="eastAsia" w:ascii="宋体" w:hAnsi="宋体"/>
                <w:sz w:val="21"/>
              </w:rPr>
            </w:pPr>
            <w:r>
              <w:rPr>
                <w:rFonts w:hint="eastAsia" w:ascii="宋体" w:hAnsi="宋体"/>
                <w:sz w:val="21"/>
              </w:rPr>
              <w:t xml:space="preserve">  控制柜（室内）</w:t>
            </w:r>
          </w:p>
        </w:tc>
        <w:tc>
          <w:tcPr>
            <w:tcW w:w="3276" w:type="dxa"/>
            <w:noWrap w:val="0"/>
            <w:vAlign w:val="center"/>
          </w:tcPr>
          <w:p>
            <w:pPr>
              <w:topLinePunct/>
              <w:textAlignment w:val="baseline"/>
              <w:rPr>
                <w:rFonts w:hint="eastAsia" w:ascii="宋体" w:hAnsi="宋体"/>
                <w:sz w:val="21"/>
              </w:rPr>
            </w:pPr>
            <w:r>
              <w:rPr>
                <w:rFonts w:hint="eastAsia" w:ascii="宋体" w:hAnsi="宋体"/>
                <w:sz w:val="21"/>
              </w:rPr>
              <w:t>最高气温45℃，最低气温-10℃中，相对湿度≤85%（40℃）</w:t>
            </w:r>
          </w:p>
        </w:tc>
        <w:tc>
          <w:tcPr>
            <w:tcW w:w="2603" w:type="dxa"/>
            <w:noWrap w:val="0"/>
            <w:vAlign w:val="center"/>
          </w:tcPr>
          <w:p>
            <w:pPr>
              <w:topLinePunct/>
              <w:textAlignment w:val="baseline"/>
              <w:rPr>
                <w:rFonts w:hint="eastAsia" w:ascii="宋体" w:hAnsi="宋体"/>
                <w:sz w:val="21"/>
              </w:rPr>
            </w:pPr>
            <w:r>
              <w:rPr>
                <w:rFonts w:hint="eastAsia" w:ascii="宋体" w:hAnsi="宋体"/>
                <w:sz w:val="21"/>
              </w:rPr>
              <w:t>最高气温45℃，最低气温-10℃中，相对湿度≤85%（40℃）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587" w:type="dxa"/>
            <w:vMerge w:val="continue"/>
            <w:noWrap w:val="0"/>
            <w:vAlign w:val="center"/>
          </w:tcPr>
          <w:p>
            <w:pPr>
              <w:topLinePunct/>
              <w:ind w:firstLine="170"/>
              <w:jc w:val="center"/>
              <w:textAlignment w:val="baseline"/>
              <w:rPr>
                <w:rFonts w:hint="eastAsia" w:ascii="宋体" w:hAnsi="宋体"/>
                <w:sz w:val="21"/>
              </w:rPr>
            </w:pPr>
          </w:p>
        </w:tc>
        <w:tc>
          <w:tcPr>
            <w:tcW w:w="900" w:type="dxa"/>
            <w:vMerge w:val="continue"/>
            <w:noWrap w:val="0"/>
            <w:vAlign w:val="center"/>
          </w:tcPr>
          <w:p>
            <w:pPr>
              <w:topLinePunct/>
              <w:ind w:firstLine="170"/>
              <w:textAlignment w:val="baseline"/>
              <w:rPr>
                <w:rFonts w:hint="eastAsia" w:ascii="宋体" w:hAnsi="宋体"/>
                <w:sz w:val="21"/>
              </w:rPr>
            </w:pPr>
          </w:p>
        </w:tc>
        <w:tc>
          <w:tcPr>
            <w:tcW w:w="1363" w:type="dxa"/>
            <w:noWrap w:val="0"/>
            <w:vAlign w:val="center"/>
          </w:tcPr>
          <w:p>
            <w:pPr>
              <w:topLinePunct/>
              <w:textAlignment w:val="baseline"/>
              <w:rPr>
                <w:rFonts w:hint="eastAsia" w:ascii="宋体" w:hAnsi="宋体"/>
                <w:sz w:val="21"/>
              </w:rPr>
            </w:pPr>
            <w:r>
              <w:rPr>
                <w:rFonts w:hint="eastAsia" w:ascii="宋体" w:hAnsi="宋体"/>
                <w:sz w:val="21"/>
              </w:rPr>
              <w:t>消防柜（室外）</w:t>
            </w:r>
          </w:p>
        </w:tc>
        <w:tc>
          <w:tcPr>
            <w:tcW w:w="3276" w:type="dxa"/>
            <w:noWrap w:val="0"/>
            <w:vAlign w:val="center"/>
          </w:tcPr>
          <w:p>
            <w:pPr>
              <w:spacing w:line="400" w:lineRule="exact"/>
              <w:rPr>
                <w:rFonts w:hint="eastAsia" w:ascii="宋体" w:hAnsi="宋体"/>
                <w:sz w:val="21"/>
              </w:rPr>
            </w:pPr>
            <w:r>
              <w:rPr>
                <w:rFonts w:hint="eastAsia" w:ascii="宋体" w:hAnsi="宋体"/>
                <w:sz w:val="21"/>
              </w:rPr>
              <w:t>温度满足-20℃～60℃（或-40℃～60℃，根据当地气候情况选择其一）要求</w:t>
            </w:r>
          </w:p>
          <w:p>
            <w:pPr>
              <w:spacing w:line="400" w:lineRule="exact"/>
              <w:rPr>
                <w:rFonts w:hint="eastAsia" w:ascii="宋体" w:hAnsi="宋体"/>
                <w:sz w:val="21"/>
              </w:rPr>
            </w:pPr>
            <w:r>
              <w:rPr>
                <w:rFonts w:hint="eastAsia" w:ascii="宋体" w:hAnsi="宋体"/>
                <w:sz w:val="21"/>
              </w:rPr>
              <w:t>相对湿度≤85%（40℃）</w:t>
            </w:r>
          </w:p>
        </w:tc>
        <w:tc>
          <w:tcPr>
            <w:tcW w:w="2603" w:type="dxa"/>
            <w:noWrap w:val="0"/>
            <w:vAlign w:val="center"/>
          </w:tcPr>
          <w:p>
            <w:pPr>
              <w:spacing w:line="400" w:lineRule="exact"/>
              <w:rPr>
                <w:rFonts w:hint="eastAsia" w:ascii="宋体" w:hAnsi="宋体"/>
                <w:sz w:val="21"/>
              </w:rPr>
            </w:pPr>
            <w:r>
              <w:rPr>
                <w:rFonts w:hint="eastAsia" w:ascii="宋体" w:hAnsi="宋体"/>
                <w:sz w:val="21"/>
              </w:rPr>
              <w:t>温度满足-20℃～60℃（或-40℃～60℃，根据当地气候情况选择其一）要求</w:t>
            </w:r>
          </w:p>
          <w:p>
            <w:pPr>
              <w:spacing w:line="400" w:lineRule="exact"/>
              <w:rPr>
                <w:rFonts w:hint="eastAsia" w:ascii="宋体" w:hAnsi="宋体"/>
                <w:sz w:val="21"/>
              </w:rPr>
            </w:pPr>
            <w:r>
              <w:rPr>
                <w:rFonts w:hint="eastAsia" w:ascii="宋体" w:hAnsi="宋体"/>
                <w:sz w:val="21"/>
              </w:rPr>
              <w:t>相对湿度≤85%（40℃）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jc w:val="center"/>
        </w:trPr>
        <w:tc>
          <w:tcPr>
            <w:tcW w:w="587" w:type="dxa"/>
            <w:vMerge w:val="continue"/>
            <w:noWrap w:val="0"/>
            <w:vAlign w:val="center"/>
          </w:tcPr>
          <w:p>
            <w:pPr>
              <w:topLinePunct/>
              <w:ind w:firstLine="170"/>
              <w:jc w:val="center"/>
              <w:textAlignment w:val="baseline"/>
              <w:rPr>
                <w:rFonts w:hint="eastAsia" w:ascii="宋体" w:hAnsi="宋体"/>
                <w:sz w:val="21"/>
              </w:rPr>
            </w:pPr>
          </w:p>
        </w:tc>
        <w:tc>
          <w:tcPr>
            <w:tcW w:w="900" w:type="dxa"/>
            <w:vMerge w:val="continue"/>
            <w:noWrap w:val="0"/>
            <w:vAlign w:val="center"/>
          </w:tcPr>
          <w:p>
            <w:pPr>
              <w:topLinePunct/>
              <w:ind w:firstLine="170"/>
              <w:textAlignment w:val="baseline"/>
              <w:rPr>
                <w:rFonts w:hint="eastAsia" w:ascii="宋体" w:hAnsi="宋体"/>
                <w:sz w:val="21"/>
              </w:rPr>
            </w:pPr>
          </w:p>
        </w:tc>
        <w:tc>
          <w:tcPr>
            <w:tcW w:w="1363" w:type="dxa"/>
            <w:noWrap w:val="0"/>
            <w:vAlign w:val="center"/>
          </w:tcPr>
          <w:p>
            <w:pPr>
              <w:topLinePunct/>
              <w:textAlignment w:val="baseline"/>
              <w:rPr>
                <w:rFonts w:hint="eastAsia" w:ascii="宋体" w:hAnsi="宋体"/>
                <w:sz w:val="21"/>
              </w:rPr>
            </w:pPr>
            <w:r>
              <w:rPr>
                <w:rFonts w:hint="eastAsia" w:ascii="宋体" w:hAnsi="宋体"/>
                <w:sz w:val="21"/>
              </w:rPr>
              <w:t>消防柜及其管路防震等级</w:t>
            </w:r>
          </w:p>
        </w:tc>
        <w:tc>
          <w:tcPr>
            <w:tcW w:w="3276" w:type="dxa"/>
            <w:noWrap w:val="0"/>
            <w:vAlign w:val="center"/>
          </w:tcPr>
          <w:p>
            <w:pPr>
              <w:topLinePunct/>
              <w:textAlignment w:val="baseline"/>
              <w:rPr>
                <w:rFonts w:hint="eastAsia" w:ascii="宋体" w:hAnsi="宋体"/>
                <w:sz w:val="21"/>
              </w:rPr>
            </w:pPr>
            <w:r>
              <w:rPr>
                <w:rFonts w:hint="eastAsia" w:ascii="宋体" w:hAnsi="宋体"/>
                <w:sz w:val="21"/>
              </w:rPr>
              <w:t>地面水平加速度0.25g  垂直加速度  0.125g</w:t>
            </w:r>
          </w:p>
        </w:tc>
        <w:tc>
          <w:tcPr>
            <w:tcW w:w="2603" w:type="dxa"/>
            <w:noWrap w:val="0"/>
            <w:vAlign w:val="center"/>
          </w:tcPr>
          <w:p>
            <w:pPr>
              <w:topLinePunct/>
              <w:textAlignment w:val="baseline"/>
              <w:rPr>
                <w:rFonts w:hint="eastAsia" w:ascii="宋体" w:hAnsi="宋体"/>
                <w:sz w:val="21"/>
              </w:rPr>
            </w:pPr>
            <w:r>
              <w:rPr>
                <w:rFonts w:hint="eastAsia" w:ascii="宋体" w:hAnsi="宋体"/>
                <w:sz w:val="21"/>
              </w:rPr>
              <w:t>地面水平加速度0.25g  垂直加速度  0.125g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jc w:val="center"/>
        </w:trPr>
        <w:tc>
          <w:tcPr>
            <w:tcW w:w="587" w:type="dxa"/>
            <w:vMerge w:val="restart"/>
            <w:noWrap w:val="0"/>
            <w:vAlign w:val="center"/>
          </w:tcPr>
          <w:p>
            <w:pPr>
              <w:topLinePunct/>
              <w:ind w:firstLine="170"/>
              <w:jc w:val="center"/>
              <w:textAlignment w:val="baseline"/>
              <w:rPr>
                <w:rFonts w:hint="eastAsia" w:ascii="宋体" w:hAnsi="宋体"/>
                <w:sz w:val="21"/>
              </w:rPr>
            </w:pPr>
            <w:r>
              <w:rPr>
                <w:rFonts w:hint="eastAsia" w:ascii="宋体" w:hAnsi="宋体"/>
                <w:sz w:val="21"/>
              </w:rPr>
              <w:t>2</w:t>
            </w:r>
          </w:p>
        </w:tc>
        <w:tc>
          <w:tcPr>
            <w:tcW w:w="900" w:type="dxa"/>
            <w:vMerge w:val="restart"/>
            <w:noWrap w:val="0"/>
            <w:vAlign w:val="center"/>
          </w:tcPr>
          <w:p>
            <w:pPr>
              <w:spacing w:line="400" w:lineRule="exact"/>
              <w:rPr>
                <w:rFonts w:hint="eastAsia" w:ascii="宋体" w:hAnsi="宋体"/>
                <w:sz w:val="21"/>
              </w:rPr>
            </w:pPr>
            <w:r>
              <w:rPr>
                <w:rFonts w:hint="eastAsia" w:ascii="宋体" w:hAnsi="宋体"/>
                <w:sz w:val="21"/>
              </w:rPr>
              <w:t>电源</w:t>
            </w:r>
          </w:p>
        </w:tc>
        <w:tc>
          <w:tcPr>
            <w:tcW w:w="1363" w:type="dxa"/>
            <w:noWrap w:val="0"/>
            <w:vAlign w:val="center"/>
          </w:tcPr>
          <w:p>
            <w:pPr>
              <w:topLinePunct/>
              <w:textAlignment w:val="baseline"/>
              <w:rPr>
                <w:rFonts w:hint="eastAsia" w:ascii="宋体" w:hAnsi="宋体"/>
                <w:sz w:val="21"/>
              </w:rPr>
            </w:pPr>
            <w:r>
              <w:rPr>
                <w:rFonts w:hint="eastAsia" w:ascii="宋体" w:hAnsi="宋体"/>
                <w:sz w:val="21"/>
              </w:rPr>
              <w:t>控制柜</w:t>
            </w:r>
          </w:p>
        </w:tc>
        <w:tc>
          <w:tcPr>
            <w:tcW w:w="3276" w:type="dxa"/>
            <w:noWrap w:val="0"/>
            <w:vAlign w:val="center"/>
          </w:tcPr>
          <w:p>
            <w:pPr>
              <w:spacing w:line="400" w:lineRule="exact"/>
              <w:rPr>
                <w:rFonts w:hint="eastAsia" w:ascii="宋体" w:hAnsi="宋体"/>
                <w:sz w:val="21"/>
              </w:rPr>
            </w:pPr>
            <w:r>
              <w:rPr>
                <w:rFonts w:hint="eastAsia" w:ascii="宋体" w:hAnsi="宋体"/>
                <w:sz w:val="21"/>
              </w:rPr>
              <w:t>110V DC或220V DC（二选一，平时工作电流小于0.5A，装置起动瞬间工作电流5A）</w:t>
            </w:r>
          </w:p>
        </w:tc>
        <w:tc>
          <w:tcPr>
            <w:tcW w:w="2603" w:type="dxa"/>
            <w:noWrap w:val="0"/>
            <w:vAlign w:val="center"/>
          </w:tcPr>
          <w:p>
            <w:pPr>
              <w:spacing w:line="400" w:lineRule="exact"/>
              <w:rPr>
                <w:rFonts w:hint="eastAsia" w:ascii="宋体" w:hAnsi="宋体"/>
                <w:sz w:val="21"/>
              </w:rPr>
            </w:pPr>
            <w:r>
              <w:rPr>
                <w:rFonts w:hint="eastAsia" w:ascii="宋体" w:hAnsi="宋体"/>
                <w:sz w:val="21"/>
              </w:rPr>
              <w:t>110V DC或220V DC（二选一，平时工作电流小于0.5A，装置起动瞬间工作电流5A）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587" w:type="dxa"/>
            <w:vMerge w:val="continue"/>
            <w:noWrap w:val="0"/>
            <w:vAlign w:val="center"/>
          </w:tcPr>
          <w:p>
            <w:pPr>
              <w:topLinePunct/>
              <w:ind w:firstLine="170"/>
              <w:jc w:val="center"/>
              <w:textAlignment w:val="baseline"/>
              <w:rPr>
                <w:rFonts w:hint="eastAsia" w:ascii="宋体" w:hAnsi="宋体"/>
                <w:sz w:val="21"/>
              </w:rPr>
            </w:pPr>
          </w:p>
        </w:tc>
        <w:tc>
          <w:tcPr>
            <w:tcW w:w="900" w:type="dxa"/>
            <w:vMerge w:val="continue"/>
            <w:noWrap w:val="0"/>
            <w:vAlign w:val="top"/>
          </w:tcPr>
          <w:p>
            <w:pPr>
              <w:topLinePunct/>
              <w:ind w:firstLine="170"/>
              <w:textAlignment w:val="baseline"/>
              <w:rPr>
                <w:rFonts w:hint="eastAsia" w:ascii="宋体" w:hAnsi="宋体"/>
                <w:sz w:val="21"/>
              </w:rPr>
            </w:pPr>
          </w:p>
        </w:tc>
        <w:tc>
          <w:tcPr>
            <w:tcW w:w="1363" w:type="dxa"/>
            <w:noWrap w:val="0"/>
            <w:vAlign w:val="center"/>
          </w:tcPr>
          <w:p>
            <w:pPr>
              <w:topLinePunct/>
              <w:textAlignment w:val="baseline"/>
              <w:rPr>
                <w:rFonts w:hint="eastAsia" w:ascii="宋体" w:hAnsi="宋体"/>
                <w:sz w:val="21"/>
              </w:rPr>
            </w:pPr>
            <w:r>
              <w:rPr>
                <w:rFonts w:hint="eastAsia" w:ascii="宋体" w:hAnsi="宋体"/>
                <w:sz w:val="21"/>
              </w:rPr>
              <w:t xml:space="preserve">消防柜 </w:t>
            </w:r>
          </w:p>
        </w:tc>
        <w:tc>
          <w:tcPr>
            <w:tcW w:w="3276" w:type="dxa"/>
            <w:noWrap w:val="0"/>
            <w:vAlign w:val="top"/>
          </w:tcPr>
          <w:p>
            <w:pPr>
              <w:spacing w:line="400" w:lineRule="exact"/>
              <w:rPr>
                <w:rFonts w:hint="eastAsia" w:ascii="宋体" w:hAnsi="宋体"/>
                <w:sz w:val="21"/>
              </w:rPr>
            </w:pPr>
            <w:r>
              <w:rPr>
                <w:rFonts w:hint="eastAsia" w:ascii="宋体" w:hAnsi="宋体"/>
                <w:sz w:val="21"/>
              </w:rPr>
              <w:t>220V AC  3A（除湿加热器用）</w:t>
            </w:r>
          </w:p>
        </w:tc>
        <w:tc>
          <w:tcPr>
            <w:tcW w:w="2603" w:type="dxa"/>
            <w:noWrap w:val="0"/>
            <w:vAlign w:val="top"/>
          </w:tcPr>
          <w:p>
            <w:pPr>
              <w:spacing w:line="400" w:lineRule="exact"/>
              <w:rPr>
                <w:rFonts w:hint="eastAsia" w:ascii="宋体" w:hAnsi="宋体"/>
                <w:sz w:val="21"/>
              </w:rPr>
            </w:pPr>
            <w:r>
              <w:rPr>
                <w:rFonts w:hint="eastAsia" w:ascii="宋体" w:hAnsi="宋体"/>
                <w:sz w:val="21"/>
              </w:rPr>
              <w:t>220V AC  3A（除湿加热器用）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8" w:hRule="atLeast"/>
          <w:jc w:val="center"/>
        </w:trPr>
        <w:tc>
          <w:tcPr>
            <w:tcW w:w="587" w:type="dxa"/>
            <w:noWrap w:val="0"/>
            <w:vAlign w:val="center"/>
          </w:tcPr>
          <w:p>
            <w:pPr>
              <w:topLinePunct/>
              <w:ind w:firstLine="170"/>
              <w:jc w:val="center"/>
              <w:textAlignment w:val="baseline"/>
              <w:rPr>
                <w:rFonts w:hint="eastAsia" w:ascii="宋体" w:hAnsi="宋体"/>
                <w:sz w:val="21"/>
              </w:rPr>
            </w:pPr>
            <w:r>
              <w:rPr>
                <w:rFonts w:hint="eastAsia" w:ascii="宋体" w:hAnsi="宋体"/>
                <w:sz w:val="21"/>
              </w:rPr>
              <w:t>3</w:t>
            </w:r>
          </w:p>
        </w:tc>
        <w:tc>
          <w:tcPr>
            <w:tcW w:w="900" w:type="dxa"/>
            <w:noWrap w:val="0"/>
            <w:vAlign w:val="center"/>
          </w:tcPr>
          <w:p>
            <w:pPr>
              <w:topLinePunct/>
              <w:textAlignment w:val="baseline"/>
              <w:rPr>
                <w:rFonts w:hint="eastAsia" w:ascii="宋体" w:hAnsi="宋体"/>
                <w:sz w:val="21"/>
              </w:rPr>
            </w:pPr>
            <w:r>
              <w:rPr>
                <w:rFonts w:hint="eastAsia" w:ascii="宋体" w:hAnsi="宋体"/>
                <w:sz w:val="21"/>
              </w:rPr>
              <w:t>其他</w:t>
            </w:r>
          </w:p>
        </w:tc>
        <w:tc>
          <w:tcPr>
            <w:tcW w:w="1363" w:type="dxa"/>
            <w:noWrap w:val="0"/>
            <w:vAlign w:val="center"/>
          </w:tcPr>
          <w:p>
            <w:pPr>
              <w:pStyle w:val="323"/>
              <w:spacing w:before="30" w:after="30"/>
              <w:jc w:val="center"/>
              <w:rPr>
                <w:rFonts w:hint="eastAsia" w:ascii="宋体" w:hAnsi="宋体"/>
                <w:kern w:val="0"/>
                <w:sz w:val="21"/>
                <w:szCs w:val="20"/>
              </w:rPr>
            </w:pPr>
          </w:p>
        </w:tc>
        <w:tc>
          <w:tcPr>
            <w:tcW w:w="3276" w:type="dxa"/>
            <w:noWrap w:val="0"/>
            <w:vAlign w:val="center"/>
          </w:tcPr>
          <w:p>
            <w:pPr>
              <w:pStyle w:val="323"/>
              <w:spacing w:before="30" w:after="30"/>
              <w:jc w:val="center"/>
              <w:rPr>
                <w:rFonts w:hint="eastAsia" w:ascii="宋体" w:hAnsi="宋体"/>
                <w:kern w:val="0"/>
                <w:sz w:val="21"/>
                <w:szCs w:val="20"/>
              </w:rPr>
            </w:pPr>
          </w:p>
        </w:tc>
        <w:tc>
          <w:tcPr>
            <w:tcW w:w="2603" w:type="dxa"/>
            <w:noWrap w:val="0"/>
            <w:vAlign w:val="center"/>
          </w:tcPr>
          <w:p>
            <w:pPr>
              <w:topLinePunct/>
              <w:ind w:firstLine="170"/>
              <w:jc w:val="center"/>
              <w:textAlignment w:val="baseline"/>
              <w:rPr>
                <w:rFonts w:ascii="宋体" w:hAnsi="宋体"/>
                <w:sz w:val="21"/>
              </w:rPr>
            </w:pPr>
            <w:r>
              <w:rPr>
                <w:rFonts w:hint="eastAsia" w:ascii="宋体" w:hAnsi="宋体"/>
                <w:sz w:val="21"/>
              </w:rPr>
              <w:t>无</w:t>
            </w:r>
          </w:p>
        </w:tc>
      </w:tr>
    </w:tbl>
    <w:p>
      <w:pPr>
        <w:pStyle w:val="2"/>
        <w:ind w:left="0" w:leftChars="0" w:firstLine="560" w:firstLineChars="200"/>
        <w:rPr>
          <w:rFonts w:hint="default"/>
          <w:sz w:val="28"/>
          <w:szCs w:val="28"/>
          <w:lang w:val="en-US" w:eastAsia="zh-CN"/>
        </w:rPr>
      </w:pPr>
    </w:p>
    <w:p>
      <w:pPr>
        <w:spacing w:line="360" w:lineRule="auto"/>
        <w:ind w:firstLine="482"/>
        <w:jc w:val="left"/>
        <w:rPr>
          <w:rFonts w:hint="default"/>
          <w:color w:val="000000"/>
          <w:sz w:val="28"/>
          <w:szCs w:val="28"/>
          <w:lang w:val="en-US" w:eastAsia="zh-CN"/>
        </w:rPr>
      </w:pPr>
      <w:r>
        <w:rPr>
          <w:rFonts w:hint="default"/>
          <w:color w:val="000000"/>
          <w:sz w:val="28"/>
          <w:szCs w:val="28"/>
          <w:lang w:val="en-US" w:eastAsia="zh-CN"/>
        </w:rPr>
        <w:t>4</w:t>
      </w:r>
      <w:r>
        <w:rPr>
          <w:rFonts w:hint="eastAsia"/>
          <w:color w:val="000000"/>
          <w:sz w:val="28"/>
          <w:szCs w:val="28"/>
          <w:lang w:val="en-US" w:eastAsia="zh-CN"/>
        </w:rPr>
        <w:t>、</w:t>
      </w:r>
      <w:r>
        <w:rPr>
          <w:rFonts w:hint="default"/>
          <w:color w:val="000000"/>
          <w:sz w:val="28"/>
          <w:szCs w:val="28"/>
          <w:lang w:val="en-US" w:eastAsia="zh-CN"/>
        </w:rPr>
        <w:t>电缆防火措施</w:t>
      </w:r>
    </w:p>
    <w:p>
      <w:pPr>
        <w:spacing w:line="360" w:lineRule="auto"/>
        <w:ind w:firstLine="482"/>
        <w:jc w:val="left"/>
        <w:rPr>
          <w:rFonts w:hint="default"/>
          <w:color w:val="000000"/>
          <w:sz w:val="28"/>
          <w:szCs w:val="28"/>
          <w:lang w:val="en-US" w:eastAsia="zh-CN"/>
        </w:rPr>
      </w:pPr>
      <w:r>
        <w:rPr>
          <w:rFonts w:hint="default"/>
          <w:color w:val="000000"/>
          <w:sz w:val="28"/>
          <w:szCs w:val="28"/>
          <w:lang w:val="en-US" w:eastAsia="zh-CN"/>
        </w:rPr>
        <w:t>合理的选用电缆截面和材质，另外对电缆采取封、堵、涂、隔、包缠等防火阻燃措施</w:t>
      </w:r>
      <w:r>
        <w:rPr>
          <w:rFonts w:hint="eastAsia"/>
          <w:color w:val="000000"/>
          <w:sz w:val="28"/>
          <w:szCs w:val="28"/>
          <w:lang w:val="en-US" w:eastAsia="zh-CN"/>
        </w:rPr>
        <w:t>，采用防火阻燃电缆。</w:t>
      </w:r>
    </w:p>
    <w:p>
      <w:pPr>
        <w:spacing w:line="360" w:lineRule="auto"/>
        <w:ind w:firstLine="482"/>
        <w:jc w:val="left"/>
        <w:rPr>
          <w:rFonts w:hint="default"/>
          <w:color w:val="000000"/>
          <w:sz w:val="28"/>
          <w:szCs w:val="28"/>
          <w:lang w:val="en-US" w:eastAsia="zh-CN"/>
        </w:rPr>
      </w:pPr>
      <w:r>
        <w:rPr>
          <w:rFonts w:hint="default"/>
          <w:color w:val="000000"/>
          <w:sz w:val="28"/>
          <w:szCs w:val="28"/>
          <w:lang w:val="en-US" w:eastAsia="zh-CN"/>
        </w:rPr>
        <w:t>5</w:t>
      </w:r>
      <w:r>
        <w:rPr>
          <w:rFonts w:hint="eastAsia"/>
          <w:color w:val="000000"/>
          <w:sz w:val="28"/>
          <w:szCs w:val="28"/>
          <w:lang w:val="en-US" w:eastAsia="zh-CN"/>
        </w:rPr>
        <w:t>、</w:t>
      </w:r>
      <w:r>
        <w:rPr>
          <w:rFonts w:hint="default"/>
          <w:color w:val="000000"/>
          <w:sz w:val="28"/>
          <w:szCs w:val="28"/>
          <w:lang w:val="en-US" w:eastAsia="zh-CN"/>
        </w:rPr>
        <w:t>消防供电</w:t>
      </w:r>
    </w:p>
    <w:p>
      <w:pPr>
        <w:spacing w:line="360" w:lineRule="auto"/>
        <w:ind w:firstLine="482"/>
        <w:jc w:val="left"/>
        <w:rPr>
          <w:rFonts w:hint="default"/>
          <w:color w:val="000000"/>
          <w:sz w:val="28"/>
          <w:szCs w:val="28"/>
          <w:lang w:val="en-US" w:eastAsia="zh-CN"/>
        </w:rPr>
      </w:pPr>
      <w:r>
        <w:rPr>
          <w:rFonts w:hint="default"/>
          <w:color w:val="000000"/>
          <w:sz w:val="28"/>
          <w:szCs w:val="28"/>
          <w:lang w:val="en-US" w:eastAsia="zh-CN"/>
        </w:rPr>
        <w:t>本工程消防用电设备包括火灾报警控制系统和火灾应急照明。</w:t>
      </w:r>
    </w:p>
    <w:p>
      <w:pPr>
        <w:spacing w:line="360" w:lineRule="auto"/>
        <w:ind w:firstLine="482"/>
        <w:jc w:val="left"/>
        <w:rPr>
          <w:rFonts w:hint="default"/>
          <w:color w:val="000000"/>
          <w:sz w:val="28"/>
          <w:szCs w:val="28"/>
          <w:lang w:val="en-US" w:eastAsia="zh-CN"/>
        </w:rPr>
      </w:pPr>
      <w:r>
        <w:rPr>
          <w:rFonts w:hint="default"/>
          <w:color w:val="000000"/>
          <w:sz w:val="28"/>
          <w:szCs w:val="28"/>
          <w:lang w:val="en-US" w:eastAsia="zh-CN"/>
        </w:rPr>
        <w:t>火灾报警控制主机及联动控制器由二次交流电源屏供电，按二级负荷供电，采用独立供电回路。火灾报警控制主机及联动控制器还配备专用直流备用电源。应急照明电源正常时为交流供电，当交流系统出现故障消失后，由应急照明切换装置自动切换至直流电源上，直流电源由集中设置的蓄电池供电，供电时间不小于1.5小时。</w:t>
      </w:r>
    </w:p>
    <w:p>
      <w:pPr>
        <w:numPr>
          <w:ilvl w:val="0"/>
          <w:numId w:val="0"/>
        </w:numPr>
        <w:adjustRightInd w:val="0"/>
        <w:snapToGrid w:val="0"/>
        <w:spacing w:line="360" w:lineRule="auto"/>
        <w:ind w:firstLine="560" w:firstLineChars="200"/>
        <w:jc w:val="left"/>
        <w:rPr>
          <w:rFonts w:hint="eastAsia"/>
          <w:color w:val="000000"/>
          <w:sz w:val="28"/>
          <w:szCs w:val="28"/>
          <w:lang w:val="en-US" w:eastAsia="zh-CN"/>
        </w:rPr>
      </w:pPr>
      <w:r>
        <w:rPr>
          <w:rFonts w:hint="eastAsia"/>
          <w:color w:val="000000"/>
          <w:sz w:val="28"/>
          <w:szCs w:val="28"/>
          <w:lang w:val="en-US" w:eastAsia="zh-CN"/>
        </w:rPr>
        <w:t>6、火灾自动报警系统</w:t>
      </w:r>
    </w:p>
    <w:p>
      <w:pPr>
        <w:numPr>
          <w:ilvl w:val="0"/>
          <w:numId w:val="0"/>
        </w:numPr>
        <w:adjustRightInd w:val="0"/>
        <w:snapToGrid w:val="0"/>
        <w:spacing w:line="360" w:lineRule="auto"/>
        <w:ind w:firstLine="560" w:firstLineChars="200"/>
        <w:jc w:val="left"/>
        <w:rPr>
          <w:rFonts w:hint="eastAsia"/>
          <w:color w:val="000000"/>
          <w:sz w:val="28"/>
          <w:szCs w:val="28"/>
          <w:lang w:val="en-US" w:eastAsia="zh-CN"/>
        </w:rPr>
      </w:pPr>
      <w:r>
        <w:rPr>
          <w:rFonts w:hint="eastAsia"/>
          <w:color w:val="000000"/>
          <w:sz w:val="28"/>
          <w:szCs w:val="28"/>
          <w:lang w:val="en-US" w:eastAsia="zh-CN"/>
        </w:rPr>
        <w:t>本工程在全站有火灾危险的房间及主变压器设置感烟探测器或感温探测器，在各建筑物主要出入口设置手动报警按钮和声光报警器。本工程火灾联动控制为各电气设备房间空调及风机的联动控制。二次设备室、继电器室、蓄电池室等所有电气设备间的风机及空调需联动控制，当上述空调或风机所在房间的探测器发出火灾报警时，火灾报警控制器立即通过多线联动控制器联动关闭相应房间的空调或风机，待灭火完毕并确认后，再开启通风排烟装置。</w:t>
      </w:r>
    </w:p>
    <w:p>
      <w:pPr>
        <w:numPr>
          <w:ilvl w:val="0"/>
          <w:numId w:val="0"/>
        </w:numPr>
        <w:adjustRightInd w:val="0"/>
        <w:snapToGrid w:val="0"/>
        <w:spacing w:line="360" w:lineRule="auto"/>
        <w:ind w:firstLine="560" w:firstLineChars="200"/>
        <w:jc w:val="left"/>
        <w:rPr>
          <w:rFonts w:hint="eastAsia"/>
          <w:color w:val="000000"/>
          <w:sz w:val="28"/>
          <w:szCs w:val="28"/>
          <w:lang w:val="en-US" w:eastAsia="zh-CN"/>
        </w:rPr>
      </w:pPr>
      <w:r>
        <w:rPr>
          <w:rFonts w:hint="eastAsia"/>
          <w:color w:val="000000"/>
          <w:sz w:val="28"/>
          <w:szCs w:val="28"/>
          <w:lang w:val="en-US" w:eastAsia="zh-CN"/>
        </w:rPr>
        <w:t>7、通（排）风防火排烟</w:t>
      </w:r>
    </w:p>
    <w:p>
      <w:pPr>
        <w:numPr>
          <w:ilvl w:val="0"/>
          <w:numId w:val="0"/>
        </w:numPr>
        <w:adjustRightInd w:val="0"/>
        <w:snapToGrid w:val="0"/>
        <w:spacing w:line="360" w:lineRule="auto"/>
        <w:ind w:firstLine="560" w:firstLineChars="200"/>
        <w:jc w:val="left"/>
        <w:rPr>
          <w:rFonts w:hint="eastAsia"/>
          <w:color w:val="000000"/>
          <w:sz w:val="28"/>
          <w:szCs w:val="28"/>
          <w:lang w:val="en-US" w:eastAsia="zh-CN"/>
        </w:rPr>
      </w:pPr>
      <w:r>
        <w:rPr>
          <w:rFonts w:hint="eastAsia"/>
          <w:color w:val="000000"/>
          <w:sz w:val="28"/>
          <w:szCs w:val="28"/>
          <w:lang w:val="en-US" w:eastAsia="zh-CN"/>
        </w:rPr>
        <w:t>在二次设备室设置空调、配电室设有事故排风兼作平时通风用风机，事故排风机的开关装在门口便于操作的地点。二次设备室采用自然排烟方式。当火灾发生时，火灾场所各种通风与空气调节设施均接受火灾报警联动控制器传送的信号停止运行，待灭火完毕并确认后，再开启通风排烟装置。</w:t>
      </w:r>
    </w:p>
    <w:p>
      <w:pPr>
        <w:numPr>
          <w:ilvl w:val="0"/>
          <w:numId w:val="0"/>
        </w:numPr>
        <w:adjustRightInd w:val="0"/>
        <w:snapToGrid w:val="0"/>
        <w:spacing w:line="360" w:lineRule="auto"/>
        <w:ind w:firstLine="560" w:firstLineChars="200"/>
        <w:jc w:val="left"/>
        <w:rPr>
          <w:rFonts w:hint="eastAsia"/>
          <w:color w:val="000000"/>
          <w:sz w:val="28"/>
          <w:szCs w:val="28"/>
          <w:lang w:val="en-US" w:eastAsia="zh-CN"/>
        </w:rPr>
      </w:pPr>
      <w:r>
        <w:rPr>
          <w:rFonts w:hint="eastAsia"/>
          <w:color w:val="000000"/>
          <w:sz w:val="28"/>
          <w:szCs w:val="28"/>
          <w:lang w:val="en-US" w:eastAsia="zh-CN"/>
        </w:rPr>
        <w:t>8、消防应急及消防疏散照明采用自带蓄电池DC36V照明灯具。</w:t>
      </w:r>
    </w:p>
    <w:p>
      <w:pPr>
        <w:numPr>
          <w:ilvl w:val="0"/>
          <w:numId w:val="0"/>
        </w:numPr>
        <w:adjustRightInd w:val="0"/>
        <w:snapToGrid w:val="0"/>
        <w:spacing w:line="360" w:lineRule="auto"/>
        <w:ind w:firstLine="560" w:firstLineChars="200"/>
        <w:jc w:val="left"/>
        <w:rPr>
          <w:rFonts w:hint="eastAsia"/>
          <w:color w:val="000000"/>
          <w:sz w:val="28"/>
          <w:szCs w:val="28"/>
          <w:lang w:val="en-US" w:eastAsia="zh-CN"/>
        </w:rPr>
      </w:pPr>
      <w:r>
        <w:rPr>
          <w:rFonts w:hint="eastAsia"/>
          <w:color w:val="000000"/>
          <w:sz w:val="28"/>
          <w:szCs w:val="28"/>
          <w:lang w:val="en-US" w:eastAsia="zh-CN"/>
        </w:rPr>
        <w:t>9、本消防系统应按照一个消防分区进行划分，其给排水、暖通、消防设计必须满足消防验收规范，且后期可与园区消防系统对接为一个整体消防系统。</w:t>
      </w:r>
    </w:p>
    <w:p>
      <w:pPr>
        <w:numPr>
          <w:ilvl w:val="0"/>
          <w:numId w:val="0"/>
        </w:numPr>
        <w:adjustRightInd w:val="0"/>
        <w:snapToGrid w:val="0"/>
        <w:spacing w:line="360" w:lineRule="auto"/>
        <w:ind w:firstLine="560" w:firstLineChars="200"/>
        <w:jc w:val="left"/>
        <w:rPr>
          <w:rFonts w:hint="eastAsia"/>
          <w:color w:val="000000"/>
          <w:sz w:val="28"/>
          <w:szCs w:val="28"/>
          <w:lang w:val="en-US" w:eastAsia="zh-CN"/>
        </w:rPr>
      </w:pPr>
      <w:r>
        <w:rPr>
          <w:rFonts w:hint="eastAsia"/>
          <w:color w:val="000000"/>
          <w:sz w:val="28"/>
          <w:szCs w:val="28"/>
          <w:lang w:val="en-US" w:eastAsia="zh-CN"/>
        </w:rPr>
        <w:t>10、10kv开关柜内消防设施，依靠烟感，温感，以及火焰三种探测方式对设备进行火灾检测。能快速、准确、有效地探测及扑灭火源，集报警和灭火于一体，将火患扑灭在最初阶段。降低每次灭火的费用，并且不会对人员造成任何伤害。采用自动灭火装置，可由原来对较大封闭空间的房间保护改为直接对各种较小封闭空间的贵重设备进行保护。</w:t>
      </w:r>
    </w:p>
    <w:p>
      <w:pPr>
        <w:pStyle w:val="2"/>
        <w:numPr>
          <w:ilvl w:val="0"/>
          <w:numId w:val="0"/>
        </w:numPr>
        <w:ind w:leftChars="200"/>
        <w:rPr>
          <w:rFonts w:hint="eastAsia"/>
          <w:color w:val="000000"/>
          <w:sz w:val="28"/>
          <w:szCs w:val="28"/>
          <w:lang w:val="en-US" w:eastAsia="zh-CN"/>
        </w:rPr>
      </w:pPr>
      <w:r>
        <w:rPr>
          <w:rFonts w:hint="eastAsia"/>
          <w:color w:val="000000"/>
          <w:sz w:val="28"/>
          <w:szCs w:val="28"/>
          <w:lang w:val="en-US" w:eastAsia="zh-CN"/>
        </w:rPr>
        <w:t>（1）通过感温探测单元对设备内部实时温度探测，一旦温度达到设定值（一级预警）声光报警罪报警，工作人员及时查看 设备工作状态。</w:t>
      </w:r>
    </w:p>
    <w:p>
      <w:pPr>
        <w:pStyle w:val="2"/>
        <w:numPr>
          <w:ilvl w:val="0"/>
          <w:numId w:val="0"/>
        </w:numPr>
        <w:ind w:leftChars="200"/>
        <w:rPr>
          <w:rFonts w:hint="eastAsia"/>
          <w:color w:val="000000"/>
          <w:sz w:val="28"/>
          <w:szCs w:val="28"/>
          <w:lang w:val="en-US" w:eastAsia="zh-CN"/>
        </w:rPr>
      </w:pPr>
      <w:r>
        <w:rPr>
          <w:rFonts w:hint="eastAsia"/>
          <w:color w:val="000000"/>
          <w:sz w:val="28"/>
          <w:szCs w:val="28"/>
          <w:lang w:val="en-US" w:eastAsia="zh-CN"/>
        </w:rPr>
        <w:t>（2）设备内部温度持续上升，温度达到系统启动设定值（二级报警）系统自动启动，迅速灭火。</w:t>
      </w:r>
    </w:p>
    <w:p>
      <w:pPr>
        <w:pStyle w:val="2"/>
        <w:numPr>
          <w:ilvl w:val="0"/>
          <w:numId w:val="0"/>
        </w:numPr>
        <w:ind w:leftChars="200"/>
        <w:rPr>
          <w:rFonts w:hint="default"/>
          <w:color w:val="000000"/>
          <w:sz w:val="28"/>
          <w:szCs w:val="28"/>
          <w:lang w:val="en-US" w:eastAsia="zh-CN"/>
        </w:rPr>
      </w:pPr>
      <w:r>
        <w:rPr>
          <w:rFonts w:hint="eastAsia"/>
          <w:color w:val="000000"/>
          <w:sz w:val="28"/>
          <w:szCs w:val="28"/>
          <w:lang w:val="en-US" w:eastAsia="zh-CN"/>
        </w:rPr>
        <w:t>11、防火设计应满足《火力发电厂与变电站设计防火标准》GB 50229-2019中的要求。</w:t>
      </w:r>
    </w:p>
    <w:p>
      <w:pPr>
        <w:spacing w:line="360" w:lineRule="auto"/>
        <w:jc w:val="left"/>
        <w:outlineLvl w:val="1"/>
        <w:rPr>
          <w:rFonts w:hint="eastAsia"/>
          <w:b/>
          <w:bCs/>
          <w:color w:val="000000"/>
          <w:sz w:val="28"/>
          <w:szCs w:val="28"/>
          <w:lang w:val="en-US" w:eastAsia="zh-CN"/>
        </w:rPr>
      </w:pPr>
      <w:bookmarkStart w:id="207" w:name="_Toc13509"/>
      <w:r>
        <w:rPr>
          <w:rFonts w:hint="eastAsia"/>
          <w:b/>
          <w:bCs/>
          <w:color w:val="000000"/>
          <w:sz w:val="28"/>
          <w:szCs w:val="28"/>
          <w:lang w:val="en-US" w:eastAsia="zh-CN"/>
        </w:rPr>
        <w:t>3.4照明系统</w:t>
      </w:r>
      <w:bookmarkEnd w:id="207"/>
    </w:p>
    <w:p>
      <w:pPr>
        <w:spacing w:line="360" w:lineRule="auto"/>
        <w:jc w:val="left"/>
        <w:outlineLvl w:val="2"/>
        <w:rPr>
          <w:rFonts w:hint="default"/>
          <w:b/>
          <w:bCs/>
          <w:color w:val="000000"/>
          <w:sz w:val="28"/>
          <w:szCs w:val="28"/>
          <w:lang w:val="en-US" w:eastAsia="zh-CN"/>
        </w:rPr>
      </w:pPr>
      <w:bookmarkStart w:id="208" w:name="_Toc2334"/>
      <w:r>
        <w:rPr>
          <w:rFonts w:hint="eastAsia"/>
          <w:b/>
          <w:bCs/>
          <w:color w:val="000000"/>
          <w:sz w:val="28"/>
          <w:szCs w:val="28"/>
          <w:lang w:val="en-US" w:eastAsia="zh-CN"/>
        </w:rPr>
        <w:t>3.4.1概述</w:t>
      </w:r>
      <w:bookmarkEnd w:id="208"/>
    </w:p>
    <w:p>
      <w:pPr>
        <w:numPr>
          <w:ilvl w:val="0"/>
          <w:numId w:val="0"/>
        </w:numPr>
        <w:adjustRightInd w:val="0"/>
        <w:snapToGrid w:val="0"/>
        <w:spacing w:line="360" w:lineRule="auto"/>
        <w:ind w:left="0" w:leftChars="0" w:firstLine="0" w:firstLineChars="0"/>
        <w:jc w:val="left"/>
        <w:rPr>
          <w:rFonts w:hint="eastAsia"/>
          <w:color w:val="000000"/>
          <w:sz w:val="28"/>
          <w:szCs w:val="28"/>
          <w:lang w:val="en-US" w:eastAsia="zh-CN"/>
        </w:rPr>
      </w:pPr>
      <w:r>
        <w:rPr>
          <w:rFonts w:hint="eastAsia"/>
          <w:color w:val="000000"/>
          <w:sz w:val="28"/>
          <w:szCs w:val="28"/>
          <w:lang w:val="en-US" w:eastAsia="zh-CN"/>
        </w:rPr>
        <w:t>变电站的照明设计，应符合现行国家标准《建筑照明设计标准》GB50034 的有关规定。</w:t>
      </w:r>
    </w:p>
    <w:p>
      <w:pPr>
        <w:spacing w:line="360" w:lineRule="auto"/>
        <w:jc w:val="left"/>
        <w:outlineLvl w:val="2"/>
        <w:rPr>
          <w:rFonts w:hint="eastAsia"/>
          <w:color w:val="000000"/>
          <w:sz w:val="28"/>
          <w:szCs w:val="28"/>
          <w:lang w:val="en-US" w:eastAsia="zh-CN"/>
        </w:rPr>
      </w:pPr>
      <w:bookmarkStart w:id="209" w:name="_Toc7609"/>
      <w:r>
        <w:rPr>
          <w:rFonts w:hint="eastAsia"/>
          <w:b/>
          <w:bCs/>
          <w:color w:val="000000"/>
          <w:sz w:val="28"/>
          <w:szCs w:val="28"/>
          <w:lang w:val="en-US" w:eastAsia="zh-CN"/>
        </w:rPr>
        <w:t>3.4.2照明设计主要要求</w:t>
      </w:r>
      <w:bookmarkEnd w:id="209"/>
    </w:p>
    <w:p>
      <w:pPr>
        <w:numPr>
          <w:ilvl w:val="0"/>
          <w:numId w:val="0"/>
        </w:numPr>
        <w:adjustRightInd w:val="0"/>
        <w:snapToGrid w:val="0"/>
        <w:spacing w:line="360" w:lineRule="auto"/>
        <w:ind w:left="0" w:leftChars="0" w:firstLine="0" w:firstLineChars="0"/>
        <w:jc w:val="left"/>
        <w:rPr>
          <w:rFonts w:hint="eastAsia"/>
          <w:color w:val="000000"/>
          <w:sz w:val="28"/>
          <w:szCs w:val="28"/>
          <w:lang w:val="en-US" w:eastAsia="zh-CN"/>
        </w:rPr>
      </w:pPr>
      <w:r>
        <w:rPr>
          <w:rFonts w:hint="eastAsia"/>
          <w:color w:val="000000"/>
          <w:sz w:val="28"/>
          <w:szCs w:val="28"/>
          <w:lang w:val="en-US" w:eastAsia="zh-CN"/>
        </w:rPr>
        <w:t>1、控制室、屋内配电装置室、蓄电池室及屋内主要通道等处，应装设事故照明。</w:t>
      </w:r>
    </w:p>
    <w:p>
      <w:pPr>
        <w:numPr>
          <w:ilvl w:val="0"/>
          <w:numId w:val="0"/>
        </w:numPr>
        <w:adjustRightInd w:val="0"/>
        <w:snapToGrid w:val="0"/>
        <w:spacing w:line="360" w:lineRule="auto"/>
        <w:ind w:leftChars="0"/>
        <w:jc w:val="left"/>
        <w:rPr>
          <w:rFonts w:hint="eastAsia"/>
          <w:color w:val="000000"/>
          <w:sz w:val="28"/>
          <w:szCs w:val="28"/>
          <w:lang w:val="en-US" w:eastAsia="zh-CN"/>
        </w:rPr>
      </w:pPr>
      <w:r>
        <w:rPr>
          <w:rFonts w:hint="eastAsia"/>
          <w:color w:val="000000"/>
          <w:sz w:val="28"/>
          <w:szCs w:val="28"/>
          <w:lang w:val="en-US" w:eastAsia="zh-CN"/>
        </w:rPr>
        <w:t>2、照明设备的安装位置应满足维修安全要求。</w:t>
      </w:r>
    </w:p>
    <w:p>
      <w:pPr>
        <w:numPr>
          <w:ilvl w:val="0"/>
          <w:numId w:val="0"/>
        </w:numPr>
        <w:adjustRightInd w:val="0"/>
        <w:snapToGrid w:val="0"/>
        <w:spacing w:line="360" w:lineRule="auto"/>
        <w:ind w:leftChars="0"/>
        <w:jc w:val="left"/>
        <w:rPr>
          <w:rFonts w:hint="default"/>
          <w:color w:val="000000"/>
          <w:sz w:val="28"/>
          <w:szCs w:val="28"/>
          <w:lang w:val="en-US" w:eastAsia="zh-CN"/>
        </w:rPr>
      </w:pPr>
      <w:r>
        <w:rPr>
          <w:rFonts w:hint="eastAsia"/>
          <w:color w:val="000000"/>
          <w:sz w:val="28"/>
          <w:szCs w:val="28"/>
          <w:lang w:val="en-US" w:eastAsia="zh-CN"/>
        </w:rPr>
        <w:t>3、</w:t>
      </w:r>
      <w:r>
        <w:rPr>
          <w:rFonts w:hint="default"/>
          <w:color w:val="000000"/>
          <w:sz w:val="28"/>
          <w:szCs w:val="28"/>
          <w:lang w:val="en-US" w:eastAsia="zh-CN"/>
        </w:rPr>
        <w:t>监视屏面应避免明显的反射眩光和直接阳光</w:t>
      </w:r>
      <w:r>
        <w:rPr>
          <w:rFonts w:hint="eastAsia"/>
          <w:color w:val="000000"/>
          <w:sz w:val="28"/>
          <w:szCs w:val="28"/>
          <w:lang w:val="en-US" w:eastAsia="zh-CN"/>
        </w:rPr>
        <w:t>照射。</w:t>
      </w:r>
    </w:p>
    <w:p>
      <w:pPr>
        <w:numPr>
          <w:ilvl w:val="0"/>
          <w:numId w:val="0"/>
        </w:numPr>
        <w:adjustRightInd w:val="0"/>
        <w:snapToGrid w:val="0"/>
        <w:spacing w:line="360" w:lineRule="auto"/>
        <w:ind w:leftChars="0"/>
        <w:jc w:val="left"/>
        <w:rPr>
          <w:rFonts w:hint="eastAsia"/>
          <w:color w:val="000000"/>
          <w:sz w:val="28"/>
          <w:szCs w:val="28"/>
          <w:lang w:val="en-US" w:eastAsia="zh-CN"/>
        </w:rPr>
      </w:pPr>
      <w:r>
        <w:rPr>
          <w:rFonts w:hint="eastAsia"/>
          <w:color w:val="000000"/>
          <w:sz w:val="28"/>
          <w:szCs w:val="28"/>
          <w:lang w:val="en-US" w:eastAsia="zh-CN"/>
        </w:rPr>
        <w:t>4、</w:t>
      </w:r>
      <w:r>
        <w:rPr>
          <w:rFonts w:hint="default"/>
          <w:color w:val="000000"/>
          <w:sz w:val="28"/>
          <w:szCs w:val="28"/>
          <w:lang w:val="en-US" w:eastAsia="zh-CN"/>
        </w:rPr>
        <w:t>酸蓄电池室内的照明，应采用防爆型照明器，不应在</w:t>
      </w:r>
      <w:r>
        <w:rPr>
          <w:rFonts w:hint="eastAsia"/>
          <w:color w:val="000000"/>
          <w:sz w:val="28"/>
          <w:szCs w:val="28"/>
          <w:lang w:val="en-US" w:eastAsia="zh-CN"/>
        </w:rPr>
        <w:t>蓄</w:t>
      </w:r>
      <w:r>
        <w:rPr>
          <w:rFonts w:hint="default"/>
          <w:color w:val="000000"/>
          <w:sz w:val="28"/>
          <w:szCs w:val="28"/>
          <w:lang w:val="en-US" w:eastAsia="zh-CN"/>
        </w:rPr>
        <w:t>电池内装设非防爆电器</w:t>
      </w:r>
      <w:r>
        <w:rPr>
          <w:rFonts w:hint="eastAsia"/>
          <w:color w:val="000000"/>
          <w:sz w:val="28"/>
          <w:szCs w:val="28"/>
          <w:lang w:val="en-US" w:eastAsia="zh-CN"/>
        </w:rPr>
        <w:t>。</w:t>
      </w:r>
    </w:p>
    <w:p>
      <w:pPr>
        <w:numPr>
          <w:ilvl w:val="0"/>
          <w:numId w:val="0"/>
        </w:numPr>
        <w:adjustRightInd w:val="0"/>
        <w:snapToGrid w:val="0"/>
        <w:spacing w:line="360" w:lineRule="auto"/>
        <w:ind w:leftChars="0"/>
        <w:jc w:val="left"/>
        <w:rPr>
          <w:rFonts w:hint="default"/>
          <w:color w:val="000000"/>
          <w:sz w:val="28"/>
          <w:szCs w:val="28"/>
          <w:lang w:val="en-US" w:eastAsia="zh-CN"/>
        </w:rPr>
      </w:pPr>
      <w:r>
        <w:rPr>
          <w:rFonts w:hint="eastAsia"/>
          <w:color w:val="000000"/>
          <w:sz w:val="28"/>
          <w:szCs w:val="28"/>
          <w:lang w:val="en-US" w:eastAsia="zh-CN"/>
        </w:rPr>
        <w:t>5、</w:t>
      </w:r>
      <w:r>
        <w:rPr>
          <w:rFonts w:hint="default"/>
          <w:color w:val="000000"/>
          <w:sz w:val="28"/>
          <w:szCs w:val="28"/>
          <w:lang w:val="en-US" w:eastAsia="zh-CN"/>
        </w:rPr>
        <w:t>电缆隧道内的照明电压不宜高于24V，高于24V时，应采取防止触电的安全措施。</w:t>
      </w:r>
    </w:p>
    <w:p>
      <w:pPr>
        <w:numPr>
          <w:ilvl w:val="0"/>
          <w:numId w:val="43"/>
        </w:numPr>
        <w:adjustRightInd w:val="0"/>
        <w:snapToGrid w:val="0"/>
        <w:spacing w:line="360" w:lineRule="auto"/>
        <w:ind w:left="0" w:leftChars="0" w:firstLine="0" w:firstLineChars="0"/>
        <w:jc w:val="left"/>
        <w:rPr>
          <w:rFonts w:hint="default"/>
          <w:color w:val="000000"/>
          <w:sz w:val="28"/>
          <w:szCs w:val="28"/>
          <w:lang w:val="en-US" w:eastAsia="zh-CN"/>
        </w:rPr>
      </w:pPr>
      <w:r>
        <w:rPr>
          <w:rFonts w:hint="default"/>
          <w:color w:val="000000"/>
          <w:sz w:val="28"/>
          <w:szCs w:val="28"/>
          <w:lang w:val="en-US" w:eastAsia="zh-CN"/>
        </w:rPr>
        <w:t>在配电室和变压器室内裸导体正上方，不应布置灯具和明敷线路。当在配电室和变压器室内裸导体正上方布置灯具时，灯具与裸导体的水平净距不应小于1.0m。灯具不得采用吊链和软线吊装</w:t>
      </w:r>
      <w:r>
        <w:rPr>
          <w:rFonts w:hint="eastAsia"/>
          <w:color w:val="000000"/>
          <w:sz w:val="28"/>
          <w:szCs w:val="28"/>
          <w:lang w:val="en-US" w:eastAsia="zh-CN"/>
        </w:rPr>
        <w:t>。</w:t>
      </w:r>
    </w:p>
    <w:p>
      <w:pPr>
        <w:numPr>
          <w:ilvl w:val="0"/>
          <w:numId w:val="43"/>
        </w:numPr>
        <w:adjustRightInd w:val="0"/>
        <w:snapToGrid w:val="0"/>
        <w:spacing w:line="360" w:lineRule="auto"/>
        <w:ind w:left="0" w:leftChars="0" w:firstLine="0" w:firstLineChars="0"/>
        <w:jc w:val="left"/>
        <w:rPr>
          <w:rFonts w:hint="default"/>
          <w:color w:val="000000"/>
          <w:sz w:val="28"/>
          <w:szCs w:val="28"/>
          <w:lang w:val="en-US" w:eastAsia="zh-CN"/>
        </w:rPr>
      </w:pPr>
      <w:r>
        <w:rPr>
          <w:rFonts w:hint="default"/>
          <w:color w:val="000000"/>
          <w:sz w:val="28"/>
          <w:szCs w:val="28"/>
          <w:lang w:val="en-US" w:eastAsia="zh-CN"/>
        </w:rPr>
        <w:t>照明灯具、杆型应与主厂一致，</w:t>
      </w:r>
      <w:r>
        <w:rPr>
          <w:rFonts w:hint="eastAsia"/>
          <w:color w:val="000000"/>
          <w:sz w:val="28"/>
          <w:szCs w:val="28"/>
          <w:lang w:val="en-US" w:eastAsia="zh-CN"/>
        </w:rPr>
        <w:t>照明配电箱内安装智能照明模块，</w:t>
      </w:r>
      <w:r>
        <w:rPr>
          <w:rFonts w:hint="default"/>
          <w:color w:val="000000"/>
          <w:sz w:val="28"/>
          <w:szCs w:val="28"/>
          <w:lang w:val="en-US" w:eastAsia="zh-CN"/>
        </w:rPr>
        <w:t>并由全厂统一控制。</w:t>
      </w:r>
    </w:p>
    <w:p>
      <w:pPr>
        <w:spacing w:line="360" w:lineRule="auto"/>
        <w:outlineLvl w:val="9"/>
        <w:rPr>
          <w:rFonts w:hint="default" w:ascii="宋体" w:cs="宋体"/>
          <w:kern w:val="0"/>
          <w:sz w:val="28"/>
          <w:szCs w:val="28"/>
          <w:lang w:val="en-US" w:eastAsia="zh-CN"/>
        </w:rPr>
      </w:pPr>
      <w:r>
        <w:rPr>
          <w:rFonts w:hint="eastAsia" w:ascii="宋体" w:cs="宋体"/>
          <w:kern w:val="0"/>
          <w:sz w:val="28"/>
          <w:szCs w:val="28"/>
          <w:lang w:val="en-US" w:eastAsia="zh-CN"/>
        </w:rPr>
        <w:t>9、</w:t>
      </w:r>
      <w:r>
        <w:rPr>
          <w:rFonts w:hint="default" w:ascii="宋体" w:cs="宋体"/>
          <w:kern w:val="0"/>
          <w:sz w:val="28"/>
          <w:szCs w:val="28"/>
          <w:lang w:val="en-US" w:eastAsia="zh-CN"/>
        </w:rPr>
        <w:t>全站室内照明全部选用LED照明灯具；在站区设钢杆投光灯供道路照明，采用感应光线和自动控制照明的开关</w:t>
      </w:r>
      <w:r>
        <w:rPr>
          <w:rFonts w:hint="eastAsia" w:ascii="宋体" w:cs="宋体"/>
          <w:kern w:val="0"/>
          <w:sz w:val="28"/>
          <w:szCs w:val="28"/>
          <w:lang w:val="en-US" w:eastAsia="zh-CN"/>
        </w:rPr>
        <w:t>，且符合园区总共智能照明系统要求</w:t>
      </w:r>
      <w:r>
        <w:rPr>
          <w:rFonts w:hint="default" w:ascii="宋体" w:cs="宋体"/>
          <w:kern w:val="0"/>
          <w:sz w:val="28"/>
          <w:szCs w:val="28"/>
          <w:lang w:val="en-US" w:eastAsia="zh-CN"/>
        </w:rPr>
        <w:t>。</w:t>
      </w:r>
    </w:p>
    <w:p>
      <w:pPr>
        <w:spacing w:line="360" w:lineRule="auto"/>
        <w:outlineLvl w:val="9"/>
        <w:rPr>
          <w:rFonts w:hint="default" w:ascii="宋体" w:cs="宋体"/>
          <w:kern w:val="0"/>
          <w:sz w:val="28"/>
          <w:szCs w:val="28"/>
          <w:lang w:val="en-US" w:eastAsia="zh-CN"/>
        </w:rPr>
      </w:pPr>
      <w:r>
        <w:rPr>
          <w:rFonts w:hint="eastAsia" w:ascii="宋体" w:cs="宋体"/>
          <w:kern w:val="0"/>
          <w:sz w:val="28"/>
          <w:szCs w:val="28"/>
          <w:lang w:val="en-US" w:eastAsia="zh-CN"/>
        </w:rPr>
        <w:t>10、</w:t>
      </w:r>
      <w:r>
        <w:rPr>
          <w:rFonts w:hint="default" w:ascii="宋体" w:cs="宋体"/>
          <w:kern w:val="0"/>
          <w:sz w:val="28"/>
          <w:szCs w:val="28"/>
          <w:lang w:val="en-US" w:eastAsia="zh-CN"/>
        </w:rPr>
        <w:t>配电装置室、二次设备室等房间设置应急备用照明。</w:t>
      </w:r>
    </w:p>
    <w:p>
      <w:pPr>
        <w:pStyle w:val="2"/>
        <w:rPr>
          <w:rFonts w:hint="default"/>
          <w:lang w:val="en-US" w:eastAsia="zh-CN"/>
        </w:rPr>
      </w:pPr>
    </w:p>
    <w:p>
      <w:pPr>
        <w:spacing w:line="360" w:lineRule="auto"/>
        <w:jc w:val="left"/>
        <w:outlineLvl w:val="1"/>
        <w:rPr>
          <w:rFonts w:hint="eastAsia"/>
          <w:b/>
          <w:bCs/>
          <w:color w:val="000000"/>
          <w:sz w:val="28"/>
          <w:szCs w:val="28"/>
          <w:lang w:val="en-US" w:eastAsia="zh-CN"/>
        </w:rPr>
      </w:pPr>
      <w:bookmarkStart w:id="210" w:name="_Toc5095"/>
      <w:r>
        <w:rPr>
          <w:rFonts w:hint="eastAsia"/>
          <w:b/>
          <w:bCs/>
          <w:color w:val="000000"/>
          <w:sz w:val="28"/>
          <w:szCs w:val="28"/>
          <w:lang w:val="en-US" w:eastAsia="zh-CN"/>
        </w:rPr>
        <w:t>3.5土建</w:t>
      </w:r>
      <w:bookmarkEnd w:id="210"/>
    </w:p>
    <w:p>
      <w:pPr>
        <w:spacing w:line="360" w:lineRule="auto"/>
        <w:jc w:val="left"/>
        <w:outlineLvl w:val="2"/>
        <w:rPr>
          <w:rFonts w:hint="eastAsia"/>
          <w:b/>
          <w:bCs/>
          <w:color w:val="000000"/>
          <w:sz w:val="28"/>
          <w:szCs w:val="28"/>
          <w:lang w:val="en-US" w:eastAsia="zh-CN"/>
        </w:rPr>
      </w:pPr>
      <w:bookmarkStart w:id="211" w:name="_Toc6797"/>
      <w:r>
        <w:rPr>
          <w:rFonts w:hint="eastAsia"/>
          <w:b/>
          <w:bCs/>
          <w:color w:val="000000"/>
          <w:sz w:val="28"/>
          <w:szCs w:val="28"/>
          <w:lang w:val="en-US" w:eastAsia="zh-CN"/>
        </w:rPr>
        <w:t>3.5.1概述</w:t>
      </w:r>
      <w:bookmarkEnd w:id="211"/>
    </w:p>
    <w:p>
      <w:pPr>
        <w:numPr>
          <w:ilvl w:val="0"/>
          <w:numId w:val="0"/>
        </w:numPr>
        <w:adjustRightInd w:val="0"/>
        <w:snapToGrid w:val="0"/>
        <w:spacing w:line="360" w:lineRule="auto"/>
        <w:ind w:leftChars="0"/>
        <w:jc w:val="left"/>
        <w:rPr>
          <w:rFonts w:hint="default"/>
          <w:color w:val="FF0000"/>
          <w:sz w:val="28"/>
          <w:szCs w:val="28"/>
          <w:lang w:val="en-US" w:eastAsia="zh-CN"/>
        </w:rPr>
      </w:pPr>
      <w:r>
        <w:rPr>
          <w:rFonts w:hint="eastAsia"/>
          <w:color w:val="FF0000"/>
          <w:sz w:val="28"/>
          <w:szCs w:val="28"/>
          <w:lang w:val="en-US" w:eastAsia="zh-CN"/>
        </w:rPr>
        <w:t>1、供电公司接入点到变电站内的外线、专用变电站围墙（含围墙）以内的所有设备基础及预埋件、场地硬化、基础处理、排水、消防、道路、照明的土建设计属于本合同设计范围；室内设计部分应参考原构建筑物的框架结构，应在结构内进行的土建设计包括但不限于隔墙、楼板、门窗孔洞、装饰装修等。</w:t>
      </w:r>
    </w:p>
    <w:p>
      <w:pPr>
        <w:numPr>
          <w:ilvl w:val="0"/>
          <w:numId w:val="0"/>
        </w:numPr>
        <w:adjustRightInd w:val="0"/>
        <w:snapToGrid w:val="0"/>
        <w:spacing w:line="360" w:lineRule="auto"/>
        <w:ind w:leftChars="0"/>
        <w:jc w:val="left"/>
        <w:rPr>
          <w:rFonts w:hint="eastAsia"/>
          <w:color w:val="FF0000"/>
          <w:sz w:val="28"/>
          <w:szCs w:val="28"/>
          <w:lang w:val="en-US" w:eastAsia="zh-CN"/>
        </w:rPr>
      </w:pPr>
      <w:r>
        <w:rPr>
          <w:rFonts w:hint="eastAsia"/>
          <w:color w:val="000000"/>
          <w:sz w:val="28"/>
          <w:szCs w:val="28"/>
          <w:lang w:val="en-US" w:eastAsia="zh-CN"/>
        </w:rPr>
        <w:t>2、专用变电站围墙以内的场地硬化、设施设备基础处理、给排水、消防、道路、照明、接地的土建属于本合同包，</w:t>
      </w:r>
      <w:r>
        <w:rPr>
          <w:rFonts w:hint="eastAsia"/>
          <w:color w:val="auto"/>
          <w:sz w:val="28"/>
          <w:szCs w:val="28"/>
          <w:lang w:val="en-US" w:eastAsia="zh-CN"/>
        </w:rPr>
        <w:t>变电站内的绿化不在本合同包内；</w:t>
      </w:r>
    </w:p>
    <w:p>
      <w:pPr>
        <w:numPr>
          <w:ilvl w:val="0"/>
          <w:numId w:val="0"/>
        </w:numPr>
        <w:adjustRightInd w:val="0"/>
        <w:snapToGrid w:val="0"/>
        <w:spacing w:line="360" w:lineRule="auto"/>
        <w:ind w:leftChars="0"/>
        <w:jc w:val="left"/>
        <w:rPr>
          <w:rFonts w:hint="eastAsia"/>
          <w:color w:val="auto"/>
          <w:sz w:val="28"/>
          <w:szCs w:val="28"/>
          <w:lang w:val="en-US" w:eastAsia="zh-CN"/>
        </w:rPr>
      </w:pPr>
      <w:r>
        <w:rPr>
          <w:rFonts w:hint="eastAsia"/>
          <w:color w:val="auto"/>
          <w:sz w:val="28"/>
          <w:szCs w:val="28"/>
          <w:lang w:val="en-US" w:eastAsia="zh-CN"/>
        </w:rPr>
        <w:t>3、站区道路及地坪建设标准应与主厂标准一致；</w:t>
      </w:r>
    </w:p>
    <w:p>
      <w:pPr>
        <w:pStyle w:val="2"/>
        <w:ind w:left="0" w:leftChars="0" w:firstLine="0" w:firstLineChars="0"/>
        <w:rPr>
          <w:rFonts w:hint="eastAsia"/>
          <w:color w:val="auto"/>
          <w:sz w:val="28"/>
          <w:szCs w:val="28"/>
          <w:lang w:val="en-US" w:eastAsia="zh-CN"/>
        </w:rPr>
      </w:pPr>
      <w:r>
        <w:rPr>
          <w:rFonts w:hint="eastAsia"/>
          <w:color w:val="auto"/>
          <w:sz w:val="28"/>
          <w:szCs w:val="28"/>
          <w:lang w:val="en-US" w:eastAsia="zh-CN"/>
        </w:rPr>
        <w:t>4、土建建筑结构设计框架应以园区土建变电站用房设计框架为基础进行设计，不允许改变其主体结构。</w:t>
      </w:r>
    </w:p>
    <w:p>
      <w:pPr>
        <w:pStyle w:val="2"/>
        <w:ind w:left="0" w:leftChars="0" w:firstLine="0" w:firstLineChars="0"/>
        <w:rPr>
          <w:rFonts w:hint="eastAsia"/>
          <w:color w:val="auto"/>
          <w:sz w:val="28"/>
          <w:szCs w:val="28"/>
          <w:lang w:val="en-US" w:eastAsia="zh-CN"/>
        </w:rPr>
      </w:pPr>
      <w:r>
        <w:rPr>
          <w:rFonts w:hint="eastAsia"/>
          <w:color w:val="auto"/>
          <w:sz w:val="28"/>
          <w:szCs w:val="28"/>
          <w:lang w:val="en-US" w:eastAsia="zh-CN"/>
        </w:rPr>
        <w:t>5、设计依据：</w:t>
      </w:r>
    </w:p>
    <w:p>
      <w:pPr>
        <w:pStyle w:val="2"/>
        <w:ind w:left="0" w:leftChars="0" w:firstLine="0" w:firstLineChars="0"/>
        <w:rPr>
          <w:rFonts w:hint="default"/>
          <w:color w:val="auto"/>
          <w:sz w:val="28"/>
          <w:szCs w:val="28"/>
          <w:lang w:val="en-US" w:eastAsia="zh-CN"/>
        </w:rPr>
      </w:pPr>
      <w:r>
        <w:rPr>
          <w:rFonts w:hint="default"/>
          <w:color w:val="auto"/>
          <w:sz w:val="28"/>
          <w:szCs w:val="28"/>
          <w:lang w:val="en-US" w:eastAsia="zh-CN"/>
        </w:rPr>
        <w:t xml:space="preserve">《建筑结构可靠度设计统一标准》GB50068-2018； </w:t>
      </w:r>
    </w:p>
    <w:p>
      <w:pPr>
        <w:pStyle w:val="2"/>
        <w:ind w:left="0" w:leftChars="0" w:firstLine="0" w:firstLineChars="0"/>
        <w:rPr>
          <w:rFonts w:hint="default"/>
          <w:color w:val="auto"/>
          <w:sz w:val="28"/>
          <w:szCs w:val="28"/>
          <w:lang w:val="en-US" w:eastAsia="zh-CN"/>
        </w:rPr>
      </w:pPr>
      <w:r>
        <w:rPr>
          <w:rFonts w:hint="default"/>
          <w:color w:val="auto"/>
          <w:sz w:val="28"/>
          <w:szCs w:val="28"/>
          <w:lang w:val="en-US" w:eastAsia="zh-CN"/>
        </w:rPr>
        <w:t>《建筑工程抗震设防分类标准》GB50223-2008；</w:t>
      </w:r>
    </w:p>
    <w:p>
      <w:pPr>
        <w:pStyle w:val="2"/>
        <w:ind w:left="0" w:leftChars="0" w:firstLine="0" w:firstLineChars="0"/>
        <w:rPr>
          <w:rFonts w:hint="default"/>
          <w:color w:val="auto"/>
          <w:sz w:val="28"/>
          <w:szCs w:val="28"/>
          <w:lang w:val="en-US" w:eastAsia="zh-CN"/>
        </w:rPr>
      </w:pPr>
      <w:r>
        <w:rPr>
          <w:rFonts w:hint="default"/>
          <w:color w:val="auto"/>
          <w:sz w:val="28"/>
          <w:szCs w:val="28"/>
          <w:lang w:val="en-US" w:eastAsia="zh-CN"/>
        </w:rPr>
        <w:t>《建筑结构荷载规范》GB50009-2012；</w:t>
      </w:r>
    </w:p>
    <w:p>
      <w:pPr>
        <w:pStyle w:val="2"/>
        <w:ind w:left="0" w:leftChars="0" w:firstLine="0" w:firstLineChars="0"/>
        <w:rPr>
          <w:rFonts w:hint="default"/>
          <w:color w:val="auto"/>
          <w:sz w:val="28"/>
          <w:szCs w:val="28"/>
          <w:lang w:val="en-US" w:eastAsia="zh-CN"/>
        </w:rPr>
      </w:pPr>
      <w:r>
        <w:rPr>
          <w:rFonts w:hint="default"/>
          <w:color w:val="auto"/>
          <w:sz w:val="28"/>
          <w:szCs w:val="28"/>
          <w:lang w:val="en-US" w:eastAsia="zh-CN"/>
        </w:rPr>
        <w:t>《混凝土结构设计规范》GB50010-2010(2015 年版)；</w:t>
      </w:r>
    </w:p>
    <w:p>
      <w:pPr>
        <w:pStyle w:val="2"/>
        <w:ind w:left="0" w:leftChars="0" w:firstLine="0" w:firstLineChars="0"/>
        <w:rPr>
          <w:rFonts w:hint="default"/>
          <w:color w:val="auto"/>
          <w:sz w:val="28"/>
          <w:szCs w:val="28"/>
          <w:lang w:val="en-US" w:eastAsia="zh-CN"/>
        </w:rPr>
      </w:pPr>
      <w:r>
        <w:rPr>
          <w:rFonts w:hint="default"/>
          <w:color w:val="auto"/>
          <w:sz w:val="28"/>
          <w:szCs w:val="28"/>
          <w:lang w:val="en-US" w:eastAsia="zh-CN"/>
        </w:rPr>
        <w:t>《建筑抗震设计规范》GB50011-2010(2016 年版)；</w:t>
      </w:r>
    </w:p>
    <w:p>
      <w:pPr>
        <w:pStyle w:val="2"/>
        <w:ind w:left="0" w:leftChars="0" w:firstLine="0" w:firstLineChars="0"/>
        <w:rPr>
          <w:rFonts w:hint="default"/>
          <w:color w:val="auto"/>
          <w:sz w:val="28"/>
          <w:szCs w:val="28"/>
          <w:lang w:val="en-US" w:eastAsia="zh-CN"/>
        </w:rPr>
      </w:pPr>
      <w:r>
        <w:rPr>
          <w:rFonts w:hint="default"/>
          <w:color w:val="auto"/>
          <w:sz w:val="28"/>
          <w:szCs w:val="28"/>
          <w:lang w:val="en-US" w:eastAsia="zh-CN"/>
        </w:rPr>
        <w:t xml:space="preserve">《高层建筑混凝土结构技术规程》JGJ3-2010； </w:t>
      </w:r>
    </w:p>
    <w:p>
      <w:pPr>
        <w:pStyle w:val="2"/>
        <w:ind w:left="0" w:leftChars="0" w:firstLine="0" w:firstLineChars="0"/>
        <w:rPr>
          <w:rFonts w:hint="default"/>
          <w:color w:val="auto"/>
          <w:sz w:val="28"/>
          <w:szCs w:val="28"/>
          <w:lang w:val="en-US" w:eastAsia="zh-CN"/>
        </w:rPr>
      </w:pPr>
      <w:r>
        <w:rPr>
          <w:rFonts w:hint="default"/>
          <w:color w:val="auto"/>
          <w:sz w:val="28"/>
          <w:szCs w:val="28"/>
          <w:lang w:val="en-US" w:eastAsia="zh-CN"/>
        </w:rPr>
        <w:t>《建筑地基基础设计规范》GB50007-2011；</w:t>
      </w:r>
    </w:p>
    <w:p>
      <w:pPr>
        <w:pStyle w:val="2"/>
        <w:ind w:left="0" w:leftChars="0" w:firstLine="0" w:firstLineChars="0"/>
        <w:rPr>
          <w:rFonts w:hint="default"/>
          <w:color w:val="auto"/>
          <w:sz w:val="28"/>
          <w:szCs w:val="28"/>
          <w:lang w:val="en-US" w:eastAsia="zh-CN"/>
        </w:rPr>
      </w:pPr>
      <w:r>
        <w:rPr>
          <w:rFonts w:hint="default"/>
          <w:color w:val="auto"/>
          <w:sz w:val="28"/>
          <w:szCs w:val="28"/>
          <w:lang w:val="en-US" w:eastAsia="zh-CN"/>
        </w:rPr>
        <w:t>《建筑桩基技术规范》JGJ94-2008；</w:t>
      </w:r>
    </w:p>
    <w:p>
      <w:pPr>
        <w:pStyle w:val="2"/>
        <w:ind w:left="0" w:leftChars="0" w:firstLine="0" w:firstLineChars="0"/>
        <w:rPr>
          <w:rFonts w:hint="default"/>
          <w:color w:val="auto"/>
          <w:sz w:val="28"/>
          <w:szCs w:val="28"/>
          <w:lang w:val="en-US" w:eastAsia="zh-CN"/>
        </w:rPr>
      </w:pPr>
      <w:r>
        <w:rPr>
          <w:rFonts w:hint="default"/>
          <w:color w:val="auto"/>
          <w:sz w:val="28"/>
          <w:szCs w:val="28"/>
          <w:lang w:val="en-US" w:eastAsia="zh-CN"/>
        </w:rPr>
        <w:t>《地下工程防水技术规范》GB50108-2008；</w:t>
      </w:r>
    </w:p>
    <w:p>
      <w:pPr>
        <w:pStyle w:val="2"/>
        <w:ind w:left="0" w:leftChars="0" w:firstLine="0" w:firstLineChars="0"/>
        <w:rPr>
          <w:rFonts w:hint="default"/>
          <w:color w:val="auto"/>
          <w:sz w:val="28"/>
          <w:szCs w:val="28"/>
          <w:lang w:val="en-US" w:eastAsia="zh-CN"/>
        </w:rPr>
      </w:pPr>
      <w:r>
        <w:rPr>
          <w:rFonts w:hint="default"/>
          <w:color w:val="auto"/>
          <w:sz w:val="28"/>
          <w:szCs w:val="28"/>
          <w:lang w:val="en-US" w:eastAsia="zh-CN"/>
        </w:rPr>
        <w:t>《旋挖成孔灌注桩工程技术规程》DBJ50-156-2012；</w:t>
      </w:r>
    </w:p>
    <w:p>
      <w:pPr>
        <w:pStyle w:val="2"/>
        <w:ind w:left="0" w:leftChars="0" w:firstLine="0" w:firstLineChars="0"/>
        <w:rPr>
          <w:rFonts w:hint="default"/>
          <w:color w:val="auto"/>
          <w:sz w:val="28"/>
          <w:szCs w:val="28"/>
          <w:lang w:val="en-US" w:eastAsia="zh-CN"/>
        </w:rPr>
      </w:pPr>
      <w:r>
        <w:rPr>
          <w:rFonts w:hint="default"/>
          <w:color w:val="auto"/>
          <w:sz w:val="28"/>
          <w:szCs w:val="28"/>
          <w:lang w:val="en-US" w:eastAsia="zh-CN"/>
        </w:rPr>
        <w:t>《建筑桩基础设计与施工验收规范》DBJ50-200-2014。</w:t>
      </w:r>
    </w:p>
    <w:p>
      <w:pPr>
        <w:spacing w:line="360" w:lineRule="auto"/>
        <w:jc w:val="left"/>
        <w:outlineLvl w:val="2"/>
        <w:rPr>
          <w:rFonts w:hint="eastAsia"/>
          <w:b/>
          <w:bCs/>
          <w:color w:val="000000"/>
          <w:sz w:val="28"/>
          <w:szCs w:val="28"/>
          <w:lang w:val="en-US" w:eastAsia="zh-CN"/>
        </w:rPr>
      </w:pPr>
      <w:bookmarkStart w:id="212" w:name="_Toc31608"/>
      <w:r>
        <w:rPr>
          <w:rFonts w:hint="eastAsia"/>
          <w:b/>
          <w:bCs/>
          <w:color w:val="000000"/>
          <w:sz w:val="28"/>
          <w:szCs w:val="28"/>
          <w:lang w:val="en-US" w:eastAsia="zh-CN"/>
        </w:rPr>
        <w:t>3.5.2土建设计主要要求</w:t>
      </w:r>
      <w:bookmarkEnd w:id="212"/>
    </w:p>
    <w:p>
      <w:pPr>
        <w:numPr>
          <w:ilvl w:val="0"/>
          <w:numId w:val="54"/>
        </w:numPr>
        <w:adjustRightInd w:val="0"/>
        <w:snapToGrid w:val="0"/>
        <w:spacing w:line="360" w:lineRule="auto"/>
        <w:ind w:leftChars="0"/>
        <w:jc w:val="left"/>
        <w:rPr>
          <w:rFonts w:hint="eastAsia"/>
          <w:color w:val="000000"/>
          <w:sz w:val="28"/>
          <w:szCs w:val="28"/>
          <w:lang w:val="en-US" w:eastAsia="zh-CN"/>
        </w:rPr>
      </w:pPr>
      <w:r>
        <w:rPr>
          <w:rFonts w:hint="eastAsia"/>
          <w:color w:val="000000"/>
          <w:sz w:val="28"/>
          <w:szCs w:val="28"/>
          <w:lang w:val="en-US" w:eastAsia="zh-CN"/>
        </w:rPr>
        <w:t>土建设计应符合现行国家标准《混凝土结构设计规范》GB 5001和《钢结构设计规范》GB 50017 的有关规定。</w:t>
      </w:r>
    </w:p>
    <w:p>
      <w:pPr>
        <w:numPr>
          <w:ilvl w:val="0"/>
          <w:numId w:val="54"/>
        </w:numPr>
        <w:adjustRightInd w:val="0"/>
        <w:snapToGrid w:val="0"/>
        <w:spacing w:line="360" w:lineRule="auto"/>
        <w:ind w:leftChars="0"/>
        <w:jc w:val="left"/>
        <w:rPr>
          <w:rFonts w:hint="eastAsia"/>
          <w:color w:val="000000"/>
          <w:sz w:val="28"/>
          <w:szCs w:val="28"/>
          <w:lang w:val="en-US" w:eastAsia="zh-CN"/>
        </w:rPr>
      </w:pPr>
      <w:r>
        <w:rPr>
          <w:rFonts w:hint="eastAsia"/>
          <w:color w:val="000000"/>
          <w:sz w:val="28"/>
          <w:szCs w:val="28"/>
          <w:lang w:val="en-US" w:eastAsia="zh-CN"/>
        </w:rPr>
        <w:t>土建布置要求按下图设计：</w:t>
      </w:r>
    </w:p>
    <w:p>
      <w:pPr>
        <w:numPr>
          <w:ilvl w:val="0"/>
          <w:numId w:val="0"/>
        </w:numPr>
        <w:adjustRightInd w:val="0"/>
        <w:snapToGrid w:val="0"/>
        <w:spacing w:line="360" w:lineRule="auto"/>
        <w:jc w:val="left"/>
      </w:pPr>
      <w:r>
        <w:drawing>
          <wp:inline distT="0" distB="0" distL="114300" distR="114300">
            <wp:extent cx="5755005" cy="4559935"/>
            <wp:effectExtent l="0" t="0" r="17145" b="12065"/>
            <wp:docPr id="2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4"/>
                    <pic:cNvPicPr>
                      <a:picLocks noChangeAspect="1"/>
                    </pic:cNvPicPr>
                  </pic:nvPicPr>
                  <pic:blipFill>
                    <a:blip r:embed="rId26"/>
                    <a:stretch>
                      <a:fillRect/>
                    </a:stretch>
                  </pic:blipFill>
                  <pic:spPr>
                    <a:xfrm>
                      <a:off x="0" y="0"/>
                      <a:ext cx="5755005" cy="4559935"/>
                    </a:xfrm>
                    <a:prstGeom prst="rect">
                      <a:avLst/>
                    </a:prstGeom>
                    <a:noFill/>
                    <a:ln>
                      <a:noFill/>
                    </a:ln>
                  </pic:spPr>
                </pic:pic>
              </a:graphicData>
            </a:graphic>
          </wp:inline>
        </w:drawing>
      </w:r>
    </w:p>
    <w:p>
      <w:pPr>
        <w:numPr>
          <w:ilvl w:val="0"/>
          <w:numId w:val="0"/>
        </w:numPr>
        <w:adjustRightInd w:val="0"/>
        <w:snapToGrid w:val="0"/>
        <w:spacing w:line="360" w:lineRule="auto"/>
        <w:jc w:val="left"/>
      </w:pPr>
      <w:r>
        <w:drawing>
          <wp:inline distT="0" distB="0" distL="114300" distR="114300">
            <wp:extent cx="5758180" cy="2640330"/>
            <wp:effectExtent l="0" t="0" r="13970" b="7620"/>
            <wp:docPr id="2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5"/>
                    <pic:cNvPicPr>
                      <a:picLocks noChangeAspect="1"/>
                    </pic:cNvPicPr>
                  </pic:nvPicPr>
                  <pic:blipFill>
                    <a:blip r:embed="rId27"/>
                    <a:stretch>
                      <a:fillRect/>
                    </a:stretch>
                  </pic:blipFill>
                  <pic:spPr>
                    <a:xfrm>
                      <a:off x="0" y="0"/>
                      <a:ext cx="5758180" cy="2640330"/>
                    </a:xfrm>
                    <a:prstGeom prst="rect">
                      <a:avLst/>
                    </a:prstGeom>
                    <a:noFill/>
                    <a:ln>
                      <a:noFill/>
                    </a:ln>
                  </pic:spPr>
                </pic:pic>
              </a:graphicData>
            </a:graphic>
          </wp:inline>
        </w:drawing>
      </w:r>
    </w:p>
    <w:p>
      <w:pPr>
        <w:numPr>
          <w:ilvl w:val="0"/>
          <w:numId w:val="0"/>
        </w:numPr>
        <w:adjustRightInd w:val="0"/>
        <w:snapToGrid w:val="0"/>
        <w:spacing w:line="360" w:lineRule="auto"/>
        <w:jc w:val="left"/>
      </w:pPr>
      <w:r>
        <w:drawing>
          <wp:inline distT="0" distB="0" distL="114300" distR="114300">
            <wp:extent cx="5757545" cy="3690620"/>
            <wp:effectExtent l="0" t="0" r="14605" b="5080"/>
            <wp:docPr id="2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8"/>
                    <pic:cNvPicPr>
                      <a:picLocks noChangeAspect="1"/>
                    </pic:cNvPicPr>
                  </pic:nvPicPr>
                  <pic:blipFill>
                    <a:blip r:embed="rId28"/>
                    <a:stretch>
                      <a:fillRect/>
                    </a:stretch>
                  </pic:blipFill>
                  <pic:spPr>
                    <a:xfrm>
                      <a:off x="0" y="0"/>
                      <a:ext cx="5757545" cy="3690620"/>
                    </a:xfrm>
                    <a:prstGeom prst="rect">
                      <a:avLst/>
                    </a:prstGeom>
                    <a:noFill/>
                    <a:ln>
                      <a:noFill/>
                    </a:ln>
                  </pic:spPr>
                </pic:pic>
              </a:graphicData>
            </a:graphic>
          </wp:inline>
        </w:drawing>
      </w:r>
    </w:p>
    <w:p>
      <w:pPr>
        <w:numPr>
          <w:ilvl w:val="0"/>
          <w:numId w:val="0"/>
        </w:numPr>
        <w:adjustRightInd w:val="0"/>
        <w:snapToGrid w:val="0"/>
        <w:spacing w:line="360" w:lineRule="auto"/>
        <w:jc w:val="left"/>
      </w:pPr>
    </w:p>
    <w:p>
      <w:pPr>
        <w:numPr>
          <w:ilvl w:val="0"/>
          <w:numId w:val="0"/>
        </w:numPr>
        <w:adjustRightInd w:val="0"/>
        <w:snapToGrid w:val="0"/>
        <w:spacing w:line="360" w:lineRule="auto"/>
        <w:jc w:val="left"/>
      </w:pPr>
    </w:p>
    <w:p>
      <w:pPr>
        <w:numPr>
          <w:ilvl w:val="0"/>
          <w:numId w:val="0"/>
        </w:numPr>
        <w:adjustRightInd w:val="0"/>
        <w:snapToGrid w:val="0"/>
        <w:spacing w:line="360" w:lineRule="auto"/>
        <w:jc w:val="left"/>
      </w:pPr>
    </w:p>
    <w:p>
      <w:pPr>
        <w:numPr>
          <w:ilvl w:val="0"/>
          <w:numId w:val="0"/>
        </w:numPr>
        <w:adjustRightInd w:val="0"/>
        <w:snapToGrid w:val="0"/>
        <w:spacing w:line="360" w:lineRule="auto"/>
        <w:jc w:val="left"/>
      </w:pPr>
    </w:p>
    <w:p>
      <w:pPr>
        <w:numPr>
          <w:ilvl w:val="0"/>
          <w:numId w:val="0"/>
        </w:numPr>
        <w:adjustRightInd w:val="0"/>
        <w:snapToGrid w:val="0"/>
        <w:spacing w:line="360" w:lineRule="auto"/>
        <w:jc w:val="left"/>
      </w:pPr>
    </w:p>
    <w:p>
      <w:pPr>
        <w:numPr>
          <w:ilvl w:val="0"/>
          <w:numId w:val="0"/>
        </w:numPr>
        <w:adjustRightInd w:val="0"/>
        <w:snapToGrid w:val="0"/>
        <w:spacing w:line="360" w:lineRule="auto"/>
        <w:jc w:val="left"/>
      </w:pPr>
    </w:p>
    <w:p>
      <w:pPr>
        <w:numPr>
          <w:ilvl w:val="0"/>
          <w:numId w:val="0"/>
        </w:numPr>
        <w:adjustRightInd w:val="0"/>
        <w:snapToGrid w:val="0"/>
        <w:spacing w:line="360" w:lineRule="auto"/>
        <w:jc w:val="left"/>
      </w:pPr>
    </w:p>
    <w:p>
      <w:pPr>
        <w:numPr>
          <w:ilvl w:val="0"/>
          <w:numId w:val="0"/>
        </w:numPr>
        <w:adjustRightInd w:val="0"/>
        <w:snapToGrid w:val="0"/>
        <w:spacing w:line="360" w:lineRule="auto"/>
        <w:jc w:val="left"/>
      </w:pPr>
    </w:p>
    <w:p>
      <w:pPr>
        <w:numPr>
          <w:ilvl w:val="0"/>
          <w:numId w:val="0"/>
        </w:numPr>
        <w:adjustRightInd w:val="0"/>
        <w:snapToGrid w:val="0"/>
        <w:spacing w:line="360" w:lineRule="auto"/>
        <w:jc w:val="left"/>
      </w:pPr>
    </w:p>
    <w:p>
      <w:pPr>
        <w:numPr>
          <w:ilvl w:val="0"/>
          <w:numId w:val="0"/>
        </w:numPr>
        <w:adjustRightInd w:val="0"/>
        <w:snapToGrid w:val="0"/>
        <w:spacing w:line="360" w:lineRule="auto"/>
        <w:jc w:val="left"/>
      </w:pPr>
    </w:p>
    <w:p>
      <w:pPr>
        <w:numPr>
          <w:ilvl w:val="0"/>
          <w:numId w:val="0"/>
        </w:numPr>
        <w:adjustRightInd w:val="0"/>
        <w:snapToGrid w:val="0"/>
        <w:spacing w:line="360" w:lineRule="auto"/>
        <w:jc w:val="left"/>
      </w:pPr>
    </w:p>
    <w:p>
      <w:pPr>
        <w:numPr>
          <w:ilvl w:val="0"/>
          <w:numId w:val="0"/>
        </w:numPr>
        <w:adjustRightInd w:val="0"/>
        <w:snapToGrid w:val="0"/>
        <w:spacing w:line="360" w:lineRule="auto"/>
        <w:jc w:val="left"/>
      </w:pPr>
      <w:r>
        <w:drawing>
          <wp:inline distT="0" distB="0" distL="114300" distR="114300">
            <wp:extent cx="5755005" cy="4323715"/>
            <wp:effectExtent l="0" t="0" r="17145" b="635"/>
            <wp:docPr id="2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9"/>
                    <pic:cNvPicPr>
                      <a:picLocks noChangeAspect="1"/>
                    </pic:cNvPicPr>
                  </pic:nvPicPr>
                  <pic:blipFill>
                    <a:blip r:embed="rId29"/>
                    <a:stretch>
                      <a:fillRect/>
                    </a:stretch>
                  </pic:blipFill>
                  <pic:spPr>
                    <a:xfrm>
                      <a:off x="0" y="0"/>
                      <a:ext cx="5755005" cy="4323715"/>
                    </a:xfrm>
                    <a:prstGeom prst="rect">
                      <a:avLst/>
                    </a:prstGeom>
                    <a:noFill/>
                    <a:ln>
                      <a:noFill/>
                    </a:ln>
                  </pic:spPr>
                </pic:pic>
              </a:graphicData>
            </a:graphic>
          </wp:inline>
        </w:drawing>
      </w:r>
    </w:p>
    <w:p>
      <w:pPr>
        <w:numPr>
          <w:ilvl w:val="0"/>
          <w:numId w:val="0"/>
        </w:numPr>
        <w:adjustRightInd w:val="0"/>
        <w:snapToGrid w:val="0"/>
        <w:spacing w:line="360" w:lineRule="auto"/>
        <w:jc w:val="left"/>
        <w:rPr>
          <w:rFonts w:hint="eastAsia"/>
          <w:lang w:val="en-US" w:eastAsia="zh-CN"/>
        </w:rPr>
      </w:pPr>
    </w:p>
    <w:p>
      <w:pPr>
        <w:numPr>
          <w:ilvl w:val="0"/>
          <w:numId w:val="54"/>
        </w:numPr>
        <w:adjustRightInd w:val="0"/>
        <w:snapToGrid w:val="0"/>
        <w:spacing w:line="360" w:lineRule="auto"/>
        <w:ind w:leftChars="0"/>
        <w:jc w:val="left"/>
        <w:rPr>
          <w:rFonts w:hint="eastAsia"/>
          <w:color w:val="000000"/>
          <w:sz w:val="28"/>
          <w:szCs w:val="28"/>
          <w:lang w:val="en-US" w:eastAsia="zh-CN"/>
        </w:rPr>
      </w:pPr>
      <w:r>
        <w:rPr>
          <w:rFonts w:hint="eastAsia"/>
          <w:color w:val="000000"/>
          <w:sz w:val="28"/>
          <w:szCs w:val="28"/>
          <w:lang w:val="en-US" w:eastAsia="zh-CN"/>
        </w:rPr>
        <w:t>建筑物、构筑物及有关设施的设计，应统一规划、造型协调、整齐。</w:t>
      </w:r>
    </w:p>
    <w:p>
      <w:pPr>
        <w:numPr>
          <w:ilvl w:val="0"/>
          <w:numId w:val="54"/>
        </w:numPr>
        <w:adjustRightInd w:val="0"/>
        <w:snapToGrid w:val="0"/>
        <w:spacing w:line="360" w:lineRule="auto"/>
        <w:ind w:leftChars="0"/>
        <w:jc w:val="left"/>
        <w:rPr>
          <w:rFonts w:hint="eastAsia"/>
          <w:color w:val="000000"/>
          <w:sz w:val="28"/>
          <w:szCs w:val="28"/>
          <w:lang w:val="en-US" w:eastAsia="zh-CN"/>
        </w:rPr>
      </w:pPr>
      <w:r>
        <w:rPr>
          <w:rFonts w:hint="eastAsia"/>
          <w:color w:val="000000"/>
          <w:sz w:val="28"/>
          <w:szCs w:val="28"/>
          <w:lang w:val="en-US" w:eastAsia="zh-CN"/>
        </w:rPr>
        <w:t>体性好，并应便于生产及生活，所选择的结构的类型及材料品种应合理并简化。</w:t>
      </w:r>
    </w:p>
    <w:p>
      <w:pPr>
        <w:numPr>
          <w:ilvl w:val="0"/>
          <w:numId w:val="54"/>
        </w:numPr>
        <w:adjustRightInd w:val="0"/>
        <w:snapToGrid w:val="0"/>
        <w:spacing w:line="360" w:lineRule="auto"/>
        <w:ind w:left="0" w:leftChars="0" w:firstLine="0" w:firstLineChars="0"/>
        <w:jc w:val="left"/>
        <w:rPr>
          <w:rFonts w:hint="eastAsia"/>
          <w:color w:val="000000"/>
          <w:sz w:val="28"/>
          <w:szCs w:val="28"/>
          <w:lang w:val="en-US" w:eastAsia="zh-CN"/>
        </w:rPr>
      </w:pPr>
      <w:r>
        <w:rPr>
          <w:rFonts w:hint="eastAsia"/>
          <w:color w:val="000000"/>
          <w:sz w:val="28"/>
          <w:szCs w:val="28"/>
          <w:lang w:val="en-US" w:eastAsia="zh-CN"/>
        </w:rPr>
        <w:t>建筑物、构筑物的安全等级均不应低于二级，相应的结构重要性数不应小于1.0。</w:t>
      </w:r>
    </w:p>
    <w:p>
      <w:pPr>
        <w:numPr>
          <w:ilvl w:val="0"/>
          <w:numId w:val="54"/>
        </w:numPr>
        <w:adjustRightInd w:val="0"/>
        <w:snapToGrid w:val="0"/>
        <w:spacing w:line="360" w:lineRule="auto"/>
        <w:ind w:left="0" w:leftChars="0" w:firstLine="0" w:firstLineChars="0"/>
        <w:jc w:val="left"/>
        <w:rPr>
          <w:rFonts w:hint="eastAsia"/>
          <w:color w:val="000000"/>
          <w:sz w:val="28"/>
          <w:szCs w:val="28"/>
          <w:lang w:val="en-US" w:eastAsia="zh-CN"/>
        </w:rPr>
      </w:pPr>
      <w:r>
        <w:rPr>
          <w:rFonts w:hint="eastAsia"/>
          <w:color w:val="000000"/>
          <w:sz w:val="28"/>
          <w:szCs w:val="28"/>
          <w:lang w:val="en-US" w:eastAsia="zh-CN"/>
        </w:rPr>
        <w:t>架构、支架及其他构筑物的基础，当验算上拔或倾覆稳定时，荷载效应应按承载能力极限状态下荷载效应的基本组合，分项系数均应为1.0。</w:t>
      </w:r>
    </w:p>
    <w:p>
      <w:pPr>
        <w:numPr>
          <w:ilvl w:val="0"/>
          <w:numId w:val="54"/>
        </w:numPr>
        <w:adjustRightInd w:val="0"/>
        <w:snapToGrid w:val="0"/>
        <w:spacing w:line="360" w:lineRule="auto"/>
        <w:ind w:left="0" w:leftChars="0" w:firstLine="0" w:firstLineChars="0"/>
        <w:jc w:val="left"/>
        <w:rPr>
          <w:rFonts w:hint="eastAsia"/>
          <w:color w:val="000000"/>
          <w:sz w:val="28"/>
          <w:szCs w:val="28"/>
          <w:lang w:val="en-US" w:eastAsia="zh-CN"/>
        </w:rPr>
      </w:pPr>
      <w:r>
        <w:rPr>
          <w:rFonts w:hint="eastAsia"/>
          <w:color w:val="000000"/>
          <w:sz w:val="28"/>
          <w:szCs w:val="28"/>
          <w:lang w:val="en-US" w:eastAsia="zh-CN"/>
        </w:rPr>
        <w:t>控制楼（室）可根据规模和需要布置成单层或多层建筑。控制室（含继电器室）的净高宜采用3.0m。电缆夹层的净高宜采用20m-2.4m；</w:t>
      </w:r>
    </w:p>
    <w:p>
      <w:pPr>
        <w:numPr>
          <w:ilvl w:val="0"/>
          <w:numId w:val="54"/>
        </w:numPr>
        <w:adjustRightInd w:val="0"/>
        <w:snapToGrid w:val="0"/>
        <w:spacing w:line="360" w:lineRule="auto"/>
        <w:ind w:left="0" w:leftChars="0" w:firstLine="0" w:firstLineChars="0"/>
        <w:jc w:val="left"/>
        <w:rPr>
          <w:rFonts w:hint="eastAsia"/>
          <w:color w:val="000000"/>
          <w:sz w:val="28"/>
          <w:szCs w:val="28"/>
          <w:lang w:val="en-US" w:eastAsia="zh-CN"/>
        </w:rPr>
      </w:pPr>
      <w:r>
        <w:rPr>
          <w:rFonts w:hint="eastAsia"/>
          <w:color w:val="000000"/>
          <w:sz w:val="28"/>
          <w:szCs w:val="28"/>
          <w:lang w:val="en-US" w:eastAsia="zh-CN"/>
        </w:rPr>
        <w:t>辅助生产房屋的净高宜采用2.7m-3.0m。</w:t>
      </w:r>
    </w:p>
    <w:p>
      <w:pPr>
        <w:numPr>
          <w:ilvl w:val="0"/>
          <w:numId w:val="54"/>
        </w:numPr>
        <w:adjustRightInd w:val="0"/>
        <w:snapToGrid w:val="0"/>
        <w:spacing w:line="360" w:lineRule="auto"/>
        <w:ind w:left="0" w:leftChars="0" w:firstLine="0" w:firstLineChars="0"/>
        <w:jc w:val="left"/>
        <w:rPr>
          <w:rFonts w:hint="eastAsia"/>
          <w:color w:val="000000"/>
          <w:sz w:val="28"/>
          <w:szCs w:val="28"/>
          <w:lang w:val="en-US" w:eastAsia="zh-CN"/>
        </w:rPr>
      </w:pPr>
      <w:r>
        <w:rPr>
          <w:rFonts w:hint="eastAsia"/>
          <w:color w:val="000000"/>
          <w:sz w:val="28"/>
          <w:szCs w:val="28"/>
          <w:lang w:val="en-US" w:eastAsia="zh-CN"/>
        </w:rPr>
        <w:t>控制室宜具备良好的朝向，屏位布置及照明设计应避免表盘的眩光。</w:t>
      </w:r>
    </w:p>
    <w:p>
      <w:pPr>
        <w:numPr>
          <w:ilvl w:val="0"/>
          <w:numId w:val="54"/>
        </w:numPr>
        <w:adjustRightInd w:val="0"/>
        <w:snapToGrid w:val="0"/>
        <w:spacing w:line="360" w:lineRule="auto"/>
        <w:ind w:left="0" w:leftChars="0" w:firstLine="0" w:firstLineChars="0"/>
        <w:jc w:val="left"/>
        <w:rPr>
          <w:rFonts w:hint="eastAsia"/>
          <w:color w:val="000000"/>
          <w:sz w:val="28"/>
          <w:szCs w:val="28"/>
          <w:lang w:val="en-US" w:eastAsia="zh-CN"/>
        </w:rPr>
      </w:pPr>
      <w:r>
        <w:rPr>
          <w:rFonts w:hint="eastAsia"/>
          <w:color w:val="000000"/>
          <w:sz w:val="28"/>
          <w:szCs w:val="28"/>
          <w:lang w:val="en-US" w:eastAsia="zh-CN"/>
        </w:rPr>
        <w:t>屋面防水应根据建筑物的性质、重要程度、使用功能要求采取相应的防水等级。主控制楼及屋内配电装置楼等设有重要电气设备的建筑，屋面防水应采用Ⅱ级，其余宜采用Ⅲ级。屋面排水宜采用有组织排水，结构找坡，坡度不应小于3%。</w:t>
      </w:r>
    </w:p>
    <w:p>
      <w:pPr>
        <w:numPr>
          <w:ilvl w:val="0"/>
          <w:numId w:val="54"/>
        </w:numPr>
        <w:adjustRightInd w:val="0"/>
        <w:snapToGrid w:val="0"/>
        <w:spacing w:line="360" w:lineRule="auto"/>
        <w:ind w:left="0" w:leftChars="0" w:firstLine="0" w:firstLineChars="0"/>
        <w:jc w:val="left"/>
        <w:rPr>
          <w:rFonts w:hint="eastAsia"/>
          <w:color w:val="000000"/>
          <w:sz w:val="28"/>
          <w:szCs w:val="28"/>
          <w:lang w:val="en-US" w:eastAsia="zh-CN"/>
        </w:rPr>
      </w:pPr>
      <w:r>
        <w:rPr>
          <w:rFonts w:hint="eastAsia"/>
          <w:color w:val="000000"/>
          <w:sz w:val="28"/>
          <w:szCs w:val="28"/>
          <w:lang w:val="en-US" w:eastAsia="zh-CN"/>
        </w:rPr>
        <w:t xml:space="preserve"> 控制室等对防尘有较高要求的房间，地坪应采用不起尘的材料并应由工艺专业根据工程的具体情况确定是否设置屏蔽措施。</w:t>
      </w:r>
    </w:p>
    <w:p>
      <w:pPr>
        <w:numPr>
          <w:ilvl w:val="0"/>
          <w:numId w:val="54"/>
        </w:numPr>
        <w:adjustRightInd w:val="0"/>
        <w:snapToGrid w:val="0"/>
        <w:spacing w:line="360" w:lineRule="auto"/>
        <w:ind w:left="0" w:leftChars="0" w:firstLine="0" w:firstLineChars="0"/>
        <w:jc w:val="left"/>
        <w:rPr>
          <w:rFonts w:hint="eastAsia"/>
          <w:color w:val="000000"/>
          <w:sz w:val="28"/>
          <w:szCs w:val="28"/>
          <w:lang w:val="en-US" w:eastAsia="zh-CN"/>
        </w:rPr>
      </w:pPr>
      <w:r>
        <w:rPr>
          <w:rFonts w:hint="eastAsia"/>
          <w:color w:val="000000"/>
          <w:sz w:val="28"/>
          <w:szCs w:val="28"/>
          <w:lang w:val="en-US" w:eastAsia="zh-CN"/>
        </w:rPr>
        <w:t>屋外架构、设备支架等构筑物应根据变电站的电压等级、规模、施工及运行条件、制作水平、运输条件，以及当地的气候条件选择合适的结构类型，其外形应做到相互协调。</w:t>
      </w:r>
    </w:p>
    <w:p>
      <w:pPr>
        <w:numPr>
          <w:ilvl w:val="0"/>
          <w:numId w:val="54"/>
        </w:numPr>
        <w:adjustRightInd w:val="0"/>
        <w:snapToGrid w:val="0"/>
        <w:spacing w:line="360" w:lineRule="auto"/>
        <w:ind w:left="0" w:leftChars="0" w:firstLine="0" w:firstLineChars="0"/>
        <w:jc w:val="left"/>
        <w:rPr>
          <w:rFonts w:hint="eastAsia"/>
          <w:color w:val="000000"/>
          <w:sz w:val="28"/>
          <w:szCs w:val="28"/>
          <w:lang w:val="en-US" w:eastAsia="zh-CN"/>
        </w:rPr>
      </w:pPr>
      <w:r>
        <w:rPr>
          <w:rFonts w:hint="eastAsia"/>
          <w:color w:val="000000"/>
          <w:sz w:val="28"/>
          <w:szCs w:val="28"/>
          <w:lang w:val="en-US" w:eastAsia="zh-CN"/>
        </w:rPr>
        <w:t>构筑物应采用有效的防腐措施。钢结构应采用热镀锌、喷锌或其他可靠措施；不宜因防腐要求加大材料规格。</w:t>
      </w:r>
    </w:p>
    <w:p>
      <w:pPr>
        <w:spacing w:line="360" w:lineRule="auto"/>
        <w:jc w:val="left"/>
        <w:outlineLvl w:val="1"/>
        <w:rPr>
          <w:rFonts w:hint="eastAsia"/>
          <w:b/>
          <w:bCs/>
          <w:color w:val="000000"/>
          <w:sz w:val="28"/>
          <w:szCs w:val="28"/>
          <w:lang w:val="en-US" w:eastAsia="zh-CN"/>
        </w:rPr>
      </w:pPr>
      <w:bookmarkStart w:id="213" w:name="_Toc10452"/>
      <w:r>
        <w:rPr>
          <w:rFonts w:hint="eastAsia"/>
          <w:b/>
          <w:bCs/>
          <w:color w:val="000000"/>
          <w:sz w:val="28"/>
          <w:szCs w:val="28"/>
          <w:lang w:val="en-US" w:eastAsia="zh-CN"/>
        </w:rPr>
        <w:t>3.6环境保护</w:t>
      </w:r>
      <w:bookmarkEnd w:id="213"/>
    </w:p>
    <w:p>
      <w:pPr>
        <w:spacing w:line="360" w:lineRule="auto"/>
        <w:jc w:val="left"/>
        <w:outlineLvl w:val="2"/>
        <w:rPr>
          <w:rFonts w:hint="default"/>
          <w:b/>
          <w:bCs/>
          <w:color w:val="000000"/>
          <w:sz w:val="28"/>
          <w:szCs w:val="28"/>
          <w:lang w:val="en-US" w:eastAsia="zh-CN"/>
        </w:rPr>
      </w:pPr>
      <w:bookmarkStart w:id="214" w:name="_Toc25689"/>
      <w:r>
        <w:rPr>
          <w:rFonts w:hint="eastAsia"/>
          <w:b/>
          <w:bCs/>
          <w:color w:val="000000"/>
          <w:sz w:val="28"/>
          <w:szCs w:val="28"/>
          <w:lang w:val="en-US" w:eastAsia="zh-CN"/>
        </w:rPr>
        <w:t>3.6.1概述</w:t>
      </w:r>
      <w:bookmarkEnd w:id="214"/>
    </w:p>
    <w:p>
      <w:pPr>
        <w:numPr>
          <w:ilvl w:val="0"/>
          <w:numId w:val="0"/>
        </w:numPr>
        <w:adjustRightInd w:val="0"/>
        <w:snapToGrid w:val="0"/>
        <w:spacing w:line="360" w:lineRule="auto"/>
        <w:ind w:leftChars="0"/>
        <w:jc w:val="left"/>
        <w:rPr>
          <w:rFonts w:hint="default"/>
          <w:color w:val="000000"/>
          <w:sz w:val="28"/>
          <w:szCs w:val="28"/>
          <w:lang w:val="en-US" w:eastAsia="zh-CN"/>
        </w:rPr>
      </w:pPr>
      <w:r>
        <w:rPr>
          <w:rFonts w:hint="default"/>
          <w:color w:val="000000"/>
          <w:sz w:val="28"/>
          <w:szCs w:val="28"/>
          <w:lang w:val="en-US" w:eastAsia="zh-CN"/>
        </w:rPr>
        <w:t xml:space="preserve">变电站及进出线的电磁场对环境的影响，应符合现行国家标准《电磁辐射防护规定》GB8702、《环境电磁波卫生标准》GB 9175和《高压交流架空送电线无线电干扰限值》GB 15707 </w:t>
      </w:r>
      <w:r>
        <w:rPr>
          <w:rFonts w:hint="eastAsia"/>
          <w:color w:val="000000"/>
          <w:sz w:val="28"/>
          <w:szCs w:val="28"/>
          <w:lang w:val="en-US" w:eastAsia="zh-CN"/>
        </w:rPr>
        <w:t>标准值规定、电磁辐射应符合现行GB 8702—2014《电磁环境控制限值》的有关规定</w:t>
      </w:r>
      <w:r>
        <w:rPr>
          <w:rFonts w:hint="default"/>
          <w:color w:val="000000"/>
          <w:sz w:val="28"/>
          <w:szCs w:val="28"/>
          <w:lang w:val="en-US" w:eastAsia="zh-CN"/>
        </w:rPr>
        <w:t>。</w:t>
      </w:r>
    </w:p>
    <w:p>
      <w:pPr>
        <w:spacing w:line="360" w:lineRule="auto"/>
        <w:jc w:val="left"/>
        <w:outlineLvl w:val="2"/>
        <w:rPr>
          <w:rFonts w:hint="default"/>
          <w:b/>
          <w:bCs/>
          <w:color w:val="000000"/>
          <w:sz w:val="28"/>
          <w:szCs w:val="28"/>
          <w:lang w:val="en-US" w:eastAsia="zh-CN"/>
        </w:rPr>
      </w:pPr>
      <w:bookmarkStart w:id="215" w:name="_Toc2856"/>
      <w:r>
        <w:rPr>
          <w:rFonts w:hint="eastAsia"/>
          <w:b/>
          <w:bCs/>
          <w:color w:val="000000"/>
          <w:sz w:val="28"/>
          <w:szCs w:val="28"/>
          <w:lang w:val="en-US" w:eastAsia="zh-CN"/>
        </w:rPr>
        <w:t>3.6.2环境保护要求</w:t>
      </w:r>
      <w:bookmarkEnd w:id="215"/>
    </w:p>
    <w:p>
      <w:pPr>
        <w:numPr>
          <w:ilvl w:val="0"/>
          <w:numId w:val="0"/>
        </w:numPr>
        <w:adjustRightInd w:val="0"/>
        <w:snapToGrid w:val="0"/>
        <w:spacing w:line="360" w:lineRule="auto"/>
        <w:ind w:leftChars="0"/>
        <w:jc w:val="left"/>
        <w:rPr>
          <w:rFonts w:hint="default"/>
          <w:color w:val="000000"/>
          <w:sz w:val="28"/>
          <w:szCs w:val="28"/>
          <w:lang w:val="en-US" w:eastAsia="zh-CN"/>
        </w:rPr>
      </w:pPr>
      <w:r>
        <w:rPr>
          <w:rFonts w:hint="eastAsia"/>
          <w:color w:val="000000"/>
          <w:sz w:val="28"/>
          <w:szCs w:val="28"/>
          <w:lang w:val="en-US" w:eastAsia="zh-CN"/>
        </w:rPr>
        <w:t>1、</w:t>
      </w:r>
      <w:r>
        <w:rPr>
          <w:rFonts w:hint="default"/>
          <w:color w:val="000000"/>
          <w:sz w:val="28"/>
          <w:szCs w:val="28"/>
          <w:lang w:val="en-US" w:eastAsia="zh-CN"/>
        </w:rPr>
        <w:t>电站噪声对周围环境的影响，应符合现行国家标准《工厂企业厂界环境噪声排放标准》GB12348和《声环境质量标准》GB 3096的有关规定。</w:t>
      </w:r>
    </w:p>
    <w:p>
      <w:pPr>
        <w:numPr>
          <w:ilvl w:val="0"/>
          <w:numId w:val="0"/>
        </w:numPr>
        <w:adjustRightInd w:val="0"/>
        <w:snapToGrid w:val="0"/>
        <w:spacing w:line="360" w:lineRule="auto"/>
        <w:ind w:leftChars="0"/>
        <w:jc w:val="left"/>
        <w:rPr>
          <w:rFonts w:hint="default"/>
          <w:color w:val="000000"/>
          <w:sz w:val="28"/>
          <w:szCs w:val="28"/>
          <w:lang w:val="en-US" w:eastAsia="zh-CN"/>
        </w:rPr>
      </w:pPr>
      <w:r>
        <w:rPr>
          <w:rFonts w:hint="eastAsia"/>
          <w:color w:val="000000"/>
          <w:sz w:val="28"/>
          <w:szCs w:val="28"/>
          <w:lang w:val="en-US" w:eastAsia="zh-CN"/>
        </w:rPr>
        <w:t>2、</w:t>
      </w:r>
      <w:r>
        <w:rPr>
          <w:rFonts w:hint="default"/>
          <w:color w:val="000000"/>
          <w:sz w:val="28"/>
          <w:szCs w:val="28"/>
          <w:lang w:val="en-US" w:eastAsia="zh-CN"/>
        </w:rPr>
        <w:t>变电站噪声应首先从声源上进行控制，采用低噪声设备。</w:t>
      </w:r>
    </w:p>
    <w:p>
      <w:pPr>
        <w:numPr>
          <w:ilvl w:val="0"/>
          <w:numId w:val="0"/>
        </w:numPr>
        <w:adjustRightInd w:val="0"/>
        <w:snapToGrid w:val="0"/>
        <w:spacing w:line="360" w:lineRule="auto"/>
        <w:ind w:leftChars="0"/>
        <w:jc w:val="left"/>
        <w:rPr>
          <w:rFonts w:hint="default"/>
          <w:color w:val="000000"/>
          <w:sz w:val="28"/>
          <w:szCs w:val="28"/>
          <w:lang w:val="en-US" w:eastAsia="zh-CN"/>
        </w:rPr>
      </w:pPr>
      <w:r>
        <w:rPr>
          <w:rFonts w:hint="eastAsia"/>
          <w:color w:val="000000"/>
          <w:sz w:val="28"/>
          <w:szCs w:val="28"/>
          <w:lang w:val="en-US" w:eastAsia="zh-CN"/>
        </w:rPr>
        <w:t>3</w:t>
      </w:r>
      <w:r>
        <w:rPr>
          <w:rFonts w:hint="eastAsia"/>
          <w:color w:val="auto"/>
          <w:sz w:val="28"/>
          <w:szCs w:val="28"/>
          <w:lang w:val="en-US" w:eastAsia="zh-CN"/>
        </w:rPr>
        <w:t>、</w:t>
      </w:r>
      <w:r>
        <w:rPr>
          <w:rFonts w:hint="default"/>
          <w:color w:val="auto"/>
          <w:sz w:val="28"/>
          <w:szCs w:val="28"/>
          <w:lang w:val="en-US" w:eastAsia="zh-CN"/>
        </w:rPr>
        <w:t>变电站对外排放的水质应符合现行国家标准《污水综合排放标准》GB 8978的有关规定。</w:t>
      </w:r>
    </w:p>
    <w:p>
      <w:pPr>
        <w:numPr>
          <w:ilvl w:val="0"/>
          <w:numId w:val="0"/>
        </w:numPr>
        <w:adjustRightInd w:val="0"/>
        <w:snapToGrid w:val="0"/>
        <w:spacing w:line="360" w:lineRule="auto"/>
        <w:ind w:leftChars="0"/>
        <w:jc w:val="left"/>
        <w:rPr>
          <w:rFonts w:hint="default"/>
          <w:color w:val="000000"/>
          <w:sz w:val="28"/>
          <w:szCs w:val="28"/>
          <w:lang w:val="en-US" w:eastAsia="zh-CN"/>
        </w:rPr>
      </w:pPr>
      <w:r>
        <w:rPr>
          <w:rFonts w:hint="eastAsia"/>
          <w:color w:val="000000"/>
          <w:sz w:val="28"/>
          <w:szCs w:val="28"/>
          <w:lang w:val="en-US" w:eastAsia="zh-CN"/>
        </w:rPr>
        <w:t>4、</w:t>
      </w:r>
      <w:r>
        <w:rPr>
          <w:rFonts w:hint="default"/>
          <w:color w:val="000000"/>
          <w:sz w:val="28"/>
          <w:szCs w:val="28"/>
          <w:lang w:val="en-US" w:eastAsia="zh-CN"/>
        </w:rPr>
        <w:t>变电站的生活污水，应</w:t>
      </w:r>
      <w:r>
        <w:rPr>
          <w:rFonts w:hint="eastAsia"/>
          <w:color w:val="000000"/>
          <w:sz w:val="28"/>
          <w:szCs w:val="28"/>
          <w:lang w:val="en-US" w:eastAsia="zh-CN"/>
        </w:rPr>
        <w:t>经过污水处理站</w:t>
      </w:r>
      <w:r>
        <w:rPr>
          <w:rFonts w:hint="default"/>
          <w:color w:val="000000"/>
          <w:sz w:val="28"/>
          <w:szCs w:val="28"/>
          <w:lang w:val="en-US" w:eastAsia="zh-CN"/>
        </w:rPr>
        <w:t>处理达标后复用或排放。位于城市的变电站，生活污水应排入城市污水系统，并应满足相应排放水质要求。</w:t>
      </w:r>
    </w:p>
    <w:p>
      <w:pPr>
        <w:numPr>
          <w:ilvl w:val="0"/>
          <w:numId w:val="0"/>
        </w:numPr>
        <w:adjustRightInd w:val="0"/>
        <w:snapToGrid w:val="0"/>
        <w:spacing w:line="360" w:lineRule="auto"/>
        <w:ind w:leftChars="0"/>
        <w:jc w:val="left"/>
        <w:rPr>
          <w:rFonts w:hint="default"/>
          <w:color w:val="000000"/>
          <w:sz w:val="28"/>
          <w:szCs w:val="28"/>
          <w:lang w:val="en-US" w:eastAsia="zh-CN"/>
        </w:rPr>
      </w:pPr>
      <w:r>
        <w:rPr>
          <w:rFonts w:hint="eastAsia"/>
          <w:color w:val="000000"/>
          <w:sz w:val="28"/>
          <w:szCs w:val="28"/>
          <w:lang w:val="en-US" w:eastAsia="zh-CN"/>
        </w:rPr>
        <w:t>5、</w:t>
      </w:r>
      <w:r>
        <w:rPr>
          <w:rFonts w:hint="default"/>
          <w:color w:val="000000"/>
          <w:sz w:val="28"/>
          <w:szCs w:val="28"/>
          <w:lang w:val="en-US" w:eastAsia="zh-CN"/>
        </w:rPr>
        <w:t>变电站的设计和建设等各阶段，应符合水土保持的要求，可能产生水土流失时，应采取防止人为水土流失的措施。</w:t>
      </w:r>
    </w:p>
    <w:p>
      <w:pPr>
        <w:spacing w:line="360" w:lineRule="auto"/>
        <w:jc w:val="left"/>
        <w:outlineLvl w:val="1"/>
        <w:rPr>
          <w:rFonts w:hint="eastAsia"/>
          <w:b/>
          <w:bCs/>
          <w:color w:val="000000"/>
          <w:sz w:val="28"/>
          <w:szCs w:val="28"/>
          <w:lang w:val="en-US" w:eastAsia="zh-CN"/>
        </w:rPr>
      </w:pPr>
      <w:bookmarkStart w:id="216" w:name="_Toc24082"/>
      <w:r>
        <w:rPr>
          <w:rFonts w:hint="eastAsia"/>
          <w:b/>
          <w:bCs/>
          <w:color w:val="000000"/>
          <w:sz w:val="28"/>
          <w:szCs w:val="28"/>
          <w:lang w:val="en-US" w:eastAsia="zh-CN"/>
        </w:rPr>
        <w:t>3.7节能</w:t>
      </w:r>
      <w:bookmarkEnd w:id="216"/>
    </w:p>
    <w:p>
      <w:pPr>
        <w:spacing w:line="360" w:lineRule="auto"/>
        <w:jc w:val="left"/>
        <w:outlineLvl w:val="2"/>
        <w:rPr>
          <w:rFonts w:hint="default"/>
          <w:b/>
          <w:bCs/>
          <w:color w:val="000000"/>
          <w:sz w:val="28"/>
          <w:szCs w:val="28"/>
          <w:lang w:val="en-US" w:eastAsia="zh-CN"/>
        </w:rPr>
      </w:pPr>
      <w:bookmarkStart w:id="217" w:name="_Toc21763"/>
      <w:r>
        <w:rPr>
          <w:rFonts w:hint="eastAsia"/>
          <w:b/>
          <w:bCs/>
          <w:color w:val="000000"/>
          <w:sz w:val="28"/>
          <w:szCs w:val="28"/>
          <w:lang w:val="en-US" w:eastAsia="zh-CN"/>
        </w:rPr>
        <w:t>3.7.1概述</w:t>
      </w:r>
      <w:bookmarkEnd w:id="217"/>
    </w:p>
    <w:p>
      <w:pPr>
        <w:numPr>
          <w:ilvl w:val="0"/>
          <w:numId w:val="0"/>
        </w:numPr>
        <w:adjustRightInd w:val="0"/>
        <w:snapToGrid w:val="0"/>
        <w:spacing w:line="360" w:lineRule="auto"/>
        <w:ind w:leftChars="0"/>
        <w:jc w:val="left"/>
        <w:rPr>
          <w:rFonts w:hint="eastAsia"/>
          <w:color w:val="000000"/>
          <w:sz w:val="28"/>
          <w:szCs w:val="28"/>
          <w:lang w:val="en-US" w:eastAsia="zh-CN"/>
        </w:rPr>
      </w:pPr>
      <w:r>
        <w:rPr>
          <w:rFonts w:hint="eastAsia"/>
          <w:color w:val="000000"/>
          <w:sz w:val="28"/>
          <w:szCs w:val="28"/>
          <w:lang w:val="en-US" w:eastAsia="zh-CN"/>
        </w:rPr>
        <w:t>主变</w:t>
      </w:r>
      <w:r>
        <w:rPr>
          <w:rFonts w:hint="default"/>
          <w:color w:val="000000"/>
          <w:sz w:val="28"/>
          <w:szCs w:val="28"/>
          <w:lang w:val="en-US" w:eastAsia="zh-CN"/>
        </w:rPr>
        <w:t>应采用高效节能型产品，采用自冷冷却方式</w:t>
      </w:r>
      <w:r>
        <w:rPr>
          <w:rFonts w:hint="eastAsia"/>
          <w:color w:val="000000"/>
          <w:sz w:val="28"/>
          <w:szCs w:val="28"/>
          <w:lang w:val="en-US" w:eastAsia="zh-CN"/>
        </w:rPr>
        <w:t>。通过选用节能型站用变压器、节能型灯具、自动控制型户外照明箱等节能设备，降低站用电负荷，并对全站交流站用电负荷进行梳理、分析，合理优化负荷配置，简化交流负荷回路。同时整合在线监测与辅助系统、火灾报警系统，建筑照明回路，在保证使用功能的前提下，有效节约站用电负荷的损耗。</w:t>
      </w:r>
    </w:p>
    <w:p>
      <w:pPr>
        <w:spacing w:line="360" w:lineRule="auto"/>
        <w:jc w:val="left"/>
        <w:outlineLvl w:val="2"/>
        <w:rPr>
          <w:rFonts w:hint="eastAsia"/>
          <w:b/>
          <w:bCs/>
          <w:color w:val="000000"/>
          <w:sz w:val="28"/>
          <w:szCs w:val="28"/>
          <w:lang w:val="en-US" w:eastAsia="zh-CN"/>
        </w:rPr>
      </w:pPr>
      <w:bookmarkStart w:id="218" w:name="_Toc4114"/>
      <w:r>
        <w:rPr>
          <w:rFonts w:hint="eastAsia"/>
          <w:b/>
          <w:bCs/>
          <w:color w:val="000000"/>
          <w:sz w:val="28"/>
          <w:szCs w:val="28"/>
          <w:lang w:val="en-US" w:eastAsia="zh-CN"/>
        </w:rPr>
        <w:t>3.7.2节能要求</w:t>
      </w:r>
      <w:bookmarkEnd w:id="218"/>
    </w:p>
    <w:p>
      <w:pPr>
        <w:spacing w:line="360" w:lineRule="auto"/>
        <w:jc w:val="left"/>
        <w:outlineLvl w:val="9"/>
        <w:rPr>
          <w:rFonts w:hint="eastAsia"/>
          <w:color w:val="000000"/>
          <w:sz w:val="28"/>
          <w:szCs w:val="28"/>
          <w:lang w:val="en-US" w:eastAsia="zh-CN"/>
        </w:rPr>
      </w:pPr>
      <w:r>
        <w:rPr>
          <w:rFonts w:hint="eastAsia"/>
          <w:color w:val="000000"/>
          <w:sz w:val="28"/>
          <w:szCs w:val="28"/>
          <w:lang w:val="en-US" w:eastAsia="zh-CN"/>
        </w:rPr>
        <w:t>站用电耗能指标应采取下列措施降低：</w:t>
      </w:r>
    </w:p>
    <w:p>
      <w:pPr>
        <w:numPr>
          <w:ilvl w:val="0"/>
          <w:numId w:val="55"/>
        </w:numPr>
        <w:spacing w:line="360" w:lineRule="auto"/>
        <w:ind w:left="0" w:leftChars="0" w:firstLine="0" w:firstLineChars="0"/>
        <w:jc w:val="left"/>
        <w:outlineLvl w:val="9"/>
        <w:rPr>
          <w:rFonts w:hint="eastAsia"/>
          <w:color w:val="000000"/>
          <w:sz w:val="28"/>
          <w:szCs w:val="28"/>
          <w:lang w:val="en-US" w:eastAsia="zh-CN"/>
        </w:rPr>
      </w:pPr>
      <w:r>
        <w:rPr>
          <w:rFonts w:hint="eastAsia"/>
          <w:color w:val="000000"/>
          <w:sz w:val="28"/>
          <w:szCs w:val="28"/>
          <w:lang w:val="en-US" w:eastAsia="zh-CN"/>
        </w:rPr>
        <w:t>应根据室内环境温度变化和相对湿度变化对设备的影响，合理配置空气调节设备。</w:t>
      </w:r>
    </w:p>
    <w:p>
      <w:pPr>
        <w:numPr>
          <w:ilvl w:val="0"/>
          <w:numId w:val="55"/>
        </w:numPr>
        <w:spacing w:line="360" w:lineRule="auto"/>
        <w:ind w:left="0" w:leftChars="0" w:firstLine="0" w:firstLineChars="0"/>
        <w:jc w:val="left"/>
        <w:outlineLvl w:val="9"/>
        <w:rPr>
          <w:rFonts w:hint="eastAsia"/>
          <w:color w:val="000000"/>
          <w:sz w:val="28"/>
          <w:szCs w:val="28"/>
          <w:lang w:val="en-US" w:eastAsia="zh-CN"/>
        </w:rPr>
      </w:pPr>
      <w:r>
        <w:rPr>
          <w:rFonts w:hint="eastAsia"/>
          <w:color w:val="000000"/>
          <w:sz w:val="28"/>
          <w:szCs w:val="28"/>
          <w:lang w:val="en-US" w:eastAsia="zh-CN"/>
        </w:rPr>
        <w:t>设备操作机构中的防露干燥加热，采用温、湿自动控制设备。</w:t>
      </w:r>
    </w:p>
    <w:p>
      <w:pPr>
        <w:numPr>
          <w:ilvl w:val="0"/>
          <w:numId w:val="55"/>
        </w:numPr>
        <w:spacing w:line="360" w:lineRule="auto"/>
        <w:ind w:left="0" w:leftChars="0" w:firstLine="0" w:firstLineChars="0"/>
        <w:jc w:val="left"/>
        <w:outlineLvl w:val="9"/>
        <w:rPr>
          <w:rFonts w:hint="eastAsia"/>
          <w:color w:val="000000"/>
          <w:sz w:val="28"/>
          <w:szCs w:val="28"/>
          <w:lang w:val="en-US" w:eastAsia="zh-CN"/>
        </w:rPr>
      </w:pPr>
      <w:r>
        <w:rPr>
          <w:rFonts w:hint="eastAsia"/>
          <w:color w:val="000000"/>
          <w:sz w:val="28"/>
          <w:szCs w:val="28"/>
          <w:lang w:val="en-US" w:eastAsia="zh-CN"/>
        </w:rPr>
        <w:t>采用高光效光源和高效率节能灯具。</w:t>
      </w:r>
    </w:p>
    <w:p>
      <w:pPr>
        <w:numPr>
          <w:ilvl w:val="0"/>
          <w:numId w:val="55"/>
        </w:numPr>
        <w:spacing w:line="360" w:lineRule="auto"/>
        <w:ind w:left="0" w:leftChars="0" w:firstLine="0" w:firstLineChars="0"/>
        <w:jc w:val="left"/>
        <w:outlineLvl w:val="9"/>
        <w:rPr>
          <w:rFonts w:hint="eastAsia"/>
          <w:color w:val="000000"/>
          <w:sz w:val="28"/>
          <w:szCs w:val="28"/>
          <w:lang w:val="en-US" w:eastAsia="zh-CN"/>
        </w:rPr>
      </w:pPr>
      <w:r>
        <w:rPr>
          <w:rFonts w:hint="eastAsia"/>
          <w:color w:val="000000"/>
          <w:sz w:val="28"/>
          <w:szCs w:val="28"/>
          <w:lang w:val="en-US" w:eastAsia="zh-CN"/>
        </w:rPr>
        <w:t>应合理选取站用变压器的容量。</w:t>
      </w:r>
    </w:p>
    <w:p>
      <w:pPr>
        <w:numPr>
          <w:ilvl w:val="0"/>
          <w:numId w:val="55"/>
        </w:numPr>
        <w:spacing w:line="360" w:lineRule="auto"/>
        <w:ind w:left="0" w:leftChars="0" w:firstLine="0" w:firstLineChars="0"/>
        <w:jc w:val="left"/>
        <w:outlineLvl w:val="9"/>
        <w:rPr>
          <w:rFonts w:hint="eastAsia"/>
          <w:color w:val="000000"/>
          <w:sz w:val="28"/>
          <w:szCs w:val="28"/>
          <w:lang w:val="en-US" w:eastAsia="zh-CN"/>
        </w:rPr>
      </w:pPr>
      <w:r>
        <w:rPr>
          <w:rFonts w:hint="eastAsia"/>
          <w:color w:val="000000"/>
          <w:sz w:val="28"/>
          <w:szCs w:val="28"/>
          <w:lang w:val="en-US" w:eastAsia="zh-CN"/>
        </w:rPr>
        <w:t>体应采用节能、环保的建筑材料，并应合理设置门窗洞口和尺寸。</w:t>
      </w:r>
    </w:p>
    <w:p>
      <w:pPr>
        <w:numPr>
          <w:ilvl w:val="0"/>
          <w:numId w:val="55"/>
        </w:numPr>
        <w:spacing w:line="360" w:lineRule="auto"/>
        <w:ind w:left="0" w:leftChars="0" w:firstLine="0" w:firstLineChars="0"/>
        <w:jc w:val="left"/>
        <w:outlineLvl w:val="9"/>
        <w:rPr>
          <w:rFonts w:hint="default"/>
          <w:color w:val="000000"/>
          <w:sz w:val="28"/>
          <w:szCs w:val="28"/>
          <w:lang w:val="en-US" w:eastAsia="zh-CN"/>
        </w:rPr>
      </w:pPr>
      <w:r>
        <w:rPr>
          <w:rFonts w:hint="eastAsia"/>
          <w:color w:val="000000"/>
          <w:sz w:val="28"/>
          <w:szCs w:val="28"/>
          <w:lang w:val="en-US" w:eastAsia="zh-CN"/>
        </w:rPr>
        <w:t>其他节能措施在不违反本招标技术要求条款下由投标方自行考虑。</w:t>
      </w:r>
    </w:p>
    <w:p>
      <w:pPr>
        <w:numPr>
          <w:ilvl w:val="0"/>
          <w:numId w:val="0"/>
        </w:numPr>
        <w:spacing w:line="360" w:lineRule="auto"/>
        <w:ind w:left="140" w:leftChars="0"/>
        <w:jc w:val="left"/>
        <w:outlineLvl w:val="9"/>
        <w:rPr>
          <w:rFonts w:hint="default"/>
          <w:color w:val="000000"/>
          <w:sz w:val="28"/>
          <w:szCs w:val="28"/>
          <w:lang w:val="en-US" w:eastAsia="zh-CN"/>
        </w:rPr>
      </w:pPr>
    </w:p>
    <w:p>
      <w:pPr>
        <w:numPr>
          <w:ilvl w:val="0"/>
          <w:numId w:val="0"/>
        </w:numPr>
        <w:adjustRightInd w:val="0"/>
        <w:snapToGrid w:val="0"/>
        <w:spacing w:line="348" w:lineRule="auto"/>
        <w:ind w:leftChars="0"/>
        <w:jc w:val="left"/>
        <w:outlineLvl w:val="0"/>
        <w:rPr>
          <w:rFonts w:hint="default"/>
          <w:b/>
          <w:bCs/>
          <w:color w:val="000000"/>
          <w:sz w:val="28"/>
          <w:szCs w:val="28"/>
          <w:lang w:val="en-US" w:eastAsia="zh-CN"/>
        </w:rPr>
      </w:pPr>
      <w:bookmarkStart w:id="219" w:name="_Toc29294"/>
      <w:r>
        <w:rPr>
          <w:rFonts w:hint="eastAsia"/>
          <w:b/>
          <w:bCs/>
          <w:color w:val="000000"/>
          <w:sz w:val="28"/>
          <w:szCs w:val="28"/>
          <w:lang w:val="en-US" w:eastAsia="zh-CN"/>
        </w:rPr>
        <w:t>第4章：附表</w:t>
      </w:r>
      <w:bookmarkEnd w:id="219"/>
    </w:p>
    <w:tbl>
      <w:tblPr>
        <w:tblStyle w:val="63"/>
        <w:tblpPr w:leftFromText="180" w:rightFromText="180" w:vertAnchor="text" w:horzAnchor="page" w:tblpX="1407" w:tblpY="510"/>
        <w:tblOverlap w:val="never"/>
        <w:tblW w:w="9293" w:type="dxa"/>
        <w:tblInd w:w="0" w:type="dxa"/>
        <w:tblLayout w:type="fixed"/>
        <w:tblCellMar>
          <w:top w:w="0" w:type="dxa"/>
          <w:left w:w="108" w:type="dxa"/>
          <w:bottom w:w="0" w:type="dxa"/>
          <w:right w:w="108" w:type="dxa"/>
        </w:tblCellMar>
      </w:tblPr>
      <w:tblGrid>
        <w:gridCol w:w="947"/>
        <w:gridCol w:w="1970"/>
        <w:gridCol w:w="520"/>
        <w:gridCol w:w="418"/>
        <w:gridCol w:w="5438"/>
      </w:tblGrid>
      <w:tr>
        <w:tblPrEx>
          <w:tblCellMar>
            <w:top w:w="0" w:type="dxa"/>
            <w:left w:w="108" w:type="dxa"/>
            <w:bottom w:w="0" w:type="dxa"/>
            <w:right w:w="108" w:type="dxa"/>
          </w:tblCellMar>
        </w:tblPrEx>
        <w:trPr>
          <w:trHeight w:val="285" w:hRule="atLeast"/>
          <w:tblHeader/>
        </w:trPr>
        <w:tc>
          <w:tcPr>
            <w:tcW w:w="2917" w:type="dxa"/>
            <w:gridSpan w:val="2"/>
            <w:vMerge w:val="restart"/>
            <w:tcBorders>
              <w:top w:val="single" w:color="auto" w:sz="4" w:space="0"/>
              <w:left w:val="single" w:color="auto" w:sz="4" w:space="0"/>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 xml:space="preserve">工程专业  </w:t>
            </w:r>
          </w:p>
        </w:tc>
        <w:tc>
          <w:tcPr>
            <w:tcW w:w="6376" w:type="dxa"/>
            <w:gridSpan w:val="3"/>
            <w:tcBorders>
              <w:top w:val="single" w:color="auto" w:sz="4" w:space="0"/>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工作和服务范围划分</w:t>
            </w:r>
          </w:p>
        </w:tc>
      </w:tr>
      <w:tr>
        <w:tblPrEx>
          <w:tblCellMar>
            <w:top w:w="0" w:type="dxa"/>
            <w:left w:w="108" w:type="dxa"/>
            <w:bottom w:w="0" w:type="dxa"/>
            <w:right w:w="108" w:type="dxa"/>
          </w:tblCellMar>
        </w:tblPrEx>
        <w:trPr>
          <w:trHeight w:val="285" w:hRule="atLeast"/>
          <w:tblHeader/>
        </w:trPr>
        <w:tc>
          <w:tcPr>
            <w:tcW w:w="2917" w:type="dxa"/>
            <w:gridSpan w:val="2"/>
            <w:vMerge w:val="continue"/>
            <w:tcBorders>
              <w:top w:val="single" w:color="auto" w:sz="4" w:space="0"/>
              <w:left w:val="single" w:color="auto" w:sz="4" w:space="0"/>
              <w:bottom w:val="single" w:color="auto" w:sz="4" w:space="0"/>
              <w:right w:val="single" w:color="auto" w:sz="4" w:space="0"/>
            </w:tcBorders>
            <w:noWrap w:val="0"/>
            <w:vAlign w:val="center"/>
          </w:tcP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投标方</w:t>
            </w:r>
          </w:p>
        </w:tc>
        <w:tc>
          <w:tcPr>
            <w:tcW w:w="418"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招标方</w:t>
            </w:r>
          </w:p>
        </w:tc>
        <w:tc>
          <w:tcPr>
            <w:tcW w:w="5438" w:type="dxa"/>
            <w:tcBorders>
              <w:top w:val="nil"/>
              <w:left w:val="nil"/>
              <w:bottom w:val="single" w:color="auto" w:sz="4" w:space="0"/>
              <w:right w:val="single" w:color="auto" w:sz="4" w:space="0"/>
            </w:tcBorders>
            <w:noWrap/>
            <w:vAlign w:val="center"/>
          </w:tcPr>
          <w:p>
            <w:pPr>
              <w:widowControl/>
              <w:tabs>
                <w:tab w:val="left" w:pos="0"/>
              </w:tabs>
              <w:jc w:val="center"/>
              <w:rPr>
                <w:rFonts w:hint="default" w:ascii="宋体" w:eastAsia="宋体" w:cs="宋体"/>
                <w:color w:val="000000"/>
                <w:kern w:val="0"/>
                <w:sz w:val="24"/>
                <w:lang w:val="en-US" w:eastAsia="zh-CN"/>
              </w:rPr>
            </w:pPr>
            <w:r>
              <w:rPr>
                <w:rFonts w:hint="eastAsia" w:ascii="宋体" w:cs="宋体"/>
                <w:color w:val="000000"/>
                <w:kern w:val="0"/>
                <w:sz w:val="24"/>
                <w:lang w:val="en-US" w:eastAsia="zh-CN"/>
              </w:rPr>
              <w:t>工程范围</w:t>
            </w:r>
          </w:p>
        </w:tc>
      </w:tr>
      <w:tr>
        <w:tblPrEx>
          <w:tblCellMar>
            <w:top w:w="0" w:type="dxa"/>
            <w:left w:w="108" w:type="dxa"/>
            <w:bottom w:w="0" w:type="dxa"/>
            <w:right w:w="108" w:type="dxa"/>
          </w:tblCellMar>
        </w:tblPrEx>
        <w:trPr>
          <w:trHeight w:val="285" w:hRule="atLeast"/>
        </w:trPr>
        <w:tc>
          <w:tcPr>
            <w:tcW w:w="947" w:type="dxa"/>
            <w:vMerge w:val="restart"/>
            <w:tcBorders>
              <w:top w:val="nil"/>
              <w:left w:val="single" w:color="auto" w:sz="4" w:space="0"/>
              <w:right w:val="single" w:color="auto" w:sz="4" w:space="0"/>
            </w:tcBorders>
            <w:noWrap w:val="0"/>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工程设计</w:t>
            </w:r>
          </w:p>
        </w:tc>
        <w:tc>
          <w:tcPr>
            <w:tcW w:w="8346" w:type="dxa"/>
            <w:gridSpan w:val="4"/>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r>
              <w:rPr>
                <w:rFonts w:hint="eastAsia" w:ascii="宋体" w:cs="宋体"/>
                <w:color w:val="000000"/>
                <w:kern w:val="0"/>
                <w:sz w:val="24"/>
                <w:lang w:val="en-US" w:eastAsia="zh-CN"/>
              </w:rPr>
              <w:t>对于属于变电站运行和施工所必需的主要设备、附属设备、配套设备、辅材、所需的文件，即使本附表未列出或未界定的，均属于投标方工作内容。</w:t>
            </w: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eastAsia="宋体" w:cs="宋体"/>
                <w:color w:val="000000"/>
                <w:kern w:val="0"/>
                <w:sz w:val="24"/>
                <w:lang w:val="en-US" w:eastAsia="zh-CN"/>
              </w:rPr>
            </w:pPr>
            <w:r>
              <w:rPr>
                <w:rFonts w:hint="eastAsia" w:ascii="宋体" w:cs="宋体"/>
                <w:color w:val="000000"/>
                <w:kern w:val="0"/>
                <w:sz w:val="24"/>
                <w:lang w:val="en-US" w:eastAsia="zh-CN"/>
              </w:rPr>
              <w:t>110kv园区内导线</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eastAsia="宋体" w:cs="宋体"/>
                <w:color w:val="000000"/>
                <w:kern w:val="0"/>
                <w:sz w:val="24"/>
                <w:lang w:val="en-US" w:eastAsia="zh-CN"/>
              </w:rPr>
            </w:pP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hAnsi="Times New Roman" w:eastAsia="宋体" w:cs="宋体"/>
                <w:color w:val="000000"/>
                <w:kern w:val="0"/>
                <w:sz w:val="24"/>
                <w:szCs w:val="24"/>
                <w:lang w:val="en-US" w:eastAsia="zh-CN" w:bidi="ar-SA"/>
              </w:rPr>
            </w:pPr>
            <w:r>
              <w:rPr>
                <w:rFonts w:hint="eastAsia" w:ascii="宋体" w:cs="宋体"/>
                <w:color w:val="000000"/>
                <w:kern w:val="0"/>
                <w:sz w:val="24"/>
                <w:lang w:val="en-US" w:eastAsia="zh-CN"/>
              </w:rPr>
              <w:t>110kv侧GIS、配电装置</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hAnsi="Times New Roman" w:eastAsia="宋体" w:cs="宋体"/>
                <w:color w:val="000000"/>
                <w:kern w:val="0"/>
                <w:sz w:val="24"/>
                <w:szCs w:val="24"/>
                <w:lang w:val="en-US" w:eastAsia="zh-CN" w:bidi="ar-SA"/>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hAnsi="Times New Roman" w:eastAsia="宋体" w:cs="宋体"/>
                <w:color w:val="000000"/>
                <w:kern w:val="0"/>
                <w:sz w:val="24"/>
                <w:szCs w:val="24"/>
                <w:lang w:val="en-US" w:eastAsia="zh-CN" w:bidi="ar-SA"/>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hAnsi="Times New Roman" w:eastAsia="宋体" w:cs="宋体"/>
                <w:color w:val="000000"/>
                <w:kern w:val="0"/>
                <w:sz w:val="24"/>
                <w:szCs w:val="24"/>
                <w:lang w:val="en-US" w:eastAsia="zh-CN" w:bidi="ar-SA"/>
              </w:rPr>
            </w:pPr>
          </w:p>
        </w:tc>
      </w:tr>
      <w:tr>
        <w:tblPrEx>
          <w:tblCellMar>
            <w:top w:w="0" w:type="dxa"/>
            <w:left w:w="108" w:type="dxa"/>
            <w:bottom w:w="0" w:type="dxa"/>
            <w:right w:w="108" w:type="dxa"/>
          </w:tblCellMar>
        </w:tblPrEx>
        <w:trPr>
          <w:trHeight w:val="305"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eastAsia="宋体" w:cs="宋体"/>
                <w:color w:val="000000"/>
                <w:kern w:val="0"/>
                <w:sz w:val="24"/>
                <w:lang w:val="en-US" w:eastAsia="zh-CN"/>
              </w:rPr>
            </w:pPr>
            <w:r>
              <w:rPr>
                <w:rFonts w:hint="eastAsia" w:ascii="宋体" w:cs="宋体"/>
                <w:color w:val="000000"/>
                <w:kern w:val="0"/>
                <w:sz w:val="24"/>
                <w:lang w:val="en-US" w:eastAsia="zh-CN"/>
              </w:rPr>
              <w:t>110kv主变</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top"/>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top"/>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eastAsia="宋体" w:cs="宋体"/>
                <w:color w:val="000000"/>
                <w:kern w:val="0"/>
                <w:sz w:val="24"/>
                <w:lang w:val="en-US" w:eastAsia="zh-CN"/>
              </w:rPr>
            </w:pPr>
            <w:r>
              <w:rPr>
                <w:rFonts w:hint="eastAsia" w:ascii="宋体" w:cs="宋体"/>
                <w:color w:val="000000"/>
                <w:kern w:val="0"/>
                <w:sz w:val="24"/>
                <w:lang w:val="en-US" w:eastAsia="zh-CN"/>
              </w:rPr>
              <w:t>110kv侧接地</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cs="宋体"/>
                <w:color w:val="000000"/>
                <w:kern w:val="0"/>
                <w:sz w:val="24"/>
                <w:lang w:val="en-US" w:eastAsia="zh-CN"/>
              </w:rPr>
            </w:pPr>
            <w:r>
              <w:rPr>
                <w:rFonts w:hint="eastAsia" w:ascii="宋体" w:cs="宋体"/>
                <w:color w:val="000000"/>
                <w:kern w:val="0"/>
                <w:sz w:val="24"/>
                <w:lang w:val="en-US" w:eastAsia="zh-CN"/>
              </w:rPr>
              <w:t>110kv母线</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hAnsi="Times New Roman" w:eastAsia="宋体" w:cs="宋体"/>
                <w:color w:val="000000"/>
                <w:kern w:val="0"/>
                <w:sz w:val="24"/>
                <w:szCs w:val="24"/>
                <w:lang w:val="en-US" w:eastAsia="zh-CN" w:bidi="ar-SA"/>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cs="宋体"/>
                <w:color w:val="000000"/>
                <w:kern w:val="0"/>
                <w:sz w:val="24"/>
                <w:lang w:val="en-US" w:eastAsia="zh-CN"/>
              </w:rPr>
            </w:pPr>
            <w:r>
              <w:rPr>
                <w:rFonts w:hint="eastAsia" w:ascii="宋体" w:cs="宋体"/>
                <w:color w:val="000000"/>
                <w:kern w:val="0"/>
                <w:sz w:val="24"/>
                <w:lang w:val="en-US" w:eastAsia="zh-CN"/>
              </w:rPr>
              <w:t>10kv侧接地</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hAnsi="Times New Roman" w:eastAsia="宋体" w:cs="宋体"/>
                <w:color w:val="000000"/>
                <w:kern w:val="0"/>
                <w:sz w:val="24"/>
                <w:szCs w:val="24"/>
                <w:lang w:val="en-US" w:eastAsia="zh-CN" w:bidi="ar-SA"/>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cs="宋体"/>
                <w:color w:val="000000"/>
                <w:kern w:val="0"/>
                <w:sz w:val="24"/>
                <w:lang w:val="en-US" w:eastAsia="zh-CN"/>
              </w:rPr>
            </w:pPr>
            <w:r>
              <w:rPr>
                <w:rFonts w:hint="eastAsia" w:ascii="宋体" w:cs="宋体"/>
                <w:color w:val="000000"/>
                <w:kern w:val="0"/>
                <w:sz w:val="24"/>
                <w:lang w:val="en-US" w:eastAsia="zh-CN"/>
              </w:rPr>
              <w:t>10kv侧配电装置</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hAnsi="Times New Roman" w:eastAsia="宋体" w:cs="宋体"/>
                <w:color w:val="000000"/>
                <w:kern w:val="0"/>
                <w:sz w:val="24"/>
                <w:szCs w:val="24"/>
                <w:lang w:val="en-US" w:eastAsia="zh-CN" w:bidi="ar-SA"/>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cs="宋体"/>
                <w:color w:val="000000"/>
                <w:kern w:val="0"/>
                <w:sz w:val="24"/>
                <w:lang w:val="en-US" w:eastAsia="zh-CN"/>
              </w:rPr>
            </w:pPr>
            <w:r>
              <w:rPr>
                <w:rFonts w:hint="eastAsia" w:ascii="宋体" w:cs="宋体"/>
                <w:color w:val="000000"/>
                <w:kern w:val="0"/>
                <w:sz w:val="24"/>
                <w:lang w:val="en-US" w:eastAsia="zh-CN"/>
              </w:rPr>
              <w:t>10kv侧母线</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hAnsi="Times New Roman" w:eastAsia="宋体" w:cs="宋体"/>
                <w:color w:val="000000"/>
                <w:kern w:val="0"/>
                <w:sz w:val="24"/>
                <w:szCs w:val="24"/>
                <w:lang w:val="en-US" w:eastAsia="zh-CN" w:bidi="ar-SA"/>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cs="宋体"/>
                <w:color w:val="000000"/>
                <w:kern w:val="0"/>
                <w:sz w:val="24"/>
                <w:lang w:val="en-US" w:eastAsia="zh-CN"/>
              </w:rPr>
            </w:pPr>
            <w:r>
              <w:rPr>
                <w:rFonts w:hint="eastAsia" w:ascii="宋体" w:cs="宋体"/>
                <w:color w:val="000000"/>
                <w:kern w:val="0"/>
                <w:sz w:val="24"/>
                <w:lang w:val="en-US" w:eastAsia="zh-CN"/>
              </w:rPr>
              <w:t>10kv补偿</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hAnsi="Times New Roman" w:eastAsia="宋体" w:cs="宋体"/>
                <w:color w:val="000000"/>
                <w:kern w:val="0"/>
                <w:sz w:val="24"/>
                <w:szCs w:val="24"/>
                <w:lang w:val="en-US" w:eastAsia="zh-CN" w:bidi="ar-SA"/>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cs="宋体"/>
                <w:color w:val="000000"/>
                <w:kern w:val="0"/>
                <w:sz w:val="24"/>
                <w:lang w:val="en-US" w:eastAsia="zh-CN"/>
              </w:rPr>
            </w:pPr>
            <w:r>
              <w:rPr>
                <w:rFonts w:hint="eastAsia" w:ascii="宋体" w:cs="宋体"/>
                <w:color w:val="000000"/>
                <w:kern w:val="0"/>
                <w:sz w:val="24"/>
                <w:lang w:val="en-US" w:eastAsia="zh-CN"/>
              </w:rPr>
              <w:t>10kv开关柜</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hAnsi="Times New Roman" w:eastAsia="宋体" w:cs="宋体"/>
                <w:color w:val="000000"/>
                <w:kern w:val="0"/>
                <w:sz w:val="24"/>
                <w:szCs w:val="24"/>
                <w:lang w:val="en-US" w:eastAsia="zh-CN" w:bidi="ar-SA"/>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cs="宋体"/>
                <w:color w:val="000000"/>
                <w:kern w:val="0"/>
                <w:sz w:val="24"/>
                <w:lang w:val="en-US" w:eastAsia="zh-CN"/>
              </w:rPr>
            </w:pPr>
            <w:r>
              <w:rPr>
                <w:rFonts w:hint="eastAsia" w:ascii="宋体" w:cs="宋体"/>
                <w:color w:val="000000"/>
                <w:kern w:val="0"/>
                <w:sz w:val="24"/>
                <w:lang w:val="en-US" w:eastAsia="zh-CN"/>
              </w:rPr>
              <w:t>站用变</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hAnsi="Times New Roman" w:eastAsia="宋体" w:cs="宋体"/>
                <w:color w:val="000000"/>
                <w:kern w:val="0"/>
                <w:sz w:val="24"/>
                <w:szCs w:val="24"/>
                <w:lang w:val="en-US" w:eastAsia="zh-CN" w:bidi="ar-SA"/>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cs="宋体"/>
                <w:color w:val="000000"/>
                <w:kern w:val="0"/>
                <w:sz w:val="24"/>
                <w:lang w:val="en-US" w:eastAsia="zh-CN"/>
              </w:rPr>
            </w:pPr>
            <w:r>
              <w:rPr>
                <w:rFonts w:hint="eastAsia" w:ascii="宋体" w:cs="宋体"/>
                <w:color w:val="000000"/>
                <w:kern w:val="0"/>
                <w:sz w:val="24"/>
                <w:lang w:val="en-US" w:eastAsia="zh-CN"/>
              </w:rPr>
              <w:t>防雷接地</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hAnsi="Times New Roman" w:eastAsia="宋体" w:cs="宋体"/>
                <w:color w:val="000000"/>
                <w:kern w:val="0"/>
                <w:sz w:val="24"/>
                <w:szCs w:val="24"/>
                <w:lang w:val="en-US" w:eastAsia="zh-CN" w:bidi="ar-SA"/>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right w:val="single" w:color="auto" w:sz="4" w:space="0"/>
            </w:tcBorders>
            <w:noWrap w:val="0"/>
            <w:vAlign w:val="center"/>
          </w:tcPr>
          <w:p/>
        </w:tc>
        <w:tc>
          <w:tcPr>
            <w:tcW w:w="8346" w:type="dxa"/>
            <w:gridSpan w:val="4"/>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r>
              <w:rPr>
                <w:rFonts w:hint="eastAsia" w:ascii="宋体" w:cs="宋体"/>
                <w:color w:val="000000"/>
                <w:kern w:val="0"/>
                <w:sz w:val="24"/>
                <w:lang w:val="en-US" w:eastAsia="zh-CN"/>
              </w:rPr>
              <w:t>二次系统</w:t>
            </w: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eastAsia="宋体" w:cs="宋体"/>
                <w:color w:val="000000"/>
                <w:kern w:val="0"/>
                <w:sz w:val="24"/>
                <w:lang w:val="en-US" w:eastAsia="zh-CN"/>
              </w:rPr>
            </w:pPr>
            <w:r>
              <w:rPr>
                <w:rFonts w:hint="eastAsia" w:ascii="宋体" w:cs="宋体"/>
                <w:color w:val="000000"/>
                <w:kern w:val="0"/>
                <w:sz w:val="24"/>
                <w:lang w:val="en-US" w:eastAsia="zh-CN"/>
              </w:rPr>
              <w:t>变压器保护</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eastAsia="宋体" w:cs="宋体"/>
                <w:color w:val="000000"/>
                <w:kern w:val="0"/>
                <w:sz w:val="24"/>
                <w:lang w:val="en-US" w:eastAsia="zh-CN"/>
              </w:rPr>
            </w:pPr>
            <w:r>
              <w:rPr>
                <w:rFonts w:hint="eastAsia" w:ascii="宋体" w:cs="宋体"/>
                <w:color w:val="000000"/>
                <w:kern w:val="0"/>
                <w:sz w:val="24"/>
                <w:lang w:val="en-US" w:eastAsia="zh-CN"/>
              </w:rPr>
              <w:t>线路保护</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eastAsia="宋体" w:cs="宋体"/>
                <w:color w:val="000000"/>
                <w:kern w:val="0"/>
                <w:sz w:val="24"/>
                <w:lang w:val="en-US" w:eastAsia="zh-CN"/>
              </w:rPr>
            </w:pPr>
            <w:r>
              <w:rPr>
                <w:rFonts w:hint="eastAsia" w:ascii="宋体" w:cs="宋体"/>
                <w:color w:val="000000"/>
                <w:kern w:val="0"/>
                <w:sz w:val="24"/>
                <w:lang w:val="en-US" w:eastAsia="zh-CN"/>
              </w:rPr>
              <w:t>母线保护</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eastAsia="宋体" w:cs="宋体"/>
                <w:color w:val="000000"/>
                <w:kern w:val="0"/>
                <w:sz w:val="24"/>
                <w:lang w:val="en-US" w:eastAsia="zh-CN"/>
              </w:rPr>
            </w:pPr>
            <w:r>
              <w:rPr>
                <w:rFonts w:hint="eastAsia" w:ascii="宋体" w:cs="宋体"/>
                <w:color w:val="000000"/>
                <w:kern w:val="0"/>
                <w:sz w:val="24"/>
                <w:lang w:val="en-US" w:eastAsia="zh-CN"/>
              </w:rPr>
              <w:t>电容保护</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3"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cs="宋体"/>
                <w:color w:val="000000"/>
                <w:kern w:val="0"/>
                <w:sz w:val="24"/>
                <w:lang w:val="en-US" w:eastAsia="zh-CN"/>
              </w:rPr>
            </w:pPr>
            <w:r>
              <w:rPr>
                <w:rFonts w:hint="eastAsia" w:ascii="宋体" w:cs="宋体"/>
                <w:color w:val="000000"/>
                <w:kern w:val="0"/>
                <w:sz w:val="24"/>
                <w:lang w:val="en-US" w:eastAsia="zh-CN"/>
              </w:rPr>
              <w:t>接地保护</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hAnsi="Times New Roman" w:eastAsia="宋体" w:cs="宋体"/>
                <w:color w:val="000000"/>
                <w:kern w:val="0"/>
                <w:sz w:val="24"/>
                <w:szCs w:val="24"/>
                <w:lang w:val="en-US" w:eastAsia="zh-CN" w:bidi="ar-SA"/>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0"/>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3"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cs="宋体"/>
                <w:color w:val="000000"/>
                <w:kern w:val="0"/>
                <w:sz w:val="24"/>
                <w:lang w:val="en-US" w:eastAsia="zh-CN"/>
              </w:rPr>
            </w:pPr>
            <w:r>
              <w:rPr>
                <w:rFonts w:hint="eastAsia" w:ascii="宋体" w:cs="宋体"/>
                <w:color w:val="000000"/>
                <w:kern w:val="0"/>
                <w:sz w:val="24"/>
                <w:lang w:val="en-US" w:eastAsia="zh-CN"/>
              </w:rPr>
              <w:t>直流操作电源</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hAnsi="Times New Roman" w:eastAsia="宋体" w:cs="宋体"/>
                <w:color w:val="000000"/>
                <w:kern w:val="0"/>
                <w:sz w:val="24"/>
                <w:szCs w:val="24"/>
                <w:lang w:val="en-US" w:eastAsia="zh-CN" w:bidi="ar-SA"/>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0"/>
            <w:vAlign w:val="center"/>
          </w:tcPr>
          <w:p>
            <w:pPr>
              <w:widowControl/>
              <w:tabs>
                <w:tab w:val="left" w:pos="0"/>
              </w:tabs>
              <w:jc w:val="left"/>
              <w:rPr>
                <w:rFonts w:hint="default" w:ascii="宋体" w:eastAsia="宋体" w:cs="宋体"/>
                <w:color w:val="000000"/>
                <w:kern w:val="0"/>
                <w:sz w:val="24"/>
                <w:lang w:val="en-US" w:eastAsia="zh-CN"/>
              </w:rPr>
            </w:pPr>
          </w:p>
        </w:tc>
      </w:tr>
      <w:tr>
        <w:tblPrEx>
          <w:tblCellMar>
            <w:top w:w="0" w:type="dxa"/>
            <w:left w:w="108" w:type="dxa"/>
            <w:bottom w:w="0" w:type="dxa"/>
            <w:right w:w="108" w:type="dxa"/>
          </w:tblCellMar>
        </w:tblPrEx>
        <w:trPr>
          <w:trHeight w:val="283"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cs="宋体"/>
                <w:color w:val="000000"/>
                <w:kern w:val="0"/>
                <w:sz w:val="24"/>
                <w:lang w:val="en-US" w:eastAsia="zh-CN"/>
              </w:rPr>
            </w:pPr>
            <w:r>
              <w:rPr>
                <w:rFonts w:hint="eastAsia" w:ascii="宋体" w:cs="宋体"/>
                <w:color w:val="000000"/>
                <w:kern w:val="0"/>
                <w:sz w:val="24"/>
                <w:lang w:val="en-US" w:eastAsia="zh-CN"/>
              </w:rPr>
              <w:t>变电站综合自控系统、综合在线监测系统</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hAnsi="Times New Roman" w:eastAsia="宋体" w:cs="宋体"/>
                <w:color w:val="000000"/>
                <w:kern w:val="0"/>
                <w:sz w:val="24"/>
                <w:szCs w:val="24"/>
                <w:lang w:val="en-US" w:eastAsia="zh-CN" w:bidi="ar-SA"/>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0"/>
            <w:vAlign w:val="center"/>
          </w:tcPr>
          <w:p>
            <w:pPr>
              <w:widowControl/>
              <w:tabs>
                <w:tab w:val="left" w:pos="0"/>
              </w:tabs>
              <w:jc w:val="left"/>
              <w:rPr>
                <w:rFonts w:hint="default" w:ascii="宋体" w:cs="宋体"/>
                <w:color w:val="000000"/>
                <w:kern w:val="0"/>
                <w:sz w:val="24"/>
                <w:lang w:val="en-US"/>
              </w:rPr>
            </w:pPr>
            <w:r>
              <w:rPr>
                <w:rFonts w:hint="eastAsia" w:ascii="宋体" w:cs="宋体"/>
                <w:color w:val="000000"/>
                <w:kern w:val="0"/>
                <w:sz w:val="24"/>
                <w:lang w:val="en-US" w:eastAsia="zh-CN"/>
              </w:rPr>
              <w:t>包括不仅限于本招标文件提及的远动系统、监控子系统、微机继电保护子系统、安全自动装置子系统、</w:t>
            </w:r>
            <w:r>
              <w:rPr>
                <w:rFonts w:hint="default" w:ascii="宋体" w:cs="宋体"/>
                <w:color w:val="000000"/>
                <w:kern w:val="0"/>
                <w:sz w:val="24"/>
                <w:lang w:val="en-US" w:eastAsia="zh-CN"/>
              </w:rPr>
              <w:t>通信管理</w:t>
            </w:r>
            <w:r>
              <w:rPr>
                <w:rFonts w:hint="eastAsia" w:ascii="宋体" w:cs="宋体"/>
                <w:color w:val="000000"/>
                <w:kern w:val="0"/>
                <w:sz w:val="24"/>
                <w:lang w:val="en-US" w:eastAsia="zh-CN"/>
              </w:rPr>
              <w:t>等</w:t>
            </w:r>
            <w:r>
              <w:rPr>
                <w:rFonts w:hint="default" w:ascii="宋体" w:cs="宋体"/>
                <w:color w:val="000000"/>
                <w:kern w:val="0"/>
                <w:sz w:val="24"/>
                <w:lang w:val="en-US" w:eastAsia="zh-CN"/>
              </w:rPr>
              <w:t>子系统</w:t>
            </w:r>
            <w:r>
              <w:rPr>
                <w:rFonts w:hint="eastAsia" w:ascii="宋体" w:cs="宋体"/>
                <w:color w:val="000000"/>
                <w:kern w:val="0"/>
                <w:sz w:val="24"/>
                <w:lang w:val="en-US" w:eastAsia="zh-CN"/>
              </w:rPr>
              <w:t>、综合在线监测系统等</w:t>
            </w:r>
          </w:p>
        </w:tc>
      </w:tr>
      <w:tr>
        <w:tblPrEx>
          <w:tblCellMar>
            <w:top w:w="0" w:type="dxa"/>
            <w:left w:w="108" w:type="dxa"/>
            <w:bottom w:w="0" w:type="dxa"/>
            <w:right w:w="108" w:type="dxa"/>
          </w:tblCellMar>
        </w:tblPrEx>
        <w:trPr>
          <w:trHeight w:val="283" w:hRule="atLeast"/>
        </w:trPr>
        <w:tc>
          <w:tcPr>
            <w:tcW w:w="947" w:type="dxa"/>
            <w:vMerge w:val="continue"/>
            <w:tcBorders>
              <w:left w:val="single" w:color="auto" w:sz="4" w:space="0"/>
              <w:right w:val="single" w:color="auto" w:sz="4" w:space="0"/>
            </w:tcBorders>
            <w:noWrap w:val="0"/>
            <w:vAlign w:val="center"/>
          </w:tcPr>
          <w:p/>
        </w:tc>
        <w:tc>
          <w:tcPr>
            <w:tcW w:w="8346" w:type="dxa"/>
            <w:gridSpan w:val="4"/>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r>
              <w:rPr>
                <w:rFonts w:hint="eastAsia" w:ascii="宋体" w:cs="宋体"/>
                <w:color w:val="000000"/>
                <w:kern w:val="0"/>
                <w:sz w:val="24"/>
                <w:lang w:val="en-US" w:eastAsia="zh-CN"/>
              </w:rPr>
              <w:t>其他</w:t>
            </w:r>
          </w:p>
        </w:tc>
      </w:tr>
      <w:tr>
        <w:tblPrEx>
          <w:tblCellMar>
            <w:top w:w="0" w:type="dxa"/>
            <w:left w:w="108" w:type="dxa"/>
            <w:bottom w:w="0" w:type="dxa"/>
            <w:right w:w="108" w:type="dxa"/>
          </w:tblCellMar>
        </w:tblPrEx>
        <w:trPr>
          <w:trHeight w:val="283"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eastAsia="宋体" w:cs="宋体"/>
                <w:color w:val="000000"/>
                <w:kern w:val="0"/>
                <w:sz w:val="24"/>
                <w:lang w:val="en-US" w:eastAsia="zh-CN"/>
              </w:rPr>
            </w:pPr>
            <w:r>
              <w:rPr>
                <w:rFonts w:hint="eastAsia" w:ascii="宋体" w:cs="宋体"/>
                <w:color w:val="000000"/>
                <w:kern w:val="0"/>
                <w:sz w:val="24"/>
                <w:lang w:val="en-US" w:eastAsia="zh-CN"/>
              </w:rPr>
              <w:t>土建</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hAnsi="Times New Roman" w:eastAsia="宋体" w:cs="宋体"/>
                <w:color w:val="000000"/>
                <w:kern w:val="0"/>
                <w:sz w:val="24"/>
                <w:szCs w:val="24"/>
                <w:lang w:val="en-US" w:eastAsia="zh-CN" w:bidi="ar-SA"/>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0"/>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3"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lang w:val="en-US" w:eastAsia="zh-CN"/>
              </w:rPr>
            </w:pPr>
            <w:r>
              <w:rPr>
                <w:rFonts w:hint="eastAsia" w:ascii="宋体" w:cs="宋体"/>
                <w:color w:val="000000"/>
                <w:kern w:val="0"/>
                <w:sz w:val="24"/>
                <w:lang w:val="en-US" w:eastAsia="zh-CN"/>
              </w:rPr>
              <w:t>站内市政</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0"/>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3"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cs="宋体"/>
                <w:color w:val="000000"/>
                <w:kern w:val="0"/>
                <w:sz w:val="24"/>
                <w:lang w:val="en-US" w:eastAsia="zh-CN"/>
              </w:rPr>
            </w:pPr>
            <w:r>
              <w:rPr>
                <w:rFonts w:hint="eastAsia" w:ascii="宋体" w:cs="宋体"/>
                <w:color w:val="000000"/>
                <w:kern w:val="0"/>
                <w:sz w:val="24"/>
                <w:lang w:val="en-US" w:eastAsia="zh-CN"/>
              </w:rPr>
              <w:t>装饰装修</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0"/>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3"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lang w:val="en-US" w:eastAsia="zh-CN"/>
              </w:rPr>
            </w:pPr>
            <w:r>
              <w:rPr>
                <w:rFonts w:hint="eastAsia" w:ascii="宋体" w:cs="宋体"/>
                <w:color w:val="000000"/>
                <w:kern w:val="0"/>
                <w:sz w:val="24"/>
                <w:lang w:val="en-US" w:eastAsia="zh-CN"/>
              </w:rPr>
              <w:t>桥架、管道、电缆沟、排管</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0"/>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3"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cs="宋体"/>
                <w:color w:val="000000"/>
                <w:kern w:val="0"/>
                <w:sz w:val="24"/>
                <w:lang w:val="en-US" w:eastAsia="zh-CN"/>
              </w:rPr>
            </w:pPr>
            <w:r>
              <w:rPr>
                <w:rFonts w:hint="eastAsia" w:ascii="宋体" w:cs="宋体"/>
                <w:color w:val="000000"/>
                <w:kern w:val="0"/>
                <w:sz w:val="24"/>
                <w:lang w:val="en-US" w:eastAsia="zh-CN"/>
              </w:rPr>
              <w:t>预埋件</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0"/>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eastAsia="宋体" w:cs="宋体"/>
                <w:color w:val="000000"/>
                <w:kern w:val="0"/>
                <w:sz w:val="24"/>
                <w:lang w:val="en-US" w:eastAsia="zh-CN"/>
              </w:rPr>
            </w:pPr>
            <w:r>
              <w:rPr>
                <w:rFonts w:hint="eastAsia" w:ascii="宋体" w:cs="宋体"/>
                <w:color w:val="000000"/>
                <w:kern w:val="0"/>
                <w:sz w:val="24"/>
                <w:lang w:val="en-US" w:eastAsia="zh-CN"/>
              </w:rPr>
              <w:t>暖通空调</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cs="宋体"/>
                <w:color w:val="000000"/>
                <w:kern w:val="0"/>
                <w:sz w:val="24"/>
                <w:lang w:val="en-US" w:eastAsia="zh-CN"/>
              </w:rPr>
            </w:pPr>
            <w:r>
              <w:rPr>
                <w:rFonts w:hint="eastAsia" w:ascii="宋体" w:cs="宋体"/>
                <w:color w:val="000000"/>
                <w:kern w:val="0"/>
                <w:sz w:val="24"/>
                <w:lang w:val="en-US" w:eastAsia="zh-CN"/>
              </w:rPr>
              <w:t>事故油池、绿化</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eastAsia="宋体" w:cs="宋体"/>
                <w:color w:val="000000"/>
                <w:kern w:val="0"/>
                <w:sz w:val="24"/>
                <w:lang w:val="en-US" w:eastAsia="zh-CN"/>
              </w:rPr>
            </w:pPr>
            <w:r>
              <w:rPr>
                <w:rFonts w:hint="eastAsia" w:ascii="宋体" w:cs="宋体"/>
                <w:color w:val="000000"/>
                <w:kern w:val="0"/>
                <w:sz w:val="24"/>
                <w:lang w:val="en-US" w:eastAsia="zh-CN"/>
              </w:rPr>
              <w:t>给排水</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eastAsia="宋体" w:cs="宋体"/>
                <w:color w:val="000000"/>
                <w:kern w:val="0"/>
                <w:sz w:val="24"/>
                <w:lang w:val="en-US" w:eastAsia="zh-CN"/>
              </w:rPr>
            </w:pPr>
            <w:r>
              <w:rPr>
                <w:rFonts w:hint="eastAsia" w:ascii="宋体" w:cs="宋体"/>
                <w:color w:val="000000"/>
                <w:kern w:val="0"/>
                <w:sz w:val="24"/>
                <w:lang w:val="en-US" w:eastAsia="zh-CN"/>
              </w:rPr>
              <w:t>消防系统</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eastAsia="宋体" w:cs="宋体"/>
                <w:color w:val="000000"/>
                <w:kern w:val="0"/>
                <w:sz w:val="24"/>
                <w:lang w:val="en-US" w:eastAsia="zh-CN"/>
              </w:rPr>
            </w:pPr>
            <w:r>
              <w:rPr>
                <w:rFonts w:hint="eastAsia" w:ascii="宋体" w:cs="宋体"/>
                <w:color w:val="000000"/>
                <w:kern w:val="0"/>
                <w:sz w:val="24"/>
                <w:lang w:val="en-US" w:eastAsia="zh-CN"/>
              </w:rPr>
              <w:t>弱电系统</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eastAsia="宋体" w:cs="宋体"/>
                <w:color w:val="000000"/>
                <w:kern w:val="0"/>
                <w:sz w:val="24"/>
                <w:lang w:val="en-US" w:eastAsia="zh-CN"/>
              </w:rPr>
            </w:pPr>
            <w:r>
              <w:rPr>
                <w:rFonts w:hint="eastAsia" w:ascii="宋体" w:cs="宋体"/>
                <w:color w:val="000000"/>
                <w:kern w:val="0"/>
                <w:sz w:val="24"/>
                <w:lang w:val="en-US" w:eastAsia="zh-CN"/>
              </w:rPr>
              <w:t>照明系统</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cs="宋体"/>
                <w:color w:val="000000"/>
                <w:kern w:val="0"/>
                <w:sz w:val="24"/>
                <w:lang w:val="en-US" w:eastAsia="zh-CN"/>
              </w:rPr>
            </w:pPr>
            <w:r>
              <w:rPr>
                <w:rFonts w:hint="eastAsia" w:ascii="宋体" w:cs="宋体"/>
                <w:color w:val="000000"/>
                <w:kern w:val="0"/>
                <w:sz w:val="24"/>
                <w:lang w:val="en-US" w:eastAsia="zh-CN"/>
              </w:rPr>
              <w:t>环境保护、节能</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5" w:hRule="atLeast"/>
        </w:trPr>
        <w:tc>
          <w:tcPr>
            <w:tcW w:w="947" w:type="dxa"/>
            <w:vMerge w:val="continue"/>
            <w:tcBorders>
              <w:left w:val="single" w:color="auto" w:sz="4" w:space="0"/>
              <w:bottom w:val="single" w:color="000000" w:sz="4" w:space="0"/>
              <w:right w:val="single" w:color="auto" w:sz="4" w:space="0"/>
            </w:tcBorders>
            <w:noWrap w:val="0"/>
            <w:vAlign w:val="center"/>
          </w:tcPr>
          <w:p/>
        </w:tc>
        <w:tc>
          <w:tcPr>
            <w:tcW w:w="1970"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cs="宋体"/>
                <w:color w:val="000000"/>
                <w:kern w:val="0"/>
                <w:sz w:val="24"/>
                <w:lang w:val="en-US" w:eastAsia="zh-CN"/>
              </w:rPr>
            </w:pPr>
            <w:r>
              <w:rPr>
                <w:rFonts w:hint="eastAsia" w:ascii="宋体" w:cs="宋体"/>
                <w:color w:val="000000"/>
                <w:kern w:val="0"/>
                <w:sz w:val="24"/>
                <w:lang w:val="en-US" w:eastAsia="zh-CN"/>
              </w:rPr>
              <w:t>防雷接地</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r>
      <w:tr>
        <w:tblPrEx>
          <w:tblCellMar>
            <w:top w:w="0" w:type="dxa"/>
            <w:left w:w="108" w:type="dxa"/>
            <w:bottom w:w="0" w:type="dxa"/>
            <w:right w:w="108" w:type="dxa"/>
          </w:tblCellMar>
        </w:tblPrEx>
        <w:trPr>
          <w:trHeight w:val="285" w:hRule="atLeast"/>
        </w:trPr>
        <w:tc>
          <w:tcPr>
            <w:tcW w:w="2917" w:type="dxa"/>
            <w:gridSpan w:val="2"/>
            <w:tcBorders>
              <w:top w:val="single" w:color="auto" w:sz="4" w:space="0"/>
              <w:left w:val="single" w:color="auto" w:sz="4" w:space="0"/>
              <w:bottom w:val="single" w:color="auto" w:sz="4" w:space="0"/>
              <w:right w:val="single" w:color="auto" w:sz="4" w:space="0"/>
            </w:tcBorders>
            <w:noWrap/>
            <w:vAlign w:val="center"/>
          </w:tcPr>
          <w:p>
            <w:pPr>
              <w:widowControl/>
              <w:tabs>
                <w:tab w:val="left" w:pos="0"/>
              </w:tabs>
              <w:jc w:val="left"/>
              <w:rPr>
                <w:rFonts w:hint="default" w:ascii="宋体" w:eastAsia="宋体" w:cs="宋体"/>
                <w:color w:val="000000"/>
                <w:kern w:val="0"/>
                <w:sz w:val="24"/>
                <w:lang w:val="en-US" w:eastAsia="zh-CN"/>
              </w:rPr>
            </w:pPr>
            <w:r>
              <w:rPr>
                <w:rFonts w:hint="eastAsia" w:ascii="宋体" w:cs="宋体"/>
                <w:color w:val="000000"/>
                <w:kern w:val="0"/>
                <w:sz w:val="24"/>
                <w:lang w:val="en-US" w:eastAsia="zh-CN"/>
              </w:rPr>
              <w:t>交接验收、中间验收、送电验收、资料、纸质版图纸、电子版图纸、相关报告及批复</w:t>
            </w:r>
          </w:p>
        </w:tc>
        <w:tc>
          <w:tcPr>
            <w:tcW w:w="520" w:type="dxa"/>
            <w:tcBorders>
              <w:top w:val="nil"/>
              <w:left w:val="nil"/>
              <w:bottom w:val="single" w:color="auto" w:sz="4" w:space="0"/>
              <w:right w:val="single" w:color="auto" w:sz="4" w:space="0"/>
            </w:tcBorders>
            <w:noWrap/>
            <w:vAlign w:val="center"/>
          </w:tcPr>
          <w:p>
            <w:pPr>
              <w:widowControl/>
              <w:tabs>
                <w:tab w:val="left" w:pos="0"/>
              </w:tabs>
              <w:jc w:val="center"/>
              <w:rPr>
                <w:rFonts w:hint="eastAsia" w:ascii="宋体" w:cs="宋体"/>
                <w:color w:val="000000"/>
                <w:kern w:val="0"/>
                <w:sz w:val="24"/>
              </w:rPr>
            </w:pPr>
            <w:r>
              <w:rPr>
                <w:rFonts w:hint="eastAsia" w:ascii="宋体" w:cs="宋体"/>
                <w:color w:val="000000"/>
                <w:kern w:val="0"/>
                <w:sz w:val="24"/>
              </w:rPr>
              <w:t>√</w:t>
            </w:r>
          </w:p>
        </w:tc>
        <w:tc>
          <w:tcPr>
            <w:tcW w:w="418" w:type="dxa"/>
            <w:tcBorders>
              <w:top w:val="nil"/>
              <w:left w:val="nil"/>
              <w:bottom w:val="single" w:color="auto" w:sz="4" w:space="0"/>
              <w:right w:val="single" w:color="auto" w:sz="4" w:space="0"/>
            </w:tcBorders>
            <w:noWrap/>
            <w:vAlign w:val="center"/>
          </w:tcPr>
          <w:p>
            <w:pPr>
              <w:widowControl/>
              <w:tabs>
                <w:tab w:val="left" w:pos="0"/>
              </w:tabs>
              <w:jc w:val="left"/>
              <w:rPr>
                <w:rFonts w:hint="eastAsia" w:ascii="宋体" w:cs="宋体"/>
                <w:color w:val="000000"/>
                <w:kern w:val="0"/>
                <w:sz w:val="24"/>
              </w:rPr>
            </w:pPr>
          </w:p>
        </w:tc>
        <w:tc>
          <w:tcPr>
            <w:tcW w:w="5438" w:type="dxa"/>
            <w:tcBorders>
              <w:top w:val="nil"/>
              <w:left w:val="nil"/>
              <w:bottom w:val="single" w:color="auto" w:sz="4" w:space="0"/>
              <w:right w:val="single" w:color="auto" w:sz="4" w:space="0"/>
            </w:tcBorders>
            <w:noWrap/>
            <w:vAlign w:val="center"/>
          </w:tcPr>
          <w:p>
            <w:pPr>
              <w:widowControl/>
              <w:tabs>
                <w:tab w:val="left" w:pos="0"/>
              </w:tabs>
              <w:jc w:val="left"/>
              <w:rPr>
                <w:rFonts w:hint="default" w:ascii="宋体" w:eastAsia="宋体" w:cs="宋体"/>
                <w:color w:val="000000"/>
                <w:kern w:val="0"/>
                <w:sz w:val="24"/>
                <w:lang w:val="en-US" w:eastAsia="zh-CN"/>
              </w:rPr>
            </w:pPr>
          </w:p>
        </w:tc>
      </w:tr>
    </w:tbl>
    <w:p>
      <w:pPr>
        <w:spacing w:line="460" w:lineRule="exact"/>
        <w:jc w:val="left"/>
        <w:outlineLvl w:val="9"/>
        <w:rPr>
          <w:rFonts w:hint="eastAsia"/>
          <w:b/>
          <w:bCs/>
          <w:color w:val="000000"/>
          <w:sz w:val="28"/>
          <w:szCs w:val="28"/>
          <w:lang w:val="en-US" w:eastAsia="zh-CN"/>
        </w:rPr>
      </w:pPr>
    </w:p>
    <w:p>
      <w:pPr>
        <w:spacing w:line="460" w:lineRule="exact"/>
        <w:jc w:val="left"/>
        <w:outlineLvl w:val="9"/>
        <w:rPr>
          <w:rFonts w:hint="eastAsia"/>
          <w:b/>
          <w:bCs/>
          <w:color w:val="000000"/>
          <w:sz w:val="28"/>
          <w:szCs w:val="28"/>
          <w:lang w:val="en-US" w:eastAsia="zh-CN"/>
        </w:rPr>
      </w:pPr>
    </w:p>
    <w:p>
      <w:pPr>
        <w:spacing w:line="460" w:lineRule="exact"/>
        <w:jc w:val="left"/>
        <w:outlineLvl w:val="9"/>
        <w:rPr>
          <w:rFonts w:hint="eastAsia"/>
          <w:b/>
          <w:bCs/>
          <w:color w:val="000000"/>
          <w:sz w:val="28"/>
          <w:szCs w:val="28"/>
          <w:lang w:val="en-US" w:eastAsia="zh-CN"/>
        </w:rPr>
      </w:pPr>
    </w:p>
    <w:p>
      <w:pPr>
        <w:spacing w:line="460" w:lineRule="exact"/>
        <w:jc w:val="left"/>
        <w:outlineLvl w:val="9"/>
        <w:rPr>
          <w:rFonts w:hint="eastAsia"/>
          <w:b/>
          <w:bCs/>
          <w:color w:val="000000"/>
          <w:sz w:val="28"/>
          <w:szCs w:val="28"/>
          <w:lang w:val="en-US" w:eastAsia="zh-CN"/>
        </w:rPr>
      </w:pPr>
    </w:p>
    <w:p>
      <w:pPr>
        <w:spacing w:line="460" w:lineRule="exact"/>
        <w:jc w:val="left"/>
        <w:outlineLvl w:val="9"/>
        <w:rPr>
          <w:rFonts w:hint="eastAsia"/>
          <w:b/>
          <w:bCs/>
          <w:color w:val="000000"/>
          <w:sz w:val="28"/>
          <w:szCs w:val="28"/>
          <w:lang w:val="en-US" w:eastAsia="zh-CN"/>
        </w:rPr>
      </w:pPr>
    </w:p>
    <w:p>
      <w:pPr>
        <w:spacing w:line="460" w:lineRule="exact"/>
        <w:jc w:val="left"/>
        <w:outlineLvl w:val="9"/>
        <w:rPr>
          <w:rFonts w:hint="default"/>
          <w:b/>
          <w:bCs/>
          <w:color w:val="000000"/>
          <w:sz w:val="28"/>
          <w:szCs w:val="28"/>
          <w:lang w:val="en-US" w:eastAsia="zh-CN"/>
        </w:rPr>
      </w:pPr>
    </w:p>
    <w:p>
      <w:pPr>
        <w:spacing w:line="460" w:lineRule="exact"/>
        <w:jc w:val="left"/>
        <w:outlineLvl w:val="1"/>
        <w:rPr>
          <w:rFonts w:hint="default"/>
          <w:b/>
          <w:bCs/>
          <w:color w:val="000000"/>
          <w:sz w:val="28"/>
          <w:szCs w:val="28"/>
          <w:lang w:val="en-US" w:eastAsia="zh-CN"/>
        </w:rPr>
      </w:pPr>
    </w:p>
    <w:p>
      <w:pPr>
        <w:numPr>
          <w:ilvl w:val="0"/>
          <w:numId w:val="0"/>
        </w:numPr>
        <w:adjustRightInd w:val="0"/>
        <w:snapToGrid w:val="0"/>
        <w:spacing w:line="348" w:lineRule="auto"/>
        <w:jc w:val="left"/>
        <w:rPr>
          <w:rFonts w:hint="eastAsia"/>
          <w:color w:val="000000"/>
          <w:sz w:val="28"/>
          <w:szCs w:val="28"/>
          <w:lang w:val="en-US" w:eastAsia="zh-CN"/>
        </w:rPr>
      </w:pPr>
    </w:p>
    <w:p>
      <w:pPr>
        <w:numPr>
          <w:ilvl w:val="0"/>
          <w:numId w:val="0"/>
        </w:numPr>
        <w:adjustRightInd w:val="0"/>
        <w:snapToGrid w:val="0"/>
        <w:spacing w:line="348" w:lineRule="auto"/>
        <w:jc w:val="left"/>
        <w:rPr>
          <w:rFonts w:hint="eastAsia"/>
          <w:color w:val="000000"/>
          <w:sz w:val="28"/>
          <w:szCs w:val="28"/>
          <w:lang w:val="en-US" w:eastAsia="zh-CN"/>
        </w:rPr>
      </w:pPr>
    </w:p>
    <w:p>
      <w:pPr>
        <w:numPr>
          <w:ilvl w:val="0"/>
          <w:numId w:val="0"/>
        </w:numPr>
        <w:adjustRightInd w:val="0"/>
        <w:snapToGrid w:val="0"/>
        <w:spacing w:line="348" w:lineRule="auto"/>
        <w:jc w:val="left"/>
        <w:rPr>
          <w:rFonts w:hint="eastAsia"/>
          <w:color w:val="000000"/>
          <w:sz w:val="28"/>
          <w:szCs w:val="28"/>
          <w:lang w:val="en-US" w:eastAsia="zh-CN"/>
        </w:rPr>
      </w:pPr>
    </w:p>
    <w:p>
      <w:pPr>
        <w:numPr>
          <w:ilvl w:val="0"/>
          <w:numId w:val="0"/>
        </w:numPr>
        <w:adjustRightInd w:val="0"/>
        <w:snapToGrid w:val="0"/>
        <w:spacing w:line="348" w:lineRule="auto"/>
        <w:jc w:val="left"/>
        <w:rPr>
          <w:rFonts w:hint="eastAsia"/>
          <w:color w:val="000000"/>
          <w:sz w:val="28"/>
          <w:szCs w:val="28"/>
          <w:lang w:val="en-US" w:eastAsia="zh-CN"/>
        </w:rPr>
      </w:pPr>
    </w:p>
    <w:p>
      <w:pPr>
        <w:numPr>
          <w:ilvl w:val="0"/>
          <w:numId w:val="0"/>
        </w:numPr>
        <w:adjustRightInd w:val="0"/>
        <w:snapToGrid w:val="0"/>
        <w:spacing w:line="348" w:lineRule="auto"/>
        <w:jc w:val="left"/>
        <w:rPr>
          <w:rFonts w:hint="eastAsia"/>
          <w:color w:val="000000"/>
          <w:sz w:val="28"/>
          <w:szCs w:val="28"/>
          <w:lang w:val="en-US" w:eastAsia="zh-CN"/>
        </w:rPr>
      </w:pPr>
    </w:p>
    <w:p>
      <w:pPr>
        <w:spacing w:line="460" w:lineRule="exact"/>
        <w:ind w:firstLine="482"/>
        <w:jc w:val="left"/>
        <w:rPr>
          <w:rFonts w:hint="default"/>
          <w:color w:val="000000"/>
          <w:sz w:val="28"/>
          <w:szCs w:val="28"/>
          <w:lang w:val="en-US" w:eastAsia="zh-CN"/>
        </w:rPr>
      </w:pPr>
    </w:p>
    <w:sectPr>
      <w:headerReference r:id="rId7" w:type="default"/>
      <w:footerReference r:id="rId8" w:type="default"/>
      <w:type w:val="nextColumn"/>
      <w:pgSz w:w="11906" w:h="16838"/>
      <w:pgMar w:top="1402" w:right="1418" w:bottom="1246" w:left="1838" w:header="1021" w:footer="907"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2FF" w:usb1="400004FF" w:usb2="00000000" w:usb3="00000000" w:csb0="2000019F" w:csb1="00000000"/>
  </w:font>
  <w:font w:name="楷体">
    <w:panose1 w:val="02010609060101010101"/>
    <w:charset w:val="86"/>
    <w:family w:val="modern"/>
    <w:pitch w:val="default"/>
    <w:sig w:usb0="800002BF" w:usb1="38CF7CFA" w:usb2="00000016" w:usb3="00000000" w:csb0="00040001" w:csb1="00000000"/>
  </w:font>
  <w:font w:name="仿宋体">
    <w:altName w:val="宋体"/>
    <w:panose1 w:val="00000000000000000000"/>
    <w:charset w:val="86"/>
    <w:family w:val="roman"/>
    <w:pitch w:val="default"/>
    <w:sig w:usb0="00000000" w:usb1="00000000" w:usb2="00000010" w:usb3="00000000" w:csb0="00040000"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Arial Unicode MS">
    <w:panose1 w:val="020B0604020202020204"/>
    <w:charset w:val="86"/>
    <w:family w:val="swiss"/>
    <w:pitch w:val="default"/>
    <w:sig w:usb0="FFFFFFFF" w:usb1="E9FFFFFF" w:usb2="0000003F" w:usb3="00000000" w:csb0="603F01FF" w:csb1="FFFF0000"/>
  </w:font>
  <w:font w:name="Verdana">
    <w:panose1 w:val="020B06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MS Sans Serif">
    <w:altName w:val="Segoe Print"/>
    <w:panose1 w:val="00000000000000000000"/>
    <w:charset w:val="00"/>
    <w:family w:val="swiss"/>
    <w:pitch w:val="default"/>
    <w:sig w:usb0="00000000" w:usb1="00000000" w:usb2="00000000" w:usb3="00000000" w:csb0="00000001" w:csb1="00000000"/>
  </w:font>
  <w:font w:name="DFKai-SB">
    <w:panose1 w:val="03000509000000000000"/>
    <w:charset w:val="88"/>
    <w:family w:val="script"/>
    <w:pitch w:val="default"/>
    <w:sig w:usb0="00000003" w:usb1="082E0000" w:usb2="00000016" w:usb3="00000000" w:csb0="00100001" w:csb1="00000000"/>
  </w:font>
  <w:font w:name="等线">
    <w:altName w:val="Arial Unicode MS"/>
    <w:panose1 w:val="02010600030101010101"/>
    <w:charset w:val="86"/>
    <w:family w:val="auto"/>
    <w:pitch w:val="default"/>
    <w:sig w:usb0="00000000" w:usb1="00000000" w:usb2="00000016" w:usb3="00000000" w:csb0="0004000F" w:csb1="00000000"/>
  </w:font>
  <w:font w:name="PMingLiU">
    <w:panose1 w:val="02020500000000000000"/>
    <w:charset w:val="88"/>
    <w:family w:val="auto"/>
    <w:pitch w:val="default"/>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1"/>
      <w:jc w:val="center"/>
    </w:pPr>
    <w:r>
      <w:rPr>
        <w:rFonts w:hint="eastAsia"/>
      </w:rPr>
      <w:t xml:space="preserve"> </w:t>
    </w:r>
  </w:p>
  <w:p>
    <w:pPr>
      <w:pStyle w:val="4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1"/>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1"/>
                            <w:jc w:val="center"/>
                          </w:pPr>
                          <w:r>
                            <w:fldChar w:fldCharType="begin"/>
                          </w:r>
                          <w:r>
                            <w:instrText xml:space="preserve"> PAGE   \* MERGEFORMAT </w:instrText>
                          </w:r>
                          <w:r>
                            <w:fldChar w:fldCharType="separate"/>
                          </w:r>
                          <w:r>
                            <w:rPr>
                              <w:lang w:val="zh-CN"/>
                            </w:rPr>
                            <w:t>15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OJUQ0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9MrSgzTqPj5x/fz&#10;z9/nX98IziBQ7cIccQ8OkbF5Zxu0zXAecJh4N6XX6QtGBH7Ie7rIK5pIeLo0m85mY7g4fMMG+NnT&#10;dedDfC+sJsnIqUf9WlnZcRtiFzqEpGzGbqRSbQ2VIXVOr6/ejt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FOJUQ0zAgAAYwQAAA4AAAAAAAAAAQAgAAAAHwEAAGRycy9lMm9Eb2MueG1sUEsF&#10;BgAAAAAGAAYAWQEAAMQFAAAAAA==&#10;">
              <v:fill on="f" focussize="0,0"/>
              <v:stroke on="f" weight="0.5pt"/>
              <v:imagedata o:title=""/>
              <o:lock v:ext="edit" aspectratio="f"/>
              <v:textbox inset="0mm,0mm,0mm,0mm" style="mso-fit-shape-to-text:t;">
                <w:txbxContent>
                  <w:p>
                    <w:pPr>
                      <w:pStyle w:val="41"/>
                      <w:jc w:val="center"/>
                    </w:pPr>
                    <w:r>
                      <w:fldChar w:fldCharType="begin"/>
                    </w:r>
                    <w:r>
                      <w:instrText xml:space="preserve"> PAGE   \* MERGEFORMAT </w:instrText>
                    </w:r>
                    <w:r>
                      <w:fldChar w:fldCharType="separate"/>
                    </w:r>
                    <w:r>
                      <w:rPr>
                        <w:lang w:val="zh-CN"/>
                      </w:rPr>
                      <w:t>15</w:t>
                    </w:r>
                    <w:r>
                      <w:fldChar w:fldCharType="end"/>
                    </w:r>
                  </w:p>
                </w:txbxContent>
              </v:textbox>
            </v:shape>
          </w:pict>
        </mc:Fallback>
      </mc:AlternateContent>
    </w:r>
  </w:p>
  <w:p>
    <w:pPr>
      <w:pStyle w:val="41"/>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2"/>
      <w:jc w:val="both"/>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2"/>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pStyle w:val="42"/>
                    </w:pPr>
                  </w:p>
                </w:txbxContent>
              </v:textbox>
            </v:shape>
          </w:pict>
        </mc:Fallback>
      </mc:AlternateContent>
    </w:r>
    <w:r>
      <w:rPr>
        <w:rFonts w:hint="eastAsia"/>
      </w:rPr>
      <w:t>乌江涪陵榨菜绿色智能化生产基地110kV专用变电站</w:t>
    </w:r>
    <w:r>
      <w:rPr>
        <w:rFonts w:hint="eastAsia"/>
        <w:lang w:val="en-US" w:eastAsia="zh-CN"/>
      </w:rPr>
      <w:t>勘察设计招标</w:t>
    </w:r>
    <w:r>
      <w:rPr>
        <w:rFonts w:hint="eastAsia"/>
      </w:rPr>
      <w:t xml:space="preserve">          </w:t>
    </w:r>
    <w:r>
      <w:t xml:space="preserve">                        </w:t>
    </w:r>
    <w:r>
      <w:rPr>
        <w:rFonts w:hint="eastAsia"/>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2"/>
      <w:jc w:val="both"/>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2"/>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pPr>
                      <w:pStyle w:val="42"/>
                    </w:pPr>
                  </w:p>
                </w:txbxContent>
              </v:textbox>
            </v:shape>
          </w:pict>
        </mc:Fallback>
      </mc:AlternateContent>
    </w:r>
    <w:r>
      <w:rPr>
        <w:rFonts w:hint="eastAsia"/>
      </w:rPr>
      <w:t>乌江涪陵榨菜绿色智能化生产基地110kV专用变电站</w:t>
    </w:r>
    <w:r>
      <w:rPr>
        <w:rFonts w:hint="eastAsia"/>
        <w:lang w:val="en-US" w:eastAsia="zh-CN"/>
      </w:rPr>
      <w:t>勘察设计招标</w:t>
    </w:r>
    <w:r>
      <w:rPr>
        <w:rFonts w:hint="eastAsia"/>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2"/>
      <w:jc w:val="both"/>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pPr>
                      <w:pStyle w:val="42"/>
                    </w:pPr>
                    <w:r>
                      <w:fldChar w:fldCharType="begin"/>
                    </w:r>
                    <w:r>
                      <w:instrText xml:space="preserve"> PAGE  \* MERGEFORMAT </w:instrText>
                    </w:r>
                    <w:r>
                      <w:fldChar w:fldCharType="separate"/>
                    </w:r>
                    <w:r>
                      <w:t>1</w:t>
                    </w:r>
                    <w:r>
                      <w:fldChar w:fldCharType="end"/>
                    </w:r>
                  </w:p>
                </w:txbxContent>
              </v:textbox>
            </v:shape>
          </w:pict>
        </mc:Fallback>
      </mc:AlternateContent>
    </w:r>
    <w:r>
      <w:t xml:space="preserve"> </w:t>
    </w:r>
    <w:r>
      <w:rPr>
        <w:rFonts w:hint="eastAsia"/>
      </w:rPr>
      <w:t xml:space="preserve">   乌江涪陵榨菜绿色智能化生产基地110kV专用变电站</w:t>
    </w:r>
    <w:r>
      <w:rPr>
        <w:rFonts w:hint="eastAsia"/>
        <w:lang w:val="en-US" w:eastAsia="zh-CN"/>
      </w:rPr>
      <w:t>设备</w:t>
    </w:r>
    <w:r>
      <w:rPr>
        <w:rFonts w:hint="eastAsia"/>
      </w:rPr>
      <w:t xml:space="preserve">招标                    </w:t>
    </w:r>
    <w:r>
      <w:t xml:space="preserve">                </w:t>
    </w:r>
    <w:r>
      <w:rPr>
        <w:rFonts w:hint="eastAsia"/>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F1AB70"/>
    <w:multiLevelType w:val="singleLevel"/>
    <w:tmpl w:val="80F1AB70"/>
    <w:lvl w:ilvl="0" w:tentative="0">
      <w:start w:val="1"/>
      <w:numFmt w:val="decimal"/>
      <w:suff w:val="nothing"/>
      <w:lvlText w:val="%1、"/>
      <w:lvlJc w:val="left"/>
    </w:lvl>
  </w:abstractNum>
  <w:abstractNum w:abstractNumId="1">
    <w:nsid w:val="83E1BAA5"/>
    <w:multiLevelType w:val="singleLevel"/>
    <w:tmpl w:val="83E1BAA5"/>
    <w:lvl w:ilvl="0" w:tentative="0">
      <w:start w:val="1"/>
      <w:numFmt w:val="decimal"/>
      <w:suff w:val="nothing"/>
      <w:lvlText w:val="%1、"/>
      <w:lvlJc w:val="left"/>
    </w:lvl>
  </w:abstractNum>
  <w:abstractNum w:abstractNumId="2">
    <w:nsid w:val="89A102BA"/>
    <w:multiLevelType w:val="singleLevel"/>
    <w:tmpl w:val="89A102BA"/>
    <w:lvl w:ilvl="0" w:tentative="0">
      <w:start w:val="1"/>
      <w:numFmt w:val="decimal"/>
      <w:suff w:val="nothing"/>
      <w:lvlText w:val="%1、"/>
      <w:lvlJc w:val="left"/>
    </w:lvl>
  </w:abstractNum>
  <w:abstractNum w:abstractNumId="3">
    <w:nsid w:val="8C5CDFF1"/>
    <w:multiLevelType w:val="singleLevel"/>
    <w:tmpl w:val="8C5CDFF1"/>
    <w:lvl w:ilvl="0" w:tentative="0">
      <w:start w:val="1"/>
      <w:numFmt w:val="decimal"/>
      <w:suff w:val="nothing"/>
      <w:lvlText w:val="（%1）"/>
      <w:lvlJc w:val="left"/>
    </w:lvl>
  </w:abstractNum>
  <w:abstractNum w:abstractNumId="4">
    <w:nsid w:val="8EF3A513"/>
    <w:multiLevelType w:val="singleLevel"/>
    <w:tmpl w:val="8EF3A513"/>
    <w:lvl w:ilvl="0" w:tentative="0">
      <w:start w:val="9"/>
      <w:numFmt w:val="decimal"/>
      <w:suff w:val="nothing"/>
      <w:lvlText w:val="（%1）"/>
      <w:lvlJc w:val="left"/>
    </w:lvl>
  </w:abstractNum>
  <w:abstractNum w:abstractNumId="5">
    <w:nsid w:val="968D5573"/>
    <w:multiLevelType w:val="singleLevel"/>
    <w:tmpl w:val="968D5573"/>
    <w:lvl w:ilvl="0" w:tentative="0">
      <w:start w:val="1"/>
      <w:numFmt w:val="decimal"/>
      <w:suff w:val="nothing"/>
      <w:lvlText w:val="%1、"/>
      <w:lvlJc w:val="left"/>
      <w:pPr>
        <w:ind w:left="210"/>
      </w:pPr>
    </w:lvl>
  </w:abstractNum>
  <w:abstractNum w:abstractNumId="6">
    <w:nsid w:val="9A1B6B71"/>
    <w:multiLevelType w:val="singleLevel"/>
    <w:tmpl w:val="9A1B6B71"/>
    <w:lvl w:ilvl="0" w:tentative="0">
      <w:start w:val="1"/>
      <w:numFmt w:val="decimal"/>
      <w:suff w:val="nothing"/>
      <w:lvlText w:val="（%1）"/>
      <w:lvlJc w:val="left"/>
    </w:lvl>
  </w:abstractNum>
  <w:abstractNum w:abstractNumId="7">
    <w:nsid w:val="9C67D9C0"/>
    <w:multiLevelType w:val="singleLevel"/>
    <w:tmpl w:val="9C67D9C0"/>
    <w:lvl w:ilvl="0" w:tentative="0">
      <w:start w:val="2"/>
      <w:numFmt w:val="decimal"/>
      <w:suff w:val="nothing"/>
      <w:lvlText w:val="%1、"/>
      <w:lvlJc w:val="left"/>
    </w:lvl>
  </w:abstractNum>
  <w:abstractNum w:abstractNumId="8">
    <w:nsid w:val="A0D9B259"/>
    <w:multiLevelType w:val="singleLevel"/>
    <w:tmpl w:val="A0D9B259"/>
    <w:lvl w:ilvl="0" w:tentative="0">
      <w:start w:val="2"/>
      <w:numFmt w:val="decimal"/>
      <w:suff w:val="nothing"/>
      <w:lvlText w:val="%1、"/>
      <w:lvlJc w:val="left"/>
    </w:lvl>
  </w:abstractNum>
  <w:abstractNum w:abstractNumId="9">
    <w:nsid w:val="A11E6DB6"/>
    <w:multiLevelType w:val="singleLevel"/>
    <w:tmpl w:val="A11E6DB6"/>
    <w:lvl w:ilvl="0" w:tentative="0">
      <w:start w:val="1"/>
      <w:numFmt w:val="decimal"/>
      <w:suff w:val="nothing"/>
      <w:lvlText w:val="%1、"/>
      <w:lvlJc w:val="left"/>
    </w:lvl>
  </w:abstractNum>
  <w:abstractNum w:abstractNumId="10">
    <w:nsid w:val="A26FFC2C"/>
    <w:multiLevelType w:val="singleLevel"/>
    <w:tmpl w:val="A26FFC2C"/>
    <w:lvl w:ilvl="0" w:tentative="0">
      <w:start w:val="1"/>
      <w:numFmt w:val="decimal"/>
      <w:suff w:val="nothing"/>
      <w:lvlText w:val="（%1）"/>
      <w:lvlJc w:val="left"/>
    </w:lvl>
  </w:abstractNum>
  <w:abstractNum w:abstractNumId="11">
    <w:nsid w:val="A59660C8"/>
    <w:multiLevelType w:val="singleLevel"/>
    <w:tmpl w:val="A59660C8"/>
    <w:lvl w:ilvl="0" w:tentative="0">
      <w:start w:val="7"/>
      <w:numFmt w:val="decimal"/>
      <w:suff w:val="nothing"/>
      <w:lvlText w:val="%1）"/>
      <w:lvlJc w:val="left"/>
    </w:lvl>
  </w:abstractNum>
  <w:abstractNum w:abstractNumId="12">
    <w:nsid w:val="ABDE745A"/>
    <w:multiLevelType w:val="singleLevel"/>
    <w:tmpl w:val="ABDE745A"/>
    <w:lvl w:ilvl="0" w:tentative="0">
      <w:start w:val="1"/>
      <w:numFmt w:val="decimal"/>
      <w:suff w:val="nothing"/>
      <w:lvlText w:val="%1、"/>
      <w:lvlJc w:val="left"/>
    </w:lvl>
  </w:abstractNum>
  <w:abstractNum w:abstractNumId="13">
    <w:nsid w:val="AC752D35"/>
    <w:multiLevelType w:val="singleLevel"/>
    <w:tmpl w:val="AC752D35"/>
    <w:lvl w:ilvl="0" w:tentative="0">
      <w:start w:val="1"/>
      <w:numFmt w:val="decimal"/>
      <w:suff w:val="nothing"/>
      <w:lvlText w:val="（%1）"/>
      <w:lvlJc w:val="left"/>
    </w:lvl>
  </w:abstractNum>
  <w:abstractNum w:abstractNumId="14">
    <w:nsid w:val="B291FF40"/>
    <w:multiLevelType w:val="singleLevel"/>
    <w:tmpl w:val="B291FF40"/>
    <w:lvl w:ilvl="0" w:tentative="0">
      <w:start w:val="1"/>
      <w:numFmt w:val="decimal"/>
      <w:suff w:val="nothing"/>
      <w:lvlText w:val="%1、"/>
      <w:lvlJc w:val="left"/>
      <w:pPr>
        <w:ind w:left="70"/>
      </w:pPr>
      <w:rPr>
        <w:rFonts w:hint="default"/>
        <w:color w:val="auto"/>
      </w:rPr>
    </w:lvl>
  </w:abstractNum>
  <w:abstractNum w:abstractNumId="15">
    <w:nsid w:val="B6D35DD4"/>
    <w:multiLevelType w:val="singleLevel"/>
    <w:tmpl w:val="B6D35DD4"/>
    <w:lvl w:ilvl="0" w:tentative="0">
      <w:start w:val="1"/>
      <w:numFmt w:val="decimal"/>
      <w:suff w:val="nothing"/>
      <w:lvlText w:val="%1、"/>
      <w:lvlJc w:val="left"/>
    </w:lvl>
  </w:abstractNum>
  <w:abstractNum w:abstractNumId="16">
    <w:nsid w:val="C6F12452"/>
    <w:multiLevelType w:val="singleLevel"/>
    <w:tmpl w:val="C6F12452"/>
    <w:lvl w:ilvl="0" w:tentative="0">
      <w:start w:val="1"/>
      <w:numFmt w:val="decimal"/>
      <w:suff w:val="nothing"/>
      <w:lvlText w:val="%1、"/>
      <w:lvlJc w:val="left"/>
      <w:pPr>
        <w:ind w:left="-3"/>
      </w:pPr>
    </w:lvl>
  </w:abstractNum>
  <w:abstractNum w:abstractNumId="17">
    <w:nsid w:val="C8F23B66"/>
    <w:multiLevelType w:val="singleLevel"/>
    <w:tmpl w:val="C8F23B66"/>
    <w:lvl w:ilvl="0" w:tentative="0">
      <w:start w:val="1"/>
      <w:numFmt w:val="decimal"/>
      <w:suff w:val="nothing"/>
      <w:lvlText w:val="%1、"/>
      <w:lvlJc w:val="left"/>
      <w:pPr>
        <w:ind w:left="620"/>
      </w:pPr>
    </w:lvl>
  </w:abstractNum>
  <w:abstractNum w:abstractNumId="18">
    <w:nsid w:val="C9E33827"/>
    <w:multiLevelType w:val="singleLevel"/>
    <w:tmpl w:val="C9E33827"/>
    <w:lvl w:ilvl="0" w:tentative="0">
      <w:start w:val="1"/>
      <w:numFmt w:val="decimal"/>
      <w:suff w:val="nothing"/>
      <w:lvlText w:val="%1、"/>
      <w:lvlJc w:val="left"/>
    </w:lvl>
  </w:abstractNum>
  <w:abstractNum w:abstractNumId="19">
    <w:nsid w:val="D7825246"/>
    <w:multiLevelType w:val="singleLevel"/>
    <w:tmpl w:val="D7825246"/>
    <w:lvl w:ilvl="0" w:tentative="0">
      <w:start w:val="1"/>
      <w:numFmt w:val="decimal"/>
      <w:suff w:val="nothing"/>
      <w:lvlText w:val="%1、"/>
      <w:lvlJc w:val="left"/>
    </w:lvl>
  </w:abstractNum>
  <w:abstractNum w:abstractNumId="20">
    <w:nsid w:val="E413AA75"/>
    <w:multiLevelType w:val="singleLevel"/>
    <w:tmpl w:val="E413AA75"/>
    <w:lvl w:ilvl="0" w:tentative="0">
      <w:start w:val="1"/>
      <w:numFmt w:val="decimal"/>
      <w:suff w:val="nothing"/>
      <w:lvlText w:val="（%1）"/>
      <w:lvlJc w:val="left"/>
    </w:lvl>
  </w:abstractNum>
  <w:abstractNum w:abstractNumId="21">
    <w:nsid w:val="E49AA21F"/>
    <w:multiLevelType w:val="singleLevel"/>
    <w:tmpl w:val="E49AA21F"/>
    <w:lvl w:ilvl="0" w:tentative="0">
      <w:start w:val="1"/>
      <w:numFmt w:val="decimal"/>
      <w:suff w:val="nothing"/>
      <w:lvlText w:val="%1、"/>
      <w:lvlJc w:val="left"/>
    </w:lvl>
  </w:abstractNum>
  <w:abstractNum w:abstractNumId="22">
    <w:nsid w:val="EAFAE379"/>
    <w:multiLevelType w:val="singleLevel"/>
    <w:tmpl w:val="EAFAE379"/>
    <w:lvl w:ilvl="0" w:tentative="0">
      <w:start w:val="2"/>
      <w:numFmt w:val="decimal"/>
      <w:suff w:val="nothing"/>
      <w:lvlText w:val="%1、"/>
      <w:lvlJc w:val="left"/>
    </w:lvl>
  </w:abstractNum>
  <w:abstractNum w:abstractNumId="23">
    <w:nsid w:val="EEEB248B"/>
    <w:multiLevelType w:val="singleLevel"/>
    <w:tmpl w:val="EEEB248B"/>
    <w:lvl w:ilvl="0" w:tentative="0">
      <w:start w:val="1"/>
      <w:numFmt w:val="decimal"/>
      <w:suff w:val="nothing"/>
      <w:lvlText w:val="（%1）"/>
      <w:lvlJc w:val="left"/>
    </w:lvl>
  </w:abstractNum>
  <w:abstractNum w:abstractNumId="24">
    <w:nsid w:val="F7008ACB"/>
    <w:multiLevelType w:val="singleLevel"/>
    <w:tmpl w:val="F7008ACB"/>
    <w:lvl w:ilvl="0" w:tentative="0">
      <w:start w:val="4"/>
      <w:numFmt w:val="decimal"/>
      <w:suff w:val="nothing"/>
      <w:lvlText w:val="%1、"/>
      <w:lvlJc w:val="left"/>
    </w:lvl>
  </w:abstractNum>
  <w:abstractNum w:abstractNumId="25">
    <w:nsid w:val="07AF4BFF"/>
    <w:multiLevelType w:val="singleLevel"/>
    <w:tmpl w:val="07AF4BFF"/>
    <w:lvl w:ilvl="0" w:tentative="0">
      <w:start w:val="1"/>
      <w:numFmt w:val="decimal"/>
      <w:suff w:val="nothing"/>
      <w:lvlText w:val="%1、"/>
      <w:lvlJc w:val="left"/>
      <w:pPr>
        <w:ind w:left="590" w:leftChars="0" w:firstLine="0" w:firstLineChars="0"/>
      </w:pPr>
    </w:lvl>
  </w:abstractNum>
  <w:abstractNum w:abstractNumId="26">
    <w:nsid w:val="0A5DC7C7"/>
    <w:multiLevelType w:val="singleLevel"/>
    <w:tmpl w:val="0A5DC7C7"/>
    <w:lvl w:ilvl="0" w:tentative="0">
      <w:start w:val="1"/>
      <w:numFmt w:val="decimal"/>
      <w:suff w:val="nothing"/>
      <w:lvlText w:val="%1、"/>
      <w:lvlJc w:val="left"/>
    </w:lvl>
  </w:abstractNum>
  <w:abstractNum w:abstractNumId="27">
    <w:nsid w:val="0D5DF0A4"/>
    <w:multiLevelType w:val="singleLevel"/>
    <w:tmpl w:val="0D5DF0A4"/>
    <w:lvl w:ilvl="0" w:tentative="0">
      <w:start w:val="4"/>
      <w:numFmt w:val="decimal"/>
      <w:suff w:val="nothing"/>
      <w:lvlText w:val="（%1）"/>
      <w:lvlJc w:val="left"/>
      <w:pPr>
        <w:tabs>
          <w:tab w:val="left" w:pos="0"/>
        </w:tabs>
      </w:pPr>
      <w:rPr>
        <w:rFonts w:hint="default"/>
      </w:rPr>
    </w:lvl>
  </w:abstractNum>
  <w:abstractNum w:abstractNumId="28">
    <w:nsid w:val="0DBA325D"/>
    <w:multiLevelType w:val="singleLevel"/>
    <w:tmpl w:val="0DBA325D"/>
    <w:lvl w:ilvl="0" w:tentative="0">
      <w:start w:val="1"/>
      <w:numFmt w:val="decimal"/>
      <w:suff w:val="nothing"/>
      <w:lvlText w:val="（%1）"/>
      <w:lvlJc w:val="left"/>
    </w:lvl>
  </w:abstractNum>
  <w:abstractNum w:abstractNumId="29">
    <w:nsid w:val="1A631BBA"/>
    <w:multiLevelType w:val="singleLevel"/>
    <w:tmpl w:val="1A631BBA"/>
    <w:lvl w:ilvl="0" w:tentative="0">
      <w:start w:val="1"/>
      <w:numFmt w:val="decimal"/>
      <w:suff w:val="nothing"/>
      <w:lvlText w:val="%1）"/>
      <w:lvlJc w:val="left"/>
    </w:lvl>
  </w:abstractNum>
  <w:abstractNum w:abstractNumId="30">
    <w:nsid w:val="1C396D1A"/>
    <w:multiLevelType w:val="singleLevel"/>
    <w:tmpl w:val="1C396D1A"/>
    <w:lvl w:ilvl="0" w:tentative="0">
      <w:start w:val="1"/>
      <w:numFmt w:val="decimal"/>
      <w:suff w:val="nothing"/>
      <w:lvlText w:val="（%1）"/>
      <w:lvlJc w:val="left"/>
    </w:lvl>
  </w:abstractNum>
  <w:abstractNum w:abstractNumId="31">
    <w:nsid w:val="1D6B9707"/>
    <w:multiLevelType w:val="singleLevel"/>
    <w:tmpl w:val="1D6B9707"/>
    <w:lvl w:ilvl="0" w:tentative="0">
      <w:start w:val="1"/>
      <w:numFmt w:val="decimal"/>
      <w:suff w:val="nothing"/>
      <w:lvlText w:val="（%1）"/>
      <w:lvlJc w:val="left"/>
    </w:lvl>
  </w:abstractNum>
  <w:abstractNum w:abstractNumId="32">
    <w:nsid w:val="1DA87989"/>
    <w:multiLevelType w:val="multilevel"/>
    <w:tmpl w:val="1DA87989"/>
    <w:lvl w:ilvl="0" w:tentative="0">
      <w:start w:val="1"/>
      <w:numFmt w:val="decimal"/>
      <w:pStyle w:val="4"/>
      <w:lvlText w:val="%1"/>
      <w:lvlJc w:val="left"/>
      <w:pPr>
        <w:ind w:left="425" w:hanging="425"/>
      </w:pPr>
    </w:lvl>
    <w:lvl w:ilvl="1" w:tentative="0">
      <w:start w:val="1"/>
      <w:numFmt w:val="decimal"/>
      <w:pStyle w:val="7"/>
      <w:lvlText w:val="%1.%2"/>
      <w:lvlJc w:val="left"/>
      <w:pPr>
        <w:ind w:left="992" w:hanging="567"/>
      </w:p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abstractNum w:abstractNumId="33">
    <w:nsid w:val="208386FE"/>
    <w:multiLevelType w:val="singleLevel"/>
    <w:tmpl w:val="208386FE"/>
    <w:lvl w:ilvl="0" w:tentative="0">
      <w:start w:val="1"/>
      <w:numFmt w:val="decimal"/>
      <w:suff w:val="nothing"/>
      <w:lvlText w:val="%1、"/>
      <w:lvlJc w:val="left"/>
    </w:lvl>
  </w:abstractNum>
  <w:abstractNum w:abstractNumId="34">
    <w:nsid w:val="2B55E755"/>
    <w:multiLevelType w:val="singleLevel"/>
    <w:tmpl w:val="2B55E755"/>
    <w:lvl w:ilvl="0" w:tentative="0">
      <w:start w:val="1"/>
      <w:numFmt w:val="decimal"/>
      <w:suff w:val="nothing"/>
      <w:lvlText w:val="（%1）"/>
      <w:lvlJc w:val="left"/>
    </w:lvl>
  </w:abstractNum>
  <w:abstractNum w:abstractNumId="35">
    <w:nsid w:val="2DCE5B4A"/>
    <w:multiLevelType w:val="singleLevel"/>
    <w:tmpl w:val="2DCE5B4A"/>
    <w:lvl w:ilvl="0" w:tentative="0">
      <w:start w:val="1"/>
      <w:numFmt w:val="decimal"/>
      <w:suff w:val="nothing"/>
      <w:lvlText w:val="%1、"/>
      <w:lvlJc w:val="left"/>
    </w:lvl>
  </w:abstractNum>
  <w:abstractNum w:abstractNumId="36">
    <w:nsid w:val="2E8612C0"/>
    <w:multiLevelType w:val="singleLevel"/>
    <w:tmpl w:val="2E8612C0"/>
    <w:lvl w:ilvl="0" w:tentative="0">
      <w:start w:val="1"/>
      <w:numFmt w:val="decimal"/>
      <w:suff w:val="nothing"/>
      <w:lvlText w:val="%1、"/>
      <w:lvlJc w:val="left"/>
    </w:lvl>
  </w:abstractNum>
  <w:abstractNum w:abstractNumId="37">
    <w:nsid w:val="30E16266"/>
    <w:multiLevelType w:val="multilevel"/>
    <w:tmpl w:val="30E16266"/>
    <w:lvl w:ilvl="0" w:tentative="0">
      <w:start w:val="1"/>
      <w:numFmt w:val="bullet"/>
      <w:pStyle w:val="121"/>
      <w:lvlText w:val=""/>
      <w:lvlJc w:val="left"/>
      <w:pPr>
        <w:tabs>
          <w:tab w:val="left" w:pos="1134"/>
        </w:tabs>
        <w:ind w:left="1134" w:hanging="510"/>
      </w:pPr>
      <w:rPr>
        <w:rFonts w:hint="default" w:ascii="Symbol" w:hAnsi="Symbol"/>
      </w:rPr>
    </w:lvl>
    <w:lvl w:ilvl="1" w:tentative="0">
      <w:start w:val="1"/>
      <w:numFmt w:val="bullet"/>
      <w:lvlText w:val=""/>
      <w:lvlJc w:val="left"/>
      <w:pPr>
        <w:tabs>
          <w:tab w:val="left" w:pos="1401"/>
        </w:tabs>
        <w:ind w:left="1401" w:hanging="420"/>
      </w:pPr>
      <w:rPr>
        <w:rFonts w:hint="default" w:ascii="Wingdings" w:hAnsi="Wingdings"/>
      </w:rPr>
    </w:lvl>
    <w:lvl w:ilvl="2" w:tentative="0">
      <w:start w:val="1"/>
      <w:numFmt w:val="bullet"/>
      <w:lvlText w:val=""/>
      <w:lvlJc w:val="left"/>
      <w:pPr>
        <w:tabs>
          <w:tab w:val="left" w:pos="1821"/>
        </w:tabs>
        <w:ind w:left="1821" w:hanging="420"/>
      </w:pPr>
      <w:rPr>
        <w:rFonts w:hint="default" w:ascii="Wingdings" w:hAnsi="Wingdings"/>
      </w:rPr>
    </w:lvl>
    <w:lvl w:ilvl="3" w:tentative="0">
      <w:start w:val="1"/>
      <w:numFmt w:val="bullet"/>
      <w:lvlText w:val=""/>
      <w:lvlJc w:val="left"/>
      <w:pPr>
        <w:tabs>
          <w:tab w:val="left" w:pos="2241"/>
        </w:tabs>
        <w:ind w:left="2241" w:hanging="420"/>
      </w:pPr>
      <w:rPr>
        <w:rFonts w:hint="default" w:ascii="Wingdings" w:hAnsi="Wingdings"/>
      </w:rPr>
    </w:lvl>
    <w:lvl w:ilvl="4" w:tentative="0">
      <w:start w:val="1"/>
      <w:numFmt w:val="bullet"/>
      <w:lvlText w:val=""/>
      <w:lvlJc w:val="left"/>
      <w:pPr>
        <w:tabs>
          <w:tab w:val="left" w:pos="2661"/>
        </w:tabs>
        <w:ind w:left="2661" w:hanging="420"/>
      </w:pPr>
      <w:rPr>
        <w:rFonts w:hint="default" w:ascii="Wingdings" w:hAnsi="Wingdings"/>
      </w:rPr>
    </w:lvl>
    <w:lvl w:ilvl="5" w:tentative="0">
      <w:start w:val="1"/>
      <w:numFmt w:val="bullet"/>
      <w:lvlText w:val=""/>
      <w:lvlJc w:val="left"/>
      <w:pPr>
        <w:tabs>
          <w:tab w:val="left" w:pos="3081"/>
        </w:tabs>
        <w:ind w:left="3081" w:hanging="420"/>
      </w:pPr>
      <w:rPr>
        <w:rFonts w:hint="default" w:ascii="Wingdings" w:hAnsi="Wingdings"/>
      </w:rPr>
    </w:lvl>
    <w:lvl w:ilvl="6" w:tentative="0">
      <w:start w:val="1"/>
      <w:numFmt w:val="bullet"/>
      <w:lvlText w:val=""/>
      <w:lvlJc w:val="left"/>
      <w:pPr>
        <w:tabs>
          <w:tab w:val="left" w:pos="3501"/>
        </w:tabs>
        <w:ind w:left="3501" w:hanging="420"/>
      </w:pPr>
      <w:rPr>
        <w:rFonts w:hint="default" w:ascii="Wingdings" w:hAnsi="Wingdings"/>
      </w:rPr>
    </w:lvl>
    <w:lvl w:ilvl="7" w:tentative="0">
      <w:start w:val="1"/>
      <w:numFmt w:val="bullet"/>
      <w:lvlText w:val=""/>
      <w:lvlJc w:val="left"/>
      <w:pPr>
        <w:tabs>
          <w:tab w:val="left" w:pos="3921"/>
        </w:tabs>
        <w:ind w:left="3921" w:hanging="420"/>
      </w:pPr>
      <w:rPr>
        <w:rFonts w:hint="default" w:ascii="Wingdings" w:hAnsi="Wingdings"/>
      </w:rPr>
    </w:lvl>
    <w:lvl w:ilvl="8" w:tentative="0">
      <w:start w:val="1"/>
      <w:numFmt w:val="bullet"/>
      <w:lvlText w:val=""/>
      <w:lvlJc w:val="left"/>
      <w:pPr>
        <w:tabs>
          <w:tab w:val="left" w:pos="4341"/>
        </w:tabs>
        <w:ind w:left="4341" w:hanging="420"/>
      </w:pPr>
      <w:rPr>
        <w:rFonts w:hint="default" w:ascii="Wingdings" w:hAnsi="Wingdings"/>
      </w:rPr>
    </w:lvl>
  </w:abstractNum>
  <w:abstractNum w:abstractNumId="38">
    <w:nsid w:val="347109C2"/>
    <w:multiLevelType w:val="singleLevel"/>
    <w:tmpl w:val="347109C2"/>
    <w:lvl w:ilvl="0" w:tentative="0">
      <w:start w:val="1"/>
      <w:numFmt w:val="decimal"/>
      <w:suff w:val="nothing"/>
      <w:lvlText w:val="%1、"/>
      <w:lvlJc w:val="left"/>
    </w:lvl>
  </w:abstractNum>
  <w:abstractNum w:abstractNumId="39">
    <w:nsid w:val="427D0691"/>
    <w:multiLevelType w:val="multilevel"/>
    <w:tmpl w:val="427D0691"/>
    <w:lvl w:ilvl="0" w:tentative="0">
      <w:start w:val="1"/>
      <w:numFmt w:val="decimal"/>
      <w:pStyle w:val="216"/>
      <w:lvlText w:val="%1"/>
      <w:lvlJc w:val="left"/>
      <w:pPr>
        <w:tabs>
          <w:tab w:val="left" w:pos="432"/>
        </w:tabs>
        <w:ind w:left="432" w:hanging="432"/>
      </w:pPr>
      <w:rPr>
        <w:rFonts w:hint="eastAsia"/>
      </w:rPr>
    </w:lvl>
    <w:lvl w:ilvl="1" w:tentative="0">
      <w:start w:val="1"/>
      <w:numFmt w:val="decimal"/>
      <w:pStyle w:val="217"/>
      <w:lvlText w:val="%1.%2"/>
      <w:lvlJc w:val="left"/>
      <w:pPr>
        <w:tabs>
          <w:tab w:val="left" w:pos="576"/>
        </w:tabs>
        <w:ind w:left="576" w:hanging="576"/>
      </w:pPr>
      <w:rPr>
        <w:rFonts w:hint="default" w:ascii="Times New Roman" w:hAnsi="Times New Roman" w:eastAsia="黑体"/>
      </w:rPr>
    </w:lvl>
    <w:lvl w:ilvl="2" w:tentative="0">
      <w:start w:val="1"/>
      <w:numFmt w:val="decimal"/>
      <w:pStyle w:val="218"/>
      <w:lvlText w:val="%1.%2.%3"/>
      <w:lvlJc w:val="left"/>
      <w:pPr>
        <w:tabs>
          <w:tab w:val="left" w:pos="1080"/>
        </w:tabs>
        <w:ind w:left="720" w:hanging="720"/>
      </w:pPr>
      <w:rPr>
        <w:rFonts w:hint="default" w:ascii="Times New Roman" w:hAnsi="Times New Roman" w:eastAsia="黑体"/>
      </w:rPr>
    </w:lvl>
    <w:lvl w:ilvl="3" w:tentative="0">
      <w:start w:val="1"/>
      <w:numFmt w:val="decimal"/>
      <w:pStyle w:val="219"/>
      <w:isLgl/>
      <w:lvlText w:val="%1.%2.%3.%4"/>
      <w:lvlJc w:val="left"/>
      <w:pPr>
        <w:tabs>
          <w:tab w:val="left" w:pos="864"/>
        </w:tabs>
        <w:ind w:left="864" w:hanging="864"/>
      </w:pPr>
      <w:rPr>
        <w:rFonts w:hint="eastAsia"/>
      </w:rPr>
    </w:lvl>
    <w:lvl w:ilvl="4" w:tentative="0">
      <w:start w:val="1"/>
      <w:numFmt w:val="decimal"/>
      <w:pStyle w:val="220"/>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40">
    <w:nsid w:val="47E56E88"/>
    <w:multiLevelType w:val="multilevel"/>
    <w:tmpl w:val="47E56E88"/>
    <w:lvl w:ilvl="0" w:tentative="0">
      <w:start w:val="1"/>
      <w:numFmt w:val="decimal"/>
      <w:pStyle w:val="262"/>
      <w:lvlText w:val="%1"/>
      <w:lvlJc w:val="left"/>
      <w:pPr>
        <w:tabs>
          <w:tab w:val="left" w:pos="632"/>
        </w:tabs>
        <w:ind w:left="632" w:hanging="632"/>
      </w:pPr>
      <w:rPr>
        <w:rFonts w:hint="default" w:ascii="Times New Roman" w:hAnsi="Times New Roman" w:eastAsia="宋体"/>
        <w:b/>
        <w:i w:val="0"/>
        <w:spacing w:val="8"/>
        <w:w w:val="100"/>
        <w:sz w:val="30"/>
        <w:szCs w:val="30"/>
      </w:rPr>
    </w:lvl>
    <w:lvl w:ilvl="1" w:tentative="0">
      <w:start w:val="1"/>
      <w:numFmt w:val="decimal"/>
      <w:pStyle w:val="263"/>
      <w:lvlText w:val="%1.%2"/>
      <w:lvlJc w:val="left"/>
      <w:pPr>
        <w:tabs>
          <w:tab w:val="left" w:pos="590"/>
        </w:tabs>
        <w:ind w:left="590" w:hanging="431"/>
      </w:pPr>
      <w:rPr>
        <w:rFonts w:hint="default" w:ascii="Times New Roman" w:hAnsi="Times New Roman" w:eastAsia="宋体"/>
        <w:b/>
        <w:i w:val="0"/>
        <w:sz w:val="28"/>
        <w:szCs w:val="28"/>
      </w:rPr>
    </w:lvl>
    <w:lvl w:ilvl="2" w:tentative="0">
      <w:start w:val="1"/>
      <w:numFmt w:val="decimal"/>
      <w:pStyle w:val="264"/>
      <w:lvlText w:val="%1.%2.%3"/>
      <w:lvlJc w:val="left"/>
      <w:pPr>
        <w:tabs>
          <w:tab w:val="left" w:pos="833"/>
        </w:tabs>
        <w:ind w:left="833" w:hanging="833"/>
      </w:pPr>
      <w:rPr>
        <w:rFonts w:hint="default" w:ascii="Times New Roman" w:hAnsi="Times New Roman" w:eastAsia="宋体"/>
        <w:b/>
        <w:i w:val="0"/>
        <w:sz w:val="28"/>
        <w:szCs w:val="28"/>
      </w:rPr>
    </w:lvl>
    <w:lvl w:ilvl="3" w:tentative="0">
      <w:start w:val="1"/>
      <w:numFmt w:val="decimal"/>
      <w:pStyle w:val="265"/>
      <w:lvlText w:val="%1.%2.%3.%4"/>
      <w:lvlJc w:val="left"/>
      <w:pPr>
        <w:tabs>
          <w:tab w:val="left" w:pos="792"/>
        </w:tabs>
        <w:ind w:left="792" w:firstLine="0"/>
      </w:pPr>
      <w:rPr>
        <w:rFonts w:hint="default" w:ascii="Times New Roman" w:hAnsi="Times New Roman" w:eastAsia="宋体"/>
        <w:sz w:val="28"/>
        <w:szCs w:val="28"/>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41">
    <w:nsid w:val="4AAC414B"/>
    <w:multiLevelType w:val="singleLevel"/>
    <w:tmpl w:val="4AAC414B"/>
    <w:lvl w:ilvl="0" w:tentative="0">
      <w:start w:val="1"/>
      <w:numFmt w:val="decimal"/>
      <w:suff w:val="nothing"/>
      <w:lvlText w:val="%1、"/>
      <w:lvlJc w:val="left"/>
    </w:lvl>
  </w:abstractNum>
  <w:abstractNum w:abstractNumId="42">
    <w:nsid w:val="5C43F14A"/>
    <w:multiLevelType w:val="singleLevel"/>
    <w:tmpl w:val="5C43F14A"/>
    <w:lvl w:ilvl="0" w:tentative="0">
      <w:start w:val="1"/>
      <w:numFmt w:val="decimal"/>
      <w:suff w:val="nothing"/>
      <w:lvlText w:val="%1、"/>
      <w:lvlJc w:val="left"/>
      <w:pPr>
        <w:ind w:left="0" w:leftChars="0" w:firstLine="0" w:firstLineChars="0"/>
      </w:pPr>
    </w:lvl>
  </w:abstractNum>
  <w:abstractNum w:abstractNumId="43">
    <w:nsid w:val="621DFA81"/>
    <w:multiLevelType w:val="singleLevel"/>
    <w:tmpl w:val="621DFA81"/>
    <w:lvl w:ilvl="0" w:tentative="0">
      <w:start w:val="1"/>
      <w:numFmt w:val="decimal"/>
      <w:suff w:val="nothing"/>
      <w:lvlText w:val="（%1）"/>
      <w:lvlJc w:val="left"/>
    </w:lvl>
  </w:abstractNum>
  <w:abstractNum w:abstractNumId="44">
    <w:nsid w:val="687C4FBD"/>
    <w:multiLevelType w:val="singleLevel"/>
    <w:tmpl w:val="687C4FBD"/>
    <w:lvl w:ilvl="0" w:tentative="0">
      <w:start w:val="1"/>
      <w:numFmt w:val="decimal"/>
      <w:suff w:val="nothing"/>
      <w:lvlText w:val="%1、"/>
      <w:lvlJc w:val="left"/>
      <w:pPr>
        <w:ind w:left="620" w:leftChars="0" w:firstLine="0" w:firstLineChars="0"/>
      </w:pPr>
      <w:rPr>
        <w:rFonts w:hint="default"/>
        <w:b w:val="0"/>
        <w:bCs w:val="0"/>
      </w:rPr>
    </w:lvl>
  </w:abstractNum>
  <w:abstractNum w:abstractNumId="45">
    <w:nsid w:val="68A708BC"/>
    <w:multiLevelType w:val="singleLevel"/>
    <w:tmpl w:val="68A708BC"/>
    <w:lvl w:ilvl="0" w:tentative="0">
      <w:start w:val="1"/>
      <w:numFmt w:val="decimal"/>
      <w:suff w:val="nothing"/>
      <w:lvlText w:val="（%1）"/>
      <w:lvlJc w:val="left"/>
    </w:lvl>
  </w:abstractNum>
  <w:abstractNum w:abstractNumId="46">
    <w:nsid w:val="68DFB2BD"/>
    <w:multiLevelType w:val="singleLevel"/>
    <w:tmpl w:val="68DFB2BD"/>
    <w:lvl w:ilvl="0" w:tentative="0">
      <w:start w:val="1"/>
      <w:numFmt w:val="decimal"/>
      <w:suff w:val="nothing"/>
      <w:lvlText w:val="%1、"/>
      <w:lvlJc w:val="left"/>
    </w:lvl>
  </w:abstractNum>
  <w:abstractNum w:abstractNumId="47">
    <w:nsid w:val="69EE3305"/>
    <w:multiLevelType w:val="singleLevel"/>
    <w:tmpl w:val="69EE3305"/>
    <w:lvl w:ilvl="0" w:tentative="0">
      <w:start w:val="3"/>
      <w:numFmt w:val="decimal"/>
      <w:suff w:val="nothing"/>
      <w:lvlText w:val="（%1）"/>
      <w:lvlJc w:val="left"/>
    </w:lvl>
  </w:abstractNum>
  <w:abstractNum w:abstractNumId="48">
    <w:nsid w:val="6D115ABE"/>
    <w:multiLevelType w:val="singleLevel"/>
    <w:tmpl w:val="6D115ABE"/>
    <w:lvl w:ilvl="0" w:tentative="0">
      <w:start w:val="1"/>
      <w:numFmt w:val="decimal"/>
      <w:suff w:val="nothing"/>
      <w:lvlText w:val="%1、"/>
      <w:lvlJc w:val="left"/>
    </w:lvl>
  </w:abstractNum>
  <w:abstractNum w:abstractNumId="49">
    <w:nsid w:val="6D4652CA"/>
    <w:multiLevelType w:val="multilevel"/>
    <w:tmpl w:val="6D4652CA"/>
    <w:lvl w:ilvl="0" w:tentative="0">
      <w:start w:val="1"/>
      <w:numFmt w:val="decimal"/>
      <w:lvlText w:val="%1"/>
      <w:lvlJc w:val="left"/>
      <w:pPr>
        <w:tabs>
          <w:tab w:val="left" w:pos="851"/>
        </w:tabs>
        <w:ind w:left="851" w:hanging="851"/>
      </w:pPr>
    </w:lvl>
    <w:lvl w:ilvl="1" w:tentative="0">
      <w:start w:val="1"/>
      <w:numFmt w:val="decimal"/>
      <w:lvlText w:val="%1.%2"/>
      <w:lvlJc w:val="left"/>
      <w:pPr>
        <w:tabs>
          <w:tab w:val="left" w:pos="851"/>
        </w:tabs>
        <w:ind w:left="851" w:hanging="851"/>
      </w:pPr>
    </w:lvl>
    <w:lvl w:ilvl="2" w:tentative="0">
      <w:start w:val="1"/>
      <w:numFmt w:val="decimal"/>
      <w:lvlText w:val="%1.%2.%3"/>
      <w:lvlJc w:val="left"/>
      <w:pPr>
        <w:tabs>
          <w:tab w:val="left" w:pos="851"/>
        </w:tabs>
        <w:ind w:left="851" w:hanging="851"/>
      </w:pPr>
    </w:lvl>
    <w:lvl w:ilvl="3" w:tentative="0">
      <w:start w:val="1"/>
      <w:numFmt w:val="lowerRoman"/>
      <w:pStyle w:val="9"/>
      <w:lvlText w:val="(%4)"/>
      <w:lvlJc w:val="left"/>
      <w:pPr>
        <w:tabs>
          <w:tab w:val="left" w:pos="851"/>
        </w:tabs>
        <w:ind w:left="851" w:hanging="851"/>
      </w:pPr>
    </w:lvl>
    <w:lvl w:ilvl="4" w:tentative="0">
      <w:start w:val="1"/>
      <w:numFmt w:val="none"/>
      <w:pStyle w:val="10"/>
      <w:lvlText w:val=""/>
      <w:lvlJc w:val="left"/>
      <w:pPr>
        <w:tabs>
          <w:tab w:val="left" w:pos="851"/>
        </w:tabs>
        <w:ind w:left="851" w:hanging="851"/>
      </w:pPr>
    </w:lvl>
    <w:lvl w:ilvl="5" w:tentative="0">
      <w:start w:val="1"/>
      <w:numFmt w:val="upperLetter"/>
      <w:pStyle w:val="11"/>
      <w:lvlText w:val="Appendix %6"/>
      <w:lvlJc w:val="left"/>
      <w:pPr>
        <w:tabs>
          <w:tab w:val="left" w:pos="1701"/>
        </w:tabs>
        <w:ind w:left="1701" w:hanging="1701"/>
      </w:pPr>
    </w:lvl>
    <w:lvl w:ilvl="6" w:tentative="0">
      <w:start w:val="1"/>
      <w:numFmt w:val="decimal"/>
      <w:pStyle w:val="12"/>
      <w:lvlText w:val="%6.%7"/>
      <w:lvlJc w:val="left"/>
      <w:pPr>
        <w:tabs>
          <w:tab w:val="left" w:pos="851"/>
        </w:tabs>
        <w:ind w:left="851" w:hanging="851"/>
      </w:pPr>
    </w:lvl>
    <w:lvl w:ilvl="7" w:tentative="0">
      <w:start w:val="1"/>
      <w:numFmt w:val="decimal"/>
      <w:pStyle w:val="13"/>
      <w:lvlText w:val="%6.%7.%8"/>
      <w:lvlJc w:val="left"/>
      <w:pPr>
        <w:tabs>
          <w:tab w:val="left" w:pos="851"/>
        </w:tabs>
        <w:ind w:left="851" w:hanging="851"/>
      </w:pPr>
    </w:lvl>
    <w:lvl w:ilvl="8" w:tentative="0">
      <w:start w:val="1"/>
      <w:numFmt w:val="lowerRoman"/>
      <w:pStyle w:val="14"/>
      <w:lvlText w:val="(%9)"/>
      <w:lvlJc w:val="left"/>
      <w:pPr>
        <w:tabs>
          <w:tab w:val="left" w:pos="851"/>
        </w:tabs>
        <w:ind w:left="851" w:hanging="851"/>
      </w:pPr>
    </w:lvl>
  </w:abstractNum>
  <w:abstractNum w:abstractNumId="50">
    <w:nsid w:val="760DEB65"/>
    <w:multiLevelType w:val="singleLevel"/>
    <w:tmpl w:val="760DEB65"/>
    <w:lvl w:ilvl="0" w:tentative="0">
      <w:start w:val="1"/>
      <w:numFmt w:val="decimal"/>
      <w:suff w:val="nothing"/>
      <w:lvlText w:val="%1、"/>
      <w:lvlJc w:val="left"/>
    </w:lvl>
  </w:abstractNum>
  <w:abstractNum w:abstractNumId="51">
    <w:nsid w:val="77C568EF"/>
    <w:multiLevelType w:val="singleLevel"/>
    <w:tmpl w:val="77C568EF"/>
    <w:lvl w:ilvl="0" w:tentative="0">
      <w:start w:val="1"/>
      <w:numFmt w:val="decimal"/>
      <w:suff w:val="nothing"/>
      <w:lvlText w:val="%1、"/>
      <w:lvlJc w:val="left"/>
    </w:lvl>
  </w:abstractNum>
  <w:abstractNum w:abstractNumId="52">
    <w:nsid w:val="78F05501"/>
    <w:multiLevelType w:val="multilevel"/>
    <w:tmpl w:val="78F05501"/>
    <w:lvl w:ilvl="0" w:tentative="0">
      <w:start w:val="1"/>
      <w:numFmt w:val="decimal"/>
      <w:pStyle w:val="253"/>
      <w:lvlText w:val="（%1）"/>
      <w:lvlJc w:val="left"/>
      <w:pPr>
        <w:tabs>
          <w:tab w:val="left" w:pos="1665"/>
        </w:tabs>
        <w:ind w:left="1665" w:hanging="720"/>
      </w:pPr>
      <w:rPr>
        <w:rFonts w:hint="eastAsia"/>
      </w:rPr>
    </w:lvl>
    <w:lvl w:ilvl="1" w:tentative="0">
      <w:start w:val="1"/>
      <w:numFmt w:val="lowerLetter"/>
      <w:pStyle w:val="251"/>
      <w:lvlText w:val="%2)"/>
      <w:lvlJc w:val="left"/>
      <w:pPr>
        <w:tabs>
          <w:tab w:val="left" w:pos="1785"/>
        </w:tabs>
        <w:ind w:left="1785" w:hanging="420"/>
      </w:pPr>
    </w:lvl>
    <w:lvl w:ilvl="2" w:tentative="0">
      <w:start w:val="1"/>
      <w:numFmt w:val="lowerRoman"/>
      <w:pStyle w:val="254"/>
      <w:lvlText w:val="%3."/>
      <w:lvlJc w:val="right"/>
      <w:pPr>
        <w:tabs>
          <w:tab w:val="left" w:pos="2205"/>
        </w:tabs>
        <w:ind w:left="2205" w:hanging="420"/>
      </w:pPr>
    </w:lvl>
    <w:lvl w:ilvl="3" w:tentative="0">
      <w:start w:val="1"/>
      <w:numFmt w:val="decimal"/>
      <w:pStyle w:val="252"/>
      <w:lvlText w:val="%4."/>
      <w:lvlJc w:val="left"/>
      <w:pPr>
        <w:tabs>
          <w:tab w:val="left" w:pos="2625"/>
        </w:tabs>
        <w:ind w:left="2625" w:hanging="420"/>
      </w:pPr>
    </w:lvl>
    <w:lvl w:ilvl="4" w:tentative="0">
      <w:start w:val="1"/>
      <w:numFmt w:val="lowerLetter"/>
      <w:lvlText w:val="%5)"/>
      <w:lvlJc w:val="left"/>
      <w:pPr>
        <w:tabs>
          <w:tab w:val="left" w:pos="3045"/>
        </w:tabs>
        <w:ind w:left="3045" w:hanging="420"/>
      </w:pPr>
    </w:lvl>
    <w:lvl w:ilvl="5" w:tentative="0">
      <w:start w:val="1"/>
      <w:numFmt w:val="lowerRoman"/>
      <w:lvlText w:val="%6."/>
      <w:lvlJc w:val="right"/>
      <w:pPr>
        <w:tabs>
          <w:tab w:val="left" w:pos="3465"/>
        </w:tabs>
        <w:ind w:left="3465" w:hanging="420"/>
      </w:pPr>
    </w:lvl>
    <w:lvl w:ilvl="6" w:tentative="0">
      <w:start w:val="1"/>
      <w:numFmt w:val="decimal"/>
      <w:lvlText w:val="%7."/>
      <w:lvlJc w:val="left"/>
      <w:pPr>
        <w:tabs>
          <w:tab w:val="left" w:pos="3885"/>
        </w:tabs>
        <w:ind w:left="3885" w:hanging="420"/>
      </w:pPr>
    </w:lvl>
    <w:lvl w:ilvl="7" w:tentative="0">
      <w:start w:val="1"/>
      <w:numFmt w:val="lowerLetter"/>
      <w:lvlText w:val="%8)"/>
      <w:lvlJc w:val="left"/>
      <w:pPr>
        <w:tabs>
          <w:tab w:val="left" w:pos="4305"/>
        </w:tabs>
        <w:ind w:left="4305" w:hanging="420"/>
      </w:pPr>
    </w:lvl>
    <w:lvl w:ilvl="8" w:tentative="0">
      <w:start w:val="1"/>
      <w:numFmt w:val="lowerRoman"/>
      <w:lvlText w:val="%9."/>
      <w:lvlJc w:val="right"/>
      <w:pPr>
        <w:tabs>
          <w:tab w:val="left" w:pos="4725"/>
        </w:tabs>
        <w:ind w:left="4725" w:hanging="420"/>
      </w:pPr>
    </w:lvl>
  </w:abstractNum>
  <w:abstractNum w:abstractNumId="53">
    <w:nsid w:val="79148E34"/>
    <w:multiLevelType w:val="singleLevel"/>
    <w:tmpl w:val="79148E34"/>
    <w:lvl w:ilvl="0" w:tentative="0">
      <w:start w:val="1"/>
      <w:numFmt w:val="decimal"/>
      <w:suff w:val="nothing"/>
      <w:lvlText w:val="%1、"/>
      <w:lvlJc w:val="left"/>
    </w:lvl>
  </w:abstractNum>
  <w:abstractNum w:abstractNumId="54">
    <w:nsid w:val="7D7F65D1"/>
    <w:multiLevelType w:val="singleLevel"/>
    <w:tmpl w:val="7D7F65D1"/>
    <w:lvl w:ilvl="0" w:tentative="0">
      <w:start w:val="2"/>
      <w:numFmt w:val="decimal"/>
      <w:suff w:val="nothing"/>
      <w:lvlText w:val="（%1）"/>
      <w:lvlJc w:val="left"/>
    </w:lvl>
  </w:abstractNum>
  <w:num w:numId="1">
    <w:abstractNumId w:val="32"/>
  </w:num>
  <w:num w:numId="2">
    <w:abstractNumId w:val="49"/>
  </w:num>
  <w:num w:numId="3">
    <w:abstractNumId w:val="37"/>
  </w:num>
  <w:num w:numId="4">
    <w:abstractNumId w:val="39"/>
  </w:num>
  <w:num w:numId="5">
    <w:abstractNumId w:val="52"/>
  </w:num>
  <w:num w:numId="6">
    <w:abstractNumId w:val="40"/>
  </w:num>
  <w:num w:numId="7">
    <w:abstractNumId w:val="26"/>
  </w:num>
  <w:num w:numId="8">
    <w:abstractNumId w:val="20"/>
  </w:num>
  <w:num w:numId="9">
    <w:abstractNumId w:val="16"/>
  </w:num>
  <w:num w:numId="10">
    <w:abstractNumId w:val="21"/>
  </w:num>
  <w:num w:numId="11">
    <w:abstractNumId w:val="17"/>
  </w:num>
  <w:num w:numId="12">
    <w:abstractNumId w:val="35"/>
  </w:num>
  <w:num w:numId="13">
    <w:abstractNumId w:val="25"/>
  </w:num>
  <w:num w:numId="14">
    <w:abstractNumId w:val="1"/>
  </w:num>
  <w:num w:numId="15">
    <w:abstractNumId w:val="44"/>
  </w:num>
  <w:num w:numId="16">
    <w:abstractNumId w:val="8"/>
  </w:num>
  <w:num w:numId="17">
    <w:abstractNumId w:val="7"/>
  </w:num>
  <w:num w:numId="18">
    <w:abstractNumId w:val="18"/>
  </w:num>
  <w:num w:numId="19">
    <w:abstractNumId w:val="22"/>
  </w:num>
  <w:num w:numId="20">
    <w:abstractNumId w:val="11"/>
  </w:num>
  <w:num w:numId="21">
    <w:abstractNumId w:val="4"/>
  </w:num>
  <w:num w:numId="22">
    <w:abstractNumId w:val="14"/>
  </w:num>
  <w:num w:numId="23">
    <w:abstractNumId w:val="41"/>
  </w:num>
  <w:num w:numId="24">
    <w:abstractNumId w:val="36"/>
  </w:num>
  <w:num w:numId="25">
    <w:abstractNumId w:val="5"/>
  </w:num>
  <w:num w:numId="26">
    <w:abstractNumId w:val="47"/>
  </w:num>
  <w:num w:numId="27">
    <w:abstractNumId w:val="38"/>
  </w:num>
  <w:num w:numId="28">
    <w:abstractNumId w:val="3"/>
  </w:num>
  <w:num w:numId="29">
    <w:abstractNumId w:val="33"/>
  </w:num>
  <w:num w:numId="30">
    <w:abstractNumId w:val="54"/>
  </w:num>
  <w:num w:numId="31">
    <w:abstractNumId w:val="43"/>
  </w:num>
  <w:num w:numId="32">
    <w:abstractNumId w:val="24"/>
  </w:num>
  <w:num w:numId="33">
    <w:abstractNumId w:val="45"/>
  </w:num>
  <w:num w:numId="34">
    <w:abstractNumId w:val="6"/>
  </w:num>
  <w:num w:numId="35">
    <w:abstractNumId w:val="2"/>
  </w:num>
  <w:num w:numId="36">
    <w:abstractNumId w:val="34"/>
  </w:num>
  <w:num w:numId="37">
    <w:abstractNumId w:val="48"/>
  </w:num>
  <w:num w:numId="38">
    <w:abstractNumId w:val="31"/>
  </w:num>
  <w:num w:numId="39">
    <w:abstractNumId w:val="12"/>
  </w:num>
  <w:num w:numId="40">
    <w:abstractNumId w:val="50"/>
  </w:num>
  <w:num w:numId="41">
    <w:abstractNumId w:val="9"/>
  </w:num>
  <w:num w:numId="42">
    <w:abstractNumId w:val="30"/>
  </w:num>
  <w:num w:numId="43">
    <w:abstractNumId w:val="46"/>
  </w:num>
  <w:num w:numId="44">
    <w:abstractNumId w:val="10"/>
  </w:num>
  <w:num w:numId="45">
    <w:abstractNumId w:val="23"/>
  </w:num>
  <w:num w:numId="46">
    <w:abstractNumId w:val="13"/>
  </w:num>
  <w:num w:numId="47">
    <w:abstractNumId w:val="28"/>
  </w:num>
  <w:num w:numId="48">
    <w:abstractNumId w:val="51"/>
  </w:num>
  <w:num w:numId="49">
    <w:abstractNumId w:val="19"/>
  </w:num>
  <w:num w:numId="50">
    <w:abstractNumId w:val="29"/>
  </w:num>
  <w:num w:numId="51">
    <w:abstractNumId w:val="27"/>
  </w:num>
  <w:num w:numId="52">
    <w:abstractNumId w:val="15"/>
  </w:num>
  <w:num w:numId="53">
    <w:abstractNumId w:val="53"/>
  </w:num>
  <w:num w:numId="54">
    <w:abstractNumId w:val="0"/>
  </w:num>
  <w:num w:numId="55">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hideSpellingErrors/>
  <w:hideGrammaticalError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A5YjZiYzdiOThkOTYyOWM2YWFlZGIyZjIyM2NmMjQifQ=="/>
  </w:docVars>
  <w:rsids>
    <w:rsidRoot w:val="002C3CB1"/>
    <w:rsid w:val="00000193"/>
    <w:rsid w:val="0000042B"/>
    <w:rsid w:val="0000098C"/>
    <w:rsid w:val="00000D6C"/>
    <w:rsid w:val="00002209"/>
    <w:rsid w:val="00002428"/>
    <w:rsid w:val="000032A8"/>
    <w:rsid w:val="00003732"/>
    <w:rsid w:val="00004201"/>
    <w:rsid w:val="0000445C"/>
    <w:rsid w:val="00004519"/>
    <w:rsid w:val="000050CA"/>
    <w:rsid w:val="00005F3A"/>
    <w:rsid w:val="00006032"/>
    <w:rsid w:val="0000704D"/>
    <w:rsid w:val="00007445"/>
    <w:rsid w:val="00007922"/>
    <w:rsid w:val="000079EB"/>
    <w:rsid w:val="00010295"/>
    <w:rsid w:val="00010530"/>
    <w:rsid w:val="0001103A"/>
    <w:rsid w:val="000111D8"/>
    <w:rsid w:val="0001142F"/>
    <w:rsid w:val="00011760"/>
    <w:rsid w:val="00011AAD"/>
    <w:rsid w:val="00011C17"/>
    <w:rsid w:val="000130D0"/>
    <w:rsid w:val="000131AE"/>
    <w:rsid w:val="00013907"/>
    <w:rsid w:val="00013EAF"/>
    <w:rsid w:val="00014A33"/>
    <w:rsid w:val="00014C79"/>
    <w:rsid w:val="00015289"/>
    <w:rsid w:val="00015897"/>
    <w:rsid w:val="000158CC"/>
    <w:rsid w:val="00016041"/>
    <w:rsid w:val="0001613F"/>
    <w:rsid w:val="000167D4"/>
    <w:rsid w:val="00016A28"/>
    <w:rsid w:val="00016FB7"/>
    <w:rsid w:val="00017143"/>
    <w:rsid w:val="00017660"/>
    <w:rsid w:val="0002187F"/>
    <w:rsid w:val="00022BDC"/>
    <w:rsid w:val="00023020"/>
    <w:rsid w:val="00023834"/>
    <w:rsid w:val="00024871"/>
    <w:rsid w:val="000248BC"/>
    <w:rsid w:val="0002525F"/>
    <w:rsid w:val="000256A8"/>
    <w:rsid w:val="00025CF2"/>
    <w:rsid w:val="00026242"/>
    <w:rsid w:val="00026A3F"/>
    <w:rsid w:val="0002756E"/>
    <w:rsid w:val="0003021C"/>
    <w:rsid w:val="000320CC"/>
    <w:rsid w:val="000328CB"/>
    <w:rsid w:val="00032ABE"/>
    <w:rsid w:val="0003329A"/>
    <w:rsid w:val="000334DD"/>
    <w:rsid w:val="00033AE6"/>
    <w:rsid w:val="00033D0A"/>
    <w:rsid w:val="0003422E"/>
    <w:rsid w:val="00037324"/>
    <w:rsid w:val="000374CA"/>
    <w:rsid w:val="00037E11"/>
    <w:rsid w:val="00040444"/>
    <w:rsid w:val="00040E63"/>
    <w:rsid w:val="00041AB1"/>
    <w:rsid w:val="00043B17"/>
    <w:rsid w:val="00043CED"/>
    <w:rsid w:val="00045216"/>
    <w:rsid w:val="00045495"/>
    <w:rsid w:val="0004588B"/>
    <w:rsid w:val="000461E5"/>
    <w:rsid w:val="000469DB"/>
    <w:rsid w:val="00046FEC"/>
    <w:rsid w:val="00047FAF"/>
    <w:rsid w:val="00051642"/>
    <w:rsid w:val="000521D5"/>
    <w:rsid w:val="000523A2"/>
    <w:rsid w:val="00053010"/>
    <w:rsid w:val="000530F1"/>
    <w:rsid w:val="000531BB"/>
    <w:rsid w:val="000531BD"/>
    <w:rsid w:val="00055522"/>
    <w:rsid w:val="0005579B"/>
    <w:rsid w:val="00055A77"/>
    <w:rsid w:val="000560C0"/>
    <w:rsid w:val="0005637C"/>
    <w:rsid w:val="00057A15"/>
    <w:rsid w:val="00057F09"/>
    <w:rsid w:val="00060DDC"/>
    <w:rsid w:val="0006157B"/>
    <w:rsid w:val="0006198D"/>
    <w:rsid w:val="00062672"/>
    <w:rsid w:val="00062CE2"/>
    <w:rsid w:val="00062DD1"/>
    <w:rsid w:val="00062EB6"/>
    <w:rsid w:val="00063126"/>
    <w:rsid w:val="00063A40"/>
    <w:rsid w:val="00064D99"/>
    <w:rsid w:val="00064DD2"/>
    <w:rsid w:val="000657AC"/>
    <w:rsid w:val="00066AE8"/>
    <w:rsid w:val="000672EA"/>
    <w:rsid w:val="00067F5D"/>
    <w:rsid w:val="000701E3"/>
    <w:rsid w:val="00070834"/>
    <w:rsid w:val="00070FA3"/>
    <w:rsid w:val="000714C8"/>
    <w:rsid w:val="000715B0"/>
    <w:rsid w:val="00071C3C"/>
    <w:rsid w:val="00072CC1"/>
    <w:rsid w:val="00073543"/>
    <w:rsid w:val="0007423C"/>
    <w:rsid w:val="000746B0"/>
    <w:rsid w:val="00074DBE"/>
    <w:rsid w:val="00074F46"/>
    <w:rsid w:val="000750D8"/>
    <w:rsid w:val="00075599"/>
    <w:rsid w:val="0007574C"/>
    <w:rsid w:val="00075B61"/>
    <w:rsid w:val="00075E60"/>
    <w:rsid w:val="00076A4C"/>
    <w:rsid w:val="00076C5C"/>
    <w:rsid w:val="0007711E"/>
    <w:rsid w:val="00077155"/>
    <w:rsid w:val="000774BA"/>
    <w:rsid w:val="00077F1E"/>
    <w:rsid w:val="00080005"/>
    <w:rsid w:val="000801B5"/>
    <w:rsid w:val="0008045A"/>
    <w:rsid w:val="000804A1"/>
    <w:rsid w:val="000806A1"/>
    <w:rsid w:val="000811ED"/>
    <w:rsid w:val="0008175C"/>
    <w:rsid w:val="00081AEE"/>
    <w:rsid w:val="00081C8F"/>
    <w:rsid w:val="000829CB"/>
    <w:rsid w:val="00082DFD"/>
    <w:rsid w:val="0008379B"/>
    <w:rsid w:val="000848E6"/>
    <w:rsid w:val="00085650"/>
    <w:rsid w:val="00085654"/>
    <w:rsid w:val="0008632A"/>
    <w:rsid w:val="00086CEF"/>
    <w:rsid w:val="00086D9C"/>
    <w:rsid w:val="0008736B"/>
    <w:rsid w:val="00087C79"/>
    <w:rsid w:val="00090860"/>
    <w:rsid w:val="00090CB1"/>
    <w:rsid w:val="0009113D"/>
    <w:rsid w:val="00091243"/>
    <w:rsid w:val="00091546"/>
    <w:rsid w:val="0009180D"/>
    <w:rsid w:val="000919C6"/>
    <w:rsid w:val="0009236B"/>
    <w:rsid w:val="00094014"/>
    <w:rsid w:val="00094595"/>
    <w:rsid w:val="000948F9"/>
    <w:rsid w:val="000952B1"/>
    <w:rsid w:val="00095AE2"/>
    <w:rsid w:val="00096258"/>
    <w:rsid w:val="00096460"/>
    <w:rsid w:val="00096C4C"/>
    <w:rsid w:val="00097442"/>
    <w:rsid w:val="0009765F"/>
    <w:rsid w:val="00097CF3"/>
    <w:rsid w:val="000A08AC"/>
    <w:rsid w:val="000A09B2"/>
    <w:rsid w:val="000A2D8B"/>
    <w:rsid w:val="000A3CEA"/>
    <w:rsid w:val="000A408E"/>
    <w:rsid w:val="000A417F"/>
    <w:rsid w:val="000A479C"/>
    <w:rsid w:val="000A48A1"/>
    <w:rsid w:val="000A59DF"/>
    <w:rsid w:val="000A6812"/>
    <w:rsid w:val="000A6D1A"/>
    <w:rsid w:val="000A78DF"/>
    <w:rsid w:val="000A7FEB"/>
    <w:rsid w:val="000B014B"/>
    <w:rsid w:val="000B07EF"/>
    <w:rsid w:val="000B0FD6"/>
    <w:rsid w:val="000B1DC0"/>
    <w:rsid w:val="000B29BE"/>
    <w:rsid w:val="000B2A8E"/>
    <w:rsid w:val="000B2ED9"/>
    <w:rsid w:val="000B3109"/>
    <w:rsid w:val="000B32B6"/>
    <w:rsid w:val="000B33C9"/>
    <w:rsid w:val="000B4F30"/>
    <w:rsid w:val="000B5584"/>
    <w:rsid w:val="000B5829"/>
    <w:rsid w:val="000B6BAA"/>
    <w:rsid w:val="000B7E93"/>
    <w:rsid w:val="000C0F95"/>
    <w:rsid w:val="000C1658"/>
    <w:rsid w:val="000C1D7F"/>
    <w:rsid w:val="000C249A"/>
    <w:rsid w:val="000C24B2"/>
    <w:rsid w:val="000C2FE5"/>
    <w:rsid w:val="000C3A99"/>
    <w:rsid w:val="000C3E2C"/>
    <w:rsid w:val="000C4056"/>
    <w:rsid w:val="000C412A"/>
    <w:rsid w:val="000C4A41"/>
    <w:rsid w:val="000C53E0"/>
    <w:rsid w:val="000C58E3"/>
    <w:rsid w:val="000C5A9D"/>
    <w:rsid w:val="000C627E"/>
    <w:rsid w:val="000C76F7"/>
    <w:rsid w:val="000C7798"/>
    <w:rsid w:val="000C7AE5"/>
    <w:rsid w:val="000D033A"/>
    <w:rsid w:val="000D0C1C"/>
    <w:rsid w:val="000D18FD"/>
    <w:rsid w:val="000D1913"/>
    <w:rsid w:val="000D19F1"/>
    <w:rsid w:val="000D20A4"/>
    <w:rsid w:val="000D30B6"/>
    <w:rsid w:val="000D3394"/>
    <w:rsid w:val="000D3BFC"/>
    <w:rsid w:val="000D3C58"/>
    <w:rsid w:val="000D3EE7"/>
    <w:rsid w:val="000D4289"/>
    <w:rsid w:val="000D496D"/>
    <w:rsid w:val="000D4A26"/>
    <w:rsid w:val="000D4C9C"/>
    <w:rsid w:val="000D4DE2"/>
    <w:rsid w:val="000D5041"/>
    <w:rsid w:val="000D5EF0"/>
    <w:rsid w:val="000D6BCC"/>
    <w:rsid w:val="000D7117"/>
    <w:rsid w:val="000D7463"/>
    <w:rsid w:val="000D7927"/>
    <w:rsid w:val="000D7EBB"/>
    <w:rsid w:val="000E0696"/>
    <w:rsid w:val="000E0B6C"/>
    <w:rsid w:val="000E0BBF"/>
    <w:rsid w:val="000E1119"/>
    <w:rsid w:val="000E1767"/>
    <w:rsid w:val="000E1D02"/>
    <w:rsid w:val="000E2271"/>
    <w:rsid w:val="000E267A"/>
    <w:rsid w:val="000E2696"/>
    <w:rsid w:val="000E305F"/>
    <w:rsid w:val="000E3227"/>
    <w:rsid w:val="000E3D11"/>
    <w:rsid w:val="000E4425"/>
    <w:rsid w:val="000E46CB"/>
    <w:rsid w:val="000E47B7"/>
    <w:rsid w:val="000E486B"/>
    <w:rsid w:val="000E4F0C"/>
    <w:rsid w:val="000E5178"/>
    <w:rsid w:val="000E56F5"/>
    <w:rsid w:val="000E5A4C"/>
    <w:rsid w:val="000E5AEA"/>
    <w:rsid w:val="000E6999"/>
    <w:rsid w:val="000E6D4F"/>
    <w:rsid w:val="000E6D78"/>
    <w:rsid w:val="000E710C"/>
    <w:rsid w:val="000E72D0"/>
    <w:rsid w:val="000E77A2"/>
    <w:rsid w:val="000E7D3D"/>
    <w:rsid w:val="000E7E60"/>
    <w:rsid w:val="000E7FB3"/>
    <w:rsid w:val="000F08D6"/>
    <w:rsid w:val="000F0CC4"/>
    <w:rsid w:val="000F1D26"/>
    <w:rsid w:val="000F2364"/>
    <w:rsid w:val="000F2968"/>
    <w:rsid w:val="000F2A6E"/>
    <w:rsid w:val="000F3729"/>
    <w:rsid w:val="000F3A3B"/>
    <w:rsid w:val="000F467C"/>
    <w:rsid w:val="000F4A24"/>
    <w:rsid w:val="000F549D"/>
    <w:rsid w:val="000F57E8"/>
    <w:rsid w:val="000F5A2B"/>
    <w:rsid w:val="000F5BCD"/>
    <w:rsid w:val="000F5EEF"/>
    <w:rsid w:val="000F6158"/>
    <w:rsid w:val="000F66DE"/>
    <w:rsid w:val="000F6A78"/>
    <w:rsid w:val="000F6BE1"/>
    <w:rsid w:val="000F6F12"/>
    <w:rsid w:val="0010067E"/>
    <w:rsid w:val="00100B03"/>
    <w:rsid w:val="00101005"/>
    <w:rsid w:val="00101015"/>
    <w:rsid w:val="00101448"/>
    <w:rsid w:val="0010164D"/>
    <w:rsid w:val="001020A9"/>
    <w:rsid w:val="00102873"/>
    <w:rsid w:val="0010334E"/>
    <w:rsid w:val="001033B8"/>
    <w:rsid w:val="001037AA"/>
    <w:rsid w:val="001044FE"/>
    <w:rsid w:val="00104A18"/>
    <w:rsid w:val="00104DEA"/>
    <w:rsid w:val="001055EF"/>
    <w:rsid w:val="00105EA3"/>
    <w:rsid w:val="00106161"/>
    <w:rsid w:val="001062A1"/>
    <w:rsid w:val="001062A4"/>
    <w:rsid w:val="001071CE"/>
    <w:rsid w:val="00107750"/>
    <w:rsid w:val="00107AFB"/>
    <w:rsid w:val="00110D19"/>
    <w:rsid w:val="001110C0"/>
    <w:rsid w:val="00111392"/>
    <w:rsid w:val="001117F7"/>
    <w:rsid w:val="00111905"/>
    <w:rsid w:val="00112288"/>
    <w:rsid w:val="00112A76"/>
    <w:rsid w:val="0011310F"/>
    <w:rsid w:val="0011345B"/>
    <w:rsid w:val="00113E02"/>
    <w:rsid w:val="00113E2E"/>
    <w:rsid w:val="00114D6F"/>
    <w:rsid w:val="00115CDB"/>
    <w:rsid w:val="00115D45"/>
    <w:rsid w:val="00115DA8"/>
    <w:rsid w:val="00116158"/>
    <w:rsid w:val="0011722C"/>
    <w:rsid w:val="0012029F"/>
    <w:rsid w:val="001209B0"/>
    <w:rsid w:val="00120CA4"/>
    <w:rsid w:val="001211C0"/>
    <w:rsid w:val="001212D4"/>
    <w:rsid w:val="0012167D"/>
    <w:rsid w:val="0012286C"/>
    <w:rsid w:val="00122C5E"/>
    <w:rsid w:val="00123295"/>
    <w:rsid w:val="00123739"/>
    <w:rsid w:val="0012390F"/>
    <w:rsid w:val="001242B8"/>
    <w:rsid w:val="00124DEB"/>
    <w:rsid w:val="001253AE"/>
    <w:rsid w:val="00126021"/>
    <w:rsid w:val="00126159"/>
    <w:rsid w:val="001261D8"/>
    <w:rsid w:val="00126931"/>
    <w:rsid w:val="00126C87"/>
    <w:rsid w:val="00126D9D"/>
    <w:rsid w:val="00127839"/>
    <w:rsid w:val="00127E9C"/>
    <w:rsid w:val="0013073C"/>
    <w:rsid w:val="001310A6"/>
    <w:rsid w:val="00131267"/>
    <w:rsid w:val="00131A9B"/>
    <w:rsid w:val="001323B5"/>
    <w:rsid w:val="00132BD7"/>
    <w:rsid w:val="00132CDB"/>
    <w:rsid w:val="00133D95"/>
    <w:rsid w:val="0013441C"/>
    <w:rsid w:val="001358DC"/>
    <w:rsid w:val="00135F8F"/>
    <w:rsid w:val="0013600E"/>
    <w:rsid w:val="0013633A"/>
    <w:rsid w:val="00137E36"/>
    <w:rsid w:val="001404AC"/>
    <w:rsid w:val="00140777"/>
    <w:rsid w:val="001408BB"/>
    <w:rsid w:val="00140F37"/>
    <w:rsid w:val="00141345"/>
    <w:rsid w:val="0014329D"/>
    <w:rsid w:val="001435A9"/>
    <w:rsid w:val="00143C39"/>
    <w:rsid w:val="00143F24"/>
    <w:rsid w:val="00143FA5"/>
    <w:rsid w:val="001440C6"/>
    <w:rsid w:val="001444C9"/>
    <w:rsid w:val="001446C6"/>
    <w:rsid w:val="00144EC3"/>
    <w:rsid w:val="00145676"/>
    <w:rsid w:val="0014572B"/>
    <w:rsid w:val="00145CC0"/>
    <w:rsid w:val="00145F5D"/>
    <w:rsid w:val="00146D7F"/>
    <w:rsid w:val="00146E90"/>
    <w:rsid w:val="0014789F"/>
    <w:rsid w:val="00147C13"/>
    <w:rsid w:val="00150B79"/>
    <w:rsid w:val="00152A94"/>
    <w:rsid w:val="0015345A"/>
    <w:rsid w:val="0015444E"/>
    <w:rsid w:val="00154A7B"/>
    <w:rsid w:val="00154F28"/>
    <w:rsid w:val="0015567C"/>
    <w:rsid w:val="001566E6"/>
    <w:rsid w:val="00157451"/>
    <w:rsid w:val="00157E8E"/>
    <w:rsid w:val="001619AA"/>
    <w:rsid w:val="00162022"/>
    <w:rsid w:val="00162669"/>
    <w:rsid w:val="00162A44"/>
    <w:rsid w:val="00162A55"/>
    <w:rsid w:val="00163361"/>
    <w:rsid w:val="001640AE"/>
    <w:rsid w:val="001641A7"/>
    <w:rsid w:val="00164408"/>
    <w:rsid w:val="001647A9"/>
    <w:rsid w:val="00164A49"/>
    <w:rsid w:val="00164AB4"/>
    <w:rsid w:val="00165D15"/>
    <w:rsid w:val="00166E8C"/>
    <w:rsid w:val="00167A04"/>
    <w:rsid w:val="00167C4E"/>
    <w:rsid w:val="00167EFB"/>
    <w:rsid w:val="00170E1A"/>
    <w:rsid w:val="001722C0"/>
    <w:rsid w:val="00172474"/>
    <w:rsid w:val="00172FD2"/>
    <w:rsid w:val="001736C3"/>
    <w:rsid w:val="001736C6"/>
    <w:rsid w:val="00173BCB"/>
    <w:rsid w:val="00174510"/>
    <w:rsid w:val="0017462F"/>
    <w:rsid w:val="00174A1A"/>
    <w:rsid w:val="00175915"/>
    <w:rsid w:val="001764BC"/>
    <w:rsid w:val="00176662"/>
    <w:rsid w:val="001811D7"/>
    <w:rsid w:val="0018145A"/>
    <w:rsid w:val="00182DF0"/>
    <w:rsid w:val="00183385"/>
    <w:rsid w:val="001834BA"/>
    <w:rsid w:val="0018407F"/>
    <w:rsid w:val="0018420D"/>
    <w:rsid w:val="00184EE4"/>
    <w:rsid w:val="00185524"/>
    <w:rsid w:val="001862BA"/>
    <w:rsid w:val="00186E50"/>
    <w:rsid w:val="00186F3C"/>
    <w:rsid w:val="00187911"/>
    <w:rsid w:val="00190B51"/>
    <w:rsid w:val="001913C9"/>
    <w:rsid w:val="001914DE"/>
    <w:rsid w:val="00191C4F"/>
    <w:rsid w:val="00192157"/>
    <w:rsid w:val="0019369F"/>
    <w:rsid w:val="00193F49"/>
    <w:rsid w:val="0019449F"/>
    <w:rsid w:val="001944A7"/>
    <w:rsid w:val="00195663"/>
    <w:rsid w:val="00195A16"/>
    <w:rsid w:val="00195A68"/>
    <w:rsid w:val="00196091"/>
    <w:rsid w:val="0019627E"/>
    <w:rsid w:val="00196541"/>
    <w:rsid w:val="00196AEE"/>
    <w:rsid w:val="00197453"/>
    <w:rsid w:val="00197D0C"/>
    <w:rsid w:val="001A0718"/>
    <w:rsid w:val="001A07B0"/>
    <w:rsid w:val="001A0E1E"/>
    <w:rsid w:val="001A176E"/>
    <w:rsid w:val="001A1B58"/>
    <w:rsid w:val="001A26A3"/>
    <w:rsid w:val="001A2B3E"/>
    <w:rsid w:val="001A3AAD"/>
    <w:rsid w:val="001A618A"/>
    <w:rsid w:val="001A70F5"/>
    <w:rsid w:val="001A79D2"/>
    <w:rsid w:val="001B0193"/>
    <w:rsid w:val="001B39A7"/>
    <w:rsid w:val="001B3A23"/>
    <w:rsid w:val="001B42FD"/>
    <w:rsid w:val="001B4580"/>
    <w:rsid w:val="001B4B8B"/>
    <w:rsid w:val="001B5970"/>
    <w:rsid w:val="001B5C23"/>
    <w:rsid w:val="001B5F95"/>
    <w:rsid w:val="001B7725"/>
    <w:rsid w:val="001B7883"/>
    <w:rsid w:val="001C0755"/>
    <w:rsid w:val="001C1CBF"/>
    <w:rsid w:val="001C2299"/>
    <w:rsid w:val="001C5016"/>
    <w:rsid w:val="001C5AB5"/>
    <w:rsid w:val="001C64AD"/>
    <w:rsid w:val="001C667D"/>
    <w:rsid w:val="001C757E"/>
    <w:rsid w:val="001C7C75"/>
    <w:rsid w:val="001D3232"/>
    <w:rsid w:val="001D4088"/>
    <w:rsid w:val="001D4182"/>
    <w:rsid w:val="001D45FB"/>
    <w:rsid w:val="001D5F9C"/>
    <w:rsid w:val="001D60F7"/>
    <w:rsid w:val="001D70CD"/>
    <w:rsid w:val="001D7531"/>
    <w:rsid w:val="001D76AD"/>
    <w:rsid w:val="001D7F79"/>
    <w:rsid w:val="001E0F4F"/>
    <w:rsid w:val="001E10E4"/>
    <w:rsid w:val="001E1628"/>
    <w:rsid w:val="001E168C"/>
    <w:rsid w:val="001E172F"/>
    <w:rsid w:val="001E1F2F"/>
    <w:rsid w:val="001E2946"/>
    <w:rsid w:val="001E374D"/>
    <w:rsid w:val="001E45DC"/>
    <w:rsid w:val="001E71BA"/>
    <w:rsid w:val="001F0EA5"/>
    <w:rsid w:val="001F3036"/>
    <w:rsid w:val="001F3484"/>
    <w:rsid w:val="001F47A9"/>
    <w:rsid w:val="001F4A4A"/>
    <w:rsid w:val="001F4ECD"/>
    <w:rsid w:val="001F5436"/>
    <w:rsid w:val="001F640C"/>
    <w:rsid w:val="001F643D"/>
    <w:rsid w:val="001F644B"/>
    <w:rsid w:val="001F65DC"/>
    <w:rsid w:val="001F6EA0"/>
    <w:rsid w:val="001F71FD"/>
    <w:rsid w:val="001F775D"/>
    <w:rsid w:val="00200062"/>
    <w:rsid w:val="00200783"/>
    <w:rsid w:val="00200DA3"/>
    <w:rsid w:val="00201DBD"/>
    <w:rsid w:val="002022F1"/>
    <w:rsid w:val="0020252D"/>
    <w:rsid w:val="00202CE7"/>
    <w:rsid w:val="0020305D"/>
    <w:rsid w:val="0020328C"/>
    <w:rsid w:val="00203E88"/>
    <w:rsid w:val="002051D4"/>
    <w:rsid w:val="00205A85"/>
    <w:rsid w:val="00206C35"/>
    <w:rsid w:val="00207390"/>
    <w:rsid w:val="00210150"/>
    <w:rsid w:val="00210CE6"/>
    <w:rsid w:val="002111F9"/>
    <w:rsid w:val="00211A92"/>
    <w:rsid w:val="00211BA0"/>
    <w:rsid w:val="002122A0"/>
    <w:rsid w:val="002127FE"/>
    <w:rsid w:val="00214190"/>
    <w:rsid w:val="002142AB"/>
    <w:rsid w:val="00214318"/>
    <w:rsid w:val="00214703"/>
    <w:rsid w:val="00214919"/>
    <w:rsid w:val="0021523B"/>
    <w:rsid w:val="002152D9"/>
    <w:rsid w:val="002159BC"/>
    <w:rsid w:val="00215C59"/>
    <w:rsid w:val="002164D4"/>
    <w:rsid w:val="00216A04"/>
    <w:rsid w:val="00217A83"/>
    <w:rsid w:val="002216E4"/>
    <w:rsid w:val="00221F2B"/>
    <w:rsid w:val="002225E3"/>
    <w:rsid w:val="00222F58"/>
    <w:rsid w:val="002230CB"/>
    <w:rsid w:val="00223361"/>
    <w:rsid w:val="00224FA9"/>
    <w:rsid w:val="00225B82"/>
    <w:rsid w:val="00226463"/>
    <w:rsid w:val="00227FFB"/>
    <w:rsid w:val="00230C6C"/>
    <w:rsid w:val="002316E9"/>
    <w:rsid w:val="00231C3D"/>
    <w:rsid w:val="002322F5"/>
    <w:rsid w:val="0023273F"/>
    <w:rsid w:val="00232AFE"/>
    <w:rsid w:val="0023328A"/>
    <w:rsid w:val="0023377A"/>
    <w:rsid w:val="00234479"/>
    <w:rsid w:val="002346FD"/>
    <w:rsid w:val="002347AA"/>
    <w:rsid w:val="002347DC"/>
    <w:rsid w:val="00234C69"/>
    <w:rsid w:val="00235195"/>
    <w:rsid w:val="00235219"/>
    <w:rsid w:val="00235C24"/>
    <w:rsid w:val="00236658"/>
    <w:rsid w:val="00236CF2"/>
    <w:rsid w:val="00237A9F"/>
    <w:rsid w:val="00241398"/>
    <w:rsid w:val="00241D3A"/>
    <w:rsid w:val="00242206"/>
    <w:rsid w:val="00243663"/>
    <w:rsid w:val="0024393E"/>
    <w:rsid w:val="00243B0C"/>
    <w:rsid w:val="00243B49"/>
    <w:rsid w:val="0024442E"/>
    <w:rsid w:val="00244657"/>
    <w:rsid w:val="00245F4A"/>
    <w:rsid w:val="002461CB"/>
    <w:rsid w:val="00247981"/>
    <w:rsid w:val="00247D59"/>
    <w:rsid w:val="00250019"/>
    <w:rsid w:val="00250221"/>
    <w:rsid w:val="0025108F"/>
    <w:rsid w:val="002514E8"/>
    <w:rsid w:val="002515FD"/>
    <w:rsid w:val="0025176C"/>
    <w:rsid w:val="00251DA5"/>
    <w:rsid w:val="00252D94"/>
    <w:rsid w:val="002538DB"/>
    <w:rsid w:val="0025391D"/>
    <w:rsid w:val="00253A9E"/>
    <w:rsid w:val="00255123"/>
    <w:rsid w:val="0025634D"/>
    <w:rsid w:val="0025655B"/>
    <w:rsid w:val="00256A57"/>
    <w:rsid w:val="00256C6B"/>
    <w:rsid w:val="002574FD"/>
    <w:rsid w:val="00257635"/>
    <w:rsid w:val="002601F8"/>
    <w:rsid w:val="002604F4"/>
    <w:rsid w:val="002611EA"/>
    <w:rsid w:val="002614F2"/>
    <w:rsid w:val="0026181A"/>
    <w:rsid w:val="002626A8"/>
    <w:rsid w:val="0026405D"/>
    <w:rsid w:val="00265D55"/>
    <w:rsid w:val="00265D89"/>
    <w:rsid w:val="002660EC"/>
    <w:rsid w:val="00266F1C"/>
    <w:rsid w:val="00270168"/>
    <w:rsid w:val="002719C0"/>
    <w:rsid w:val="00272026"/>
    <w:rsid w:val="002732AE"/>
    <w:rsid w:val="0027342D"/>
    <w:rsid w:val="002735AA"/>
    <w:rsid w:val="002735C0"/>
    <w:rsid w:val="00273FA7"/>
    <w:rsid w:val="00274438"/>
    <w:rsid w:val="00274D6F"/>
    <w:rsid w:val="00274F81"/>
    <w:rsid w:val="002753BE"/>
    <w:rsid w:val="002760DD"/>
    <w:rsid w:val="0027710A"/>
    <w:rsid w:val="00277739"/>
    <w:rsid w:val="00277C64"/>
    <w:rsid w:val="00277F1B"/>
    <w:rsid w:val="002801C9"/>
    <w:rsid w:val="00280549"/>
    <w:rsid w:val="00280E29"/>
    <w:rsid w:val="00281E4C"/>
    <w:rsid w:val="00283970"/>
    <w:rsid w:val="00283F80"/>
    <w:rsid w:val="00284086"/>
    <w:rsid w:val="002847AB"/>
    <w:rsid w:val="00284E6F"/>
    <w:rsid w:val="0028585B"/>
    <w:rsid w:val="00286905"/>
    <w:rsid w:val="0028722B"/>
    <w:rsid w:val="002876CF"/>
    <w:rsid w:val="00287B6A"/>
    <w:rsid w:val="002900C4"/>
    <w:rsid w:val="002902B2"/>
    <w:rsid w:val="002908A7"/>
    <w:rsid w:val="00290BD8"/>
    <w:rsid w:val="002914E0"/>
    <w:rsid w:val="00291FA5"/>
    <w:rsid w:val="00292035"/>
    <w:rsid w:val="00293C37"/>
    <w:rsid w:val="00294273"/>
    <w:rsid w:val="00294A32"/>
    <w:rsid w:val="00294D44"/>
    <w:rsid w:val="00294F83"/>
    <w:rsid w:val="00295134"/>
    <w:rsid w:val="00295BD1"/>
    <w:rsid w:val="00295F5C"/>
    <w:rsid w:val="00295F7D"/>
    <w:rsid w:val="00296416"/>
    <w:rsid w:val="00297942"/>
    <w:rsid w:val="00297968"/>
    <w:rsid w:val="002979DE"/>
    <w:rsid w:val="00297C8F"/>
    <w:rsid w:val="00297D21"/>
    <w:rsid w:val="002A05DC"/>
    <w:rsid w:val="002A082C"/>
    <w:rsid w:val="002A2E29"/>
    <w:rsid w:val="002A2FCA"/>
    <w:rsid w:val="002A3A3D"/>
    <w:rsid w:val="002A5852"/>
    <w:rsid w:val="002A6D48"/>
    <w:rsid w:val="002A7434"/>
    <w:rsid w:val="002A7B84"/>
    <w:rsid w:val="002B01CF"/>
    <w:rsid w:val="002B09EC"/>
    <w:rsid w:val="002B20CC"/>
    <w:rsid w:val="002B2267"/>
    <w:rsid w:val="002B2A5E"/>
    <w:rsid w:val="002B4378"/>
    <w:rsid w:val="002B596D"/>
    <w:rsid w:val="002B5A15"/>
    <w:rsid w:val="002B6337"/>
    <w:rsid w:val="002C065E"/>
    <w:rsid w:val="002C15F7"/>
    <w:rsid w:val="002C16E1"/>
    <w:rsid w:val="002C1CE6"/>
    <w:rsid w:val="002C2652"/>
    <w:rsid w:val="002C2E18"/>
    <w:rsid w:val="002C3CB1"/>
    <w:rsid w:val="002C493C"/>
    <w:rsid w:val="002C4987"/>
    <w:rsid w:val="002C4E39"/>
    <w:rsid w:val="002C5E99"/>
    <w:rsid w:val="002C60D6"/>
    <w:rsid w:val="002C69E7"/>
    <w:rsid w:val="002C710A"/>
    <w:rsid w:val="002C74FC"/>
    <w:rsid w:val="002C77B6"/>
    <w:rsid w:val="002D0918"/>
    <w:rsid w:val="002D0956"/>
    <w:rsid w:val="002D0C1B"/>
    <w:rsid w:val="002D0CFA"/>
    <w:rsid w:val="002D13CB"/>
    <w:rsid w:val="002D190E"/>
    <w:rsid w:val="002D1C4F"/>
    <w:rsid w:val="002D2854"/>
    <w:rsid w:val="002D345C"/>
    <w:rsid w:val="002D3640"/>
    <w:rsid w:val="002D3EDF"/>
    <w:rsid w:val="002D415A"/>
    <w:rsid w:val="002D4C29"/>
    <w:rsid w:val="002D4CAC"/>
    <w:rsid w:val="002D50CE"/>
    <w:rsid w:val="002D615B"/>
    <w:rsid w:val="002D6445"/>
    <w:rsid w:val="002D664C"/>
    <w:rsid w:val="002D73AD"/>
    <w:rsid w:val="002D7DAE"/>
    <w:rsid w:val="002E054D"/>
    <w:rsid w:val="002E07DE"/>
    <w:rsid w:val="002E081C"/>
    <w:rsid w:val="002E2464"/>
    <w:rsid w:val="002E3B9D"/>
    <w:rsid w:val="002E51A2"/>
    <w:rsid w:val="002E5431"/>
    <w:rsid w:val="002E6000"/>
    <w:rsid w:val="002E7A55"/>
    <w:rsid w:val="002E7CA4"/>
    <w:rsid w:val="002F02BF"/>
    <w:rsid w:val="002F0AF3"/>
    <w:rsid w:val="002F0E08"/>
    <w:rsid w:val="002F1A7B"/>
    <w:rsid w:val="002F1DB8"/>
    <w:rsid w:val="002F1EF9"/>
    <w:rsid w:val="002F2579"/>
    <w:rsid w:val="002F2D82"/>
    <w:rsid w:val="002F2F7A"/>
    <w:rsid w:val="002F30E0"/>
    <w:rsid w:val="002F3188"/>
    <w:rsid w:val="002F364F"/>
    <w:rsid w:val="002F58E4"/>
    <w:rsid w:val="002F5CAE"/>
    <w:rsid w:val="002F63BE"/>
    <w:rsid w:val="002F6557"/>
    <w:rsid w:val="002F679B"/>
    <w:rsid w:val="002F6D7E"/>
    <w:rsid w:val="002F6FB0"/>
    <w:rsid w:val="002F7098"/>
    <w:rsid w:val="002F7EB1"/>
    <w:rsid w:val="00300265"/>
    <w:rsid w:val="00300420"/>
    <w:rsid w:val="003004E8"/>
    <w:rsid w:val="00300AA9"/>
    <w:rsid w:val="00300F09"/>
    <w:rsid w:val="00301CB5"/>
    <w:rsid w:val="003022F4"/>
    <w:rsid w:val="00302EB5"/>
    <w:rsid w:val="00302F01"/>
    <w:rsid w:val="00303531"/>
    <w:rsid w:val="0030368F"/>
    <w:rsid w:val="00303A30"/>
    <w:rsid w:val="00303D3F"/>
    <w:rsid w:val="00303FA1"/>
    <w:rsid w:val="003041B1"/>
    <w:rsid w:val="003049E3"/>
    <w:rsid w:val="00305956"/>
    <w:rsid w:val="00306328"/>
    <w:rsid w:val="003067C2"/>
    <w:rsid w:val="00306B5F"/>
    <w:rsid w:val="00307056"/>
    <w:rsid w:val="00307464"/>
    <w:rsid w:val="003076AB"/>
    <w:rsid w:val="0030779A"/>
    <w:rsid w:val="003078E6"/>
    <w:rsid w:val="00307F06"/>
    <w:rsid w:val="0031039B"/>
    <w:rsid w:val="00310A5E"/>
    <w:rsid w:val="00311059"/>
    <w:rsid w:val="00311471"/>
    <w:rsid w:val="0031177B"/>
    <w:rsid w:val="003119C1"/>
    <w:rsid w:val="003119F0"/>
    <w:rsid w:val="00311E24"/>
    <w:rsid w:val="00311F66"/>
    <w:rsid w:val="003120DC"/>
    <w:rsid w:val="00313209"/>
    <w:rsid w:val="003139A6"/>
    <w:rsid w:val="003139FF"/>
    <w:rsid w:val="00314113"/>
    <w:rsid w:val="00314E3B"/>
    <w:rsid w:val="003156D4"/>
    <w:rsid w:val="00315DF3"/>
    <w:rsid w:val="00316175"/>
    <w:rsid w:val="0031675B"/>
    <w:rsid w:val="00316EC1"/>
    <w:rsid w:val="00317D19"/>
    <w:rsid w:val="003202C7"/>
    <w:rsid w:val="0032171F"/>
    <w:rsid w:val="003230B4"/>
    <w:rsid w:val="0032351B"/>
    <w:rsid w:val="00323607"/>
    <w:rsid w:val="00323937"/>
    <w:rsid w:val="00323B62"/>
    <w:rsid w:val="00323EEF"/>
    <w:rsid w:val="00324488"/>
    <w:rsid w:val="00324BBF"/>
    <w:rsid w:val="00324E38"/>
    <w:rsid w:val="0032506C"/>
    <w:rsid w:val="00325122"/>
    <w:rsid w:val="003258D5"/>
    <w:rsid w:val="003268DC"/>
    <w:rsid w:val="0032702D"/>
    <w:rsid w:val="00327DAA"/>
    <w:rsid w:val="003310BC"/>
    <w:rsid w:val="0033185E"/>
    <w:rsid w:val="003318D7"/>
    <w:rsid w:val="00334371"/>
    <w:rsid w:val="003343E0"/>
    <w:rsid w:val="00335758"/>
    <w:rsid w:val="00335B35"/>
    <w:rsid w:val="0033628C"/>
    <w:rsid w:val="003364D9"/>
    <w:rsid w:val="00336E46"/>
    <w:rsid w:val="00337B2D"/>
    <w:rsid w:val="00340F45"/>
    <w:rsid w:val="0034194A"/>
    <w:rsid w:val="00341BD5"/>
    <w:rsid w:val="003421CA"/>
    <w:rsid w:val="00342AF4"/>
    <w:rsid w:val="003440BC"/>
    <w:rsid w:val="00345084"/>
    <w:rsid w:val="003459D0"/>
    <w:rsid w:val="003463D3"/>
    <w:rsid w:val="00347597"/>
    <w:rsid w:val="00347D10"/>
    <w:rsid w:val="0035030F"/>
    <w:rsid w:val="00350386"/>
    <w:rsid w:val="0035107B"/>
    <w:rsid w:val="0035140A"/>
    <w:rsid w:val="00351742"/>
    <w:rsid w:val="00351E2C"/>
    <w:rsid w:val="00351E32"/>
    <w:rsid w:val="00351EFC"/>
    <w:rsid w:val="00351FE5"/>
    <w:rsid w:val="003520D5"/>
    <w:rsid w:val="00352509"/>
    <w:rsid w:val="00352A02"/>
    <w:rsid w:val="00352A81"/>
    <w:rsid w:val="00353AAE"/>
    <w:rsid w:val="00354E99"/>
    <w:rsid w:val="0035506A"/>
    <w:rsid w:val="00355E1B"/>
    <w:rsid w:val="00357A9D"/>
    <w:rsid w:val="00360CD0"/>
    <w:rsid w:val="0036181B"/>
    <w:rsid w:val="00361A18"/>
    <w:rsid w:val="00361BC4"/>
    <w:rsid w:val="0036227A"/>
    <w:rsid w:val="003626ED"/>
    <w:rsid w:val="00362AE1"/>
    <w:rsid w:val="00362C59"/>
    <w:rsid w:val="00362EFD"/>
    <w:rsid w:val="00363A4A"/>
    <w:rsid w:val="003651BA"/>
    <w:rsid w:val="003658AA"/>
    <w:rsid w:val="0036594C"/>
    <w:rsid w:val="003665F4"/>
    <w:rsid w:val="00366773"/>
    <w:rsid w:val="00366A4D"/>
    <w:rsid w:val="00367166"/>
    <w:rsid w:val="00367607"/>
    <w:rsid w:val="003706C4"/>
    <w:rsid w:val="00370821"/>
    <w:rsid w:val="00372202"/>
    <w:rsid w:val="0037233B"/>
    <w:rsid w:val="00372E7D"/>
    <w:rsid w:val="00372EDC"/>
    <w:rsid w:val="00373133"/>
    <w:rsid w:val="003731B6"/>
    <w:rsid w:val="003731BB"/>
    <w:rsid w:val="00374029"/>
    <w:rsid w:val="00374669"/>
    <w:rsid w:val="0037484C"/>
    <w:rsid w:val="00375572"/>
    <w:rsid w:val="00376A52"/>
    <w:rsid w:val="00377387"/>
    <w:rsid w:val="00377866"/>
    <w:rsid w:val="0038070A"/>
    <w:rsid w:val="00381043"/>
    <w:rsid w:val="003812E3"/>
    <w:rsid w:val="00382BF0"/>
    <w:rsid w:val="00384D9D"/>
    <w:rsid w:val="003855D9"/>
    <w:rsid w:val="003855DE"/>
    <w:rsid w:val="00385B04"/>
    <w:rsid w:val="00385E9D"/>
    <w:rsid w:val="0038696E"/>
    <w:rsid w:val="003870D0"/>
    <w:rsid w:val="003871BD"/>
    <w:rsid w:val="00390B75"/>
    <w:rsid w:val="00390BF9"/>
    <w:rsid w:val="00393EE1"/>
    <w:rsid w:val="00395228"/>
    <w:rsid w:val="00395335"/>
    <w:rsid w:val="00395E0D"/>
    <w:rsid w:val="00395EDF"/>
    <w:rsid w:val="003962D2"/>
    <w:rsid w:val="0039727A"/>
    <w:rsid w:val="0039781A"/>
    <w:rsid w:val="003A08F9"/>
    <w:rsid w:val="003A18E5"/>
    <w:rsid w:val="003A1A59"/>
    <w:rsid w:val="003A1AB6"/>
    <w:rsid w:val="003A1EF9"/>
    <w:rsid w:val="003A20A2"/>
    <w:rsid w:val="003A22E1"/>
    <w:rsid w:val="003A27E2"/>
    <w:rsid w:val="003A3019"/>
    <w:rsid w:val="003A36F7"/>
    <w:rsid w:val="003A3DBD"/>
    <w:rsid w:val="003A4F0F"/>
    <w:rsid w:val="003A53E1"/>
    <w:rsid w:val="003A642D"/>
    <w:rsid w:val="003A68BC"/>
    <w:rsid w:val="003A6C60"/>
    <w:rsid w:val="003A6F70"/>
    <w:rsid w:val="003A78F3"/>
    <w:rsid w:val="003B000A"/>
    <w:rsid w:val="003B023B"/>
    <w:rsid w:val="003B0D29"/>
    <w:rsid w:val="003B1220"/>
    <w:rsid w:val="003B13A7"/>
    <w:rsid w:val="003B156F"/>
    <w:rsid w:val="003B17E5"/>
    <w:rsid w:val="003B2315"/>
    <w:rsid w:val="003B281B"/>
    <w:rsid w:val="003B316F"/>
    <w:rsid w:val="003B352C"/>
    <w:rsid w:val="003B3752"/>
    <w:rsid w:val="003B3CD5"/>
    <w:rsid w:val="003B4888"/>
    <w:rsid w:val="003B48B6"/>
    <w:rsid w:val="003B4FDA"/>
    <w:rsid w:val="003B59A8"/>
    <w:rsid w:val="003C020B"/>
    <w:rsid w:val="003C077C"/>
    <w:rsid w:val="003C326B"/>
    <w:rsid w:val="003C3A6A"/>
    <w:rsid w:val="003C3C04"/>
    <w:rsid w:val="003C42D5"/>
    <w:rsid w:val="003C49B0"/>
    <w:rsid w:val="003C5029"/>
    <w:rsid w:val="003C57CD"/>
    <w:rsid w:val="003C583D"/>
    <w:rsid w:val="003C67C1"/>
    <w:rsid w:val="003C6AB5"/>
    <w:rsid w:val="003C7A76"/>
    <w:rsid w:val="003D14A7"/>
    <w:rsid w:val="003D1D72"/>
    <w:rsid w:val="003D2056"/>
    <w:rsid w:val="003D28EB"/>
    <w:rsid w:val="003D3447"/>
    <w:rsid w:val="003D358E"/>
    <w:rsid w:val="003D376E"/>
    <w:rsid w:val="003D41AB"/>
    <w:rsid w:val="003D4993"/>
    <w:rsid w:val="003D4B48"/>
    <w:rsid w:val="003D4F79"/>
    <w:rsid w:val="003D52FA"/>
    <w:rsid w:val="003D59C8"/>
    <w:rsid w:val="003D5DE2"/>
    <w:rsid w:val="003D5E68"/>
    <w:rsid w:val="003D6D1D"/>
    <w:rsid w:val="003E029B"/>
    <w:rsid w:val="003E0B63"/>
    <w:rsid w:val="003E1A03"/>
    <w:rsid w:val="003E2153"/>
    <w:rsid w:val="003E3745"/>
    <w:rsid w:val="003E38E0"/>
    <w:rsid w:val="003E4A74"/>
    <w:rsid w:val="003E55D4"/>
    <w:rsid w:val="003E5A0A"/>
    <w:rsid w:val="003E7BDC"/>
    <w:rsid w:val="003F06B2"/>
    <w:rsid w:val="003F107C"/>
    <w:rsid w:val="003F19B2"/>
    <w:rsid w:val="003F1CBA"/>
    <w:rsid w:val="003F1E3E"/>
    <w:rsid w:val="003F208A"/>
    <w:rsid w:val="003F22C9"/>
    <w:rsid w:val="003F231A"/>
    <w:rsid w:val="003F280F"/>
    <w:rsid w:val="003F284A"/>
    <w:rsid w:val="003F3153"/>
    <w:rsid w:val="003F3548"/>
    <w:rsid w:val="003F385C"/>
    <w:rsid w:val="003F3A2A"/>
    <w:rsid w:val="003F456D"/>
    <w:rsid w:val="003F4D27"/>
    <w:rsid w:val="003F4E55"/>
    <w:rsid w:val="003F5036"/>
    <w:rsid w:val="003F537A"/>
    <w:rsid w:val="003F53F2"/>
    <w:rsid w:val="003F5843"/>
    <w:rsid w:val="003F5E52"/>
    <w:rsid w:val="003F6077"/>
    <w:rsid w:val="003F65DE"/>
    <w:rsid w:val="003F6D91"/>
    <w:rsid w:val="003F7CBF"/>
    <w:rsid w:val="004002D2"/>
    <w:rsid w:val="004008EC"/>
    <w:rsid w:val="00400E31"/>
    <w:rsid w:val="004028EA"/>
    <w:rsid w:val="00403B4A"/>
    <w:rsid w:val="00404416"/>
    <w:rsid w:val="0040510E"/>
    <w:rsid w:val="0040551B"/>
    <w:rsid w:val="004059F4"/>
    <w:rsid w:val="00405B4E"/>
    <w:rsid w:val="00405BDF"/>
    <w:rsid w:val="004062AD"/>
    <w:rsid w:val="004065A5"/>
    <w:rsid w:val="00406C70"/>
    <w:rsid w:val="00407799"/>
    <w:rsid w:val="00407F78"/>
    <w:rsid w:val="0041058E"/>
    <w:rsid w:val="00410C61"/>
    <w:rsid w:val="004116E6"/>
    <w:rsid w:val="004118BB"/>
    <w:rsid w:val="00411A0B"/>
    <w:rsid w:val="0041218E"/>
    <w:rsid w:val="00412B16"/>
    <w:rsid w:val="00413149"/>
    <w:rsid w:val="00413217"/>
    <w:rsid w:val="00413888"/>
    <w:rsid w:val="00414340"/>
    <w:rsid w:val="00414649"/>
    <w:rsid w:val="0041466C"/>
    <w:rsid w:val="00414A17"/>
    <w:rsid w:val="00414ACC"/>
    <w:rsid w:val="00414FE3"/>
    <w:rsid w:val="00415211"/>
    <w:rsid w:val="00415232"/>
    <w:rsid w:val="00415395"/>
    <w:rsid w:val="004158A1"/>
    <w:rsid w:val="00416A5F"/>
    <w:rsid w:val="00417556"/>
    <w:rsid w:val="00417BF7"/>
    <w:rsid w:val="00420283"/>
    <w:rsid w:val="004202AB"/>
    <w:rsid w:val="00420F46"/>
    <w:rsid w:val="00421AA5"/>
    <w:rsid w:val="00421DC3"/>
    <w:rsid w:val="004220F4"/>
    <w:rsid w:val="00422B8A"/>
    <w:rsid w:val="00422D2A"/>
    <w:rsid w:val="00422D56"/>
    <w:rsid w:val="00424253"/>
    <w:rsid w:val="004242EF"/>
    <w:rsid w:val="00424A18"/>
    <w:rsid w:val="00424D12"/>
    <w:rsid w:val="00425074"/>
    <w:rsid w:val="004250AD"/>
    <w:rsid w:val="00425118"/>
    <w:rsid w:val="00425672"/>
    <w:rsid w:val="00425D62"/>
    <w:rsid w:val="00425EFA"/>
    <w:rsid w:val="00426EE6"/>
    <w:rsid w:val="00431684"/>
    <w:rsid w:val="00431A68"/>
    <w:rsid w:val="004320A0"/>
    <w:rsid w:val="004324F3"/>
    <w:rsid w:val="00433149"/>
    <w:rsid w:val="0043355F"/>
    <w:rsid w:val="00433EAA"/>
    <w:rsid w:val="00434652"/>
    <w:rsid w:val="0043493B"/>
    <w:rsid w:val="00434DEB"/>
    <w:rsid w:val="00435883"/>
    <w:rsid w:val="00435CA1"/>
    <w:rsid w:val="00436413"/>
    <w:rsid w:val="0043645E"/>
    <w:rsid w:val="00436836"/>
    <w:rsid w:val="00436A8A"/>
    <w:rsid w:val="00436BF2"/>
    <w:rsid w:val="00436D3F"/>
    <w:rsid w:val="00437C28"/>
    <w:rsid w:val="004408B2"/>
    <w:rsid w:val="004414C6"/>
    <w:rsid w:val="00441C54"/>
    <w:rsid w:val="00442665"/>
    <w:rsid w:val="00442D7D"/>
    <w:rsid w:val="00442F04"/>
    <w:rsid w:val="0044311A"/>
    <w:rsid w:val="00443512"/>
    <w:rsid w:val="0044381D"/>
    <w:rsid w:val="00443912"/>
    <w:rsid w:val="00443CE7"/>
    <w:rsid w:val="00444156"/>
    <w:rsid w:val="0044588A"/>
    <w:rsid w:val="00445E5C"/>
    <w:rsid w:val="00446730"/>
    <w:rsid w:val="00447244"/>
    <w:rsid w:val="00447811"/>
    <w:rsid w:val="00447A58"/>
    <w:rsid w:val="00447B3A"/>
    <w:rsid w:val="00447E66"/>
    <w:rsid w:val="004502A1"/>
    <w:rsid w:val="00450DB0"/>
    <w:rsid w:val="00451BA1"/>
    <w:rsid w:val="00451F82"/>
    <w:rsid w:val="004521B1"/>
    <w:rsid w:val="00452A9B"/>
    <w:rsid w:val="00452B33"/>
    <w:rsid w:val="0045316B"/>
    <w:rsid w:val="004537D4"/>
    <w:rsid w:val="00453BD3"/>
    <w:rsid w:val="00453D6A"/>
    <w:rsid w:val="00454D74"/>
    <w:rsid w:val="0045502A"/>
    <w:rsid w:val="00456622"/>
    <w:rsid w:val="0046057E"/>
    <w:rsid w:val="00460A15"/>
    <w:rsid w:val="00460B92"/>
    <w:rsid w:val="00461B64"/>
    <w:rsid w:val="00461BB1"/>
    <w:rsid w:val="004634B2"/>
    <w:rsid w:val="0046477B"/>
    <w:rsid w:val="00464A04"/>
    <w:rsid w:val="00465025"/>
    <w:rsid w:val="004651CB"/>
    <w:rsid w:val="0046554D"/>
    <w:rsid w:val="00465E58"/>
    <w:rsid w:val="0046680B"/>
    <w:rsid w:val="00466D39"/>
    <w:rsid w:val="0047011C"/>
    <w:rsid w:val="00470370"/>
    <w:rsid w:val="00471100"/>
    <w:rsid w:val="004726E7"/>
    <w:rsid w:val="004732C9"/>
    <w:rsid w:val="00473F44"/>
    <w:rsid w:val="004742E6"/>
    <w:rsid w:val="00475B79"/>
    <w:rsid w:val="00476B09"/>
    <w:rsid w:val="00476DEB"/>
    <w:rsid w:val="004770F5"/>
    <w:rsid w:val="0047715D"/>
    <w:rsid w:val="00477F41"/>
    <w:rsid w:val="00480253"/>
    <w:rsid w:val="00481266"/>
    <w:rsid w:val="0048155C"/>
    <w:rsid w:val="00481637"/>
    <w:rsid w:val="00481DC8"/>
    <w:rsid w:val="0048231B"/>
    <w:rsid w:val="004836E0"/>
    <w:rsid w:val="00483862"/>
    <w:rsid w:val="004847E2"/>
    <w:rsid w:val="00484A3E"/>
    <w:rsid w:val="00484ADF"/>
    <w:rsid w:val="00485E10"/>
    <w:rsid w:val="00486094"/>
    <w:rsid w:val="00490688"/>
    <w:rsid w:val="00490CF5"/>
    <w:rsid w:val="00490DCD"/>
    <w:rsid w:val="004914C2"/>
    <w:rsid w:val="0049182E"/>
    <w:rsid w:val="004918CF"/>
    <w:rsid w:val="00492238"/>
    <w:rsid w:val="004922DC"/>
    <w:rsid w:val="00492E93"/>
    <w:rsid w:val="00492F7A"/>
    <w:rsid w:val="00493277"/>
    <w:rsid w:val="0049494E"/>
    <w:rsid w:val="0049553A"/>
    <w:rsid w:val="00495E02"/>
    <w:rsid w:val="00496B49"/>
    <w:rsid w:val="00497461"/>
    <w:rsid w:val="00497E5A"/>
    <w:rsid w:val="00497FE5"/>
    <w:rsid w:val="004A010F"/>
    <w:rsid w:val="004A15BE"/>
    <w:rsid w:val="004A1D26"/>
    <w:rsid w:val="004A21E1"/>
    <w:rsid w:val="004A287F"/>
    <w:rsid w:val="004A2DEF"/>
    <w:rsid w:val="004A2F09"/>
    <w:rsid w:val="004A3218"/>
    <w:rsid w:val="004A3874"/>
    <w:rsid w:val="004A3CEE"/>
    <w:rsid w:val="004A4460"/>
    <w:rsid w:val="004A5D52"/>
    <w:rsid w:val="004A5EF7"/>
    <w:rsid w:val="004A6089"/>
    <w:rsid w:val="004A6AEE"/>
    <w:rsid w:val="004A6E16"/>
    <w:rsid w:val="004A7E76"/>
    <w:rsid w:val="004A7F42"/>
    <w:rsid w:val="004B11C1"/>
    <w:rsid w:val="004B1766"/>
    <w:rsid w:val="004B19DB"/>
    <w:rsid w:val="004B1B55"/>
    <w:rsid w:val="004B1E42"/>
    <w:rsid w:val="004B3591"/>
    <w:rsid w:val="004B4F50"/>
    <w:rsid w:val="004B56C3"/>
    <w:rsid w:val="004B5889"/>
    <w:rsid w:val="004C0A79"/>
    <w:rsid w:val="004C0B72"/>
    <w:rsid w:val="004C0E9C"/>
    <w:rsid w:val="004C1497"/>
    <w:rsid w:val="004C1722"/>
    <w:rsid w:val="004C1D16"/>
    <w:rsid w:val="004C278D"/>
    <w:rsid w:val="004C3355"/>
    <w:rsid w:val="004C34A6"/>
    <w:rsid w:val="004C45A1"/>
    <w:rsid w:val="004C49CC"/>
    <w:rsid w:val="004C531E"/>
    <w:rsid w:val="004C61EC"/>
    <w:rsid w:val="004C679E"/>
    <w:rsid w:val="004C7649"/>
    <w:rsid w:val="004C7950"/>
    <w:rsid w:val="004C7C97"/>
    <w:rsid w:val="004D0F1D"/>
    <w:rsid w:val="004D149A"/>
    <w:rsid w:val="004D1AC6"/>
    <w:rsid w:val="004D30AC"/>
    <w:rsid w:val="004D3C94"/>
    <w:rsid w:val="004D3E1E"/>
    <w:rsid w:val="004D4EFB"/>
    <w:rsid w:val="004D5CB3"/>
    <w:rsid w:val="004D5FEC"/>
    <w:rsid w:val="004D6C84"/>
    <w:rsid w:val="004D7071"/>
    <w:rsid w:val="004D79E8"/>
    <w:rsid w:val="004E176D"/>
    <w:rsid w:val="004E17A9"/>
    <w:rsid w:val="004E1824"/>
    <w:rsid w:val="004E1C9F"/>
    <w:rsid w:val="004E25D2"/>
    <w:rsid w:val="004E28D8"/>
    <w:rsid w:val="004E46E5"/>
    <w:rsid w:val="004E4AAC"/>
    <w:rsid w:val="004E6831"/>
    <w:rsid w:val="004E71AA"/>
    <w:rsid w:val="004E7345"/>
    <w:rsid w:val="004F035C"/>
    <w:rsid w:val="004F086B"/>
    <w:rsid w:val="004F0EDE"/>
    <w:rsid w:val="004F16BC"/>
    <w:rsid w:val="004F17BC"/>
    <w:rsid w:val="004F1C4A"/>
    <w:rsid w:val="004F29C3"/>
    <w:rsid w:val="004F2E92"/>
    <w:rsid w:val="004F34C8"/>
    <w:rsid w:val="004F3AC5"/>
    <w:rsid w:val="004F3D75"/>
    <w:rsid w:val="004F41C4"/>
    <w:rsid w:val="004F4670"/>
    <w:rsid w:val="004F5987"/>
    <w:rsid w:val="004F6034"/>
    <w:rsid w:val="004F60EC"/>
    <w:rsid w:val="004F6555"/>
    <w:rsid w:val="004F6A8D"/>
    <w:rsid w:val="005001AE"/>
    <w:rsid w:val="0050035D"/>
    <w:rsid w:val="00501712"/>
    <w:rsid w:val="00502FC7"/>
    <w:rsid w:val="005030E5"/>
    <w:rsid w:val="005031A9"/>
    <w:rsid w:val="005040C2"/>
    <w:rsid w:val="00504322"/>
    <w:rsid w:val="005043EA"/>
    <w:rsid w:val="005046CF"/>
    <w:rsid w:val="00504F73"/>
    <w:rsid w:val="005051D6"/>
    <w:rsid w:val="0050730F"/>
    <w:rsid w:val="005102BD"/>
    <w:rsid w:val="00511460"/>
    <w:rsid w:val="00511704"/>
    <w:rsid w:val="00511987"/>
    <w:rsid w:val="00511F05"/>
    <w:rsid w:val="0051299B"/>
    <w:rsid w:val="00512E5F"/>
    <w:rsid w:val="00513018"/>
    <w:rsid w:val="005133A2"/>
    <w:rsid w:val="00514DC4"/>
    <w:rsid w:val="005150F5"/>
    <w:rsid w:val="005153D4"/>
    <w:rsid w:val="00516337"/>
    <w:rsid w:val="00516ECE"/>
    <w:rsid w:val="005173DC"/>
    <w:rsid w:val="00517620"/>
    <w:rsid w:val="00517AEB"/>
    <w:rsid w:val="00517EA0"/>
    <w:rsid w:val="00517FDB"/>
    <w:rsid w:val="005204AD"/>
    <w:rsid w:val="005205B8"/>
    <w:rsid w:val="00520A7E"/>
    <w:rsid w:val="005210EF"/>
    <w:rsid w:val="00521492"/>
    <w:rsid w:val="00521EF0"/>
    <w:rsid w:val="0052224B"/>
    <w:rsid w:val="00522A6F"/>
    <w:rsid w:val="00522B6F"/>
    <w:rsid w:val="00522C51"/>
    <w:rsid w:val="00523E40"/>
    <w:rsid w:val="00524025"/>
    <w:rsid w:val="0052451E"/>
    <w:rsid w:val="00524BEF"/>
    <w:rsid w:val="00524C71"/>
    <w:rsid w:val="005262CC"/>
    <w:rsid w:val="00526603"/>
    <w:rsid w:val="005266B1"/>
    <w:rsid w:val="00526D5D"/>
    <w:rsid w:val="00527806"/>
    <w:rsid w:val="005300F2"/>
    <w:rsid w:val="005307C4"/>
    <w:rsid w:val="00530A28"/>
    <w:rsid w:val="005318D1"/>
    <w:rsid w:val="005318DA"/>
    <w:rsid w:val="00531B27"/>
    <w:rsid w:val="00532085"/>
    <w:rsid w:val="005327C4"/>
    <w:rsid w:val="00532E52"/>
    <w:rsid w:val="00533B66"/>
    <w:rsid w:val="00534050"/>
    <w:rsid w:val="00534582"/>
    <w:rsid w:val="00534785"/>
    <w:rsid w:val="00534C86"/>
    <w:rsid w:val="0053584A"/>
    <w:rsid w:val="00535B05"/>
    <w:rsid w:val="00535CF4"/>
    <w:rsid w:val="00536719"/>
    <w:rsid w:val="005373CA"/>
    <w:rsid w:val="00537DF0"/>
    <w:rsid w:val="005403A3"/>
    <w:rsid w:val="00540965"/>
    <w:rsid w:val="005417F4"/>
    <w:rsid w:val="00541E00"/>
    <w:rsid w:val="00543C13"/>
    <w:rsid w:val="005448E4"/>
    <w:rsid w:val="00544BEC"/>
    <w:rsid w:val="00544DC2"/>
    <w:rsid w:val="005455C5"/>
    <w:rsid w:val="00545BD0"/>
    <w:rsid w:val="00545DE7"/>
    <w:rsid w:val="005466D8"/>
    <w:rsid w:val="005470AD"/>
    <w:rsid w:val="005504A7"/>
    <w:rsid w:val="0055157D"/>
    <w:rsid w:val="00552050"/>
    <w:rsid w:val="00553BDA"/>
    <w:rsid w:val="005547A1"/>
    <w:rsid w:val="0055502D"/>
    <w:rsid w:val="00555262"/>
    <w:rsid w:val="00555E2F"/>
    <w:rsid w:val="00555FFE"/>
    <w:rsid w:val="0055622D"/>
    <w:rsid w:val="005566A9"/>
    <w:rsid w:val="005571E4"/>
    <w:rsid w:val="005600E7"/>
    <w:rsid w:val="0056038A"/>
    <w:rsid w:val="00561A2C"/>
    <w:rsid w:val="0056222D"/>
    <w:rsid w:val="00562A27"/>
    <w:rsid w:val="00563760"/>
    <w:rsid w:val="005644F3"/>
    <w:rsid w:val="005646F2"/>
    <w:rsid w:val="00565014"/>
    <w:rsid w:val="0056558F"/>
    <w:rsid w:val="005659AE"/>
    <w:rsid w:val="00565A39"/>
    <w:rsid w:val="00565BE2"/>
    <w:rsid w:val="005663B6"/>
    <w:rsid w:val="0056753E"/>
    <w:rsid w:val="005679DB"/>
    <w:rsid w:val="0057017E"/>
    <w:rsid w:val="00570BEF"/>
    <w:rsid w:val="00570EEC"/>
    <w:rsid w:val="0057208D"/>
    <w:rsid w:val="00572207"/>
    <w:rsid w:val="00572C5B"/>
    <w:rsid w:val="00572F44"/>
    <w:rsid w:val="00573F6E"/>
    <w:rsid w:val="005740C4"/>
    <w:rsid w:val="0057591D"/>
    <w:rsid w:val="0057605B"/>
    <w:rsid w:val="005760C9"/>
    <w:rsid w:val="005761F0"/>
    <w:rsid w:val="00576ADB"/>
    <w:rsid w:val="00577E95"/>
    <w:rsid w:val="00580CA3"/>
    <w:rsid w:val="00581044"/>
    <w:rsid w:val="005813BB"/>
    <w:rsid w:val="005820F7"/>
    <w:rsid w:val="00582CE0"/>
    <w:rsid w:val="00583053"/>
    <w:rsid w:val="005833A7"/>
    <w:rsid w:val="0058349E"/>
    <w:rsid w:val="005843C7"/>
    <w:rsid w:val="00585689"/>
    <w:rsid w:val="005860B6"/>
    <w:rsid w:val="005860E8"/>
    <w:rsid w:val="005866C3"/>
    <w:rsid w:val="00590980"/>
    <w:rsid w:val="00590AE3"/>
    <w:rsid w:val="00590CC8"/>
    <w:rsid w:val="005919FD"/>
    <w:rsid w:val="0059234D"/>
    <w:rsid w:val="005926BC"/>
    <w:rsid w:val="00592E00"/>
    <w:rsid w:val="00593080"/>
    <w:rsid w:val="00593328"/>
    <w:rsid w:val="005935B8"/>
    <w:rsid w:val="00594C87"/>
    <w:rsid w:val="00595798"/>
    <w:rsid w:val="005968F2"/>
    <w:rsid w:val="005969D2"/>
    <w:rsid w:val="00596DC2"/>
    <w:rsid w:val="00597142"/>
    <w:rsid w:val="00597615"/>
    <w:rsid w:val="005A0745"/>
    <w:rsid w:val="005A12E6"/>
    <w:rsid w:val="005A229F"/>
    <w:rsid w:val="005A2618"/>
    <w:rsid w:val="005A287F"/>
    <w:rsid w:val="005A2968"/>
    <w:rsid w:val="005A2A05"/>
    <w:rsid w:val="005A3069"/>
    <w:rsid w:val="005A4276"/>
    <w:rsid w:val="005A51C2"/>
    <w:rsid w:val="005A55D9"/>
    <w:rsid w:val="005A70FB"/>
    <w:rsid w:val="005A777B"/>
    <w:rsid w:val="005A7E3B"/>
    <w:rsid w:val="005B16CB"/>
    <w:rsid w:val="005B1EC9"/>
    <w:rsid w:val="005B1EE7"/>
    <w:rsid w:val="005B22BB"/>
    <w:rsid w:val="005B256F"/>
    <w:rsid w:val="005B3D8C"/>
    <w:rsid w:val="005B41A3"/>
    <w:rsid w:val="005B4840"/>
    <w:rsid w:val="005B58E3"/>
    <w:rsid w:val="005B5E64"/>
    <w:rsid w:val="005B645E"/>
    <w:rsid w:val="005B6661"/>
    <w:rsid w:val="005B6C61"/>
    <w:rsid w:val="005B7222"/>
    <w:rsid w:val="005B79F8"/>
    <w:rsid w:val="005C05A8"/>
    <w:rsid w:val="005C0611"/>
    <w:rsid w:val="005C19E2"/>
    <w:rsid w:val="005C1B57"/>
    <w:rsid w:val="005C1CF7"/>
    <w:rsid w:val="005C1DB3"/>
    <w:rsid w:val="005C2679"/>
    <w:rsid w:val="005C2A42"/>
    <w:rsid w:val="005C2C48"/>
    <w:rsid w:val="005C2CA8"/>
    <w:rsid w:val="005C3920"/>
    <w:rsid w:val="005C3E16"/>
    <w:rsid w:val="005C5CE6"/>
    <w:rsid w:val="005C687E"/>
    <w:rsid w:val="005C777B"/>
    <w:rsid w:val="005D02A1"/>
    <w:rsid w:val="005D02F7"/>
    <w:rsid w:val="005D032E"/>
    <w:rsid w:val="005D0A52"/>
    <w:rsid w:val="005D0A56"/>
    <w:rsid w:val="005D15AA"/>
    <w:rsid w:val="005D204B"/>
    <w:rsid w:val="005D2592"/>
    <w:rsid w:val="005D33A6"/>
    <w:rsid w:val="005D3D21"/>
    <w:rsid w:val="005D4182"/>
    <w:rsid w:val="005D4674"/>
    <w:rsid w:val="005D5068"/>
    <w:rsid w:val="005D55E0"/>
    <w:rsid w:val="005D6644"/>
    <w:rsid w:val="005D71AA"/>
    <w:rsid w:val="005D7AC2"/>
    <w:rsid w:val="005E0385"/>
    <w:rsid w:val="005E15B2"/>
    <w:rsid w:val="005E1820"/>
    <w:rsid w:val="005E2AE7"/>
    <w:rsid w:val="005E3C1F"/>
    <w:rsid w:val="005E4876"/>
    <w:rsid w:val="005E520C"/>
    <w:rsid w:val="005E58D7"/>
    <w:rsid w:val="005E6087"/>
    <w:rsid w:val="005E6EAF"/>
    <w:rsid w:val="005E70DA"/>
    <w:rsid w:val="005F0A69"/>
    <w:rsid w:val="005F1A59"/>
    <w:rsid w:val="005F2072"/>
    <w:rsid w:val="005F2782"/>
    <w:rsid w:val="005F278E"/>
    <w:rsid w:val="005F2AF3"/>
    <w:rsid w:val="005F404A"/>
    <w:rsid w:val="005F6210"/>
    <w:rsid w:val="005F686B"/>
    <w:rsid w:val="005F6AD6"/>
    <w:rsid w:val="005F7A74"/>
    <w:rsid w:val="0060082D"/>
    <w:rsid w:val="006014F2"/>
    <w:rsid w:val="006015BA"/>
    <w:rsid w:val="00602085"/>
    <w:rsid w:val="0060238F"/>
    <w:rsid w:val="00602FEE"/>
    <w:rsid w:val="00603F0B"/>
    <w:rsid w:val="00604D71"/>
    <w:rsid w:val="006050E8"/>
    <w:rsid w:val="0060529C"/>
    <w:rsid w:val="00605A14"/>
    <w:rsid w:val="00607285"/>
    <w:rsid w:val="00607B74"/>
    <w:rsid w:val="00610113"/>
    <w:rsid w:val="006106C6"/>
    <w:rsid w:val="00610F0E"/>
    <w:rsid w:val="006111CB"/>
    <w:rsid w:val="00611256"/>
    <w:rsid w:val="0061202A"/>
    <w:rsid w:val="00612E9E"/>
    <w:rsid w:val="006136B7"/>
    <w:rsid w:val="00613832"/>
    <w:rsid w:val="006139A1"/>
    <w:rsid w:val="00613F6C"/>
    <w:rsid w:val="00614A7F"/>
    <w:rsid w:val="00614FE7"/>
    <w:rsid w:val="006165E4"/>
    <w:rsid w:val="0061666C"/>
    <w:rsid w:val="00616FFF"/>
    <w:rsid w:val="0061775F"/>
    <w:rsid w:val="00617EEB"/>
    <w:rsid w:val="006200BD"/>
    <w:rsid w:val="00620B6E"/>
    <w:rsid w:val="00620CD8"/>
    <w:rsid w:val="006217AD"/>
    <w:rsid w:val="00621930"/>
    <w:rsid w:val="00621D43"/>
    <w:rsid w:val="00621E7A"/>
    <w:rsid w:val="006225D4"/>
    <w:rsid w:val="00622934"/>
    <w:rsid w:val="0062387F"/>
    <w:rsid w:val="00623C27"/>
    <w:rsid w:val="006243F8"/>
    <w:rsid w:val="0062496F"/>
    <w:rsid w:val="00625189"/>
    <w:rsid w:val="0062623E"/>
    <w:rsid w:val="006267C2"/>
    <w:rsid w:val="00627C8E"/>
    <w:rsid w:val="00630D21"/>
    <w:rsid w:val="00633B69"/>
    <w:rsid w:val="00634430"/>
    <w:rsid w:val="006345CB"/>
    <w:rsid w:val="00634881"/>
    <w:rsid w:val="00634F1B"/>
    <w:rsid w:val="00635523"/>
    <w:rsid w:val="006357C6"/>
    <w:rsid w:val="00635B58"/>
    <w:rsid w:val="00635FD1"/>
    <w:rsid w:val="00636184"/>
    <w:rsid w:val="00637A07"/>
    <w:rsid w:val="0064047D"/>
    <w:rsid w:val="0064059D"/>
    <w:rsid w:val="00640A42"/>
    <w:rsid w:val="006411E9"/>
    <w:rsid w:val="00641915"/>
    <w:rsid w:val="00641BBD"/>
    <w:rsid w:val="0064272B"/>
    <w:rsid w:val="00643BEE"/>
    <w:rsid w:val="00644328"/>
    <w:rsid w:val="006443A8"/>
    <w:rsid w:val="00644C66"/>
    <w:rsid w:val="00644DEB"/>
    <w:rsid w:val="0064542D"/>
    <w:rsid w:val="00645D2C"/>
    <w:rsid w:val="006463DF"/>
    <w:rsid w:val="00647D76"/>
    <w:rsid w:val="00647FFB"/>
    <w:rsid w:val="00650716"/>
    <w:rsid w:val="006517BF"/>
    <w:rsid w:val="00651AE4"/>
    <w:rsid w:val="00651EA1"/>
    <w:rsid w:val="00652454"/>
    <w:rsid w:val="00652C5C"/>
    <w:rsid w:val="006534D7"/>
    <w:rsid w:val="006536A8"/>
    <w:rsid w:val="00653A8E"/>
    <w:rsid w:val="00653FC3"/>
    <w:rsid w:val="0065445E"/>
    <w:rsid w:val="0065446F"/>
    <w:rsid w:val="00654A0F"/>
    <w:rsid w:val="00654C5D"/>
    <w:rsid w:val="006550EE"/>
    <w:rsid w:val="00655AEC"/>
    <w:rsid w:val="00655C8B"/>
    <w:rsid w:val="006566D1"/>
    <w:rsid w:val="0065734A"/>
    <w:rsid w:val="00657DBA"/>
    <w:rsid w:val="0066000B"/>
    <w:rsid w:val="006600E4"/>
    <w:rsid w:val="006602CE"/>
    <w:rsid w:val="0066086B"/>
    <w:rsid w:val="00660F39"/>
    <w:rsid w:val="00662C56"/>
    <w:rsid w:val="006633E2"/>
    <w:rsid w:val="0066411A"/>
    <w:rsid w:val="0066431E"/>
    <w:rsid w:val="006645FB"/>
    <w:rsid w:val="00664AEC"/>
    <w:rsid w:val="00664CA2"/>
    <w:rsid w:val="00665061"/>
    <w:rsid w:val="00665173"/>
    <w:rsid w:val="006651E0"/>
    <w:rsid w:val="006652A7"/>
    <w:rsid w:val="00665784"/>
    <w:rsid w:val="00665B65"/>
    <w:rsid w:val="00665F16"/>
    <w:rsid w:val="0066675D"/>
    <w:rsid w:val="00666910"/>
    <w:rsid w:val="00666F6F"/>
    <w:rsid w:val="00667626"/>
    <w:rsid w:val="00671C2F"/>
    <w:rsid w:val="006721A8"/>
    <w:rsid w:val="00673093"/>
    <w:rsid w:val="0067406B"/>
    <w:rsid w:val="00674182"/>
    <w:rsid w:val="006741F1"/>
    <w:rsid w:val="00674B08"/>
    <w:rsid w:val="00674B31"/>
    <w:rsid w:val="00675FA4"/>
    <w:rsid w:val="006765F9"/>
    <w:rsid w:val="006766A3"/>
    <w:rsid w:val="00676FF0"/>
    <w:rsid w:val="0067730F"/>
    <w:rsid w:val="0068099F"/>
    <w:rsid w:val="006823F2"/>
    <w:rsid w:val="006832D6"/>
    <w:rsid w:val="006835E3"/>
    <w:rsid w:val="006838BC"/>
    <w:rsid w:val="00683F78"/>
    <w:rsid w:val="006848CA"/>
    <w:rsid w:val="0068520C"/>
    <w:rsid w:val="00685247"/>
    <w:rsid w:val="00685314"/>
    <w:rsid w:val="006857CE"/>
    <w:rsid w:val="00685ABF"/>
    <w:rsid w:val="006866E1"/>
    <w:rsid w:val="00686B25"/>
    <w:rsid w:val="00686D01"/>
    <w:rsid w:val="006872E9"/>
    <w:rsid w:val="006872F2"/>
    <w:rsid w:val="006876EE"/>
    <w:rsid w:val="0068780B"/>
    <w:rsid w:val="00690C87"/>
    <w:rsid w:val="006913A9"/>
    <w:rsid w:val="00691DAD"/>
    <w:rsid w:val="00692695"/>
    <w:rsid w:val="00692B42"/>
    <w:rsid w:val="00692EC7"/>
    <w:rsid w:val="00693665"/>
    <w:rsid w:val="006948CD"/>
    <w:rsid w:val="00695271"/>
    <w:rsid w:val="006955A4"/>
    <w:rsid w:val="00695807"/>
    <w:rsid w:val="00695BA3"/>
    <w:rsid w:val="00695CFB"/>
    <w:rsid w:val="00696219"/>
    <w:rsid w:val="006965E8"/>
    <w:rsid w:val="006969DC"/>
    <w:rsid w:val="006970E7"/>
    <w:rsid w:val="00697104"/>
    <w:rsid w:val="00697C7A"/>
    <w:rsid w:val="00697FDF"/>
    <w:rsid w:val="006A0306"/>
    <w:rsid w:val="006A1311"/>
    <w:rsid w:val="006A1F19"/>
    <w:rsid w:val="006A1FFA"/>
    <w:rsid w:val="006A23B9"/>
    <w:rsid w:val="006A339D"/>
    <w:rsid w:val="006A374F"/>
    <w:rsid w:val="006A3EAD"/>
    <w:rsid w:val="006A43A2"/>
    <w:rsid w:val="006A4AE2"/>
    <w:rsid w:val="006A4D63"/>
    <w:rsid w:val="006A4DB9"/>
    <w:rsid w:val="006A4E88"/>
    <w:rsid w:val="006A58B1"/>
    <w:rsid w:val="006A6007"/>
    <w:rsid w:val="006A615D"/>
    <w:rsid w:val="006A61A4"/>
    <w:rsid w:val="006A643D"/>
    <w:rsid w:val="006A671F"/>
    <w:rsid w:val="006A697A"/>
    <w:rsid w:val="006A70F2"/>
    <w:rsid w:val="006A74FE"/>
    <w:rsid w:val="006A7AE9"/>
    <w:rsid w:val="006A7BF4"/>
    <w:rsid w:val="006B0021"/>
    <w:rsid w:val="006B0795"/>
    <w:rsid w:val="006B079A"/>
    <w:rsid w:val="006B08FD"/>
    <w:rsid w:val="006B1640"/>
    <w:rsid w:val="006B1F3D"/>
    <w:rsid w:val="006B28BC"/>
    <w:rsid w:val="006B2E34"/>
    <w:rsid w:val="006B38C0"/>
    <w:rsid w:val="006B39BE"/>
    <w:rsid w:val="006B3ADE"/>
    <w:rsid w:val="006B3D6A"/>
    <w:rsid w:val="006B42EC"/>
    <w:rsid w:val="006B42F9"/>
    <w:rsid w:val="006B488A"/>
    <w:rsid w:val="006B490C"/>
    <w:rsid w:val="006B4CCB"/>
    <w:rsid w:val="006B53CD"/>
    <w:rsid w:val="006B567B"/>
    <w:rsid w:val="006B5E94"/>
    <w:rsid w:val="006B7014"/>
    <w:rsid w:val="006B7179"/>
    <w:rsid w:val="006B7267"/>
    <w:rsid w:val="006B750D"/>
    <w:rsid w:val="006C02DB"/>
    <w:rsid w:val="006C1B1D"/>
    <w:rsid w:val="006C25B0"/>
    <w:rsid w:val="006C30EE"/>
    <w:rsid w:val="006C35E6"/>
    <w:rsid w:val="006C499B"/>
    <w:rsid w:val="006C4A63"/>
    <w:rsid w:val="006C4AB2"/>
    <w:rsid w:val="006C528D"/>
    <w:rsid w:val="006C5375"/>
    <w:rsid w:val="006C5469"/>
    <w:rsid w:val="006C56BC"/>
    <w:rsid w:val="006C586C"/>
    <w:rsid w:val="006C6A9F"/>
    <w:rsid w:val="006C7239"/>
    <w:rsid w:val="006C73D6"/>
    <w:rsid w:val="006D064A"/>
    <w:rsid w:val="006D08EF"/>
    <w:rsid w:val="006D1F2F"/>
    <w:rsid w:val="006D2033"/>
    <w:rsid w:val="006D21E4"/>
    <w:rsid w:val="006D2F2A"/>
    <w:rsid w:val="006D3B29"/>
    <w:rsid w:val="006D4223"/>
    <w:rsid w:val="006D4914"/>
    <w:rsid w:val="006D66D4"/>
    <w:rsid w:val="006D6D96"/>
    <w:rsid w:val="006D78D7"/>
    <w:rsid w:val="006D7A0F"/>
    <w:rsid w:val="006E0568"/>
    <w:rsid w:val="006E0B32"/>
    <w:rsid w:val="006E1816"/>
    <w:rsid w:val="006E2152"/>
    <w:rsid w:val="006E2585"/>
    <w:rsid w:val="006E2AF4"/>
    <w:rsid w:val="006E2FD9"/>
    <w:rsid w:val="006E3508"/>
    <w:rsid w:val="006E3622"/>
    <w:rsid w:val="006E3999"/>
    <w:rsid w:val="006E39F8"/>
    <w:rsid w:val="006E3E80"/>
    <w:rsid w:val="006E4156"/>
    <w:rsid w:val="006E4C16"/>
    <w:rsid w:val="006E5D9D"/>
    <w:rsid w:val="006E7349"/>
    <w:rsid w:val="006E7ABF"/>
    <w:rsid w:val="006E7C58"/>
    <w:rsid w:val="006F0008"/>
    <w:rsid w:val="006F05B3"/>
    <w:rsid w:val="006F118B"/>
    <w:rsid w:val="006F1936"/>
    <w:rsid w:val="006F1B6B"/>
    <w:rsid w:val="006F1BBF"/>
    <w:rsid w:val="006F4A4F"/>
    <w:rsid w:val="006F5D9C"/>
    <w:rsid w:val="006F61F7"/>
    <w:rsid w:val="006F6EEA"/>
    <w:rsid w:val="006F775F"/>
    <w:rsid w:val="006F7991"/>
    <w:rsid w:val="007000B4"/>
    <w:rsid w:val="00700185"/>
    <w:rsid w:val="00700399"/>
    <w:rsid w:val="00700C2E"/>
    <w:rsid w:val="00701997"/>
    <w:rsid w:val="00701A12"/>
    <w:rsid w:val="00701C40"/>
    <w:rsid w:val="00701C9A"/>
    <w:rsid w:val="00702895"/>
    <w:rsid w:val="00703B4E"/>
    <w:rsid w:val="00704411"/>
    <w:rsid w:val="007055EF"/>
    <w:rsid w:val="00706BB5"/>
    <w:rsid w:val="00706C06"/>
    <w:rsid w:val="00710028"/>
    <w:rsid w:val="00710569"/>
    <w:rsid w:val="00710714"/>
    <w:rsid w:val="0071119C"/>
    <w:rsid w:val="0071182C"/>
    <w:rsid w:val="007123F3"/>
    <w:rsid w:val="007132E9"/>
    <w:rsid w:val="0071388E"/>
    <w:rsid w:val="00713B14"/>
    <w:rsid w:val="007148EB"/>
    <w:rsid w:val="0071582B"/>
    <w:rsid w:val="00716020"/>
    <w:rsid w:val="00716111"/>
    <w:rsid w:val="00716922"/>
    <w:rsid w:val="00716F9F"/>
    <w:rsid w:val="007172F2"/>
    <w:rsid w:val="00717FE8"/>
    <w:rsid w:val="0072010A"/>
    <w:rsid w:val="007206B0"/>
    <w:rsid w:val="0072087E"/>
    <w:rsid w:val="00721E46"/>
    <w:rsid w:val="0072203E"/>
    <w:rsid w:val="00722DCB"/>
    <w:rsid w:val="007230AE"/>
    <w:rsid w:val="00723F31"/>
    <w:rsid w:val="00724205"/>
    <w:rsid w:val="00724F07"/>
    <w:rsid w:val="00725BD0"/>
    <w:rsid w:val="0072605B"/>
    <w:rsid w:val="007266D8"/>
    <w:rsid w:val="00727F43"/>
    <w:rsid w:val="007309D5"/>
    <w:rsid w:val="00731B25"/>
    <w:rsid w:val="00731F36"/>
    <w:rsid w:val="00732D03"/>
    <w:rsid w:val="007332D7"/>
    <w:rsid w:val="00733DE1"/>
    <w:rsid w:val="00734986"/>
    <w:rsid w:val="00734AD5"/>
    <w:rsid w:val="00735451"/>
    <w:rsid w:val="00735FE6"/>
    <w:rsid w:val="00736160"/>
    <w:rsid w:val="0073636A"/>
    <w:rsid w:val="0073673D"/>
    <w:rsid w:val="00740838"/>
    <w:rsid w:val="0074084D"/>
    <w:rsid w:val="00740B7E"/>
    <w:rsid w:val="0074261F"/>
    <w:rsid w:val="00742939"/>
    <w:rsid w:val="00744357"/>
    <w:rsid w:val="007446FB"/>
    <w:rsid w:val="0074478F"/>
    <w:rsid w:val="007449EE"/>
    <w:rsid w:val="00744E06"/>
    <w:rsid w:val="0074501D"/>
    <w:rsid w:val="007450C1"/>
    <w:rsid w:val="007451FC"/>
    <w:rsid w:val="0074585F"/>
    <w:rsid w:val="007459B4"/>
    <w:rsid w:val="00745B56"/>
    <w:rsid w:val="00745BEC"/>
    <w:rsid w:val="0074659D"/>
    <w:rsid w:val="00746805"/>
    <w:rsid w:val="00746F07"/>
    <w:rsid w:val="0074763C"/>
    <w:rsid w:val="0075064E"/>
    <w:rsid w:val="00750E7F"/>
    <w:rsid w:val="007536E2"/>
    <w:rsid w:val="007544E1"/>
    <w:rsid w:val="0075484F"/>
    <w:rsid w:val="007548F3"/>
    <w:rsid w:val="007548F6"/>
    <w:rsid w:val="00755685"/>
    <w:rsid w:val="0075568F"/>
    <w:rsid w:val="007558CB"/>
    <w:rsid w:val="00755930"/>
    <w:rsid w:val="00755EFF"/>
    <w:rsid w:val="00756408"/>
    <w:rsid w:val="00756D69"/>
    <w:rsid w:val="007570D7"/>
    <w:rsid w:val="00757DF0"/>
    <w:rsid w:val="00757F9C"/>
    <w:rsid w:val="0076061E"/>
    <w:rsid w:val="00761AE1"/>
    <w:rsid w:val="00762076"/>
    <w:rsid w:val="00762BFE"/>
    <w:rsid w:val="00763035"/>
    <w:rsid w:val="00763917"/>
    <w:rsid w:val="0076489E"/>
    <w:rsid w:val="00764DA3"/>
    <w:rsid w:val="00764F9D"/>
    <w:rsid w:val="00765037"/>
    <w:rsid w:val="00765C8A"/>
    <w:rsid w:val="00766807"/>
    <w:rsid w:val="00766FE6"/>
    <w:rsid w:val="00767526"/>
    <w:rsid w:val="0076796C"/>
    <w:rsid w:val="00767AF1"/>
    <w:rsid w:val="007704E1"/>
    <w:rsid w:val="00770623"/>
    <w:rsid w:val="007707DD"/>
    <w:rsid w:val="00772E75"/>
    <w:rsid w:val="00773F04"/>
    <w:rsid w:val="0077460A"/>
    <w:rsid w:val="00774655"/>
    <w:rsid w:val="007746EE"/>
    <w:rsid w:val="00774D20"/>
    <w:rsid w:val="0077500A"/>
    <w:rsid w:val="00775037"/>
    <w:rsid w:val="007753BE"/>
    <w:rsid w:val="0077594A"/>
    <w:rsid w:val="00775D56"/>
    <w:rsid w:val="00776A8F"/>
    <w:rsid w:val="007802FF"/>
    <w:rsid w:val="0078070D"/>
    <w:rsid w:val="00780977"/>
    <w:rsid w:val="00781D27"/>
    <w:rsid w:val="00781DB6"/>
    <w:rsid w:val="007824D8"/>
    <w:rsid w:val="0078250F"/>
    <w:rsid w:val="007837BE"/>
    <w:rsid w:val="007850B7"/>
    <w:rsid w:val="007857CE"/>
    <w:rsid w:val="007857D8"/>
    <w:rsid w:val="007864A6"/>
    <w:rsid w:val="00787723"/>
    <w:rsid w:val="00787D63"/>
    <w:rsid w:val="007902DE"/>
    <w:rsid w:val="00791A4F"/>
    <w:rsid w:val="00791AE6"/>
    <w:rsid w:val="007929D6"/>
    <w:rsid w:val="0079308C"/>
    <w:rsid w:val="00793549"/>
    <w:rsid w:val="00793815"/>
    <w:rsid w:val="00794D79"/>
    <w:rsid w:val="0079553F"/>
    <w:rsid w:val="00796340"/>
    <w:rsid w:val="0079684F"/>
    <w:rsid w:val="00796F1F"/>
    <w:rsid w:val="00796FBB"/>
    <w:rsid w:val="007A0485"/>
    <w:rsid w:val="007A049F"/>
    <w:rsid w:val="007A0B80"/>
    <w:rsid w:val="007A0B89"/>
    <w:rsid w:val="007A0FD6"/>
    <w:rsid w:val="007A10FD"/>
    <w:rsid w:val="007A2444"/>
    <w:rsid w:val="007A312B"/>
    <w:rsid w:val="007A346D"/>
    <w:rsid w:val="007A3609"/>
    <w:rsid w:val="007A3AE2"/>
    <w:rsid w:val="007A3D42"/>
    <w:rsid w:val="007A400B"/>
    <w:rsid w:val="007A50B1"/>
    <w:rsid w:val="007A52C5"/>
    <w:rsid w:val="007A5487"/>
    <w:rsid w:val="007A5AFB"/>
    <w:rsid w:val="007A5E67"/>
    <w:rsid w:val="007A6B52"/>
    <w:rsid w:val="007A6B8A"/>
    <w:rsid w:val="007B0040"/>
    <w:rsid w:val="007B1259"/>
    <w:rsid w:val="007B1752"/>
    <w:rsid w:val="007B1B08"/>
    <w:rsid w:val="007B26BB"/>
    <w:rsid w:val="007B3376"/>
    <w:rsid w:val="007B43D3"/>
    <w:rsid w:val="007B4517"/>
    <w:rsid w:val="007B4563"/>
    <w:rsid w:val="007B456E"/>
    <w:rsid w:val="007B52CC"/>
    <w:rsid w:val="007B57A0"/>
    <w:rsid w:val="007B57E7"/>
    <w:rsid w:val="007B5B18"/>
    <w:rsid w:val="007B5C57"/>
    <w:rsid w:val="007B5D90"/>
    <w:rsid w:val="007B6080"/>
    <w:rsid w:val="007B6225"/>
    <w:rsid w:val="007B6411"/>
    <w:rsid w:val="007B74BD"/>
    <w:rsid w:val="007C05A9"/>
    <w:rsid w:val="007C0B06"/>
    <w:rsid w:val="007C1CEB"/>
    <w:rsid w:val="007C367C"/>
    <w:rsid w:val="007C36E7"/>
    <w:rsid w:val="007C40F4"/>
    <w:rsid w:val="007C4230"/>
    <w:rsid w:val="007C440A"/>
    <w:rsid w:val="007C45E8"/>
    <w:rsid w:val="007C5899"/>
    <w:rsid w:val="007C5981"/>
    <w:rsid w:val="007C5A38"/>
    <w:rsid w:val="007C6EE2"/>
    <w:rsid w:val="007C714C"/>
    <w:rsid w:val="007C79ED"/>
    <w:rsid w:val="007C7F0C"/>
    <w:rsid w:val="007D0AA8"/>
    <w:rsid w:val="007D0D0F"/>
    <w:rsid w:val="007D18F7"/>
    <w:rsid w:val="007D1C3A"/>
    <w:rsid w:val="007D1E6A"/>
    <w:rsid w:val="007D44B2"/>
    <w:rsid w:val="007D4AE2"/>
    <w:rsid w:val="007D4C7C"/>
    <w:rsid w:val="007D525F"/>
    <w:rsid w:val="007D52B6"/>
    <w:rsid w:val="007D5C5B"/>
    <w:rsid w:val="007D623E"/>
    <w:rsid w:val="007D68DE"/>
    <w:rsid w:val="007D6CCD"/>
    <w:rsid w:val="007E0E66"/>
    <w:rsid w:val="007E1885"/>
    <w:rsid w:val="007E1F3D"/>
    <w:rsid w:val="007E41D2"/>
    <w:rsid w:val="007E49FB"/>
    <w:rsid w:val="007E4EBF"/>
    <w:rsid w:val="007E502E"/>
    <w:rsid w:val="007E51B0"/>
    <w:rsid w:val="007E5812"/>
    <w:rsid w:val="007E5E1C"/>
    <w:rsid w:val="007E64BD"/>
    <w:rsid w:val="007E773B"/>
    <w:rsid w:val="007E7B0D"/>
    <w:rsid w:val="007F0842"/>
    <w:rsid w:val="007F0FC9"/>
    <w:rsid w:val="007F1061"/>
    <w:rsid w:val="007F128D"/>
    <w:rsid w:val="007F239E"/>
    <w:rsid w:val="007F2794"/>
    <w:rsid w:val="007F2DD0"/>
    <w:rsid w:val="007F3319"/>
    <w:rsid w:val="007F33E5"/>
    <w:rsid w:val="007F4D24"/>
    <w:rsid w:val="007F4E9B"/>
    <w:rsid w:val="007F596E"/>
    <w:rsid w:val="007F5E4F"/>
    <w:rsid w:val="007F662C"/>
    <w:rsid w:val="007F67F8"/>
    <w:rsid w:val="007F6FC3"/>
    <w:rsid w:val="007F6FD2"/>
    <w:rsid w:val="007F72E3"/>
    <w:rsid w:val="007F7683"/>
    <w:rsid w:val="007F7B0E"/>
    <w:rsid w:val="007F7E55"/>
    <w:rsid w:val="007F7EBB"/>
    <w:rsid w:val="008008D1"/>
    <w:rsid w:val="0080099C"/>
    <w:rsid w:val="00800A60"/>
    <w:rsid w:val="00800C9C"/>
    <w:rsid w:val="008015F9"/>
    <w:rsid w:val="00802912"/>
    <w:rsid w:val="008043DB"/>
    <w:rsid w:val="00804A07"/>
    <w:rsid w:val="00804B4E"/>
    <w:rsid w:val="00804C7A"/>
    <w:rsid w:val="00804CA6"/>
    <w:rsid w:val="0080557C"/>
    <w:rsid w:val="00805FC9"/>
    <w:rsid w:val="0080658D"/>
    <w:rsid w:val="00806C4C"/>
    <w:rsid w:val="008076E9"/>
    <w:rsid w:val="00810022"/>
    <w:rsid w:val="008111E6"/>
    <w:rsid w:val="008112D6"/>
    <w:rsid w:val="00812FFB"/>
    <w:rsid w:val="00813440"/>
    <w:rsid w:val="00813CEF"/>
    <w:rsid w:val="00815928"/>
    <w:rsid w:val="00815D6E"/>
    <w:rsid w:val="00816073"/>
    <w:rsid w:val="0081686C"/>
    <w:rsid w:val="00816B78"/>
    <w:rsid w:val="00816CD9"/>
    <w:rsid w:val="008170E7"/>
    <w:rsid w:val="00820309"/>
    <w:rsid w:val="00820472"/>
    <w:rsid w:val="00821243"/>
    <w:rsid w:val="0082134E"/>
    <w:rsid w:val="00826721"/>
    <w:rsid w:val="00826DCD"/>
    <w:rsid w:val="00827E97"/>
    <w:rsid w:val="008300F3"/>
    <w:rsid w:val="0083020D"/>
    <w:rsid w:val="00830D7E"/>
    <w:rsid w:val="00831473"/>
    <w:rsid w:val="008316A7"/>
    <w:rsid w:val="00832537"/>
    <w:rsid w:val="00832667"/>
    <w:rsid w:val="00832AB7"/>
    <w:rsid w:val="008336B1"/>
    <w:rsid w:val="00833AD5"/>
    <w:rsid w:val="008348A4"/>
    <w:rsid w:val="00834FDC"/>
    <w:rsid w:val="008354DE"/>
    <w:rsid w:val="00835622"/>
    <w:rsid w:val="00835994"/>
    <w:rsid w:val="00835CE3"/>
    <w:rsid w:val="0083752C"/>
    <w:rsid w:val="00837A26"/>
    <w:rsid w:val="00837A59"/>
    <w:rsid w:val="00840C38"/>
    <w:rsid w:val="00840F44"/>
    <w:rsid w:val="00840FD1"/>
    <w:rsid w:val="00842514"/>
    <w:rsid w:val="00842AB9"/>
    <w:rsid w:val="00843834"/>
    <w:rsid w:val="00844409"/>
    <w:rsid w:val="00844777"/>
    <w:rsid w:val="00844B48"/>
    <w:rsid w:val="00844BA1"/>
    <w:rsid w:val="00844C23"/>
    <w:rsid w:val="00844EBA"/>
    <w:rsid w:val="008457D2"/>
    <w:rsid w:val="00845CF2"/>
    <w:rsid w:val="0084694F"/>
    <w:rsid w:val="0084716E"/>
    <w:rsid w:val="008471D5"/>
    <w:rsid w:val="00847B85"/>
    <w:rsid w:val="00847F4B"/>
    <w:rsid w:val="00850853"/>
    <w:rsid w:val="00851617"/>
    <w:rsid w:val="00851A8D"/>
    <w:rsid w:val="00852261"/>
    <w:rsid w:val="00852941"/>
    <w:rsid w:val="00852CC3"/>
    <w:rsid w:val="008544E2"/>
    <w:rsid w:val="0085479A"/>
    <w:rsid w:val="00854D7B"/>
    <w:rsid w:val="00855E8F"/>
    <w:rsid w:val="00856667"/>
    <w:rsid w:val="008567FF"/>
    <w:rsid w:val="00857B52"/>
    <w:rsid w:val="00860204"/>
    <w:rsid w:val="00860724"/>
    <w:rsid w:val="00860B3B"/>
    <w:rsid w:val="00860B43"/>
    <w:rsid w:val="00860EDA"/>
    <w:rsid w:val="008631AC"/>
    <w:rsid w:val="0086400A"/>
    <w:rsid w:val="008654FC"/>
    <w:rsid w:val="00866285"/>
    <w:rsid w:val="0086675A"/>
    <w:rsid w:val="008669C3"/>
    <w:rsid w:val="008700BB"/>
    <w:rsid w:val="008703E3"/>
    <w:rsid w:val="0087094E"/>
    <w:rsid w:val="00870D73"/>
    <w:rsid w:val="00871832"/>
    <w:rsid w:val="00871F7C"/>
    <w:rsid w:val="00872373"/>
    <w:rsid w:val="0087259B"/>
    <w:rsid w:val="00872BBB"/>
    <w:rsid w:val="00873198"/>
    <w:rsid w:val="00873EBC"/>
    <w:rsid w:val="00874887"/>
    <w:rsid w:val="00874A1C"/>
    <w:rsid w:val="00875382"/>
    <w:rsid w:val="008754B4"/>
    <w:rsid w:val="00875FE6"/>
    <w:rsid w:val="0087621E"/>
    <w:rsid w:val="00876407"/>
    <w:rsid w:val="0087675B"/>
    <w:rsid w:val="00876CB9"/>
    <w:rsid w:val="00877983"/>
    <w:rsid w:val="008806BF"/>
    <w:rsid w:val="00880ACE"/>
    <w:rsid w:val="00880D13"/>
    <w:rsid w:val="0088116A"/>
    <w:rsid w:val="00881C56"/>
    <w:rsid w:val="00881F7E"/>
    <w:rsid w:val="00884986"/>
    <w:rsid w:val="00885507"/>
    <w:rsid w:val="00886155"/>
    <w:rsid w:val="008869B1"/>
    <w:rsid w:val="00886A16"/>
    <w:rsid w:val="00887E2E"/>
    <w:rsid w:val="00891173"/>
    <w:rsid w:val="00891A90"/>
    <w:rsid w:val="008922E9"/>
    <w:rsid w:val="00892C24"/>
    <w:rsid w:val="00893072"/>
    <w:rsid w:val="00893193"/>
    <w:rsid w:val="00893D2D"/>
    <w:rsid w:val="00894026"/>
    <w:rsid w:val="00894420"/>
    <w:rsid w:val="0089447A"/>
    <w:rsid w:val="00894508"/>
    <w:rsid w:val="00894DAD"/>
    <w:rsid w:val="0089530A"/>
    <w:rsid w:val="00895FA5"/>
    <w:rsid w:val="00896101"/>
    <w:rsid w:val="00896621"/>
    <w:rsid w:val="00896E1D"/>
    <w:rsid w:val="008979C3"/>
    <w:rsid w:val="00897CAA"/>
    <w:rsid w:val="00897EAA"/>
    <w:rsid w:val="008A153D"/>
    <w:rsid w:val="008A1EA5"/>
    <w:rsid w:val="008A3023"/>
    <w:rsid w:val="008A3149"/>
    <w:rsid w:val="008A32E0"/>
    <w:rsid w:val="008A3506"/>
    <w:rsid w:val="008A35D6"/>
    <w:rsid w:val="008A373E"/>
    <w:rsid w:val="008A3EAE"/>
    <w:rsid w:val="008A4AF9"/>
    <w:rsid w:val="008A4F44"/>
    <w:rsid w:val="008A5145"/>
    <w:rsid w:val="008A531D"/>
    <w:rsid w:val="008A539D"/>
    <w:rsid w:val="008A62C3"/>
    <w:rsid w:val="008A72A5"/>
    <w:rsid w:val="008B00EF"/>
    <w:rsid w:val="008B056F"/>
    <w:rsid w:val="008B090C"/>
    <w:rsid w:val="008B0FED"/>
    <w:rsid w:val="008B12D2"/>
    <w:rsid w:val="008B1A02"/>
    <w:rsid w:val="008B1A89"/>
    <w:rsid w:val="008B21C4"/>
    <w:rsid w:val="008B22E6"/>
    <w:rsid w:val="008B2DD8"/>
    <w:rsid w:val="008B3200"/>
    <w:rsid w:val="008B3896"/>
    <w:rsid w:val="008B436A"/>
    <w:rsid w:val="008B4802"/>
    <w:rsid w:val="008B4D4F"/>
    <w:rsid w:val="008B5BBF"/>
    <w:rsid w:val="008B5C71"/>
    <w:rsid w:val="008B5E2A"/>
    <w:rsid w:val="008B6AC5"/>
    <w:rsid w:val="008B78E8"/>
    <w:rsid w:val="008C03BA"/>
    <w:rsid w:val="008C10A8"/>
    <w:rsid w:val="008C15E1"/>
    <w:rsid w:val="008C1BEA"/>
    <w:rsid w:val="008C1D78"/>
    <w:rsid w:val="008C1E90"/>
    <w:rsid w:val="008C3C57"/>
    <w:rsid w:val="008C4545"/>
    <w:rsid w:val="008C4806"/>
    <w:rsid w:val="008C49DE"/>
    <w:rsid w:val="008C4BE8"/>
    <w:rsid w:val="008C4C31"/>
    <w:rsid w:val="008C50E5"/>
    <w:rsid w:val="008C53D9"/>
    <w:rsid w:val="008C5C53"/>
    <w:rsid w:val="008C6D22"/>
    <w:rsid w:val="008C7227"/>
    <w:rsid w:val="008C772B"/>
    <w:rsid w:val="008C7C4A"/>
    <w:rsid w:val="008C7F0A"/>
    <w:rsid w:val="008D15C8"/>
    <w:rsid w:val="008D1826"/>
    <w:rsid w:val="008D2A3C"/>
    <w:rsid w:val="008D3CB3"/>
    <w:rsid w:val="008D3E22"/>
    <w:rsid w:val="008D4955"/>
    <w:rsid w:val="008D4B83"/>
    <w:rsid w:val="008D556F"/>
    <w:rsid w:val="008D5AE2"/>
    <w:rsid w:val="008D7068"/>
    <w:rsid w:val="008D71AA"/>
    <w:rsid w:val="008D7226"/>
    <w:rsid w:val="008D78EF"/>
    <w:rsid w:val="008D798F"/>
    <w:rsid w:val="008E03D7"/>
    <w:rsid w:val="008E08ED"/>
    <w:rsid w:val="008E0B91"/>
    <w:rsid w:val="008E2396"/>
    <w:rsid w:val="008E2897"/>
    <w:rsid w:val="008E2D18"/>
    <w:rsid w:val="008E2FF2"/>
    <w:rsid w:val="008E302A"/>
    <w:rsid w:val="008E4758"/>
    <w:rsid w:val="008E4B72"/>
    <w:rsid w:val="008E504F"/>
    <w:rsid w:val="008E506B"/>
    <w:rsid w:val="008E5A77"/>
    <w:rsid w:val="008E5ABF"/>
    <w:rsid w:val="008E5B1E"/>
    <w:rsid w:val="008E5F7F"/>
    <w:rsid w:val="008E7935"/>
    <w:rsid w:val="008E79EA"/>
    <w:rsid w:val="008E7B67"/>
    <w:rsid w:val="008F11E8"/>
    <w:rsid w:val="008F1C12"/>
    <w:rsid w:val="008F2DBB"/>
    <w:rsid w:val="008F38CD"/>
    <w:rsid w:val="008F3A03"/>
    <w:rsid w:val="008F3DF0"/>
    <w:rsid w:val="008F3EEB"/>
    <w:rsid w:val="008F4745"/>
    <w:rsid w:val="008F5372"/>
    <w:rsid w:val="008F5DB7"/>
    <w:rsid w:val="008F6A7B"/>
    <w:rsid w:val="008F6CB3"/>
    <w:rsid w:val="008F6FF9"/>
    <w:rsid w:val="008F7882"/>
    <w:rsid w:val="00900523"/>
    <w:rsid w:val="0090066C"/>
    <w:rsid w:val="009009F6"/>
    <w:rsid w:val="00901ADE"/>
    <w:rsid w:val="00901BA4"/>
    <w:rsid w:val="00901CAB"/>
    <w:rsid w:val="0090320D"/>
    <w:rsid w:val="00903785"/>
    <w:rsid w:val="00903EBF"/>
    <w:rsid w:val="00903F71"/>
    <w:rsid w:val="00904558"/>
    <w:rsid w:val="00904918"/>
    <w:rsid w:val="00904D52"/>
    <w:rsid w:val="00905532"/>
    <w:rsid w:val="009055A7"/>
    <w:rsid w:val="00906503"/>
    <w:rsid w:val="0090673F"/>
    <w:rsid w:val="00906BEC"/>
    <w:rsid w:val="0090738A"/>
    <w:rsid w:val="00910207"/>
    <w:rsid w:val="009107C4"/>
    <w:rsid w:val="009107F2"/>
    <w:rsid w:val="00910FF1"/>
    <w:rsid w:val="00911078"/>
    <w:rsid w:val="0091137C"/>
    <w:rsid w:val="009132AC"/>
    <w:rsid w:val="0091342C"/>
    <w:rsid w:val="00913ED6"/>
    <w:rsid w:val="00914370"/>
    <w:rsid w:val="00914496"/>
    <w:rsid w:val="00915352"/>
    <w:rsid w:val="0091624F"/>
    <w:rsid w:val="00916672"/>
    <w:rsid w:val="00916DEE"/>
    <w:rsid w:val="00920EAA"/>
    <w:rsid w:val="009211FC"/>
    <w:rsid w:val="0092123E"/>
    <w:rsid w:val="009222FB"/>
    <w:rsid w:val="009223B4"/>
    <w:rsid w:val="00922BAF"/>
    <w:rsid w:val="00923542"/>
    <w:rsid w:val="00923E27"/>
    <w:rsid w:val="009241B7"/>
    <w:rsid w:val="009257F5"/>
    <w:rsid w:val="00925A95"/>
    <w:rsid w:val="00926C65"/>
    <w:rsid w:val="00927778"/>
    <w:rsid w:val="009277E6"/>
    <w:rsid w:val="00930AE4"/>
    <w:rsid w:val="009313D7"/>
    <w:rsid w:val="00931739"/>
    <w:rsid w:val="009323ED"/>
    <w:rsid w:val="00932481"/>
    <w:rsid w:val="00934621"/>
    <w:rsid w:val="0093533B"/>
    <w:rsid w:val="00935765"/>
    <w:rsid w:val="00936302"/>
    <w:rsid w:val="00936434"/>
    <w:rsid w:val="009364BA"/>
    <w:rsid w:val="0093694D"/>
    <w:rsid w:val="00936ABA"/>
    <w:rsid w:val="00941314"/>
    <w:rsid w:val="009419FD"/>
    <w:rsid w:val="009437AC"/>
    <w:rsid w:val="009438B6"/>
    <w:rsid w:val="00943BF8"/>
    <w:rsid w:val="00943C72"/>
    <w:rsid w:val="00943EA1"/>
    <w:rsid w:val="0094548F"/>
    <w:rsid w:val="00945788"/>
    <w:rsid w:val="00945FF0"/>
    <w:rsid w:val="00946232"/>
    <w:rsid w:val="00946A72"/>
    <w:rsid w:val="009471FD"/>
    <w:rsid w:val="0094752D"/>
    <w:rsid w:val="009477B6"/>
    <w:rsid w:val="00947C5C"/>
    <w:rsid w:val="00947CE7"/>
    <w:rsid w:val="00950BCA"/>
    <w:rsid w:val="00950C2A"/>
    <w:rsid w:val="0095278F"/>
    <w:rsid w:val="009527D7"/>
    <w:rsid w:val="00952B5E"/>
    <w:rsid w:val="00953D05"/>
    <w:rsid w:val="00954D9A"/>
    <w:rsid w:val="009554CB"/>
    <w:rsid w:val="00955C48"/>
    <w:rsid w:val="00956101"/>
    <w:rsid w:val="00956FD3"/>
    <w:rsid w:val="0095763F"/>
    <w:rsid w:val="00957C62"/>
    <w:rsid w:val="009600F5"/>
    <w:rsid w:val="00960B8C"/>
    <w:rsid w:val="0096220F"/>
    <w:rsid w:val="0096264D"/>
    <w:rsid w:val="009634C9"/>
    <w:rsid w:val="00963BF5"/>
    <w:rsid w:val="00963FFF"/>
    <w:rsid w:val="00964B57"/>
    <w:rsid w:val="0096572D"/>
    <w:rsid w:val="00965CF4"/>
    <w:rsid w:val="00966459"/>
    <w:rsid w:val="00966E0F"/>
    <w:rsid w:val="00967F2E"/>
    <w:rsid w:val="0097034A"/>
    <w:rsid w:val="00970724"/>
    <w:rsid w:val="009709BC"/>
    <w:rsid w:val="00970EF0"/>
    <w:rsid w:val="00971A62"/>
    <w:rsid w:val="009723EC"/>
    <w:rsid w:val="00972D4F"/>
    <w:rsid w:val="00973191"/>
    <w:rsid w:val="00973720"/>
    <w:rsid w:val="00973EBB"/>
    <w:rsid w:val="00974065"/>
    <w:rsid w:val="0097487A"/>
    <w:rsid w:val="009748B2"/>
    <w:rsid w:val="00974A5D"/>
    <w:rsid w:val="00974EBC"/>
    <w:rsid w:val="0097550F"/>
    <w:rsid w:val="009756BD"/>
    <w:rsid w:val="00975A9E"/>
    <w:rsid w:val="00975B60"/>
    <w:rsid w:val="00975FA1"/>
    <w:rsid w:val="009765C4"/>
    <w:rsid w:val="00976BC9"/>
    <w:rsid w:val="00977794"/>
    <w:rsid w:val="00980D20"/>
    <w:rsid w:val="009811EF"/>
    <w:rsid w:val="00982297"/>
    <w:rsid w:val="009824FF"/>
    <w:rsid w:val="009825BE"/>
    <w:rsid w:val="00982A27"/>
    <w:rsid w:val="00983848"/>
    <w:rsid w:val="00984680"/>
    <w:rsid w:val="009855FF"/>
    <w:rsid w:val="00985DEB"/>
    <w:rsid w:val="009861A6"/>
    <w:rsid w:val="00986954"/>
    <w:rsid w:val="00986B83"/>
    <w:rsid w:val="00987E9A"/>
    <w:rsid w:val="00990991"/>
    <w:rsid w:val="00990AE6"/>
    <w:rsid w:val="00990BEB"/>
    <w:rsid w:val="009914EF"/>
    <w:rsid w:val="009916E9"/>
    <w:rsid w:val="00991C3C"/>
    <w:rsid w:val="0099243D"/>
    <w:rsid w:val="00992DFE"/>
    <w:rsid w:val="00993FAB"/>
    <w:rsid w:val="00994182"/>
    <w:rsid w:val="0099486F"/>
    <w:rsid w:val="009951FD"/>
    <w:rsid w:val="00995591"/>
    <w:rsid w:val="0099580C"/>
    <w:rsid w:val="00995DD0"/>
    <w:rsid w:val="009962D6"/>
    <w:rsid w:val="00996678"/>
    <w:rsid w:val="00996CDC"/>
    <w:rsid w:val="00997191"/>
    <w:rsid w:val="009974BF"/>
    <w:rsid w:val="009A1B31"/>
    <w:rsid w:val="009A1EBF"/>
    <w:rsid w:val="009A217F"/>
    <w:rsid w:val="009A255E"/>
    <w:rsid w:val="009A25C5"/>
    <w:rsid w:val="009A26BE"/>
    <w:rsid w:val="009A287F"/>
    <w:rsid w:val="009A2923"/>
    <w:rsid w:val="009A2B8F"/>
    <w:rsid w:val="009A2C07"/>
    <w:rsid w:val="009A3030"/>
    <w:rsid w:val="009A4336"/>
    <w:rsid w:val="009A4932"/>
    <w:rsid w:val="009A4F85"/>
    <w:rsid w:val="009A51A6"/>
    <w:rsid w:val="009A590B"/>
    <w:rsid w:val="009A6604"/>
    <w:rsid w:val="009A6A08"/>
    <w:rsid w:val="009A6BD9"/>
    <w:rsid w:val="009A6E7A"/>
    <w:rsid w:val="009A78A7"/>
    <w:rsid w:val="009B00A9"/>
    <w:rsid w:val="009B0695"/>
    <w:rsid w:val="009B0C75"/>
    <w:rsid w:val="009B0E34"/>
    <w:rsid w:val="009B2357"/>
    <w:rsid w:val="009B2F1F"/>
    <w:rsid w:val="009B33B2"/>
    <w:rsid w:val="009B3B80"/>
    <w:rsid w:val="009B48DC"/>
    <w:rsid w:val="009B4E1B"/>
    <w:rsid w:val="009B569E"/>
    <w:rsid w:val="009B5C6B"/>
    <w:rsid w:val="009B6724"/>
    <w:rsid w:val="009B6D7A"/>
    <w:rsid w:val="009B704E"/>
    <w:rsid w:val="009B7227"/>
    <w:rsid w:val="009B7582"/>
    <w:rsid w:val="009B7F57"/>
    <w:rsid w:val="009C023E"/>
    <w:rsid w:val="009C055F"/>
    <w:rsid w:val="009C217B"/>
    <w:rsid w:val="009C32BF"/>
    <w:rsid w:val="009C386B"/>
    <w:rsid w:val="009C3FBC"/>
    <w:rsid w:val="009C46A1"/>
    <w:rsid w:val="009C4D26"/>
    <w:rsid w:val="009C63B3"/>
    <w:rsid w:val="009C67E5"/>
    <w:rsid w:val="009C7CAB"/>
    <w:rsid w:val="009D049F"/>
    <w:rsid w:val="009D0A03"/>
    <w:rsid w:val="009D0B39"/>
    <w:rsid w:val="009D0CAB"/>
    <w:rsid w:val="009D172B"/>
    <w:rsid w:val="009D18C7"/>
    <w:rsid w:val="009D3625"/>
    <w:rsid w:val="009D3ACD"/>
    <w:rsid w:val="009D47C3"/>
    <w:rsid w:val="009D4BEA"/>
    <w:rsid w:val="009D4D3A"/>
    <w:rsid w:val="009D520F"/>
    <w:rsid w:val="009D542A"/>
    <w:rsid w:val="009D5D54"/>
    <w:rsid w:val="009D5E58"/>
    <w:rsid w:val="009D6528"/>
    <w:rsid w:val="009D6692"/>
    <w:rsid w:val="009D66BF"/>
    <w:rsid w:val="009D6E36"/>
    <w:rsid w:val="009E0116"/>
    <w:rsid w:val="009E03BE"/>
    <w:rsid w:val="009E08A1"/>
    <w:rsid w:val="009E14A1"/>
    <w:rsid w:val="009E1532"/>
    <w:rsid w:val="009E2642"/>
    <w:rsid w:val="009E2962"/>
    <w:rsid w:val="009E2AFF"/>
    <w:rsid w:val="009E471D"/>
    <w:rsid w:val="009E4878"/>
    <w:rsid w:val="009E4C51"/>
    <w:rsid w:val="009E4D90"/>
    <w:rsid w:val="009E5913"/>
    <w:rsid w:val="009E5E17"/>
    <w:rsid w:val="009E7413"/>
    <w:rsid w:val="009E7DED"/>
    <w:rsid w:val="009F0582"/>
    <w:rsid w:val="009F05F1"/>
    <w:rsid w:val="009F07BD"/>
    <w:rsid w:val="009F1084"/>
    <w:rsid w:val="009F1111"/>
    <w:rsid w:val="009F287C"/>
    <w:rsid w:val="009F2B1B"/>
    <w:rsid w:val="009F3298"/>
    <w:rsid w:val="009F3F29"/>
    <w:rsid w:val="009F48CD"/>
    <w:rsid w:val="009F5639"/>
    <w:rsid w:val="009F5876"/>
    <w:rsid w:val="009F65F0"/>
    <w:rsid w:val="009F730E"/>
    <w:rsid w:val="009F7571"/>
    <w:rsid w:val="009F7C50"/>
    <w:rsid w:val="009F7EFB"/>
    <w:rsid w:val="00A0053E"/>
    <w:rsid w:val="00A006D6"/>
    <w:rsid w:val="00A0081B"/>
    <w:rsid w:val="00A00B09"/>
    <w:rsid w:val="00A023A7"/>
    <w:rsid w:val="00A0254E"/>
    <w:rsid w:val="00A03163"/>
    <w:rsid w:val="00A03455"/>
    <w:rsid w:val="00A03B59"/>
    <w:rsid w:val="00A045A2"/>
    <w:rsid w:val="00A048A9"/>
    <w:rsid w:val="00A063C4"/>
    <w:rsid w:val="00A067D0"/>
    <w:rsid w:val="00A06A93"/>
    <w:rsid w:val="00A07154"/>
    <w:rsid w:val="00A07A64"/>
    <w:rsid w:val="00A07B1C"/>
    <w:rsid w:val="00A07CA6"/>
    <w:rsid w:val="00A10D29"/>
    <w:rsid w:val="00A1153C"/>
    <w:rsid w:val="00A13201"/>
    <w:rsid w:val="00A1398D"/>
    <w:rsid w:val="00A13AA3"/>
    <w:rsid w:val="00A1463D"/>
    <w:rsid w:val="00A1502C"/>
    <w:rsid w:val="00A15DF3"/>
    <w:rsid w:val="00A164A3"/>
    <w:rsid w:val="00A179C7"/>
    <w:rsid w:val="00A202C1"/>
    <w:rsid w:val="00A20A7F"/>
    <w:rsid w:val="00A20F8D"/>
    <w:rsid w:val="00A21A21"/>
    <w:rsid w:val="00A2321E"/>
    <w:rsid w:val="00A2357B"/>
    <w:rsid w:val="00A23741"/>
    <w:rsid w:val="00A26825"/>
    <w:rsid w:val="00A26C66"/>
    <w:rsid w:val="00A26FD7"/>
    <w:rsid w:val="00A274A2"/>
    <w:rsid w:val="00A2764A"/>
    <w:rsid w:val="00A300E9"/>
    <w:rsid w:val="00A30316"/>
    <w:rsid w:val="00A31976"/>
    <w:rsid w:val="00A319CF"/>
    <w:rsid w:val="00A32B35"/>
    <w:rsid w:val="00A338FE"/>
    <w:rsid w:val="00A33F1A"/>
    <w:rsid w:val="00A342C9"/>
    <w:rsid w:val="00A34B17"/>
    <w:rsid w:val="00A350BE"/>
    <w:rsid w:val="00A37A72"/>
    <w:rsid w:val="00A402A5"/>
    <w:rsid w:val="00A40C42"/>
    <w:rsid w:val="00A42A61"/>
    <w:rsid w:val="00A4337B"/>
    <w:rsid w:val="00A43CD3"/>
    <w:rsid w:val="00A442E0"/>
    <w:rsid w:val="00A446D0"/>
    <w:rsid w:val="00A44B24"/>
    <w:rsid w:val="00A45179"/>
    <w:rsid w:val="00A45637"/>
    <w:rsid w:val="00A45688"/>
    <w:rsid w:val="00A46347"/>
    <w:rsid w:val="00A46500"/>
    <w:rsid w:val="00A465B0"/>
    <w:rsid w:val="00A46DA8"/>
    <w:rsid w:val="00A5069E"/>
    <w:rsid w:val="00A50721"/>
    <w:rsid w:val="00A50884"/>
    <w:rsid w:val="00A5150F"/>
    <w:rsid w:val="00A51D5D"/>
    <w:rsid w:val="00A51E61"/>
    <w:rsid w:val="00A52811"/>
    <w:rsid w:val="00A52A48"/>
    <w:rsid w:val="00A52A75"/>
    <w:rsid w:val="00A52D22"/>
    <w:rsid w:val="00A54290"/>
    <w:rsid w:val="00A55274"/>
    <w:rsid w:val="00A56A7B"/>
    <w:rsid w:val="00A57647"/>
    <w:rsid w:val="00A57E51"/>
    <w:rsid w:val="00A600AB"/>
    <w:rsid w:val="00A60386"/>
    <w:rsid w:val="00A60455"/>
    <w:rsid w:val="00A60BB4"/>
    <w:rsid w:val="00A61092"/>
    <w:rsid w:val="00A61797"/>
    <w:rsid w:val="00A62003"/>
    <w:rsid w:val="00A629DA"/>
    <w:rsid w:val="00A62B7A"/>
    <w:rsid w:val="00A62C06"/>
    <w:rsid w:val="00A63132"/>
    <w:rsid w:val="00A63281"/>
    <w:rsid w:val="00A6352F"/>
    <w:rsid w:val="00A64306"/>
    <w:rsid w:val="00A644AB"/>
    <w:rsid w:val="00A64A14"/>
    <w:rsid w:val="00A64C68"/>
    <w:rsid w:val="00A655BB"/>
    <w:rsid w:val="00A6591F"/>
    <w:rsid w:val="00A65A12"/>
    <w:rsid w:val="00A65ACE"/>
    <w:rsid w:val="00A65B61"/>
    <w:rsid w:val="00A6640B"/>
    <w:rsid w:val="00A66D94"/>
    <w:rsid w:val="00A66EAC"/>
    <w:rsid w:val="00A66FDB"/>
    <w:rsid w:val="00A67064"/>
    <w:rsid w:val="00A677FF"/>
    <w:rsid w:val="00A67C42"/>
    <w:rsid w:val="00A7111D"/>
    <w:rsid w:val="00A7138E"/>
    <w:rsid w:val="00A71892"/>
    <w:rsid w:val="00A720D4"/>
    <w:rsid w:val="00A7210E"/>
    <w:rsid w:val="00A722FF"/>
    <w:rsid w:val="00A7234A"/>
    <w:rsid w:val="00A726BE"/>
    <w:rsid w:val="00A74091"/>
    <w:rsid w:val="00A75198"/>
    <w:rsid w:val="00A7579B"/>
    <w:rsid w:val="00A75F95"/>
    <w:rsid w:val="00A76C41"/>
    <w:rsid w:val="00A76EF2"/>
    <w:rsid w:val="00A77074"/>
    <w:rsid w:val="00A801B6"/>
    <w:rsid w:val="00A80BFB"/>
    <w:rsid w:val="00A80C8C"/>
    <w:rsid w:val="00A811B4"/>
    <w:rsid w:val="00A81461"/>
    <w:rsid w:val="00A81B3F"/>
    <w:rsid w:val="00A82563"/>
    <w:rsid w:val="00A8323B"/>
    <w:rsid w:val="00A83348"/>
    <w:rsid w:val="00A836D4"/>
    <w:rsid w:val="00A852A9"/>
    <w:rsid w:val="00A8580E"/>
    <w:rsid w:val="00A85AA5"/>
    <w:rsid w:val="00A85AD5"/>
    <w:rsid w:val="00A85DA9"/>
    <w:rsid w:val="00A8617A"/>
    <w:rsid w:val="00A864D8"/>
    <w:rsid w:val="00A8699C"/>
    <w:rsid w:val="00A875C5"/>
    <w:rsid w:val="00A87ACC"/>
    <w:rsid w:val="00A903DB"/>
    <w:rsid w:val="00A90A85"/>
    <w:rsid w:val="00A911DA"/>
    <w:rsid w:val="00A91DDC"/>
    <w:rsid w:val="00A92069"/>
    <w:rsid w:val="00A923DB"/>
    <w:rsid w:val="00A924F5"/>
    <w:rsid w:val="00A92B1A"/>
    <w:rsid w:val="00A92BB7"/>
    <w:rsid w:val="00A938AD"/>
    <w:rsid w:val="00A93B25"/>
    <w:rsid w:val="00A93D97"/>
    <w:rsid w:val="00A9412E"/>
    <w:rsid w:val="00A94460"/>
    <w:rsid w:val="00A949D4"/>
    <w:rsid w:val="00A94A66"/>
    <w:rsid w:val="00A94C8D"/>
    <w:rsid w:val="00A950C9"/>
    <w:rsid w:val="00A95B86"/>
    <w:rsid w:val="00A95CEA"/>
    <w:rsid w:val="00A95CFB"/>
    <w:rsid w:val="00A97AD1"/>
    <w:rsid w:val="00A97F31"/>
    <w:rsid w:val="00AA0148"/>
    <w:rsid w:val="00AA08DB"/>
    <w:rsid w:val="00AA113F"/>
    <w:rsid w:val="00AA23B9"/>
    <w:rsid w:val="00AA4274"/>
    <w:rsid w:val="00AA4DE4"/>
    <w:rsid w:val="00AA50FD"/>
    <w:rsid w:val="00AA522C"/>
    <w:rsid w:val="00AA55FE"/>
    <w:rsid w:val="00AA56B0"/>
    <w:rsid w:val="00AA5771"/>
    <w:rsid w:val="00AA7554"/>
    <w:rsid w:val="00AB04E9"/>
    <w:rsid w:val="00AB0C92"/>
    <w:rsid w:val="00AB1237"/>
    <w:rsid w:val="00AB12FC"/>
    <w:rsid w:val="00AB16E5"/>
    <w:rsid w:val="00AB1D2A"/>
    <w:rsid w:val="00AB20B5"/>
    <w:rsid w:val="00AB21D5"/>
    <w:rsid w:val="00AB2BFA"/>
    <w:rsid w:val="00AB2C35"/>
    <w:rsid w:val="00AB5252"/>
    <w:rsid w:val="00AB54AB"/>
    <w:rsid w:val="00AB6603"/>
    <w:rsid w:val="00AB7CBE"/>
    <w:rsid w:val="00AB7D15"/>
    <w:rsid w:val="00AB7FE7"/>
    <w:rsid w:val="00AC13D5"/>
    <w:rsid w:val="00AC1514"/>
    <w:rsid w:val="00AC1A7F"/>
    <w:rsid w:val="00AC2441"/>
    <w:rsid w:val="00AC2656"/>
    <w:rsid w:val="00AC2D2B"/>
    <w:rsid w:val="00AC34D1"/>
    <w:rsid w:val="00AC3AC3"/>
    <w:rsid w:val="00AC40C1"/>
    <w:rsid w:val="00AC4A9E"/>
    <w:rsid w:val="00AC4F2D"/>
    <w:rsid w:val="00AC5190"/>
    <w:rsid w:val="00AC5626"/>
    <w:rsid w:val="00AC6074"/>
    <w:rsid w:val="00AC61D0"/>
    <w:rsid w:val="00AC731B"/>
    <w:rsid w:val="00AC7332"/>
    <w:rsid w:val="00AC774B"/>
    <w:rsid w:val="00AC7804"/>
    <w:rsid w:val="00AD12A3"/>
    <w:rsid w:val="00AD141F"/>
    <w:rsid w:val="00AD17CA"/>
    <w:rsid w:val="00AD296A"/>
    <w:rsid w:val="00AD2A13"/>
    <w:rsid w:val="00AD39F9"/>
    <w:rsid w:val="00AD3CDA"/>
    <w:rsid w:val="00AD4921"/>
    <w:rsid w:val="00AD494F"/>
    <w:rsid w:val="00AD598B"/>
    <w:rsid w:val="00AD60DC"/>
    <w:rsid w:val="00AD6248"/>
    <w:rsid w:val="00AD689A"/>
    <w:rsid w:val="00AD6B4C"/>
    <w:rsid w:val="00AD7CB3"/>
    <w:rsid w:val="00AD7D10"/>
    <w:rsid w:val="00AE0CD9"/>
    <w:rsid w:val="00AE1785"/>
    <w:rsid w:val="00AE3B96"/>
    <w:rsid w:val="00AE41FD"/>
    <w:rsid w:val="00AE56C1"/>
    <w:rsid w:val="00AE6CE8"/>
    <w:rsid w:val="00AE73E7"/>
    <w:rsid w:val="00AF01CC"/>
    <w:rsid w:val="00AF07CF"/>
    <w:rsid w:val="00AF1BA7"/>
    <w:rsid w:val="00AF1C4A"/>
    <w:rsid w:val="00AF2406"/>
    <w:rsid w:val="00AF26FB"/>
    <w:rsid w:val="00AF28DA"/>
    <w:rsid w:val="00AF318D"/>
    <w:rsid w:val="00AF4AD9"/>
    <w:rsid w:val="00AF558A"/>
    <w:rsid w:val="00AF5A1D"/>
    <w:rsid w:val="00AF618E"/>
    <w:rsid w:val="00AF62F4"/>
    <w:rsid w:val="00AF68F0"/>
    <w:rsid w:val="00AF70C3"/>
    <w:rsid w:val="00AF785D"/>
    <w:rsid w:val="00AF7D33"/>
    <w:rsid w:val="00B00D62"/>
    <w:rsid w:val="00B01A43"/>
    <w:rsid w:val="00B01E80"/>
    <w:rsid w:val="00B024C5"/>
    <w:rsid w:val="00B0377B"/>
    <w:rsid w:val="00B03DFA"/>
    <w:rsid w:val="00B041FD"/>
    <w:rsid w:val="00B051AA"/>
    <w:rsid w:val="00B05737"/>
    <w:rsid w:val="00B05DBC"/>
    <w:rsid w:val="00B0639A"/>
    <w:rsid w:val="00B06569"/>
    <w:rsid w:val="00B065B1"/>
    <w:rsid w:val="00B06DA4"/>
    <w:rsid w:val="00B102F0"/>
    <w:rsid w:val="00B109BD"/>
    <w:rsid w:val="00B10CE2"/>
    <w:rsid w:val="00B10E22"/>
    <w:rsid w:val="00B11007"/>
    <w:rsid w:val="00B11016"/>
    <w:rsid w:val="00B114D3"/>
    <w:rsid w:val="00B11573"/>
    <w:rsid w:val="00B122D4"/>
    <w:rsid w:val="00B126DC"/>
    <w:rsid w:val="00B12B3D"/>
    <w:rsid w:val="00B12E07"/>
    <w:rsid w:val="00B138EA"/>
    <w:rsid w:val="00B13DE5"/>
    <w:rsid w:val="00B143D0"/>
    <w:rsid w:val="00B14C10"/>
    <w:rsid w:val="00B15349"/>
    <w:rsid w:val="00B154CC"/>
    <w:rsid w:val="00B15BA6"/>
    <w:rsid w:val="00B161B4"/>
    <w:rsid w:val="00B16A1A"/>
    <w:rsid w:val="00B16A71"/>
    <w:rsid w:val="00B17462"/>
    <w:rsid w:val="00B177C7"/>
    <w:rsid w:val="00B1788E"/>
    <w:rsid w:val="00B17B0F"/>
    <w:rsid w:val="00B20301"/>
    <w:rsid w:val="00B2066C"/>
    <w:rsid w:val="00B213AF"/>
    <w:rsid w:val="00B2142B"/>
    <w:rsid w:val="00B215B0"/>
    <w:rsid w:val="00B22FD7"/>
    <w:rsid w:val="00B23765"/>
    <w:rsid w:val="00B237CD"/>
    <w:rsid w:val="00B2429D"/>
    <w:rsid w:val="00B24956"/>
    <w:rsid w:val="00B25D81"/>
    <w:rsid w:val="00B26F99"/>
    <w:rsid w:val="00B30261"/>
    <w:rsid w:val="00B302F6"/>
    <w:rsid w:val="00B30A8D"/>
    <w:rsid w:val="00B31089"/>
    <w:rsid w:val="00B31307"/>
    <w:rsid w:val="00B3179C"/>
    <w:rsid w:val="00B32B6D"/>
    <w:rsid w:val="00B335C0"/>
    <w:rsid w:val="00B33799"/>
    <w:rsid w:val="00B34F02"/>
    <w:rsid w:val="00B35229"/>
    <w:rsid w:val="00B355CA"/>
    <w:rsid w:val="00B35B9D"/>
    <w:rsid w:val="00B35C9F"/>
    <w:rsid w:val="00B35D64"/>
    <w:rsid w:val="00B36953"/>
    <w:rsid w:val="00B37581"/>
    <w:rsid w:val="00B378DE"/>
    <w:rsid w:val="00B37B52"/>
    <w:rsid w:val="00B37C6E"/>
    <w:rsid w:val="00B37D0C"/>
    <w:rsid w:val="00B4002E"/>
    <w:rsid w:val="00B40099"/>
    <w:rsid w:val="00B4030F"/>
    <w:rsid w:val="00B40371"/>
    <w:rsid w:val="00B403B8"/>
    <w:rsid w:val="00B40A1A"/>
    <w:rsid w:val="00B40A22"/>
    <w:rsid w:val="00B41257"/>
    <w:rsid w:val="00B426E3"/>
    <w:rsid w:val="00B4276C"/>
    <w:rsid w:val="00B427F9"/>
    <w:rsid w:val="00B4282B"/>
    <w:rsid w:val="00B42BC0"/>
    <w:rsid w:val="00B440C3"/>
    <w:rsid w:val="00B44CDC"/>
    <w:rsid w:val="00B45035"/>
    <w:rsid w:val="00B4584A"/>
    <w:rsid w:val="00B45EDB"/>
    <w:rsid w:val="00B46E14"/>
    <w:rsid w:val="00B47148"/>
    <w:rsid w:val="00B502F8"/>
    <w:rsid w:val="00B50465"/>
    <w:rsid w:val="00B52137"/>
    <w:rsid w:val="00B52786"/>
    <w:rsid w:val="00B52CDB"/>
    <w:rsid w:val="00B53249"/>
    <w:rsid w:val="00B536E3"/>
    <w:rsid w:val="00B53734"/>
    <w:rsid w:val="00B5403A"/>
    <w:rsid w:val="00B54BB7"/>
    <w:rsid w:val="00B56C08"/>
    <w:rsid w:val="00B5713E"/>
    <w:rsid w:val="00B5790B"/>
    <w:rsid w:val="00B57D80"/>
    <w:rsid w:val="00B57DB1"/>
    <w:rsid w:val="00B60045"/>
    <w:rsid w:val="00B60512"/>
    <w:rsid w:val="00B610B0"/>
    <w:rsid w:val="00B611B1"/>
    <w:rsid w:val="00B612B1"/>
    <w:rsid w:val="00B616A6"/>
    <w:rsid w:val="00B61AE5"/>
    <w:rsid w:val="00B63A35"/>
    <w:rsid w:val="00B63B38"/>
    <w:rsid w:val="00B63C56"/>
    <w:rsid w:val="00B64465"/>
    <w:rsid w:val="00B64870"/>
    <w:rsid w:val="00B64DF3"/>
    <w:rsid w:val="00B664C4"/>
    <w:rsid w:val="00B66839"/>
    <w:rsid w:val="00B66C09"/>
    <w:rsid w:val="00B66D37"/>
    <w:rsid w:val="00B67038"/>
    <w:rsid w:val="00B67E87"/>
    <w:rsid w:val="00B7034C"/>
    <w:rsid w:val="00B70A99"/>
    <w:rsid w:val="00B70F17"/>
    <w:rsid w:val="00B710A2"/>
    <w:rsid w:val="00B720E8"/>
    <w:rsid w:val="00B72565"/>
    <w:rsid w:val="00B72A28"/>
    <w:rsid w:val="00B72C35"/>
    <w:rsid w:val="00B72E65"/>
    <w:rsid w:val="00B7378C"/>
    <w:rsid w:val="00B73E47"/>
    <w:rsid w:val="00B74465"/>
    <w:rsid w:val="00B74A76"/>
    <w:rsid w:val="00B75946"/>
    <w:rsid w:val="00B76361"/>
    <w:rsid w:val="00B764DF"/>
    <w:rsid w:val="00B76DAD"/>
    <w:rsid w:val="00B76EDB"/>
    <w:rsid w:val="00B770D0"/>
    <w:rsid w:val="00B77C45"/>
    <w:rsid w:val="00B80700"/>
    <w:rsid w:val="00B80E63"/>
    <w:rsid w:val="00B81155"/>
    <w:rsid w:val="00B817FF"/>
    <w:rsid w:val="00B82F54"/>
    <w:rsid w:val="00B83E31"/>
    <w:rsid w:val="00B84E2F"/>
    <w:rsid w:val="00B86284"/>
    <w:rsid w:val="00B86790"/>
    <w:rsid w:val="00B87C4F"/>
    <w:rsid w:val="00B904BC"/>
    <w:rsid w:val="00B904F1"/>
    <w:rsid w:val="00B90539"/>
    <w:rsid w:val="00B90C0F"/>
    <w:rsid w:val="00B91A08"/>
    <w:rsid w:val="00B93DE7"/>
    <w:rsid w:val="00B949B8"/>
    <w:rsid w:val="00B949D3"/>
    <w:rsid w:val="00B96482"/>
    <w:rsid w:val="00B96F46"/>
    <w:rsid w:val="00B97539"/>
    <w:rsid w:val="00B97862"/>
    <w:rsid w:val="00B97924"/>
    <w:rsid w:val="00B97F84"/>
    <w:rsid w:val="00BA0018"/>
    <w:rsid w:val="00BA0217"/>
    <w:rsid w:val="00BA03A4"/>
    <w:rsid w:val="00BA0476"/>
    <w:rsid w:val="00BA120C"/>
    <w:rsid w:val="00BA13EF"/>
    <w:rsid w:val="00BA18FE"/>
    <w:rsid w:val="00BA1B03"/>
    <w:rsid w:val="00BA1DDC"/>
    <w:rsid w:val="00BA249A"/>
    <w:rsid w:val="00BA2870"/>
    <w:rsid w:val="00BA3231"/>
    <w:rsid w:val="00BA4ABE"/>
    <w:rsid w:val="00BA69EF"/>
    <w:rsid w:val="00BA6A32"/>
    <w:rsid w:val="00BA7086"/>
    <w:rsid w:val="00BA7E12"/>
    <w:rsid w:val="00BB0B1F"/>
    <w:rsid w:val="00BB102E"/>
    <w:rsid w:val="00BB1A18"/>
    <w:rsid w:val="00BB2ABE"/>
    <w:rsid w:val="00BB308C"/>
    <w:rsid w:val="00BB3171"/>
    <w:rsid w:val="00BB34F4"/>
    <w:rsid w:val="00BB3D48"/>
    <w:rsid w:val="00BB51CC"/>
    <w:rsid w:val="00BB5461"/>
    <w:rsid w:val="00BB54BD"/>
    <w:rsid w:val="00BB5CAC"/>
    <w:rsid w:val="00BB6059"/>
    <w:rsid w:val="00BB6C76"/>
    <w:rsid w:val="00BB72A4"/>
    <w:rsid w:val="00BB7314"/>
    <w:rsid w:val="00BB7A6D"/>
    <w:rsid w:val="00BC1206"/>
    <w:rsid w:val="00BC2694"/>
    <w:rsid w:val="00BC2B10"/>
    <w:rsid w:val="00BC2CC9"/>
    <w:rsid w:val="00BC3B60"/>
    <w:rsid w:val="00BC3C85"/>
    <w:rsid w:val="00BC407A"/>
    <w:rsid w:val="00BC4A6B"/>
    <w:rsid w:val="00BC5578"/>
    <w:rsid w:val="00BC59F4"/>
    <w:rsid w:val="00BC6288"/>
    <w:rsid w:val="00BC652C"/>
    <w:rsid w:val="00BC6E6D"/>
    <w:rsid w:val="00BC73DA"/>
    <w:rsid w:val="00BC7C67"/>
    <w:rsid w:val="00BD09C6"/>
    <w:rsid w:val="00BD0AC3"/>
    <w:rsid w:val="00BD0C66"/>
    <w:rsid w:val="00BD18C2"/>
    <w:rsid w:val="00BD2979"/>
    <w:rsid w:val="00BD318D"/>
    <w:rsid w:val="00BD340A"/>
    <w:rsid w:val="00BD3D33"/>
    <w:rsid w:val="00BD3EE2"/>
    <w:rsid w:val="00BD4509"/>
    <w:rsid w:val="00BD4CA7"/>
    <w:rsid w:val="00BD4D9A"/>
    <w:rsid w:val="00BD5924"/>
    <w:rsid w:val="00BD5D51"/>
    <w:rsid w:val="00BD6952"/>
    <w:rsid w:val="00BD6C98"/>
    <w:rsid w:val="00BD74A6"/>
    <w:rsid w:val="00BE02EA"/>
    <w:rsid w:val="00BE0541"/>
    <w:rsid w:val="00BE063F"/>
    <w:rsid w:val="00BE20E9"/>
    <w:rsid w:val="00BE29BC"/>
    <w:rsid w:val="00BE37F1"/>
    <w:rsid w:val="00BE4631"/>
    <w:rsid w:val="00BE46E1"/>
    <w:rsid w:val="00BE4C29"/>
    <w:rsid w:val="00BE5C0E"/>
    <w:rsid w:val="00BE6309"/>
    <w:rsid w:val="00BE7B88"/>
    <w:rsid w:val="00BF0FE9"/>
    <w:rsid w:val="00BF118A"/>
    <w:rsid w:val="00BF235F"/>
    <w:rsid w:val="00BF25EB"/>
    <w:rsid w:val="00BF274A"/>
    <w:rsid w:val="00BF3145"/>
    <w:rsid w:val="00BF346E"/>
    <w:rsid w:val="00BF3B02"/>
    <w:rsid w:val="00BF3B69"/>
    <w:rsid w:val="00BF3BFA"/>
    <w:rsid w:val="00BF4048"/>
    <w:rsid w:val="00BF40B1"/>
    <w:rsid w:val="00BF5269"/>
    <w:rsid w:val="00BF5E9B"/>
    <w:rsid w:val="00BF6555"/>
    <w:rsid w:val="00C0016D"/>
    <w:rsid w:val="00C010DB"/>
    <w:rsid w:val="00C011C4"/>
    <w:rsid w:val="00C01E7B"/>
    <w:rsid w:val="00C03C9E"/>
    <w:rsid w:val="00C04356"/>
    <w:rsid w:val="00C048D1"/>
    <w:rsid w:val="00C04BF4"/>
    <w:rsid w:val="00C04EC5"/>
    <w:rsid w:val="00C05D88"/>
    <w:rsid w:val="00C061D5"/>
    <w:rsid w:val="00C0662B"/>
    <w:rsid w:val="00C0702F"/>
    <w:rsid w:val="00C07416"/>
    <w:rsid w:val="00C07597"/>
    <w:rsid w:val="00C10242"/>
    <w:rsid w:val="00C10465"/>
    <w:rsid w:val="00C10F90"/>
    <w:rsid w:val="00C11082"/>
    <w:rsid w:val="00C12AF0"/>
    <w:rsid w:val="00C13C3C"/>
    <w:rsid w:val="00C13E1D"/>
    <w:rsid w:val="00C14B59"/>
    <w:rsid w:val="00C1510F"/>
    <w:rsid w:val="00C1514F"/>
    <w:rsid w:val="00C151AE"/>
    <w:rsid w:val="00C153A5"/>
    <w:rsid w:val="00C15469"/>
    <w:rsid w:val="00C15E78"/>
    <w:rsid w:val="00C1657D"/>
    <w:rsid w:val="00C1672C"/>
    <w:rsid w:val="00C17382"/>
    <w:rsid w:val="00C20EBA"/>
    <w:rsid w:val="00C2193C"/>
    <w:rsid w:val="00C21A42"/>
    <w:rsid w:val="00C21C60"/>
    <w:rsid w:val="00C22629"/>
    <w:rsid w:val="00C22AA6"/>
    <w:rsid w:val="00C2330E"/>
    <w:rsid w:val="00C23DCD"/>
    <w:rsid w:val="00C249CD"/>
    <w:rsid w:val="00C25157"/>
    <w:rsid w:val="00C25185"/>
    <w:rsid w:val="00C25A0F"/>
    <w:rsid w:val="00C25B9E"/>
    <w:rsid w:val="00C2622C"/>
    <w:rsid w:val="00C26B09"/>
    <w:rsid w:val="00C272AD"/>
    <w:rsid w:val="00C272D6"/>
    <w:rsid w:val="00C2798E"/>
    <w:rsid w:val="00C3112F"/>
    <w:rsid w:val="00C321F1"/>
    <w:rsid w:val="00C32750"/>
    <w:rsid w:val="00C32DBB"/>
    <w:rsid w:val="00C3444F"/>
    <w:rsid w:val="00C34C24"/>
    <w:rsid w:val="00C35019"/>
    <w:rsid w:val="00C3509A"/>
    <w:rsid w:val="00C36752"/>
    <w:rsid w:val="00C3745D"/>
    <w:rsid w:val="00C40C2D"/>
    <w:rsid w:val="00C40FA4"/>
    <w:rsid w:val="00C41376"/>
    <w:rsid w:val="00C413CE"/>
    <w:rsid w:val="00C42E7E"/>
    <w:rsid w:val="00C4358C"/>
    <w:rsid w:val="00C439F7"/>
    <w:rsid w:val="00C43CAA"/>
    <w:rsid w:val="00C443AF"/>
    <w:rsid w:val="00C444BC"/>
    <w:rsid w:val="00C44B9B"/>
    <w:rsid w:val="00C45938"/>
    <w:rsid w:val="00C45B5F"/>
    <w:rsid w:val="00C46265"/>
    <w:rsid w:val="00C47058"/>
    <w:rsid w:val="00C47CF0"/>
    <w:rsid w:val="00C51E7E"/>
    <w:rsid w:val="00C51F21"/>
    <w:rsid w:val="00C523E1"/>
    <w:rsid w:val="00C52645"/>
    <w:rsid w:val="00C53C53"/>
    <w:rsid w:val="00C540D3"/>
    <w:rsid w:val="00C558F9"/>
    <w:rsid w:val="00C57508"/>
    <w:rsid w:val="00C57744"/>
    <w:rsid w:val="00C60816"/>
    <w:rsid w:val="00C61FB1"/>
    <w:rsid w:val="00C6247E"/>
    <w:rsid w:val="00C627DE"/>
    <w:rsid w:val="00C62BC8"/>
    <w:rsid w:val="00C63E20"/>
    <w:rsid w:val="00C64CF7"/>
    <w:rsid w:val="00C64D19"/>
    <w:rsid w:val="00C65CB5"/>
    <w:rsid w:val="00C65F33"/>
    <w:rsid w:val="00C66137"/>
    <w:rsid w:val="00C666F2"/>
    <w:rsid w:val="00C679C9"/>
    <w:rsid w:val="00C67BE8"/>
    <w:rsid w:val="00C70531"/>
    <w:rsid w:val="00C70EF0"/>
    <w:rsid w:val="00C70F1A"/>
    <w:rsid w:val="00C7141C"/>
    <w:rsid w:val="00C720AC"/>
    <w:rsid w:val="00C7258D"/>
    <w:rsid w:val="00C726BE"/>
    <w:rsid w:val="00C731F7"/>
    <w:rsid w:val="00C7336E"/>
    <w:rsid w:val="00C73BC4"/>
    <w:rsid w:val="00C73FA2"/>
    <w:rsid w:val="00C7400C"/>
    <w:rsid w:val="00C74CD0"/>
    <w:rsid w:val="00C76753"/>
    <w:rsid w:val="00C80C00"/>
    <w:rsid w:val="00C8227D"/>
    <w:rsid w:val="00C82A0F"/>
    <w:rsid w:val="00C838FD"/>
    <w:rsid w:val="00C8419D"/>
    <w:rsid w:val="00C84DE4"/>
    <w:rsid w:val="00C85820"/>
    <w:rsid w:val="00C85EFD"/>
    <w:rsid w:val="00C8655D"/>
    <w:rsid w:val="00C87B11"/>
    <w:rsid w:val="00C9007E"/>
    <w:rsid w:val="00C903B7"/>
    <w:rsid w:val="00C9115D"/>
    <w:rsid w:val="00C92FEA"/>
    <w:rsid w:val="00C944F4"/>
    <w:rsid w:val="00C94D2D"/>
    <w:rsid w:val="00C952DD"/>
    <w:rsid w:val="00C95BE7"/>
    <w:rsid w:val="00C96564"/>
    <w:rsid w:val="00C968F2"/>
    <w:rsid w:val="00C97651"/>
    <w:rsid w:val="00C9769D"/>
    <w:rsid w:val="00C97F57"/>
    <w:rsid w:val="00CA0C93"/>
    <w:rsid w:val="00CA0DA3"/>
    <w:rsid w:val="00CA1342"/>
    <w:rsid w:val="00CA1AA1"/>
    <w:rsid w:val="00CA2751"/>
    <w:rsid w:val="00CA29B4"/>
    <w:rsid w:val="00CA2F15"/>
    <w:rsid w:val="00CA377D"/>
    <w:rsid w:val="00CA38B0"/>
    <w:rsid w:val="00CA4147"/>
    <w:rsid w:val="00CA4502"/>
    <w:rsid w:val="00CA48FB"/>
    <w:rsid w:val="00CA4E38"/>
    <w:rsid w:val="00CA501C"/>
    <w:rsid w:val="00CA52D2"/>
    <w:rsid w:val="00CA7040"/>
    <w:rsid w:val="00CA71E7"/>
    <w:rsid w:val="00CA7EC5"/>
    <w:rsid w:val="00CB0D11"/>
    <w:rsid w:val="00CB1094"/>
    <w:rsid w:val="00CB1A71"/>
    <w:rsid w:val="00CB1AD8"/>
    <w:rsid w:val="00CB2715"/>
    <w:rsid w:val="00CB3A59"/>
    <w:rsid w:val="00CB3AD3"/>
    <w:rsid w:val="00CB4414"/>
    <w:rsid w:val="00CB4621"/>
    <w:rsid w:val="00CB4793"/>
    <w:rsid w:val="00CB548E"/>
    <w:rsid w:val="00CB634C"/>
    <w:rsid w:val="00CB64A6"/>
    <w:rsid w:val="00CB6A03"/>
    <w:rsid w:val="00CB782A"/>
    <w:rsid w:val="00CB7854"/>
    <w:rsid w:val="00CB7FE7"/>
    <w:rsid w:val="00CC1A30"/>
    <w:rsid w:val="00CC1F91"/>
    <w:rsid w:val="00CC40A7"/>
    <w:rsid w:val="00CC4175"/>
    <w:rsid w:val="00CC41EF"/>
    <w:rsid w:val="00CC45B9"/>
    <w:rsid w:val="00CC46E7"/>
    <w:rsid w:val="00CC473E"/>
    <w:rsid w:val="00CC49EB"/>
    <w:rsid w:val="00CC5234"/>
    <w:rsid w:val="00CC5859"/>
    <w:rsid w:val="00CC6410"/>
    <w:rsid w:val="00CC6788"/>
    <w:rsid w:val="00CC6A42"/>
    <w:rsid w:val="00CC6A6E"/>
    <w:rsid w:val="00CD01EF"/>
    <w:rsid w:val="00CD1290"/>
    <w:rsid w:val="00CD12D7"/>
    <w:rsid w:val="00CD1803"/>
    <w:rsid w:val="00CD1E75"/>
    <w:rsid w:val="00CD2634"/>
    <w:rsid w:val="00CD301D"/>
    <w:rsid w:val="00CD351F"/>
    <w:rsid w:val="00CD3CCF"/>
    <w:rsid w:val="00CD3CDF"/>
    <w:rsid w:val="00CD46CF"/>
    <w:rsid w:val="00CD66D8"/>
    <w:rsid w:val="00CD6B37"/>
    <w:rsid w:val="00CD7012"/>
    <w:rsid w:val="00CD757D"/>
    <w:rsid w:val="00CE0356"/>
    <w:rsid w:val="00CE0849"/>
    <w:rsid w:val="00CE21E6"/>
    <w:rsid w:val="00CE25F2"/>
    <w:rsid w:val="00CE2A10"/>
    <w:rsid w:val="00CE3CCF"/>
    <w:rsid w:val="00CE49E8"/>
    <w:rsid w:val="00CE5BE0"/>
    <w:rsid w:val="00CE626E"/>
    <w:rsid w:val="00CE6539"/>
    <w:rsid w:val="00CE6756"/>
    <w:rsid w:val="00CF1001"/>
    <w:rsid w:val="00CF1101"/>
    <w:rsid w:val="00CF1719"/>
    <w:rsid w:val="00CF18D7"/>
    <w:rsid w:val="00CF1C47"/>
    <w:rsid w:val="00CF20D3"/>
    <w:rsid w:val="00CF2160"/>
    <w:rsid w:val="00CF2500"/>
    <w:rsid w:val="00CF2C79"/>
    <w:rsid w:val="00CF2F5E"/>
    <w:rsid w:val="00CF3756"/>
    <w:rsid w:val="00CF5109"/>
    <w:rsid w:val="00CF5AD8"/>
    <w:rsid w:val="00CF5B2E"/>
    <w:rsid w:val="00CF60CA"/>
    <w:rsid w:val="00CF70EA"/>
    <w:rsid w:val="00CF742C"/>
    <w:rsid w:val="00CF7655"/>
    <w:rsid w:val="00D00954"/>
    <w:rsid w:val="00D00EBD"/>
    <w:rsid w:val="00D01567"/>
    <w:rsid w:val="00D01695"/>
    <w:rsid w:val="00D01A20"/>
    <w:rsid w:val="00D01B01"/>
    <w:rsid w:val="00D02AA4"/>
    <w:rsid w:val="00D03574"/>
    <w:rsid w:val="00D03EB6"/>
    <w:rsid w:val="00D04088"/>
    <w:rsid w:val="00D04514"/>
    <w:rsid w:val="00D04C65"/>
    <w:rsid w:val="00D051E8"/>
    <w:rsid w:val="00D05815"/>
    <w:rsid w:val="00D05915"/>
    <w:rsid w:val="00D05B7B"/>
    <w:rsid w:val="00D05FB4"/>
    <w:rsid w:val="00D06AF6"/>
    <w:rsid w:val="00D06D21"/>
    <w:rsid w:val="00D10543"/>
    <w:rsid w:val="00D105C3"/>
    <w:rsid w:val="00D11C4A"/>
    <w:rsid w:val="00D11FAA"/>
    <w:rsid w:val="00D1212E"/>
    <w:rsid w:val="00D1275A"/>
    <w:rsid w:val="00D12F10"/>
    <w:rsid w:val="00D139D1"/>
    <w:rsid w:val="00D13D76"/>
    <w:rsid w:val="00D14509"/>
    <w:rsid w:val="00D15357"/>
    <w:rsid w:val="00D15AD2"/>
    <w:rsid w:val="00D164A9"/>
    <w:rsid w:val="00D17997"/>
    <w:rsid w:val="00D17DEC"/>
    <w:rsid w:val="00D21632"/>
    <w:rsid w:val="00D21728"/>
    <w:rsid w:val="00D21A72"/>
    <w:rsid w:val="00D21B99"/>
    <w:rsid w:val="00D220F5"/>
    <w:rsid w:val="00D22F58"/>
    <w:rsid w:val="00D22FC6"/>
    <w:rsid w:val="00D24053"/>
    <w:rsid w:val="00D250DD"/>
    <w:rsid w:val="00D25203"/>
    <w:rsid w:val="00D25B39"/>
    <w:rsid w:val="00D25D16"/>
    <w:rsid w:val="00D25F24"/>
    <w:rsid w:val="00D26A7A"/>
    <w:rsid w:val="00D31637"/>
    <w:rsid w:val="00D31E78"/>
    <w:rsid w:val="00D31FE6"/>
    <w:rsid w:val="00D3271A"/>
    <w:rsid w:val="00D331F8"/>
    <w:rsid w:val="00D33603"/>
    <w:rsid w:val="00D3485D"/>
    <w:rsid w:val="00D34F70"/>
    <w:rsid w:val="00D353A1"/>
    <w:rsid w:val="00D35424"/>
    <w:rsid w:val="00D357CF"/>
    <w:rsid w:val="00D368C2"/>
    <w:rsid w:val="00D37681"/>
    <w:rsid w:val="00D40486"/>
    <w:rsid w:val="00D40DAA"/>
    <w:rsid w:val="00D4136D"/>
    <w:rsid w:val="00D41375"/>
    <w:rsid w:val="00D41D35"/>
    <w:rsid w:val="00D422B9"/>
    <w:rsid w:val="00D423B2"/>
    <w:rsid w:val="00D42432"/>
    <w:rsid w:val="00D425B8"/>
    <w:rsid w:val="00D42AC0"/>
    <w:rsid w:val="00D43CA3"/>
    <w:rsid w:val="00D43D16"/>
    <w:rsid w:val="00D441F9"/>
    <w:rsid w:val="00D4556F"/>
    <w:rsid w:val="00D45800"/>
    <w:rsid w:val="00D45FE9"/>
    <w:rsid w:val="00D460A5"/>
    <w:rsid w:val="00D464E2"/>
    <w:rsid w:val="00D467EE"/>
    <w:rsid w:val="00D4773B"/>
    <w:rsid w:val="00D47765"/>
    <w:rsid w:val="00D50E66"/>
    <w:rsid w:val="00D510AF"/>
    <w:rsid w:val="00D517C8"/>
    <w:rsid w:val="00D51C08"/>
    <w:rsid w:val="00D527D6"/>
    <w:rsid w:val="00D5293B"/>
    <w:rsid w:val="00D5298C"/>
    <w:rsid w:val="00D53710"/>
    <w:rsid w:val="00D5373B"/>
    <w:rsid w:val="00D53A38"/>
    <w:rsid w:val="00D55984"/>
    <w:rsid w:val="00D55C74"/>
    <w:rsid w:val="00D56C00"/>
    <w:rsid w:val="00D57188"/>
    <w:rsid w:val="00D574FA"/>
    <w:rsid w:val="00D57D6F"/>
    <w:rsid w:val="00D60847"/>
    <w:rsid w:val="00D60C5F"/>
    <w:rsid w:val="00D6183D"/>
    <w:rsid w:val="00D61B1D"/>
    <w:rsid w:val="00D61CA9"/>
    <w:rsid w:val="00D62C1A"/>
    <w:rsid w:val="00D64493"/>
    <w:rsid w:val="00D64922"/>
    <w:rsid w:val="00D64B9D"/>
    <w:rsid w:val="00D65412"/>
    <w:rsid w:val="00D659B1"/>
    <w:rsid w:val="00D66960"/>
    <w:rsid w:val="00D6707B"/>
    <w:rsid w:val="00D67907"/>
    <w:rsid w:val="00D67FD3"/>
    <w:rsid w:val="00D7002B"/>
    <w:rsid w:val="00D70504"/>
    <w:rsid w:val="00D7055C"/>
    <w:rsid w:val="00D70C2B"/>
    <w:rsid w:val="00D71BFF"/>
    <w:rsid w:val="00D7229C"/>
    <w:rsid w:val="00D72D4E"/>
    <w:rsid w:val="00D740F7"/>
    <w:rsid w:val="00D745AF"/>
    <w:rsid w:val="00D74CAA"/>
    <w:rsid w:val="00D7527D"/>
    <w:rsid w:val="00D7568C"/>
    <w:rsid w:val="00D8026A"/>
    <w:rsid w:val="00D81703"/>
    <w:rsid w:val="00D81786"/>
    <w:rsid w:val="00D8189B"/>
    <w:rsid w:val="00D81C39"/>
    <w:rsid w:val="00D81D44"/>
    <w:rsid w:val="00D82667"/>
    <w:rsid w:val="00D841EA"/>
    <w:rsid w:val="00D84A36"/>
    <w:rsid w:val="00D86370"/>
    <w:rsid w:val="00D8651B"/>
    <w:rsid w:val="00D86D22"/>
    <w:rsid w:val="00D876DD"/>
    <w:rsid w:val="00D87761"/>
    <w:rsid w:val="00D900C1"/>
    <w:rsid w:val="00D92398"/>
    <w:rsid w:val="00D926FB"/>
    <w:rsid w:val="00D928BE"/>
    <w:rsid w:val="00D92EC7"/>
    <w:rsid w:val="00D93413"/>
    <w:rsid w:val="00D939F0"/>
    <w:rsid w:val="00D93EF9"/>
    <w:rsid w:val="00D94238"/>
    <w:rsid w:val="00D9509A"/>
    <w:rsid w:val="00D95713"/>
    <w:rsid w:val="00D95B52"/>
    <w:rsid w:val="00D961A2"/>
    <w:rsid w:val="00D9660F"/>
    <w:rsid w:val="00D96F41"/>
    <w:rsid w:val="00D971DE"/>
    <w:rsid w:val="00D978B1"/>
    <w:rsid w:val="00DA21D9"/>
    <w:rsid w:val="00DA25E9"/>
    <w:rsid w:val="00DA271D"/>
    <w:rsid w:val="00DA4676"/>
    <w:rsid w:val="00DA4DBC"/>
    <w:rsid w:val="00DA549A"/>
    <w:rsid w:val="00DA6151"/>
    <w:rsid w:val="00DA65CC"/>
    <w:rsid w:val="00DA6B4B"/>
    <w:rsid w:val="00DA726C"/>
    <w:rsid w:val="00DB0367"/>
    <w:rsid w:val="00DB0B36"/>
    <w:rsid w:val="00DB13B1"/>
    <w:rsid w:val="00DB1C3E"/>
    <w:rsid w:val="00DB1C8F"/>
    <w:rsid w:val="00DB3475"/>
    <w:rsid w:val="00DB4027"/>
    <w:rsid w:val="00DB4B09"/>
    <w:rsid w:val="00DB4FDE"/>
    <w:rsid w:val="00DB55BC"/>
    <w:rsid w:val="00DB7154"/>
    <w:rsid w:val="00DB7D38"/>
    <w:rsid w:val="00DC00BD"/>
    <w:rsid w:val="00DC18AE"/>
    <w:rsid w:val="00DC1967"/>
    <w:rsid w:val="00DC1CBE"/>
    <w:rsid w:val="00DC32D7"/>
    <w:rsid w:val="00DC3484"/>
    <w:rsid w:val="00DC3A77"/>
    <w:rsid w:val="00DC4E23"/>
    <w:rsid w:val="00DC59B2"/>
    <w:rsid w:val="00DC5B7B"/>
    <w:rsid w:val="00DC5C6F"/>
    <w:rsid w:val="00DC6002"/>
    <w:rsid w:val="00DC60DB"/>
    <w:rsid w:val="00DC6340"/>
    <w:rsid w:val="00DC7515"/>
    <w:rsid w:val="00DC77DB"/>
    <w:rsid w:val="00DC785A"/>
    <w:rsid w:val="00DC7AE5"/>
    <w:rsid w:val="00DC7BB6"/>
    <w:rsid w:val="00DC7DCA"/>
    <w:rsid w:val="00DD08EA"/>
    <w:rsid w:val="00DD1AE4"/>
    <w:rsid w:val="00DD1E45"/>
    <w:rsid w:val="00DD215D"/>
    <w:rsid w:val="00DD2897"/>
    <w:rsid w:val="00DD30CD"/>
    <w:rsid w:val="00DD31EC"/>
    <w:rsid w:val="00DD56B6"/>
    <w:rsid w:val="00DD58C5"/>
    <w:rsid w:val="00DD5AED"/>
    <w:rsid w:val="00DD6ADA"/>
    <w:rsid w:val="00DD6C41"/>
    <w:rsid w:val="00DD70D5"/>
    <w:rsid w:val="00DE0208"/>
    <w:rsid w:val="00DE0543"/>
    <w:rsid w:val="00DE197D"/>
    <w:rsid w:val="00DE1A5F"/>
    <w:rsid w:val="00DE20C2"/>
    <w:rsid w:val="00DE2AC1"/>
    <w:rsid w:val="00DE3259"/>
    <w:rsid w:val="00DE3339"/>
    <w:rsid w:val="00DE363A"/>
    <w:rsid w:val="00DE3AD6"/>
    <w:rsid w:val="00DE3F17"/>
    <w:rsid w:val="00DE4E9D"/>
    <w:rsid w:val="00DE4FC4"/>
    <w:rsid w:val="00DE516F"/>
    <w:rsid w:val="00DE539E"/>
    <w:rsid w:val="00DE568C"/>
    <w:rsid w:val="00DE77B3"/>
    <w:rsid w:val="00DE7AE2"/>
    <w:rsid w:val="00DE7B1A"/>
    <w:rsid w:val="00DF044E"/>
    <w:rsid w:val="00DF0726"/>
    <w:rsid w:val="00DF08AC"/>
    <w:rsid w:val="00DF0BAF"/>
    <w:rsid w:val="00DF10B4"/>
    <w:rsid w:val="00DF1B64"/>
    <w:rsid w:val="00DF1EB3"/>
    <w:rsid w:val="00DF507E"/>
    <w:rsid w:val="00DF60CE"/>
    <w:rsid w:val="00DF617D"/>
    <w:rsid w:val="00DF653F"/>
    <w:rsid w:val="00DF65ED"/>
    <w:rsid w:val="00DF71DD"/>
    <w:rsid w:val="00E019BE"/>
    <w:rsid w:val="00E01A08"/>
    <w:rsid w:val="00E01D4B"/>
    <w:rsid w:val="00E0218B"/>
    <w:rsid w:val="00E02598"/>
    <w:rsid w:val="00E0313D"/>
    <w:rsid w:val="00E032E7"/>
    <w:rsid w:val="00E03EC1"/>
    <w:rsid w:val="00E03EE8"/>
    <w:rsid w:val="00E043B2"/>
    <w:rsid w:val="00E04B93"/>
    <w:rsid w:val="00E0539E"/>
    <w:rsid w:val="00E05837"/>
    <w:rsid w:val="00E05C51"/>
    <w:rsid w:val="00E079D7"/>
    <w:rsid w:val="00E101AE"/>
    <w:rsid w:val="00E10357"/>
    <w:rsid w:val="00E108E4"/>
    <w:rsid w:val="00E10A9F"/>
    <w:rsid w:val="00E10C61"/>
    <w:rsid w:val="00E110DB"/>
    <w:rsid w:val="00E11155"/>
    <w:rsid w:val="00E117EF"/>
    <w:rsid w:val="00E11C5A"/>
    <w:rsid w:val="00E11E0A"/>
    <w:rsid w:val="00E11EE6"/>
    <w:rsid w:val="00E1233B"/>
    <w:rsid w:val="00E12C0B"/>
    <w:rsid w:val="00E12F8D"/>
    <w:rsid w:val="00E1306E"/>
    <w:rsid w:val="00E139B3"/>
    <w:rsid w:val="00E141A9"/>
    <w:rsid w:val="00E151E1"/>
    <w:rsid w:val="00E1586B"/>
    <w:rsid w:val="00E16674"/>
    <w:rsid w:val="00E17726"/>
    <w:rsid w:val="00E177D0"/>
    <w:rsid w:val="00E20506"/>
    <w:rsid w:val="00E21923"/>
    <w:rsid w:val="00E21CA8"/>
    <w:rsid w:val="00E230FB"/>
    <w:rsid w:val="00E2386E"/>
    <w:rsid w:val="00E24535"/>
    <w:rsid w:val="00E24C5A"/>
    <w:rsid w:val="00E24D22"/>
    <w:rsid w:val="00E24E88"/>
    <w:rsid w:val="00E25554"/>
    <w:rsid w:val="00E255C1"/>
    <w:rsid w:val="00E26B4C"/>
    <w:rsid w:val="00E26C3E"/>
    <w:rsid w:val="00E26D0D"/>
    <w:rsid w:val="00E30063"/>
    <w:rsid w:val="00E30664"/>
    <w:rsid w:val="00E31117"/>
    <w:rsid w:val="00E31677"/>
    <w:rsid w:val="00E31AE1"/>
    <w:rsid w:val="00E32027"/>
    <w:rsid w:val="00E348CB"/>
    <w:rsid w:val="00E3611B"/>
    <w:rsid w:val="00E36148"/>
    <w:rsid w:val="00E361EC"/>
    <w:rsid w:val="00E36633"/>
    <w:rsid w:val="00E36EEF"/>
    <w:rsid w:val="00E3785F"/>
    <w:rsid w:val="00E37BC6"/>
    <w:rsid w:val="00E37F1B"/>
    <w:rsid w:val="00E400D4"/>
    <w:rsid w:val="00E41A5B"/>
    <w:rsid w:val="00E41D30"/>
    <w:rsid w:val="00E427A6"/>
    <w:rsid w:val="00E42CF5"/>
    <w:rsid w:val="00E44924"/>
    <w:rsid w:val="00E45C91"/>
    <w:rsid w:val="00E45CC7"/>
    <w:rsid w:val="00E45EDB"/>
    <w:rsid w:val="00E4711E"/>
    <w:rsid w:val="00E47C2F"/>
    <w:rsid w:val="00E47E5B"/>
    <w:rsid w:val="00E5018E"/>
    <w:rsid w:val="00E5058E"/>
    <w:rsid w:val="00E50BF1"/>
    <w:rsid w:val="00E50CA3"/>
    <w:rsid w:val="00E50D7F"/>
    <w:rsid w:val="00E516FF"/>
    <w:rsid w:val="00E52499"/>
    <w:rsid w:val="00E53439"/>
    <w:rsid w:val="00E53AF7"/>
    <w:rsid w:val="00E54321"/>
    <w:rsid w:val="00E549EF"/>
    <w:rsid w:val="00E552AA"/>
    <w:rsid w:val="00E553FF"/>
    <w:rsid w:val="00E55D3D"/>
    <w:rsid w:val="00E56F25"/>
    <w:rsid w:val="00E608FB"/>
    <w:rsid w:val="00E61C26"/>
    <w:rsid w:val="00E620D0"/>
    <w:rsid w:val="00E63744"/>
    <w:rsid w:val="00E6434A"/>
    <w:rsid w:val="00E65721"/>
    <w:rsid w:val="00E65848"/>
    <w:rsid w:val="00E65C11"/>
    <w:rsid w:val="00E663A9"/>
    <w:rsid w:val="00E67F72"/>
    <w:rsid w:val="00E70EB6"/>
    <w:rsid w:val="00E70FB1"/>
    <w:rsid w:val="00E72B8C"/>
    <w:rsid w:val="00E74027"/>
    <w:rsid w:val="00E7426E"/>
    <w:rsid w:val="00E7434C"/>
    <w:rsid w:val="00E7494D"/>
    <w:rsid w:val="00E754DC"/>
    <w:rsid w:val="00E75630"/>
    <w:rsid w:val="00E75A0A"/>
    <w:rsid w:val="00E75C97"/>
    <w:rsid w:val="00E775AD"/>
    <w:rsid w:val="00E77F24"/>
    <w:rsid w:val="00E801B2"/>
    <w:rsid w:val="00E803E4"/>
    <w:rsid w:val="00E817A8"/>
    <w:rsid w:val="00E81CB8"/>
    <w:rsid w:val="00E81DD7"/>
    <w:rsid w:val="00E81F04"/>
    <w:rsid w:val="00E82420"/>
    <w:rsid w:val="00E82558"/>
    <w:rsid w:val="00E828D8"/>
    <w:rsid w:val="00E84964"/>
    <w:rsid w:val="00E85D2F"/>
    <w:rsid w:val="00E85D7E"/>
    <w:rsid w:val="00E86679"/>
    <w:rsid w:val="00E866AF"/>
    <w:rsid w:val="00E87391"/>
    <w:rsid w:val="00E873B8"/>
    <w:rsid w:val="00E87A51"/>
    <w:rsid w:val="00E87F2F"/>
    <w:rsid w:val="00E905C0"/>
    <w:rsid w:val="00E91CA2"/>
    <w:rsid w:val="00E930BF"/>
    <w:rsid w:val="00E9311C"/>
    <w:rsid w:val="00E932F5"/>
    <w:rsid w:val="00E93E76"/>
    <w:rsid w:val="00E94843"/>
    <w:rsid w:val="00E94B57"/>
    <w:rsid w:val="00E94D0D"/>
    <w:rsid w:val="00E953F6"/>
    <w:rsid w:val="00E96136"/>
    <w:rsid w:val="00E96D4A"/>
    <w:rsid w:val="00EA05A4"/>
    <w:rsid w:val="00EA0C6F"/>
    <w:rsid w:val="00EA12AE"/>
    <w:rsid w:val="00EA2A62"/>
    <w:rsid w:val="00EA3781"/>
    <w:rsid w:val="00EA3B60"/>
    <w:rsid w:val="00EA3E3F"/>
    <w:rsid w:val="00EA4504"/>
    <w:rsid w:val="00EA451A"/>
    <w:rsid w:val="00EA46EE"/>
    <w:rsid w:val="00EA4B93"/>
    <w:rsid w:val="00EA53D2"/>
    <w:rsid w:val="00EA58FB"/>
    <w:rsid w:val="00EA5B39"/>
    <w:rsid w:val="00EA6445"/>
    <w:rsid w:val="00EA656A"/>
    <w:rsid w:val="00EA6611"/>
    <w:rsid w:val="00EA6C27"/>
    <w:rsid w:val="00EA72DA"/>
    <w:rsid w:val="00EA79BE"/>
    <w:rsid w:val="00EB0010"/>
    <w:rsid w:val="00EB0857"/>
    <w:rsid w:val="00EB21FF"/>
    <w:rsid w:val="00EB2BE6"/>
    <w:rsid w:val="00EB2C3E"/>
    <w:rsid w:val="00EB2E71"/>
    <w:rsid w:val="00EB34EA"/>
    <w:rsid w:val="00EB36ED"/>
    <w:rsid w:val="00EB3983"/>
    <w:rsid w:val="00EB400C"/>
    <w:rsid w:val="00EB4812"/>
    <w:rsid w:val="00EB4BC3"/>
    <w:rsid w:val="00EB4E99"/>
    <w:rsid w:val="00EB4F39"/>
    <w:rsid w:val="00EB589E"/>
    <w:rsid w:val="00EB6AEE"/>
    <w:rsid w:val="00EB6BA2"/>
    <w:rsid w:val="00EC055D"/>
    <w:rsid w:val="00EC1493"/>
    <w:rsid w:val="00EC14FE"/>
    <w:rsid w:val="00EC1D2F"/>
    <w:rsid w:val="00EC236E"/>
    <w:rsid w:val="00EC2BE6"/>
    <w:rsid w:val="00EC30A7"/>
    <w:rsid w:val="00EC3819"/>
    <w:rsid w:val="00EC3A08"/>
    <w:rsid w:val="00EC3AC0"/>
    <w:rsid w:val="00EC452B"/>
    <w:rsid w:val="00EC5065"/>
    <w:rsid w:val="00EC5636"/>
    <w:rsid w:val="00EC57C8"/>
    <w:rsid w:val="00EC5A3D"/>
    <w:rsid w:val="00EC5AA8"/>
    <w:rsid w:val="00EC5D0C"/>
    <w:rsid w:val="00EC5DEC"/>
    <w:rsid w:val="00EC6B78"/>
    <w:rsid w:val="00EC6D16"/>
    <w:rsid w:val="00EC6E7B"/>
    <w:rsid w:val="00EC7AFE"/>
    <w:rsid w:val="00EC7D8B"/>
    <w:rsid w:val="00ED0239"/>
    <w:rsid w:val="00ED0662"/>
    <w:rsid w:val="00ED0716"/>
    <w:rsid w:val="00ED07DE"/>
    <w:rsid w:val="00ED1894"/>
    <w:rsid w:val="00ED1C13"/>
    <w:rsid w:val="00ED1FB1"/>
    <w:rsid w:val="00ED236E"/>
    <w:rsid w:val="00ED2D07"/>
    <w:rsid w:val="00ED4089"/>
    <w:rsid w:val="00ED42FB"/>
    <w:rsid w:val="00ED4C8E"/>
    <w:rsid w:val="00ED4DB2"/>
    <w:rsid w:val="00ED4E11"/>
    <w:rsid w:val="00ED594F"/>
    <w:rsid w:val="00ED5A3F"/>
    <w:rsid w:val="00ED5AC2"/>
    <w:rsid w:val="00ED6CFE"/>
    <w:rsid w:val="00ED6F8E"/>
    <w:rsid w:val="00ED7106"/>
    <w:rsid w:val="00ED73F4"/>
    <w:rsid w:val="00EE142F"/>
    <w:rsid w:val="00EE170A"/>
    <w:rsid w:val="00EE1730"/>
    <w:rsid w:val="00EE1BA2"/>
    <w:rsid w:val="00EE1ED9"/>
    <w:rsid w:val="00EE281F"/>
    <w:rsid w:val="00EE2A48"/>
    <w:rsid w:val="00EE315D"/>
    <w:rsid w:val="00EE3D80"/>
    <w:rsid w:val="00EE479C"/>
    <w:rsid w:val="00EE4836"/>
    <w:rsid w:val="00EE596D"/>
    <w:rsid w:val="00EE7702"/>
    <w:rsid w:val="00EE7B6D"/>
    <w:rsid w:val="00EF0019"/>
    <w:rsid w:val="00EF003B"/>
    <w:rsid w:val="00EF11FC"/>
    <w:rsid w:val="00EF120D"/>
    <w:rsid w:val="00EF19E7"/>
    <w:rsid w:val="00EF2184"/>
    <w:rsid w:val="00EF23C5"/>
    <w:rsid w:val="00EF3EF8"/>
    <w:rsid w:val="00EF671D"/>
    <w:rsid w:val="00EF6A02"/>
    <w:rsid w:val="00EF6CB7"/>
    <w:rsid w:val="00EF7A54"/>
    <w:rsid w:val="00EF7D6C"/>
    <w:rsid w:val="00F00EA7"/>
    <w:rsid w:val="00F012F1"/>
    <w:rsid w:val="00F0147D"/>
    <w:rsid w:val="00F04264"/>
    <w:rsid w:val="00F04B9F"/>
    <w:rsid w:val="00F05D9C"/>
    <w:rsid w:val="00F06049"/>
    <w:rsid w:val="00F06DB9"/>
    <w:rsid w:val="00F07851"/>
    <w:rsid w:val="00F07947"/>
    <w:rsid w:val="00F079A2"/>
    <w:rsid w:val="00F079CA"/>
    <w:rsid w:val="00F07B65"/>
    <w:rsid w:val="00F1041B"/>
    <w:rsid w:val="00F10451"/>
    <w:rsid w:val="00F1117A"/>
    <w:rsid w:val="00F11AA3"/>
    <w:rsid w:val="00F127DB"/>
    <w:rsid w:val="00F128E9"/>
    <w:rsid w:val="00F12C53"/>
    <w:rsid w:val="00F12F9A"/>
    <w:rsid w:val="00F134B4"/>
    <w:rsid w:val="00F143A9"/>
    <w:rsid w:val="00F143DD"/>
    <w:rsid w:val="00F14A77"/>
    <w:rsid w:val="00F15342"/>
    <w:rsid w:val="00F15857"/>
    <w:rsid w:val="00F16BB1"/>
    <w:rsid w:val="00F208BE"/>
    <w:rsid w:val="00F22423"/>
    <w:rsid w:val="00F235FF"/>
    <w:rsid w:val="00F2394F"/>
    <w:rsid w:val="00F23B2C"/>
    <w:rsid w:val="00F24883"/>
    <w:rsid w:val="00F254CF"/>
    <w:rsid w:val="00F25C33"/>
    <w:rsid w:val="00F25D49"/>
    <w:rsid w:val="00F262AC"/>
    <w:rsid w:val="00F263C8"/>
    <w:rsid w:val="00F2731C"/>
    <w:rsid w:val="00F27F3F"/>
    <w:rsid w:val="00F32806"/>
    <w:rsid w:val="00F3291F"/>
    <w:rsid w:val="00F33368"/>
    <w:rsid w:val="00F33599"/>
    <w:rsid w:val="00F3386C"/>
    <w:rsid w:val="00F34042"/>
    <w:rsid w:val="00F3486F"/>
    <w:rsid w:val="00F350C6"/>
    <w:rsid w:val="00F35699"/>
    <w:rsid w:val="00F361E9"/>
    <w:rsid w:val="00F3630A"/>
    <w:rsid w:val="00F36D5C"/>
    <w:rsid w:val="00F3701A"/>
    <w:rsid w:val="00F37352"/>
    <w:rsid w:val="00F3792E"/>
    <w:rsid w:val="00F408E1"/>
    <w:rsid w:val="00F40908"/>
    <w:rsid w:val="00F409D4"/>
    <w:rsid w:val="00F40D28"/>
    <w:rsid w:val="00F4111F"/>
    <w:rsid w:val="00F411C1"/>
    <w:rsid w:val="00F41B6F"/>
    <w:rsid w:val="00F41E2C"/>
    <w:rsid w:val="00F42ECC"/>
    <w:rsid w:val="00F43468"/>
    <w:rsid w:val="00F43596"/>
    <w:rsid w:val="00F4393C"/>
    <w:rsid w:val="00F45287"/>
    <w:rsid w:val="00F45438"/>
    <w:rsid w:val="00F45B69"/>
    <w:rsid w:val="00F45C12"/>
    <w:rsid w:val="00F46951"/>
    <w:rsid w:val="00F470E2"/>
    <w:rsid w:val="00F47169"/>
    <w:rsid w:val="00F479CD"/>
    <w:rsid w:val="00F506C7"/>
    <w:rsid w:val="00F512D9"/>
    <w:rsid w:val="00F51E89"/>
    <w:rsid w:val="00F520D1"/>
    <w:rsid w:val="00F52733"/>
    <w:rsid w:val="00F541C5"/>
    <w:rsid w:val="00F54B37"/>
    <w:rsid w:val="00F5585A"/>
    <w:rsid w:val="00F558DB"/>
    <w:rsid w:val="00F55BBB"/>
    <w:rsid w:val="00F57476"/>
    <w:rsid w:val="00F600A0"/>
    <w:rsid w:val="00F6044F"/>
    <w:rsid w:val="00F60B6E"/>
    <w:rsid w:val="00F60E8B"/>
    <w:rsid w:val="00F61286"/>
    <w:rsid w:val="00F623D6"/>
    <w:rsid w:val="00F629AF"/>
    <w:rsid w:val="00F62D6C"/>
    <w:rsid w:val="00F62F91"/>
    <w:rsid w:val="00F63D65"/>
    <w:rsid w:val="00F65795"/>
    <w:rsid w:val="00F66099"/>
    <w:rsid w:val="00F66830"/>
    <w:rsid w:val="00F675B7"/>
    <w:rsid w:val="00F675C5"/>
    <w:rsid w:val="00F67899"/>
    <w:rsid w:val="00F70350"/>
    <w:rsid w:val="00F7069E"/>
    <w:rsid w:val="00F71F8E"/>
    <w:rsid w:val="00F723CD"/>
    <w:rsid w:val="00F736DB"/>
    <w:rsid w:val="00F7483E"/>
    <w:rsid w:val="00F74A81"/>
    <w:rsid w:val="00F750D2"/>
    <w:rsid w:val="00F752C1"/>
    <w:rsid w:val="00F76843"/>
    <w:rsid w:val="00F76B26"/>
    <w:rsid w:val="00F7705A"/>
    <w:rsid w:val="00F77243"/>
    <w:rsid w:val="00F77855"/>
    <w:rsid w:val="00F77BC3"/>
    <w:rsid w:val="00F77DCD"/>
    <w:rsid w:val="00F80505"/>
    <w:rsid w:val="00F8063C"/>
    <w:rsid w:val="00F8095E"/>
    <w:rsid w:val="00F80C0E"/>
    <w:rsid w:val="00F80FA8"/>
    <w:rsid w:val="00F810B6"/>
    <w:rsid w:val="00F819E7"/>
    <w:rsid w:val="00F81E16"/>
    <w:rsid w:val="00F820C2"/>
    <w:rsid w:val="00F821C4"/>
    <w:rsid w:val="00F82EF1"/>
    <w:rsid w:val="00F844DD"/>
    <w:rsid w:val="00F84B19"/>
    <w:rsid w:val="00F84B71"/>
    <w:rsid w:val="00F84FE0"/>
    <w:rsid w:val="00F852B2"/>
    <w:rsid w:val="00F85992"/>
    <w:rsid w:val="00F86038"/>
    <w:rsid w:val="00F87879"/>
    <w:rsid w:val="00F87AB2"/>
    <w:rsid w:val="00F87ADE"/>
    <w:rsid w:val="00F90B71"/>
    <w:rsid w:val="00F91B8D"/>
    <w:rsid w:val="00F92069"/>
    <w:rsid w:val="00F93378"/>
    <w:rsid w:val="00F93EC7"/>
    <w:rsid w:val="00F96036"/>
    <w:rsid w:val="00F9687B"/>
    <w:rsid w:val="00F97148"/>
    <w:rsid w:val="00F974D3"/>
    <w:rsid w:val="00F97547"/>
    <w:rsid w:val="00FA0F4E"/>
    <w:rsid w:val="00FA0FA1"/>
    <w:rsid w:val="00FA14B4"/>
    <w:rsid w:val="00FA1A71"/>
    <w:rsid w:val="00FA2195"/>
    <w:rsid w:val="00FA2853"/>
    <w:rsid w:val="00FA3182"/>
    <w:rsid w:val="00FA3B8B"/>
    <w:rsid w:val="00FA4075"/>
    <w:rsid w:val="00FA5B15"/>
    <w:rsid w:val="00FA645C"/>
    <w:rsid w:val="00FA6A90"/>
    <w:rsid w:val="00FA7C60"/>
    <w:rsid w:val="00FB0719"/>
    <w:rsid w:val="00FB09D6"/>
    <w:rsid w:val="00FB0C79"/>
    <w:rsid w:val="00FB0EFF"/>
    <w:rsid w:val="00FB1BEE"/>
    <w:rsid w:val="00FB1CBD"/>
    <w:rsid w:val="00FB246E"/>
    <w:rsid w:val="00FB2DC2"/>
    <w:rsid w:val="00FB3145"/>
    <w:rsid w:val="00FB3428"/>
    <w:rsid w:val="00FB371B"/>
    <w:rsid w:val="00FB3EAF"/>
    <w:rsid w:val="00FB402A"/>
    <w:rsid w:val="00FB523C"/>
    <w:rsid w:val="00FB5751"/>
    <w:rsid w:val="00FB597A"/>
    <w:rsid w:val="00FB5F29"/>
    <w:rsid w:val="00FB749C"/>
    <w:rsid w:val="00FB7C50"/>
    <w:rsid w:val="00FB7FA7"/>
    <w:rsid w:val="00FC095E"/>
    <w:rsid w:val="00FC0BC2"/>
    <w:rsid w:val="00FC100B"/>
    <w:rsid w:val="00FC1095"/>
    <w:rsid w:val="00FC13F7"/>
    <w:rsid w:val="00FC1E07"/>
    <w:rsid w:val="00FC2B62"/>
    <w:rsid w:val="00FC2D6C"/>
    <w:rsid w:val="00FC2EDC"/>
    <w:rsid w:val="00FC2FF7"/>
    <w:rsid w:val="00FC3390"/>
    <w:rsid w:val="00FC3E3C"/>
    <w:rsid w:val="00FC4151"/>
    <w:rsid w:val="00FC42D8"/>
    <w:rsid w:val="00FC4802"/>
    <w:rsid w:val="00FC636C"/>
    <w:rsid w:val="00FC7DDF"/>
    <w:rsid w:val="00FD075D"/>
    <w:rsid w:val="00FD0C4E"/>
    <w:rsid w:val="00FD1566"/>
    <w:rsid w:val="00FD1CA4"/>
    <w:rsid w:val="00FD1F58"/>
    <w:rsid w:val="00FD4060"/>
    <w:rsid w:val="00FD54F9"/>
    <w:rsid w:val="00FD57FD"/>
    <w:rsid w:val="00FD7643"/>
    <w:rsid w:val="00FE1007"/>
    <w:rsid w:val="00FE117A"/>
    <w:rsid w:val="00FE11F9"/>
    <w:rsid w:val="00FE125C"/>
    <w:rsid w:val="00FE182C"/>
    <w:rsid w:val="00FE1C0B"/>
    <w:rsid w:val="00FE29E6"/>
    <w:rsid w:val="00FE3071"/>
    <w:rsid w:val="00FE396C"/>
    <w:rsid w:val="00FE47BF"/>
    <w:rsid w:val="00FE55F9"/>
    <w:rsid w:val="00FE5862"/>
    <w:rsid w:val="00FE5E17"/>
    <w:rsid w:val="00FE60A2"/>
    <w:rsid w:val="00FE6FCA"/>
    <w:rsid w:val="00FF0CE4"/>
    <w:rsid w:val="00FF15B8"/>
    <w:rsid w:val="00FF1837"/>
    <w:rsid w:val="00FF2154"/>
    <w:rsid w:val="00FF2680"/>
    <w:rsid w:val="00FF34A7"/>
    <w:rsid w:val="00FF3BF3"/>
    <w:rsid w:val="00FF3E9F"/>
    <w:rsid w:val="00FF4657"/>
    <w:rsid w:val="00FF46FC"/>
    <w:rsid w:val="00FF4E21"/>
    <w:rsid w:val="00FF521C"/>
    <w:rsid w:val="00FF5519"/>
    <w:rsid w:val="00FF6329"/>
    <w:rsid w:val="00FF6D58"/>
    <w:rsid w:val="00FF6F03"/>
    <w:rsid w:val="00FF7906"/>
    <w:rsid w:val="00FF797D"/>
    <w:rsid w:val="01080A12"/>
    <w:rsid w:val="01211959"/>
    <w:rsid w:val="013F5465"/>
    <w:rsid w:val="016A59C2"/>
    <w:rsid w:val="017816BB"/>
    <w:rsid w:val="01AE3C9A"/>
    <w:rsid w:val="01FD4312"/>
    <w:rsid w:val="021C291B"/>
    <w:rsid w:val="022F73A2"/>
    <w:rsid w:val="0250334A"/>
    <w:rsid w:val="02AB78A7"/>
    <w:rsid w:val="02AF241A"/>
    <w:rsid w:val="02E05818"/>
    <w:rsid w:val="039C5442"/>
    <w:rsid w:val="03E45F5E"/>
    <w:rsid w:val="04001F4A"/>
    <w:rsid w:val="04071455"/>
    <w:rsid w:val="041A004D"/>
    <w:rsid w:val="044A4AFB"/>
    <w:rsid w:val="04B24BB5"/>
    <w:rsid w:val="04F030A5"/>
    <w:rsid w:val="06594D7C"/>
    <w:rsid w:val="06C25594"/>
    <w:rsid w:val="074A1C72"/>
    <w:rsid w:val="07C0440E"/>
    <w:rsid w:val="085409C5"/>
    <w:rsid w:val="08600009"/>
    <w:rsid w:val="086D4F6B"/>
    <w:rsid w:val="088A4884"/>
    <w:rsid w:val="089F4AA6"/>
    <w:rsid w:val="08B84198"/>
    <w:rsid w:val="08E2504B"/>
    <w:rsid w:val="08E75F34"/>
    <w:rsid w:val="094075A5"/>
    <w:rsid w:val="097140EF"/>
    <w:rsid w:val="099373A2"/>
    <w:rsid w:val="09A246E7"/>
    <w:rsid w:val="0A2B1814"/>
    <w:rsid w:val="0A76442F"/>
    <w:rsid w:val="0AD65C81"/>
    <w:rsid w:val="0B0F5D91"/>
    <w:rsid w:val="0B575DEF"/>
    <w:rsid w:val="0B5E3138"/>
    <w:rsid w:val="0BAC56E8"/>
    <w:rsid w:val="0C2C0C0B"/>
    <w:rsid w:val="0C87573F"/>
    <w:rsid w:val="0C971BE1"/>
    <w:rsid w:val="0CC311CB"/>
    <w:rsid w:val="0CFD4494"/>
    <w:rsid w:val="0D02528E"/>
    <w:rsid w:val="0D1B0206"/>
    <w:rsid w:val="0D2F04D2"/>
    <w:rsid w:val="0D533015"/>
    <w:rsid w:val="0DC938E4"/>
    <w:rsid w:val="0DD83613"/>
    <w:rsid w:val="0E315D89"/>
    <w:rsid w:val="0E570447"/>
    <w:rsid w:val="0E664F0F"/>
    <w:rsid w:val="0F384BB8"/>
    <w:rsid w:val="0F6C0FE7"/>
    <w:rsid w:val="0FD96F54"/>
    <w:rsid w:val="0FE80028"/>
    <w:rsid w:val="10321F56"/>
    <w:rsid w:val="10AD2461"/>
    <w:rsid w:val="10BD632E"/>
    <w:rsid w:val="11150832"/>
    <w:rsid w:val="114C16B4"/>
    <w:rsid w:val="11E52C7F"/>
    <w:rsid w:val="12172E95"/>
    <w:rsid w:val="123F2BA3"/>
    <w:rsid w:val="12B04E24"/>
    <w:rsid w:val="12B232DB"/>
    <w:rsid w:val="13077ED9"/>
    <w:rsid w:val="131D4C42"/>
    <w:rsid w:val="1354060D"/>
    <w:rsid w:val="13560F45"/>
    <w:rsid w:val="137779E7"/>
    <w:rsid w:val="138C6520"/>
    <w:rsid w:val="13FE792B"/>
    <w:rsid w:val="146973DF"/>
    <w:rsid w:val="14776C5B"/>
    <w:rsid w:val="14E6675C"/>
    <w:rsid w:val="150066BC"/>
    <w:rsid w:val="152A0AFF"/>
    <w:rsid w:val="152C025B"/>
    <w:rsid w:val="15646063"/>
    <w:rsid w:val="156E2038"/>
    <w:rsid w:val="15A31BED"/>
    <w:rsid w:val="15B7294F"/>
    <w:rsid w:val="15C37CA9"/>
    <w:rsid w:val="15EA1231"/>
    <w:rsid w:val="162502C9"/>
    <w:rsid w:val="165E1E54"/>
    <w:rsid w:val="16E42FE3"/>
    <w:rsid w:val="170B516B"/>
    <w:rsid w:val="170D11CC"/>
    <w:rsid w:val="171E5394"/>
    <w:rsid w:val="17700BBD"/>
    <w:rsid w:val="17A80401"/>
    <w:rsid w:val="181674CA"/>
    <w:rsid w:val="1820789A"/>
    <w:rsid w:val="1824353F"/>
    <w:rsid w:val="186C5F72"/>
    <w:rsid w:val="18784C6F"/>
    <w:rsid w:val="189F4B85"/>
    <w:rsid w:val="18ED313B"/>
    <w:rsid w:val="19082D39"/>
    <w:rsid w:val="19A26B43"/>
    <w:rsid w:val="19B60738"/>
    <w:rsid w:val="19BB6549"/>
    <w:rsid w:val="1A491A28"/>
    <w:rsid w:val="1A4B0225"/>
    <w:rsid w:val="1A566B19"/>
    <w:rsid w:val="1A644274"/>
    <w:rsid w:val="1A9F6838"/>
    <w:rsid w:val="1AAC1963"/>
    <w:rsid w:val="1ABA41B8"/>
    <w:rsid w:val="1B0D0CA7"/>
    <w:rsid w:val="1B0E4A1F"/>
    <w:rsid w:val="1B2443F2"/>
    <w:rsid w:val="1C822AE5"/>
    <w:rsid w:val="1CCD1822"/>
    <w:rsid w:val="1CF245F9"/>
    <w:rsid w:val="1CF5235C"/>
    <w:rsid w:val="1D1704E2"/>
    <w:rsid w:val="1D1A7AD2"/>
    <w:rsid w:val="1D271DC8"/>
    <w:rsid w:val="1D6F55A4"/>
    <w:rsid w:val="1D8F486B"/>
    <w:rsid w:val="1D9D6E2D"/>
    <w:rsid w:val="1DA20A4F"/>
    <w:rsid w:val="1DB033C2"/>
    <w:rsid w:val="1DF20628"/>
    <w:rsid w:val="1E1F7221"/>
    <w:rsid w:val="1E5E38EE"/>
    <w:rsid w:val="1E6131E6"/>
    <w:rsid w:val="1E6C1CCA"/>
    <w:rsid w:val="1E714EE4"/>
    <w:rsid w:val="1E855F70"/>
    <w:rsid w:val="1ECF4D3F"/>
    <w:rsid w:val="1EE26AEC"/>
    <w:rsid w:val="1EF937EE"/>
    <w:rsid w:val="1F320190"/>
    <w:rsid w:val="1FEF5B13"/>
    <w:rsid w:val="1FFF533C"/>
    <w:rsid w:val="200617CB"/>
    <w:rsid w:val="202526E1"/>
    <w:rsid w:val="203C3DDD"/>
    <w:rsid w:val="20926C4B"/>
    <w:rsid w:val="20B161F1"/>
    <w:rsid w:val="213B5E42"/>
    <w:rsid w:val="21553045"/>
    <w:rsid w:val="21652D82"/>
    <w:rsid w:val="217D32FC"/>
    <w:rsid w:val="21A00B9D"/>
    <w:rsid w:val="21DB0968"/>
    <w:rsid w:val="21F05C47"/>
    <w:rsid w:val="221257F9"/>
    <w:rsid w:val="224016BF"/>
    <w:rsid w:val="225D4C82"/>
    <w:rsid w:val="2299678B"/>
    <w:rsid w:val="22DC2D7D"/>
    <w:rsid w:val="22E435C1"/>
    <w:rsid w:val="230D5618"/>
    <w:rsid w:val="23206371"/>
    <w:rsid w:val="23367859"/>
    <w:rsid w:val="237F4BD2"/>
    <w:rsid w:val="238D21D7"/>
    <w:rsid w:val="23900734"/>
    <w:rsid w:val="23FF3F40"/>
    <w:rsid w:val="2419433F"/>
    <w:rsid w:val="24294988"/>
    <w:rsid w:val="24397F60"/>
    <w:rsid w:val="24602412"/>
    <w:rsid w:val="24892DF2"/>
    <w:rsid w:val="248C19F3"/>
    <w:rsid w:val="250753CE"/>
    <w:rsid w:val="253A44E5"/>
    <w:rsid w:val="253C61D3"/>
    <w:rsid w:val="26310D4F"/>
    <w:rsid w:val="26325965"/>
    <w:rsid w:val="268214FA"/>
    <w:rsid w:val="268F2EB8"/>
    <w:rsid w:val="269D707D"/>
    <w:rsid w:val="269F375A"/>
    <w:rsid w:val="26BA335D"/>
    <w:rsid w:val="26E53ED1"/>
    <w:rsid w:val="27270E88"/>
    <w:rsid w:val="2729316C"/>
    <w:rsid w:val="27925796"/>
    <w:rsid w:val="279A4C07"/>
    <w:rsid w:val="27B06C35"/>
    <w:rsid w:val="27D226CF"/>
    <w:rsid w:val="27FB4FC7"/>
    <w:rsid w:val="28220470"/>
    <w:rsid w:val="28644730"/>
    <w:rsid w:val="287C29F4"/>
    <w:rsid w:val="28C606E7"/>
    <w:rsid w:val="28EA13EA"/>
    <w:rsid w:val="29125DC1"/>
    <w:rsid w:val="29253660"/>
    <w:rsid w:val="299207B5"/>
    <w:rsid w:val="2A140343"/>
    <w:rsid w:val="2A17081E"/>
    <w:rsid w:val="2A1C3297"/>
    <w:rsid w:val="2A462DFF"/>
    <w:rsid w:val="2AC626BE"/>
    <w:rsid w:val="2B0E3DEC"/>
    <w:rsid w:val="2B6D76CC"/>
    <w:rsid w:val="2B814CC8"/>
    <w:rsid w:val="2B8F431A"/>
    <w:rsid w:val="2B9877A6"/>
    <w:rsid w:val="2BA44818"/>
    <w:rsid w:val="2BA676BA"/>
    <w:rsid w:val="2BA825C9"/>
    <w:rsid w:val="2BD001D8"/>
    <w:rsid w:val="2C643E28"/>
    <w:rsid w:val="2CF05A3D"/>
    <w:rsid w:val="2D4D50D2"/>
    <w:rsid w:val="2D4F4BA8"/>
    <w:rsid w:val="2D505D64"/>
    <w:rsid w:val="2D52535E"/>
    <w:rsid w:val="2D592A0F"/>
    <w:rsid w:val="2D5F7962"/>
    <w:rsid w:val="2D7B265F"/>
    <w:rsid w:val="2D820E12"/>
    <w:rsid w:val="2E3D28AD"/>
    <w:rsid w:val="2E433D45"/>
    <w:rsid w:val="2EA16839"/>
    <w:rsid w:val="2EC73F92"/>
    <w:rsid w:val="2F29375B"/>
    <w:rsid w:val="2F3516A9"/>
    <w:rsid w:val="2F923EB4"/>
    <w:rsid w:val="2FEB0396"/>
    <w:rsid w:val="301170E9"/>
    <w:rsid w:val="30E70B7C"/>
    <w:rsid w:val="31076AE0"/>
    <w:rsid w:val="31207CB1"/>
    <w:rsid w:val="315D3C27"/>
    <w:rsid w:val="31671DBF"/>
    <w:rsid w:val="316A69FC"/>
    <w:rsid w:val="31817E71"/>
    <w:rsid w:val="319B08D4"/>
    <w:rsid w:val="31DC7C21"/>
    <w:rsid w:val="31EC11BC"/>
    <w:rsid w:val="325E4183"/>
    <w:rsid w:val="3260275B"/>
    <w:rsid w:val="32D22A52"/>
    <w:rsid w:val="32EB5BAC"/>
    <w:rsid w:val="33404B86"/>
    <w:rsid w:val="337E1D38"/>
    <w:rsid w:val="33A31D51"/>
    <w:rsid w:val="33C0227B"/>
    <w:rsid w:val="33DA33B5"/>
    <w:rsid w:val="33EF3466"/>
    <w:rsid w:val="341449FD"/>
    <w:rsid w:val="341B2583"/>
    <w:rsid w:val="34741C3F"/>
    <w:rsid w:val="34E56532"/>
    <w:rsid w:val="35317CDE"/>
    <w:rsid w:val="35492DCC"/>
    <w:rsid w:val="355C48AD"/>
    <w:rsid w:val="356A4AAD"/>
    <w:rsid w:val="36054F45"/>
    <w:rsid w:val="360C0AD4"/>
    <w:rsid w:val="36782854"/>
    <w:rsid w:val="368818A7"/>
    <w:rsid w:val="371A51A4"/>
    <w:rsid w:val="374B7EAC"/>
    <w:rsid w:val="37EC6E59"/>
    <w:rsid w:val="37F306BF"/>
    <w:rsid w:val="380A32F1"/>
    <w:rsid w:val="380C0414"/>
    <w:rsid w:val="38197C68"/>
    <w:rsid w:val="38246D0B"/>
    <w:rsid w:val="38696E73"/>
    <w:rsid w:val="386E418B"/>
    <w:rsid w:val="388B20F5"/>
    <w:rsid w:val="38912AC0"/>
    <w:rsid w:val="38E057F5"/>
    <w:rsid w:val="39067EB3"/>
    <w:rsid w:val="39316E9F"/>
    <w:rsid w:val="39501A09"/>
    <w:rsid w:val="39AE5ADC"/>
    <w:rsid w:val="39E65C0C"/>
    <w:rsid w:val="39EA1538"/>
    <w:rsid w:val="3A5058C2"/>
    <w:rsid w:val="3A5F555B"/>
    <w:rsid w:val="3A704E8C"/>
    <w:rsid w:val="3A83350C"/>
    <w:rsid w:val="3ABE7AD1"/>
    <w:rsid w:val="3AFC16EF"/>
    <w:rsid w:val="3B4810F4"/>
    <w:rsid w:val="3B584725"/>
    <w:rsid w:val="3B62551E"/>
    <w:rsid w:val="3B79428A"/>
    <w:rsid w:val="3BA3408D"/>
    <w:rsid w:val="3BB10512"/>
    <w:rsid w:val="3BB44F02"/>
    <w:rsid w:val="3C075223"/>
    <w:rsid w:val="3C4426D1"/>
    <w:rsid w:val="3CB507D7"/>
    <w:rsid w:val="3CBE3D9D"/>
    <w:rsid w:val="3CC601CC"/>
    <w:rsid w:val="3CE73FFB"/>
    <w:rsid w:val="3CF50CAB"/>
    <w:rsid w:val="3D2250D9"/>
    <w:rsid w:val="3D8B52E0"/>
    <w:rsid w:val="3DDA7A57"/>
    <w:rsid w:val="3DDE651D"/>
    <w:rsid w:val="3DE50736"/>
    <w:rsid w:val="3E067AAC"/>
    <w:rsid w:val="3E0F64B4"/>
    <w:rsid w:val="3E4E5573"/>
    <w:rsid w:val="3E6345E1"/>
    <w:rsid w:val="3E6B31D0"/>
    <w:rsid w:val="3E960D81"/>
    <w:rsid w:val="3EBC6496"/>
    <w:rsid w:val="3EFB6FED"/>
    <w:rsid w:val="3F716B74"/>
    <w:rsid w:val="3F762BC2"/>
    <w:rsid w:val="3F8C3875"/>
    <w:rsid w:val="3FCF2A56"/>
    <w:rsid w:val="3FE50BA5"/>
    <w:rsid w:val="403A4EEE"/>
    <w:rsid w:val="405464DC"/>
    <w:rsid w:val="40C41559"/>
    <w:rsid w:val="41022EC0"/>
    <w:rsid w:val="411A040C"/>
    <w:rsid w:val="41322966"/>
    <w:rsid w:val="415A0A26"/>
    <w:rsid w:val="415B2FDC"/>
    <w:rsid w:val="418147F6"/>
    <w:rsid w:val="41AC44C7"/>
    <w:rsid w:val="420C765B"/>
    <w:rsid w:val="421E6566"/>
    <w:rsid w:val="4229536A"/>
    <w:rsid w:val="424A08CF"/>
    <w:rsid w:val="426B793C"/>
    <w:rsid w:val="428B48B8"/>
    <w:rsid w:val="42D902B2"/>
    <w:rsid w:val="42E6709F"/>
    <w:rsid w:val="42FC62F4"/>
    <w:rsid w:val="430C75D7"/>
    <w:rsid w:val="4367330B"/>
    <w:rsid w:val="436C5A54"/>
    <w:rsid w:val="439475EC"/>
    <w:rsid w:val="43AA395F"/>
    <w:rsid w:val="43FC1F26"/>
    <w:rsid w:val="443D4A93"/>
    <w:rsid w:val="445B5C59"/>
    <w:rsid w:val="44BB585D"/>
    <w:rsid w:val="44CE65B9"/>
    <w:rsid w:val="450C650E"/>
    <w:rsid w:val="4529799E"/>
    <w:rsid w:val="455721C3"/>
    <w:rsid w:val="45CB0304"/>
    <w:rsid w:val="45CD3FF9"/>
    <w:rsid w:val="46416968"/>
    <w:rsid w:val="468C2B19"/>
    <w:rsid w:val="46CF5F10"/>
    <w:rsid w:val="4705784A"/>
    <w:rsid w:val="471B35EE"/>
    <w:rsid w:val="47276A44"/>
    <w:rsid w:val="47295ED6"/>
    <w:rsid w:val="47570EF0"/>
    <w:rsid w:val="478E46F5"/>
    <w:rsid w:val="479C5724"/>
    <w:rsid w:val="47D6229D"/>
    <w:rsid w:val="47F54A62"/>
    <w:rsid w:val="47F90CC0"/>
    <w:rsid w:val="482254E2"/>
    <w:rsid w:val="483F73A5"/>
    <w:rsid w:val="486D0700"/>
    <w:rsid w:val="4883155D"/>
    <w:rsid w:val="49847D27"/>
    <w:rsid w:val="499A49CE"/>
    <w:rsid w:val="49A92B07"/>
    <w:rsid w:val="49C04DD0"/>
    <w:rsid w:val="49C43E81"/>
    <w:rsid w:val="49CD3795"/>
    <w:rsid w:val="49E14C1D"/>
    <w:rsid w:val="49FC6FD5"/>
    <w:rsid w:val="4A3A6D0F"/>
    <w:rsid w:val="4A875D06"/>
    <w:rsid w:val="4B182AFF"/>
    <w:rsid w:val="4B7F1B0F"/>
    <w:rsid w:val="4BBC3C22"/>
    <w:rsid w:val="4C6A6FBA"/>
    <w:rsid w:val="4CA72FDD"/>
    <w:rsid w:val="4D35219F"/>
    <w:rsid w:val="4D747CC6"/>
    <w:rsid w:val="4DC4401B"/>
    <w:rsid w:val="4DF072AA"/>
    <w:rsid w:val="4E1E6242"/>
    <w:rsid w:val="4E38467A"/>
    <w:rsid w:val="4E3E6943"/>
    <w:rsid w:val="4ED978B1"/>
    <w:rsid w:val="4EDD3E58"/>
    <w:rsid w:val="4EF456FF"/>
    <w:rsid w:val="4F106F43"/>
    <w:rsid w:val="4F4A5FB9"/>
    <w:rsid w:val="4F7666E2"/>
    <w:rsid w:val="4F7D7D62"/>
    <w:rsid w:val="4FCF755B"/>
    <w:rsid w:val="50544EFA"/>
    <w:rsid w:val="50980A5B"/>
    <w:rsid w:val="50D4504A"/>
    <w:rsid w:val="50DD7E13"/>
    <w:rsid w:val="510B4B5B"/>
    <w:rsid w:val="511C715A"/>
    <w:rsid w:val="513219A9"/>
    <w:rsid w:val="515A59F8"/>
    <w:rsid w:val="516F750B"/>
    <w:rsid w:val="517E7E87"/>
    <w:rsid w:val="51AF747B"/>
    <w:rsid w:val="51CE2237"/>
    <w:rsid w:val="51E032A2"/>
    <w:rsid w:val="5230552B"/>
    <w:rsid w:val="529C40E3"/>
    <w:rsid w:val="53014CAD"/>
    <w:rsid w:val="53024CDD"/>
    <w:rsid w:val="535F2B50"/>
    <w:rsid w:val="53644479"/>
    <w:rsid w:val="53BF015C"/>
    <w:rsid w:val="53FA015D"/>
    <w:rsid w:val="54022185"/>
    <w:rsid w:val="542C40E9"/>
    <w:rsid w:val="549F21E3"/>
    <w:rsid w:val="549F653E"/>
    <w:rsid w:val="54E148DA"/>
    <w:rsid w:val="5520410C"/>
    <w:rsid w:val="5522214A"/>
    <w:rsid w:val="552C5D2A"/>
    <w:rsid w:val="553A2F24"/>
    <w:rsid w:val="554A6F5A"/>
    <w:rsid w:val="554A75A8"/>
    <w:rsid w:val="5578398F"/>
    <w:rsid w:val="55FB332A"/>
    <w:rsid w:val="5675017D"/>
    <w:rsid w:val="56872098"/>
    <w:rsid w:val="56B37FA1"/>
    <w:rsid w:val="56BE472F"/>
    <w:rsid w:val="56DC0F52"/>
    <w:rsid w:val="56DF74B5"/>
    <w:rsid w:val="56E22665"/>
    <w:rsid w:val="56F51A6F"/>
    <w:rsid w:val="5727028D"/>
    <w:rsid w:val="57310A94"/>
    <w:rsid w:val="57D9379A"/>
    <w:rsid w:val="590A2620"/>
    <w:rsid w:val="593744D1"/>
    <w:rsid w:val="59564420"/>
    <w:rsid w:val="59813C7D"/>
    <w:rsid w:val="59AC3201"/>
    <w:rsid w:val="59DB4DC2"/>
    <w:rsid w:val="5A7E6EC1"/>
    <w:rsid w:val="5B5B5E1A"/>
    <w:rsid w:val="5B9718EC"/>
    <w:rsid w:val="5BF34CE8"/>
    <w:rsid w:val="5BF92E16"/>
    <w:rsid w:val="5C557CB0"/>
    <w:rsid w:val="5C7D4636"/>
    <w:rsid w:val="5C841F1C"/>
    <w:rsid w:val="5CC717E3"/>
    <w:rsid w:val="5CDD794A"/>
    <w:rsid w:val="5D056F10"/>
    <w:rsid w:val="5D1E74B2"/>
    <w:rsid w:val="5D407091"/>
    <w:rsid w:val="5D5F25A7"/>
    <w:rsid w:val="5DB10B7D"/>
    <w:rsid w:val="5DBA2337"/>
    <w:rsid w:val="5DE04988"/>
    <w:rsid w:val="5E021D38"/>
    <w:rsid w:val="5E056D90"/>
    <w:rsid w:val="5E191615"/>
    <w:rsid w:val="5E2B3FD5"/>
    <w:rsid w:val="5E3B790F"/>
    <w:rsid w:val="5E68570B"/>
    <w:rsid w:val="5E8973BB"/>
    <w:rsid w:val="5E954808"/>
    <w:rsid w:val="5F051784"/>
    <w:rsid w:val="5F364624"/>
    <w:rsid w:val="5F443F52"/>
    <w:rsid w:val="5F70327A"/>
    <w:rsid w:val="5F8114E6"/>
    <w:rsid w:val="5F985EAC"/>
    <w:rsid w:val="5FB153A9"/>
    <w:rsid w:val="60215999"/>
    <w:rsid w:val="605B7A0D"/>
    <w:rsid w:val="606602E5"/>
    <w:rsid w:val="606C3347"/>
    <w:rsid w:val="60847E19"/>
    <w:rsid w:val="60947504"/>
    <w:rsid w:val="60A224CF"/>
    <w:rsid w:val="60B72F22"/>
    <w:rsid w:val="616B7AA3"/>
    <w:rsid w:val="616C3AA5"/>
    <w:rsid w:val="61CB22F1"/>
    <w:rsid w:val="61D513C0"/>
    <w:rsid w:val="61E116E3"/>
    <w:rsid w:val="61E17D65"/>
    <w:rsid w:val="61EB6939"/>
    <w:rsid w:val="62420D1A"/>
    <w:rsid w:val="62A274F4"/>
    <w:rsid w:val="62A343B9"/>
    <w:rsid w:val="62DD56B5"/>
    <w:rsid w:val="62EB2BFB"/>
    <w:rsid w:val="63084D90"/>
    <w:rsid w:val="630A5BB9"/>
    <w:rsid w:val="632717A7"/>
    <w:rsid w:val="63704EB8"/>
    <w:rsid w:val="637C5D8F"/>
    <w:rsid w:val="637E06AE"/>
    <w:rsid w:val="638D4AAC"/>
    <w:rsid w:val="63AC3371"/>
    <w:rsid w:val="63F823FB"/>
    <w:rsid w:val="64331A07"/>
    <w:rsid w:val="6451655B"/>
    <w:rsid w:val="64D6157E"/>
    <w:rsid w:val="64DB70E0"/>
    <w:rsid w:val="64E32012"/>
    <w:rsid w:val="650C138D"/>
    <w:rsid w:val="65536343"/>
    <w:rsid w:val="65653BC0"/>
    <w:rsid w:val="6593745D"/>
    <w:rsid w:val="65B828BF"/>
    <w:rsid w:val="65E818FA"/>
    <w:rsid w:val="660D444F"/>
    <w:rsid w:val="66DB5C33"/>
    <w:rsid w:val="66F76AE1"/>
    <w:rsid w:val="671B7B73"/>
    <w:rsid w:val="67D02E0D"/>
    <w:rsid w:val="682E7B14"/>
    <w:rsid w:val="68B95D52"/>
    <w:rsid w:val="68C13EF3"/>
    <w:rsid w:val="68DD1507"/>
    <w:rsid w:val="68F64541"/>
    <w:rsid w:val="69340AA0"/>
    <w:rsid w:val="69664C2D"/>
    <w:rsid w:val="69AD62B1"/>
    <w:rsid w:val="69BA6D59"/>
    <w:rsid w:val="6A5E60C1"/>
    <w:rsid w:val="6A6516C3"/>
    <w:rsid w:val="6A9A6D03"/>
    <w:rsid w:val="6B0B4C4D"/>
    <w:rsid w:val="6B111F67"/>
    <w:rsid w:val="6B3136AD"/>
    <w:rsid w:val="6B774A0E"/>
    <w:rsid w:val="6B8479FA"/>
    <w:rsid w:val="6BA24752"/>
    <w:rsid w:val="6BD66471"/>
    <w:rsid w:val="6BF560D8"/>
    <w:rsid w:val="6C0703C8"/>
    <w:rsid w:val="6C6B54E9"/>
    <w:rsid w:val="6CFF3729"/>
    <w:rsid w:val="6DF47D80"/>
    <w:rsid w:val="6E511637"/>
    <w:rsid w:val="6E695FD5"/>
    <w:rsid w:val="6E6C1F11"/>
    <w:rsid w:val="6E780CD6"/>
    <w:rsid w:val="6E7B3CC3"/>
    <w:rsid w:val="6EC31F99"/>
    <w:rsid w:val="6EE53436"/>
    <w:rsid w:val="6F9208F0"/>
    <w:rsid w:val="6FA108D8"/>
    <w:rsid w:val="6FB736A2"/>
    <w:rsid w:val="6FC935F6"/>
    <w:rsid w:val="6FD27E5A"/>
    <w:rsid w:val="702C2015"/>
    <w:rsid w:val="703209E2"/>
    <w:rsid w:val="704D0B7D"/>
    <w:rsid w:val="70865EF0"/>
    <w:rsid w:val="708D6394"/>
    <w:rsid w:val="709F0FDE"/>
    <w:rsid w:val="71133FEB"/>
    <w:rsid w:val="71191EEB"/>
    <w:rsid w:val="71475CCE"/>
    <w:rsid w:val="71577561"/>
    <w:rsid w:val="715C506F"/>
    <w:rsid w:val="71614F5A"/>
    <w:rsid w:val="71A33685"/>
    <w:rsid w:val="71E12DCD"/>
    <w:rsid w:val="720E0702"/>
    <w:rsid w:val="723C48BE"/>
    <w:rsid w:val="73262047"/>
    <w:rsid w:val="733727DD"/>
    <w:rsid w:val="73622F96"/>
    <w:rsid w:val="73D74BEE"/>
    <w:rsid w:val="73E15A39"/>
    <w:rsid w:val="73EC2BE6"/>
    <w:rsid w:val="73EF00BF"/>
    <w:rsid w:val="73F06E3B"/>
    <w:rsid w:val="74162289"/>
    <w:rsid w:val="74220D9F"/>
    <w:rsid w:val="7442274D"/>
    <w:rsid w:val="74617CCF"/>
    <w:rsid w:val="74B0556B"/>
    <w:rsid w:val="74F33BDF"/>
    <w:rsid w:val="74FD1FF0"/>
    <w:rsid w:val="75167A9E"/>
    <w:rsid w:val="751B4EE4"/>
    <w:rsid w:val="751E5F3A"/>
    <w:rsid w:val="755E6C9C"/>
    <w:rsid w:val="75703482"/>
    <w:rsid w:val="7582593E"/>
    <w:rsid w:val="75C9596D"/>
    <w:rsid w:val="75F628B9"/>
    <w:rsid w:val="76186E6B"/>
    <w:rsid w:val="762920AD"/>
    <w:rsid w:val="76402085"/>
    <w:rsid w:val="76902409"/>
    <w:rsid w:val="769B166B"/>
    <w:rsid w:val="76A14E34"/>
    <w:rsid w:val="76D4398D"/>
    <w:rsid w:val="773D7C6A"/>
    <w:rsid w:val="77513458"/>
    <w:rsid w:val="77822293"/>
    <w:rsid w:val="7830663E"/>
    <w:rsid w:val="784415A8"/>
    <w:rsid w:val="78463590"/>
    <w:rsid w:val="787E4A3E"/>
    <w:rsid w:val="78BE0823"/>
    <w:rsid w:val="796F074F"/>
    <w:rsid w:val="79A71AEB"/>
    <w:rsid w:val="79CC72D5"/>
    <w:rsid w:val="7A5077FE"/>
    <w:rsid w:val="7A5878A7"/>
    <w:rsid w:val="7ADE7618"/>
    <w:rsid w:val="7AE347A5"/>
    <w:rsid w:val="7BAE0E2F"/>
    <w:rsid w:val="7BBE70B7"/>
    <w:rsid w:val="7C69323E"/>
    <w:rsid w:val="7C711D7A"/>
    <w:rsid w:val="7C8820DB"/>
    <w:rsid w:val="7CB43C54"/>
    <w:rsid w:val="7CBF5012"/>
    <w:rsid w:val="7CCE32FF"/>
    <w:rsid w:val="7CF83262"/>
    <w:rsid w:val="7D192F0D"/>
    <w:rsid w:val="7D6C0F19"/>
    <w:rsid w:val="7DA94242"/>
    <w:rsid w:val="7DB42E4B"/>
    <w:rsid w:val="7DBD7418"/>
    <w:rsid w:val="7DD117AC"/>
    <w:rsid w:val="7E642E4A"/>
    <w:rsid w:val="7E685376"/>
    <w:rsid w:val="7E6C23C0"/>
    <w:rsid w:val="7EA25DF7"/>
    <w:rsid w:val="7EA63986"/>
    <w:rsid w:val="7EA832D9"/>
    <w:rsid w:val="7EC33D07"/>
    <w:rsid w:val="7F031A40"/>
    <w:rsid w:val="7F386F56"/>
    <w:rsid w:val="7F564C92"/>
    <w:rsid w:val="7F8103D9"/>
    <w:rsid w:val="7FFE64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qFormat="1" w:unhideWhenUsed="0" w:uiPriority="0" w:name="index 2"/>
    <w:lsdException w:qFormat="1" w:unhideWhenUsed="0" w:uiPriority="0" w:name="index 3"/>
    <w:lsdException w:qFormat="1" w:unhideWhenUsed="0" w:uiPriority="0" w:name="index 4"/>
    <w:lsdException w:qFormat="1" w:unhideWhenUsed="0" w:uiPriority="0" w:name="index 5"/>
    <w:lsdException w:qFormat="1" w:unhideWhenUsed="0" w:uiPriority="0" w:name="index 6"/>
    <w:lsdException w:qFormat="1" w:unhideWhenUsed="0" w:uiPriority="0" w:name="index 7"/>
    <w:lsdException w:qFormat="1" w:unhideWhenUsed="0" w:uiPriority="0" w:name="index 8"/>
    <w:lsdException w:qFormat="1" w:unhideWhenUsed="0" w:uiPriority="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0" w:name="footnote text"/>
    <w:lsdException w:qFormat="1" w:unhideWhenUsed="0" w:uiPriority="0" w:name="annotation text"/>
    <w:lsdException w:qFormat="1" w:unhideWhenUsed="0" w:uiPriority="0" w:semiHidden="0" w:name="header"/>
    <w:lsdException w:qFormat="1" w:unhideWhenUsed="0" w:uiPriority="0" w:semiHidden="0" w:name="footer"/>
    <w:lsdException w:qFormat="1" w:unhideWhenUsed="0" w:uiPriority="0" w:name="index heading"/>
    <w:lsdException w:qFormat="1" w:unhideWhenUsed="0" w:uiPriority="0" w:semiHidden="0" w:name="caption"/>
    <w:lsdException w:qFormat="1" w:unhideWhenUsed="0"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uiPriority="0" w:name="List 5"/>
    <w:lsdException w:qFormat="1" w:unhideWhenUsed="0" w:uiPriority="0" w:semiHidden="0" w:name="List Bullet 2"/>
    <w:lsdException w:qFormat="1" w:unhideWhenUsed="0" w:uiPriority="0" w:semiHidden="0" w:name="List Bullet 3"/>
    <w:lsdException w:uiPriority="0" w:name="List Bullet 4"/>
    <w:lsdException w:uiPriority="0" w:name="List Bullet 5"/>
    <w:lsdException w:qFormat="1" w:unhideWhenUsed="0" w:uiPriority="0" w:semiHidden="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nhideWhenUsed="0" w:uiPriority="0" w:semiHidden="0" w:name="Table Subtle 2"/>
    <w:lsdException w:uiPriority="0" w:name="Table Web 1"/>
    <w:lsdException w:uiPriority="0" w:name="Table Web 2"/>
    <w:lsdException w:unhideWhenUsed="0" w:uiPriority="0" w:semiHidden="0" w:name="Table Web 3"/>
    <w:lsdException w:qFormat="1" w:unhideWhenUsed="0" w:uiPriority="0" w:name="Balloon Text"/>
    <w:lsdException w:qFormat="1" w:unhideWhenUsed="0" w:uiPriority="0" w:semiHidden="0" w:name="Table Grid"/>
    <w:lsdException w:uiPriority="0"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5"/>
    <w:next w:val="6"/>
    <w:link w:val="73"/>
    <w:qFormat/>
    <w:uiPriority w:val="9"/>
    <w:pPr>
      <w:numPr>
        <w:ilvl w:val="0"/>
        <w:numId w:val="1"/>
      </w:numPr>
      <w:pBdr>
        <w:bottom w:val="thinThickSmallGap" w:color="C00000" w:sz="24" w:space="1"/>
      </w:pBdr>
      <w:spacing w:line="360" w:lineRule="auto"/>
      <w:jc w:val="center"/>
      <w:outlineLvl w:val="0"/>
    </w:pPr>
    <w:rPr>
      <w:rFonts w:ascii="Times New Roman" w:hAnsi="Times New Roman"/>
      <w:b/>
      <w:sz w:val="28"/>
      <w:szCs w:val="28"/>
      <w:lang w:val="en-US"/>
    </w:rPr>
  </w:style>
  <w:style w:type="paragraph" w:styleId="7">
    <w:name w:val="heading 2"/>
    <w:basedOn w:val="5"/>
    <w:next w:val="6"/>
    <w:link w:val="276"/>
    <w:qFormat/>
    <w:uiPriority w:val="9"/>
    <w:pPr>
      <w:numPr>
        <w:ilvl w:val="1"/>
        <w:numId w:val="1"/>
      </w:numPr>
      <w:spacing w:before="240" w:after="240" w:line="360" w:lineRule="auto"/>
      <w:outlineLvl w:val="1"/>
    </w:pPr>
    <w:rPr>
      <w:rFonts w:ascii="宋体" w:hAnsi="Times New Roman"/>
      <w:b/>
      <w:snapToGrid w:val="0"/>
      <w:color w:val="000000"/>
      <w:sz w:val="24"/>
      <w:lang w:val="en-US"/>
    </w:rPr>
  </w:style>
  <w:style w:type="paragraph" w:styleId="8">
    <w:name w:val="heading 3"/>
    <w:basedOn w:val="1"/>
    <w:next w:val="6"/>
    <w:link w:val="74"/>
    <w:qFormat/>
    <w:uiPriority w:val="9"/>
    <w:pPr>
      <w:keepNext/>
      <w:tabs>
        <w:tab w:val="left" w:pos="0"/>
      </w:tabs>
      <w:spacing w:line="480" w:lineRule="auto"/>
      <w:jc w:val="left"/>
      <w:outlineLvl w:val="2"/>
    </w:pPr>
    <w:rPr>
      <w:b/>
      <w:kern w:val="0"/>
      <w:sz w:val="24"/>
      <w:szCs w:val="20"/>
      <w:lang w:val="en-GB"/>
    </w:rPr>
  </w:style>
  <w:style w:type="paragraph" w:styleId="9">
    <w:name w:val="heading 4"/>
    <w:basedOn w:val="1"/>
    <w:next w:val="1"/>
    <w:link w:val="249"/>
    <w:qFormat/>
    <w:uiPriority w:val="0"/>
    <w:pPr>
      <w:numPr>
        <w:ilvl w:val="3"/>
        <w:numId w:val="2"/>
      </w:numPr>
      <w:spacing w:before="360" w:after="120"/>
      <w:outlineLvl w:val="3"/>
    </w:pPr>
    <w:rPr>
      <w:b/>
    </w:rPr>
  </w:style>
  <w:style w:type="paragraph" w:styleId="10">
    <w:name w:val="heading 5"/>
    <w:basedOn w:val="5"/>
    <w:next w:val="6"/>
    <w:link w:val="277"/>
    <w:qFormat/>
    <w:uiPriority w:val="0"/>
    <w:pPr>
      <w:numPr>
        <w:ilvl w:val="4"/>
        <w:numId w:val="2"/>
      </w:numPr>
      <w:spacing w:before="360" w:after="120"/>
      <w:outlineLvl w:val="4"/>
    </w:pPr>
    <w:rPr>
      <w:b/>
    </w:rPr>
  </w:style>
  <w:style w:type="paragraph" w:styleId="11">
    <w:name w:val="heading 6"/>
    <w:basedOn w:val="5"/>
    <w:next w:val="6"/>
    <w:link w:val="278"/>
    <w:qFormat/>
    <w:uiPriority w:val="0"/>
    <w:pPr>
      <w:numPr>
        <w:ilvl w:val="5"/>
        <w:numId w:val="2"/>
      </w:numPr>
      <w:spacing w:before="360" w:after="120"/>
      <w:outlineLvl w:val="5"/>
    </w:pPr>
    <w:rPr>
      <w:b/>
      <w:snapToGrid w:val="0"/>
      <w:sz w:val="26"/>
    </w:rPr>
  </w:style>
  <w:style w:type="paragraph" w:styleId="12">
    <w:name w:val="heading 7"/>
    <w:basedOn w:val="5"/>
    <w:next w:val="6"/>
    <w:link w:val="279"/>
    <w:qFormat/>
    <w:uiPriority w:val="0"/>
    <w:pPr>
      <w:numPr>
        <w:ilvl w:val="6"/>
        <w:numId w:val="2"/>
      </w:numPr>
      <w:spacing w:before="360" w:after="120"/>
      <w:outlineLvl w:val="6"/>
    </w:pPr>
    <w:rPr>
      <w:b/>
    </w:rPr>
  </w:style>
  <w:style w:type="paragraph" w:styleId="13">
    <w:name w:val="heading 8"/>
    <w:basedOn w:val="5"/>
    <w:next w:val="6"/>
    <w:link w:val="280"/>
    <w:qFormat/>
    <w:uiPriority w:val="0"/>
    <w:pPr>
      <w:numPr>
        <w:ilvl w:val="7"/>
        <w:numId w:val="2"/>
      </w:numPr>
      <w:spacing w:before="360" w:after="120"/>
      <w:outlineLvl w:val="7"/>
    </w:pPr>
    <w:rPr>
      <w:b/>
    </w:rPr>
  </w:style>
  <w:style w:type="paragraph" w:styleId="14">
    <w:name w:val="heading 9"/>
    <w:basedOn w:val="13"/>
    <w:next w:val="6"/>
    <w:link w:val="281"/>
    <w:qFormat/>
    <w:uiPriority w:val="0"/>
    <w:pPr>
      <w:numPr>
        <w:ilvl w:val="8"/>
      </w:numPr>
      <w:ind w:hanging="426"/>
      <w:outlineLvl w:val="8"/>
    </w:pPr>
  </w:style>
  <w:style w:type="character" w:default="1" w:styleId="65">
    <w:name w:val="Default Paragraph Font"/>
    <w:semiHidden/>
    <w:unhideWhenUsed/>
    <w:qFormat/>
    <w:uiPriority w:val="1"/>
  </w:style>
  <w:style w:type="table" w:default="1" w:styleId="6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link w:val="84"/>
    <w:qFormat/>
    <w:uiPriority w:val="0"/>
    <w:pPr>
      <w:spacing w:after="120" w:line="240" w:lineRule="auto"/>
      <w:ind w:left="420" w:leftChars="200" w:firstLine="420"/>
    </w:pPr>
    <w:rPr>
      <w:sz w:val="21"/>
      <w:szCs w:val="24"/>
    </w:rPr>
  </w:style>
  <w:style w:type="paragraph" w:styleId="3">
    <w:name w:val="Body Text Indent"/>
    <w:basedOn w:val="1"/>
    <w:link w:val="267"/>
    <w:qFormat/>
    <w:uiPriority w:val="0"/>
    <w:pPr>
      <w:spacing w:line="360" w:lineRule="auto"/>
      <w:ind w:firstLine="480" w:firstLineChars="200"/>
    </w:pPr>
    <w:rPr>
      <w:sz w:val="24"/>
      <w:szCs w:val="28"/>
    </w:rPr>
  </w:style>
  <w:style w:type="paragraph" w:customStyle="1" w:styleId="5">
    <w:name w:val="Headings Font"/>
    <w:basedOn w:val="1"/>
    <w:next w:val="6"/>
    <w:link w:val="72"/>
    <w:qFormat/>
    <w:uiPriority w:val="0"/>
    <w:pPr>
      <w:keepNext/>
      <w:spacing w:line="280" w:lineRule="atLeast"/>
      <w:jc w:val="left"/>
    </w:pPr>
    <w:rPr>
      <w:rFonts w:ascii="Arial" w:hAnsi="Arial"/>
      <w:kern w:val="0"/>
      <w:sz w:val="22"/>
      <w:szCs w:val="20"/>
      <w:lang w:val="en-GB"/>
    </w:rPr>
  </w:style>
  <w:style w:type="paragraph" w:styleId="6">
    <w:name w:val="Body Text"/>
    <w:basedOn w:val="1"/>
    <w:link w:val="282"/>
    <w:qFormat/>
    <w:uiPriority w:val="0"/>
    <w:pPr>
      <w:spacing w:after="120"/>
    </w:pPr>
  </w:style>
  <w:style w:type="paragraph" w:styleId="15">
    <w:name w:val="List 3"/>
    <w:basedOn w:val="1"/>
    <w:qFormat/>
    <w:uiPriority w:val="0"/>
    <w:pPr>
      <w:ind w:left="100" w:leftChars="400" w:hanging="200" w:hangingChars="200"/>
    </w:pPr>
  </w:style>
  <w:style w:type="paragraph" w:styleId="16">
    <w:name w:val="toc 7"/>
    <w:basedOn w:val="1"/>
    <w:next w:val="1"/>
    <w:qFormat/>
    <w:uiPriority w:val="39"/>
    <w:pPr>
      <w:ind w:left="2520" w:leftChars="1200"/>
    </w:pPr>
  </w:style>
  <w:style w:type="paragraph" w:styleId="17">
    <w:name w:val="List Number 2"/>
    <w:basedOn w:val="18"/>
    <w:qFormat/>
    <w:uiPriority w:val="0"/>
    <w:pPr>
      <w:tabs>
        <w:tab w:val="left" w:pos="360"/>
        <w:tab w:val="left" w:pos="851"/>
      </w:tabs>
      <w:spacing w:before="120"/>
    </w:pPr>
  </w:style>
  <w:style w:type="paragraph" w:styleId="18">
    <w:name w:val="List Number"/>
    <w:basedOn w:val="6"/>
    <w:qFormat/>
    <w:uiPriority w:val="0"/>
    <w:pPr>
      <w:keepLines/>
      <w:widowControl/>
      <w:tabs>
        <w:tab w:val="left" w:pos="851"/>
      </w:tabs>
      <w:spacing w:before="50" w:after="0" w:line="280" w:lineRule="atLeast"/>
      <w:ind w:left="851" w:hanging="426"/>
    </w:pPr>
    <w:rPr>
      <w:kern w:val="0"/>
      <w:sz w:val="22"/>
      <w:szCs w:val="20"/>
      <w:lang w:val="en-GB"/>
    </w:rPr>
  </w:style>
  <w:style w:type="paragraph" w:styleId="19">
    <w:name w:val="index 8"/>
    <w:basedOn w:val="1"/>
    <w:next w:val="1"/>
    <w:semiHidden/>
    <w:qFormat/>
    <w:uiPriority w:val="0"/>
    <w:pPr>
      <w:ind w:left="1400" w:leftChars="1400"/>
    </w:pPr>
  </w:style>
  <w:style w:type="paragraph" w:styleId="20">
    <w:name w:val="Normal Indent"/>
    <w:basedOn w:val="1"/>
    <w:qFormat/>
    <w:uiPriority w:val="0"/>
    <w:pPr>
      <w:spacing w:line="460" w:lineRule="exact"/>
    </w:pPr>
    <w:rPr>
      <w:rFonts w:ascii="仿宋_GB2312" w:hAnsi="宋体" w:eastAsia="仿宋_GB2312"/>
      <w:sz w:val="28"/>
      <w:szCs w:val="20"/>
    </w:rPr>
  </w:style>
  <w:style w:type="paragraph" w:styleId="21">
    <w:name w:val="caption"/>
    <w:basedOn w:val="1"/>
    <w:next w:val="1"/>
    <w:qFormat/>
    <w:uiPriority w:val="0"/>
    <w:rPr>
      <w:rFonts w:ascii="Arial" w:hAnsi="Arial" w:eastAsia="黑体" w:cs="Arial"/>
      <w:sz w:val="20"/>
      <w:szCs w:val="20"/>
    </w:rPr>
  </w:style>
  <w:style w:type="paragraph" w:styleId="22">
    <w:name w:val="index 5"/>
    <w:basedOn w:val="1"/>
    <w:next w:val="1"/>
    <w:semiHidden/>
    <w:qFormat/>
    <w:uiPriority w:val="0"/>
    <w:pPr>
      <w:ind w:left="800" w:leftChars="800"/>
    </w:pPr>
  </w:style>
  <w:style w:type="paragraph" w:styleId="23">
    <w:name w:val="List Bullet"/>
    <w:basedOn w:val="6"/>
    <w:qFormat/>
    <w:uiPriority w:val="0"/>
    <w:pPr>
      <w:keepLines/>
      <w:widowControl/>
      <w:spacing w:after="0" w:line="360" w:lineRule="auto"/>
    </w:pPr>
    <w:rPr>
      <w:color w:val="000000"/>
      <w:kern w:val="0"/>
      <w:szCs w:val="20"/>
      <w:lang w:val="en-GB"/>
    </w:rPr>
  </w:style>
  <w:style w:type="paragraph" w:styleId="24">
    <w:name w:val="Document Map"/>
    <w:basedOn w:val="1"/>
    <w:link w:val="286"/>
    <w:semiHidden/>
    <w:qFormat/>
    <w:uiPriority w:val="0"/>
    <w:pPr>
      <w:shd w:val="clear" w:color="auto" w:fill="000080"/>
    </w:pPr>
  </w:style>
  <w:style w:type="paragraph" w:styleId="25">
    <w:name w:val="annotation text"/>
    <w:basedOn w:val="1"/>
    <w:semiHidden/>
    <w:qFormat/>
    <w:uiPriority w:val="0"/>
    <w:pPr>
      <w:jc w:val="left"/>
    </w:pPr>
  </w:style>
  <w:style w:type="paragraph" w:styleId="26">
    <w:name w:val="index 6"/>
    <w:basedOn w:val="1"/>
    <w:next w:val="1"/>
    <w:semiHidden/>
    <w:qFormat/>
    <w:uiPriority w:val="0"/>
    <w:pPr>
      <w:ind w:left="1000" w:leftChars="1000"/>
    </w:pPr>
  </w:style>
  <w:style w:type="paragraph" w:styleId="27">
    <w:name w:val="Body Text 3"/>
    <w:basedOn w:val="1"/>
    <w:link w:val="287"/>
    <w:qFormat/>
    <w:uiPriority w:val="0"/>
    <w:pPr>
      <w:spacing w:line="360" w:lineRule="auto"/>
    </w:pPr>
    <w:rPr>
      <w:sz w:val="24"/>
      <w:szCs w:val="20"/>
    </w:rPr>
  </w:style>
  <w:style w:type="paragraph" w:styleId="28">
    <w:name w:val="List Bullet 3"/>
    <w:basedOn w:val="6"/>
    <w:qFormat/>
    <w:uiPriority w:val="0"/>
    <w:pPr>
      <w:widowControl/>
      <w:tabs>
        <w:tab w:val="left" w:pos="1276"/>
      </w:tabs>
      <w:spacing w:line="280" w:lineRule="atLeast"/>
      <w:ind w:left="1276" w:hanging="425"/>
    </w:pPr>
    <w:rPr>
      <w:kern w:val="0"/>
      <w:sz w:val="22"/>
      <w:szCs w:val="20"/>
      <w:lang w:val="en-GB"/>
    </w:rPr>
  </w:style>
  <w:style w:type="paragraph" w:styleId="29">
    <w:name w:val="List 2"/>
    <w:basedOn w:val="1"/>
    <w:qFormat/>
    <w:uiPriority w:val="0"/>
    <w:pPr>
      <w:ind w:left="100" w:leftChars="200" w:hanging="200" w:hangingChars="200"/>
    </w:pPr>
  </w:style>
  <w:style w:type="paragraph" w:styleId="30">
    <w:name w:val="Block Text"/>
    <w:basedOn w:val="1"/>
    <w:qFormat/>
    <w:uiPriority w:val="0"/>
    <w:pPr>
      <w:tabs>
        <w:tab w:val="left" w:pos="900"/>
      </w:tabs>
      <w:adjustRightInd w:val="0"/>
      <w:snapToGrid w:val="0"/>
      <w:spacing w:beforeLines="50" w:afterLines="50" w:line="400" w:lineRule="atLeast"/>
      <w:ind w:left="901" w:leftChars="428" w:right="32" w:hanging="2"/>
    </w:pPr>
    <w:rPr>
      <w:sz w:val="24"/>
    </w:rPr>
  </w:style>
  <w:style w:type="paragraph" w:styleId="31">
    <w:name w:val="List Bullet 2"/>
    <w:basedOn w:val="23"/>
    <w:qFormat/>
    <w:uiPriority w:val="0"/>
    <w:pPr>
      <w:tabs>
        <w:tab w:val="left" w:pos="780"/>
      </w:tabs>
      <w:spacing w:before="120"/>
      <w:ind w:left="780" w:hanging="360"/>
    </w:pPr>
  </w:style>
  <w:style w:type="paragraph" w:styleId="32">
    <w:name w:val="index 4"/>
    <w:basedOn w:val="1"/>
    <w:next w:val="1"/>
    <w:semiHidden/>
    <w:qFormat/>
    <w:uiPriority w:val="0"/>
    <w:pPr>
      <w:ind w:left="600" w:leftChars="600"/>
    </w:pPr>
  </w:style>
  <w:style w:type="paragraph" w:styleId="33">
    <w:name w:val="toc 5"/>
    <w:basedOn w:val="1"/>
    <w:next w:val="1"/>
    <w:qFormat/>
    <w:uiPriority w:val="39"/>
    <w:pPr>
      <w:ind w:left="1680" w:leftChars="800"/>
    </w:pPr>
  </w:style>
  <w:style w:type="paragraph" w:styleId="34">
    <w:name w:val="toc 3"/>
    <w:basedOn w:val="1"/>
    <w:next w:val="1"/>
    <w:qFormat/>
    <w:uiPriority w:val="39"/>
    <w:pPr>
      <w:tabs>
        <w:tab w:val="right" w:leader="dot" w:pos="9085"/>
      </w:tabs>
      <w:spacing w:line="360" w:lineRule="auto"/>
      <w:ind w:firstLine="900" w:firstLineChars="375"/>
    </w:pPr>
    <w:rPr>
      <w:sz w:val="24"/>
    </w:rPr>
  </w:style>
  <w:style w:type="paragraph" w:styleId="35">
    <w:name w:val="Plain Text"/>
    <w:basedOn w:val="1"/>
    <w:link w:val="118"/>
    <w:qFormat/>
    <w:uiPriority w:val="0"/>
    <w:rPr>
      <w:rFonts w:ascii="宋体" w:hAnsi="Courier New" w:cs="Courier New"/>
      <w:szCs w:val="21"/>
    </w:rPr>
  </w:style>
  <w:style w:type="paragraph" w:styleId="36">
    <w:name w:val="toc 8"/>
    <w:basedOn w:val="1"/>
    <w:next w:val="1"/>
    <w:qFormat/>
    <w:uiPriority w:val="39"/>
    <w:pPr>
      <w:ind w:left="2940" w:leftChars="1400"/>
    </w:pPr>
  </w:style>
  <w:style w:type="paragraph" w:styleId="37">
    <w:name w:val="index 3"/>
    <w:basedOn w:val="1"/>
    <w:next w:val="1"/>
    <w:semiHidden/>
    <w:qFormat/>
    <w:uiPriority w:val="0"/>
    <w:pPr>
      <w:ind w:left="400" w:leftChars="400"/>
    </w:pPr>
  </w:style>
  <w:style w:type="paragraph" w:styleId="38">
    <w:name w:val="Date"/>
    <w:basedOn w:val="1"/>
    <w:next w:val="1"/>
    <w:qFormat/>
    <w:uiPriority w:val="0"/>
    <w:pPr>
      <w:spacing w:line="480" w:lineRule="exact"/>
      <w:ind w:firstLine="480"/>
    </w:pPr>
    <w:rPr>
      <w:sz w:val="30"/>
      <w:szCs w:val="20"/>
    </w:rPr>
  </w:style>
  <w:style w:type="paragraph" w:styleId="39">
    <w:name w:val="Body Text Indent 2"/>
    <w:basedOn w:val="1"/>
    <w:qFormat/>
    <w:uiPriority w:val="0"/>
    <w:pPr>
      <w:spacing w:line="360" w:lineRule="auto"/>
      <w:ind w:firstLine="555"/>
    </w:pPr>
    <w:rPr>
      <w:rFonts w:ascii="宋体" w:hAnsi="宋体"/>
      <w:sz w:val="24"/>
    </w:rPr>
  </w:style>
  <w:style w:type="paragraph" w:styleId="40">
    <w:name w:val="Balloon Text"/>
    <w:basedOn w:val="1"/>
    <w:semiHidden/>
    <w:qFormat/>
    <w:uiPriority w:val="0"/>
    <w:pPr>
      <w:ind w:firstLine="560" w:firstLineChars="200"/>
      <w:jc w:val="left"/>
    </w:pPr>
    <w:rPr>
      <w:rFonts w:ascii="宋体" w:hAnsi="宋体"/>
      <w:sz w:val="18"/>
      <w:szCs w:val="18"/>
    </w:rPr>
  </w:style>
  <w:style w:type="paragraph" w:styleId="41">
    <w:name w:val="footer"/>
    <w:basedOn w:val="1"/>
    <w:link w:val="80"/>
    <w:qFormat/>
    <w:uiPriority w:val="0"/>
    <w:pPr>
      <w:tabs>
        <w:tab w:val="center" w:pos="4153"/>
        <w:tab w:val="right" w:pos="8306"/>
      </w:tabs>
      <w:snapToGrid w:val="0"/>
      <w:jc w:val="left"/>
    </w:pPr>
    <w:rPr>
      <w:sz w:val="18"/>
      <w:szCs w:val="20"/>
    </w:rPr>
  </w:style>
  <w:style w:type="paragraph" w:styleId="42">
    <w:name w:val="header"/>
    <w:basedOn w:val="1"/>
    <w:link w:val="283"/>
    <w:qFormat/>
    <w:uiPriority w:val="0"/>
    <w:pPr>
      <w:pBdr>
        <w:bottom w:val="single" w:color="auto" w:sz="6" w:space="1"/>
      </w:pBdr>
      <w:tabs>
        <w:tab w:val="center" w:pos="4153"/>
        <w:tab w:val="right" w:pos="8306"/>
      </w:tabs>
      <w:snapToGrid w:val="0"/>
      <w:jc w:val="center"/>
    </w:pPr>
    <w:rPr>
      <w:rFonts w:ascii="宋体" w:hAnsi="宋体"/>
      <w:sz w:val="18"/>
      <w:szCs w:val="20"/>
    </w:rPr>
  </w:style>
  <w:style w:type="paragraph" w:styleId="43">
    <w:name w:val="toc 1"/>
    <w:basedOn w:val="1"/>
    <w:next w:val="1"/>
    <w:qFormat/>
    <w:uiPriority w:val="39"/>
    <w:pPr>
      <w:tabs>
        <w:tab w:val="right" w:leader="dot" w:pos="9085"/>
      </w:tabs>
      <w:spacing w:line="360" w:lineRule="auto"/>
    </w:pPr>
    <w:rPr>
      <w:sz w:val="24"/>
    </w:rPr>
  </w:style>
  <w:style w:type="paragraph" w:styleId="44">
    <w:name w:val="toc 4"/>
    <w:basedOn w:val="1"/>
    <w:next w:val="1"/>
    <w:qFormat/>
    <w:uiPriority w:val="39"/>
    <w:pPr>
      <w:ind w:left="1260" w:leftChars="600"/>
    </w:pPr>
  </w:style>
  <w:style w:type="paragraph" w:styleId="45">
    <w:name w:val="index heading"/>
    <w:basedOn w:val="1"/>
    <w:next w:val="46"/>
    <w:semiHidden/>
    <w:qFormat/>
    <w:uiPriority w:val="0"/>
  </w:style>
  <w:style w:type="paragraph" w:styleId="46">
    <w:name w:val="index 1"/>
    <w:basedOn w:val="1"/>
    <w:next w:val="1"/>
    <w:semiHidden/>
    <w:qFormat/>
    <w:uiPriority w:val="0"/>
    <w:pPr>
      <w:jc w:val="center"/>
    </w:pPr>
    <w:rPr>
      <w:szCs w:val="20"/>
    </w:rPr>
  </w:style>
  <w:style w:type="paragraph" w:styleId="47">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48">
    <w:name w:val="List"/>
    <w:basedOn w:val="1"/>
    <w:qFormat/>
    <w:uiPriority w:val="0"/>
    <w:pPr>
      <w:ind w:left="200" w:hanging="200" w:hangingChars="200"/>
    </w:pPr>
  </w:style>
  <w:style w:type="paragraph" w:styleId="49">
    <w:name w:val="toc 6"/>
    <w:basedOn w:val="1"/>
    <w:next w:val="1"/>
    <w:qFormat/>
    <w:uiPriority w:val="39"/>
    <w:pPr>
      <w:ind w:left="2100" w:leftChars="1000"/>
    </w:pPr>
  </w:style>
  <w:style w:type="paragraph" w:styleId="50">
    <w:name w:val="Body Text Indent 3"/>
    <w:basedOn w:val="1"/>
    <w:link w:val="284"/>
    <w:qFormat/>
    <w:uiPriority w:val="0"/>
    <w:pPr>
      <w:ind w:firstLine="599" w:firstLineChars="214"/>
    </w:pPr>
    <w:rPr>
      <w:sz w:val="28"/>
      <w:szCs w:val="20"/>
    </w:rPr>
  </w:style>
  <w:style w:type="paragraph" w:styleId="51">
    <w:name w:val="index 7"/>
    <w:basedOn w:val="1"/>
    <w:next w:val="1"/>
    <w:semiHidden/>
    <w:qFormat/>
    <w:uiPriority w:val="0"/>
    <w:pPr>
      <w:ind w:left="1200" w:leftChars="1200"/>
    </w:pPr>
  </w:style>
  <w:style w:type="paragraph" w:styleId="52">
    <w:name w:val="index 9"/>
    <w:basedOn w:val="1"/>
    <w:next w:val="1"/>
    <w:semiHidden/>
    <w:qFormat/>
    <w:uiPriority w:val="0"/>
    <w:pPr>
      <w:ind w:left="1600" w:leftChars="1600"/>
    </w:pPr>
  </w:style>
  <w:style w:type="paragraph" w:styleId="53">
    <w:name w:val="table of figures"/>
    <w:basedOn w:val="1"/>
    <w:next w:val="1"/>
    <w:semiHidden/>
    <w:qFormat/>
    <w:uiPriority w:val="0"/>
    <w:pPr>
      <w:ind w:left="840" w:leftChars="200" w:hanging="420" w:hangingChars="200"/>
    </w:pPr>
  </w:style>
  <w:style w:type="paragraph" w:styleId="54">
    <w:name w:val="toc 2"/>
    <w:basedOn w:val="1"/>
    <w:next w:val="1"/>
    <w:qFormat/>
    <w:uiPriority w:val="39"/>
    <w:pPr>
      <w:tabs>
        <w:tab w:val="right" w:leader="dot" w:pos="9085"/>
      </w:tabs>
      <w:spacing w:line="360" w:lineRule="auto"/>
      <w:ind w:left="420" w:leftChars="200"/>
    </w:pPr>
    <w:rPr>
      <w:sz w:val="24"/>
    </w:rPr>
  </w:style>
  <w:style w:type="paragraph" w:styleId="55">
    <w:name w:val="toc 9"/>
    <w:basedOn w:val="1"/>
    <w:next w:val="1"/>
    <w:qFormat/>
    <w:uiPriority w:val="39"/>
    <w:pPr>
      <w:ind w:left="3360" w:leftChars="1600"/>
    </w:pPr>
  </w:style>
  <w:style w:type="paragraph" w:styleId="56">
    <w:name w:val="Body Text 2"/>
    <w:basedOn w:val="1"/>
    <w:qFormat/>
    <w:uiPriority w:val="0"/>
    <w:pPr>
      <w:spacing w:line="360" w:lineRule="auto"/>
      <w:ind w:firstLine="612"/>
      <w:jc w:val="center"/>
    </w:pPr>
    <w:rPr>
      <w:rFonts w:ascii="Arial" w:hAnsi="Arial" w:eastAsia="楷体"/>
      <w:b/>
      <w:sz w:val="32"/>
      <w:szCs w:val="28"/>
    </w:rPr>
  </w:style>
  <w:style w:type="paragraph" w:styleId="57">
    <w:name w:val="List 4"/>
    <w:basedOn w:val="1"/>
    <w:qFormat/>
    <w:uiPriority w:val="0"/>
    <w:pPr>
      <w:ind w:left="100" w:leftChars="600" w:hanging="200" w:hangingChars="200"/>
    </w:pPr>
  </w:style>
  <w:style w:type="paragraph" w:styleId="58">
    <w:name w:val="Normal (Web)"/>
    <w:basedOn w:val="1"/>
    <w:qFormat/>
    <w:uiPriority w:val="0"/>
    <w:pPr>
      <w:widowControl/>
      <w:spacing w:before="100" w:beforeAutospacing="1" w:after="100" w:afterAutospacing="1"/>
      <w:jc w:val="left"/>
    </w:pPr>
    <w:rPr>
      <w:rFonts w:ascii="宋体" w:hAnsi="宋体"/>
      <w:color w:val="000000"/>
      <w:kern w:val="0"/>
      <w:sz w:val="24"/>
    </w:rPr>
  </w:style>
  <w:style w:type="paragraph" w:styleId="59">
    <w:name w:val="index 2"/>
    <w:basedOn w:val="1"/>
    <w:next w:val="1"/>
    <w:semiHidden/>
    <w:qFormat/>
    <w:uiPriority w:val="0"/>
    <w:pPr>
      <w:ind w:left="200" w:leftChars="200"/>
    </w:pPr>
  </w:style>
  <w:style w:type="paragraph" w:styleId="60">
    <w:name w:val="Title"/>
    <w:basedOn w:val="1"/>
    <w:qFormat/>
    <w:uiPriority w:val="0"/>
    <w:pPr>
      <w:spacing w:before="240" w:after="60"/>
      <w:jc w:val="center"/>
      <w:outlineLvl w:val="0"/>
    </w:pPr>
    <w:rPr>
      <w:rFonts w:ascii="Arial" w:hAnsi="Arial"/>
      <w:b/>
      <w:sz w:val="32"/>
      <w:szCs w:val="20"/>
    </w:rPr>
  </w:style>
  <w:style w:type="paragraph" w:styleId="61">
    <w:name w:val="annotation subject"/>
    <w:basedOn w:val="25"/>
    <w:next w:val="25"/>
    <w:semiHidden/>
    <w:qFormat/>
    <w:uiPriority w:val="0"/>
    <w:rPr>
      <w:b/>
      <w:bCs/>
    </w:rPr>
  </w:style>
  <w:style w:type="paragraph" w:styleId="62">
    <w:name w:val="Body Text First Indent"/>
    <w:basedOn w:val="6"/>
    <w:qFormat/>
    <w:uiPriority w:val="0"/>
    <w:pPr>
      <w:ind w:firstLine="420" w:firstLineChars="100"/>
    </w:pPr>
  </w:style>
  <w:style w:type="table" w:styleId="64">
    <w:name w:val="Table Grid"/>
    <w:basedOn w:val="63"/>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66">
    <w:name w:val="Strong"/>
    <w:basedOn w:val="65"/>
    <w:qFormat/>
    <w:uiPriority w:val="0"/>
    <w:rPr>
      <w:b/>
      <w:bCs/>
    </w:rPr>
  </w:style>
  <w:style w:type="character" w:styleId="67">
    <w:name w:val="page number"/>
    <w:basedOn w:val="65"/>
    <w:qFormat/>
    <w:uiPriority w:val="0"/>
  </w:style>
  <w:style w:type="character" w:styleId="68">
    <w:name w:val="FollowedHyperlink"/>
    <w:basedOn w:val="65"/>
    <w:qFormat/>
    <w:uiPriority w:val="0"/>
    <w:rPr>
      <w:color w:val="800080"/>
      <w:u w:val="single"/>
    </w:rPr>
  </w:style>
  <w:style w:type="character" w:styleId="69">
    <w:name w:val="Emphasis"/>
    <w:basedOn w:val="65"/>
    <w:qFormat/>
    <w:uiPriority w:val="0"/>
    <w:rPr>
      <w:color w:val="CC0033"/>
    </w:rPr>
  </w:style>
  <w:style w:type="character" w:styleId="70">
    <w:name w:val="Hyperlink"/>
    <w:basedOn w:val="65"/>
    <w:qFormat/>
    <w:uiPriority w:val="99"/>
    <w:rPr>
      <w:color w:val="0000FF"/>
      <w:u w:val="single"/>
    </w:rPr>
  </w:style>
  <w:style w:type="character" w:styleId="71">
    <w:name w:val="annotation reference"/>
    <w:basedOn w:val="65"/>
    <w:qFormat/>
    <w:uiPriority w:val="0"/>
    <w:rPr>
      <w:sz w:val="21"/>
      <w:szCs w:val="21"/>
    </w:rPr>
  </w:style>
  <w:style w:type="character" w:customStyle="1" w:styleId="72">
    <w:name w:val="Headings Font Char"/>
    <w:basedOn w:val="65"/>
    <w:link w:val="5"/>
    <w:qFormat/>
    <w:uiPriority w:val="0"/>
    <w:rPr>
      <w:rFonts w:ascii="Arial" w:hAnsi="Arial"/>
      <w:sz w:val="22"/>
      <w:lang w:val="en-GB"/>
    </w:rPr>
  </w:style>
  <w:style w:type="character" w:customStyle="1" w:styleId="73">
    <w:name w:val="标题 1 Char"/>
    <w:basedOn w:val="72"/>
    <w:link w:val="4"/>
    <w:qFormat/>
    <w:uiPriority w:val="9"/>
    <w:rPr>
      <w:rFonts w:ascii="Arial" w:hAnsi="Arial"/>
      <w:b/>
      <w:sz w:val="28"/>
      <w:szCs w:val="28"/>
      <w:lang w:val="en-GB"/>
    </w:rPr>
  </w:style>
  <w:style w:type="character" w:customStyle="1" w:styleId="74">
    <w:name w:val="标题 3 Char"/>
    <w:basedOn w:val="65"/>
    <w:link w:val="8"/>
    <w:qFormat/>
    <w:uiPriority w:val="9"/>
    <w:rPr>
      <w:b/>
      <w:sz w:val="24"/>
      <w:lang w:val="en-GB"/>
    </w:rPr>
  </w:style>
  <w:style w:type="paragraph" w:customStyle="1" w:styleId="75">
    <w:name w:val="SuepChapter"/>
    <w:basedOn w:val="1"/>
    <w:qFormat/>
    <w:uiPriority w:val="0"/>
    <w:pPr>
      <w:widowControl/>
      <w:tabs>
        <w:tab w:val="left" w:pos="720"/>
        <w:tab w:val="center" w:pos="4513"/>
      </w:tabs>
      <w:suppressAutoHyphens/>
      <w:ind w:left="720" w:hanging="720"/>
      <w:jc w:val="center"/>
    </w:pPr>
    <w:rPr>
      <w:b/>
      <w:spacing w:val="-2"/>
      <w:kern w:val="0"/>
      <w:sz w:val="22"/>
      <w:szCs w:val="20"/>
      <w:lang w:val="en-GB"/>
    </w:rPr>
  </w:style>
  <w:style w:type="paragraph" w:customStyle="1" w:styleId="76">
    <w:name w:val="SuepHeading"/>
    <w:basedOn w:val="1"/>
    <w:qFormat/>
    <w:uiPriority w:val="0"/>
    <w:pPr>
      <w:widowControl/>
      <w:tabs>
        <w:tab w:val="left" w:pos="720"/>
        <w:tab w:val="left" w:pos="828"/>
        <w:tab w:val="left" w:pos="1394"/>
        <w:tab w:val="left" w:pos="2245"/>
        <w:tab w:val="left" w:pos="3094"/>
        <w:tab w:val="left" w:pos="3945"/>
        <w:tab w:val="left" w:pos="5079"/>
        <w:tab w:val="left" w:pos="6496"/>
        <w:tab w:val="left" w:pos="7630"/>
      </w:tabs>
      <w:suppressAutoHyphens/>
      <w:ind w:left="720" w:hanging="720"/>
    </w:pPr>
    <w:rPr>
      <w:b/>
      <w:spacing w:val="-2"/>
      <w:kern w:val="0"/>
      <w:sz w:val="22"/>
      <w:szCs w:val="20"/>
      <w:lang w:val="en-GB"/>
    </w:rPr>
  </w:style>
  <w:style w:type="paragraph" w:customStyle="1" w:styleId="77">
    <w:name w:val="SuepSubHead"/>
    <w:basedOn w:val="1"/>
    <w:qFormat/>
    <w:uiPriority w:val="0"/>
    <w:pPr>
      <w:widowControl/>
      <w:tabs>
        <w:tab w:val="left" w:pos="720"/>
      </w:tabs>
      <w:ind w:left="720" w:hanging="720"/>
      <w:jc w:val="left"/>
    </w:pPr>
    <w:rPr>
      <w:b/>
      <w:kern w:val="0"/>
      <w:sz w:val="22"/>
      <w:szCs w:val="20"/>
    </w:rPr>
  </w:style>
  <w:style w:type="paragraph" w:customStyle="1" w:styleId="78">
    <w:name w:val="项目符号_圆点"/>
    <w:basedOn w:val="1"/>
    <w:qFormat/>
    <w:uiPriority w:val="0"/>
    <w:pPr>
      <w:tabs>
        <w:tab w:val="left" w:pos="900"/>
      </w:tabs>
      <w:spacing w:before="78"/>
      <w:ind w:left="900" w:hanging="420"/>
    </w:pPr>
    <w:rPr>
      <w:sz w:val="24"/>
      <w:szCs w:val="20"/>
    </w:rPr>
  </w:style>
  <w:style w:type="paragraph" w:customStyle="1" w:styleId="79">
    <w:name w:val="项目符号_“-”"/>
    <w:basedOn w:val="1"/>
    <w:qFormat/>
    <w:uiPriority w:val="0"/>
    <w:pPr>
      <w:tabs>
        <w:tab w:val="left" w:pos="420"/>
      </w:tabs>
      <w:spacing w:before="78"/>
      <w:ind w:left="820" w:leftChars="400" w:hanging="420"/>
    </w:pPr>
    <w:rPr>
      <w:szCs w:val="20"/>
    </w:rPr>
  </w:style>
  <w:style w:type="character" w:customStyle="1" w:styleId="80">
    <w:name w:val="页脚 Char1"/>
    <w:basedOn w:val="65"/>
    <w:link w:val="41"/>
    <w:qFormat/>
    <w:uiPriority w:val="99"/>
    <w:rPr>
      <w:kern w:val="2"/>
      <w:sz w:val="18"/>
    </w:rPr>
  </w:style>
  <w:style w:type="paragraph" w:customStyle="1" w:styleId="81">
    <w:name w:val="样式 宋体 行距: 固定值 18 磅"/>
    <w:basedOn w:val="1"/>
    <w:qFormat/>
    <w:uiPriority w:val="0"/>
    <w:pPr>
      <w:spacing w:beforeLines="30" w:line="360" w:lineRule="exact"/>
    </w:pPr>
    <w:rPr>
      <w:rFonts w:ascii="宋体" w:hAnsi="宋体"/>
      <w:szCs w:val="20"/>
    </w:rPr>
  </w:style>
  <w:style w:type="paragraph" w:customStyle="1" w:styleId="82">
    <w:name w:val="标准中文版式_正文"/>
    <w:basedOn w:val="1"/>
    <w:qFormat/>
    <w:uiPriority w:val="0"/>
    <w:pPr>
      <w:spacing w:beforeLines="30"/>
    </w:pPr>
    <w:rPr>
      <w:szCs w:val="21"/>
    </w:rPr>
  </w:style>
  <w:style w:type="paragraph" w:customStyle="1" w:styleId="83">
    <w:name w:val="ÕýÎÄ"/>
    <w:qFormat/>
    <w:uiPriority w:val="0"/>
    <w:pPr>
      <w:widowControl w:val="0"/>
    </w:pPr>
    <w:rPr>
      <w:rFonts w:ascii="Courier New" w:hAnsi="Courier New" w:eastAsia="宋体" w:cs="Times New Roman"/>
      <w:sz w:val="24"/>
      <w:lang w:val="en-US" w:eastAsia="en-US" w:bidi="ar-SA"/>
    </w:rPr>
  </w:style>
  <w:style w:type="character" w:customStyle="1" w:styleId="84">
    <w:name w:val="正文首行缩进 2 Char"/>
    <w:basedOn w:val="65"/>
    <w:link w:val="2"/>
    <w:qFormat/>
    <w:uiPriority w:val="0"/>
    <w:rPr>
      <w:kern w:val="2"/>
      <w:sz w:val="21"/>
      <w:szCs w:val="24"/>
    </w:rPr>
  </w:style>
  <w:style w:type="paragraph" w:customStyle="1" w:styleId="85">
    <w:name w:val="Char2"/>
    <w:basedOn w:val="1"/>
    <w:qFormat/>
    <w:uiPriority w:val="0"/>
  </w:style>
  <w:style w:type="paragraph" w:customStyle="1" w:styleId="86">
    <w:name w:val="表格"/>
    <w:basedOn w:val="1"/>
    <w:qFormat/>
    <w:uiPriority w:val="0"/>
    <w:pPr>
      <w:widowControl/>
      <w:adjustRightInd w:val="0"/>
      <w:snapToGrid w:val="0"/>
      <w:ind w:left="-30" w:leftChars="-30" w:right="-30" w:rightChars="-30"/>
      <w:jc w:val="center"/>
    </w:pPr>
    <w:rPr>
      <w:kern w:val="0"/>
    </w:rPr>
  </w:style>
  <w:style w:type="paragraph" w:customStyle="1" w:styleId="87">
    <w:name w:val="A."/>
    <w:basedOn w:val="1"/>
    <w:link w:val="88"/>
    <w:qFormat/>
    <w:uiPriority w:val="0"/>
    <w:pPr>
      <w:widowControl/>
      <w:tabs>
        <w:tab w:val="left" w:pos="1200"/>
      </w:tabs>
      <w:spacing w:before="240" w:line="240" w:lineRule="atLeast"/>
    </w:pPr>
    <w:rPr>
      <w:sz w:val="24"/>
    </w:rPr>
  </w:style>
  <w:style w:type="character" w:customStyle="1" w:styleId="88">
    <w:name w:val="A. Char1"/>
    <w:basedOn w:val="65"/>
    <w:link w:val="87"/>
    <w:qFormat/>
    <w:uiPriority w:val="0"/>
    <w:rPr>
      <w:kern w:val="2"/>
      <w:sz w:val="24"/>
      <w:szCs w:val="24"/>
    </w:rPr>
  </w:style>
  <w:style w:type="paragraph" w:customStyle="1" w:styleId="89">
    <w:name w:val="1."/>
    <w:basedOn w:val="1"/>
    <w:link w:val="90"/>
    <w:qFormat/>
    <w:uiPriority w:val="0"/>
    <w:pPr>
      <w:widowControl/>
      <w:spacing w:before="240" w:line="240" w:lineRule="atLeast"/>
    </w:pPr>
    <w:rPr>
      <w:sz w:val="24"/>
    </w:rPr>
  </w:style>
  <w:style w:type="character" w:customStyle="1" w:styleId="90">
    <w:name w:val="1. Char"/>
    <w:basedOn w:val="65"/>
    <w:link w:val="89"/>
    <w:qFormat/>
    <w:uiPriority w:val="0"/>
    <w:rPr>
      <w:kern w:val="2"/>
      <w:sz w:val="24"/>
      <w:szCs w:val="24"/>
    </w:rPr>
  </w:style>
  <w:style w:type="paragraph" w:customStyle="1" w:styleId="91">
    <w:name w:val="sma."/>
    <w:basedOn w:val="1"/>
    <w:qFormat/>
    <w:uiPriority w:val="0"/>
    <w:pPr>
      <w:widowControl/>
      <w:spacing w:before="240" w:line="240" w:lineRule="atLeast"/>
    </w:pPr>
    <w:rPr>
      <w:sz w:val="24"/>
    </w:rPr>
  </w:style>
  <w:style w:type="paragraph" w:customStyle="1" w:styleId="92">
    <w:name w:val="i."/>
    <w:basedOn w:val="1"/>
    <w:qFormat/>
    <w:uiPriority w:val="0"/>
    <w:pPr>
      <w:tabs>
        <w:tab w:val="left" w:pos="2041"/>
      </w:tabs>
      <w:spacing w:before="60" w:after="60" w:line="264" w:lineRule="auto"/>
    </w:pPr>
    <w:rPr>
      <w:sz w:val="22"/>
      <w:szCs w:val="22"/>
    </w:rPr>
  </w:style>
  <w:style w:type="paragraph" w:customStyle="1" w:styleId="93">
    <w:name w:val="(1)"/>
    <w:basedOn w:val="1"/>
    <w:qFormat/>
    <w:uiPriority w:val="0"/>
    <w:pPr>
      <w:widowControl/>
      <w:overflowPunct w:val="0"/>
      <w:autoSpaceDE w:val="0"/>
      <w:autoSpaceDN w:val="0"/>
      <w:adjustRightInd w:val="0"/>
      <w:spacing w:before="120" w:after="120" w:line="264" w:lineRule="auto"/>
      <w:textAlignment w:val="baseline"/>
    </w:pPr>
    <w:rPr>
      <w:kern w:val="0"/>
      <w:sz w:val="22"/>
      <w:szCs w:val="22"/>
    </w:rPr>
  </w:style>
  <w:style w:type="paragraph" w:customStyle="1" w:styleId="94">
    <w:name w:val="table"/>
    <w:basedOn w:val="1"/>
    <w:qFormat/>
    <w:uiPriority w:val="0"/>
    <w:pPr>
      <w:widowControl/>
      <w:tabs>
        <w:tab w:val="left" w:pos="2608"/>
      </w:tabs>
      <w:overflowPunct w:val="0"/>
      <w:autoSpaceDE w:val="0"/>
      <w:autoSpaceDN w:val="0"/>
      <w:adjustRightInd w:val="0"/>
      <w:spacing w:before="60" w:after="60" w:line="264" w:lineRule="auto"/>
      <w:ind w:left="2608" w:hanging="567"/>
      <w:jc w:val="center"/>
      <w:textAlignment w:val="baseline"/>
    </w:pPr>
    <w:rPr>
      <w:rFonts w:eastAsia="仿宋体"/>
      <w:kern w:val="0"/>
      <w:sz w:val="24"/>
    </w:rPr>
  </w:style>
  <w:style w:type="paragraph" w:customStyle="1" w:styleId="95">
    <w:name w:val="样式 xl35 + 宋体 小四 两端对齐 段前: 自动 段后: 自动 行距: 固定值 15 磅"/>
    <w:basedOn w:val="1"/>
    <w:qFormat/>
    <w:uiPriority w:val="0"/>
    <w:pPr>
      <w:widowControl/>
      <w:spacing w:before="100" w:beforeAutospacing="1" w:after="100" w:afterAutospacing="1" w:line="360" w:lineRule="exact"/>
    </w:pPr>
    <w:rPr>
      <w:rFonts w:ascii="宋体" w:hAnsi="宋体" w:cs="宋体"/>
      <w:sz w:val="24"/>
    </w:rPr>
  </w:style>
  <w:style w:type="paragraph" w:customStyle="1" w:styleId="96">
    <w:name w:val="样式 小四 行距: 1.5 倍行距"/>
    <w:basedOn w:val="1"/>
    <w:qFormat/>
    <w:uiPriority w:val="0"/>
    <w:pPr>
      <w:spacing w:line="0" w:lineRule="atLeast"/>
    </w:pPr>
    <w:rPr>
      <w:sz w:val="18"/>
      <w:szCs w:val="18"/>
      <w:shd w:val="clear" w:color="auto" w:fill="FFFFFF"/>
    </w:rPr>
  </w:style>
  <w:style w:type="paragraph" w:customStyle="1" w:styleId="97">
    <w:name w:val="样式 标题 3头小节标题 + 加粗 自动设置"/>
    <w:basedOn w:val="8"/>
    <w:qFormat/>
    <w:uiPriority w:val="0"/>
    <w:pPr>
      <w:widowControl/>
      <w:spacing w:before="60" w:after="60"/>
      <w:jc w:val="both"/>
    </w:pPr>
    <w:rPr>
      <w:bCs/>
    </w:rPr>
  </w:style>
  <w:style w:type="character" w:customStyle="1" w:styleId="98">
    <w:name w:val="样式 标题 3头小节标题 + 加粗 自动设置 Char"/>
    <w:basedOn w:val="65"/>
    <w:qFormat/>
    <w:locked/>
    <w:uiPriority w:val="0"/>
    <w:rPr>
      <w:rFonts w:eastAsia="宋体"/>
      <w:b/>
      <w:bCs/>
      <w:sz w:val="24"/>
      <w:szCs w:val="24"/>
      <w:lang w:val="en-GB" w:eastAsia="zh-CN" w:bidi="ar-SA"/>
    </w:rPr>
  </w:style>
  <w:style w:type="paragraph" w:customStyle="1" w:styleId="99">
    <w:name w:val="5"/>
    <w:basedOn w:val="1"/>
    <w:qFormat/>
    <w:uiPriority w:val="0"/>
    <w:rPr>
      <w:szCs w:val="21"/>
    </w:rPr>
  </w:style>
  <w:style w:type="paragraph" w:customStyle="1" w:styleId="100">
    <w:name w:val="样式 正文首行缩进 + 首行缩进:  2 字符1"/>
    <w:basedOn w:val="62"/>
    <w:link w:val="101"/>
    <w:qFormat/>
    <w:uiPriority w:val="0"/>
    <w:pPr>
      <w:adjustRightInd w:val="0"/>
      <w:spacing w:after="0" w:line="400" w:lineRule="exact"/>
      <w:ind w:firstLine="480" w:firstLineChars="200"/>
      <w:textAlignment w:val="baseline"/>
    </w:pPr>
    <w:rPr>
      <w:rFonts w:eastAsia="仿宋_GB2312" w:cs="宋体"/>
      <w:sz w:val="24"/>
      <w:szCs w:val="20"/>
    </w:rPr>
  </w:style>
  <w:style w:type="character" w:customStyle="1" w:styleId="101">
    <w:name w:val="样式 正文首行缩进 + 首行缩进:  2 字符1 Char"/>
    <w:basedOn w:val="65"/>
    <w:link w:val="100"/>
    <w:qFormat/>
    <w:uiPriority w:val="0"/>
    <w:rPr>
      <w:rFonts w:eastAsia="仿宋_GB2312" w:cs="宋体"/>
      <w:kern w:val="2"/>
      <w:sz w:val="24"/>
    </w:rPr>
  </w:style>
  <w:style w:type="character" w:customStyle="1" w:styleId="102">
    <w:name w:val="头 Char"/>
    <w:basedOn w:val="65"/>
    <w:qFormat/>
    <w:uiPriority w:val="0"/>
    <w:rPr>
      <w:b/>
      <w:bCs/>
      <w:kern w:val="2"/>
      <w:sz w:val="24"/>
      <w:szCs w:val="32"/>
    </w:rPr>
  </w:style>
  <w:style w:type="paragraph" w:customStyle="1" w:styleId="103">
    <w:name w:val="ST20_12"/>
    <w:basedOn w:val="1"/>
    <w:qFormat/>
    <w:uiPriority w:val="0"/>
    <w:pPr>
      <w:autoSpaceDE w:val="0"/>
      <w:autoSpaceDN w:val="0"/>
      <w:adjustRightInd w:val="0"/>
      <w:spacing w:after="120"/>
      <w:ind w:left="426" w:firstLine="425"/>
    </w:pPr>
    <w:rPr>
      <w:rFonts w:ascii="宋体" w:hAnsi="Tms Rmn"/>
      <w:kern w:val="0"/>
      <w:sz w:val="24"/>
      <w:szCs w:val="20"/>
    </w:rPr>
  </w:style>
  <w:style w:type="paragraph" w:customStyle="1" w:styleId="104">
    <w:name w:val="font5"/>
    <w:basedOn w:val="1"/>
    <w:qFormat/>
    <w:uiPriority w:val="0"/>
    <w:pPr>
      <w:widowControl/>
      <w:spacing w:before="100" w:beforeAutospacing="1" w:after="100" w:afterAutospacing="1"/>
      <w:jc w:val="left"/>
    </w:pPr>
    <w:rPr>
      <w:rFonts w:hint="eastAsia" w:ascii="宋体" w:hAnsi="宋体" w:cs="Arial Unicode MS"/>
      <w:kern w:val="0"/>
      <w:sz w:val="18"/>
      <w:szCs w:val="18"/>
    </w:rPr>
  </w:style>
  <w:style w:type="paragraph" w:customStyle="1" w:styleId="105">
    <w:name w:val="font6"/>
    <w:basedOn w:val="1"/>
    <w:qFormat/>
    <w:uiPriority w:val="0"/>
    <w:pPr>
      <w:widowControl/>
      <w:spacing w:before="100" w:beforeAutospacing="1" w:after="100" w:afterAutospacing="1"/>
      <w:jc w:val="left"/>
    </w:pPr>
    <w:rPr>
      <w:rFonts w:hint="eastAsia" w:ascii="宋体" w:hAnsi="宋体" w:cs="Arial Unicode MS"/>
      <w:kern w:val="0"/>
      <w:sz w:val="22"/>
      <w:szCs w:val="22"/>
    </w:rPr>
  </w:style>
  <w:style w:type="paragraph" w:customStyle="1" w:styleId="106">
    <w:name w:val="font7"/>
    <w:basedOn w:val="1"/>
    <w:qFormat/>
    <w:uiPriority w:val="0"/>
    <w:pPr>
      <w:widowControl/>
      <w:spacing w:before="100" w:beforeAutospacing="1" w:after="100" w:afterAutospacing="1"/>
      <w:jc w:val="left"/>
    </w:pPr>
    <w:rPr>
      <w:rFonts w:eastAsia="Arial Unicode MS"/>
      <w:kern w:val="0"/>
      <w:sz w:val="22"/>
      <w:szCs w:val="22"/>
    </w:rPr>
  </w:style>
  <w:style w:type="paragraph" w:customStyle="1" w:styleId="107">
    <w:name w:val="font8"/>
    <w:basedOn w:val="1"/>
    <w:qFormat/>
    <w:uiPriority w:val="0"/>
    <w:pPr>
      <w:widowControl/>
      <w:spacing w:before="100" w:beforeAutospacing="1" w:after="100" w:afterAutospacing="1"/>
      <w:jc w:val="left"/>
    </w:pPr>
    <w:rPr>
      <w:rFonts w:hint="eastAsia" w:ascii="宋体" w:hAnsi="宋体" w:cs="Arial Unicode MS"/>
      <w:kern w:val="0"/>
      <w:sz w:val="22"/>
      <w:szCs w:val="22"/>
    </w:rPr>
  </w:style>
  <w:style w:type="paragraph" w:customStyle="1" w:styleId="108">
    <w:name w:val="xl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kern w:val="0"/>
      <w:sz w:val="28"/>
      <w:szCs w:val="28"/>
    </w:rPr>
  </w:style>
  <w:style w:type="paragraph" w:customStyle="1" w:styleId="109">
    <w:name w:val="xl2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eastAsia="Arial Unicode MS"/>
      <w:kern w:val="0"/>
      <w:sz w:val="22"/>
      <w:szCs w:val="22"/>
    </w:rPr>
  </w:style>
  <w:style w:type="paragraph" w:customStyle="1" w:styleId="110">
    <w:name w:val="xl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kern w:val="0"/>
      <w:sz w:val="20"/>
      <w:szCs w:val="20"/>
    </w:rPr>
  </w:style>
  <w:style w:type="paragraph" w:customStyle="1" w:styleId="111">
    <w:name w:val="xl2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Arial Unicode MS" w:hAnsi="Arial Unicode MS" w:eastAsia="Arial Unicode MS" w:cs="Arial Unicode MS"/>
      <w:kern w:val="0"/>
      <w:sz w:val="18"/>
      <w:szCs w:val="18"/>
    </w:rPr>
  </w:style>
  <w:style w:type="paragraph" w:customStyle="1" w:styleId="112">
    <w:name w:val="1.1"/>
    <w:basedOn w:val="1"/>
    <w:next w:val="1"/>
    <w:qFormat/>
    <w:uiPriority w:val="0"/>
    <w:pPr>
      <w:tabs>
        <w:tab w:val="left" w:pos="900"/>
      </w:tabs>
      <w:adjustRightInd w:val="0"/>
      <w:snapToGrid w:val="0"/>
      <w:spacing w:beforeLines="50" w:afterLines="50" w:line="400" w:lineRule="atLeast"/>
      <w:ind w:left="901" w:leftChars="50" w:right="480" w:rightChars="200" w:hanging="901" w:hangingChars="299"/>
      <w:textAlignment w:val="baseline"/>
    </w:pPr>
    <w:rPr>
      <w:b/>
      <w:kern w:val="0"/>
      <w:sz w:val="30"/>
      <w:szCs w:val="20"/>
    </w:rPr>
  </w:style>
  <w:style w:type="paragraph" w:customStyle="1" w:styleId="113">
    <w:name w:val="1.1.1.1"/>
    <w:basedOn w:val="1"/>
    <w:qFormat/>
    <w:uiPriority w:val="0"/>
    <w:pPr>
      <w:tabs>
        <w:tab w:val="left" w:pos="900"/>
        <w:tab w:val="left" w:pos="1134"/>
      </w:tabs>
      <w:adjustRightInd w:val="0"/>
      <w:snapToGrid w:val="0"/>
      <w:spacing w:beforeLines="50" w:afterLines="50" w:line="400" w:lineRule="atLeast"/>
      <w:ind w:left="869" w:leftChars="50" w:right="200" w:rightChars="200"/>
      <w:textAlignment w:val="baseline"/>
    </w:pPr>
    <w:rPr>
      <w:rFonts w:ascii="Arial" w:hAnsi="Arial"/>
      <w:kern w:val="0"/>
      <w:sz w:val="24"/>
      <w:szCs w:val="20"/>
    </w:rPr>
  </w:style>
  <w:style w:type="paragraph" w:customStyle="1" w:styleId="114">
    <w:name w:val="1.1.1"/>
    <w:basedOn w:val="1"/>
    <w:qFormat/>
    <w:uiPriority w:val="0"/>
    <w:pPr>
      <w:tabs>
        <w:tab w:val="left" w:pos="0"/>
        <w:tab w:val="left" w:pos="900"/>
        <w:tab w:val="left" w:pos="1134"/>
        <w:tab w:val="left" w:pos="8505"/>
      </w:tabs>
      <w:adjustRightInd w:val="0"/>
      <w:snapToGrid w:val="0"/>
      <w:spacing w:beforeLines="50" w:afterLines="50" w:line="360" w:lineRule="atLeast"/>
      <w:ind w:left="869" w:leftChars="50" w:right="200" w:rightChars="200"/>
      <w:textAlignment w:val="baseline"/>
    </w:pPr>
    <w:rPr>
      <w:rFonts w:hAnsi="Arial"/>
      <w:b/>
      <w:kern w:val="0"/>
      <w:sz w:val="28"/>
      <w:szCs w:val="20"/>
    </w:rPr>
  </w:style>
  <w:style w:type="paragraph" w:customStyle="1" w:styleId="115">
    <w:name w:val="肖正"/>
    <w:basedOn w:val="1"/>
    <w:qFormat/>
    <w:uiPriority w:val="0"/>
    <w:pPr>
      <w:ind w:firstLine="567"/>
    </w:pPr>
    <w:rPr>
      <w:sz w:val="24"/>
      <w:szCs w:val="18"/>
    </w:rPr>
  </w:style>
  <w:style w:type="character" w:customStyle="1" w:styleId="116">
    <w:name w:val="Char Char7"/>
    <w:basedOn w:val="65"/>
    <w:qFormat/>
    <w:uiPriority w:val="0"/>
    <w:rPr>
      <w:rFonts w:eastAsia="宋体"/>
      <w:kern w:val="2"/>
      <w:sz w:val="30"/>
      <w:lang w:val="en-US" w:eastAsia="zh-CN" w:bidi="ar-SA"/>
    </w:rPr>
  </w:style>
  <w:style w:type="character" w:customStyle="1" w:styleId="117">
    <w:name w:val="Char Char6"/>
    <w:basedOn w:val="65"/>
    <w:semiHidden/>
    <w:qFormat/>
    <w:uiPriority w:val="0"/>
    <w:rPr>
      <w:rFonts w:ascii="宋体" w:hAnsi="宋体" w:eastAsia="宋体"/>
      <w:kern w:val="2"/>
      <w:sz w:val="18"/>
      <w:szCs w:val="18"/>
      <w:lang w:val="en-US" w:eastAsia="zh-CN" w:bidi="ar-SA"/>
    </w:rPr>
  </w:style>
  <w:style w:type="character" w:customStyle="1" w:styleId="118">
    <w:name w:val="纯文本 Char"/>
    <w:basedOn w:val="65"/>
    <w:link w:val="35"/>
    <w:qFormat/>
    <w:uiPriority w:val="0"/>
    <w:rPr>
      <w:rFonts w:ascii="宋体" w:hAnsi="Courier New" w:eastAsia="宋体" w:cs="Courier New"/>
      <w:kern w:val="2"/>
      <w:sz w:val="21"/>
      <w:szCs w:val="21"/>
      <w:lang w:val="en-US" w:eastAsia="zh-CN" w:bidi="ar-SA"/>
    </w:rPr>
  </w:style>
  <w:style w:type="character" w:customStyle="1" w:styleId="119">
    <w:name w:val="普通文字 Char Char"/>
    <w:basedOn w:val="65"/>
    <w:qFormat/>
    <w:uiPriority w:val="0"/>
    <w:rPr>
      <w:rFonts w:ascii="宋体" w:hAnsi="Courier New" w:eastAsia="宋体" w:cs="Courier New"/>
      <w:kern w:val="2"/>
      <w:sz w:val="21"/>
      <w:szCs w:val="21"/>
      <w:lang w:val="en-US" w:eastAsia="zh-CN" w:bidi="ar-SA"/>
    </w:rPr>
  </w:style>
  <w:style w:type="paragraph" w:customStyle="1" w:styleId="120">
    <w:name w:val="列表项目编号"/>
    <w:basedOn w:val="1"/>
    <w:qFormat/>
    <w:uiPriority w:val="0"/>
    <w:pPr>
      <w:adjustRightInd w:val="0"/>
      <w:spacing w:line="360" w:lineRule="auto"/>
    </w:pPr>
    <w:rPr>
      <w:kern w:val="0"/>
      <w:sz w:val="28"/>
      <w:szCs w:val="20"/>
    </w:rPr>
  </w:style>
  <w:style w:type="paragraph" w:customStyle="1" w:styleId="121">
    <w:name w:val="样式2"/>
    <w:basedOn w:val="1"/>
    <w:qFormat/>
    <w:uiPriority w:val="0"/>
    <w:pPr>
      <w:numPr>
        <w:ilvl w:val="0"/>
        <w:numId w:val="3"/>
      </w:numPr>
      <w:adjustRightInd w:val="0"/>
      <w:snapToGrid w:val="0"/>
      <w:spacing w:line="360" w:lineRule="auto"/>
    </w:pPr>
    <w:rPr>
      <w:sz w:val="28"/>
    </w:rPr>
  </w:style>
  <w:style w:type="paragraph" w:customStyle="1" w:styleId="122">
    <w:name w:val="正文1"/>
    <w:qFormat/>
    <w:uiPriority w:val="0"/>
    <w:pPr>
      <w:widowControl w:val="0"/>
      <w:adjustRightInd w:val="0"/>
      <w:spacing w:line="312" w:lineRule="atLeast"/>
      <w:jc w:val="both"/>
      <w:textAlignment w:val="baseline"/>
    </w:pPr>
    <w:rPr>
      <w:rFonts w:ascii="Times New Roman" w:hAnsi="Times New Roman" w:eastAsia="宋体" w:cs="Times New Roman"/>
      <w:sz w:val="24"/>
      <w:lang w:val="en-US" w:eastAsia="zh-CN" w:bidi="ar-SA"/>
    </w:rPr>
  </w:style>
  <w:style w:type="character" w:customStyle="1" w:styleId="123">
    <w:name w:val="Char Char5"/>
    <w:basedOn w:val="65"/>
    <w:semiHidden/>
    <w:qFormat/>
    <w:uiPriority w:val="0"/>
    <w:rPr>
      <w:rFonts w:eastAsia="宋体"/>
      <w:kern w:val="2"/>
      <w:sz w:val="21"/>
      <w:szCs w:val="24"/>
      <w:lang w:val="en-US" w:eastAsia="zh-CN" w:bidi="ar-SA"/>
    </w:rPr>
  </w:style>
  <w:style w:type="character" w:customStyle="1" w:styleId="124">
    <w:name w:val="Char Char4"/>
    <w:basedOn w:val="123"/>
    <w:semiHidden/>
    <w:qFormat/>
    <w:uiPriority w:val="0"/>
    <w:rPr>
      <w:rFonts w:eastAsia="宋体"/>
      <w:b/>
      <w:bCs/>
      <w:kern w:val="2"/>
      <w:sz w:val="21"/>
      <w:szCs w:val="24"/>
      <w:lang w:val="en-US" w:eastAsia="zh-CN" w:bidi="ar-SA"/>
    </w:rPr>
  </w:style>
  <w:style w:type="paragraph" w:customStyle="1" w:styleId="125">
    <w:name w:val="默认段落字体 Para Char Char Char Char"/>
    <w:basedOn w:val="1"/>
    <w:qFormat/>
    <w:uiPriority w:val="0"/>
  </w:style>
  <w:style w:type="paragraph" w:customStyle="1" w:styleId="126">
    <w:name w:val="样式 样式 正文缩进表正文特点框图图表标题正文不缩进首行缩进两字正文非缩进 + 首行缩进:  2 字符 + 首行缩进:  2 字符"/>
    <w:basedOn w:val="1"/>
    <w:qFormat/>
    <w:uiPriority w:val="0"/>
    <w:pPr>
      <w:spacing w:line="540" w:lineRule="exact"/>
      <w:ind w:firstLine="200" w:firstLineChars="200"/>
    </w:pPr>
    <w:rPr>
      <w:rFonts w:cs="宋体"/>
      <w:sz w:val="24"/>
      <w:szCs w:val="20"/>
    </w:rPr>
  </w:style>
  <w:style w:type="character" w:customStyle="1" w:styleId="127">
    <w:name w:val="Char Char3"/>
    <w:basedOn w:val="65"/>
    <w:qFormat/>
    <w:uiPriority w:val="0"/>
    <w:rPr>
      <w:rFonts w:ascii="Arial" w:hAnsi="Arial" w:eastAsia="宋体"/>
      <w:b/>
      <w:kern w:val="2"/>
      <w:sz w:val="32"/>
      <w:lang w:val="en-US" w:eastAsia="zh-CN" w:bidi="ar-SA"/>
    </w:rPr>
  </w:style>
  <w:style w:type="paragraph" w:customStyle="1" w:styleId="128">
    <w:name w:val="font0"/>
    <w:basedOn w:val="1"/>
    <w:qFormat/>
    <w:uiPriority w:val="0"/>
    <w:pPr>
      <w:widowControl/>
      <w:spacing w:before="100" w:beforeAutospacing="1" w:after="100" w:afterAutospacing="1"/>
      <w:jc w:val="left"/>
    </w:pPr>
    <w:rPr>
      <w:rFonts w:ascii="宋体" w:hAnsi="宋体" w:cs="宋体"/>
      <w:kern w:val="0"/>
      <w:sz w:val="24"/>
    </w:rPr>
  </w:style>
  <w:style w:type="paragraph" w:customStyle="1" w:styleId="129">
    <w:name w:val="font9"/>
    <w:basedOn w:val="1"/>
    <w:qFormat/>
    <w:uiPriority w:val="0"/>
    <w:pPr>
      <w:widowControl/>
      <w:spacing w:before="100" w:beforeAutospacing="1" w:after="100" w:afterAutospacing="1"/>
      <w:jc w:val="left"/>
    </w:pPr>
    <w:rPr>
      <w:rFonts w:ascii="宋体" w:hAnsi="宋体" w:cs="宋体"/>
      <w:kern w:val="0"/>
      <w:sz w:val="24"/>
    </w:rPr>
  </w:style>
  <w:style w:type="paragraph" w:customStyle="1" w:styleId="130">
    <w:name w:val="font10"/>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31">
    <w:name w:val="font11"/>
    <w:basedOn w:val="1"/>
    <w:qFormat/>
    <w:uiPriority w:val="0"/>
    <w:pPr>
      <w:widowControl/>
      <w:spacing w:before="100" w:beforeAutospacing="1" w:after="100" w:afterAutospacing="1"/>
      <w:jc w:val="left"/>
    </w:pPr>
    <w:rPr>
      <w:kern w:val="0"/>
      <w:sz w:val="18"/>
      <w:szCs w:val="18"/>
    </w:rPr>
  </w:style>
  <w:style w:type="paragraph" w:customStyle="1" w:styleId="132">
    <w:name w:val="font12"/>
    <w:basedOn w:val="1"/>
    <w:qFormat/>
    <w:uiPriority w:val="0"/>
    <w:pPr>
      <w:widowControl/>
      <w:spacing w:before="100" w:beforeAutospacing="1" w:after="100" w:afterAutospacing="1"/>
      <w:jc w:val="left"/>
    </w:pPr>
    <w:rPr>
      <w:kern w:val="0"/>
      <w:szCs w:val="21"/>
    </w:rPr>
  </w:style>
  <w:style w:type="paragraph" w:customStyle="1" w:styleId="133">
    <w:name w:val="font13"/>
    <w:basedOn w:val="1"/>
    <w:qFormat/>
    <w:uiPriority w:val="0"/>
    <w:pPr>
      <w:widowControl/>
      <w:spacing w:before="100" w:beforeAutospacing="1" w:after="100" w:afterAutospacing="1"/>
      <w:jc w:val="left"/>
    </w:pPr>
    <w:rPr>
      <w:rFonts w:ascii="宋体" w:hAnsi="宋体" w:cs="宋体"/>
      <w:b/>
      <w:bCs/>
      <w:kern w:val="0"/>
      <w:sz w:val="24"/>
    </w:rPr>
  </w:style>
  <w:style w:type="paragraph" w:customStyle="1" w:styleId="134">
    <w:name w:val="font14"/>
    <w:basedOn w:val="1"/>
    <w:qFormat/>
    <w:uiPriority w:val="0"/>
    <w:pPr>
      <w:widowControl/>
      <w:spacing w:before="100" w:beforeAutospacing="1" w:after="100" w:afterAutospacing="1"/>
      <w:jc w:val="left"/>
    </w:pPr>
    <w:rPr>
      <w:rFonts w:ascii="Arial" w:hAnsi="Arial" w:cs="Arial"/>
      <w:b/>
      <w:bCs/>
      <w:kern w:val="0"/>
      <w:sz w:val="24"/>
    </w:rPr>
  </w:style>
  <w:style w:type="paragraph" w:customStyle="1" w:styleId="135">
    <w:name w:val="font15"/>
    <w:basedOn w:val="1"/>
    <w:qFormat/>
    <w:uiPriority w:val="0"/>
    <w:pPr>
      <w:widowControl/>
      <w:spacing w:before="100" w:beforeAutospacing="1" w:after="100" w:afterAutospacing="1"/>
      <w:jc w:val="left"/>
    </w:pPr>
    <w:rPr>
      <w:rFonts w:ascii="宋体" w:hAnsi="宋体" w:cs="宋体"/>
      <w:b/>
      <w:bCs/>
      <w:kern w:val="0"/>
      <w:sz w:val="28"/>
      <w:szCs w:val="28"/>
    </w:rPr>
  </w:style>
  <w:style w:type="paragraph" w:customStyle="1" w:styleId="136">
    <w:name w:val="font16"/>
    <w:basedOn w:val="1"/>
    <w:qFormat/>
    <w:uiPriority w:val="0"/>
    <w:pPr>
      <w:widowControl/>
      <w:spacing w:before="100" w:beforeAutospacing="1" w:after="100" w:afterAutospacing="1"/>
      <w:jc w:val="left"/>
    </w:pPr>
    <w:rPr>
      <w:kern w:val="0"/>
      <w:sz w:val="22"/>
      <w:szCs w:val="22"/>
    </w:rPr>
  </w:style>
  <w:style w:type="paragraph" w:customStyle="1" w:styleId="137">
    <w:name w:val="xl3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kern w:val="0"/>
      <w:sz w:val="18"/>
      <w:szCs w:val="18"/>
    </w:rPr>
  </w:style>
  <w:style w:type="paragraph" w:customStyle="1" w:styleId="138">
    <w:name w:val="xl36"/>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kern w:val="0"/>
      <w:sz w:val="18"/>
      <w:szCs w:val="18"/>
    </w:rPr>
  </w:style>
  <w:style w:type="paragraph" w:customStyle="1" w:styleId="139">
    <w:name w:val="xl37"/>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kern w:val="0"/>
      <w:sz w:val="18"/>
      <w:szCs w:val="18"/>
    </w:rPr>
  </w:style>
  <w:style w:type="paragraph" w:customStyle="1" w:styleId="140">
    <w:name w:val="xl3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kern w:val="0"/>
      <w:sz w:val="18"/>
      <w:szCs w:val="18"/>
    </w:rPr>
  </w:style>
  <w:style w:type="paragraph" w:customStyle="1" w:styleId="141">
    <w:name w:val="xl3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Symbol" w:hAnsi="Symbol" w:cs="宋体"/>
      <w:kern w:val="0"/>
      <w:sz w:val="18"/>
      <w:szCs w:val="18"/>
    </w:rPr>
  </w:style>
  <w:style w:type="paragraph" w:customStyle="1" w:styleId="142">
    <w:name w:val="xl40"/>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18"/>
      <w:szCs w:val="18"/>
    </w:rPr>
  </w:style>
  <w:style w:type="paragraph" w:customStyle="1" w:styleId="143">
    <w:name w:val="xl41"/>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18"/>
      <w:szCs w:val="18"/>
    </w:rPr>
  </w:style>
  <w:style w:type="paragraph" w:customStyle="1" w:styleId="144">
    <w:name w:val="xl42"/>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18"/>
      <w:szCs w:val="18"/>
    </w:rPr>
  </w:style>
  <w:style w:type="paragraph" w:customStyle="1" w:styleId="145">
    <w:name w:val="xl4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146">
    <w:name w:val="xl44"/>
    <w:basedOn w:val="1"/>
    <w:qFormat/>
    <w:uiPriority w:val="0"/>
    <w:pPr>
      <w:widowControl/>
      <w:spacing w:before="100" w:beforeAutospacing="1" w:after="100" w:afterAutospacing="1"/>
      <w:jc w:val="left"/>
      <w:textAlignment w:val="center"/>
    </w:pPr>
    <w:rPr>
      <w:rFonts w:ascii="宋体" w:hAnsi="宋体" w:cs="宋体"/>
      <w:b/>
      <w:bCs/>
      <w:kern w:val="0"/>
      <w:sz w:val="24"/>
    </w:rPr>
  </w:style>
  <w:style w:type="paragraph" w:customStyle="1" w:styleId="147">
    <w:name w:val="xl45"/>
    <w:basedOn w:val="1"/>
    <w:qFormat/>
    <w:uiPriority w:val="0"/>
    <w:pPr>
      <w:widowControl/>
      <w:spacing w:before="100" w:beforeAutospacing="1" w:after="100" w:afterAutospacing="1"/>
      <w:jc w:val="center"/>
      <w:textAlignment w:val="center"/>
    </w:pPr>
    <w:rPr>
      <w:kern w:val="0"/>
      <w:sz w:val="24"/>
    </w:rPr>
  </w:style>
  <w:style w:type="paragraph" w:customStyle="1" w:styleId="148">
    <w:name w:val="xl46"/>
    <w:basedOn w:val="1"/>
    <w:qFormat/>
    <w:uiPriority w:val="0"/>
    <w:pPr>
      <w:widowControl/>
      <w:spacing w:before="100" w:beforeAutospacing="1" w:after="100" w:afterAutospacing="1"/>
      <w:jc w:val="center"/>
      <w:textAlignment w:val="center"/>
    </w:pPr>
    <w:rPr>
      <w:rFonts w:ascii="Arial" w:hAnsi="Arial" w:cs="Arial"/>
      <w:kern w:val="0"/>
      <w:sz w:val="24"/>
    </w:rPr>
  </w:style>
  <w:style w:type="paragraph" w:customStyle="1" w:styleId="149">
    <w:name w:val="xl47"/>
    <w:basedOn w:val="1"/>
    <w:qFormat/>
    <w:uiPriority w:val="0"/>
    <w:pPr>
      <w:widowControl/>
      <w:pBdr>
        <w:top w:val="single" w:color="auto" w:sz="4" w:space="0"/>
        <w:left w:val="single" w:color="auto" w:sz="4" w:space="0"/>
      </w:pBdr>
      <w:spacing w:before="100" w:beforeAutospacing="1" w:after="100" w:afterAutospacing="1"/>
      <w:jc w:val="center"/>
      <w:textAlignment w:val="center"/>
    </w:pPr>
    <w:rPr>
      <w:rFonts w:ascii="Arial" w:hAnsi="Arial" w:cs="Arial"/>
      <w:b/>
      <w:bCs/>
      <w:kern w:val="0"/>
      <w:sz w:val="20"/>
      <w:szCs w:val="20"/>
    </w:rPr>
  </w:style>
  <w:style w:type="paragraph" w:customStyle="1" w:styleId="150">
    <w:name w:val="xl48"/>
    <w:basedOn w:val="1"/>
    <w:qFormat/>
    <w:uiPriority w:val="0"/>
    <w:pPr>
      <w:widowControl/>
      <w:pBdr>
        <w:top w:val="single" w:color="auto" w:sz="4" w:space="0"/>
        <w:right w:val="single" w:color="auto" w:sz="4" w:space="0"/>
      </w:pBdr>
      <w:spacing w:before="100" w:beforeAutospacing="1" w:after="100" w:afterAutospacing="1"/>
      <w:jc w:val="center"/>
      <w:textAlignment w:val="center"/>
    </w:pPr>
    <w:rPr>
      <w:rFonts w:ascii="宋体" w:hAnsi="宋体" w:cs="宋体"/>
      <w:b/>
      <w:bCs/>
      <w:kern w:val="0"/>
      <w:sz w:val="22"/>
      <w:szCs w:val="22"/>
    </w:rPr>
  </w:style>
  <w:style w:type="paragraph" w:customStyle="1" w:styleId="151">
    <w:name w:val="xl49"/>
    <w:basedOn w:val="1"/>
    <w:qFormat/>
    <w:uiPriority w:val="0"/>
    <w:pPr>
      <w:widowControl/>
      <w:pBdr>
        <w:left w:val="single" w:color="auto" w:sz="4" w:space="0"/>
        <w:bottom w:val="single" w:color="auto" w:sz="4" w:space="0"/>
      </w:pBdr>
      <w:spacing w:before="100" w:beforeAutospacing="1" w:after="100" w:afterAutospacing="1"/>
      <w:jc w:val="left"/>
      <w:textAlignment w:val="center"/>
    </w:pPr>
    <w:rPr>
      <w:rFonts w:ascii="宋体" w:hAnsi="宋体" w:cs="宋体"/>
      <w:b/>
      <w:bCs/>
      <w:kern w:val="0"/>
      <w:sz w:val="22"/>
      <w:szCs w:val="22"/>
    </w:rPr>
  </w:style>
  <w:style w:type="paragraph" w:customStyle="1" w:styleId="152">
    <w:name w:val="xl50"/>
    <w:basedOn w:val="1"/>
    <w:qFormat/>
    <w:uiPriority w:val="0"/>
    <w:pPr>
      <w:widowControl/>
      <w:pBdr>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18"/>
      <w:szCs w:val="18"/>
    </w:rPr>
  </w:style>
  <w:style w:type="paragraph" w:customStyle="1" w:styleId="153">
    <w:name w:val="xl5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4"/>
    </w:rPr>
  </w:style>
  <w:style w:type="paragraph" w:customStyle="1" w:styleId="154">
    <w:name w:val="xl5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4"/>
    </w:rPr>
  </w:style>
  <w:style w:type="paragraph" w:customStyle="1" w:styleId="155">
    <w:name w:val="xl5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kern w:val="0"/>
      <w:sz w:val="20"/>
      <w:szCs w:val="20"/>
    </w:rPr>
  </w:style>
  <w:style w:type="paragraph" w:customStyle="1" w:styleId="156">
    <w:name w:val="xl5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kern w:val="0"/>
      <w:sz w:val="24"/>
    </w:rPr>
  </w:style>
  <w:style w:type="paragraph" w:customStyle="1" w:styleId="157">
    <w:name w:val="xl5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kern w:val="0"/>
      <w:sz w:val="20"/>
      <w:szCs w:val="20"/>
    </w:rPr>
  </w:style>
  <w:style w:type="paragraph" w:customStyle="1" w:styleId="158">
    <w:name w:val="xl5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kern w:val="0"/>
      <w:sz w:val="20"/>
      <w:szCs w:val="20"/>
    </w:rPr>
  </w:style>
  <w:style w:type="paragraph" w:customStyle="1" w:styleId="159">
    <w:name w:val="xl5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kern w:val="0"/>
      <w:sz w:val="24"/>
    </w:rPr>
  </w:style>
  <w:style w:type="paragraph" w:customStyle="1" w:styleId="160">
    <w:name w:val="xl5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4"/>
    </w:rPr>
  </w:style>
  <w:style w:type="paragraph" w:customStyle="1" w:styleId="161">
    <w:name w:val="xl5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kern w:val="0"/>
      <w:sz w:val="20"/>
      <w:szCs w:val="20"/>
    </w:rPr>
  </w:style>
  <w:style w:type="paragraph" w:customStyle="1" w:styleId="162">
    <w:name w:val="xl6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2"/>
      <w:szCs w:val="22"/>
    </w:rPr>
  </w:style>
  <w:style w:type="paragraph" w:customStyle="1" w:styleId="163">
    <w:name w:val="xl6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4"/>
    </w:rPr>
  </w:style>
  <w:style w:type="paragraph" w:customStyle="1" w:styleId="164">
    <w:name w:val="xl6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165">
    <w:name w:val="xl6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kern w:val="0"/>
      <w:sz w:val="16"/>
      <w:szCs w:val="16"/>
    </w:rPr>
  </w:style>
  <w:style w:type="paragraph" w:customStyle="1" w:styleId="166">
    <w:name w:val="xl6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4"/>
    </w:rPr>
  </w:style>
  <w:style w:type="paragraph" w:customStyle="1" w:styleId="167">
    <w:name w:val="xl65"/>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kern w:val="0"/>
      <w:sz w:val="20"/>
      <w:szCs w:val="20"/>
    </w:rPr>
  </w:style>
  <w:style w:type="paragraph" w:customStyle="1" w:styleId="168">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4"/>
    </w:rPr>
  </w:style>
  <w:style w:type="paragraph" w:customStyle="1" w:styleId="169">
    <w:name w:val="xl67"/>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kern w:val="0"/>
      <w:sz w:val="20"/>
      <w:szCs w:val="20"/>
    </w:rPr>
  </w:style>
  <w:style w:type="paragraph" w:customStyle="1" w:styleId="170">
    <w:name w:val="xl68"/>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kern w:val="0"/>
      <w:sz w:val="20"/>
      <w:szCs w:val="20"/>
    </w:rPr>
  </w:style>
  <w:style w:type="paragraph" w:customStyle="1" w:styleId="171">
    <w:name w:val="xl69"/>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kern w:val="0"/>
      <w:sz w:val="20"/>
      <w:szCs w:val="20"/>
    </w:rPr>
  </w:style>
  <w:style w:type="paragraph" w:customStyle="1" w:styleId="172">
    <w:name w:val="xl7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kern w:val="0"/>
      <w:sz w:val="24"/>
    </w:rPr>
  </w:style>
  <w:style w:type="paragraph" w:customStyle="1" w:styleId="173">
    <w:name w:val="xl71"/>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kern w:val="0"/>
      <w:sz w:val="24"/>
    </w:rPr>
  </w:style>
  <w:style w:type="paragraph" w:customStyle="1" w:styleId="174">
    <w:name w:val="xl72"/>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kern w:val="0"/>
      <w:sz w:val="24"/>
    </w:rPr>
  </w:style>
  <w:style w:type="paragraph" w:customStyle="1" w:styleId="175">
    <w:name w:val="xl73"/>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kern w:val="0"/>
      <w:sz w:val="24"/>
    </w:rPr>
  </w:style>
  <w:style w:type="paragraph" w:customStyle="1" w:styleId="176">
    <w:name w:val="xl7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Arial" w:hAnsi="Arial" w:cs="Arial"/>
      <w:b/>
      <w:bCs/>
      <w:kern w:val="0"/>
      <w:sz w:val="24"/>
    </w:rPr>
  </w:style>
  <w:style w:type="paragraph" w:customStyle="1" w:styleId="177">
    <w:name w:val="xl75"/>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b/>
      <w:bCs/>
      <w:kern w:val="0"/>
      <w:sz w:val="24"/>
    </w:rPr>
  </w:style>
  <w:style w:type="paragraph" w:customStyle="1" w:styleId="178">
    <w:name w:val="xl76"/>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宋体" w:hAnsi="宋体" w:cs="宋体"/>
      <w:b/>
      <w:bCs/>
      <w:kern w:val="0"/>
      <w:sz w:val="28"/>
      <w:szCs w:val="28"/>
    </w:rPr>
  </w:style>
  <w:style w:type="paragraph" w:customStyle="1" w:styleId="179">
    <w:name w:val="xl77"/>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8"/>
      <w:szCs w:val="28"/>
    </w:rPr>
  </w:style>
  <w:style w:type="paragraph" w:customStyle="1" w:styleId="180">
    <w:name w:val="xl78"/>
    <w:basedOn w:val="1"/>
    <w:qFormat/>
    <w:uiPriority w:val="0"/>
    <w:pPr>
      <w:widowControl/>
      <w:spacing w:before="100" w:beforeAutospacing="1" w:after="100" w:afterAutospacing="1"/>
      <w:jc w:val="center"/>
      <w:textAlignment w:val="center"/>
    </w:pPr>
    <w:rPr>
      <w:rFonts w:ascii="宋体" w:hAnsi="宋体" w:cs="宋体"/>
      <w:b/>
      <w:bCs/>
      <w:kern w:val="0"/>
      <w:sz w:val="28"/>
      <w:szCs w:val="28"/>
    </w:rPr>
  </w:style>
  <w:style w:type="paragraph" w:customStyle="1" w:styleId="181">
    <w:name w:val="xl79"/>
    <w:basedOn w:val="1"/>
    <w:qFormat/>
    <w:uiPriority w:val="0"/>
    <w:pPr>
      <w:widowControl/>
      <w:spacing w:before="100" w:beforeAutospacing="1" w:after="100" w:afterAutospacing="1"/>
      <w:jc w:val="center"/>
      <w:textAlignment w:val="center"/>
    </w:pPr>
    <w:rPr>
      <w:rFonts w:ascii="黑体" w:hAnsi="宋体" w:eastAsia="黑体" w:cs="宋体"/>
      <w:b/>
      <w:bCs/>
      <w:kern w:val="0"/>
      <w:sz w:val="48"/>
      <w:szCs w:val="48"/>
    </w:rPr>
  </w:style>
  <w:style w:type="paragraph" w:customStyle="1" w:styleId="182">
    <w:name w:val="样式3"/>
    <w:basedOn w:val="48"/>
    <w:qFormat/>
    <w:uiPriority w:val="0"/>
    <w:pPr>
      <w:ind w:left="0" w:firstLine="0" w:firstLineChars="0"/>
    </w:pPr>
    <w:rPr>
      <w:szCs w:val="20"/>
    </w:rPr>
  </w:style>
  <w:style w:type="character" w:customStyle="1" w:styleId="183">
    <w:name w:val="Char Char2"/>
    <w:basedOn w:val="65"/>
    <w:qFormat/>
    <w:uiPriority w:val="0"/>
    <w:rPr>
      <w:rFonts w:ascii="Arial" w:hAnsi="Arial" w:eastAsia="楷体"/>
      <w:b/>
      <w:kern w:val="2"/>
      <w:sz w:val="32"/>
      <w:szCs w:val="28"/>
      <w:lang w:val="en-US" w:eastAsia="zh-CN" w:bidi="ar-SA"/>
    </w:rPr>
  </w:style>
  <w:style w:type="paragraph" w:customStyle="1" w:styleId="184">
    <w:name w:val="TABLE"/>
    <w:basedOn w:val="1"/>
    <w:qFormat/>
    <w:uiPriority w:val="0"/>
    <w:pPr>
      <w:framePr w:hSpace="181" w:wrap="around" w:vAnchor="text" w:hAnchor="text" w:x="76" w:y="1"/>
      <w:adjustRightInd w:val="0"/>
      <w:spacing w:line="0" w:lineRule="atLeast"/>
      <w:jc w:val="center"/>
      <w:textAlignment w:val="baseline"/>
    </w:pPr>
    <w:rPr>
      <w:rFonts w:ascii="Arial" w:hAnsi="Arial" w:eastAsia="仿宋_GB2312"/>
      <w:kern w:val="0"/>
      <w:sz w:val="28"/>
      <w:szCs w:val="28"/>
    </w:rPr>
  </w:style>
  <w:style w:type="paragraph" w:customStyle="1" w:styleId="185">
    <w:name w:val="样式1"/>
    <w:basedOn w:val="53"/>
    <w:qFormat/>
    <w:uiPriority w:val="0"/>
    <w:pPr>
      <w:spacing w:line="360" w:lineRule="auto"/>
      <w:ind w:left="0" w:leftChars="0" w:firstLine="0" w:firstLineChars="0"/>
      <w:jc w:val="center"/>
      <w:outlineLvl w:val="0"/>
    </w:pPr>
    <w:rPr>
      <w:rFonts w:eastAsia="仿宋_GB2312"/>
      <w:sz w:val="24"/>
      <w:szCs w:val="28"/>
    </w:rPr>
  </w:style>
  <w:style w:type="paragraph" w:customStyle="1" w:styleId="186">
    <w:name w:val="样式4"/>
    <w:basedOn w:val="43"/>
    <w:qFormat/>
    <w:uiPriority w:val="0"/>
    <w:pPr>
      <w:tabs>
        <w:tab w:val="clear" w:pos="9085"/>
      </w:tabs>
      <w:spacing w:before="240" w:after="120" w:line="480" w:lineRule="auto"/>
      <w:jc w:val="left"/>
    </w:pPr>
    <w:rPr>
      <w:rFonts w:eastAsia="黑体"/>
      <w:b/>
      <w:caps/>
      <w:szCs w:val="28"/>
    </w:rPr>
  </w:style>
  <w:style w:type="paragraph" w:customStyle="1" w:styleId="187">
    <w:name w:val="样式5"/>
    <w:basedOn w:val="54"/>
    <w:qFormat/>
    <w:uiPriority w:val="0"/>
    <w:pPr>
      <w:tabs>
        <w:tab w:val="clear" w:pos="9085"/>
      </w:tabs>
      <w:ind w:left="284" w:leftChars="0"/>
      <w:jc w:val="left"/>
    </w:pPr>
    <w:rPr>
      <w:rFonts w:eastAsia="仿宋_GB2312"/>
      <w:smallCaps/>
      <w:szCs w:val="28"/>
    </w:rPr>
  </w:style>
  <w:style w:type="paragraph" w:customStyle="1" w:styleId="188">
    <w:name w:val="样式6"/>
    <w:basedOn w:val="34"/>
    <w:qFormat/>
    <w:uiPriority w:val="0"/>
    <w:pPr>
      <w:tabs>
        <w:tab w:val="clear" w:pos="9085"/>
      </w:tabs>
      <w:ind w:left="567" w:firstLine="0" w:firstLineChars="0"/>
      <w:jc w:val="left"/>
    </w:pPr>
    <w:rPr>
      <w:rFonts w:eastAsia="仿宋_GB2312"/>
      <w:i/>
      <w:szCs w:val="28"/>
    </w:rPr>
  </w:style>
  <w:style w:type="paragraph" w:customStyle="1" w:styleId="189">
    <w:name w:val="插图"/>
    <w:basedOn w:val="53"/>
    <w:next w:val="1"/>
    <w:qFormat/>
    <w:uiPriority w:val="0"/>
    <w:pPr>
      <w:spacing w:after="360" w:line="360" w:lineRule="auto"/>
      <w:ind w:left="0" w:leftChars="0" w:firstLine="0" w:firstLineChars="0"/>
      <w:jc w:val="center"/>
    </w:pPr>
    <w:rPr>
      <w:rFonts w:ascii="仿宋_GB2312" w:eastAsia="仿宋_GB2312"/>
      <w:sz w:val="24"/>
      <w:szCs w:val="28"/>
    </w:rPr>
  </w:style>
  <w:style w:type="paragraph" w:customStyle="1" w:styleId="190">
    <w:name w:val="简单回函地址"/>
    <w:basedOn w:val="1"/>
    <w:qFormat/>
    <w:uiPriority w:val="0"/>
  </w:style>
  <w:style w:type="paragraph" w:customStyle="1" w:styleId="191">
    <w:name w:val="Default"/>
    <w:qFormat/>
    <w:uiPriority w:val="0"/>
    <w:pPr>
      <w:widowControl w:val="0"/>
      <w:autoSpaceDE w:val="0"/>
      <w:autoSpaceDN w:val="0"/>
      <w:adjustRightInd w:val="0"/>
    </w:pPr>
    <w:rPr>
      <w:rFonts w:ascii="Wingdings" w:hAnsi="Wingdings" w:eastAsia="宋体" w:cs="Wingdings"/>
      <w:color w:val="000000"/>
      <w:sz w:val="24"/>
      <w:szCs w:val="24"/>
      <w:lang w:val="en-US" w:eastAsia="zh-CN" w:bidi="ar-SA"/>
    </w:rPr>
  </w:style>
  <w:style w:type="character" w:customStyle="1" w:styleId="192">
    <w:name w:val="style15"/>
    <w:basedOn w:val="65"/>
    <w:qFormat/>
    <w:uiPriority w:val="0"/>
  </w:style>
  <w:style w:type="character" w:customStyle="1" w:styleId="193">
    <w:name w:val="style18"/>
    <w:basedOn w:val="65"/>
    <w:qFormat/>
    <w:uiPriority w:val="0"/>
  </w:style>
  <w:style w:type="paragraph" w:customStyle="1" w:styleId="194">
    <w:name w:val="表头"/>
    <w:basedOn w:val="1"/>
    <w:qFormat/>
    <w:uiPriority w:val="0"/>
    <w:pPr>
      <w:adjustRightInd w:val="0"/>
      <w:snapToGrid w:val="0"/>
      <w:spacing w:before="50"/>
      <w:jc w:val="center"/>
      <w:textAlignment w:val="baseline"/>
    </w:pPr>
    <w:rPr>
      <w:b/>
      <w:snapToGrid w:val="0"/>
      <w:kern w:val="10"/>
      <w:szCs w:val="20"/>
    </w:rPr>
  </w:style>
  <w:style w:type="paragraph" w:customStyle="1" w:styleId="195">
    <w:name w:val="样式 标题 3头小节标题 + 非加粗 段前: 0.5 行 段后: 0.5 行"/>
    <w:basedOn w:val="8"/>
    <w:qFormat/>
    <w:uiPriority w:val="0"/>
    <w:pPr>
      <w:widowControl/>
      <w:adjustRightInd w:val="0"/>
      <w:snapToGrid w:val="0"/>
      <w:spacing w:beforeLines="50" w:afterLines="50" w:line="500" w:lineRule="exact"/>
      <w:ind w:left="340"/>
      <w:jc w:val="both"/>
    </w:pPr>
    <w:rPr>
      <w:rFonts w:cs="宋体"/>
    </w:rPr>
  </w:style>
  <w:style w:type="paragraph" w:customStyle="1" w:styleId="196">
    <w:name w:val="ST20_1"/>
    <w:basedOn w:val="1"/>
    <w:qFormat/>
    <w:uiPriority w:val="0"/>
    <w:pPr>
      <w:autoSpaceDE w:val="0"/>
      <w:autoSpaceDN w:val="0"/>
      <w:adjustRightInd w:val="0"/>
      <w:ind w:left="420" w:hanging="420"/>
      <w:jc w:val="left"/>
    </w:pPr>
    <w:rPr>
      <w:rFonts w:ascii="宋体" w:hAnsi="Tms Rmn"/>
      <w:kern w:val="0"/>
      <w:sz w:val="24"/>
      <w:szCs w:val="20"/>
    </w:rPr>
  </w:style>
  <w:style w:type="paragraph" w:customStyle="1" w:styleId="197">
    <w:name w:val="项目编号_a)"/>
    <w:basedOn w:val="1"/>
    <w:qFormat/>
    <w:uiPriority w:val="0"/>
    <w:pPr>
      <w:tabs>
        <w:tab w:val="left" w:pos="851"/>
      </w:tabs>
      <w:spacing w:before="78"/>
      <w:ind w:left="851" w:hanging="851"/>
    </w:pPr>
    <w:rPr>
      <w:szCs w:val="21"/>
    </w:rPr>
  </w:style>
  <w:style w:type="paragraph" w:customStyle="1" w:styleId="198">
    <w:name w:val="T0105"/>
    <w:basedOn w:val="1"/>
    <w:qFormat/>
    <w:uiPriority w:val="0"/>
    <w:pPr>
      <w:spacing w:before="120" w:line="340" w:lineRule="atLeast"/>
      <w:ind w:firstLine="480"/>
    </w:pPr>
    <w:rPr>
      <w:rFonts w:eastAsia="仿宋_GB2312"/>
      <w:sz w:val="24"/>
      <w:szCs w:val="20"/>
    </w:rPr>
  </w:style>
  <w:style w:type="paragraph" w:customStyle="1" w:styleId="199">
    <w:name w:val="样式 加粗 行距: 单倍行距"/>
    <w:basedOn w:val="1"/>
    <w:qFormat/>
    <w:uiPriority w:val="0"/>
    <w:pPr>
      <w:ind w:firstLine="200" w:firstLineChars="200"/>
      <w:outlineLvl w:val="3"/>
    </w:pPr>
    <w:rPr>
      <w:rFonts w:ascii="Arial" w:hAnsi="Arial"/>
      <w:b/>
      <w:bCs/>
      <w:sz w:val="24"/>
      <w:szCs w:val="20"/>
    </w:rPr>
  </w:style>
  <w:style w:type="paragraph" w:customStyle="1" w:styleId="200">
    <w:name w:val="缩进正文"/>
    <w:basedOn w:val="1"/>
    <w:qFormat/>
    <w:uiPriority w:val="0"/>
    <w:pPr>
      <w:spacing w:line="300" w:lineRule="auto"/>
      <w:ind w:firstLine="200"/>
      <w:jc w:val="left"/>
    </w:pPr>
    <w:rPr>
      <w:rFonts w:ascii="宋体" w:hAnsi="宋体"/>
      <w:sz w:val="28"/>
      <w:szCs w:val="20"/>
    </w:rPr>
  </w:style>
  <w:style w:type="paragraph" w:customStyle="1" w:styleId="201">
    <w:name w:val="1级标题"/>
    <w:basedOn w:val="1"/>
    <w:qFormat/>
    <w:uiPriority w:val="0"/>
    <w:rPr>
      <w:rFonts w:ascii="宋体" w:hAnsi="宋体"/>
      <w:sz w:val="28"/>
      <w:szCs w:val="20"/>
    </w:rPr>
  </w:style>
  <w:style w:type="paragraph" w:customStyle="1" w:styleId="202">
    <w:name w:val="-正文 Char"/>
    <w:basedOn w:val="1"/>
    <w:qFormat/>
    <w:uiPriority w:val="0"/>
    <w:pPr>
      <w:widowControl/>
      <w:overflowPunct w:val="0"/>
      <w:autoSpaceDE w:val="0"/>
      <w:autoSpaceDN w:val="0"/>
      <w:adjustRightInd w:val="0"/>
      <w:spacing w:line="360" w:lineRule="auto"/>
      <w:ind w:firstLine="200"/>
      <w:jc w:val="left"/>
      <w:textAlignment w:val="baseline"/>
    </w:pPr>
    <w:rPr>
      <w:rFonts w:ascii="Arial" w:hAnsi="Arial"/>
      <w:kern w:val="0"/>
      <w:sz w:val="24"/>
      <w:szCs w:val="20"/>
    </w:rPr>
  </w:style>
  <w:style w:type="paragraph" w:customStyle="1" w:styleId="203">
    <w:name w:val="Char Char Char Char Char Char1 Char"/>
    <w:basedOn w:val="1"/>
    <w:qFormat/>
    <w:uiPriority w:val="0"/>
    <w:pPr>
      <w:widowControl/>
      <w:spacing w:after="160" w:line="240" w:lineRule="exact"/>
      <w:jc w:val="left"/>
    </w:pPr>
    <w:rPr>
      <w:rFonts w:ascii="Verdana" w:hAnsi="Verdana"/>
      <w:kern w:val="0"/>
      <w:szCs w:val="20"/>
      <w:lang w:eastAsia="en-US"/>
    </w:rPr>
  </w:style>
  <w:style w:type="character" w:customStyle="1" w:styleId="204">
    <w:name w:val="Char Char1"/>
    <w:basedOn w:val="65"/>
    <w:qFormat/>
    <w:uiPriority w:val="0"/>
    <w:rPr>
      <w:rFonts w:ascii="Cambria" w:hAnsi="Cambria" w:eastAsia="宋体"/>
      <w:b/>
      <w:bCs/>
      <w:kern w:val="28"/>
      <w:sz w:val="32"/>
      <w:szCs w:val="32"/>
      <w:lang w:val="en-US" w:eastAsia="zh-CN" w:bidi="ar-SA"/>
    </w:rPr>
  </w:style>
  <w:style w:type="character" w:customStyle="1" w:styleId="205">
    <w:name w:val="Char Char"/>
    <w:basedOn w:val="65"/>
    <w:qFormat/>
    <w:uiPriority w:val="0"/>
    <w:rPr>
      <w:rFonts w:ascii="Cambria" w:hAnsi="Cambria" w:cs="Times New Roman"/>
      <w:b/>
      <w:bCs/>
      <w:kern w:val="28"/>
      <w:sz w:val="32"/>
      <w:szCs w:val="32"/>
    </w:rPr>
  </w:style>
  <w:style w:type="paragraph" w:customStyle="1" w:styleId="206">
    <w:name w:val="Biao00"/>
    <w:qFormat/>
    <w:uiPriority w:val="0"/>
    <w:pPr>
      <w:widowControl w:val="0"/>
      <w:spacing w:line="0" w:lineRule="atLeast"/>
      <w:jc w:val="center"/>
    </w:pPr>
    <w:rPr>
      <w:rFonts w:ascii="Arial" w:hAnsi="Arial" w:eastAsia="仿宋_GB2312" w:cs="Times New Roman"/>
      <w:bCs/>
      <w:w w:val="90"/>
      <w:kern w:val="18"/>
      <w:sz w:val="24"/>
      <w:szCs w:val="24"/>
      <w:lang w:val="en-US" w:eastAsia="zh-CN" w:bidi="ar-SA"/>
    </w:rPr>
  </w:style>
  <w:style w:type="paragraph" w:customStyle="1" w:styleId="207">
    <w:name w:val="Char1"/>
    <w:basedOn w:val="1"/>
    <w:qFormat/>
    <w:uiPriority w:val="0"/>
    <w:rPr>
      <w:rFonts w:ascii="仿宋_GB2312" w:eastAsia="仿宋_GB2312"/>
      <w:b/>
      <w:sz w:val="32"/>
      <w:szCs w:val="32"/>
    </w:rPr>
  </w:style>
  <w:style w:type="paragraph" w:customStyle="1" w:styleId="208">
    <w:name w:val="样式 样式 首行缩进:  2 字符 段前: 4.65 磅 + 首行缩进:  2 字符"/>
    <w:basedOn w:val="1"/>
    <w:qFormat/>
    <w:uiPriority w:val="0"/>
    <w:pPr>
      <w:topLinePunct/>
      <w:spacing w:before="93" w:line="360" w:lineRule="auto"/>
      <w:ind w:firstLine="480" w:firstLineChars="200"/>
    </w:pPr>
    <w:rPr>
      <w:sz w:val="24"/>
      <w:szCs w:val="20"/>
    </w:rPr>
  </w:style>
  <w:style w:type="character" w:customStyle="1" w:styleId="209">
    <w:name w:val="节 Char"/>
    <w:basedOn w:val="65"/>
    <w:qFormat/>
    <w:locked/>
    <w:uiPriority w:val="0"/>
    <w:rPr>
      <w:rFonts w:ascii="宋体" w:eastAsia="宋体"/>
      <w:b/>
      <w:snapToGrid w:val="0"/>
      <w:color w:val="000000"/>
      <w:sz w:val="24"/>
      <w:lang w:val="en-US" w:eastAsia="zh-CN" w:bidi="ar-SA"/>
    </w:rPr>
  </w:style>
  <w:style w:type="paragraph" w:customStyle="1" w:styleId="210">
    <w:name w:val="样式 标题 2节head 08h2Major HeadingMajor Heading1标题 1.1第一章 标题 ..."/>
    <w:basedOn w:val="7"/>
    <w:qFormat/>
    <w:uiPriority w:val="0"/>
    <w:pPr>
      <w:widowControl/>
      <w:spacing w:before="120" w:after="120"/>
      <w:jc w:val="both"/>
    </w:pPr>
    <w:rPr>
      <w:rFonts w:ascii="Times New Roman"/>
      <w:bCs/>
      <w:snapToGrid/>
      <w:color w:val="auto"/>
      <w:szCs w:val="24"/>
      <w:lang w:val="en-GB"/>
    </w:rPr>
  </w:style>
  <w:style w:type="paragraph" w:customStyle="1" w:styleId="211">
    <w:name w:val="5号"/>
    <w:basedOn w:val="1"/>
    <w:qFormat/>
    <w:uiPriority w:val="0"/>
    <w:pPr>
      <w:jc w:val="center"/>
    </w:pPr>
    <w:rPr>
      <w:szCs w:val="21"/>
    </w:rPr>
  </w:style>
  <w:style w:type="paragraph" w:customStyle="1" w:styleId="212">
    <w:name w:val="用户标题1"/>
    <w:basedOn w:val="4"/>
    <w:qFormat/>
    <w:uiPriority w:val="0"/>
    <w:pPr>
      <w:keepLines/>
      <w:adjustRightInd w:val="0"/>
      <w:spacing w:before="360" w:after="360" w:line="240" w:lineRule="atLeast"/>
      <w:ind w:firstLine="200" w:firstLineChars="200"/>
      <w:jc w:val="left"/>
      <w:textAlignment w:val="baseline"/>
      <w:outlineLvl w:val="9"/>
    </w:pPr>
    <w:rPr>
      <w:bCs/>
      <w:kern w:val="44"/>
      <w:sz w:val="36"/>
      <w:szCs w:val="36"/>
    </w:rPr>
  </w:style>
  <w:style w:type="paragraph" w:customStyle="1" w:styleId="213">
    <w:name w:val="样式 小四"/>
    <w:basedOn w:val="1"/>
    <w:qFormat/>
    <w:uiPriority w:val="0"/>
    <w:pPr>
      <w:spacing w:line="360" w:lineRule="auto"/>
      <w:ind w:firstLine="200" w:firstLineChars="200"/>
    </w:pPr>
    <w:rPr>
      <w:sz w:val="24"/>
    </w:rPr>
  </w:style>
  <w:style w:type="paragraph" w:customStyle="1" w:styleId="214">
    <w:name w:val="样式 1.1.1 + 居中 首行缩进:  2 字符 段前: 7.8 磅 段后: 7.8 磅 行距: 最小值 20 磅"/>
    <w:qFormat/>
    <w:uiPriority w:val="0"/>
    <w:pPr>
      <w:spacing w:before="156" w:after="156" w:line="400" w:lineRule="atLeast"/>
      <w:ind w:right="31" w:rightChars="13" w:firstLine="562"/>
      <w:jc w:val="center"/>
    </w:pPr>
    <w:rPr>
      <w:rFonts w:ascii="宋体" w:hAnsi="Arial" w:eastAsia="宋体" w:cs="宋体"/>
      <w:b/>
      <w:bCs/>
      <w:sz w:val="28"/>
      <w:szCs w:val="28"/>
      <w:lang w:val="en-US" w:eastAsia="zh-CN" w:bidi="ar-SA"/>
    </w:rPr>
  </w:style>
  <w:style w:type="paragraph" w:customStyle="1" w:styleId="215">
    <w:name w:val="样式 首行缩进:  0.85 厘米1"/>
    <w:basedOn w:val="1"/>
    <w:qFormat/>
    <w:uiPriority w:val="0"/>
    <w:pPr>
      <w:adjustRightInd w:val="0"/>
      <w:snapToGrid w:val="0"/>
      <w:spacing w:line="360" w:lineRule="auto"/>
      <w:ind w:firstLine="737"/>
    </w:pPr>
    <w:rPr>
      <w:sz w:val="24"/>
    </w:rPr>
  </w:style>
  <w:style w:type="paragraph" w:customStyle="1" w:styleId="216">
    <w:name w:val="样式 标题 1 + 段前: 0.5 行 段后: 0.5 行"/>
    <w:basedOn w:val="4"/>
    <w:qFormat/>
    <w:uiPriority w:val="0"/>
    <w:pPr>
      <w:pageBreakBefore/>
      <w:widowControl/>
      <w:numPr>
        <w:numId w:val="4"/>
      </w:numPr>
      <w:tabs>
        <w:tab w:val="left" w:pos="432"/>
      </w:tabs>
      <w:spacing w:beforeLines="50" w:afterLines="50" w:line="480" w:lineRule="auto"/>
    </w:pPr>
    <w:rPr>
      <w:rFonts w:eastAsia="黑体" w:cs="Courier New"/>
      <w:bCs/>
      <w:kern w:val="44"/>
      <w:sz w:val="30"/>
      <w:szCs w:val="20"/>
    </w:rPr>
  </w:style>
  <w:style w:type="paragraph" w:customStyle="1" w:styleId="217">
    <w:name w:val="样式 样式 标题 2 + 段前: 0.5 行 段后: 0.5 行 + 段前: 0.5 行 段后: 0.5 行"/>
    <w:basedOn w:val="1"/>
    <w:qFormat/>
    <w:uiPriority w:val="0"/>
    <w:pPr>
      <w:widowControl/>
      <w:numPr>
        <w:ilvl w:val="1"/>
        <w:numId w:val="4"/>
      </w:numPr>
      <w:tabs>
        <w:tab w:val="left" w:pos="720"/>
        <w:tab w:val="clear" w:pos="576"/>
      </w:tabs>
      <w:spacing w:beforeLines="50" w:afterLines="50" w:line="360" w:lineRule="auto"/>
      <w:outlineLvl w:val="1"/>
    </w:pPr>
    <w:rPr>
      <w:rFonts w:eastAsia="黑体" w:cs="Courier New"/>
      <w:b/>
      <w:bCs/>
      <w:sz w:val="28"/>
      <w:szCs w:val="20"/>
    </w:rPr>
  </w:style>
  <w:style w:type="paragraph" w:customStyle="1" w:styleId="218">
    <w:name w:val="样式 样式 标题 3 + 段前: 0.5 行 段后: 0.5 行 + 段前: 0.5 行 段后: 0.5 行"/>
    <w:basedOn w:val="1"/>
    <w:qFormat/>
    <w:uiPriority w:val="0"/>
    <w:pPr>
      <w:widowControl/>
      <w:numPr>
        <w:ilvl w:val="2"/>
        <w:numId w:val="4"/>
      </w:numPr>
      <w:tabs>
        <w:tab w:val="left" w:pos="840"/>
      </w:tabs>
      <w:spacing w:beforeLines="50" w:afterLines="50" w:line="360" w:lineRule="auto"/>
      <w:outlineLvl w:val="2"/>
    </w:pPr>
    <w:rPr>
      <w:rFonts w:eastAsia="黑体" w:cs="Courier New"/>
      <w:b/>
      <w:bCs/>
      <w:sz w:val="28"/>
      <w:szCs w:val="20"/>
    </w:rPr>
  </w:style>
  <w:style w:type="paragraph" w:customStyle="1" w:styleId="219">
    <w:name w:val="样式 样式 样式 标题 4 + 段前: 0.5 行 段后: 0.5 行 + 段前: 0.5 行 段后: 0.5 行 + 段前: ..."/>
    <w:basedOn w:val="1"/>
    <w:qFormat/>
    <w:uiPriority w:val="0"/>
    <w:pPr>
      <w:widowControl/>
      <w:numPr>
        <w:ilvl w:val="3"/>
        <w:numId w:val="4"/>
      </w:numPr>
      <w:tabs>
        <w:tab w:val="left" w:pos="1050"/>
      </w:tabs>
      <w:spacing w:beforeLines="50" w:afterLines="50" w:line="360" w:lineRule="auto"/>
      <w:outlineLvl w:val="3"/>
    </w:pPr>
    <w:rPr>
      <w:rFonts w:eastAsia="黑体" w:cs="Courier New"/>
      <w:b/>
      <w:bCs/>
      <w:sz w:val="28"/>
      <w:szCs w:val="20"/>
    </w:rPr>
  </w:style>
  <w:style w:type="paragraph" w:customStyle="1" w:styleId="220">
    <w:name w:val="样式 标题 5 + 段前: 0.5 行 段后: 0.5 行"/>
    <w:basedOn w:val="10"/>
    <w:qFormat/>
    <w:uiPriority w:val="0"/>
    <w:pPr>
      <w:keepNext w:val="0"/>
      <w:widowControl/>
      <w:numPr>
        <w:numId w:val="4"/>
      </w:numPr>
      <w:tabs>
        <w:tab w:val="left" w:pos="1008"/>
        <w:tab w:val="left" w:pos="1260"/>
      </w:tabs>
      <w:spacing w:beforeLines="50" w:afterLines="50" w:line="360" w:lineRule="auto"/>
      <w:jc w:val="both"/>
    </w:pPr>
    <w:rPr>
      <w:rFonts w:ascii="Times New Roman" w:hAnsi="Times New Roman" w:eastAsia="黑体" w:cs="Courier New"/>
      <w:bCs/>
      <w:kern w:val="2"/>
      <w:sz w:val="28"/>
      <w:lang w:val="en-US"/>
    </w:rPr>
  </w:style>
  <w:style w:type="paragraph" w:customStyle="1" w:styleId="221">
    <w:name w:val="Char Char2 Char Char Char Char Char Char Char Char Char Char Char Char Char"/>
    <w:basedOn w:val="1"/>
    <w:qFormat/>
    <w:uiPriority w:val="0"/>
    <w:pPr>
      <w:ind w:firstLine="360" w:firstLineChars="150"/>
    </w:pPr>
    <w:rPr>
      <w:rFonts w:ascii="Tahoma" w:hAnsi="Tahoma"/>
      <w:sz w:val="24"/>
      <w:szCs w:val="20"/>
    </w:rPr>
  </w:style>
  <w:style w:type="character" w:customStyle="1" w:styleId="222">
    <w:name w:val="apple-style-span"/>
    <w:basedOn w:val="65"/>
    <w:qFormat/>
    <w:uiPriority w:val="0"/>
  </w:style>
  <w:style w:type="paragraph" w:customStyle="1" w:styleId="223">
    <w:name w:val="+列表2"/>
    <w:basedOn w:val="1"/>
    <w:qFormat/>
    <w:uiPriority w:val="0"/>
    <w:pPr>
      <w:jc w:val="center"/>
    </w:pPr>
    <w:rPr>
      <w:sz w:val="24"/>
      <w:szCs w:val="21"/>
    </w:rPr>
  </w:style>
  <w:style w:type="paragraph" w:customStyle="1" w:styleId="224">
    <w:name w:val="+正文"/>
    <w:basedOn w:val="1"/>
    <w:link w:val="225"/>
    <w:qFormat/>
    <w:uiPriority w:val="0"/>
    <w:pPr>
      <w:spacing w:line="360" w:lineRule="auto"/>
      <w:ind w:firstLine="200" w:firstLineChars="200"/>
    </w:pPr>
    <w:rPr>
      <w:sz w:val="24"/>
      <w:szCs w:val="28"/>
    </w:rPr>
  </w:style>
  <w:style w:type="character" w:customStyle="1" w:styleId="225">
    <w:name w:val="+正文 Char"/>
    <w:basedOn w:val="65"/>
    <w:link w:val="224"/>
    <w:qFormat/>
    <w:uiPriority w:val="0"/>
    <w:rPr>
      <w:kern w:val="2"/>
      <w:sz w:val="24"/>
      <w:szCs w:val="28"/>
    </w:rPr>
  </w:style>
  <w:style w:type="paragraph" w:customStyle="1" w:styleId="226">
    <w:name w:val="样式7"/>
    <w:basedOn w:val="1"/>
    <w:link w:val="227"/>
    <w:qFormat/>
    <w:uiPriority w:val="0"/>
    <w:pPr>
      <w:outlineLvl w:val="0"/>
    </w:pPr>
    <w:rPr>
      <w:rFonts w:ascii="宋体" w:hAnsi="宋体"/>
      <w:sz w:val="24"/>
    </w:rPr>
  </w:style>
  <w:style w:type="character" w:customStyle="1" w:styleId="227">
    <w:name w:val="样式7 Char"/>
    <w:basedOn w:val="65"/>
    <w:link w:val="226"/>
    <w:qFormat/>
    <w:uiPriority w:val="0"/>
    <w:rPr>
      <w:rFonts w:ascii="宋体" w:hAnsi="宋体"/>
      <w:kern w:val="2"/>
      <w:sz w:val="24"/>
      <w:szCs w:val="24"/>
    </w:rPr>
  </w:style>
  <w:style w:type="paragraph" w:customStyle="1" w:styleId="228">
    <w:name w:val="样式8"/>
    <w:basedOn w:val="1"/>
    <w:link w:val="229"/>
    <w:qFormat/>
    <w:uiPriority w:val="0"/>
    <w:pPr>
      <w:spacing w:line="360" w:lineRule="auto"/>
      <w:ind w:firstLine="200" w:firstLineChars="200"/>
    </w:pPr>
    <w:rPr>
      <w:sz w:val="24"/>
    </w:rPr>
  </w:style>
  <w:style w:type="character" w:customStyle="1" w:styleId="229">
    <w:name w:val="样式8 Char"/>
    <w:basedOn w:val="65"/>
    <w:link w:val="228"/>
    <w:qFormat/>
    <w:uiPriority w:val="0"/>
    <w:rPr>
      <w:kern w:val="2"/>
      <w:sz w:val="24"/>
      <w:szCs w:val="24"/>
    </w:rPr>
  </w:style>
  <w:style w:type="paragraph" w:customStyle="1" w:styleId="230">
    <w:name w:val="样式9"/>
    <w:basedOn w:val="4"/>
    <w:link w:val="231"/>
    <w:qFormat/>
    <w:uiPriority w:val="0"/>
    <w:pPr>
      <w:numPr>
        <w:numId w:val="0"/>
      </w:numPr>
      <w:pBdr>
        <w:bottom w:val="none" w:color="auto" w:sz="0" w:space="0"/>
      </w:pBdr>
      <w:ind w:left="420"/>
    </w:pPr>
  </w:style>
  <w:style w:type="character" w:customStyle="1" w:styleId="231">
    <w:name w:val="样式9 Char"/>
    <w:basedOn w:val="73"/>
    <w:link w:val="230"/>
    <w:qFormat/>
    <w:uiPriority w:val="0"/>
    <w:rPr>
      <w:rFonts w:ascii="Arial" w:hAnsi="Arial"/>
      <w:sz w:val="28"/>
      <w:szCs w:val="28"/>
      <w:lang w:val="en-GB"/>
    </w:rPr>
  </w:style>
  <w:style w:type="paragraph" w:customStyle="1" w:styleId="232">
    <w:name w:val="样式10"/>
    <w:basedOn w:val="8"/>
    <w:link w:val="233"/>
    <w:qFormat/>
    <w:uiPriority w:val="0"/>
    <w:pPr>
      <w:outlineLvl w:val="3"/>
    </w:pPr>
  </w:style>
  <w:style w:type="character" w:customStyle="1" w:styleId="233">
    <w:name w:val="样式10 Char"/>
    <w:basedOn w:val="74"/>
    <w:link w:val="232"/>
    <w:qFormat/>
    <w:uiPriority w:val="0"/>
    <w:rPr>
      <w:rFonts w:eastAsia="宋体"/>
      <w:sz w:val="24"/>
      <w:lang w:val="en-GB" w:eastAsia="zh-CN" w:bidi="ar-SA"/>
    </w:rPr>
  </w:style>
  <w:style w:type="paragraph" w:customStyle="1" w:styleId="234">
    <w:name w:val="Style Body Text 3 + Left:  1.02 cm"/>
    <w:basedOn w:val="27"/>
    <w:qFormat/>
    <w:uiPriority w:val="0"/>
    <w:pPr>
      <w:keepNext/>
      <w:widowControl/>
      <w:spacing w:line="240" w:lineRule="auto"/>
      <w:ind w:left="578"/>
    </w:pPr>
    <w:rPr>
      <w:rFonts w:ascii="Arial" w:hAnsi="Arial" w:cs="宋体"/>
      <w:kern w:val="0"/>
      <w:sz w:val="22"/>
      <w:lang w:eastAsia="en-US"/>
    </w:rPr>
  </w:style>
  <w:style w:type="paragraph" w:customStyle="1" w:styleId="235">
    <w:name w:val="Doc 04: Text Block Char Char"/>
    <w:basedOn w:val="1"/>
    <w:link w:val="236"/>
    <w:qFormat/>
    <w:uiPriority w:val="0"/>
    <w:pPr>
      <w:keepLines/>
      <w:widowControl/>
      <w:spacing w:before="60" w:after="60"/>
      <w:ind w:left="993"/>
      <w:jc w:val="left"/>
    </w:pPr>
    <w:rPr>
      <w:rFonts w:ascii="Arial" w:hAnsi="Arial" w:cs="Arial"/>
      <w:kern w:val="0"/>
      <w:sz w:val="20"/>
      <w:szCs w:val="20"/>
      <w:lang w:val="de-CH" w:eastAsia="en-US"/>
    </w:rPr>
  </w:style>
  <w:style w:type="character" w:customStyle="1" w:styleId="236">
    <w:name w:val="Doc 04: Text Block Char Char Char"/>
    <w:basedOn w:val="65"/>
    <w:link w:val="235"/>
    <w:qFormat/>
    <w:uiPriority w:val="0"/>
    <w:rPr>
      <w:rFonts w:ascii="Arial" w:hAnsi="Arial" w:eastAsia="宋体" w:cs="Arial"/>
      <w:lang w:val="de-CH" w:eastAsia="en-US" w:bidi="ar-SA"/>
    </w:rPr>
  </w:style>
  <w:style w:type="paragraph" w:customStyle="1" w:styleId="237">
    <w:name w:val="Doc 11: Table Text"/>
    <w:basedOn w:val="235"/>
    <w:qFormat/>
    <w:uiPriority w:val="0"/>
    <w:pPr>
      <w:keepNext/>
      <w:ind w:left="0"/>
    </w:pPr>
    <w:rPr>
      <w:rFonts w:cs="Times New Roman"/>
      <w:sz w:val="16"/>
    </w:rPr>
  </w:style>
  <w:style w:type="paragraph" w:customStyle="1" w:styleId="238">
    <w:name w:val="Texte in Tabelle"/>
    <w:basedOn w:val="1"/>
    <w:qFormat/>
    <w:uiPriority w:val="0"/>
    <w:pPr>
      <w:keepLines/>
      <w:widowControl/>
      <w:spacing w:before="60" w:after="60"/>
      <w:jc w:val="left"/>
    </w:pPr>
    <w:rPr>
      <w:rFonts w:ascii="Arial" w:hAnsi="Arial"/>
      <w:kern w:val="0"/>
      <w:sz w:val="20"/>
      <w:szCs w:val="20"/>
      <w:lang w:val="de-CH" w:eastAsia="en-US"/>
    </w:rPr>
  </w:style>
  <w:style w:type="paragraph" w:customStyle="1" w:styleId="239">
    <w:name w:val="Doc 15: Listed Line"/>
    <w:basedOn w:val="1"/>
    <w:qFormat/>
    <w:uiPriority w:val="0"/>
    <w:pPr>
      <w:keepNext/>
      <w:keepLines/>
      <w:widowControl/>
      <w:tabs>
        <w:tab w:val="left" w:pos="1701"/>
      </w:tabs>
      <w:spacing w:before="20" w:after="20"/>
      <w:ind w:left="1701" w:hanging="708"/>
      <w:jc w:val="left"/>
    </w:pPr>
    <w:rPr>
      <w:rFonts w:ascii="Arial" w:hAnsi="Arial"/>
      <w:kern w:val="0"/>
      <w:sz w:val="20"/>
      <w:szCs w:val="20"/>
      <w:lang w:val="de-CH" w:eastAsia="en-US"/>
    </w:rPr>
  </w:style>
  <w:style w:type="paragraph" w:customStyle="1" w:styleId="240">
    <w:name w:val="Caractéristiques"/>
    <w:basedOn w:val="1"/>
    <w:qFormat/>
    <w:uiPriority w:val="0"/>
    <w:pPr>
      <w:widowControl/>
      <w:tabs>
        <w:tab w:val="left" w:pos="284"/>
        <w:tab w:val="right" w:leader="dot" w:pos="4253"/>
        <w:tab w:val="left" w:pos="4536"/>
      </w:tabs>
    </w:pPr>
    <w:rPr>
      <w:rFonts w:ascii="Arial" w:hAnsi="Arial" w:eastAsia="Times New Roman"/>
      <w:kern w:val="0"/>
      <w:sz w:val="24"/>
      <w:szCs w:val="20"/>
      <w:lang w:eastAsia="en-US"/>
    </w:rPr>
  </w:style>
  <w:style w:type="paragraph" w:customStyle="1" w:styleId="241">
    <w:name w:val="样式 样式 正文首行缩进 2 + 四号 首行缩进:  2 字符 + 首行缩进:  2 字符"/>
    <w:basedOn w:val="1"/>
    <w:qFormat/>
    <w:uiPriority w:val="0"/>
    <w:pPr>
      <w:spacing w:line="360" w:lineRule="auto"/>
      <w:ind w:firstLine="480" w:firstLineChars="200"/>
    </w:pPr>
    <w:rPr>
      <w:rFonts w:cs="宋体"/>
      <w:sz w:val="24"/>
    </w:rPr>
  </w:style>
  <w:style w:type="paragraph" w:customStyle="1" w:styleId="242">
    <w:name w:val="样式 正文首行缩进 + 首行缩进:  2 字符1 Char Char"/>
    <w:basedOn w:val="62"/>
    <w:qFormat/>
    <w:uiPriority w:val="0"/>
    <w:pPr>
      <w:adjustRightInd w:val="0"/>
      <w:spacing w:after="0" w:line="400" w:lineRule="exact"/>
      <w:ind w:firstLine="480" w:firstLineChars="200"/>
      <w:textAlignment w:val="baseline"/>
    </w:pPr>
    <w:rPr>
      <w:rFonts w:eastAsia="仿宋_GB2312" w:cs="宋体"/>
      <w:sz w:val="24"/>
      <w:szCs w:val="20"/>
    </w:rPr>
  </w:style>
  <w:style w:type="character" w:customStyle="1" w:styleId="243">
    <w:name w:val="纯文本 Char1"/>
    <w:qFormat/>
    <w:uiPriority w:val="0"/>
    <w:rPr>
      <w:rFonts w:ascii="宋体" w:hAnsi="Courier New" w:eastAsia="宋体" w:cs="Times New Roman"/>
      <w:szCs w:val="20"/>
    </w:rPr>
  </w:style>
  <w:style w:type="paragraph" w:customStyle="1" w:styleId="244">
    <w:name w:val="Standard_ip"/>
    <w:basedOn w:val="1"/>
    <w:next w:val="1"/>
    <w:qFormat/>
    <w:uiPriority w:val="0"/>
    <w:pPr>
      <w:widowControl/>
      <w:tabs>
        <w:tab w:val="left" w:pos="2126"/>
        <w:tab w:val="right" w:pos="4678"/>
        <w:tab w:val="left" w:pos="6095"/>
        <w:tab w:val="right" w:pos="8505"/>
      </w:tabs>
      <w:ind w:left="992"/>
      <w:jc w:val="left"/>
    </w:pPr>
    <w:rPr>
      <w:rFonts w:ascii="Arial" w:hAnsi="Arial"/>
      <w:kern w:val="0"/>
      <w:sz w:val="20"/>
      <w:szCs w:val="20"/>
      <w:lang w:val="de-DE"/>
    </w:rPr>
  </w:style>
  <w:style w:type="paragraph" w:customStyle="1" w:styleId="245">
    <w:name w:val="正文部分"/>
    <w:basedOn w:val="1"/>
    <w:link w:val="246"/>
    <w:qFormat/>
    <w:uiPriority w:val="0"/>
    <w:pPr>
      <w:adjustRightInd w:val="0"/>
      <w:snapToGrid w:val="0"/>
      <w:spacing w:line="460" w:lineRule="exact"/>
      <w:ind w:firstLine="480" w:firstLineChars="200"/>
      <w:jc w:val="left"/>
    </w:pPr>
    <w:rPr>
      <w:snapToGrid w:val="0"/>
      <w:kern w:val="0"/>
      <w:sz w:val="24"/>
    </w:rPr>
  </w:style>
  <w:style w:type="character" w:customStyle="1" w:styleId="246">
    <w:name w:val="正文部分 Char"/>
    <w:basedOn w:val="65"/>
    <w:link w:val="245"/>
    <w:qFormat/>
    <w:uiPriority w:val="0"/>
    <w:rPr>
      <w:snapToGrid w:val="0"/>
      <w:sz w:val="24"/>
      <w:szCs w:val="24"/>
    </w:rPr>
  </w:style>
  <w:style w:type="paragraph" w:customStyle="1" w:styleId="247">
    <w:name w:val="text"/>
    <w:basedOn w:val="1"/>
    <w:qFormat/>
    <w:uiPriority w:val="0"/>
    <w:pPr>
      <w:widowControl/>
      <w:tabs>
        <w:tab w:val="left" w:pos="1020"/>
        <w:tab w:val="left" w:pos="1090"/>
      </w:tabs>
      <w:overflowPunct w:val="0"/>
      <w:autoSpaceDE w:val="0"/>
      <w:autoSpaceDN w:val="0"/>
      <w:adjustRightInd w:val="0"/>
      <w:spacing w:beforeLines="100" w:after="60" w:line="264" w:lineRule="auto"/>
      <w:ind w:left="1098" w:leftChars="522" w:hanging="2"/>
      <w:textAlignment w:val="baseline"/>
    </w:pPr>
    <w:rPr>
      <w:kern w:val="0"/>
      <w:sz w:val="24"/>
    </w:rPr>
  </w:style>
  <w:style w:type="paragraph" w:customStyle="1" w:styleId="248">
    <w:name w:val="样式 首行缩进:  1.02 厘米"/>
    <w:basedOn w:val="1"/>
    <w:qFormat/>
    <w:uiPriority w:val="0"/>
    <w:pPr>
      <w:snapToGrid w:val="0"/>
      <w:spacing w:line="440" w:lineRule="exact"/>
      <w:ind w:firstLine="578"/>
    </w:pPr>
    <w:rPr>
      <w:spacing w:val="6"/>
      <w:sz w:val="24"/>
    </w:rPr>
  </w:style>
  <w:style w:type="character" w:customStyle="1" w:styleId="249">
    <w:name w:val="标题 4 Char"/>
    <w:basedOn w:val="65"/>
    <w:link w:val="9"/>
    <w:qFormat/>
    <w:uiPriority w:val="0"/>
    <w:rPr>
      <w:rFonts w:ascii="Arial" w:hAnsi="Arial"/>
      <w:b/>
      <w:sz w:val="22"/>
      <w:lang w:val="en-GB"/>
    </w:rPr>
  </w:style>
  <w:style w:type="character" w:customStyle="1" w:styleId="250">
    <w:name w:val="标题 3 Char Char Char"/>
    <w:basedOn w:val="65"/>
    <w:qFormat/>
    <w:uiPriority w:val="0"/>
    <w:rPr>
      <w:rFonts w:hint="default" w:ascii="MS Sans Serif" w:hAnsi="MS Sans Serif" w:eastAsia="宋体"/>
      <w:b/>
      <w:sz w:val="28"/>
      <w:szCs w:val="24"/>
      <w:lang w:val="en-US" w:eastAsia="zh-CN" w:bidi="ar-SA"/>
    </w:rPr>
  </w:style>
  <w:style w:type="paragraph" w:customStyle="1" w:styleId="251">
    <w:name w:val="b-b2"/>
    <w:basedOn w:val="7"/>
    <w:next w:val="1"/>
    <w:qFormat/>
    <w:uiPriority w:val="0"/>
    <w:pPr>
      <w:keepNext w:val="0"/>
      <w:numPr>
        <w:numId w:val="5"/>
      </w:numPr>
      <w:tabs>
        <w:tab w:val="left" w:pos="1785"/>
      </w:tabs>
      <w:adjustRightInd w:val="0"/>
      <w:snapToGrid w:val="0"/>
      <w:spacing w:before="120" w:after="120" w:line="400" w:lineRule="exact"/>
      <w:textAlignment w:val="baseline"/>
    </w:pPr>
    <w:rPr>
      <w:rFonts w:ascii="黑体" w:hAnsi="Arial" w:eastAsia="黑体"/>
      <w:b w:val="0"/>
      <w:snapToGrid/>
      <w:color w:val="auto"/>
    </w:rPr>
  </w:style>
  <w:style w:type="paragraph" w:customStyle="1" w:styleId="252">
    <w:name w:val="b-b4"/>
    <w:basedOn w:val="9"/>
    <w:next w:val="1"/>
    <w:qFormat/>
    <w:uiPriority w:val="0"/>
    <w:pPr>
      <w:keepNext w:val="0"/>
      <w:numPr>
        <w:numId w:val="5"/>
      </w:numPr>
      <w:tabs>
        <w:tab w:val="left" w:pos="540"/>
        <w:tab w:val="left" w:pos="2625"/>
      </w:tabs>
      <w:spacing w:before="60" w:after="60" w:line="400" w:lineRule="exact"/>
    </w:pPr>
    <w:rPr>
      <w:rFonts w:eastAsia="黑体"/>
      <w:b w:val="0"/>
      <w:sz w:val="24"/>
      <w:lang w:val="en-US"/>
    </w:rPr>
  </w:style>
  <w:style w:type="paragraph" w:customStyle="1" w:styleId="253">
    <w:name w:val="b-b1"/>
    <w:basedOn w:val="4"/>
    <w:next w:val="1"/>
    <w:qFormat/>
    <w:uiPriority w:val="0"/>
    <w:pPr>
      <w:keepNext w:val="0"/>
      <w:numPr>
        <w:numId w:val="5"/>
      </w:numPr>
      <w:pBdr>
        <w:bottom w:val="none" w:color="auto" w:sz="0" w:space="0"/>
      </w:pBdr>
      <w:tabs>
        <w:tab w:val="left" w:pos="1665"/>
      </w:tabs>
      <w:autoSpaceDE w:val="0"/>
      <w:autoSpaceDN w:val="0"/>
      <w:adjustRightInd w:val="0"/>
      <w:snapToGrid w:val="0"/>
      <w:spacing w:before="160" w:after="160" w:line="400" w:lineRule="exact"/>
      <w:jc w:val="left"/>
      <w:textAlignment w:val="baseline"/>
    </w:pPr>
    <w:rPr>
      <w:rFonts w:ascii="黑体" w:eastAsia="黑体"/>
      <w:color w:val="000000"/>
      <w:kern w:val="44"/>
      <w:szCs w:val="20"/>
    </w:rPr>
  </w:style>
  <w:style w:type="paragraph" w:customStyle="1" w:styleId="254">
    <w:name w:val="b-b3"/>
    <w:basedOn w:val="8"/>
    <w:next w:val="1"/>
    <w:qFormat/>
    <w:uiPriority w:val="0"/>
    <w:pPr>
      <w:keepNext w:val="0"/>
      <w:numPr>
        <w:ilvl w:val="2"/>
        <w:numId w:val="5"/>
      </w:numPr>
      <w:tabs>
        <w:tab w:val="clear" w:pos="0"/>
      </w:tabs>
      <w:snapToGrid w:val="0"/>
      <w:spacing w:before="80" w:after="80" w:line="440" w:lineRule="atLeast"/>
      <w:jc w:val="both"/>
      <w:textAlignment w:val="baseline"/>
    </w:pPr>
    <w:rPr>
      <w:rFonts w:eastAsia="黑体"/>
      <w:b w:val="0"/>
      <w:color w:val="FF0000"/>
    </w:rPr>
  </w:style>
  <w:style w:type="character" w:customStyle="1" w:styleId="255">
    <w:name w:val="+正文 Char7"/>
    <w:basedOn w:val="65"/>
    <w:qFormat/>
    <w:uiPriority w:val="0"/>
    <w:rPr>
      <w:rFonts w:eastAsia="宋体"/>
      <w:kern w:val="2"/>
      <w:sz w:val="24"/>
      <w:szCs w:val="28"/>
      <w:lang w:val="en-US" w:eastAsia="zh-CN" w:bidi="ar-SA"/>
    </w:rPr>
  </w:style>
  <w:style w:type="paragraph" w:customStyle="1" w:styleId="256">
    <w:name w:val="表格内文字"/>
    <w:basedOn w:val="1"/>
    <w:qFormat/>
    <w:uiPriority w:val="0"/>
    <w:pPr>
      <w:adjustRightInd w:val="0"/>
      <w:snapToGrid w:val="0"/>
      <w:spacing w:before="80" w:line="240" w:lineRule="exact"/>
      <w:jc w:val="center"/>
    </w:pPr>
    <w:rPr>
      <w:snapToGrid w:val="0"/>
      <w:spacing w:val="6"/>
      <w:kern w:val="0"/>
      <w:sz w:val="24"/>
      <w:szCs w:val="20"/>
    </w:rPr>
  </w:style>
  <w:style w:type="paragraph" w:customStyle="1" w:styleId="257">
    <w:name w:val="江建权"/>
    <w:basedOn w:val="1"/>
    <w:link w:val="258"/>
    <w:qFormat/>
    <w:uiPriority w:val="0"/>
    <w:pPr>
      <w:spacing w:line="440" w:lineRule="exact"/>
      <w:ind w:firstLine="200" w:firstLineChars="200"/>
    </w:pPr>
    <w:rPr>
      <w:rFonts w:ascii="Calibri" w:hAnsi="Calibri"/>
      <w:sz w:val="24"/>
    </w:rPr>
  </w:style>
  <w:style w:type="character" w:customStyle="1" w:styleId="258">
    <w:name w:val="江建权 Char"/>
    <w:link w:val="257"/>
    <w:qFormat/>
    <w:uiPriority w:val="0"/>
    <w:rPr>
      <w:rFonts w:ascii="Calibri" w:hAnsi="Calibri"/>
      <w:kern w:val="2"/>
      <w:sz w:val="24"/>
      <w:szCs w:val="24"/>
    </w:rPr>
  </w:style>
  <w:style w:type="paragraph" w:customStyle="1" w:styleId="259">
    <w:name w:val="cucd-0"/>
    <w:link w:val="260"/>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260">
    <w:name w:val="cucd-0 Char"/>
    <w:basedOn w:val="65"/>
    <w:link w:val="259"/>
    <w:qFormat/>
    <w:uiPriority w:val="0"/>
    <w:rPr>
      <w:kern w:val="2"/>
      <w:sz w:val="24"/>
      <w:szCs w:val="24"/>
      <w:lang w:val="en-US" w:eastAsia="zh-CN" w:bidi="ar-SA"/>
    </w:rPr>
  </w:style>
  <w:style w:type="paragraph" w:styleId="261">
    <w:name w:val="List Paragraph"/>
    <w:basedOn w:val="1"/>
    <w:qFormat/>
    <w:uiPriority w:val="0"/>
    <w:pPr>
      <w:ind w:firstLine="420" w:firstLineChars="200"/>
    </w:pPr>
    <w:rPr>
      <w:rFonts w:ascii="Calibri" w:hAnsi="Calibri"/>
      <w:szCs w:val="22"/>
    </w:rPr>
  </w:style>
  <w:style w:type="paragraph" w:customStyle="1" w:styleId="262">
    <w:name w:val="+标题1"/>
    <w:basedOn w:val="4"/>
    <w:qFormat/>
    <w:uiPriority w:val="0"/>
    <w:pPr>
      <w:keepLines/>
      <w:numPr>
        <w:numId w:val="6"/>
      </w:numPr>
      <w:pBdr>
        <w:bottom w:val="none" w:color="auto" w:sz="0" w:space="0"/>
      </w:pBdr>
      <w:tabs>
        <w:tab w:val="left" w:pos="632"/>
      </w:tabs>
      <w:adjustRightInd w:val="0"/>
      <w:spacing w:before="120" w:after="120"/>
    </w:pPr>
    <w:rPr>
      <w:rFonts w:eastAsia="黑体"/>
      <w:bCs/>
      <w:kern w:val="44"/>
      <w:sz w:val="32"/>
      <w:szCs w:val="32"/>
    </w:rPr>
  </w:style>
  <w:style w:type="paragraph" w:customStyle="1" w:styleId="263">
    <w:name w:val="+标题2"/>
    <w:basedOn w:val="7"/>
    <w:link w:val="266"/>
    <w:qFormat/>
    <w:uiPriority w:val="0"/>
    <w:pPr>
      <w:keepLines/>
      <w:numPr>
        <w:numId w:val="6"/>
      </w:numPr>
      <w:tabs>
        <w:tab w:val="left" w:pos="590"/>
      </w:tabs>
      <w:spacing w:before="0" w:after="0"/>
      <w:jc w:val="both"/>
    </w:pPr>
    <w:rPr>
      <w:rFonts w:hAnsi="宋体"/>
      <w:snapToGrid/>
      <w:color w:val="auto"/>
      <w:kern w:val="2"/>
      <w:sz w:val="28"/>
      <w:szCs w:val="28"/>
    </w:rPr>
  </w:style>
  <w:style w:type="paragraph" w:customStyle="1" w:styleId="264">
    <w:name w:val="+标题3"/>
    <w:basedOn w:val="8"/>
    <w:qFormat/>
    <w:uiPriority w:val="0"/>
    <w:pPr>
      <w:keepLines/>
      <w:numPr>
        <w:ilvl w:val="2"/>
        <w:numId w:val="6"/>
      </w:numPr>
      <w:tabs>
        <w:tab w:val="clear" w:pos="0"/>
      </w:tabs>
      <w:spacing w:line="360" w:lineRule="auto"/>
      <w:jc w:val="both"/>
    </w:pPr>
    <w:rPr>
      <w:rFonts w:ascii="宋体" w:hAnsi="宋体" w:cs="Arial"/>
      <w:kern w:val="2"/>
      <w:sz w:val="28"/>
      <w:szCs w:val="28"/>
      <w:lang w:val="en-US"/>
    </w:rPr>
  </w:style>
  <w:style w:type="paragraph" w:customStyle="1" w:styleId="265">
    <w:name w:val="+标题4"/>
    <w:basedOn w:val="9"/>
    <w:qFormat/>
    <w:uiPriority w:val="0"/>
    <w:pPr>
      <w:keepLines/>
      <w:numPr>
        <w:numId w:val="6"/>
      </w:numPr>
      <w:tabs>
        <w:tab w:val="left" w:pos="792"/>
      </w:tabs>
      <w:spacing w:before="0" w:after="0" w:line="360" w:lineRule="auto"/>
      <w:jc w:val="both"/>
    </w:pPr>
    <w:rPr>
      <w:rFonts w:ascii="Times New Roman" w:hAnsi="Times New Roman"/>
      <w:bCs/>
      <w:kern w:val="2"/>
      <w:sz w:val="28"/>
      <w:szCs w:val="28"/>
      <w:lang w:val="en-US"/>
    </w:rPr>
  </w:style>
  <w:style w:type="character" w:customStyle="1" w:styleId="266">
    <w:name w:val="+标题2 Char Char"/>
    <w:basedOn w:val="65"/>
    <w:link w:val="263"/>
    <w:qFormat/>
    <w:locked/>
    <w:uiPriority w:val="0"/>
    <w:rPr>
      <w:rFonts w:ascii="宋体" w:hAnsi="宋体"/>
      <w:b/>
      <w:kern w:val="2"/>
      <w:sz w:val="28"/>
      <w:szCs w:val="28"/>
    </w:rPr>
  </w:style>
  <w:style w:type="character" w:customStyle="1" w:styleId="267">
    <w:name w:val="正文文本缩进 Char"/>
    <w:basedOn w:val="65"/>
    <w:link w:val="3"/>
    <w:qFormat/>
    <w:uiPriority w:val="0"/>
    <w:rPr>
      <w:kern w:val="2"/>
      <w:sz w:val="24"/>
      <w:szCs w:val="28"/>
    </w:rPr>
  </w:style>
  <w:style w:type="character" w:customStyle="1" w:styleId="268">
    <w:name w:val="黄正文 Char"/>
    <w:basedOn w:val="65"/>
    <w:link w:val="269"/>
    <w:qFormat/>
    <w:uiPriority w:val="0"/>
    <w:rPr>
      <w:kern w:val="2"/>
      <w:sz w:val="24"/>
      <w:szCs w:val="22"/>
      <w:lang w:bidi="ar-SA"/>
    </w:rPr>
  </w:style>
  <w:style w:type="paragraph" w:customStyle="1" w:styleId="269">
    <w:name w:val="黄正文"/>
    <w:basedOn w:val="1"/>
    <w:link w:val="268"/>
    <w:qFormat/>
    <w:uiPriority w:val="0"/>
    <w:pPr>
      <w:spacing w:line="360" w:lineRule="auto"/>
      <w:ind w:firstLine="480" w:firstLineChars="200"/>
    </w:pPr>
    <w:rPr>
      <w:rFonts w:eastAsia="Times New Roman"/>
      <w:sz w:val="24"/>
      <w:szCs w:val="22"/>
    </w:rPr>
  </w:style>
  <w:style w:type="paragraph" w:customStyle="1" w:styleId="270">
    <w:name w:val="+列表1"/>
    <w:basedOn w:val="1"/>
    <w:link w:val="271"/>
    <w:qFormat/>
    <w:uiPriority w:val="0"/>
    <w:pPr>
      <w:jc w:val="center"/>
    </w:pPr>
  </w:style>
  <w:style w:type="character" w:customStyle="1" w:styleId="271">
    <w:name w:val="+列表1 Char"/>
    <w:link w:val="270"/>
    <w:qFormat/>
    <w:uiPriority w:val="0"/>
    <w:rPr>
      <w:rFonts w:eastAsia="宋体"/>
      <w:kern w:val="2"/>
      <w:sz w:val="21"/>
      <w:szCs w:val="24"/>
      <w:lang w:val="en-US" w:eastAsia="zh-CN" w:bidi="ar-SA"/>
    </w:rPr>
  </w:style>
  <w:style w:type="paragraph" w:customStyle="1" w:styleId="272">
    <w:name w:val="列出段落1"/>
    <w:basedOn w:val="1"/>
    <w:qFormat/>
    <w:uiPriority w:val="0"/>
    <w:pPr>
      <w:adjustRightInd w:val="0"/>
      <w:spacing w:line="400" w:lineRule="exact"/>
      <w:ind w:firstLine="420" w:firstLineChars="200"/>
      <w:textAlignment w:val="baseline"/>
    </w:pPr>
    <w:rPr>
      <w:rFonts w:eastAsia="仿宋_GB2312" w:cs="宋体"/>
      <w:sz w:val="24"/>
      <w:szCs w:val="20"/>
    </w:rPr>
  </w:style>
  <w:style w:type="character" w:customStyle="1" w:styleId="273">
    <w:name w:val="简述正文"/>
    <w:qFormat/>
    <w:uiPriority w:val="0"/>
    <w:rPr>
      <w:sz w:val="23"/>
    </w:rPr>
  </w:style>
  <w:style w:type="paragraph" w:customStyle="1" w:styleId="274">
    <w:name w:val="表格123"/>
    <w:basedOn w:val="1"/>
    <w:qFormat/>
    <w:uiPriority w:val="0"/>
    <w:pPr>
      <w:jc w:val="center"/>
    </w:pPr>
    <w:rPr>
      <w:szCs w:val="30"/>
    </w:rPr>
  </w:style>
  <w:style w:type="character" w:customStyle="1" w:styleId="275">
    <w:name w:val="Char Char10"/>
    <w:basedOn w:val="65"/>
    <w:qFormat/>
    <w:uiPriority w:val="0"/>
    <w:rPr>
      <w:rFonts w:ascii="宋体" w:hAnsi="Courier New" w:cs="DFKai-SB"/>
      <w:kern w:val="2"/>
      <w:sz w:val="24"/>
      <w:szCs w:val="21"/>
    </w:rPr>
  </w:style>
  <w:style w:type="character" w:customStyle="1" w:styleId="276">
    <w:name w:val="标题 2 Char"/>
    <w:basedOn w:val="65"/>
    <w:link w:val="7"/>
    <w:qFormat/>
    <w:uiPriority w:val="9"/>
    <w:rPr>
      <w:rFonts w:ascii="宋体"/>
      <w:b/>
      <w:snapToGrid w:val="0"/>
      <w:color w:val="000000"/>
      <w:sz w:val="24"/>
    </w:rPr>
  </w:style>
  <w:style w:type="character" w:customStyle="1" w:styleId="277">
    <w:name w:val="标题 5 Char"/>
    <w:basedOn w:val="65"/>
    <w:link w:val="10"/>
    <w:qFormat/>
    <w:uiPriority w:val="0"/>
    <w:rPr>
      <w:rFonts w:ascii="Arial" w:hAnsi="Arial"/>
      <w:b/>
      <w:sz w:val="22"/>
      <w:lang w:val="en-GB"/>
    </w:rPr>
  </w:style>
  <w:style w:type="character" w:customStyle="1" w:styleId="278">
    <w:name w:val="标题 6 Char"/>
    <w:basedOn w:val="65"/>
    <w:link w:val="11"/>
    <w:qFormat/>
    <w:uiPriority w:val="0"/>
    <w:rPr>
      <w:rFonts w:ascii="Arial" w:hAnsi="Arial"/>
      <w:b/>
      <w:snapToGrid w:val="0"/>
      <w:sz w:val="26"/>
      <w:lang w:val="en-GB"/>
    </w:rPr>
  </w:style>
  <w:style w:type="character" w:customStyle="1" w:styleId="279">
    <w:name w:val="标题 7 Char"/>
    <w:basedOn w:val="65"/>
    <w:link w:val="12"/>
    <w:qFormat/>
    <w:uiPriority w:val="0"/>
    <w:rPr>
      <w:rFonts w:ascii="Arial" w:hAnsi="Arial"/>
      <w:b/>
      <w:sz w:val="22"/>
      <w:lang w:val="en-GB"/>
    </w:rPr>
  </w:style>
  <w:style w:type="character" w:customStyle="1" w:styleId="280">
    <w:name w:val="标题 8 Char"/>
    <w:basedOn w:val="65"/>
    <w:link w:val="13"/>
    <w:qFormat/>
    <w:uiPriority w:val="0"/>
    <w:rPr>
      <w:rFonts w:ascii="Arial" w:hAnsi="Arial"/>
      <w:b/>
      <w:sz w:val="22"/>
      <w:lang w:val="en-GB"/>
    </w:rPr>
  </w:style>
  <w:style w:type="character" w:customStyle="1" w:styleId="281">
    <w:name w:val="标题 9 Char"/>
    <w:basedOn w:val="65"/>
    <w:link w:val="14"/>
    <w:qFormat/>
    <w:uiPriority w:val="0"/>
    <w:rPr>
      <w:rFonts w:ascii="Arial" w:hAnsi="Arial"/>
      <w:b/>
      <w:sz w:val="22"/>
      <w:lang w:val="en-GB"/>
    </w:rPr>
  </w:style>
  <w:style w:type="character" w:customStyle="1" w:styleId="282">
    <w:name w:val="正文文本 Char"/>
    <w:basedOn w:val="65"/>
    <w:link w:val="6"/>
    <w:qFormat/>
    <w:uiPriority w:val="0"/>
    <w:rPr>
      <w:rFonts w:eastAsia="宋体"/>
      <w:kern w:val="2"/>
      <w:sz w:val="21"/>
      <w:szCs w:val="24"/>
      <w:lang w:val="en-US" w:eastAsia="zh-CN" w:bidi="ar-SA"/>
    </w:rPr>
  </w:style>
  <w:style w:type="character" w:customStyle="1" w:styleId="283">
    <w:name w:val="页眉 Char"/>
    <w:basedOn w:val="65"/>
    <w:link w:val="42"/>
    <w:qFormat/>
    <w:uiPriority w:val="0"/>
    <w:rPr>
      <w:rFonts w:ascii="宋体" w:hAnsi="宋体" w:eastAsia="宋体"/>
      <w:kern w:val="2"/>
      <w:sz w:val="18"/>
      <w:lang w:val="en-US" w:eastAsia="zh-CN" w:bidi="ar-SA"/>
    </w:rPr>
  </w:style>
  <w:style w:type="character" w:customStyle="1" w:styleId="284">
    <w:name w:val="正文文本缩进 3 Char"/>
    <w:basedOn w:val="65"/>
    <w:link w:val="50"/>
    <w:qFormat/>
    <w:uiPriority w:val="0"/>
    <w:rPr>
      <w:rFonts w:eastAsia="宋体"/>
      <w:kern w:val="2"/>
      <w:sz w:val="28"/>
      <w:lang w:val="en-US" w:eastAsia="zh-CN" w:bidi="ar-SA"/>
    </w:rPr>
  </w:style>
  <w:style w:type="character" w:customStyle="1" w:styleId="285">
    <w:name w:val="Char Char13"/>
    <w:basedOn w:val="65"/>
    <w:qFormat/>
    <w:uiPriority w:val="0"/>
    <w:rPr>
      <w:rFonts w:eastAsia="宋体"/>
      <w:kern w:val="2"/>
      <w:sz w:val="18"/>
      <w:lang w:val="en-US" w:eastAsia="zh-CN" w:bidi="ar-SA"/>
    </w:rPr>
  </w:style>
  <w:style w:type="character" w:customStyle="1" w:styleId="286">
    <w:name w:val="文档结构图 Char"/>
    <w:basedOn w:val="65"/>
    <w:link w:val="24"/>
    <w:semiHidden/>
    <w:qFormat/>
    <w:uiPriority w:val="0"/>
    <w:rPr>
      <w:rFonts w:eastAsia="宋体"/>
      <w:kern w:val="2"/>
      <w:sz w:val="21"/>
      <w:szCs w:val="24"/>
      <w:lang w:val="en-US" w:eastAsia="zh-CN" w:bidi="ar-SA"/>
    </w:rPr>
  </w:style>
  <w:style w:type="character" w:customStyle="1" w:styleId="287">
    <w:name w:val="正文文本 3 Char"/>
    <w:basedOn w:val="65"/>
    <w:link w:val="27"/>
    <w:qFormat/>
    <w:uiPriority w:val="0"/>
    <w:rPr>
      <w:rFonts w:eastAsia="宋体"/>
      <w:kern w:val="2"/>
      <w:sz w:val="24"/>
      <w:lang w:val="en-US" w:eastAsia="zh-CN" w:bidi="ar-SA"/>
    </w:rPr>
  </w:style>
  <w:style w:type="paragraph" w:customStyle="1" w:styleId="288">
    <w:name w:val="Char21"/>
    <w:basedOn w:val="1"/>
    <w:qFormat/>
    <w:uiPriority w:val="0"/>
  </w:style>
  <w:style w:type="character" w:customStyle="1" w:styleId="289">
    <w:name w:val="Char Char71"/>
    <w:basedOn w:val="65"/>
    <w:qFormat/>
    <w:uiPriority w:val="0"/>
    <w:rPr>
      <w:rFonts w:eastAsia="宋体"/>
      <w:kern w:val="2"/>
      <w:sz w:val="30"/>
      <w:lang w:val="en-US" w:eastAsia="zh-CN" w:bidi="ar-SA"/>
    </w:rPr>
  </w:style>
  <w:style w:type="character" w:customStyle="1" w:styleId="290">
    <w:name w:val="Char Char61"/>
    <w:basedOn w:val="65"/>
    <w:semiHidden/>
    <w:qFormat/>
    <w:uiPriority w:val="0"/>
    <w:rPr>
      <w:rFonts w:ascii="宋体" w:hAnsi="宋体" w:eastAsia="宋体"/>
      <w:kern w:val="2"/>
      <w:sz w:val="18"/>
      <w:szCs w:val="18"/>
      <w:lang w:val="en-US" w:eastAsia="zh-CN" w:bidi="ar-SA"/>
    </w:rPr>
  </w:style>
  <w:style w:type="paragraph" w:customStyle="1" w:styleId="291">
    <w:name w:val="正文11"/>
    <w:qFormat/>
    <w:uiPriority w:val="0"/>
    <w:pPr>
      <w:widowControl w:val="0"/>
      <w:adjustRightInd w:val="0"/>
      <w:spacing w:line="312" w:lineRule="atLeast"/>
      <w:jc w:val="both"/>
      <w:textAlignment w:val="baseline"/>
    </w:pPr>
    <w:rPr>
      <w:rFonts w:ascii="Times New Roman" w:hAnsi="Times New Roman" w:eastAsia="宋体" w:cs="Times New Roman"/>
      <w:sz w:val="24"/>
      <w:lang w:val="en-US" w:eastAsia="zh-CN" w:bidi="ar-SA"/>
    </w:rPr>
  </w:style>
  <w:style w:type="character" w:customStyle="1" w:styleId="292">
    <w:name w:val="Char Char51"/>
    <w:basedOn w:val="65"/>
    <w:semiHidden/>
    <w:qFormat/>
    <w:uiPriority w:val="0"/>
    <w:rPr>
      <w:rFonts w:eastAsia="宋体"/>
      <w:kern w:val="2"/>
      <w:sz w:val="21"/>
      <w:szCs w:val="24"/>
      <w:lang w:val="en-US" w:eastAsia="zh-CN" w:bidi="ar-SA"/>
    </w:rPr>
  </w:style>
  <w:style w:type="character" w:customStyle="1" w:styleId="293">
    <w:name w:val="Char Char41"/>
    <w:basedOn w:val="292"/>
    <w:semiHidden/>
    <w:qFormat/>
    <w:uiPriority w:val="0"/>
    <w:rPr>
      <w:rFonts w:eastAsia="宋体"/>
      <w:b/>
      <w:bCs/>
      <w:kern w:val="2"/>
      <w:sz w:val="21"/>
      <w:szCs w:val="24"/>
      <w:lang w:val="en-US" w:eastAsia="zh-CN" w:bidi="ar-SA"/>
    </w:rPr>
  </w:style>
  <w:style w:type="character" w:customStyle="1" w:styleId="294">
    <w:name w:val="Char Char31"/>
    <w:basedOn w:val="65"/>
    <w:qFormat/>
    <w:uiPriority w:val="0"/>
    <w:rPr>
      <w:rFonts w:ascii="Arial" w:hAnsi="Arial" w:eastAsia="宋体"/>
      <w:b/>
      <w:kern w:val="2"/>
      <w:sz w:val="32"/>
      <w:lang w:val="en-US" w:eastAsia="zh-CN" w:bidi="ar-SA"/>
    </w:rPr>
  </w:style>
  <w:style w:type="character" w:customStyle="1" w:styleId="295">
    <w:name w:val="Char Char21"/>
    <w:basedOn w:val="65"/>
    <w:qFormat/>
    <w:uiPriority w:val="0"/>
    <w:rPr>
      <w:rFonts w:ascii="Arial" w:hAnsi="Arial" w:eastAsia="楷体"/>
      <w:b/>
      <w:kern w:val="2"/>
      <w:sz w:val="32"/>
      <w:szCs w:val="28"/>
      <w:lang w:val="en-US" w:eastAsia="zh-CN" w:bidi="ar-SA"/>
    </w:rPr>
  </w:style>
  <w:style w:type="paragraph" w:customStyle="1" w:styleId="296">
    <w:name w:val="Char Char Char Char Char Char1 Char1"/>
    <w:basedOn w:val="1"/>
    <w:qFormat/>
    <w:uiPriority w:val="0"/>
    <w:pPr>
      <w:widowControl/>
      <w:spacing w:after="160" w:line="240" w:lineRule="exact"/>
      <w:jc w:val="left"/>
    </w:pPr>
    <w:rPr>
      <w:rFonts w:ascii="Verdana" w:hAnsi="Verdana"/>
      <w:kern w:val="0"/>
      <w:szCs w:val="20"/>
      <w:lang w:eastAsia="en-US"/>
    </w:rPr>
  </w:style>
  <w:style w:type="character" w:customStyle="1" w:styleId="297">
    <w:name w:val="Char Char11"/>
    <w:basedOn w:val="65"/>
    <w:qFormat/>
    <w:uiPriority w:val="0"/>
    <w:rPr>
      <w:rFonts w:ascii="Cambria" w:hAnsi="Cambria" w:eastAsia="宋体"/>
      <w:b/>
      <w:bCs/>
      <w:kern w:val="28"/>
      <w:sz w:val="32"/>
      <w:szCs w:val="32"/>
      <w:lang w:val="en-US" w:eastAsia="zh-CN" w:bidi="ar-SA"/>
    </w:rPr>
  </w:style>
  <w:style w:type="character" w:customStyle="1" w:styleId="298">
    <w:name w:val="Char Char8"/>
    <w:basedOn w:val="65"/>
    <w:qFormat/>
    <w:uiPriority w:val="0"/>
    <w:rPr>
      <w:rFonts w:ascii="Cambria" w:hAnsi="Cambria" w:cs="Times New Roman"/>
      <w:b/>
      <w:bCs/>
      <w:kern w:val="28"/>
      <w:sz w:val="32"/>
      <w:szCs w:val="32"/>
    </w:rPr>
  </w:style>
  <w:style w:type="paragraph" w:customStyle="1" w:styleId="299">
    <w:name w:val="Char11"/>
    <w:basedOn w:val="1"/>
    <w:qFormat/>
    <w:uiPriority w:val="0"/>
    <w:rPr>
      <w:rFonts w:ascii="仿宋_GB2312" w:eastAsia="仿宋_GB2312"/>
      <w:b/>
      <w:sz w:val="32"/>
      <w:szCs w:val="32"/>
    </w:rPr>
  </w:style>
  <w:style w:type="paragraph" w:customStyle="1" w:styleId="300">
    <w:name w:val="Char Char2 Char Char Char Char Char Char Char Char Char Char Char Char Char1"/>
    <w:basedOn w:val="1"/>
    <w:qFormat/>
    <w:uiPriority w:val="0"/>
    <w:pPr>
      <w:ind w:firstLine="360" w:firstLineChars="150"/>
    </w:pPr>
    <w:rPr>
      <w:rFonts w:ascii="Tahoma" w:hAnsi="Tahoma"/>
      <w:sz w:val="24"/>
      <w:szCs w:val="20"/>
    </w:rPr>
  </w:style>
  <w:style w:type="character" w:customStyle="1" w:styleId="301">
    <w:name w:val="文字 Char Char"/>
    <w:link w:val="302"/>
    <w:qFormat/>
    <w:uiPriority w:val="0"/>
    <w:rPr>
      <w:rFonts w:ascii="宋体"/>
      <w:sz w:val="28"/>
      <w:lang w:bidi="ar-SA"/>
    </w:rPr>
  </w:style>
  <w:style w:type="paragraph" w:customStyle="1" w:styleId="302">
    <w:name w:val="文字"/>
    <w:basedOn w:val="1"/>
    <w:link w:val="301"/>
    <w:qFormat/>
    <w:uiPriority w:val="0"/>
    <w:pPr>
      <w:tabs>
        <w:tab w:val="left" w:pos="8520"/>
      </w:tabs>
      <w:spacing w:line="312" w:lineRule="auto"/>
      <w:ind w:right="-210" w:firstLine="556"/>
    </w:pPr>
    <w:rPr>
      <w:rFonts w:ascii="宋体" w:eastAsia="Times New Roman"/>
      <w:kern w:val="0"/>
      <w:sz w:val="28"/>
      <w:szCs w:val="20"/>
    </w:rPr>
  </w:style>
  <w:style w:type="paragraph" w:customStyle="1" w:styleId="303">
    <w:name w:val="样式 样式9 + 小四 黑色"/>
    <w:basedOn w:val="230"/>
    <w:qFormat/>
    <w:uiPriority w:val="0"/>
    <w:rPr>
      <w:bCs/>
      <w:color w:val="000000"/>
      <w:sz w:val="24"/>
    </w:rPr>
  </w:style>
  <w:style w:type="paragraph" w:customStyle="1" w:styleId="304">
    <w:name w:val="样式 样式9 + 小四 黑色1"/>
    <w:basedOn w:val="230"/>
    <w:link w:val="305"/>
    <w:qFormat/>
    <w:uiPriority w:val="0"/>
    <w:rPr>
      <w:bCs/>
      <w:color w:val="000000"/>
      <w:sz w:val="24"/>
    </w:rPr>
  </w:style>
  <w:style w:type="character" w:customStyle="1" w:styleId="305">
    <w:name w:val="样式 样式9 + 小四 黑色1 Char"/>
    <w:basedOn w:val="231"/>
    <w:link w:val="304"/>
    <w:qFormat/>
    <w:uiPriority w:val="0"/>
    <w:rPr>
      <w:rFonts w:ascii="Arial" w:hAnsi="Arial" w:eastAsia="宋体"/>
      <w:bCs/>
      <w:color w:val="000000"/>
      <w:sz w:val="24"/>
      <w:szCs w:val="28"/>
      <w:lang w:val="en-US" w:eastAsia="zh-CN" w:bidi="ar-SA"/>
    </w:rPr>
  </w:style>
  <w:style w:type="character" w:customStyle="1" w:styleId="306">
    <w:name w:val="黄1.1.1 Char"/>
    <w:basedOn w:val="65"/>
    <w:link w:val="307"/>
    <w:qFormat/>
    <w:uiPriority w:val="0"/>
    <w:rPr>
      <w:rFonts w:eastAsia="黑体"/>
      <w:b/>
      <w:bCs/>
      <w:sz w:val="24"/>
      <w:szCs w:val="32"/>
      <w:lang w:bidi="en-US"/>
    </w:rPr>
  </w:style>
  <w:style w:type="paragraph" w:customStyle="1" w:styleId="307">
    <w:name w:val="黄1.1.1"/>
    <w:basedOn w:val="1"/>
    <w:next w:val="8"/>
    <w:link w:val="306"/>
    <w:qFormat/>
    <w:uiPriority w:val="0"/>
    <w:pPr>
      <w:keepNext/>
      <w:keepLines/>
      <w:spacing w:line="360" w:lineRule="auto"/>
      <w:outlineLvl w:val="2"/>
    </w:pPr>
    <w:rPr>
      <w:rFonts w:eastAsia="黑体"/>
      <w:b/>
      <w:bCs/>
      <w:kern w:val="0"/>
      <w:sz w:val="24"/>
      <w:szCs w:val="32"/>
      <w:lang w:bidi="en-US"/>
    </w:rPr>
  </w:style>
  <w:style w:type="character" w:customStyle="1" w:styleId="308">
    <w:name w:val="页脚 Char"/>
    <w:basedOn w:val="65"/>
    <w:qFormat/>
    <w:uiPriority w:val="0"/>
    <w:rPr>
      <w:kern w:val="2"/>
      <w:sz w:val="18"/>
      <w:lang w:bidi="ar-SA"/>
    </w:rPr>
  </w:style>
  <w:style w:type="paragraph" w:customStyle="1" w:styleId="309">
    <w:name w:val="reader-word-layer reader-word-s1-1"/>
    <w:basedOn w:val="1"/>
    <w:qFormat/>
    <w:uiPriority w:val="0"/>
    <w:pPr>
      <w:widowControl/>
      <w:spacing w:before="100" w:beforeAutospacing="1" w:after="100" w:afterAutospacing="1"/>
      <w:jc w:val="left"/>
    </w:pPr>
    <w:rPr>
      <w:rFonts w:ascii="宋体" w:hAnsi="宋体" w:cs="宋体"/>
      <w:kern w:val="0"/>
      <w:sz w:val="24"/>
    </w:rPr>
  </w:style>
  <w:style w:type="paragraph" w:customStyle="1" w:styleId="310">
    <w:name w:val="reader-word-layer reader-word-s1-4"/>
    <w:basedOn w:val="1"/>
    <w:qFormat/>
    <w:uiPriority w:val="0"/>
    <w:pPr>
      <w:widowControl/>
      <w:spacing w:before="100" w:beforeAutospacing="1" w:after="100" w:afterAutospacing="1"/>
      <w:jc w:val="left"/>
    </w:pPr>
    <w:rPr>
      <w:rFonts w:ascii="宋体" w:hAnsi="宋体" w:cs="宋体"/>
      <w:kern w:val="0"/>
      <w:sz w:val="24"/>
    </w:rPr>
  </w:style>
  <w:style w:type="character" w:styleId="311">
    <w:name w:val="Placeholder Text"/>
    <w:basedOn w:val="65"/>
    <w:semiHidden/>
    <w:qFormat/>
    <w:uiPriority w:val="99"/>
    <w:rPr>
      <w:color w:val="808080"/>
    </w:rPr>
  </w:style>
  <w:style w:type="paragraph" w:customStyle="1" w:styleId="312">
    <w:name w:val="样式 首行缩进:  2 字符"/>
    <w:basedOn w:val="1"/>
    <w:qFormat/>
    <w:uiPriority w:val="0"/>
    <w:pPr>
      <w:spacing w:line="360" w:lineRule="auto"/>
      <w:ind w:firstLine="560" w:firstLineChars="200"/>
    </w:pPr>
    <w:rPr>
      <w:rFonts w:cs="宋体"/>
      <w:sz w:val="24"/>
      <w:szCs w:val="20"/>
    </w:rPr>
  </w:style>
  <w:style w:type="paragraph" w:customStyle="1" w:styleId="313">
    <w:name w:val="Revision"/>
    <w:hidden/>
    <w:semiHidden/>
    <w:qFormat/>
    <w:uiPriority w:val="99"/>
    <w:rPr>
      <w:rFonts w:ascii="Times New Roman" w:hAnsi="Times New Roman" w:eastAsia="宋体" w:cs="Times New Roman"/>
      <w:kern w:val="2"/>
      <w:sz w:val="21"/>
      <w:szCs w:val="24"/>
      <w:lang w:val="en-US" w:eastAsia="zh-CN" w:bidi="ar-SA"/>
    </w:rPr>
  </w:style>
  <w:style w:type="paragraph" w:customStyle="1" w:styleId="314">
    <w:name w:val="_Style 12"/>
    <w:basedOn w:val="1"/>
    <w:semiHidden/>
    <w:qFormat/>
    <w:uiPriority w:val="0"/>
    <w:rPr>
      <w:rFonts w:eastAsia="Times New Roman"/>
      <w:kern w:val="0"/>
      <w:sz w:val="20"/>
    </w:rPr>
  </w:style>
  <w:style w:type="paragraph" w:customStyle="1" w:styleId="315">
    <w:name w:val="A-table"/>
    <w:basedOn w:val="1"/>
    <w:qFormat/>
    <w:uiPriority w:val="0"/>
    <w:pPr>
      <w:tabs>
        <w:tab w:val="left" w:pos="851"/>
      </w:tabs>
      <w:adjustRightInd w:val="0"/>
      <w:spacing w:line="264" w:lineRule="auto"/>
      <w:ind w:left="10" w:leftChars="10" w:right="10" w:rightChars="10"/>
      <w:jc w:val="left"/>
      <w:textAlignment w:val="baseline"/>
    </w:pPr>
    <w:rPr>
      <w:kern w:val="0"/>
    </w:rPr>
  </w:style>
  <w:style w:type="paragraph" w:customStyle="1" w:styleId="316">
    <w:name w:val="纯文本1"/>
    <w:basedOn w:val="1"/>
    <w:qFormat/>
    <w:uiPriority w:val="0"/>
    <w:rPr>
      <w:rFonts w:ascii="宋体" w:hAnsi="Courier New"/>
      <w:szCs w:val="20"/>
    </w:rPr>
  </w:style>
  <w:style w:type="paragraph" w:customStyle="1" w:styleId="317">
    <w:name w:val="s正文"/>
    <w:qFormat/>
    <w:uiPriority w:val="0"/>
    <w:pPr>
      <w:spacing w:line="360" w:lineRule="auto"/>
      <w:ind w:firstLine="560"/>
      <w:textAlignment w:val="center"/>
    </w:pPr>
    <w:rPr>
      <w:rFonts w:ascii="Times New Roman" w:hAnsi="Times New Roman" w:eastAsia="宋体" w:cs="Times New Roman"/>
      <w:sz w:val="28"/>
      <w:lang w:val="en-US" w:eastAsia="zh-CN" w:bidi="ar-SA"/>
    </w:rPr>
  </w:style>
  <w:style w:type="paragraph" w:customStyle="1" w:styleId="318">
    <w:name w:val="b"/>
    <w:basedOn w:val="1"/>
    <w:qFormat/>
    <w:uiPriority w:val="0"/>
    <w:pPr>
      <w:tabs>
        <w:tab w:val="center" w:pos="4706"/>
        <w:tab w:val="right" w:pos="9044"/>
      </w:tabs>
      <w:topLinePunct/>
      <w:spacing w:before="160" w:after="60" w:line="312" w:lineRule="exact"/>
      <w:jc w:val="center"/>
    </w:pPr>
    <w:rPr>
      <w:rFonts w:ascii="Arial" w:hAnsi="Arial" w:eastAsia="黑体"/>
      <w:kern w:val="0"/>
      <w:szCs w:val="21"/>
    </w:rPr>
  </w:style>
  <w:style w:type="paragraph" w:customStyle="1" w:styleId="319">
    <w:name w:val="r"/>
    <w:basedOn w:val="1"/>
    <w:qFormat/>
    <w:uiPriority w:val="0"/>
    <w:pPr>
      <w:widowControl/>
      <w:topLinePunct/>
      <w:snapToGrid w:val="0"/>
      <w:spacing w:before="60" w:after="60"/>
      <w:jc w:val="center"/>
    </w:pPr>
    <w:rPr>
      <w:sz w:val="18"/>
      <w:szCs w:val="18"/>
    </w:rPr>
  </w:style>
  <w:style w:type="paragraph" w:customStyle="1" w:styleId="320">
    <w:name w:val="表格内字体字号"/>
    <w:basedOn w:val="1"/>
    <w:qFormat/>
    <w:uiPriority w:val="0"/>
    <w:pPr>
      <w:topLinePunct/>
      <w:snapToGrid w:val="0"/>
      <w:spacing w:before="62" w:beforeLines="20" w:after="62" w:afterLines="20"/>
      <w:ind w:left="30" w:leftChars="30" w:right="30" w:rightChars="30"/>
      <w:jc w:val="center"/>
    </w:pPr>
    <w:rPr>
      <w:sz w:val="18"/>
      <w:szCs w:val="18"/>
    </w:rPr>
  </w:style>
  <w:style w:type="paragraph" w:customStyle="1" w:styleId="321">
    <w:name w:val="Bgg"/>
    <w:basedOn w:val="1"/>
    <w:qFormat/>
    <w:uiPriority w:val="0"/>
    <w:pPr>
      <w:topLinePunct/>
      <w:snapToGrid w:val="0"/>
      <w:jc w:val="center"/>
    </w:pPr>
    <w:rPr>
      <w:rFonts w:hAnsi="宋体"/>
      <w:color w:val="000000"/>
      <w:kern w:val="21"/>
      <w:sz w:val="18"/>
    </w:rPr>
  </w:style>
  <w:style w:type="paragraph" w:customStyle="1" w:styleId="322">
    <w:name w:val="bbb"/>
    <w:basedOn w:val="1"/>
    <w:qFormat/>
    <w:uiPriority w:val="0"/>
    <w:pPr>
      <w:spacing w:line="312" w:lineRule="exact"/>
    </w:pPr>
    <w:rPr>
      <w:rFonts w:hAnsi="宋体"/>
      <w:b/>
    </w:rPr>
  </w:style>
  <w:style w:type="paragraph" w:customStyle="1" w:styleId="323">
    <w:name w:val="表文"/>
    <w:basedOn w:val="1"/>
    <w:qFormat/>
    <w:uiPriority w:val="0"/>
    <w:pPr>
      <w:widowControl w:val="0"/>
      <w:topLinePunct/>
      <w:spacing w:before="40" w:after="40" w:line="240" w:lineRule="auto"/>
      <w:jc w:val="both"/>
    </w:pPr>
    <w:rPr>
      <w:rFonts w:ascii="Times New Roman" w:hAnsi="Times New Roman"/>
      <w:kern w:val="2"/>
      <w:sz w:val="18"/>
      <w:szCs w:val="24"/>
    </w:rPr>
  </w:style>
  <w:style w:type="character" w:customStyle="1" w:styleId="324">
    <w:name w:val="font21"/>
    <w:basedOn w:val="65"/>
    <w:qFormat/>
    <w:uiPriority w:val="0"/>
    <w:rPr>
      <w:rFonts w:hint="eastAsia" w:ascii="宋体" w:hAnsi="宋体" w:eastAsia="宋体" w:cs="宋体"/>
      <w:color w:val="000000"/>
      <w:sz w:val="32"/>
      <w:szCs w:val="32"/>
      <w:u w:val="none"/>
    </w:rPr>
  </w:style>
  <w:style w:type="character" w:customStyle="1" w:styleId="325">
    <w:name w:val="font41"/>
    <w:basedOn w:val="65"/>
    <w:qFormat/>
    <w:uiPriority w:val="0"/>
    <w:rPr>
      <w:rFonts w:hint="default" w:ascii="Times New Roman" w:hAnsi="Times New Roman" w:cs="Times New Roman"/>
      <w:color w:val="000000"/>
      <w:sz w:val="32"/>
      <w:szCs w:val="32"/>
      <w:u w:val="none"/>
    </w:rPr>
  </w:style>
  <w:style w:type="character" w:customStyle="1" w:styleId="326">
    <w:name w:val="font31"/>
    <w:basedOn w:val="65"/>
    <w:qFormat/>
    <w:uiPriority w:val="0"/>
    <w:rPr>
      <w:rFonts w:hint="eastAsia" w:ascii="宋体" w:hAnsi="宋体" w:eastAsia="宋体" w:cs="宋体"/>
      <w:color w:val="000000"/>
      <w:sz w:val="32"/>
      <w:szCs w:val="32"/>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3" Type="http://schemas.openxmlformats.org/officeDocument/2006/relationships/fontTable" Target="fontTable.xml"/><Relationship Id="rId32" Type="http://schemas.openxmlformats.org/officeDocument/2006/relationships/customXml" Target="../customXml/item2.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header" Target="header1.xml"/><Relationship Id="rId29" Type="http://schemas.openxmlformats.org/officeDocument/2006/relationships/image" Target="media/image20.png"/><Relationship Id="rId28" Type="http://schemas.openxmlformats.org/officeDocument/2006/relationships/image" Target="media/image19.png"/><Relationship Id="rId27" Type="http://schemas.openxmlformats.org/officeDocument/2006/relationships/image" Target="media/image18.png"/><Relationship Id="rId26" Type="http://schemas.openxmlformats.org/officeDocument/2006/relationships/image" Target="media/image17.png"/><Relationship Id="rId25" Type="http://schemas.openxmlformats.org/officeDocument/2006/relationships/image" Target="media/image16.png"/><Relationship Id="rId24" Type="http://schemas.openxmlformats.org/officeDocument/2006/relationships/image" Target="media/image15.png"/><Relationship Id="rId23" Type="http://schemas.openxmlformats.org/officeDocument/2006/relationships/image" Target="media/image14.png"/><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wmf"/><Relationship Id="rId14" Type="http://schemas.openxmlformats.org/officeDocument/2006/relationships/image" Target="media/image5.wmf"/><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C9D87C-10F3-4051-A49E-F8FB43A9ACA6}">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147</Pages>
  <Words>61054</Words>
  <Characters>66581</Characters>
  <Lines>31</Lines>
  <Paragraphs>25</Paragraphs>
  <TotalTime>108</TotalTime>
  <ScaleCrop>false</ScaleCrop>
  <LinksUpToDate>false</LinksUpToDate>
  <CharactersWithSpaces>67257</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2018-06-24T14:04:00Z</dcterms:created>
  <dc:creator>TCL</dc:creator>
  <cp:lastModifiedBy>张婉华</cp:lastModifiedBy>
  <cp:lastPrinted>2012-07-10T01:22:00Z</cp:lastPrinted>
  <dcterms:modified xsi:type="dcterms:W3CDTF">2022-10-18T03:33:24Z</dcterms:modified>
  <dc:title>第1章    概述</dc:title>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3B1DA8A4DACC479FAEC708886F2956CF</vt:lpwstr>
  </property>
</Properties>
</file>