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jpeg" ContentType="image/jpeg"/>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body>
    <w:p>
      <w:pPr>
        <w:rPr>
          <w:rFonts w:ascii="仿宋" w:eastAsia="仿宋" w:cs="仿宋"/>
          <w:szCs w:val="21"/>
        </w:rPr>
      </w:pPr>
      <w:bookmarkStart w:id="0" w:name="_Toc11223019"/>
      <w:bookmarkStart w:id="1" w:name="_Toc11222947"/>
      <w:bookmarkStart w:id="2" w:name="_Toc11224045"/>
      <w:bookmarkStart w:id="3" w:name="_Toc11223153"/>
      <w:bookmarkStart w:id="4" w:name="_Toc6173"/>
      <w:bookmarkStart w:id="5" w:name="_Toc19728"/>
      <w:bookmarkStart w:id="6" w:name="_Toc16389"/>
      <w:bookmarkStart w:id="7" w:name="_Toc27755"/>
      <w:bookmarkStart w:id="8" w:name="_GoBack"/>
      <w:bookmarkEnd w:id="8"/>
    </w:p>
    <w:p>
      <w:pPr>
        <w:rPr>
          <w:rFonts w:ascii="仿宋" w:eastAsia="仿宋" w:cs="仿宋"/>
          <w:szCs w:val="21"/>
        </w:rPr>
      </w:pPr>
    </w:p>
    <w:p>
      <w:pPr>
        <w:spacing w:beforeLines="50" w:before="156" w:afterLines="50" w:after="156" w:line="560" w:lineRule="exact"/>
        <w:jc w:val="center"/>
        <w:outlineLvl w:val="9"/>
        <w:rPr>
          <w:rFonts w:ascii="宋体" w:cs="仿宋"/>
          <w:b/>
          <w:bCs/>
          <w:sz w:val="44"/>
          <w:szCs w:val="44"/>
        </w:rPr>
      </w:pPr>
      <w:bookmarkStart w:id="9" w:name="_Toc23807"/>
      <w:bookmarkStart w:id="10" w:name="_Toc3754"/>
      <w:r>
        <w:rPr>
          <w:rFonts w:ascii="宋体" w:cs="仿宋" w:hint="eastAsia"/>
          <w:b/>
          <w:bCs/>
          <w:sz w:val="44"/>
          <w:szCs w:val="44"/>
        </w:rPr>
        <w:t>乌江涪陵榨菜绿色智能化生产基地</w:t>
      </w:r>
      <w:bookmarkEnd w:id="9"/>
      <w:bookmarkEnd w:id="10"/>
    </w:p>
    <w:p>
      <w:pPr>
        <w:spacing w:beforeLines="50" w:before="156" w:afterLines="50" w:after="156" w:line="560" w:lineRule="exact"/>
        <w:jc w:val="center"/>
        <w:outlineLvl w:val="9"/>
        <w:rPr>
          <w:rFonts w:ascii="宋体" w:cs="仿宋"/>
          <w:b/>
          <w:bCs/>
          <w:sz w:val="44"/>
          <w:szCs w:val="44"/>
        </w:rPr>
      </w:pPr>
      <w:bookmarkEnd w:id="0"/>
      <w:bookmarkEnd w:id="1"/>
      <w:bookmarkEnd w:id="2"/>
      <w:bookmarkEnd w:id="3"/>
      <w:r>
        <w:rPr>
          <w:rFonts w:ascii="宋体" w:cs="仿宋" w:hint="eastAsia"/>
          <w:b/>
          <w:bCs/>
          <w:sz w:val="44"/>
          <w:szCs w:val="44"/>
        </w:rPr>
        <w:t>盐水自动化智能化循环系统</w:t>
      </w:r>
    </w:p>
    <w:p>
      <w:pPr>
        <w:spacing w:beforeLines="50" w:before="156" w:afterLines="50" w:after="156" w:line="560" w:lineRule="exact"/>
        <w:jc w:val="center"/>
        <w:outlineLvl w:val="9"/>
        <w:rPr>
          <w:rFonts w:ascii="宋体" w:cs="仿宋"/>
          <w:b/>
          <w:bCs/>
          <w:sz w:val="44"/>
          <w:szCs w:val="44"/>
        </w:rPr>
      </w:pPr>
      <w:r>
        <w:rPr>
          <w:rFonts w:ascii="宋体" w:cs="仿宋" w:hint="eastAsia"/>
          <w:b/>
          <w:bCs/>
          <w:sz w:val="44"/>
          <w:szCs w:val="44"/>
        </w:rPr>
        <w:t>设计和</w:t>
      </w:r>
      <w:r>
        <w:rPr>
          <w:rFonts w:ascii="宋体" w:cs="仿宋" w:hint="eastAsia"/>
          <w:b/>
          <w:bCs/>
          <w:sz w:val="44"/>
          <w:szCs w:val="44"/>
          <w:lang w:eastAsia="zh-CN"/>
        </w:rPr>
        <w:t>设备</w:t>
      </w:r>
      <w:r>
        <w:rPr>
          <w:rFonts w:ascii="宋体" w:cs="仿宋"/>
          <w:b/>
          <w:bCs/>
          <w:sz w:val="44"/>
          <w:szCs w:val="44"/>
        </w:rPr>
        <w:t>工程</w:t>
      </w:r>
    </w:p>
    <w:p>
      <w:pPr>
        <w:spacing w:line="23" w:lineRule="atLeast"/>
        <w:rPr>
          <w:rFonts w:ascii="仿宋" w:eastAsia="仿宋" w:cs="仿宋"/>
          <w:b/>
          <w:szCs w:val="21"/>
        </w:rPr>
      </w:pPr>
    </w:p>
    <w:p>
      <w:pPr>
        <w:spacing w:line="23" w:lineRule="atLeast"/>
        <w:jc w:val="center"/>
        <w:rPr>
          <w:rFonts w:ascii="仿宋" w:eastAsia="仿宋" w:cs="仿宋"/>
          <w:b/>
          <w:szCs w:val="21"/>
        </w:rPr>
      </w:pPr>
    </w:p>
    <w:p>
      <w:pPr>
        <w:spacing w:line="23" w:lineRule="atLeast"/>
        <w:jc w:val="center"/>
        <w:rPr>
          <w:rFonts w:ascii="仿宋" w:eastAsia="仿宋" w:cs="仿宋"/>
          <w:b/>
          <w:szCs w:val="21"/>
        </w:rPr>
      </w:pPr>
    </w:p>
    <w:p>
      <w:pPr>
        <w:spacing w:line="23" w:lineRule="atLeast"/>
        <w:jc w:val="center"/>
        <w:rPr>
          <w:rFonts w:ascii="仿宋" w:eastAsia="仿宋" w:cs="仿宋"/>
          <w:b/>
          <w:szCs w:val="21"/>
        </w:rPr>
      </w:pPr>
    </w:p>
    <w:p>
      <w:pPr>
        <w:spacing w:beforeLines="50" w:before="156" w:afterLines="50" w:after="156" w:line="23" w:lineRule="atLeast"/>
        <w:jc w:val="center"/>
        <w:outlineLvl w:val="9"/>
        <w:rPr>
          <w:rFonts w:ascii="黑体" w:eastAsia="黑体" w:cs="仿宋"/>
          <w:b/>
          <w:spacing w:val="200"/>
          <w:sz w:val="52"/>
          <w:szCs w:val="52"/>
        </w:rPr>
      </w:pPr>
      <w:r>
        <w:rPr>
          <w:rFonts w:ascii="黑体" w:eastAsia="黑体" w:cs="仿宋" w:hint="eastAsia"/>
          <w:b/>
          <w:spacing w:val="200"/>
          <w:sz w:val="52"/>
          <w:szCs w:val="52"/>
        </w:rPr>
        <w:t>招标技术文件</w:t>
      </w:r>
    </w:p>
    <w:p>
      <w:pPr>
        <w:pStyle w:val="32"/>
        <w:spacing w:line="23" w:lineRule="atLeast"/>
        <w:rPr>
          <w:rFonts w:ascii="仿宋" w:eastAsia="仿宋" w:cs="仿宋"/>
          <w:b/>
          <w:bCs/>
          <w:sz w:val="21"/>
          <w:szCs w:val="21"/>
        </w:rPr>
      </w:pPr>
    </w:p>
    <w:p>
      <w:pPr>
        <w:pStyle w:val="32"/>
        <w:spacing w:line="23" w:lineRule="atLeast"/>
        <w:rPr>
          <w:rFonts w:ascii="仿宋" w:eastAsia="仿宋" w:cs="仿宋"/>
          <w:b/>
          <w:bCs/>
          <w:sz w:val="21"/>
          <w:szCs w:val="21"/>
        </w:rPr>
      </w:pPr>
    </w:p>
    <w:p>
      <w:pPr>
        <w:pStyle w:val="15"/>
        <w:spacing w:line="23" w:lineRule="atLeast"/>
        <w:jc w:val="center"/>
        <w:rPr>
          <w:rFonts w:ascii="仿宋" w:eastAsia="仿宋" w:cs="仿宋"/>
          <w:b/>
          <w:bCs/>
          <w:szCs w:val="21"/>
        </w:rPr>
      </w:pPr>
    </w:p>
    <w:p>
      <w:pPr>
        <w:pStyle w:val="15"/>
        <w:spacing w:line="23" w:lineRule="atLeast"/>
        <w:jc w:val="center"/>
        <w:rPr>
          <w:rFonts w:ascii="仿宋" w:eastAsia="仿宋" w:cs="仿宋"/>
          <w:b/>
          <w:bCs/>
          <w:szCs w:val="21"/>
        </w:rPr>
      </w:pPr>
    </w:p>
    <w:p>
      <w:pPr>
        <w:pStyle w:val="15"/>
        <w:spacing w:line="23" w:lineRule="atLeast"/>
        <w:jc w:val="center"/>
        <w:rPr>
          <w:rFonts w:ascii="仿宋" w:eastAsia="仿宋" w:cs="仿宋"/>
          <w:szCs w:val="21"/>
        </w:rPr>
      </w:pPr>
    </w:p>
    <w:p>
      <w:pPr>
        <w:pStyle w:val="15"/>
        <w:spacing w:line="23" w:lineRule="atLeast"/>
        <w:jc w:val="center"/>
        <w:rPr>
          <w:rFonts w:ascii="仿宋" w:eastAsia="仿宋" w:cs="仿宋"/>
          <w:szCs w:val="21"/>
        </w:rPr>
      </w:pPr>
    </w:p>
    <w:p>
      <w:pPr>
        <w:rPr>
          <w:rFonts w:ascii="仿宋" w:eastAsia="仿宋" w:cs="仿宋"/>
          <w:szCs w:val="21"/>
        </w:rPr>
      </w:pPr>
    </w:p>
    <w:p>
      <w:pPr>
        <w:spacing w:line="23" w:lineRule="atLeast"/>
        <w:jc w:val="center"/>
        <w:rPr>
          <w:rFonts w:ascii="仿宋" w:eastAsia="仿宋" w:cs="仿宋"/>
          <w:b/>
          <w:szCs w:val="21"/>
        </w:rPr>
      </w:pPr>
    </w:p>
    <w:p>
      <w:pPr>
        <w:spacing w:line="23" w:lineRule="atLeast"/>
        <w:jc w:val="center"/>
        <w:rPr>
          <w:rFonts w:ascii="仿宋" w:eastAsia="仿宋" w:cs="仿宋"/>
          <w:b/>
          <w:bCs/>
          <w:szCs w:val="21"/>
        </w:rPr>
      </w:pPr>
    </w:p>
    <w:p>
      <w:pPr>
        <w:spacing w:beforeLines="50" w:before="156" w:afterLines="50" w:after="156" w:line="23" w:lineRule="atLeast"/>
        <w:jc w:val="center"/>
        <w:outlineLvl w:val="9"/>
        <w:rPr>
          <w:rFonts w:ascii="宋体" w:cs="仿宋"/>
          <w:b/>
          <w:sz w:val="32"/>
          <w:szCs w:val="32"/>
        </w:rPr>
      </w:pPr>
      <w:r>
        <w:rPr>
          <w:rFonts w:ascii="宋体" w:cs="仿宋" w:hint="eastAsia"/>
          <w:b/>
          <w:sz w:val="32"/>
          <w:szCs w:val="32"/>
        </w:rPr>
        <w:t>招标单位：重庆市涪陵榨菜集团股份有限公司</w:t>
      </w:r>
    </w:p>
    <w:p>
      <w:pPr>
        <w:spacing w:line="23" w:lineRule="atLeast"/>
        <w:jc w:val="center"/>
        <w:rPr>
          <w:rFonts w:ascii="仿宋" w:eastAsia="仿宋" w:cs="仿宋"/>
          <w:b/>
          <w:szCs w:val="21"/>
        </w:rPr>
      </w:pPr>
    </w:p>
    <w:p>
      <w:pPr>
        <w:spacing w:line="23" w:lineRule="atLeast"/>
        <w:jc w:val="center"/>
        <w:rPr>
          <w:rFonts w:ascii="仿宋" w:eastAsia="仿宋" w:cs="仿宋"/>
          <w:szCs w:val="21"/>
        </w:rPr>
      </w:pPr>
    </w:p>
    <w:p>
      <w:pPr>
        <w:spacing w:line="23" w:lineRule="atLeast"/>
        <w:jc w:val="center"/>
        <w:rPr>
          <w:rFonts w:ascii="仿宋" w:eastAsia="仿宋" w:cs="仿宋"/>
          <w:b/>
          <w:bCs/>
          <w:szCs w:val="21"/>
        </w:rPr>
      </w:pPr>
    </w:p>
    <w:p>
      <w:pPr>
        <w:spacing w:line="23" w:lineRule="atLeast"/>
        <w:jc w:val="center"/>
        <w:rPr>
          <w:rFonts w:ascii="仿宋" w:eastAsia="仿宋" w:cs="仿宋"/>
          <w:b/>
          <w:bCs/>
          <w:szCs w:val="21"/>
        </w:rPr>
      </w:pPr>
    </w:p>
    <w:p>
      <w:pPr>
        <w:spacing w:line="23" w:lineRule="atLeast"/>
        <w:jc w:val="center"/>
        <w:rPr>
          <w:rFonts w:ascii="仿宋" w:eastAsia="仿宋" w:cs="仿宋"/>
          <w:b/>
          <w:bCs/>
          <w:szCs w:val="21"/>
        </w:rPr>
      </w:pPr>
    </w:p>
    <w:p>
      <w:pPr>
        <w:spacing w:line="23" w:lineRule="atLeast"/>
        <w:jc w:val="center"/>
        <w:rPr>
          <w:rFonts w:ascii="仿宋" w:eastAsia="仿宋" w:cs="仿宋"/>
          <w:b/>
          <w:bCs/>
          <w:szCs w:val="21"/>
        </w:rPr>
      </w:pPr>
    </w:p>
    <w:p>
      <w:pPr>
        <w:spacing w:line="23" w:lineRule="atLeast"/>
        <w:jc w:val="center"/>
        <w:rPr>
          <w:rFonts w:ascii="仿宋" w:eastAsia="仿宋" w:cs="仿宋"/>
          <w:b/>
          <w:bCs/>
          <w:szCs w:val="21"/>
        </w:rPr>
      </w:pPr>
    </w:p>
    <w:p>
      <w:pPr>
        <w:spacing w:line="23" w:lineRule="atLeast"/>
        <w:jc w:val="center"/>
        <w:rPr>
          <w:rFonts w:ascii="仿宋" w:eastAsia="仿宋" w:cs="仿宋"/>
          <w:b/>
          <w:bCs/>
          <w:szCs w:val="21"/>
        </w:rPr>
      </w:pPr>
    </w:p>
    <w:p>
      <w:pPr>
        <w:spacing w:line="23" w:lineRule="atLeast"/>
        <w:jc w:val="center"/>
        <w:rPr>
          <w:rFonts w:ascii="仿宋" w:eastAsia="仿宋" w:cs="仿宋"/>
          <w:b/>
          <w:bCs/>
          <w:szCs w:val="21"/>
        </w:rPr>
      </w:pPr>
    </w:p>
    <w:p>
      <w:pPr>
        <w:spacing w:line="23" w:lineRule="atLeast"/>
        <w:jc w:val="center"/>
        <w:rPr>
          <w:rFonts w:ascii="仿宋" w:eastAsia="仿宋" w:cs="仿宋"/>
          <w:b/>
          <w:bCs/>
          <w:szCs w:val="21"/>
        </w:rPr>
      </w:pPr>
    </w:p>
    <w:p>
      <w:pPr>
        <w:spacing w:line="23" w:lineRule="atLeast"/>
        <w:jc w:val="center"/>
        <w:rPr>
          <w:rFonts w:ascii="仿宋" w:eastAsia="仿宋" w:cs="仿宋"/>
          <w:b/>
          <w:bCs/>
          <w:szCs w:val="21"/>
        </w:rPr>
      </w:pPr>
    </w:p>
    <w:p>
      <w:pPr>
        <w:spacing w:line="23" w:lineRule="atLeast"/>
        <w:jc w:val="center"/>
        <w:outlineLvl w:val="9"/>
        <w:rPr>
          <w:rFonts w:ascii="仿宋" w:eastAsia="仿宋" w:cs="仿宋"/>
          <w:b/>
          <w:bCs/>
          <w:sz w:val="28"/>
          <w:szCs w:val="21"/>
        </w:rPr>
      </w:pPr>
      <w:r>
        <w:rPr>
          <w:rFonts w:ascii="仿宋" w:eastAsia="仿宋" w:cs="仿宋" w:hint="eastAsia"/>
          <w:b/>
          <w:bCs/>
          <w:sz w:val="28"/>
          <w:szCs w:val="21"/>
        </w:rPr>
        <w:t>2022年</w:t>
      </w:r>
      <w:r>
        <w:rPr>
          <w:rFonts w:ascii="仿宋" w:eastAsia="仿宋" w:cs="仿宋"/>
          <w:b/>
          <w:bCs/>
          <w:sz w:val="28"/>
          <w:szCs w:val="21"/>
        </w:rPr>
        <w:t>6</w:t>
      </w:r>
      <w:r>
        <w:rPr>
          <w:rFonts w:ascii="仿宋" w:eastAsia="仿宋" w:cs="仿宋" w:hint="eastAsia"/>
          <w:b/>
          <w:bCs/>
          <w:sz w:val="28"/>
          <w:szCs w:val="21"/>
        </w:rPr>
        <w:t>月</w:t>
      </w:r>
      <w:r>
        <w:rPr>
          <w:rFonts w:ascii="仿宋" w:eastAsia="仿宋" w:cs="仿宋"/>
          <w:b/>
          <w:bCs/>
          <w:sz w:val="28"/>
          <w:szCs w:val="21"/>
        </w:rPr>
        <w:t>28</w:t>
      </w:r>
      <w:r>
        <w:rPr>
          <w:rFonts w:ascii="仿宋" w:eastAsia="仿宋" w:cs="仿宋" w:hint="eastAsia"/>
          <w:b/>
          <w:bCs/>
          <w:sz w:val="28"/>
          <w:szCs w:val="21"/>
        </w:rPr>
        <w:t>日</w:t>
      </w:r>
    </w:p>
    <w:p>
      <w:pPr>
        <w:spacing w:line="23" w:lineRule="atLeast"/>
        <w:rPr>
          <w:rFonts w:ascii="仿宋" w:eastAsia="仿宋" w:cs="仿宋"/>
          <w:b/>
          <w:bCs/>
          <w:szCs w:val="21"/>
        </w:rPr>
      </w:pPr>
    </w:p>
    <w:p>
      <w:pPr>
        <w:pStyle w:val="1"/>
        <w:outlineLvl w:val="9"/>
      </w:pPr>
      <w:bookmarkStart w:id="11" w:name="_Toc77263838"/>
      <w:bookmarkStart w:id="12" w:name="_Toc77261957"/>
      <w:bookmarkStart w:id="13" w:name="_Toc77250306"/>
      <w:bookmarkStart w:id="14" w:name="_Toc77270327"/>
      <w:r>
        <w:rPr>
          <w:rFonts w:hint="eastAsia"/>
        </w:rPr>
        <w:t>项目概况</w:t>
      </w:r>
      <w:bookmarkEnd w:id="11"/>
      <w:bookmarkEnd w:id="12"/>
      <w:bookmarkEnd w:id="13"/>
      <w:bookmarkEnd w:id="14"/>
    </w:p>
    <w:p>
      <w:pPr>
        <w:pStyle w:val="2"/>
        <w:ind w:left="567" w:firstLine="562"/>
        <w:outlineLvl w:val="9"/>
      </w:pPr>
      <w:bookmarkStart w:id="15" w:name="_Toc77250307"/>
      <w:bookmarkStart w:id="16" w:name="_Toc77263839"/>
      <w:bookmarkStart w:id="17" w:name="_Toc77261958"/>
      <w:bookmarkStart w:id="18" w:name="_Toc77270328"/>
      <w:r>
        <w:rPr>
          <w:rFonts w:hint="eastAsia"/>
        </w:rPr>
        <w:t>项目背景</w:t>
      </w:r>
      <w:bookmarkEnd w:id="15"/>
      <w:bookmarkEnd w:id="16"/>
      <w:bookmarkEnd w:id="17"/>
      <w:bookmarkEnd w:id="18"/>
    </w:p>
    <w:p>
      <w:pPr>
        <w:pStyle w:val="21"/>
        <w:rPr>
          <w:rFonts w:ascii="仿宋"/>
          <w:sz w:val="28"/>
          <w:szCs w:val="28"/>
        </w:rPr>
      </w:pPr>
      <w:r>
        <w:rPr>
          <w:rFonts w:ascii="仿宋" w:hint="eastAsia"/>
          <w:sz w:val="28"/>
          <w:szCs w:val="28"/>
        </w:rPr>
        <w:t>重庆市涪陵榨菜集团股份有限公司乌江涪陵榨菜绿色智能化生产基地以绿色发展、高质量发展为引领，定位于打造集智能工艺生产、大数据高效管理、和谐生态环境、特色工业旅游于一体的具备国内一流水平的智能制造产业园区。</w:t>
      </w:r>
    </w:p>
    <w:p>
      <w:pPr>
        <w:pStyle w:val="21"/>
        <w:rPr>
          <w:rFonts w:ascii="仿宋"/>
          <w:sz w:val="28"/>
          <w:szCs w:val="28"/>
        </w:rPr>
      </w:pPr>
      <w:r>
        <w:rPr>
          <w:rFonts w:ascii="仿宋" w:hint="eastAsia"/>
          <w:sz w:val="28"/>
          <w:szCs w:val="28"/>
        </w:rPr>
        <w:t>届时将建成基于云计算、大数据、物联网技术实现的智慧管理平台；以MES为基础的智能化生产体系；成为国内一流水平的智慧生产园区。</w:t>
      </w:r>
    </w:p>
    <w:p>
      <w:pPr>
        <w:pStyle w:val="21"/>
        <w:rPr>
          <w:rFonts w:ascii="仿宋"/>
          <w:sz w:val="28"/>
          <w:szCs w:val="28"/>
        </w:rPr>
      </w:pPr>
      <w:r>
        <w:rPr>
          <w:rFonts w:ascii="仿宋" w:hint="eastAsia"/>
          <w:sz w:val="28"/>
          <w:szCs w:val="28"/>
        </w:rPr>
        <w:t>在智能化生产中创新运用MVR技术，实现榨菜腌制液及含盐水科学高效生态化处理；布局榨菜、泡菜、酱类三大产品品类串联式生产，实现榨菜腌制液及含盐水循环利用。榨菜腌制液腌制加工泡菜，泡菜腌制液腌制加工辣椒酱，构建完善的绿色生态制造链条，大幅度减少污水排放。</w:t>
      </w:r>
    </w:p>
    <w:p>
      <w:pPr>
        <w:pStyle w:val="21"/>
        <w:rPr>
          <w:rFonts w:ascii="仿宋"/>
          <w:sz w:val="28"/>
          <w:szCs w:val="28"/>
        </w:rPr>
      </w:pPr>
      <w:r>
        <w:rPr>
          <w:rFonts w:ascii="仿宋" w:hint="eastAsia"/>
          <w:sz w:val="28"/>
          <w:szCs w:val="28"/>
        </w:rPr>
        <w:t>用大数据、信息化技术，将MES软件与榨菜、泡菜、酱菜生产工艺、装备及管理相结合，纵向、横向和端到端集成，实现战略管控优质、经营管控高效、生产执行灵活，全过程、各环节无缝衔接。</w:t>
      </w:r>
    </w:p>
    <w:p>
      <w:pPr>
        <w:pStyle w:val="21"/>
        <w:rPr>
          <w:rFonts w:ascii="仿宋"/>
          <w:sz w:val="28"/>
          <w:szCs w:val="28"/>
        </w:rPr>
      </w:pPr>
      <w:r>
        <w:rPr>
          <w:rFonts w:ascii="仿宋" w:hint="eastAsia"/>
          <w:sz w:val="28"/>
          <w:szCs w:val="28"/>
        </w:rPr>
        <w:t>在智能制造园区建设的总体要求下，榨菜、泡菜、酱类原料腌制加工自动化智能化系统要求按照智能制造系统架构方法，针对榨菜、泡菜、酱类等原料腌制加工工艺特点开展智能制造总体解决方案设计，通过关键工艺智能设备、自动化物流系统、多传感器信息系统、智能控制系统、MES系统等主要内容的建设，运用大数据、信息化、物联网技术将本项目打造成为榨菜、泡菜、酱类三大产品品类原料加工段的复合生产系统，最终建成腌制加工高效高质、自动化生产安全洁净、全流程生产成本可管控的智能化、绿色化、信息化和数字化系统，引领榨菜智能制造潮流。</w:t>
      </w:r>
    </w:p>
    <w:p>
      <w:pPr>
        <w:pStyle w:val="2"/>
        <w:ind w:left="567" w:firstLine="562"/>
        <w:outlineLvl w:val="9"/>
        <w:rPr>
          <w:rFonts w:ascii="方正楷体_GBK"/>
        </w:rPr>
      </w:pPr>
      <w:bookmarkStart w:id="19" w:name="_Toc77263840"/>
      <w:bookmarkStart w:id="20" w:name="_Toc77270329"/>
      <w:bookmarkStart w:id="21" w:name="_Toc77261959"/>
      <w:bookmarkStart w:id="22" w:name="_Toc77250308"/>
      <w:r>
        <w:rPr>
          <w:rFonts w:ascii="方正楷体_GBK" w:hint="eastAsia"/>
        </w:rPr>
        <w:t>项目范围</w:t>
      </w:r>
      <w:bookmarkEnd w:id="19"/>
      <w:bookmarkEnd w:id="20"/>
      <w:bookmarkEnd w:id="21"/>
      <w:bookmarkEnd w:id="22"/>
    </w:p>
    <w:p>
      <w:pPr>
        <w:ind w:firstLineChars="200" w:firstLine="560"/>
        <w:rPr>
          <w:rFonts w:ascii="仿宋" w:eastAsia="仿宋" w:cs="仿宋"/>
          <w:sz w:val="28"/>
          <w:szCs w:val="28"/>
        </w:rPr>
      </w:pPr>
      <w:r>
        <w:rPr>
          <w:rFonts w:ascii="仿宋" w:eastAsia="仿宋" w:cs="仿宋" w:hint="eastAsia"/>
          <w:sz w:val="28"/>
          <w:szCs w:val="28"/>
        </w:rPr>
        <w:t>根据乌江涪陵榨菜绿色智能化生产基地总体规划，基地共有</w:t>
      </w:r>
      <w:r>
        <w:rPr>
          <w:rFonts w:ascii="仿宋" w:eastAsia="仿宋" w:cs="仿宋"/>
          <w:sz w:val="28"/>
          <w:szCs w:val="28"/>
        </w:rPr>
        <w:t>7</w:t>
      </w:r>
      <w:r>
        <w:rPr>
          <w:rFonts w:ascii="仿宋" w:eastAsia="仿宋" w:cs="仿宋" w:hint="eastAsia"/>
          <w:sz w:val="28"/>
          <w:szCs w:val="28"/>
        </w:rPr>
        <w:t>个智能化榨菜腌制车间，围绕</w:t>
      </w:r>
      <w:r>
        <w:rPr>
          <w:rFonts w:ascii="仿宋" w:eastAsia="仿宋" w:cs="仿宋"/>
          <w:sz w:val="28"/>
          <w:szCs w:val="28"/>
        </w:rPr>
        <w:t>1</w:t>
      </w:r>
      <w:r>
        <w:rPr>
          <w:rFonts w:ascii="仿宋" w:eastAsia="仿宋" w:cs="仿宋" w:hint="eastAsia"/>
          <w:sz w:val="28"/>
          <w:szCs w:val="28"/>
        </w:rPr>
        <w:t>#、3#、</w:t>
      </w:r>
      <w:r>
        <w:rPr>
          <w:rFonts w:ascii="仿宋" w:eastAsia="仿宋" w:cs="仿宋"/>
          <w:sz w:val="28"/>
          <w:szCs w:val="28"/>
        </w:rPr>
        <w:t>4</w:t>
      </w:r>
      <w:r>
        <w:rPr>
          <w:rFonts w:ascii="仿宋" w:eastAsia="仿宋" w:cs="仿宋" w:hint="eastAsia"/>
          <w:sz w:val="28"/>
          <w:szCs w:val="28"/>
        </w:rPr>
        <w:t>#、5#、6#、7#、8#号智能化腌制车间进行盐水自动化智能化循环系统建设，满足生产基地内榨菜、泡菜、酱菜等产品对不同种类盐水、自来水的需求及高低盐污水的排放，系统输送介质包括</w:t>
      </w:r>
      <w:r>
        <w:rPr>
          <w:rFonts w:ascii="仿宋" w:eastAsia="仿宋" w:cs="仿宋"/>
          <w:sz w:val="28"/>
          <w:szCs w:val="28"/>
        </w:rPr>
        <w:t>一腌</w:t>
      </w:r>
      <w:r>
        <w:rPr>
          <w:rFonts w:ascii="仿宋" w:eastAsia="仿宋" w:cs="仿宋" w:hint="eastAsia"/>
          <w:sz w:val="28"/>
          <w:szCs w:val="28"/>
        </w:rPr>
        <w:t>榨菜汁</w:t>
      </w:r>
      <w:r>
        <w:rPr>
          <w:rFonts w:ascii="仿宋" w:eastAsia="仿宋" w:cs="仿宋"/>
          <w:sz w:val="28"/>
          <w:szCs w:val="28"/>
        </w:rPr>
        <w:t>、二</w:t>
      </w:r>
      <w:r>
        <w:rPr>
          <w:rFonts w:ascii="仿宋" w:eastAsia="仿宋" w:cs="仿宋" w:hint="eastAsia"/>
          <w:sz w:val="28"/>
          <w:szCs w:val="28"/>
        </w:rPr>
        <w:t>腌榨菜汁、</w:t>
      </w:r>
      <w:r>
        <w:rPr>
          <w:rFonts w:ascii="仿宋" w:eastAsia="仿宋" w:cs="仿宋"/>
          <w:sz w:val="28"/>
          <w:szCs w:val="28"/>
        </w:rPr>
        <w:t>三腌</w:t>
      </w:r>
      <w:r>
        <w:rPr>
          <w:rFonts w:ascii="仿宋" w:eastAsia="仿宋" w:cs="仿宋" w:hint="eastAsia"/>
          <w:sz w:val="28"/>
          <w:szCs w:val="28"/>
        </w:rPr>
        <w:t>榨菜汁</w:t>
      </w:r>
      <w:r>
        <w:rPr>
          <w:rFonts w:ascii="仿宋" w:eastAsia="仿宋" w:cs="仿宋"/>
          <w:sz w:val="28"/>
          <w:szCs w:val="28"/>
        </w:rPr>
        <w:t>、泡菜发酵剂、生产车间脱盐水</w:t>
      </w:r>
      <w:r>
        <w:rPr>
          <w:rFonts w:ascii="仿宋" w:eastAsia="仿宋" w:cs="仿宋" w:hint="eastAsia"/>
          <w:sz w:val="28"/>
          <w:szCs w:val="28"/>
        </w:rPr>
        <w:t>、</w:t>
      </w:r>
      <w:r>
        <w:rPr>
          <w:rFonts w:ascii="仿宋" w:eastAsia="仿宋" w:cs="仿宋"/>
          <w:sz w:val="28"/>
          <w:szCs w:val="28"/>
        </w:rPr>
        <w:t>预脱盐水、</w:t>
      </w:r>
      <w:r>
        <w:rPr>
          <w:rFonts w:ascii="仿宋" w:eastAsia="仿宋" w:cs="仿宋" w:hint="eastAsia"/>
          <w:sz w:val="28"/>
          <w:szCs w:val="28"/>
        </w:rPr>
        <w:t>窖池清洗水、自来水、外购半成品沥水。</w:t>
      </w:r>
    </w:p>
    <w:p>
      <w:pPr>
        <w:pStyle w:val="15"/>
        <w:ind w:firstLine="420"/>
        <w:rPr>
          <w:rFonts w:ascii="仿宋" w:eastAsia="仿宋" w:hint="eastAsia"/>
          <w:sz w:val="28"/>
          <w:szCs w:val="28"/>
        </w:rPr>
      </w:pPr>
      <w:r>
        <w:rPr>
          <w:rFonts w:ascii="仿宋" w:eastAsia="仿宋" w:hint="eastAsia"/>
          <w:sz w:val="28"/>
          <w:szCs w:val="28"/>
        </w:rPr>
        <w:t>项目在满足以下2.1范围及工艺、规模</w:t>
      </w:r>
      <w:r>
        <w:rPr>
          <w:rFonts w:ascii="仿宋" w:eastAsia="仿宋"/>
          <w:sz w:val="28"/>
          <w:szCs w:val="28"/>
        </w:rPr>
        <w:t>、调度及控制</w:t>
      </w:r>
      <w:r>
        <w:rPr>
          <w:rFonts w:ascii="仿宋" w:eastAsia="仿宋" w:hint="eastAsia"/>
          <w:sz w:val="28"/>
          <w:szCs w:val="28"/>
        </w:rPr>
        <w:t>要求基础上，实行交钥匙工程</w:t>
      </w:r>
      <w:r>
        <w:rPr>
          <w:rFonts w:ascii="仿宋" w:eastAsia="仿宋"/>
          <w:sz w:val="28"/>
          <w:szCs w:val="28"/>
        </w:rPr>
        <w:t>，投标人在实施过程中为满足项目要求根据实际情况所做的优化改进等产生的费用，均包含在投标报价中</w:t>
      </w:r>
      <w:r>
        <w:rPr>
          <w:rFonts w:ascii="仿宋" w:eastAsia="仿宋" w:hint="eastAsia"/>
          <w:sz w:val="28"/>
          <w:szCs w:val="28"/>
        </w:rPr>
        <w:t>。</w:t>
      </w:r>
    </w:p>
    <w:p>
      <w:pPr>
        <w:pStyle w:val="3"/>
        <w:ind w:firstLine="560"/>
        <w:outlineLvl w:val="9"/>
      </w:pPr>
      <w:r>
        <w:rPr>
          <w:rFonts w:hint="eastAsia"/>
        </w:rPr>
        <w:t>项目范围具体包括如下：</w:t>
      </w:r>
    </w:p>
    <w:p>
      <w:pPr>
        <w:pStyle w:val="45"/>
        <w:rPr>
          <w:rFonts w:ascii="仿宋" w:eastAsia="仿宋" w:cs="仿宋"/>
          <w:sz w:val="28"/>
          <w:szCs w:val="28"/>
        </w:rPr>
      </w:pPr>
      <w:r>
        <w:rPr>
          <w:rFonts w:ascii="仿宋" w:eastAsia="仿宋" w:cs="仿宋" w:hint="eastAsia"/>
          <w:sz w:val="28"/>
          <w:szCs w:val="28"/>
        </w:rPr>
        <w:t>（1）各类盐水管道输送系统、自来水管道输送系统、清洗排空系统涉及到的泵、阀、管道等设备</w:t>
      </w:r>
      <w:r>
        <w:rPr>
          <w:rFonts w:ascii="仿宋" w:eastAsia="仿宋" w:cs="仿宋"/>
          <w:sz w:val="28"/>
          <w:szCs w:val="28"/>
        </w:rPr>
        <w:t>及</w:t>
      </w:r>
      <w:r>
        <w:rPr>
          <w:rFonts w:ascii="仿宋" w:eastAsia="仿宋" w:cs="仿宋" w:hint="eastAsia"/>
          <w:sz w:val="28"/>
          <w:szCs w:val="28"/>
        </w:rPr>
        <w:t>零部件的购置、安装、调试、运行、培训、售后服务等；</w:t>
      </w:r>
    </w:p>
    <w:p>
      <w:pPr>
        <w:pStyle w:val="45"/>
        <w:rPr>
          <w:rFonts w:ascii="仿宋" w:eastAsia="仿宋" w:cs="仿宋"/>
          <w:sz w:val="28"/>
          <w:szCs w:val="28"/>
        </w:rPr>
      </w:pPr>
      <w:r>
        <w:rPr>
          <w:rFonts w:ascii="仿宋" w:eastAsia="仿宋" w:cs="仿宋" w:hint="eastAsia"/>
          <w:sz w:val="28"/>
          <w:szCs w:val="28"/>
        </w:rPr>
        <w:t>（2）各类盐水在转运过程中的过滤、计量</w:t>
      </w:r>
      <w:r>
        <w:rPr>
          <w:rFonts w:ascii="仿宋" w:eastAsia="仿宋" w:cs="仿宋"/>
          <w:sz w:val="28"/>
          <w:szCs w:val="28"/>
        </w:rPr>
        <w:t>、检测、控制传感器</w:t>
      </w:r>
      <w:r>
        <w:rPr>
          <w:rFonts w:ascii="仿宋" w:eastAsia="仿宋" w:cs="仿宋" w:hint="eastAsia"/>
          <w:sz w:val="28"/>
          <w:szCs w:val="28"/>
        </w:rPr>
        <w:t>等设备的购置、安装、调试、运行、培训和售后服务等；</w:t>
      </w:r>
    </w:p>
    <w:p>
      <w:pPr>
        <w:pStyle w:val="45"/>
        <w:rPr>
          <w:rFonts w:ascii="仿宋" w:eastAsia="仿宋" w:cs="仿宋"/>
          <w:sz w:val="28"/>
          <w:szCs w:val="28"/>
        </w:rPr>
      </w:pPr>
      <w:r>
        <w:rPr>
          <w:rFonts w:ascii="仿宋" w:eastAsia="仿宋" w:cs="仿宋"/>
          <w:sz w:val="28"/>
          <w:szCs w:val="28"/>
        </w:rPr>
        <w:t>（3）进入车间生产原料进行预脱盐的窖池所涉及的管道及循环系统；</w:t>
      </w:r>
    </w:p>
    <w:p>
      <w:pPr>
        <w:pStyle w:val="45"/>
        <w:rPr>
          <w:rFonts w:ascii="仿宋" w:eastAsia="仿宋" w:cs="仿宋"/>
          <w:sz w:val="28"/>
          <w:szCs w:val="28"/>
        </w:rPr>
      </w:pPr>
      <w:r>
        <w:rPr>
          <w:rFonts w:ascii="仿宋" w:eastAsia="仿宋" w:cs="仿宋" w:hint="eastAsia"/>
          <w:sz w:val="28"/>
          <w:szCs w:val="28"/>
        </w:rPr>
        <w:t>（</w:t>
      </w:r>
      <w:r>
        <w:rPr>
          <w:rFonts w:ascii="仿宋" w:eastAsia="仿宋" w:cs="仿宋"/>
          <w:sz w:val="28"/>
          <w:szCs w:val="28"/>
        </w:rPr>
        <w:t>4</w:t>
      </w:r>
      <w:r>
        <w:rPr>
          <w:rFonts w:ascii="仿宋" w:eastAsia="仿宋" w:cs="仿宋" w:hint="eastAsia"/>
          <w:sz w:val="28"/>
          <w:szCs w:val="28"/>
        </w:rPr>
        <w:t>）管廊中硫化氢、二氧化碳</w:t>
      </w:r>
      <w:r>
        <w:rPr>
          <w:rFonts w:ascii="仿宋" w:eastAsia="仿宋" w:cs="仿宋"/>
          <w:sz w:val="28"/>
          <w:szCs w:val="28"/>
        </w:rPr>
        <w:t>监控</w:t>
      </w:r>
      <w:r>
        <w:rPr>
          <w:rFonts w:ascii="仿宋" w:eastAsia="仿宋" w:cs="仿宋" w:hint="eastAsia"/>
          <w:sz w:val="28"/>
          <w:szCs w:val="28"/>
        </w:rPr>
        <w:t>报警系统的设计、购置、安装、调试、运行、培训和售后服务；</w:t>
      </w:r>
    </w:p>
    <w:p>
      <w:pPr>
        <w:pStyle w:val="45"/>
        <w:rPr>
          <w:rFonts w:ascii="仿宋" w:eastAsia="仿宋" w:cs="仿宋"/>
          <w:sz w:val="28"/>
          <w:szCs w:val="28"/>
        </w:rPr>
      </w:pPr>
      <w:r>
        <w:rPr>
          <w:rFonts w:ascii="仿宋" w:eastAsia="仿宋" w:cs="仿宋" w:hint="eastAsia"/>
          <w:sz w:val="28"/>
          <w:szCs w:val="28"/>
        </w:rPr>
        <w:t>（</w:t>
      </w:r>
      <w:r>
        <w:rPr>
          <w:rFonts w:ascii="仿宋" w:eastAsia="仿宋" w:cs="仿宋"/>
          <w:sz w:val="28"/>
          <w:szCs w:val="28"/>
        </w:rPr>
        <w:t>5</w:t>
      </w:r>
      <w:r>
        <w:rPr>
          <w:rFonts w:ascii="仿宋" w:eastAsia="仿宋" w:cs="仿宋" w:hint="eastAsia"/>
          <w:sz w:val="28"/>
          <w:szCs w:val="28"/>
        </w:rPr>
        <w:t>）智能化盐水调度管控系统的设计、开发、实施，并</w:t>
      </w:r>
      <w:r>
        <w:rPr>
          <w:rFonts w:ascii="仿宋" w:eastAsia="仿宋" w:cs="仿宋"/>
          <w:sz w:val="28"/>
          <w:szCs w:val="28"/>
        </w:rPr>
        <w:t>对接</w:t>
      </w:r>
      <w:r>
        <w:rPr>
          <w:rFonts w:ascii="仿宋" w:eastAsia="仿宋" w:cs="仿宋" w:hint="eastAsia"/>
          <w:sz w:val="28"/>
          <w:szCs w:val="28"/>
        </w:rPr>
        <w:t>原料加工智能化控制系统</w:t>
      </w:r>
      <w:r>
        <w:rPr>
          <w:rFonts w:ascii="仿宋" w:eastAsia="仿宋" w:cs="仿宋"/>
          <w:sz w:val="28"/>
          <w:szCs w:val="28"/>
        </w:rPr>
        <w:t>、生产车间MES系统</w:t>
      </w:r>
      <w:r>
        <w:rPr>
          <w:rFonts w:ascii="仿宋" w:eastAsia="仿宋" w:cs="仿宋" w:hint="eastAsia"/>
          <w:sz w:val="28"/>
          <w:szCs w:val="28"/>
        </w:rPr>
        <w:t>。</w:t>
      </w:r>
    </w:p>
    <w:p>
      <w:pPr>
        <w:pStyle w:val="3"/>
        <w:ind w:firstLine="560"/>
        <w:outlineLvl w:val="9"/>
      </w:pPr>
      <w:r>
        <w:rPr>
          <w:rFonts w:hint="eastAsia"/>
        </w:rPr>
        <w:t>名词解释</w:t>
      </w:r>
    </w:p>
    <w:p>
      <w:pPr>
        <w:pStyle w:val="21"/>
        <w:rPr>
          <w:sz w:val="28"/>
          <w:szCs w:val="28"/>
        </w:rPr>
      </w:pPr>
      <w:r>
        <w:rPr>
          <w:rFonts w:hint="eastAsia"/>
          <w:sz w:val="28"/>
          <w:szCs w:val="28"/>
        </w:rPr>
        <w:t>一腌榨菜汁：榨菜原料第一次腌制过程产生的榨菜汁；</w:t>
      </w:r>
    </w:p>
    <w:p>
      <w:pPr>
        <w:pStyle w:val="21"/>
        <w:rPr>
          <w:sz w:val="28"/>
          <w:szCs w:val="28"/>
        </w:rPr>
      </w:pPr>
      <w:r>
        <w:rPr>
          <w:rFonts w:hint="eastAsia"/>
          <w:sz w:val="28"/>
          <w:szCs w:val="28"/>
        </w:rPr>
        <w:t>二腌榨菜汁：榨菜原料第二次腌制过程产生的榨菜汁；</w:t>
      </w:r>
    </w:p>
    <w:p>
      <w:pPr>
        <w:pStyle w:val="21"/>
        <w:rPr>
          <w:sz w:val="28"/>
          <w:szCs w:val="28"/>
        </w:rPr>
      </w:pPr>
      <w:r>
        <w:rPr>
          <w:rFonts w:hint="eastAsia"/>
          <w:sz w:val="28"/>
          <w:szCs w:val="28"/>
        </w:rPr>
        <w:t>三腌榨菜汁：榨菜原料第三次腌制过程（含贮藏等其它腌制过程）产生的榨菜汁；</w:t>
      </w:r>
    </w:p>
    <w:p>
      <w:pPr>
        <w:pStyle w:val="21"/>
        <w:rPr>
          <w:sz w:val="28"/>
          <w:szCs w:val="28"/>
        </w:rPr>
      </w:pPr>
      <w:r>
        <w:rPr>
          <w:sz w:val="28"/>
          <w:szCs w:val="28"/>
        </w:rPr>
        <w:t>泡菜发酵剂</w:t>
      </w:r>
      <w:r>
        <w:rPr>
          <w:rFonts w:hint="eastAsia"/>
          <w:sz w:val="28"/>
          <w:szCs w:val="28"/>
        </w:rPr>
        <w:t>：通过对食盐浓度调节，筛选及培养耐盐腌制发酵微生物，用于腌制青菜头等蔬菜的盐渍蔬菜汁液；</w:t>
      </w:r>
    </w:p>
    <w:p>
      <w:pPr>
        <w:pStyle w:val="21"/>
        <w:rPr>
          <w:sz w:val="28"/>
          <w:szCs w:val="28"/>
        </w:rPr>
      </w:pPr>
      <w:r>
        <w:rPr>
          <w:sz w:val="28"/>
          <w:szCs w:val="28"/>
        </w:rPr>
        <w:t>M21</w:t>
      </w:r>
      <w:r>
        <w:rPr>
          <w:rFonts w:hint="eastAsia"/>
          <w:sz w:val="28"/>
          <w:szCs w:val="28"/>
        </w:rPr>
        <w:t>泡菜发酵剂：通过MVR（机械蒸汽再压缩技术）蒸发系统调节食盐浓度至21%，用于青菜头第一次腌渍、豆瓣酱用干辣椒腌渍及其它泡菜加工用蔬菜腌渍发酵的泡菜发酵剂</w:t>
      </w:r>
      <w:r>
        <w:rPr>
          <w:sz w:val="28"/>
          <w:szCs w:val="28"/>
        </w:rPr>
        <w:t>；</w:t>
      </w:r>
    </w:p>
    <w:p>
      <w:pPr>
        <w:pStyle w:val="21"/>
        <w:rPr>
          <w:sz w:val="28"/>
          <w:szCs w:val="28"/>
        </w:rPr>
      </w:pPr>
      <w:r>
        <w:rPr>
          <w:rFonts w:hint="eastAsia"/>
          <w:sz w:val="28"/>
          <w:szCs w:val="28"/>
        </w:rPr>
        <w:t>M95泡菜发酵剂：通过MVR（机械蒸汽再压缩技术）蒸发系统调节食盐浓度至95%，用于腌渍青菜头等蔬菜的粉末状泡菜发酵剂</w:t>
      </w:r>
      <w:r>
        <w:rPr>
          <w:sz w:val="28"/>
          <w:szCs w:val="28"/>
        </w:rPr>
        <w:t>；</w:t>
      </w:r>
    </w:p>
    <w:p>
      <w:pPr>
        <w:pStyle w:val="21"/>
        <w:rPr>
          <w:sz w:val="28"/>
          <w:szCs w:val="28"/>
        </w:rPr>
      </w:pPr>
      <w:r>
        <w:rPr>
          <w:sz w:val="28"/>
          <w:szCs w:val="28"/>
        </w:rPr>
        <w:t>预脱盐水：指</w:t>
      </w:r>
      <w:r>
        <w:rPr>
          <w:rFonts w:ascii="仿宋" w:cs="仿宋" w:hint="eastAsia"/>
          <w:sz w:val="28"/>
          <w:szCs w:val="28"/>
        </w:rPr>
        <w:t>7#、8#车间</w:t>
      </w:r>
      <w:r>
        <w:rPr>
          <w:rFonts w:ascii="仿宋" w:cs="仿宋"/>
          <w:sz w:val="28"/>
          <w:szCs w:val="28"/>
        </w:rPr>
        <w:t>预脱盐窖池原料预脱盐产生的盐水；</w:t>
      </w:r>
    </w:p>
    <w:p>
      <w:pPr>
        <w:pStyle w:val="21"/>
        <w:rPr>
          <w:rFonts w:ascii="仿宋" w:cs="仿宋"/>
          <w:sz w:val="28"/>
          <w:szCs w:val="28"/>
        </w:rPr>
      </w:pPr>
      <w:r>
        <w:rPr>
          <w:rFonts w:ascii="仿宋" w:cs="仿宋"/>
          <w:sz w:val="28"/>
          <w:szCs w:val="28"/>
        </w:rPr>
        <w:t>生产车间脱盐水</w:t>
      </w:r>
      <w:r>
        <w:rPr>
          <w:rFonts w:ascii="仿宋" w:cs="仿宋" w:hint="eastAsia"/>
          <w:sz w:val="28"/>
          <w:szCs w:val="28"/>
        </w:rPr>
        <w:t>：指7#、8#车间生产过程中脱盐后产生的盐水；</w:t>
      </w:r>
    </w:p>
    <w:p>
      <w:pPr>
        <w:pStyle w:val="21"/>
        <w:rPr>
          <w:sz w:val="28"/>
          <w:szCs w:val="28"/>
        </w:rPr>
      </w:pPr>
      <w:r>
        <w:rPr>
          <w:rFonts w:ascii="仿宋" w:cs="仿宋" w:hint="eastAsia"/>
          <w:sz w:val="28"/>
          <w:szCs w:val="28"/>
        </w:rPr>
        <w:t>外购半成品沥水：指外购二、三腌原料时，随原料转运回园区的榨菜汁；</w:t>
      </w:r>
    </w:p>
    <w:p>
      <w:pPr>
        <w:pStyle w:val="21"/>
        <w:rPr>
          <w:sz w:val="28"/>
          <w:szCs w:val="28"/>
        </w:rPr>
      </w:pPr>
      <w:r>
        <w:rPr>
          <w:rFonts w:hint="eastAsia"/>
          <w:sz w:val="28"/>
          <w:szCs w:val="28"/>
        </w:rPr>
        <w:t>窖池清洗水：清洗窖池过程产生的废水。</w:t>
      </w:r>
    </w:p>
    <w:p>
      <w:pPr>
        <w:pStyle w:val="3"/>
        <w:ind w:firstLine="560"/>
        <w:outlineLvl w:val="9"/>
      </w:pPr>
      <w:r>
        <w:rPr>
          <w:rFonts w:hint="eastAsia"/>
        </w:rPr>
        <w:t>园区车间分布及车间窖池布局</w:t>
      </w:r>
    </w:p>
    <w:p>
      <w:pPr>
        <w:pStyle w:val="4"/>
        <w:ind w:firstLine="560"/>
        <w:outlineLvl w:val="9"/>
      </w:pPr>
      <w:r>
        <w:rPr>
          <w:rFonts w:hint="eastAsia"/>
        </w:rPr>
        <w:t>园区车间分布图</w:t>
      </w:r>
    </w:p>
    <w:p>
      <w:pPr>
        <w:pStyle w:val="45"/>
        <w:rPr>
          <w:rFonts w:ascii="仿宋" w:eastAsia="仿宋" w:cs="仿宋"/>
          <w:b/>
          <w:sz w:val="28"/>
          <w:szCs w:val="28"/>
        </w:rPr>
      </w:pPr>
      <w:r>
        <w:rPr>
          <w:rFonts w:ascii="仿宋" w:eastAsia="仿宋" w:cs="仿宋"/>
          <w:sz w:val="28"/>
          <w:szCs w:val="28"/>
        </w:rPr>
        <w:drawing>
          <wp:inline distT="0" distB="0" distL="0" distR="0">
            <wp:extent cx="4606290" cy="3731895"/>
            <wp:effectExtent l="0" t="0" r="0" b="0"/>
            <wp:docPr id="1" name="图片 1"/>
            <wp:cNvGraphicFramePr>
              <a:graphicFrameLocks noChangeAspect="1"/>
            </wp:cNvGraphicFramePr>
            <a:graphic>
              <a:graphicData uri="http://schemas.openxmlformats.org/drawingml/2006/picture">
                <pic:pic>
                  <pic:nvPicPr>
                    <pic:cNvPr id="3" name="图片 3"/>
                    <pic:cNvPicPr/>
                  </pic:nvPicPr>
                  <pic:blipFill>
                    <a:blip r:embed="rId5"/>
                    <a:stretch>
                      <a:fillRect/>
                    </a:stretch>
                  </pic:blipFill>
                  <pic:spPr>
                    <a:xfrm rot="0">
                      <a:off x="0" y="0"/>
                      <a:ext cx="4606290" cy="3731895"/>
                    </a:xfrm>
                    <a:prstGeom prst="rect"/>
                    <a:noFill/>
                    <a:ln w="9525" cmpd="sng" cap="flat">
                      <a:noFill/>
                      <a:prstDash val="solid"/>
                      <a:miter/>
                    </a:ln>
                  </pic:spPr>
                </pic:pic>
              </a:graphicData>
            </a:graphic>
          </wp:inline>
        </w:drawing>
      </w:r>
    </w:p>
    <w:p>
      <w:pPr>
        <w:pStyle w:val="4"/>
        <w:ind w:firstLine="560"/>
        <w:outlineLvl w:val="9"/>
      </w:pPr>
      <w:r>
        <w:rPr>
          <w:rFonts w:hint="eastAsia"/>
        </w:rPr>
        <w:t>各车间及楼层功能</w:t>
      </w:r>
    </w:p>
    <w:p>
      <w:pPr>
        <w:ind w:leftChars="200" w:left="420"/>
        <w:rPr>
          <w:rFonts w:ascii="仿宋" w:eastAsia="仿宋"/>
          <w:sz w:val="28"/>
          <w:szCs w:val="28"/>
        </w:rPr>
      </w:pPr>
      <w:r>
        <w:rPr>
          <w:rFonts w:ascii="仿宋" w:eastAsia="仿宋" w:hint="eastAsia"/>
          <w:sz w:val="28"/>
          <w:szCs w:val="28"/>
        </w:rPr>
        <w:t>各车间及楼层具体功能如表1所示。</w:t>
      </w:r>
    </w:p>
    <w:p>
      <w:pPr>
        <w:jc w:val="center"/>
        <w:rPr>
          <w:rFonts w:ascii="仿宋" w:eastAsia="仿宋" w:cs="仿宋"/>
          <w:sz w:val="28"/>
          <w:szCs w:val="28"/>
        </w:rPr>
      </w:pPr>
      <w:r>
        <w:rPr>
          <w:rFonts w:ascii="仿宋" w:eastAsia="仿宋" w:cs="仿宋" w:hint="eastAsia"/>
          <w:sz w:val="28"/>
          <w:szCs w:val="28"/>
        </w:rPr>
        <w:t>表1 各车间功能分布</w:t>
      </w:r>
    </w:p>
    <w:tbl>
      <w:tblPr>
        <w:jc w:val="center"/>
        <w:tblW w:w="80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1484"/>
        <w:gridCol w:w="1520"/>
        <w:gridCol w:w="1618"/>
        <w:gridCol w:w="1701"/>
        <w:gridCol w:w="1701"/>
      </w:tblGrid>
      <w:tr>
        <w:trPr>
          <w:trHeight w:val="784"/>
        </w:trPr>
        <w:tc>
          <w:tcPr>
            <w:tcW w:w="1484" w:type="dxa"/>
            <w:tcBorders>
              <w:bottom w:val="single" w:sz="4" w:space="0" w:color="auto"/>
              <w:tl2br w:val="single" w:sz="4" w:space="0" w:color="auto"/>
            </w:tcBorders>
            <w:noWrap/>
            <w:vAlign w:val="center"/>
          </w:tcPr>
          <w:p>
            <w:pPr>
              <w:adjustRightInd w:val="0"/>
              <w:snapToGrid w:val="0"/>
              <w:spacing w:line="0" w:lineRule="atLeast"/>
              <w:jc w:val="center"/>
              <w:rPr>
                <w:rFonts w:eastAsia="仿宋"/>
                <w:b/>
                <w:bCs/>
                <w:sz w:val="28"/>
                <w:szCs w:val="28"/>
              </w:rPr>
            </w:pPr>
            <w:r>
              <w:rPr>
                <w:rFonts w:eastAsia="仿宋" w:hint="eastAsia"/>
                <w:b/>
                <w:bCs/>
                <w:sz w:val="28"/>
                <w:szCs w:val="28"/>
              </w:rPr>
              <w:t xml:space="preserve">     楼层</w:t>
            </w:r>
          </w:p>
          <w:p>
            <w:pPr>
              <w:adjustRightInd w:val="0"/>
              <w:snapToGrid w:val="0"/>
              <w:spacing w:line="0" w:lineRule="atLeast"/>
              <w:rPr>
                <w:rFonts w:eastAsia="仿宋"/>
                <w:b/>
                <w:bCs/>
                <w:sz w:val="28"/>
                <w:szCs w:val="28"/>
              </w:rPr>
            </w:pPr>
            <w:r>
              <w:rPr>
                <w:rFonts w:eastAsia="仿宋" w:hint="eastAsia"/>
                <w:b/>
                <w:bCs/>
                <w:sz w:val="28"/>
                <w:szCs w:val="28"/>
              </w:rPr>
              <w:t>车间</w:t>
            </w:r>
          </w:p>
        </w:tc>
        <w:tc>
          <w:tcPr>
            <w:tcW w:w="1520" w:type="dxa"/>
            <w:vAlign w:val="center"/>
          </w:tcPr>
          <w:p>
            <w:pPr>
              <w:adjustRightInd w:val="0"/>
              <w:snapToGrid w:val="0"/>
              <w:spacing w:line="0" w:lineRule="atLeast"/>
              <w:jc w:val="center"/>
              <w:rPr>
                <w:rFonts w:eastAsia="仿宋"/>
                <w:b/>
                <w:bCs/>
                <w:sz w:val="28"/>
                <w:szCs w:val="28"/>
              </w:rPr>
            </w:pPr>
            <w:r>
              <w:rPr>
                <w:rFonts w:eastAsia="仿宋" w:hint="eastAsia"/>
                <w:b/>
                <w:bCs/>
                <w:sz w:val="28"/>
                <w:szCs w:val="28"/>
              </w:rPr>
              <w:t>负</w:t>
            </w:r>
            <w:r>
              <w:rPr>
                <w:rFonts w:eastAsia="仿宋"/>
                <w:b/>
                <w:bCs/>
                <w:sz w:val="28"/>
                <w:szCs w:val="28"/>
              </w:rPr>
              <w:t>一层</w:t>
            </w:r>
          </w:p>
        </w:tc>
        <w:tc>
          <w:tcPr>
            <w:tcW w:w="1618" w:type="dxa"/>
            <w:noWrap/>
            <w:vAlign w:val="center"/>
          </w:tcPr>
          <w:p>
            <w:pPr>
              <w:adjustRightInd w:val="0"/>
              <w:snapToGrid w:val="0"/>
              <w:spacing w:line="0" w:lineRule="atLeast"/>
              <w:jc w:val="center"/>
              <w:rPr>
                <w:rFonts w:eastAsia="仿宋"/>
                <w:b/>
                <w:bCs/>
                <w:sz w:val="28"/>
                <w:szCs w:val="28"/>
              </w:rPr>
            </w:pPr>
            <w:r>
              <w:rPr>
                <w:rFonts w:eastAsia="仿宋"/>
                <w:b/>
                <w:bCs/>
                <w:sz w:val="28"/>
                <w:szCs w:val="28"/>
              </w:rPr>
              <w:t>一层</w:t>
            </w:r>
          </w:p>
        </w:tc>
        <w:tc>
          <w:tcPr>
            <w:tcW w:w="1701" w:type="dxa"/>
            <w:noWrap/>
            <w:vAlign w:val="center"/>
          </w:tcPr>
          <w:p>
            <w:pPr>
              <w:adjustRightInd w:val="0"/>
              <w:snapToGrid w:val="0"/>
              <w:spacing w:line="0" w:lineRule="atLeast"/>
              <w:jc w:val="center"/>
              <w:rPr>
                <w:rFonts w:eastAsia="仿宋"/>
                <w:b/>
                <w:bCs/>
                <w:sz w:val="28"/>
                <w:szCs w:val="28"/>
              </w:rPr>
            </w:pPr>
            <w:r>
              <w:rPr>
                <w:rFonts w:eastAsia="仿宋"/>
                <w:b/>
                <w:bCs/>
                <w:sz w:val="28"/>
                <w:szCs w:val="28"/>
              </w:rPr>
              <w:t>二层</w:t>
            </w:r>
          </w:p>
        </w:tc>
        <w:tc>
          <w:tcPr>
            <w:tcW w:w="1701" w:type="dxa"/>
            <w:noWrap/>
            <w:vAlign w:val="center"/>
          </w:tcPr>
          <w:p>
            <w:pPr>
              <w:adjustRightInd w:val="0"/>
              <w:snapToGrid w:val="0"/>
              <w:spacing w:line="0" w:lineRule="atLeast"/>
              <w:jc w:val="center"/>
              <w:rPr>
                <w:rFonts w:eastAsia="仿宋"/>
                <w:b/>
                <w:bCs/>
                <w:sz w:val="28"/>
                <w:szCs w:val="28"/>
              </w:rPr>
            </w:pPr>
            <w:r>
              <w:rPr>
                <w:rFonts w:eastAsia="仿宋"/>
                <w:b/>
                <w:bCs/>
                <w:sz w:val="28"/>
                <w:szCs w:val="28"/>
              </w:rPr>
              <w:t>三层</w:t>
            </w:r>
          </w:p>
        </w:tc>
      </w:tr>
      <w:tr>
        <w:trPr>
          <w:trHeight w:val="560"/>
        </w:trPr>
        <w:tc>
          <w:tcPr>
            <w:tcW w:w="1484" w:type="dxa"/>
            <w:tcBorders>
              <w:top w:val="single" w:sz="4" w:space="0" w:color="auto"/>
            </w:tcBorders>
            <w:noWrap/>
            <w:vAlign w:val="center"/>
          </w:tcPr>
          <w:p>
            <w:pPr>
              <w:adjustRightInd w:val="0"/>
              <w:snapToGrid w:val="0"/>
              <w:spacing w:line="0" w:lineRule="atLeast"/>
              <w:jc w:val="center"/>
              <w:rPr>
                <w:rFonts w:eastAsia="仿宋"/>
                <w:bCs/>
                <w:sz w:val="28"/>
                <w:szCs w:val="28"/>
              </w:rPr>
            </w:pPr>
            <w:r>
              <w:rPr>
                <w:rFonts w:eastAsia="仿宋"/>
                <w:bCs/>
                <w:sz w:val="28"/>
                <w:szCs w:val="28"/>
              </w:rPr>
              <w:t>1#车间</w:t>
            </w:r>
          </w:p>
        </w:tc>
        <w:tc>
          <w:tcPr>
            <w:tcW w:w="1520" w:type="dxa"/>
            <w:vAlign w:val="center"/>
          </w:tcPr>
          <w:p>
            <w:pPr>
              <w:adjustRightInd w:val="0"/>
              <w:snapToGrid w:val="0"/>
              <w:spacing w:line="0" w:lineRule="atLeast"/>
              <w:jc w:val="center"/>
              <w:rPr>
                <w:rFonts w:eastAsia="仿宋"/>
                <w:bCs/>
                <w:sz w:val="28"/>
                <w:szCs w:val="28"/>
              </w:rPr>
            </w:pPr>
            <w:r>
              <w:rPr>
                <w:rFonts w:eastAsia="仿宋" w:hint="eastAsia"/>
                <w:bCs/>
                <w:sz w:val="28"/>
                <w:szCs w:val="28"/>
              </w:rPr>
              <w:t>盐水管网</w:t>
            </w:r>
          </w:p>
        </w:tc>
        <w:tc>
          <w:tcPr>
            <w:tcW w:w="1618" w:type="dxa"/>
            <w:noWrap/>
            <w:vAlign w:val="center"/>
          </w:tcPr>
          <w:p>
            <w:pPr>
              <w:adjustRightInd w:val="0"/>
              <w:snapToGrid w:val="0"/>
              <w:spacing w:line="0" w:lineRule="atLeast"/>
              <w:jc w:val="center"/>
              <w:rPr>
                <w:rFonts w:eastAsia="仿宋"/>
                <w:bCs/>
                <w:sz w:val="28"/>
                <w:szCs w:val="28"/>
              </w:rPr>
            </w:pPr>
            <w:r>
              <w:rPr>
                <w:rFonts w:eastAsia="仿宋"/>
                <w:bCs/>
                <w:sz w:val="28"/>
                <w:szCs w:val="28"/>
              </w:rPr>
              <w:t>榨菜腌制</w:t>
            </w:r>
          </w:p>
        </w:tc>
        <w:tc>
          <w:tcPr>
            <w:tcW w:w="1701" w:type="dxa"/>
            <w:noWrap/>
            <w:vAlign w:val="center"/>
          </w:tcPr>
          <w:p>
            <w:pPr>
              <w:adjustRightInd w:val="0"/>
              <w:snapToGrid w:val="0"/>
              <w:spacing w:line="0" w:lineRule="atLeast"/>
              <w:jc w:val="center"/>
              <w:rPr>
                <w:rFonts w:eastAsia="仿宋"/>
                <w:bCs/>
                <w:sz w:val="28"/>
                <w:szCs w:val="28"/>
              </w:rPr>
            </w:pPr>
            <w:r>
              <w:rPr>
                <w:rFonts w:eastAsia="仿宋" w:hint="eastAsia"/>
                <w:bCs/>
                <w:sz w:val="28"/>
                <w:szCs w:val="28"/>
              </w:rPr>
              <w:t>/</w:t>
            </w:r>
          </w:p>
        </w:tc>
        <w:tc>
          <w:tcPr>
            <w:tcW w:w="1701" w:type="dxa"/>
            <w:noWrap/>
            <w:vAlign w:val="center"/>
          </w:tcPr>
          <w:p>
            <w:pPr>
              <w:adjustRightInd w:val="0"/>
              <w:snapToGrid w:val="0"/>
              <w:spacing w:line="0" w:lineRule="atLeast"/>
              <w:jc w:val="center"/>
              <w:rPr>
                <w:rFonts w:eastAsia="仿宋"/>
                <w:bCs/>
                <w:sz w:val="28"/>
                <w:szCs w:val="28"/>
              </w:rPr>
            </w:pPr>
            <w:r>
              <w:rPr>
                <w:rFonts w:eastAsia="仿宋" w:hint="eastAsia"/>
                <w:bCs/>
                <w:sz w:val="28"/>
                <w:szCs w:val="28"/>
              </w:rPr>
              <w:t>/</w:t>
            </w:r>
          </w:p>
        </w:tc>
      </w:tr>
      <w:tr>
        <w:trPr>
          <w:trHeight w:val="560"/>
        </w:trPr>
        <w:tc>
          <w:tcPr>
            <w:tcW w:w="1484" w:type="dxa"/>
            <w:tcBorders>
              <w:top w:val="single" w:sz="4" w:space="0" w:color="auto"/>
            </w:tcBorders>
            <w:noWrap/>
            <w:vAlign w:val="center"/>
          </w:tcPr>
          <w:p>
            <w:pPr>
              <w:adjustRightInd w:val="0"/>
              <w:snapToGrid w:val="0"/>
              <w:spacing w:line="0" w:lineRule="atLeast"/>
              <w:jc w:val="center"/>
              <w:rPr>
                <w:rFonts w:eastAsia="仿宋"/>
                <w:bCs/>
                <w:sz w:val="28"/>
                <w:szCs w:val="28"/>
              </w:rPr>
            </w:pPr>
            <w:r>
              <w:rPr>
                <w:rFonts w:eastAsia="仿宋"/>
                <w:bCs/>
                <w:sz w:val="28"/>
                <w:szCs w:val="28"/>
              </w:rPr>
              <w:t>2#车间</w:t>
            </w:r>
          </w:p>
        </w:tc>
        <w:tc>
          <w:tcPr>
            <w:tcW w:w="6540" w:type="dxa"/>
            <w:gridSpan w:val="4"/>
            <w:vAlign w:val="center"/>
          </w:tcPr>
          <w:p>
            <w:pPr>
              <w:adjustRightInd w:val="0"/>
              <w:snapToGrid w:val="0"/>
              <w:spacing w:line="0" w:lineRule="atLeast"/>
              <w:jc w:val="center"/>
              <w:rPr>
                <w:rFonts w:eastAsia="仿宋"/>
                <w:bCs/>
                <w:sz w:val="28"/>
                <w:szCs w:val="28"/>
              </w:rPr>
            </w:pPr>
            <w:r>
              <w:rPr>
                <w:rFonts w:eastAsia="仿宋" w:hint="eastAsia"/>
                <w:bCs/>
                <w:sz w:val="28"/>
                <w:szCs w:val="28"/>
              </w:rPr>
              <w:t>预留未来榨菜腌制及加工车间</w:t>
            </w:r>
          </w:p>
        </w:tc>
      </w:tr>
      <w:tr>
        <w:trPr>
          <w:trHeight w:val="560"/>
        </w:trPr>
        <w:tc>
          <w:tcPr>
            <w:tcW w:w="1484" w:type="dxa"/>
            <w:noWrap/>
            <w:vAlign w:val="center"/>
          </w:tcPr>
          <w:p>
            <w:pPr>
              <w:adjustRightInd w:val="0"/>
              <w:snapToGrid w:val="0"/>
              <w:spacing w:line="0" w:lineRule="atLeast"/>
              <w:jc w:val="center"/>
              <w:rPr>
                <w:rFonts w:eastAsia="仿宋"/>
                <w:bCs/>
                <w:sz w:val="28"/>
                <w:szCs w:val="28"/>
              </w:rPr>
            </w:pPr>
            <w:r>
              <w:rPr>
                <w:rFonts w:eastAsia="仿宋"/>
                <w:bCs/>
                <w:sz w:val="28"/>
                <w:szCs w:val="28"/>
              </w:rPr>
              <w:t>3#车间</w:t>
            </w:r>
          </w:p>
        </w:tc>
        <w:tc>
          <w:tcPr>
            <w:tcW w:w="1520" w:type="dxa"/>
            <w:vAlign w:val="center"/>
          </w:tcPr>
          <w:p>
            <w:pPr>
              <w:adjustRightInd w:val="0"/>
              <w:snapToGrid w:val="0"/>
              <w:spacing w:line="0" w:lineRule="atLeast"/>
              <w:jc w:val="center"/>
              <w:rPr>
                <w:rFonts w:eastAsia="仿宋"/>
                <w:bCs/>
                <w:sz w:val="28"/>
                <w:szCs w:val="28"/>
              </w:rPr>
            </w:pPr>
            <w:r>
              <w:rPr>
                <w:rFonts w:eastAsia="仿宋" w:hint="eastAsia"/>
                <w:bCs/>
                <w:sz w:val="28"/>
                <w:szCs w:val="28"/>
              </w:rPr>
              <w:t>盐水管网</w:t>
            </w:r>
          </w:p>
        </w:tc>
        <w:tc>
          <w:tcPr>
            <w:tcW w:w="1618" w:type="dxa"/>
            <w:noWrap/>
            <w:vAlign w:val="center"/>
          </w:tcPr>
          <w:p>
            <w:pPr>
              <w:adjustRightInd w:val="0"/>
              <w:snapToGrid w:val="0"/>
              <w:spacing w:line="0" w:lineRule="atLeast"/>
              <w:jc w:val="center"/>
              <w:rPr>
                <w:rFonts w:eastAsia="仿宋"/>
                <w:bCs/>
                <w:sz w:val="28"/>
                <w:szCs w:val="28"/>
              </w:rPr>
            </w:pPr>
            <w:r>
              <w:rPr>
                <w:rFonts w:eastAsia="仿宋"/>
                <w:bCs/>
                <w:sz w:val="28"/>
                <w:szCs w:val="28"/>
              </w:rPr>
              <w:t>榨菜腌制</w:t>
            </w:r>
          </w:p>
        </w:tc>
        <w:tc>
          <w:tcPr>
            <w:tcW w:w="1701" w:type="dxa"/>
            <w:noWrap/>
            <w:vAlign w:val="center"/>
          </w:tcPr>
          <w:p>
            <w:pPr>
              <w:adjustRightInd w:val="0"/>
              <w:snapToGrid w:val="0"/>
              <w:spacing w:line="0" w:lineRule="atLeast"/>
              <w:jc w:val="center"/>
              <w:rPr>
                <w:rFonts w:eastAsia="仿宋"/>
                <w:bCs/>
                <w:sz w:val="28"/>
                <w:szCs w:val="28"/>
              </w:rPr>
            </w:pPr>
            <w:r>
              <w:rPr>
                <w:rFonts w:eastAsia="仿宋" w:hint="eastAsia"/>
                <w:bCs/>
                <w:sz w:val="28"/>
                <w:szCs w:val="28"/>
              </w:rPr>
              <w:t>/</w:t>
            </w:r>
          </w:p>
        </w:tc>
        <w:tc>
          <w:tcPr>
            <w:tcW w:w="1701" w:type="dxa"/>
            <w:noWrap/>
            <w:vAlign w:val="center"/>
          </w:tcPr>
          <w:p>
            <w:pPr>
              <w:adjustRightInd w:val="0"/>
              <w:snapToGrid w:val="0"/>
              <w:spacing w:line="0" w:lineRule="atLeast"/>
              <w:jc w:val="center"/>
              <w:rPr>
                <w:rFonts w:eastAsia="仿宋"/>
                <w:bCs/>
                <w:sz w:val="28"/>
                <w:szCs w:val="28"/>
              </w:rPr>
            </w:pPr>
            <w:r>
              <w:rPr>
                <w:rFonts w:eastAsia="仿宋" w:hint="eastAsia"/>
                <w:bCs/>
                <w:sz w:val="28"/>
                <w:szCs w:val="28"/>
              </w:rPr>
              <w:t>/</w:t>
            </w:r>
          </w:p>
        </w:tc>
      </w:tr>
      <w:tr>
        <w:trPr>
          <w:trHeight w:val="560"/>
        </w:trPr>
        <w:tc>
          <w:tcPr>
            <w:tcW w:w="1484" w:type="dxa"/>
            <w:noWrap/>
            <w:vAlign w:val="center"/>
          </w:tcPr>
          <w:p>
            <w:pPr>
              <w:adjustRightInd w:val="0"/>
              <w:snapToGrid w:val="0"/>
              <w:spacing w:line="0" w:lineRule="atLeast"/>
              <w:jc w:val="center"/>
              <w:rPr>
                <w:rFonts w:eastAsia="仿宋"/>
                <w:bCs/>
                <w:sz w:val="28"/>
                <w:szCs w:val="28"/>
              </w:rPr>
            </w:pPr>
            <w:r>
              <w:rPr>
                <w:rFonts w:eastAsia="仿宋"/>
                <w:bCs/>
                <w:sz w:val="28"/>
                <w:szCs w:val="28"/>
              </w:rPr>
              <w:t>4#车间</w:t>
            </w:r>
          </w:p>
        </w:tc>
        <w:tc>
          <w:tcPr>
            <w:tcW w:w="1520" w:type="dxa"/>
            <w:vAlign w:val="center"/>
          </w:tcPr>
          <w:p>
            <w:pPr>
              <w:adjustRightInd w:val="0"/>
              <w:snapToGrid w:val="0"/>
              <w:spacing w:line="0" w:lineRule="atLeast"/>
              <w:jc w:val="center"/>
              <w:rPr>
                <w:rFonts w:eastAsia="仿宋"/>
                <w:bCs/>
                <w:sz w:val="28"/>
                <w:szCs w:val="28"/>
              </w:rPr>
            </w:pPr>
            <w:r>
              <w:rPr>
                <w:rFonts w:eastAsia="仿宋" w:hint="eastAsia"/>
                <w:bCs/>
                <w:sz w:val="28"/>
                <w:szCs w:val="28"/>
              </w:rPr>
              <w:t>盐水管网</w:t>
            </w:r>
          </w:p>
        </w:tc>
        <w:tc>
          <w:tcPr>
            <w:tcW w:w="1618" w:type="dxa"/>
            <w:noWrap/>
            <w:vAlign w:val="center"/>
          </w:tcPr>
          <w:p>
            <w:pPr>
              <w:adjustRightInd w:val="0"/>
              <w:snapToGrid w:val="0"/>
              <w:spacing w:line="0" w:lineRule="atLeast"/>
              <w:jc w:val="center"/>
              <w:rPr>
                <w:rFonts w:eastAsia="仿宋"/>
                <w:bCs/>
                <w:sz w:val="28"/>
                <w:szCs w:val="28"/>
              </w:rPr>
            </w:pPr>
            <w:r>
              <w:rPr>
                <w:rFonts w:eastAsia="仿宋"/>
                <w:bCs/>
                <w:sz w:val="28"/>
                <w:szCs w:val="28"/>
              </w:rPr>
              <w:t>榨菜腌制</w:t>
            </w:r>
          </w:p>
        </w:tc>
        <w:tc>
          <w:tcPr>
            <w:tcW w:w="1701" w:type="dxa"/>
            <w:noWrap/>
            <w:vAlign w:val="center"/>
          </w:tcPr>
          <w:p>
            <w:pPr>
              <w:adjustRightInd w:val="0"/>
              <w:snapToGrid w:val="0"/>
              <w:spacing w:line="0" w:lineRule="atLeast"/>
              <w:jc w:val="center"/>
              <w:rPr>
                <w:rFonts w:eastAsia="仿宋"/>
                <w:bCs/>
                <w:sz w:val="28"/>
                <w:szCs w:val="28"/>
              </w:rPr>
            </w:pPr>
            <w:r>
              <w:rPr>
                <w:rFonts w:eastAsia="仿宋" w:hint="eastAsia"/>
                <w:bCs/>
                <w:sz w:val="28"/>
                <w:szCs w:val="28"/>
              </w:rPr>
              <w:t>/</w:t>
            </w:r>
          </w:p>
        </w:tc>
        <w:tc>
          <w:tcPr>
            <w:tcW w:w="1701" w:type="dxa"/>
            <w:noWrap/>
            <w:vAlign w:val="center"/>
          </w:tcPr>
          <w:p>
            <w:pPr>
              <w:adjustRightInd w:val="0"/>
              <w:snapToGrid w:val="0"/>
              <w:spacing w:line="0" w:lineRule="atLeast"/>
              <w:jc w:val="center"/>
              <w:rPr>
                <w:rFonts w:eastAsia="仿宋"/>
                <w:bCs/>
                <w:sz w:val="28"/>
                <w:szCs w:val="28"/>
              </w:rPr>
            </w:pPr>
            <w:r>
              <w:rPr>
                <w:rFonts w:eastAsia="仿宋" w:hint="eastAsia"/>
                <w:bCs/>
                <w:sz w:val="28"/>
                <w:szCs w:val="28"/>
              </w:rPr>
              <w:t>/</w:t>
            </w:r>
          </w:p>
        </w:tc>
      </w:tr>
      <w:tr>
        <w:trPr>
          <w:trHeight w:val="560"/>
        </w:trPr>
        <w:tc>
          <w:tcPr>
            <w:tcW w:w="1484" w:type="dxa"/>
            <w:noWrap/>
            <w:vAlign w:val="center"/>
          </w:tcPr>
          <w:p>
            <w:pPr>
              <w:adjustRightInd w:val="0"/>
              <w:snapToGrid w:val="0"/>
              <w:spacing w:line="0" w:lineRule="atLeast"/>
              <w:jc w:val="center"/>
              <w:rPr>
                <w:rFonts w:eastAsia="仿宋"/>
                <w:bCs/>
                <w:sz w:val="28"/>
                <w:szCs w:val="28"/>
              </w:rPr>
            </w:pPr>
            <w:r>
              <w:rPr>
                <w:rFonts w:eastAsia="仿宋"/>
                <w:bCs/>
                <w:sz w:val="28"/>
                <w:szCs w:val="28"/>
              </w:rPr>
              <w:t>5#车间</w:t>
            </w:r>
          </w:p>
        </w:tc>
        <w:tc>
          <w:tcPr>
            <w:tcW w:w="1520" w:type="dxa"/>
            <w:vAlign w:val="center"/>
          </w:tcPr>
          <w:p>
            <w:pPr>
              <w:adjustRightInd w:val="0"/>
              <w:snapToGrid w:val="0"/>
              <w:spacing w:line="0" w:lineRule="atLeast"/>
              <w:jc w:val="center"/>
              <w:rPr>
                <w:rFonts w:eastAsia="仿宋"/>
                <w:bCs/>
                <w:sz w:val="28"/>
                <w:szCs w:val="28"/>
              </w:rPr>
            </w:pPr>
            <w:r>
              <w:rPr>
                <w:rFonts w:eastAsia="仿宋" w:hint="eastAsia"/>
                <w:bCs/>
                <w:sz w:val="28"/>
                <w:szCs w:val="28"/>
              </w:rPr>
              <w:t>盐水管网</w:t>
            </w:r>
          </w:p>
        </w:tc>
        <w:tc>
          <w:tcPr>
            <w:tcW w:w="1618" w:type="dxa"/>
            <w:noWrap/>
            <w:vAlign w:val="center"/>
          </w:tcPr>
          <w:p>
            <w:pPr>
              <w:adjustRightInd w:val="0"/>
              <w:snapToGrid w:val="0"/>
              <w:spacing w:line="0" w:lineRule="atLeast"/>
              <w:jc w:val="center"/>
              <w:rPr>
                <w:rFonts w:eastAsia="仿宋"/>
                <w:bCs/>
                <w:sz w:val="28"/>
                <w:szCs w:val="28"/>
              </w:rPr>
            </w:pPr>
            <w:r>
              <w:rPr>
                <w:rFonts w:eastAsia="仿宋"/>
                <w:bCs/>
                <w:sz w:val="28"/>
                <w:szCs w:val="28"/>
              </w:rPr>
              <w:t>榨菜腌制</w:t>
            </w:r>
          </w:p>
        </w:tc>
        <w:tc>
          <w:tcPr>
            <w:tcW w:w="1701" w:type="dxa"/>
            <w:noWrap/>
            <w:vAlign w:val="center"/>
          </w:tcPr>
          <w:p>
            <w:pPr>
              <w:adjustRightInd w:val="0"/>
              <w:snapToGrid w:val="0"/>
              <w:spacing w:line="0" w:lineRule="atLeast"/>
              <w:jc w:val="center"/>
              <w:rPr>
                <w:rFonts w:eastAsia="仿宋"/>
                <w:bCs/>
                <w:sz w:val="28"/>
                <w:szCs w:val="28"/>
              </w:rPr>
            </w:pPr>
            <w:r>
              <w:rPr>
                <w:rFonts w:eastAsia="仿宋"/>
                <w:bCs/>
                <w:sz w:val="28"/>
                <w:szCs w:val="28"/>
              </w:rPr>
              <w:t>豆瓣酱晾晒</w:t>
            </w:r>
          </w:p>
        </w:tc>
        <w:tc>
          <w:tcPr>
            <w:tcW w:w="1701" w:type="dxa"/>
            <w:noWrap/>
            <w:vAlign w:val="center"/>
          </w:tcPr>
          <w:p>
            <w:pPr>
              <w:adjustRightInd w:val="0"/>
              <w:snapToGrid w:val="0"/>
              <w:spacing w:line="0" w:lineRule="atLeast"/>
              <w:jc w:val="center"/>
              <w:rPr>
                <w:rFonts w:eastAsia="仿宋"/>
                <w:bCs/>
                <w:sz w:val="28"/>
                <w:szCs w:val="28"/>
              </w:rPr>
            </w:pPr>
            <w:r>
              <w:rPr>
                <w:rFonts w:eastAsia="仿宋" w:hint="eastAsia"/>
                <w:bCs/>
                <w:sz w:val="28"/>
                <w:szCs w:val="28"/>
              </w:rPr>
              <w:t>/</w:t>
            </w:r>
          </w:p>
        </w:tc>
      </w:tr>
      <w:tr>
        <w:trPr>
          <w:trHeight w:val="560"/>
        </w:trPr>
        <w:tc>
          <w:tcPr>
            <w:tcW w:w="1484" w:type="dxa"/>
            <w:noWrap/>
            <w:vAlign w:val="center"/>
          </w:tcPr>
          <w:p>
            <w:pPr>
              <w:adjustRightInd w:val="0"/>
              <w:snapToGrid w:val="0"/>
              <w:spacing w:line="0" w:lineRule="atLeast"/>
              <w:jc w:val="center"/>
              <w:rPr>
                <w:rFonts w:eastAsia="仿宋"/>
                <w:bCs/>
                <w:sz w:val="28"/>
                <w:szCs w:val="28"/>
              </w:rPr>
            </w:pPr>
            <w:r>
              <w:rPr>
                <w:rFonts w:eastAsia="仿宋"/>
                <w:bCs/>
                <w:sz w:val="28"/>
                <w:szCs w:val="28"/>
              </w:rPr>
              <w:t>6#车间</w:t>
            </w:r>
          </w:p>
        </w:tc>
        <w:tc>
          <w:tcPr>
            <w:tcW w:w="1520" w:type="dxa"/>
            <w:vAlign w:val="center"/>
          </w:tcPr>
          <w:p>
            <w:pPr>
              <w:adjustRightInd w:val="0"/>
              <w:snapToGrid w:val="0"/>
              <w:spacing w:line="0" w:lineRule="atLeast"/>
              <w:jc w:val="center"/>
              <w:rPr>
                <w:rFonts w:eastAsia="仿宋"/>
                <w:bCs/>
                <w:sz w:val="28"/>
                <w:szCs w:val="28"/>
              </w:rPr>
            </w:pPr>
            <w:r>
              <w:rPr>
                <w:rFonts w:eastAsia="仿宋" w:hint="eastAsia"/>
                <w:bCs/>
                <w:sz w:val="28"/>
                <w:szCs w:val="28"/>
              </w:rPr>
              <w:t>盐水管网</w:t>
            </w:r>
          </w:p>
        </w:tc>
        <w:tc>
          <w:tcPr>
            <w:tcW w:w="1618" w:type="dxa"/>
            <w:noWrap/>
            <w:vAlign w:val="center"/>
          </w:tcPr>
          <w:p>
            <w:pPr>
              <w:adjustRightInd w:val="0"/>
              <w:snapToGrid w:val="0"/>
              <w:spacing w:line="0" w:lineRule="atLeast"/>
              <w:jc w:val="center"/>
              <w:rPr>
                <w:rFonts w:eastAsia="仿宋"/>
                <w:bCs/>
                <w:sz w:val="28"/>
                <w:szCs w:val="28"/>
              </w:rPr>
            </w:pPr>
            <w:r>
              <w:rPr>
                <w:rFonts w:eastAsia="仿宋"/>
                <w:bCs/>
                <w:sz w:val="28"/>
                <w:szCs w:val="28"/>
              </w:rPr>
              <w:t>辣椒腌制</w:t>
            </w:r>
          </w:p>
        </w:tc>
        <w:tc>
          <w:tcPr>
            <w:tcW w:w="1701" w:type="dxa"/>
            <w:noWrap/>
            <w:vAlign w:val="center"/>
          </w:tcPr>
          <w:p>
            <w:pPr>
              <w:adjustRightInd w:val="0"/>
              <w:snapToGrid w:val="0"/>
              <w:spacing w:line="0" w:lineRule="atLeast"/>
              <w:jc w:val="center"/>
              <w:rPr>
                <w:rFonts w:eastAsia="仿宋"/>
                <w:bCs/>
                <w:sz w:val="28"/>
                <w:szCs w:val="28"/>
              </w:rPr>
            </w:pPr>
            <w:r>
              <w:rPr>
                <w:rFonts w:eastAsia="仿宋"/>
                <w:bCs/>
                <w:sz w:val="28"/>
                <w:szCs w:val="28"/>
              </w:rPr>
              <w:t>乳化车间</w:t>
            </w:r>
          </w:p>
        </w:tc>
        <w:tc>
          <w:tcPr>
            <w:tcW w:w="1701" w:type="dxa"/>
            <w:noWrap/>
            <w:vAlign w:val="center"/>
          </w:tcPr>
          <w:p>
            <w:pPr>
              <w:adjustRightInd w:val="0"/>
              <w:snapToGrid w:val="0"/>
              <w:spacing w:line="0" w:lineRule="atLeast"/>
              <w:jc w:val="center"/>
              <w:rPr>
                <w:rFonts w:eastAsia="仿宋"/>
                <w:bCs/>
                <w:sz w:val="28"/>
                <w:szCs w:val="28"/>
              </w:rPr>
            </w:pPr>
            <w:r>
              <w:rPr>
                <w:rFonts w:eastAsia="仿宋"/>
                <w:bCs/>
                <w:sz w:val="28"/>
                <w:szCs w:val="28"/>
              </w:rPr>
              <w:t>豆瓣酱晾晒</w:t>
            </w:r>
          </w:p>
        </w:tc>
      </w:tr>
      <w:tr>
        <w:trPr>
          <w:trHeight w:val="560"/>
        </w:trPr>
        <w:tc>
          <w:tcPr>
            <w:tcW w:w="1484" w:type="dxa"/>
            <w:noWrap/>
            <w:vAlign w:val="center"/>
          </w:tcPr>
          <w:p>
            <w:pPr>
              <w:adjustRightInd w:val="0"/>
              <w:snapToGrid w:val="0"/>
              <w:spacing w:line="0" w:lineRule="atLeast"/>
              <w:jc w:val="center"/>
              <w:rPr>
                <w:rFonts w:eastAsia="仿宋"/>
                <w:bCs/>
                <w:sz w:val="28"/>
                <w:szCs w:val="28"/>
              </w:rPr>
            </w:pPr>
            <w:r>
              <w:rPr>
                <w:rFonts w:eastAsia="仿宋"/>
                <w:bCs/>
                <w:sz w:val="28"/>
                <w:szCs w:val="28"/>
              </w:rPr>
              <w:t>7#车间</w:t>
            </w:r>
          </w:p>
        </w:tc>
        <w:tc>
          <w:tcPr>
            <w:tcW w:w="1520" w:type="dxa"/>
            <w:vAlign w:val="center"/>
          </w:tcPr>
          <w:p>
            <w:pPr>
              <w:adjustRightInd w:val="0"/>
              <w:snapToGrid w:val="0"/>
              <w:spacing w:line="0" w:lineRule="atLeast"/>
              <w:jc w:val="center"/>
              <w:rPr>
                <w:rFonts w:eastAsia="仿宋"/>
                <w:bCs/>
                <w:sz w:val="28"/>
                <w:szCs w:val="28"/>
              </w:rPr>
            </w:pPr>
            <w:r>
              <w:rPr>
                <w:rFonts w:eastAsia="仿宋" w:hint="eastAsia"/>
                <w:bCs/>
                <w:sz w:val="28"/>
                <w:szCs w:val="28"/>
              </w:rPr>
              <w:t>盐水管网</w:t>
            </w:r>
          </w:p>
        </w:tc>
        <w:tc>
          <w:tcPr>
            <w:tcW w:w="1618" w:type="dxa"/>
            <w:noWrap/>
            <w:vAlign w:val="center"/>
          </w:tcPr>
          <w:p>
            <w:pPr>
              <w:adjustRightInd w:val="0"/>
              <w:snapToGrid w:val="0"/>
              <w:spacing w:line="0" w:lineRule="atLeast"/>
              <w:jc w:val="center"/>
              <w:rPr>
                <w:rFonts w:eastAsia="仿宋"/>
                <w:bCs/>
                <w:sz w:val="28"/>
                <w:szCs w:val="28"/>
              </w:rPr>
            </w:pPr>
            <w:r>
              <w:rPr>
                <w:rFonts w:eastAsia="仿宋"/>
                <w:bCs/>
                <w:sz w:val="28"/>
                <w:szCs w:val="28"/>
              </w:rPr>
              <w:t>榨菜腌制</w:t>
            </w:r>
          </w:p>
        </w:tc>
        <w:tc>
          <w:tcPr>
            <w:tcW w:w="1701" w:type="dxa"/>
            <w:noWrap/>
            <w:vAlign w:val="center"/>
          </w:tcPr>
          <w:p>
            <w:pPr>
              <w:adjustRightInd w:val="0"/>
              <w:snapToGrid w:val="0"/>
              <w:spacing w:line="0" w:lineRule="atLeast"/>
              <w:jc w:val="center"/>
              <w:rPr>
                <w:rFonts w:eastAsia="仿宋"/>
                <w:bCs/>
                <w:sz w:val="28"/>
                <w:szCs w:val="28"/>
              </w:rPr>
            </w:pPr>
            <w:r>
              <w:rPr>
                <w:rFonts w:eastAsia="仿宋"/>
                <w:bCs/>
                <w:sz w:val="28"/>
                <w:szCs w:val="28"/>
              </w:rPr>
              <w:t>榨菜车间</w:t>
            </w:r>
          </w:p>
        </w:tc>
        <w:tc>
          <w:tcPr>
            <w:tcW w:w="1701" w:type="dxa"/>
            <w:noWrap/>
            <w:vAlign w:val="center"/>
          </w:tcPr>
          <w:p>
            <w:pPr>
              <w:adjustRightInd w:val="0"/>
              <w:snapToGrid w:val="0"/>
              <w:spacing w:line="0" w:lineRule="atLeast"/>
              <w:jc w:val="center"/>
              <w:rPr>
                <w:rFonts w:eastAsia="仿宋"/>
                <w:bCs/>
                <w:sz w:val="28"/>
                <w:szCs w:val="28"/>
              </w:rPr>
            </w:pPr>
            <w:r>
              <w:rPr>
                <w:rFonts w:eastAsia="仿宋"/>
                <w:bCs/>
                <w:sz w:val="28"/>
                <w:szCs w:val="28"/>
              </w:rPr>
              <w:t>豆瓣酱晾晒</w:t>
            </w:r>
          </w:p>
        </w:tc>
      </w:tr>
      <w:tr>
        <w:trPr>
          <w:trHeight w:val="560"/>
        </w:trPr>
        <w:tc>
          <w:tcPr>
            <w:tcW w:w="1484" w:type="dxa"/>
            <w:noWrap/>
            <w:vAlign w:val="center"/>
          </w:tcPr>
          <w:p>
            <w:pPr>
              <w:adjustRightInd w:val="0"/>
              <w:snapToGrid w:val="0"/>
              <w:spacing w:line="0" w:lineRule="atLeast"/>
              <w:jc w:val="center"/>
              <w:rPr>
                <w:rFonts w:eastAsia="仿宋"/>
                <w:bCs/>
                <w:sz w:val="28"/>
                <w:szCs w:val="28"/>
              </w:rPr>
            </w:pPr>
            <w:r>
              <w:rPr>
                <w:rFonts w:eastAsia="仿宋"/>
                <w:bCs/>
                <w:sz w:val="28"/>
                <w:szCs w:val="28"/>
              </w:rPr>
              <w:t>8#车间</w:t>
            </w:r>
          </w:p>
        </w:tc>
        <w:tc>
          <w:tcPr>
            <w:tcW w:w="1520" w:type="dxa"/>
            <w:vAlign w:val="center"/>
          </w:tcPr>
          <w:p>
            <w:pPr>
              <w:adjustRightInd w:val="0"/>
              <w:snapToGrid w:val="0"/>
              <w:spacing w:line="0" w:lineRule="atLeast"/>
              <w:jc w:val="center"/>
              <w:rPr>
                <w:rFonts w:eastAsia="仿宋"/>
                <w:bCs/>
                <w:sz w:val="28"/>
                <w:szCs w:val="28"/>
              </w:rPr>
            </w:pPr>
            <w:r>
              <w:rPr>
                <w:rFonts w:eastAsia="仿宋" w:hint="eastAsia"/>
                <w:bCs/>
                <w:sz w:val="28"/>
                <w:szCs w:val="28"/>
              </w:rPr>
              <w:t>盐水管网</w:t>
            </w:r>
          </w:p>
        </w:tc>
        <w:tc>
          <w:tcPr>
            <w:tcW w:w="1618" w:type="dxa"/>
            <w:noWrap/>
            <w:vAlign w:val="center"/>
          </w:tcPr>
          <w:p>
            <w:pPr>
              <w:adjustRightInd w:val="0"/>
              <w:snapToGrid w:val="0"/>
              <w:spacing w:line="0" w:lineRule="atLeast"/>
              <w:jc w:val="center"/>
              <w:rPr>
                <w:rFonts w:eastAsia="仿宋"/>
                <w:bCs/>
                <w:sz w:val="28"/>
                <w:szCs w:val="28"/>
              </w:rPr>
            </w:pPr>
            <w:r>
              <w:rPr>
                <w:rFonts w:eastAsia="仿宋"/>
                <w:bCs/>
                <w:sz w:val="28"/>
                <w:szCs w:val="28"/>
              </w:rPr>
              <w:t>榨菜腌制</w:t>
            </w:r>
          </w:p>
        </w:tc>
        <w:tc>
          <w:tcPr>
            <w:tcW w:w="1701" w:type="dxa"/>
            <w:noWrap/>
            <w:vAlign w:val="center"/>
          </w:tcPr>
          <w:p>
            <w:pPr>
              <w:adjustRightInd w:val="0"/>
              <w:snapToGrid w:val="0"/>
              <w:spacing w:line="0" w:lineRule="atLeast"/>
              <w:jc w:val="center"/>
              <w:rPr>
                <w:rFonts w:eastAsia="仿宋"/>
                <w:bCs/>
                <w:sz w:val="28"/>
                <w:szCs w:val="28"/>
              </w:rPr>
            </w:pPr>
            <w:r>
              <w:rPr>
                <w:rFonts w:eastAsia="仿宋"/>
                <w:bCs/>
                <w:sz w:val="28"/>
                <w:szCs w:val="28"/>
              </w:rPr>
              <w:t>榨菜车间</w:t>
            </w:r>
          </w:p>
        </w:tc>
        <w:tc>
          <w:tcPr>
            <w:tcW w:w="1701" w:type="dxa"/>
            <w:noWrap/>
            <w:vAlign w:val="center"/>
          </w:tcPr>
          <w:p>
            <w:pPr>
              <w:adjustRightInd w:val="0"/>
              <w:snapToGrid w:val="0"/>
              <w:spacing w:line="0" w:lineRule="atLeast"/>
              <w:jc w:val="center"/>
              <w:rPr>
                <w:rFonts w:eastAsia="仿宋"/>
                <w:bCs/>
                <w:sz w:val="28"/>
                <w:szCs w:val="28"/>
              </w:rPr>
            </w:pPr>
            <w:r>
              <w:rPr>
                <w:rFonts w:eastAsia="仿宋"/>
                <w:bCs/>
                <w:sz w:val="28"/>
                <w:szCs w:val="28"/>
              </w:rPr>
              <w:t>豆瓣酱晾晒</w:t>
            </w:r>
          </w:p>
        </w:tc>
      </w:tr>
    </w:tbl>
    <w:p>
      <w:pPr>
        <w:pStyle w:val="4"/>
        <w:ind w:firstLine="560"/>
        <w:outlineLvl w:val="9"/>
      </w:pPr>
      <w:r>
        <w:rPr>
          <w:rFonts w:hint="eastAsia"/>
        </w:rPr>
        <w:t>车间窖池分部图</w:t>
      </w:r>
    </w:p>
    <w:p>
      <w:pPr>
        <w:pStyle w:val="21"/>
        <w:rPr>
          <w:sz w:val="28"/>
          <w:szCs w:val="28"/>
        </w:rPr>
      </w:pPr>
      <w:r>
        <w:rPr>
          <w:rFonts w:hint="eastAsia"/>
          <w:sz w:val="28"/>
          <w:szCs w:val="28"/>
        </w:rPr>
        <w:t>车间窖池分布图以</w:t>
      </w:r>
      <w:r>
        <w:rPr>
          <w:sz w:val="28"/>
          <w:szCs w:val="28"/>
        </w:rPr>
        <w:t>5</w:t>
      </w:r>
      <w:r>
        <w:rPr>
          <w:rFonts w:hint="eastAsia"/>
          <w:sz w:val="28"/>
          <w:szCs w:val="28"/>
        </w:rPr>
        <w:t>#车间为例，中间红框区域为功能窖池，用于盐水输送过程中的过滤、检测、计量，其余部分均为腌制窖池。</w:t>
      </w:r>
    </w:p>
    <w:p>
      <w:pPr>
        <w:pStyle w:val="21"/>
        <w:rPr>
          <w:rFonts w:ascii="仿宋" w:cs="仿宋"/>
          <w:sz w:val="28"/>
          <w:szCs w:val="28"/>
        </w:rPr>
      </w:pPr>
      <w:r>
        <w:rPr>
          <w:sz w:val="28"/>
          <w:szCs w:val="28"/>
        </w:rPr>
        <w:drawing>
          <wp:inline distT="0" distB="0" distL="0" distR="0">
            <wp:extent cx="5940425" cy="2461260"/>
            <wp:effectExtent l="0" t="0" r="0" b="0"/>
            <wp:docPr id="4" name="图片 4"/>
            <wp:cNvGraphicFramePr>
              <a:graphicFrameLocks noChangeAspect="1"/>
            </wp:cNvGraphicFramePr>
            <a:graphic>
              <a:graphicData uri="http://schemas.openxmlformats.org/drawingml/2006/picture">
                <pic:pic>
                  <pic:nvPicPr>
                    <pic:cNvPr id="6" name="图片 6"/>
                    <pic:cNvPicPr/>
                  </pic:nvPicPr>
                  <pic:blipFill>
                    <a:blip r:embed="rId6"/>
                    <a:stretch>
                      <a:fillRect/>
                    </a:stretch>
                  </pic:blipFill>
                  <pic:spPr>
                    <a:xfrm rot="0">
                      <a:off x="0" y="0"/>
                      <a:ext cx="5940425" cy="2461260"/>
                    </a:xfrm>
                    <a:prstGeom prst="rect"/>
                    <a:noFill/>
                    <a:ln w="9525" cmpd="sng" cap="flat">
                      <a:noFill/>
                      <a:prstDash val="solid"/>
                      <a:miter/>
                    </a:ln>
                  </pic:spPr>
                </pic:pic>
              </a:graphicData>
            </a:graphic>
          </wp:inline>
        </w:drawing>
      </w:r>
    </w:p>
    <w:p>
      <w:pPr>
        <w:pStyle w:val="2"/>
        <w:ind w:left="567" w:firstLine="562"/>
        <w:outlineLvl w:val="9"/>
      </w:pPr>
      <w:r>
        <w:rPr>
          <w:rFonts w:hint="eastAsia"/>
        </w:rPr>
        <w:t>项目规模及要求</w:t>
      </w:r>
    </w:p>
    <w:p>
      <w:pPr>
        <w:pStyle w:val="3"/>
        <w:ind w:firstLine="560"/>
        <w:outlineLvl w:val="9"/>
        <w:rPr>
          <w:rFonts w:eastAsia="宋体"/>
        </w:rPr>
      </w:pPr>
      <w:r>
        <w:rPr>
          <w:rFonts w:hint="eastAsia"/>
        </w:rPr>
        <w:t>各类盐水输送处理规模要求如下表：</w:t>
      </w:r>
    </w:p>
    <w:p>
      <w:pPr>
        <w:jc w:val="center"/>
        <w:rPr>
          <w:rFonts w:ascii="仿宋" w:eastAsia="仿宋" w:cs="仿宋"/>
          <w:sz w:val="28"/>
          <w:szCs w:val="20"/>
        </w:rPr>
      </w:pPr>
      <w:r>
        <w:rPr>
          <w:rFonts w:ascii="仿宋" w:eastAsia="仿宋" w:cs="仿宋" w:hint="eastAsia"/>
          <w:sz w:val="28"/>
          <w:szCs w:val="20"/>
        </w:rPr>
        <w:t>表2 各类盐水和泡菜发酵剂输送处理规模</w:t>
      </w:r>
    </w:p>
    <w:tbl>
      <w:tblPr>
        <w:jc w:val="center"/>
        <w:tblW w:w="100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926"/>
        <w:gridCol w:w="936"/>
        <w:gridCol w:w="730"/>
        <w:gridCol w:w="695"/>
        <w:gridCol w:w="854"/>
        <w:gridCol w:w="2016"/>
        <w:gridCol w:w="1296"/>
        <w:gridCol w:w="1026"/>
        <w:gridCol w:w="1562"/>
      </w:tblGrid>
      <w:tr>
        <w:trPr>
          <w:trHeight w:val="360"/>
        </w:trPr>
        <w:tc>
          <w:tcPr>
            <w:tcW w:w="926" w:type="dxa"/>
            <w:vMerge w:val="restart"/>
            <w:vAlign w:val="center"/>
          </w:tcPr>
          <w:p>
            <w:pPr>
              <w:jc w:val="center"/>
              <w:rPr>
                <w:rFonts w:ascii="仿宋" w:eastAsia="仿宋"/>
                <w:sz w:val="18"/>
                <w:szCs w:val="18"/>
              </w:rPr>
            </w:pPr>
            <w:r>
              <w:rPr>
                <w:rFonts w:ascii="仿宋" w:eastAsia="仿宋" w:hint="eastAsia"/>
                <w:sz w:val="18"/>
                <w:szCs w:val="18"/>
              </w:rPr>
              <w:t>食品</w:t>
            </w:r>
          </w:p>
          <w:p>
            <w:pPr>
              <w:jc w:val="center"/>
              <w:rPr>
                <w:rFonts w:ascii="仿宋" w:eastAsia="仿宋"/>
                <w:sz w:val="18"/>
                <w:szCs w:val="18"/>
              </w:rPr>
            </w:pPr>
            <w:r>
              <w:rPr>
                <w:rFonts w:ascii="仿宋" w:eastAsia="仿宋" w:hint="eastAsia"/>
                <w:sz w:val="18"/>
                <w:szCs w:val="18"/>
              </w:rPr>
              <w:t>名称</w:t>
            </w:r>
          </w:p>
        </w:tc>
        <w:tc>
          <w:tcPr>
            <w:tcW w:w="936" w:type="dxa"/>
            <w:vMerge w:val="restart"/>
            <w:vAlign w:val="center"/>
          </w:tcPr>
          <w:p>
            <w:pPr>
              <w:jc w:val="center"/>
              <w:rPr>
                <w:rFonts w:ascii="仿宋" w:eastAsia="仿宋"/>
                <w:sz w:val="18"/>
                <w:szCs w:val="18"/>
              </w:rPr>
            </w:pPr>
            <w:r>
              <w:rPr>
                <w:rFonts w:ascii="仿宋" w:eastAsia="仿宋" w:hint="eastAsia"/>
                <w:sz w:val="18"/>
                <w:szCs w:val="18"/>
              </w:rPr>
              <w:t>食盐</w:t>
            </w:r>
          </w:p>
          <w:p>
            <w:pPr>
              <w:jc w:val="center"/>
              <w:rPr>
                <w:rFonts w:ascii="仿宋" w:eastAsia="仿宋"/>
                <w:sz w:val="18"/>
                <w:szCs w:val="18"/>
              </w:rPr>
            </w:pPr>
            <w:r>
              <w:rPr>
                <w:rFonts w:ascii="仿宋" w:eastAsia="仿宋" w:hint="eastAsia"/>
                <w:sz w:val="18"/>
                <w:szCs w:val="18"/>
              </w:rPr>
              <w:t>含量</w:t>
            </w:r>
          </w:p>
        </w:tc>
        <w:tc>
          <w:tcPr>
            <w:tcW w:w="730" w:type="dxa"/>
            <w:vMerge w:val="restart"/>
            <w:vAlign w:val="center"/>
          </w:tcPr>
          <w:p>
            <w:pPr>
              <w:jc w:val="center"/>
              <w:rPr>
                <w:rFonts w:ascii="仿宋" w:eastAsia="仿宋"/>
                <w:sz w:val="18"/>
                <w:szCs w:val="18"/>
              </w:rPr>
            </w:pPr>
            <w:r>
              <w:rPr>
                <w:rFonts w:ascii="仿宋" w:eastAsia="仿宋" w:hint="eastAsia"/>
                <w:sz w:val="18"/>
                <w:szCs w:val="18"/>
              </w:rPr>
              <w:t>产生</w:t>
            </w:r>
          </w:p>
          <w:p>
            <w:pPr>
              <w:jc w:val="center"/>
              <w:rPr>
                <w:rFonts w:ascii="仿宋" w:eastAsia="仿宋"/>
                <w:sz w:val="18"/>
                <w:szCs w:val="18"/>
              </w:rPr>
            </w:pPr>
            <w:r>
              <w:rPr>
                <w:rFonts w:ascii="仿宋" w:eastAsia="仿宋" w:hint="eastAsia"/>
                <w:sz w:val="18"/>
                <w:szCs w:val="18"/>
              </w:rPr>
              <w:t>工序</w:t>
            </w:r>
          </w:p>
        </w:tc>
        <w:tc>
          <w:tcPr>
            <w:tcW w:w="695" w:type="dxa"/>
            <w:vMerge w:val="restart"/>
            <w:vAlign w:val="center"/>
          </w:tcPr>
          <w:p>
            <w:pPr>
              <w:jc w:val="center"/>
              <w:rPr>
                <w:rFonts w:ascii="仿宋" w:eastAsia="仿宋"/>
                <w:sz w:val="18"/>
                <w:szCs w:val="18"/>
              </w:rPr>
            </w:pPr>
            <w:r>
              <w:rPr>
                <w:rFonts w:ascii="仿宋" w:eastAsia="仿宋" w:hint="eastAsia"/>
                <w:sz w:val="18"/>
                <w:szCs w:val="18"/>
              </w:rPr>
              <w:t>产生</w:t>
            </w:r>
          </w:p>
          <w:p>
            <w:pPr>
              <w:jc w:val="center"/>
              <w:rPr>
                <w:rFonts w:ascii="仿宋" w:eastAsia="仿宋"/>
                <w:sz w:val="18"/>
                <w:szCs w:val="18"/>
              </w:rPr>
            </w:pPr>
            <w:r>
              <w:rPr>
                <w:rFonts w:ascii="仿宋" w:eastAsia="仿宋" w:hint="eastAsia"/>
                <w:sz w:val="18"/>
                <w:szCs w:val="18"/>
              </w:rPr>
              <w:t>时段</w:t>
            </w:r>
          </w:p>
        </w:tc>
        <w:tc>
          <w:tcPr>
            <w:tcW w:w="854" w:type="dxa"/>
            <w:vMerge w:val="restart"/>
            <w:vAlign w:val="center"/>
          </w:tcPr>
          <w:p>
            <w:pPr>
              <w:jc w:val="center"/>
              <w:rPr>
                <w:rFonts w:ascii="仿宋" w:eastAsia="仿宋"/>
                <w:sz w:val="18"/>
                <w:szCs w:val="18"/>
              </w:rPr>
            </w:pPr>
            <w:r>
              <w:rPr>
                <w:rFonts w:ascii="仿宋" w:eastAsia="仿宋" w:hint="eastAsia"/>
                <w:sz w:val="18"/>
                <w:szCs w:val="18"/>
              </w:rPr>
              <w:t>产生</w:t>
            </w:r>
          </w:p>
          <w:p>
            <w:pPr>
              <w:jc w:val="center"/>
              <w:rPr>
                <w:rFonts w:ascii="仿宋" w:eastAsia="仿宋"/>
                <w:sz w:val="18"/>
                <w:szCs w:val="18"/>
              </w:rPr>
            </w:pPr>
            <w:r>
              <w:rPr>
                <w:rFonts w:ascii="仿宋" w:eastAsia="仿宋" w:hint="eastAsia"/>
                <w:sz w:val="18"/>
                <w:szCs w:val="18"/>
              </w:rPr>
              <w:t>车间号</w:t>
            </w:r>
          </w:p>
        </w:tc>
        <w:tc>
          <w:tcPr>
            <w:tcW w:w="4338" w:type="dxa"/>
            <w:gridSpan w:val="3"/>
            <w:tcBorders>
              <w:bottom w:val="single" w:sz="4" w:space="0" w:color="auto"/>
            </w:tcBorders>
            <w:vAlign w:val="center"/>
          </w:tcPr>
          <w:p>
            <w:pPr>
              <w:jc w:val="center"/>
              <w:rPr>
                <w:rFonts w:ascii="仿宋" w:eastAsia="仿宋"/>
                <w:sz w:val="18"/>
                <w:szCs w:val="18"/>
              </w:rPr>
            </w:pPr>
            <w:r>
              <w:rPr>
                <w:rFonts w:ascii="仿宋" w:eastAsia="仿宋" w:hint="eastAsia"/>
                <w:sz w:val="18"/>
                <w:szCs w:val="18"/>
              </w:rPr>
              <w:t>规模</w:t>
            </w:r>
          </w:p>
        </w:tc>
        <w:tc>
          <w:tcPr>
            <w:tcW w:w="1562" w:type="dxa"/>
            <w:vMerge w:val="restart"/>
            <w:vAlign w:val="center"/>
          </w:tcPr>
          <w:p>
            <w:pPr>
              <w:jc w:val="center"/>
              <w:rPr>
                <w:rFonts w:ascii="仿宋" w:eastAsia="仿宋"/>
                <w:sz w:val="18"/>
                <w:szCs w:val="18"/>
              </w:rPr>
            </w:pPr>
            <w:r>
              <w:rPr>
                <w:rFonts w:ascii="仿宋" w:eastAsia="仿宋" w:hint="eastAsia"/>
                <w:sz w:val="18"/>
                <w:szCs w:val="18"/>
              </w:rPr>
              <w:t>用途</w:t>
            </w:r>
          </w:p>
        </w:tc>
      </w:tr>
      <w:tr>
        <w:trPr>
          <w:trHeight w:val="255"/>
        </w:trPr>
        <w:tc>
          <w:tcPr>
            <w:tcW w:w="926" w:type="dxa"/>
            <w:vMerge/>
            <w:vAlign w:val="center"/>
          </w:tcPr>
          <w:p/>
        </w:tc>
        <w:tc>
          <w:tcPr>
            <w:tcW w:w="936" w:type="dxa"/>
            <w:vMerge/>
            <w:vAlign w:val="center"/>
          </w:tcPr>
          <w:p/>
        </w:tc>
        <w:tc>
          <w:tcPr>
            <w:tcW w:w="730" w:type="dxa"/>
            <w:vMerge/>
            <w:vAlign w:val="center"/>
          </w:tcPr>
          <w:p/>
        </w:tc>
        <w:tc>
          <w:tcPr>
            <w:tcW w:w="695" w:type="dxa"/>
            <w:vMerge/>
            <w:vAlign w:val="center"/>
          </w:tcPr>
          <w:p/>
        </w:tc>
        <w:tc>
          <w:tcPr>
            <w:tcW w:w="854" w:type="dxa"/>
            <w:vMerge/>
            <w:vAlign w:val="center"/>
          </w:tcPr>
          <w:p/>
        </w:tc>
        <w:tc>
          <w:tcPr>
            <w:tcW w:w="2016" w:type="dxa"/>
            <w:tcBorders>
              <w:top w:val="single" w:sz="4" w:space="0" w:color="auto"/>
              <w:right w:val="single" w:sz="4" w:space="0" w:color="auto"/>
            </w:tcBorders>
            <w:vAlign w:val="center"/>
          </w:tcPr>
          <w:p>
            <w:pPr>
              <w:adjustRightInd w:val="0"/>
              <w:snapToGrid w:val="0"/>
              <w:spacing w:line="0" w:lineRule="atLeast"/>
              <w:jc w:val="center"/>
              <w:rPr>
                <w:rFonts w:ascii="仿宋" w:eastAsia="仿宋"/>
                <w:sz w:val="18"/>
                <w:szCs w:val="18"/>
              </w:rPr>
            </w:pPr>
            <w:r>
              <w:rPr>
                <w:rFonts w:ascii="仿宋" w:eastAsia="仿宋"/>
                <w:sz w:val="18"/>
                <w:szCs w:val="18"/>
              </w:rPr>
              <w:t>吨/每年</w:t>
            </w:r>
          </w:p>
        </w:tc>
        <w:tc>
          <w:tcPr>
            <w:tcW w:w="1296" w:type="dxa"/>
            <w:tcBorders>
              <w:top w:val="single" w:sz="4" w:space="0" w:color="auto"/>
              <w:left w:val="single" w:sz="4" w:space="0" w:color="auto"/>
            </w:tcBorders>
            <w:vAlign w:val="center"/>
          </w:tcPr>
          <w:p>
            <w:pPr>
              <w:adjustRightInd w:val="0"/>
              <w:snapToGrid w:val="0"/>
              <w:spacing w:line="0" w:lineRule="atLeast"/>
              <w:jc w:val="center"/>
              <w:rPr>
                <w:rFonts w:ascii="仿宋" w:eastAsia="仿宋"/>
                <w:sz w:val="18"/>
                <w:szCs w:val="18"/>
              </w:rPr>
            </w:pPr>
            <w:r>
              <w:rPr>
                <w:rFonts w:ascii="仿宋" w:eastAsia="仿宋"/>
                <w:sz w:val="18"/>
                <w:szCs w:val="18"/>
              </w:rPr>
              <w:t>吨/每天</w:t>
            </w:r>
          </w:p>
        </w:tc>
        <w:tc>
          <w:tcPr>
            <w:tcW w:w="1026" w:type="dxa"/>
            <w:tcBorders>
              <w:top w:val="single" w:sz="4" w:space="0" w:color="auto"/>
            </w:tcBorders>
            <w:vAlign w:val="center"/>
          </w:tcPr>
          <w:p>
            <w:pPr>
              <w:adjustRightInd w:val="0"/>
              <w:snapToGrid w:val="0"/>
              <w:spacing w:line="0" w:lineRule="atLeast"/>
              <w:jc w:val="center"/>
              <w:rPr>
                <w:rFonts w:ascii="仿宋" w:eastAsia="仿宋"/>
                <w:sz w:val="18"/>
                <w:szCs w:val="18"/>
              </w:rPr>
            </w:pPr>
            <w:r>
              <w:rPr>
                <w:rFonts w:ascii="仿宋" w:eastAsia="仿宋"/>
                <w:sz w:val="18"/>
                <w:szCs w:val="18"/>
              </w:rPr>
              <w:t>吨/ （每天</w:t>
            </w:r>
            <w:r>
              <w:rPr>
                <w:rFonts w:ascii="微软雅黑" w:eastAsia="微软雅黑" w:cs="微软雅黑" w:hint="eastAsia"/>
                <w:sz w:val="18"/>
                <w:szCs w:val="18"/>
              </w:rPr>
              <w:t>•</w:t>
            </w:r>
            <w:r>
              <w:rPr>
                <w:rFonts w:ascii="仿宋" w:eastAsia="仿宋"/>
                <w:sz w:val="18"/>
                <w:szCs w:val="18"/>
              </w:rPr>
              <w:t>车间）</w:t>
            </w:r>
          </w:p>
        </w:tc>
        <w:tc>
          <w:tcPr>
            <w:tcW w:w="1562" w:type="dxa"/>
            <w:vMerge/>
            <w:vAlign w:val="center"/>
          </w:tcPr>
          <w:p/>
        </w:tc>
      </w:tr>
      <w:tr>
        <w:tc>
          <w:tcPr>
            <w:tcW w:w="926" w:type="dxa"/>
            <w:vAlign w:val="center"/>
          </w:tcPr>
          <w:p>
            <w:pPr>
              <w:adjustRightInd w:val="0"/>
              <w:snapToGrid w:val="0"/>
              <w:spacing w:line="0" w:lineRule="atLeast"/>
              <w:jc w:val="center"/>
              <w:rPr>
                <w:rFonts w:ascii="仿宋" w:eastAsia="仿宋"/>
                <w:sz w:val="18"/>
                <w:szCs w:val="18"/>
              </w:rPr>
            </w:pPr>
            <w:r>
              <w:rPr>
                <w:rFonts w:ascii="仿宋" w:eastAsia="仿宋" w:hint="eastAsia"/>
                <w:sz w:val="18"/>
                <w:szCs w:val="18"/>
              </w:rPr>
              <w:t>一腌</w:t>
            </w:r>
          </w:p>
          <w:p>
            <w:pPr>
              <w:adjustRightInd w:val="0"/>
              <w:snapToGrid w:val="0"/>
              <w:spacing w:line="0" w:lineRule="atLeast"/>
              <w:jc w:val="center"/>
              <w:rPr>
                <w:rFonts w:ascii="仿宋" w:eastAsia="仿宋"/>
                <w:sz w:val="18"/>
                <w:szCs w:val="18"/>
              </w:rPr>
            </w:pPr>
            <w:r>
              <w:rPr>
                <w:rFonts w:ascii="仿宋" w:eastAsia="仿宋" w:hint="eastAsia"/>
                <w:sz w:val="18"/>
                <w:szCs w:val="18"/>
              </w:rPr>
              <w:t>榨菜汁</w:t>
            </w:r>
          </w:p>
        </w:tc>
        <w:tc>
          <w:tcPr>
            <w:tcW w:w="936" w:type="dxa"/>
            <w:vAlign w:val="center"/>
          </w:tcPr>
          <w:p>
            <w:pPr>
              <w:jc w:val="center"/>
              <w:rPr>
                <w:rFonts w:ascii="仿宋" w:eastAsia="仿宋"/>
                <w:sz w:val="18"/>
                <w:szCs w:val="18"/>
              </w:rPr>
            </w:pPr>
            <w:r>
              <w:rPr>
                <w:rFonts w:ascii="仿宋" w:eastAsia="仿宋" w:hint="eastAsia"/>
                <w:sz w:val="18"/>
                <w:szCs w:val="18"/>
              </w:rPr>
              <w:t>3.18</w:t>
            </w:r>
            <w:r>
              <w:rPr>
                <w:rFonts w:ascii="仿宋" w:eastAsia="仿宋"/>
                <w:sz w:val="18"/>
                <w:szCs w:val="18"/>
              </w:rPr>
              <w:t>%</w:t>
            </w:r>
          </w:p>
        </w:tc>
        <w:tc>
          <w:tcPr>
            <w:tcW w:w="730" w:type="dxa"/>
            <w:vAlign w:val="center"/>
          </w:tcPr>
          <w:p>
            <w:pPr>
              <w:jc w:val="center"/>
              <w:rPr>
                <w:rFonts w:ascii="仿宋" w:eastAsia="仿宋"/>
                <w:sz w:val="18"/>
                <w:szCs w:val="18"/>
              </w:rPr>
            </w:pPr>
            <w:r>
              <w:rPr>
                <w:rFonts w:ascii="仿宋" w:eastAsia="仿宋" w:hint="eastAsia"/>
                <w:sz w:val="18"/>
                <w:szCs w:val="18"/>
              </w:rPr>
              <w:t>一腌</w:t>
            </w:r>
          </w:p>
        </w:tc>
        <w:tc>
          <w:tcPr>
            <w:tcW w:w="695" w:type="dxa"/>
            <w:vAlign w:val="center"/>
          </w:tcPr>
          <w:p>
            <w:pPr>
              <w:adjustRightInd w:val="0"/>
              <w:snapToGrid w:val="0"/>
              <w:spacing w:line="0" w:lineRule="atLeast"/>
              <w:jc w:val="center"/>
              <w:rPr>
                <w:rFonts w:ascii="仿宋" w:eastAsia="仿宋"/>
                <w:sz w:val="18"/>
                <w:szCs w:val="18"/>
              </w:rPr>
            </w:pPr>
            <w:r>
              <w:rPr>
                <w:rFonts w:ascii="仿宋" w:eastAsia="仿宋" w:hint="eastAsia"/>
                <w:sz w:val="18"/>
                <w:szCs w:val="18"/>
              </w:rPr>
              <w:t>1个月</w:t>
            </w:r>
          </w:p>
        </w:tc>
        <w:tc>
          <w:tcPr>
            <w:tcW w:w="854" w:type="dxa"/>
            <w:vAlign w:val="center"/>
          </w:tcPr>
          <w:p>
            <w:pPr>
              <w:jc w:val="center"/>
              <w:rPr>
                <w:rFonts w:ascii="仿宋" w:eastAsia="仿宋"/>
                <w:sz w:val="18"/>
                <w:szCs w:val="18"/>
              </w:rPr>
            </w:pPr>
            <w:r>
              <w:rPr>
                <w:rFonts w:ascii="仿宋" w:eastAsia="仿宋" w:hint="eastAsia"/>
                <w:sz w:val="18"/>
                <w:szCs w:val="18"/>
              </w:rPr>
              <w:t>1、3、4、5、7、8</w:t>
            </w:r>
          </w:p>
        </w:tc>
        <w:tc>
          <w:tcPr>
            <w:tcW w:w="2016" w:type="dxa"/>
            <w:tcBorders>
              <w:right w:val="single" w:sz="4" w:space="0" w:color="auto"/>
            </w:tcBorders>
            <w:vAlign w:val="center"/>
          </w:tcPr>
          <w:p>
            <w:pPr>
              <w:adjustRightInd w:val="0"/>
              <w:snapToGrid w:val="0"/>
              <w:spacing w:line="0" w:lineRule="atLeast"/>
              <w:jc w:val="center"/>
              <w:rPr>
                <w:rFonts w:ascii="仿宋" w:eastAsia="仿宋"/>
                <w:bCs/>
                <w:sz w:val="18"/>
                <w:szCs w:val="18"/>
              </w:rPr>
            </w:pPr>
            <w:r>
              <w:rPr>
                <w:rFonts w:ascii="宋体" w:hint="eastAsia"/>
                <w:bCs/>
                <w:sz w:val="18"/>
                <w:szCs w:val="18"/>
              </w:rPr>
              <w:t>156000</w:t>
            </w:r>
          </w:p>
        </w:tc>
        <w:tc>
          <w:tcPr>
            <w:tcW w:w="1296" w:type="dxa"/>
            <w:tcBorders>
              <w:left w:val="single" w:sz="4" w:space="0" w:color="auto"/>
            </w:tcBorders>
            <w:vAlign w:val="center"/>
          </w:tcPr>
          <w:p>
            <w:pPr>
              <w:adjustRightInd w:val="0"/>
              <w:snapToGrid w:val="0"/>
              <w:spacing w:line="0" w:lineRule="atLeast"/>
              <w:jc w:val="center"/>
              <w:rPr>
                <w:rFonts w:ascii="仿宋" w:eastAsia="仿宋"/>
                <w:bCs/>
                <w:sz w:val="18"/>
                <w:szCs w:val="18"/>
              </w:rPr>
            </w:pPr>
            <w:r>
              <w:rPr>
                <w:rFonts w:ascii="宋体" w:hint="eastAsia"/>
                <w:bCs/>
                <w:sz w:val="18"/>
                <w:szCs w:val="18"/>
              </w:rPr>
              <w:t>4100-12300</w:t>
            </w:r>
          </w:p>
        </w:tc>
        <w:tc>
          <w:tcPr>
            <w:tcW w:w="1026" w:type="dxa"/>
            <w:vAlign w:val="center"/>
          </w:tcPr>
          <w:p>
            <w:pPr>
              <w:adjustRightInd w:val="0"/>
              <w:snapToGrid w:val="0"/>
              <w:spacing w:line="0" w:lineRule="atLeast"/>
              <w:jc w:val="center"/>
              <w:rPr>
                <w:rFonts w:ascii="仿宋" w:eastAsia="仿宋"/>
                <w:bCs/>
                <w:sz w:val="18"/>
                <w:szCs w:val="18"/>
              </w:rPr>
            </w:pPr>
            <w:r>
              <w:rPr>
                <w:rFonts w:ascii="宋体"/>
                <w:bCs/>
                <w:sz w:val="18"/>
                <w:szCs w:val="18"/>
              </w:rPr>
              <w:t>650-1950</w:t>
            </w:r>
          </w:p>
        </w:tc>
        <w:tc>
          <w:tcPr>
            <w:tcW w:w="1562" w:type="dxa"/>
            <w:vAlign w:val="center"/>
          </w:tcPr>
          <w:p>
            <w:pPr>
              <w:jc w:val="left"/>
              <w:rPr>
                <w:rFonts w:ascii="仿宋" w:eastAsia="仿宋"/>
                <w:sz w:val="18"/>
                <w:szCs w:val="18"/>
              </w:rPr>
            </w:pPr>
            <w:r>
              <w:rPr>
                <w:rFonts w:ascii="仿宋" w:eastAsia="仿宋" w:hint="eastAsia"/>
                <w:sz w:val="18"/>
                <w:szCs w:val="18"/>
              </w:rPr>
              <w:t>粗过滤后，排入高盐污水管网入高盐废水暂贮池。</w:t>
            </w:r>
          </w:p>
        </w:tc>
      </w:tr>
      <w:tr>
        <w:trPr>
          <w:trHeight w:val="1061"/>
        </w:trPr>
        <w:tc>
          <w:tcPr>
            <w:tcW w:w="926" w:type="dxa"/>
            <w:vAlign w:val="center"/>
          </w:tcPr>
          <w:p>
            <w:pPr>
              <w:adjustRightInd w:val="0"/>
              <w:snapToGrid w:val="0"/>
              <w:spacing w:line="0" w:lineRule="atLeast"/>
              <w:jc w:val="center"/>
              <w:rPr>
                <w:rFonts w:ascii="仿宋" w:eastAsia="仿宋"/>
                <w:sz w:val="18"/>
                <w:szCs w:val="18"/>
              </w:rPr>
            </w:pPr>
            <w:r>
              <w:rPr>
                <w:rFonts w:ascii="仿宋" w:eastAsia="仿宋" w:hint="eastAsia"/>
                <w:sz w:val="18"/>
                <w:szCs w:val="18"/>
              </w:rPr>
              <w:t>二腌</w:t>
            </w:r>
          </w:p>
          <w:p>
            <w:pPr>
              <w:adjustRightInd w:val="0"/>
              <w:snapToGrid w:val="0"/>
              <w:spacing w:line="0" w:lineRule="atLeast"/>
              <w:jc w:val="center"/>
              <w:rPr>
                <w:rFonts w:ascii="仿宋" w:eastAsia="仿宋"/>
                <w:sz w:val="18"/>
                <w:szCs w:val="18"/>
              </w:rPr>
            </w:pPr>
            <w:r>
              <w:rPr>
                <w:rFonts w:ascii="仿宋" w:eastAsia="仿宋" w:hint="eastAsia"/>
                <w:sz w:val="18"/>
                <w:szCs w:val="18"/>
              </w:rPr>
              <w:t>榨菜汁</w:t>
            </w:r>
          </w:p>
        </w:tc>
        <w:tc>
          <w:tcPr>
            <w:tcW w:w="936" w:type="dxa"/>
            <w:vAlign w:val="center"/>
          </w:tcPr>
          <w:p>
            <w:pPr>
              <w:jc w:val="center"/>
              <w:rPr>
                <w:rFonts w:ascii="仿宋" w:eastAsia="仿宋"/>
                <w:sz w:val="18"/>
                <w:szCs w:val="18"/>
              </w:rPr>
            </w:pPr>
            <w:r>
              <w:rPr>
                <w:rFonts w:ascii="仿宋" w:eastAsia="仿宋" w:hint="eastAsia"/>
                <w:sz w:val="18"/>
                <w:szCs w:val="18"/>
              </w:rPr>
              <w:t>9.63</w:t>
            </w:r>
            <w:r>
              <w:rPr>
                <w:rFonts w:ascii="仿宋" w:eastAsia="仿宋"/>
                <w:sz w:val="18"/>
                <w:szCs w:val="18"/>
              </w:rPr>
              <w:t>%</w:t>
            </w:r>
          </w:p>
        </w:tc>
        <w:tc>
          <w:tcPr>
            <w:tcW w:w="730" w:type="dxa"/>
            <w:vAlign w:val="center"/>
          </w:tcPr>
          <w:p>
            <w:pPr>
              <w:jc w:val="center"/>
              <w:rPr>
                <w:rFonts w:ascii="仿宋" w:eastAsia="仿宋"/>
                <w:sz w:val="18"/>
                <w:szCs w:val="18"/>
              </w:rPr>
            </w:pPr>
            <w:r>
              <w:rPr>
                <w:rFonts w:ascii="仿宋" w:eastAsia="仿宋" w:hint="eastAsia"/>
                <w:sz w:val="18"/>
                <w:szCs w:val="18"/>
              </w:rPr>
              <w:t>二腌</w:t>
            </w:r>
          </w:p>
        </w:tc>
        <w:tc>
          <w:tcPr>
            <w:tcW w:w="695" w:type="dxa"/>
            <w:vAlign w:val="center"/>
          </w:tcPr>
          <w:p>
            <w:pPr>
              <w:adjustRightInd w:val="0"/>
              <w:snapToGrid w:val="0"/>
              <w:spacing w:line="0" w:lineRule="atLeast"/>
              <w:jc w:val="center"/>
              <w:rPr>
                <w:rFonts w:ascii="仿宋" w:eastAsia="仿宋"/>
                <w:sz w:val="18"/>
                <w:szCs w:val="18"/>
              </w:rPr>
            </w:pPr>
            <w:r>
              <w:rPr>
                <w:rFonts w:ascii="仿宋" w:eastAsia="仿宋"/>
                <w:sz w:val="18"/>
                <w:szCs w:val="18"/>
              </w:rPr>
              <w:t>2个月</w:t>
            </w:r>
          </w:p>
        </w:tc>
        <w:tc>
          <w:tcPr>
            <w:tcW w:w="854" w:type="dxa"/>
            <w:vAlign w:val="center"/>
          </w:tcPr>
          <w:p>
            <w:pPr>
              <w:jc w:val="center"/>
              <w:rPr>
                <w:rFonts w:ascii="仿宋" w:eastAsia="仿宋"/>
                <w:sz w:val="18"/>
                <w:szCs w:val="18"/>
              </w:rPr>
            </w:pPr>
            <w:r>
              <w:rPr>
                <w:rFonts w:ascii="仿宋" w:eastAsia="仿宋" w:hint="eastAsia"/>
                <w:sz w:val="18"/>
                <w:szCs w:val="18"/>
              </w:rPr>
              <w:t>1、3、4、5、7、8</w:t>
            </w:r>
          </w:p>
        </w:tc>
        <w:tc>
          <w:tcPr>
            <w:tcW w:w="2016" w:type="dxa"/>
            <w:tcBorders>
              <w:right w:val="single" w:sz="4" w:space="0" w:color="auto"/>
            </w:tcBorders>
            <w:vAlign w:val="center"/>
          </w:tcPr>
          <w:p>
            <w:pPr>
              <w:adjustRightInd w:val="0"/>
              <w:snapToGrid w:val="0"/>
              <w:spacing w:line="0" w:lineRule="atLeast"/>
              <w:jc w:val="center"/>
              <w:rPr>
                <w:rFonts w:ascii="仿宋" w:eastAsia="宋体" w:hAnsi="仿宋"/>
                <w:sz w:val="18"/>
                <w:szCs w:val="18"/>
                <w:lang w:val="en-US" w:eastAsia="zh-CN"/>
              </w:rPr>
            </w:pPr>
            <w:r>
              <w:rPr>
                <w:rFonts w:ascii="宋体"/>
                <w:bCs/>
                <w:sz w:val="18"/>
                <w:szCs w:val="18"/>
              </w:rPr>
              <w:t>54779</w:t>
            </w:r>
            <w:r>
              <w:rPr>
                <w:rFonts w:ascii="宋体" w:hint="eastAsia"/>
                <w:bCs/>
                <w:sz w:val="18"/>
                <w:szCs w:val="18"/>
                <w:lang w:eastAsia="zh-CN"/>
              </w:rPr>
              <w:t>（</w:t>
            </w:r>
            <w:r>
              <w:rPr>
                <w:rFonts w:ascii="宋体" w:hint="eastAsia"/>
                <w:bCs/>
                <w:sz w:val="18"/>
                <w:szCs w:val="18"/>
                <w:lang w:val="en-US" w:eastAsia="zh-CN"/>
              </w:rPr>
              <w:t>进MVR)+23476(进污水处理站）</w:t>
            </w:r>
          </w:p>
        </w:tc>
        <w:tc>
          <w:tcPr>
            <w:tcW w:w="1296" w:type="dxa"/>
            <w:tcBorders>
              <w:left w:val="single" w:sz="4" w:space="0" w:color="auto"/>
            </w:tcBorders>
            <w:vAlign w:val="center"/>
          </w:tcPr>
          <w:p>
            <w:pPr>
              <w:adjustRightInd w:val="0"/>
              <w:snapToGrid w:val="0"/>
              <w:spacing w:line="0" w:lineRule="atLeast"/>
              <w:jc w:val="center"/>
              <w:rPr>
                <w:rFonts w:ascii="仿宋" w:eastAsia="仿宋"/>
                <w:sz w:val="18"/>
                <w:szCs w:val="18"/>
              </w:rPr>
            </w:pPr>
            <w:r>
              <w:rPr>
                <w:rFonts w:ascii="宋体"/>
                <w:bCs/>
                <w:sz w:val="18"/>
                <w:szCs w:val="18"/>
              </w:rPr>
              <w:t>913</w:t>
            </w:r>
          </w:p>
        </w:tc>
        <w:tc>
          <w:tcPr>
            <w:tcW w:w="1026" w:type="dxa"/>
            <w:vAlign w:val="center"/>
          </w:tcPr>
          <w:p>
            <w:pPr>
              <w:adjustRightInd w:val="0"/>
              <w:snapToGrid w:val="0"/>
              <w:spacing w:line="0" w:lineRule="atLeast"/>
              <w:jc w:val="center"/>
              <w:rPr>
                <w:rFonts w:ascii="仿宋" w:eastAsia="仿宋"/>
                <w:sz w:val="18"/>
                <w:szCs w:val="18"/>
              </w:rPr>
            </w:pPr>
            <w:r>
              <w:rPr>
                <w:rFonts w:ascii="宋体"/>
                <w:bCs/>
                <w:sz w:val="18"/>
                <w:szCs w:val="18"/>
              </w:rPr>
              <w:t>13</w:t>
            </w:r>
            <w:r>
              <w:rPr>
                <w:rFonts w:ascii="宋体" w:hint="eastAsia"/>
                <w:bCs/>
                <w:sz w:val="18"/>
                <w:szCs w:val="18"/>
              </w:rPr>
              <w:t>1</w:t>
            </w:r>
          </w:p>
        </w:tc>
        <w:tc>
          <w:tcPr>
            <w:tcW w:w="1562" w:type="dxa"/>
            <w:vAlign w:val="center"/>
          </w:tcPr>
          <w:p>
            <w:pPr>
              <w:jc w:val="left"/>
              <w:rPr>
                <w:rFonts w:ascii="仿宋" w:eastAsia="仿宋"/>
                <w:sz w:val="18"/>
                <w:szCs w:val="18"/>
                <w:lang w:val="en-US" w:eastAsia="zh-CN"/>
              </w:rPr>
            </w:pPr>
            <w:r>
              <w:rPr>
                <w:rFonts w:ascii="仿宋" w:eastAsia="仿宋" w:hint="eastAsia"/>
                <w:sz w:val="18"/>
                <w:szCs w:val="18"/>
              </w:rPr>
              <w:t>过滤等处理后，输入MVR设施，加工泡菜发酵剂M21、M95。</w:t>
            </w:r>
            <w:r>
              <w:rPr>
                <w:rFonts w:ascii="仿宋" w:eastAsia="仿宋" w:hint="eastAsia"/>
                <w:sz w:val="18"/>
                <w:szCs w:val="18"/>
                <w:lang w:val="en-US" w:eastAsia="zh-CN"/>
              </w:rPr>
              <w:t>若三腌水不足后，则考虑将二腌水用于调配发酵剂S18</w:t>
            </w:r>
            <w:r>
              <w:rPr>
                <w:rFonts w:ascii="仿宋" w:eastAsia="仿宋" w:hint="eastAsia"/>
                <w:sz w:val="18"/>
                <w:szCs w:val="18"/>
              </w:rPr>
              <w:t>。</w:t>
            </w:r>
          </w:p>
        </w:tc>
      </w:tr>
      <w:tr>
        <w:tc>
          <w:tcPr>
            <w:tcW w:w="926" w:type="dxa"/>
            <w:vAlign w:val="center"/>
          </w:tcPr>
          <w:p>
            <w:pPr>
              <w:jc w:val="center"/>
              <w:rPr>
                <w:rFonts w:ascii="仿宋" w:eastAsia="仿宋"/>
                <w:sz w:val="18"/>
                <w:szCs w:val="18"/>
              </w:rPr>
            </w:pPr>
            <w:r>
              <w:rPr>
                <w:rFonts w:ascii="仿宋" w:eastAsia="仿宋" w:hint="eastAsia"/>
                <w:sz w:val="18"/>
                <w:szCs w:val="18"/>
              </w:rPr>
              <w:t>三腌</w:t>
            </w:r>
          </w:p>
          <w:p>
            <w:pPr>
              <w:jc w:val="center"/>
              <w:rPr>
                <w:rFonts w:ascii="仿宋" w:eastAsia="仿宋"/>
                <w:sz w:val="18"/>
                <w:szCs w:val="18"/>
              </w:rPr>
            </w:pPr>
            <w:r>
              <w:rPr>
                <w:rFonts w:ascii="仿宋" w:eastAsia="仿宋" w:hint="eastAsia"/>
                <w:sz w:val="18"/>
                <w:szCs w:val="18"/>
              </w:rPr>
              <w:t>榨菜汁</w:t>
            </w:r>
          </w:p>
        </w:tc>
        <w:tc>
          <w:tcPr>
            <w:tcW w:w="936" w:type="dxa"/>
            <w:vAlign w:val="center"/>
          </w:tcPr>
          <w:p>
            <w:pPr>
              <w:jc w:val="center"/>
              <w:rPr>
                <w:rFonts w:ascii="仿宋" w:eastAsia="仿宋"/>
                <w:sz w:val="18"/>
                <w:szCs w:val="18"/>
              </w:rPr>
            </w:pPr>
            <w:r>
              <w:rPr>
                <w:rFonts w:ascii="仿宋" w:eastAsia="仿宋" w:hint="eastAsia"/>
                <w:sz w:val="18"/>
                <w:szCs w:val="18"/>
              </w:rPr>
              <w:t>12.41</w:t>
            </w:r>
            <w:r>
              <w:rPr>
                <w:rFonts w:ascii="仿宋" w:eastAsia="仿宋"/>
                <w:sz w:val="18"/>
                <w:szCs w:val="18"/>
              </w:rPr>
              <w:t>%</w:t>
            </w:r>
          </w:p>
        </w:tc>
        <w:tc>
          <w:tcPr>
            <w:tcW w:w="730" w:type="dxa"/>
            <w:vAlign w:val="center"/>
          </w:tcPr>
          <w:p>
            <w:pPr>
              <w:jc w:val="center"/>
              <w:rPr>
                <w:rFonts w:ascii="仿宋" w:eastAsia="仿宋"/>
                <w:sz w:val="18"/>
                <w:szCs w:val="18"/>
              </w:rPr>
            </w:pPr>
            <w:r>
              <w:rPr>
                <w:rFonts w:ascii="仿宋" w:eastAsia="仿宋" w:hint="eastAsia"/>
                <w:sz w:val="18"/>
                <w:szCs w:val="18"/>
              </w:rPr>
              <w:t>三腌</w:t>
            </w:r>
          </w:p>
        </w:tc>
        <w:tc>
          <w:tcPr>
            <w:tcW w:w="695" w:type="dxa"/>
            <w:vAlign w:val="center"/>
          </w:tcPr>
          <w:p>
            <w:pPr>
              <w:adjustRightInd w:val="0"/>
              <w:snapToGrid w:val="0"/>
              <w:spacing w:line="0" w:lineRule="atLeast"/>
              <w:jc w:val="center"/>
              <w:rPr>
                <w:rFonts w:ascii="仿宋" w:eastAsia="仿宋"/>
                <w:sz w:val="18"/>
                <w:szCs w:val="18"/>
              </w:rPr>
            </w:pPr>
            <w:r>
              <w:rPr>
                <w:rFonts w:ascii="仿宋" w:eastAsia="仿宋"/>
                <w:sz w:val="18"/>
                <w:szCs w:val="18"/>
              </w:rPr>
              <w:t>全年</w:t>
            </w:r>
          </w:p>
        </w:tc>
        <w:tc>
          <w:tcPr>
            <w:tcW w:w="854" w:type="dxa"/>
            <w:vAlign w:val="center"/>
          </w:tcPr>
          <w:p>
            <w:pPr>
              <w:jc w:val="center"/>
              <w:rPr>
                <w:rFonts w:ascii="仿宋" w:eastAsia="仿宋"/>
                <w:sz w:val="18"/>
                <w:szCs w:val="18"/>
              </w:rPr>
            </w:pPr>
            <w:r>
              <w:rPr>
                <w:rFonts w:ascii="仿宋" w:eastAsia="仿宋" w:hint="eastAsia"/>
                <w:sz w:val="18"/>
                <w:szCs w:val="18"/>
              </w:rPr>
              <w:t>1、3、4、5、7、8</w:t>
            </w:r>
          </w:p>
        </w:tc>
        <w:tc>
          <w:tcPr>
            <w:tcW w:w="2016" w:type="dxa"/>
            <w:tcBorders>
              <w:right w:val="single" w:sz="4" w:space="0" w:color="auto"/>
            </w:tcBorders>
            <w:vAlign w:val="center"/>
          </w:tcPr>
          <w:p>
            <w:pPr>
              <w:adjustRightInd w:val="0"/>
              <w:snapToGrid w:val="0"/>
              <w:spacing w:line="0" w:lineRule="atLeast"/>
              <w:jc w:val="center"/>
              <w:rPr>
                <w:rFonts w:ascii="仿宋" w:eastAsia="宋体" w:hAnsi="仿宋"/>
                <w:sz w:val="18"/>
                <w:szCs w:val="18"/>
                <w:lang w:val="en-US" w:eastAsia="zh-CN"/>
              </w:rPr>
            </w:pPr>
            <w:r>
              <w:rPr>
                <w:rFonts w:ascii="宋体"/>
                <w:sz w:val="18"/>
                <w:szCs w:val="18"/>
              </w:rPr>
              <w:t>54744.0</w:t>
            </w:r>
            <w:r>
              <w:rPr>
                <w:rFonts w:ascii="宋体" w:hint="eastAsia"/>
                <w:sz w:val="18"/>
                <w:szCs w:val="18"/>
                <w:lang w:eastAsia="zh-CN"/>
              </w:rPr>
              <w:t>（</w:t>
            </w:r>
            <w:r>
              <w:rPr>
                <w:rFonts w:ascii="宋体" w:hint="eastAsia"/>
                <w:sz w:val="18"/>
                <w:szCs w:val="18"/>
                <w:lang w:val="en-US" w:eastAsia="zh-CN"/>
              </w:rPr>
              <w:t>S18调配）+13686（进污水处理站）</w:t>
            </w:r>
          </w:p>
        </w:tc>
        <w:tc>
          <w:tcPr>
            <w:tcW w:w="1296" w:type="dxa"/>
            <w:tcBorders>
              <w:left w:val="single" w:sz="4" w:space="0" w:color="auto"/>
            </w:tcBorders>
            <w:vAlign w:val="center"/>
          </w:tcPr>
          <w:p>
            <w:pPr>
              <w:adjustRightInd w:val="0"/>
              <w:snapToGrid w:val="0"/>
              <w:spacing w:line="0" w:lineRule="atLeast"/>
              <w:jc w:val="center"/>
              <w:rPr>
                <w:rFonts w:ascii="仿宋" w:eastAsia="仿宋"/>
                <w:sz w:val="18"/>
                <w:szCs w:val="18"/>
              </w:rPr>
            </w:pPr>
            <w:r>
              <w:rPr>
                <w:rFonts w:ascii="宋体"/>
                <w:sz w:val="18"/>
                <w:szCs w:val="18"/>
              </w:rPr>
              <w:t>182</w:t>
            </w:r>
          </w:p>
        </w:tc>
        <w:tc>
          <w:tcPr>
            <w:tcW w:w="1026" w:type="dxa"/>
            <w:vAlign w:val="center"/>
          </w:tcPr>
          <w:p>
            <w:pPr>
              <w:adjustRightInd w:val="0"/>
              <w:snapToGrid w:val="0"/>
              <w:spacing w:line="0" w:lineRule="atLeast"/>
              <w:jc w:val="center"/>
              <w:rPr>
                <w:rFonts w:ascii="仿宋" w:eastAsia="仿宋"/>
                <w:sz w:val="18"/>
                <w:szCs w:val="18"/>
              </w:rPr>
            </w:pPr>
            <w:r>
              <w:rPr>
                <w:rFonts w:ascii="宋体"/>
                <w:sz w:val="18"/>
                <w:szCs w:val="18"/>
              </w:rPr>
              <w:t>26</w:t>
            </w:r>
          </w:p>
        </w:tc>
        <w:tc>
          <w:tcPr>
            <w:tcW w:w="1562" w:type="dxa"/>
            <w:vAlign w:val="center"/>
          </w:tcPr>
          <w:p>
            <w:pPr>
              <w:jc w:val="left"/>
              <w:rPr>
                <w:rFonts w:ascii="仿宋" w:eastAsia="仿宋"/>
                <w:sz w:val="18"/>
                <w:szCs w:val="18"/>
              </w:rPr>
            </w:pPr>
            <w:r>
              <w:rPr>
                <w:rFonts w:ascii="仿宋" w:eastAsia="仿宋" w:hint="eastAsia"/>
                <w:sz w:val="18"/>
                <w:szCs w:val="18"/>
              </w:rPr>
              <w:t>过滤等处理后，</w:t>
            </w:r>
            <w:r>
              <w:rPr>
                <w:rFonts w:ascii="仿宋" w:eastAsia="仿宋" w:hint="eastAsia"/>
                <w:sz w:val="18"/>
                <w:szCs w:val="18"/>
                <w:lang w:val="en-US" w:eastAsia="zh-CN"/>
              </w:rPr>
              <w:t>优先将三腌水用于调配</w:t>
            </w:r>
            <w:r>
              <w:rPr>
                <w:rFonts w:ascii="仿宋" w:eastAsia="仿宋" w:hint="eastAsia"/>
                <w:sz w:val="18"/>
                <w:szCs w:val="18"/>
              </w:rPr>
              <w:t>发酵剂</w:t>
            </w:r>
            <w:r>
              <w:rPr>
                <w:rFonts w:ascii="仿宋" w:eastAsia="仿宋" w:hint="eastAsia"/>
                <w:sz w:val="18"/>
                <w:szCs w:val="18"/>
                <w:lang w:val="en-US" w:eastAsia="zh-CN"/>
              </w:rPr>
              <w:t>S</w:t>
            </w:r>
            <w:r>
              <w:rPr>
                <w:rFonts w:ascii="仿宋" w:eastAsia="仿宋" w:hint="eastAsia"/>
                <w:sz w:val="18"/>
                <w:szCs w:val="18"/>
              </w:rPr>
              <w:t>1</w:t>
            </w:r>
            <w:r>
              <w:rPr>
                <w:rFonts w:ascii="仿宋" w:eastAsia="仿宋" w:hint="eastAsia"/>
                <w:sz w:val="18"/>
                <w:szCs w:val="18"/>
                <w:lang w:val="en-US" w:eastAsia="zh-CN"/>
              </w:rPr>
              <w:t>8</w:t>
            </w:r>
            <w:r>
              <w:rPr>
                <w:rFonts w:ascii="仿宋" w:eastAsia="仿宋" w:hint="eastAsia"/>
                <w:sz w:val="18"/>
                <w:szCs w:val="18"/>
              </w:rPr>
              <w:t>。</w:t>
            </w:r>
          </w:p>
        </w:tc>
      </w:tr>
      <w:tr>
        <w:tc>
          <w:tcPr>
            <w:tcW w:w="926" w:type="dxa"/>
            <w:vAlign w:val="center"/>
          </w:tcPr>
          <w:p>
            <w:pPr>
              <w:jc w:val="center"/>
              <w:rPr>
                <w:rFonts w:ascii="仿宋" w:eastAsia="仿宋"/>
                <w:sz w:val="18"/>
                <w:szCs w:val="18"/>
              </w:rPr>
            </w:pPr>
            <w:r>
              <w:rPr>
                <w:rFonts w:ascii="仿宋" w:eastAsia="仿宋" w:hint="eastAsia"/>
                <w:sz w:val="18"/>
                <w:szCs w:val="18"/>
              </w:rPr>
              <w:t>脱盐</w:t>
            </w:r>
          </w:p>
          <w:p>
            <w:pPr>
              <w:jc w:val="center"/>
              <w:rPr>
                <w:rFonts w:ascii="仿宋" w:eastAsia="仿宋"/>
                <w:sz w:val="18"/>
                <w:szCs w:val="18"/>
              </w:rPr>
            </w:pPr>
            <w:r>
              <w:rPr>
                <w:rFonts w:ascii="仿宋" w:eastAsia="仿宋" w:hint="eastAsia"/>
                <w:sz w:val="18"/>
                <w:szCs w:val="18"/>
              </w:rPr>
              <w:t>榨菜汁</w:t>
            </w:r>
          </w:p>
        </w:tc>
        <w:tc>
          <w:tcPr>
            <w:tcW w:w="936" w:type="dxa"/>
            <w:vAlign w:val="center"/>
          </w:tcPr>
          <w:p>
            <w:pPr>
              <w:jc w:val="center"/>
              <w:rPr>
                <w:rFonts w:ascii="仿宋" w:eastAsia="仿宋"/>
                <w:sz w:val="18"/>
                <w:szCs w:val="18"/>
              </w:rPr>
            </w:pPr>
            <w:r>
              <w:rPr>
                <w:rFonts w:ascii="仿宋" w:eastAsia="仿宋" w:hint="eastAsia"/>
                <w:sz w:val="18"/>
                <w:szCs w:val="18"/>
              </w:rPr>
              <w:t>5.89-7%</w:t>
            </w:r>
          </w:p>
        </w:tc>
        <w:tc>
          <w:tcPr>
            <w:tcW w:w="730" w:type="dxa"/>
            <w:vAlign w:val="center"/>
          </w:tcPr>
          <w:p>
            <w:pPr>
              <w:jc w:val="center"/>
              <w:rPr>
                <w:rFonts w:ascii="仿宋" w:eastAsia="仿宋"/>
                <w:sz w:val="18"/>
                <w:szCs w:val="18"/>
              </w:rPr>
            </w:pPr>
            <w:r>
              <w:rPr>
                <w:rFonts w:ascii="仿宋" w:eastAsia="仿宋" w:hint="eastAsia"/>
                <w:sz w:val="18"/>
                <w:szCs w:val="18"/>
              </w:rPr>
              <w:t>脱盐</w:t>
            </w:r>
          </w:p>
        </w:tc>
        <w:tc>
          <w:tcPr>
            <w:tcW w:w="695" w:type="dxa"/>
            <w:vAlign w:val="center"/>
          </w:tcPr>
          <w:p>
            <w:pPr>
              <w:adjustRightInd w:val="0"/>
              <w:snapToGrid w:val="0"/>
              <w:spacing w:line="0" w:lineRule="atLeast"/>
              <w:jc w:val="center"/>
              <w:rPr>
                <w:rFonts w:ascii="仿宋" w:eastAsia="仿宋"/>
                <w:sz w:val="18"/>
                <w:szCs w:val="18"/>
              </w:rPr>
            </w:pPr>
            <w:r>
              <w:rPr>
                <w:rFonts w:ascii="仿宋" w:eastAsia="仿宋"/>
                <w:sz w:val="18"/>
                <w:szCs w:val="18"/>
              </w:rPr>
              <w:t>全年</w:t>
            </w:r>
          </w:p>
        </w:tc>
        <w:tc>
          <w:tcPr>
            <w:tcW w:w="854" w:type="dxa"/>
            <w:vAlign w:val="center"/>
          </w:tcPr>
          <w:p>
            <w:pPr>
              <w:jc w:val="center"/>
              <w:rPr>
                <w:rFonts w:ascii="仿宋" w:eastAsia="仿宋"/>
                <w:sz w:val="18"/>
                <w:szCs w:val="18"/>
              </w:rPr>
            </w:pPr>
            <w:r>
              <w:rPr>
                <w:rFonts w:ascii="仿宋" w:eastAsia="仿宋" w:hint="eastAsia"/>
                <w:sz w:val="18"/>
                <w:szCs w:val="18"/>
              </w:rPr>
              <w:t>7、8</w:t>
            </w:r>
          </w:p>
        </w:tc>
        <w:tc>
          <w:tcPr>
            <w:tcW w:w="2016" w:type="dxa"/>
            <w:tcBorders>
              <w:right w:val="single" w:sz="4" w:space="0" w:color="auto"/>
            </w:tcBorders>
            <w:vAlign w:val="center"/>
          </w:tcPr>
          <w:p>
            <w:pPr>
              <w:adjustRightInd w:val="0"/>
              <w:snapToGrid w:val="0"/>
              <w:spacing w:line="0" w:lineRule="atLeast"/>
              <w:jc w:val="center"/>
              <w:rPr>
                <w:rFonts w:ascii="仿宋" w:eastAsia="仿宋"/>
                <w:sz w:val="18"/>
                <w:szCs w:val="18"/>
              </w:rPr>
            </w:pPr>
            <w:r>
              <w:rPr>
                <w:rFonts w:ascii="宋体" w:hint="eastAsia"/>
                <w:sz w:val="18"/>
                <w:szCs w:val="18"/>
              </w:rPr>
              <w:t>314639</w:t>
            </w:r>
          </w:p>
        </w:tc>
        <w:tc>
          <w:tcPr>
            <w:tcW w:w="1296" w:type="dxa"/>
            <w:tcBorders>
              <w:left w:val="single" w:sz="4" w:space="0" w:color="auto"/>
            </w:tcBorders>
            <w:vAlign w:val="center"/>
          </w:tcPr>
          <w:p>
            <w:pPr>
              <w:adjustRightInd w:val="0"/>
              <w:snapToGrid w:val="0"/>
              <w:spacing w:line="0" w:lineRule="atLeast"/>
              <w:jc w:val="center"/>
              <w:rPr>
                <w:rFonts w:ascii="仿宋" w:eastAsia="仿宋"/>
                <w:sz w:val="18"/>
                <w:szCs w:val="18"/>
              </w:rPr>
            </w:pPr>
            <w:r>
              <w:rPr>
                <w:rFonts w:ascii="宋体" w:hint="eastAsia"/>
                <w:sz w:val="18"/>
                <w:szCs w:val="18"/>
              </w:rPr>
              <w:t>1049</w:t>
            </w:r>
          </w:p>
        </w:tc>
        <w:tc>
          <w:tcPr>
            <w:tcW w:w="1026" w:type="dxa"/>
            <w:vAlign w:val="center"/>
          </w:tcPr>
          <w:p>
            <w:pPr>
              <w:adjustRightInd w:val="0"/>
              <w:snapToGrid w:val="0"/>
              <w:spacing w:line="0" w:lineRule="atLeast"/>
              <w:jc w:val="center"/>
              <w:rPr>
                <w:rFonts w:ascii="仿宋" w:eastAsia="仿宋"/>
                <w:sz w:val="18"/>
                <w:szCs w:val="18"/>
              </w:rPr>
            </w:pPr>
            <w:r>
              <w:rPr>
                <w:rFonts w:ascii="宋体" w:hint="eastAsia"/>
                <w:sz w:val="18"/>
                <w:szCs w:val="18"/>
              </w:rPr>
              <w:t>524</w:t>
            </w:r>
          </w:p>
        </w:tc>
        <w:tc>
          <w:tcPr>
            <w:tcW w:w="1562" w:type="dxa"/>
            <w:vAlign w:val="center"/>
          </w:tcPr>
          <w:p>
            <w:pPr>
              <w:jc w:val="left"/>
              <w:rPr>
                <w:rFonts w:ascii="仿宋" w:eastAsia="仿宋"/>
                <w:sz w:val="18"/>
                <w:szCs w:val="18"/>
              </w:rPr>
            </w:pPr>
            <w:r>
              <w:rPr>
                <w:rFonts w:ascii="仿宋" w:eastAsia="仿宋" w:hint="eastAsia"/>
                <w:sz w:val="18"/>
                <w:szCs w:val="18"/>
              </w:rPr>
              <w:t>过滤等处理后，输入MVR设施，加工泡菜发酵剂M21、M95。</w:t>
            </w:r>
          </w:p>
        </w:tc>
      </w:tr>
      <w:tr>
        <w:trPr>
          <w:trHeight w:val="4000"/>
        </w:trPr>
        <w:tc>
          <w:tcPr>
            <w:tcW w:w="926" w:type="dxa"/>
            <w:vAlign w:val="center"/>
          </w:tcPr>
          <w:p>
            <w:pPr>
              <w:jc w:val="center"/>
              <w:rPr>
                <w:rFonts w:ascii="仿宋" w:eastAsia="仿宋"/>
                <w:sz w:val="18"/>
                <w:szCs w:val="18"/>
              </w:rPr>
            </w:pPr>
            <w:r>
              <w:rPr>
                <w:rFonts w:ascii="仿宋" w:eastAsia="仿宋" w:hint="eastAsia"/>
                <w:sz w:val="18"/>
                <w:szCs w:val="18"/>
              </w:rPr>
              <w:t>泡菜发酵剂（M21）</w:t>
            </w:r>
          </w:p>
        </w:tc>
        <w:tc>
          <w:tcPr>
            <w:tcW w:w="936" w:type="dxa"/>
            <w:vAlign w:val="center"/>
          </w:tcPr>
          <w:p>
            <w:pPr>
              <w:jc w:val="center"/>
              <w:rPr>
                <w:rFonts w:ascii="仿宋" w:eastAsia="仿宋"/>
                <w:sz w:val="18"/>
                <w:szCs w:val="18"/>
              </w:rPr>
            </w:pPr>
            <w:r>
              <w:rPr>
                <w:rFonts w:ascii="仿宋" w:eastAsia="仿宋" w:hint="eastAsia"/>
                <w:sz w:val="18"/>
                <w:szCs w:val="18"/>
              </w:rPr>
              <w:t>21%</w:t>
            </w:r>
          </w:p>
        </w:tc>
        <w:tc>
          <w:tcPr>
            <w:tcW w:w="730" w:type="dxa"/>
            <w:vAlign w:val="center"/>
          </w:tcPr>
          <w:p>
            <w:pPr>
              <w:jc w:val="center"/>
              <w:rPr>
                <w:rFonts w:ascii="仿宋" w:eastAsia="仿宋"/>
                <w:sz w:val="18"/>
                <w:szCs w:val="18"/>
              </w:rPr>
            </w:pPr>
            <w:r>
              <w:rPr>
                <w:rFonts w:ascii="仿宋" w:eastAsia="仿宋" w:hint="eastAsia"/>
                <w:sz w:val="18"/>
                <w:szCs w:val="18"/>
              </w:rPr>
              <w:t>MVR</w:t>
            </w:r>
          </w:p>
          <w:p>
            <w:pPr>
              <w:jc w:val="center"/>
              <w:rPr>
                <w:rFonts w:ascii="仿宋" w:eastAsia="仿宋"/>
                <w:sz w:val="18"/>
                <w:szCs w:val="18"/>
              </w:rPr>
            </w:pPr>
            <w:r>
              <w:rPr>
                <w:rFonts w:ascii="仿宋" w:eastAsia="仿宋" w:hint="eastAsia"/>
                <w:sz w:val="18"/>
                <w:szCs w:val="18"/>
              </w:rPr>
              <w:t>蒸发</w:t>
            </w:r>
          </w:p>
        </w:tc>
        <w:tc>
          <w:tcPr>
            <w:tcW w:w="695" w:type="dxa"/>
            <w:vAlign w:val="center"/>
          </w:tcPr>
          <w:p>
            <w:pPr>
              <w:adjustRightInd w:val="0"/>
              <w:snapToGrid w:val="0"/>
              <w:spacing w:line="0" w:lineRule="atLeast"/>
              <w:jc w:val="center"/>
              <w:rPr>
                <w:rFonts w:ascii="仿宋" w:eastAsia="仿宋"/>
                <w:sz w:val="18"/>
                <w:szCs w:val="18"/>
              </w:rPr>
            </w:pPr>
            <w:r>
              <w:rPr>
                <w:rFonts w:ascii="仿宋" w:eastAsia="仿宋"/>
                <w:sz w:val="18"/>
                <w:szCs w:val="18"/>
              </w:rPr>
              <w:t>全年</w:t>
            </w:r>
          </w:p>
        </w:tc>
        <w:tc>
          <w:tcPr>
            <w:tcW w:w="854" w:type="dxa"/>
            <w:vAlign w:val="center"/>
          </w:tcPr>
          <w:p>
            <w:pPr>
              <w:jc w:val="center"/>
              <w:rPr>
                <w:rFonts w:ascii="仿宋" w:eastAsia="仿宋"/>
                <w:sz w:val="18"/>
                <w:szCs w:val="18"/>
              </w:rPr>
            </w:pPr>
            <w:r>
              <w:rPr>
                <w:rFonts w:ascii="仿宋" w:eastAsia="仿宋" w:hint="eastAsia"/>
                <w:sz w:val="18"/>
                <w:szCs w:val="18"/>
              </w:rPr>
              <w:t>左右两侧共2个MVR车间</w:t>
            </w:r>
          </w:p>
        </w:tc>
        <w:tc>
          <w:tcPr>
            <w:tcW w:w="2016" w:type="dxa"/>
            <w:tcBorders>
              <w:right w:val="single" w:sz="4" w:space="0" w:color="auto"/>
            </w:tcBorders>
            <w:vAlign w:val="center"/>
          </w:tcPr>
          <w:p>
            <w:pPr>
              <w:jc w:val="center"/>
              <w:rPr>
                <w:rFonts w:ascii="仿宋" w:eastAsia="仿宋"/>
                <w:sz w:val="18"/>
                <w:szCs w:val="18"/>
                <w:lang w:val="en-US" w:eastAsia="zh-CN"/>
              </w:rPr>
            </w:pPr>
            <w:r>
              <w:rPr>
                <w:rFonts w:ascii="仿宋" w:eastAsia="仿宋" w:hint="eastAsia"/>
                <w:sz w:val="18"/>
                <w:szCs w:val="18"/>
                <w:lang w:val="en-US" w:eastAsia="zh-CN"/>
              </w:rPr>
              <w:t>128400</w:t>
            </w:r>
          </w:p>
        </w:tc>
        <w:tc>
          <w:tcPr>
            <w:tcW w:w="1296" w:type="dxa"/>
            <w:tcBorders>
              <w:left w:val="single" w:sz="4" w:space="0" w:color="auto"/>
            </w:tcBorders>
            <w:vAlign w:val="center"/>
          </w:tcPr>
          <w:p>
            <w:pPr>
              <w:jc w:val="center"/>
              <w:rPr>
                <w:rFonts w:ascii="仿宋" w:eastAsia="仿宋"/>
                <w:sz w:val="18"/>
                <w:szCs w:val="18"/>
              </w:rPr>
            </w:pPr>
            <w:r>
              <w:rPr>
                <w:rFonts w:ascii="仿宋" w:eastAsia="仿宋" w:hint="eastAsia"/>
                <w:sz w:val="18"/>
                <w:szCs w:val="18"/>
              </w:rPr>
              <w:t>492.6</w:t>
            </w:r>
          </w:p>
        </w:tc>
        <w:tc>
          <w:tcPr>
            <w:tcW w:w="1026" w:type="dxa"/>
            <w:vAlign w:val="center"/>
          </w:tcPr>
          <w:p>
            <w:pPr>
              <w:jc w:val="center"/>
              <w:rPr>
                <w:rFonts w:ascii="仿宋" w:eastAsia="仿宋"/>
                <w:sz w:val="18"/>
                <w:szCs w:val="18"/>
              </w:rPr>
            </w:pPr>
            <w:r>
              <w:rPr>
                <w:rFonts w:ascii="仿宋" w:eastAsia="仿宋" w:hint="eastAsia"/>
                <w:sz w:val="18"/>
                <w:szCs w:val="18"/>
              </w:rPr>
              <w:t>246.3</w:t>
            </w:r>
          </w:p>
        </w:tc>
        <w:tc>
          <w:tcPr>
            <w:tcW w:w="1562" w:type="dxa"/>
            <w:vAlign w:val="center"/>
          </w:tcPr>
          <w:p>
            <w:pPr>
              <w:jc w:val="left"/>
              <w:rPr>
                <w:rFonts w:ascii="仿宋" w:eastAsia="仿宋"/>
                <w:sz w:val="18"/>
                <w:szCs w:val="18"/>
              </w:rPr>
            </w:pPr>
            <w:r>
              <w:rPr>
                <w:rFonts w:ascii="仿宋" w:eastAsia="仿宋" w:hint="eastAsia"/>
                <w:sz w:val="18"/>
                <w:szCs w:val="18"/>
              </w:rPr>
              <w:t>1.规划全部加工泡菜发酵剂M21，预留加工泡菜发酵剂M95空间。</w:t>
            </w:r>
          </w:p>
          <w:p>
            <w:pPr>
              <w:jc w:val="left"/>
              <w:rPr>
                <w:rFonts w:ascii="仿宋" w:eastAsia="仿宋"/>
                <w:sz w:val="18"/>
                <w:szCs w:val="18"/>
              </w:rPr>
            </w:pPr>
            <w:r>
              <w:rPr>
                <w:rFonts w:ascii="仿宋" w:eastAsia="仿宋" w:hint="eastAsia"/>
                <w:sz w:val="18"/>
                <w:szCs w:val="18"/>
              </w:rPr>
              <w:t>2.制成的泡菜发酵剂输回各车间空闲窖池贮藏。</w:t>
            </w:r>
          </w:p>
          <w:p>
            <w:pPr>
              <w:jc w:val="left"/>
              <w:rPr>
                <w:rFonts w:ascii="仿宋" w:eastAsia="仿宋"/>
                <w:sz w:val="18"/>
                <w:szCs w:val="18"/>
              </w:rPr>
            </w:pPr>
            <w:r>
              <w:rPr>
                <w:rFonts w:ascii="仿宋" w:eastAsia="仿宋" w:hint="eastAsia"/>
                <w:sz w:val="18"/>
                <w:szCs w:val="18"/>
              </w:rPr>
              <w:t>3.根据生产安排，全年滚动输入6#车间</w:t>
            </w:r>
            <w:r>
              <w:rPr>
                <w:rFonts w:ascii="仿宋" w:eastAsia="仿宋" w:hint="eastAsia"/>
                <w:sz w:val="18"/>
                <w:szCs w:val="18"/>
                <w:lang w:eastAsia="zh-CN"/>
              </w:rPr>
              <w:t>调配</w:t>
            </w:r>
            <w:r>
              <w:rPr>
                <w:rFonts w:ascii="仿宋" w:eastAsia="仿宋" w:hint="eastAsia"/>
                <w:sz w:val="18"/>
                <w:szCs w:val="18"/>
                <w:lang w:val="en-US" w:eastAsia="zh-CN"/>
              </w:rPr>
              <w:t>s18</w:t>
            </w:r>
            <w:r>
              <w:rPr>
                <w:rFonts w:ascii="仿宋" w:eastAsia="仿宋" w:hint="eastAsia"/>
                <w:sz w:val="18"/>
                <w:szCs w:val="18"/>
              </w:rPr>
              <w:t>加工盐渍辣椒，6#车间全年用于曲豆瓣制醅</w:t>
            </w:r>
            <w:r>
              <w:rPr>
                <w:rFonts w:ascii="仿宋" w:eastAsia="仿宋" w:hint="eastAsia"/>
                <w:sz w:val="18"/>
                <w:szCs w:val="18"/>
                <w:lang w:eastAsia="zh-CN"/>
              </w:rPr>
              <w:t>和辣椒腌制</w:t>
            </w:r>
            <w:r>
              <w:rPr>
                <w:rFonts w:ascii="仿宋" w:eastAsia="仿宋" w:hint="eastAsia"/>
                <w:sz w:val="18"/>
                <w:szCs w:val="18"/>
              </w:rPr>
              <w:t>；</w:t>
            </w:r>
          </w:p>
          <w:p>
            <w:pPr>
              <w:jc w:val="left"/>
              <w:rPr>
                <w:rFonts w:ascii="仿宋" w:eastAsia="仿宋"/>
                <w:sz w:val="18"/>
                <w:szCs w:val="18"/>
              </w:rPr>
            </w:pPr>
            <w:r>
              <w:rPr>
                <w:rFonts w:ascii="仿宋" w:eastAsia="仿宋" w:hint="eastAsia"/>
                <w:sz w:val="18"/>
                <w:szCs w:val="18"/>
              </w:rPr>
              <w:t>4. 据生产安排，季节性输入榨菜原料车间</w:t>
            </w:r>
            <w:r>
              <w:rPr>
                <w:rFonts w:ascii="仿宋" w:eastAsia="仿宋" w:hint="eastAsia"/>
                <w:sz w:val="18"/>
                <w:szCs w:val="18"/>
                <w:lang w:eastAsia="zh-CN"/>
              </w:rPr>
              <w:t>用于</w:t>
            </w:r>
            <w:r>
              <w:rPr>
                <w:rFonts w:ascii="仿宋" w:eastAsia="仿宋" w:hint="eastAsia"/>
                <w:sz w:val="18"/>
                <w:szCs w:val="18"/>
              </w:rPr>
              <w:t>青菜头一腌或加工其它泡菜。</w:t>
            </w:r>
          </w:p>
        </w:tc>
      </w:tr>
      <w:tr>
        <w:trPr>
          <w:trHeight w:val="4000"/>
        </w:trPr>
        <w:tc>
          <w:tcPr>
            <w:tcW w:w="926" w:type="dxa"/>
            <w:vAlign w:val="center"/>
          </w:tcPr>
          <w:p>
            <w:pPr>
              <w:jc w:val="center"/>
              <w:rPr>
                <w:rFonts w:ascii="仿宋" w:eastAsia="仿宋"/>
                <w:sz w:val="18"/>
                <w:szCs w:val="18"/>
                <w:lang w:val="en-US" w:eastAsia="zh-CN"/>
              </w:rPr>
            </w:pPr>
            <w:r>
              <w:rPr>
                <w:rFonts w:ascii="仿宋" w:eastAsia="仿宋" w:hint="eastAsia"/>
                <w:sz w:val="18"/>
                <w:szCs w:val="18"/>
                <w:lang w:val="en-US" w:eastAsia="zh-CN"/>
              </w:rPr>
              <w:t>盐渍辣椒发酵剂S18</w:t>
            </w:r>
          </w:p>
        </w:tc>
        <w:tc>
          <w:tcPr>
            <w:tcW w:w="936" w:type="dxa"/>
            <w:vAlign w:val="center"/>
          </w:tcPr>
          <w:p>
            <w:pPr>
              <w:jc w:val="center"/>
              <w:rPr>
                <w:rFonts w:ascii="仿宋" w:eastAsia="仿宋"/>
                <w:sz w:val="18"/>
                <w:szCs w:val="18"/>
                <w:lang w:val="en-US" w:eastAsia="zh-CN"/>
              </w:rPr>
            </w:pPr>
            <w:r>
              <w:rPr>
                <w:rFonts w:ascii="仿宋" w:eastAsia="仿宋" w:hint="eastAsia"/>
                <w:sz w:val="18"/>
                <w:szCs w:val="18"/>
                <w:lang w:val="en-US" w:eastAsia="zh-CN"/>
              </w:rPr>
              <w:t>18%</w:t>
            </w:r>
          </w:p>
        </w:tc>
        <w:tc>
          <w:tcPr>
            <w:tcW w:w="730" w:type="dxa"/>
            <w:vAlign w:val="center"/>
          </w:tcPr>
          <w:p>
            <w:pPr>
              <w:jc w:val="center"/>
              <w:rPr>
                <w:rFonts w:ascii="仿宋" w:eastAsia="仿宋"/>
                <w:sz w:val="18"/>
                <w:szCs w:val="18"/>
                <w:lang w:val="en-US" w:eastAsia="zh-CN"/>
              </w:rPr>
            </w:pPr>
            <w:r>
              <w:rPr>
                <w:rFonts w:ascii="仿宋" w:eastAsia="仿宋" w:hint="eastAsia"/>
                <w:sz w:val="18"/>
                <w:szCs w:val="18"/>
                <w:lang w:eastAsia="zh-CN"/>
              </w:rPr>
              <w:t>与</w:t>
            </w:r>
            <w:r>
              <w:rPr>
                <w:rFonts w:ascii="仿宋" w:eastAsia="仿宋" w:hint="eastAsia"/>
                <w:sz w:val="18"/>
                <w:szCs w:val="18"/>
                <w:lang w:val="en-US" w:eastAsia="zh-CN"/>
              </w:rPr>
              <w:t>M21调配生产</w:t>
            </w:r>
          </w:p>
        </w:tc>
        <w:tc>
          <w:tcPr>
            <w:tcW w:w="695" w:type="dxa"/>
            <w:vAlign w:val="center"/>
          </w:tcPr>
          <w:p>
            <w:pPr>
              <w:adjustRightInd w:val="0"/>
              <w:snapToGrid w:val="0"/>
              <w:spacing w:line="0" w:lineRule="atLeast"/>
              <w:jc w:val="center"/>
              <w:rPr>
                <w:rFonts w:ascii="仿宋" w:eastAsia="仿宋" w:hint="eastAsia"/>
                <w:sz w:val="18"/>
                <w:szCs w:val="18"/>
                <w:lang w:eastAsia="zh-CN"/>
              </w:rPr>
            </w:pPr>
            <w:r>
              <w:rPr>
                <w:rFonts w:ascii="仿宋" w:eastAsia="仿宋" w:hint="eastAsia"/>
                <w:sz w:val="18"/>
                <w:szCs w:val="18"/>
                <w:lang w:eastAsia="zh-CN"/>
              </w:rPr>
              <w:t>全年</w:t>
            </w:r>
          </w:p>
        </w:tc>
        <w:tc>
          <w:tcPr>
            <w:tcW w:w="854" w:type="dxa"/>
            <w:vAlign w:val="center"/>
          </w:tcPr>
          <w:p>
            <w:pPr>
              <w:jc w:val="center"/>
              <w:rPr>
                <w:rFonts w:ascii="仿宋" w:eastAsia="仿宋" w:hint="eastAsia"/>
                <w:sz w:val="18"/>
                <w:szCs w:val="18"/>
                <w:lang w:val="en-US" w:eastAsia="zh-CN"/>
              </w:rPr>
            </w:pPr>
            <w:r>
              <w:rPr>
                <w:rFonts w:ascii="仿宋" w:eastAsia="仿宋" w:hint="eastAsia"/>
                <w:sz w:val="18"/>
                <w:szCs w:val="18"/>
                <w:lang w:val="en-US" w:eastAsia="zh-CN"/>
              </w:rPr>
              <w:t>6号</w:t>
            </w:r>
          </w:p>
        </w:tc>
        <w:tc>
          <w:tcPr>
            <w:tcW w:w="2016" w:type="dxa"/>
            <w:tcBorders>
              <w:right w:val="single" w:sz="4" w:space="0" w:color="auto"/>
            </w:tcBorders>
            <w:vAlign w:val="center"/>
          </w:tcPr>
          <w:p>
            <w:pPr>
              <w:jc w:val="center"/>
              <w:rPr>
                <w:rFonts w:ascii="仿宋" w:eastAsia="仿宋"/>
                <w:sz w:val="18"/>
                <w:szCs w:val="18"/>
                <w:lang w:val="en-US" w:eastAsia="zh-CN"/>
              </w:rPr>
            </w:pPr>
            <w:r>
              <w:rPr>
                <w:rFonts w:ascii="仿宋" w:eastAsia="仿宋" w:hint="eastAsia"/>
                <w:sz w:val="18"/>
                <w:szCs w:val="18"/>
                <w:lang w:val="en-US" w:eastAsia="zh-CN"/>
              </w:rPr>
              <w:t>63750</w:t>
            </w:r>
          </w:p>
        </w:tc>
        <w:tc>
          <w:tcPr>
            <w:tcW w:w="1296" w:type="dxa"/>
            <w:tcBorders>
              <w:left w:val="single" w:sz="4" w:space="0" w:color="auto"/>
            </w:tcBorders>
            <w:vAlign w:val="center"/>
          </w:tcPr>
          <w:p>
            <w:pPr>
              <w:jc w:val="center"/>
              <w:rPr>
                <w:rFonts w:ascii="仿宋" w:eastAsia="仿宋"/>
                <w:sz w:val="18"/>
                <w:szCs w:val="18"/>
                <w:lang w:val="en-US" w:eastAsia="zh-CN"/>
              </w:rPr>
            </w:pPr>
            <w:r>
              <w:rPr>
                <w:rFonts w:ascii="仿宋" w:eastAsia="仿宋" w:hint="eastAsia"/>
                <w:sz w:val="18"/>
                <w:szCs w:val="18"/>
                <w:lang w:val="en-US" w:eastAsia="zh-CN"/>
              </w:rPr>
              <w:t>213</w:t>
            </w:r>
          </w:p>
        </w:tc>
        <w:tc>
          <w:tcPr>
            <w:tcW w:w="1026" w:type="dxa"/>
            <w:vAlign w:val="center"/>
          </w:tcPr>
          <w:p>
            <w:pPr>
              <w:jc w:val="center"/>
              <w:rPr>
                <w:rFonts w:ascii="仿宋" w:eastAsia="仿宋"/>
                <w:sz w:val="18"/>
                <w:szCs w:val="18"/>
                <w:lang w:val="en-US" w:eastAsia="zh-CN"/>
              </w:rPr>
            </w:pPr>
            <w:r>
              <w:rPr>
                <w:rFonts w:ascii="仿宋" w:eastAsia="仿宋" w:hint="eastAsia"/>
                <w:sz w:val="18"/>
                <w:szCs w:val="18"/>
                <w:lang w:val="en-US" w:eastAsia="zh-CN"/>
              </w:rPr>
              <w:t>213</w:t>
            </w:r>
          </w:p>
        </w:tc>
        <w:tc>
          <w:tcPr>
            <w:tcW w:w="1562" w:type="dxa"/>
            <w:vAlign w:val="center"/>
          </w:tcPr>
          <w:p>
            <w:pPr>
              <w:jc w:val="left"/>
              <w:rPr>
                <w:rFonts w:ascii="仿宋" w:eastAsia="仿宋" w:hint="eastAsia"/>
                <w:sz w:val="18"/>
                <w:szCs w:val="18"/>
              </w:rPr>
            </w:pPr>
            <w:r>
              <w:rPr>
                <w:rFonts w:ascii="宋体" w:hint="eastAsia"/>
                <w:b/>
                <w:sz w:val="18"/>
                <w:szCs w:val="18"/>
              </w:rPr>
              <w:t>S18由M21与榨</w:t>
            </w:r>
            <w:r>
              <w:rPr>
                <w:rFonts w:ascii="宋体" w:hint="eastAsia"/>
                <w:b/>
                <w:sz w:val="18"/>
                <w:szCs w:val="18"/>
                <w:lang w:val="en-US" w:eastAsia="zh-CN"/>
              </w:rPr>
              <w:t>菜</w:t>
            </w:r>
            <w:r>
              <w:rPr>
                <w:rFonts w:ascii="宋体" w:hint="eastAsia"/>
                <w:b/>
                <w:sz w:val="18"/>
                <w:szCs w:val="18"/>
              </w:rPr>
              <w:t>汁（三腌）调配</w:t>
            </w:r>
          </w:p>
        </w:tc>
      </w:tr>
      <w:tr>
        <w:tc>
          <w:tcPr>
            <w:tcW w:w="926" w:type="dxa"/>
            <w:vAlign w:val="center"/>
          </w:tcPr>
          <w:p>
            <w:pPr>
              <w:jc w:val="center"/>
              <w:rPr>
                <w:rFonts w:ascii="仿宋" w:eastAsia="仿宋"/>
                <w:sz w:val="18"/>
                <w:szCs w:val="18"/>
              </w:rPr>
            </w:pPr>
            <w:r>
              <w:rPr>
                <w:rFonts w:ascii="仿宋" w:eastAsia="仿宋" w:hint="eastAsia"/>
                <w:sz w:val="18"/>
                <w:szCs w:val="18"/>
              </w:rPr>
              <w:t>窖池清洗废水</w:t>
            </w:r>
          </w:p>
        </w:tc>
        <w:tc>
          <w:tcPr>
            <w:tcW w:w="936" w:type="dxa"/>
            <w:vAlign w:val="center"/>
          </w:tcPr>
          <w:p>
            <w:pPr>
              <w:jc w:val="center"/>
              <w:rPr>
                <w:rFonts w:ascii="仿宋" w:eastAsia="仿宋"/>
                <w:sz w:val="18"/>
                <w:szCs w:val="18"/>
              </w:rPr>
            </w:pPr>
            <w:r>
              <w:rPr>
                <w:rFonts w:ascii="仿宋" w:eastAsia="仿宋" w:hint="eastAsia"/>
                <w:sz w:val="18"/>
                <w:szCs w:val="18"/>
              </w:rPr>
              <w:t>/</w:t>
            </w:r>
          </w:p>
        </w:tc>
        <w:tc>
          <w:tcPr>
            <w:tcW w:w="730" w:type="dxa"/>
            <w:vAlign w:val="center"/>
          </w:tcPr>
          <w:p>
            <w:pPr>
              <w:jc w:val="center"/>
              <w:rPr>
                <w:rFonts w:ascii="仿宋" w:eastAsia="仿宋"/>
                <w:sz w:val="18"/>
                <w:szCs w:val="18"/>
              </w:rPr>
            </w:pPr>
            <w:r>
              <w:rPr>
                <w:rFonts w:ascii="仿宋" w:eastAsia="仿宋" w:hint="eastAsia"/>
                <w:sz w:val="18"/>
                <w:szCs w:val="18"/>
              </w:rPr>
              <w:t>窖池</w:t>
            </w:r>
          </w:p>
          <w:p>
            <w:pPr>
              <w:jc w:val="center"/>
              <w:rPr>
                <w:rFonts w:ascii="仿宋" w:eastAsia="仿宋"/>
                <w:sz w:val="18"/>
                <w:szCs w:val="18"/>
              </w:rPr>
            </w:pPr>
            <w:r>
              <w:rPr>
                <w:rFonts w:ascii="仿宋" w:eastAsia="仿宋" w:hint="eastAsia"/>
                <w:sz w:val="18"/>
                <w:szCs w:val="18"/>
              </w:rPr>
              <w:t>清洗</w:t>
            </w:r>
          </w:p>
        </w:tc>
        <w:tc>
          <w:tcPr>
            <w:tcW w:w="695" w:type="dxa"/>
            <w:vAlign w:val="center"/>
          </w:tcPr>
          <w:p>
            <w:pPr>
              <w:adjustRightInd w:val="0"/>
              <w:snapToGrid w:val="0"/>
              <w:spacing w:line="0" w:lineRule="atLeast"/>
              <w:jc w:val="center"/>
              <w:rPr>
                <w:rFonts w:ascii="仿宋" w:eastAsia="仿宋"/>
                <w:sz w:val="18"/>
                <w:szCs w:val="18"/>
              </w:rPr>
            </w:pPr>
            <w:r>
              <w:rPr>
                <w:rFonts w:ascii="仿宋" w:eastAsia="仿宋"/>
                <w:sz w:val="18"/>
                <w:szCs w:val="18"/>
              </w:rPr>
              <w:t>全年</w:t>
            </w:r>
          </w:p>
        </w:tc>
        <w:tc>
          <w:tcPr>
            <w:tcW w:w="854" w:type="dxa"/>
            <w:vAlign w:val="center"/>
          </w:tcPr>
          <w:p>
            <w:pPr>
              <w:jc w:val="center"/>
              <w:rPr>
                <w:rFonts w:ascii="仿宋" w:eastAsia="仿宋"/>
                <w:sz w:val="18"/>
                <w:szCs w:val="18"/>
              </w:rPr>
            </w:pPr>
            <w:r>
              <w:rPr>
                <w:rFonts w:ascii="仿宋" w:eastAsia="仿宋" w:hint="eastAsia"/>
                <w:sz w:val="18"/>
                <w:szCs w:val="18"/>
              </w:rPr>
              <w:t>全部窖池</w:t>
            </w:r>
          </w:p>
        </w:tc>
        <w:tc>
          <w:tcPr>
            <w:tcW w:w="2016" w:type="dxa"/>
            <w:tcBorders>
              <w:right w:val="single" w:sz="4" w:space="0" w:color="auto"/>
            </w:tcBorders>
            <w:vAlign w:val="center"/>
          </w:tcPr>
          <w:p>
            <w:pPr>
              <w:jc w:val="center"/>
              <w:rPr>
                <w:rFonts w:ascii="仿宋" w:eastAsia="仿宋"/>
                <w:sz w:val="18"/>
                <w:szCs w:val="18"/>
              </w:rPr>
            </w:pPr>
            <w:r>
              <w:rPr>
                <w:rFonts w:ascii="仿宋" w:eastAsia="仿宋" w:hint="eastAsia"/>
                <w:sz w:val="18"/>
                <w:szCs w:val="18"/>
              </w:rPr>
              <w:t>/</w:t>
            </w:r>
          </w:p>
        </w:tc>
        <w:tc>
          <w:tcPr>
            <w:tcW w:w="1296" w:type="dxa"/>
            <w:tcBorders>
              <w:left w:val="single" w:sz="4" w:space="0" w:color="auto"/>
            </w:tcBorders>
            <w:vAlign w:val="center"/>
          </w:tcPr>
          <w:p>
            <w:pPr>
              <w:jc w:val="center"/>
              <w:rPr>
                <w:rFonts w:ascii="仿宋" w:eastAsia="仿宋"/>
                <w:sz w:val="18"/>
                <w:szCs w:val="18"/>
              </w:rPr>
            </w:pPr>
            <w:r>
              <w:rPr>
                <w:rFonts w:ascii="仿宋" w:eastAsia="仿宋" w:hint="eastAsia"/>
                <w:sz w:val="18"/>
                <w:szCs w:val="18"/>
              </w:rPr>
              <w:t>/</w:t>
            </w:r>
          </w:p>
        </w:tc>
        <w:tc>
          <w:tcPr>
            <w:tcW w:w="1026" w:type="dxa"/>
            <w:vAlign w:val="center"/>
          </w:tcPr>
          <w:p>
            <w:pPr>
              <w:jc w:val="center"/>
              <w:rPr>
                <w:rFonts w:ascii="仿宋" w:eastAsia="仿宋"/>
                <w:sz w:val="18"/>
                <w:szCs w:val="18"/>
              </w:rPr>
            </w:pPr>
            <w:r>
              <w:rPr>
                <w:rFonts w:ascii="仿宋" w:eastAsia="仿宋" w:hint="eastAsia"/>
                <w:sz w:val="18"/>
                <w:szCs w:val="18"/>
              </w:rPr>
              <w:t>/</w:t>
            </w:r>
          </w:p>
        </w:tc>
        <w:tc>
          <w:tcPr>
            <w:tcW w:w="1562" w:type="dxa"/>
            <w:vAlign w:val="center"/>
          </w:tcPr>
          <w:p>
            <w:pPr>
              <w:jc w:val="left"/>
              <w:rPr>
                <w:rFonts w:ascii="仿宋" w:eastAsia="仿宋"/>
                <w:sz w:val="18"/>
                <w:szCs w:val="18"/>
              </w:rPr>
            </w:pPr>
            <w:r>
              <w:rPr>
                <w:rFonts w:ascii="仿宋" w:eastAsia="仿宋" w:hint="eastAsia"/>
                <w:sz w:val="18"/>
                <w:szCs w:val="18"/>
              </w:rPr>
              <w:t>进入高盐废水管网入高盐污水暂贮池。</w:t>
            </w:r>
          </w:p>
        </w:tc>
      </w:tr>
      <w:tr>
        <w:tc>
          <w:tcPr>
            <w:tcW w:w="926" w:type="dxa"/>
            <w:vAlign w:val="center"/>
          </w:tcPr>
          <w:p>
            <w:pPr>
              <w:jc w:val="center"/>
              <w:rPr>
                <w:rFonts w:ascii="仿宋" w:eastAsia="仿宋"/>
                <w:sz w:val="18"/>
                <w:szCs w:val="18"/>
              </w:rPr>
            </w:pPr>
            <w:r>
              <w:rPr>
                <w:rFonts w:ascii="仿宋" w:eastAsia="仿宋" w:hint="eastAsia"/>
                <w:sz w:val="18"/>
                <w:szCs w:val="18"/>
              </w:rPr>
              <w:t>半成品榨菜沥汁</w:t>
            </w:r>
          </w:p>
        </w:tc>
        <w:tc>
          <w:tcPr>
            <w:tcW w:w="936" w:type="dxa"/>
            <w:vAlign w:val="center"/>
          </w:tcPr>
          <w:p>
            <w:pPr>
              <w:jc w:val="center"/>
              <w:rPr>
                <w:rFonts w:ascii="仿宋" w:eastAsia="仿宋"/>
                <w:sz w:val="18"/>
                <w:szCs w:val="18"/>
              </w:rPr>
            </w:pPr>
            <w:r>
              <w:rPr>
                <w:rFonts w:ascii="仿宋" w:eastAsia="仿宋" w:hint="eastAsia"/>
                <w:sz w:val="18"/>
                <w:szCs w:val="18"/>
              </w:rPr>
              <w:t>/</w:t>
            </w:r>
          </w:p>
        </w:tc>
        <w:tc>
          <w:tcPr>
            <w:tcW w:w="730" w:type="dxa"/>
            <w:vAlign w:val="center"/>
          </w:tcPr>
          <w:p>
            <w:pPr>
              <w:jc w:val="center"/>
              <w:rPr>
                <w:rFonts w:ascii="仿宋" w:eastAsia="仿宋"/>
                <w:sz w:val="18"/>
                <w:szCs w:val="18"/>
              </w:rPr>
            </w:pPr>
            <w:r>
              <w:rPr>
                <w:rFonts w:ascii="仿宋" w:eastAsia="仿宋" w:hint="eastAsia"/>
                <w:sz w:val="18"/>
                <w:szCs w:val="18"/>
              </w:rPr>
              <w:t>卸车前沥汁</w:t>
            </w:r>
          </w:p>
        </w:tc>
        <w:tc>
          <w:tcPr>
            <w:tcW w:w="695" w:type="dxa"/>
            <w:vAlign w:val="center"/>
          </w:tcPr>
          <w:p>
            <w:pPr>
              <w:adjustRightInd w:val="0"/>
              <w:snapToGrid w:val="0"/>
              <w:spacing w:line="0" w:lineRule="atLeast"/>
              <w:jc w:val="center"/>
              <w:rPr>
                <w:rFonts w:ascii="仿宋" w:eastAsia="仿宋"/>
                <w:sz w:val="18"/>
                <w:szCs w:val="18"/>
              </w:rPr>
            </w:pPr>
            <w:r>
              <w:rPr>
                <w:rFonts w:ascii="仿宋" w:eastAsia="仿宋"/>
                <w:sz w:val="18"/>
                <w:szCs w:val="18"/>
              </w:rPr>
              <w:t>全年</w:t>
            </w:r>
          </w:p>
        </w:tc>
        <w:tc>
          <w:tcPr>
            <w:tcW w:w="854" w:type="dxa"/>
            <w:vAlign w:val="center"/>
          </w:tcPr>
          <w:p>
            <w:pPr>
              <w:jc w:val="center"/>
              <w:rPr>
                <w:rFonts w:ascii="仿宋" w:eastAsia="仿宋"/>
                <w:sz w:val="18"/>
                <w:szCs w:val="18"/>
              </w:rPr>
            </w:pPr>
            <w:r>
              <w:rPr>
                <w:rFonts w:ascii="仿宋" w:eastAsia="仿宋" w:hint="eastAsia"/>
                <w:sz w:val="18"/>
                <w:szCs w:val="18"/>
              </w:rPr>
              <w:t>全部窖池</w:t>
            </w:r>
          </w:p>
        </w:tc>
        <w:tc>
          <w:tcPr>
            <w:tcW w:w="2016" w:type="dxa"/>
            <w:tcBorders>
              <w:right w:val="single" w:sz="4" w:space="0" w:color="auto"/>
            </w:tcBorders>
            <w:vAlign w:val="center"/>
          </w:tcPr>
          <w:p>
            <w:pPr>
              <w:jc w:val="center"/>
              <w:rPr>
                <w:rFonts w:ascii="仿宋" w:eastAsia="仿宋"/>
                <w:sz w:val="18"/>
                <w:szCs w:val="18"/>
              </w:rPr>
            </w:pPr>
            <w:r>
              <w:rPr>
                <w:rFonts w:ascii="仿宋" w:eastAsia="仿宋" w:hint="eastAsia"/>
                <w:sz w:val="18"/>
                <w:szCs w:val="18"/>
              </w:rPr>
              <w:t>9895-11953</w:t>
            </w:r>
          </w:p>
        </w:tc>
        <w:tc>
          <w:tcPr>
            <w:tcW w:w="1296" w:type="dxa"/>
            <w:tcBorders>
              <w:left w:val="single" w:sz="4" w:space="0" w:color="auto"/>
            </w:tcBorders>
            <w:vAlign w:val="center"/>
          </w:tcPr>
          <w:p>
            <w:pPr>
              <w:jc w:val="center"/>
              <w:rPr>
                <w:rFonts w:ascii="仿宋" w:eastAsia="仿宋"/>
                <w:sz w:val="18"/>
                <w:szCs w:val="18"/>
              </w:rPr>
            </w:pPr>
            <w:r>
              <w:rPr>
                <w:rFonts w:ascii="仿宋" w:eastAsia="仿宋" w:hint="eastAsia"/>
                <w:sz w:val="18"/>
                <w:szCs w:val="18"/>
              </w:rPr>
              <w:t>99-120</w:t>
            </w:r>
          </w:p>
        </w:tc>
        <w:tc>
          <w:tcPr>
            <w:tcW w:w="1026" w:type="dxa"/>
            <w:vAlign w:val="center"/>
          </w:tcPr>
          <w:p>
            <w:pPr>
              <w:jc w:val="center"/>
              <w:rPr>
                <w:rFonts w:ascii="仿宋" w:eastAsia="仿宋"/>
                <w:sz w:val="18"/>
                <w:szCs w:val="18"/>
              </w:rPr>
            </w:pPr>
            <w:r>
              <w:rPr>
                <w:rFonts w:ascii="仿宋" w:eastAsia="仿宋" w:hint="eastAsia"/>
                <w:sz w:val="18"/>
                <w:szCs w:val="18"/>
              </w:rPr>
              <w:t>50-60</w:t>
            </w:r>
          </w:p>
        </w:tc>
        <w:tc>
          <w:tcPr>
            <w:tcW w:w="1562" w:type="dxa"/>
            <w:vAlign w:val="center"/>
          </w:tcPr>
          <w:p>
            <w:pPr>
              <w:jc w:val="left"/>
              <w:rPr>
                <w:rFonts w:ascii="仿宋" w:eastAsia="仿宋"/>
                <w:sz w:val="18"/>
                <w:szCs w:val="18"/>
              </w:rPr>
            </w:pPr>
            <w:r>
              <w:rPr>
                <w:rFonts w:ascii="仿宋" w:eastAsia="仿宋" w:hint="eastAsia"/>
                <w:sz w:val="18"/>
                <w:szCs w:val="18"/>
              </w:rPr>
              <w:t>回收至MVR塔浓缩</w:t>
            </w:r>
          </w:p>
        </w:tc>
      </w:tr>
      <w:tr>
        <w:tc>
          <w:tcPr>
            <w:tcW w:w="926" w:type="dxa"/>
            <w:vAlign w:val="center"/>
          </w:tcPr>
          <w:p>
            <w:pPr>
              <w:jc w:val="center"/>
              <w:rPr>
                <w:rFonts w:ascii="仿宋" w:eastAsia="仿宋"/>
                <w:sz w:val="18"/>
                <w:szCs w:val="18"/>
              </w:rPr>
            </w:pPr>
            <w:r>
              <w:rPr>
                <w:rFonts w:ascii="仿宋" w:eastAsia="仿宋"/>
                <w:sz w:val="18"/>
                <w:szCs w:val="18"/>
              </w:rPr>
              <w:t>预脱盐循环水</w:t>
            </w:r>
          </w:p>
        </w:tc>
        <w:tc>
          <w:tcPr>
            <w:tcW w:w="936" w:type="dxa"/>
            <w:vAlign w:val="center"/>
          </w:tcPr>
          <w:p>
            <w:pPr>
              <w:jc w:val="center"/>
              <w:rPr>
                <w:rFonts w:ascii="仿宋" w:eastAsia="仿宋"/>
                <w:sz w:val="18"/>
                <w:szCs w:val="18"/>
              </w:rPr>
            </w:pPr>
            <w:r>
              <w:rPr>
                <w:rFonts w:ascii="仿宋" w:eastAsia="仿宋" w:hint="eastAsia"/>
                <w:sz w:val="18"/>
                <w:szCs w:val="18"/>
                <w:lang w:val="en-US" w:eastAsia="zh-CN"/>
              </w:rPr>
              <w:t>4.5-6.5</w:t>
            </w:r>
            <w:r>
              <w:rPr>
                <w:rFonts w:ascii="仿宋" w:eastAsia="仿宋" w:hint="eastAsia"/>
                <w:sz w:val="18"/>
                <w:szCs w:val="18"/>
              </w:rPr>
              <w:t>%</w:t>
            </w:r>
          </w:p>
        </w:tc>
        <w:tc>
          <w:tcPr>
            <w:tcW w:w="730" w:type="dxa"/>
            <w:vAlign w:val="center"/>
          </w:tcPr>
          <w:p>
            <w:pPr>
              <w:jc w:val="center"/>
              <w:rPr>
                <w:rFonts w:ascii="仿宋" w:eastAsia="仿宋"/>
                <w:sz w:val="18"/>
                <w:szCs w:val="18"/>
              </w:rPr>
            </w:pPr>
            <w:r>
              <w:rPr>
                <w:rFonts w:ascii="仿宋" w:eastAsia="仿宋"/>
                <w:sz w:val="18"/>
                <w:szCs w:val="18"/>
              </w:rPr>
              <w:t>7#、8#</w:t>
            </w:r>
          </w:p>
        </w:tc>
        <w:tc>
          <w:tcPr>
            <w:tcW w:w="695" w:type="dxa"/>
            <w:vAlign w:val="center"/>
          </w:tcPr>
          <w:p>
            <w:pPr>
              <w:adjustRightInd w:val="0"/>
              <w:snapToGrid w:val="0"/>
              <w:spacing w:line="0" w:lineRule="atLeast"/>
              <w:jc w:val="center"/>
              <w:rPr>
                <w:rFonts w:ascii="仿宋" w:eastAsia="仿宋"/>
                <w:sz w:val="18"/>
                <w:szCs w:val="18"/>
              </w:rPr>
            </w:pPr>
            <w:r>
              <w:rPr>
                <w:rFonts w:ascii="仿宋" w:eastAsia="仿宋"/>
                <w:sz w:val="18"/>
                <w:szCs w:val="18"/>
              </w:rPr>
              <w:t>全年</w:t>
            </w:r>
          </w:p>
        </w:tc>
        <w:tc>
          <w:tcPr>
            <w:tcW w:w="854" w:type="dxa"/>
            <w:vAlign w:val="center"/>
          </w:tcPr>
          <w:p>
            <w:pPr>
              <w:jc w:val="center"/>
              <w:rPr>
                <w:rFonts w:ascii="仿宋" w:eastAsia="仿宋"/>
                <w:sz w:val="18"/>
                <w:szCs w:val="18"/>
              </w:rPr>
            </w:pPr>
            <w:r>
              <w:rPr>
                <w:rFonts w:ascii="仿宋" w:eastAsia="仿宋"/>
                <w:sz w:val="18"/>
                <w:szCs w:val="18"/>
              </w:rPr>
              <w:t>车间入口</w:t>
            </w:r>
            <w:r>
              <w:rPr>
                <w:rFonts w:ascii="仿宋" w:eastAsia="仿宋" w:hint="eastAsia"/>
                <w:sz w:val="18"/>
                <w:szCs w:val="18"/>
                <w:lang w:val="en-US" w:eastAsia="zh-CN"/>
              </w:rPr>
              <w:t>处</w:t>
            </w:r>
            <w:r>
              <w:rPr>
                <w:rFonts w:ascii="仿宋" w:eastAsia="仿宋"/>
                <w:sz w:val="18"/>
                <w:szCs w:val="18"/>
              </w:rPr>
              <w:t>窖池</w:t>
            </w:r>
          </w:p>
        </w:tc>
        <w:tc>
          <w:tcPr>
            <w:tcW w:w="2016" w:type="dxa"/>
            <w:tcBorders>
              <w:right w:val="single" w:sz="4" w:space="0" w:color="auto"/>
            </w:tcBorders>
            <w:vAlign w:val="center"/>
          </w:tcPr>
          <w:p>
            <w:pPr>
              <w:jc w:val="center"/>
              <w:rPr>
                <w:rFonts w:ascii="仿宋" w:eastAsia="仿宋"/>
                <w:sz w:val="18"/>
                <w:szCs w:val="18"/>
                <w:lang w:val="en-US" w:eastAsia="zh-CN"/>
              </w:rPr>
            </w:pPr>
            <w:r>
              <w:rPr>
                <w:rFonts w:ascii="仿宋" w:eastAsia="仿宋" w:hint="eastAsia"/>
                <w:sz w:val="18"/>
                <w:szCs w:val="18"/>
                <w:lang w:val="en-US" w:eastAsia="zh-CN"/>
              </w:rPr>
              <w:t>324000</w:t>
            </w:r>
          </w:p>
        </w:tc>
        <w:tc>
          <w:tcPr>
            <w:tcW w:w="1296" w:type="dxa"/>
            <w:tcBorders>
              <w:left w:val="single" w:sz="4" w:space="0" w:color="auto"/>
            </w:tcBorders>
            <w:vAlign w:val="center"/>
          </w:tcPr>
          <w:p>
            <w:pPr>
              <w:jc w:val="center"/>
              <w:rPr>
                <w:rFonts w:ascii="仿宋" w:eastAsia="仿宋"/>
                <w:sz w:val="18"/>
                <w:szCs w:val="18"/>
                <w:lang w:val="en-US"/>
              </w:rPr>
            </w:pPr>
            <w:r>
              <w:rPr>
                <w:rFonts w:ascii="仿宋" w:eastAsia="仿宋" w:hint="eastAsia"/>
                <w:sz w:val="18"/>
                <w:szCs w:val="18"/>
                <w:lang w:val="en-US" w:eastAsia="zh-CN"/>
              </w:rPr>
              <w:t>1080</w:t>
            </w:r>
          </w:p>
        </w:tc>
        <w:tc>
          <w:tcPr>
            <w:tcW w:w="1026" w:type="dxa"/>
            <w:vAlign w:val="center"/>
          </w:tcPr>
          <w:p>
            <w:pPr>
              <w:jc w:val="center"/>
              <w:rPr>
                <w:rFonts w:ascii="仿宋" w:eastAsia="仿宋" w:hint="eastAsia"/>
                <w:sz w:val="18"/>
                <w:szCs w:val="18"/>
                <w:lang w:val="en-US" w:eastAsia="zh-CN"/>
              </w:rPr>
            </w:pPr>
            <w:r>
              <w:rPr>
                <w:rFonts w:ascii="仿宋" w:eastAsia="仿宋" w:hint="eastAsia"/>
                <w:sz w:val="18"/>
                <w:szCs w:val="18"/>
                <w:lang w:val="en-US" w:eastAsia="zh-CN"/>
              </w:rPr>
              <w:t>8#607.5</w:t>
            </w:r>
          </w:p>
          <w:p>
            <w:pPr>
              <w:jc w:val="center"/>
              <w:rPr>
                <w:lang w:val="en-US" w:eastAsia="zh-CN"/>
              </w:rPr>
            </w:pPr>
            <w:r>
              <w:rPr>
                <w:rFonts w:ascii="仿宋" w:eastAsia="仿宋" w:hint="eastAsia"/>
                <w:sz w:val="18"/>
                <w:szCs w:val="18"/>
                <w:lang w:val="en-US" w:eastAsia="zh-CN"/>
              </w:rPr>
              <w:t>7#472.5</w:t>
            </w:r>
          </w:p>
        </w:tc>
        <w:tc>
          <w:tcPr>
            <w:tcW w:w="1562" w:type="dxa"/>
            <w:vAlign w:val="center"/>
          </w:tcPr>
          <w:p>
            <w:pPr>
              <w:jc w:val="left"/>
              <w:rPr>
                <w:rFonts w:ascii="仿宋" w:eastAsia="仿宋"/>
                <w:sz w:val="18"/>
                <w:szCs w:val="18"/>
              </w:rPr>
            </w:pPr>
            <w:r>
              <w:rPr>
                <w:rFonts w:ascii="仿宋" w:eastAsia="仿宋" w:hint="eastAsia"/>
                <w:sz w:val="18"/>
                <w:szCs w:val="18"/>
              </w:rPr>
              <w:t>回收至MVR塔浓缩</w:t>
            </w:r>
          </w:p>
        </w:tc>
      </w:tr>
    </w:tbl>
    <w:p>
      <w:pPr>
        <w:pStyle w:val="21"/>
        <w:rPr>
          <w:rFonts w:ascii="仿宋"/>
          <w:sz w:val="28"/>
        </w:rPr>
      </w:pPr>
      <w:r>
        <w:rPr>
          <w:rFonts w:ascii="仿宋" w:hint="eastAsia"/>
          <w:sz w:val="28"/>
        </w:rPr>
        <w:t>注1：2#车间预留为未来食品加工车间，目前不考虑盐水转运系统。</w:t>
      </w:r>
    </w:p>
    <w:p>
      <w:pPr>
        <w:pStyle w:val="21"/>
        <w:rPr>
          <w:rFonts w:ascii="仿宋"/>
          <w:sz w:val="28"/>
        </w:rPr>
      </w:pPr>
      <w:r>
        <w:rPr>
          <w:rFonts w:ascii="仿宋" w:hint="eastAsia"/>
          <w:sz w:val="28"/>
        </w:rPr>
        <w:t>注2：一腌榨菜汁产生量峰值按日收购青菜头30000吨测算。</w:t>
      </w:r>
    </w:p>
    <w:p>
      <w:pPr>
        <w:pStyle w:val="21"/>
        <w:rPr>
          <w:rFonts w:ascii="仿宋"/>
          <w:sz w:val="28"/>
        </w:rPr>
      </w:pPr>
      <w:r>
        <w:rPr>
          <w:rFonts w:ascii="仿宋" w:hint="eastAsia"/>
          <w:sz w:val="28"/>
        </w:rPr>
        <w:t>注3：全年按300天工作日、每天2班、每班8小时计，收购峰值期间每班</w:t>
      </w:r>
      <w:r>
        <w:rPr>
          <w:rFonts w:ascii="仿宋"/>
          <w:sz w:val="28"/>
        </w:rPr>
        <w:t>12</w:t>
      </w:r>
      <w:r>
        <w:rPr>
          <w:rFonts w:ascii="仿宋" w:hint="eastAsia"/>
          <w:sz w:val="28"/>
        </w:rPr>
        <w:t>小时。</w:t>
      </w:r>
    </w:p>
    <w:p>
      <w:pPr>
        <w:pStyle w:val="21"/>
        <w:rPr>
          <w:rFonts w:ascii="仿宋"/>
          <w:sz w:val="28"/>
        </w:rPr>
      </w:pPr>
      <w:r>
        <w:rPr>
          <w:rFonts w:ascii="仿宋"/>
          <w:sz w:val="28"/>
        </w:rPr>
        <w:t>注4：除</w:t>
      </w:r>
      <w:r>
        <w:rPr>
          <w:rFonts w:ascii="仿宋" w:hint="eastAsia"/>
          <w:sz w:val="28"/>
        </w:rPr>
        <w:t>泡菜发酵剂</w:t>
      </w:r>
      <w:r>
        <w:rPr>
          <w:rFonts w:ascii="仿宋"/>
          <w:sz w:val="28"/>
        </w:rPr>
        <w:t>外，其余盐水含有一定量菜渣、泥沙等杂质。3.18%盐水中菜渣、泥沙杂质含量2.5%；7%盐水中菜渣杂质含量0.5%；9.63%盐水中菜渣杂质含量0.7%；12.41%盐水菜渣杂质含量0.7%</w:t>
      </w:r>
      <w:r>
        <w:rPr>
          <w:rFonts w:ascii="仿宋" w:hint="eastAsia"/>
          <w:sz w:val="28"/>
        </w:rPr>
        <w:t>；该数据仅供投标方参考，具体以投标方自行调研测算为准。</w:t>
      </w:r>
    </w:p>
    <w:p>
      <w:pPr>
        <w:pStyle w:val="21"/>
        <w:rPr>
          <w:rFonts w:ascii="仿宋" w:hint="eastAsia"/>
          <w:b/>
          <w:bCs/>
          <w:sz w:val="28"/>
        </w:rPr>
      </w:pPr>
      <w:r>
        <w:rPr>
          <w:rFonts w:ascii="仿宋" w:hint="eastAsia"/>
          <w:sz w:val="28"/>
        </w:rPr>
        <w:t>注5：</w:t>
      </w:r>
      <w:r>
        <w:rPr>
          <w:rFonts w:ascii="仿宋" w:hint="eastAsia"/>
          <w:b/>
          <w:bCs/>
          <w:sz w:val="28"/>
        </w:rPr>
        <w:t>干辣椒腌制每年需消耗</w:t>
      </w:r>
      <w:r>
        <w:rPr>
          <w:rFonts w:ascii="仿宋" w:hint="eastAsia"/>
          <w:b/>
          <w:bCs/>
          <w:sz w:val="28"/>
          <w:lang w:val="en-US" w:eastAsia="zh-CN"/>
        </w:rPr>
        <w:t>S18约6</w:t>
      </w:r>
      <w:r>
        <w:rPr>
          <w:rFonts w:ascii="仿宋" w:hint="eastAsia"/>
          <w:b/>
          <w:bCs/>
          <w:sz w:val="28"/>
        </w:rPr>
        <w:t>.</w:t>
      </w:r>
      <w:r>
        <w:rPr>
          <w:rFonts w:ascii="仿宋" w:hint="eastAsia"/>
          <w:b/>
          <w:bCs/>
          <w:sz w:val="28"/>
          <w:lang w:val="en-US" w:eastAsia="zh-CN"/>
        </w:rPr>
        <w:t>3</w:t>
      </w:r>
      <w:r>
        <w:rPr>
          <w:rFonts w:ascii="仿宋" w:hint="eastAsia"/>
          <w:b/>
          <w:bCs/>
          <w:sz w:val="28"/>
        </w:rPr>
        <w:t>万吨；甜豆瓣发酵每年需消耗M21</w:t>
      </w:r>
      <w:r>
        <w:rPr>
          <w:rFonts w:ascii="仿宋" w:hint="eastAsia"/>
          <w:b/>
          <w:bCs/>
          <w:sz w:val="28"/>
          <w:lang w:eastAsia="zh-CN"/>
        </w:rPr>
        <w:t>约</w:t>
      </w:r>
      <w:r>
        <w:rPr>
          <w:rFonts w:ascii="仿宋" w:hint="eastAsia"/>
          <w:b/>
          <w:bCs/>
          <w:sz w:val="28"/>
          <w:lang w:val="en-US" w:eastAsia="zh-CN"/>
        </w:rPr>
        <w:t>2</w:t>
      </w:r>
      <w:r>
        <w:rPr>
          <w:rFonts w:ascii="仿宋" w:hint="eastAsia"/>
          <w:b/>
          <w:bCs/>
          <w:sz w:val="28"/>
        </w:rPr>
        <w:t>.5万吨。</w:t>
      </w:r>
    </w:p>
    <w:p>
      <w:pPr>
        <w:pStyle w:val="21"/>
        <w:rPr>
          <w:rFonts w:ascii="仿宋" w:eastAsia="仿宋"/>
          <w:sz w:val="28"/>
          <w:lang w:val="en-US" w:eastAsia="zh-CN"/>
        </w:rPr>
      </w:pPr>
      <w:r>
        <w:rPr>
          <w:rFonts w:ascii="仿宋" w:hint="eastAsia"/>
          <w:sz w:val="28"/>
          <w:lang w:val="en-US" w:eastAsia="zh-CN"/>
        </w:rPr>
        <w:t>注6：一腌循环要求，青菜头一腌入池装满后（入池到装料结束≤3h），需立即对本池泡菜发酵剂进行循环，循环时间不低于2小时，池内泡菜发酵剂循环均匀，每个青菜头都能与泡菜发酵剂接触。泵的能力不小于50吨/小时，封池前总循环时间不低于5小时。</w:t>
      </w:r>
    </w:p>
    <w:p>
      <w:pPr>
        <w:pStyle w:val="3"/>
        <w:ind w:firstLine="560"/>
        <w:outlineLvl w:val="9"/>
      </w:pPr>
      <w:r>
        <w:rPr>
          <w:rFonts w:hint="eastAsia"/>
        </w:rPr>
        <w:t>榨菜汁和泡菜发酵剂流体参数</w:t>
      </w:r>
    </w:p>
    <w:p>
      <w:pPr>
        <w:ind w:firstLine="480"/>
        <w:rPr>
          <w:rFonts w:ascii="仿宋" w:eastAsia="仿宋"/>
          <w:sz w:val="28"/>
        </w:rPr>
      </w:pPr>
      <w:r>
        <w:rPr>
          <w:rFonts w:ascii="仿宋" w:eastAsia="仿宋"/>
          <w:sz w:val="28"/>
        </w:rPr>
        <w:t>本项目中相关各浓度盐水参数、氯离子含量ppm(百万分比，同mg/L)参考下表所示。介质PH为4.6-5.0。</w:t>
      </w:r>
    </w:p>
    <w:p>
      <w:pPr>
        <w:jc w:val="center"/>
        <w:rPr>
          <w:rFonts w:ascii="仿宋" w:eastAsia="仿宋"/>
          <w:sz w:val="28"/>
          <w:szCs w:val="20"/>
        </w:rPr>
      </w:pPr>
      <w:r>
        <w:rPr>
          <w:rFonts w:ascii="仿宋" w:eastAsia="仿宋" w:hint="eastAsia"/>
          <w:sz w:val="28"/>
          <w:szCs w:val="20"/>
        </w:rPr>
        <w:t xml:space="preserve">表3 </w:t>
      </w:r>
      <w:r>
        <w:rPr>
          <w:rFonts w:ascii="仿宋" w:eastAsia="仿宋"/>
          <w:sz w:val="28"/>
          <w:szCs w:val="20"/>
        </w:rPr>
        <w:t>各浓度盐水参数表（常温下）</w:t>
      </w:r>
    </w:p>
    <w:tbl>
      <w:tblPr>
        <w:jc w:val="left"/>
        <w:tblInd w:w="534" w:type="dxa"/>
        <w:tblW w:w="85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1184"/>
        <w:gridCol w:w="1792"/>
        <w:gridCol w:w="1843"/>
        <w:gridCol w:w="1843"/>
        <w:gridCol w:w="1843"/>
      </w:tblGrid>
      <w:tr>
        <w:trPr>
          <w:trHeight w:val="322"/>
        </w:trPr>
        <w:tc>
          <w:tcPr>
            <w:tcW w:w="1184" w:type="dxa"/>
            <w:vMerge w:val="restart"/>
            <w:vAlign w:val="center"/>
          </w:tcPr>
          <w:p>
            <w:pPr>
              <w:adjustRightInd w:val="0"/>
              <w:snapToGrid w:val="0"/>
              <w:spacing w:line="0" w:lineRule="atLeast"/>
              <w:jc w:val="center"/>
              <w:rPr>
                <w:rFonts w:ascii="仿宋" w:eastAsia="仿宋"/>
                <w:kern w:val="0"/>
                <w:szCs w:val="21"/>
              </w:rPr>
            </w:pPr>
            <w:r>
              <w:rPr>
                <w:rFonts w:ascii="仿宋" w:eastAsia="仿宋"/>
                <w:kern w:val="0"/>
                <w:szCs w:val="21"/>
              </w:rPr>
              <w:t>流体名称</w:t>
            </w:r>
          </w:p>
        </w:tc>
        <w:tc>
          <w:tcPr>
            <w:tcW w:w="7321" w:type="dxa"/>
            <w:gridSpan w:val="4"/>
            <w:vAlign w:val="center"/>
          </w:tcPr>
          <w:p>
            <w:pPr>
              <w:adjustRightInd w:val="0"/>
              <w:snapToGrid w:val="0"/>
              <w:spacing w:line="0" w:lineRule="atLeast"/>
              <w:jc w:val="center"/>
              <w:rPr>
                <w:rFonts w:ascii="仿宋" w:eastAsia="仿宋"/>
                <w:kern w:val="0"/>
                <w:szCs w:val="21"/>
              </w:rPr>
            </w:pPr>
            <w:r>
              <w:rPr>
                <w:rFonts w:ascii="仿宋" w:eastAsia="仿宋"/>
                <w:kern w:val="0"/>
                <w:szCs w:val="21"/>
              </w:rPr>
              <w:t>物性参数（20℃）</w:t>
            </w:r>
          </w:p>
        </w:tc>
      </w:tr>
      <w:tr>
        <w:trPr>
          <w:trHeight w:val="145"/>
        </w:trPr>
        <w:tc>
          <w:tcPr>
            <w:tcW w:w="1184" w:type="dxa"/>
            <w:vMerge/>
            <w:vAlign w:val="center"/>
          </w:tcPr>
          <w:p/>
        </w:tc>
        <w:tc>
          <w:tcPr>
            <w:tcW w:w="1792"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浓度（wt.%）</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密度（g/cm</w:t>
            </w:r>
            <w:r>
              <w:rPr>
                <w:rFonts w:ascii="仿宋" w:eastAsia="仿宋"/>
                <w:kern w:val="0"/>
                <w:szCs w:val="21"/>
                <w:vertAlign w:val="superscript"/>
              </w:rPr>
              <w:t>3</w:t>
            </w:r>
            <w:r>
              <w:rPr>
                <w:rFonts w:ascii="仿宋" w:eastAsia="仿宋"/>
                <w:kern w:val="0"/>
                <w:szCs w:val="21"/>
              </w:rPr>
              <w:t>）</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粘度（cP）</w:t>
            </w:r>
          </w:p>
        </w:tc>
        <w:tc>
          <w:tcPr>
            <w:tcW w:w="1843" w:type="dxa"/>
          </w:tcPr>
          <w:p>
            <w:pPr>
              <w:adjustRightInd w:val="0"/>
              <w:snapToGrid w:val="0"/>
              <w:spacing w:line="0" w:lineRule="atLeast"/>
              <w:jc w:val="center"/>
              <w:rPr>
                <w:rFonts w:ascii="仿宋" w:eastAsia="仿宋"/>
                <w:kern w:val="0"/>
                <w:szCs w:val="21"/>
              </w:rPr>
            </w:pPr>
            <w:r>
              <w:rPr>
                <w:rFonts w:ascii="仿宋" w:eastAsia="仿宋"/>
                <w:szCs w:val="21"/>
              </w:rPr>
              <w:t>氯离子ppm</w:t>
            </w:r>
          </w:p>
        </w:tc>
      </w:tr>
      <w:tr>
        <w:trPr>
          <w:trHeight w:val="689"/>
        </w:trPr>
        <w:tc>
          <w:tcPr>
            <w:tcW w:w="1184"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一腌盐水</w:t>
            </w:r>
          </w:p>
        </w:tc>
        <w:tc>
          <w:tcPr>
            <w:tcW w:w="1792"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3.18%</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1.034</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1.082</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szCs w:val="21"/>
              </w:rPr>
              <w:t>19620</w:t>
            </w:r>
          </w:p>
        </w:tc>
      </w:tr>
      <w:tr>
        <w:trPr>
          <w:trHeight w:val="697"/>
        </w:trPr>
        <w:tc>
          <w:tcPr>
            <w:tcW w:w="1184"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脱盐水</w:t>
            </w:r>
          </w:p>
        </w:tc>
        <w:tc>
          <w:tcPr>
            <w:tcW w:w="1792" w:type="dxa"/>
            <w:vAlign w:val="center"/>
          </w:tcPr>
          <w:p>
            <w:pPr>
              <w:adjustRightInd w:val="0"/>
              <w:snapToGrid w:val="0"/>
              <w:spacing w:line="0" w:lineRule="atLeast"/>
              <w:jc w:val="center"/>
              <w:rPr>
                <w:rFonts w:ascii="仿宋" w:eastAsia="仿宋"/>
                <w:kern w:val="0"/>
                <w:szCs w:val="21"/>
              </w:rPr>
            </w:pPr>
            <w:r>
              <w:rPr>
                <w:rFonts w:ascii="仿宋" w:eastAsia="仿宋" w:hint="eastAsia"/>
                <w:kern w:val="0"/>
                <w:szCs w:val="21"/>
              </w:rPr>
              <w:t>5.89-</w:t>
            </w:r>
            <w:r>
              <w:rPr>
                <w:rFonts w:ascii="仿宋" w:eastAsia="仿宋"/>
                <w:kern w:val="0"/>
                <w:szCs w:val="21"/>
              </w:rPr>
              <w:t>7%</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1.049</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1.095</w:t>
            </w:r>
          </w:p>
        </w:tc>
        <w:tc>
          <w:tcPr>
            <w:tcW w:w="1843" w:type="dxa"/>
            <w:vAlign w:val="center"/>
          </w:tcPr>
          <w:p>
            <w:pPr>
              <w:adjustRightInd w:val="0"/>
              <w:snapToGrid w:val="0"/>
              <w:spacing w:line="0" w:lineRule="atLeast"/>
              <w:jc w:val="center"/>
              <w:rPr>
                <w:rFonts w:ascii="仿宋" w:eastAsia="仿宋"/>
                <w:szCs w:val="21"/>
              </w:rPr>
            </w:pPr>
            <w:r>
              <w:rPr>
                <w:rFonts w:ascii="仿宋" w:eastAsia="仿宋" w:hint="eastAsia"/>
                <w:szCs w:val="21"/>
              </w:rPr>
              <w:t>36341-</w:t>
            </w:r>
            <w:r>
              <w:rPr>
                <w:rFonts w:ascii="仿宋" w:eastAsia="仿宋"/>
                <w:szCs w:val="21"/>
              </w:rPr>
              <w:t>43190</w:t>
            </w:r>
          </w:p>
        </w:tc>
      </w:tr>
      <w:tr>
        <w:trPr>
          <w:trHeight w:val="707"/>
        </w:trPr>
        <w:tc>
          <w:tcPr>
            <w:tcW w:w="1184"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二腌盐水</w:t>
            </w:r>
          </w:p>
        </w:tc>
        <w:tc>
          <w:tcPr>
            <w:tcW w:w="1792"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9.63%</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1.056</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1.098</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szCs w:val="21"/>
              </w:rPr>
              <w:t>59417</w:t>
            </w:r>
          </w:p>
        </w:tc>
      </w:tr>
      <w:tr>
        <w:trPr>
          <w:trHeight w:val="702"/>
        </w:trPr>
        <w:tc>
          <w:tcPr>
            <w:tcW w:w="1184"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三腌盐水</w:t>
            </w:r>
          </w:p>
        </w:tc>
        <w:tc>
          <w:tcPr>
            <w:tcW w:w="1792"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12.41%</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1.086</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1.188</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szCs w:val="21"/>
              </w:rPr>
              <w:t>76570</w:t>
            </w:r>
          </w:p>
        </w:tc>
      </w:tr>
      <w:tr>
        <w:trPr>
          <w:trHeight w:val="698"/>
        </w:trPr>
        <w:tc>
          <w:tcPr>
            <w:tcW w:w="1184"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M21复腌液</w:t>
            </w:r>
          </w:p>
        </w:tc>
        <w:tc>
          <w:tcPr>
            <w:tcW w:w="1792"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21%</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1.164-1.30</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1.622</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szCs w:val="21"/>
              </w:rPr>
              <w:t>129580</w:t>
            </w:r>
          </w:p>
        </w:tc>
      </w:tr>
      <w:tr>
        <w:trPr>
          <w:trHeight w:val="697"/>
        </w:trPr>
        <w:tc>
          <w:tcPr>
            <w:tcW w:w="1184"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预脱盐循环水</w:t>
            </w:r>
          </w:p>
        </w:tc>
        <w:tc>
          <w:tcPr>
            <w:tcW w:w="1792" w:type="dxa"/>
            <w:vAlign w:val="center"/>
          </w:tcPr>
          <w:p>
            <w:pPr>
              <w:adjustRightInd w:val="0"/>
              <w:snapToGrid w:val="0"/>
              <w:spacing w:line="0" w:lineRule="atLeast"/>
              <w:jc w:val="center"/>
              <w:rPr>
                <w:rFonts w:ascii="仿宋" w:eastAsia="仿宋"/>
                <w:kern w:val="0"/>
                <w:szCs w:val="21"/>
              </w:rPr>
            </w:pPr>
            <w:r>
              <w:rPr>
                <w:rFonts w:ascii="仿宋" w:eastAsia="仿宋" w:hint="eastAsia"/>
                <w:kern w:val="0"/>
                <w:szCs w:val="21"/>
              </w:rPr>
              <w:t>6-7%</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hint="eastAsia"/>
                <w:kern w:val="0"/>
                <w:szCs w:val="21"/>
              </w:rPr>
              <w:t>1.041-1.049</w:t>
            </w:r>
          </w:p>
        </w:tc>
        <w:tc>
          <w:tcPr>
            <w:tcW w:w="1843" w:type="dxa"/>
            <w:vAlign w:val="center"/>
          </w:tcPr>
          <w:p>
            <w:pPr>
              <w:adjustRightInd w:val="0"/>
              <w:snapToGrid w:val="0"/>
              <w:spacing w:line="0" w:lineRule="atLeast"/>
              <w:jc w:val="center"/>
              <w:rPr>
                <w:rFonts w:ascii="仿宋" w:eastAsia="仿宋"/>
                <w:kern w:val="0"/>
                <w:szCs w:val="21"/>
              </w:rPr>
            </w:pPr>
            <w:r>
              <w:rPr>
                <w:rFonts w:ascii="仿宋" w:eastAsia="仿宋"/>
                <w:kern w:val="0"/>
                <w:szCs w:val="21"/>
              </w:rPr>
              <w:t>1.09</w:t>
            </w:r>
            <w:r>
              <w:rPr>
                <w:rFonts w:ascii="仿宋" w:eastAsia="仿宋" w:hint="eastAsia"/>
                <w:kern w:val="0"/>
                <w:szCs w:val="21"/>
              </w:rPr>
              <w:t>3</w:t>
            </w:r>
          </w:p>
        </w:tc>
        <w:tc>
          <w:tcPr>
            <w:tcW w:w="1843" w:type="dxa"/>
            <w:vAlign w:val="center"/>
          </w:tcPr>
          <w:p>
            <w:pPr>
              <w:adjustRightInd w:val="0"/>
              <w:snapToGrid w:val="0"/>
              <w:spacing w:line="0" w:lineRule="atLeast"/>
              <w:jc w:val="center"/>
              <w:rPr>
                <w:rFonts w:ascii="仿宋" w:eastAsia="仿宋"/>
                <w:szCs w:val="21"/>
              </w:rPr>
            </w:pPr>
            <w:r>
              <w:rPr>
                <w:rFonts w:ascii="仿宋" w:eastAsia="仿宋" w:hint="eastAsia"/>
                <w:szCs w:val="21"/>
              </w:rPr>
              <w:t>36390-</w:t>
            </w:r>
            <w:r>
              <w:rPr>
                <w:rFonts w:ascii="仿宋" w:eastAsia="仿宋"/>
                <w:szCs w:val="21"/>
              </w:rPr>
              <w:t>43190</w:t>
            </w:r>
          </w:p>
        </w:tc>
      </w:tr>
    </w:tbl>
    <w:p>
      <w:pPr>
        <w:pStyle w:val="1"/>
        <w:outlineLvl w:val="9"/>
      </w:pPr>
      <w:r>
        <w:rPr>
          <w:rFonts w:hint="eastAsia"/>
        </w:rPr>
        <w:t>盐水工艺流程</w:t>
      </w:r>
    </w:p>
    <w:p>
      <w:pPr>
        <w:pStyle w:val="2"/>
        <w:ind w:left="567" w:firstLine="562"/>
        <w:outlineLvl w:val="9"/>
      </w:pPr>
      <w:r>
        <w:rPr>
          <w:rFonts w:hint="eastAsia"/>
        </w:rPr>
        <w:t>各盐水输送路径</w:t>
      </w:r>
    </w:p>
    <w:p>
      <w:pPr>
        <w:pStyle w:val="3"/>
        <w:ind w:firstLine="560"/>
        <w:outlineLvl w:val="9"/>
      </w:pPr>
      <w:r>
        <w:rPr>
          <w:rFonts w:hint="eastAsia"/>
        </w:rPr>
        <w:t>一腌过程中的盐水输送路径</w:t>
      </w:r>
    </w:p>
    <w:p>
      <w:pPr>
        <w:pStyle w:val="62"/>
        <w:numPr>
          <w:ilvl w:val="0"/>
          <w:numId w:val="1"/>
        </w:numPr>
        <w:ind w:left="0" w:firstLineChars="0" w:firstLine="560"/>
        <w:rPr>
          <w:rFonts w:ascii="仿宋" w:eastAsia="仿宋" w:cs="仿宋"/>
          <w:sz w:val="28"/>
          <w:szCs w:val="21"/>
        </w:rPr>
      </w:pPr>
      <w:r>
        <w:rPr>
          <w:rFonts w:ascii="仿宋" w:eastAsia="仿宋" w:cs="仿宋" w:hint="eastAsia"/>
          <w:sz w:val="28"/>
          <w:szCs w:val="21"/>
        </w:rPr>
        <w:t>一腌榨菜汁产生车间：1#、3#、4#、5#、7#、8#车间</w:t>
      </w:r>
    </w:p>
    <w:p>
      <w:pPr>
        <w:pStyle w:val="62"/>
        <w:numPr>
          <w:ilvl w:val="0"/>
          <w:numId w:val="1"/>
        </w:numPr>
        <w:ind w:left="0" w:firstLineChars="0" w:firstLine="560"/>
        <w:rPr>
          <w:rFonts w:ascii="仿宋" w:eastAsia="仿宋" w:cs="仿宋"/>
          <w:sz w:val="28"/>
          <w:szCs w:val="21"/>
        </w:rPr>
      </w:pPr>
      <w:r>
        <w:rPr>
          <w:rFonts w:ascii="仿宋" w:eastAsia="仿宋" w:cs="仿宋" w:hint="eastAsia"/>
          <w:sz w:val="28"/>
          <w:szCs w:val="21"/>
        </w:rPr>
        <w:t>一腌过程中要求单个窖池盐水自循环</w:t>
      </w:r>
    </w:p>
    <w:p>
      <w:pPr>
        <w:pStyle w:val="62"/>
        <w:numPr>
          <w:ilvl w:val="0"/>
          <w:numId w:val="1"/>
        </w:numPr>
        <w:ind w:left="0" w:firstLineChars="0" w:firstLine="560"/>
        <w:rPr>
          <w:rFonts w:ascii="仿宋" w:eastAsia="仿宋" w:cs="仿宋"/>
          <w:sz w:val="28"/>
          <w:szCs w:val="21"/>
        </w:rPr>
      </w:pPr>
      <w:r>
        <w:rPr>
          <w:rFonts w:ascii="仿宋" w:eastAsia="仿宋" w:cs="仿宋" w:hint="eastAsia"/>
          <w:sz w:val="28"/>
          <w:szCs w:val="21"/>
        </w:rPr>
        <w:t>一腌榨菜汁排放：一腌窖池→高盐污水暂存池</w:t>
      </w:r>
    </w:p>
    <w:p>
      <w:pPr>
        <w:ind w:firstLineChars="500" w:firstLine="1400"/>
        <w:rPr>
          <w:rFonts w:ascii="仿宋" w:eastAsia="仿宋" w:cs="仿宋"/>
          <w:sz w:val="28"/>
          <w:szCs w:val="21"/>
        </w:rPr>
      </w:pPr>
      <w:r>
        <w:rPr>
          <w:rFonts w:ascii="仿宋" w:eastAsia="仿宋" w:cs="仿宋" w:hint="eastAsia"/>
          <w:sz w:val="28"/>
          <w:szCs w:val="21"/>
        </w:rPr>
        <w:t>如下图所示：</w:t>
      </w:r>
    </w:p>
    <w:p>
      <w:pPr>
        <w:pStyle w:val="62"/>
        <w:ind w:left="450" w:firstLineChars="0" w:firstLine="0"/>
        <w:jc w:val="center"/>
        <w:rPr>
          <w:rFonts w:ascii="黑体" w:eastAsia="仿宋" w:hAnsi="黑体"/>
          <w:szCs w:val="21"/>
        </w:rPr>
      </w:pPr>
      <w:r>
        <w:drawing>
          <wp:inline distT="0" distB="0" distL="0" distR="0">
            <wp:extent cx="3334385" cy="2144395"/>
            <wp:effectExtent l="0" t="0" r="0" b="0"/>
            <wp:docPr id="7" name="图片 7"/>
            <wp:cNvGraphicFramePr>
              <a:graphicFrameLocks noChangeAspect="1"/>
            </wp:cNvGraphicFramePr>
            <a:graphic>
              <a:graphicData uri="http://schemas.openxmlformats.org/drawingml/2006/picture">
                <pic:pic>
                  <pic:nvPicPr>
                    <pic:cNvPr id="9" name="图片 9"/>
                    <pic:cNvPicPr/>
                  </pic:nvPicPr>
                  <pic:blipFill>
                    <a:blip r:embed="rId7"/>
                    <a:stretch>
                      <a:fillRect/>
                    </a:stretch>
                  </pic:blipFill>
                  <pic:spPr>
                    <a:xfrm rot="0">
                      <a:off x="0" y="0"/>
                      <a:ext cx="3334385" cy="2144395"/>
                    </a:xfrm>
                    <a:prstGeom prst="rect"/>
                    <a:noFill/>
                    <a:ln w="9525" cmpd="sng" cap="flat">
                      <a:noFill/>
                      <a:prstDash val="solid"/>
                      <a:miter/>
                    </a:ln>
                  </pic:spPr>
                </pic:pic>
              </a:graphicData>
            </a:graphic>
          </wp:inline>
        </w:drawing>
      </w:r>
    </w:p>
    <w:p>
      <w:pPr>
        <w:jc w:val="center"/>
        <w:rPr>
          <w:rFonts w:ascii="仿宋" w:eastAsia="仿宋" w:cs="仿宋"/>
          <w:szCs w:val="21"/>
        </w:rPr>
      </w:pPr>
      <w:r>
        <w:rPr>
          <w:rFonts w:ascii="仿宋" w:eastAsia="仿宋" w:cs="仿宋" w:hint="eastAsia"/>
          <w:szCs w:val="21"/>
        </w:rPr>
        <w:t>图1 一腌榨菜汁输送路径</w:t>
      </w:r>
    </w:p>
    <w:p>
      <w:pPr>
        <w:pStyle w:val="3"/>
        <w:ind w:firstLine="560"/>
        <w:outlineLvl w:val="9"/>
      </w:pPr>
      <w:r>
        <w:rPr>
          <w:rFonts w:hint="eastAsia"/>
        </w:rPr>
        <w:t>二腌过程中盐水的输送路径</w:t>
      </w:r>
    </w:p>
    <w:p>
      <w:pPr>
        <w:pStyle w:val="62"/>
        <w:numPr>
          <w:ilvl w:val="0"/>
          <w:numId w:val="2"/>
        </w:numPr>
        <w:ind w:firstLineChars="0"/>
        <w:rPr>
          <w:rFonts w:ascii="仿宋" w:eastAsia="仿宋" w:cs="仿宋"/>
          <w:sz w:val="28"/>
          <w:szCs w:val="21"/>
        </w:rPr>
      </w:pPr>
      <w:r>
        <w:rPr>
          <w:rFonts w:ascii="仿宋" w:eastAsia="仿宋" w:cs="仿宋" w:hint="eastAsia"/>
          <w:sz w:val="28"/>
          <w:szCs w:val="21"/>
        </w:rPr>
        <w:t>二腌榨菜汁产生车间：1#、3#、4#、5#、7#、8#车间</w:t>
      </w:r>
    </w:p>
    <w:p>
      <w:pPr>
        <w:pStyle w:val="62"/>
        <w:numPr>
          <w:ilvl w:val="0"/>
          <w:numId w:val="2"/>
        </w:numPr>
        <w:ind w:firstLineChars="0"/>
        <w:rPr>
          <w:rFonts w:ascii="仿宋" w:eastAsia="仿宋" w:cs="仿宋"/>
          <w:sz w:val="28"/>
          <w:szCs w:val="21"/>
        </w:rPr>
      </w:pPr>
      <w:r>
        <w:rPr>
          <w:rFonts w:ascii="仿宋" w:eastAsia="仿宋" w:cs="仿宋" w:hint="eastAsia"/>
          <w:sz w:val="28"/>
          <w:szCs w:val="21"/>
        </w:rPr>
        <w:t>二腌榨菜汁的过滤储存：</w:t>
      </w:r>
      <w:r>
        <w:rPr>
          <w:rFonts w:ascii="仿宋" w:eastAsia="仿宋" w:cs="仿宋"/>
          <w:sz w:val="28"/>
          <w:szCs w:val="21"/>
        </w:rPr>
        <w:t>二腌</w:t>
      </w:r>
      <w:r>
        <w:rPr>
          <w:rFonts w:ascii="仿宋" w:eastAsia="仿宋" w:cs="仿宋" w:hint="eastAsia"/>
          <w:sz w:val="28"/>
          <w:szCs w:val="21"/>
        </w:rPr>
        <w:t>窖池→过滤池→暂存池（添加泡菜发酵剂）</w:t>
      </w:r>
    </w:p>
    <w:p>
      <w:pPr>
        <w:pStyle w:val="62"/>
        <w:numPr>
          <w:ilvl w:val="0"/>
          <w:numId w:val="2"/>
        </w:numPr>
        <w:ind w:firstLineChars="0"/>
        <w:rPr>
          <w:rFonts w:ascii="仿宋" w:eastAsia="仿宋" w:cs="仿宋"/>
          <w:sz w:val="28"/>
          <w:szCs w:val="21"/>
        </w:rPr>
      </w:pPr>
      <w:r>
        <w:rPr>
          <w:rFonts w:ascii="仿宋" w:eastAsia="仿宋" w:cs="仿宋" w:hint="eastAsia"/>
          <w:sz w:val="28"/>
          <w:szCs w:val="21"/>
        </w:rPr>
        <w:t>二腌榨菜汁的过滤加工：</w:t>
      </w:r>
      <w:r>
        <w:rPr>
          <w:rFonts w:ascii="仿宋" w:eastAsia="仿宋" w:cs="仿宋"/>
          <w:sz w:val="28"/>
          <w:szCs w:val="21"/>
        </w:rPr>
        <w:t>二腌</w:t>
      </w:r>
      <w:r>
        <w:rPr>
          <w:rFonts w:ascii="仿宋" w:eastAsia="仿宋" w:cs="仿宋" w:hint="eastAsia"/>
          <w:sz w:val="28"/>
          <w:szCs w:val="21"/>
        </w:rPr>
        <w:t>窖池→过滤池→中转池→MVR塔进水池；暂存池→中转池→MVR塔进水池</w:t>
      </w:r>
    </w:p>
    <w:p>
      <w:pPr>
        <w:pStyle w:val="62"/>
        <w:numPr>
          <w:ilvl w:val="0"/>
          <w:numId w:val="2"/>
        </w:numPr>
        <w:ind w:firstLineChars="0"/>
        <w:rPr>
          <w:rFonts w:ascii="仿宋" w:eastAsia="仿宋" w:cs="仿宋"/>
          <w:sz w:val="28"/>
          <w:szCs w:val="21"/>
        </w:rPr>
      </w:pPr>
      <w:r>
        <w:rPr>
          <w:rFonts w:ascii="仿宋" w:eastAsia="仿宋" w:cs="仿宋" w:hint="eastAsia"/>
          <w:sz w:val="28"/>
          <w:szCs w:val="21"/>
        </w:rPr>
        <w:t>辣椒腌制</w:t>
      </w:r>
      <w:r>
        <w:rPr>
          <w:rFonts w:ascii="仿宋" w:eastAsia="仿宋" w:cs="仿宋" w:hint="eastAsia"/>
          <w:sz w:val="28"/>
          <w:szCs w:val="21"/>
          <w:lang w:eastAsia="zh-CN"/>
        </w:rPr>
        <w:t>（</w:t>
      </w:r>
      <w:r>
        <w:rPr>
          <w:rFonts w:ascii="仿宋" w:eastAsia="仿宋" w:cs="仿宋" w:hint="eastAsia"/>
          <w:sz w:val="28"/>
          <w:szCs w:val="21"/>
          <w:lang w:val="en-US" w:eastAsia="zh-CN"/>
        </w:rPr>
        <w:t>备用</w:t>
      </w:r>
      <w:r>
        <w:rPr>
          <w:rFonts w:ascii="仿宋" w:eastAsia="仿宋" w:cs="仿宋" w:hint="eastAsia"/>
          <w:sz w:val="28"/>
          <w:szCs w:val="21"/>
          <w:lang w:eastAsia="zh-CN"/>
        </w:rPr>
        <w:t>）</w:t>
      </w:r>
      <w:r>
        <w:rPr>
          <w:rFonts w:ascii="仿宋" w:eastAsia="仿宋" w:cs="仿宋" w:hint="eastAsia"/>
          <w:sz w:val="28"/>
          <w:szCs w:val="21"/>
        </w:rPr>
        <w:t>：</w:t>
      </w:r>
      <w:r>
        <w:rPr>
          <w:rFonts w:ascii="仿宋" w:eastAsia="仿宋" w:cs="仿宋"/>
          <w:sz w:val="28"/>
          <w:szCs w:val="21"/>
        </w:rPr>
        <w:t>二腌</w:t>
      </w:r>
      <w:r>
        <w:rPr>
          <w:rFonts w:ascii="仿宋" w:eastAsia="仿宋" w:cs="仿宋" w:hint="eastAsia"/>
          <w:sz w:val="28"/>
          <w:szCs w:val="21"/>
        </w:rPr>
        <w:t>窖池（4#、8#车间）→过滤池→中转池→二腌盐水暂存池（6#车间）</w:t>
      </w:r>
    </w:p>
    <w:p>
      <w:pPr>
        <w:pStyle w:val="62"/>
        <w:ind w:left="1140" w:firstLineChars="0" w:firstLine="0"/>
        <w:jc w:val="center"/>
      </w:pPr>
      <w:r>
        <w:drawing>
          <wp:inline distT="0" distB="0" distL="0" distR="0">
            <wp:extent cx="3747135" cy="2181860"/>
            <wp:effectExtent l="0" t="0" r="0" b="0"/>
            <wp:docPr id="10" name="图片 10"/>
            <wp:cNvGraphicFramePr>
              <a:graphicFrameLocks noChangeAspect="1"/>
            </wp:cNvGraphicFramePr>
            <a:graphic>
              <a:graphicData uri="http://schemas.openxmlformats.org/drawingml/2006/picture">
                <pic:pic>
                  <pic:nvPicPr>
                    <pic:cNvPr id="12" name="图片 12"/>
                    <pic:cNvPicPr/>
                  </pic:nvPicPr>
                  <pic:blipFill>
                    <a:blip r:embed="rId8"/>
                    <a:stretch>
                      <a:fillRect/>
                    </a:stretch>
                  </pic:blipFill>
                  <pic:spPr>
                    <a:xfrm rot="0">
                      <a:off x="0" y="0"/>
                      <a:ext cx="3747135" cy="2181860"/>
                    </a:xfrm>
                    <a:prstGeom prst="rect"/>
                    <a:noFill/>
                    <a:ln w="9525" cmpd="sng" cap="flat">
                      <a:noFill/>
                      <a:prstDash val="solid"/>
                      <a:miter/>
                    </a:ln>
                  </pic:spPr>
                </pic:pic>
              </a:graphicData>
            </a:graphic>
          </wp:inline>
        </w:drawing>
      </w:r>
    </w:p>
    <w:p>
      <w:pPr>
        <w:pStyle w:val="62"/>
        <w:ind w:firstLineChars="0" w:firstLine="0"/>
        <w:jc w:val="center"/>
        <w:rPr>
          <w:rFonts w:ascii="仿宋" w:eastAsia="仿宋" w:cs="仿宋"/>
        </w:rPr>
      </w:pPr>
      <w:r>
        <w:rPr>
          <w:rFonts w:ascii="仿宋" w:eastAsia="仿宋" w:cs="仿宋" w:hint="eastAsia"/>
        </w:rPr>
        <w:t>图2 二腌榨菜汁的输送路径</w:t>
      </w:r>
    </w:p>
    <w:p>
      <w:pPr>
        <w:pStyle w:val="3"/>
        <w:ind w:firstLine="560"/>
        <w:outlineLvl w:val="9"/>
      </w:pPr>
      <w:r>
        <w:rPr>
          <w:rFonts w:hint="eastAsia"/>
        </w:rPr>
        <w:t>三腌过程中盐水的输送路径</w:t>
      </w:r>
    </w:p>
    <w:p>
      <w:pPr>
        <w:pStyle w:val="62"/>
        <w:numPr>
          <w:ilvl w:val="0"/>
          <w:numId w:val="3"/>
        </w:numPr>
        <w:ind w:firstLineChars="0"/>
        <w:rPr>
          <w:rFonts w:ascii="仿宋" w:eastAsia="仿宋" w:cs="仿宋"/>
          <w:sz w:val="28"/>
          <w:szCs w:val="21"/>
        </w:rPr>
      </w:pPr>
      <w:r>
        <w:rPr>
          <w:rFonts w:ascii="仿宋" w:eastAsia="仿宋" w:cs="仿宋" w:hint="eastAsia"/>
          <w:sz w:val="28"/>
          <w:szCs w:val="21"/>
        </w:rPr>
        <w:t>三腌榨菜汁产生车间：1#、3#、4#、5#、7#、8#车间</w:t>
      </w:r>
    </w:p>
    <w:p>
      <w:pPr>
        <w:pStyle w:val="62"/>
        <w:numPr>
          <w:ilvl w:val="0"/>
          <w:numId w:val="3"/>
        </w:numPr>
        <w:ind w:firstLineChars="0"/>
        <w:rPr>
          <w:rFonts w:ascii="仿宋" w:eastAsia="仿宋" w:cs="仿宋"/>
          <w:sz w:val="28"/>
          <w:szCs w:val="21"/>
        </w:rPr>
      </w:pPr>
      <w:r>
        <w:rPr>
          <w:rFonts w:ascii="仿宋" w:eastAsia="仿宋" w:cs="仿宋" w:hint="eastAsia"/>
          <w:sz w:val="28"/>
          <w:szCs w:val="21"/>
        </w:rPr>
        <w:t>复合调味料配制：三</w:t>
      </w:r>
      <w:r>
        <w:rPr>
          <w:rFonts w:ascii="仿宋" w:eastAsia="仿宋" w:cs="仿宋"/>
          <w:sz w:val="28"/>
          <w:szCs w:val="21"/>
        </w:rPr>
        <w:t>腌</w:t>
      </w:r>
      <w:r>
        <w:rPr>
          <w:rFonts w:ascii="仿宋" w:eastAsia="仿宋" w:cs="仿宋" w:hint="eastAsia"/>
          <w:sz w:val="28"/>
          <w:szCs w:val="21"/>
        </w:rPr>
        <w:t>窖池→过滤池→中转池→乳化辅料车间暂存池（6#车间）</w:t>
      </w:r>
    </w:p>
    <w:p>
      <w:pPr>
        <w:pStyle w:val="62"/>
        <w:numPr>
          <w:ilvl w:val="0"/>
          <w:numId w:val="3"/>
        </w:numPr>
        <w:ind w:firstLineChars="0"/>
        <w:rPr>
          <w:rFonts w:ascii="仿宋" w:eastAsia="仿宋" w:cs="仿宋"/>
          <w:szCs w:val="21"/>
        </w:rPr>
      </w:pPr>
      <w:r>
        <w:rPr>
          <w:rFonts w:ascii="仿宋" w:eastAsia="仿宋" w:cs="仿宋" w:hint="eastAsia"/>
          <w:sz w:val="28"/>
          <w:szCs w:val="21"/>
          <w:lang w:val="en-US" w:eastAsia="zh-CN"/>
        </w:rPr>
        <w:t>辣</w:t>
      </w:r>
      <w:r>
        <w:rPr>
          <w:rFonts w:ascii="仿宋" w:eastAsia="仿宋" w:cs="仿宋" w:hint="eastAsia"/>
          <w:sz w:val="28"/>
          <w:szCs w:val="21"/>
        </w:rPr>
        <w:t>椒腌制：三</w:t>
      </w:r>
      <w:r>
        <w:rPr>
          <w:rFonts w:ascii="仿宋" w:eastAsia="仿宋" w:cs="仿宋"/>
          <w:sz w:val="28"/>
          <w:szCs w:val="21"/>
        </w:rPr>
        <w:t>腌</w:t>
      </w:r>
      <w:r>
        <w:rPr>
          <w:rFonts w:ascii="仿宋" w:eastAsia="仿宋" w:cs="仿宋" w:hint="eastAsia"/>
          <w:sz w:val="28"/>
          <w:szCs w:val="21"/>
        </w:rPr>
        <w:t>窖池→过滤池→中转池→三腌盐水暂存池（6#车间）</w:t>
      </w:r>
    </w:p>
    <w:p>
      <w:pPr>
        <w:pStyle w:val="62"/>
        <w:ind w:left="420" w:firstLineChars="0" w:firstLine="0"/>
        <w:jc w:val="center"/>
        <w:rPr>
          <w:rFonts w:eastAsia="仿宋"/>
        </w:rPr>
      </w:pPr>
      <w:r>
        <w:rPr>
          <w:rFonts w:eastAsia="仿宋"/>
        </w:rPr>
        <w:drawing>
          <wp:inline distT="0" distB="0" distL="0" distR="0">
            <wp:extent cx="3578860" cy="2694305"/>
            <wp:effectExtent l="0" t="0" r="0" b="0"/>
            <wp:docPr id="13" name="图片 13"/>
            <wp:cNvGraphicFramePr>
              <a:graphicFrameLocks noChangeAspect="1"/>
            </wp:cNvGraphicFramePr>
            <a:graphic>
              <a:graphicData uri="http://schemas.openxmlformats.org/drawingml/2006/picture">
                <pic:pic>
                  <pic:nvPicPr>
                    <pic:cNvPr id="15" name="图片 15"/>
                    <pic:cNvPicPr/>
                  </pic:nvPicPr>
                  <pic:blipFill>
                    <a:blip r:embed="rId9"/>
                    <a:stretch>
                      <a:fillRect/>
                    </a:stretch>
                  </pic:blipFill>
                  <pic:spPr>
                    <a:xfrm rot="0">
                      <a:off x="0" y="0"/>
                      <a:ext cx="3578860" cy="2694305"/>
                    </a:xfrm>
                    <a:prstGeom prst="rect"/>
                    <a:noFill/>
                    <a:ln w="9525" cmpd="sng" cap="flat">
                      <a:noFill/>
                      <a:prstDash val="solid"/>
                      <a:miter/>
                    </a:ln>
                  </pic:spPr>
                </pic:pic>
              </a:graphicData>
            </a:graphic>
          </wp:inline>
        </w:drawing>
      </w:r>
    </w:p>
    <w:p>
      <w:pPr>
        <w:jc w:val="center"/>
        <w:rPr>
          <w:rFonts w:ascii="仿宋" w:eastAsia="仿宋" w:cs="仿宋"/>
          <w:szCs w:val="21"/>
        </w:rPr>
      </w:pPr>
      <w:r>
        <w:rPr>
          <w:rFonts w:ascii="仿宋" w:eastAsia="仿宋" w:cs="仿宋" w:hint="eastAsia"/>
          <w:szCs w:val="21"/>
        </w:rPr>
        <w:t>图3 三腌榨菜汁的输送路径</w:t>
      </w:r>
    </w:p>
    <w:p>
      <w:pPr>
        <w:pStyle w:val="3"/>
        <w:ind w:firstLine="560"/>
        <w:outlineLvl w:val="9"/>
      </w:pPr>
      <w:r>
        <w:t>预脱盐</w:t>
      </w:r>
      <w:r>
        <w:rPr>
          <w:rFonts w:hint="eastAsia"/>
        </w:rPr>
        <w:t>水输送路径</w:t>
      </w:r>
    </w:p>
    <w:p>
      <w:pPr>
        <w:pStyle w:val="62"/>
        <w:ind w:left="560" w:firstLineChars="0" w:firstLine="0"/>
        <w:rPr>
          <w:rFonts w:ascii="仿宋" w:eastAsia="仿宋" w:cs="仿宋"/>
          <w:sz w:val="28"/>
          <w:szCs w:val="21"/>
        </w:rPr>
      </w:pPr>
      <w:r>
        <w:rPr>
          <w:rFonts w:ascii="仿宋" w:eastAsia="仿宋" w:cs="仿宋"/>
          <w:sz w:val="28"/>
          <w:szCs w:val="21"/>
        </w:rPr>
        <w:t>（1）预脱盐水</w:t>
      </w:r>
      <w:r>
        <w:rPr>
          <w:rFonts w:ascii="仿宋" w:eastAsia="仿宋" w:cs="仿宋" w:hint="eastAsia"/>
          <w:sz w:val="28"/>
          <w:szCs w:val="21"/>
        </w:rPr>
        <w:t>产生车间：7#、8#车间</w:t>
      </w:r>
      <w:r>
        <w:rPr>
          <w:rFonts w:ascii="仿宋" w:eastAsia="仿宋" w:cs="仿宋"/>
          <w:sz w:val="28"/>
          <w:szCs w:val="21"/>
        </w:rPr>
        <w:t>；</w:t>
      </w:r>
    </w:p>
    <w:p>
      <w:pPr>
        <w:pStyle w:val="62"/>
        <w:ind w:left="560" w:firstLineChars="0" w:firstLine="0"/>
        <w:rPr>
          <w:rFonts w:ascii="仿宋" w:eastAsia="仿宋" w:cs="仿宋"/>
          <w:sz w:val="28"/>
          <w:szCs w:val="21"/>
        </w:rPr>
      </w:pPr>
      <w:r>
        <w:rPr>
          <w:rFonts w:ascii="仿宋" w:eastAsia="仿宋" w:cs="仿宋"/>
          <w:sz w:val="28"/>
          <w:szCs w:val="21"/>
        </w:rPr>
        <w:t>（2）预脱盐</w:t>
      </w:r>
      <w:r>
        <w:rPr>
          <w:rFonts w:ascii="仿宋" w:eastAsia="仿宋" w:cs="仿宋" w:hint="eastAsia"/>
          <w:sz w:val="28"/>
          <w:szCs w:val="21"/>
        </w:rPr>
        <w:t>过程中要求单个</w:t>
      </w:r>
      <w:r>
        <w:rPr>
          <w:rFonts w:ascii="仿宋" w:eastAsia="仿宋" w:cs="仿宋"/>
          <w:sz w:val="28"/>
          <w:szCs w:val="21"/>
        </w:rPr>
        <w:t>脱盐</w:t>
      </w:r>
      <w:r>
        <w:rPr>
          <w:rFonts w:ascii="仿宋" w:eastAsia="仿宋" w:cs="仿宋" w:hint="eastAsia"/>
          <w:sz w:val="28"/>
          <w:szCs w:val="21"/>
        </w:rPr>
        <w:t>窖池盐水自循环</w:t>
      </w:r>
      <w:r>
        <w:rPr>
          <w:rFonts w:ascii="仿宋" w:eastAsia="仿宋" w:cs="仿宋"/>
          <w:sz w:val="28"/>
          <w:szCs w:val="21"/>
        </w:rPr>
        <w:t>，</w:t>
      </w:r>
      <w:r>
        <w:rPr>
          <w:rFonts w:ascii="仿宋" w:eastAsia="仿宋" w:cs="仿宋" w:hint="eastAsia"/>
          <w:sz w:val="28"/>
          <w:szCs w:val="21"/>
          <w:lang w:val="en-US" w:eastAsia="zh-CN"/>
        </w:rPr>
        <w:t>自循环时间</w:t>
      </w:r>
      <w:r>
        <w:rPr>
          <w:rFonts w:ascii="仿宋" w:eastAsia="仿宋" w:cs="仿宋" w:hint="eastAsia"/>
          <w:b/>
          <w:bCs/>
          <w:sz w:val="28"/>
          <w:szCs w:val="21"/>
          <w:lang w:val="en-US" w:eastAsia="zh-CN"/>
        </w:rPr>
        <w:t>≥4</w:t>
      </w:r>
      <w:r>
        <w:rPr>
          <w:rFonts w:ascii="仿宋" w:eastAsia="仿宋" w:cs="仿宋"/>
          <w:b/>
          <w:bCs/>
          <w:sz w:val="28"/>
          <w:szCs w:val="21"/>
        </w:rPr>
        <w:t>小时</w:t>
      </w:r>
      <w:r>
        <w:rPr>
          <w:rFonts w:ascii="仿宋" w:eastAsia="仿宋" w:cs="仿宋"/>
          <w:sz w:val="28"/>
          <w:szCs w:val="21"/>
        </w:rPr>
        <w:t>；</w:t>
      </w:r>
    </w:p>
    <w:p>
      <w:pPr>
        <w:pStyle w:val="62"/>
        <w:ind w:left="560" w:firstLineChars="0" w:firstLine="0"/>
        <w:rPr>
          <w:rFonts w:ascii="仿宋" w:eastAsia="仿宋" w:cs="仿宋"/>
          <w:sz w:val="28"/>
          <w:szCs w:val="21"/>
        </w:rPr>
      </w:pPr>
      <w:r>
        <w:rPr>
          <w:rFonts w:ascii="仿宋" w:eastAsia="仿宋" w:cs="仿宋"/>
          <w:sz w:val="28"/>
          <w:szCs w:val="21"/>
        </w:rPr>
        <w:t>（3）预脱盐水输送路径</w:t>
      </w:r>
      <w:r>
        <w:rPr>
          <w:rFonts w:ascii="仿宋" w:eastAsia="仿宋" w:cs="仿宋" w:hint="eastAsia"/>
          <w:sz w:val="28"/>
          <w:szCs w:val="21"/>
        </w:rPr>
        <w:t>：</w:t>
      </w:r>
      <w:r>
        <w:rPr>
          <w:rFonts w:ascii="仿宋" w:eastAsia="仿宋" w:cs="仿宋"/>
          <w:sz w:val="28"/>
          <w:szCs w:val="21"/>
        </w:rPr>
        <w:t>预脱盐窖池</w:t>
      </w:r>
      <w:r>
        <w:rPr>
          <w:rFonts w:ascii="仿宋" w:eastAsia="仿宋" w:cs="仿宋" w:hint="eastAsia"/>
          <w:sz w:val="28"/>
          <w:szCs w:val="21"/>
        </w:rPr>
        <w:t>→过滤池→中转池→MVR塔进水池；</w:t>
      </w:r>
    </w:p>
    <w:p>
      <w:pPr>
        <w:ind w:firstLineChars="500" w:firstLine="1400"/>
        <w:rPr>
          <w:rFonts w:ascii="仿宋" w:eastAsia="仿宋" w:cs="仿宋"/>
          <w:sz w:val="28"/>
          <w:szCs w:val="21"/>
        </w:rPr>
      </w:pPr>
      <w:r>
        <w:rPr>
          <w:rFonts w:ascii="仿宋" w:eastAsia="仿宋" w:cs="仿宋" w:hint="eastAsia"/>
          <w:sz w:val="28"/>
          <w:szCs w:val="21"/>
        </w:rPr>
        <w:t>如下图所示：</w:t>
      </w:r>
    </w:p>
    <w:p>
      <w:pPr>
        <w:pStyle w:val="15"/>
        <w:jc w:val="center"/>
      </w:pPr>
      <w:r>
        <w:drawing>
          <wp:inline distT="0" distB="0" distL="0" distR="0">
            <wp:extent cx="2376805" cy="2096770"/>
            <wp:effectExtent l="0" t="0" r="0" b="0"/>
            <wp:docPr id="16" name="图片 16"/>
            <wp:cNvGraphicFramePr>
              <a:graphicFrameLocks noChangeAspect="1"/>
            </wp:cNvGraphicFramePr>
            <a:graphic>
              <a:graphicData uri="http://schemas.openxmlformats.org/drawingml/2006/picture">
                <pic:pic>
                  <pic:nvPicPr>
                    <pic:cNvPr id="18" name="图片 18"/>
                    <pic:cNvPicPr/>
                  </pic:nvPicPr>
                  <pic:blipFill>
                    <a:blip r:embed="rId10"/>
                    <a:stretch>
                      <a:fillRect/>
                    </a:stretch>
                  </pic:blipFill>
                  <pic:spPr>
                    <a:xfrm rot="0">
                      <a:off x="0" y="0"/>
                      <a:ext cx="2376805" cy="2096770"/>
                    </a:xfrm>
                    <a:prstGeom prst="rect"/>
                    <a:noFill/>
                    <a:ln w="9525" cmpd="sng" cap="flat">
                      <a:noFill/>
                      <a:prstDash val="solid"/>
                      <a:miter/>
                    </a:ln>
                  </pic:spPr>
                </pic:pic>
              </a:graphicData>
            </a:graphic>
          </wp:inline>
        </w:drawing>
      </w:r>
    </w:p>
    <w:p>
      <w:pPr>
        <w:pStyle w:val="3"/>
        <w:ind w:firstLine="560"/>
        <w:outlineLvl w:val="9"/>
      </w:pPr>
      <w:r>
        <w:rPr>
          <w:rFonts w:hint="eastAsia"/>
        </w:rPr>
        <w:t>脱盐水输送路径</w:t>
      </w:r>
    </w:p>
    <w:p>
      <w:pPr>
        <w:pStyle w:val="62"/>
        <w:numPr>
          <w:ilvl w:val="0"/>
          <w:numId w:val="4"/>
        </w:numPr>
        <w:ind w:firstLineChars="0"/>
        <w:rPr>
          <w:rFonts w:ascii="仿宋" w:eastAsia="仿宋" w:cs="仿宋"/>
          <w:sz w:val="28"/>
          <w:szCs w:val="21"/>
        </w:rPr>
      </w:pPr>
      <w:r>
        <w:rPr>
          <w:rFonts w:ascii="仿宋" w:eastAsia="仿宋" w:cs="仿宋" w:hint="eastAsia"/>
          <w:sz w:val="28"/>
          <w:szCs w:val="21"/>
        </w:rPr>
        <w:t>脱盐水产生车间：7#、8#</w:t>
      </w:r>
    </w:p>
    <w:p>
      <w:pPr>
        <w:pStyle w:val="62"/>
        <w:numPr>
          <w:ilvl w:val="0"/>
          <w:numId w:val="4"/>
        </w:numPr>
        <w:ind w:firstLineChars="0"/>
        <w:rPr>
          <w:rFonts w:ascii="仿宋" w:eastAsia="仿宋" w:cs="仿宋"/>
          <w:sz w:val="28"/>
          <w:szCs w:val="21"/>
        </w:rPr>
      </w:pPr>
      <w:r>
        <w:rPr>
          <w:rFonts w:ascii="仿宋" w:eastAsia="仿宋" w:cs="仿宋" w:hint="eastAsia"/>
          <w:sz w:val="28"/>
          <w:szCs w:val="21"/>
        </w:rPr>
        <w:t>脱盐水的过滤处理：过滤池→中转池→MVR塔存储池</w:t>
      </w:r>
    </w:p>
    <w:p>
      <w:pPr>
        <w:pStyle w:val="45"/>
        <w:ind w:firstLineChars="0" w:firstLine="0"/>
        <w:jc w:val="center"/>
        <w:rPr>
          <w:rFonts w:eastAsia="仿宋"/>
          <w:szCs w:val="24"/>
        </w:rPr>
      </w:pPr>
      <w:r>
        <w:rPr>
          <w:rFonts w:eastAsia="仿宋"/>
        </w:rPr>
        <w:drawing>
          <wp:inline distT="0" distB="0" distL="0" distR="0">
            <wp:extent cx="2376805" cy="2096770"/>
            <wp:effectExtent l="0" t="0" r="0" b="0"/>
            <wp:docPr id="19" name="图片 19"/>
            <wp:cNvGraphicFramePr>
              <a:graphicFrameLocks noChangeAspect="1"/>
            </wp:cNvGraphicFramePr>
            <a:graphic>
              <a:graphicData uri="http://schemas.openxmlformats.org/drawingml/2006/picture">
                <pic:pic>
                  <pic:nvPicPr>
                    <pic:cNvPr id="21" name="图片 21"/>
                    <pic:cNvPicPr/>
                  </pic:nvPicPr>
                  <pic:blipFill>
                    <a:blip r:embed="rId11"/>
                    <a:stretch>
                      <a:fillRect/>
                    </a:stretch>
                  </pic:blipFill>
                  <pic:spPr>
                    <a:xfrm rot="0">
                      <a:off x="0" y="0"/>
                      <a:ext cx="2376805" cy="2096770"/>
                    </a:xfrm>
                    <a:prstGeom prst="rect"/>
                    <a:noFill/>
                    <a:ln w="9525" cmpd="sng" cap="flat">
                      <a:noFill/>
                      <a:prstDash val="solid"/>
                      <a:miter/>
                    </a:ln>
                  </pic:spPr>
                </pic:pic>
              </a:graphicData>
            </a:graphic>
          </wp:inline>
        </w:drawing>
      </w:r>
    </w:p>
    <w:p>
      <w:pPr>
        <w:jc w:val="center"/>
        <w:rPr>
          <w:rFonts w:ascii="黑体" w:eastAsia="仿宋" w:hAnsi="黑体"/>
          <w:szCs w:val="21"/>
        </w:rPr>
      </w:pPr>
      <w:r>
        <w:rPr>
          <w:rFonts w:ascii="黑体" w:eastAsia="仿宋" w:hAnsi="黑体" w:hint="eastAsia"/>
          <w:szCs w:val="21"/>
        </w:rPr>
        <w:t>图</w:t>
      </w:r>
      <w:r>
        <w:rPr>
          <w:rFonts w:ascii="仿宋" w:eastAsia="仿宋" w:cs="仿宋" w:hint="eastAsia"/>
          <w:szCs w:val="21"/>
        </w:rPr>
        <w:t>4脱盐水的输送路径</w:t>
      </w:r>
    </w:p>
    <w:p>
      <w:pPr>
        <w:pStyle w:val="3"/>
        <w:ind w:firstLine="560"/>
        <w:outlineLvl w:val="9"/>
      </w:pPr>
      <w:r>
        <w:rPr>
          <w:rFonts w:hint="eastAsia"/>
        </w:rPr>
        <w:t>泡菜发酵剂输送路径：</w:t>
      </w:r>
    </w:p>
    <w:p>
      <w:pPr>
        <w:pStyle w:val="62"/>
        <w:numPr>
          <w:ilvl w:val="0"/>
          <w:numId w:val="5"/>
        </w:numPr>
        <w:ind w:firstLineChars="0"/>
        <w:rPr>
          <w:rFonts w:ascii="仿宋" w:eastAsia="仿宋" w:cs="仿宋"/>
          <w:sz w:val="28"/>
          <w:szCs w:val="21"/>
        </w:rPr>
      </w:pPr>
      <w:r>
        <w:rPr>
          <w:rFonts w:ascii="仿宋" w:eastAsia="仿宋" w:cs="仿宋" w:hint="eastAsia"/>
          <w:sz w:val="28"/>
          <w:szCs w:val="21"/>
        </w:rPr>
        <w:t>泡菜发酵剂储存车间：1#、3#、4#、5#、6#、7#、8#车间</w:t>
      </w:r>
    </w:p>
    <w:p>
      <w:pPr>
        <w:pStyle w:val="62"/>
        <w:numPr>
          <w:ilvl w:val="0"/>
          <w:numId w:val="5"/>
        </w:numPr>
        <w:ind w:firstLineChars="0"/>
        <w:rPr>
          <w:rFonts w:ascii="仿宋" w:eastAsia="仿宋" w:cs="仿宋"/>
          <w:sz w:val="28"/>
          <w:szCs w:val="21"/>
        </w:rPr>
      </w:pPr>
      <w:r>
        <w:rPr>
          <w:rFonts w:ascii="仿宋" w:eastAsia="仿宋" w:cs="仿宋" w:hint="eastAsia"/>
          <w:sz w:val="28"/>
          <w:szCs w:val="21"/>
        </w:rPr>
        <w:t>泡菜发酵剂的存储：M</w:t>
      </w:r>
      <w:r>
        <w:rPr>
          <w:rFonts w:ascii="仿宋" w:eastAsia="仿宋" w:cs="仿宋"/>
          <w:sz w:val="28"/>
          <w:szCs w:val="21"/>
        </w:rPr>
        <w:t>VR</w:t>
      </w:r>
      <w:r>
        <w:rPr>
          <w:rFonts w:ascii="仿宋" w:eastAsia="仿宋" w:cs="仿宋" w:hint="eastAsia"/>
          <w:sz w:val="28"/>
          <w:szCs w:val="21"/>
        </w:rPr>
        <w:t>塔出水池→中转池→泡菜发酵剂暂存池</w:t>
      </w:r>
    </w:p>
    <w:p>
      <w:pPr>
        <w:pStyle w:val="62"/>
        <w:numPr>
          <w:ilvl w:val="0"/>
          <w:numId w:val="5"/>
        </w:numPr>
        <w:ind w:firstLineChars="0"/>
        <w:rPr>
          <w:rFonts w:ascii="仿宋" w:eastAsia="仿宋" w:cs="仿宋"/>
          <w:sz w:val="28"/>
          <w:szCs w:val="21"/>
        </w:rPr>
      </w:pPr>
      <w:r>
        <w:rPr>
          <w:rFonts w:ascii="仿宋" w:eastAsia="仿宋" w:cs="仿宋" w:hint="eastAsia"/>
          <w:sz w:val="28"/>
          <w:szCs w:val="21"/>
        </w:rPr>
        <w:t>青菜头腌制：泡菜发酵剂暂存池→中转池→一腌窖池（1、3、4、5、7、8#车间）</w:t>
      </w:r>
    </w:p>
    <w:p>
      <w:pPr>
        <w:pStyle w:val="62"/>
        <w:numPr>
          <w:ilvl w:val="0"/>
          <w:numId w:val="5"/>
        </w:numPr>
        <w:ind w:firstLineChars="0"/>
        <w:rPr>
          <w:rFonts w:ascii="仿宋" w:eastAsia="仿宋" w:cs="仿宋"/>
          <w:sz w:val="28"/>
          <w:szCs w:val="21"/>
        </w:rPr>
      </w:pPr>
      <w:r>
        <w:rPr>
          <w:rFonts w:ascii="仿宋" w:eastAsia="仿宋" w:cs="仿宋" w:hint="eastAsia"/>
          <w:sz w:val="28"/>
          <w:szCs w:val="21"/>
        </w:rPr>
        <w:t>甜豆瓣发酵腌制：泡菜发酵剂暂存池→中转池→泡菜发酵剂暂存池（6#车间）。</w:t>
      </w:r>
    </w:p>
    <w:p>
      <w:pPr>
        <w:pStyle w:val="62"/>
        <w:ind w:firstLineChars="0" w:firstLine="0"/>
        <w:jc w:val="center"/>
        <w:rPr>
          <w:rFonts w:ascii="黑体" w:eastAsia="仿宋" w:hAnsi="黑体"/>
          <w:szCs w:val="21"/>
        </w:rPr>
      </w:pPr>
      <w:r>
        <w:drawing>
          <wp:inline distT="0" distB="0" distL="0" distR="0">
            <wp:extent cx="4105910" cy="2813050"/>
            <wp:effectExtent l="0" t="0" r="0" b="0"/>
            <wp:docPr id="22" name="图片 22"/>
            <wp:cNvGraphicFramePr>
              <a:graphicFrameLocks noChangeAspect="1"/>
            </wp:cNvGraphicFramePr>
            <a:graphic>
              <a:graphicData uri="http://schemas.openxmlformats.org/drawingml/2006/picture">
                <pic:pic>
                  <pic:nvPicPr>
                    <pic:cNvPr id="24" name="图片 24"/>
                    <pic:cNvPicPr/>
                  </pic:nvPicPr>
                  <pic:blipFill>
                    <a:blip r:embed="rId12"/>
                    <a:stretch>
                      <a:fillRect/>
                    </a:stretch>
                  </pic:blipFill>
                  <pic:spPr>
                    <a:xfrm rot="0">
                      <a:off x="0" y="0"/>
                      <a:ext cx="4105910" cy="2813050"/>
                    </a:xfrm>
                    <a:prstGeom prst="rect"/>
                    <a:noFill/>
                    <a:ln w="9525" cmpd="sng" cap="flat">
                      <a:noFill/>
                      <a:prstDash val="solid"/>
                      <a:miter/>
                    </a:ln>
                  </pic:spPr>
                </pic:pic>
              </a:graphicData>
            </a:graphic>
          </wp:inline>
        </w:drawing>
      </w:r>
    </w:p>
    <w:p>
      <w:pPr>
        <w:ind w:firstLineChars="200" w:firstLine="420"/>
        <w:jc w:val="center"/>
        <w:rPr>
          <w:rFonts w:ascii="仿宋" w:eastAsia="仿宋" w:cs="仿宋"/>
          <w:szCs w:val="21"/>
        </w:rPr>
      </w:pPr>
      <w:r>
        <w:rPr>
          <w:rFonts w:ascii="仿宋" w:eastAsia="仿宋" w:cs="仿宋" w:hint="eastAsia"/>
          <w:szCs w:val="21"/>
        </w:rPr>
        <w:t>图5泡菜发酵剂输送路径</w:t>
      </w:r>
    </w:p>
    <w:p>
      <w:pPr>
        <w:pStyle w:val="62"/>
        <w:ind w:left="765" w:firstLineChars="0" w:firstLine="0"/>
        <w:rPr>
          <w:rFonts w:ascii="黑体" w:eastAsia="仿宋" w:hAnsi="黑体"/>
          <w:szCs w:val="21"/>
        </w:rPr>
      </w:pPr>
    </w:p>
    <w:p>
      <w:pPr>
        <w:pStyle w:val="3"/>
        <w:ind w:firstLine="560"/>
        <w:outlineLvl w:val="9"/>
      </w:pPr>
      <w:r>
        <w:rPr>
          <w:rFonts w:hint="eastAsia"/>
        </w:rPr>
        <w:t>窖池清洗水的输送路径</w:t>
      </w:r>
    </w:p>
    <w:p>
      <w:pPr>
        <w:ind w:firstLine="420"/>
        <w:rPr>
          <w:rFonts w:ascii="仿宋" w:eastAsia="仿宋" w:cs="仿宋"/>
          <w:sz w:val="28"/>
          <w:szCs w:val="21"/>
        </w:rPr>
      </w:pPr>
      <w:r>
        <w:rPr>
          <w:rFonts w:ascii="仿宋" w:eastAsia="仿宋" w:cs="仿宋"/>
          <w:sz w:val="28"/>
          <w:szCs w:val="21"/>
        </w:rPr>
        <w:t>(1)</w:t>
      </w:r>
      <w:r>
        <w:rPr>
          <w:rFonts w:ascii="仿宋" w:eastAsia="仿宋" w:cs="仿宋" w:hint="eastAsia"/>
          <w:sz w:val="28"/>
          <w:szCs w:val="21"/>
        </w:rPr>
        <w:t xml:space="preserve"> 窖池清洗水产生车间：1#、3#、4#、5#、7#、8#</w:t>
      </w:r>
    </w:p>
    <w:p>
      <w:pPr>
        <w:ind w:firstLine="420"/>
        <w:rPr>
          <w:rFonts w:ascii="仿宋" w:eastAsia="仿宋" w:cs="仿宋"/>
          <w:sz w:val="28"/>
          <w:szCs w:val="21"/>
        </w:rPr>
      </w:pPr>
      <w:r>
        <w:rPr>
          <w:rFonts w:ascii="仿宋" w:eastAsia="仿宋" w:cs="仿宋" w:hint="eastAsia"/>
          <w:sz w:val="28"/>
          <w:szCs w:val="21"/>
        </w:rPr>
        <w:t>(</w:t>
      </w:r>
      <w:r>
        <w:rPr>
          <w:rFonts w:ascii="仿宋" w:eastAsia="仿宋" w:cs="仿宋"/>
          <w:sz w:val="28"/>
          <w:szCs w:val="21"/>
        </w:rPr>
        <w:t>2</w:t>
      </w:r>
      <w:r>
        <w:rPr>
          <w:rFonts w:ascii="仿宋" w:eastAsia="仿宋" w:cs="仿宋" w:hint="eastAsia"/>
          <w:sz w:val="28"/>
          <w:szCs w:val="21"/>
        </w:rPr>
        <w:t>)</w:t>
      </w:r>
      <w:r>
        <w:rPr>
          <w:rFonts w:ascii="仿宋" w:eastAsia="仿宋" w:cs="仿宋"/>
          <w:sz w:val="28"/>
          <w:szCs w:val="21"/>
        </w:rPr>
        <w:t xml:space="preserve"> </w:t>
      </w:r>
      <w:r>
        <w:rPr>
          <w:rFonts w:ascii="仿宋" w:eastAsia="仿宋" w:cs="仿宋" w:hint="eastAsia"/>
          <w:sz w:val="28"/>
          <w:szCs w:val="21"/>
        </w:rPr>
        <w:t>窖池清洗水的排放：腌制窖池→高盐污水暂存池</w:t>
      </w:r>
    </w:p>
    <w:p>
      <w:pPr>
        <w:jc w:val="center"/>
      </w:pPr>
      <w:r>
        <w:drawing>
          <wp:inline distT="0" distB="0" distL="114300" distR="114300">
            <wp:extent cx="3862070" cy="2242185"/>
            <wp:effectExtent l="0" t="0" r="0" b="0"/>
            <wp:docPr id="25" name="图片 25"/>
            <wp:cNvGraphicFramePr>
              <a:graphicFrameLocks noChangeAspect="1"/>
            </wp:cNvGraphicFramePr>
            <a:graphic>
              <a:graphicData uri="http://schemas.openxmlformats.org/drawingml/2006/picture">
                <pic:pic>
                  <pic:nvPicPr>
                    <pic:cNvPr id="27" name="图片 27"/>
                    <pic:cNvPicPr/>
                  </pic:nvPicPr>
                  <pic:blipFill>
                    <a:blip r:embed="rId13"/>
                    <a:stretch>
                      <a:fillRect/>
                    </a:stretch>
                  </pic:blipFill>
                  <pic:spPr>
                    <a:xfrm rot="0">
                      <a:off x="0" y="0"/>
                      <a:ext cx="3862070" cy="2242185"/>
                    </a:xfrm>
                    <a:prstGeom prst="rect"/>
                    <a:noFill/>
                    <a:ln w="9525" cmpd="sng" cap="flat">
                      <a:noFill/>
                      <a:prstDash val="solid"/>
                      <a:round/>
                    </a:ln>
                  </pic:spPr>
                </pic:pic>
              </a:graphicData>
            </a:graphic>
          </wp:inline>
        </w:drawing>
      </w:r>
    </w:p>
    <w:p>
      <w:pPr>
        <w:ind w:firstLineChars="200" w:firstLine="420"/>
        <w:jc w:val="center"/>
        <w:rPr>
          <w:rFonts w:ascii="仿宋" w:eastAsia="仿宋" w:cs="仿宋"/>
          <w:szCs w:val="21"/>
        </w:rPr>
      </w:pPr>
      <w:r>
        <w:rPr>
          <w:rFonts w:ascii="仿宋" w:eastAsia="仿宋" w:cs="仿宋" w:hint="eastAsia"/>
          <w:szCs w:val="21"/>
        </w:rPr>
        <w:t>图6 窖池清洗水的输送路径</w:t>
      </w:r>
    </w:p>
    <w:p>
      <w:pPr>
        <w:jc w:val="center"/>
      </w:pPr>
    </w:p>
    <w:p>
      <w:pPr>
        <w:pStyle w:val="3"/>
        <w:ind w:firstLine="560"/>
        <w:outlineLvl w:val="9"/>
      </w:pPr>
      <w:r>
        <w:rPr>
          <w:rFonts w:hint="eastAsia"/>
        </w:rPr>
        <w:t>外购半成品沥水输送路径</w:t>
      </w:r>
    </w:p>
    <w:p>
      <w:pPr>
        <w:numPr>
          <w:ilvl w:val="0"/>
          <w:numId w:val="6"/>
        </w:numPr>
        <w:rPr>
          <w:rFonts w:ascii="仿宋" w:eastAsia="仿宋" w:cs="仿宋"/>
          <w:sz w:val="28"/>
          <w:szCs w:val="28"/>
        </w:rPr>
      </w:pPr>
      <w:r>
        <w:rPr>
          <w:rFonts w:ascii="仿宋" w:eastAsia="仿宋" w:cs="仿宋" w:hint="eastAsia"/>
          <w:sz w:val="28"/>
          <w:szCs w:val="28"/>
        </w:rPr>
        <w:t>外购半成品沥水产生车间：8#</w:t>
      </w:r>
    </w:p>
    <w:p>
      <w:pPr>
        <w:numPr>
          <w:ilvl w:val="0"/>
          <w:numId w:val="6"/>
        </w:numPr>
        <w:rPr>
          <w:rFonts w:ascii="仿宋" w:eastAsia="仿宋" w:cs="仿宋"/>
          <w:sz w:val="28"/>
          <w:szCs w:val="28"/>
        </w:rPr>
      </w:pPr>
      <w:r>
        <w:rPr>
          <w:rFonts w:ascii="仿宋" w:eastAsia="仿宋" w:cs="仿宋" w:hint="eastAsia"/>
          <w:sz w:val="28"/>
          <w:szCs w:val="28"/>
        </w:rPr>
        <w:t>外购半成品的收集处理：卸料缓存料斗→过滤池→中转池→MVR塔</w:t>
      </w:r>
    </w:p>
    <w:p>
      <w:pPr>
        <w:jc w:val="center"/>
      </w:pPr>
      <w:r>
        <w:drawing>
          <wp:inline distT="0" distB="0" distL="114300" distR="114300">
            <wp:extent cx="2092960" cy="2626995"/>
            <wp:effectExtent l="0" t="0" r="0" b="0"/>
            <wp:docPr id="28" name="图片 28"/>
            <wp:cNvGraphicFramePr>
              <a:graphicFrameLocks noChangeAspect="1"/>
            </wp:cNvGraphicFramePr>
            <a:graphic>
              <a:graphicData uri="http://schemas.openxmlformats.org/drawingml/2006/picture">
                <pic:pic>
                  <pic:nvPicPr>
                    <pic:cNvPr id="30" name="图片 30"/>
                    <pic:cNvPicPr/>
                  </pic:nvPicPr>
                  <pic:blipFill>
                    <a:blip r:embed="rId14"/>
                    <a:stretch>
                      <a:fillRect/>
                    </a:stretch>
                  </pic:blipFill>
                  <pic:spPr>
                    <a:xfrm rot="0">
                      <a:off x="0" y="0"/>
                      <a:ext cx="2092960" cy="2626995"/>
                    </a:xfrm>
                    <a:prstGeom prst="rect"/>
                    <a:noFill/>
                    <a:ln w="9525" cmpd="sng" cap="flat">
                      <a:noFill/>
                      <a:prstDash val="solid"/>
                      <a:round/>
                    </a:ln>
                  </pic:spPr>
                </pic:pic>
              </a:graphicData>
            </a:graphic>
          </wp:inline>
        </w:drawing>
      </w:r>
    </w:p>
    <w:p>
      <w:pPr>
        <w:jc w:val="center"/>
        <w:rPr>
          <w:rFonts w:ascii="仿宋" w:eastAsia="仿宋" w:cs="仿宋"/>
          <w:sz w:val="28"/>
          <w:szCs w:val="21"/>
        </w:rPr>
      </w:pPr>
      <w:r>
        <w:rPr>
          <w:rFonts w:hint="eastAsia"/>
        </w:rPr>
        <w:t>图7 外购半成品沥水的输送路径</w:t>
      </w:r>
    </w:p>
    <w:p>
      <w:pPr>
        <w:pStyle w:val="15"/>
      </w:pPr>
    </w:p>
    <w:p>
      <w:pPr>
        <w:ind w:firstLineChars="200" w:firstLine="560"/>
        <w:rPr>
          <w:rFonts w:ascii="仿宋" w:eastAsia="仿宋" w:cs="仿宋"/>
          <w:sz w:val="28"/>
          <w:szCs w:val="21"/>
        </w:rPr>
      </w:pPr>
      <w:r>
        <w:rPr>
          <w:rFonts w:ascii="仿宋" w:eastAsia="仿宋" w:cs="仿宋" w:hint="eastAsia"/>
          <w:sz w:val="28"/>
          <w:szCs w:val="21"/>
        </w:rPr>
        <w:t>注：中转池、过滤池为车间功能窖池；高盐污水暂存池位于园区污水处理站右上方，用于储存不能及时处理的高盐污水；其余暂存池均为腌制窖池，由投标方规划指定使用。</w:t>
      </w:r>
    </w:p>
    <w:p>
      <w:pPr>
        <w:pStyle w:val="15"/>
      </w:pPr>
    </w:p>
    <w:p>
      <w:pPr>
        <w:pStyle w:val="2"/>
        <w:ind w:left="567" w:firstLine="562"/>
        <w:outlineLvl w:val="9"/>
      </w:pPr>
      <w:bookmarkStart w:id="23" w:name="_Toc78495778"/>
      <w:r>
        <w:rPr>
          <w:rFonts w:hint="eastAsia"/>
        </w:rPr>
        <w:t>盐水工艺流程图</w:t>
      </w:r>
    </w:p>
    <w:p>
      <w:pPr>
        <w:jc w:val="left"/>
        <w:rPr>
          <w:rFonts w:ascii="仿宋" w:eastAsia="仿宋" w:cs="仿宋"/>
          <w:sz w:val="28"/>
        </w:rPr>
        <w:sectPr>
          <w:footerReference w:type="default" r:id="rId2"/>
          <w:footerReference w:type="even" r:id="rId3"/>
          <w:footerReference w:type="first" r:id="rId4"/>
          <w:pgSz w:w="11907" w:h="16840"/>
          <w:pgMar w:top="1418" w:right="1134" w:bottom="1361" w:left="1418" w:header="851" w:footer="1021" w:gutter="0"/>
          <w:titlePg/>
          <w:docGrid w:type="lines" w:linePitch="312" w:charSpace="0"/>
        </w:sectPr>
      </w:pPr>
      <w:r>
        <w:rPr>
          <w:rFonts w:ascii="宋体"/>
          <w:b/>
          <w:sz w:val="28"/>
          <w:szCs w:val="28"/>
        </w:rPr>
        <mc:AlternateContent>
          <mc:Choice Requires="wps">
            <w:drawing>
              <wp:anchor distT="0" distB="0" distL="114298" distR="114298" simplePos="0" relativeHeight="34" behindDoc="0" locked="0" layoutInCell="1" hidden="0" allowOverlap="1">
                <wp:simplePos x="0" y="0"/>
                <wp:positionH relativeFrom="column">
                  <wp:posOffset>2427605</wp:posOffset>
                </wp:positionH>
                <wp:positionV relativeFrom="paragraph">
                  <wp:posOffset>1413510</wp:posOffset>
                </wp:positionV>
                <wp:extent cx="3559810" cy="6949440"/>
                <wp:effectExtent l="0" t="0" r="0" b="0"/>
                <wp:wrapNone/>
                <wp:docPr id="31" name="圆角矩形 31"/>
                <wp:cNvGraphicFramePr>
                  <a:graphicFrameLocks noChangeAspect="0"/>
                </wp:cNvGraphicFramePr>
                <a:graphic>
                  <a:graphicData uri="http://schemas.microsoft.com/office/word/2010/wordprocessingShape">
                    <wps:wsp>
                      <wps:cNvSpPr/>
                      <wps:spPr>
                        <a:xfrm rot="0">
                          <a:off x="0" y="0"/>
                          <a:ext cx="3559810" cy="6949440"/>
                        </a:xfrm>
                        <a:prstGeom prst="roundRect">
                          <a:avLst>
                            <a:gd name="adj" fmla="val 16666"/>
                          </a:avLst>
                        </a:prstGeom>
                        <a:noFill/>
                        <a:ln w="25400" cmpd="sng" cap="flat">
                          <a:solidFill>
                            <a:srgbClr val="FF0000"/>
                          </a:solidFill>
                          <a:prstDash val="sysDash"/>
                          <a:round/>
                        </a:ln>
                      </wps:spPr>
                      <wps:bodyPr vert="horz" wrap="square" lIns="91440" tIns="45720" rIns="91440" bIns="45720" anchor="t" anchorCtr="0" upright="1">
                        <a:noAutofit/>
                      </wps:bodyPr>
                    </wps:wsp>
                  </a:graphicData>
                </a:graphic>
              </wp:anchor>
            </w:drawing>
          </mc:Choice>
          <mc:Fallback>
            <w:pict>
              <v:shape type="#_x0000_t2" id="圆角矩形 32" o:spid="_x0000_s32" filled="f" stroked="t" strokeweight="2.0pt" adj="3600" style="position:absolute;margin-left:191.15pt;margin-top:111.3pt;width:280.3pt;height:547.2pt;z-index:34;mso-position-horizontal:absolute;mso-position-vertical:absolute;mso-wrap-distance-left:8.999863pt;mso-wrap-distance-right:8.999863pt;">
                <v:stroke dashstyle="1 1" color="#FF0000"/>
              </v:shape>
            </w:pict>
          </mc:Fallback>
        </mc:AlternateContent>
      </w:r>
      <w:r>
        <w:rPr>
          <w:rFonts w:ascii="宋体"/>
          <w:b/>
          <w:sz w:val="28"/>
          <w:szCs w:val="28"/>
        </w:rPr>
        <mc:AlternateContent>
          <mc:Choice Requires="wps">
            <w:drawing>
              <wp:anchor distT="0" distB="0" distL="114298" distR="114298" simplePos="0" relativeHeight="35" behindDoc="0" locked="0" layoutInCell="1" hidden="0" allowOverlap="1">
                <wp:simplePos x="0" y="0"/>
                <wp:positionH relativeFrom="column">
                  <wp:posOffset>-149860</wp:posOffset>
                </wp:positionH>
                <wp:positionV relativeFrom="paragraph">
                  <wp:posOffset>1548130</wp:posOffset>
                </wp:positionV>
                <wp:extent cx="1377950" cy="6229985"/>
                <wp:effectExtent l="0" t="0" r="0" b="0"/>
                <wp:wrapNone/>
                <wp:docPr id="33" name="圆角矩形 33"/>
                <wp:cNvGraphicFramePr>
                  <a:graphicFrameLocks noChangeAspect="0"/>
                </wp:cNvGraphicFramePr>
                <a:graphic>
                  <a:graphicData uri="http://schemas.microsoft.com/office/word/2010/wordprocessingShape">
                    <wps:wsp>
                      <wps:cNvSpPr/>
                      <wps:spPr>
                        <a:xfrm rot="0">
                          <a:off x="0" y="0"/>
                          <a:ext cx="1377950" cy="6229985"/>
                        </a:xfrm>
                        <a:prstGeom prst="roundRect">
                          <a:avLst>
                            <a:gd name="adj" fmla="val 16666"/>
                          </a:avLst>
                        </a:prstGeom>
                        <a:noFill/>
                        <a:ln w="25400" cmpd="sng" cap="flat">
                          <a:solidFill>
                            <a:srgbClr val="FF0000"/>
                          </a:solidFill>
                          <a:prstDash val="sysDash"/>
                          <a:round/>
                        </a:ln>
                      </wps:spPr>
                      <wps:bodyPr vert="horz" wrap="square" lIns="91440" tIns="45720" rIns="91440" bIns="45720" anchor="t" anchorCtr="0" upright="1">
                        <a:noAutofit/>
                      </wps:bodyPr>
                    </wps:wsp>
                  </a:graphicData>
                </a:graphic>
              </wp:anchor>
            </w:drawing>
          </mc:Choice>
          <mc:Fallback>
            <w:pict>
              <v:shape type="#_x0000_t2" id="圆角矩形 34" o:spid="_x0000_s34" filled="f" stroked="t" strokeweight="2.0pt" adj="3600" style="position:absolute;margin-left:-11.8pt;margin-top:121.9pt;width:108.5pt;height:490.55pt;z-index:35;mso-position-horizontal:absolute;mso-position-vertical:absolute;mso-wrap-distance-left:8.999863pt;mso-wrap-distance-right:8.999863pt;">
                <v:stroke dashstyle="1 1" color="#FF0000"/>
              </v:shape>
            </w:pict>
          </mc:Fallback>
        </mc:AlternateContent>
      </w:r>
      <w:r>
        <w:rPr>
          <w:rFonts w:ascii="宋体"/>
          <w:b/>
          <w:sz w:val="28"/>
          <w:szCs w:val="28"/>
        </w:rPr>
        <mc:AlternateContent>
          <mc:Choice Requires="wps">
            <w:drawing>
              <wp:anchor distT="0" distB="0" distL="114298" distR="114298" simplePos="0" relativeHeight="36" behindDoc="0" locked="0" layoutInCell="1" hidden="0" allowOverlap="1">
                <wp:simplePos x="0" y="0"/>
                <wp:positionH relativeFrom="column">
                  <wp:posOffset>3309620</wp:posOffset>
                </wp:positionH>
                <wp:positionV relativeFrom="paragraph">
                  <wp:posOffset>347980</wp:posOffset>
                </wp:positionV>
                <wp:extent cx="2259329" cy="645160"/>
                <wp:effectExtent l="0" t="0" r="0" b="0"/>
                <wp:wrapNone/>
                <wp:docPr id="35" name="矩形 35"/>
                <wp:cNvGraphicFramePr>
                  <a:graphicFrameLocks noChangeAspect="0"/>
                </wp:cNvGraphicFramePr>
                <a:graphic>
                  <a:graphicData uri="http://schemas.microsoft.com/office/word/2010/wordprocessingShape">
                    <wps:wsp>
                      <wps:cNvSpPr/>
                      <wps:spPr>
                        <a:xfrm rot="0">
                          <a:off x="0" y="0"/>
                          <a:ext cx="2259329" cy="645160"/>
                        </a:xfrm>
                        <a:prstGeom prst="rect"/>
                        <a:noFill/>
                        <a:ln w="25400" cmpd="sng" cap="flat">
                          <a:solidFill>
                            <a:srgbClr val="243F60"/>
                          </a:solidFill>
                          <a:prstDash val="solid"/>
                          <a:miter/>
                        </a:ln>
                      </wps:spPr>
                      <wps:txbx id="36">
                        <w:txbxContent>
                          <w:p>
                            <w:pPr>
                              <w:jc w:val="center"/>
                              <w:rPr>
                                <w:color w:val="FF0000"/>
                              </w:rPr>
                            </w:pPr>
                            <w:r>
                              <w:rPr>
                                <w:rFonts w:hint="eastAsia"/>
                                <w:color w:val="FF0000"/>
                              </w:rPr>
                              <w:t>注</w:t>
                            </w:r>
                            <w:r>
                              <w:rPr>
                                <w:color w:val="FF0000"/>
                              </w:rPr>
                              <w:t>：本次招标范围为红色</w:t>
                            </w:r>
                            <w:r>
                              <w:rPr>
                                <w:rFonts w:hint="eastAsia"/>
                                <w:color w:val="FF0000"/>
                              </w:rPr>
                              <w:t>虚框</w:t>
                            </w:r>
                            <w:r>
                              <w:rPr>
                                <w:color w:val="FF0000"/>
                              </w:rPr>
                              <w:t>部分</w:t>
                            </w:r>
                          </w:p>
                        </w:txbxContent>
                      </wps:txbx>
                      <wps:bodyPr vert="horz" wrap="square" lIns="91440" tIns="45720" rIns="91440" bIns="45720" anchor="ctr" anchorCtr="0" upright="0">
                        <a:noAutofit/>
                      </wps:bodyPr>
                    </wps:wsp>
                  </a:graphicData>
                </a:graphic>
              </wp:anchor>
            </w:drawing>
          </mc:Choice>
          <mc:Fallback>
            <w:pict>
              <v:rect type="#_x0000_t1" id="矩形 37" o:spid="_x0000_s37" filled="f" stroked="t" strokeweight="2.0pt" style="position:absolute;margin-left:260.6pt;margin-top:27.4pt;width:177.89998pt;height:50.800003pt;z-index:36;mso-position-horizontal:absolute;mso-position-vertical:absolute;mso-wrap-distance-left:8.999863pt;mso-wrap-distance-right:8.999863pt;mso-wrap-style:square;">
                <v:stroke color="#243F60"/>
                <v:textbox id="859" inset="2.54mm,1.27mm,2.54mm,1.27mm" o:insetmode="custom" style="layout-flow:horizontal;v-text-anchor:middle;">
                  <w:txbxContent>
                    <w:p>
                      <w:pPr>
                        <w:jc w:val="center"/>
                        <w:rPr>
                          <w:color w:val="FF0000"/>
                        </w:rPr>
                      </w:pPr>
                      <w:r>
                        <w:rPr>
                          <w:rFonts w:hint="eastAsia"/>
                          <w:color w:val="FF0000"/>
                        </w:rPr>
                        <w:t>注</w:t>
                      </w:r>
                      <w:r>
                        <w:rPr>
                          <w:color w:val="FF0000"/>
                        </w:rPr>
                        <w:t>：本次招标范围为红色</w:t>
                      </w:r>
                      <w:r>
                        <w:rPr>
                          <w:rFonts w:hint="eastAsia"/>
                          <w:color w:val="FF0000"/>
                        </w:rPr>
                        <w:t>虚框</w:t>
                      </w:r>
                      <w:r>
                        <w:rPr>
                          <w:color w:val="FF0000"/>
                        </w:rPr>
                        <w:t>部分</w:t>
                      </w:r>
                    </w:p>
                  </w:txbxContent>
                </v:textbox>
              </v:rect>
            </w:pict>
          </mc:Fallback>
        </mc:AlternateContent>
      </w:r>
      <w:r>
        <w:rPr>
          <w:rFonts w:ascii="仿宋" w:eastAsia="仿宋" w:cs="仿宋"/>
          <w:sz w:val="28"/>
        </w:rPr>
        <w:drawing>
          <wp:inline distT="0" distB="0" distL="0" distR="0">
            <wp:extent cx="5940425" cy="8086090"/>
            <wp:effectExtent l="0" t="0" r="0" b="0"/>
            <wp:docPr id="38" name="图片 38"/>
            <wp:cNvGraphicFramePr>
              <a:graphicFrameLocks noChangeAspect="1"/>
            </wp:cNvGraphicFramePr>
            <a:graphic>
              <a:graphicData uri="http://schemas.openxmlformats.org/drawingml/2006/picture">
                <pic:pic>
                  <pic:nvPicPr>
                    <pic:cNvPr id="40" name="图片 40"/>
                    <pic:cNvPicPr/>
                  </pic:nvPicPr>
                  <pic:blipFill>
                    <a:blip r:embed="rId15"/>
                    <a:stretch>
                      <a:fillRect/>
                    </a:stretch>
                  </pic:blipFill>
                  <pic:spPr>
                    <a:xfrm rot="0">
                      <a:off x="0" y="0"/>
                      <a:ext cx="5940425" cy="8086090"/>
                    </a:xfrm>
                    <a:prstGeom prst="rect"/>
                    <a:noFill/>
                    <a:ln w="9525" cmpd="sng" cap="flat">
                      <a:noFill/>
                      <a:prstDash val="solid"/>
                      <a:miter/>
                    </a:ln>
                  </pic:spPr>
                </pic:pic>
              </a:graphicData>
            </a:graphic>
          </wp:inline>
        </w:drawing>
      </w:r>
    </w:p>
    <w:p>
      <w:pPr>
        <w:pStyle w:val="1"/>
        <w:outlineLvl w:val="9"/>
      </w:pPr>
      <w:bookmarkStart w:id="24" w:name="_Toc13084575"/>
      <w:bookmarkStart w:id="25" w:name="_Toc31533"/>
      <w:bookmarkStart w:id="26" w:name="_Toc77270335"/>
      <w:bookmarkStart w:id="27" w:name="_Toc77250314"/>
      <w:bookmarkStart w:id="28" w:name="_Toc77252071"/>
      <w:bookmarkEnd w:id="23"/>
      <w:r>
        <w:rPr>
          <w:rFonts w:hint="eastAsia"/>
        </w:rPr>
        <w:t>环境</w:t>
      </w:r>
      <w:bookmarkEnd w:id="24"/>
      <w:r>
        <w:rPr>
          <w:rFonts w:hint="eastAsia"/>
        </w:rPr>
        <w:t>条件</w:t>
      </w:r>
      <w:bookmarkEnd w:id="25"/>
      <w:bookmarkEnd w:id="26"/>
      <w:bookmarkEnd w:id="27"/>
      <w:bookmarkEnd w:id="28"/>
    </w:p>
    <w:p>
      <w:pPr>
        <w:jc w:val="center"/>
        <w:outlineLvl w:val="9"/>
        <w:rPr>
          <w:rFonts w:ascii="仿宋" w:eastAsia="仿宋" w:cs="仿宋"/>
          <w:sz w:val="28"/>
          <w:szCs w:val="28"/>
        </w:rPr>
      </w:pPr>
      <w:r>
        <w:rPr>
          <w:rFonts w:ascii="仿宋" w:eastAsia="仿宋" w:cs="仿宋" w:hint="eastAsia"/>
          <w:sz w:val="28"/>
          <w:szCs w:val="28"/>
        </w:rPr>
        <w:t>表4园区环境条件</w:t>
      </w:r>
    </w:p>
    <w:tbl>
      <w:tblPr>
        <w:jc w:val="center"/>
        <w:tblW w:w="8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79"/>
        <w:gridCol w:w="6921"/>
        <w:gridCol w:w="1043"/>
      </w:tblGrid>
      <w:tr>
        <w:trPr>
          <w:trHeight w:val="454"/>
          <w:tblHeader/>
        </w:trPr>
        <w:tc>
          <w:tcPr>
            <w:tcW w:w="879" w:type="dxa"/>
            <w:noWrap/>
            <w:vAlign w:val="center"/>
          </w:tcPr>
          <w:p>
            <w:pPr>
              <w:spacing w:line="0" w:lineRule="atLeast"/>
              <w:jc w:val="center"/>
              <w:rPr>
                <w:rFonts w:ascii="仿宋" w:eastAsia="仿宋" w:cs="仿宋"/>
                <w:b/>
                <w:sz w:val="28"/>
                <w:szCs w:val="28"/>
              </w:rPr>
            </w:pPr>
            <w:r>
              <w:rPr>
                <w:rFonts w:ascii="仿宋" w:eastAsia="仿宋" w:cs="仿宋" w:hint="eastAsia"/>
                <w:b/>
                <w:sz w:val="28"/>
                <w:szCs w:val="28"/>
              </w:rPr>
              <w:t>序号</w:t>
            </w:r>
          </w:p>
        </w:tc>
        <w:tc>
          <w:tcPr>
            <w:tcW w:w="6921" w:type="dxa"/>
            <w:noWrap/>
            <w:vAlign w:val="center"/>
          </w:tcPr>
          <w:p>
            <w:pPr>
              <w:spacing w:line="0" w:lineRule="atLeast"/>
              <w:jc w:val="center"/>
              <w:rPr>
                <w:rFonts w:ascii="仿宋" w:eastAsia="仿宋" w:cs="仿宋"/>
                <w:b/>
                <w:sz w:val="28"/>
                <w:szCs w:val="28"/>
              </w:rPr>
            </w:pPr>
            <w:r>
              <w:rPr>
                <w:rFonts w:ascii="仿宋" w:eastAsia="仿宋" w:cs="仿宋" w:hint="eastAsia"/>
                <w:b/>
                <w:sz w:val="28"/>
                <w:szCs w:val="28"/>
              </w:rPr>
              <w:t>详细指标</w:t>
            </w:r>
          </w:p>
        </w:tc>
        <w:tc>
          <w:tcPr>
            <w:tcW w:w="1043" w:type="dxa"/>
            <w:noWrap/>
            <w:vAlign w:val="center"/>
          </w:tcPr>
          <w:p>
            <w:pPr>
              <w:spacing w:line="0" w:lineRule="atLeast"/>
              <w:jc w:val="center"/>
              <w:rPr>
                <w:rFonts w:ascii="仿宋" w:eastAsia="仿宋" w:cs="仿宋"/>
                <w:b/>
                <w:sz w:val="28"/>
                <w:szCs w:val="28"/>
              </w:rPr>
            </w:pPr>
            <w:r>
              <w:rPr>
                <w:rFonts w:ascii="仿宋" w:eastAsia="仿宋" w:cs="仿宋" w:hint="eastAsia"/>
                <w:b/>
                <w:sz w:val="28"/>
                <w:szCs w:val="28"/>
              </w:rPr>
              <w:t>性质</w:t>
            </w:r>
          </w:p>
        </w:tc>
      </w:tr>
      <w:tr>
        <w:trPr>
          <w:trHeight w:val="454"/>
        </w:trPr>
        <w:tc>
          <w:tcPr>
            <w:tcW w:w="879" w:type="dxa"/>
            <w:noWrap/>
            <w:vAlign w:val="center"/>
          </w:tcPr>
          <w:p>
            <w:pPr>
              <w:spacing w:line="0" w:lineRule="atLeast"/>
              <w:jc w:val="center"/>
              <w:rPr>
                <w:rFonts w:ascii="仿宋" w:eastAsia="仿宋" w:cs="仿宋"/>
                <w:sz w:val="28"/>
                <w:szCs w:val="28"/>
              </w:rPr>
            </w:pPr>
            <w:r>
              <w:rPr>
                <w:rFonts w:ascii="仿宋" w:eastAsia="仿宋" w:cs="仿宋" w:hint="eastAsia"/>
                <w:sz w:val="28"/>
                <w:szCs w:val="28"/>
              </w:rPr>
              <w:t>1</w:t>
            </w:r>
          </w:p>
        </w:tc>
        <w:tc>
          <w:tcPr>
            <w:tcW w:w="6921" w:type="dxa"/>
            <w:noWrap/>
            <w:vAlign w:val="center"/>
          </w:tcPr>
          <w:p>
            <w:pPr>
              <w:spacing w:line="0" w:lineRule="atLeast"/>
              <w:jc w:val="left"/>
              <w:rPr>
                <w:rFonts w:ascii="仿宋" w:eastAsia="仿宋" w:cs="仿宋"/>
                <w:sz w:val="28"/>
                <w:szCs w:val="28"/>
              </w:rPr>
            </w:pPr>
            <w:r>
              <w:rPr>
                <w:rFonts w:ascii="仿宋" w:eastAsia="仿宋" w:cs="仿宋" w:hint="eastAsia"/>
                <w:sz w:val="28"/>
                <w:szCs w:val="28"/>
              </w:rPr>
              <w:t>温度：-5℃～45℃</w:t>
            </w:r>
          </w:p>
        </w:tc>
        <w:tc>
          <w:tcPr>
            <w:tcW w:w="1043" w:type="dxa"/>
            <w:noWrap/>
            <w:vAlign w:val="center"/>
          </w:tcPr>
          <w:p>
            <w:pPr>
              <w:spacing w:line="0" w:lineRule="atLeast"/>
              <w:jc w:val="center"/>
              <w:rPr>
                <w:rFonts w:ascii="仿宋" w:eastAsia="仿宋" w:cs="仿宋"/>
                <w:sz w:val="28"/>
                <w:szCs w:val="28"/>
              </w:rPr>
            </w:pPr>
            <w:r>
              <w:rPr>
                <w:rFonts w:ascii="仿宋" w:eastAsia="仿宋" w:cs="仿宋" w:hint="eastAsia"/>
                <w:sz w:val="28"/>
                <w:szCs w:val="28"/>
              </w:rPr>
              <w:t>重要</w:t>
            </w:r>
          </w:p>
        </w:tc>
      </w:tr>
      <w:tr>
        <w:trPr>
          <w:trHeight w:val="454"/>
        </w:trPr>
        <w:tc>
          <w:tcPr>
            <w:tcW w:w="879" w:type="dxa"/>
            <w:noWrap/>
            <w:vAlign w:val="center"/>
          </w:tcPr>
          <w:p>
            <w:pPr>
              <w:spacing w:line="0" w:lineRule="atLeast"/>
              <w:jc w:val="center"/>
              <w:rPr>
                <w:rFonts w:ascii="仿宋" w:eastAsia="仿宋" w:cs="仿宋"/>
                <w:sz w:val="28"/>
                <w:szCs w:val="28"/>
              </w:rPr>
            </w:pPr>
            <w:r>
              <w:rPr>
                <w:rFonts w:ascii="仿宋" w:eastAsia="仿宋" w:cs="仿宋" w:hint="eastAsia"/>
                <w:sz w:val="28"/>
                <w:szCs w:val="28"/>
              </w:rPr>
              <w:t>2</w:t>
            </w:r>
          </w:p>
        </w:tc>
        <w:tc>
          <w:tcPr>
            <w:tcW w:w="6921" w:type="dxa"/>
            <w:noWrap/>
            <w:vAlign w:val="center"/>
          </w:tcPr>
          <w:p>
            <w:pPr>
              <w:spacing w:line="0" w:lineRule="atLeast"/>
              <w:jc w:val="left"/>
              <w:rPr>
                <w:rFonts w:ascii="仿宋" w:eastAsia="仿宋" w:cs="仿宋"/>
                <w:sz w:val="28"/>
                <w:szCs w:val="28"/>
              </w:rPr>
            </w:pPr>
            <w:r>
              <w:rPr>
                <w:rFonts w:ascii="仿宋" w:eastAsia="仿宋" w:cs="仿宋" w:hint="eastAsia"/>
                <w:sz w:val="28"/>
                <w:szCs w:val="28"/>
              </w:rPr>
              <w:t>车间内相对湿度：≤9</w:t>
            </w:r>
            <w:r>
              <w:rPr>
                <w:rFonts w:ascii="仿宋" w:eastAsia="仿宋" w:cs="仿宋"/>
                <w:sz w:val="28"/>
                <w:szCs w:val="28"/>
              </w:rPr>
              <w:t>5</w:t>
            </w:r>
            <w:r>
              <w:rPr>
                <w:rFonts w:ascii="仿宋" w:eastAsia="仿宋" w:cs="仿宋" w:hint="eastAsia"/>
                <w:sz w:val="28"/>
                <w:szCs w:val="28"/>
              </w:rPr>
              <w:t>%</w:t>
            </w:r>
          </w:p>
        </w:tc>
        <w:tc>
          <w:tcPr>
            <w:tcW w:w="1043" w:type="dxa"/>
            <w:noWrap/>
            <w:vAlign w:val="center"/>
          </w:tcPr>
          <w:p>
            <w:pPr>
              <w:spacing w:line="0" w:lineRule="atLeast"/>
              <w:jc w:val="center"/>
              <w:rPr>
                <w:rFonts w:ascii="仿宋" w:eastAsia="仿宋" w:cs="仿宋"/>
                <w:sz w:val="28"/>
                <w:szCs w:val="28"/>
              </w:rPr>
            </w:pPr>
            <w:r>
              <w:rPr>
                <w:rFonts w:ascii="仿宋" w:eastAsia="仿宋" w:cs="仿宋" w:hint="eastAsia"/>
                <w:sz w:val="28"/>
                <w:szCs w:val="28"/>
              </w:rPr>
              <w:t>重要</w:t>
            </w:r>
          </w:p>
        </w:tc>
      </w:tr>
      <w:tr>
        <w:trPr>
          <w:trHeight w:val="454"/>
        </w:trPr>
        <w:tc>
          <w:tcPr>
            <w:tcW w:w="879" w:type="dxa"/>
            <w:noWrap/>
            <w:vAlign w:val="center"/>
          </w:tcPr>
          <w:p>
            <w:pPr>
              <w:spacing w:line="0" w:lineRule="atLeast"/>
              <w:jc w:val="center"/>
              <w:rPr>
                <w:rFonts w:ascii="仿宋" w:eastAsia="仿宋" w:cs="仿宋"/>
                <w:sz w:val="28"/>
                <w:szCs w:val="28"/>
              </w:rPr>
            </w:pPr>
            <w:r>
              <w:rPr>
                <w:rFonts w:ascii="仿宋" w:eastAsia="仿宋" w:cs="仿宋" w:hint="eastAsia"/>
                <w:sz w:val="28"/>
                <w:szCs w:val="28"/>
              </w:rPr>
              <w:t>3</w:t>
            </w:r>
          </w:p>
        </w:tc>
        <w:tc>
          <w:tcPr>
            <w:tcW w:w="6921" w:type="dxa"/>
            <w:noWrap/>
            <w:vAlign w:val="center"/>
          </w:tcPr>
          <w:p>
            <w:pPr>
              <w:spacing w:line="0" w:lineRule="atLeast"/>
              <w:jc w:val="left"/>
              <w:rPr>
                <w:rFonts w:ascii="仿宋" w:eastAsia="仿宋" w:cs="仿宋"/>
                <w:sz w:val="28"/>
                <w:szCs w:val="28"/>
                <w:highlight w:val="yellow"/>
              </w:rPr>
            </w:pPr>
            <w:r>
              <w:rPr>
                <w:rFonts w:ascii="仿宋" w:eastAsia="仿宋" w:cs="仿宋" w:hint="eastAsia"/>
                <w:sz w:val="28"/>
                <w:szCs w:val="28"/>
              </w:rPr>
              <w:t>腌制工序设备可能接触盐水或泡菜发酵剂，NaCl浓度</w:t>
            </w:r>
            <w:r>
              <w:rPr>
                <w:rFonts w:ascii="仿宋" w:eastAsia="仿宋" w:cs="仿宋"/>
                <w:sz w:val="28"/>
                <w:szCs w:val="28"/>
              </w:rPr>
              <w:t>3</w:t>
            </w:r>
            <w:r>
              <w:rPr>
                <w:rFonts w:ascii="仿宋" w:eastAsia="仿宋" w:cs="仿宋" w:hint="eastAsia"/>
                <w:sz w:val="28"/>
                <w:szCs w:val="28"/>
              </w:rPr>
              <w:t>%～22%</w:t>
            </w:r>
          </w:p>
        </w:tc>
        <w:tc>
          <w:tcPr>
            <w:tcW w:w="1043" w:type="dxa"/>
            <w:noWrap/>
            <w:vAlign w:val="center"/>
          </w:tcPr>
          <w:p>
            <w:pPr>
              <w:spacing w:line="0" w:lineRule="atLeast"/>
              <w:jc w:val="center"/>
              <w:rPr>
                <w:rFonts w:ascii="仿宋" w:eastAsia="仿宋" w:cs="仿宋"/>
                <w:sz w:val="28"/>
                <w:szCs w:val="28"/>
                <w:highlight w:val="yellow"/>
              </w:rPr>
            </w:pPr>
            <w:r>
              <w:rPr>
                <w:rFonts w:ascii="仿宋" w:eastAsia="仿宋" w:cs="仿宋" w:hint="eastAsia"/>
                <w:sz w:val="28"/>
                <w:szCs w:val="28"/>
              </w:rPr>
              <w:t>重要</w:t>
            </w:r>
          </w:p>
        </w:tc>
      </w:tr>
      <w:tr>
        <w:trPr>
          <w:trHeight w:val="454"/>
        </w:trPr>
        <w:tc>
          <w:tcPr>
            <w:tcW w:w="879" w:type="dxa"/>
            <w:noWrap/>
            <w:vAlign w:val="center"/>
          </w:tcPr>
          <w:p>
            <w:pPr>
              <w:spacing w:line="0" w:lineRule="atLeast"/>
              <w:jc w:val="center"/>
              <w:rPr>
                <w:rFonts w:ascii="仿宋" w:eastAsia="仿宋" w:cs="仿宋"/>
                <w:sz w:val="28"/>
                <w:szCs w:val="28"/>
              </w:rPr>
            </w:pPr>
            <w:r>
              <w:rPr>
                <w:rFonts w:ascii="仿宋" w:eastAsia="仿宋" w:cs="仿宋" w:hint="eastAsia"/>
                <w:sz w:val="28"/>
                <w:szCs w:val="28"/>
              </w:rPr>
              <w:t>4</w:t>
            </w:r>
          </w:p>
        </w:tc>
        <w:tc>
          <w:tcPr>
            <w:tcW w:w="6921" w:type="dxa"/>
            <w:noWrap/>
            <w:vAlign w:val="center"/>
          </w:tcPr>
          <w:p>
            <w:pPr>
              <w:spacing w:line="0" w:lineRule="atLeast"/>
              <w:jc w:val="left"/>
              <w:rPr>
                <w:rFonts w:ascii="仿宋" w:eastAsia="仿宋" w:cs="仿宋"/>
                <w:sz w:val="28"/>
                <w:szCs w:val="28"/>
              </w:rPr>
            </w:pPr>
            <w:r>
              <w:rPr>
                <w:rFonts w:ascii="仿宋" w:eastAsia="仿宋" w:cs="仿宋" w:hint="eastAsia"/>
                <w:sz w:val="28"/>
                <w:szCs w:val="28"/>
              </w:rPr>
              <w:t>电源：AC220/380V±10%，50Hz±2%，三相五线</w:t>
            </w:r>
          </w:p>
        </w:tc>
        <w:tc>
          <w:tcPr>
            <w:tcW w:w="1043" w:type="dxa"/>
            <w:noWrap/>
            <w:vAlign w:val="center"/>
          </w:tcPr>
          <w:p>
            <w:pPr>
              <w:spacing w:line="0" w:lineRule="atLeast"/>
              <w:jc w:val="center"/>
              <w:rPr>
                <w:rFonts w:ascii="仿宋" w:eastAsia="仿宋" w:cs="仿宋"/>
                <w:sz w:val="28"/>
                <w:szCs w:val="28"/>
              </w:rPr>
            </w:pPr>
            <w:r>
              <w:rPr>
                <w:rFonts w:ascii="仿宋" w:eastAsia="仿宋" w:cs="仿宋" w:hint="eastAsia"/>
                <w:sz w:val="28"/>
                <w:szCs w:val="28"/>
              </w:rPr>
              <w:t>重要</w:t>
            </w:r>
          </w:p>
        </w:tc>
      </w:tr>
      <w:tr>
        <w:trPr>
          <w:trHeight w:val="454"/>
        </w:trPr>
        <w:tc>
          <w:tcPr>
            <w:tcW w:w="879" w:type="dxa"/>
            <w:noWrap/>
            <w:vAlign w:val="center"/>
          </w:tcPr>
          <w:p>
            <w:pPr>
              <w:spacing w:line="0" w:lineRule="atLeast"/>
              <w:jc w:val="center"/>
              <w:rPr>
                <w:rFonts w:ascii="仿宋" w:eastAsia="仿宋" w:cs="仿宋"/>
                <w:sz w:val="28"/>
                <w:szCs w:val="28"/>
              </w:rPr>
            </w:pPr>
            <w:r>
              <w:rPr>
                <w:rFonts w:ascii="仿宋" w:eastAsia="仿宋" w:cs="仿宋" w:hint="eastAsia"/>
                <w:sz w:val="28"/>
                <w:szCs w:val="28"/>
              </w:rPr>
              <w:t>5</w:t>
            </w:r>
          </w:p>
        </w:tc>
        <w:tc>
          <w:tcPr>
            <w:tcW w:w="6921" w:type="dxa"/>
            <w:noWrap/>
            <w:vAlign w:val="center"/>
          </w:tcPr>
          <w:p>
            <w:pPr>
              <w:spacing w:line="0" w:lineRule="atLeast"/>
              <w:jc w:val="left"/>
              <w:rPr>
                <w:rFonts w:ascii="仿宋" w:eastAsia="仿宋" w:cs="仿宋"/>
                <w:sz w:val="28"/>
                <w:szCs w:val="28"/>
              </w:rPr>
            </w:pPr>
            <w:r>
              <w:rPr>
                <w:rFonts w:ascii="仿宋" w:eastAsia="仿宋" w:cs="仿宋" w:hint="eastAsia"/>
                <w:sz w:val="28"/>
                <w:szCs w:val="28"/>
              </w:rPr>
              <w:t>最长工作时间：双班16小时，局部24小时</w:t>
            </w:r>
          </w:p>
        </w:tc>
        <w:tc>
          <w:tcPr>
            <w:tcW w:w="1043" w:type="dxa"/>
            <w:noWrap/>
            <w:vAlign w:val="center"/>
          </w:tcPr>
          <w:p>
            <w:pPr>
              <w:spacing w:line="0" w:lineRule="atLeast"/>
              <w:jc w:val="center"/>
              <w:rPr>
                <w:rFonts w:ascii="仿宋" w:eastAsia="仿宋" w:cs="仿宋"/>
                <w:sz w:val="28"/>
                <w:szCs w:val="28"/>
              </w:rPr>
            </w:pPr>
            <w:r>
              <w:rPr>
                <w:rFonts w:ascii="仿宋" w:eastAsia="仿宋" w:cs="仿宋" w:hint="eastAsia"/>
                <w:sz w:val="28"/>
                <w:szCs w:val="28"/>
              </w:rPr>
              <w:t>重要</w:t>
            </w:r>
          </w:p>
        </w:tc>
      </w:tr>
    </w:tbl>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45"/>
        <w:spacing w:line="400" w:lineRule="exact"/>
        <w:ind w:firstLineChars="0" w:firstLine="0"/>
        <w:rPr>
          <w:rFonts w:ascii="Times New Roman" w:eastAsia="仿宋" w:hAnsi="Times New Roman"/>
          <w:szCs w:val="24"/>
        </w:rPr>
      </w:pPr>
    </w:p>
    <w:p>
      <w:pPr>
        <w:pStyle w:val="35"/>
        <w:outlineLvl w:val="9"/>
        <w:rPr>
          <w:rFonts w:ascii="方正黑体_GBK" w:eastAsia="方正黑体_GBK"/>
        </w:rPr>
        <w:sectPr>
          <w:pgSz w:w="11907" w:h="16840"/>
          <w:pgMar w:top="1418" w:right="1134" w:bottom="1361" w:left="1418" w:header="851" w:footer="1021" w:gutter="0"/>
          <w:titlePg/>
          <w:docGrid w:type="lines" w:linePitch="312" w:charSpace="0"/>
        </w:sectPr>
      </w:pPr>
    </w:p>
    <w:p>
      <w:pPr>
        <w:pStyle w:val="35"/>
        <w:rPr>
          <w:rFonts w:ascii="黑体" w:eastAsia="黑体"/>
        </w:rPr>
      </w:pPr>
      <w:r>
        <w:rPr>
          <w:rFonts w:ascii="黑体" w:eastAsia="黑体" w:hint="eastAsia"/>
        </w:rPr>
        <w:t>第二章 盐水自动化智能化循环输送系统设计和实施工程项目设备技术要求</w:t>
      </w:r>
    </w:p>
    <w:p>
      <w:pPr>
        <w:pStyle w:val="1"/>
        <w:numPr>
          <w:ilvl w:val="0"/>
          <w:numId w:val="7"/>
        </w:numPr>
      </w:pPr>
      <w:r>
        <w:rPr>
          <w:rFonts w:hint="eastAsia"/>
        </w:rPr>
        <w:t>管道系统设备技术要求</w:t>
      </w:r>
    </w:p>
    <w:p>
      <w:pPr>
        <w:pStyle w:val="2"/>
        <w:numPr>
          <w:ilvl w:val="0"/>
          <w:numId w:val="0"/>
        </w:numPr>
        <w:ind w:left="0" w:firstLineChars="200" w:firstLine="560"/>
        <w:rPr>
          <w:rFonts w:ascii="方正楷体_GBK"/>
        </w:rPr>
      </w:pPr>
      <w:r>
        <w:t>1、</w:t>
      </w:r>
      <w:r>
        <w:rPr>
          <w:rFonts w:hint="eastAsia"/>
        </w:rPr>
        <w:t>盐水管道输送系统设备技术要</w:t>
      </w:r>
      <w:r>
        <w:rPr>
          <w:rFonts w:ascii="方正楷体_GBK" w:hint="eastAsia"/>
        </w:rPr>
        <w:t>求</w:t>
      </w:r>
    </w:p>
    <w:p>
      <w:pPr>
        <w:ind w:firstLineChars="200" w:firstLine="560"/>
        <w:rPr>
          <w:rFonts w:ascii="仿宋" w:eastAsia="仿宋" w:cs="仿宋"/>
          <w:sz w:val="28"/>
          <w:szCs w:val="21"/>
        </w:rPr>
      </w:pPr>
      <w:r>
        <w:rPr>
          <w:rFonts w:ascii="仿宋" w:eastAsia="仿宋" w:cs="仿宋" w:hint="eastAsia"/>
          <w:sz w:val="28"/>
          <w:szCs w:val="21"/>
        </w:rPr>
        <w:t>根据各盐水的输送路径，可将盐水管道输送系统分为盐水收集管道系统、盐水复用管道系统、盐水排污管道系统、跨车间管道输送系统，本次安装数量及其需满足的功能如下：</w:t>
      </w:r>
    </w:p>
    <w:tbl>
      <w:tblPr>
        <w:jc w:val="lef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tblGrid>
        <w:gridCol w:w="1180"/>
        <w:gridCol w:w="1346"/>
        <w:gridCol w:w="2222"/>
        <w:gridCol w:w="4470"/>
      </w:tblGrid>
      <w:tr>
        <w:trPr>
          <w:trHeight w:val="567"/>
        </w:trPr>
        <w:tc>
          <w:tcPr>
            <w:tcW w:w="1206" w:type="dxa"/>
            <w:vAlign w:val="center"/>
          </w:tcPr>
          <w:p>
            <w:pPr>
              <w:pStyle w:val="21"/>
              <w:ind w:firstLineChars="0" w:firstLine="0"/>
              <w:jc w:val="center"/>
              <w:rPr>
                <w:rFonts w:ascii="仿宋"/>
                <w:b/>
                <w:szCs w:val="24"/>
              </w:rPr>
            </w:pPr>
            <w:r>
              <w:rPr>
                <w:rFonts w:ascii="仿宋" w:hint="eastAsia"/>
                <w:b/>
                <w:szCs w:val="24"/>
              </w:rPr>
              <w:t>序号</w:t>
            </w:r>
          </w:p>
        </w:tc>
        <w:tc>
          <w:tcPr>
            <w:tcW w:w="1376" w:type="dxa"/>
            <w:vAlign w:val="center"/>
          </w:tcPr>
          <w:p>
            <w:pPr>
              <w:pStyle w:val="21"/>
              <w:ind w:firstLineChars="0" w:firstLine="0"/>
              <w:jc w:val="center"/>
              <w:rPr>
                <w:rFonts w:ascii="仿宋"/>
                <w:b/>
                <w:szCs w:val="24"/>
              </w:rPr>
            </w:pPr>
            <w:r>
              <w:rPr>
                <w:rFonts w:ascii="仿宋" w:hint="eastAsia"/>
                <w:b/>
                <w:szCs w:val="24"/>
              </w:rPr>
              <w:t>系统名称</w:t>
            </w:r>
          </w:p>
        </w:tc>
        <w:tc>
          <w:tcPr>
            <w:tcW w:w="2271" w:type="dxa"/>
            <w:vAlign w:val="center"/>
          </w:tcPr>
          <w:p>
            <w:pPr>
              <w:pStyle w:val="21"/>
              <w:ind w:firstLineChars="0" w:firstLine="0"/>
              <w:jc w:val="center"/>
              <w:rPr>
                <w:rFonts w:ascii="仿宋"/>
                <w:b/>
                <w:szCs w:val="24"/>
              </w:rPr>
            </w:pPr>
            <w:r>
              <w:rPr>
                <w:rFonts w:ascii="仿宋" w:hint="eastAsia"/>
                <w:b/>
                <w:szCs w:val="24"/>
              </w:rPr>
              <w:t>数量及分布车间</w:t>
            </w:r>
          </w:p>
        </w:tc>
        <w:tc>
          <w:tcPr>
            <w:tcW w:w="4569" w:type="dxa"/>
            <w:vAlign w:val="center"/>
          </w:tcPr>
          <w:p>
            <w:pPr>
              <w:pStyle w:val="21"/>
              <w:ind w:firstLineChars="0" w:firstLine="0"/>
              <w:jc w:val="center"/>
              <w:rPr>
                <w:rFonts w:ascii="仿宋"/>
                <w:b/>
                <w:szCs w:val="24"/>
              </w:rPr>
            </w:pPr>
            <w:r>
              <w:rPr>
                <w:rFonts w:ascii="仿宋" w:hint="eastAsia"/>
                <w:b/>
                <w:szCs w:val="24"/>
              </w:rPr>
              <w:t>满足工艺</w:t>
            </w:r>
          </w:p>
        </w:tc>
      </w:tr>
      <w:tr>
        <w:tc>
          <w:tcPr>
            <w:tcW w:w="1206" w:type="dxa"/>
            <w:vAlign w:val="center"/>
          </w:tcPr>
          <w:p>
            <w:pPr>
              <w:pStyle w:val="21"/>
              <w:ind w:firstLineChars="0" w:firstLine="0"/>
              <w:jc w:val="center"/>
              <w:rPr>
                <w:rFonts w:ascii="仿宋"/>
                <w:szCs w:val="24"/>
              </w:rPr>
            </w:pPr>
            <w:r>
              <w:rPr>
                <w:rFonts w:ascii="仿宋" w:hint="eastAsia"/>
                <w:szCs w:val="24"/>
              </w:rPr>
              <w:t>1</w:t>
            </w:r>
          </w:p>
        </w:tc>
        <w:tc>
          <w:tcPr>
            <w:tcW w:w="1376" w:type="dxa"/>
            <w:vAlign w:val="center"/>
          </w:tcPr>
          <w:p>
            <w:pPr>
              <w:pStyle w:val="21"/>
              <w:ind w:firstLineChars="0" w:firstLine="0"/>
              <w:rPr>
                <w:rFonts w:ascii="仿宋"/>
                <w:szCs w:val="24"/>
              </w:rPr>
            </w:pPr>
            <w:r>
              <w:rPr>
                <w:rFonts w:ascii="仿宋" w:hint="eastAsia"/>
                <w:szCs w:val="24"/>
              </w:rPr>
              <w:t>盐水收集管道系统</w:t>
            </w:r>
          </w:p>
        </w:tc>
        <w:tc>
          <w:tcPr>
            <w:tcW w:w="2271" w:type="dxa"/>
            <w:vAlign w:val="center"/>
          </w:tcPr>
          <w:p>
            <w:pPr>
              <w:pStyle w:val="21"/>
              <w:ind w:firstLineChars="0" w:firstLine="0"/>
              <w:rPr>
                <w:rFonts w:ascii="仿宋"/>
                <w:szCs w:val="24"/>
              </w:rPr>
            </w:pPr>
            <w:r>
              <w:rPr>
                <w:rFonts w:ascii="仿宋" w:hint="eastAsia"/>
                <w:szCs w:val="24"/>
              </w:rPr>
              <w:t>共6套，分布车间：1#、3#、4#、5#、7#、8#</w:t>
            </w:r>
          </w:p>
        </w:tc>
        <w:tc>
          <w:tcPr>
            <w:tcW w:w="4569" w:type="dxa"/>
            <w:vAlign w:val="center"/>
          </w:tcPr>
          <w:p>
            <w:pPr>
              <w:pStyle w:val="21"/>
              <w:numPr>
                <w:ilvl w:val="3"/>
                <w:numId w:val="5"/>
              </w:numPr>
              <w:ind w:left="0" w:firstLineChars="0" w:firstLine="0"/>
              <w:jc w:val="left"/>
              <w:rPr>
                <w:rFonts w:ascii="仿宋"/>
                <w:szCs w:val="24"/>
              </w:rPr>
            </w:pPr>
            <w:r>
              <w:rPr>
                <w:rFonts w:ascii="仿宋" w:hint="eastAsia"/>
                <w:szCs w:val="24"/>
              </w:rPr>
              <w:t>满足二三腌榨菜汁的收集；</w:t>
            </w:r>
          </w:p>
          <w:p>
            <w:pPr>
              <w:pStyle w:val="21"/>
              <w:numPr>
                <w:ilvl w:val="3"/>
                <w:numId w:val="5"/>
              </w:numPr>
              <w:ind w:left="0" w:firstLineChars="0" w:firstLine="0"/>
              <w:jc w:val="left"/>
              <w:rPr>
                <w:rFonts w:ascii="仿宋"/>
                <w:szCs w:val="24"/>
              </w:rPr>
            </w:pPr>
            <w:r>
              <w:rPr>
                <w:rFonts w:ascii="仿宋" w:hint="eastAsia"/>
                <w:szCs w:val="24"/>
              </w:rPr>
              <w:t>满足</w:t>
            </w:r>
            <w:r>
              <w:rPr>
                <w:rFonts w:ascii="仿宋"/>
                <w:szCs w:val="24"/>
              </w:rPr>
              <w:t>7</w:t>
            </w:r>
            <w:r>
              <w:rPr>
                <w:rFonts w:ascii="仿宋" w:hint="eastAsia"/>
                <w:szCs w:val="24"/>
              </w:rPr>
              <w:t>#、</w:t>
            </w:r>
            <w:r>
              <w:rPr>
                <w:rFonts w:ascii="仿宋"/>
                <w:szCs w:val="24"/>
              </w:rPr>
              <w:t>8</w:t>
            </w:r>
            <w:r>
              <w:rPr>
                <w:rFonts w:ascii="仿宋" w:hint="eastAsia"/>
                <w:szCs w:val="24"/>
              </w:rPr>
              <w:t>#</w:t>
            </w:r>
            <w:r>
              <w:rPr>
                <w:rFonts w:ascii="仿宋"/>
                <w:szCs w:val="24"/>
              </w:rPr>
              <w:t>预脱盐窖池产生的预脱盐水、</w:t>
            </w:r>
            <w:r>
              <w:rPr>
                <w:rFonts w:ascii="仿宋" w:hint="eastAsia"/>
                <w:szCs w:val="24"/>
              </w:rPr>
              <w:t>生产车间脱盐水的收集；</w:t>
            </w:r>
          </w:p>
          <w:p>
            <w:pPr>
              <w:pStyle w:val="21"/>
              <w:numPr>
                <w:ilvl w:val="3"/>
                <w:numId w:val="5"/>
              </w:numPr>
              <w:ind w:left="0" w:firstLineChars="0" w:firstLine="0"/>
              <w:jc w:val="left"/>
              <w:rPr>
                <w:rFonts w:ascii="仿宋"/>
                <w:szCs w:val="24"/>
              </w:rPr>
            </w:pPr>
            <w:r>
              <w:rPr>
                <w:rFonts w:ascii="仿宋" w:hint="eastAsia"/>
                <w:szCs w:val="24"/>
              </w:rPr>
              <w:t>满足8#车间外购半成品沥水的收集。</w:t>
            </w:r>
          </w:p>
        </w:tc>
      </w:tr>
      <w:tr>
        <w:trPr>
          <w:trHeight w:val="1060"/>
        </w:trPr>
        <w:tc>
          <w:tcPr>
            <w:tcW w:w="1206" w:type="dxa"/>
            <w:vAlign w:val="center"/>
          </w:tcPr>
          <w:p>
            <w:pPr>
              <w:pStyle w:val="21"/>
              <w:ind w:firstLineChars="0" w:firstLine="0"/>
              <w:jc w:val="center"/>
              <w:rPr>
                <w:rFonts w:ascii="仿宋"/>
                <w:szCs w:val="24"/>
              </w:rPr>
            </w:pPr>
            <w:r>
              <w:rPr>
                <w:rFonts w:ascii="仿宋" w:hint="eastAsia"/>
                <w:szCs w:val="24"/>
              </w:rPr>
              <w:t>2</w:t>
            </w:r>
          </w:p>
        </w:tc>
        <w:tc>
          <w:tcPr>
            <w:tcW w:w="1376" w:type="dxa"/>
            <w:vAlign w:val="center"/>
          </w:tcPr>
          <w:p>
            <w:pPr>
              <w:pStyle w:val="21"/>
              <w:ind w:firstLineChars="0" w:firstLine="0"/>
              <w:rPr>
                <w:rFonts w:ascii="仿宋"/>
                <w:szCs w:val="24"/>
              </w:rPr>
            </w:pPr>
            <w:r>
              <w:rPr>
                <w:rFonts w:ascii="仿宋" w:hint="eastAsia"/>
                <w:szCs w:val="24"/>
              </w:rPr>
              <w:t>盐水复用管道系统</w:t>
            </w:r>
          </w:p>
        </w:tc>
        <w:tc>
          <w:tcPr>
            <w:tcW w:w="2271" w:type="dxa"/>
            <w:vAlign w:val="center"/>
          </w:tcPr>
          <w:p>
            <w:pPr>
              <w:pStyle w:val="21"/>
              <w:ind w:firstLineChars="0" w:firstLine="0"/>
              <w:rPr>
                <w:rFonts w:ascii="仿宋"/>
                <w:szCs w:val="24"/>
              </w:rPr>
            </w:pPr>
            <w:r>
              <w:rPr>
                <w:rFonts w:ascii="仿宋" w:hint="eastAsia"/>
                <w:szCs w:val="24"/>
              </w:rPr>
              <w:t>共6套，分布车间：1#、3#、4#、5#、7#、8#</w:t>
            </w:r>
          </w:p>
        </w:tc>
        <w:tc>
          <w:tcPr>
            <w:tcW w:w="4569" w:type="dxa"/>
            <w:vAlign w:val="center"/>
          </w:tcPr>
          <w:p>
            <w:pPr>
              <w:pStyle w:val="21"/>
              <w:numPr>
                <w:ilvl w:val="0"/>
                <w:numId w:val="8"/>
              </w:numPr>
              <w:ind w:firstLineChars="0"/>
              <w:rPr>
                <w:rFonts w:ascii="仿宋"/>
                <w:szCs w:val="24"/>
              </w:rPr>
            </w:pPr>
            <w:r>
              <w:rPr>
                <w:rFonts w:ascii="仿宋" w:hint="eastAsia"/>
                <w:szCs w:val="24"/>
              </w:rPr>
              <w:t>满足泡菜发酵剂储存、使用输送；</w:t>
            </w:r>
          </w:p>
          <w:p>
            <w:pPr>
              <w:pStyle w:val="21"/>
              <w:numPr>
                <w:ilvl w:val="0"/>
                <w:numId w:val="8"/>
              </w:numPr>
              <w:ind w:firstLineChars="0"/>
              <w:rPr>
                <w:rFonts w:ascii="仿宋"/>
                <w:szCs w:val="24"/>
              </w:rPr>
            </w:pPr>
            <w:r>
              <w:rPr>
                <w:rFonts w:ascii="仿宋" w:hint="eastAsia"/>
                <w:szCs w:val="24"/>
              </w:rPr>
              <w:t>满足每个车间一腌榨菜汁自循环。</w:t>
            </w:r>
          </w:p>
          <w:p>
            <w:pPr>
              <w:pStyle w:val="21"/>
              <w:numPr>
                <w:ilvl w:val="0"/>
                <w:numId w:val="8"/>
              </w:numPr>
              <w:ind w:firstLineChars="0"/>
              <w:rPr>
                <w:rFonts w:ascii="仿宋"/>
                <w:szCs w:val="24"/>
              </w:rPr>
            </w:pPr>
            <w:r>
              <w:rPr>
                <w:rFonts w:ascii="仿宋"/>
                <w:szCs w:val="24"/>
              </w:rPr>
              <w:t>满足7#、8#各两列预脱盐池脱盐水自循环。</w:t>
            </w:r>
          </w:p>
        </w:tc>
      </w:tr>
      <w:tr>
        <w:trPr>
          <w:trHeight w:val="835"/>
        </w:trPr>
        <w:tc>
          <w:tcPr>
            <w:tcW w:w="1206" w:type="dxa"/>
            <w:vAlign w:val="center"/>
          </w:tcPr>
          <w:p>
            <w:pPr>
              <w:pStyle w:val="21"/>
              <w:ind w:firstLineChars="0" w:firstLine="0"/>
              <w:jc w:val="center"/>
              <w:rPr>
                <w:rFonts w:ascii="仿宋"/>
                <w:szCs w:val="24"/>
              </w:rPr>
            </w:pPr>
            <w:r>
              <w:rPr>
                <w:rFonts w:ascii="仿宋" w:hint="eastAsia"/>
                <w:szCs w:val="24"/>
              </w:rPr>
              <w:t>3</w:t>
            </w:r>
          </w:p>
        </w:tc>
        <w:tc>
          <w:tcPr>
            <w:tcW w:w="1376" w:type="dxa"/>
            <w:vAlign w:val="center"/>
          </w:tcPr>
          <w:p>
            <w:pPr>
              <w:pStyle w:val="21"/>
              <w:ind w:firstLineChars="0" w:firstLine="0"/>
              <w:rPr>
                <w:rFonts w:ascii="仿宋"/>
                <w:szCs w:val="24"/>
              </w:rPr>
            </w:pPr>
            <w:r>
              <w:rPr>
                <w:rFonts w:ascii="仿宋" w:hint="eastAsia"/>
                <w:szCs w:val="24"/>
              </w:rPr>
              <w:t>盐水排污管道系统</w:t>
            </w:r>
          </w:p>
        </w:tc>
        <w:tc>
          <w:tcPr>
            <w:tcW w:w="2271" w:type="dxa"/>
            <w:vAlign w:val="center"/>
          </w:tcPr>
          <w:p>
            <w:pPr>
              <w:pStyle w:val="21"/>
              <w:ind w:firstLineChars="0" w:firstLine="0"/>
              <w:rPr>
                <w:rFonts w:ascii="仿宋"/>
                <w:szCs w:val="24"/>
              </w:rPr>
            </w:pPr>
            <w:r>
              <w:rPr>
                <w:rFonts w:ascii="仿宋" w:hint="eastAsia"/>
                <w:szCs w:val="24"/>
              </w:rPr>
              <w:t>共6套，分布车间：1#、3#、4#、5#、7#、8#</w:t>
            </w:r>
          </w:p>
        </w:tc>
        <w:tc>
          <w:tcPr>
            <w:tcW w:w="4569" w:type="dxa"/>
            <w:vAlign w:val="center"/>
          </w:tcPr>
          <w:p>
            <w:pPr>
              <w:pStyle w:val="21"/>
              <w:ind w:firstLineChars="0" w:firstLine="0"/>
              <w:rPr>
                <w:rFonts w:ascii="仿宋"/>
                <w:szCs w:val="24"/>
              </w:rPr>
            </w:pPr>
            <w:r>
              <w:rPr>
                <w:rFonts w:ascii="仿宋" w:hint="eastAsia"/>
                <w:szCs w:val="24"/>
              </w:rPr>
              <w:t>1.要求满足一腌榨菜汁的排放，以及每个窖池清洗水的排放。</w:t>
            </w:r>
          </w:p>
        </w:tc>
      </w:tr>
      <w:tr>
        <w:tc>
          <w:tcPr>
            <w:tcW w:w="1206" w:type="dxa"/>
            <w:vAlign w:val="center"/>
          </w:tcPr>
          <w:p>
            <w:pPr>
              <w:pStyle w:val="21"/>
              <w:ind w:firstLineChars="0" w:firstLine="0"/>
              <w:jc w:val="center"/>
              <w:rPr>
                <w:rFonts w:ascii="仿宋"/>
                <w:szCs w:val="24"/>
              </w:rPr>
            </w:pPr>
            <w:r>
              <w:rPr>
                <w:rFonts w:ascii="仿宋" w:hint="eastAsia"/>
                <w:szCs w:val="24"/>
              </w:rPr>
              <w:t>4</w:t>
            </w:r>
          </w:p>
        </w:tc>
        <w:tc>
          <w:tcPr>
            <w:tcW w:w="1376" w:type="dxa"/>
            <w:vAlign w:val="center"/>
          </w:tcPr>
          <w:p>
            <w:pPr>
              <w:pStyle w:val="21"/>
              <w:ind w:firstLineChars="0" w:firstLine="0"/>
              <w:rPr>
                <w:rFonts w:ascii="仿宋"/>
                <w:szCs w:val="24"/>
              </w:rPr>
            </w:pPr>
            <w:r>
              <w:rPr>
                <w:rFonts w:ascii="仿宋" w:hint="eastAsia"/>
                <w:szCs w:val="24"/>
              </w:rPr>
              <w:t>跨车间输送管道系统</w:t>
            </w:r>
          </w:p>
        </w:tc>
        <w:tc>
          <w:tcPr>
            <w:tcW w:w="2271" w:type="dxa"/>
            <w:vAlign w:val="center"/>
          </w:tcPr>
          <w:p>
            <w:pPr>
              <w:pStyle w:val="21"/>
              <w:ind w:firstLineChars="0" w:firstLine="0"/>
              <w:rPr>
                <w:rFonts w:ascii="仿宋"/>
                <w:szCs w:val="24"/>
              </w:rPr>
            </w:pPr>
            <w:r>
              <w:rPr>
                <w:rFonts w:ascii="仿宋" w:hint="eastAsia"/>
                <w:szCs w:val="24"/>
              </w:rPr>
              <w:t>共1套，涉及车间：4#、6#、8#以及2号MVR塔</w:t>
            </w:r>
          </w:p>
        </w:tc>
        <w:tc>
          <w:tcPr>
            <w:tcW w:w="4569" w:type="dxa"/>
            <w:vAlign w:val="center"/>
          </w:tcPr>
          <w:p>
            <w:pPr>
              <w:pStyle w:val="21"/>
              <w:numPr>
                <w:ilvl w:val="6"/>
                <w:numId w:val="5"/>
              </w:numPr>
              <w:ind w:left="0" w:firstLineChars="0" w:firstLine="0"/>
              <w:rPr>
                <w:rFonts w:ascii="仿宋"/>
                <w:szCs w:val="24"/>
              </w:rPr>
            </w:pPr>
            <w:r>
              <w:rPr>
                <w:rFonts w:ascii="仿宋" w:hint="eastAsia"/>
                <w:szCs w:val="24"/>
              </w:rPr>
              <w:t>要求满足6#车间辣椒腌制、豆瓣酱发酵等所需二腌榨菜汁、三腌榨菜汁和泡菜发酵剂的输送</w:t>
            </w:r>
          </w:p>
        </w:tc>
      </w:tr>
    </w:tbl>
    <w:p/>
    <w:p>
      <w:pPr>
        <w:pStyle w:val="3"/>
        <w:numPr>
          <w:ilvl w:val="0"/>
          <w:numId w:val="0"/>
        </w:numPr>
        <w:ind w:left="560"/>
      </w:pPr>
      <w:r>
        <w:t>1.1</w:t>
      </w:r>
      <w:r>
        <w:rPr>
          <w:rFonts w:hint="eastAsia"/>
        </w:rPr>
        <w:t>管道技术要求</w:t>
      </w:r>
      <w:r>
        <w:t>：</w:t>
      </w:r>
    </w:p>
    <w:p>
      <w:pPr>
        <w:ind w:firstLineChars="200" w:firstLine="560"/>
        <w:rPr>
          <w:rFonts w:ascii="仿宋" w:eastAsia="仿宋" w:cs="仿宋"/>
          <w:sz w:val="28"/>
          <w:szCs w:val="21"/>
        </w:rPr>
      </w:pPr>
      <w:r>
        <w:rPr>
          <w:rFonts w:ascii="仿宋" w:eastAsia="仿宋" w:cs="仿宋" w:hint="eastAsia"/>
          <w:sz w:val="28"/>
          <w:szCs w:val="21"/>
        </w:rPr>
        <w:t>盐水收集管道系统、盐水复用管道系统、跨车间输送管道系统安装于车间内的部分采用PE材质，安装于车间外的部分采用316L不锈钢材质；盐水排污管道采用PVC材质；管道桥架采用碳钢材质，做防锈处理。所有管道材质要求不添加塑化剂以及其他影响食品安全的物质。</w:t>
      </w:r>
    </w:p>
    <w:p>
      <w:pPr>
        <w:pStyle w:val="3"/>
        <w:numPr>
          <w:ilvl w:val="0"/>
          <w:numId w:val="0"/>
        </w:numPr>
        <w:ind w:left="560"/>
        <w:rPr>
          <w:rFonts w:ascii="方正楷体_GBK" w:eastAsia="方正楷体_GBK" w:hint="eastAsia"/>
          <w:b/>
        </w:rPr>
      </w:pPr>
      <w:r>
        <w:rPr>
          <w:rFonts w:ascii="方正楷体_GBK" w:eastAsia="方正楷体_GBK"/>
          <w:b/>
        </w:rPr>
        <w:t>1.2</w:t>
      </w:r>
      <w:r>
        <w:rPr>
          <w:rFonts w:ascii="方正楷体_GBK" w:eastAsia="方正楷体_GBK" w:hint="eastAsia"/>
          <w:b/>
        </w:rPr>
        <w:t>水泵技术要求</w:t>
      </w:r>
    </w:p>
    <w:p>
      <w:pPr>
        <w:ind w:firstLineChars="200" w:firstLine="560"/>
        <w:rPr>
          <w:rFonts w:ascii="仿宋" w:eastAsia="仿宋" w:cs="仿宋"/>
          <w:sz w:val="28"/>
          <w:szCs w:val="21"/>
        </w:rPr>
      </w:pPr>
      <w:r>
        <w:rPr>
          <w:rFonts w:ascii="仿宋" w:eastAsia="仿宋" w:cs="仿宋" w:hint="eastAsia"/>
          <w:sz w:val="28"/>
          <w:szCs w:val="21"/>
        </w:rPr>
        <w:t>功能窖池可采用直连式非自吸离心水泵，其余窖池统一采用直连式自吸离心水泵，过流部件材质选用2205不锈钢，泵内表面光洁细腻，粗糙度一致，机械密封耐盐耐腐蚀，底座采用碳素结构钢，连接螺栓采用316L不锈钢，电机表面做电泳漆处理，能效符合“GB18613-2020电机节能品价值”中的三级效率规定，轴承采用不锈钢材质。</w:t>
      </w:r>
    </w:p>
    <w:p>
      <w:pPr>
        <w:pStyle w:val="3"/>
        <w:numPr>
          <w:ilvl w:val="0"/>
          <w:numId w:val="0"/>
        </w:numPr>
        <w:ind w:left="560"/>
        <w:rPr>
          <w:rFonts w:ascii="方正楷体_GBK" w:eastAsia="方正楷体_GBK" w:hint="eastAsia"/>
          <w:b/>
        </w:rPr>
      </w:pPr>
      <w:r>
        <w:rPr>
          <w:rFonts w:ascii="方正楷体_GBK" w:eastAsia="方正楷体_GBK"/>
          <w:b/>
        </w:rPr>
        <w:t>1.3</w:t>
      </w:r>
      <w:r>
        <w:rPr>
          <w:rFonts w:ascii="方正楷体_GBK" w:eastAsia="方正楷体_GBK" w:hint="eastAsia"/>
          <w:b/>
        </w:rPr>
        <w:t>阀门技术要求</w:t>
      </w:r>
    </w:p>
    <w:p>
      <w:pPr>
        <w:pStyle w:val="3"/>
        <w:numPr>
          <w:ilvl w:val="0"/>
          <w:numId w:val="0"/>
        </w:numPr>
        <w:ind w:left="0" w:firstLineChars="200" w:firstLine="560"/>
        <w:rPr>
          <w:rFonts w:ascii="仿宋" w:cs="仿宋"/>
          <w:szCs w:val="21"/>
        </w:rPr>
      </w:pPr>
      <w:r>
        <w:rPr>
          <w:rFonts w:ascii="仿宋" w:cs="仿宋" w:hint="eastAsia"/>
          <w:szCs w:val="21"/>
        </w:rPr>
        <w:t>控制阀统一采用电动蝶阀，阀体选用球磨铸铁，表面做电泳防腐处理，阀座采用食品级材质，耐磨耐腐蚀，阀板和阀杆采用2205不锈钢材质，无销连接，阀杆套、密封圈耐磨耐腐蚀，保证双向零泄露；止回阀采用2205材质，其他与盐水接触部分运用食品级材质；</w:t>
      </w:r>
      <w:r>
        <w:rPr>
          <w:rFonts w:hint="eastAsia"/>
        </w:rPr>
        <w:t>执行器</w:t>
      </w:r>
      <w:r>
        <w:rPr>
          <w:rFonts w:ascii="仿宋" w:hint="eastAsia"/>
          <w:szCs w:val="28"/>
        </w:rPr>
        <w:t>采用普通开合型，内部安装防潮加热器，断电后能手动控制阀门开合，整体耐盐耐腐蚀，防护等级IP67.</w:t>
      </w:r>
    </w:p>
    <w:p>
      <w:pPr>
        <w:pStyle w:val="3"/>
        <w:numPr>
          <w:ilvl w:val="0"/>
          <w:numId w:val="0"/>
        </w:numPr>
        <w:ind w:left="0" w:firstLineChars="200" w:firstLine="560"/>
        <w:rPr>
          <w:rFonts w:ascii="仿宋"/>
        </w:rPr>
      </w:pPr>
      <w:r>
        <w:rPr>
          <w:rFonts w:ascii="仿宋" w:hint="eastAsia"/>
        </w:rPr>
        <w:t>盐水管道输送系统最大工作压力为0.6Mpa，选用管道的直径、管道壁厚、数量以及泵阀的流量、扬程、数量可参考《智能化车间管道材料表》，投标方可根据自己的设计方案进行优化选型，</w:t>
      </w:r>
      <w:r>
        <w:rPr>
          <w:rFonts w:ascii="仿宋" w:hint="eastAsia"/>
          <w:szCs w:val="28"/>
        </w:rPr>
        <w:t>实现功能分区、设施共用、分类排水，</w:t>
      </w:r>
      <w:r>
        <w:rPr>
          <w:rFonts w:ascii="仿宋" w:hint="eastAsia"/>
        </w:rPr>
        <w:t>所选管道、泵阀能够满足原料起池翻池过程中盐水的流转。</w:t>
      </w:r>
    </w:p>
    <w:p>
      <w:pPr>
        <w:pStyle w:val="2"/>
        <w:numPr>
          <w:ilvl w:val="0"/>
          <w:numId w:val="0"/>
        </w:numPr>
        <w:ind w:left="0" w:firstLineChars="200" w:firstLine="560"/>
      </w:pPr>
      <w:r>
        <w:rPr>
          <w:rFonts w:ascii="仿宋" w:hAnsi="仿宋"/>
        </w:rPr>
        <w:t>2、</w:t>
      </w:r>
      <w:r>
        <w:rPr>
          <w:rFonts w:hint="eastAsia"/>
        </w:rPr>
        <w:t>自来水管道输送系统技术要求</w:t>
      </w:r>
    </w:p>
    <w:tbl>
      <w:tblPr>
        <w:jc w:val="lef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tblGrid>
        <w:gridCol w:w="1180"/>
        <w:gridCol w:w="1346"/>
        <w:gridCol w:w="2222"/>
        <w:gridCol w:w="4470"/>
      </w:tblGrid>
      <w:tr>
        <w:trPr>
          <w:trHeight w:val="567"/>
        </w:trPr>
        <w:tc>
          <w:tcPr>
            <w:tcW w:w="1206" w:type="dxa"/>
            <w:vAlign w:val="center"/>
          </w:tcPr>
          <w:p>
            <w:pPr>
              <w:pStyle w:val="21"/>
              <w:ind w:firstLineChars="0" w:firstLine="0"/>
              <w:jc w:val="center"/>
              <w:rPr>
                <w:rFonts w:ascii="仿宋"/>
                <w:b/>
                <w:szCs w:val="24"/>
              </w:rPr>
            </w:pPr>
            <w:r>
              <w:rPr>
                <w:rFonts w:ascii="仿宋" w:hint="eastAsia"/>
                <w:b/>
                <w:szCs w:val="24"/>
              </w:rPr>
              <w:t>序号</w:t>
            </w:r>
          </w:p>
        </w:tc>
        <w:tc>
          <w:tcPr>
            <w:tcW w:w="1376" w:type="dxa"/>
            <w:vAlign w:val="center"/>
          </w:tcPr>
          <w:p>
            <w:pPr>
              <w:pStyle w:val="21"/>
              <w:ind w:firstLineChars="0" w:firstLine="0"/>
              <w:jc w:val="center"/>
              <w:rPr>
                <w:rFonts w:ascii="仿宋"/>
                <w:b/>
                <w:szCs w:val="24"/>
              </w:rPr>
            </w:pPr>
            <w:r>
              <w:rPr>
                <w:rFonts w:ascii="仿宋" w:hint="eastAsia"/>
                <w:b/>
                <w:szCs w:val="24"/>
              </w:rPr>
              <w:t>系统名称</w:t>
            </w:r>
          </w:p>
        </w:tc>
        <w:tc>
          <w:tcPr>
            <w:tcW w:w="2271" w:type="dxa"/>
            <w:vAlign w:val="center"/>
          </w:tcPr>
          <w:p>
            <w:pPr>
              <w:pStyle w:val="21"/>
              <w:ind w:firstLineChars="0" w:firstLine="0"/>
              <w:jc w:val="center"/>
              <w:rPr>
                <w:rFonts w:ascii="仿宋"/>
                <w:b/>
                <w:szCs w:val="24"/>
              </w:rPr>
            </w:pPr>
            <w:r>
              <w:rPr>
                <w:rFonts w:ascii="仿宋" w:hint="eastAsia"/>
                <w:b/>
                <w:szCs w:val="24"/>
              </w:rPr>
              <w:t>数量及分布车间</w:t>
            </w:r>
          </w:p>
        </w:tc>
        <w:tc>
          <w:tcPr>
            <w:tcW w:w="4569" w:type="dxa"/>
            <w:vAlign w:val="center"/>
          </w:tcPr>
          <w:p>
            <w:pPr>
              <w:pStyle w:val="21"/>
              <w:ind w:firstLineChars="0" w:firstLine="0"/>
              <w:jc w:val="center"/>
              <w:rPr>
                <w:rFonts w:ascii="仿宋"/>
                <w:b/>
                <w:szCs w:val="24"/>
              </w:rPr>
            </w:pPr>
            <w:r>
              <w:rPr>
                <w:rFonts w:ascii="仿宋" w:hint="eastAsia"/>
                <w:b/>
                <w:szCs w:val="24"/>
              </w:rPr>
              <w:t>满足工艺</w:t>
            </w:r>
          </w:p>
        </w:tc>
      </w:tr>
      <w:tr>
        <w:tc>
          <w:tcPr>
            <w:tcW w:w="1206" w:type="dxa"/>
            <w:vAlign w:val="center"/>
          </w:tcPr>
          <w:p>
            <w:pPr>
              <w:pStyle w:val="21"/>
              <w:ind w:firstLineChars="0" w:firstLine="0"/>
              <w:jc w:val="center"/>
              <w:rPr>
                <w:rFonts w:ascii="仿宋"/>
                <w:szCs w:val="24"/>
              </w:rPr>
            </w:pPr>
            <w:r>
              <w:rPr>
                <w:rFonts w:ascii="仿宋" w:hint="eastAsia"/>
                <w:szCs w:val="24"/>
              </w:rPr>
              <w:t>1</w:t>
            </w:r>
          </w:p>
        </w:tc>
        <w:tc>
          <w:tcPr>
            <w:tcW w:w="1376" w:type="dxa"/>
            <w:vAlign w:val="center"/>
          </w:tcPr>
          <w:p>
            <w:pPr>
              <w:pStyle w:val="21"/>
              <w:ind w:firstLineChars="0" w:firstLine="0"/>
              <w:rPr>
                <w:rFonts w:ascii="仿宋"/>
                <w:szCs w:val="24"/>
              </w:rPr>
            </w:pPr>
            <w:r>
              <w:rPr>
                <w:rFonts w:ascii="仿宋" w:hint="eastAsia"/>
                <w:szCs w:val="24"/>
              </w:rPr>
              <w:t>自来水管道输送系统</w:t>
            </w:r>
          </w:p>
        </w:tc>
        <w:tc>
          <w:tcPr>
            <w:tcW w:w="2271" w:type="dxa"/>
            <w:vAlign w:val="center"/>
          </w:tcPr>
          <w:p>
            <w:pPr>
              <w:pStyle w:val="21"/>
              <w:ind w:firstLineChars="0" w:firstLine="0"/>
              <w:rPr>
                <w:rFonts w:ascii="仿宋"/>
                <w:szCs w:val="24"/>
              </w:rPr>
            </w:pPr>
            <w:r>
              <w:rPr>
                <w:rFonts w:ascii="仿宋" w:hint="eastAsia"/>
                <w:szCs w:val="24"/>
              </w:rPr>
              <w:t>共7套，分布车间：1#、3#、4#、5#、6#、7#、8#</w:t>
            </w:r>
          </w:p>
        </w:tc>
        <w:tc>
          <w:tcPr>
            <w:tcW w:w="4569" w:type="dxa"/>
            <w:vAlign w:val="center"/>
          </w:tcPr>
          <w:p>
            <w:pPr>
              <w:pStyle w:val="21"/>
              <w:numPr>
                <w:ilvl w:val="0"/>
                <w:numId w:val="9"/>
              </w:numPr>
              <w:ind w:left="0" w:firstLineChars="0" w:firstLine="480"/>
              <w:jc w:val="left"/>
              <w:rPr>
                <w:rFonts w:ascii="仿宋"/>
                <w:szCs w:val="24"/>
              </w:rPr>
            </w:pPr>
            <w:r>
              <w:rPr>
                <w:rFonts w:ascii="仿宋" w:hint="eastAsia"/>
                <w:szCs w:val="24"/>
              </w:rPr>
              <w:t>满足腌制窖池的清洗用水；</w:t>
            </w:r>
          </w:p>
          <w:p>
            <w:pPr>
              <w:pStyle w:val="21"/>
              <w:numPr>
                <w:ilvl w:val="0"/>
                <w:numId w:val="9"/>
              </w:numPr>
              <w:ind w:left="0" w:firstLineChars="0" w:firstLine="480"/>
              <w:jc w:val="left"/>
              <w:rPr>
                <w:rFonts w:ascii="仿宋"/>
                <w:szCs w:val="24"/>
              </w:rPr>
            </w:pPr>
            <w:r>
              <w:rPr>
                <w:rFonts w:ascii="仿宋" w:hint="eastAsia"/>
                <w:szCs w:val="24"/>
              </w:rPr>
              <w:t>满足水袋封池用水；</w:t>
            </w:r>
          </w:p>
        </w:tc>
      </w:tr>
    </w:tbl>
    <w:p>
      <w:pPr>
        <w:pStyle w:val="21"/>
        <w:rPr>
          <w:rFonts w:ascii="仿宋"/>
          <w:bCs/>
          <w:sz w:val="28"/>
          <w:szCs w:val="28"/>
        </w:rPr>
      </w:pPr>
      <w:r>
        <w:rPr>
          <w:rFonts w:ascii="仿宋" w:hint="eastAsia"/>
          <w:bCs/>
          <w:sz w:val="28"/>
          <w:szCs w:val="28"/>
        </w:rPr>
        <w:t>自来水管道采用PE管，不添加塑化剂及其他影响食品安全的物质，每六个窖池共用一个接水口，阀门采用304不锈钢手动阀，自来水管道最大工作压力为0.6Mpa，管道的管径、数量以及阀门的数量同样可参考《</w:t>
      </w:r>
      <w:r>
        <w:rPr>
          <w:rFonts w:ascii="仿宋" w:cs="仿宋" w:hint="eastAsia"/>
          <w:sz w:val="28"/>
          <w:szCs w:val="21"/>
        </w:rPr>
        <w:t>智能化车间管道材料表</w:t>
      </w:r>
      <w:r>
        <w:rPr>
          <w:rFonts w:ascii="仿宋" w:hint="eastAsia"/>
          <w:bCs/>
          <w:sz w:val="28"/>
          <w:szCs w:val="28"/>
        </w:rPr>
        <w:t>》。</w:t>
      </w:r>
    </w:p>
    <w:p>
      <w:pPr>
        <w:pStyle w:val="2"/>
        <w:numPr>
          <w:ilvl w:val="0"/>
          <w:numId w:val="0"/>
        </w:numPr>
        <w:ind w:left="0" w:firstLineChars="200" w:firstLine="560"/>
      </w:pPr>
      <w:r>
        <w:rPr>
          <w:rFonts w:ascii="仿宋" w:hAnsi="仿宋"/>
          <w:bCs/>
          <w:sz w:val="28"/>
          <w:szCs w:val="28"/>
        </w:rPr>
        <w:t>3、</w:t>
      </w:r>
      <w:r>
        <w:rPr>
          <w:rFonts w:hint="eastAsia"/>
        </w:rPr>
        <w:t>管道清洗排空系统技术要求</w:t>
      </w:r>
    </w:p>
    <w:p>
      <w:pPr>
        <w:pStyle w:val="24"/>
        <w:tabs>
          <w:tab w:val="left" w:pos="0"/>
        </w:tabs>
        <w:rPr>
          <w:rFonts w:ascii="仿宋" w:eastAsia="仿宋"/>
          <w:color w:val="auto"/>
        </w:rPr>
      </w:pPr>
      <w:r>
        <w:rPr>
          <w:rFonts w:ascii="仿宋" w:eastAsia="仿宋" w:hint="eastAsia"/>
          <w:color w:val="auto"/>
        </w:rPr>
        <w:t>管道清洗排空系统要求能够对每套盐水管道输送系统进行加压清洗，清洗后的余水和残渣能够及时排空，投标单位可参考设计院推荐的清洗排空模式，也可自行设计清洗排空方案。</w:t>
      </w:r>
    </w:p>
    <w:p>
      <w:pPr>
        <w:pStyle w:val="24"/>
        <w:tabs>
          <w:tab w:val="left" w:pos="0"/>
        </w:tabs>
        <w:rPr>
          <w:rFonts w:ascii="方正楷体_GBK" w:eastAsia="方正楷体_GBK" w:hint="eastAsia"/>
          <w:b/>
          <w:bCs/>
          <w:color w:val="auto"/>
        </w:rPr>
      </w:pPr>
      <w:r>
        <w:rPr>
          <w:rFonts w:ascii="方正楷体_GBK" w:eastAsia="方正楷体_GBK" w:hint="eastAsia"/>
          <w:b/>
          <w:bCs/>
          <w:color w:val="auto"/>
        </w:rPr>
        <w:t>4、</w:t>
      </w:r>
      <w:r>
        <w:rPr>
          <w:rFonts w:ascii="方正楷体_GBK" w:eastAsia="方正楷体_GBK"/>
          <w:b/>
          <w:bCs/>
          <w:color w:val="auto"/>
        </w:rPr>
        <w:t>电缆</w:t>
      </w:r>
      <w:r>
        <w:rPr>
          <w:rFonts w:ascii="方正楷体_GBK" w:eastAsia="方正楷体_GBK" w:hint="eastAsia"/>
          <w:b/>
          <w:bCs/>
          <w:color w:val="auto"/>
        </w:rPr>
        <w:t>桥架技术要求</w:t>
      </w:r>
    </w:p>
    <w:p>
      <w:pPr>
        <w:pStyle w:val="24"/>
        <w:tabs>
          <w:tab w:val="left" w:pos="0"/>
        </w:tabs>
        <w:rPr>
          <w:rFonts w:ascii="仿宋" w:eastAsia="仿宋"/>
          <w:color w:val="auto"/>
        </w:rPr>
      </w:pPr>
      <w:r>
        <w:rPr>
          <w:rFonts w:ascii="仿宋" w:eastAsia="仿宋"/>
          <w:color w:val="auto"/>
        </w:rPr>
        <w:t>电缆桥架</w:t>
        <w:tab/>
        <w:tab/>
        <w:t>50*50*1.0mm,带0.8盖板</w:t>
      </w:r>
    </w:p>
    <w:p>
      <w:pPr>
        <w:pStyle w:val="24"/>
        <w:tabs>
          <w:tab w:val="left" w:pos="0"/>
        </w:tabs>
        <w:rPr>
          <w:rFonts w:ascii="仿宋" w:eastAsia="仿宋"/>
          <w:color w:val="auto"/>
        </w:rPr>
      </w:pPr>
      <w:r>
        <w:rPr>
          <w:rFonts w:ascii="仿宋" w:eastAsia="仿宋"/>
          <w:color w:val="auto"/>
        </w:rPr>
        <w:t>电缆桥架</w:t>
        <w:tab/>
        <w:tab/>
        <w:t>100*50*1.0mm,带0.8盖板</w:t>
      </w:r>
    </w:p>
    <w:p>
      <w:pPr>
        <w:pStyle w:val="24"/>
        <w:tabs>
          <w:tab w:val="left" w:pos="0"/>
        </w:tabs>
        <w:rPr>
          <w:rFonts w:ascii="仿宋" w:eastAsia="仿宋"/>
          <w:color w:val="auto"/>
        </w:rPr>
      </w:pPr>
      <w:r>
        <w:rPr>
          <w:rFonts w:ascii="仿宋" w:eastAsia="仿宋"/>
          <w:color w:val="auto"/>
        </w:rPr>
        <w:t>电缆桥架</w:t>
        <w:tab/>
        <w:tab/>
        <w:t>200*100*1.2mm带1.0盖板</w:t>
      </w:r>
    </w:p>
    <w:p>
      <w:pPr>
        <w:pStyle w:val="24"/>
        <w:tabs>
          <w:tab w:val="left" w:pos="0"/>
        </w:tabs>
        <w:rPr>
          <w:rFonts w:ascii="仿宋" w:eastAsia="仿宋"/>
          <w:color w:val="auto"/>
        </w:rPr>
      </w:pPr>
      <w:r>
        <w:rPr>
          <w:rFonts w:ascii="仿宋" w:eastAsia="仿宋"/>
          <w:color w:val="auto"/>
        </w:rPr>
        <w:t>电缆桥架</w:t>
        <w:tab/>
        <w:tab/>
        <w:t>400*150*1.5mm带1.2盖板</w:t>
      </w:r>
    </w:p>
    <w:p>
      <w:pPr>
        <w:pStyle w:val="24"/>
        <w:tabs>
          <w:tab w:val="left" w:pos="0"/>
        </w:tabs>
        <w:rPr>
          <w:rFonts w:ascii="仿宋" w:eastAsia="仿宋"/>
          <w:color w:val="auto"/>
        </w:rPr>
      </w:pPr>
      <w:r>
        <w:rPr>
          <w:rFonts w:ascii="仿宋" w:eastAsia="仿宋"/>
          <w:color w:val="auto"/>
        </w:rPr>
        <w:t>电缆桥架</w:t>
        <w:tab/>
        <w:tab/>
        <w:t>800*200*2.0mm带1.5盖板</w:t>
      </w:r>
    </w:p>
    <w:p>
      <w:pPr>
        <w:pStyle w:val="24"/>
        <w:tabs>
          <w:tab w:val="left" w:pos="0"/>
        </w:tabs>
        <w:rPr>
          <w:rFonts w:ascii="仿宋" w:eastAsia="仿宋"/>
          <w:color w:val="auto"/>
        </w:rPr>
      </w:pPr>
      <w:r>
        <w:rPr>
          <w:rFonts w:ascii="仿宋" w:eastAsia="仿宋"/>
          <w:color w:val="auto"/>
        </w:rPr>
        <w:t>材质：碳钢，热浸锌处理。</w:t>
      </w:r>
    </w:p>
    <w:p>
      <w:pPr>
        <w:pStyle w:val="24"/>
        <w:tabs>
          <w:tab w:val="left" w:pos="0"/>
        </w:tabs>
        <w:rPr>
          <w:rFonts w:ascii="方正楷体_GBK" w:eastAsia="方正楷体_GBK"/>
          <w:b/>
          <w:bCs/>
          <w:color w:val="auto"/>
        </w:rPr>
      </w:pPr>
      <w:r>
        <w:rPr>
          <w:rFonts w:ascii="方正楷体_GBK" w:eastAsia="方正楷体_GBK" w:hint="eastAsia"/>
          <w:b/>
          <w:bCs/>
          <w:color w:val="auto"/>
        </w:rPr>
        <w:t>5、</w:t>
      </w:r>
      <w:r>
        <w:rPr>
          <w:rFonts w:ascii="方正楷体_GBK" w:eastAsia="方正楷体_GBK"/>
          <w:b/>
          <w:bCs/>
          <w:color w:val="auto"/>
        </w:rPr>
        <w:t>管道及桥架支架</w:t>
      </w:r>
    </w:p>
    <w:p>
      <w:pPr>
        <w:pStyle w:val="24"/>
        <w:tabs>
          <w:tab w:val="left" w:pos="0"/>
        </w:tabs>
        <w:rPr>
          <w:rFonts w:ascii="仿宋" w:eastAsia="仿宋" w:hint="eastAsia"/>
          <w:color w:val="auto"/>
        </w:rPr>
      </w:pPr>
      <w:r>
        <w:rPr>
          <w:rFonts w:ascii="仿宋" w:eastAsia="仿宋"/>
          <w:color w:val="auto"/>
        </w:rPr>
        <w:t>材质：碳钢，热侵锌处理。强度满足承载负荷要求，牢固，不移位，不变形，安装不损伤原有建筑物。</w:t>
      </w:r>
    </w:p>
    <w:p>
      <w:pPr>
        <w:pStyle w:val="1"/>
        <w:numPr>
          <w:ilvl w:val="0"/>
          <w:numId w:val="0"/>
        </w:numPr>
        <w:ind w:left="0" w:firstLine="0"/>
      </w:pPr>
      <w:r>
        <w:rPr>
          <w:rFonts w:ascii="仿宋" w:eastAsia="仿宋"/>
        </w:rPr>
        <w:t>二、</w:t>
      </w:r>
      <w:r>
        <w:rPr>
          <w:rFonts w:hint="eastAsia"/>
        </w:rPr>
        <w:t>管道系统安装技术要求</w:t>
      </w:r>
    </w:p>
    <w:p>
      <w:pPr>
        <w:pStyle w:val="24"/>
        <w:tabs>
          <w:tab w:val="left" w:pos="0"/>
        </w:tabs>
        <w:rPr>
          <w:rFonts w:ascii="方正楷体_GBK" w:eastAsia="方正楷体_GBK"/>
          <w:b/>
          <w:color w:val="auto"/>
        </w:rPr>
      </w:pPr>
      <w:r>
        <w:rPr>
          <w:rFonts w:ascii="方正楷体_GBK" w:eastAsia="方正楷体_GBK"/>
          <w:b/>
          <w:color w:val="auto"/>
        </w:rPr>
        <w:t>（一）</w:t>
      </w:r>
      <w:r>
        <w:rPr>
          <w:rFonts w:ascii="方正楷体_GBK" w:eastAsia="方正楷体_GBK" w:hint="eastAsia"/>
          <w:b/>
          <w:color w:val="auto"/>
        </w:rPr>
        <w:t>管道系统安装技术要求最终解释权归涪陵榨菜集团股份有限公司所有。</w:t>
      </w:r>
    </w:p>
    <w:p>
      <w:pPr>
        <w:pStyle w:val="24"/>
        <w:tabs>
          <w:tab w:val="left" w:pos="0"/>
        </w:tabs>
        <w:rPr>
          <w:rFonts w:ascii="方正楷体_GBK" w:eastAsia="方正楷体_GBK"/>
          <w:b/>
          <w:color w:val="auto"/>
        </w:rPr>
      </w:pPr>
      <w:r>
        <w:rPr>
          <w:rFonts w:ascii="方正楷体_GBK" w:eastAsia="方正楷体_GBK"/>
          <w:b/>
          <w:color w:val="auto"/>
        </w:rPr>
        <w:t>（二）</w:t>
      </w:r>
      <w:r>
        <w:rPr>
          <w:rFonts w:ascii="方正楷体_GBK" w:eastAsia="方正楷体_GBK" w:hint="eastAsia"/>
          <w:b/>
          <w:color w:val="auto"/>
        </w:rPr>
        <w:t>投标单位按照《乌江涪陵榨菜绿色智能化生产基地盐水管网设计图》的布局进行经行施工图设计，根据项目实际情况并参考现行国家标准确定适宜的施工方案对管道及辅助设备进行安装敷设，可局部优化。</w:t>
      </w:r>
    </w:p>
    <w:p>
      <w:pPr>
        <w:pStyle w:val="24"/>
        <w:tabs>
          <w:tab w:val="left" w:pos="0"/>
        </w:tabs>
        <w:rPr>
          <w:rFonts w:ascii="方正楷体_GBK" w:eastAsia="方正楷体_GBK"/>
          <w:b/>
          <w:color w:val="auto"/>
        </w:rPr>
      </w:pPr>
      <w:r>
        <w:rPr>
          <w:rFonts w:ascii="方正楷体_GBK" w:eastAsia="方正楷体_GBK"/>
          <w:b/>
          <w:color w:val="auto"/>
        </w:rPr>
        <w:t>（三）管道</w:t>
      </w:r>
      <w:r>
        <w:rPr>
          <w:rFonts w:ascii="方正楷体_GBK" w:eastAsia="方正楷体_GBK" w:hint="eastAsia"/>
          <w:b/>
          <w:color w:val="auto"/>
        </w:rPr>
        <w:t>施工过程要求</w:t>
      </w:r>
    </w:p>
    <w:p>
      <w:pPr>
        <w:pStyle w:val="24"/>
        <w:tabs>
          <w:tab w:val="left" w:pos="0"/>
        </w:tabs>
        <w:rPr>
          <w:rFonts w:ascii="仿宋" w:eastAsia="仿宋"/>
          <w:color w:val="auto"/>
        </w:rPr>
      </w:pPr>
      <w:r>
        <w:rPr>
          <w:rFonts w:ascii="仿宋" w:eastAsia="仿宋"/>
          <w:color w:val="auto"/>
        </w:rPr>
        <w:t>1、</w:t>
      </w:r>
      <w:r>
        <w:rPr>
          <w:rFonts w:ascii="仿宋" w:eastAsia="仿宋" w:hint="eastAsia"/>
          <w:color w:val="auto"/>
        </w:rPr>
        <w:t>金属管道施工符合《工业金属管道工程施工规范》GB50235中的相关要求，以及《工业金属管道工程施工质量验收规范》GB50184的规定。</w:t>
      </w:r>
    </w:p>
    <w:p>
      <w:pPr>
        <w:pStyle w:val="24"/>
        <w:tabs>
          <w:tab w:val="left" w:pos="0"/>
        </w:tabs>
        <w:rPr>
          <w:rFonts w:ascii="仿宋" w:eastAsia="仿宋"/>
          <w:color w:val="auto"/>
        </w:rPr>
      </w:pPr>
      <w:r>
        <w:rPr>
          <w:rFonts w:ascii="仿宋" w:eastAsia="仿宋"/>
          <w:color w:val="auto"/>
        </w:rPr>
        <w:t>2、</w:t>
      </w:r>
      <w:r>
        <w:rPr>
          <w:rFonts w:ascii="仿宋" w:eastAsia="仿宋" w:hint="eastAsia"/>
          <w:color w:val="auto"/>
        </w:rPr>
        <w:t>非金属管道施工符合《GBT 13663.3-2018 给水用聚乙烯(PE)管道系统》及《建筑排水塑料管道工程技术规范CJJT29-2010》中的相关规定。</w:t>
      </w:r>
    </w:p>
    <w:p>
      <w:pPr>
        <w:pStyle w:val="24"/>
        <w:tabs>
          <w:tab w:val="left" w:pos="0"/>
        </w:tabs>
        <w:rPr>
          <w:rFonts w:ascii="仿宋" w:eastAsia="仿宋"/>
          <w:color w:val="auto"/>
        </w:rPr>
      </w:pPr>
      <w:r>
        <w:rPr>
          <w:rFonts w:ascii="仿宋" w:eastAsia="仿宋"/>
          <w:color w:val="auto"/>
        </w:rPr>
        <w:t>3、</w:t>
      </w:r>
      <w:r>
        <w:rPr>
          <w:rFonts w:ascii="仿宋" w:eastAsia="仿宋" w:hint="eastAsia"/>
          <w:color w:val="auto"/>
        </w:rPr>
        <w:t>管道安装完成后，做好介质流向标记，焊缝做防腐处理。并按国家标准规范分段进行试压</w:t>
      </w:r>
      <w:r>
        <w:rPr>
          <w:rFonts w:ascii="仿宋" w:eastAsia="仿宋"/>
          <w:color w:val="auto"/>
        </w:rPr>
        <w:t>。</w:t>
      </w:r>
    </w:p>
    <w:p>
      <w:pPr>
        <w:pStyle w:val="24"/>
        <w:tabs>
          <w:tab w:val="left" w:pos="0"/>
        </w:tabs>
        <w:rPr>
          <w:rFonts w:ascii="仿宋" w:eastAsia="仿宋"/>
          <w:color w:val="auto"/>
        </w:rPr>
      </w:pPr>
      <w:r>
        <w:rPr>
          <w:rFonts w:ascii="仿宋" w:eastAsia="仿宋"/>
          <w:color w:val="auto"/>
        </w:rPr>
        <w:t>4、管道分段试压合格后，应做实施方案对与食品接触部分系统（盐水收集系统、盐水复用系统、跨车间输送管道系统、自来水系统）进行冲洗、消毒。</w:t>
      </w:r>
    </w:p>
    <w:p>
      <w:pPr>
        <w:pStyle w:val="24"/>
        <w:tabs>
          <w:tab w:val="left" w:pos="0"/>
        </w:tabs>
        <w:rPr>
          <w:rFonts w:ascii="仿宋" w:eastAsia="仿宋"/>
          <w:color w:val="auto"/>
        </w:rPr>
      </w:pPr>
      <w:r>
        <w:rPr>
          <w:rFonts w:ascii="仿宋" w:eastAsia="仿宋"/>
          <w:color w:val="auto"/>
        </w:rPr>
        <w:t>5、</w:t>
      </w:r>
      <w:r>
        <w:rPr>
          <w:rFonts w:ascii="仿宋" w:eastAsia="仿宋" w:hint="eastAsia"/>
          <w:color w:val="auto"/>
        </w:rPr>
        <w:t>不锈钢管道使用前进行酸洗钝化。</w:t>
      </w:r>
    </w:p>
    <w:p>
      <w:pPr>
        <w:pStyle w:val="24"/>
        <w:tabs>
          <w:tab w:val="left" w:pos="0"/>
        </w:tabs>
        <w:rPr>
          <w:rFonts w:ascii="方正楷体_GBK" w:eastAsia="方正楷体_GBK"/>
          <w:b/>
          <w:color w:val="auto"/>
        </w:rPr>
      </w:pPr>
      <w:r>
        <w:rPr>
          <w:rFonts w:ascii="方正楷体_GBK" w:eastAsia="方正楷体_GBK"/>
          <w:b/>
          <w:color w:val="auto"/>
        </w:rPr>
        <w:t>（四）</w:t>
      </w:r>
      <w:r>
        <w:rPr>
          <w:rFonts w:ascii="方正楷体_GBK" w:eastAsia="方正楷体_GBK" w:hint="eastAsia"/>
          <w:b/>
          <w:color w:val="auto"/>
        </w:rPr>
        <w:t>竣工验收要求</w:t>
      </w:r>
    </w:p>
    <w:p>
      <w:pPr>
        <w:pStyle w:val="24"/>
        <w:tabs>
          <w:tab w:val="left" w:pos="0"/>
        </w:tabs>
        <w:rPr>
          <w:rFonts w:ascii="仿宋" w:eastAsia="仿宋"/>
          <w:color w:val="auto"/>
          <w:szCs w:val="28"/>
        </w:rPr>
      </w:pPr>
      <w:r>
        <w:rPr>
          <w:rFonts w:ascii="仿宋" w:eastAsia="仿宋" w:hint="eastAsia"/>
          <w:color w:val="auto"/>
          <w:szCs w:val="28"/>
        </w:rPr>
        <w:t>竣工验收投标单位提交下列资料：</w:t>
      </w:r>
    </w:p>
    <w:p>
      <w:pPr>
        <w:pStyle w:val="24"/>
        <w:tabs>
          <w:tab w:val="left" w:pos="0"/>
        </w:tabs>
        <w:rPr>
          <w:rFonts w:ascii="仿宋" w:eastAsia="仿宋"/>
          <w:color w:val="auto"/>
        </w:rPr>
      </w:pPr>
      <w:r>
        <w:rPr>
          <w:rFonts w:ascii="仿宋" w:eastAsia="仿宋"/>
          <w:color w:val="auto"/>
        </w:rPr>
        <w:t>1、</w:t>
      </w:r>
      <w:r>
        <w:rPr>
          <w:rFonts w:ascii="仿宋" w:eastAsia="仿宋" w:hint="eastAsia"/>
          <w:color w:val="auto"/>
        </w:rPr>
        <w:t>竣工图及设计变更文件；</w:t>
      </w:r>
    </w:p>
    <w:p>
      <w:pPr>
        <w:pStyle w:val="24"/>
        <w:tabs>
          <w:tab w:val="left" w:pos="0"/>
        </w:tabs>
        <w:rPr>
          <w:rFonts w:ascii="仿宋" w:eastAsia="仿宋"/>
          <w:color w:val="auto"/>
        </w:rPr>
      </w:pPr>
      <w:r>
        <w:rPr>
          <w:rFonts w:ascii="仿宋" w:eastAsia="仿宋"/>
          <w:color w:val="auto"/>
        </w:rPr>
        <w:t>2、</w:t>
      </w:r>
      <w:r>
        <w:rPr>
          <w:rFonts w:ascii="仿宋" w:eastAsia="仿宋" w:hint="eastAsia"/>
          <w:color w:val="auto"/>
        </w:rPr>
        <w:t>材料和设备的出厂合格证、试验记录及相关技术参数的设备卡；</w:t>
      </w:r>
    </w:p>
    <w:p>
      <w:pPr>
        <w:pStyle w:val="24"/>
        <w:tabs>
          <w:tab w:val="left" w:pos="0"/>
        </w:tabs>
        <w:rPr>
          <w:rFonts w:ascii="仿宋" w:eastAsia="仿宋"/>
          <w:color w:val="auto"/>
        </w:rPr>
      </w:pPr>
      <w:r>
        <w:rPr>
          <w:rFonts w:ascii="仿宋" w:eastAsia="仿宋"/>
          <w:color w:val="auto"/>
        </w:rPr>
        <w:t>3、</w:t>
      </w:r>
      <w:r>
        <w:rPr>
          <w:rFonts w:ascii="仿宋" w:eastAsia="仿宋" w:hint="eastAsia"/>
          <w:color w:val="auto"/>
        </w:rPr>
        <w:t>系统的试压记录表；</w:t>
      </w:r>
    </w:p>
    <w:p>
      <w:pPr>
        <w:pStyle w:val="24"/>
        <w:tabs>
          <w:tab w:val="left" w:pos="0"/>
        </w:tabs>
        <w:rPr>
          <w:rFonts w:ascii="仿宋" w:eastAsia="仿宋"/>
          <w:color w:val="auto"/>
        </w:rPr>
      </w:pPr>
      <w:r>
        <w:rPr>
          <w:rFonts w:ascii="仿宋" w:eastAsia="仿宋"/>
          <w:color w:val="auto"/>
        </w:rPr>
        <w:t>4、</w:t>
      </w:r>
      <w:r>
        <w:rPr>
          <w:rFonts w:ascii="仿宋" w:eastAsia="仿宋" w:hint="eastAsia"/>
          <w:color w:val="auto"/>
        </w:rPr>
        <w:t>冲洗及消毒后水质化验报告；</w:t>
      </w:r>
    </w:p>
    <w:p>
      <w:pPr>
        <w:pStyle w:val="24"/>
        <w:tabs>
          <w:tab w:val="left" w:pos="0"/>
        </w:tabs>
        <w:rPr>
          <w:rFonts w:ascii="仿宋" w:eastAsia="仿宋"/>
          <w:color w:val="auto"/>
        </w:rPr>
      </w:pPr>
      <w:r>
        <w:rPr>
          <w:rFonts w:ascii="仿宋" w:eastAsia="仿宋"/>
          <w:color w:val="auto"/>
        </w:rPr>
        <w:t>5、</w:t>
      </w:r>
      <w:r>
        <w:rPr>
          <w:rFonts w:ascii="仿宋" w:eastAsia="仿宋" w:hint="eastAsia"/>
          <w:color w:val="auto"/>
        </w:rPr>
        <w:t>项目质量评定记录</w:t>
      </w:r>
      <w:r>
        <w:rPr>
          <w:rFonts w:ascii="仿宋" w:eastAsia="仿宋"/>
          <w:color w:val="auto"/>
        </w:rPr>
        <w:t>；</w:t>
      </w:r>
    </w:p>
    <w:p>
      <w:pPr>
        <w:pStyle w:val="24"/>
        <w:tabs>
          <w:tab w:val="left" w:pos="0"/>
        </w:tabs>
        <w:rPr>
          <w:rFonts w:ascii="仿宋" w:eastAsia="仿宋"/>
          <w:color w:val="auto"/>
        </w:rPr>
      </w:pPr>
      <w:r>
        <w:rPr>
          <w:rFonts w:ascii="仿宋" w:eastAsia="仿宋"/>
          <w:color w:val="auto"/>
        </w:rPr>
        <w:t>6、约定要求由第三方提供的检测报告；</w:t>
      </w:r>
    </w:p>
    <w:p>
      <w:pPr>
        <w:pStyle w:val="24"/>
        <w:tabs>
          <w:tab w:val="left" w:pos="0"/>
        </w:tabs>
        <w:rPr>
          <w:rFonts w:ascii="仿宋" w:eastAsia="仿宋"/>
          <w:color w:val="auto"/>
        </w:rPr>
      </w:pPr>
      <w:r>
        <w:rPr>
          <w:rFonts w:ascii="仿宋" w:eastAsia="仿宋"/>
          <w:color w:val="auto"/>
        </w:rPr>
        <w:t>7、项目系统说明书、操作使用说明书、维保使用说明书、应用程序备份文件等。</w:t>
      </w:r>
    </w:p>
    <w:p>
      <w:pPr>
        <w:pStyle w:val="1"/>
        <w:numPr>
          <w:ilvl w:val="0"/>
          <w:numId w:val="0"/>
        </w:numPr>
        <w:ind w:left="0" w:firstLine="0"/>
      </w:pPr>
      <w:r>
        <w:t>三、</w:t>
      </w:r>
      <w:r>
        <w:rPr>
          <w:rFonts w:hint="eastAsia"/>
        </w:rPr>
        <w:t>盐水管道输送系统辅助设备技术要求</w:t>
      </w:r>
    </w:p>
    <w:p>
      <w:pPr>
        <w:pStyle w:val="21"/>
        <w:ind w:firstLineChars="0" w:firstLine="0"/>
        <w:rPr>
          <w:rFonts w:ascii="仿宋"/>
          <w:bCs/>
          <w:sz w:val="28"/>
          <w:szCs w:val="28"/>
        </w:rPr>
      </w:pPr>
      <w:r>
        <w:rPr>
          <w:rFonts w:ascii="仿宋" w:hint="eastAsia"/>
          <w:b/>
          <w:sz w:val="28"/>
          <w:szCs w:val="28"/>
        </w:rPr>
        <w:t xml:space="preserve">   </w:t>
      </w:r>
      <w:r>
        <w:rPr>
          <w:rFonts w:ascii="仿宋" w:hint="eastAsia"/>
          <w:bCs/>
          <w:sz w:val="28"/>
          <w:szCs w:val="28"/>
        </w:rPr>
        <w:t>盐水在输送流转过程中需要对其进行过滤、计量和检测等，其设备及需满足的工艺要求如下：</w:t>
      </w:r>
    </w:p>
    <w:tbl>
      <w:tblPr>
        <w:jc w:val="lef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tblGrid>
        <w:gridCol w:w="838"/>
        <w:gridCol w:w="1719"/>
        <w:gridCol w:w="2820"/>
        <w:gridCol w:w="3988"/>
      </w:tblGrid>
      <w:tr>
        <w:tc>
          <w:tcPr>
            <w:tcW w:w="856" w:type="dxa"/>
          </w:tcPr>
          <w:p>
            <w:pPr>
              <w:pStyle w:val="21"/>
              <w:ind w:firstLineChars="0" w:firstLine="0"/>
              <w:jc w:val="center"/>
              <w:rPr>
                <w:rFonts w:ascii="仿宋"/>
                <w:b/>
                <w:sz w:val="21"/>
                <w:szCs w:val="21"/>
              </w:rPr>
            </w:pPr>
            <w:r>
              <w:rPr>
                <w:rFonts w:ascii="仿宋" w:hint="eastAsia"/>
                <w:b/>
                <w:sz w:val="21"/>
                <w:szCs w:val="21"/>
              </w:rPr>
              <w:t>序号</w:t>
            </w:r>
          </w:p>
        </w:tc>
        <w:tc>
          <w:tcPr>
            <w:tcW w:w="1757" w:type="dxa"/>
          </w:tcPr>
          <w:p>
            <w:pPr>
              <w:pStyle w:val="21"/>
              <w:ind w:firstLineChars="0" w:firstLine="0"/>
              <w:jc w:val="center"/>
              <w:rPr>
                <w:rFonts w:ascii="仿宋"/>
                <w:b/>
                <w:sz w:val="21"/>
                <w:szCs w:val="21"/>
              </w:rPr>
            </w:pPr>
            <w:r>
              <w:rPr>
                <w:rFonts w:ascii="仿宋" w:hint="eastAsia"/>
                <w:b/>
                <w:sz w:val="21"/>
                <w:szCs w:val="21"/>
              </w:rPr>
              <w:t>设备名称</w:t>
            </w:r>
          </w:p>
        </w:tc>
        <w:tc>
          <w:tcPr>
            <w:tcW w:w="2882" w:type="dxa"/>
          </w:tcPr>
          <w:p>
            <w:pPr>
              <w:pStyle w:val="21"/>
              <w:ind w:firstLineChars="0" w:firstLine="0"/>
              <w:jc w:val="center"/>
              <w:rPr>
                <w:rFonts w:ascii="仿宋"/>
                <w:b/>
                <w:sz w:val="21"/>
                <w:szCs w:val="21"/>
              </w:rPr>
            </w:pPr>
            <w:r>
              <w:rPr>
                <w:rFonts w:ascii="仿宋" w:hint="eastAsia"/>
                <w:b/>
                <w:sz w:val="21"/>
                <w:szCs w:val="21"/>
              </w:rPr>
              <w:t>分布车间及数量</w:t>
            </w:r>
          </w:p>
        </w:tc>
        <w:tc>
          <w:tcPr>
            <w:tcW w:w="4076" w:type="dxa"/>
          </w:tcPr>
          <w:p>
            <w:pPr>
              <w:pStyle w:val="21"/>
              <w:ind w:firstLineChars="0" w:firstLine="0"/>
              <w:jc w:val="center"/>
              <w:rPr>
                <w:rFonts w:ascii="仿宋"/>
                <w:b/>
                <w:sz w:val="21"/>
                <w:szCs w:val="21"/>
              </w:rPr>
            </w:pPr>
            <w:r>
              <w:rPr>
                <w:rFonts w:ascii="仿宋" w:hint="eastAsia"/>
                <w:b/>
                <w:sz w:val="21"/>
                <w:szCs w:val="21"/>
              </w:rPr>
              <w:t>满足工艺</w:t>
            </w:r>
          </w:p>
        </w:tc>
      </w:tr>
      <w:tr>
        <w:tc>
          <w:tcPr>
            <w:tcW w:w="856" w:type="dxa"/>
            <w:vAlign w:val="center"/>
          </w:tcPr>
          <w:p>
            <w:pPr>
              <w:pStyle w:val="21"/>
              <w:ind w:firstLineChars="0" w:firstLine="0"/>
              <w:jc w:val="center"/>
              <w:rPr>
                <w:rFonts w:ascii="仿宋"/>
                <w:b/>
                <w:sz w:val="21"/>
                <w:szCs w:val="21"/>
              </w:rPr>
            </w:pPr>
            <w:r>
              <w:rPr>
                <w:rFonts w:ascii="仿宋" w:hint="eastAsia"/>
                <w:b/>
                <w:sz w:val="21"/>
                <w:szCs w:val="21"/>
              </w:rPr>
              <w:t>1</w:t>
            </w:r>
          </w:p>
        </w:tc>
        <w:tc>
          <w:tcPr>
            <w:tcW w:w="1757" w:type="dxa"/>
            <w:vAlign w:val="center"/>
          </w:tcPr>
          <w:p>
            <w:pPr>
              <w:pStyle w:val="21"/>
              <w:ind w:firstLineChars="0" w:firstLine="0"/>
              <w:jc w:val="center"/>
              <w:rPr>
                <w:rFonts w:ascii="仿宋"/>
                <w:b/>
                <w:sz w:val="21"/>
                <w:szCs w:val="21"/>
              </w:rPr>
            </w:pPr>
            <w:r>
              <w:rPr>
                <w:rFonts w:ascii="仿宋" w:hint="eastAsia"/>
                <w:b/>
                <w:sz w:val="21"/>
                <w:szCs w:val="21"/>
              </w:rPr>
              <w:t>盐水过滤机</w:t>
            </w:r>
          </w:p>
        </w:tc>
        <w:tc>
          <w:tcPr>
            <w:tcW w:w="2882" w:type="dxa"/>
          </w:tcPr>
          <w:p>
            <w:pPr>
              <w:pStyle w:val="21"/>
              <w:ind w:firstLineChars="0" w:firstLine="0"/>
              <w:rPr>
                <w:rFonts w:ascii="仿宋"/>
                <w:b/>
                <w:sz w:val="21"/>
                <w:szCs w:val="21"/>
              </w:rPr>
            </w:pPr>
            <w:r>
              <w:rPr>
                <w:rFonts w:ascii="仿宋" w:hint="eastAsia"/>
                <w:sz w:val="21"/>
                <w:szCs w:val="21"/>
              </w:rPr>
              <w:t>分布车间：1#、3#、4#、5#、7#、8#；每个车间3套</w:t>
            </w:r>
          </w:p>
        </w:tc>
        <w:tc>
          <w:tcPr>
            <w:tcW w:w="4076" w:type="dxa"/>
          </w:tcPr>
          <w:p>
            <w:pPr>
              <w:pStyle w:val="21"/>
              <w:ind w:firstLineChars="0" w:firstLine="0"/>
              <w:rPr>
                <w:rFonts w:ascii="仿宋"/>
                <w:b/>
                <w:sz w:val="21"/>
                <w:szCs w:val="21"/>
              </w:rPr>
            </w:pPr>
            <w:r>
              <w:rPr>
                <w:rFonts w:ascii="仿宋" w:hint="eastAsia"/>
                <w:bCs/>
                <w:sz w:val="21"/>
                <w:szCs w:val="21"/>
              </w:rPr>
              <w:t>对一腌榨菜汁、二腌榨菜汁、车间脱盐水、外购半成品沥水进行集中过滤。</w:t>
            </w:r>
          </w:p>
        </w:tc>
      </w:tr>
      <w:tr>
        <w:tc>
          <w:tcPr>
            <w:tcW w:w="856" w:type="dxa"/>
            <w:vAlign w:val="center"/>
          </w:tcPr>
          <w:p>
            <w:pPr>
              <w:pStyle w:val="21"/>
              <w:ind w:firstLineChars="0" w:firstLine="0"/>
              <w:jc w:val="center"/>
              <w:rPr>
                <w:rFonts w:ascii="仿宋"/>
                <w:b/>
                <w:sz w:val="21"/>
                <w:szCs w:val="21"/>
              </w:rPr>
            </w:pPr>
            <w:r>
              <w:rPr>
                <w:rFonts w:ascii="仿宋" w:hint="eastAsia"/>
                <w:b/>
                <w:sz w:val="21"/>
                <w:szCs w:val="21"/>
              </w:rPr>
              <w:t>2</w:t>
            </w:r>
          </w:p>
        </w:tc>
        <w:tc>
          <w:tcPr>
            <w:tcW w:w="1757" w:type="dxa"/>
            <w:vAlign w:val="center"/>
          </w:tcPr>
          <w:p>
            <w:pPr>
              <w:pStyle w:val="21"/>
              <w:ind w:firstLineChars="0" w:firstLine="0"/>
              <w:jc w:val="center"/>
              <w:rPr>
                <w:rFonts w:ascii="仿宋"/>
                <w:b/>
                <w:sz w:val="21"/>
                <w:szCs w:val="21"/>
              </w:rPr>
            </w:pPr>
            <w:r>
              <w:rPr>
                <w:rFonts w:ascii="仿宋" w:hint="eastAsia"/>
                <w:b/>
                <w:sz w:val="21"/>
                <w:szCs w:val="21"/>
              </w:rPr>
              <w:t>流量计</w:t>
            </w:r>
          </w:p>
        </w:tc>
        <w:tc>
          <w:tcPr>
            <w:tcW w:w="2882" w:type="dxa"/>
          </w:tcPr>
          <w:p>
            <w:pPr>
              <w:pStyle w:val="21"/>
              <w:ind w:firstLineChars="0" w:firstLine="0"/>
              <w:rPr>
                <w:rFonts w:ascii="仿宋"/>
                <w:b/>
                <w:sz w:val="21"/>
                <w:szCs w:val="21"/>
              </w:rPr>
            </w:pPr>
            <w:r>
              <w:rPr>
                <w:rFonts w:ascii="仿宋" w:hint="eastAsia"/>
                <w:sz w:val="21"/>
                <w:szCs w:val="21"/>
              </w:rPr>
              <w:t>分布车间：1#、3#、4#、5#、7#、8#；按需配置</w:t>
            </w:r>
          </w:p>
        </w:tc>
        <w:tc>
          <w:tcPr>
            <w:tcW w:w="4076" w:type="dxa"/>
          </w:tcPr>
          <w:p>
            <w:pPr>
              <w:pStyle w:val="21"/>
              <w:ind w:firstLineChars="0" w:firstLine="0"/>
              <w:rPr>
                <w:rFonts w:ascii="仿宋"/>
                <w:b/>
                <w:sz w:val="21"/>
                <w:szCs w:val="21"/>
              </w:rPr>
            </w:pPr>
            <w:r>
              <w:rPr>
                <w:rFonts w:ascii="仿宋" w:hint="eastAsia"/>
                <w:bCs/>
                <w:sz w:val="21"/>
                <w:szCs w:val="21"/>
              </w:rPr>
              <w:t>各种盐水在流转过过程中能够及时计量</w:t>
            </w:r>
          </w:p>
        </w:tc>
      </w:tr>
    </w:tbl>
    <w:p>
      <w:pPr>
        <w:pStyle w:val="2"/>
        <w:numPr>
          <w:ilvl w:val="0"/>
          <w:numId w:val="0"/>
        </w:numPr>
        <w:ind w:left="0" w:firstLineChars="200" w:firstLine="420"/>
      </w:pPr>
      <w:r>
        <w:rPr>
          <w:rFonts w:ascii="仿宋" w:hAnsi="仿宋"/>
          <w:b/>
          <w:sz w:val="21"/>
          <w:szCs w:val="21"/>
        </w:rPr>
        <w:t>1、</w:t>
      </w:r>
      <w:r>
        <w:rPr>
          <w:rFonts w:hint="eastAsia"/>
        </w:rPr>
        <w:t>盐水过滤机技术要求</w:t>
      </w:r>
    </w:p>
    <w:p>
      <w:pPr>
        <w:pStyle w:val="21"/>
        <w:rPr>
          <w:rFonts w:ascii="仿宋"/>
          <w:bCs/>
          <w:sz w:val="28"/>
          <w:szCs w:val="28"/>
        </w:rPr>
      </w:pPr>
      <w:r>
        <w:rPr>
          <w:rFonts w:ascii="仿宋" w:hint="eastAsia"/>
          <w:bCs/>
          <w:sz w:val="28"/>
          <w:szCs w:val="28"/>
        </w:rPr>
        <w:t>统一采用转鼓式过滤机，与盐水接触部分采用316L不锈钢材质，能够过滤掉1mm以上的杂质。</w:t>
      </w:r>
    </w:p>
    <w:p>
      <w:pPr>
        <w:pStyle w:val="2"/>
        <w:numPr>
          <w:ilvl w:val="0"/>
          <w:numId w:val="0"/>
        </w:numPr>
        <w:ind w:left="0" w:firstLineChars="200" w:firstLine="560"/>
      </w:pPr>
      <w:r>
        <w:rPr>
          <w:rFonts w:ascii="仿宋" w:hAnsi="仿宋"/>
          <w:bCs/>
          <w:sz w:val="28"/>
          <w:szCs w:val="28"/>
        </w:rPr>
        <w:t>2、</w:t>
      </w:r>
      <w:r>
        <w:rPr>
          <w:rFonts w:hint="eastAsia"/>
        </w:rPr>
        <w:t>流量计技术要求</w:t>
      </w:r>
    </w:p>
    <w:p>
      <w:pPr>
        <w:pStyle w:val="21"/>
        <w:ind w:firstLineChars="200" w:firstLine="560"/>
        <w:rPr>
          <w:rFonts w:ascii="仿宋"/>
          <w:bCs/>
          <w:sz w:val="28"/>
          <w:szCs w:val="28"/>
        </w:rPr>
      </w:pPr>
      <w:r>
        <w:rPr>
          <w:rFonts w:ascii="仿宋" w:hint="eastAsia"/>
          <w:bCs/>
          <w:sz w:val="28"/>
          <w:szCs w:val="28"/>
        </w:rPr>
        <w:t>采用法兰连接，智能流量数显仪表采用中文显示，参数能够实现数据</w:t>
      </w:r>
      <w:r>
        <w:rPr>
          <w:rFonts w:ascii="仿宋"/>
          <w:bCs/>
          <w:sz w:val="28"/>
          <w:szCs w:val="28"/>
        </w:rPr>
        <w:t>上</w:t>
      </w:r>
      <w:r>
        <w:rPr>
          <w:rFonts w:ascii="仿宋" w:hint="eastAsia"/>
          <w:bCs/>
          <w:sz w:val="28"/>
          <w:szCs w:val="28"/>
        </w:rPr>
        <w:t>传到计算机上，实现在终端计算机读取各流量参数，防护等级IP67。</w:t>
      </w:r>
    </w:p>
    <w:p>
      <w:pPr>
        <w:pStyle w:val="1"/>
      </w:pPr>
      <w:r>
        <w:rPr>
          <w:rFonts w:hint="eastAsia"/>
        </w:rPr>
        <w:t>气体监控报警系统技术要求</w:t>
      </w:r>
    </w:p>
    <w:p>
      <w:pPr>
        <w:pStyle w:val="21"/>
        <w:ind w:firstLineChars="200" w:firstLine="560"/>
        <w:rPr>
          <w:rFonts w:ascii="仿宋"/>
          <w:bCs/>
          <w:sz w:val="28"/>
          <w:szCs w:val="28"/>
        </w:rPr>
      </w:pPr>
      <w:r>
        <w:rPr>
          <w:rFonts w:ascii="仿宋" w:hint="eastAsia"/>
          <w:bCs/>
          <w:sz w:val="28"/>
          <w:szCs w:val="28"/>
        </w:rPr>
        <w:t>盐水管网安装位置位于车间负一层，为半封闭空间，要求在每个车间的配置有毒有害气体监控报警系统，其配置数量及满足要求如下：</w:t>
      </w:r>
    </w:p>
    <w:tbl>
      <w:tblPr>
        <w:jc w:val="lef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tblGrid>
        <w:gridCol w:w="838"/>
        <w:gridCol w:w="1719"/>
        <w:gridCol w:w="2317"/>
        <w:gridCol w:w="4491"/>
      </w:tblGrid>
      <w:tr>
        <w:tc>
          <w:tcPr>
            <w:tcW w:w="856" w:type="dxa"/>
          </w:tcPr>
          <w:p>
            <w:pPr>
              <w:pStyle w:val="21"/>
              <w:ind w:firstLineChars="0" w:firstLine="0"/>
              <w:jc w:val="center"/>
              <w:rPr>
                <w:rFonts w:ascii="仿宋"/>
                <w:b/>
                <w:sz w:val="28"/>
                <w:szCs w:val="28"/>
              </w:rPr>
            </w:pPr>
            <w:r>
              <w:rPr>
                <w:rFonts w:ascii="仿宋" w:hint="eastAsia"/>
                <w:b/>
                <w:sz w:val="28"/>
                <w:szCs w:val="28"/>
              </w:rPr>
              <w:t>序号</w:t>
            </w:r>
          </w:p>
        </w:tc>
        <w:tc>
          <w:tcPr>
            <w:tcW w:w="1757" w:type="dxa"/>
          </w:tcPr>
          <w:p>
            <w:pPr>
              <w:pStyle w:val="21"/>
              <w:ind w:firstLineChars="0" w:firstLine="0"/>
              <w:jc w:val="center"/>
              <w:rPr>
                <w:rFonts w:ascii="仿宋"/>
                <w:b/>
                <w:sz w:val="28"/>
                <w:szCs w:val="28"/>
              </w:rPr>
            </w:pPr>
            <w:r>
              <w:rPr>
                <w:rFonts w:ascii="仿宋" w:hint="eastAsia"/>
                <w:b/>
                <w:sz w:val="28"/>
                <w:szCs w:val="28"/>
              </w:rPr>
              <w:t>设备名称</w:t>
            </w:r>
          </w:p>
        </w:tc>
        <w:tc>
          <w:tcPr>
            <w:tcW w:w="2368" w:type="dxa"/>
          </w:tcPr>
          <w:p>
            <w:pPr>
              <w:pStyle w:val="21"/>
              <w:ind w:firstLineChars="0" w:firstLine="0"/>
              <w:jc w:val="center"/>
              <w:rPr>
                <w:rFonts w:ascii="仿宋"/>
                <w:b/>
                <w:sz w:val="28"/>
                <w:szCs w:val="28"/>
              </w:rPr>
            </w:pPr>
            <w:r>
              <w:rPr>
                <w:rFonts w:ascii="仿宋" w:hint="eastAsia"/>
                <w:b/>
                <w:sz w:val="28"/>
                <w:szCs w:val="28"/>
              </w:rPr>
              <w:t>分布车间及数量</w:t>
            </w:r>
          </w:p>
        </w:tc>
        <w:tc>
          <w:tcPr>
            <w:tcW w:w="4590" w:type="dxa"/>
          </w:tcPr>
          <w:p>
            <w:pPr>
              <w:pStyle w:val="21"/>
              <w:ind w:firstLineChars="0" w:firstLine="0"/>
              <w:jc w:val="center"/>
              <w:rPr>
                <w:rFonts w:ascii="仿宋"/>
                <w:b/>
                <w:sz w:val="28"/>
                <w:szCs w:val="28"/>
              </w:rPr>
            </w:pPr>
            <w:r>
              <w:rPr>
                <w:rFonts w:ascii="仿宋" w:hint="eastAsia"/>
                <w:b/>
                <w:sz w:val="28"/>
                <w:szCs w:val="28"/>
              </w:rPr>
              <w:t>满足工艺</w:t>
            </w:r>
          </w:p>
        </w:tc>
      </w:tr>
      <w:tr>
        <w:tc>
          <w:tcPr>
            <w:tcW w:w="856" w:type="dxa"/>
          </w:tcPr>
          <w:p>
            <w:pPr>
              <w:pStyle w:val="21"/>
              <w:ind w:firstLineChars="0" w:firstLine="0"/>
              <w:jc w:val="center"/>
              <w:rPr>
                <w:rFonts w:ascii="仿宋"/>
                <w:b/>
                <w:sz w:val="28"/>
                <w:szCs w:val="28"/>
              </w:rPr>
            </w:pPr>
            <w:r>
              <w:rPr>
                <w:rFonts w:ascii="仿宋" w:hint="eastAsia"/>
                <w:b/>
                <w:sz w:val="28"/>
                <w:szCs w:val="28"/>
              </w:rPr>
              <w:t>1</w:t>
            </w:r>
          </w:p>
        </w:tc>
        <w:tc>
          <w:tcPr>
            <w:tcW w:w="1757" w:type="dxa"/>
          </w:tcPr>
          <w:p>
            <w:pPr>
              <w:pStyle w:val="21"/>
              <w:ind w:firstLineChars="0" w:firstLine="0"/>
              <w:jc w:val="center"/>
              <w:rPr>
                <w:rFonts w:ascii="仿宋"/>
                <w:b/>
                <w:sz w:val="28"/>
                <w:szCs w:val="28"/>
              </w:rPr>
            </w:pPr>
            <w:r>
              <w:rPr>
                <w:rFonts w:ascii="仿宋" w:hint="eastAsia"/>
                <w:b/>
                <w:sz w:val="28"/>
                <w:szCs w:val="28"/>
              </w:rPr>
              <w:t>气体监控报警系统</w:t>
            </w:r>
          </w:p>
        </w:tc>
        <w:tc>
          <w:tcPr>
            <w:tcW w:w="2368" w:type="dxa"/>
          </w:tcPr>
          <w:p>
            <w:pPr>
              <w:pStyle w:val="21"/>
              <w:ind w:firstLineChars="0" w:firstLine="0"/>
              <w:rPr>
                <w:rFonts w:ascii="仿宋"/>
                <w:b/>
                <w:sz w:val="28"/>
                <w:szCs w:val="28"/>
              </w:rPr>
            </w:pPr>
            <w:r>
              <w:rPr>
                <w:rFonts w:ascii="仿宋" w:hint="eastAsia"/>
                <w:sz w:val="21"/>
                <w:szCs w:val="21"/>
              </w:rPr>
              <w:t>分布车间：1#、3#、4#、5#、7#、8#；每个车间1套，每套至少对八个点位进行监控</w:t>
            </w:r>
          </w:p>
        </w:tc>
        <w:tc>
          <w:tcPr>
            <w:tcW w:w="4590" w:type="dxa"/>
          </w:tcPr>
          <w:p>
            <w:pPr>
              <w:pStyle w:val="21"/>
              <w:ind w:firstLineChars="0" w:firstLine="0"/>
              <w:rPr>
                <w:rFonts w:ascii="仿宋"/>
                <w:bCs/>
                <w:szCs w:val="24"/>
              </w:rPr>
            </w:pPr>
          </w:p>
          <w:p>
            <w:pPr>
              <w:pStyle w:val="21"/>
              <w:ind w:firstLineChars="0" w:firstLine="0"/>
              <w:rPr>
                <w:rFonts w:ascii="仿宋"/>
                <w:b/>
                <w:sz w:val="28"/>
                <w:szCs w:val="28"/>
              </w:rPr>
            </w:pPr>
            <w:r>
              <w:rPr>
                <w:rFonts w:ascii="仿宋" w:hint="eastAsia"/>
                <w:bCs/>
                <w:szCs w:val="24"/>
              </w:rPr>
              <w:t>能同时检测硫化氢气体和二氧化碳气体</w:t>
            </w:r>
          </w:p>
        </w:tc>
      </w:tr>
    </w:tbl>
    <w:p>
      <w:pPr>
        <w:pStyle w:val="21"/>
        <w:ind w:firstLineChars="0" w:firstLine="560"/>
        <w:rPr>
          <w:rFonts w:ascii="仿宋"/>
          <w:bCs/>
          <w:sz w:val="28"/>
          <w:szCs w:val="28"/>
        </w:rPr>
      </w:pPr>
      <w:r>
        <w:rPr>
          <w:rFonts w:ascii="仿宋" w:hint="eastAsia"/>
          <w:bCs/>
          <w:sz w:val="28"/>
          <w:szCs w:val="28"/>
        </w:rPr>
        <w:t>由投标方负责设计气体监控仪器的位置，能够实时报警，并与管网内通风系统联动。</w:t>
      </w:r>
    </w:p>
    <w:p>
      <w:pPr>
        <w:pStyle w:val="1"/>
        <w:rPr>
          <w:szCs w:val="28"/>
        </w:rPr>
      </w:pPr>
      <w:bookmarkStart w:id="29" w:name="_Toc78495790"/>
      <w:r>
        <w:rPr>
          <w:rFonts w:hint="eastAsia"/>
        </w:rPr>
        <w:t>规范及标准</w:t>
      </w:r>
    </w:p>
    <w:p>
      <w:pPr>
        <w:pStyle w:val="21"/>
        <w:rPr>
          <w:rFonts w:ascii="仿宋"/>
          <w:sz w:val="28"/>
          <w:szCs w:val="28"/>
        </w:rPr>
      </w:pPr>
      <w:r>
        <w:rPr>
          <w:rFonts w:ascii="仿宋"/>
          <w:sz w:val="28"/>
          <w:szCs w:val="28"/>
        </w:rPr>
        <w:t>盐水管网系统</w:t>
      </w:r>
      <w:r>
        <w:rPr>
          <w:rFonts w:ascii="仿宋" w:hint="eastAsia"/>
          <w:sz w:val="28"/>
          <w:szCs w:val="28"/>
        </w:rPr>
        <w:t>及设备设计制造相关技术标准主要参见下表6，当相关标准出现新版本时、以最新现行标准为准；如果国际规范与中国规范发生冲突，要遵守所有法定的中国政府颁布的规范</w:t>
      </w:r>
      <w:r>
        <w:rPr>
          <w:rFonts w:ascii="仿宋"/>
          <w:sz w:val="28"/>
          <w:szCs w:val="28"/>
        </w:rPr>
        <w:t>；工业大类标准优先满足食品生产类标准。</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693"/>
        <w:gridCol w:w="2818"/>
        <w:gridCol w:w="6060"/>
      </w:tblGrid>
      <w:tr>
        <w:trPr>
          <w:trHeight w:val="459"/>
          <w:tblHeader/>
        </w:trPr>
        <w:tc>
          <w:tcPr>
            <w:tcW w:w="362" w:type="pct"/>
            <w:vAlign w:val="center"/>
          </w:tcPr>
          <w:p>
            <w:pPr>
              <w:spacing w:line="0" w:lineRule="atLeast"/>
              <w:jc w:val="center"/>
              <w:rPr>
                <w:rFonts w:eastAsia="仿宋"/>
                <w:b/>
                <w:sz w:val="24"/>
              </w:rPr>
            </w:pPr>
            <w:bookmarkEnd w:id="29"/>
            <w:r>
              <w:rPr>
                <w:rFonts w:eastAsia="仿宋"/>
                <w:b/>
                <w:sz w:val="24"/>
              </w:rPr>
              <w:t>序号</w:t>
            </w:r>
          </w:p>
        </w:tc>
        <w:tc>
          <w:tcPr>
            <w:tcW w:w="1472" w:type="pct"/>
            <w:vAlign w:val="center"/>
          </w:tcPr>
          <w:p>
            <w:pPr>
              <w:spacing w:line="0" w:lineRule="atLeast"/>
              <w:jc w:val="center"/>
              <w:rPr>
                <w:rFonts w:eastAsia="仿宋"/>
                <w:b/>
                <w:sz w:val="24"/>
              </w:rPr>
            </w:pPr>
            <w:r>
              <w:rPr>
                <w:rFonts w:eastAsia="仿宋"/>
                <w:b/>
                <w:sz w:val="24"/>
              </w:rPr>
              <w:t>标准号</w:t>
            </w:r>
          </w:p>
        </w:tc>
        <w:tc>
          <w:tcPr>
            <w:tcW w:w="3166" w:type="pct"/>
            <w:vAlign w:val="center"/>
          </w:tcPr>
          <w:p>
            <w:pPr>
              <w:spacing w:line="0" w:lineRule="atLeast"/>
              <w:jc w:val="center"/>
              <w:rPr>
                <w:rFonts w:eastAsia="仿宋"/>
                <w:b/>
                <w:sz w:val="24"/>
              </w:rPr>
            </w:pPr>
            <w:r>
              <w:rPr>
                <w:rFonts w:eastAsia="仿宋"/>
                <w:b/>
                <w:sz w:val="24"/>
              </w:rPr>
              <w:t>标准名称</w:t>
            </w:r>
          </w:p>
        </w:tc>
      </w:tr>
      <w:tr>
        <w:trPr>
          <w:trHeight w:val="459"/>
        </w:trPr>
        <w:tc>
          <w:tcPr>
            <w:tcW w:w="362" w:type="pct"/>
            <w:vAlign w:val="center"/>
          </w:tcPr>
          <w:p>
            <w:pPr>
              <w:spacing w:line="0" w:lineRule="atLeast"/>
              <w:jc w:val="center"/>
              <w:rPr>
                <w:rFonts w:eastAsia="仿宋"/>
                <w:sz w:val="24"/>
              </w:rPr>
            </w:pPr>
            <w:r>
              <w:rPr>
                <w:rFonts w:eastAsia="仿宋"/>
                <w:sz w:val="24"/>
              </w:rPr>
              <w:t>1</w:t>
            </w:r>
          </w:p>
        </w:tc>
        <w:tc>
          <w:tcPr>
            <w:tcW w:w="1472" w:type="pct"/>
            <w:vAlign w:val="center"/>
          </w:tcPr>
          <w:p>
            <w:pPr>
              <w:spacing w:line="0" w:lineRule="atLeast"/>
              <w:rPr>
                <w:rFonts w:eastAsia="仿宋"/>
                <w:sz w:val="24"/>
              </w:rPr>
            </w:pPr>
            <w:r>
              <w:rPr>
                <w:rFonts w:eastAsia="仿宋"/>
                <w:sz w:val="24"/>
              </w:rPr>
              <w:t>JB/T5000.1－2007</w:t>
            </w:r>
          </w:p>
        </w:tc>
        <w:tc>
          <w:tcPr>
            <w:tcW w:w="3166" w:type="pct"/>
            <w:vAlign w:val="center"/>
          </w:tcPr>
          <w:p>
            <w:pPr>
              <w:spacing w:line="0" w:lineRule="atLeast"/>
              <w:rPr>
                <w:rFonts w:eastAsia="仿宋"/>
                <w:sz w:val="24"/>
              </w:rPr>
            </w:pPr>
            <w:r>
              <w:rPr>
                <w:rFonts w:eastAsia="仿宋"/>
                <w:sz w:val="24"/>
              </w:rPr>
              <w:t>产品检验通用技术要求</w:t>
            </w:r>
          </w:p>
        </w:tc>
      </w:tr>
      <w:tr>
        <w:trPr>
          <w:trHeight w:val="459"/>
        </w:trPr>
        <w:tc>
          <w:tcPr>
            <w:tcW w:w="362" w:type="pct"/>
            <w:vAlign w:val="center"/>
          </w:tcPr>
          <w:p>
            <w:pPr>
              <w:spacing w:line="0" w:lineRule="atLeast"/>
              <w:jc w:val="center"/>
              <w:rPr>
                <w:rFonts w:eastAsia="仿宋"/>
                <w:sz w:val="24"/>
              </w:rPr>
            </w:pPr>
            <w:r>
              <w:rPr>
                <w:rFonts w:eastAsia="仿宋"/>
                <w:sz w:val="24"/>
              </w:rPr>
              <w:t>2</w:t>
            </w:r>
          </w:p>
        </w:tc>
        <w:tc>
          <w:tcPr>
            <w:tcW w:w="1472" w:type="pct"/>
            <w:vAlign w:val="center"/>
          </w:tcPr>
          <w:p>
            <w:pPr>
              <w:spacing w:line="0" w:lineRule="atLeast"/>
              <w:rPr>
                <w:rFonts w:eastAsia="仿宋"/>
                <w:sz w:val="24"/>
              </w:rPr>
            </w:pPr>
            <w:r>
              <w:rPr>
                <w:rFonts w:eastAsia="仿宋"/>
                <w:sz w:val="24"/>
              </w:rPr>
              <w:t>GB/T985.1－2008</w:t>
            </w:r>
          </w:p>
        </w:tc>
        <w:tc>
          <w:tcPr>
            <w:tcW w:w="3166" w:type="pct"/>
            <w:vAlign w:val="center"/>
          </w:tcPr>
          <w:p>
            <w:pPr>
              <w:spacing w:line="0" w:lineRule="atLeast"/>
              <w:rPr>
                <w:rFonts w:eastAsia="仿宋"/>
                <w:sz w:val="24"/>
              </w:rPr>
            </w:pPr>
            <w:r>
              <w:rPr>
                <w:rFonts w:eastAsia="仿宋"/>
                <w:sz w:val="24"/>
              </w:rPr>
              <w:t>气焊、手工电弧焊、气体保护焊焊缝坡口形式和尺寸</w:t>
            </w:r>
          </w:p>
        </w:tc>
      </w:tr>
      <w:tr>
        <w:trPr>
          <w:trHeight w:val="459"/>
        </w:trPr>
        <w:tc>
          <w:tcPr>
            <w:tcW w:w="362" w:type="pct"/>
            <w:vAlign w:val="center"/>
          </w:tcPr>
          <w:p>
            <w:pPr>
              <w:spacing w:line="0" w:lineRule="atLeast"/>
              <w:jc w:val="center"/>
              <w:rPr>
                <w:rFonts w:eastAsia="仿宋"/>
                <w:sz w:val="24"/>
              </w:rPr>
            </w:pPr>
            <w:r>
              <w:rPr>
                <w:rFonts w:eastAsia="仿宋"/>
                <w:sz w:val="24"/>
              </w:rPr>
              <w:t>3</w:t>
            </w:r>
          </w:p>
        </w:tc>
        <w:tc>
          <w:tcPr>
            <w:tcW w:w="1472" w:type="pct"/>
            <w:vAlign w:val="center"/>
          </w:tcPr>
          <w:p>
            <w:pPr>
              <w:spacing w:line="0" w:lineRule="atLeast"/>
              <w:rPr>
                <w:rFonts w:eastAsia="仿宋"/>
                <w:sz w:val="24"/>
              </w:rPr>
            </w:pPr>
            <w:r>
              <w:rPr>
                <w:rFonts w:eastAsia="仿宋"/>
                <w:sz w:val="24"/>
              </w:rPr>
              <w:t>GB/T 25376－2010</w:t>
            </w:r>
          </w:p>
        </w:tc>
        <w:tc>
          <w:tcPr>
            <w:tcW w:w="3166" w:type="pct"/>
            <w:vAlign w:val="center"/>
          </w:tcPr>
          <w:p>
            <w:pPr>
              <w:spacing w:line="0" w:lineRule="atLeast"/>
              <w:rPr>
                <w:rFonts w:eastAsia="仿宋"/>
                <w:sz w:val="24"/>
              </w:rPr>
            </w:pPr>
            <w:r>
              <w:rPr>
                <w:rFonts w:eastAsia="仿宋"/>
                <w:sz w:val="24"/>
              </w:rPr>
              <w:t>金属切削机床机械加工件通用技术条件</w:t>
            </w:r>
          </w:p>
        </w:tc>
      </w:tr>
      <w:tr>
        <w:trPr>
          <w:trHeight w:val="459"/>
        </w:trPr>
        <w:tc>
          <w:tcPr>
            <w:tcW w:w="362" w:type="pct"/>
            <w:vAlign w:val="center"/>
          </w:tcPr>
          <w:p>
            <w:pPr>
              <w:spacing w:line="0" w:lineRule="atLeast"/>
              <w:jc w:val="center"/>
              <w:rPr>
                <w:rFonts w:eastAsia="仿宋"/>
                <w:sz w:val="24"/>
              </w:rPr>
            </w:pPr>
            <w:r>
              <w:rPr>
                <w:rFonts w:eastAsia="仿宋"/>
                <w:sz w:val="24"/>
              </w:rPr>
              <w:t>4</w:t>
            </w:r>
          </w:p>
        </w:tc>
        <w:tc>
          <w:tcPr>
            <w:tcW w:w="1472" w:type="pct"/>
            <w:vAlign w:val="center"/>
          </w:tcPr>
          <w:p>
            <w:pPr>
              <w:spacing w:line="0" w:lineRule="atLeast"/>
              <w:rPr>
                <w:rFonts w:eastAsia="仿宋"/>
                <w:sz w:val="24"/>
              </w:rPr>
            </w:pPr>
            <w:r>
              <w:rPr>
                <w:rFonts w:eastAsia="仿宋"/>
                <w:sz w:val="24"/>
              </w:rPr>
              <w:t>GB/T 3505－2009</w:t>
            </w:r>
          </w:p>
        </w:tc>
        <w:tc>
          <w:tcPr>
            <w:tcW w:w="3166" w:type="pct"/>
            <w:vAlign w:val="center"/>
          </w:tcPr>
          <w:p>
            <w:pPr>
              <w:spacing w:line="0" w:lineRule="atLeast"/>
              <w:rPr>
                <w:rFonts w:eastAsia="仿宋"/>
                <w:sz w:val="24"/>
              </w:rPr>
            </w:pPr>
            <w:r>
              <w:rPr>
                <w:rFonts w:eastAsia="仿宋"/>
                <w:sz w:val="24"/>
              </w:rPr>
              <w:t>产品几何技术规范(GPS).表面结构.轮廓法.术语、定义及表面结构参数</w:t>
            </w:r>
          </w:p>
        </w:tc>
      </w:tr>
      <w:tr>
        <w:trPr>
          <w:trHeight w:val="459"/>
        </w:trPr>
        <w:tc>
          <w:tcPr>
            <w:tcW w:w="362" w:type="pct"/>
            <w:vAlign w:val="center"/>
          </w:tcPr>
          <w:p>
            <w:pPr>
              <w:spacing w:line="0" w:lineRule="atLeast"/>
              <w:jc w:val="center"/>
              <w:rPr>
                <w:rFonts w:eastAsia="仿宋"/>
                <w:sz w:val="24"/>
              </w:rPr>
            </w:pPr>
            <w:r>
              <w:rPr>
                <w:rFonts w:eastAsia="仿宋"/>
                <w:sz w:val="24"/>
              </w:rPr>
              <w:t>5</w:t>
            </w:r>
          </w:p>
        </w:tc>
        <w:tc>
          <w:tcPr>
            <w:tcW w:w="1472" w:type="pct"/>
            <w:vAlign w:val="center"/>
          </w:tcPr>
          <w:p>
            <w:pPr>
              <w:spacing w:line="0" w:lineRule="atLeast"/>
              <w:rPr>
                <w:rFonts w:eastAsia="仿宋"/>
                <w:sz w:val="24"/>
              </w:rPr>
            </w:pPr>
            <w:r>
              <w:rPr>
                <w:rFonts w:eastAsia="仿宋"/>
                <w:sz w:val="24"/>
              </w:rPr>
              <w:t>JB/T6996－2007</w:t>
            </w:r>
          </w:p>
        </w:tc>
        <w:tc>
          <w:tcPr>
            <w:tcW w:w="3166" w:type="pct"/>
            <w:vAlign w:val="center"/>
          </w:tcPr>
          <w:p>
            <w:pPr>
              <w:spacing w:line="0" w:lineRule="atLeast"/>
              <w:rPr>
                <w:rFonts w:eastAsia="仿宋"/>
                <w:sz w:val="24"/>
              </w:rPr>
            </w:pPr>
            <w:r>
              <w:rPr>
                <w:rFonts w:eastAsia="仿宋"/>
                <w:sz w:val="24"/>
              </w:rPr>
              <w:t>重型机械液压系统通用技术条件</w:t>
            </w:r>
          </w:p>
        </w:tc>
      </w:tr>
      <w:tr>
        <w:trPr>
          <w:trHeight w:val="459"/>
        </w:trPr>
        <w:tc>
          <w:tcPr>
            <w:tcW w:w="362" w:type="pct"/>
            <w:vAlign w:val="center"/>
          </w:tcPr>
          <w:p>
            <w:pPr>
              <w:spacing w:line="0" w:lineRule="atLeast"/>
              <w:jc w:val="center"/>
              <w:rPr>
                <w:rFonts w:eastAsia="仿宋"/>
                <w:sz w:val="24"/>
              </w:rPr>
            </w:pPr>
            <w:r>
              <w:rPr>
                <w:rFonts w:eastAsia="仿宋"/>
                <w:sz w:val="24"/>
              </w:rPr>
              <w:t>6</w:t>
            </w:r>
          </w:p>
        </w:tc>
        <w:tc>
          <w:tcPr>
            <w:tcW w:w="1472" w:type="pct"/>
            <w:vAlign w:val="center"/>
          </w:tcPr>
          <w:p>
            <w:pPr>
              <w:spacing w:line="0" w:lineRule="atLeast"/>
              <w:rPr>
                <w:rFonts w:eastAsia="仿宋"/>
                <w:sz w:val="24"/>
              </w:rPr>
            </w:pPr>
            <w:r>
              <w:rPr>
                <w:rFonts w:eastAsia="仿宋"/>
                <w:sz w:val="24"/>
              </w:rPr>
              <w:t>GB/T 7932－2017</w:t>
            </w:r>
          </w:p>
        </w:tc>
        <w:tc>
          <w:tcPr>
            <w:tcW w:w="3166" w:type="pct"/>
            <w:vAlign w:val="center"/>
          </w:tcPr>
          <w:p>
            <w:pPr>
              <w:spacing w:line="0" w:lineRule="atLeast"/>
              <w:rPr>
                <w:rFonts w:eastAsia="仿宋"/>
                <w:sz w:val="24"/>
              </w:rPr>
            </w:pPr>
            <w:r>
              <w:rPr>
                <w:rFonts w:eastAsia="仿宋"/>
                <w:sz w:val="24"/>
              </w:rPr>
              <w:t>气动对系统及其元件的一般规则和安全要求</w:t>
            </w:r>
          </w:p>
        </w:tc>
      </w:tr>
      <w:tr>
        <w:trPr>
          <w:trHeight w:val="459"/>
        </w:trPr>
        <w:tc>
          <w:tcPr>
            <w:tcW w:w="362" w:type="pct"/>
            <w:vAlign w:val="center"/>
          </w:tcPr>
          <w:p>
            <w:pPr>
              <w:spacing w:line="0" w:lineRule="atLeast"/>
              <w:jc w:val="center"/>
              <w:rPr>
                <w:rFonts w:eastAsia="仿宋"/>
                <w:sz w:val="24"/>
              </w:rPr>
            </w:pPr>
            <w:r>
              <w:rPr>
                <w:rFonts w:eastAsia="仿宋"/>
                <w:sz w:val="24"/>
              </w:rPr>
              <w:t>7</w:t>
            </w:r>
          </w:p>
        </w:tc>
        <w:tc>
          <w:tcPr>
            <w:tcW w:w="1472" w:type="pct"/>
            <w:vAlign w:val="center"/>
          </w:tcPr>
          <w:p>
            <w:pPr>
              <w:spacing w:line="0" w:lineRule="atLeast"/>
              <w:rPr>
                <w:rFonts w:eastAsia="仿宋"/>
                <w:sz w:val="24"/>
              </w:rPr>
            </w:pPr>
            <w:r>
              <w:rPr>
                <w:rFonts w:eastAsia="仿宋"/>
                <w:sz w:val="24"/>
              </w:rPr>
              <w:t>GB/T 1800.1－2009</w:t>
            </w:r>
          </w:p>
        </w:tc>
        <w:tc>
          <w:tcPr>
            <w:tcW w:w="3166" w:type="pct"/>
            <w:vAlign w:val="center"/>
          </w:tcPr>
          <w:p>
            <w:pPr>
              <w:spacing w:line="0" w:lineRule="atLeast"/>
              <w:rPr>
                <w:rFonts w:eastAsia="仿宋"/>
                <w:sz w:val="24"/>
              </w:rPr>
            </w:pPr>
            <w:r>
              <w:rPr>
                <w:rFonts w:eastAsia="仿宋"/>
                <w:sz w:val="24"/>
              </w:rPr>
              <w:t>产品几何技术规范(GPS).极限与配合.第1部分:公差、偏差和配合的基础</w:t>
            </w:r>
          </w:p>
        </w:tc>
      </w:tr>
      <w:tr>
        <w:trPr>
          <w:trHeight w:val="459"/>
        </w:trPr>
        <w:tc>
          <w:tcPr>
            <w:tcW w:w="362" w:type="pct"/>
            <w:vAlign w:val="center"/>
          </w:tcPr>
          <w:p>
            <w:pPr>
              <w:spacing w:line="0" w:lineRule="atLeast"/>
              <w:jc w:val="center"/>
              <w:rPr>
                <w:rFonts w:eastAsia="仿宋"/>
                <w:sz w:val="24"/>
              </w:rPr>
            </w:pPr>
            <w:r>
              <w:rPr>
                <w:rFonts w:eastAsia="仿宋"/>
                <w:sz w:val="24"/>
              </w:rPr>
              <w:t>8</w:t>
            </w:r>
          </w:p>
        </w:tc>
        <w:tc>
          <w:tcPr>
            <w:tcW w:w="1472" w:type="pct"/>
            <w:vAlign w:val="center"/>
          </w:tcPr>
          <w:p>
            <w:pPr>
              <w:spacing w:line="0" w:lineRule="atLeast"/>
              <w:rPr>
                <w:rFonts w:eastAsia="仿宋"/>
                <w:sz w:val="24"/>
              </w:rPr>
            </w:pPr>
            <w:r>
              <w:rPr>
                <w:rFonts w:eastAsia="仿宋"/>
                <w:sz w:val="24"/>
              </w:rPr>
              <w:t>GB/T 1801－2009</w:t>
            </w:r>
          </w:p>
        </w:tc>
        <w:tc>
          <w:tcPr>
            <w:tcW w:w="3166" w:type="pct"/>
            <w:vAlign w:val="center"/>
          </w:tcPr>
          <w:p>
            <w:pPr>
              <w:spacing w:line="0" w:lineRule="atLeast"/>
              <w:rPr>
                <w:rFonts w:eastAsia="仿宋"/>
                <w:sz w:val="24"/>
              </w:rPr>
            </w:pPr>
            <w:r>
              <w:rPr>
                <w:rFonts w:eastAsia="仿宋"/>
                <w:sz w:val="24"/>
              </w:rPr>
              <w:t>产品几何技术规范(GPS).极限与配合.公差带和配合的选择</w:t>
            </w:r>
          </w:p>
        </w:tc>
      </w:tr>
      <w:tr>
        <w:trPr>
          <w:trHeight w:val="459"/>
        </w:trPr>
        <w:tc>
          <w:tcPr>
            <w:tcW w:w="362" w:type="pct"/>
            <w:vAlign w:val="center"/>
          </w:tcPr>
          <w:p>
            <w:pPr>
              <w:spacing w:line="0" w:lineRule="atLeast"/>
              <w:jc w:val="center"/>
              <w:rPr>
                <w:rFonts w:eastAsia="仿宋"/>
                <w:sz w:val="24"/>
              </w:rPr>
            </w:pPr>
            <w:r>
              <w:rPr>
                <w:rFonts w:eastAsia="仿宋"/>
                <w:sz w:val="24"/>
              </w:rPr>
              <w:t>9</w:t>
            </w:r>
          </w:p>
        </w:tc>
        <w:tc>
          <w:tcPr>
            <w:tcW w:w="1472" w:type="pct"/>
            <w:vAlign w:val="center"/>
          </w:tcPr>
          <w:p>
            <w:pPr>
              <w:spacing w:line="0" w:lineRule="atLeast"/>
              <w:rPr>
                <w:rFonts w:eastAsia="仿宋"/>
                <w:sz w:val="24"/>
              </w:rPr>
            </w:pPr>
            <w:r>
              <w:rPr>
                <w:rFonts w:eastAsia="仿宋"/>
                <w:sz w:val="24"/>
              </w:rPr>
              <w:t>GB/T1804－2000</w:t>
            </w:r>
          </w:p>
        </w:tc>
        <w:tc>
          <w:tcPr>
            <w:tcW w:w="3166" w:type="pct"/>
            <w:vAlign w:val="center"/>
          </w:tcPr>
          <w:p>
            <w:pPr>
              <w:spacing w:line="0" w:lineRule="atLeast"/>
              <w:rPr>
                <w:rFonts w:eastAsia="仿宋"/>
                <w:sz w:val="24"/>
              </w:rPr>
            </w:pPr>
            <w:r>
              <w:rPr>
                <w:rFonts w:eastAsia="仿宋"/>
                <w:sz w:val="24"/>
              </w:rPr>
              <w:t>一般公差未注公差的线性和角度尺寸的公差</w:t>
            </w:r>
          </w:p>
        </w:tc>
      </w:tr>
      <w:tr>
        <w:trPr>
          <w:trHeight w:val="459"/>
        </w:trPr>
        <w:tc>
          <w:tcPr>
            <w:tcW w:w="362" w:type="pct"/>
            <w:vAlign w:val="center"/>
          </w:tcPr>
          <w:p>
            <w:pPr>
              <w:spacing w:line="0" w:lineRule="atLeast"/>
              <w:jc w:val="center"/>
              <w:rPr>
                <w:rFonts w:eastAsia="仿宋"/>
                <w:sz w:val="24"/>
              </w:rPr>
            </w:pPr>
            <w:r>
              <w:rPr>
                <w:rFonts w:eastAsia="仿宋"/>
                <w:sz w:val="24"/>
              </w:rPr>
              <w:t>10</w:t>
            </w:r>
          </w:p>
        </w:tc>
        <w:tc>
          <w:tcPr>
            <w:tcW w:w="1472" w:type="pct"/>
            <w:vAlign w:val="center"/>
          </w:tcPr>
          <w:p>
            <w:pPr>
              <w:spacing w:line="0" w:lineRule="atLeast"/>
              <w:rPr>
                <w:rFonts w:eastAsia="仿宋"/>
                <w:sz w:val="24"/>
              </w:rPr>
            </w:pPr>
            <w:r>
              <w:rPr>
                <w:rFonts w:eastAsia="仿宋"/>
                <w:sz w:val="24"/>
              </w:rPr>
              <w:t>GB/T1182－2008</w:t>
            </w:r>
          </w:p>
        </w:tc>
        <w:tc>
          <w:tcPr>
            <w:tcW w:w="3166" w:type="pct"/>
            <w:vAlign w:val="center"/>
          </w:tcPr>
          <w:p>
            <w:pPr>
              <w:spacing w:line="0" w:lineRule="atLeast"/>
              <w:rPr>
                <w:rFonts w:eastAsia="仿宋"/>
                <w:sz w:val="24"/>
              </w:rPr>
            </w:pPr>
            <w:r>
              <w:rPr>
                <w:rFonts w:eastAsia="仿宋"/>
                <w:sz w:val="24"/>
              </w:rPr>
              <w:t>产品几何技术规范（GPS）几何公差.形状、方向、位置和跳动公差标注</w:t>
            </w:r>
          </w:p>
        </w:tc>
      </w:tr>
      <w:tr>
        <w:trPr>
          <w:trHeight w:val="459"/>
        </w:trPr>
        <w:tc>
          <w:tcPr>
            <w:tcW w:w="362" w:type="pct"/>
            <w:vAlign w:val="center"/>
          </w:tcPr>
          <w:p>
            <w:pPr>
              <w:spacing w:line="0" w:lineRule="atLeast"/>
              <w:jc w:val="center"/>
              <w:rPr>
                <w:rFonts w:eastAsia="仿宋"/>
                <w:sz w:val="24"/>
              </w:rPr>
            </w:pPr>
            <w:r>
              <w:rPr>
                <w:rFonts w:eastAsia="仿宋"/>
                <w:sz w:val="24"/>
              </w:rPr>
              <w:t>11</w:t>
            </w:r>
          </w:p>
        </w:tc>
        <w:tc>
          <w:tcPr>
            <w:tcW w:w="1472" w:type="pct"/>
            <w:vAlign w:val="center"/>
          </w:tcPr>
          <w:p>
            <w:pPr>
              <w:spacing w:line="0" w:lineRule="atLeast"/>
              <w:rPr>
                <w:rFonts w:eastAsia="仿宋"/>
                <w:sz w:val="24"/>
              </w:rPr>
            </w:pPr>
            <w:r>
              <w:rPr>
                <w:rFonts w:eastAsia="仿宋"/>
                <w:sz w:val="24"/>
              </w:rPr>
              <w:t>GB/T1184－1996</w:t>
            </w:r>
          </w:p>
        </w:tc>
        <w:tc>
          <w:tcPr>
            <w:tcW w:w="3166" w:type="pct"/>
            <w:vAlign w:val="center"/>
          </w:tcPr>
          <w:p>
            <w:pPr>
              <w:spacing w:line="0" w:lineRule="atLeast"/>
              <w:rPr>
                <w:rFonts w:eastAsia="仿宋"/>
                <w:sz w:val="24"/>
              </w:rPr>
            </w:pPr>
            <w:r>
              <w:rPr>
                <w:rFonts w:eastAsia="仿宋"/>
                <w:sz w:val="24"/>
              </w:rPr>
              <w:t>未注形状和位置公差</w:t>
            </w:r>
          </w:p>
        </w:tc>
      </w:tr>
      <w:tr>
        <w:trPr>
          <w:trHeight w:val="459"/>
        </w:trPr>
        <w:tc>
          <w:tcPr>
            <w:tcW w:w="362" w:type="pct"/>
            <w:vAlign w:val="center"/>
          </w:tcPr>
          <w:p>
            <w:pPr>
              <w:spacing w:line="0" w:lineRule="atLeast"/>
              <w:jc w:val="center"/>
              <w:rPr>
                <w:rFonts w:eastAsia="仿宋"/>
                <w:sz w:val="24"/>
              </w:rPr>
            </w:pPr>
            <w:r>
              <w:rPr>
                <w:rFonts w:eastAsia="仿宋"/>
                <w:sz w:val="24"/>
              </w:rPr>
              <w:t>12</w:t>
            </w:r>
          </w:p>
        </w:tc>
        <w:tc>
          <w:tcPr>
            <w:tcW w:w="1472" w:type="pct"/>
            <w:vAlign w:val="center"/>
          </w:tcPr>
          <w:p>
            <w:pPr>
              <w:spacing w:line="0" w:lineRule="atLeast"/>
              <w:rPr>
                <w:rFonts w:eastAsia="仿宋"/>
                <w:sz w:val="24"/>
              </w:rPr>
            </w:pPr>
            <w:r>
              <w:rPr>
                <w:rFonts w:eastAsia="仿宋"/>
                <w:sz w:val="24"/>
              </w:rPr>
              <w:t>GB/T275－2015</w:t>
            </w:r>
          </w:p>
        </w:tc>
        <w:tc>
          <w:tcPr>
            <w:tcW w:w="3166" w:type="pct"/>
            <w:vAlign w:val="center"/>
          </w:tcPr>
          <w:p>
            <w:pPr>
              <w:spacing w:line="0" w:lineRule="atLeast"/>
              <w:rPr>
                <w:rFonts w:eastAsia="仿宋"/>
                <w:sz w:val="24"/>
              </w:rPr>
            </w:pPr>
            <w:r>
              <w:rPr>
                <w:rFonts w:eastAsia="仿宋"/>
                <w:sz w:val="24"/>
              </w:rPr>
              <w:t>滚动轴承配合</w:t>
            </w:r>
          </w:p>
        </w:tc>
      </w:tr>
      <w:tr>
        <w:trPr>
          <w:trHeight w:val="459"/>
        </w:trPr>
        <w:tc>
          <w:tcPr>
            <w:tcW w:w="362" w:type="pct"/>
            <w:vAlign w:val="center"/>
          </w:tcPr>
          <w:p>
            <w:pPr>
              <w:spacing w:line="0" w:lineRule="atLeast"/>
              <w:jc w:val="center"/>
              <w:rPr>
                <w:rFonts w:eastAsia="仿宋"/>
                <w:sz w:val="24"/>
              </w:rPr>
            </w:pPr>
            <w:r>
              <w:rPr>
                <w:rFonts w:eastAsia="仿宋"/>
                <w:sz w:val="24"/>
              </w:rPr>
              <w:t>13</w:t>
            </w:r>
          </w:p>
        </w:tc>
        <w:tc>
          <w:tcPr>
            <w:tcW w:w="1472" w:type="pct"/>
            <w:vAlign w:val="center"/>
          </w:tcPr>
          <w:p>
            <w:pPr>
              <w:spacing w:line="0" w:lineRule="atLeast"/>
              <w:rPr>
                <w:rFonts w:eastAsia="仿宋"/>
                <w:sz w:val="24"/>
              </w:rPr>
            </w:pPr>
            <w:r>
              <w:rPr>
                <w:rFonts w:eastAsia="仿宋"/>
                <w:sz w:val="24"/>
                <w:lang w:val="it-IT"/>
              </w:rPr>
              <w:t>GB 14881</w:t>
            </w:r>
            <w:r>
              <w:rPr>
                <w:rFonts w:eastAsia="仿宋"/>
                <w:sz w:val="24"/>
              </w:rPr>
              <w:t>－</w:t>
            </w:r>
            <w:r>
              <w:rPr>
                <w:rFonts w:eastAsia="仿宋"/>
                <w:sz w:val="24"/>
                <w:lang w:val="it-IT"/>
              </w:rPr>
              <w:t>2013</w:t>
            </w:r>
          </w:p>
        </w:tc>
        <w:tc>
          <w:tcPr>
            <w:tcW w:w="3166" w:type="pct"/>
            <w:vAlign w:val="center"/>
          </w:tcPr>
          <w:p>
            <w:pPr>
              <w:spacing w:line="0" w:lineRule="atLeast"/>
              <w:rPr>
                <w:rFonts w:eastAsia="仿宋"/>
                <w:sz w:val="24"/>
              </w:rPr>
            </w:pPr>
            <w:r>
              <w:rPr>
                <w:rFonts w:eastAsia="仿宋"/>
                <w:sz w:val="24"/>
                <w:lang w:val="it-IT"/>
              </w:rPr>
              <w:t>食品安全国家标准食品生产通用卫生规范</w:t>
            </w:r>
          </w:p>
        </w:tc>
      </w:tr>
      <w:tr>
        <w:trPr>
          <w:trHeight w:val="459"/>
        </w:trPr>
        <w:tc>
          <w:tcPr>
            <w:tcW w:w="362" w:type="pct"/>
            <w:vAlign w:val="center"/>
          </w:tcPr>
          <w:p>
            <w:pPr>
              <w:spacing w:line="0" w:lineRule="atLeast"/>
              <w:jc w:val="center"/>
              <w:rPr>
                <w:rFonts w:eastAsia="仿宋"/>
                <w:sz w:val="24"/>
              </w:rPr>
            </w:pPr>
            <w:r>
              <w:rPr>
                <w:rFonts w:eastAsia="仿宋"/>
                <w:sz w:val="24"/>
              </w:rPr>
              <w:t>14</w:t>
            </w:r>
          </w:p>
        </w:tc>
        <w:tc>
          <w:tcPr>
            <w:tcW w:w="1472" w:type="pct"/>
            <w:vAlign w:val="center"/>
          </w:tcPr>
          <w:p>
            <w:pPr>
              <w:spacing w:line="0" w:lineRule="atLeast"/>
              <w:rPr>
                <w:rFonts w:eastAsia="仿宋"/>
                <w:sz w:val="24"/>
              </w:rPr>
            </w:pPr>
            <w:r>
              <w:rPr>
                <w:rFonts w:eastAsia="仿宋"/>
                <w:sz w:val="24"/>
                <w:lang w:val="it-IT"/>
              </w:rPr>
              <w:t>GB 4806.7－2016</w:t>
            </w:r>
          </w:p>
        </w:tc>
        <w:tc>
          <w:tcPr>
            <w:tcW w:w="3166" w:type="pct"/>
            <w:vAlign w:val="center"/>
          </w:tcPr>
          <w:p>
            <w:pPr>
              <w:spacing w:line="0" w:lineRule="atLeast"/>
              <w:rPr>
                <w:rFonts w:eastAsia="仿宋"/>
                <w:sz w:val="24"/>
              </w:rPr>
            </w:pPr>
            <w:r>
              <w:rPr>
                <w:rFonts w:eastAsia="仿宋"/>
                <w:sz w:val="24"/>
                <w:lang w:val="it-IT"/>
              </w:rPr>
              <w:t>食品安全国家标准食品接触用塑料材料及制品</w:t>
            </w:r>
          </w:p>
        </w:tc>
      </w:tr>
      <w:tr>
        <w:trPr>
          <w:trHeight w:val="459"/>
        </w:trPr>
        <w:tc>
          <w:tcPr>
            <w:tcW w:w="362" w:type="pct"/>
            <w:vAlign w:val="center"/>
          </w:tcPr>
          <w:p>
            <w:pPr>
              <w:spacing w:line="0" w:lineRule="atLeast"/>
              <w:jc w:val="center"/>
              <w:rPr>
                <w:rFonts w:eastAsia="仿宋"/>
                <w:sz w:val="24"/>
              </w:rPr>
            </w:pPr>
            <w:r>
              <w:rPr>
                <w:rFonts w:eastAsia="仿宋"/>
                <w:sz w:val="24"/>
              </w:rPr>
              <w:t>15</w:t>
            </w:r>
          </w:p>
        </w:tc>
        <w:tc>
          <w:tcPr>
            <w:tcW w:w="1472" w:type="pct"/>
            <w:vAlign w:val="center"/>
          </w:tcPr>
          <w:p>
            <w:pPr>
              <w:spacing w:line="0" w:lineRule="atLeast"/>
              <w:rPr>
                <w:rFonts w:eastAsia="仿宋"/>
                <w:sz w:val="24"/>
              </w:rPr>
            </w:pPr>
            <w:r>
              <w:rPr>
                <w:rFonts w:eastAsia="仿宋"/>
                <w:sz w:val="24"/>
                <w:lang w:val="it-IT"/>
              </w:rPr>
              <w:t>GB 4806.9－2016</w:t>
            </w:r>
          </w:p>
        </w:tc>
        <w:tc>
          <w:tcPr>
            <w:tcW w:w="3166" w:type="pct"/>
            <w:vAlign w:val="center"/>
          </w:tcPr>
          <w:p>
            <w:pPr>
              <w:spacing w:line="0" w:lineRule="atLeast"/>
              <w:rPr>
                <w:rFonts w:eastAsia="仿宋"/>
                <w:sz w:val="24"/>
              </w:rPr>
            </w:pPr>
            <w:r>
              <w:rPr>
                <w:rFonts w:eastAsia="仿宋"/>
                <w:sz w:val="24"/>
                <w:lang w:val="it-IT"/>
              </w:rPr>
              <w:t>食品安全国家标准食品接触用金属材料及制品</w:t>
            </w:r>
          </w:p>
        </w:tc>
      </w:tr>
      <w:tr>
        <w:trPr>
          <w:trHeight w:val="459"/>
        </w:trPr>
        <w:tc>
          <w:tcPr>
            <w:tcW w:w="362" w:type="pct"/>
            <w:vAlign w:val="center"/>
          </w:tcPr>
          <w:p>
            <w:pPr>
              <w:spacing w:line="0" w:lineRule="atLeast"/>
              <w:jc w:val="center"/>
              <w:rPr>
                <w:rFonts w:eastAsia="仿宋"/>
                <w:sz w:val="24"/>
              </w:rPr>
            </w:pPr>
            <w:r>
              <w:rPr>
                <w:rFonts w:eastAsia="仿宋"/>
                <w:sz w:val="24"/>
              </w:rPr>
              <w:t>16</w:t>
            </w:r>
          </w:p>
        </w:tc>
        <w:tc>
          <w:tcPr>
            <w:tcW w:w="1472" w:type="pct"/>
            <w:vAlign w:val="center"/>
          </w:tcPr>
          <w:p>
            <w:pPr>
              <w:spacing w:line="0" w:lineRule="atLeast"/>
              <w:rPr>
                <w:rFonts w:eastAsia="仿宋"/>
                <w:sz w:val="24"/>
              </w:rPr>
            </w:pPr>
            <w:r>
              <w:rPr>
                <w:rFonts w:eastAsia="仿宋"/>
                <w:sz w:val="24"/>
                <w:lang w:val="it-IT"/>
              </w:rPr>
              <w:t>GB 4806.11－2016</w:t>
            </w:r>
          </w:p>
        </w:tc>
        <w:tc>
          <w:tcPr>
            <w:tcW w:w="3166" w:type="pct"/>
            <w:vAlign w:val="center"/>
          </w:tcPr>
          <w:p>
            <w:pPr>
              <w:spacing w:line="0" w:lineRule="atLeast"/>
              <w:rPr>
                <w:rFonts w:eastAsia="仿宋"/>
                <w:sz w:val="24"/>
              </w:rPr>
            </w:pPr>
            <w:r>
              <w:rPr>
                <w:rFonts w:eastAsia="仿宋"/>
                <w:sz w:val="24"/>
                <w:lang w:val="it-IT"/>
              </w:rPr>
              <w:t>食品安全国家标准食品接触用橡胶材料及制品</w:t>
            </w:r>
          </w:p>
        </w:tc>
      </w:tr>
      <w:tr>
        <w:trPr>
          <w:trHeight w:val="459"/>
        </w:trPr>
        <w:tc>
          <w:tcPr>
            <w:tcW w:w="362" w:type="pct"/>
            <w:vAlign w:val="center"/>
          </w:tcPr>
          <w:p>
            <w:pPr>
              <w:spacing w:line="0" w:lineRule="atLeast"/>
              <w:jc w:val="center"/>
              <w:rPr>
                <w:rFonts w:eastAsia="仿宋"/>
                <w:sz w:val="24"/>
              </w:rPr>
            </w:pPr>
            <w:r>
              <w:rPr>
                <w:rFonts w:eastAsia="仿宋"/>
                <w:sz w:val="24"/>
              </w:rPr>
              <w:t>17</w:t>
            </w:r>
          </w:p>
        </w:tc>
        <w:tc>
          <w:tcPr>
            <w:tcW w:w="1472" w:type="pct"/>
            <w:vAlign w:val="center"/>
          </w:tcPr>
          <w:p>
            <w:pPr>
              <w:spacing w:line="0" w:lineRule="atLeast"/>
              <w:rPr>
                <w:rFonts w:eastAsia="仿宋"/>
                <w:sz w:val="24"/>
              </w:rPr>
            </w:pPr>
            <w:r>
              <w:rPr>
                <w:rFonts w:eastAsia="仿宋"/>
                <w:sz w:val="24"/>
                <w:lang w:val="it-IT"/>
              </w:rPr>
              <w:t>GB/T 19891－2005</w:t>
            </w:r>
          </w:p>
        </w:tc>
        <w:tc>
          <w:tcPr>
            <w:tcW w:w="3166" w:type="pct"/>
            <w:vAlign w:val="center"/>
          </w:tcPr>
          <w:p>
            <w:pPr>
              <w:spacing w:line="0" w:lineRule="atLeast"/>
              <w:rPr>
                <w:rFonts w:eastAsia="仿宋"/>
                <w:sz w:val="24"/>
              </w:rPr>
            </w:pPr>
            <w:r>
              <w:rPr>
                <w:rFonts w:eastAsia="仿宋"/>
                <w:sz w:val="24"/>
                <w:lang w:val="it-IT"/>
              </w:rPr>
              <w:t>机械安全机械设计的卫生要求</w:t>
            </w:r>
          </w:p>
        </w:tc>
      </w:tr>
      <w:tr>
        <w:trPr>
          <w:trHeight w:val="459"/>
        </w:trPr>
        <w:tc>
          <w:tcPr>
            <w:tcW w:w="362" w:type="pct"/>
            <w:vAlign w:val="center"/>
          </w:tcPr>
          <w:p>
            <w:pPr>
              <w:spacing w:line="0" w:lineRule="atLeast"/>
              <w:jc w:val="center"/>
              <w:rPr>
                <w:rFonts w:eastAsia="仿宋"/>
                <w:sz w:val="24"/>
              </w:rPr>
            </w:pPr>
            <w:r>
              <w:rPr>
                <w:rFonts w:eastAsia="仿宋"/>
                <w:sz w:val="24"/>
              </w:rPr>
              <w:t>18</w:t>
            </w:r>
          </w:p>
        </w:tc>
        <w:tc>
          <w:tcPr>
            <w:tcW w:w="1472" w:type="pct"/>
            <w:vAlign w:val="center"/>
          </w:tcPr>
          <w:p>
            <w:pPr>
              <w:spacing w:line="0" w:lineRule="atLeast"/>
              <w:rPr>
                <w:rFonts w:eastAsia="仿宋"/>
                <w:sz w:val="24"/>
              </w:rPr>
            </w:pPr>
            <w:r>
              <w:rPr>
                <w:rFonts w:eastAsia="仿宋"/>
                <w:sz w:val="24"/>
                <w:lang w:val="it-IT"/>
              </w:rPr>
              <w:t>GB/T 22747－2008</w:t>
            </w:r>
          </w:p>
        </w:tc>
        <w:tc>
          <w:tcPr>
            <w:tcW w:w="3166" w:type="pct"/>
            <w:vAlign w:val="center"/>
          </w:tcPr>
          <w:p>
            <w:pPr>
              <w:spacing w:line="0" w:lineRule="atLeast"/>
              <w:rPr>
                <w:rFonts w:eastAsia="仿宋"/>
                <w:sz w:val="24"/>
              </w:rPr>
            </w:pPr>
            <w:r>
              <w:rPr>
                <w:rFonts w:eastAsia="仿宋"/>
                <w:sz w:val="24"/>
                <w:lang w:val="it-IT"/>
              </w:rPr>
              <w:t>食品加工机械.基本概念.卫生要求</w:t>
            </w:r>
          </w:p>
        </w:tc>
      </w:tr>
      <w:tr>
        <w:trPr>
          <w:trHeight w:val="459"/>
        </w:trPr>
        <w:tc>
          <w:tcPr>
            <w:tcW w:w="362" w:type="pct"/>
            <w:vAlign w:val="center"/>
          </w:tcPr>
          <w:p>
            <w:pPr>
              <w:spacing w:line="0" w:lineRule="atLeast"/>
              <w:jc w:val="center"/>
              <w:rPr>
                <w:rFonts w:eastAsia="仿宋"/>
                <w:sz w:val="24"/>
              </w:rPr>
            </w:pPr>
            <w:r>
              <w:rPr>
                <w:rFonts w:eastAsia="仿宋"/>
                <w:sz w:val="24"/>
              </w:rPr>
              <w:t>19</w:t>
            </w:r>
          </w:p>
        </w:tc>
        <w:tc>
          <w:tcPr>
            <w:tcW w:w="1472" w:type="pct"/>
            <w:vAlign w:val="center"/>
          </w:tcPr>
          <w:p>
            <w:pPr>
              <w:spacing w:line="0" w:lineRule="atLeast"/>
              <w:rPr>
                <w:rFonts w:eastAsia="仿宋"/>
                <w:sz w:val="24"/>
              </w:rPr>
            </w:pPr>
            <w:r>
              <w:rPr>
                <w:rFonts w:eastAsia="仿宋"/>
                <w:sz w:val="24"/>
                <w:lang w:val="it-IT"/>
              </w:rPr>
              <w:t>GB/T 985.2－2008</w:t>
            </w:r>
          </w:p>
        </w:tc>
        <w:tc>
          <w:tcPr>
            <w:tcW w:w="3166" w:type="pct"/>
            <w:vAlign w:val="center"/>
          </w:tcPr>
          <w:p>
            <w:pPr>
              <w:spacing w:line="0" w:lineRule="atLeast"/>
              <w:rPr>
                <w:rFonts w:eastAsia="仿宋"/>
                <w:sz w:val="24"/>
              </w:rPr>
            </w:pPr>
            <w:r>
              <w:rPr>
                <w:rFonts w:eastAsia="仿宋"/>
                <w:sz w:val="24"/>
              </w:rPr>
              <w:t>埋弧焊的推荐坡口</w:t>
            </w:r>
          </w:p>
        </w:tc>
      </w:tr>
      <w:tr>
        <w:trPr>
          <w:trHeight w:val="459"/>
        </w:trPr>
        <w:tc>
          <w:tcPr>
            <w:tcW w:w="362" w:type="pct"/>
            <w:vAlign w:val="center"/>
          </w:tcPr>
          <w:p>
            <w:pPr>
              <w:spacing w:line="0" w:lineRule="atLeast"/>
              <w:jc w:val="center"/>
              <w:rPr>
                <w:rFonts w:eastAsia="仿宋"/>
                <w:sz w:val="24"/>
              </w:rPr>
            </w:pPr>
            <w:r>
              <w:rPr>
                <w:rFonts w:eastAsia="仿宋"/>
                <w:sz w:val="24"/>
              </w:rPr>
              <w:t>20</w:t>
            </w:r>
          </w:p>
        </w:tc>
        <w:tc>
          <w:tcPr>
            <w:tcW w:w="1472" w:type="pct"/>
            <w:vAlign w:val="center"/>
          </w:tcPr>
          <w:p>
            <w:pPr>
              <w:spacing w:line="0" w:lineRule="atLeast"/>
              <w:rPr>
                <w:rFonts w:eastAsia="仿宋"/>
                <w:sz w:val="24"/>
              </w:rPr>
            </w:pPr>
            <w:r>
              <w:rPr>
                <w:rFonts w:eastAsia="仿宋"/>
                <w:sz w:val="24"/>
                <w:lang w:val="it-IT"/>
              </w:rPr>
              <w:t>GB 50661－2011</w:t>
            </w:r>
          </w:p>
        </w:tc>
        <w:tc>
          <w:tcPr>
            <w:tcW w:w="3166" w:type="pct"/>
            <w:vAlign w:val="center"/>
          </w:tcPr>
          <w:p>
            <w:pPr>
              <w:spacing w:line="0" w:lineRule="atLeast"/>
              <w:rPr>
                <w:rFonts w:eastAsia="仿宋"/>
                <w:sz w:val="24"/>
              </w:rPr>
            </w:pPr>
            <w:r>
              <w:rPr>
                <w:rFonts w:eastAsia="仿宋"/>
                <w:sz w:val="24"/>
              </w:rPr>
              <w:t>钢结构焊接规范</w:t>
            </w:r>
          </w:p>
        </w:tc>
      </w:tr>
      <w:tr>
        <w:trPr>
          <w:trHeight w:val="459"/>
        </w:trPr>
        <w:tc>
          <w:tcPr>
            <w:tcW w:w="362" w:type="pct"/>
            <w:vAlign w:val="center"/>
          </w:tcPr>
          <w:p>
            <w:pPr>
              <w:spacing w:line="0" w:lineRule="atLeast"/>
              <w:jc w:val="center"/>
              <w:rPr>
                <w:rFonts w:eastAsia="仿宋"/>
                <w:sz w:val="24"/>
              </w:rPr>
            </w:pPr>
            <w:r>
              <w:rPr>
                <w:rFonts w:eastAsia="仿宋"/>
                <w:sz w:val="24"/>
              </w:rPr>
              <w:t>21</w:t>
            </w:r>
          </w:p>
        </w:tc>
        <w:tc>
          <w:tcPr>
            <w:tcW w:w="1472" w:type="pct"/>
            <w:vAlign w:val="center"/>
          </w:tcPr>
          <w:p>
            <w:pPr>
              <w:spacing w:line="0" w:lineRule="atLeast"/>
              <w:rPr>
                <w:rFonts w:eastAsia="仿宋"/>
                <w:sz w:val="24"/>
              </w:rPr>
            </w:pPr>
            <w:r>
              <w:rPr>
                <w:rFonts w:eastAsia="仿宋"/>
                <w:sz w:val="24"/>
                <w:lang w:val="it-IT"/>
              </w:rPr>
              <w:t>GB/T20801－2006</w:t>
            </w:r>
          </w:p>
        </w:tc>
        <w:tc>
          <w:tcPr>
            <w:tcW w:w="3166" w:type="pct"/>
            <w:vAlign w:val="center"/>
          </w:tcPr>
          <w:p>
            <w:pPr>
              <w:spacing w:line="0" w:lineRule="atLeast"/>
              <w:rPr>
                <w:rFonts w:eastAsia="仿宋"/>
                <w:sz w:val="24"/>
              </w:rPr>
            </w:pPr>
            <w:r>
              <w:rPr>
                <w:rFonts w:eastAsia="仿宋"/>
                <w:sz w:val="24"/>
              </w:rPr>
              <w:t>压力管道规范工业管道</w:t>
            </w:r>
          </w:p>
        </w:tc>
      </w:tr>
      <w:tr>
        <w:trPr>
          <w:trHeight w:val="459"/>
        </w:trPr>
        <w:tc>
          <w:tcPr>
            <w:tcW w:w="362" w:type="pct"/>
            <w:vAlign w:val="center"/>
          </w:tcPr>
          <w:p>
            <w:pPr>
              <w:spacing w:line="0" w:lineRule="atLeast"/>
              <w:jc w:val="center"/>
              <w:rPr>
                <w:rFonts w:eastAsia="仿宋"/>
                <w:sz w:val="24"/>
              </w:rPr>
            </w:pPr>
            <w:r>
              <w:rPr>
                <w:rFonts w:eastAsia="仿宋"/>
                <w:sz w:val="24"/>
              </w:rPr>
              <w:t>22</w:t>
            </w:r>
          </w:p>
        </w:tc>
        <w:tc>
          <w:tcPr>
            <w:tcW w:w="1472" w:type="pct"/>
            <w:vAlign w:val="center"/>
          </w:tcPr>
          <w:p>
            <w:pPr>
              <w:spacing w:line="0" w:lineRule="atLeast"/>
              <w:rPr>
                <w:rFonts w:eastAsia="仿宋"/>
                <w:sz w:val="24"/>
              </w:rPr>
            </w:pPr>
            <w:r>
              <w:rPr>
                <w:rFonts w:eastAsia="仿宋"/>
                <w:sz w:val="24"/>
                <w:lang w:val="it-IT"/>
              </w:rPr>
              <w:t>GB</w:t>
            </w:r>
            <w:r>
              <w:rPr>
                <w:rFonts w:eastAsia="仿宋"/>
                <w:sz w:val="24"/>
              </w:rPr>
              <w:t>/T</w:t>
            </w:r>
            <w:r>
              <w:rPr>
                <w:rFonts w:eastAsia="仿宋"/>
                <w:sz w:val="24"/>
                <w:lang w:val="it-IT"/>
              </w:rPr>
              <w:t xml:space="preserve"> 8163-2018 </w:t>
            </w:r>
          </w:p>
        </w:tc>
        <w:tc>
          <w:tcPr>
            <w:tcW w:w="3166" w:type="pct"/>
            <w:vAlign w:val="center"/>
          </w:tcPr>
          <w:p>
            <w:pPr>
              <w:spacing w:line="0" w:lineRule="atLeast"/>
              <w:rPr>
                <w:rFonts w:eastAsia="仿宋"/>
                <w:sz w:val="24"/>
              </w:rPr>
            </w:pPr>
            <w:r>
              <w:rPr>
                <w:rFonts w:eastAsia="仿宋"/>
                <w:sz w:val="24"/>
                <w:lang w:val="it-IT"/>
              </w:rPr>
              <w:t>输送流体用无缝钢管</w:t>
            </w:r>
          </w:p>
        </w:tc>
      </w:tr>
      <w:tr>
        <w:trPr>
          <w:trHeight w:val="459"/>
        </w:trPr>
        <w:tc>
          <w:tcPr>
            <w:tcW w:w="362" w:type="pct"/>
            <w:vAlign w:val="center"/>
          </w:tcPr>
          <w:p>
            <w:pPr>
              <w:spacing w:line="0" w:lineRule="atLeast"/>
              <w:jc w:val="center"/>
              <w:rPr>
                <w:rFonts w:eastAsia="仿宋"/>
                <w:sz w:val="24"/>
              </w:rPr>
            </w:pPr>
            <w:r>
              <w:rPr>
                <w:rFonts w:eastAsia="仿宋"/>
                <w:sz w:val="24"/>
              </w:rPr>
              <w:t>23</w:t>
            </w:r>
          </w:p>
        </w:tc>
        <w:tc>
          <w:tcPr>
            <w:tcW w:w="1472" w:type="pct"/>
            <w:vAlign w:val="center"/>
          </w:tcPr>
          <w:p>
            <w:pPr>
              <w:spacing w:line="0" w:lineRule="atLeast"/>
              <w:rPr>
                <w:rFonts w:eastAsia="仿宋"/>
                <w:sz w:val="24"/>
              </w:rPr>
            </w:pPr>
            <w:r>
              <w:rPr>
                <w:rFonts w:eastAsia="仿宋"/>
                <w:sz w:val="24"/>
                <w:lang w:val="it-IT"/>
              </w:rPr>
              <w:t>GB50017－2017</w:t>
            </w:r>
          </w:p>
        </w:tc>
        <w:tc>
          <w:tcPr>
            <w:tcW w:w="3166" w:type="pct"/>
            <w:vAlign w:val="center"/>
          </w:tcPr>
          <w:p>
            <w:pPr>
              <w:spacing w:line="0" w:lineRule="atLeast"/>
              <w:rPr>
                <w:rFonts w:eastAsia="仿宋"/>
                <w:sz w:val="24"/>
              </w:rPr>
            </w:pPr>
            <w:r>
              <w:rPr>
                <w:rFonts w:eastAsia="仿宋"/>
                <w:sz w:val="24"/>
              </w:rPr>
              <w:t>钢结构设计规范</w:t>
            </w:r>
          </w:p>
        </w:tc>
      </w:tr>
      <w:tr>
        <w:trPr>
          <w:trHeight w:val="459"/>
        </w:trPr>
        <w:tc>
          <w:tcPr>
            <w:tcW w:w="362" w:type="pct"/>
            <w:vAlign w:val="center"/>
          </w:tcPr>
          <w:p>
            <w:pPr>
              <w:spacing w:line="0" w:lineRule="atLeast"/>
              <w:jc w:val="center"/>
              <w:rPr>
                <w:rFonts w:eastAsia="仿宋"/>
                <w:sz w:val="24"/>
              </w:rPr>
            </w:pPr>
            <w:r>
              <w:rPr>
                <w:rFonts w:eastAsia="仿宋"/>
                <w:sz w:val="24"/>
              </w:rPr>
              <w:t>24</w:t>
            </w:r>
          </w:p>
        </w:tc>
        <w:tc>
          <w:tcPr>
            <w:tcW w:w="1472" w:type="pct"/>
            <w:vAlign w:val="center"/>
          </w:tcPr>
          <w:p>
            <w:pPr>
              <w:spacing w:line="0" w:lineRule="atLeast"/>
              <w:rPr>
                <w:rFonts w:eastAsia="仿宋"/>
                <w:sz w:val="24"/>
              </w:rPr>
            </w:pPr>
            <w:r>
              <w:rPr>
                <w:rFonts w:eastAsia="仿宋"/>
                <w:sz w:val="24"/>
                <w:lang w:val="it-IT"/>
              </w:rPr>
              <w:t>GB 50235－2010</w:t>
            </w:r>
          </w:p>
        </w:tc>
        <w:tc>
          <w:tcPr>
            <w:tcW w:w="3166" w:type="pct"/>
            <w:vAlign w:val="center"/>
          </w:tcPr>
          <w:p>
            <w:pPr>
              <w:spacing w:line="0" w:lineRule="atLeast"/>
              <w:rPr>
                <w:rFonts w:eastAsia="仿宋"/>
                <w:sz w:val="24"/>
              </w:rPr>
            </w:pPr>
            <w:r>
              <w:rPr>
                <w:rFonts w:eastAsia="仿宋"/>
                <w:sz w:val="24"/>
              </w:rPr>
              <w:t>工业金属管道工程施工规范</w:t>
            </w:r>
          </w:p>
        </w:tc>
      </w:tr>
      <w:tr>
        <w:trPr>
          <w:trHeight w:val="459"/>
        </w:trPr>
        <w:tc>
          <w:tcPr>
            <w:tcW w:w="362" w:type="pct"/>
            <w:vAlign w:val="center"/>
          </w:tcPr>
          <w:p>
            <w:pPr>
              <w:spacing w:line="0" w:lineRule="atLeast"/>
              <w:jc w:val="center"/>
              <w:rPr>
                <w:rFonts w:eastAsia="仿宋"/>
                <w:sz w:val="24"/>
              </w:rPr>
            </w:pPr>
            <w:r>
              <w:rPr>
                <w:rFonts w:eastAsia="仿宋"/>
                <w:sz w:val="24"/>
              </w:rPr>
              <w:t>25</w:t>
            </w:r>
          </w:p>
        </w:tc>
        <w:tc>
          <w:tcPr>
            <w:tcW w:w="1472" w:type="pct"/>
            <w:vAlign w:val="center"/>
          </w:tcPr>
          <w:p>
            <w:pPr>
              <w:spacing w:line="0" w:lineRule="atLeast"/>
              <w:rPr>
                <w:rFonts w:eastAsia="仿宋"/>
                <w:sz w:val="24"/>
                <w:lang w:val="it-IT"/>
              </w:rPr>
            </w:pPr>
            <w:r>
              <w:rPr>
                <w:rFonts w:eastAsia="仿宋"/>
                <w:sz w:val="24"/>
                <w:lang w:val="it-IT"/>
              </w:rPr>
              <w:t>GB 50275－2010</w:t>
            </w:r>
          </w:p>
        </w:tc>
        <w:tc>
          <w:tcPr>
            <w:tcW w:w="3166" w:type="pct"/>
            <w:vAlign w:val="center"/>
          </w:tcPr>
          <w:p>
            <w:pPr>
              <w:spacing w:line="0" w:lineRule="atLeast"/>
              <w:rPr>
                <w:rFonts w:eastAsia="仿宋"/>
                <w:sz w:val="24"/>
                <w:lang w:val="it-IT"/>
              </w:rPr>
            </w:pPr>
            <w:r>
              <w:rPr>
                <w:rFonts w:eastAsia="仿宋"/>
                <w:sz w:val="24"/>
              </w:rPr>
              <w:t>风机、压缩机、泵安装工程施工及验收规范</w:t>
            </w:r>
          </w:p>
        </w:tc>
      </w:tr>
      <w:tr>
        <w:trPr>
          <w:trHeight w:val="459"/>
        </w:trPr>
        <w:tc>
          <w:tcPr>
            <w:tcW w:w="362" w:type="pct"/>
            <w:vAlign w:val="center"/>
          </w:tcPr>
          <w:p>
            <w:pPr>
              <w:spacing w:line="0" w:lineRule="atLeast"/>
              <w:jc w:val="center"/>
              <w:rPr>
                <w:rFonts w:eastAsia="仿宋"/>
                <w:sz w:val="24"/>
              </w:rPr>
            </w:pPr>
            <w:r>
              <w:rPr>
                <w:rFonts w:eastAsia="仿宋"/>
                <w:sz w:val="24"/>
              </w:rPr>
              <w:t>26</w:t>
            </w:r>
          </w:p>
        </w:tc>
        <w:tc>
          <w:tcPr>
            <w:tcW w:w="1472" w:type="pct"/>
            <w:vAlign w:val="center"/>
          </w:tcPr>
          <w:p>
            <w:pPr>
              <w:spacing w:line="0" w:lineRule="atLeast"/>
              <w:rPr>
                <w:rFonts w:eastAsia="仿宋"/>
                <w:sz w:val="24"/>
                <w:lang w:val="it-IT"/>
              </w:rPr>
            </w:pPr>
            <w:r>
              <w:rPr>
                <w:rFonts w:eastAsia="仿宋"/>
                <w:sz w:val="24"/>
                <w:lang w:val="it-IT"/>
              </w:rPr>
              <w:t>GB150－2011</w:t>
            </w:r>
          </w:p>
        </w:tc>
        <w:tc>
          <w:tcPr>
            <w:tcW w:w="3166" w:type="pct"/>
            <w:vAlign w:val="center"/>
          </w:tcPr>
          <w:p>
            <w:pPr>
              <w:spacing w:line="0" w:lineRule="atLeast"/>
              <w:rPr>
                <w:rFonts w:eastAsia="仿宋"/>
                <w:sz w:val="24"/>
                <w:lang w:val="it-IT"/>
              </w:rPr>
            </w:pPr>
            <w:r>
              <w:rPr>
                <w:rFonts w:eastAsia="仿宋"/>
                <w:sz w:val="24"/>
              </w:rPr>
              <w:t>压力容器</w:t>
            </w:r>
          </w:p>
        </w:tc>
      </w:tr>
      <w:tr>
        <w:trPr>
          <w:trHeight w:val="459"/>
        </w:trPr>
        <w:tc>
          <w:tcPr>
            <w:tcW w:w="362" w:type="pct"/>
            <w:vAlign w:val="center"/>
          </w:tcPr>
          <w:p>
            <w:pPr>
              <w:spacing w:line="0" w:lineRule="atLeast"/>
              <w:jc w:val="center"/>
              <w:rPr>
                <w:rFonts w:eastAsia="仿宋"/>
                <w:sz w:val="24"/>
              </w:rPr>
            </w:pPr>
            <w:r>
              <w:rPr>
                <w:rFonts w:eastAsia="仿宋"/>
                <w:sz w:val="24"/>
              </w:rPr>
              <w:t>27</w:t>
            </w:r>
          </w:p>
        </w:tc>
        <w:tc>
          <w:tcPr>
            <w:tcW w:w="1472" w:type="pct"/>
            <w:vAlign w:val="center"/>
          </w:tcPr>
          <w:p>
            <w:pPr>
              <w:spacing w:line="0" w:lineRule="atLeast"/>
              <w:rPr>
                <w:rFonts w:eastAsia="仿宋"/>
                <w:sz w:val="24"/>
              </w:rPr>
            </w:pPr>
            <w:r>
              <w:rPr>
                <w:rFonts w:eastAsia="仿宋"/>
                <w:sz w:val="24"/>
              </w:rPr>
              <w:t>GB/T3216-2016</w:t>
            </w:r>
          </w:p>
        </w:tc>
        <w:tc>
          <w:tcPr>
            <w:tcW w:w="3166" w:type="pct"/>
            <w:vAlign w:val="center"/>
          </w:tcPr>
          <w:p>
            <w:pPr>
              <w:spacing w:line="0" w:lineRule="atLeast"/>
              <w:rPr>
                <w:rFonts w:eastAsia="仿宋"/>
                <w:sz w:val="24"/>
                <w:lang w:val="it-IT"/>
              </w:rPr>
            </w:pPr>
            <w:r>
              <w:rPr>
                <w:rFonts w:eastAsia="仿宋"/>
                <w:sz w:val="24"/>
              </w:rPr>
              <w:t>回转动力泵 水力性能验收试验1级、2级和3级</w:t>
            </w:r>
          </w:p>
        </w:tc>
      </w:tr>
      <w:tr>
        <w:trPr>
          <w:trHeight w:val="459"/>
        </w:trPr>
        <w:tc>
          <w:tcPr>
            <w:tcW w:w="362" w:type="pct"/>
            <w:vAlign w:val="center"/>
          </w:tcPr>
          <w:p>
            <w:pPr>
              <w:spacing w:line="0" w:lineRule="atLeast"/>
              <w:jc w:val="center"/>
              <w:rPr>
                <w:rFonts w:eastAsia="仿宋"/>
                <w:sz w:val="24"/>
              </w:rPr>
            </w:pPr>
            <w:r>
              <w:rPr>
                <w:rFonts w:eastAsia="仿宋"/>
                <w:sz w:val="24"/>
              </w:rPr>
              <w:t>28</w:t>
            </w:r>
          </w:p>
        </w:tc>
        <w:tc>
          <w:tcPr>
            <w:tcW w:w="1472" w:type="pct"/>
            <w:vAlign w:val="center"/>
          </w:tcPr>
          <w:p>
            <w:pPr>
              <w:spacing w:line="0" w:lineRule="atLeast"/>
              <w:rPr>
                <w:rFonts w:eastAsia="仿宋"/>
                <w:sz w:val="24"/>
              </w:rPr>
            </w:pPr>
            <w:r>
              <w:rPr>
                <w:rFonts w:eastAsia="仿宋"/>
                <w:sz w:val="24"/>
              </w:rPr>
              <w:t>GB/T 29531-2013</w:t>
            </w:r>
          </w:p>
        </w:tc>
        <w:tc>
          <w:tcPr>
            <w:tcW w:w="3166" w:type="pct"/>
            <w:vAlign w:val="center"/>
          </w:tcPr>
          <w:p>
            <w:pPr>
              <w:spacing w:line="0" w:lineRule="atLeast"/>
              <w:rPr>
                <w:rFonts w:eastAsia="仿宋"/>
                <w:sz w:val="24"/>
                <w:lang w:val="it-IT"/>
              </w:rPr>
            </w:pPr>
            <w:r>
              <w:rPr>
                <w:rFonts w:eastAsia="仿宋"/>
                <w:sz w:val="24"/>
              </w:rPr>
              <w:t>泵的振动测量与评价方法</w:t>
            </w:r>
          </w:p>
        </w:tc>
      </w:tr>
      <w:tr>
        <w:trPr>
          <w:trHeight w:val="459"/>
        </w:trPr>
        <w:tc>
          <w:tcPr>
            <w:tcW w:w="362" w:type="pct"/>
            <w:vAlign w:val="center"/>
          </w:tcPr>
          <w:p>
            <w:pPr>
              <w:spacing w:line="0" w:lineRule="atLeast"/>
              <w:jc w:val="center"/>
              <w:rPr>
                <w:rFonts w:eastAsia="仿宋"/>
                <w:sz w:val="24"/>
              </w:rPr>
            </w:pPr>
            <w:r>
              <w:rPr>
                <w:rFonts w:eastAsia="仿宋"/>
                <w:sz w:val="24"/>
              </w:rPr>
              <w:t>29</w:t>
            </w:r>
          </w:p>
        </w:tc>
        <w:tc>
          <w:tcPr>
            <w:tcW w:w="1472" w:type="pct"/>
            <w:vAlign w:val="center"/>
          </w:tcPr>
          <w:p>
            <w:pPr>
              <w:spacing w:line="0" w:lineRule="atLeast"/>
              <w:rPr>
                <w:rFonts w:eastAsia="仿宋"/>
                <w:sz w:val="24"/>
              </w:rPr>
            </w:pPr>
            <w:r>
              <w:rPr>
                <w:rFonts w:eastAsia="仿宋"/>
                <w:sz w:val="24"/>
              </w:rPr>
              <w:t>GB/T 29529-2013</w:t>
            </w:r>
          </w:p>
        </w:tc>
        <w:tc>
          <w:tcPr>
            <w:tcW w:w="3166" w:type="pct"/>
            <w:vAlign w:val="center"/>
          </w:tcPr>
          <w:p>
            <w:pPr>
              <w:spacing w:line="0" w:lineRule="atLeast"/>
              <w:rPr>
                <w:rFonts w:eastAsia="仿宋"/>
                <w:sz w:val="24"/>
                <w:lang w:val="it-IT"/>
              </w:rPr>
            </w:pPr>
            <w:r>
              <w:rPr>
                <w:rFonts w:eastAsia="仿宋"/>
                <w:sz w:val="24"/>
              </w:rPr>
              <w:t>泵的噪音测量与评价方法</w:t>
            </w:r>
          </w:p>
        </w:tc>
      </w:tr>
      <w:tr>
        <w:trPr>
          <w:trHeight w:val="459"/>
        </w:trPr>
        <w:tc>
          <w:tcPr>
            <w:tcW w:w="362" w:type="pct"/>
            <w:vAlign w:val="center"/>
          </w:tcPr>
          <w:p>
            <w:pPr>
              <w:spacing w:line="0" w:lineRule="atLeast"/>
              <w:jc w:val="center"/>
              <w:rPr>
                <w:rFonts w:eastAsia="仿宋"/>
                <w:sz w:val="24"/>
              </w:rPr>
            </w:pPr>
            <w:r>
              <w:rPr>
                <w:rFonts w:eastAsia="仿宋"/>
                <w:sz w:val="24"/>
              </w:rPr>
              <w:t>30</w:t>
            </w:r>
          </w:p>
        </w:tc>
        <w:tc>
          <w:tcPr>
            <w:tcW w:w="1472" w:type="pct"/>
            <w:vAlign w:val="center"/>
          </w:tcPr>
          <w:p>
            <w:pPr>
              <w:spacing w:line="0" w:lineRule="atLeast"/>
              <w:rPr>
                <w:rFonts w:eastAsia="仿宋"/>
                <w:sz w:val="24"/>
                <w:lang w:val="it-IT"/>
              </w:rPr>
            </w:pPr>
            <w:r>
              <w:rPr>
                <w:rFonts w:eastAsia="仿宋"/>
                <w:sz w:val="24"/>
              </w:rPr>
              <w:t xml:space="preserve">GBT 5657-2013 </w:t>
            </w:r>
          </w:p>
        </w:tc>
        <w:tc>
          <w:tcPr>
            <w:tcW w:w="3166" w:type="pct"/>
            <w:vAlign w:val="center"/>
          </w:tcPr>
          <w:p>
            <w:pPr>
              <w:spacing w:line="0" w:lineRule="atLeast"/>
              <w:rPr>
                <w:rFonts w:eastAsia="仿宋"/>
                <w:sz w:val="24"/>
                <w:lang w:val="it-IT"/>
              </w:rPr>
            </w:pPr>
            <w:r>
              <w:rPr>
                <w:rFonts w:eastAsia="仿宋"/>
                <w:sz w:val="24"/>
              </w:rPr>
              <w:t>离心泵技术条件(Ⅲ类)</w:t>
            </w:r>
          </w:p>
        </w:tc>
      </w:tr>
      <w:tr>
        <w:trPr>
          <w:trHeight w:val="459"/>
        </w:trPr>
        <w:tc>
          <w:tcPr>
            <w:tcW w:w="362" w:type="pct"/>
            <w:vAlign w:val="center"/>
          </w:tcPr>
          <w:p>
            <w:pPr>
              <w:spacing w:line="0" w:lineRule="atLeast"/>
              <w:jc w:val="center"/>
              <w:rPr>
                <w:rFonts w:eastAsia="仿宋"/>
                <w:sz w:val="24"/>
              </w:rPr>
            </w:pPr>
            <w:r>
              <w:rPr>
                <w:rFonts w:eastAsia="仿宋"/>
                <w:sz w:val="24"/>
              </w:rPr>
              <w:t>31</w:t>
            </w:r>
          </w:p>
        </w:tc>
        <w:tc>
          <w:tcPr>
            <w:tcW w:w="1472" w:type="pct"/>
            <w:vAlign w:val="center"/>
          </w:tcPr>
          <w:p>
            <w:pPr>
              <w:spacing w:line="0" w:lineRule="atLeast"/>
              <w:rPr>
                <w:rFonts w:eastAsia="仿宋"/>
                <w:sz w:val="24"/>
                <w:lang w:val="it-IT"/>
              </w:rPr>
            </w:pPr>
            <w:r>
              <w:rPr>
                <w:rFonts w:eastAsia="仿宋"/>
                <w:sz w:val="24"/>
                <w:lang w:val="it-IT"/>
              </w:rPr>
              <w:t xml:space="preserve">GB 19762-2007 </w:t>
            </w:r>
          </w:p>
        </w:tc>
        <w:tc>
          <w:tcPr>
            <w:tcW w:w="3166" w:type="pct"/>
            <w:vAlign w:val="center"/>
          </w:tcPr>
          <w:p>
            <w:pPr>
              <w:spacing w:line="0" w:lineRule="atLeast"/>
              <w:rPr>
                <w:rFonts w:eastAsia="仿宋"/>
                <w:sz w:val="24"/>
                <w:lang w:val="it-IT"/>
              </w:rPr>
            </w:pPr>
            <w:r>
              <w:rPr>
                <w:rFonts w:eastAsia="仿宋"/>
                <w:sz w:val="24"/>
                <w:lang w:val="it-IT"/>
              </w:rPr>
              <w:t>清水离心泵能效限定值及节能评价值</w:t>
            </w:r>
          </w:p>
        </w:tc>
      </w:tr>
      <w:tr>
        <w:trPr>
          <w:trHeight w:val="459"/>
        </w:trPr>
        <w:tc>
          <w:tcPr>
            <w:tcW w:w="362" w:type="pct"/>
            <w:vAlign w:val="center"/>
          </w:tcPr>
          <w:p>
            <w:pPr>
              <w:spacing w:line="0" w:lineRule="atLeast"/>
              <w:jc w:val="center"/>
              <w:rPr>
                <w:rFonts w:eastAsia="仿宋"/>
                <w:sz w:val="24"/>
              </w:rPr>
            </w:pPr>
            <w:r>
              <w:rPr>
                <w:rFonts w:eastAsia="仿宋"/>
                <w:sz w:val="24"/>
              </w:rPr>
              <w:t>32</w:t>
            </w:r>
          </w:p>
        </w:tc>
        <w:tc>
          <w:tcPr>
            <w:tcW w:w="1472" w:type="pct"/>
            <w:vAlign w:val="center"/>
          </w:tcPr>
          <w:p>
            <w:pPr>
              <w:spacing w:line="0" w:lineRule="atLeast"/>
              <w:rPr>
                <w:rFonts w:eastAsia="仿宋"/>
                <w:sz w:val="24"/>
                <w:lang w:val="it-IT"/>
              </w:rPr>
            </w:pPr>
            <w:r>
              <w:rPr>
                <w:rFonts w:eastAsia="仿宋"/>
                <w:sz w:val="24"/>
              </w:rPr>
              <w:t>GB/T31303-2014</w:t>
            </w:r>
          </w:p>
        </w:tc>
        <w:tc>
          <w:tcPr>
            <w:tcW w:w="3166" w:type="pct"/>
            <w:vAlign w:val="center"/>
          </w:tcPr>
          <w:p>
            <w:pPr>
              <w:spacing w:line="0" w:lineRule="atLeast"/>
              <w:rPr>
                <w:rFonts w:eastAsia="仿宋"/>
                <w:sz w:val="24"/>
              </w:rPr>
            </w:pPr>
            <w:r>
              <w:rPr>
                <w:rFonts w:eastAsia="仿宋"/>
                <w:sz w:val="24"/>
              </w:rPr>
              <w:t>奥氏体-铁素体型双相不锈钢棒</w:t>
            </w:r>
          </w:p>
        </w:tc>
      </w:tr>
      <w:tr>
        <w:trPr>
          <w:trHeight w:val="459"/>
        </w:trPr>
        <w:tc>
          <w:tcPr>
            <w:tcW w:w="362" w:type="pct"/>
            <w:vAlign w:val="center"/>
          </w:tcPr>
          <w:p>
            <w:pPr>
              <w:spacing w:line="0" w:lineRule="atLeast"/>
              <w:jc w:val="center"/>
              <w:rPr>
                <w:rFonts w:eastAsia="仿宋"/>
                <w:sz w:val="24"/>
              </w:rPr>
            </w:pPr>
            <w:r>
              <w:rPr>
                <w:rFonts w:eastAsia="仿宋"/>
                <w:sz w:val="24"/>
              </w:rPr>
              <w:t>33</w:t>
            </w:r>
          </w:p>
        </w:tc>
        <w:tc>
          <w:tcPr>
            <w:tcW w:w="1472" w:type="pct"/>
            <w:vAlign w:val="center"/>
          </w:tcPr>
          <w:p>
            <w:pPr>
              <w:rPr>
                <w:rFonts w:eastAsia="仿宋"/>
                <w:sz w:val="24"/>
                <w:lang w:val="it-IT"/>
              </w:rPr>
            </w:pPr>
            <w:r>
              <w:rPr>
                <w:rFonts w:eastAsia="仿宋"/>
                <w:sz w:val="24"/>
                <w:lang w:val="it-IT"/>
              </w:rPr>
              <w:t xml:space="preserve">GB_755-2008 </w:t>
            </w:r>
          </w:p>
        </w:tc>
        <w:tc>
          <w:tcPr>
            <w:tcW w:w="3166" w:type="pct"/>
            <w:vAlign w:val="center"/>
          </w:tcPr>
          <w:p>
            <w:pPr>
              <w:rPr>
                <w:rFonts w:eastAsia="仿宋"/>
                <w:sz w:val="24"/>
                <w:lang w:val="it-IT"/>
              </w:rPr>
            </w:pPr>
            <w:r>
              <w:rPr>
                <w:rFonts w:eastAsia="仿宋"/>
                <w:sz w:val="24"/>
                <w:lang w:val="it-IT"/>
              </w:rPr>
              <w:t>旋转电机基本技术要求</w:t>
            </w:r>
          </w:p>
        </w:tc>
      </w:tr>
      <w:tr>
        <w:trPr>
          <w:trHeight w:val="459"/>
        </w:trPr>
        <w:tc>
          <w:tcPr>
            <w:tcW w:w="362" w:type="pct"/>
            <w:vAlign w:val="center"/>
          </w:tcPr>
          <w:p>
            <w:pPr>
              <w:spacing w:line="0" w:lineRule="atLeast"/>
              <w:jc w:val="center"/>
              <w:rPr>
                <w:rFonts w:eastAsia="仿宋"/>
                <w:sz w:val="24"/>
              </w:rPr>
            </w:pPr>
            <w:r>
              <w:rPr>
                <w:rFonts w:eastAsia="仿宋"/>
                <w:sz w:val="24"/>
              </w:rPr>
              <w:t>34</w:t>
            </w:r>
          </w:p>
        </w:tc>
        <w:tc>
          <w:tcPr>
            <w:tcW w:w="1472" w:type="pct"/>
            <w:vAlign w:val="center"/>
          </w:tcPr>
          <w:p>
            <w:pPr>
              <w:rPr>
                <w:rFonts w:eastAsia="仿宋"/>
                <w:sz w:val="24"/>
                <w:lang w:val="it-IT"/>
              </w:rPr>
            </w:pPr>
            <w:r>
              <w:rPr>
                <w:rFonts w:eastAsia="仿宋"/>
                <w:sz w:val="24"/>
              </w:rPr>
              <w:t>GB18613-2020</w:t>
            </w:r>
            <w:r>
              <w:rPr>
                <w:rFonts w:eastAsia="仿宋"/>
                <w:sz w:val="24"/>
                <w:lang w:val="it-IT"/>
              </w:rPr>
              <w:t xml:space="preserve"> </w:t>
            </w:r>
          </w:p>
        </w:tc>
        <w:tc>
          <w:tcPr>
            <w:tcW w:w="3166" w:type="pct"/>
            <w:vAlign w:val="center"/>
          </w:tcPr>
          <w:p>
            <w:pPr>
              <w:rPr>
                <w:rFonts w:eastAsia="仿宋"/>
                <w:sz w:val="24"/>
                <w:lang w:val="it-IT"/>
              </w:rPr>
            </w:pPr>
            <w:r>
              <w:rPr>
                <w:rFonts w:eastAsia="仿宋"/>
                <w:sz w:val="24"/>
              </w:rPr>
              <w:t>电机节能评价值</w:t>
            </w:r>
          </w:p>
        </w:tc>
      </w:tr>
      <w:tr>
        <w:trPr>
          <w:trHeight w:val="459"/>
        </w:trPr>
        <w:tc>
          <w:tcPr>
            <w:tcW w:w="362" w:type="pct"/>
            <w:vAlign w:val="center"/>
          </w:tcPr>
          <w:p>
            <w:pPr>
              <w:spacing w:line="0" w:lineRule="atLeast"/>
              <w:jc w:val="center"/>
              <w:rPr>
                <w:rFonts w:eastAsia="仿宋"/>
                <w:sz w:val="24"/>
              </w:rPr>
            </w:pPr>
            <w:r>
              <w:rPr>
                <w:rFonts w:eastAsia="仿宋"/>
                <w:sz w:val="24"/>
              </w:rPr>
              <w:t>35</w:t>
            </w:r>
          </w:p>
        </w:tc>
        <w:tc>
          <w:tcPr>
            <w:tcW w:w="1472" w:type="pct"/>
            <w:vAlign w:val="center"/>
          </w:tcPr>
          <w:p>
            <w:pPr>
              <w:rPr>
                <w:rFonts w:eastAsia="仿宋"/>
                <w:sz w:val="24"/>
                <w:lang w:val="it-IT"/>
              </w:rPr>
            </w:pPr>
            <w:r>
              <w:rPr>
                <w:rFonts w:eastAsia="仿宋"/>
                <w:sz w:val="24"/>
              </w:rPr>
              <w:t>GB/T12238-2008 </w:t>
            </w:r>
          </w:p>
        </w:tc>
        <w:tc>
          <w:tcPr>
            <w:tcW w:w="3166" w:type="pct"/>
            <w:vAlign w:val="center"/>
          </w:tcPr>
          <w:p>
            <w:pPr>
              <w:rPr>
                <w:rFonts w:eastAsia="仿宋"/>
                <w:sz w:val="24"/>
                <w:lang w:val="it-IT"/>
              </w:rPr>
            </w:pPr>
            <w:r>
              <w:rPr>
                <w:rFonts w:eastAsia="仿宋"/>
                <w:sz w:val="24"/>
              </w:rPr>
              <w:t>法兰和对夹连接弹性密封蝶阀</w:t>
            </w:r>
          </w:p>
        </w:tc>
      </w:tr>
      <w:tr>
        <w:trPr>
          <w:trHeight w:val="459"/>
        </w:trPr>
        <w:tc>
          <w:tcPr>
            <w:tcW w:w="362" w:type="pct"/>
            <w:vAlign w:val="center"/>
          </w:tcPr>
          <w:p>
            <w:pPr>
              <w:spacing w:line="0" w:lineRule="atLeast"/>
              <w:jc w:val="center"/>
              <w:rPr>
                <w:rFonts w:eastAsia="仿宋"/>
                <w:sz w:val="24"/>
              </w:rPr>
            </w:pPr>
            <w:r>
              <w:rPr>
                <w:rFonts w:eastAsia="仿宋"/>
                <w:sz w:val="24"/>
              </w:rPr>
              <w:t>36</w:t>
            </w:r>
          </w:p>
        </w:tc>
        <w:tc>
          <w:tcPr>
            <w:tcW w:w="1472" w:type="pct"/>
            <w:vAlign w:val="center"/>
          </w:tcPr>
          <w:p>
            <w:pPr>
              <w:spacing w:line="0" w:lineRule="atLeast"/>
              <w:rPr>
                <w:rFonts w:eastAsia="仿宋"/>
                <w:sz w:val="24"/>
                <w:lang w:val="it-IT"/>
              </w:rPr>
            </w:pPr>
            <w:r>
              <w:rPr>
                <w:rFonts w:eastAsia="仿宋"/>
                <w:sz w:val="24"/>
              </w:rPr>
              <w:t>GB/T9119-2010</w:t>
            </w:r>
          </w:p>
        </w:tc>
        <w:tc>
          <w:tcPr>
            <w:tcW w:w="3166" w:type="pct"/>
            <w:vAlign w:val="center"/>
          </w:tcPr>
          <w:p>
            <w:pPr>
              <w:spacing w:line="0" w:lineRule="atLeast"/>
              <w:rPr>
                <w:rFonts w:eastAsia="仿宋"/>
                <w:sz w:val="24"/>
                <w:lang w:val="it-IT"/>
              </w:rPr>
            </w:pPr>
            <w:r>
              <w:rPr>
                <w:rFonts w:eastAsia="仿宋"/>
                <w:sz w:val="24"/>
              </w:rPr>
              <w:t>平面、突面板式平焊钢制管法兰</w:t>
            </w:r>
          </w:p>
        </w:tc>
      </w:tr>
      <w:tr>
        <w:trPr>
          <w:trHeight w:val="459"/>
        </w:trPr>
        <w:tc>
          <w:tcPr>
            <w:tcW w:w="362" w:type="pct"/>
            <w:vAlign w:val="center"/>
          </w:tcPr>
          <w:p>
            <w:pPr>
              <w:spacing w:line="0" w:lineRule="atLeast"/>
              <w:jc w:val="center"/>
              <w:rPr>
                <w:rFonts w:eastAsia="仿宋"/>
                <w:sz w:val="24"/>
              </w:rPr>
            </w:pPr>
            <w:r>
              <w:rPr>
                <w:rFonts w:eastAsia="仿宋"/>
                <w:sz w:val="24"/>
              </w:rPr>
              <w:t>37</w:t>
            </w:r>
          </w:p>
        </w:tc>
        <w:tc>
          <w:tcPr>
            <w:tcW w:w="1472" w:type="pct"/>
            <w:vAlign w:val="center"/>
          </w:tcPr>
          <w:p>
            <w:pPr>
              <w:spacing w:line="0" w:lineRule="atLeast"/>
              <w:rPr>
                <w:rFonts w:eastAsia="仿宋"/>
                <w:sz w:val="24"/>
                <w:lang w:val="it-IT"/>
              </w:rPr>
            </w:pPr>
            <w:r>
              <w:rPr>
                <w:rFonts w:eastAsia="仿宋"/>
                <w:sz w:val="24"/>
              </w:rPr>
              <w:t xml:space="preserve">GB/T13927 </w:t>
            </w:r>
          </w:p>
        </w:tc>
        <w:tc>
          <w:tcPr>
            <w:tcW w:w="3166" w:type="pct"/>
            <w:vAlign w:val="center"/>
          </w:tcPr>
          <w:p>
            <w:pPr>
              <w:spacing w:line="0" w:lineRule="atLeast"/>
              <w:rPr>
                <w:rFonts w:eastAsia="仿宋"/>
                <w:sz w:val="24"/>
                <w:lang w:val="it-IT"/>
              </w:rPr>
            </w:pPr>
            <w:r>
              <w:rPr>
                <w:rFonts w:eastAsia="仿宋"/>
                <w:sz w:val="24"/>
              </w:rPr>
              <w:t>通用阀门压力试验</w:t>
            </w:r>
          </w:p>
        </w:tc>
      </w:tr>
      <w:tr>
        <w:trPr>
          <w:trHeight w:val="459"/>
        </w:trPr>
        <w:tc>
          <w:tcPr>
            <w:tcW w:w="362" w:type="pct"/>
            <w:vAlign w:val="center"/>
          </w:tcPr>
          <w:p>
            <w:pPr>
              <w:spacing w:line="0" w:lineRule="atLeast"/>
              <w:jc w:val="center"/>
              <w:rPr>
                <w:rFonts w:eastAsia="仿宋"/>
                <w:sz w:val="24"/>
              </w:rPr>
            </w:pPr>
            <w:r>
              <w:rPr>
                <w:rFonts w:eastAsia="仿宋"/>
                <w:sz w:val="24"/>
              </w:rPr>
              <w:t>38</w:t>
            </w:r>
          </w:p>
        </w:tc>
        <w:tc>
          <w:tcPr>
            <w:tcW w:w="1472" w:type="pct"/>
            <w:vAlign w:val="center"/>
          </w:tcPr>
          <w:p>
            <w:pPr>
              <w:spacing w:line="0" w:lineRule="atLeast"/>
              <w:rPr>
                <w:rFonts w:eastAsia="仿宋"/>
                <w:sz w:val="24"/>
                <w:lang w:val="it-IT"/>
              </w:rPr>
            </w:pPr>
            <w:r>
              <w:rPr>
                <w:rFonts w:eastAsia="仿宋"/>
                <w:sz w:val="24"/>
              </w:rPr>
              <w:t xml:space="preserve">GB/T12227-2005 </w:t>
            </w:r>
          </w:p>
        </w:tc>
        <w:tc>
          <w:tcPr>
            <w:tcW w:w="3166" w:type="pct"/>
            <w:vAlign w:val="center"/>
          </w:tcPr>
          <w:p>
            <w:pPr>
              <w:spacing w:line="0" w:lineRule="atLeast"/>
              <w:rPr>
                <w:rFonts w:eastAsia="仿宋"/>
                <w:sz w:val="24"/>
                <w:lang w:val="it-IT"/>
              </w:rPr>
            </w:pPr>
            <w:r>
              <w:rPr>
                <w:rFonts w:eastAsia="仿宋"/>
                <w:sz w:val="24"/>
              </w:rPr>
              <w:t>通用阀门 球墨铸铁件技术条件</w:t>
            </w:r>
          </w:p>
        </w:tc>
      </w:tr>
      <w:tr>
        <w:trPr>
          <w:trHeight w:val="459"/>
        </w:trPr>
        <w:tc>
          <w:tcPr>
            <w:tcW w:w="362" w:type="pct"/>
            <w:vAlign w:val="center"/>
          </w:tcPr>
          <w:p>
            <w:pPr>
              <w:spacing w:line="0" w:lineRule="atLeast"/>
              <w:jc w:val="center"/>
              <w:rPr>
                <w:rFonts w:eastAsia="仿宋"/>
                <w:sz w:val="24"/>
              </w:rPr>
            </w:pPr>
            <w:r>
              <w:rPr>
                <w:rFonts w:eastAsia="仿宋"/>
                <w:sz w:val="24"/>
              </w:rPr>
              <w:t>39</w:t>
            </w:r>
          </w:p>
        </w:tc>
        <w:tc>
          <w:tcPr>
            <w:tcW w:w="1472" w:type="pct"/>
            <w:vAlign w:val="center"/>
          </w:tcPr>
          <w:p>
            <w:pPr>
              <w:spacing w:line="0" w:lineRule="atLeast"/>
              <w:rPr>
                <w:rFonts w:eastAsia="仿宋"/>
                <w:sz w:val="24"/>
                <w:lang w:val="it-IT"/>
              </w:rPr>
            </w:pPr>
            <w:r>
              <w:rPr>
                <w:rFonts w:eastAsia="仿宋"/>
                <w:sz w:val="24"/>
              </w:rPr>
              <w:t>GB/T1220-2007</w:t>
            </w:r>
            <w:r>
              <w:rPr>
                <w:rFonts w:eastAsia="仿宋"/>
                <w:sz w:val="24"/>
                <w:lang w:val="it-IT"/>
              </w:rPr>
              <w:t xml:space="preserve"> </w:t>
            </w:r>
          </w:p>
        </w:tc>
        <w:tc>
          <w:tcPr>
            <w:tcW w:w="3166" w:type="pct"/>
            <w:vAlign w:val="center"/>
          </w:tcPr>
          <w:p>
            <w:pPr>
              <w:spacing w:line="0" w:lineRule="atLeast"/>
              <w:rPr>
                <w:rFonts w:eastAsia="仿宋"/>
                <w:sz w:val="24"/>
              </w:rPr>
            </w:pPr>
            <w:r>
              <w:rPr>
                <w:rFonts w:eastAsia="仿宋"/>
                <w:sz w:val="24"/>
              </w:rPr>
              <w:t>不锈钢棒</w:t>
            </w:r>
          </w:p>
        </w:tc>
      </w:tr>
      <w:tr>
        <w:trPr>
          <w:trHeight w:val="459"/>
        </w:trPr>
        <w:tc>
          <w:tcPr>
            <w:tcW w:w="362" w:type="pct"/>
            <w:vAlign w:val="center"/>
          </w:tcPr>
          <w:p>
            <w:pPr>
              <w:spacing w:line="0" w:lineRule="atLeast"/>
              <w:jc w:val="center"/>
              <w:rPr>
                <w:rFonts w:eastAsia="仿宋"/>
                <w:sz w:val="24"/>
              </w:rPr>
            </w:pPr>
            <w:r>
              <w:rPr>
                <w:rFonts w:eastAsia="仿宋"/>
                <w:sz w:val="24"/>
              </w:rPr>
              <w:t>40</w:t>
            </w:r>
          </w:p>
        </w:tc>
        <w:tc>
          <w:tcPr>
            <w:tcW w:w="1472" w:type="pct"/>
            <w:vAlign w:val="center"/>
          </w:tcPr>
          <w:p>
            <w:pPr>
              <w:spacing w:line="0" w:lineRule="atLeast"/>
              <w:rPr>
                <w:rFonts w:eastAsia="仿宋"/>
                <w:sz w:val="24"/>
              </w:rPr>
            </w:pPr>
            <w:r>
              <w:rPr>
                <w:rFonts w:eastAsia="仿宋"/>
                <w:sz w:val="24"/>
              </w:rPr>
              <w:t>GB50231-2009</w:t>
            </w:r>
            <w:r>
              <w:rPr>
                <w:rFonts w:eastAsia="仿宋"/>
                <w:sz w:val="24"/>
                <w:lang w:val="it-IT"/>
              </w:rPr>
              <w:t xml:space="preserve"> </w:t>
            </w:r>
          </w:p>
        </w:tc>
        <w:tc>
          <w:tcPr>
            <w:tcW w:w="3166" w:type="pct"/>
            <w:vAlign w:val="center"/>
          </w:tcPr>
          <w:p>
            <w:pPr>
              <w:spacing w:line="0" w:lineRule="atLeast"/>
              <w:rPr>
                <w:rFonts w:eastAsia="仿宋"/>
                <w:sz w:val="24"/>
              </w:rPr>
            </w:pPr>
            <w:r>
              <w:rPr>
                <w:rFonts w:eastAsia="仿宋"/>
                <w:sz w:val="24"/>
              </w:rPr>
              <w:t>机械设备安装工程施工及验收通用规范</w:t>
            </w:r>
          </w:p>
        </w:tc>
      </w:tr>
      <w:tr>
        <w:trPr>
          <w:trHeight w:val="459"/>
        </w:trPr>
        <w:tc>
          <w:tcPr>
            <w:tcW w:w="362" w:type="pct"/>
            <w:vAlign w:val="center"/>
          </w:tcPr>
          <w:p>
            <w:pPr>
              <w:spacing w:line="0" w:lineRule="atLeast"/>
              <w:jc w:val="center"/>
              <w:rPr>
                <w:rFonts w:eastAsia="仿宋"/>
                <w:sz w:val="24"/>
              </w:rPr>
            </w:pPr>
            <w:r>
              <w:rPr>
                <w:rFonts w:eastAsia="仿宋"/>
                <w:sz w:val="24"/>
              </w:rPr>
              <w:t>41</w:t>
            </w:r>
          </w:p>
        </w:tc>
        <w:tc>
          <w:tcPr>
            <w:tcW w:w="1472" w:type="pct"/>
            <w:vAlign w:val="center"/>
          </w:tcPr>
          <w:p>
            <w:pPr>
              <w:spacing w:line="0" w:lineRule="atLeast"/>
              <w:rPr>
                <w:rFonts w:eastAsia="仿宋"/>
                <w:sz w:val="24"/>
                <w:lang w:val="it-IT"/>
              </w:rPr>
            </w:pPr>
            <w:r>
              <w:rPr>
                <w:rFonts w:eastAsia="仿宋"/>
                <w:sz w:val="24"/>
              </w:rPr>
              <w:t xml:space="preserve">GB/T 12233-2006 </w:t>
            </w:r>
          </w:p>
        </w:tc>
        <w:tc>
          <w:tcPr>
            <w:tcW w:w="3166" w:type="pct"/>
            <w:vAlign w:val="center"/>
          </w:tcPr>
          <w:p>
            <w:pPr>
              <w:spacing w:line="0" w:lineRule="atLeast"/>
              <w:rPr>
                <w:rFonts w:eastAsia="仿宋"/>
                <w:sz w:val="24"/>
              </w:rPr>
            </w:pPr>
            <w:r>
              <w:rPr>
                <w:rFonts w:eastAsia="仿宋"/>
                <w:sz w:val="24"/>
              </w:rPr>
              <w:t>通用阀门铁制止回阀与升降式止回阀</w:t>
            </w:r>
          </w:p>
        </w:tc>
      </w:tr>
      <w:tr>
        <w:trPr>
          <w:trHeight w:val="459"/>
        </w:trPr>
        <w:tc>
          <w:tcPr>
            <w:tcW w:w="362" w:type="pct"/>
            <w:vAlign w:val="center"/>
          </w:tcPr>
          <w:p>
            <w:pPr>
              <w:spacing w:line="0" w:lineRule="atLeast"/>
              <w:jc w:val="center"/>
              <w:rPr>
                <w:rFonts w:eastAsia="仿宋"/>
                <w:sz w:val="24"/>
              </w:rPr>
            </w:pPr>
            <w:r>
              <w:rPr>
                <w:rFonts w:eastAsia="仿宋"/>
                <w:sz w:val="24"/>
              </w:rPr>
              <w:t>42</w:t>
            </w:r>
          </w:p>
        </w:tc>
        <w:tc>
          <w:tcPr>
            <w:tcW w:w="1472" w:type="pct"/>
            <w:vAlign w:val="center"/>
          </w:tcPr>
          <w:p>
            <w:pPr>
              <w:spacing w:line="0" w:lineRule="atLeast"/>
              <w:rPr>
                <w:rFonts w:eastAsia="仿宋"/>
                <w:sz w:val="24"/>
                <w:lang w:val="it-IT"/>
              </w:rPr>
            </w:pPr>
            <w:r>
              <w:rPr>
                <w:rFonts w:eastAsia="仿宋"/>
                <w:sz w:val="24"/>
              </w:rPr>
              <w:t xml:space="preserve">GB/T 12235-2007 </w:t>
            </w:r>
          </w:p>
        </w:tc>
        <w:tc>
          <w:tcPr>
            <w:tcW w:w="3166" w:type="pct"/>
            <w:vAlign w:val="center"/>
          </w:tcPr>
          <w:p>
            <w:pPr>
              <w:spacing w:line="0" w:lineRule="atLeast"/>
              <w:rPr>
                <w:rFonts w:eastAsia="仿宋"/>
                <w:sz w:val="24"/>
              </w:rPr>
            </w:pPr>
            <w:r>
              <w:rPr>
                <w:rFonts w:eastAsia="仿宋"/>
                <w:sz w:val="24"/>
              </w:rPr>
              <w:t>石油、化工及相关工业用的钢制截止阀和升降式止回阀</w:t>
            </w:r>
          </w:p>
        </w:tc>
      </w:tr>
      <w:tr>
        <w:trPr>
          <w:trHeight w:val="459"/>
        </w:trPr>
        <w:tc>
          <w:tcPr>
            <w:tcW w:w="362" w:type="pct"/>
            <w:vAlign w:val="center"/>
          </w:tcPr>
          <w:p>
            <w:pPr>
              <w:spacing w:line="0" w:lineRule="atLeast"/>
              <w:jc w:val="center"/>
              <w:rPr>
                <w:rFonts w:eastAsia="仿宋"/>
                <w:sz w:val="24"/>
              </w:rPr>
            </w:pPr>
            <w:r>
              <w:rPr>
                <w:rFonts w:eastAsia="仿宋"/>
                <w:sz w:val="24"/>
              </w:rPr>
              <w:t>43</w:t>
            </w:r>
          </w:p>
        </w:tc>
        <w:tc>
          <w:tcPr>
            <w:tcW w:w="1472" w:type="pct"/>
            <w:vAlign w:val="center"/>
          </w:tcPr>
          <w:p>
            <w:pPr>
              <w:rPr>
                <w:rFonts w:eastAsia="仿宋"/>
                <w:sz w:val="24"/>
              </w:rPr>
            </w:pPr>
            <w:r>
              <w:rPr>
                <w:rFonts w:eastAsia="仿宋"/>
                <w:sz w:val="24"/>
              </w:rPr>
              <w:t xml:space="preserve">GB/T 12236-2008 </w:t>
            </w:r>
          </w:p>
        </w:tc>
        <w:tc>
          <w:tcPr>
            <w:tcW w:w="3166" w:type="pct"/>
            <w:vAlign w:val="center"/>
          </w:tcPr>
          <w:p>
            <w:pPr>
              <w:rPr>
                <w:rFonts w:eastAsia="仿宋"/>
                <w:sz w:val="24"/>
                <w:lang w:val="it-IT"/>
              </w:rPr>
            </w:pPr>
            <w:r>
              <w:rPr>
                <w:rFonts w:eastAsia="仿宋"/>
                <w:sz w:val="24"/>
              </w:rPr>
              <w:t>石油、化工及相关工业用的钢制旋启式止回阀</w:t>
            </w:r>
          </w:p>
        </w:tc>
      </w:tr>
      <w:tr>
        <w:trPr>
          <w:trHeight w:val="459"/>
        </w:trPr>
        <w:tc>
          <w:tcPr>
            <w:tcW w:w="362" w:type="pct"/>
            <w:vAlign w:val="center"/>
          </w:tcPr>
          <w:p>
            <w:pPr>
              <w:spacing w:line="0" w:lineRule="atLeast"/>
              <w:jc w:val="center"/>
              <w:rPr>
                <w:rFonts w:eastAsia="仿宋"/>
                <w:sz w:val="24"/>
              </w:rPr>
            </w:pPr>
            <w:r>
              <w:rPr>
                <w:rFonts w:eastAsia="仿宋"/>
                <w:sz w:val="24"/>
              </w:rPr>
              <w:t>44</w:t>
            </w:r>
          </w:p>
        </w:tc>
        <w:tc>
          <w:tcPr>
            <w:tcW w:w="1472" w:type="pct"/>
            <w:vAlign w:val="center"/>
          </w:tcPr>
          <w:p>
            <w:pPr>
              <w:spacing w:line="0" w:lineRule="atLeast"/>
              <w:rPr>
                <w:rFonts w:eastAsia="仿宋"/>
                <w:sz w:val="24"/>
                <w:lang w:val="it-IT"/>
              </w:rPr>
            </w:pPr>
            <w:r>
              <w:rPr>
                <w:rFonts w:eastAsia="仿宋"/>
                <w:sz w:val="24"/>
              </w:rPr>
              <w:t xml:space="preserve">GB/T 13932-2016 </w:t>
            </w:r>
          </w:p>
        </w:tc>
        <w:tc>
          <w:tcPr>
            <w:tcW w:w="3166" w:type="pct"/>
            <w:vAlign w:val="center"/>
          </w:tcPr>
          <w:p>
            <w:pPr>
              <w:spacing w:line="0" w:lineRule="atLeast"/>
              <w:rPr>
                <w:rFonts w:eastAsia="仿宋"/>
                <w:sz w:val="24"/>
              </w:rPr>
            </w:pPr>
            <w:r>
              <w:rPr>
                <w:rFonts w:eastAsia="仿宋"/>
                <w:sz w:val="24"/>
              </w:rPr>
              <w:t>铁制旋启式止回阀</w:t>
            </w:r>
          </w:p>
        </w:tc>
      </w:tr>
      <w:tr>
        <w:trPr>
          <w:trHeight w:val="459"/>
        </w:trPr>
        <w:tc>
          <w:tcPr>
            <w:tcW w:w="362" w:type="pct"/>
            <w:vAlign w:val="center"/>
          </w:tcPr>
          <w:p>
            <w:pPr>
              <w:spacing w:line="0" w:lineRule="atLeast"/>
              <w:jc w:val="center"/>
              <w:rPr>
                <w:rFonts w:eastAsia="仿宋"/>
                <w:sz w:val="24"/>
              </w:rPr>
            </w:pPr>
            <w:r>
              <w:rPr>
                <w:rFonts w:eastAsia="仿宋"/>
                <w:sz w:val="24"/>
              </w:rPr>
              <w:t>45</w:t>
            </w:r>
          </w:p>
        </w:tc>
        <w:tc>
          <w:tcPr>
            <w:tcW w:w="1472" w:type="pct"/>
            <w:vAlign w:val="center"/>
          </w:tcPr>
          <w:p>
            <w:pPr>
              <w:spacing w:line="0" w:lineRule="atLeast"/>
              <w:rPr>
                <w:rFonts w:eastAsia="仿宋"/>
                <w:sz w:val="24"/>
                <w:lang w:val="it-IT"/>
              </w:rPr>
            </w:pPr>
            <w:r>
              <w:rPr>
                <w:rFonts w:eastAsia="仿宋"/>
                <w:sz w:val="24"/>
                <w:lang w:val="en-GB"/>
              </w:rPr>
              <w:t>GB/T 17219-1998</w:t>
            </w:r>
          </w:p>
        </w:tc>
        <w:tc>
          <w:tcPr>
            <w:tcW w:w="3166" w:type="pct"/>
            <w:vAlign w:val="center"/>
          </w:tcPr>
          <w:p>
            <w:pPr>
              <w:spacing w:line="0" w:lineRule="atLeast"/>
              <w:rPr>
                <w:rFonts w:eastAsia="仿宋"/>
                <w:sz w:val="24"/>
                <w:lang w:val="it-IT"/>
              </w:rPr>
            </w:pPr>
            <w:r>
              <w:rPr>
                <w:rFonts w:eastAsia="仿宋"/>
                <w:sz w:val="24"/>
                <w:lang w:val="en-GB"/>
              </w:rPr>
              <w:t>生活饮用水输配水设备及防护材料的安全性评价标准</w:t>
            </w:r>
          </w:p>
        </w:tc>
      </w:tr>
      <w:tr>
        <w:trPr>
          <w:trHeight w:val="459"/>
        </w:trPr>
        <w:tc>
          <w:tcPr>
            <w:tcW w:w="362" w:type="pct"/>
            <w:vAlign w:val="center"/>
          </w:tcPr>
          <w:p>
            <w:pPr>
              <w:spacing w:line="0" w:lineRule="atLeast"/>
              <w:jc w:val="center"/>
              <w:rPr>
                <w:rFonts w:eastAsia="仿宋"/>
                <w:sz w:val="24"/>
              </w:rPr>
            </w:pPr>
            <w:r>
              <w:rPr>
                <w:rFonts w:eastAsia="仿宋"/>
                <w:sz w:val="24"/>
              </w:rPr>
              <w:t>46</w:t>
            </w:r>
          </w:p>
        </w:tc>
        <w:tc>
          <w:tcPr>
            <w:tcW w:w="1472" w:type="pct"/>
            <w:vAlign w:val="center"/>
          </w:tcPr>
          <w:p>
            <w:pPr>
              <w:spacing w:line="0" w:lineRule="atLeast"/>
              <w:rPr>
                <w:rFonts w:eastAsia="仿宋"/>
                <w:sz w:val="24"/>
                <w:lang w:val="it-IT"/>
              </w:rPr>
            </w:pPr>
            <w:r>
              <w:rPr>
                <w:rFonts w:eastAsia="仿宋"/>
                <w:sz w:val="24"/>
                <w:lang w:val="en-GB"/>
              </w:rPr>
              <w:t>CJ/T 321-2010</w:t>
            </w:r>
          </w:p>
        </w:tc>
        <w:tc>
          <w:tcPr>
            <w:tcW w:w="3166" w:type="pct"/>
            <w:vAlign w:val="center"/>
          </w:tcPr>
          <w:p>
            <w:pPr>
              <w:spacing w:line="0" w:lineRule="atLeast"/>
              <w:rPr>
                <w:rFonts w:eastAsia="仿宋"/>
                <w:sz w:val="24"/>
              </w:rPr>
            </w:pPr>
            <w:r>
              <w:rPr>
                <w:rFonts w:eastAsia="仿宋"/>
                <w:sz w:val="24"/>
                <w:shd w:val="clear" w:color="auto" w:fill="FFFFFF"/>
              </w:rPr>
              <w:t>铝合金衬塑复合管材与管件</w:t>
            </w:r>
          </w:p>
        </w:tc>
      </w:tr>
      <w:tr>
        <w:trPr>
          <w:trHeight w:val="459"/>
        </w:trPr>
        <w:tc>
          <w:tcPr>
            <w:tcW w:w="362" w:type="pct"/>
            <w:vAlign w:val="center"/>
          </w:tcPr>
          <w:p>
            <w:pPr>
              <w:spacing w:line="0" w:lineRule="atLeast"/>
              <w:jc w:val="center"/>
              <w:rPr>
                <w:rFonts w:eastAsia="仿宋"/>
                <w:sz w:val="24"/>
              </w:rPr>
            </w:pPr>
            <w:r>
              <w:rPr>
                <w:rFonts w:eastAsia="仿宋"/>
                <w:sz w:val="24"/>
              </w:rPr>
              <w:t>47</w:t>
            </w:r>
          </w:p>
        </w:tc>
        <w:tc>
          <w:tcPr>
            <w:tcW w:w="1472" w:type="pct"/>
            <w:vAlign w:val="center"/>
          </w:tcPr>
          <w:p>
            <w:pPr>
              <w:pStyle w:val="63"/>
              <w:shd w:val="clear" w:color="auto" w:fill="FFFFFF"/>
              <w:spacing w:before="0" w:beforeAutospacing="0" w:after="0" w:afterAutospacing="0"/>
              <w:rPr>
                <w:rFonts w:ascii="Times New Roman" w:eastAsia="仿宋" w:cs="Times New Roman" w:hAnsi="Times New Roman"/>
                <w:kern w:val="2"/>
              </w:rPr>
            </w:pPr>
            <w:r>
              <w:rPr>
                <w:rFonts w:ascii="Times New Roman" w:eastAsia="仿宋" w:cs="Times New Roman" w:hAnsi="Times New Roman"/>
                <w:lang w:val="en-GB"/>
              </w:rPr>
              <w:t>T/GDC 42-2020</w:t>
            </w:r>
          </w:p>
        </w:tc>
        <w:tc>
          <w:tcPr>
            <w:tcW w:w="3166" w:type="pct"/>
            <w:vAlign w:val="center"/>
          </w:tcPr>
          <w:p>
            <w:pPr>
              <w:pStyle w:val="63"/>
              <w:shd w:val="clear" w:color="auto" w:fill="FFFFFF"/>
              <w:spacing w:before="0" w:beforeAutospacing="0" w:after="0" w:afterAutospacing="0"/>
              <w:rPr>
                <w:rFonts w:ascii="Times New Roman" w:eastAsia="仿宋" w:cs="Times New Roman" w:hAnsi="Times New Roman"/>
                <w:kern w:val="2"/>
              </w:rPr>
            </w:pPr>
            <w:r>
              <w:rPr>
                <w:rFonts w:ascii="Times New Roman" w:eastAsia="仿宋" w:cs="Times New Roman" w:hAnsi="Times New Roman"/>
                <w:lang w:val="en-GB"/>
              </w:rPr>
              <w:t>改性高密度聚乙烯（HDPE-IW)六棱结构壁管材</w:t>
            </w:r>
          </w:p>
        </w:tc>
      </w:tr>
      <w:tr>
        <w:trPr>
          <w:trHeight w:val="459"/>
        </w:trPr>
        <w:tc>
          <w:tcPr>
            <w:tcW w:w="362" w:type="pct"/>
            <w:vAlign w:val="center"/>
          </w:tcPr>
          <w:p>
            <w:pPr>
              <w:spacing w:line="0" w:lineRule="atLeast"/>
              <w:jc w:val="center"/>
              <w:rPr>
                <w:rFonts w:eastAsia="仿宋"/>
                <w:sz w:val="24"/>
              </w:rPr>
            </w:pPr>
            <w:r>
              <w:rPr>
                <w:rFonts w:eastAsia="仿宋"/>
                <w:sz w:val="24"/>
              </w:rPr>
              <w:t>48</w:t>
            </w:r>
          </w:p>
        </w:tc>
        <w:tc>
          <w:tcPr>
            <w:tcW w:w="1472" w:type="pct"/>
            <w:vAlign w:val="center"/>
          </w:tcPr>
          <w:p>
            <w:pPr>
              <w:spacing w:line="23" w:lineRule="atLeast"/>
              <w:rPr>
                <w:rFonts w:eastAsia="仿宋"/>
                <w:sz w:val="24"/>
              </w:rPr>
            </w:pPr>
            <w:r>
              <w:rPr>
                <w:rFonts w:eastAsia="仿宋"/>
                <w:sz w:val="24"/>
              </w:rPr>
              <w:t>ASME B16.34-2017</w:t>
            </w:r>
          </w:p>
        </w:tc>
        <w:tc>
          <w:tcPr>
            <w:tcW w:w="3166" w:type="pct"/>
            <w:vAlign w:val="center"/>
          </w:tcPr>
          <w:p>
            <w:pPr>
              <w:widowControl w:val="0"/>
              <w:suppressAutoHyphens/>
              <w:spacing w:before="60" w:after="60" w:line="23" w:lineRule="atLeast"/>
              <w:ind w:left="27"/>
              <w:rPr>
                <w:rFonts w:eastAsia="仿宋"/>
                <w:sz w:val="24"/>
              </w:rPr>
            </w:pPr>
            <w:r>
              <w:rPr>
                <w:rFonts w:eastAsia="仿宋"/>
                <w:sz w:val="24"/>
              </w:rPr>
              <w:t>阀门.法兰,螺纹和焊接端Valves-Flanged,ThreadedandWeld</w:t>
            </w:r>
          </w:p>
        </w:tc>
      </w:tr>
      <w:tr>
        <w:trPr>
          <w:trHeight w:val="459"/>
        </w:trPr>
        <w:tc>
          <w:tcPr>
            <w:tcW w:w="362" w:type="pct"/>
            <w:vAlign w:val="center"/>
          </w:tcPr>
          <w:p>
            <w:pPr>
              <w:spacing w:line="0" w:lineRule="atLeast"/>
              <w:jc w:val="center"/>
              <w:rPr>
                <w:rFonts w:eastAsia="仿宋"/>
                <w:sz w:val="24"/>
              </w:rPr>
            </w:pPr>
            <w:r>
              <w:rPr>
                <w:rFonts w:eastAsia="仿宋"/>
                <w:sz w:val="24"/>
              </w:rPr>
              <w:t>49</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 xml:space="preserve">BS EN ISO 5210-1996 </w:t>
            </w:r>
          </w:p>
        </w:tc>
        <w:tc>
          <w:tcPr>
            <w:tcW w:w="3166" w:type="pct"/>
            <w:vAlign w:val="center"/>
          </w:tcPr>
          <w:p>
            <w:pPr>
              <w:widowControl w:val="0"/>
              <w:suppressAutoHyphens/>
              <w:spacing w:before="60" w:after="60" w:line="23" w:lineRule="atLeast"/>
              <w:ind w:left="27"/>
              <w:rPr>
                <w:rFonts w:eastAsia="仿宋"/>
                <w:sz w:val="24"/>
              </w:rPr>
            </w:pPr>
            <w:r>
              <w:rPr>
                <w:rFonts w:eastAsia="仿宋"/>
                <w:sz w:val="24"/>
              </w:rPr>
              <w:t>通用阀门 多回转阀门驱动装置的连接</w:t>
            </w:r>
          </w:p>
        </w:tc>
      </w:tr>
      <w:tr>
        <w:trPr>
          <w:trHeight w:val="459"/>
        </w:trPr>
        <w:tc>
          <w:tcPr>
            <w:tcW w:w="362" w:type="pct"/>
            <w:vAlign w:val="center"/>
          </w:tcPr>
          <w:p>
            <w:pPr>
              <w:spacing w:line="0" w:lineRule="atLeast"/>
              <w:jc w:val="center"/>
              <w:rPr>
                <w:rFonts w:eastAsia="仿宋"/>
                <w:sz w:val="24"/>
              </w:rPr>
            </w:pPr>
            <w:r>
              <w:rPr>
                <w:rFonts w:eastAsia="仿宋"/>
                <w:sz w:val="24"/>
              </w:rPr>
              <w:t>50</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 xml:space="preserve">BS EN ISO 5211-2001 </w:t>
            </w:r>
          </w:p>
        </w:tc>
        <w:tc>
          <w:tcPr>
            <w:tcW w:w="3166" w:type="pct"/>
            <w:vAlign w:val="center"/>
          </w:tcPr>
          <w:p>
            <w:pPr>
              <w:widowControl w:val="0"/>
              <w:suppressAutoHyphens/>
              <w:spacing w:before="60" w:after="60" w:line="23" w:lineRule="atLeast"/>
              <w:ind w:left="27"/>
              <w:rPr>
                <w:rFonts w:eastAsia="仿宋"/>
                <w:sz w:val="24"/>
              </w:rPr>
            </w:pPr>
            <w:r>
              <w:rPr>
                <w:rFonts w:eastAsia="仿宋"/>
                <w:sz w:val="24"/>
              </w:rPr>
              <w:t>通用阀门 部分回转阀门驱动装置的连接</w:t>
            </w:r>
          </w:p>
        </w:tc>
      </w:tr>
      <w:tr>
        <w:trPr>
          <w:trHeight w:val="459"/>
        </w:trPr>
        <w:tc>
          <w:tcPr>
            <w:tcW w:w="362" w:type="pct"/>
            <w:vAlign w:val="center"/>
          </w:tcPr>
          <w:p>
            <w:pPr>
              <w:spacing w:line="0" w:lineRule="atLeast"/>
              <w:jc w:val="center"/>
              <w:rPr>
                <w:rFonts w:eastAsia="仿宋"/>
                <w:sz w:val="24"/>
              </w:rPr>
            </w:pPr>
            <w:r>
              <w:rPr>
                <w:rFonts w:eastAsia="仿宋"/>
                <w:sz w:val="24"/>
              </w:rPr>
              <w:t>51</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 xml:space="preserve">BS EN 12266-1-2003 </w:t>
            </w:r>
          </w:p>
        </w:tc>
        <w:tc>
          <w:tcPr>
            <w:tcW w:w="3166" w:type="pct"/>
            <w:vAlign w:val="center"/>
          </w:tcPr>
          <w:p>
            <w:pPr>
              <w:widowControl w:val="0"/>
              <w:suppressAutoHyphens/>
              <w:spacing w:before="60" w:after="60" w:line="23" w:lineRule="atLeast"/>
              <w:ind w:left="27"/>
              <w:rPr>
                <w:rFonts w:eastAsia="仿宋"/>
                <w:sz w:val="24"/>
              </w:rPr>
            </w:pPr>
            <w:r>
              <w:rPr>
                <w:rFonts w:eastAsia="仿宋"/>
                <w:sz w:val="24"/>
              </w:rPr>
              <w:t>工业阀门-阀门试验 第1部分 压力试验，试验过程和验收标准-强制性要求</w:t>
            </w:r>
          </w:p>
        </w:tc>
      </w:tr>
      <w:tr>
        <w:trPr>
          <w:trHeight w:val="459"/>
        </w:trPr>
        <w:tc>
          <w:tcPr>
            <w:tcW w:w="362" w:type="pct"/>
            <w:vAlign w:val="center"/>
          </w:tcPr>
          <w:p>
            <w:pPr>
              <w:spacing w:line="0" w:lineRule="atLeast"/>
              <w:jc w:val="center"/>
              <w:rPr>
                <w:rFonts w:eastAsia="仿宋"/>
                <w:sz w:val="24"/>
              </w:rPr>
            </w:pPr>
            <w:r>
              <w:rPr>
                <w:rFonts w:eastAsia="仿宋"/>
                <w:sz w:val="24"/>
              </w:rPr>
              <w:t>52</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 xml:space="preserve">ISO 5208-2008 </w:t>
            </w:r>
          </w:p>
        </w:tc>
        <w:tc>
          <w:tcPr>
            <w:tcW w:w="3166" w:type="pct"/>
            <w:vAlign w:val="center"/>
          </w:tcPr>
          <w:p>
            <w:pPr>
              <w:widowControl w:val="0"/>
              <w:suppressAutoHyphens/>
              <w:spacing w:before="60" w:after="60" w:line="23" w:lineRule="atLeast"/>
              <w:ind w:left="27"/>
              <w:rPr>
                <w:rFonts w:eastAsia="仿宋"/>
                <w:sz w:val="24"/>
              </w:rPr>
            </w:pPr>
            <w:r>
              <w:rPr>
                <w:rFonts w:eastAsia="仿宋"/>
                <w:sz w:val="24"/>
              </w:rPr>
              <w:t>工业用阀门 金属阀门的压力试验（中）</w:t>
            </w:r>
          </w:p>
        </w:tc>
      </w:tr>
      <w:tr>
        <w:trPr>
          <w:trHeight w:val="459"/>
        </w:trPr>
        <w:tc>
          <w:tcPr>
            <w:tcW w:w="362" w:type="pct"/>
            <w:vAlign w:val="center"/>
          </w:tcPr>
          <w:p>
            <w:pPr>
              <w:spacing w:line="0" w:lineRule="atLeast"/>
              <w:jc w:val="center"/>
              <w:rPr>
                <w:rFonts w:eastAsia="仿宋"/>
                <w:sz w:val="24"/>
              </w:rPr>
            </w:pPr>
            <w:r>
              <w:rPr>
                <w:rFonts w:eastAsia="仿宋"/>
                <w:sz w:val="24"/>
              </w:rPr>
              <w:t>53</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 xml:space="preserve">DIN_EN1092-1 </w:t>
            </w:r>
          </w:p>
        </w:tc>
        <w:tc>
          <w:tcPr>
            <w:tcW w:w="3166" w:type="pct"/>
            <w:vAlign w:val="center"/>
          </w:tcPr>
          <w:p>
            <w:pPr>
              <w:widowControl w:val="0"/>
              <w:suppressAutoHyphens/>
              <w:spacing w:before="60" w:after="60" w:line="23" w:lineRule="atLeast"/>
              <w:ind w:left="27"/>
              <w:rPr>
                <w:rFonts w:eastAsia="仿宋"/>
                <w:sz w:val="24"/>
              </w:rPr>
            </w:pPr>
            <w:r>
              <w:rPr>
                <w:rFonts w:eastAsia="仿宋"/>
                <w:sz w:val="24"/>
              </w:rPr>
              <w:t>法兰及其接头  管道、阀门、附件和管道用圆形法兰配件，PN设计</w:t>
            </w:r>
          </w:p>
        </w:tc>
      </w:tr>
      <w:tr>
        <w:trPr>
          <w:trHeight w:val="459"/>
        </w:trPr>
        <w:tc>
          <w:tcPr>
            <w:tcW w:w="362" w:type="pct"/>
            <w:vAlign w:val="center"/>
          </w:tcPr>
          <w:p>
            <w:pPr>
              <w:spacing w:line="0" w:lineRule="atLeast"/>
              <w:jc w:val="center"/>
              <w:rPr>
                <w:rFonts w:eastAsia="仿宋"/>
                <w:sz w:val="24"/>
              </w:rPr>
            </w:pPr>
            <w:r>
              <w:rPr>
                <w:rFonts w:eastAsia="仿宋"/>
                <w:sz w:val="24"/>
              </w:rPr>
              <w:t>54</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GB 50235-2010</w:t>
            </w:r>
          </w:p>
        </w:tc>
        <w:tc>
          <w:tcPr>
            <w:tcW w:w="3166" w:type="pct"/>
            <w:vAlign w:val="center"/>
          </w:tcPr>
          <w:p>
            <w:pPr>
              <w:rPr>
                <w:rFonts w:eastAsia="仿宋"/>
                <w:sz w:val="24"/>
              </w:rPr>
            </w:pPr>
            <w:r>
              <w:rPr>
                <w:rFonts w:eastAsia="仿宋"/>
                <w:sz w:val="24"/>
              </w:rPr>
              <w:t>工业金属管道工程施工规范</w:t>
            </w:r>
          </w:p>
        </w:tc>
      </w:tr>
      <w:tr>
        <w:trPr>
          <w:trHeight w:val="459"/>
        </w:trPr>
        <w:tc>
          <w:tcPr>
            <w:tcW w:w="362" w:type="pct"/>
            <w:vAlign w:val="center"/>
          </w:tcPr>
          <w:p>
            <w:pPr>
              <w:spacing w:line="0" w:lineRule="atLeast"/>
              <w:jc w:val="center"/>
              <w:rPr>
                <w:rFonts w:eastAsia="仿宋"/>
                <w:sz w:val="24"/>
              </w:rPr>
            </w:pPr>
            <w:r>
              <w:rPr>
                <w:rFonts w:eastAsia="仿宋"/>
                <w:sz w:val="24"/>
              </w:rPr>
              <w:t>55</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GB 50184-2011</w:t>
            </w:r>
          </w:p>
        </w:tc>
        <w:tc>
          <w:tcPr>
            <w:tcW w:w="3166" w:type="pct"/>
            <w:vAlign w:val="center"/>
          </w:tcPr>
          <w:p>
            <w:pPr>
              <w:rPr>
                <w:rFonts w:eastAsia="仿宋"/>
                <w:sz w:val="24"/>
              </w:rPr>
            </w:pPr>
            <w:r>
              <w:rPr>
                <w:rFonts w:eastAsia="仿宋"/>
                <w:sz w:val="24"/>
              </w:rPr>
              <w:t>工业金属管道工程施工质量验收规范</w:t>
            </w:r>
          </w:p>
        </w:tc>
      </w:tr>
      <w:tr>
        <w:trPr>
          <w:trHeight w:val="459"/>
        </w:trPr>
        <w:tc>
          <w:tcPr>
            <w:tcW w:w="362" w:type="pct"/>
            <w:vAlign w:val="center"/>
          </w:tcPr>
          <w:p>
            <w:pPr>
              <w:spacing w:line="0" w:lineRule="atLeast"/>
              <w:jc w:val="center"/>
              <w:rPr>
                <w:rFonts w:eastAsia="仿宋"/>
                <w:sz w:val="24"/>
              </w:rPr>
            </w:pPr>
            <w:r>
              <w:rPr>
                <w:rFonts w:eastAsia="仿宋"/>
                <w:sz w:val="24"/>
              </w:rPr>
              <w:t>56</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GB 50683-2011</w:t>
            </w:r>
          </w:p>
        </w:tc>
        <w:tc>
          <w:tcPr>
            <w:tcW w:w="3166" w:type="pct"/>
            <w:vAlign w:val="center"/>
          </w:tcPr>
          <w:p>
            <w:pPr>
              <w:rPr>
                <w:rFonts w:eastAsia="仿宋"/>
                <w:sz w:val="24"/>
              </w:rPr>
            </w:pPr>
            <w:r>
              <w:rPr>
                <w:rFonts w:eastAsia="仿宋"/>
                <w:sz w:val="24"/>
              </w:rPr>
              <w:t>现场设备、工业管道焊接工程施工质量验收规范</w:t>
            </w:r>
          </w:p>
        </w:tc>
      </w:tr>
      <w:tr>
        <w:trPr>
          <w:trHeight w:val="459"/>
        </w:trPr>
        <w:tc>
          <w:tcPr>
            <w:tcW w:w="362" w:type="pct"/>
            <w:vAlign w:val="center"/>
          </w:tcPr>
          <w:p>
            <w:pPr>
              <w:spacing w:line="0" w:lineRule="atLeast"/>
              <w:jc w:val="center"/>
              <w:rPr>
                <w:rFonts w:eastAsia="仿宋"/>
                <w:sz w:val="24"/>
              </w:rPr>
            </w:pPr>
            <w:r>
              <w:rPr>
                <w:rFonts w:eastAsia="仿宋"/>
                <w:sz w:val="24"/>
              </w:rPr>
              <w:t>57</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GB 50726-2011</w:t>
            </w:r>
          </w:p>
        </w:tc>
        <w:tc>
          <w:tcPr>
            <w:tcW w:w="3166" w:type="pct"/>
            <w:vAlign w:val="center"/>
          </w:tcPr>
          <w:p>
            <w:pPr>
              <w:rPr>
                <w:rFonts w:eastAsia="仿宋"/>
                <w:sz w:val="24"/>
              </w:rPr>
            </w:pPr>
            <w:r>
              <w:rPr>
                <w:rFonts w:eastAsia="仿宋"/>
                <w:sz w:val="24"/>
              </w:rPr>
              <w:t>工业设备及管道防腐蚀工程施工规范</w:t>
            </w:r>
          </w:p>
        </w:tc>
      </w:tr>
      <w:tr>
        <w:trPr>
          <w:trHeight w:val="459"/>
        </w:trPr>
        <w:tc>
          <w:tcPr>
            <w:tcW w:w="362" w:type="pct"/>
            <w:vAlign w:val="center"/>
          </w:tcPr>
          <w:p>
            <w:pPr>
              <w:spacing w:line="0" w:lineRule="atLeast"/>
              <w:jc w:val="center"/>
              <w:rPr>
                <w:rFonts w:eastAsia="仿宋"/>
                <w:sz w:val="24"/>
              </w:rPr>
            </w:pPr>
            <w:r>
              <w:rPr>
                <w:rFonts w:eastAsia="仿宋"/>
                <w:sz w:val="24"/>
              </w:rPr>
              <w:t>58</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GB/T51132-2015</w:t>
            </w:r>
          </w:p>
        </w:tc>
        <w:tc>
          <w:tcPr>
            <w:tcW w:w="3166" w:type="pct"/>
            <w:vAlign w:val="center"/>
          </w:tcPr>
          <w:p>
            <w:pPr>
              <w:rPr>
                <w:rFonts w:eastAsia="仿宋"/>
                <w:sz w:val="24"/>
              </w:rPr>
            </w:pPr>
            <w:r>
              <w:rPr>
                <w:rFonts w:eastAsia="仿宋"/>
                <w:sz w:val="24"/>
              </w:rPr>
              <w:t>工业有色金属管道工程施工及质量验收规范</w:t>
            </w:r>
          </w:p>
        </w:tc>
      </w:tr>
      <w:tr>
        <w:trPr>
          <w:trHeight w:val="459"/>
        </w:trPr>
        <w:tc>
          <w:tcPr>
            <w:tcW w:w="362" w:type="pct"/>
            <w:vAlign w:val="center"/>
          </w:tcPr>
          <w:p>
            <w:pPr>
              <w:spacing w:line="0" w:lineRule="atLeast"/>
              <w:jc w:val="center"/>
              <w:rPr>
                <w:rFonts w:eastAsia="仿宋"/>
                <w:sz w:val="24"/>
              </w:rPr>
            </w:pPr>
            <w:r>
              <w:rPr>
                <w:rFonts w:eastAsia="仿宋" w:hint="eastAsia"/>
                <w:sz w:val="24"/>
              </w:rPr>
              <w:t>59</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hint="eastAsia"/>
                <w:sz w:val="24"/>
                <w:szCs w:val="24"/>
              </w:rPr>
              <w:t>GB50119-2013</w:t>
            </w:r>
          </w:p>
        </w:tc>
        <w:tc>
          <w:tcPr>
            <w:tcW w:w="3166" w:type="pct"/>
            <w:vAlign w:val="center"/>
          </w:tcPr>
          <w:p>
            <w:pPr>
              <w:rPr>
                <w:rFonts w:eastAsia="仿宋"/>
                <w:sz w:val="24"/>
              </w:rPr>
            </w:pPr>
            <w:r>
              <w:rPr>
                <w:rFonts w:eastAsia="仿宋" w:hint="eastAsia"/>
                <w:sz w:val="24"/>
              </w:rPr>
              <w:t>混凝土外加剂应用技术规范</w:t>
            </w:r>
          </w:p>
        </w:tc>
      </w:tr>
      <w:tr>
        <w:trPr>
          <w:trHeight w:val="459"/>
        </w:trPr>
        <w:tc>
          <w:tcPr>
            <w:tcW w:w="362" w:type="pct"/>
            <w:vAlign w:val="center"/>
          </w:tcPr>
          <w:p>
            <w:pPr>
              <w:spacing w:line="0" w:lineRule="atLeast"/>
              <w:jc w:val="center"/>
              <w:rPr>
                <w:rFonts w:eastAsia="仿宋"/>
                <w:sz w:val="24"/>
              </w:rPr>
            </w:pPr>
            <w:r>
              <w:rPr>
                <w:rFonts w:eastAsia="仿宋" w:hint="eastAsia"/>
                <w:sz w:val="24"/>
              </w:rPr>
              <w:t>60</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hint="eastAsia"/>
                <w:sz w:val="24"/>
                <w:szCs w:val="24"/>
              </w:rPr>
              <w:t>JGJ55-2011</w:t>
            </w:r>
          </w:p>
        </w:tc>
        <w:tc>
          <w:tcPr>
            <w:tcW w:w="3166" w:type="pct"/>
            <w:vAlign w:val="center"/>
          </w:tcPr>
          <w:p>
            <w:pPr>
              <w:rPr>
                <w:rFonts w:eastAsia="仿宋"/>
                <w:sz w:val="24"/>
              </w:rPr>
            </w:pPr>
            <w:r>
              <w:rPr>
                <w:rFonts w:eastAsia="仿宋" w:hint="eastAsia"/>
                <w:sz w:val="24"/>
              </w:rPr>
              <w:t>普通混泥土配合比设计规程</w:t>
            </w:r>
          </w:p>
        </w:tc>
      </w:tr>
      <w:tr>
        <w:trPr>
          <w:trHeight w:val="459"/>
        </w:trPr>
        <w:tc>
          <w:tcPr>
            <w:tcW w:w="362" w:type="pct"/>
            <w:vAlign w:val="center"/>
          </w:tcPr>
          <w:p>
            <w:pPr>
              <w:spacing w:line="0" w:lineRule="atLeast"/>
              <w:jc w:val="center"/>
              <w:rPr>
                <w:rFonts w:eastAsia="仿宋"/>
                <w:sz w:val="24"/>
              </w:rPr>
            </w:pPr>
            <w:r>
              <w:rPr>
                <w:rFonts w:eastAsia="仿宋" w:hint="eastAsia"/>
                <w:sz w:val="24"/>
              </w:rPr>
              <w:t>61</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hint="eastAsia"/>
                <w:sz w:val="24"/>
                <w:szCs w:val="24"/>
              </w:rPr>
              <w:t>HGJ1074-79</w:t>
            </w:r>
          </w:p>
        </w:tc>
        <w:tc>
          <w:tcPr>
            <w:tcW w:w="3166" w:type="pct"/>
            <w:vAlign w:val="center"/>
          </w:tcPr>
          <w:p>
            <w:pPr>
              <w:rPr>
                <w:rFonts w:eastAsia="仿宋"/>
                <w:sz w:val="24"/>
              </w:rPr>
            </w:pPr>
            <w:r>
              <w:rPr>
                <w:rFonts w:eastAsia="仿宋" w:hint="eastAsia"/>
                <w:sz w:val="24"/>
              </w:rPr>
              <w:t>管道的油漆涂色规定</w:t>
            </w:r>
          </w:p>
        </w:tc>
      </w:tr>
      <w:tr>
        <w:trPr>
          <w:trHeight w:val="459"/>
        </w:trPr>
        <w:tc>
          <w:tcPr>
            <w:tcW w:w="362" w:type="pct"/>
            <w:vAlign w:val="center"/>
          </w:tcPr>
          <w:p>
            <w:pPr>
              <w:spacing w:line="0" w:lineRule="atLeast"/>
              <w:jc w:val="center"/>
              <w:rPr>
                <w:rFonts w:eastAsia="仿宋"/>
                <w:sz w:val="24"/>
              </w:rPr>
            </w:pPr>
            <w:r>
              <w:rPr>
                <w:rFonts w:eastAsia="仿宋" w:hint="eastAsia"/>
                <w:sz w:val="24"/>
              </w:rPr>
              <w:t>62</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hint="eastAsia"/>
                <w:sz w:val="24"/>
                <w:szCs w:val="24"/>
              </w:rPr>
              <w:t>GB7231-2003</w:t>
            </w:r>
          </w:p>
        </w:tc>
        <w:tc>
          <w:tcPr>
            <w:tcW w:w="3166" w:type="pct"/>
            <w:vAlign w:val="center"/>
          </w:tcPr>
          <w:p>
            <w:pPr>
              <w:rPr>
                <w:rFonts w:eastAsia="仿宋"/>
                <w:sz w:val="24"/>
              </w:rPr>
            </w:pPr>
            <w:r>
              <w:rPr>
                <w:rFonts w:eastAsia="仿宋" w:hint="eastAsia"/>
                <w:sz w:val="24"/>
              </w:rPr>
              <w:t>工业管道的基本识别色、识别符号和安全标识</w:t>
            </w:r>
          </w:p>
        </w:tc>
      </w:tr>
      <w:tr>
        <w:trPr>
          <w:trHeight w:val="459"/>
        </w:trPr>
        <w:tc>
          <w:tcPr>
            <w:tcW w:w="362" w:type="pct"/>
            <w:vAlign w:val="center"/>
          </w:tcPr>
          <w:p>
            <w:pPr>
              <w:pStyle w:val="47"/>
              <w:spacing w:line="23" w:lineRule="atLeast"/>
              <w:ind w:firstLineChars="0" w:firstLine="0"/>
              <w:jc w:val="center"/>
              <w:rPr>
                <w:rFonts w:ascii="Times New Roman" w:eastAsia="仿宋" w:hAnsi="Times New Roman"/>
                <w:sz w:val="24"/>
                <w:szCs w:val="24"/>
              </w:rPr>
            </w:pPr>
            <w:bookmarkStart w:id="30" w:name="_Toc77250323"/>
            <w:bookmarkStart w:id="31" w:name="_Toc10514"/>
            <w:bookmarkStart w:id="32" w:name="_Toc77270344"/>
            <w:bookmarkStart w:id="33" w:name="_Toc30279"/>
            <w:bookmarkStart w:id="34" w:name="_Toc21967029"/>
            <w:bookmarkStart w:id="35" w:name="_Toc77252080"/>
            <w:bookmarkStart w:id="36" w:name="_Toc26192189"/>
            <w:bookmarkEnd w:id="4"/>
            <w:bookmarkEnd w:id="5"/>
            <w:bookmarkEnd w:id="6"/>
            <w:bookmarkEnd w:id="7"/>
            <w:r>
              <w:rPr>
                <w:rFonts w:ascii="Times New Roman" w:eastAsia="仿宋" w:hAnsi="Times New Roman" w:hint="eastAsia"/>
                <w:sz w:val="24"/>
                <w:szCs w:val="24"/>
              </w:rPr>
              <w:t>63</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hint="eastAsia"/>
                <w:sz w:val="24"/>
                <w:szCs w:val="24"/>
              </w:rPr>
              <w:t>QB∕T 2467-2017</w:t>
            </w:r>
          </w:p>
        </w:tc>
        <w:tc>
          <w:tcPr>
            <w:tcW w:w="3166"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hint="eastAsia"/>
                <w:sz w:val="24"/>
                <w:szCs w:val="24"/>
              </w:rPr>
              <w:t>食品工业用不锈钢管</w:t>
            </w:r>
          </w:p>
        </w:tc>
      </w:tr>
      <w:tr>
        <w:trPr>
          <w:trHeight w:val="458"/>
        </w:trPr>
        <w:tc>
          <w:tcPr>
            <w:tcW w:w="362" w:type="pct"/>
            <w:vAlign w:val="center"/>
          </w:tcPr>
          <w:p>
            <w:pPr>
              <w:pStyle w:val="47"/>
              <w:spacing w:line="23" w:lineRule="atLeast"/>
              <w:ind w:firstLineChars="0" w:firstLine="0"/>
              <w:jc w:val="center"/>
              <w:rPr>
                <w:rFonts w:ascii="Times New Roman" w:eastAsia="仿宋" w:hAnsi="Times New Roman"/>
                <w:sz w:val="24"/>
                <w:szCs w:val="24"/>
              </w:rPr>
            </w:pPr>
            <w:r>
              <w:rPr>
                <w:rFonts w:ascii="Times New Roman" w:eastAsia="仿宋" w:hAnsi="Times New Roman"/>
                <w:sz w:val="24"/>
                <w:szCs w:val="24"/>
              </w:rPr>
              <w:t>64</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QB/T 4848-2015</w:t>
            </w:r>
          </w:p>
        </w:tc>
        <w:tc>
          <w:tcPr>
            <w:tcW w:w="3166"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食品工业用不锈钢管道安装及验收规范</w:t>
            </w:r>
          </w:p>
        </w:tc>
      </w:tr>
      <w:tr>
        <w:trPr>
          <w:trHeight w:val="458"/>
        </w:trPr>
        <w:tc>
          <w:tcPr>
            <w:tcW w:w="362" w:type="pct"/>
            <w:vAlign w:val="center"/>
          </w:tcPr>
          <w:p>
            <w:pPr>
              <w:pStyle w:val="47"/>
              <w:spacing w:line="23" w:lineRule="atLeast"/>
              <w:ind w:firstLineChars="0" w:firstLine="0"/>
              <w:jc w:val="center"/>
              <w:rPr>
                <w:rFonts w:ascii="Times New Roman" w:eastAsia="仿宋" w:hAnsi="Times New Roman"/>
                <w:sz w:val="24"/>
                <w:szCs w:val="24"/>
              </w:rPr>
            </w:pPr>
            <w:r>
              <w:rPr>
                <w:rFonts w:ascii="Times New Roman" w:eastAsia="仿宋" w:hAnsi="Times New Roman"/>
                <w:sz w:val="24"/>
                <w:szCs w:val="24"/>
              </w:rPr>
              <w:t>65</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GB/T 18984-2016</w:t>
            </w:r>
          </w:p>
        </w:tc>
        <w:tc>
          <w:tcPr>
            <w:tcW w:w="3166"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低温管道用无缝钢管</w:t>
            </w:r>
          </w:p>
        </w:tc>
      </w:tr>
      <w:tr>
        <w:trPr>
          <w:trHeight w:val="458"/>
        </w:trPr>
        <w:tc>
          <w:tcPr>
            <w:tcW w:w="362" w:type="pct"/>
            <w:vAlign w:val="center"/>
          </w:tcPr>
          <w:p>
            <w:pPr>
              <w:pStyle w:val="47"/>
              <w:spacing w:line="23" w:lineRule="atLeast"/>
              <w:ind w:firstLineChars="0" w:firstLine="0"/>
              <w:jc w:val="center"/>
              <w:rPr>
                <w:rFonts w:ascii="Times New Roman" w:eastAsia="仿宋" w:hAnsi="Times New Roman"/>
                <w:sz w:val="24"/>
                <w:szCs w:val="24"/>
              </w:rPr>
            </w:pPr>
            <w:r>
              <w:rPr>
                <w:rFonts w:ascii="Times New Roman" w:eastAsia="仿宋" w:hAnsi="Times New Roman"/>
                <w:sz w:val="24"/>
                <w:szCs w:val="24"/>
              </w:rPr>
              <w:t>66</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GB/50252-2010</w:t>
            </w:r>
          </w:p>
        </w:tc>
        <w:tc>
          <w:tcPr>
            <w:tcW w:w="3166"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工业安装工程施工质量验收统一标准</w:t>
            </w:r>
          </w:p>
        </w:tc>
      </w:tr>
      <w:tr>
        <w:trPr>
          <w:trHeight w:val="458"/>
        </w:trPr>
        <w:tc>
          <w:tcPr>
            <w:tcW w:w="362" w:type="pct"/>
            <w:vAlign w:val="center"/>
          </w:tcPr>
          <w:p>
            <w:pPr>
              <w:pStyle w:val="47"/>
              <w:spacing w:line="23" w:lineRule="atLeast"/>
              <w:ind w:firstLineChars="0" w:firstLine="0"/>
              <w:jc w:val="center"/>
              <w:rPr>
                <w:rFonts w:ascii="Times New Roman" w:eastAsia="仿宋" w:hAnsi="Times New Roman"/>
                <w:sz w:val="24"/>
                <w:szCs w:val="24"/>
              </w:rPr>
            </w:pPr>
            <w:r>
              <w:rPr>
                <w:rFonts w:ascii="Times New Roman" w:eastAsia="仿宋" w:hAnsi="Times New Roman"/>
                <w:sz w:val="24"/>
                <w:szCs w:val="24"/>
              </w:rPr>
              <w:t>67</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GBT 13663.1-2017</w:t>
            </w:r>
          </w:p>
        </w:tc>
        <w:tc>
          <w:tcPr>
            <w:tcW w:w="3166"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hint="eastAsia"/>
                <w:sz w:val="24"/>
                <w:szCs w:val="24"/>
              </w:rPr>
              <w:t>给水用聚乙烯(PE)管道系统 第1部分总则</w:t>
            </w:r>
          </w:p>
        </w:tc>
      </w:tr>
      <w:tr>
        <w:trPr>
          <w:trHeight w:val="458"/>
        </w:trPr>
        <w:tc>
          <w:tcPr>
            <w:tcW w:w="362" w:type="pct"/>
            <w:vAlign w:val="center"/>
          </w:tcPr>
          <w:p>
            <w:pPr>
              <w:pStyle w:val="47"/>
              <w:spacing w:line="23" w:lineRule="atLeast"/>
              <w:ind w:firstLineChars="0" w:firstLine="0"/>
              <w:jc w:val="center"/>
              <w:rPr>
                <w:rFonts w:ascii="Times New Roman" w:eastAsia="仿宋" w:hAnsi="Times New Roman"/>
                <w:sz w:val="24"/>
                <w:szCs w:val="24"/>
              </w:rPr>
            </w:pPr>
            <w:r>
              <w:rPr>
                <w:rFonts w:ascii="Times New Roman" w:eastAsia="仿宋" w:hAnsi="Times New Roman"/>
                <w:sz w:val="24"/>
                <w:szCs w:val="24"/>
              </w:rPr>
              <w:t>68</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 xml:space="preserve">GBT 13663.2-2018 </w:t>
            </w:r>
          </w:p>
        </w:tc>
        <w:tc>
          <w:tcPr>
            <w:tcW w:w="3166"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给水用聚乙烯(PE)管道系统 第2部分管材</w:t>
            </w:r>
          </w:p>
        </w:tc>
      </w:tr>
      <w:tr>
        <w:trPr>
          <w:trHeight w:val="458"/>
        </w:trPr>
        <w:tc>
          <w:tcPr>
            <w:tcW w:w="362" w:type="pct"/>
            <w:vAlign w:val="center"/>
          </w:tcPr>
          <w:p>
            <w:pPr>
              <w:pStyle w:val="47"/>
              <w:spacing w:line="23" w:lineRule="atLeast"/>
              <w:ind w:firstLineChars="0" w:firstLine="0"/>
              <w:jc w:val="center"/>
              <w:rPr>
                <w:rFonts w:ascii="Times New Roman" w:eastAsia="仿宋" w:hAnsi="Times New Roman"/>
                <w:sz w:val="24"/>
                <w:szCs w:val="24"/>
              </w:rPr>
            </w:pPr>
            <w:r>
              <w:rPr>
                <w:rFonts w:ascii="Times New Roman" w:eastAsia="仿宋" w:hAnsi="Times New Roman"/>
                <w:sz w:val="24"/>
                <w:szCs w:val="24"/>
              </w:rPr>
              <w:t>69</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 xml:space="preserve">GBT 13663.3-2018 </w:t>
            </w:r>
          </w:p>
        </w:tc>
        <w:tc>
          <w:tcPr>
            <w:tcW w:w="3166"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给水用聚乙烯(PE)管道系统 第3部分管件</w:t>
            </w:r>
          </w:p>
        </w:tc>
      </w:tr>
      <w:tr>
        <w:trPr>
          <w:trHeight w:val="458"/>
        </w:trPr>
        <w:tc>
          <w:tcPr>
            <w:tcW w:w="362" w:type="pct"/>
            <w:vAlign w:val="center"/>
          </w:tcPr>
          <w:p>
            <w:pPr>
              <w:pStyle w:val="47"/>
              <w:spacing w:line="23" w:lineRule="atLeast"/>
              <w:ind w:firstLineChars="0" w:firstLine="0"/>
              <w:jc w:val="center"/>
              <w:rPr>
                <w:rFonts w:ascii="Times New Roman" w:eastAsia="仿宋" w:hAnsi="Times New Roman"/>
                <w:sz w:val="24"/>
                <w:szCs w:val="24"/>
              </w:rPr>
            </w:pPr>
            <w:r>
              <w:rPr>
                <w:rFonts w:ascii="Times New Roman" w:eastAsia="仿宋" w:hAnsi="Times New Roman"/>
                <w:sz w:val="24"/>
                <w:szCs w:val="24"/>
              </w:rPr>
              <w:t>70</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 xml:space="preserve">GBT 13663.5-2018 </w:t>
            </w:r>
          </w:p>
        </w:tc>
        <w:tc>
          <w:tcPr>
            <w:tcW w:w="3166"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给水用聚乙烯(PE)管道系统 第5部分系统适用性</w:t>
            </w:r>
          </w:p>
        </w:tc>
      </w:tr>
      <w:tr>
        <w:trPr>
          <w:trHeight w:val="458"/>
        </w:trPr>
        <w:tc>
          <w:tcPr>
            <w:tcW w:w="362" w:type="pct"/>
            <w:vAlign w:val="center"/>
          </w:tcPr>
          <w:p>
            <w:pPr>
              <w:pStyle w:val="47"/>
              <w:spacing w:line="23" w:lineRule="atLeast"/>
              <w:ind w:firstLineChars="0" w:firstLine="0"/>
              <w:jc w:val="center"/>
              <w:rPr>
                <w:rFonts w:ascii="Times New Roman" w:eastAsia="仿宋" w:hAnsi="Times New Roman"/>
                <w:sz w:val="24"/>
                <w:szCs w:val="24"/>
              </w:rPr>
            </w:pPr>
            <w:r>
              <w:rPr>
                <w:rFonts w:ascii="Times New Roman" w:eastAsia="仿宋" w:hAnsi="Times New Roman"/>
                <w:sz w:val="24"/>
                <w:szCs w:val="24"/>
              </w:rPr>
              <w:t>71</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GBT 19810-2005</w:t>
            </w:r>
          </w:p>
        </w:tc>
        <w:tc>
          <w:tcPr>
            <w:tcW w:w="3166"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聚乙烯(PE)管材和管件 热熔对接接头拉伸强度和破坏形式的测定</w:t>
            </w:r>
          </w:p>
        </w:tc>
      </w:tr>
      <w:tr>
        <w:trPr>
          <w:trHeight w:val="458"/>
        </w:trPr>
        <w:tc>
          <w:tcPr>
            <w:tcW w:w="362" w:type="pct"/>
            <w:vAlign w:val="center"/>
          </w:tcPr>
          <w:p>
            <w:pPr>
              <w:pStyle w:val="47"/>
              <w:spacing w:line="23" w:lineRule="atLeast"/>
              <w:ind w:firstLineChars="0" w:firstLine="0"/>
              <w:jc w:val="center"/>
              <w:rPr>
                <w:rFonts w:ascii="Times New Roman" w:eastAsia="仿宋" w:hAnsi="Times New Roman"/>
                <w:sz w:val="24"/>
                <w:szCs w:val="24"/>
              </w:rPr>
            </w:pPr>
            <w:r>
              <w:rPr>
                <w:rFonts w:ascii="Times New Roman" w:eastAsia="仿宋" w:hAnsi="Times New Roman"/>
                <w:sz w:val="24"/>
                <w:szCs w:val="24"/>
              </w:rPr>
              <w:t>72</w:t>
            </w:r>
          </w:p>
        </w:tc>
        <w:tc>
          <w:tcPr>
            <w:tcW w:w="1472"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 xml:space="preserve">GBT 19809-2005 </w:t>
            </w:r>
          </w:p>
        </w:tc>
        <w:tc>
          <w:tcPr>
            <w:tcW w:w="3166" w:type="pct"/>
            <w:vAlign w:val="center"/>
          </w:tcPr>
          <w:p>
            <w:pPr>
              <w:pStyle w:val="47"/>
              <w:spacing w:line="23" w:lineRule="atLeast"/>
              <w:ind w:firstLineChars="0" w:firstLine="0"/>
              <w:rPr>
                <w:rFonts w:ascii="Times New Roman" w:eastAsia="仿宋" w:hAnsi="Times New Roman"/>
                <w:sz w:val="24"/>
                <w:szCs w:val="24"/>
              </w:rPr>
            </w:pPr>
            <w:r>
              <w:rPr>
                <w:rFonts w:ascii="Times New Roman" w:eastAsia="仿宋" w:hAnsi="Times New Roman"/>
                <w:sz w:val="24"/>
                <w:szCs w:val="24"/>
              </w:rPr>
              <w:t>塑料管材和管件 聚乙烯(PE)管材-管材或管材-管件热熔对接组件的制备</w:t>
            </w:r>
          </w:p>
        </w:tc>
      </w:tr>
    </w:tbl>
    <w:p>
      <w:pPr>
        <w:pStyle w:val="35"/>
        <w:rPr>
          <w:rFonts w:ascii="黑体" w:eastAsia="黑体"/>
        </w:rPr>
      </w:pPr>
      <w:r>
        <w:rPr>
          <w:rFonts w:ascii="黑体" w:eastAsia="黑体" w:hint="eastAsia"/>
        </w:rPr>
        <w:t>第三章 盐水自动化智能化循环输送系统设计和实施</w:t>
      </w:r>
      <w:r>
        <w:rPr>
          <w:rFonts w:ascii="黑体" w:eastAsia="黑体"/>
        </w:rPr>
        <w:t>工程项目</w:t>
      </w:r>
      <w:r>
        <w:rPr>
          <w:rFonts w:ascii="黑体" w:eastAsia="黑体" w:hint="eastAsia"/>
        </w:rPr>
        <w:t xml:space="preserve">    自动化信息化要求</w:t>
      </w:r>
    </w:p>
    <w:p>
      <w:pPr>
        <w:pStyle w:val="1"/>
        <w:numPr>
          <w:ilvl w:val="0"/>
          <w:numId w:val="10"/>
        </w:numPr>
      </w:pPr>
      <w:bookmarkStart w:id="37" w:name="_Toc3536"/>
      <w:bookmarkStart w:id="38" w:name="_Toc9951"/>
      <w:bookmarkStart w:id="39" w:name="_Toc8968"/>
      <w:bookmarkStart w:id="40" w:name="_Toc44440505"/>
      <w:bookmarkStart w:id="41" w:name="_Toc29942"/>
      <w:bookmarkStart w:id="42" w:name="_Toc1475"/>
      <w:bookmarkStart w:id="43" w:name="_Toc10644"/>
      <w:bookmarkStart w:id="44" w:name="_Toc499519878"/>
      <w:bookmarkStart w:id="45" w:name="_Toc497729322"/>
      <w:bookmarkStart w:id="46" w:name="_Toc46560347"/>
      <w:bookmarkStart w:id="47" w:name="_Toc10303"/>
      <w:bookmarkStart w:id="48" w:name="_Toc46047772"/>
      <w:bookmarkStart w:id="49" w:name="_Toc30785"/>
      <w:bookmarkEnd w:id="30"/>
      <w:bookmarkEnd w:id="31"/>
      <w:bookmarkEnd w:id="32"/>
      <w:bookmarkEnd w:id="33"/>
      <w:bookmarkEnd w:id="34"/>
      <w:bookmarkEnd w:id="35"/>
      <w:bookmarkEnd w:id="36"/>
      <w:r>
        <w:rPr>
          <w:rFonts w:hint="eastAsia"/>
        </w:rPr>
        <w:t>电气控制系统要求</w:t>
      </w:r>
      <w:bookmarkEnd w:id="37"/>
      <w:bookmarkEnd w:id="38"/>
      <w:bookmarkEnd w:id="39"/>
      <w:bookmarkEnd w:id="40"/>
      <w:bookmarkEnd w:id="41"/>
      <w:bookmarkEnd w:id="42"/>
      <w:bookmarkEnd w:id="43"/>
      <w:r>
        <w:rPr>
          <w:rFonts w:hint="eastAsia"/>
        </w:rPr>
        <w:t xml:space="preserve"> </w:t>
      </w:r>
    </w:p>
    <w:p>
      <w:pPr>
        <w:pStyle w:val="2"/>
        <w:ind w:left="567" w:firstLine="562"/>
        <w:rPr>
          <w:rFonts w:ascii="仿宋" w:eastAsia="仿宋"/>
          <w:szCs w:val="20"/>
        </w:rPr>
      </w:pPr>
      <w:r>
        <w:rPr>
          <w:rFonts w:ascii="仿宋" w:eastAsia="仿宋" w:hint="eastAsia"/>
          <w:szCs w:val="20"/>
        </w:rPr>
        <w:t>功能总则</w:t>
      </w:r>
    </w:p>
    <w:p>
      <w:pPr>
        <w:pStyle w:val="45"/>
        <w:spacing w:line="360" w:lineRule="auto"/>
        <w:ind w:firstLineChars="0" w:firstLine="420"/>
        <w:rPr>
          <w:rFonts w:ascii="仿宋" w:eastAsia="仿宋"/>
          <w:kern w:val="0"/>
          <w:sz w:val="28"/>
          <w:szCs w:val="28"/>
        </w:rPr>
      </w:pPr>
      <w:r>
        <w:rPr>
          <w:rFonts w:ascii="仿宋" w:eastAsia="仿宋"/>
          <w:kern w:val="0"/>
          <w:sz w:val="28"/>
          <w:szCs w:val="28"/>
        </w:rPr>
        <w:t>1</w:t>
      </w:r>
      <w:r>
        <w:rPr>
          <w:rFonts w:ascii="仿宋" w:eastAsia="仿宋" w:hint="eastAsia"/>
          <w:kern w:val="0"/>
          <w:sz w:val="28"/>
          <w:szCs w:val="28"/>
        </w:rPr>
        <w:t>.1控制系统需要完成各个车间内部不同阶段盐水的转运调度和状态监控。包括（但不限于）根据</w:t>
      </w:r>
      <w:r>
        <w:rPr>
          <w:rFonts w:ascii="仿宋" w:eastAsia="仿宋" w:hint="eastAsia"/>
          <w:sz w:val="28"/>
          <w:szCs w:val="20"/>
        </w:rPr>
        <w:t>智能化调度软件系统的调度指令自动控制车间内所有泵、阀、过滤器等所有设备，</w:t>
      </w:r>
      <w:r>
        <w:rPr>
          <w:rFonts w:ascii="仿宋" w:eastAsia="仿宋" w:hint="eastAsia"/>
          <w:kern w:val="0"/>
          <w:sz w:val="28"/>
          <w:szCs w:val="28"/>
        </w:rPr>
        <w:t xml:space="preserve">采集及处理车间内所有设备、仪器仪表和腌池状态等运行状态和相关参数，达到各个车间内的监控和管理目标。 </w:t>
      </w:r>
    </w:p>
    <w:p>
      <w:pPr>
        <w:pStyle w:val="45"/>
        <w:spacing w:line="360" w:lineRule="auto"/>
        <w:ind w:firstLineChars="0" w:firstLine="420"/>
        <w:rPr>
          <w:rFonts w:ascii="仿宋" w:eastAsia="仿宋"/>
          <w:kern w:val="0"/>
          <w:sz w:val="28"/>
          <w:szCs w:val="28"/>
        </w:rPr>
      </w:pPr>
      <w:r>
        <w:rPr>
          <w:rFonts w:ascii="仿宋" w:eastAsia="仿宋"/>
          <w:kern w:val="0"/>
          <w:sz w:val="28"/>
          <w:szCs w:val="28"/>
        </w:rPr>
        <w:t>1.2</w:t>
      </w:r>
      <w:r>
        <w:rPr>
          <w:rFonts w:ascii="仿宋" w:eastAsia="仿宋" w:hint="eastAsia"/>
          <w:kern w:val="0"/>
          <w:sz w:val="28"/>
          <w:szCs w:val="28"/>
        </w:rPr>
        <w:t>控制系统需要完成跨车间的盐水转运调度和状态监控，控制及集成跨车间盐水调度所涉及到的所有设备，采集及处理所有设备、仪器仪表和相关腌池状态的运行状态和相关参数，通过就地控制站、主控柜上传到调度上位机，进行集中监控和管理。实现远程监视设备运行状态和控制设备启/停、数据采集和设置等功能。</w:t>
      </w:r>
    </w:p>
    <w:p>
      <w:pPr>
        <w:pStyle w:val="45"/>
        <w:spacing w:line="360" w:lineRule="auto"/>
        <w:ind w:firstLineChars="0" w:firstLine="420"/>
        <w:rPr>
          <w:rFonts w:ascii="仿宋" w:eastAsia="仿宋"/>
          <w:kern w:val="0"/>
          <w:sz w:val="28"/>
          <w:szCs w:val="28"/>
        </w:rPr>
      </w:pPr>
      <w:r>
        <w:rPr>
          <w:rFonts w:ascii="仿宋" w:eastAsia="仿宋"/>
          <w:kern w:val="0"/>
          <w:sz w:val="28"/>
          <w:szCs w:val="28"/>
        </w:rPr>
        <w:t>1.3</w:t>
      </w:r>
      <w:r>
        <w:rPr>
          <w:rFonts w:ascii="仿宋" w:eastAsia="仿宋" w:hint="eastAsia"/>
          <w:kern w:val="0"/>
          <w:sz w:val="28"/>
          <w:szCs w:val="28"/>
        </w:rPr>
        <w:t>控制系统需要完成系统PLC主控柜与各子系统的通讯联网，按生产工艺流程和规范设计等完成设备间的联动控制集成，并把相关运行参数传输至上位监控机。</w:t>
      </w:r>
    </w:p>
    <w:p>
      <w:pPr>
        <w:pStyle w:val="45"/>
        <w:spacing w:line="560" w:lineRule="exact"/>
        <w:rPr>
          <w:rFonts w:ascii="仿宋" w:eastAsia="仿宋"/>
          <w:sz w:val="28"/>
          <w:szCs w:val="20"/>
        </w:rPr>
      </w:pPr>
      <w:r>
        <w:rPr>
          <w:rFonts w:ascii="仿宋" w:eastAsia="仿宋" w:hint="eastAsia"/>
          <w:sz w:val="28"/>
          <w:szCs w:val="20"/>
        </w:rPr>
        <w:t>1.</w:t>
      </w:r>
      <w:r>
        <w:rPr>
          <w:rFonts w:ascii="仿宋" w:eastAsia="仿宋"/>
          <w:sz w:val="28"/>
          <w:szCs w:val="20"/>
        </w:rPr>
        <w:t>4</w:t>
      </w:r>
      <w:r>
        <w:rPr>
          <w:rFonts w:ascii="仿宋" w:eastAsia="仿宋" w:hint="eastAsia"/>
          <w:sz w:val="28"/>
          <w:szCs w:val="20"/>
        </w:rPr>
        <w:t>控制系统需要根据原料车间生产工艺要求，完成与原料加工系统（如原料生产设备、输送设备、腌池监控系统等）的集成配合。通过与原料生产加工系统的密切协作，一起完成原料车间的原料生产及盐水调度输送。</w:t>
      </w:r>
    </w:p>
    <w:p>
      <w:pPr>
        <w:pStyle w:val="2"/>
        <w:ind w:left="567" w:firstLine="562"/>
      </w:pPr>
      <w:r>
        <w:rPr>
          <w:rFonts w:hint="eastAsia"/>
        </w:rPr>
        <w:t>系统设计要求</w:t>
      </w:r>
    </w:p>
    <w:p>
      <w:pPr>
        <w:pStyle w:val="45"/>
        <w:spacing w:line="360" w:lineRule="auto"/>
        <w:ind w:firstLineChars="0" w:firstLine="420"/>
        <w:rPr>
          <w:rFonts w:ascii="仿宋" w:eastAsia="仿宋"/>
          <w:kern w:val="0"/>
          <w:sz w:val="28"/>
          <w:szCs w:val="28"/>
        </w:rPr>
      </w:pPr>
      <w:r>
        <w:rPr>
          <w:rFonts w:ascii="仿宋" w:eastAsia="仿宋"/>
          <w:sz w:val="28"/>
          <w:szCs w:val="20"/>
        </w:rPr>
        <w:t>2.1</w:t>
      </w:r>
      <w:r>
        <w:rPr>
          <w:rFonts w:ascii="仿宋" w:eastAsia="仿宋" w:hint="eastAsia"/>
          <w:sz w:val="28"/>
          <w:szCs w:val="20"/>
        </w:rPr>
        <w:t>系统符合集散控制系统要求。集散控制系统分为现场运行控制级、车间管理操作级和企业管理级。现场运行控制级采用可靠的工业级PLC控制器。车间管理操作级由操作员站、工程师站等监控计算机组成，各监控计算机互为热备，并可通过通讯网络进入企业管理级系统。</w:t>
      </w:r>
      <w:r>
        <w:rPr>
          <w:rFonts w:ascii="仿宋" w:eastAsia="仿宋" w:hint="eastAsia"/>
          <w:kern w:val="0"/>
          <w:sz w:val="28"/>
          <w:szCs w:val="28"/>
        </w:rPr>
        <w:t>投标人应承诺无条件配合招标人相关职能部门和前述软件管理系统的数据通讯和采集工作，不得收取任何配合费用，不得设置技术障碍。</w:t>
      </w:r>
    </w:p>
    <w:p>
      <w:pPr>
        <w:pStyle w:val="45"/>
        <w:spacing w:line="560" w:lineRule="exact"/>
        <w:rPr>
          <w:rFonts w:ascii="仿宋" w:eastAsia="仿宋"/>
          <w:sz w:val="28"/>
          <w:szCs w:val="20"/>
        </w:rPr>
      </w:pPr>
      <w:r>
        <w:rPr>
          <w:rFonts w:ascii="仿宋" w:eastAsia="仿宋"/>
          <w:sz w:val="28"/>
          <w:szCs w:val="20"/>
        </w:rPr>
        <w:t>2.2</w:t>
      </w:r>
      <w:r>
        <w:rPr>
          <w:rFonts w:ascii="仿宋" w:eastAsia="仿宋" w:hint="eastAsia"/>
          <w:sz w:val="28"/>
          <w:szCs w:val="20"/>
        </w:rPr>
        <w:t>系统要求具备高响应、高实时性和高可靠性，控制系统选型配置符合被控系统的输入输出容量和逻辑的复杂性，能够完成盐水输送时路径的自动选择和泵阀启停开闭自动控制，实现操作简单、响应快速、输送精准、联动高效、故障率低等目的，并可以数字运算、数据处理、模拟量调节、操作显示，实现管控一体化。</w:t>
      </w:r>
    </w:p>
    <w:p>
      <w:pPr>
        <w:pStyle w:val="45"/>
        <w:spacing w:line="560" w:lineRule="exact"/>
        <w:rPr>
          <w:rFonts w:ascii="仿宋" w:eastAsia="仿宋"/>
          <w:sz w:val="28"/>
          <w:szCs w:val="20"/>
        </w:rPr>
      </w:pPr>
      <w:r>
        <w:rPr>
          <w:rFonts w:ascii="仿宋" w:eastAsia="仿宋"/>
          <w:sz w:val="28"/>
          <w:szCs w:val="20"/>
        </w:rPr>
        <w:t>2.3</w:t>
      </w:r>
      <w:r>
        <w:rPr>
          <w:rFonts w:ascii="仿宋" w:eastAsia="仿宋" w:hint="eastAsia"/>
          <w:sz w:val="28"/>
          <w:szCs w:val="20"/>
        </w:rPr>
        <w:t>控制系统要把节能减排作为重要目标。本项目要求采用先进的、创新的控制算法，最大限度的提高设备的利用率和输送介质的复用率，提高输送效率，提高盐水回收量，降低水耗和能耗。</w:t>
      </w:r>
    </w:p>
    <w:p>
      <w:pPr>
        <w:pStyle w:val="45"/>
        <w:spacing w:line="560" w:lineRule="exact"/>
        <w:rPr>
          <w:rFonts w:ascii="仿宋" w:eastAsia="仿宋"/>
          <w:sz w:val="28"/>
          <w:szCs w:val="20"/>
        </w:rPr>
      </w:pPr>
      <w:r>
        <w:rPr>
          <w:rFonts w:ascii="仿宋" w:eastAsia="仿宋"/>
          <w:sz w:val="28"/>
          <w:szCs w:val="20"/>
        </w:rPr>
        <w:t>2.4</w:t>
      </w:r>
      <w:r>
        <w:rPr>
          <w:rFonts w:ascii="仿宋" w:eastAsia="仿宋" w:hint="eastAsia"/>
          <w:sz w:val="28"/>
          <w:szCs w:val="20"/>
        </w:rPr>
        <w:t>控制系统的硬件配置和软件设计还应该考虑用户的使用习惯、现有系统（如原料加工系统）配置、维护和使用方便。设备与技术的选用应遵循标准化和开放性的原则，便于与原料加工系统、信息管理系统联网和集成。</w:t>
      </w:r>
    </w:p>
    <w:p>
      <w:pPr>
        <w:pStyle w:val="45"/>
        <w:spacing w:line="560" w:lineRule="exact"/>
        <w:rPr>
          <w:rFonts w:ascii="仿宋" w:eastAsia="仿宋"/>
          <w:sz w:val="28"/>
          <w:szCs w:val="20"/>
        </w:rPr>
      </w:pPr>
      <w:r>
        <w:rPr>
          <w:rFonts w:ascii="仿宋" w:eastAsia="仿宋"/>
          <w:sz w:val="28"/>
          <w:szCs w:val="20"/>
        </w:rPr>
        <w:t>2</w:t>
      </w:r>
      <w:r>
        <w:rPr>
          <w:rFonts w:ascii="仿宋" w:eastAsia="仿宋" w:hint="eastAsia"/>
          <w:sz w:val="28"/>
          <w:szCs w:val="20"/>
        </w:rPr>
        <w:t>.5本项目每个车间至少配置一套相对独立的控制系统（包括人机交互软件），控制本车间盐水输送设备，实现车间内盐水的收集、分配和调度转运；控制系统的具体配置和车间内及车间之间的调度方式由投标方给出合理方案（需要详述），招标方审核通过后，可照方案实施。</w:t>
      </w:r>
    </w:p>
    <w:p>
      <w:pPr>
        <w:pStyle w:val="45"/>
        <w:spacing w:line="560" w:lineRule="exact"/>
        <w:rPr>
          <w:rFonts w:ascii="仿宋" w:eastAsia="仿宋"/>
          <w:sz w:val="28"/>
          <w:szCs w:val="20"/>
        </w:rPr>
      </w:pPr>
      <w:r>
        <w:rPr>
          <w:rFonts w:ascii="仿宋" w:eastAsia="仿宋"/>
          <w:sz w:val="28"/>
          <w:szCs w:val="20"/>
        </w:rPr>
        <w:t>2</w:t>
      </w:r>
      <w:r>
        <w:rPr>
          <w:rFonts w:ascii="仿宋" w:eastAsia="仿宋" w:hint="eastAsia"/>
          <w:sz w:val="28"/>
          <w:szCs w:val="20"/>
        </w:rPr>
        <w:t>.</w:t>
      </w:r>
      <w:r>
        <w:rPr>
          <w:rFonts w:ascii="仿宋" w:eastAsia="仿宋"/>
          <w:sz w:val="28"/>
          <w:szCs w:val="20"/>
        </w:rPr>
        <w:t>6</w:t>
      </w:r>
      <w:r>
        <w:rPr>
          <w:rFonts w:ascii="仿宋" w:eastAsia="仿宋" w:hint="eastAsia"/>
          <w:sz w:val="28"/>
          <w:szCs w:val="20"/>
        </w:rPr>
        <w:t>控制系统需配置监控操作员站和工程师站，可通过操作员站实现对车间内及车间之间泵阀设备、仪表及腌池的组合操作、状态实时监控、生产工艺数据采集、工艺指标显示记录、参数设定和报警显示及记录，提供实时的工艺数据和各种柱状图、趋势图等功能，并将采集的数据向数据管理服务器上传。通过操作员站操作或者查看单台设备时，其操作画面层级数应不超过四级。</w:t>
      </w:r>
    </w:p>
    <w:p>
      <w:pPr>
        <w:pStyle w:val="45"/>
        <w:spacing w:line="560" w:lineRule="exact"/>
        <w:rPr>
          <w:rFonts w:ascii="仿宋" w:eastAsia="仿宋"/>
          <w:sz w:val="28"/>
          <w:szCs w:val="20"/>
        </w:rPr>
      </w:pPr>
      <w:r>
        <w:rPr>
          <w:rFonts w:ascii="仿宋" w:eastAsia="仿宋"/>
          <w:sz w:val="28"/>
          <w:szCs w:val="20"/>
        </w:rPr>
        <w:t>2.7</w:t>
      </w:r>
      <w:r>
        <w:rPr>
          <w:rFonts w:ascii="仿宋" w:eastAsia="仿宋" w:hint="eastAsia"/>
          <w:sz w:val="28"/>
          <w:szCs w:val="20"/>
        </w:rPr>
        <w:t>控制系统采用PLC控制系统（集中控制）作为泵阀的主要控制手段，系统须具有远程及本地控制功能，远程控制设在车间控制室；本地控制采用现场操作箱/柜放置在靠近被控设备且操作者便于操作和观察的部位。当电气控制系统故障时，系统能通过本地控制功能手动控制泵阀运行，从而保障生产。每个泵组设置一套本地控制箱/柜。本地控制具有更高的控制权限，设置必要的安全联锁保证操作人员安全。</w:t>
      </w:r>
    </w:p>
    <w:p>
      <w:pPr>
        <w:pStyle w:val="45"/>
        <w:spacing w:line="560" w:lineRule="exact"/>
        <w:rPr>
          <w:rFonts w:ascii="仿宋" w:eastAsia="仿宋"/>
          <w:kern w:val="0"/>
          <w:sz w:val="28"/>
          <w:szCs w:val="28"/>
        </w:rPr>
      </w:pPr>
      <w:r>
        <w:rPr>
          <w:rFonts w:ascii="仿宋" w:eastAsia="仿宋" w:hint="eastAsia"/>
          <w:sz w:val="28"/>
          <w:szCs w:val="20"/>
        </w:rPr>
        <w:t>2</w:t>
      </w:r>
      <w:r>
        <w:rPr>
          <w:rFonts w:ascii="仿宋" w:eastAsia="仿宋"/>
          <w:sz w:val="28"/>
          <w:szCs w:val="20"/>
        </w:rPr>
        <w:t>.8</w:t>
      </w:r>
      <w:r>
        <w:rPr>
          <w:rFonts w:ascii="仿宋" w:eastAsia="仿宋" w:hint="eastAsia"/>
          <w:sz w:val="28"/>
          <w:szCs w:val="20"/>
        </w:rPr>
        <w:t>盐水调度系统既可自动匹配选择目标窖池，也可以人工指定目标窖池，人工指定时</w:t>
      </w:r>
      <w:r>
        <w:rPr>
          <w:rFonts w:ascii="仿宋" w:eastAsia="仿宋" w:hint="eastAsia"/>
          <w:kern w:val="0"/>
          <w:sz w:val="28"/>
          <w:szCs w:val="28"/>
        </w:rPr>
        <w:t>盐水调度操作画面上只用指定工作内容、工作窖池和目标窖池，系统自动判断、选择中转池或转运路径及相应设备，实现盐水的中转输送，</w:t>
      </w:r>
      <w:r>
        <w:rPr>
          <w:rFonts w:ascii="仿宋" w:eastAsia="仿宋" w:hint="eastAsia"/>
          <w:sz w:val="28"/>
          <w:szCs w:val="20"/>
        </w:rPr>
        <w:t>过程中无须人工干预。</w:t>
      </w:r>
    </w:p>
    <w:p>
      <w:pPr>
        <w:pStyle w:val="45"/>
        <w:spacing w:line="560" w:lineRule="exact"/>
        <w:rPr>
          <w:rFonts w:ascii="仿宋" w:eastAsia="仿宋"/>
          <w:sz w:val="28"/>
          <w:szCs w:val="20"/>
        </w:rPr>
      </w:pPr>
      <w:r>
        <w:rPr>
          <w:rFonts w:ascii="仿宋" w:eastAsia="仿宋" w:hint="eastAsia"/>
          <w:sz w:val="28"/>
          <w:szCs w:val="20"/>
        </w:rPr>
        <w:t>2</w:t>
      </w:r>
      <w:r>
        <w:rPr>
          <w:rFonts w:ascii="仿宋" w:eastAsia="仿宋"/>
          <w:sz w:val="28"/>
          <w:szCs w:val="20"/>
        </w:rPr>
        <w:t>.9</w:t>
      </w:r>
      <w:r>
        <w:rPr>
          <w:rFonts w:ascii="仿宋" w:eastAsia="仿宋" w:hint="eastAsia"/>
          <w:sz w:val="28"/>
          <w:szCs w:val="20"/>
        </w:rPr>
        <w:t>盐水调度系统与其它系统的接口协议以原料加工系统提供的协议为准，投标方需要提供匹配的通讯设备和系统接入。</w:t>
      </w:r>
    </w:p>
    <w:p/>
    <w:p>
      <w:pPr>
        <w:pStyle w:val="15"/>
        <w:rPr>
          <w:rFonts w:ascii="仿宋" w:eastAsia="仿宋"/>
          <w:kern w:val="0"/>
          <w:sz w:val="28"/>
          <w:szCs w:val="28"/>
        </w:rPr>
      </w:pPr>
      <w:r>
        <w:rPr>
          <w:rFonts w:ascii="仿宋" w:eastAsia="仿宋" w:hint="eastAsia"/>
          <w:kern w:val="0"/>
          <w:sz w:val="28"/>
          <w:szCs w:val="28"/>
        </w:rPr>
        <w:t>2</w:t>
      </w:r>
      <w:r>
        <w:rPr>
          <w:rFonts w:ascii="仿宋" w:eastAsia="仿宋"/>
          <w:kern w:val="0"/>
          <w:sz w:val="28"/>
          <w:szCs w:val="28"/>
        </w:rPr>
        <w:t>.10</w:t>
      </w:r>
      <w:r>
        <w:rPr>
          <w:rFonts w:ascii="仿宋" w:eastAsia="仿宋" w:hint="eastAsia"/>
          <w:kern w:val="0"/>
          <w:sz w:val="28"/>
          <w:szCs w:val="28"/>
        </w:rPr>
        <w:t>控制系统需要与原料加工设备（</w:t>
      </w:r>
      <w:r>
        <w:rPr>
          <w:rFonts w:ascii="仿宋" w:eastAsia="仿宋" w:hint="eastAsia"/>
          <w:sz w:val="28"/>
        </w:rPr>
        <w:t>原料加工系统</w:t>
      </w:r>
      <w:r>
        <w:rPr>
          <w:rFonts w:ascii="仿宋" w:eastAsia="仿宋" w:hint="eastAsia"/>
          <w:kern w:val="0"/>
          <w:sz w:val="28"/>
          <w:szCs w:val="28"/>
        </w:rPr>
        <w:t>）等进行连锁控制，进行原料加工时，需根据原料加工系统的命令，结合流量计、压力传感器、液位计的状态及参数和原料加工设备（布料机、起池机等）的状态及参数，自动控制实现泵、阀等相关设备的启/停。</w:t>
      </w:r>
    </w:p>
    <w:p>
      <w:pPr>
        <w:pStyle w:val="45"/>
        <w:spacing w:line="360" w:lineRule="auto"/>
        <w:ind w:firstLineChars="0" w:firstLine="420"/>
        <w:rPr>
          <w:rFonts w:ascii="仿宋" w:eastAsia="仿宋"/>
          <w:kern w:val="0"/>
          <w:sz w:val="28"/>
          <w:szCs w:val="28"/>
        </w:rPr>
      </w:pPr>
      <w:r>
        <w:rPr>
          <w:rFonts w:ascii="仿宋" w:eastAsia="仿宋"/>
          <w:kern w:val="0"/>
          <w:sz w:val="28"/>
          <w:szCs w:val="28"/>
        </w:rPr>
        <w:t>2.11</w:t>
      </w:r>
      <w:r>
        <w:rPr>
          <w:rFonts w:ascii="仿宋" w:eastAsia="仿宋" w:hint="eastAsia"/>
          <w:kern w:val="0"/>
          <w:sz w:val="28"/>
          <w:szCs w:val="28"/>
        </w:rPr>
        <w:t>系统应具有完善的安全性设计（如水泵不能空转，无水时需要停泵），需有故障自诊断及报警功能，凡有参数超限及设备故障，监控计算机都应发出声光报警，并配置独立的声光报警设备，并记录设备编号、报警类型、发生及恢复时间，以便分析事故原因，总结运行经验。</w:t>
      </w:r>
    </w:p>
    <w:p>
      <w:pPr>
        <w:pStyle w:val="45"/>
        <w:spacing w:line="560" w:lineRule="exact"/>
        <w:rPr>
          <w:rFonts w:ascii="仿宋" w:eastAsia="仿宋"/>
          <w:sz w:val="28"/>
          <w:szCs w:val="20"/>
        </w:rPr>
      </w:pPr>
      <w:r>
        <w:rPr>
          <w:rFonts w:ascii="仿宋" w:eastAsia="仿宋"/>
          <w:sz w:val="28"/>
          <w:szCs w:val="20"/>
        </w:rPr>
        <w:t>2.12</w:t>
      </w:r>
      <w:r>
        <w:rPr>
          <w:rFonts w:ascii="仿宋" w:eastAsia="仿宋" w:hint="eastAsia"/>
          <w:sz w:val="28"/>
          <w:szCs w:val="20"/>
        </w:rPr>
        <w:t>控制系统应具备现场网络故障和系统故障自诊断及容错功能。网络通讯系统是可靠的，即单台硬件设备出现故障（包括通讯系统硬件故障）都不会影响其它系统组件之间的通讯。</w:t>
      </w:r>
    </w:p>
    <w:p>
      <w:pPr>
        <w:pStyle w:val="45"/>
        <w:spacing w:line="560" w:lineRule="exact"/>
        <w:rPr>
          <w:rFonts w:ascii="仿宋" w:eastAsia="仿宋"/>
          <w:kern w:val="0"/>
          <w:sz w:val="28"/>
          <w:szCs w:val="28"/>
        </w:rPr>
      </w:pPr>
      <w:r>
        <w:rPr>
          <w:rFonts w:ascii="仿宋" w:eastAsia="仿宋"/>
          <w:sz w:val="28"/>
          <w:szCs w:val="20"/>
        </w:rPr>
        <w:t>2.13</w:t>
      </w:r>
      <w:r>
        <w:rPr>
          <w:rFonts w:ascii="仿宋" w:eastAsia="仿宋" w:hint="eastAsia"/>
          <w:sz w:val="28"/>
          <w:szCs w:val="20"/>
        </w:rPr>
        <w:t>系统的设计应充分考虑基于工艺操作、安全生产和设备故障所需要的各种联锁控制、互锁保护等，</w:t>
      </w:r>
      <w:r>
        <w:rPr>
          <w:rFonts w:ascii="仿宋" w:eastAsia="仿宋" w:hint="eastAsia"/>
          <w:kern w:val="0"/>
          <w:sz w:val="28"/>
          <w:szCs w:val="28"/>
        </w:rPr>
        <w:t>确保设备的连锁运转、有序启停以及故障保护等，既</w:t>
      </w:r>
      <w:r>
        <w:rPr>
          <w:rFonts w:ascii="仿宋" w:eastAsia="仿宋" w:hint="eastAsia"/>
          <w:sz w:val="28"/>
          <w:szCs w:val="20"/>
        </w:rPr>
        <w:t>可最大程度保证连续、流畅、均衡生产，也可最大限度减少设备启停等原因引发的效率和能源损失以及</w:t>
      </w:r>
      <w:r>
        <w:rPr>
          <w:rFonts w:ascii="仿宋" w:eastAsia="仿宋" w:hint="eastAsia"/>
          <w:kern w:val="0"/>
          <w:sz w:val="28"/>
          <w:szCs w:val="28"/>
        </w:rPr>
        <w:t>保证系统的安全性。</w:t>
      </w:r>
    </w:p>
    <w:p>
      <w:pPr>
        <w:pStyle w:val="45"/>
        <w:spacing w:line="560" w:lineRule="exact"/>
        <w:rPr>
          <w:rFonts w:ascii="仿宋" w:eastAsia="仿宋"/>
          <w:sz w:val="28"/>
          <w:szCs w:val="20"/>
        </w:rPr>
      </w:pPr>
      <w:r>
        <w:rPr>
          <w:rFonts w:ascii="仿宋" w:eastAsia="仿宋"/>
          <w:sz w:val="28"/>
          <w:szCs w:val="20"/>
        </w:rPr>
        <w:t>2.14</w:t>
      </w:r>
      <w:r>
        <w:rPr>
          <w:rFonts w:ascii="仿宋" w:eastAsia="仿宋" w:hint="eastAsia"/>
          <w:sz w:val="28"/>
          <w:szCs w:val="20"/>
        </w:rPr>
        <w:t>系统在运行中，当某个设备或部件出现故障或损坏时，系统具有相应的保护措施，不能引起比设备或部件本身更大的损坏，更不能对操作者造成伤害，各种设备都应充分考虑故障联锁设置。保护措施应至少包括以下内容：</w:t>
      </w:r>
      <w:r>
        <w:rPr>
          <w:rFonts w:ascii="仿宋" w:eastAsia="仿宋"/>
          <w:sz w:val="28"/>
          <w:szCs w:val="20"/>
        </w:rPr>
        <w:t xml:space="preserve"> </w:t>
      </w:r>
      <w:r>
        <w:rPr>
          <w:rFonts w:ascii="仿宋" w:eastAsia="仿宋" w:hint="eastAsia"/>
          <w:sz w:val="28"/>
          <w:szCs w:val="20"/>
        </w:rPr>
        <w:t>动作时间保护：</w:t>
      </w:r>
    </w:p>
    <w:p>
      <w:pPr>
        <w:pStyle w:val="45"/>
        <w:spacing w:line="560" w:lineRule="exact"/>
        <w:rPr>
          <w:rFonts w:ascii="仿宋" w:eastAsia="仿宋"/>
          <w:sz w:val="28"/>
          <w:szCs w:val="20"/>
        </w:rPr>
      </w:pPr>
      <w:r>
        <w:rPr>
          <w:rFonts w:ascii="仿宋" w:eastAsia="仿宋" w:hint="eastAsia"/>
          <w:sz w:val="28"/>
          <w:szCs w:val="20"/>
        </w:rPr>
        <w:t>当某个电动阀门的实际开/关动作时间超出常规设定值而未收到反馈信号后便停止动作指令输出并报警提示；</w:t>
      </w:r>
    </w:p>
    <w:p>
      <w:pPr>
        <w:pStyle w:val="45"/>
        <w:spacing w:line="560" w:lineRule="exact"/>
        <w:rPr>
          <w:rFonts w:ascii="仿宋" w:eastAsia="仿宋"/>
          <w:sz w:val="28"/>
          <w:szCs w:val="20"/>
        </w:rPr>
      </w:pPr>
      <w:r>
        <w:rPr>
          <w:rFonts w:ascii="仿宋" w:eastAsia="仿宋" w:hint="eastAsia"/>
          <w:sz w:val="28"/>
          <w:szCs w:val="20"/>
        </w:rPr>
        <w:t xml:space="preserve">当某个泵启/停后，相应管路的仪表（压力、流量、液位等）在超出常规时间设定值而未有参数变化后便停止动作指令输出并报警提示； </w:t>
      </w:r>
    </w:p>
    <w:p>
      <w:pPr>
        <w:pStyle w:val="45"/>
        <w:spacing w:line="560" w:lineRule="exact"/>
        <w:rPr>
          <w:rFonts w:ascii="仿宋" w:eastAsia="仿宋"/>
          <w:sz w:val="28"/>
          <w:szCs w:val="20"/>
        </w:rPr>
      </w:pPr>
      <w:r>
        <w:rPr>
          <w:rFonts w:ascii="仿宋" w:eastAsia="仿宋" w:hint="eastAsia"/>
          <w:sz w:val="28"/>
          <w:szCs w:val="20"/>
        </w:rPr>
        <w:t>当某个管路的泵/阀动作后，而相应仪表未在常规设定时间内有参数变化或者参数变化异常便停止相应动作指令输出并报警提示；</w:t>
      </w:r>
    </w:p>
    <w:p>
      <w:pPr>
        <w:pStyle w:val="45"/>
        <w:spacing w:line="560" w:lineRule="exact"/>
        <w:rPr>
          <w:rFonts w:ascii="仿宋" w:eastAsia="仿宋"/>
          <w:sz w:val="28"/>
          <w:szCs w:val="20"/>
        </w:rPr>
      </w:pPr>
      <w:r>
        <w:rPr>
          <w:rFonts w:ascii="仿宋" w:eastAsia="仿宋" w:hint="eastAsia"/>
          <w:sz w:val="28"/>
          <w:szCs w:val="20"/>
        </w:rPr>
        <w:t>误动作保护：由于管路密封不严泄压，不该动作的部件动作或仪表有参数变化要有报警并提示等。</w:t>
      </w:r>
    </w:p>
    <w:p>
      <w:pPr>
        <w:pStyle w:val="45"/>
        <w:spacing w:line="560" w:lineRule="exact"/>
        <w:rPr>
          <w:rFonts w:ascii="仿宋" w:eastAsia="仿宋"/>
          <w:sz w:val="28"/>
          <w:szCs w:val="20"/>
        </w:rPr>
      </w:pPr>
      <w:r>
        <w:rPr>
          <w:rFonts w:ascii="仿宋" w:eastAsia="仿宋"/>
          <w:sz w:val="28"/>
          <w:szCs w:val="20"/>
        </w:rPr>
        <w:t>2.15</w:t>
      </w:r>
      <w:r>
        <w:rPr>
          <w:rFonts w:ascii="仿宋" w:eastAsia="仿宋" w:hint="eastAsia"/>
          <w:sz w:val="28"/>
          <w:szCs w:val="20"/>
        </w:rPr>
        <w:t>系统须通过仪器仪表自动监测与计量统计盐水调度过程中的实时与累计流量，自动计算、显示与统计窖池盐水量，所有数据均具有人工修正功能，具备相应权限管理。</w:t>
      </w:r>
    </w:p>
    <w:p>
      <w:pPr>
        <w:pStyle w:val="45"/>
        <w:spacing w:line="360" w:lineRule="auto"/>
        <w:ind w:firstLineChars="0" w:firstLine="420"/>
        <w:rPr>
          <w:rFonts w:ascii="仿宋" w:eastAsia="仿宋"/>
          <w:kern w:val="0"/>
          <w:sz w:val="28"/>
          <w:szCs w:val="28"/>
        </w:rPr>
      </w:pPr>
      <w:r>
        <w:rPr>
          <w:rFonts w:ascii="仿宋" w:eastAsia="仿宋"/>
          <w:kern w:val="0"/>
          <w:sz w:val="28"/>
          <w:szCs w:val="28"/>
        </w:rPr>
        <w:t>2.16</w:t>
      </w:r>
      <w:r>
        <w:rPr>
          <w:rFonts w:ascii="仿宋" w:eastAsia="仿宋" w:hint="eastAsia"/>
          <w:kern w:val="0"/>
          <w:sz w:val="28"/>
          <w:szCs w:val="28"/>
        </w:rPr>
        <w:t>水泵都应具有自动、远程手动和本地手动三种运行模式。</w:t>
      </w:r>
    </w:p>
    <w:p>
      <w:pPr>
        <w:pStyle w:val="45"/>
        <w:spacing w:line="360" w:lineRule="auto"/>
        <w:ind w:firstLineChars="0" w:firstLine="420"/>
        <w:rPr>
          <w:rFonts w:ascii="仿宋" w:eastAsia="仿宋"/>
          <w:kern w:val="0"/>
          <w:sz w:val="28"/>
          <w:szCs w:val="28"/>
        </w:rPr>
      </w:pPr>
      <w:r>
        <w:rPr>
          <w:rFonts w:ascii="仿宋" w:eastAsia="仿宋"/>
          <w:kern w:val="0"/>
          <w:sz w:val="28"/>
          <w:szCs w:val="28"/>
        </w:rPr>
        <w:t>2.17</w:t>
      </w:r>
      <w:r>
        <w:rPr>
          <w:rFonts w:ascii="仿宋" w:eastAsia="仿宋" w:hint="eastAsia"/>
          <w:kern w:val="0"/>
          <w:sz w:val="28"/>
          <w:szCs w:val="28"/>
        </w:rPr>
        <w:t>系统多台互备的设备能够自动互换互备，自动平均每台运行时间，必要时可全部自动同时运行。</w:t>
      </w:r>
    </w:p>
    <w:p>
      <w:pPr>
        <w:pStyle w:val="45"/>
        <w:spacing w:line="360" w:lineRule="auto"/>
        <w:ind w:firstLineChars="0" w:firstLine="0"/>
        <w:rPr>
          <w:rFonts w:ascii="仿宋" w:eastAsia="仿宋"/>
          <w:kern w:val="0"/>
          <w:sz w:val="28"/>
          <w:szCs w:val="28"/>
        </w:rPr>
      </w:pPr>
    </w:p>
    <w:p>
      <w:pPr>
        <w:pStyle w:val="2"/>
        <w:ind w:left="567" w:firstLine="562"/>
      </w:pPr>
      <w:r>
        <w:rPr>
          <w:rFonts w:hint="eastAsia"/>
        </w:rPr>
        <w:t>硬件集成要求</w:t>
      </w:r>
    </w:p>
    <w:p>
      <w:pPr>
        <w:pStyle w:val="3"/>
        <w:ind w:firstLine="560"/>
      </w:pPr>
      <w:r>
        <w:rPr>
          <w:rFonts w:hint="eastAsia"/>
        </w:rPr>
        <w:t>总要求</w:t>
      </w:r>
    </w:p>
    <w:p>
      <w:pPr>
        <w:pStyle w:val="45"/>
        <w:spacing w:line="560" w:lineRule="exact"/>
        <w:rPr>
          <w:rFonts w:ascii="仿宋" w:eastAsia="仿宋"/>
          <w:sz w:val="28"/>
          <w:szCs w:val="20"/>
        </w:rPr>
      </w:pPr>
      <w:r>
        <w:rPr>
          <w:rFonts w:ascii="仿宋" w:eastAsia="仿宋"/>
          <w:sz w:val="28"/>
          <w:szCs w:val="20"/>
        </w:rPr>
        <w:t>（1）</w:t>
      </w:r>
      <w:r>
        <w:rPr>
          <w:rFonts w:ascii="仿宋" w:eastAsia="仿宋" w:hint="eastAsia"/>
          <w:sz w:val="28"/>
          <w:szCs w:val="20"/>
        </w:rPr>
        <w:t>系统管网及设备应有足够的适用于使用环境的能力，各零部件及其连接等不得出现断裂和破碎。</w:t>
      </w:r>
    </w:p>
    <w:p>
      <w:pPr>
        <w:pStyle w:val="45"/>
        <w:spacing w:line="560" w:lineRule="exact"/>
        <w:rPr>
          <w:rFonts w:ascii="仿宋" w:eastAsia="仿宋"/>
          <w:sz w:val="28"/>
          <w:szCs w:val="20"/>
        </w:rPr>
      </w:pPr>
      <w:r>
        <w:rPr>
          <w:rFonts w:ascii="仿宋" w:eastAsia="仿宋"/>
          <w:sz w:val="28"/>
          <w:szCs w:val="20"/>
        </w:rPr>
        <w:t>（2）</w:t>
      </w:r>
      <w:r>
        <w:rPr>
          <w:rFonts w:ascii="仿宋" w:eastAsia="仿宋" w:hint="eastAsia"/>
          <w:sz w:val="28"/>
          <w:szCs w:val="20"/>
        </w:rPr>
        <w:t>为保证系统的抗干扰能力，必须加入二次防雷系统的设计。对计算机、控制器等设备采取合理、有效的二次防雷措施。</w:t>
      </w:r>
    </w:p>
    <w:p>
      <w:pPr>
        <w:pStyle w:val="45"/>
        <w:spacing w:line="560" w:lineRule="exact"/>
        <w:rPr>
          <w:rFonts w:ascii="仿宋" w:eastAsia="仿宋"/>
          <w:sz w:val="28"/>
          <w:szCs w:val="20"/>
        </w:rPr>
      </w:pPr>
      <w:r>
        <w:rPr>
          <w:rFonts w:ascii="仿宋" w:eastAsia="仿宋"/>
          <w:sz w:val="28"/>
          <w:szCs w:val="20"/>
        </w:rPr>
        <w:t>（3）</w:t>
      </w:r>
      <w:r>
        <w:rPr>
          <w:rFonts w:ascii="仿宋" w:eastAsia="仿宋" w:hint="eastAsia"/>
          <w:sz w:val="28"/>
          <w:szCs w:val="20"/>
        </w:rPr>
        <w:t>系统电气部件须充分考虑部件的标准化和通用性。</w:t>
      </w:r>
    </w:p>
    <w:p>
      <w:pPr>
        <w:pStyle w:val="45"/>
        <w:spacing w:line="560" w:lineRule="exact"/>
        <w:rPr>
          <w:rFonts w:ascii="仿宋" w:eastAsia="仿宋"/>
          <w:sz w:val="28"/>
          <w:szCs w:val="20"/>
        </w:rPr>
      </w:pPr>
      <w:r>
        <w:rPr>
          <w:rFonts w:ascii="仿宋" w:eastAsia="仿宋"/>
          <w:sz w:val="28"/>
          <w:szCs w:val="20"/>
        </w:rPr>
        <w:t>（4）</w:t>
      </w:r>
      <w:r>
        <w:rPr>
          <w:rFonts w:ascii="仿宋" w:eastAsia="仿宋" w:hint="eastAsia"/>
          <w:sz w:val="28"/>
          <w:szCs w:val="20"/>
        </w:rPr>
        <w:t>系统在运行过程中应无异常声音和异常的振动，无异常气味，各部分的温升应符合标准，无跑、冒、滴、漏等问题。</w:t>
      </w:r>
    </w:p>
    <w:p>
      <w:pPr>
        <w:pStyle w:val="45"/>
        <w:spacing w:line="560" w:lineRule="exact"/>
        <w:rPr>
          <w:rFonts w:ascii="仿宋" w:eastAsia="仿宋"/>
          <w:sz w:val="28"/>
          <w:szCs w:val="20"/>
        </w:rPr>
      </w:pPr>
      <w:r>
        <w:rPr>
          <w:rFonts w:ascii="仿宋" w:eastAsia="仿宋"/>
          <w:sz w:val="28"/>
          <w:szCs w:val="20"/>
        </w:rPr>
        <w:t>（5）</w:t>
      </w:r>
      <w:r>
        <w:rPr>
          <w:rFonts w:ascii="仿宋" w:eastAsia="仿宋" w:hint="eastAsia"/>
          <w:sz w:val="28"/>
          <w:szCs w:val="20"/>
        </w:rPr>
        <w:t>对于三相五线制供电系统，设备外壳采用保护接地措施。电机的控制要求具备过载、缺相、漏电、短路、断路保护。对于潮湿环境中的电机要求安装有单独的漏电保护器。</w:t>
      </w:r>
    </w:p>
    <w:p>
      <w:pPr>
        <w:pStyle w:val="45"/>
        <w:spacing w:line="560" w:lineRule="exact"/>
        <w:rPr>
          <w:rFonts w:ascii="仿宋" w:eastAsia="仿宋"/>
          <w:sz w:val="28"/>
          <w:szCs w:val="20"/>
        </w:rPr>
      </w:pPr>
      <w:r>
        <w:rPr>
          <w:rFonts w:ascii="仿宋" w:eastAsia="仿宋"/>
          <w:sz w:val="28"/>
          <w:szCs w:val="20"/>
        </w:rPr>
        <w:t>（6）</w:t>
      </w:r>
      <w:r>
        <w:rPr>
          <w:rFonts w:ascii="仿宋" w:eastAsia="仿宋" w:hint="eastAsia"/>
          <w:sz w:val="28"/>
          <w:szCs w:val="20"/>
        </w:rPr>
        <w:t>所有操作箱/柜须具有良好的标识系统方便操作及维护等。</w:t>
      </w:r>
    </w:p>
    <w:p>
      <w:pPr>
        <w:pStyle w:val="45"/>
        <w:spacing w:line="560" w:lineRule="exact"/>
        <w:rPr>
          <w:rFonts w:ascii="仿宋" w:eastAsia="仿宋"/>
          <w:sz w:val="28"/>
          <w:szCs w:val="20"/>
        </w:rPr>
      </w:pPr>
      <w:r>
        <w:rPr>
          <w:rFonts w:ascii="仿宋" w:eastAsia="仿宋"/>
          <w:sz w:val="28"/>
          <w:szCs w:val="20"/>
        </w:rPr>
        <w:t>（7）</w:t>
      </w:r>
      <w:r>
        <w:rPr>
          <w:rFonts w:ascii="仿宋" w:eastAsia="仿宋" w:hint="eastAsia"/>
          <w:sz w:val="28"/>
          <w:szCs w:val="20"/>
        </w:rPr>
        <w:t>系统所有泵、阀及计量等器件需要统一按规划编号及命名，采用不锈钢制作标牌，控制系统、资料及图纸中的所有编号须与实物等保持一致，以方便操作、维护以及保养工作。</w:t>
      </w:r>
    </w:p>
    <w:p>
      <w:pPr>
        <w:pStyle w:val="45"/>
        <w:spacing w:line="560" w:lineRule="exact"/>
        <w:rPr>
          <w:rFonts w:ascii="仿宋" w:eastAsia="仿宋"/>
          <w:sz w:val="28"/>
          <w:szCs w:val="20"/>
        </w:rPr>
      </w:pPr>
      <w:r>
        <w:rPr>
          <w:rFonts w:ascii="仿宋" w:eastAsia="仿宋"/>
          <w:sz w:val="28"/>
          <w:szCs w:val="20"/>
        </w:rPr>
        <w:t>（8）</w:t>
      </w:r>
      <w:r>
        <w:rPr>
          <w:rFonts w:ascii="仿宋" w:eastAsia="仿宋" w:hint="eastAsia"/>
          <w:sz w:val="28"/>
          <w:szCs w:val="20"/>
        </w:rPr>
        <w:t>所有阀门须配有不锈钢制作的常开常闭标识。</w:t>
      </w:r>
    </w:p>
    <w:p>
      <w:pPr>
        <w:pStyle w:val="45"/>
        <w:spacing w:line="560" w:lineRule="exact"/>
        <w:rPr>
          <w:rFonts w:ascii="仿宋" w:eastAsia="仿宋"/>
          <w:sz w:val="28"/>
          <w:szCs w:val="20"/>
        </w:rPr>
      </w:pPr>
      <w:r>
        <w:rPr>
          <w:rFonts w:ascii="仿宋" w:eastAsia="仿宋"/>
          <w:sz w:val="28"/>
          <w:szCs w:val="20"/>
        </w:rPr>
        <w:t>（9）</w:t>
      </w:r>
      <w:r>
        <w:rPr>
          <w:rFonts w:ascii="仿宋" w:eastAsia="仿宋" w:hint="eastAsia"/>
          <w:sz w:val="28"/>
          <w:szCs w:val="20"/>
        </w:rPr>
        <w:t>所有电动阀门须具有断电自动复位功能。</w:t>
      </w:r>
    </w:p>
    <w:p>
      <w:pPr>
        <w:pStyle w:val="45"/>
        <w:spacing w:line="560" w:lineRule="exact"/>
        <w:rPr>
          <w:rFonts w:ascii="仿宋" w:eastAsia="仿宋"/>
          <w:sz w:val="28"/>
          <w:szCs w:val="20"/>
        </w:rPr>
      </w:pPr>
      <w:r>
        <w:rPr>
          <w:rFonts w:ascii="仿宋" w:eastAsia="仿宋"/>
          <w:sz w:val="28"/>
          <w:szCs w:val="20"/>
        </w:rPr>
        <w:t>（10）</w:t>
      </w:r>
      <w:r>
        <w:rPr>
          <w:rFonts w:ascii="仿宋" w:eastAsia="仿宋" w:hint="eastAsia"/>
          <w:sz w:val="28"/>
          <w:szCs w:val="20"/>
        </w:rPr>
        <w:t>系统所有控制箱/柜、接线端子应留有20%的空间余量，I/O点预留余量≥10%，网络端口余量≥10%。</w:t>
      </w:r>
    </w:p>
    <w:p>
      <w:pPr>
        <w:pStyle w:val="45"/>
        <w:spacing w:line="560" w:lineRule="exact"/>
        <w:rPr>
          <w:rFonts w:ascii="仿宋" w:eastAsia="仿宋"/>
          <w:sz w:val="28"/>
          <w:szCs w:val="20"/>
        </w:rPr>
      </w:pPr>
      <w:r>
        <w:rPr>
          <w:rFonts w:ascii="仿宋" w:eastAsia="仿宋"/>
          <w:sz w:val="28"/>
          <w:szCs w:val="20"/>
        </w:rPr>
        <w:t>（11）</w:t>
      </w:r>
      <w:r>
        <w:rPr>
          <w:rFonts w:ascii="仿宋" w:eastAsia="仿宋" w:hint="eastAsia"/>
          <w:sz w:val="28"/>
          <w:szCs w:val="20"/>
        </w:rPr>
        <w:t>系统所有电气部件须考虑盐腐蚀保护措施。</w:t>
      </w:r>
    </w:p>
    <w:p>
      <w:pPr>
        <w:pStyle w:val="45"/>
        <w:spacing w:line="560" w:lineRule="exact"/>
        <w:rPr>
          <w:rFonts w:ascii="仿宋" w:eastAsia="仿宋"/>
          <w:sz w:val="28"/>
          <w:szCs w:val="20"/>
        </w:rPr>
      </w:pPr>
      <w:r>
        <w:rPr>
          <w:rFonts w:ascii="仿宋" w:eastAsia="仿宋"/>
          <w:sz w:val="28"/>
          <w:szCs w:val="20"/>
        </w:rPr>
        <w:t>（12）</w:t>
      </w:r>
      <w:r>
        <w:rPr>
          <w:rFonts w:ascii="仿宋" w:eastAsia="仿宋" w:hint="eastAsia"/>
          <w:sz w:val="28"/>
          <w:szCs w:val="20"/>
        </w:rPr>
        <w:t>系统正常运行时噪音应≤</w:t>
      </w:r>
      <w:r>
        <w:rPr>
          <w:rFonts w:ascii="仿宋" w:eastAsia="仿宋"/>
          <w:sz w:val="28"/>
          <w:szCs w:val="20"/>
        </w:rPr>
        <w:t>80</w:t>
      </w:r>
      <w:r>
        <w:rPr>
          <w:rFonts w:ascii="仿宋" w:eastAsia="仿宋" w:hint="eastAsia"/>
          <w:sz w:val="28"/>
          <w:szCs w:val="20"/>
        </w:rPr>
        <w:t>dB。</w:t>
      </w:r>
    </w:p>
    <w:p>
      <w:pPr>
        <w:pStyle w:val="3"/>
        <w:ind w:firstLine="560"/>
      </w:pPr>
      <w:r>
        <w:t>PLC</w:t>
      </w:r>
    </w:p>
    <w:p>
      <w:pPr>
        <w:pStyle w:val="45"/>
        <w:spacing w:line="560" w:lineRule="exact"/>
        <w:rPr>
          <w:rFonts w:ascii="仿宋" w:eastAsia="仿宋"/>
          <w:kern w:val="0"/>
          <w:sz w:val="28"/>
          <w:szCs w:val="28"/>
        </w:rPr>
      </w:pPr>
      <w:r>
        <w:rPr>
          <w:rFonts w:ascii="仿宋" w:eastAsia="仿宋" w:hint="eastAsia"/>
          <w:sz w:val="28"/>
          <w:szCs w:val="28"/>
        </w:rPr>
        <w:t>（1）</w:t>
      </w:r>
      <w:r>
        <w:rPr>
          <w:rFonts w:ascii="仿宋" w:eastAsia="仿宋" w:hint="eastAsia"/>
          <w:kern w:val="0"/>
          <w:sz w:val="28"/>
          <w:szCs w:val="28"/>
        </w:rPr>
        <w:t>要求应用软件开放，所有控制程序及触摸屏画面源代码开放，不加密，主系统和所有子系统使用同一品牌的PLC。</w:t>
      </w:r>
    </w:p>
    <w:p>
      <w:pPr>
        <w:pStyle w:val="45"/>
        <w:spacing w:line="560" w:lineRule="exact"/>
        <w:rPr>
          <w:rFonts w:ascii="仿宋" w:eastAsia="仿宋"/>
          <w:kern w:val="0"/>
          <w:sz w:val="28"/>
          <w:szCs w:val="28"/>
        </w:rPr>
      </w:pPr>
      <w:r>
        <w:rPr>
          <w:rFonts w:ascii="仿宋" w:eastAsia="仿宋" w:hint="eastAsia"/>
          <w:sz w:val="28"/>
          <w:szCs w:val="28"/>
        </w:rPr>
        <w:t>（2）</w:t>
      </w:r>
      <w:r>
        <w:rPr>
          <w:rFonts w:ascii="仿宋" w:eastAsia="仿宋" w:hint="eastAsia"/>
          <w:kern w:val="0"/>
          <w:sz w:val="28"/>
          <w:szCs w:val="28"/>
        </w:rPr>
        <w:t>PLC 系统安全、可靠、经济、维护和扩展方便，提供简体中文界面和详细的系统参数，可以监控生产过程，确保产品生产质量的监控和稳定。具有中断、停电记忆、自动侦错功能，有自动、手动及远程/就地等多种功能。系统能安全、稳定地运行。</w:t>
      </w:r>
    </w:p>
    <w:p>
      <w:pPr>
        <w:pStyle w:val="45"/>
        <w:spacing w:line="560" w:lineRule="exact"/>
        <w:rPr>
          <w:rFonts w:ascii="仿宋" w:eastAsia="仿宋"/>
          <w:kern w:val="0"/>
          <w:sz w:val="28"/>
          <w:szCs w:val="28"/>
        </w:rPr>
      </w:pPr>
      <w:r>
        <w:rPr>
          <w:rFonts w:ascii="仿宋" w:eastAsia="仿宋" w:hint="eastAsia"/>
          <w:sz w:val="28"/>
          <w:szCs w:val="28"/>
        </w:rPr>
        <w:t>（3）</w:t>
      </w:r>
      <w:r>
        <w:rPr>
          <w:rFonts w:ascii="仿宋" w:eastAsia="仿宋" w:hint="eastAsia"/>
          <w:kern w:val="0"/>
          <w:sz w:val="28"/>
          <w:szCs w:val="28"/>
        </w:rPr>
        <w:t>PLC控制程序编写要求：所有输入输出信号的量程转换设计在PLC程序内部执行，开关量信号输入进行抗干扰延时处理。</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具备系统自诊断功能。</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支持IEC1131-3标准，支持梯形图（LD）、功能模块图（FBD）、顺控图（SFC）和结构化文本（ST）等通用编程语言。</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提供清晰的控制功能。</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提供清晰的控制逻辑。</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数据处理速度高。</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基于运行平台，支持开关量、模拟量的采集，采样速率小于0.1秒。</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支持智能仪表的通信数据采集。</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支持单机控制。</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支持联动控制。</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支持控制算法。</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支持安全联锁保护。</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支持与上位机监控软件通信。</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具备PID等经典控制算法模块。</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基于运行平台，支持IO点数不少于</w:t>
      </w:r>
      <w:r>
        <w:rPr>
          <w:rFonts w:ascii="仿宋" w:eastAsia="仿宋" w:cs="仿宋"/>
          <w:sz w:val="28"/>
          <w:szCs w:val="28"/>
        </w:rPr>
        <w:t>10</w:t>
      </w:r>
      <w:r>
        <w:rPr>
          <w:rFonts w:ascii="仿宋" w:eastAsia="仿宋" w:cs="仿宋" w:hint="eastAsia"/>
          <w:sz w:val="28"/>
          <w:szCs w:val="28"/>
        </w:rPr>
        <w:t>000，且扩展方便。</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提供带单点注释的程序。</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提供各变量对应的地址表。</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具有详细的开发帮助文档。</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具有自动化控制说明书</w:t>
      </w:r>
    </w:p>
    <w:p>
      <w:pPr>
        <w:pStyle w:val="3"/>
        <w:ind w:firstLine="560"/>
      </w:pPr>
      <w:r>
        <w:rPr>
          <w:rFonts w:ascii="仿宋" w:hint="eastAsia"/>
        </w:rPr>
        <w:t>上位机监控软件</w:t>
      </w:r>
    </w:p>
    <w:p>
      <w:pPr>
        <w:pStyle w:val="45"/>
        <w:spacing w:line="560" w:lineRule="exact"/>
        <w:rPr>
          <w:rFonts w:ascii="仿宋" w:eastAsia="仿宋"/>
          <w:kern w:val="0"/>
          <w:sz w:val="28"/>
          <w:szCs w:val="28"/>
        </w:rPr>
      </w:pPr>
      <w:r>
        <w:rPr>
          <w:rFonts w:ascii="仿宋" w:eastAsia="仿宋" w:hint="eastAsia"/>
          <w:kern w:val="0"/>
          <w:sz w:val="28"/>
          <w:szCs w:val="28"/>
        </w:rPr>
        <w:t>上位机监控软件和PLC系统的编程及运行环境支持主流的操作系统、数据库系统、中间件。</w:t>
      </w:r>
    </w:p>
    <w:p>
      <w:pPr>
        <w:pStyle w:val="45"/>
        <w:spacing w:line="560" w:lineRule="exact"/>
        <w:rPr>
          <w:rFonts w:ascii="仿宋" w:eastAsia="仿宋"/>
          <w:kern w:val="0"/>
          <w:sz w:val="28"/>
          <w:szCs w:val="28"/>
        </w:rPr>
      </w:pPr>
      <w:r>
        <w:rPr>
          <w:rFonts w:ascii="仿宋" w:eastAsia="仿宋" w:hint="eastAsia"/>
          <w:kern w:val="0"/>
          <w:sz w:val="28"/>
          <w:szCs w:val="28"/>
        </w:rPr>
        <w:t>上位机监控软件与PLC之间可实现安全、准确、快速通信，支持网口/RS485等通信接口，支持Modbus TCP/OPC/CClink等通信协议。</w:t>
      </w:r>
    </w:p>
    <w:p>
      <w:pPr>
        <w:pStyle w:val="45"/>
        <w:spacing w:line="560" w:lineRule="exact"/>
        <w:rPr>
          <w:rFonts w:ascii="仿宋" w:eastAsia="仿宋"/>
          <w:kern w:val="0"/>
          <w:sz w:val="28"/>
          <w:szCs w:val="28"/>
        </w:rPr>
      </w:pPr>
      <w:r>
        <w:rPr>
          <w:rFonts w:ascii="仿宋" w:eastAsia="仿宋" w:hint="eastAsia"/>
          <w:kern w:val="0"/>
          <w:sz w:val="28"/>
          <w:szCs w:val="28"/>
        </w:rPr>
        <w:t>上位机监控软件与厂级SCADA软件之间可实现安全、准确、快速的通信，支持网口等通信接口，支持OPC/DDE/数据库等。</w:t>
      </w:r>
    </w:p>
    <w:p>
      <w:pPr>
        <w:pStyle w:val="45"/>
        <w:spacing w:line="560" w:lineRule="exact"/>
        <w:rPr>
          <w:rFonts w:ascii="仿宋" w:eastAsia="仿宋"/>
          <w:kern w:val="0"/>
          <w:sz w:val="28"/>
          <w:szCs w:val="28"/>
        </w:rPr>
      </w:pPr>
      <w:r>
        <w:rPr>
          <w:rFonts w:ascii="仿宋" w:eastAsia="仿宋" w:hint="eastAsia"/>
          <w:kern w:val="0"/>
          <w:sz w:val="28"/>
          <w:szCs w:val="28"/>
        </w:rPr>
        <w:t>上位机监控软件与现场仪表之间可实现安全、准确、快速通信，支持网口/RS485等通信接口，支持Modbus TCP/Modbus RTU/CClink等通信协议。</w:t>
      </w:r>
    </w:p>
    <w:p>
      <w:pPr>
        <w:pStyle w:val="45"/>
        <w:spacing w:line="560" w:lineRule="exact"/>
        <w:rPr>
          <w:rFonts w:ascii="仿宋" w:eastAsia="仿宋"/>
          <w:kern w:val="0"/>
          <w:sz w:val="28"/>
          <w:szCs w:val="28"/>
        </w:rPr>
      </w:pPr>
      <w:r>
        <w:rPr>
          <w:rFonts w:ascii="仿宋" w:eastAsia="仿宋" w:hint="eastAsia"/>
          <w:kern w:val="0"/>
          <w:sz w:val="28"/>
          <w:szCs w:val="28"/>
        </w:rPr>
        <w:t>PLC与现场仪表之间可实现安全、准确、快速的通信，支持网口/RS485等通信接口，支持Modbus TCP/Modbus RTU/CClink等通信协议。</w:t>
      </w:r>
    </w:p>
    <w:p>
      <w:pPr>
        <w:pStyle w:val="45"/>
        <w:spacing w:line="560" w:lineRule="exact"/>
        <w:rPr>
          <w:rFonts w:ascii="仿宋" w:eastAsia="仿宋"/>
          <w:kern w:val="0"/>
          <w:sz w:val="28"/>
          <w:szCs w:val="28"/>
        </w:rPr>
      </w:pPr>
      <w:r>
        <w:rPr>
          <w:rFonts w:ascii="仿宋" w:eastAsia="仿宋" w:hint="eastAsia"/>
          <w:kern w:val="0"/>
          <w:sz w:val="28"/>
          <w:szCs w:val="28"/>
        </w:rPr>
        <w:t>上位机监控软件安全、可靠、经济、维护和扩展方便，人机接口友好，提供简体中文界面、界面美观的图形化和详细的系统参数，可以监控生产过程，确保产品生产质量的监控和稳定。工艺参数存储、调取和传输简便快捷，具有中断、停电记忆、自动侦错功能，有自动、手动及远程/就地等多种功能。系统能安全、稳定、每周24*7小时连续运行。</w:t>
      </w:r>
    </w:p>
    <w:p>
      <w:pPr>
        <w:numPr>
          <w:ilvl w:val="1"/>
          <w:numId w:val="11"/>
        </w:numPr>
        <w:spacing w:line="560" w:lineRule="exact"/>
        <w:ind w:left="0" w:firstLineChars="200" w:firstLine="560"/>
        <w:rPr>
          <w:rFonts w:ascii="仿宋" w:eastAsia="仿宋" w:cs="仿宋"/>
          <w:sz w:val="28"/>
          <w:szCs w:val="28"/>
        </w:rPr>
      </w:pPr>
      <w:r>
        <w:rPr>
          <w:rFonts w:ascii="仿宋" w:eastAsia="仿宋"/>
          <w:kern w:val="0"/>
          <w:sz w:val="28"/>
          <w:szCs w:val="28"/>
        </w:rPr>
        <w:t></w:t>
      </w:r>
      <w:r>
        <w:rPr>
          <w:rFonts w:ascii="方正仿宋_GBK" w:eastAsia="方正仿宋_GBK" w:cs="仿宋"/>
          <w:sz w:val="28"/>
          <w:szCs w:val="28"/>
        </w:rPr>
        <w:tab/>
      </w:r>
      <w:r>
        <w:rPr>
          <w:rFonts w:ascii="仿宋" w:eastAsia="仿宋" w:cs="仿宋" w:hint="eastAsia"/>
          <w:sz w:val="28"/>
          <w:szCs w:val="28"/>
        </w:rPr>
        <w:t>具备系统自诊断功能。</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支持用户管理，提供多权限控制，操作权限分明（对每个级别，有不同的密码），具备实时锁定系统功能，无需关闭系统就可避免非法用户提取和更改资料。</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支持系统参数的输入、修改与保存。</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支持控制参数的输入、修改与保存。</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支持控制指令的给定。</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监视参数的采集，数据采集速率不大于0.2秒。</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监视参数的显示，运行界面刷新频率不小于10Hz。</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支持与厂级SCADA、PLC、现场仪表通信。</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工艺流程动态显示。</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支持统计和分析功能，数据处理速度高。</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支持事件管理，能够记录事件的发生，并能够查询。</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支持报表管理，能够生成生产需要的各种报表及打印。</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支持报警管理，能够多级报警，并能够对报警进行确认和查询。</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支持指令管理，能够对各种指令进行综合管理，指令周期不大于0.2秒。</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支持数据库管理，具备实时数据库和历史数据库，并能够很好的管理。</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支持设备管理，能够对设备进行综合管理。</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支持单机控制。</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支持联动控制。</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支持控制算法。</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支持远程/就地控制。</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支持图形展示。</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支持曲线展示。</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支持报表展示。</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支持报警展示。</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支持点数为无限点。</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具有详细的开发帮助文档。</w:t>
      </w:r>
    </w:p>
    <w:p>
      <w:pPr>
        <w:numPr>
          <w:ilvl w:val="1"/>
          <w:numId w:val="11"/>
        </w:numPr>
        <w:spacing w:line="560" w:lineRule="exact"/>
        <w:ind w:left="0" w:firstLineChars="200" w:firstLine="560"/>
        <w:rPr>
          <w:rFonts w:ascii="仿宋" w:eastAsia="仿宋" w:cs="仿宋"/>
          <w:sz w:val="28"/>
          <w:szCs w:val="28"/>
        </w:rPr>
      </w:pPr>
      <w:r>
        <w:rPr>
          <w:rFonts w:ascii="仿宋" w:eastAsia="仿宋" w:cs="仿宋" w:hint="eastAsia"/>
          <w:sz w:val="28"/>
          <w:szCs w:val="28"/>
        </w:rPr>
        <w:t></w:t>
        <w:tab/>
        <w:t>具有详细的使用手册。</w:t>
      </w:r>
    </w:p>
    <w:p>
      <w:pPr>
        <w:pStyle w:val="3"/>
        <w:ind w:firstLine="560"/>
      </w:pPr>
      <w:r>
        <w:rPr>
          <w:rFonts w:hint="eastAsia"/>
        </w:rPr>
        <w:t>电缆</w:t>
      </w:r>
    </w:p>
    <w:p>
      <w:pPr>
        <w:pStyle w:val="45"/>
        <w:spacing w:line="560" w:lineRule="exact"/>
        <w:rPr>
          <w:rFonts w:ascii="仿宋" w:eastAsia="仿宋"/>
          <w:sz w:val="28"/>
          <w:szCs w:val="20"/>
        </w:rPr>
      </w:pPr>
      <w:r>
        <w:rPr>
          <w:rFonts w:ascii="仿宋" w:eastAsia="仿宋" w:hint="eastAsia"/>
          <w:kern w:val="0"/>
          <w:sz w:val="28"/>
          <w:szCs w:val="28"/>
        </w:rPr>
        <w:t>项目所需用电由投标方提供用电需求，招标方在低压配电室提供相应容量和数量的供电回路，投标方需从低压配电室的配电柜取电。由投标方完成低压配电柜出线电缆及相关桥架的设计、供货及施工，完成系统内供配电设计，并提供控制系统所需的所有配电柜、配电箱、控制柜和控制箱(盒)等。</w:t>
      </w:r>
    </w:p>
    <w:p>
      <w:pPr>
        <w:pStyle w:val="62"/>
        <w:spacing w:line="560" w:lineRule="exact"/>
        <w:rPr>
          <w:rFonts w:ascii="仿宋" w:eastAsia="仿宋"/>
          <w:sz w:val="28"/>
          <w:szCs w:val="28"/>
        </w:rPr>
      </w:pPr>
      <w:r>
        <w:rPr>
          <w:rFonts w:ascii="仿宋" w:eastAsia="仿宋" w:hint="eastAsia"/>
          <w:sz w:val="28"/>
          <w:szCs w:val="28"/>
        </w:rPr>
        <w:t>本次技术要求投标方所供应的电缆应都为铜芯，所有电缆（盘、卷）都应附有合格证，注明厂家、电缆尺寸、芯线数目、长度。所有电缆交付时，其端点应可靠密封。当从盘架上割下电缆时，两端应立即密封，以防潮气侵入。</w:t>
      </w:r>
    </w:p>
    <w:p>
      <w:pPr>
        <w:pStyle w:val="62"/>
        <w:spacing w:line="560" w:lineRule="exact"/>
        <w:rPr>
          <w:rFonts w:ascii="仿宋" w:eastAsia="仿宋"/>
          <w:sz w:val="28"/>
          <w:szCs w:val="28"/>
        </w:rPr>
      </w:pPr>
      <w:r>
        <w:rPr>
          <w:rFonts w:ascii="仿宋" w:eastAsia="仿宋" w:hint="eastAsia"/>
          <w:sz w:val="28"/>
          <w:szCs w:val="28"/>
        </w:rPr>
        <w:t>（1）控制电缆为聚氯乙烯绝缘聚氯乙烯护套屏蔽电缆，额定电压</w:t>
      </w:r>
      <w:r>
        <w:rPr>
          <w:rFonts w:ascii="仿宋" w:eastAsia="仿宋"/>
          <w:sz w:val="28"/>
          <w:szCs w:val="28"/>
        </w:rPr>
        <w:t>U0/U</w:t>
      </w:r>
      <w:r>
        <w:rPr>
          <w:rFonts w:ascii="仿宋" w:eastAsia="仿宋" w:hint="eastAsia"/>
          <w:sz w:val="28"/>
          <w:szCs w:val="28"/>
        </w:rPr>
        <w:t>为</w:t>
      </w:r>
      <w:r>
        <w:rPr>
          <w:rFonts w:ascii="仿宋" w:eastAsia="仿宋"/>
          <w:sz w:val="28"/>
          <w:szCs w:val="28"/>
        </w:rPr>
        <w:t>0.45/0.75KV</w:t>
      </w:r>
      <w:r>
        <w:rPr>
          <w:rFonts w:ascii="仿宋" w:eastAsia="仿宋" w:hint="eastAsia"/>
          <w:sz w:val="28"/>
          <w:szCs w:val="28"/>
        </w:rPr>
        <w:t>，控制电缆导体长期允许温度为</w:t>
      </w:r>
      <w:r>
        <w:rPr>
          <w:rFonts w:ascii="仿宋" w:eastAsia="仿宋"/>
          <w:sz w:val="28"/>
          <w:szCs w:val="28"/>
        </w:rPr>
        <w:t>70</w:t>
      </w:r>
      <w:r>
        <w:rPr>
          <w:rFonts w:ascii="仿宋" w:eastAsia="仿宋" w:hint="eastAsia"/>
          <w:sz w:val="28"/>
          <w:szCs w:val="28"/>
        </w:rPr>
        <w:t>℃，截面积不少于</w:t>
      </w:r>
      <w:r>
        <w:rPr>
          <w:rFonts w:ascii="仿宋" w:eastAsia="仿宋"/>
          <w:sz w:val="28"/>
          <w:szCs w:val="28"/>
        </w:rPr>
        <w:t>1.0</w:t>
      </w:r>
      <w:r>
        <w:rPr>
          <w:rFonts w:ascii="仿宋" w:eastAsia="仿宋" w:hint="eastAsia"/>
          <w:sz w:val="28"/>
          <w:szCs w:val="28"/>
        </w:rPr>
        <w:t>平方毫米（传感器等用特殊电缆除外）。</w:t>
      </w:r>
    </w:p>
    <w:p>
      <w:pPr>
        <w:spacing w:line="560" w:lineRule="exact"/>
        <w:ind w:firstLineChars="200" w:firstLine="560"/>
        <w:rPr>
          <w:rFonts w:ascii="仿宋" w:eastAsia="仿宋"/>
          <w:sz w:val="28"/>
          <w:szCs w:val="28"/>
        </w:rPr>
      </w:pPr>
      <w:r>
        <w:rPr>
          <w:rFonts w:ascii="仿宋" w:eastAsia="仿宋" w:hint="eastAsia"/>
          <w:sz w:val="28"/>
          <w:szCs w:val="28"/>
        </w:rPr>
        <w:t>（2）通信网线使用六类品牌线；</w:t>
      </w:r>
    </w:p>
    <w:p>
      <w:pPr>
        <w:pStyle w:val="62"/>
        <w:spacing w:line="560" w:lineRule="exact"/>
        <w:rPr>
          <w:rFonts w:ascii="仿宋" w:eastAsia="仿宋"/>
          <w:sz w:val="28"/>
          <w:szCs w:val="28"/>
        </w:rPr>
      </w:pPr>
      <w:r>
        <w:rPr>
          <w:rFonts w:ascii="仿宋" w:eastAsia="仿宋" w:hint="eastAsia"/>
          <w:sz w:val="28"/>
          <w:szCs w:val="28"/>
        </w:rPr>
        <w:t>（3）动力电缆采用YJV型电缆，导体长期允许温度为90℃。截面积根据所载负荷的大小计算后得到。</w:t>
      </w:r>
    </w:p>
    <w:p>
      <w:pPr>
        <w:pStyle w:val="3"/>
        <w:ind w:firstLine="560"/>
        <w:rPr>
          <w:b/>
        </w:rPr>
      </w:pPr>
      <w:r>
        <w:rPr>
          <w:rFonts w:hint="eastAsia"/>
        </w:rPr>
        <w:t>箱、柜、台总体要求</w:t>
      </w:r>
    </w:p>
    <w:p>
      <w:pPr>
        <w:pStyle w:val="47"/>
        <w:numPr>
          <w:ilvl w:val="0"/>
          <w:numId w:val="12"/>
        </w:numPr>
        <w:spacing w:line="560" w:lineRule="exact"/>
        <w:ind w:left="0" w:firstLineChars="0" w:firstLine="560"/>
        <w:rPr>
          <w:rFonts w:ascii="仿宋" w:eastAsia="仿宋" w:cs="仿宋"/>
          <w:bCs/>
          <w:sz w:val="28"/>
          <w:szCs w:val="28"/>
        </w:rPr>
      </w:pPr>
      <w:r>
        <w:rPr>
          <w:rFonts w:ascii="仿宋" w:eastAsia="仿宋" w:cs="仿宋" w:hint="eastAsia"/>
          <w:bCs/>
          <w:sz w:val="28"/>
          <w:szCs w:val="28"/>
        </w:rPr>
        <w:t>箱、柜、台的电缆进线应留有足够的电缆进线和安装位置。盘柜的预留孔、洞，在运输和使用期间应用密封垫圈罩盖加以遮盖，以防灰尘、水及其他物质进入。</w:t>
      </w:r>
    </w:p>
    <w:p>
      <w:pPr>
        <w:pStyle w:val="47"/>
        <w:numPr>
          <w:ilvl w:val="0"/>
          <w:numId w:val="12"/>
        </w:numPr>
        <w:spacing w:line="560" w:lineRule="exact"/>
        <w:ind w:left="0" w:firstLineChars="0" w:firstLine="560"/>
        <w:rPr>
          <w:rFonts w:ascii="仿宋" w:eastAsia="仿宋" w:cs="仿宋"/>
          <w:bCs/>
          <w:sz w:val="28"/>
          <w:szCs w:val="28"/>
        </w:rPr>
      </w:pPr>
      <w:r>
        <w:rPr>
          <w:rFonts w:ascii="仿宋" w:eastAsia="仿宋" w:cs="仿宋" w:hint="eastAsia"/>
          <w:bCs/>
          <w:sz w:val="28"/>
          <w:szCs w:val="28"/>
        </w:rPr>
        <w:t>箱、柜、台所使用的钢板应为≮2.0mm厚的优质304钢板，其内部的支撑和框架构件应保证不引起盘柜变形，密封标准符合IP55。</w:t>
      </w:r>
    </w:p>
    <w:p>
      <w:pPr>
        <w:pStyle w:val="47"/>
        <w:numPr>
          <w:ilvl w:val="0"/>
          <w:numId w:val="12"/>
        </w:numPr>
        <w:spacing w:line="560" w:lineRule="exact"/>
        <w:ind w:left="0" w:firstLineChars="0" w:firstLine="560"/>
        <w:rPr>
          <w:rFonts w:ascii="仿宋" w:eastAsia="仿宋" w:cs="仿宋"/>
          <w:sz w:val="28"/>
          <w:szCs w:val="28"/>
        </w:rPr>
      </w:pPr>
      <w:r>
        <w:rPr>
          <w:rFonts w:ascii="仿宋" w:eastAsia="仿宋" w:cs="仿宋" w:hint="eastAsia"/>
          <w:bCs/>
          <w:sz w:val="28"/>
          <w:szCs w:val="28"/>
        </w:rPr>
        <w:t>电器元件的选型：主要电器元件的品牌选型见品牌要求表。供方应在投标书中明确其所选用的各类电器元件的型号和制造厂家。</w:t>
      </w:r>
    </w:p>
    <w:p>
      <w:pPr>
        <w:pStyle w:val="47"/>
        <w:numPr>
          <w:ilvl w:val="0"/>
          <w:numId w:val="12"/>
        </w:numPr>
        <w:spacing w:line="560" w:lineRule="exact"/>
        <w:ind w:left="0" w:firstLineChars="0" w:firstLine="560"/>
        <w:rPr>
          <w:rFonts w:ascii="仿宋" w:eastAsia="仿宋" w:cs="仿宋"/>
          <w:bCs/>
          <w:sz w:val="28"/>
          <w:szCs w:val="28"/>
        </w:rPr>
      </w:pPr>
      <w:r>
        <w:rPr>
          <w:rFonts w:ascii="仿宋" w:eastAsia="仿宋" w:cs="仿宋" w:hint="eastAsia"/>
          <w:bCs/>
          <w:sz w:val="28"/>
          <w:szCs w:val="28"/>
        </w:rPr>
        <w:t>接线端子应选用进口优质产品。接线端子的容量及盘内布线的线芯大小应充分考虑其回路容量，应与其回路电流相匹配。在箱、柜、台内，端子排距盘柜底部的距离≮350mm，端子排之间的距离≮200mm。每个端子应有编号，每根线的两端应有线号并采用热打印方式打印，其编号与图纸一致。</w:t>
      </w:r>
    </w:p>
    <w:p>
      <w:pPr>
        <w:pStyle w:val="47"/>
        <w:numPr>
          <w:ilvl w:val="0"/>
          <w:numId w:val="12"/>
        </w:numPr>
        <w:spacing w:line="560" w:lineRule="exact"/>
        <w:ind w:left="0" w:firstLineChars="0" w:firstLine="560"/>
        <w:rPr>
          <w:rFonts w:ascii="仿宋" w:eastAsia="仿宋" w:cs="仿宋"/>
          <w:sz w:val="28"/>
          <w:szCs w:val="28"/>
        </w:rPr>
      </w:pPr>
      <w:r>
        <w:rPr>
          <w:rFonts w:ascii="仿宋" w:eastAsia="仿宋" w:cs="仿宋" w:hint="eastAsia"/>
          <w:bCs/>
          <w:sz w:val="28"/>
          <w:szCs w:val="28"/>
        </w:rPr>
        <w:t>端子排、电缆夹头、电缆走线槽及接线槽均应由“阻燃型”型材料制造。</w:t>
      </w:r>
    </w:p>
    <w:p>
      <w:pPr>
        <w:pStyle w:val="47"/>
        <w:numPr>
          <w:ilvl w:val="0"/>
          <w:numId w:val="12"/>
        </w:numPr>
        <w:spacing w:line="560" w:lineRule="exact"/>
        <w:ind w:left="0" w:firstLineChars="0" w:firstLine="560"/>
        <w:rPr>
          <w:rFonts w:ascii="仿宋" w:eastAsia="仿宋" w:cs="仿宋"/>
          <w:bCs/>
          <w:sz w:val="28"/>
          <w:szCs w:val="28"/>
        </w:rPr>
      </w:pPr>
      <w:r>
        <w:rPr>
          <w:rFonts w:ascii="仿宋" w:eastAsia="仿宋" w:cs="仿宋" w:hint="eastAsia"/>
          <w:bCs/>
          <w:sz w:val="28"/>
          <w:szCs w:val="28"/>
        </w:rPr>
        <w:t>盘内配线采用行线槽配线方式，导线联接设备端应加冷压线鼻端子（无法加装的部分除外）。</w:t>
      </w:r>
    </w:p>
    <w:p>
      <w:pPr>
        <w:pStyle w:val="47"/>
        <w:numPr>
          <w:ilvl w:val="0"/>
          <w:numId w:val="12"/>
        </w:numPr>
        <w:spacing w:line="560" w:lineRule="exact"/>
        <w:ind w:left="0" w:firstLineChars="0" w:firstLine="560"/>
        <w:rPr>
          <w:rFonts w:ascii="仿宋" w:eastAsia="仿宋" w:cs="仿宋"/>
          <w:bCs/>
          <w:sz w:val="28"/>
          <w:szCs w:val="28"/>
        </w:rPr>
      </w:pPr>
      <w:r>
        <w:rPr>
          <w:rFonts w:ascii="仿宋" w:eastAsia="仿宋" w:cs="仿宋" w:hint="eastAsia"/>
          <w:bCs/>
          <w:sz w:val="28"/>
          <w:szCs w:val="28"/>
        </w:rPr>
        <w:t>应按需方提供的编号在每面箱、柜、台上安装编号铭牌，铭牌应采用有机玻璃反刻、白底黑字，采用螺钉固定。</w:t>
      </w:r>
    </w:p>
    <w:p>
      <w:pPr>
        <w:pStyle w:val="47"/>
        <w:numPr>
          <w:ilvl w:val="0"/>
          <w:numId w:val="12"/>
        </w:numPr>
        <w:spacing w:line="560" w:lineRule="exact"/>
        <w:ind w:left="0" w:firstLineChars="0" w:firstLine="560"/>
        <w:rPr>
          <w:rFonts w:ascii="仿宋" w:eastAsia="仿宋" w:cs="仿宋"/>
          <w:bCs/>
          <w:sz w:val="28"/>
          <w:szCs w:val="28"/>
        </w:rPr>
      </w:pPr>
      <w:r>
        <w:rPr>
          <w:rFonts w:ascii="仿宋" w:eastAsia="仿宋" w:cs="仿宋" w:hint="eastAsia"/>
          <w:bCs/>
          <w:sz w:val="28"/>
          <w:szCs w:val="28"/>
        </w:rPr>
        <w:t>所有箱、柜、台的颜色均应征得用户认可。</w:t>
      </w:r>
    </w:p>
    <w:p>
      <w:pPr>
        <w:pStyle w:val="47"/>
        <w:numPr>
          <w:ilvl w:val="0"/>
          <w:numId w:val="12"/>
        </w:numPr>
        <w:spacing w:line="560" w:lineRule="exact"/>
        <w:ind w:left="0" w:firstLineChars="0" w:firstLine="560"/>
        <w:rPr>
          <w:rFonts w:ascii="仿宋" w:eastAsia="仿宋" w:cs="仿宋"/>
          <w:bCs/>
          <w:sz w:val="28"/>
          <w:szCs w:val="28"/>
        </w:rPr>
      </w:pPr>
      <w:r>
        <w:rPr>
          <w:rFonts w:ascii="仿宋" w:eastAsia="仿宋" w:cs="仿宋" w:hint="eastAsia"/>
          <w:bCs/>
          <w:sz w:val="28"/>
          <w:szCs w:val="28"/>
        </w:rPr>
        <w:t>所有箱、柜、台的设计、材料的选择和工艺应使其内、外表面光滑、整洁，没有焊接、铆钉或外侧出现的螺栓头，整个外表面端正光滑。</w:t>
      </w:r>
    </w:p>
    <w:p>
      <w:pPr>
        <w:pStyle w:val="47"/>
        <w:numPr>
          <w:ilvl w:val="0"/>
          <w:numId w:val="12"/>
        </w:numPr>
        <w:spacing w:line="560" w:lineRule="exact"/>
        <w:ind w:left="0" w:firstLineChars="0" w:firstLine="560"/>
        <w:rPr>
          <w:rFonts w:ascii="仿宋" w:eastAsia="仿宋" w:cs="仿宋"/>
          <w:bCs/>
          <w:sz w:val="28"/>
          <w:szCs w:val="28"/>
        </w:rPr>
      </w:pPr>
      <w:r>
        <w:rPr>
          <w:rFonts w:ascii="仿宋" w:eastAsia="仿宋" w:cs="仿宋" w:hint="eastAsia"/>
          <w:bCs/>
          <w:sz w:val="28"/>
          <w:szCs w:val="28"/>
        </w:rPr>
        <w:t>所有箱、柜、台应有足够的强度，能经受住搬运、安装和运行期间短路产生的所有偶然应力。</w:t>
      </w:r>
    </w:p>
    <w:p>
      <w:pPr>
        <w:pStyle w:val="47"/>
        <w:numPr>
          <w:ilvl w:val="0"/>
          <w:numId w:val="12"/>
        </w:numPr>
        <w:spacing w:line="560" w:lineRule="exact"/>
        <w:ind w:left="0" w:firstLineChars="0" w:firstLine="560"/>
        <w:rPr>
          <w:rFonts w:ascii="仿宋" w:eastAsia="仿宋" w:cs="仿宋"/>
          <w:bCs/>
          <w:sz w:val="28"/>
          <w:szCs w:val="28"/>
        </w:rPr>
      </w:pPr>
      <w:r>
        <w:rPr>
          <w:rFonts w:ascii="仿宋" w:eastAsia="仿宋" w:cs="仿宋" w:hint="eastAsia"/>
          <w:sz w:val="28"/>
          <w:szCs w:val="28"/>
        </w:rPr>
        <w:t>机柜内装设温度检测开关，当温度过高时进行报警。</w:t>
      </w:r>
    </w:p>
    <w:p>
      <w:pPr>
        <w:pStyle w:val="47"/>
        <w:numPr>
          <w:ilvl w:val="0"/>
          <w:numId w:val="12"/>
        </w:numPr>
        <w:snapToGrid w:val="0"/>
        <w:spacing w:line="560" w:lineRule="exact"/>
        <w:ind w:left="0" w:firstLineChars="0" w:firstLine="560"/>
        <w:rPr>
          <w:rFonts w:ascii="仿宋" w:eastAsia="仿宋" w:cs="仿宋"/>
          <w:sz w:val="28"/>
          <w:szCs w:val="28"/>
        </w:rPr>
      </w:pPr>
      <w:r>
        <w:rPr>
          <w:rFonts w:ascii="仿宋" w:eastAsia="仿宋" w:cs="仿宋" w:hint="eastAsia"/>
          <w:bCs/>
          <w:sz w:val="28"/>
          <w:szCs w:val="28"/>
        </w:rPr>
        <w:t>对需散热的电源装置，应提供排气风扇和内部循环风扇。装有风扇的盘、台均应提供易于更换的空气过滤器。</w:t>
      </w:r>
      <w:r>
        <w:rPr>
          <w:rFonts w:ascii="仿宋" w:eastAsia="仿宋" w:cs="仿宋" w:hint="eastAsia"/>
          <w:sz w:val="28"/>
          <w:szCs w:val="28"/>
        </w:rPr>
        <w:t xml:space="preserve"> </w:t>
      </w:r>
    </w:p>
    <w:p>
      <w:pPr>
        <w:pStyle w:val="47"/>
        <w:numPr>
          <w:ilvl w:val="0"/>
          <w:numId w:val="12"/>
        </w:numPr>
        <w:snapToGrid w:val="0"/>
        <w:spacing w:line="560" w:lineRule="exact"/>
        <w:ind w:left="0" w:firstLineChars="0" w:firstLine="560"/>
        <w:rPr>
          <w:rFonts w:ascii="仿宋" w:eastAsia="仿宋" w:cs="仿宋"/>
          <w:sz w:val="28"/>
          <w:szCs w:val="28"/>
        </w:rPr>
      </w:pPr>
      <w:r>
        <w:rPr>
          <w:rFonts w:ascii="仿宋" w:eastAsia="仿宋" w:cs="仿宋" w:hint="eastAsia"/>
          <w:sz w:val="28"/>
          <w:szCs w:val="28"/>
        </w:rPr>
        <w:t>附属移动装备的控制柜若内部有发热量大的电气，控制柜须安装专用空调；固定式控制柜加装新风系统；同时所有控制柜在散热的同时要有足够的措施防盐雾。</w:t>
      </w:r>
    </w:p>
    <w:p>
      <w:pPr>
        <w:pStyle w:val="3"/>
        <w:ind w:firstLine="560"/>
      </w:pPr>
      <w:r>
        <w:rPr>
          <w:rFonts w:hint="eastAsia"/>
        </w:rPr>
        <w:t>压力变送器（移至第五，流量计后面）</w:t>
      </w:r>
    </w:p>
    <w:p>
      <w:pPr>
        <w:spacing w:line="560" w:lineRule="exact"/>
        <w:ind w:firstLineChars="200" w:firstLine="560"/>
        <w:rPr>
          <w:rFonts w:ascii="仿宋" w:eastAsia="仿宋"/>
          <w:sz w:val="28"/>
          <w:szCs w:val="28"/>
        </w:rPr>
      </w:pPr>
      <w:r>
        <w:rPr>
          <w:rFonts w:ascii="仿宋" w:eastAsia="仿宋" w:hint="eastAsia"/>
          <w:sz w:val="28"/>
          <w:szCs w:val="28"/>
        </w:rPr>
        <w:t>测量范围</w:t>
      </w:r>
      <w:r>
        <w:rPr>
          <w:rFonts w:ascii="仿宋" w:eastAsia="仿宋"/>
          <w:sz w:val="28"/>
          <w:szCs w:val="28"/>
        </w:rPr>
        <w:t>-0.1M</w:t>
      </w:r>
      <w:r>
        <w:rPr>
          <w:rFonts w:ascii="仿宋" w:eastAsia="仿宋" w:hint="eastAsia"/>
          <w:sz w:val="28"/>
          <w:szCs w:val="28"/>
        </w:rPr>
        <w:t>pa—2Mpa，接液材质及外壳采用316L不锈钢，整体防护等级IP67。</w:t>
      </w:r>
    </w:p>
    <w:p>
      <w:pPr>
        <w:pStyle w:val="1"/>
        <w:numPr>
          <w:ilvl w:val="0"/>
          <w:numId w:val="0"/>
        </w:numPr>
        <w:ind w:left="0" w:firstLine="0"/>
      </w:pPr>
      <w:r>
        <w:t>二、</w:t>
      </w:r>
      <w:r>
        <w:rPr>
          <w:rFonts w:hint="eastAsia"/>
        </w:rPr>
        <w:t>系统信息化要求</w:t>
      </w:r>
    </w:p>
    <w:p>
      <w:pPr>
        <w:pStyle w:val="2"/>
        <w:numPr>
          <w:ilvl w:val="0"/>
          <w:numId w:val="0"/>
        </w:numPr>
        <w:ind w:left="0" w:firstLineChars="200" w:firstLine="560"/>
        <w:rPr>
          <w:rFonts w:ascii="楷体" w:eastAsia="楷体" w:cs="楷体"/>
        </w:rPr>
      </w:pPr>
      <w:r>
        <w:t>1、</w:t>
      </w:r>
      <w:r>
        <w:rPr>
          <w:rFonts w:ascii="楷体" w:eastAsia="楷体" w:cs="楷体" w:hint="eastAsia"/>
        </w:rPr>
        <w:t>智能化调度软件系统功能总则</w:t>
      </w:r>
    </w:p>
    <w:p>
      <w:pPr>
        <w:pStyle w:val="62"/>
        <w:spacing w:line="560" w:lineRule="exact"/>
        <w:rPr>
          <w:rFonts w:ascii="仿宋" w:eastAsia="仿宋"/>
          <w:sz w:val="28"/>
          <w:szCs w:val="28"/>
        </w:rPr>
      </w:pPr>
      <w:r>
        <w:rPr>
          <w:rFonts w:ascii="仿宋" w:eastAsia="仿宋" w:hint="eastAsia"/>
          <w:sz w:val="28"/>
          <w:szCs w:val="28"/>
        </w:rPr>
        <w:t>1</w:t>
      </w:r>
      <w:r>
        <w:rPr>
          <w:rFonts w:ascii="仿宋" w:eastAsia="仿宋"/>
          <w:sz w:val="28"/>
          <w:szCs w:val="28"/>
        </w:rPr>
        <w:t>.1</w:t>
      </w:r>
      <w:r>
        <w:rPr>
          <w:rFonts w:ascii="仿宋" w:eastAsia="仿宋" w:hint="eastAsia"/>
          <w:sz w:val="28"/>
          <w:szCs w:val="28"/>
        </w:rPr>
        <w:t>通过本系统直接控制和调度盐水管网，收集和分析盐水管网运行中相关数据，并配合榨菜原料车间MES系统实现智能化控制的目的。</w:t>
      </w:r>
    </w:p>
    <w:p>
      <w:pPr>
        <w:pStyle w:val="62"/>
        <w:spacing w:line="560" w:lineRule="exact"/>
        <w:rPr>
          <w:rFonts w:ascii="仿宋" w:eastAsia="仿宋"/>
          <w:sz w:val="28"/>
          <w:szCs w:val="28"/>
        </w:rPr>
      </w:pPr>
      <w:r>
        <w:rPr>
          <w:rFonts w:ascii="仿宋" w:eastAsia="仿宋"/>
          <w:sz w:val="28"/>
          <w:szCs w:val="28"/>
        </w:rPr>
        <w:t>1.2</w:t>
      </w:r>
      <w:r>
        <w:rPr>
          <w:rFonts w:ascii="仿宋" w:eastAsia="仿宋" w:hint="eastAsia"/>
          <w:sz w:val="28"/>
          <w:szCs w:val="28"/>
        </w:rPr>
        <w:t>调度软件系统要与控制系统无缝连接，对整个盐水管网进行合理的、科学的、精准的控制，并在招标方园区数字化平台建设完成前，直接与榨菜原料调度管理系统互通，接收相关指令；在招标方园区数字化平台建设过程中，配合园区数字化平台建设单位，完成与数字化平台的对接互通，实现通过数字化平台与原料车间原料调度管理系统互通。</w:t>
      </w:r>
    </w:p>
    <w:p>
      <w:pPr>
        <w:pStyle w:val="62"/>
        <w:spacing w:line="560" w:lineRule="exact"/>
        <w:rPr>
          <w:rFonts w:ascii="仿宋" w:eastAsia="仿宋"/>
          <w:sz w:val="28"/>
          <w:szCs w:val="28"/>
        </w:rPr>
      </w:pPr>
      <w:r>
        <w:rPr>
          <w:rFonts w:ascii="仿宋" w:eastAsia="仿宋"/>
          <w:sz w:val="28"/>
          <w:szCs w:val="28"/>
        </w:rPr>
        <w:t>1.3</w:t>
      </w:r>
      <w:r>
        <w:rPr>
          <w:rFonts w:ascii="仿宋" w:eastAsia="仿宋" w:hint="eastAsia"/>
          <w:sz w:val="28"/>
          <w:szCs w:val="28"/>
        </w:rPr>
        <w:t>投标方中标后，在项目实施过程中，除开系统控制本身需要的功能外，还需按照与招标方共同制定的需求调研书，提供相应的功能设计及对应的可视化报表。</w:t>
      </w:r>
    </w:p>
    <w:p>
      <w:pPr>
        <w:pStyle w:val="62"/>
        <w:spacing w:line="560" w:lineRule="exact"/>
        <w:rPr>
          <w:rFonts w:ascii="仿宋" w:eastAsia="仿宋"/>
          <w:sz w:val="28"/>
          <w:szCs w:val="28"/>
        </w:rPr>
      </w:pPr>
      <w:r>
        <w:rPr>
          <w:rFonts w:ascii="仿宋" w:eastAsia="仿宋"/>
          <w:sz w:val="28"/>
          <w:szCs w:val="28"/>
        </w:rPr>
        <w:t>1.4</w:t>
      </w:r>
      <w:r>
        <w:rPr>
          <w:rFonts w:ascii="仿宋" w:eastAsia="仿宋" w:hint="eastAsia"/>
          <w:sz w:val="28"/>
          <w:szCs w:val="28"/>
        </w:rPr>
        <w:t>投标方建设所需的泵、阀门、测量仪器等设备状态信息数据，要求通过数据采集和控制系统自动上传到智能化调度软件数据库中，并生成可视化的图表，便于运维人员进行管理和控制，以及后续数据的分析和互通调用。</w:t>
      </w:r>
    </w:p>
    <w:p>
      <w:pPr>
        <w:pStyle w:val="62"/>
        <w:spacing w:line="560" w:lineRule="exact"/>
        <w:rPr>
          <w:rFonts w:ascii="仿宋" w:eastAsia="仿宋" w:cs="仿宋"/>
          <w:bCs/>
          <w:sz w:val="28"/>
          <w:szCs w:val="28"/>
          <w:shd w:val="clear" w:color="auto" w:fill="FFFFFF"/>
        </w:rPr>
      </w:pPr>
      <w:r>
        <w:rPr>
          <w:rFonts w:ascii="仿宋" w:eastAsia="仿宋" w:hint="eastAsia"/>
          <w:sz w:val="28"/>
          <w:szCs w:val="28"/>
        </w:rPr>
        <w:t>1.5</w:t>
      </w:r>
      <w:r>
        <w:rPr>
          <w:rFonts w:ascii="仿宋" w:eastAsia="仿宋" w:cs="仿宋" w:hint="eastAsia"/>
          <w:bCs/>
          <w:sz w:val="28"/>
          <w:szCs w:val="28"/>
          <w:shd w:val="clear" w:color="auto" w:fill="FFFFFF"/>
        </w:rPr>
        <w:t>整个系统要求作业顺畅连续，并可根据监测信息、工艺要求、作业要求等自主规划决策盐水流转和排放过程。</w:t>
      </w:r>
    </w:p>
    <w:p>
      <w:pPr>
        <w:pStyle w:val="2"/>
        <w:numPr>
          <w:ilvl w:val="0"/>
          <w:numId w:val="0"/>
        </w:numPr>
        <w:ind w:left="0" w:firstLineChars="200" w:firstLine="560"/>
      </w:pPr>
      <w:r>
        <w:rPr>
          <w:rFonts w:ascii="仿宋" w:eastAsia="仿宋" w:cs="仿宋"/>
          <w:bCs/>
          <w:sz w:val="28"/>
          <w:szCs w:val="28"/>
          <w:shd w:val="clear" w:color="auto" w:fill="FFFFFF"/>
        </w:rPr>
        <w:t>2、</w:t>
      </w:r>
      <w:r>
        <w:rPr>
          <w:rFonts w:hint="eastAsia"/>
        </w:rPr>
        <w:t>智能化调度软件系统设计要求</w:t>
      </w:r>
    </w:p>
    <w:p>
      <w:pPr>
        <w:spacing w:line="560" w:lineRule="exact"/>
        <w:ind w:firstLineChars="200" w:firstLine="560"/>
        <w:rPr>
          <w:rFonts w:ascii="仿宋" w:eastAsia="仿宋"/>
          <w:sz w:val="28"/>
          <w:szCs w:val="28"/>
        </w:rPr>
      </w:pPr>
      <w:r>
        <w:rPr>
          <w:rFonts w:ascii="仿宋" w:eastAsia="仿宋" w:hint="eastAsia"/>
          <w:sz w:val="28"/>
          <w:szCs w:val="28"/>
        </w:rPr>
        <w:t>智能化调度控制逻辑见附件《原料车间原料调度管理系统和盐水管网系统逻辑说明》，软件系统设计上，要遵循以下原则：</w:t>
      </w:r>
    </w:p>
    <w:p>
      <w:pPr>
        <w:pStyle w:val="62"/>
        <w:spacing w:line="560" w:lineRule="exact"/>
        <w:ind w:firstLineChars="200" w:firstLine="560"/>
        <w:rPr>
          <w:rFonts w:ascii="仿宋" w:eastAsia="仿宋" w:cs="仿宋"/>
          <w:sz w:val="28"/>
          <w:szCs w:val="28"/>
        </w:rPr>
      </w:pPr>
      <w:r>
        <w:rPr>
          <w:rFonts w:ascii="仿宋" w:eastAsia="仿宋" w:cs="仿宋"/>
          <w:sz w:val="28"/>
          <w:szCs w:val="28"/>
        </w:rPr>
        <w:t>2.1</w:t>
      </w:r>
      <w:r>
        <w:rPr>
          <w:rFonts w:ascii="仿宋" w:eastAsia="仿宋" w:cs="仿宋" w:hint="eastAsia"/>
          <w:sz w:val="28"/>
          <w:szCs w:val="28"/>
        </w:rPr>
        <w:t>软件系统设计开发要实现功能模块化，杜绝散乱无序。</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rPr>
        <w:t>2.2</w:t>
      </w:r>
      <w:r>
        <w:rPr>
          <w:rFonts w:ascii="仿宋" w:eastAsia="仿宋" w:cs="仿宋" w:hint="eastAsia"/>
          <w:bCs/>
          <w:sz w:val="28"/>
          <w:szCs w:val="28"/>
        </w:rPr>
        <w:t>软件设计开发语言要采用目前主流语言，比如</w:t>
      </w:r>
      <w:r>
        <w:rPr>
          <w:rFonts w:ascii="仿宋" w:eastAsia="仿宋" w:cs="仿宋" w:hint="eastAsia"/>
          <w:bCs/>
          <w:sz w:val="28"/>
          <w:szCs w:val="28"/>
          <w:shd w:val="clear" w:color="auto" w:fill="FFFFFF"/>
        </w:rPr>
        <w:t>Python、JavaScript、R、C++、JAVA，系统开发平台要具有正版的授权，严禁采用盗版。</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2.3</w:t>
      </w:r>
      <w:r>
        <w:rPr>
          <w:rFonts w:ascii="仿宋" w:eastAsia="仿宋" w:cs="仿宋" w:hint="eastAsia"/>
          <w:bCs/>
          <w:sz w:val="28"/>
          <w:szCs w:val="28"/>
          <w:shd w:val="clear" w:color="auto" w:fill="FFFFFF"/>
        </w:rPr>
        <w:t>系统设计要具有安全性。安全分为两个大的内容，一是系统关键程序模块要具有较强容错和系统恢复能力，以确保系统长期稳定正常的运行；二是对于系统接入及交互的设备、用户、数据信息，要具有安全性。</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2.4</w:t>
      </w:r>
      <w:r>
        <w:rPr>
          <w:rFonts w:ascii="仿宋" w:eastAsia="仿宋" w:cs="仿宋" w:hint="eastAsia"/>
          <w:bCs/>
          <w:sz w:val="28"/>
          <w:szCs w:val="28"/>
          <w:shd w:val="clear" w:color="auto" w:fill="FFFFFF"/>
        </w:rPr>
        <w:t>系统逻辑要具有合理性。设计时要充分考虑整个系统的逻辑符合最优，并在设计完成后程序调试过程中要切实的与招标方进行沟通，得到招标方认可。</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2.5</w:t>
      </w:r>
      <w:r>
        <w:rPr>
          <w:rFonts w:ascii="仿宋" w:eastAsia="仿宋" w:cs="仿宋" w:hint="eastAsia"/>
          <w:bCs/>
          <w:sz w:val="28"/>
          <w:szCs w:val="28"/>
          <w:shd w:val="clear" w:color="auto" w:fill="FFFFFF"/>
        </w:rPr>
        <w:t>系统要具有适用性。一是要求提供清晰、简洁的中文人机交互界面；二是对运行环境（硬件设备、操作系统等）要具有很好的适应性，不能依赖于某一特定型号的计算机设备和固定版本的操作系统。</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2.6</w:t>
      </w:r>
      <w:r>
        <w:rPr>
          <w:rFonts w:ascii="仿宋" w:eastAsia="仿宋" w:cs="仿宋" w:hint="eastAsia"/>
          <w:bCs/>
          <w:sz w:val="28"/>
          <w:szCs w:val="28"/>
          <w:shd w:val="clear" w:color="auto" w:fill="FFFFFF"/>
        </w:rPr>
        <w:t>系统要具有可维护性。要求系统具有易操作、易维护的特点。系统还需要具备自检、故障诊断及故障弱化功能，便于出现故障时能够及时、快速的进行自维护。</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2.7</w:t>
      </w:r>
      <w:r>
        <w:rPr>
          <w:rFonts w:ascii="仿宋" w:eastAsia="仿宋" w:cs="仿宋" w:hint="eastAsia"/>
          <w:bCs/>
          <w:sz w:val="28"/>
          <w:szCs w:val="28"/>
          <w:shd w:val="clear" w:color="auto" w:fill="FFFFFF"/>
        </w:rPr>
        <w:t>系统要具有开放性和扩展性，要预留招标方园区数字化平台相应的标准接口。</w:t>
      </w:r>
    </w:p>
    <w:p>
      <w:pPr>
        <w:pStyle w:val="62"/>
        <w:spacing w:line="560" w:lineRule="exact"/>
        <w:ind w:firstLineChars="200" w:firstLine="560"/>
        <w:rPr>
          <w:rFonts w:ascii="仿宋" w:eastAsia="仿宋" w:cs="仿宋"/>
          <w:sz w:val="28"/>
          <w:szCs w:val="28"/>
        </w:rPr>
      </w:pPr>
      <w:r>
        <w:rPr>
          <w:rFonts w:ascii="仿宋" w:eastAsia="仿宋" w:cs="仿宋"/>
          <w:sz w:val="28"/>
          <w:szCs w:val="28"/>
        </w:rPr>
        <w:t>2.8</w:t>
      </w:r>
      <w:r>
        <w:rPr>
          <w:rFonts w:ascii="仿宋" w:eastAsia="仿宋" w:cs="仿宋" w:hint="eastAsia"/>
          <w:sz w:val="28"/>
          <w:szCs w:val="28"/>
        </w:rPr>
        <w:t>设计时应充分考虑并完善相应的数据字典、系统操作说明手册。</w:t>
      </w:r>
    </w:p>
    <w:p>
      <w:pPr>
        <w:pStyle w:val="62"/>
        <w:spacing w:line="560" w:lineRule="exact"/>
        <w:ind w:firstLineChars="200" w:firstLine="560"/>
        <w:rPr>
          <w:rFonts w:ascii="仿宋" w:eastAsia="仿宋" w:cs="仿宋"/>
          <w:sz w:val="28"/>
          <w:szCs w:val="28"/>
        </w:rPr>
      </w:pPr>
      <w:r>
        <w:rPr>
          <w:rFonts w:ascii="仿宋" w:eastAsia="仿宋" w:cs="仿宋"/>
          <w:bCs/>
          <w:sz w:val="28"/>
          <w:szCs w:val="28"/>
          <w:shd w:val="clear" w:color="auto" w:fill="FFFFFF"/>
        </w:rPr>
        <w:t>2.9</w:t>
      </w:r>
      <w:r>
        <w:rPr>
          <w:rFonts w:ascii="仿宋" w:eastAsia="仿宋" w:cs="仿宋" w:hint="eastAsia"/>
          <w:bCs/>
          <w:sz w:val="28"/>
          <w:szCs w:val="28"/>
          <w:shd w:val="clear" w:color="auto" w:fill="FFFFFF"/>
        </w:rPr>
        <w:t>如系统需要使用数据库，则要采用主流数据库，设</w:t>
      </w:r>
      <w:r>
        <w:rPr>
          <w:rFonts w:ascii="仿宋" w:eastAsia="仿宋" w:cs="仿宋" w:hint="eastAsia"/>
          <w:sz w:val="28"/>
          <w:szCs w:val="28"/>
        </w:rPr>
        <w:t>计应符合以下要求：</w:t>
      </w:r>
    </w:p>
    <w:p>
      <w:pPr>
        <w:pStyle w:val="62"/>
        <w:spacing w:line="560" w:lineRule="exact"/>
        <w:ind w:firstLineChars="200" w:firstLine="560"/>
        <w:rPr>
          <w:rFonts w:ascii="仿宋" w:eastAsia="仿宋" w:cs="仿宋"/>
          <w:sz w:val="28"/>
          <w:szCs w:val="28"/>
        </w:rPr>
      </w:pPr>
      <w:r>
        <w:rPr>
          <w:rFonts w:ascii="仿宋" w:eastAsia="仿宋" w:cs="仿宋"/>
          <w:sz w:val="28"/>
          <w:szCs w:val="28"/>
        </w:rPr>
        <w:t>（1）</w:t>
      </w:r>
      <w:r>
        <w:rPr>
          <w:rFonts w:ascii="仿宋" w:eastAsia="仿宋" w:cs="仿宋" w:hint="eastAsia"/>
          <w:sz w:val="28"/>
          <w:szCs w:val="28"/>
        </w:rPr>
        <w:t>数据库应选用国内外主流的数据库，设计应与系统构建的信息模型完全相符。</w:t>
      </w:r>
    </w:p>
    <w:p>
      <w:pPr>
        <w:pStyle w:val="62"/>
        <w:spacing w:line="560" w:lineRule="exact"/>
        <w:ind w:firstLineChars="200" w:firstLine="560"/>
        <w:rPr>
          <w:rFonts w:ascii="仿宋" w:eastAsia="仿宋" w:cs="仿宋"/>
          <w:sz w:val="28"/>
          <w:szCs w:val="28"/>
        </w:rPr>
      </w:pPr>
      <w:r>
        <w:rPr>
          <w:rFonts w:ascii="仿宋" w:eastAsia="仿宋" w:cs="仿宋"/>
          <w:sz w:val="28"/>
          <w:szCs w:val="28"/>
        </w:rPr>
        <w:t>（2）</w:t>
      </w:r>
      <w:r>
        <w:rPr>
          <w:rFonts w:ascii="仿宋" w:eastAsia="仿宋" w:cs="仿宋" w:hint="eastAsia"/>
          <w:sz w:val="28"/>
          <w:szCs w:val="28"/>
        </w:rPr>
        <w:t>数据库设计应充分考虑信息的扩展，如采用关系型数据库应满足数据库设计第三范式的要求，不能达到的应有充分的理由并以文档形式与数据字典一起保存。</w:t>
      </w:r>
    </w:p>
    <w:p>
      <w:pPr>
        <w:pStyle w:val="62"/>
        <w:spacing w:line="560" w:lineRule="exact"/>
        <w:ind w:firstLineChars="200" w:firstLine="560"/>
        <w:rPr>
          <w:rFonts w:ascii="仿宋" w:eastAsia="仿宋" w:cs="仿宋"/>
          <w:sz w:val="28"/>
          <w:szCs w:val="28"/>
        </w:rPr>
      </w:pPr>
      <w:r>
        <w:rPr>
          <w:rFonts w:ascii="仿宋" w:eastAsia="仿宋" w:cs="仿宋"/>
          <w:sz w:val="28"/>
          <w:szCs w:val="28"/>
        </w:rPr>
        <w:t>（3）</w:t>
      </w:r>
      <w:r>
        <w:rPr>
          <w:rFonts w:ascii="仿宋" w:eastAsia="仿宋" w:cs="仿宋" w:hint="eastAsia"/>
          <w:sz w:val="28"/>
          <w:szCs w:val="28"/>
        </w:rPr>
        <w:t>实现数据库设计布局的物理独立性。对数据库的各类操作应具有统一的管理和控制功能。</w:t>
      </w:r>
    </w:p>
    <w:p>
      <w:pPr>
        <w:pStyle w:val="62"/>
        <w:spacing w:line="560" w:lineRule="exact"/>
        <w:ind w:firstLineChars="200" w:firstLine="560"/>
        <w:rPr>
          <w:rFonts w:ascii="仿宋" w:eastAsia="仿宋" w:cs="仿宋"/>
          <w:sz w:val="28"/>
          <w:szCs w:val="28"/>
        </w:rPr>
      </w:pPr>
      <w:r>
        <w:rPr>
          <w:rFonts w:ascii="仿宋" w:eastAsia="仿宋" w:cs="仿宋"/>
          <w:sz w:val="28"/>
          <w:szCs w:val="28"/>
        </w:rPr>
        <w:t>（4）</w:t>
      </w:r>
      <w:r>
        <w:rPr>
          <w:rFonts w:ascii="仿宋" w:eastAsia="仿宋" w:cs="仿宋" w:hint="eastAsia"/>
          <w:sz w:val="28"/>
          <w:szCs w:val="28"/>
        </w:rPr>
        <w:t>数据库中的表格等数据应进行优化，保证存取和查询的效率。</w:t>
      </w:r>
    </w:p>
    <w:p>
      <w:pPr>
        <w:pStyle w:val="2"/>
        <w:numPr>
          <w:ilvl w:val="0"/>
          <w:numId w:val="0"/>
        </w:numPr>
        <w:ind w:left="0" w:firstLineChars="200" w:firstLine="560"/>
      </w:pPr>
      <w:r>
        <w:rPr>
          <w:rFonts w:ascii="仿宋" w:eastAsia="仿宋" w:cs="仿宋"/>
          <w:sz w:val="28"/>
          <w:szCs w:val="28"/>
        </w:rPr>
        <w:t>3、</w:t>
      </w:r>
      <w:r>
        <w:rPr>
          <w:rFonts w:hint="eastAsia"/>
        </w:rPr>
        <w:t>智能化调度软件功能要求</w:t>
      </w:r>
    </w:p>
    <w:p>
      <w:pPr>
        <w:spacing w:line="560" w:lineRule="exact"/>
        <w:ind w:firstLineChars="200" w:firstLine="560"/>
        <w:rPr>
          <w:rFonts w:ascii="仿宋" w:eastAsia="仿宋" w:cs="仿宋"/>
          <w:bCs/>
          <w:sz w:val="28"/>
          <w:szCs w:val="28"/>
          <w:shd w:val="clear" w:color="auto" w:fill="FFFFFF"/>
        </w:rPr>
      </w:pPr>
      <w:r>
        <w:rPr>
          <w:rFonts w:ascii="仿宋" w:eastAsia="仿宋" w:cs="仿宋" w:hint="eastAsia"/>
          <w:bCs/>
          <w:sz w:val="28"/>
          <w:szCs w:val="28"/>
          <w:shd w:val="clear" w:color="auto" w:fill="FFFFFF"/>
        </w:rPr>
        <w:t>调度软件系统应包含但不仅限于以下功能：</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3.1</w:t>
      </w:r>
      <w:r>
        <w:rPr>
          <w:rFonts w:ascii="仿宋" w:eastAsia="仿宋" w:cs="仿宋" w:hint="eastAsia"/>
          <w:bCs/>
          <w:sz w:val="28"/>
          <w:szCs w:val="28"/>
          <w:shd w:val="clear" w:color="auto" w:fill="FFFFFF"/>
        </w:rPr>
        <w:t>实现盐水转运和排放全过程的自动化调度管理</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3.2</w:t>
      </w:r>
      <w:r>
        <w:rPr>
          <w:rFonts w:ascii="仿宋" w:eastAsia="仿宋" w:cs="仿宋" w:hint="eastAsia"/>
          <w:bCs/>
          <w:sz w:val="28"/>
          <w:szCs w:val="28"/>
          <w:shd w:val="clear" w:color="auto" w:fill="FFFFFF"/>
        </w:rPr>
        <w:t>不同批次、不同浓度盐水介质的转运调度冲突管理</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3.3</w:t>
      </w:r>
      <w:r>
        <w:rPr>
          <w:rFonts w:ascii="仿宋" w:eastAsia="仿宋" w:cs="仿宋" w:hint="eastAsia"/>
          <w:bCs/>
          <w:sz w:val="28"/>
          <w:szCs w:val="28"/>
          <w:shd w:val="clear" w:color="auto" w:fill="FFFFFF"/>
        </w:rPr>
        <w:t>基本的库存管理（窖池盐水库位的管理）</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3.4</w:t>
      </w:r>
      <w:r>
        <w:rPr>
          <w:rFonts w:ascii="仿宋" w:eastAsia="仿宋" w:cs="仿宋" w:hint="eastAsia"/>
          <w:bCs/>
          <w:sz w:val="28"/>
          <w:szCs w:val="28"/>
          <w:shd w:val="clear" w:color="auto" w:fill="FFFFFF"/>
        </w:rPr>
        <w:t>设备运维管理（远程运维、自动化运维）</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3.5</w:t>
      </w:r>
      <w:r>
        <w:rPr>
          <w:rFonts w:ascii="仿宋" w:eastAsia="仿宋" w:cs="仿宋" w:hint="eastAsia"/>
          <w:bCs/>
          <w:sz w:val="28"/>
          <w:szCs w:val="28"/>
          <w:shd w:val="clear" w:color="auto" w:fill="FFFFFF"/>
        </w:rPr>
        <w:t>各类生产工艺数据及理化指标能源等信息化管理（资源管理）</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3.6</w:t>
      </w:r>
      <w:r>
        <w:rPr>
          <w:rFonts w:ascii="仿宋" w:eastAsia="仿宋" w:cs="仿宋" w:hint="eastAsia"/>
          <w:bCs/>
          <w:sz w:val="28"/>
          <w:szCs w:val="28"/>
          <w:shd w:val="clear" w:color="auto" w:fill="FFFFFF"/>
        </w:rPr>
        <w:t>全过程数据信息追溯管理（含转运记录及统计数据</w:t>
      </w:r>
      <w:r>
        <w:rPr>
          <w:rFonts w:ascii="仿宋" w:eastAsia="仿宋" w:hint="eastAsia"/>
          <w:kern w:val="0"/>
          <w:sz w:val="28"/>
          <w:szCs w:val="28"/>
        </w:rPr>
        <w:t>如每日输送转运水量，各类盐水总量分类分时统计等</w:t>
      </w:r>
      <w:r>
        <w:rPr>
          <w:rFonts w:ascii="仿宋" w:eastAsia="仿宋" w:cs="仿宋" w:hint="eastAsia"/>
          <w:bCs/>
          <w:sz w:val="28"/>
          <w:szCs w:val="28"/>
          <w:shd w:val="clear" w:color="auto" w:fill="FFFFFF"/>
        </w:rPr>
        <w:t>）</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3.7</w:t>
      </w:r>
      <w:r>
        <w:rPr>
          <w:rFonts w:ascii="仿宋" w:eastAsia="仿宋" w:cs="仿宋" w:hint="eastAsia"/>
          <w:bCs/>
          <w:sz w:val="28"/>
          <w:szCs w:val="28"/>
          <w:shd w:val="clear" w:color="auto" w:fill="FFFFFF"/>
        </w:rPr>
        <w:t>可视化管理（根据招标方需求提供整套报表管理、实时显示重要生产信息，并具有用智能手机查看及监视功能）</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3.8</w:t>
      </w:r>
      <w:r>
        <w:rPr>
          <w:rFonts w:ascii="仿宋" w:eastAsia="仿宋" w:cs="仿宋" w:hint="eastAsia"/>
          <w:bCs/>
          <w:sz w:val="28"/>
          <w:szCs w:val="28"/>
          <w:shd w:val="clear" w:color="auto" w:fill="FFFFFF"/>
        </w:rPr>
        <w:t>接口管理（实现与本项目相关系统的数据接入、数据报送和数据交换，并制定相关数据接口标准规范）；</w:t>
      </w:r>
    </w:p>
    <w:p>
      <w:pPr>
        <w:pStyle w:val="2"/>
        <w:numPr>
          <w:ilvl w:val="0"/>
          <w:numId w:val="0"/>
        </w:numPr>
        <w:ind w:left="0" w:firstLineChars="200" w:firstLine="560"/>
      </w:pPr>
      <w:r>
        <w:rPr>
          <w:rFonts w:ascii="仿宋" w:eastAsia="仿宋" w:cs="仿宋"/>
          <w:bCs/>
          <w:sz w:val="28"/>
          <w:szCs w:val="28"/>
          <w:shd w:val="clear" w:color="auto" w:fill="FFFFFF"/>
        </w:rPr>
        <w:t>4、</w:t>
      </w:r>
      <w:r>
        <w:rPr>
          <w:rFonts w:hint="eastAsia"/>
        </w:rPr>
        <w:t>智能化软件系统数据安全要求</w:t>
      </w:r>
    </w:p>
    <w:p>
      <w:pPr>
        <w:pStyle w:val="3"/>
        <w:numPr>
          <w:ilvl w:val="0"/>
          <w:numId w:val="0"/>
        </w:numPr>
        <w:ind w:left="0" w:firstLineChars="200" w:firstLine="560"/>
        <w:rPr>
          <w:b/>
        </w:rPr>
      </w:pPr>
      <w:r>
        <w:rPr>
          <w:b/>
        </w:rPr>
        <w:t>4.1</w:t>
      </w:r>
      <w:r>
        <w:rPr>
          <w:rFonts w:hint="eastAsia"/>
          <w:b/>
        </w:rPr>
        <w:t>网络安全</w:t>
      </w:r>
    </w:p>
    <w:p>
      <w:pPr>
        <w:pStyle w:val="62"/>
        <w:spacing w:line="560" w:lineRule="exact"/>
        <w:ind w:firstLineChars="200" w:firstLine="560"/>
        <w:rPr>
          <w:rFonts w:ascii="仿宋" w:eastAsia="仿宋" w:cs="仿宋"/>
          <w:bCs/>
          <w:sz w:val="28"/>
          <w:szCs w:val="28"/>
          <w:shd w:val="clear" w:color="auto" w:fill="FFFFFF"/>
        </w:rPr>
      </w:pPr>
      <w:r>
        <w:rPr>
          <w:sz w:val="28"/>
          <w:szCs w:val="28"/>
        </w:rPr>
        <w:t>（1）</w:t>
      </w:r>
      <w:r>
        <w:rPr>
          <w:rFonts w:ascii="仿宋" w:eastAsia="仿宋" w:cs="仿宋" w:hint="eastAsia"/>
          <w:bCs/>
          <w:sz w:val="28"/>
          <w:szCs w:val="28"/>
          <w:shd w:val="clear" w:color="auto" w:fill="FFFFFF"/>
        </w:rPr>
        <w:t>服务器和台式电脑需安装正版防病毒软件和防火墙，以保证网络安全，防止病毒入侵；</w:t>
      </w:r>
    </w:p>
    <w:p>
      <w:pPr>
        <w:pStyle w:val="62"/>
        <w:spacing w:line="560" w:lineRule="exact"/>
        <w:ind w:firstLineChars="200" w:firstLine="560"/>
        <w:rPr>
          <w:rFonts w:ascii="仿宋" w:eastAsia="仿宋" w:cs="仿宋"/>
          <w:bCs/>
          <w:sz w:val="28"/>
          <w:szCs w:val="28"/>
          <w:shd w:val="clear" w:color="auto" w:fill="FFFFFF"/>
        </w:rPr>
      </w:pPr>
      <w:r>
        <w:rPr>
          <w:rFonts w:ascii="仿宋" w:eastAsia="仿宋" w:cs="仿宋"/>
          <w:bCs/>
          <w:sz w:val="28"/>
          <w:szCs w:val="28"/>
          <w:shd w:val="clear" w:color="auto" w:fill="FFFFFF"/>
        </w:rPr>
        <w:t>（2）</w:t>
      </w:r>
      <w:r>
        <w:rPr>
          <w:rFonts w:ascii="仿宋" w:eastAsia="仿宋" w:cs="仿宋" w:hint="eastAsia"/>
          <w:bCs/>
          <w:sz w:val="28"/>
          <w:szCs w:val="28"/>
          <w:shd w:val="clear" w:color="auto" w:fill="FFFFFF"/>
        </w:rPr>
        <w:t>网络传递数据需采用加密技术，保证数据在采集、传输和处理过程中不被丢失、偷窥、窃取、篡改。</w:t>
      </w:r>
    </w:p>
    <w:p>
      <w:pPr>
        <w:pStyle w:val="3"/>
        <w:numPr>
          <w:ilvl w:val="0"/>
          <w:numId w:val="0"/>
        </w:numPr>
        <w:ind w:left="0" w:firstLineChars="200" w:firstLine="560"/>
        <w:rPr>
          <w:b/>
        </w:rPr>
      </w:pPr>
      <w:r>
        <w:rPr>
          <w:rFonts w:ascii="仿宋" w:eastAsia="仿宋" w:cs="仿宋"/>
          <w:b/>
          <w:sz w:val="28"/>
          <w:szCs w:val="28"/>
          <w:shd w:val="clear" w:color="auto" w:fill="FFFFFF"/>
        </w:rPr>
        <w:t>4.2</w:t>
      </w:r>
      <w:r>
        <w:rPr>
          <w:rFonts w:hint="eastAsia"/>
          <w:b/>
        </w:rPr>
        <w:t>数据安全</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（1）</w:t>
      </w:r>
      <w:r>
        <w:rPr>
          <w:rFonts w:ascii="仿宋" w:eastAsia="仿宋" w:cs="仿宋" w:hint="eastAsia"/>
          <w:bCs/>
          <w:sz w:val="28"/>
          <w:szCs w:val="28"/>
          <w:shd w:val="clear" w:color="auto" w:fill="FFFFFF"/>
        </w:rPr>
        <w:t>系统数据库应支持自动备份，备份的策略可以根据需要定制；备份范围必须包括全备份模式，即数据库实例自身全部数据和日志同步备份。</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（2）</w:t>
      </w:r>
      <w:r>
        <w:rPr>
          <w:rFonts w:ascii="仿宋" w:eastAsia="仿宋" w:cs="仿宋" w:hint="eastAsia"/>
          <w:bCs/>
          <w:sz w:val="28"/>
          <w:szCs w:val="28"/>
          <w:shd w:val="clear" w:color="auto" w:fill="FFFFFF"/>
        </w:rPr>
        <w:t>系统自身应支持自动备份，备份的策略可以根据需要定制；</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（3）</w:t>
      </w:r>
      <w:r>
        <w:rPr>
          <w:rFonts w:ascii="仿宋" w:eastAsia="仿宋" w:cs="仿宋" w:hint="eastAsia"/>
          <w:bCs/>
          <w:sz w:val="28"/>
          <w:szCs w:val="28"/>
          <w:shd w:val="clear" w:color="auto" w:fill="FFFFFF"/>
        </w:rPr>
        <w:t>上述两种备份方式皆须支持自定义策略删除重复的历史备份数据，以节约设备存储；</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（4）</w:t>
      </w:r>
      <w:r>
        <w:rPr>
          <w:rFonts w:ascii="仿宋" w:eastAsia="仿宋" w:cs="仿宋" w:hint="eastAsia"/>
          <w:bCs/>
          <w:sz w:val="28"/>
          <w:szCs w:val="28"/>
          <w:shd w:val="clear" w:color="auto" w:fill="FFFFFF"/>
        </w:rPr>
        <w:t>备份数据的存储时长，是根据自动备份文件的不断备份更新，根据备份策略一直存留最新的文件（文件份数由备份策略自定）</w:t>
      </w:r>
      <w:r>
        <w:rPr>
          <w:rFonts w:ascii="仿宋" w:eastAsia="仿宋" w:hint="eastAsia"/>
          <w:sz w:val="28"/>
          <w:szCs w:val="28"/>
        </w:rPr>
        <w:t>。</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（5）</w:t>
      </w:r>
      <w:r>
        <w:rPr>
          <w:rFonts w:ascii="仿宋" w:eastAsia="仿宋" w:cs="仿宋" w:hint="eastAsia"/>
          <w:bCs/>
          <w:sz w:val="28"/>
          <w:szCs w:val="28"/>
          <w:shd w:val="clear" w:color="auto" w:fill="FFFFFF"/>
        </w:rPr>
        <w:t>能够在系统异常中断后，快速恢复数据库中数据和文件。</w:t>
      </w:r>
    </w:p>
    <w:p>
      <w:pPr>
        <w:pStyle w:val="3"/>
        <w:numPr>
          <w:ilvl w:val="0"/>
          <w:numId w:val="0"/>
        </w:numPr>
        <w:ind w:left="0" w:firstLineChars="200" w:firstLine="560"/>
        <w:rPr>
          <w:b/>
        </w:rPr>
      </w:pPr>
      <w:r>
        <w:rPr>
          <w:rFonts w:ascii="仿宋" w:eastAsia="仿宋" w:cs="仿宋"/>
          <w:b/>
          <w:sz w:val="28"/>
          <w:szCs w:val="28"/>
          <w:shd w:val="clear" w:color="auto" w:fill="FFFFFF"/>
        </w:rPr>
        <w:t>4.3</w:t>
      </w:r>
      <w:r>
        <w:rPr>
          <w:rFonts w:hint="eastAsia"/>
          <w:b/>
        </w:rPr>
        <w:t>系统应用安全</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（1）</w:t>
      </w:r>
      <w:r>
        <w:rPr>
          <w:rFonts w:ascii="仿宋" w:eastAsia="仿宋" w:cs="仿宋" w:hint="eastAsia"/>
          <w:bCs/>
          <w:sz w:val="28"/>
          <w:szCs w:val="28"/>
          <w:shd w:val="clear" w:color="auto" w:fill="FFFFFF"/>
        </w:rPr>
        <w:t>通过应用程序对敏感信息加密机制，防止信息被盗；</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（2）</w:t>
      </w:r>
      <w:r>
        <w:rPr>
          <w:rFonts w:ascii="仿宋" w:eastAsia="仿宋" w:cs="仿宋" w:hint="eastAsia"/>
          <w:bCs/>
          <w:sz w:val="28"/>
          <w:szCs w:val="28"/>
          <w:shd w:val="clear" w:color="auto" w:fill="FFFFFF"/>
        </w:rPr>
        <w:t>应用服务器安全管理，非正常客户端提交过来的申请将当作非法客户端不予访问；</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（3）</w:t>
      </w:r>
      <w:r>
        <w:rPr>
          <w:rFonts w:ascii="仿宋" w:eastAsia="仿宋" w:cs="仿宋" w:hint="eastAsia"/>
          <w:bCs/>
          <w:sz w:val="28"/>
          <w:szCs w:val="28"/>
          <w:shd w:val="clear" w:color="auto" w:fill="FFFFFF"/>
        </w:rPr>
        <w:t>系统访问需通过用户账号、密码、角色、权限的设置，建立对用户的身份鉴别管理，维护访问控制策略，使用户只能实现对系统授权数据的访问及功能操作；</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（4）</w:t>
      </w:r>
      <w:r>
        <w:rPr>
          <w:rFonts w:ascii="仿宋" w:eastAsia="仿宋" w:cs="仿宋" w:hint="eastAsia"/>
          <w:bCs/>
          <w:sz w:val="28"/>
          <w:szCs w:val="28"/>
          <w:shd w:val="clear" w:color="auto" w:fill="FFFFFF"/>
        </w:rPr>
        <w:t>实现精细化访问控制，即使登录系统的用户，也只能访问授权的功能和信息。</w:t>
      </w:r>
    </w:p>
    <w:p>
      <w:pPr>
        <w:pStyle w:val="2"/>
        <w:numPr>
          <w:ilvl w:val="0"/>
          <w:numId w:val="0"/>
        </w:numPr>
        <w:ind w:left="0" w:firstLineChars="200" w:firstLine="560"/>
      </w:pPr>
      <w:r>
        <w:rPr>
          <w:rFonts w:ascii="仿宋" w:eastAsia="仿宋" w:cs="仿宋"/>
          <w:bCs/>
          <w:sz w:val="28"/>
          <w:szCs w:val="28"/>
          <w:shd w:val="clear" w:color="auto" w:fill="FFFFFF"/>
        </w:rPr>
        <w:t>5、</w:t>
      </w:r>
      <w:r>
        <w:rPr>
          <w:rFonts w:hint="eastAsia"/>
        </w:rPr>
        <w:t>智能化相关网络及硬件设备要求</w:t>
      </w:r>
    </w:p>
    <w:p>
      <w:pPr>
        <w:pStyle w:val="4"/>
        <w:numPr>
          <w:ilvl w:val="0"/>
          <w:numId w:val="0"/>
        </w:numPr>
        <w:ind w:left="560"/>
      </w:pPr>
      <w:r>
        <w:t>5.1交换机</w:t>
      </w:r>
    </w:p>
    <w:p>
      <w:pPr>
        <w:pStyle w:val="4"/>
        <w:numPr>
          <w:ilvl w:val="0"/>
          <w:numId w:val="0"/>
        </w:numPr>
        <w:ind w:left="560"/>
      </w:pPr>
      <w:r>
        <w:t>5.1.1</w:t>
      </w:r>
      <w:r>
        <w:rPr>
          <w:rFonts w:hint="eastAsia"/>
        </w:rPr>
        <w:t>交换机技术要求总则</w:t>
      </w:r>
    </w:p>
    <w:p>
      <w:pPr>
        <w:pStyle w:val="62"/>
        <w:spacing w:line="560" w:lineRule="exact"/>
        <w:ind w:left="567"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（1）</w:t>
      </w:r>
      <w:r>
        <w:rPr>
          <w:rFonts w:ascii="仿宋" w:eastAsia="仿宋" w:cs="仿宋" w:hint="eastAsia"/>
          <w:bCs/>
          <w:sz w:val="28"/>
          <w:szCs w:val="28"/>
          <w:shd w:val="clear" w:color="auto" w:fill="FFFFFF"/>
        </w:rPr>
        <w:t>交换机应采用适合工业环境、满足现场散热要求、具有抗盐雾腐蚀能力及技术成熟的高性能、高可靠性的工业级以太网交换机；</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（2）</w:t>
      </w:r>
      <w:r>
        <w:rPr>
          <w:rFonts w:ascii="仿宋" w:eastAsia="仿宋" w:cs="仿宋" w:hint="eastAsia"/>
          <w:bCs/>
          <w:sz w:val="28"/>
          <w:szCs w:val="28"/>
          <w:shd w:val="clear" w:color="auto" w:fill="FFFFFF"/>
        </w:rPr>
        <w:t>交换机必须满足无风扇散热方式，防止现场盐雾吹入交换机内部影响产品运行；</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（3）</w:t>
      </w:r>
      <w:r>
        <w:rPr>
          <w:rFonts w:ascii="仿宋" w:eastAsia="仿宋" w:cs="仿宋" w:hint="eastAsia"/>
          <w:bCs/>
          <w:sz w:val="28"/>
          <w:szCs w:val="28"/>
          <w:shd w:val="clear" w:color="auto" w:fill="FFFFFF"/>
        </w:rPr>
        <w:t>支持极端的高低温环境，工作温度</w:t>
      </w:r>
      <w:r>
        <w:rPr>
          <w:rFonts w:ascii="仿宋" w:eastAsia="仿宋" w:cs="仿宋"/>
          <w:bCs/>
          <w:sz w:val="28"/>
          <w:szCs w:val="28"/>
          <w:shd w:val="clear" w:color="auto" w:fill="FFFFFF"/>
        </w:rPr>
        <w:t>-10</w:t>
      </w:r>
      <w:r>
        <w:rPr>
          <w:rFonts w:ascii="仿宋" w:eastAsia="仿宋" w:cs="仿宋" w:hint="eastAsia"/>
          <w:bCs/>
          <w:sz w:val="28"/>
          <w:szCs w:val="28"/>
          <w:shd w:val="clear" w:color="auto" w:fill="FFFFFF"/>
        </w:rPr>
        <w:t>～</w:t>
      </w:r>
      <w:r>
        <w:rPr>
          <w:rFonts w:ascii="仿宋" w:eastAsia="仿宋" w:cs="仿宋"/>
          <w:bCs/>
          <w:sz w:val="28"/>
          <w:szCs w:val="28"/>
          <w:shd w:val="clear" w:color="auto" w:fill="FFFFFF"/>
        </w:rPr>
        <w:t>60</w:t>
      </w:r>
      <w:r>
        <w:rPr>
          <w:rFonts w:ascii="仿宋" w:eastAsia="仿宋" w:cs="仿宋" w:hint="eastAsia"/>
          <w:bCs/>
          <w:sz w:val="28"/>
          <w:szCs w:val="28"/>
          <w:shd w:val="clear" w:color="auto" w:fill="FFFFFF"/>
        </w:rPr>
        <w:t>℃；存储温度</w:t>
      </w:r>
      <w:r>
        <w:rPr>
          <w:rFonts w:ascii="仿宋" w:eastAsia="仿宋" w:cs="仿宋"/>
          <w:bCs/>
          <w:sz w:val="28"/>
          <w:szCs w:val="28"/>
          <w:shd w:val="clear" w:color="auto" w:fill="FFFFFF"/>
        </w:rPr>
        <w:t>-40</w:t>
      </w:r>
      <w:r>
        <w:rPr>
          <w:rFonts w:ascii="仿宋" w:eastAsia="仿宋" w:cs="仿宋" w:hint="eastAsia"/>
          <w:bCs/>
          <w:sz w:val="28"/>
          <w:szCs w:val="28"/>
          <w:shd w:val="clear" w:color="auto" w:fill="FFFFFF"/>
        </w:rPr>
        <w:t>℃～</w:t>
      </w:r>
      <w:r>
        <w:rPr>
          <w:rFonts w:ascii="仿宋" w:eastAsia="仿宋" w:cs="仿宋"/>
          <w:bCs/>
          <w:sz w:val="28"/>
          <w:szCs w:val="28"/>
          <w:shd w:val="clear" w:color="auto" w:fill="FFFFFF"/>
        </w:rPr>
        <w:t>85</w:t>
      </w:r>
      <w:r>
        <w:rPr>
          <w:rFonts w:ascii="仿宋" w:eastAsia="仿宋" w:cs="仿宋" w:hint="eastAsia"/>
          <w:bCs/>
          <w:sz w:val="28"/>
          <w:szCs w:val="28"/>
          <w:shd w:val="clear" w:color="auto" w:fill="FFFFFF"/>
        </w:rPr>
        <w:t>℃，相对湿度</w:t>
      </w:r>
      <w:r>
        <w:rPr>
          <w:rFonts w:ascii="仿宋" w:eastAsia="仿宋" w:cs="仿宋"/>
          <w:bCs/>
          <w:sz w:val="28"/>
          <w:szCs w:val="28"/>
          <w:shd w:val="clear" w:color="auto" w:fill="FFFFFF"/>
        </w:rPr>
        <w:t>5%</w:t>
      </w:r>
      <w:r>
        <w:rPr>
          <w:rFonts w:ascii="仿宋" w:eastAsia="仿宋" w:cs="仿宋" w:hint="eastAsia"/>
          <w:bCs/>
          <w:sz w:val="28"/>
          <w:szCs w:val="28"/>
          <w:shd w:val="clear" w:color="auto" w:fill="FFFFFF"/>
        </w:rPr>
        <w:t>～</w:t>
      </w:r>
      <w:r>
        <w:rPr>
          <w:rFonts w:ascii="仿宋" w:eastAsia="仿宋" w:cs="仿宋"/>
          <w:bCs/>
          <w:sz w:val="28"/>
          <w:szCs w:val="28"/>
          <w:shd w:val="clear" w:color="auto" w:fill="FFFFFF"/>
        </w:rPr>
        <w:t>95%</w:t>
      </w:r>
      <w:r>
        <w:rPr>
          <w:rFonts w:ascii="仿宋" w:eastAsia="仿宋" w:cs="仿宋" w:hint="eastAsia"/>
          <w:bCs/>
          <w:sz w:val="28"/>
          <w:szCs w:val="28"/>
          <w:shd w:val="clear" w:color="auto" w:fill="FFFFFF"/>
        </w:rPr>
        <w:t>（无凝露）；</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（4）</w:t>
      </w:r>
      <w:r>
        <w:rPr>
          <w:rFonts w:ascii="仿宋" w:eastAsia="仿宋" w:cs="仿宋" w:hint="eastAsia"/>
          <w:bCs/>
          <w:sz w:val="28"/>
          <w:szCs w:val="28"/>
          <w:shd w:val="clear" w:color="auto" w:fill="FFFFFF"/>
        </w:rPr>
        <w:t>交换机冷启动时间（即重新上电至网络通信启动的时间）小于</w:t>
      </w:r>
      <w:r>
        <w:rPr>
          <w:rFonts w:ascii="仿宋" w:eastAsia="仿宋" w:cs="仿宋"/>
          <w:bCs/>
          <w:sz w:val="28"/>
          <w:szCs w:val="28"/>
          <w:shd w:val="clear" w:color="auto" w:fill="FFFFFF"/>
        </w:rPr>
        <w:t>20s</w:t>
      </w:r>
      <w:r>
        <w:rPr>
          <w:rFonts w:ascii="仿宋" w:eastAsia="仿宋" w:cs="仿宋" w:hint="eastAsia"/>
          <w:bCs/>
          <w:sz w:val="28"/>
          <w:szCs w:val="28"/>
          <w:shd w:val="clear" w:color="auto" w:fill="FFFFFF"/>
        </w:rPr>
        <w:t>（二层）</w:t>
      </w:r>
      <w:r>
        <w:rPr>
          <w:rFonts w:ascii="仿宋" w:eastAsia="仿宋" w:cs="仿宋"/>
          <w:bCs/>
          <w:sz w:val="28"/>
          <w:szCs w:val="28"/>
          <w:shd w:val="clear" w:color="auto" w:fill="FFFFFF"/>
        </w:rPr>
        <w:t>/</w:t>
      </w:r>
      <w:r>
        <w:rPr>
          <w:rFonts w:ascii="仿宋" w:eastAsia="仿宋" w:cs="仿宋" w:hint="eastAsia"/>
          <w:bCs/>
          <w:sz w:val="28"/>
          <w:szCs w:val="28"/>
          <w:shd w:val="clear" w:color="auto" w:fill="FFFFFF"/>
        </w:rPr>
        <w:t>小于</w:t>
      </w:r>
      <w:r>
        <w:rPr>
          <w:rFonts w:ascii="仿宋" w:eastAsia="仿宋" w:cs="仿宋"/>
          <w:bCs/>
          <w:sz w:val="28"/>
          <w:szCs w:val="28"/>
          <w:shd w:val="clear" w:color="auto" w:fill="FFFFFF"/>
        </w:rPr>
        <w:t xml:space="preserve">30s </w:t>
      </w:r>
      <w:r>
        <w:rPr>
          <w:rFonts w:ascii="仿宋" w:eastAsia="仿宋" w:cs="仿宋" w:hint="eastAsia"/>
          <w:bCs/>
          <w:sz w:val="28"/>
          <w:szCs w:val="28"/>
          <w:shd w:val="clear" w:color="auto" w:fill="FFFFFF"/>
        </w:rPr>
        <w:t>（三层），交换机必须达到线速转发能力；</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（5）</w:t>
      </w:r>
      <w:r>
        <w:rPr>
          <w:rFonts w:ascii="仿宋" w:eastAsia="仿宋" w:cs="仿宋" w:hint="eastAsia"/>
          <w:bCs/>
          <w:sz w:val="28"/>
          <w:szCs w:val="28"/>
          <w:shd w:val="clear" w:color="auto" w:fill="FFFFFF"/>
        </w:rPr>
        <w:t>支持</w:t>
      </w:r>
      <w:r>
        <w:rPr>
          <w:rFonts w:ascii="仿宋" w:eastAsia="仿宋" w:cs="仿宋"/>
          <w:bCs/>
          <w:sz w:val="28"/>
          <w:szCs w:val="28"/>
          <w:shd w:val="clear" w:color="auto" w:fill="FFFFFF"/>
        </w:rPr>
        <w:t xml:space="preserve"> EtherNet/IP</w:t>
      </w:r>
      <w:r>
        <w:rPr>
          <w:rFonts w:ascii="仿宋" w:eastAsia="仿宋" w:cs="仿宋" w:hint="eastAsia"/>
          <w:bCs/>
          <w:sz w:val="28"/>
          <w:szCs w:val="28"/>
          <w:shd w:val="clear" w:color="auto" w:fill="FFFFFF"/>
        </w:rPr>
        <w:t>，</w:t>
      </w:r>
      <w:r>
        <w:rPr>
          <w:rFonts w:ascii="仿宋" w:eastAsia="仿宋" w:cs="仿宋"/>
          <w:bCs/>
          <w:sz w:val="28"/>
          <w:szCs w:val="28"/>
          <w:shd w:val="clear" w:color="auto" w:fill="FFFFFF"/>
        </w:rPr>
        <w:t>PROFINET</w:t>
      </w:r>
      <w:r>
        <w:rPr>
          <w:rFonts w:ascii="仿宋" w:eastAsia="仿宋" w:cs="仿宋" w:hint="eastAsia"/>
          <w:bCs/>
          <w:sz w:val="28"/>
          <w:szCs w:val="28"/>
          <w:shd w:val="clear" w:color="auto" w:fill="FFFFFF"/>
        </w:rPr>
        <w:t>和</w:t>
      </w:r>
      <w:r>
        <w:rPr>
          <w:rFonts w:ascii="仿宋" w:eastAsia="仿宋" w:cs="仿宋"/>
          <w:bCs/>
          <w:sz w:val="28"/>
          <w:szCs w:val="28"/>
          <w:shd w:val="clear" w:color="auto" w:fill="FFFFFF"/>
        </w:rPr>
        <w:t xml:space="preserve"> Modbus/TCP</w:t>
      </w:r>
      <w:r>
        <w:rPr>
          <w:rFonts w:ascii="仿宋" w:eastAsia="仿宋" w:cs="仿宋" w:hint="eastAsia"/>
          <w:bCs/>
          <w:sz w:val="28"/>
          <w:szCs w:val="28"/>
          <w:shd w:val="clear" w:color="auto" w:fill="FFFFFF"/>
        </w:rPr>
        <w:t>工业以太网协议，为设备做管理及监控；</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（6）</w:t>
      </w:r>
      <w:r>
        <w:rPr>
          <w:rFonts w:ascii="仿宋" w:eastAsia="仿宋" w:cs="仿宋" w:hint="eastAsia"/>
          <w:bCs/>
          <w:sz w:val="28"/>
          <w:szCs w:val="28"/>
          <w:shd w:val="clear" w:color="auto" w:fill="FFFFFF"/>
        </w:rPr>
        <w:t>提供的批量配置软件，支持基于网络安全标准</w:t>
      </w:r>
      <w:r>
        <w:rPr>
          <w:rFonts w:ascii="仿宋" w:eastAsia="仿宋" w:cs="仿宋"/>
          <w:bCs/>
          <w:sz w:val="28"/>
          <w:szCs w:val="28"/>
          <w:shd w:val="clear" w:color="auto" w:fill="FFFFFF"/>
        </w:rPr>
        <w:t>IEC 62443</w:t>
      </w:r>
      <w:r>
        <w:rPr>
          <w:rFonts w:ascii="仿宋" w:eastAsia="仿宋" w:cs="仿宋" w:hint="eastAsia"/>
          <w:bCs/>
          <w:sz w:val="28"/>
          <w:szCs w:val="28"/>
          <w:shd w:val="clear" w:color="auto" w:fill="FFFFFF"/>
        </w:rPr>
        <w:t>的引导配置，能够批量配置</w:t>
      </w:r>
      <w:r>
        <w:rPr>
          <w:rFonts w:ascii="仿宋" w:eastAsia="仿宋" w:cs="仿宋"/>
          <w:bCs/>
          <w:sz w:val="28"/>
          <w:szCs w:val="28"/>
          <w:shd w:val="clear" w:color="auto" w:fill="FFFFFF"/>
        </w:rPr>
        <w:t>IEC 62443</w:t>
      </w:r>
      <w:r>
        <w:rPr>
          <w:rFonts w:ascii="仿宋" w:eastAsia="仿宋" w:cs="仿宋" w:hint="eastAsia"/>
          <w:bCs/>
          <w:sz w:val="28"/>
          <w:szCs w:val="28"/>
          <w:shd w:val="clear" w:color="auto" w:fill="FFFFFF"/>
        </w:rPr>
        <w:t>中要求的安全配置；</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（7）</w:t>
      </w:r>
      <w:r>
        <w:rPr>
          <w:rFonts w:ascii="仿宋" w:eastAsia="仿宋" w:cs="仿宋" w:hint="eastAsia"/>
          <w:bCs/>
          <w:sz w:val="28"/>
          <w:szCs w:val="28"/>
          <w:shd w:val="clear" w:color="auto" w:fill="FFFFFF"/>
        </w:rPr>
        <w:t>支持基于用户友好型</w:t>
      </w:r>
      <w:r>
        <w:rPr>
          <w:rFonts w:ascii="仿宋" w:eastAsia="仿宋" w:cs="仿宋"/>
          <w:bCs/>
          <w:sz w:val="28"/>
          <w:szCs w:val="28"/>
          <w:shd w:val="clear" w:color="auto" w:fill="FFFFFF"/>
        </w:rPr>
        <w:t xml:space="preserve"> Web </w:t>
      </w:r>
      <w:r>
        <w:rPr>
          <w:rFonts w:ascii="仿宋" w:eastAsia="仿宋" w:cs="仿宋" w:hint="eastAsia"/>
          <w:bCs/>
          <w:sz w:val="28"/>
          <w:szCs w:val="28"/>
          <w:shd w:val="clear" w:color="auto" w:fill="FFFFFF"/>
        </w:rPr>
        <w:t>界面，可提供跨不同平台和浏览器的流畅用户体验；</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（8）</w:t>
      </w:r>
      <w:r>
        <w:rPr>
          <w:rFonts w:ascii="仿宋" w:eastAsia="仿宋" w:cs="仿宋" w:hint="eastAsia"/>
          <w:bCs/>
          <w:sz w:val="28"/>
          <w:szCs w:val="28"/>
          <w:shd w:val="clear" w:color="auto" w:fill="FFFFFF"/>
        </w:rPr>
        <w:t>支持</w:t>
      </w:r>
      <w:r>
        <w:rPr>
          <w:rFonts w:ascii="仿宋" w:eastAsia="仿宋" w:cs="仿宋"/>
          <w:bCs/>
          <w:sz w:val="28"/>
          <w:szCs w:val="28"/>
          <w:shd w:val="clear" w:color="auto" w:fill="FFFFFF"/>
        </w:rPr>
        <w:t xml:space="preserve"> SFP </w:t>
      </w:r>
      <w:r>
        <w:rPr>
          <w:rFonts w:ascii="仿宋" w:eastAsia="仿宋" w:cs="仿宋" w:hint="eastAsia"/>
          <w:bCs/>
          <w:sz w:val="28"/>
          <w:szCs w:val="28"/>
          <w:shd w:val="clear" w:color="auto" w:fill="FFFFFF"/>
        </w:rPr>
        <w:t>光模块数字诊断功能功能，监测光模块电压、温度、收发功率数值。支持换线快速恢复功能，确保网络通信不中断；</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（9）</w:t>
      </w:r>
      <w:r>
        <w:rPr>
          <w:rFonts w:ascii="仿宋" w:eastAsia="仿宋" w:cs="仿宋" w:hint="eastAsia"/>
          <w:bCs/>
          <w:sz w:val="28"/>
          <w:szCs w:val="28"/>
          <w:shd w:val="clear" w:color="auto" w:fill="FFFFFF"/>
        </w:rPr>
        <w:t>支持冗余电源供电，支持冗余信号故障输出，支持静态或动态链路聚合协议，支持</w:t>
      </w:r>
      <w:r>
        <w:rPr>
          <w:rFonts w:ascii="仿宋" w:eastAsia="仿宋" w:cs="仿宋"/>
          <w:bCs/>
          <w:sz w:val="28"/>
          <w:szCs w:val="28"/>
          <w:shd w:val="clear" w:color="auto" w:fill="FFFFFF"/>
        </w:rPr>
        <w:t>USB</w:t>
      </w:r>
      <w:r>
        <w:rPr>
          <w:rFonts w:ascii="仿宋" w:eastAsia="仿宋" w:cs="仿宋" w:hint="eastAsia"/>
          <w:bCs/>
          <w:sz w:val="28"/>
          <w:szCs w:val="28"/>
          <w:shd w:val="clear" w:color="auto" w:fill="FFFFFF"/>
        </w:rPr>
        <w:t>接口的配置备份设备；</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（10）</w:t>
      </w:r>
      <w:r>
        <w:rPr>
          <w:rFonts w:ascii="仿宋" w:eastAsia="仿宋" w:cs="仿宋" w:hint="eastAsia"/>
          <w:bCs/>
          <w:sz w:val="28"/>
          <w:szCs w:val="28"/>
          <w:shd w:val="clear" w:color="auto" w:fill="FFFFFF"/>
        </w:rPr>
        <w:t>所有交换机需要统一品牌，交换机质保</w:t>
      </w:r>
      <w:r>
        <w:rPr>
          <w:rFonts w:ascii="仿宋" w:eastAsia="仿宋" w:cs="仿宋"/>
          <w:bCs/>
          <w:sz w:val="28"/>
          <w:szCs w:val="28"/>
          <w:shd w:val="clear" w:color="auto" w:fill="FFFFFF"/>
        </w:rPr>
        <w:t>5</w:t>
      </w:r>
      <w:r>
        <w:rPr>
          <w:rFonts w:ascii="仿宋" w:eastAsia="仿宋" w:cs="仿宋" w:hint="eastAsia"/>
          <w:bCs/>
          <w:sz w:val="28"/>
          <w:szCs w:val="28"/>
          <w:shd w:val="clear" w:color="auto" w:fill="FFFFFF"/>
        </w:rPr>
        <w:t>年。</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（11）</w:t>
      </w:r>
      <w:r>
        <w:rPr>
          <w:rFonts w:ascii="仿宋" w:eastAsia="仿宋" w:cs="仿宋" w:hint="eastAsia"/>
          <w:bCs/>
          <w:sz w:val="28"/>
          <w:szCs w:val="28"/>
          <w:shd w:val="clear" w:color="auto" w:fill="FFFFFF"/>
        </w:rPr>
        <w:t>具备</w:t>
      </w:r>
      <w:r>
        <w:rPr>
          <w:rFonts w:ascii="仿宋" w:eastAsia="仿宋" w:cs="仿宋"/>
          <w:bCs/>
          <w:sz w:val="28"/>
          <w:szCs w:val="28"/>
          <w:shd w:val="clear" w:color="auto" w:fill="FFFFFF"/>
        </w:rPr>
        <w:t>UL508</w:t>
      </w:r>
      <w:r>
        <w:rPr>
          <w:rFonts w:ascii="仿宋" w:eastAsia="仿宋" w:cs="仿宋" w:hint="eastAsia"/>
          <w:bCs/>
          <w:sz w:val="28"/>
          <w:szCs w:val="28"/>
          <w:shd w:val="clear" w:color="auto" w:fill="FFFFFF"/>
        </w:rPr>
        <w:t>或者</w:t>
      </w:r>
      <w:r>
        <w:rPr>
          <w:rFonts w:ascii="仿宋" w:eastAsia="仿宋" w:cs="仿宋"/>
          <w:bCs/>
          <w:sz w:val="28"/>
          <w:szCs w:val="28"/>
          <w:shd w:val="clear" w:color="auto" w:fill="FFFFFF"/>
        </w:rPr>
        <w:t>cUL61010工业控制安全认证。</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（12）</w:t>
      </w:r>
      <w:r>
        <w:rPr>
          <w:rFonts w:ascii="仿宋" w:eastAsia="仿宋" w:cs="仿宋" w:hint="eastAsia"/>
          <w:bCs/>
          <w:sz w:val="28"/>
          <w:szCs w:val="28"/>
          <w:shd w:val="clear" w:color="auto" w:fill="FFFFFF"/>
        </w:rPr>
        <w:t>交换机其他技术要求</w:t>
      </w:r>
    </w:p>
    <w:p>
      <w:pPr>
        <w:pStyle w:val="62"/>
        <w:spacing w:line="560" w:lineRule="exact"/>
        <w:ind w:left="560" w:firstLineChars="0" w:firstLine="0"/>
        <w:rPr>
          <w:rFonts w:ascii="仿宋" w:eastAsia="仿宋" w:cs="仿宋"/>
          <w:b/>
          <w:bCs/>
          <w:sz w:val="28"/>
          <w:szCs w:val="28"/>
          <w:shd w:val="clear" w:color="auto" w:fill="FFFFFF"/>
        </w:rPr>
      </w:pPr>
      <w:r>
        <w:rPr>
          <w:rFonts w:ascii="仿宋" w:eastAsia="仿宋" w:cs="仿宋"/>
          <w:b/>
          <w:bCs/>
          <w:sz w:val="28"/>
          <w:szCs w:val="28"/>
          <w:shd w:val="clear" w:color="auto" w:fill="FFFFFF"/>
        </w:rPr>
        <w:t>5.1.2</w:t>
      </w:r>
      <w:r>
        <w:rPr>
          <w:rFonts w:ascii="仿宋" w:eastAsia="仿宋" w:cs="仿宋" w:hint="eastAsia"/>
          <w:b/>
          <w:bCs/>
          <w:sz w:val="28"/>
          <w:szCs w:val="28"/>
          <w:shd w:val="clear" w:color="auto" w:fill="FFFFFF"/>
        </w:rPr>
        <w:t>核心交换机：</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（1）</w:t>
      </w:r>
      <w:r>
        <w:rPr>
          <w:rFonts w:ascii="仿宋" w:eastAsia="仿宋" w:cs="仿宋" w:hint="eastAsia"/>
          <w:bCs/>
          <w:sz w:val="28"/>
          <w:szCs w:val="28"/>
          <w:shd w:val="clear" w:color="auto" w:fill="FFFFFF"/>
        </w:rPr>
        <w:t>配置</w:t>
      </w:r>
      <w:r>
        <w:rPr>
          <w:rFonts w:ascii="仿宋" w:eastAsia="仿宋" w:cs="仿宋"/>
          <w:bCs/>
          <w:sz w:val="28"/>
          <w:szCs w:val="28"/>
          <w:shd w:val="clear" w:color="auto" w:fill="FFFFFF"/>
        </w:rPr>
        <w:t xml:space="preserve"> 48 </w:t>
      </w:r>
      <w:r>
        <w:rPr>
          <w:rFonts w:ascii="仿宋" w:eastAsia="仿宋" w:cs="仿宋" w:hint="eastAsia"/>
          <w:bCs/>
          <w:sz w:val="28"/>
          <w:szCs w:val="28"/>
          <w:shd w:val="clear" w:color="auto" w:fill="FFFFFF"/>
        </w:rPr>
        <w:t>个千兆和</w:t>
      </w:r>
      <w:r>
        <w:rPr>
          <w:rFonts w:ascii="仿宋" w:eastAsia="仿宋" w:cs="仿宋"/>
          <w:bCs/>
          <w:sz w:val="28"/>
          <w:szCs w:val="28"/>
          <w:shd w:val="clear" w:color="auto" w:fill="FFFFFF"/>
        </w:rPr>
        <w:t xml:space="preserve"> 4 </w:t>
      </w:r>
      <w:r>
        <w:rPr>
          <w:rFonts w:ascii="仿宋" w:eastAsia="仿宋" w:cs="仿宋" w:hint="eastAsia"/>
          <w:bCs/>
          <w:sz w:val="28"/>
          <w:szCs w:val="28"/>
          <w:shd w:val="clear" w:color="auto" w:fill="FFFFFF"/>
        </w:rPr>
        <w:t>个万兆以太网端口接口，模块化设计；光口和电口可以随意配置，光口需配套原厂</w:t>
      </w:r>
      <w:r>
        <w:rPr>
          <w:rFonts w:ascii="仿宋" w:eastAsia="仿宋" w:cs="仿宋"/>
          <w:bCs/>
          <w:sz w:val="28"/>
          <w:szCs w:val="28"/>
          <w:shd w:val="clear" w:color="auto" w:fill="FFFFFF"/>
        </w:rPr>
        <w:t>SFP光模块。48口全模块化且支持热拨插，核心交换机电源模块支持热拨插。；</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（2）</w:t>
      </w:r>
      <w:r>
        <w:rPr>
          <w:rFonts w:ascii="仿宋" w:eastAsia="仿宋" w:cs="仿宋" w:hint="eastAsia"/>
          <w:bCs/>
          <w:sz w:val="28"/>
          <w:szCs w:val="28"/>
          <w:shd w:val="clear" w:color="auto" w:fill="FFFFFF"/>
        </w:rPr>
        <w:t>提供批量配置软件，能够同时配置</w:t>
      </w:r>
      <w:r>
        <w:rPr>
          <w:rFonts w:ascii="仿宋" w:eastAsia="仿宋" w:cs="仿宋"/>
          <w:bCs/>
          <w:sz w:val="28"/>
          <w:szCs w:val="28"/>
          <w:shd w:val="clear" w:color="auto" w:fill="FFFFFF"/>
        </w:rPr>
        <w:t>250</w:t>
      </w:r>
      <w:r>
        <w:rPr>
          <w:rFonts w:ascii="仿宋" w:eastAsia="仿宋" w:cs="仿宋" w:hint="eastAsia"/>
          <w:bCs/>
          <w:sz w:val="28"/>
          <w:szCs w:val="28"/>
          <w:shd w:val="clear" w:color="auto" w:fill="FFFFFF"/>
        </w:rPr>
        <w:t>台交换机，能够批量配置</w:t>
      </w:r>
      <w:r>
        <w:rPr>
          <w:rFonts w:ascii="仿宋" w:eastAsia="仿宋" w:cs="仿宋"/>
          <w:bCs/>
          <w:sz w:val="28"/>
          <w:szCs w:val="28"/>
          <w:shd w:val="clear" w:color="auto" w:fill="FFFFFF"/>
        </w:rPr>
        <w:t>IP</w:t>
      </w:r>
      <w:r>
        <w:rPr>
          <w:rFonts w:ascii="仿宋" w:eastAsia="仿宋" w:cs="仿宋" w:hint="eastAsia"/>
          <w:bCs/>
          <w:sz w:val="28"/>
          <w:szCs w:val="28"/>
          <w:shd w:val="clear" w:color="auto" w:fill="FFFFFF"/>
        </w:rPr>
        <w:t>位址、冗余协议、</w:t>
      </w:r>
      <w:r>
        <w:rPr>
          <w:rFonts w:ascii="仿宋" w:eastAsia="仿宋" w:cs="仿宋"/>
          <w:bCs/>
          <w:sz w:val="28"/>
          <w:szCs w:val="28"/>
          <w:shd w:val="clear" w:color="auto" w:fill="FFFFFF"/>
        </w:rPr>
        <w:t>802.1Q VLAN</w:t>
      </w:r>
      <w:r>
        <w:rPr>
          <w:rFonts w:ascii="仿宋" w:eastAsia="仿宋" w:cs="仿宋" w:hint="eastAsia"/>
          <w:bCs/>
          <w:sz w:val="28"/>
          <w:szCs w:val="28"/>
          <w:shd w:val="clear" w:color="auto" w:fill="FFFFFF"/>
        </w:rPr>
        <w:t>等功能；</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（3）</w:t>
      </w:r>
      <w:r>
        <w:rPr>
          <w:rFonts w:ascii="仿宋" w:eastAsia="仿宋" w:cs="仿宋" w:hint="eastAsia"/>
          <w:bCs/>
          <w:sz w:val="28"/>
          <w:szCs w:val="28"/>
          <w:shd w:val="clear" w:color="auto" w:fill="FFFFFF"/>
        </w:rPr>
        <w:t>设备具有三层交换功能，实现整个网络各子系统间的三层路由及安全策略控制。</w:t>
      </w:r>
    </w:p>
    <w:p>
      <w:pPr>
        <w:pStyle w:val="62"/>
        <w:spacing w:line="560" w:lineRule="exact"/>
        <w:ind w:left="560" w:firstLineChars="0" w:firstLine="0"/>
        <w:rPr>
          <w:rFonts w:ascii="仿宋" w:eastAsia="仿宋" w:cs="仿宋"/>
          <w:b/>
          <w:bCs/>
          <w:sz w:val="28"/>
          <w:szCs w:val="28"/>
          <w:shd w:val="clear" w:color="auto" w:fill="FFFFFF"/>
        </w:rPr>
      </w:pPr>
      <w:r>
        <w:rPr>
          <w:rFonts w:ascii="仿宋" w:eastAsia="仿宋" w:cs="仿宋"/>
          <w:b/>
          <w:bCs/>
          <w:sz w:val="28"/>
          <w:szCs w:val="28"/>
          <w:shd w:val="clear" w:color="auto" w:fill="FFFFFF"/>
        </w:rPr>
        <w:t>5.1.3</w:t>
      </w:r>
      <w:r>
        <w:rPr>
          <w:rFonts w:ascii="仿宋" w:eastAsia="仿宋" w:cs="仿宋" w:hint="eastAsia"/>
          <w:b/>
          <w:bCs/>
          <w:sz w:val="28"/>
          <w:szCs w:val="28"/>
          <w:shd w:val="clear" w:color="auto" w:fill="FFFFFF"/>
        </w:rPr>
        <w:t>汇聚交换机：</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（1）</w:t>
      </w:r>
      <w:r>
        <w:rPr>
          <w:rFonts w:ascii="仿宋" w:eastAsia="仿宋" w:cs="仿宋" w:hint="eastAsia"/>
          <w:bCs/>
          <w:sz w:val="28"/>
          <w:szCs w:val="28"/>
          <w:shd w:val="clear" w:color="auto" w:fill="FFFFFF"/>
        </w:rPr>
        <w:t>设备支持</w:t>
      </w:r>
      <w:r>
        <w:rPr>
          <w:rFonts w:ascii="仿宋" w:eastAsia="仿宋" w:cs="仿宋"/>
          <w:bCs/>
          <w:sz w:val="28"/>
          <w:szCs w:val="28"/>
          <w:shd w:val="clear" w:color="auto" w:fill="FFFFFF"/>
        </w:rPr>
        <w:t>12个千兆以太网SFP插槽、12个千兆以太网电口。所有光纤接口均统一选用单模光缆传输，波长为1310nm，传输距离应不小于10km；</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（2）</w:t>
      </w:r>
      <w:r>
        <w:rPr>
          <w:rFonts w:ascii="仿宋" w:eastAsia="仿宋" w:cs="仿宋" w:hint="eastAsia"/>
          <w:bCs/>
          <w:sz w:val="28"/>
          <w:szCs w:val="28"/>
          <w:shd w:val="clear" w:color="auto" w:fill="FFFFFF"/>
        </w:rPr>
        <w:t>交换机采用冗余配置，具备自动热备切换功能，冗余网络切换时间不大于</w:t>
      </w:r>
      <w:r>
        <w:rPr>
          <w:rFonts w:ascii="仿宋" w:eastAsia="仿宋" w:cs="仿宋"/>
          <w:bCs/>
          <w:sz w:val="28"/>
          <w:szCs w:val="28"/>
          <w:shd w:val="clear" w:color="auto" w:fill="FFFFFF"/>
        </w:rPr>
        <w:t>50ms</w:t>
      </w:r>
      <w:r>
        <w:rPr>
          <w:rFonts w:ascii="仿宋" w:eastAsia="仿宋" w:cs="仿宋" w:hint="eastAsia"/>
          <w:bCs/>
          <w:sz w:val="28"/>
          <w:szCs w:val="28"/>
          <w:shd w:val="clear" w:color="auto" w:fill="FFFFFF"/>
        </w:rPr>
        <w:t>，</w:t>
      </w:r>
      <w:r>
        <w:rPr>
          <w:rFonts w:ascii="仿宋" w:eastAsia="仿宋" w:cs="仿宋"/>
          <w:bCs/>
          <w:sz w:val="28"/>
          <w:szCs w:val="28"/>
          <w:shd w:val="clear" w:color="auto" w:fill="FFFFFF"/>
        </w:rPr>
        <w:t>并可实现多种冗余</w:t>
      </w:r>
      <w:r>
        <w:rPr>
          <w:rFonts w:ascii="仿宋" w:eastAsia="仿宋" w:cs="仿宋" w:hint="eastAsia"/>
          <w:bCs/>
          <w:sz w:val="28"/>
          <w:szCs w:val="28"/>
          <w:shd w:val="clear" w:color="auto" w:fill="FFFFFF"/>
        </w:rPr>
        <w:t>比如</w:t>
      </w:r>
      <w:r>
        <w:rPr>
          <w:rFonts w:ascii="仿宋" w:eastAsia="仿宋" w:cs="仿宋"/>
          <w:bCs/>
          <w:sz w:val="28"/>
          <w:szCs w:val="28"/>
          <w:shd w:val="clear" w:color="auto" w:fill="FFFFFF"/>
        </w:rPr>
        <w:t xml:space="preserve">RSTP/STP </w:t>
      </w:r>
      <w:r>
        <w:rPr>
          <w:rFonts w:ascii="仿宋" w:eastAsia="仿宋" w:cs="仿宋" w:hint="eastAsia"/>
          <w:bCs/>
          <w:sz w:val="28"/>
          <w:szCs w:val="28"/>
          <w:shd w:val="clear" w:color="auto" w:fill="FFFFFF"/>
        </w:rPr>
        <w:t>和</w:t>
      </w:r>
      <w:r>
        <w:rPr>
          <w:rFonts w:ascii="仿宋" w:eastAsia="仿宋" w:cs="仿宋"/>
          <w:bCs/>
          <w:sz w:val="28"/>
          <w:szCs w:val="28"/>
          <w:shd w:val="clear" w:color="auto" w:fill="FFFFFF"/>
        </w:rPr>
        <w:t xml:space="preserve"> MSTP </w:t>
      </w:r>
      <w:r>
        <w:rPr>
          <w:rFonts w:ascii="仿宋" w:eastAsia="仿宋" w:cs="仿宋" w:hint="eastAsia"/>
          <w:bCs/>
          <w:sz w:val="28"/>
          <w:szCs w:val="28"/>
          <w:shd w:val="clear" w:color="auto" w:fill="FFFFFF"/>
        </w:rPr>
        <w:t>网络冗余、链路聚合等功能</w:t>
      </w:r>
      <w:r>
        <w:rPr>
          <w:rFonts w:ascii="仿宋" w:eastAsia="仿宋" w:cs="仿宋"/>
          <w:bCs/>
          <w:sz w:val="28"/>
          <w:szCs w:val="28"/>
          <w:shd w:val="clear" w:color="auto" w:fill="FFFFFF"/>
        </w:rPr>
        <w:t>；</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（3）</w:t>
      </w:r>
      <w:r>
        <w:rPr>
          <w:rFonts w:ascii="仿宋" w:eastAsia="仿宋" w:cs="仿宋" w:hint="eastAsia"/>
          <w:bCs/>
          <w:sz w:val="28"/>
          <w:szCs w:val="28"/>
          <w:shd w:val="clear" w:color="auto" w:fill="FFFFFF"/>
        </w:rPr>
        <w:t>设备具有三层交换功能，实现整个网络各子系统间的三层路由及安全策略控制。</w:t>
      </w:r>
    </w:p>
    <w:p>
      <w:pPr>
        <w:pStyle w:val="62"/>
        <w:spacing w:line="560" w:lineRule="exact"/>
        <w:ind w:left="560" w:firstLineChars="0" w:firstLine="0"/>
        <w:rPr>
          <w:rFonts w:ascii="仿宋" w:eastAsia="仿宋" w:cs="仿宋"/>
          <w:b/>
          <w:bCs/>
          <w:sz w:val="28"/>
          <w:szCs w:val="28"/>
          <w:shd w:val="clear" w:color="auto" w:fill="FFFFFF"/>
        </w:rPr>
      </w:pPr>
      <w:r>
        <w:rPr>
          <w:rFonts w:ascii="仿宋" w:eastAsia="仿宋" w:cs="仿宋"/>
          <w:b/>
          <w:bCs/>
          <w:sz w:val="28"/>
          <w:szCs w:val="28"/>
          <w:shd w:val="clear" w:color="auto" w:fill="FFFFFF"/>
        </w:rPr>
        <w:t>5.1.4</w:t>
      </w:r>
      <w:r>
        <w:rPr>
          <w:rFonts w:ascii="仿宋" w:eastAsia="仿宋" w:cs="仿宋" w:hint="eastAsia"/>
          <w:b/>
          <w:bCs/>
          <w:sz w:val="28"/>
          <w:szCs w:val="28"/>
          <w:shd w:val="clear" w:color="auto" w:fill="FFFFFF"/>
        </w:rPr>
        <w:t>接入层交换机：</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（1）</w:t>
      </w:r>
      <w:r>
        <w:rPr>
          <w:rFonts w:ascii="仿宋" w:eastAsia="仿宋" w:cs="仿宋" w:hint="eastAsia"/>
          <w:bCs/>
          <w:sz w:val="28"/>
          <w:szCs w:val="28"/>
          <w:shd w:val="clear" w:color="auto" w:fill="FFFFFF"/>
        </w:rPr>
        <w:t>交换机支持模块化设计，配备多达</w:t>
      </w:r>
      <w:r>
        <w:rPr>
          <w:rFonts w:ascii="仿宋" w:eastAsia="仿宋" w:cs="仿宋"/>
          <w:bCs/>
          <w:sz w:val="28"/>
          <w:szCs w:val="28"/>
          <w:shd w:val="clear" w:color="auto" w:fill="FFFFFF"/>
        </w:rPr>
        <w:t xml:space="preserve"> 12 </w:t>
      </w:r>
      <w:r>
        <w:rPr>
          <w:rFonts w:ascii="仿宋" w:eastAsia="仿宋" w:cs="仿宋" w:hint="eastAsia"/>
          <w:bCs/>
          <w:sz w:val="28"/>
          <w:szCs w:val="28"/>
          <w:shd w:val="clear" w:color="auto" w:fill="FFFFFF"/>
        </w:rPr>
        <w:t>个千兆以太网端口，包括</w:t>
      </w:r>
      <w:r>
        <w:rPr>
          <w:rFonts w:ascii="仿宋" w:eastAsia="仿宋" w:cs="仿宋"/>
          <w:bCs/>
          <w:sz w:val="28"/>
          <w:szCs w:val="28"/>
          <w:shd w:val="clear" w:color="auto" w:fill="FFFFFF"/>
        </w:rPr>
        <w:t xml:space="preserve"> 4 </w:t>
      </w:r>
      <w:r>
        <w:rPr>
          <w:rFonts w:ascii="仿宋" w:eastAsia="仿宋" w:cs="仿宋" w:hint="eastAsia"/>
          <w:bCs/>
          <w:sz w:val="28"/>
          <w:szCs w:val="28"/>
          <w:shd w:val="clear" w:color="auto" w:fill="FFFFFF"/>
        </w:rPr>
        <w:t>个内嵌固定端口、</w:t>
      </w:r>
      <w:r>
        <w:rPr>
          <w:rFonts w:ascii="仿宋" w:eastAsia="仿宋" w:cs="仿宋"/>
          <w:bCs/>
          <w:sz w:val="28"/>
          <w:szCs w:val="28"/>
          <w:shd w:val="clear" w:color="auto" w:fill="FFFFFF"/>
        </w:rPr>
        <w:t xml:space="preserve">2 </w:t>
      </w:r>
      <w:r>
        <w:rPr>
          <w:rFonts w:ascii="仿宋" w:eastAsia="仿宋" w:cs="仿宋" w:hint="eastAsia"/>
          <w:bCs/>
          <w:sz w:val="28"/>
          <w:szCs w:val="28"/>
          <w:shd w:val="clear" w:color="auto" w:fill="FFFFFF"/>
        </w:rPr>
        <w:t>个接口模块扩展插槽和</w:t>
      </w:r>
      <w:r>
        <w:rPr>
          <w:rFonts w:ascii="仿宋" w:eastAsia="仿宋" w:cs="仿宋"/>
          <w:bCs/>
          <w:sz w:val="28"/>
          <w:szCs w:val="28"/>
          <w:shd w:val="clear" w:color="auto" w:fill="FFFFFF"/>
        </w:rPr>
        <w:t xml:space="preserve"> 2 </w:t>
      </w:r>
      <w:r>
        <w:rPr>
          <w:rFonts w:ascii="仿宋" w:eastAsia="仿宋" w:cs="仿宋" w:hint="eastAsia"/>
          <w:bCs/>
          <w:sz w:val="28"/>
          <w:szCs w:val="28"/>
          <w:shd w:val="clear" w:color="auto" w:fill="FFFFFF"/>
        </w:rPr>
        <w:t>个电源模块插槽，可为各种应用提供充足的灵活性；</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（2）</w:t>
      </w:r>
      <w:r>
        <w:rPr>
          <w:rFonts w:ascii="仿宋" w:eastAsia="仿宋" w:cs="仿宋" w:hint="eastAsia"/>
          <w:bCs/>
          <w:sz w:val="28"/>
          <w:szCs w:val="28"/>
          <w:shd w:val="clear" w:color="auto" w:fill="FFFFFF"/>
        </w:rPr>
        <w:t>交换机采用冗余配置，具备自动热备切换功能，冗余网络切换时间不大于</w:t>
      </w:r>
      <w:r>
        <w:rPr>
          <w:rFonts w:ascii="仿宋" w:eastAsia="仿宋" w:cs="仿宋"/>
          <w:bCs/>
          <w:sz w:val="28"/>
          <w:szCs w:val="28"/>
          <w:shd w:val="clear" w:color="auto" w:fill="FFFFFF"/>
        </w:rPr>
        <w:t>50ms</w:t>
      </w:r>
      <w:r>
        <w:rPr>
          <w:rFonts w:ascii="仿宋" w:eastAsia="仿宋" w:cs="仿宋" w:hint="eastAsia"/>
          <w:bCs/>
          <w:sz w:val="28"/>
          <w:szCs w:val="28"/>
          <w:shd w:val="clear" w:color="auto" w:fill="FFFFFF"/>
        </w:rPr>
        <w:t>，</w:t>
      </w:r>
      <w:r>
        <w:rPr>
          <w:rFonts w:ascii="仿宋" w:eastAsia="仿宋" w:cs="仿宋"/>
          <w:bCs/>
          <w:sz w:val="28"/>
          <w:szCs w:val="28"/>
          <w:shd w:val="clear" w:color="auto" w:fill="FFFFFF"/>
        </w:rPr>
        <w:t>并可实现多种冗余</w:t>
      </w:r>
      <w:r>
        <w:rPr>
          <w:rFonts w:ascii="仿宋" w:eastAsia="仿宋" w:cs="仿宋" w:hint="eastAsia"/>
          <w:bCs/>
          <w:sz w:val="28"/>
          <w:szCs w:val="28"/>
          <w:shd w:val="clear" w:color="auto" w:fill="FFFFFF"/>
        </w:rPr>
        <w:t>比如</w:t>
      </w:r>
      <w:r>
        <w:rPr>
          <w:rFonts w:ascii="仿宋" w:eastAsia="仿宋" w:cs="仿宋"/>
          <w:bCs/>
          <w:sz w:val="28"/>
          <w:szCs w:val="28"/>
          <w:shd w:val="clear" w:color="auto" w:fill="FFFFFF"/>
        </w:rPr>
        <w:t xml:space="preserve">RSTP/STP </w:t>
      </w:r>
      <w:r>
        <w:rPr>
          <w:rFonts w:ascii="仿宋" w:eastAsia="仿宋" w:cs="仿宋" w:hint="eastAsia"/>
          <w:bCs/>
          <w:sz w:val="28"/>
          <w:szCs w:val="28"/>
          <w:shd w:val="clear" w:color="auto" w:fill="FFFFFF"/>
        </w:rPr>
        <w:t>和</w:t>
      </w:r>
      <w:r>
        <w:rPr>
          <w:rFonts w:ascii="仿宋" w:eastAsia="仿宋" w:cs="仿宋"/>
          <w:bCs/>
          <w:sz w:val="28"/>
          <w:szCs w:val="28"/>
          <w:shd w:val="clear" w:color="auto" w:fill="FFFFFF"/>
        </w:rPr>
        <w:t xml:space="preserve"> MSTP </w:t>
      </w:r>
      <w:r>
        <w:rPr>
          <w:rFonts w:ascii="仿宋" w:eastAsia="仿宋" w:cs="仿宋" w:hint="eastAsia"/>
          <w:bCs/>
          <w:sz w:val="28"/>
          <w:szCs w:val="28"/>
          <w:shd w:val="clear" w:color="auto" w:fill="FFFFFF"/>
        </w:rPr>
        <w:t>网络冗余、链路聚合等功能。</w:t>
      </w:r>
    </w:p>
    <w:p>
      <w:pPr>
        <w:pStyle w:val="62"/>
        <w:spacing w:line="560" w:lineRule="exact"/>
        <w:ind w:left="560" w:firstLineChars="0" w:firstLine="0"/>
        <w:rPr>
          <w:rFonts w:ascii="仿宋" w:eastAsia="仿宋" w:cs="仿宋"/>
          <w:b/>
          <w:bCs/>
          <w:sz w:val="28"/>
          <w:szCs w:val="28"/>
          <w:shd w:val="clear" w:color="auto" w:fill="FFFFFF"/>
        </w:rPr>
      </w:pPr>
      <w:r>
        <w:rPr>
          <w:rFonts w:ascii="仿宋" w:eastAsia="仿宋" w:cs="仿宋"/>
          <w:b/>
          <w:bCs/>
          <w:sz w:val="28"/>
          <w:szCs w:val="28"/>
          <w:shd w:val="clear" w:color="auto" w:fill="FFFFFF"/>
        </w:rPr>
        <w:t xml:space="preserve">5.1.5 </w:t>
      </w:r>
      <w:r>
        <w:rPr>
          <w:rFonts w:ascii="仿宋" w:eastAsia="仿宋" w:cs="仿宋" w:hint="eastAsia"/>
          <w:b/>
          <w:bCs/>
          <w:sz w:val="28"/>
          <w:szCs w:val="28"/>
          <w:shd w:val="clear" w:color="auto" w:fill="FFFFFF"/>
        </w:rPr>
        <w:t>POE交换机：</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（1）</w:t>
      </w:r>
      <w:r>
        <w:rPr>
          <w:rFonts w:ascii="仿宋" w:eastAsia="仿宋" w:cs="仿宋" w:hint="eastAsia"/>
          <w:bCs/>
          <w:sz w:val="28"/>
          <w:szCs w:val="28"/>
          <w:shd w:val="clear" w:color="auto" w:fill="FFFFFF"/>
        </w:rPr>
        <w:t>交换机支持模块化设计，配备12 个千兆以太网端口，包括 4 个内嵌固定端口、2 个接口模块扩展插槽和 2 个电源模块插槽，可为各种应用提供充足的灵活性；</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（2）</w:t>
      </w:r>
      <w:r>
        <w:rPr>
          <w:rFonts w:ascii="仿宋" w:eastAsia="仿宋" w:cs="仿宋" w:hint="eastAsia"/>
          <w:bCs/>
          <w:sz w:val="28"/>
          <w:szCs w:val="28"/>
          <w:shd w:val="clear" w:color="auto" w:fill="FFFFFF"/>
        </w:rPr>
        <w:t>支持冗余双电源模块，实现了高可靠性和可用性，同时可选的低压和高压电源模块为用户提供了极大的灵活性，可满足不同应用的电源需求；</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（3）</w:t>
      </w:r>
      <w:r>
        <w:rPr>
          <w:rFonts w:ascii="仿宋" w:eastAsia="仿宋" w:cs="仿宋" w:hint="eastAsia"/>
          <w:bCs/>
          <w:sz w:val="28"/>
          <w:szCs w:val="28"/>
          <w:shd w:val="clear" w:color="auto" w:fill="FFFFFF"/>
        </w:rPr>
        <w:t>外壳坚固耐用，通过多项工业认证，能够在恶劣和危险的环境下可靠运行；</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（4）</w:t>
      </w:r>
      <w:r>
        <w:rPr>
          <w:rFonts w:ascii="仿宋" w:eastAsia="仿宋" w:cs="仿宋" w:hint="eastAsia"/>
          <w:bCs/>
          <w:sz w:val="28"/>
          <w:szCs w:val="28"/>
          <w:shd w:val="clear" w:color="auto" w:fill="FFFFFF"/>
        </w:rPr>
        <w:t>交换机采用冗余配置，具备自动热备切换功能，冗余网络切换时间不大于</w:t>
      </w:r>
      <w:r>
        <w:rPr>
          <w:rFonts w:ascii="仿宋" w:eastAsia="仿宋" w:cs="仿宋"/>
          <w:bCs/>
          <w:sz w:val="28"/>
          <w:szCs w:val="28"/>
          <w:shd w:val="clear" w:color="auto" w:fill="FFFFFF"/>
        </w:rPr>
        <w:t>50ms</w:t>
      </w:r>
      <w:r>
        <w:rPr>
          <w:rFonts w:ascii="仿宋" w:eastAsia="仿宋" w:cs="仿宋" w:hint="eastAsia"/>
          <w:bCs/>
          <w:sz w:val="28"/>
          <w:szCs w:val="28"/>
          <w:shd w:val="clear" w:color="auto" w:fill="FFFFFF"/>
        </w:rPr>
        <w:t>，</w:t>
      </w:r>
      <w:r>
        <w:rPr>
          <w:rFonts w:ascii="仿宋" w:eastAsia="仿宋" w:cs="仿宋"/>
          <w:bCs/>
          <w:sz w:val="28"/>
          <w:szCs w:val="28"/>
          <w:shd w:val="clear" w:color="auto" w:fill="FFFFFF"/>
        </w:rPr>
        <w:t>并可实现多种冗余</w:t>
      </w:r>
      <w:r>
        <w:rPr>
          <w:rFonts w:ascii="仿宋" w:eastAsia="仿宋" w:cs="仿宋" w:hint="eastAsia"/>
          <w:bCs/>
          <w:sz w:val="28"/>
          <w:szCs w:val="28"/>
          <w:shd w:val="clear" w:color="auto" w:fill="FFFFFF"/>
        </w:rPr>
        <w:t>比如</w:t>
      </w:r>
      <w:r>
        <w:rPr>
          <w:rFonts w:ascii="仿宋" w:eastAsia="仿宋" w:cs="仿宋"/>
          <w:bCs/>
          <w:sz w:val="28"/>
          <w:szCs w:val="28"/>
          <w:shd w:val="clear" w:color="auto" w:fill="FFFFFF"/>
        </w:rPr>
        <w:t xml:space="preserve">RSTP/STP </w:t>
      </w:r>
      <w:r>
        <w:rPr>
          <w:rFonts w:ascii="仿宋" w:eastAsia="仿宋" w:cs="仿宋" w:hint="eastAsia"/>
          <w:bCs/>
          <w:sz w:val="28"/>
          <w:szCs w:val="28"/>
          <w:shd w:val="clear" w:color="auto" w:fill="FFFFFF"/>
        </w:rPr>
        <w:t>和</w:t>
      </w:r>
      <w:r>
        <w:rPr>
          <w:rFonts w:ascii="仿宋" w:eastAsia="仿宋" w:cs="仿宋"/>
          <w:bCs/>
          <w:sz w:val="28"/>
          <w:szCs w:val="28"/>
          <w:shd w:val="clear" w:color="auto" w:fill="FFFFFF"/>
        </w:rPr>
        <w:t xml:space="preserve"> MSTP </w:t>
      </w:r>
      <w:r>
        <w:rPr>
          <w:rFonts w:ascii="仿宋" w:eastAsia="仿宋" w:cs="仿宋" w:hint="eastAsia"/>
          <w:bCs/>
          <w:sz w:val="28"/>
          <w:szCs w:val="28"/>
          <w:shd w:val="clear" w:color="auto" w:fill="FFFFFF"/>
        </w:rPr>
        <w:t>网络冗余、链路聚合等功能</w:t>
      </w:r>
      <w:r>
        <w:rPr>
          <w:rFonts w:ascii="仿宋" w:eastAsia="仿宋" w:cs="仿宋"/>
          <w:bCs/>
          <w:sz w:val="28"/>
          <w:szCs w:val="28"/>
          <w:shd w:val="clear" w:color="auto" w:fill="FFFFFF"/>
        </w:rPr>
        <w:t>；</w:t>
      </w:r>
    </w:p>
    <w:p>
      <w:pPr>
        <w:pStyle w:val="62"/>
        <w:spacing w:line="560" w:lineRule="exact"/>
        <w:ind w:left="560" w:firstLineChars="0" w:firstLine="0"/>
        <w:rPr>
          <w:rFonts w:ascii="仿宋" w:eastAsia="仿宋" w:cs="仿宋"/>
          <w:bCs/>
          <w:sz w:val="28"/>
          <w:szCs w:val="28"/>
          <w:shd w:val="clear" w:color="auto" w:fill="FFFFFF"/>
        </w:rPr>
      </w:pPr>
      <w:r>
        <w:rPr>
          <w:rFonts w:ascii="仿宋" w:eastAsia="仿宋" w:cs="仿宋"/>
          <w:bCs/>
          <w:sz w:val="28"/>
          <w:szCs w:val="28"/>
          <w:shd w:val="clear" w:color="auto" w:fill="FFFFFF"/>
        </w:rPr>
        <w:t>（5）</w:t>
      </w:r>
      <w:r>
        <w:rPr>
          <w:rFonts w:ascii="仿宋" w:eastAsia="仿宋" w:cs="仿宋" w:hint="eastAsia"/>
          <w:bCs/>
          <w:sz w:val="28"/>
          <w:szCs w:val="28"/>
          <w:shd w:val="clear" w:color="auto" w:fill="FFFFFF"/>
        </w:rPr>
        <w:t>支持各种管理功能，PoE 电源管理、PoE 设备自检、PoE 电源排程、PoE 诊断。</w:t>
      </w:r>
    </w:p>
    <w:p>
      <w:pPr>
        <w:pStyle w:val="4"/>
        <w:numPr>
          <w:ilvl w:val="0"/>
          <w:numId w:val="0"/>
        </w:numPr>
        <w:ind w:left="560"/>
      </w:pPr>
      <w:r>
        <w:t>5.2</w:t>
      </w:r>
      <w:r>
        <w:rPr>
          <w:rFonts w:hint="eastAsia"/>
        </w:rPr>
        <w:t>服务器及操作站电脑配置要求</w:t>
      </w:r>
    </w:p>
    <w:p>
      <w:pPr>
        <w:pStyle w:val="62"/>
        <w:spacing w:line="560" w:lineRule="exact"/>
        <w:ind w:left="560" w:firstLineChars="0" w:firstLine="0"/>
        <w:rPr>
          <w:rFonts w:ascii="仿宋" w:eastAsia="仿宋"/>
          <w:sz w:val="28"/>
          <w:szCs w:val="28"/>
        </w:rPr>
      </w:pPr>
      <w:r>
        <w:rPr>
          <w:rFonts w:ascii="仿宋" w:eastAsia="仿宋" w:hint="eastAsia"/>
          <w:sz w:val="28"/>
          <w:szCs w:val="28"/>
        </w:rPr>
        <w:t>（1）服务器配置</w:t>
      </w:r>
    </w:p>
    <w:p>
      <w:pPr>
        <w:pStyle w:val="47"/>
        <w:spacing w:line="560" w:lineRule="exact"/>
        <w:rPr>
          <w:rFonts w:ascii="仿宋" w:eastAsia="仿宋"/>
          <w:sz w:val="28"/>
          <w:szCs w:val="28"/>
        </w:rPr>
      </w:pPr>
      <w:r>
        <w:rPr>
          <w:rFonts w:ascii="仿宋" w:eastAsia="仿宋" w:hint="eastAsia"/>
          <w:sz w:val="28"/>
          <w:szCs w:val="28"/>
        </w:rPr>
        <w:t>服务器的构成包括</w:t>
      </w:r>
      <w:r>
        <w:rPr>
          <w:rFonts w:ascii="仿宋" w:eastAsia="仿宋" w:hint="eastAsia"/>
          <w:sz w:val="28"/>
          <w:szCs w:val="28"/>
        </w:rPr>
        <w:fldChar w:fldCharType="begin"/>
      </w:r>
      <w:r>
        <w:instrText>HYPERLINK "https://baike.baidu.com/item/%E5%A4%84%E7%90%86%E5%99%A8/914419"</w:instrText>
      </w:r>
      <w:r>
        <w:rPr>
          <w:rFonts w:ascii="仿宋" w:eastAsia="仿宋" w:hint="eastAsia"/>
          <w:sz w:val="28"/>
          <w:szCs w:val="28"/>
        </w:rPr>
        <w:fldChar w:fldCharType="separate"/>
      </w:r>
      <w:r>
        <w:rPr>
          <w:rFonts w:ascii="仿宋" w:eastAsia="仿宋" w:hint="eastAsia"/>
          <w:sz w:val="28"/>
          <w:szCs w:val="28"/>
        </w:rPr>
        <w:t>处理器</w:t>
      </w:r>
      <w:r>
        <w:rPr>
          <w:rFonts w:ascii="仿宋" w:eastAsia="仿宋" w:hint="eastAsia"/>
          <w:sz w:val="28"/>
          <w:szCs w:val="28"/>
        </w:rPr>
        <w:fldChar w:fldCharType="end"/>
      </w:r>
      <w:r>
        <w:rPr>
          <w:rFonts w:ascii="仿宋" w:eastAsia="仿宋" w:hint="eastAsia"/>
          <w:sz w:val="28"/>
          <w:szCs w:val="28"/>
        </w:rPr>
        <w:t>、</w:t>
      </w:r>
      <w:r>
        <w:rPr>
          <w:rFonts w:ascii="仿宋" w:eastAsia="仿宋" w:hint="eastAsia"/>
          <w:sz w:val="28"/>
          <w:szCs w:val="28"/>
        </w:rPr>
        <w:fldChar w:fldCharType="begin"/>
      </w:r>
      <w:r>
        <w:instrText>HYPERLINK "https://baike.baidu.com/item/%E7%A1%AC%E7%9B%98/159825"</w:instrText>
      </w:r>
      <w:r>
        <w:rPr>
          <w:rFonts w:ascii="仿宋" w:eastAsia="仿宋" w:hint="eastAsia"/>
          <w:sz w:val="28"/>
          <w:szCs w:val="28"/>
        </w:rPr>
        <w:fldChar w:fldCharType="separate"/>
      </w:r>
      <w:r>
        <w:rPr>
          <w:rFonts w:ascii="仿宋" w:eastAsia="仿宋" w:hint="eastAsia"/>
          <w:sz w:val="28"/>
          <w:szCs w:val="28"/>
        </w:rPr>
        <w:t>硬盘</w:t>
      </w:r>
      <w:r>
        <w:rPr>
          <w:rFonts w:ascii="仿宋" w:eastAsia="仿宋" w:hint="eastAsia"/>
          <w:sz w:val="28"/>
          <w:szCs w:val="28"/>
        </w:rPr>
        <w:fldChar w:fldCharType="end"/>
      </w:r>
      <w:r>
        <w:rPr>
          <w:rFonts w:ascii="仿宋" w:eastAsia="仿宋" w:hint="eastAsia"/>
          <w:sz w:val="28"/>
          <w:szCs w:val="28"/>
        </w:rPr>
        <w:t>、</w:t>
      </w:r>
      <w:r>
        <w:rPr>
          <w:rFonts w:ascii="仿宋" w:eastAsia="仿宋" w:hint="eastAsia"/>
          <w:sz w:val="28"/>
          <w:szCs w:val="28"/>
        </w:rPr>
        <w:fldChar w:fldCharType="begin"/>
      </w:r>
      <w:r>
        <w:instrText>HYPERLINK "https://baike.baidu.com/item/%E5%86%85%E5%AD%98/103614"</w:instrText>
      </w:r>
      <w:r>
        <w:rPr>
          <w:rFonts w:ascii="仿宋" w:eastAsia="仿宋" w:hint="eastAsia"/>
          <w:sz w:val="28"/>
          <w:szCs w:val="28"/>
        </w:rPr>
        <w:fldChar w:fldCharType="separate"/>
      </w:r>
      <w:r>
        <w:rPr>
          <w:rFonts w:ascii="仿宋" w:eastAsia="仿宋" w:hint="eastAsia"/>
          <w:sz w:val="28"/>
          <w:szCs w:val="28"/>
        </w:rPr>
        <w:t>内存</w:t>
      </w:r>
      <w:r>
        <w:rPr>
          <w:rFonts w:ascii="仿宋" w:eastAsia="仿宋" w:hint="eastAsia"/>
          <w:sz w:val="28"/>
          <w:szCs w:val="28"/>
        </w:rPr>
        <w:fldChar w:fldCharType="end"/>
      </w:r>
      <w:r>
        <w:rPr>
          <w:rFonts w:ascii="仿宋" w:eastAsia="仿宋" w:hint="eastAsia"/>
          <w:sz w:val="28"/>
          <w:szCs w:val="28"/>
        </w:rPr>
        <w:t>、</w:t>
      </w:r>
      <w:r>
        <w:rPr>
          <w:rFonts w:ascii="仿宋" w:eastAsia="仿宋" w:hint="eastAsia"/>
          <w:sz w:val="28"/>
          <w:szCs w:val="28"/>
        </w:rPr>
        <w:fldChar w:fldCharType="begin"/>
      </w:r>
      <w:r>
        <w:instrText>HYPERLINK "https://baike.baidu.com/item/%E7%B3%BB%E7%BB%9F"</w:instrText>
      </w:r>
      <w:r>
        <w:rPr>
          <w:rFonts w:ascii="仿宋" w:eastAsia="仿宋" w:hint="eastAsia"/>
          <w:sz w:val="28"/>
          <w:szCs w:val="28"/>
        </w:rPr>
        <w:fldChar w:fldCharType="separate"/>
      </w:r>
      <w:r>
        <w:rPr>
          <w:rFonts w:ascii="仿宋" w:eastAsia="仿宋" w:hint="eastAsia"/>
          <w:sz w:val="28"/>
          <w:szCs w:val="28"/>
        </w:rPr>
        <w:t>系统</w:t>
      </w:r>
      <w:r>
        <w:rPr>
          <w:rFonts w:ascii="仿宋" w:eastAsia="仿宋" w:hint="eastAsia"/>
          <w:sz w:val="28"/>
          <w:szCs w:val="28"/>
        </w:rPr>
        <w:fldChar w:fldCharType="end"/>
      </w:r>
      <w:r>
        <w:rPr>
          <w:rFonts w:ascii="仿宋" w:eastAsia="仿宋" w:hint="eastAsia"/>
          <w:sz w:val="28"/>
          <w:szCs w:val="28"/>
        </w:rPr>
        <w:fldChar w:fldCharType="begin"/>
      </w:r>
      <w:r>
        <w:instrText>HYPERLINK "https://baike.baidu.com/item/%E6%80%BB%E7%BA%BF"</w:instrText>
      </w:r>
      <w:r>
        <w:rPr>
          <w:rFonts w:ascii="仿宋" w:eastAsia="仿宋" w:hint="eastAsia"/>
          <w:sz w:val="28"/>
          <w:szCs w:val="28"/>
        </w:rPr>
        <w:fldChar w:fldCharType="separate"/>
      </w:r>
      <w:r>
        <w:rPr>
          <w:rFonts w:ascii="仿宋" w:eastAsia="仿宋" w:hint="eastAsia"/>
          <w:sz w:val="28"/>
          <w:szCs w:val="28"/>
        </w:rPr>
        <w:t>总线</w:t>
      </w:r>
      <w:r>
        <w:rPr>
          <w:rFonts w:ascii="仿宋" w:eastAsia="仿宋" w:hint="eastAsia"/>
          <w:sz w:val="28"/>
          <w:szCs w:val="28"/>
        </w:rPr>
        <w:fldChar w:fldCharType="end"/>
      </w:r>
      <w:r>
        <w:rPr>
          <w:rFonts w:ascii="仿宋" w:eastAsia="仿宋" w:hint="eastAsia"/>
          <w:sz w:val="28"/>
          <w:szCs w:val="28"/>
        </w:rPr>
        <w:t>等，和通用的计算机架构类似，但是由于需要提供高可靠的服务，因此在处理能力、稳定性、可靠性、安全性、可扩展性、可管理性等方面要求较高。由于服务器需要响应服务请求，并进行处理，因此一般来说服务器应具备承担服务并且保障服务的能力。</w:t>
      </w:r>
    </w:p>
    <w:tbl>
      <w:tblPr>
        <w:jc w:val="center"/>
        <w:tblW w:w="472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776"/>
        <w:gridCol w:w="2139"/>
        <w:gridCol w:w="6125"/>
      </w:tblGrid>
      <w:tr>
        <w:tc>
          <w:tcPr>
            <w:tcW w:w="429"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序号</w:t>
            </w:r>
          </w:p>
        </w:tc>
        <w:tc>
          <w:tcPr>
            <w:tcW w:w="1183"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项目</w:t>
            </w:r>
          </w:p>
        </w:tc>
        <w:tc>
          <w:tcPr>
            <w:tcW w:w="3388"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最低规格/要求</w:t>
            </w:r>
          </w:p>
        </w:tc>
      </w:tr>
      <w:tr>
        <w:tc>
          <w:tcPr>
            <w:tcW w:w="429"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1</w:t>
            </w:r>
          </w:p>
        </w:tc>
        <w:tc>
          <w:tcPr>
            <w:tcW w:w="1183"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CPU</w:t>
            </w:r>
          </w:p>
        </w:tc>
        <w:tc>
          <w:tcPr>
            <w:tcW w:w="3388" w:type="pct"/>
            <w:noWrap/>
            <w:vAlign w:val="center"/>
          </w:tcPr>
          <w:p>
            <w:pPr>
              <w:spacing w:line="23" w:lineRule="atLeast"/>
              <w:jc w:val="center"/>
              <w:rPr>
                <w:rFonts w:ascii="仿宋" w:eastAsia="仿宋" w:cs="仿宋"/>
                <w:sz w:val="28"/>
                <w:szCs w:val="28"/>
              </w:rPr>
            </w:pPr>
            <w:r>
              <w:rPr>
                <w:rFonts w:ascii="宋体"/>
                <w:sz w:val="24"/>
              </w:rPr>
              <w:t>2颗Intel Xeon Gold 5218 16C 125W 2.3GHz</w:t>
            </w:r>
            <w:r>
              <w:rPr>
                <w:rFonts w:ascii="宋体" w:hint="eastAsia"/>
                <w:sz w:val="24"/>
              </w:rPr>
              <w:t>及</w:t>
            </w:r>
            <w:r>
              <w:rPr>
                <w:rFonts w:ascii="宋体"/>
                <w:sz w:val="24"/>
              </w:rPr>
              <w:t>以上</w:t>
            </w:r>
          </w:p>
        </w:tc>
      </w:tr>
      <w:tr>
        <w:tc>
          <w:tcPr>
            <w:tcW w:w="429"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2</w:t>
            </w:r>
          </w:p>
        </w:tc>
        <w:tc>
          <w:tcPr>
            <w:tcW w:w="1183"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内存</w:t>
            </w:r>
          </w:p>
        </w:tc>
        <w:tc>
          <w:tcPr>
            <w:tcW w:w="3388" w:type="pct"/>
            <w:noWrap/>
            <w:vAlign w:val="center"/>
          </w:tcPr>
          <w:p>
            <w:pPr>
              <w:spacing w:line="23" w:lineRule="atLeast"/>
              <w:jc w:val="center"/>
              <w:rPr>
                <w:rFonts w:ascii="仿宋" w:eastAsia="仿宋" w:cs="仿宋"/>
                <w:sz w:val="28"/>
                <w:szCs w:val="28"/>
              </w:rPr>
            </w:pPr>
            <w:r>
              <w:rPr>
                <w:rFonts w:ascii="仿宋" w:eastAsia="仿宋" w:cs="仿宋" w:hint="eastAsia"/>
                <w:kern w:val="0"/>
                <w:sz w:val="28"/>
                <w:szCs w:val="28"/>
              </w:rPr>
              <w:t>64G</w:t>
            </w:r>
          </w:p>
        </w:tc>
      </w:tr>
      <w:tr>
        <w:tc>
          <w:tcPr>
            <w:tcW w:w="429"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3</w:t>
            </w:r>
          </w:p>
        </w:tc>
        <w:tc>
          <w:tcPr>
            <w:tcW w:w="1183"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硬盘</w:t>
            </w:r>
          </w:p>
        </w:tc>
        <w:tc>
          <w:tcPr>
            <w:tcW w:w="3388" w:type="pct"/>
            <w:noWrap/>
            <w:vAlign w:val="center"/>
          </w:tcPr>
          <w:p>
            <w:pPr>
              <w:spacing w:line="23" w:lineRule="atLeast"/>
              <w:jc w:val="center"/>
              <w:rPr>
                <w:rFonts w:ascii="仿宋" w:eastAsia="仿宋" w:cs="仿宋"/>
                <w:sz w:val="28"/>
                <w:szCs w:val="28"/>
              </w:rPr>
            </w:pPr>
            <w:r>
              <w:rPr>
                <w:rFonts w:ascii="仿宋" w:eastAsia="仿宋" w:cs="仿宋" w:hint="eastAsia"/>
                <w:kern w:val="0"/>
                <w:sz w:val="28"/>
                <w:szCs w:val="28"/>
              </w:rPr>
              <w:t>512GB固态硬盘*2+4T机械硬盘*3</w:t>
            </w:r>
          </w:p>
        </w:tc>
      </w:tr>
      <w:tr>
        <w:tc>
          <w:tcPr>
            <w:tcW w:w="429"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4</w:t>
            </w:r>
          </w:p>
        </w:tc>
        <w:tc>
          <w:tcPr>
            <w:tcW w:w="1183"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通讯</w:t>
            </w:r>
          </w:p>
        </w:tc>
        <w:tc>
          <w:tcPr>
            <w:tcW w:w="3388" w:type="pct"/>
            <w:noWrap/>
            <w:vAlign w:val="center"/>
          </w:tcPr>
          <w:p>
            <w:pPr>
              <w:spacing w:line="23" w:lineRule="atLeast"/>
              <w:jc w:val="center"/>
              <w:rPr>
                <w:rFonts w:ascii="仿宋" w:eastAsia="仿宋" w:cs="仿宋"/>
                <w:sz w:val="28"/>
                <w:szCs w:val="28"/>
              </w:rPr>
            </w:pPr>
            <w:r>
              <w:rPr>
                <w:rFonts w:ascii="仿宋" w:eastAsia="仿宋" w:cs="仿宋" w:hint="eastAsia"/>
                <w:kern w:val="0"/>
                <w:sz w:val="28"/>
                <w:szCs w:val="28"/>
              </w:rPr>
              <w:t>1000Mbps</w:t>
            </w:r>
          </w:p>
        </w:tc>
      </w:tr>
      <w:tr>
        <w:tc>
          <w:tcPr>
            <w:tcW w:w="429"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5</w:t>
            </w:r>
          </w:p>
        </w:tc>
        <w:tc>
          <w:tcPr>
            <w:tcW w:w="1183"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备注</w:t>
            </w:r>
          </w:p>
        </w:tc>
        <w:tc>
          <w:tcPr>
            <w:tcW w:w="3388" w:type="pct"/>
            <w:noWrap/>
            <w:vAlign w:val="center"/>
          </w:tcPr>
          <w:p>
            <w:pPr>
              <w:spacing w:line="23" w:lineRule="atLeast"/>
              <w:jc w:val="center"/>
              <w:rPr>
                <w:rFonts w:ascii="仿宋" w:eastAsia="仿宋" w:cs="仿宋"/>
                <w:sz w:val="28"/>
                <w:szCs w:val="28"/>
              </w:rPr>
            </w:pPr>
            <w:r>
              <w:rPr>
                <w:rFonts w:ascii="仿宋" w:eastAsia="仿宋" w:cs="仿宋" w:hint="eastAsia"/>
                <w:sz w:val="28"/>
                <w:szCs w:val="28"/>
              </w:rPr>
              <w:t>双机，主从热备；</w:t>
            </w:r>
          </w:p>
          <w:p>
            <w:pPr>
              <w:spacing w:line="23" w:lineRule="atLeast"/>
              <w:jc w:val="center"/>
              <w:rPr>
                <w:rFonts w:ascii="仿宋" w:eastAsia="仿宋" w:cs="仿宋"/>
                <w:sz w:val="28"/>
                <w:szCs w:val="28"/>
              </w:rPr>
            </w:pPr>
            <w:r>
              <w:rPr>
                <w:rFonts w:ascii="仿宋" w:eastAsia="仿宋" w:cs="仿宋" w:hint="eastAsia"/>
                <w:sz w:val="28"/>
                <w:szCs w:val="28"/>
              </w:rPr>
              <w:t>双网口；</w:t>
            </w:r>
          </w:p>
          <w:p>
            <w:pPr>
              <w:spacing w:line="23" w:lineRule="atLeast"/>
              <w:jc w:val="center"/>
              <w:rPr>
                <w:rFonts w:ascii="仿宋" w:eastAsia="仿宋" w:cs="仿宋"/>
                <w:bCs/>
                <w:kern w:val="0"/>
                <w:sz w:val="28"/>
                <w:szCs w:val="28"/>
              </w:rPr>
            </w:pPr>
            <w:r>
              <w:rPr>
                <w:rFonts w:ascii="仿宋" w:eastAsia="仿宋" w:cs="仿宋" w:hint="eastAsia"/>
                <w:kern w:val="0"/>
                <w:sz w:val="28"/>
                <w:szCs w:val="28"/>
              </w:rPr>
              <w:t>PCI-E插槽，支持</w:t>
            </w:r>
            <w:r>
              <w:rPr>
                <w:rFonts w:ascii="仿宋" w:eastAsia="仿宋" w:cs="仿宋" w:hint="eastAsia"/>
                <w:bCs/>
                <w:kern w:val="0"/>
                <w:sz w:val="28"/>
                <w:szCs w:val="28"/>
              </w:rPr>
              <w:t>即插即用</w:t>
            </w:r>
            <w:r>
              <w:rPr>
                <w:rFonts w:ascii="仿宋" w:eastAsia="仿宋" w:cs="仿宋" w:hint="eastAsia"/>
                <w:kern w:val="0"/>
                <w:sz w:val="28"/>
                <w:szCs w:val="28"/>
              </w:rPr>
              <w:t>；</w:t>
            </w:r>
          </w:p>
          <w:p>
            <w:pPr>
              <w:spacing w:line="23" w:lineRule="atLeast"/>
              <w:jc w:val="center"/>
              <w:rPr>
                <w:rFonts w:ascii="仿宋" w:eastAsia="仿宋" w:cs="仿宋"/>
                <w:kern w:val="0"/>
                <w:sz w:val="28"/>
                <w:szCs w:val="28"/>
              </w:rPr>
            </w:pPr>
            <w:r>
              <w:rPr>
                <w:rFonts w:ascii="仿宋" w:eastAsia="仿宋" w:cs="仿宋" w:hint="eastAsia"/>
                <w:bCs/>
                <w:kern w:val="0"/>
                <w:sz w:val="28"/>
                <w:szCs w:val="28"/>
              </w:rPr>
              <w:t>接口</w:t>
            </w:r>
            <w:r>
              <w:rPr>
                <w:rFonts w:ascii="仿宋" w:eastAsia="仿宋" w:cs="仿宋" w:hint="eastAsia"/>
                <w:kern w:val="0"/>
                <w:sz w:val="28"/>
                <w:szCs w:val="28"/>
              </w:rPr>
              <w:t>USB3.0；VGA；COM；RJ45；</w:t>
            </w:r>
          </w:p>
          <w:p>
            <w:pPr>
              <w:spacing w:line="23" w:lineRule="atLeast"/>
              <w:jc w:val="center"/>
              <w:rPr>
                <w:rFonts w:ascii="仿宋" w:eastAsia="仿宋" w:cs="仿宋"/>
                <w:kern w:val="0"/>
                <w:sz w:val="28"/>
                <w:szCs w:val="28"/>
              </w:rPr>
            </w:pPr>
            <w:r>
              <w:rPr>
                <w:rFonts w:ascii="仿宋" w:eastAsia="仿宋" w:cs="仿宋" w:hint="eastAsia"/>
                <w:kern w:val="0"/>
                <w:sz w:val="28"/>
                <w:szCs w:val="28"/>
              </w:rPr>
              <w:t>机构：2U机架式，12</w:t>
            </w:r>
            <w:r>
              <w:rPr>
                <w:rFonts w:ascii="仿宋" w:eastAsia="仿宋" w:cs="仿宋" w:hint="eastAsia"/>
                <w:bCs/>
                <w:kern w:val="0"/>
                <w:sz w:val="28"/>
                <w:szCs w:val="28"/>
              </w:rPr>
              <w:t>热插拔盘位</w:t>
            </w:r>
            <w:r>
              <w:rPr>
                <w:rFonts w:ascii="仿宋" w:eastAsia="仿宋" w:cs="仿宋" w:hint="eastAsia"/>
                <w:kern w:val="0"/>
                <w:sz w:val="28"/>
                <w:szCs w:val="28"/>
              </w:rPr>
              <w:t>；</w:t>
            </w:r>
          </w:p>
          <w:p>
            <w:pPr>
              <w:spacing w:line="23" w:lineRule="atLeast"/>
              <w:jc w:val="center"/>
              <w:rPr>
                <w:rFonts w:ascii="仿宋" w:eastAsia="仿宋" w:cs="仿宋"/>
                <w:kern w:val="0"/>
                <w:sz w:val="28"/>
                <w:szCs w:val="28"/>
              </w:rPr>
            </w:pPr>
            <w:r>
              <w:rPr>
                <w:rFonts w:ascii="仿宋" w:eastAsia="仿宋" w:cs="仿宋" w:hint="eastAsia"/>
                <w:bCs/>
                <w:kern w:val="0"/>
                <w:sz w:val="28"/>
                <w:szCs w:val="28"/>
              </w:rPr>
              <w:t>电源：750</w:t>
            </w:r>
            <w:r>
              <w:rPr>
                <w:rFonts w:ascii="仿宋" w:eastAsia="仿宋" w:cs="仿宋" w:hint="eastAsia"/>
                <w:kern w:val="0"/>
                <w:sz w:val="28"/>
                <w:szCs w:val="28"/>
              </w:rPr>
              <w:t>W（1+1冗余），ATX12V；</w:t>
            </w:r>
          </w:p>
          <w:p>
            <w:pPr>
              <w:spacing w:line="23" w:lineRule="atLeast"/>
              <w:rPr>
                <w:rFonts w:ascii="仿宋" w:eastAsia="仿宋" w:cs="仿宋"/>
                <w:sz w:val="28"/>
                <w:szCs w:val="28"/>
              </w:rPr>
            </w:pPr>
            <w:r>
              <w:rPr>
                <w:rFonts w:ascii="仿宋" w:eastAsia="仿宋" w:cs="仿宋" w:hint="eastAsia"/>
                <w:bCs/>
                <w:kern w:val="0"/>
                <w:sz w:val="28"/>
                <w:szCs w:val="28"/>
              </w:rPr>
              <w:t>支持但不限于</w:t>
            </w:r>
            <w:r>
              <w:rPr>
                <w:rFonts w:ascii="仿宋" w:eastAsia="仿宋" w:cs="仿宋" w:hint="eastAsia"/>
                <w:kern w:val="0"/>
                <w:sz w:val="28"/>
                <w:szCs w:val="28"/>
              </w:rPr>
              <w:t>深度/神威睿思/中标麒麟等</w:t>
            </w:r>
            <w:r>
              <w:rPr>
                <w:rFonts w:ascii="仿宋" w:eastAsia="仿宋" w:cs="仿宋" w:hint="eastAsia"/>
                <w:bCs/>
                <w:kern w:val="0"/>
                <w:sz w:val="28"/>
                <w:szCs w:val="28"/>
              </w:rPr>
              <w:t>操作系统。</w:t>
            </w:r>
          </w:p>
        </w:tc>
      </w:tr>
    </w:tbl>
    <w:p>
      <w:pPr>
        <w:pStyle w:val="62"/>
        <w:ind w:left="420" w:firstLineChars="0" w:firstLine="0"/>
        <w:rPr>
          <w:rFonts w:ascii="仿宋" w:eastAsia="仿宋"/>
          <w:sz w:val="28"/>
          <w:szCs w:val="28"/>
        </w:rPr>
      </w:pPr>
      <w:r>
        <w:rPr>
          <w:rFonts w:ascii="仿宋" w:eastAsia="仿宋" w:hint="eastAsia"/>
          <w:b/>
          <w:sz w:val="28"/>
          <w:szCs w:val="28"/>
        </w:rPr>
        <w:t xml:space="preserve"> </w:t>
      </w:r>
      <w:r>
        <w:rPr>
          <w:rFonts w:ascii="仿宋" w:eastAsia="仿宋"/>
          <w:b/>
          <w:sz w:val="28"/>
          <w:szCs w:val="28"/>
        </w:rPr>
        <w:t>（2）</w:t>
      </w:r>
      <w:r>
        <w:rPr>
          <w:rFonts w:ascii="仿宋" w:eastAsia="仿宋" w:hint="eastAsia"/>
          <w:sz w:val="28"/>
          <w:szCs w:val="28"/>
        </w:rPr>
        <w:t>操作站电脑配置（每个车间两台）</w:t>
      </w:r>
    </w:p>
    <w:tbl>
      <w:tblPr>
        <w:tblpPr w:leftFromText="180" w:rightFromText="180" w:vertAnchor="text" w:horzAnchor="margin" w:tblpXSpec="center" w:tblpY="43"/>
        <w:tblW w:w="472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953"/>
        <w:gridCol w:w="633"/>
        <w:gridCol w:w="2215"/>
        <w:gridCol w:w="5241"/>
      </w:tblGrid>
      <w:tr>
        <w:tc>
          <w:tcPr>
            <w:tcW w:w="527" w:type="pct"/>
          </w:tcPr>
          <w:p>
            <w:pPr>
              <w:spacing w:line="23" w:lineRule="atLeast"/>
              <w:rPr>
                <w:rFonts w:ascii="仿宋" w:eastAsia="仿宋" w:cs="仿宋"/>
                <w:sz w:val="28"/>
                <w:szCs w:val="28"/>
              </w:rPr>
            </w:pPr>
            <w:r>
              <w:rPr>
                <w:rFonts w:ascii="仿宋" w:eastAsia="仿宋" w:cs="仿宋" w:hint="eastAsia"/>
                <w:sz w:val="28"/>
                <w:szCs w:val="28"/>
              </w:rPr>
              <w:t>序号</w:t>
            </w:r>
          </w:p>
        </w:tc>
        <w:tc>
          <w:tcPr>
            <w:tcW w:w="1575" w:type="pct"/>
            <w:gridSpan w:val="2"/>
            <w:noWrap/>
          </w:tcPr>
          <w:p>
            <w:pPr>
              <w:spacing w:line="23" w:lineRule="atLeast"/>
              <w:rPr>
                <w:rFonts w:ascii="仿宋" w:eastAsia="仿宋" w:cs="仿宋"/>
                <w:sz w:val="28"/>
                <w:szCs w:val="28"/>
              </w:rPr>
            </w:pPr>
            <w:r>
              <w:rPr>
                <w:rFonts w:ascii="仿宋" w:eastAsia="仿宋" w:cs="仿宋" w:hint="eastAsia"/>
                <w:sz w:val="28"/>
                <w:szCs w:val="28"/>
              </w:rPr>
              <w:t>名称</w:t>
            </w:r>
          </w:p>
        </w:tc>
        <w:tc>
          <w:tcPr>
            <w:tcW w:w="2899" w:type="pct"/>
          </w:tcPr>
          <w:p>
            <w:pPr>
              <w:spacing w:line="23" w:lineRule="atLeast"/>
              <w:rPr>
                <w:rFonts w:ascii="仿宋" w:eastAsia="仿宋" w:cs="仿宋"/>
                <w:sz w:val="28"/>
                <w:szCs w:val="28"/>
              </w:rPr>
            </w:pPr>
            <w:r>
              <w:rPr>
                <w:rFonts w:ascii="仿宋" w:eastAsia="仿宋" w:cs="仿宋" w:hint="eastAsia"/>
                <w:sz w:val="28"/>
                <w:szCs w:val="28"/>
              </w:rPr>
              <w:t>上位计算机（操作员站）</w:t>
            </w:r>
          </w:p>
        </w:tc>
      </w:tr>
      <w:tr>
        <w:tc>
          <w:tcPr>
            <w:tcW w:w="527" w:type="pct"/>
          </w:tcPr>
          <w:p>
            <w:pPr>
              <w:spacing w:line="23" w:lineRule="atLeast"/>
              <w:rPr>
                <w:rFonts w:ascii="仿宋" w:eastAsia="仿宋" w:cs="仿宋"/>
                <w:sz w:val="28"/>
                <w:szCs w:val="28"/>
              </w:rPr>
            </w:pPr>
            <w:r>
              <w:rPr>
                <w:rFonts w:ascii="仿宋" w:eastAsia="仿宋" w:cs="仿宋" w:hint="eastAsia"/>
                <w:sz w:val="28"/>
                <w:szCs w:val="28"/>
              </w:rPr>
              <w:t>1</w:t>
            </w:r>
          </w:p>
        </w:tc>
        <w:tc>
          <w:tcPr>
            <w:tcW w:w="1575" w:type="pct"/>
            <w:gridSpan w:val="2"/>
            <w:noWrap/>
          </w:tcPr>
          <w:p>
            <w:pPr>
              <w:spacing w:line="23" w:lineRule="atLeast"/>
              <w:rPr>
                <w:rFonts w:ascii="仿宋" w:eastAsia="仿宋" w:cs="仿宋"/>
                <w:sz w:val="28"/>
                <w:szCs w:val="28"/>
              </w:rPr>
            </w:pPr>
            <w:r>
              <w:rPr>
                <w:rFonts w:ascii="仿宋" w:eastAsia="仿宋" w:cs="仿宋" w:hint="eastAsia"/>
                <w:sz w:val="28"/>
                <w:szCs w:val="28"/>
              </w:rPr>
              <w:t>型号</w:t>
            </w:r>
          </w:p>
        </w:tc>
        <w:tc>
          <w:tcPr>
            <w:tcW w:w="2899" w:type="pct"/>
          </w:tcPr>
          <w:p>
            <w:pPr>
              <w:spacing w:line="23" w:lineRule="atLeast"/>
              <w:rPr>
                <w:rFonts w:ascii="仿宋" w:eastAsia="仿宋" w:cs="仿宋"/>
                <w:sz w:val="28"/>
                <w:szCs w:val="28"/>
              </w:rPr>
            </w:pPr>
            <w:r>
              <w:rPr>
                <w:rFonts w:ascii="仿宋" w:eastAsia="仿宋" w:cs="仿宋" w:hint="eastAsia"/>
                <w:sz w:val="28"/>
                <w:szCs w:val="28"/>
              </w:rPr>
              <w:t>DELL/联想</w:t>
            </w:r>
          </w:p>
        </w:tc>
      </w:tr>
      <w:tr>
        <w:trPr>
          <w:cantSplit/>
        </w:trPr>
        <w:tc>
          <w:tcPr>
            <w:tcW w:w="527" w:type="pct"/>
          </w:tcPr>
          <w:p>
            <w:pPr>
              <w:spacing w:line="23" w:lineRule="atLeast"/>
              <w:rPr>
                <w:rFonts w:ascii="仿宋" w:eastAsia="仿宋" w:cs="仿宋"/>
                <w:sz w:val="28"/>
                <w:szCs w:val="28"/>
              </w:rPr>
            </w:pPr>
            <w:r>
              <w:rPr>
                <w:rFonts w:ascii="仿宋" w:eastAsia="仿宋" w:cs="仿宋" w:hint="eastAsia"/>
                <w:sz w:val="28"/>
                <w:szCs w:val="28"/>
              </w:rPr>
              <w:t>2</w:t>
            </w:r>
          </w:p>
        </w:tc>
        <w:tc>
          <w:tcPr>
            <w:tcW w:w="350" w:type="pct"/>
            <w:vMerge w:val="restart"/>
            <w:noWrap/>
          </w:tcPr>
          <w:p>
            <w:pPr>
              <w:spacing w:line="23" w:lineRule="atLeast"/>
              <w:rPr>
                <w:rFonts w:ascii="仿宋" w:eastAsia="仿宋" w:cs="仿宋"/>
                <w:sz w:val="28"/>
                <w:szCs w:val="28"/>
              </w:rPr>
            </w:pPr>
          </w:p>
          <w:p>
            <w:pPr>
              <w:spacing w:line="23" w:lineRule="atLeast"/>
              <w:rPr>
                <w:rFonts w:ascii="仿宋" w:eastAsia="仿宋" w:cs="仿宋"/>
                <w:sz w:val="28"/>
                <w:szCs w:val="28"/>
              </w:rPr>
            </w:pPr>
          </w:p>
          <w:p>
            <w:pPr>
              <w:spacing w:line="23" w:lineRule="atLeast"/>
              <w:rPr>
                <w:rFonts w:ascii="仿宋" w:eastAsia="仿宋" w:cs="仿宋"/>
                <w:sz w:val="28"/>
                <w:szCs w:val="28"/>
              </w:rPr>
            </w:pPr>
            <w:r>
              <w:rPr>
                <w:rFonts w:ascii="仿宋" w:eastAsia="仿宋" w:cs="仿宋" w:hint="eastAsia"/>
                <w:sz w:val="28"/>
                <w:szCs w:val="28"/>
              </w:rPr>
              <w:t>主</w:t>
            </w:r>
          </w:p>
          <w:p>
            <w:pPr>
              <w:spacing w:line="23" w:lineRule="atLeast"/>
              <w:rPr>
                <w:rFonts w:ascii="仿宋" w:eastAsia="仿宋" w:cs="仿宋"/>
                <w:sz w:val="28"/>
                <w:szCs w:val="28"/>
              </w:rPr>
            </w:pPr>
          </w:p>
          <w:p>
            <w:pPr>
              <w:spacing w:line="23" w:lineRule="atLeast"/>
              <w:rPr>
                <w:rFonts w:ascii="仿宋" w:eastAsia="仿宋" w:cs="仿宋"/>
                <w:sz w:val="28"/>
                <w:szCs w:val="28"/>
              </w:rPr>
            </w:pPr>
            <w:r>
              <w:rPr>
                <w:rFonts w:ascii="仿宋" w:eastAsia="仿宋" w:cs="仿宋" w:hint="eastAsia"/>
                <w:sz w:val="28"/>
                <w:szCs w:val="28"/>
              </w:rPr>
              <w:t>机</w:t>
            </w:r>
          </w:p>
          <w:p>
            <w:pPr>
              <w:spacing w:line="23" w:lineRule="atLeast"/>
              <w:rPr>
                <w:rFonts w:ascii="仿宋" w:eastAsia="仿宋" w:cs="仿宋"/>
                <w:sz w:val="28"/>
                <w:szCs w:val="28"/>
              </w:rPr>
            </w:pPr>
          </w:p>
        </w:tc>
        <w:tc>
          <w:tcPr>
            <w:tcW w:w="1225" w:type="pct"/>
          </w:tcPr>
          <w:p>
            <w:pPr>
              <w:spacing w:line="23" w:lineRule="atLeast"/>
              <w:rPr>
                <w:rFonts w:ascii="仿宋" w:eastAsia="仿宋" w:cs="仿宋"/>
                <w:sz w:val="28"/>
                <w:szCs w:val="28"/>
              </w:rPr>
            </w:pPr>
            <w:r>
              <w:rPr>
                <w:rFonts w:ascii="仿宋" w:eastAsia="仿宋" w:cs="仿宋" w:hint="eastAsia"/>
                <w:sz w:val="28"/>
                <w:szCs w:val="28"/>
              </w:rPr>
              <w:t>CPU</w:t>
            </w:r>
          </w:p>
        </w:tc>
        <w:tc>
          <w:tcPr>
            <w:tcW w:w="2899" w:type="pct"/>
          </w:tcPr>
          <w:p>
            <w:pPr>
              <w:spacing w:line="23" w:lineRule="atLeast"/>
              <w:rPr>
                <w:rFonts w:ascii="仿宋" w:eastAsia="仿宋" w:cs="仿宋"/>
                <w:sz w:val="28"/>
                <w:szCs w:val="28"/>
              </w:rPr>
            </w:pPr>
            <w:r>
              <w:rPr>
                <w:rFonts w:ascii="仿宋" w:eastAsia="仿宋" w:cs="仿宋" w:hint="eastAsia"/>
                <w:sz w:val="28"/>
                <w:szCs w:val="28"/>
              </w:rPr>
              <w:t>英特尔i</w:t>
            </w:r>
            <w:r>
              <w:rPr>
                <w:rFonts w:ascii="仿宋" w:eastAsia="仿宋" w:cs="仿宋"/>
                <w:sz w:val="28"/>
                <w:szCs w:val="28"/>
              </w:rPr>
              <w:t>5</w:t>
            </w:r>
            <w:r>
              <w:rPr>
                <w:rFonts w:ascii="仿宋" w:eastAsia="仿宋" w:cs="仿宋" w:hint="eastAsia"/>
                <w:sz w:val="28"/>
                <w:szCs w:val="28"/>
              </w:rPr>
              <w:t>及以上配置或同性能处理器</w:t>
            </w:r>
          </w:p>
        </w:tc>
      </w:tr>
      <w:tr>
        <w:trPr>
          <w:cantSplit/>
        </w:trPr>
        <w:tc>
          <w:tcPr>
            <w:tcW w:w="527" w:type="pct"/>
          </w:tcPr>
          <w:p>
            <w:pPr>
              <w:spacing w:line="23" w:lineRule="atLeast"/>
              <w:rPr>
                <w:rFonts w:ascii="仿宋" w:eastAsia="仿宋" w:cs="仿宋"/>
                <w:sz w:val="28"/>
                <w:szCs w:val="28"/>
              </w:rPr>
            </w:pPr>
            <w:r>
              <w:rPr>
                <w:rFonts w:ascii="仿宋" w:eastAsia="仿宋" w:cs="仿宋" w:hint="eastAsia"/>
                <w:sz w:val="28"/>
                <w:szCs w:val="28"/>
              </w:rPr>
              <w:t>3</w:t>
            </w:r>
          </w:p>
        </w:tc>
        <w:tc>
          <w:tcPr>
            <w:tcW w:w="350" w:type="pct"/>
            <w:vMerge/>
            <w:noWrap/>
          </w:tcPr>
          <w:p/>
        </w:tc>
        <w:tc>
          <w:tcPr>
            <w:tcW w:w="1225" w:type="pct"/>
          </w:tcPr>
          <w:p>
            <w:pPr>
              <w:spacing w:line="23" w:lineRule="atLeast"/>
              <w:rPr>
                <w:rFonts w:ascii="仿宋" w:eastAsia="仿宋" w:cs="仿宋"/>
                <w:sz w:val="28"/>
                <w:szCs w:val="28"/>
              </w:rPr>
            </w:pPr>
            <w:r>
              <w:rPr>
                <w:rFonts w:ascii="仿宋" w:eastAsia="仿宋" w:cs="仿宋" w:hint="eastAsia"/>
                <w:sz w:val="28"/>
                <w:szCs w:val="28"/>
              </w:rPr>
              <w:t>内存</w:t>
            </w:r>
          </w:p>
        </w:tc>
        <w:tc>
          <w:tcPr>
            <w:tcW w:w="2899" w:type="pct"/>
          </w:tcPr>
          <w:p>
            <w:pPr>
              <w:spacing w:line="23" w:lineRule="atLeast"/>
              <w:rPr>
                <w:rFonts w:ascii="仿宋" w:eastAsia="仿宋" w:cs="仿宋"/>
                <w:sz w:val="28"/>
                <w:szCs w:val="28"/>
              </w:rPr>
            </w:pPr>
            <w:r>
              <w:rPr>
                <w:rFonts w:ascii="仿宋" w:eastAsia="仿宋" w:cs="仿宋"/>
                <w:sz w:val="28"/>
                <w:szCs w:val="28"/>
              </w:rPr>
              <w:t>32</w:t>
            </w:r>
            <w:r>
              <w:rPr>
                <w:rFonts w:ascii="仿宋" w:eastAsia="仿宋" w:cs="仿宋" w:hint="eastAsia"/>
                <w:sz w:val="28"/>
                <w:szCs w:val="28"/>
              </w:rPr>
              <w:t>GB及以上配置</w:t>
            </w:r>
          </w:p>
        </w:tc>
      </w:tr>
      <w:tr>
        <w:trPr>
          <w:cantSplit/>
        </w:trPr>
        <w:tc>
          <w:tcPr>
            <w:tcW w:w="527" w:type="pct"/>
          </w:tcPr>
          <w:p>
            <w:pPr>
              <w:spacing w:line="23" w:lineRule="atLeast"/>
              <w:rPr>
                <w:rFonts w:ascii="仿宋" w:eastAsia="仿宋" w:cs="仿宋"/>
                <w:sz w:val="28"/>
                <w:szCs w:val="28"/>
              </w:rPr>
            </w:pPr>
            <w:r>
              <w:rPr>
                <w:rFonts w:ascii="仿宋" w:eastAsia="仿宋" w:cs="仿宋" w:hint="eastAsia"/>
                <w:sz w:val="28"/>
                <w:szCs w:val="28"/>
              </w:rPr>
              <w:t>4</w:t>
            </w:r>
          </w:p>
        </w:tc>
        <w:tc>
          <w:tcPr>
            <w:tcW w:w="350" w:type="pct"/>
            <w:vMerge/>
            <w:noWrap/>
          </w:tcPr>
          <w:p/>
        </w:tc>
        <w:tc>
          <w:tcPr>
            <w:tcW w:w="1225" w:type="pct"/>
          </w:tcPr>
          <w:p>
            <w:pPr>
              <w:spacing w:line="23" w:lineRule="atLeast"/>
              <w:rPr>
                <w:rFonts w:ascii="仿宋" w:eastAsia="仿宋" w:cs="仿宋"/>
                <w:sz w:val="28"/>
                <w:szCs w:val="28"/>
              </w:rPr>
            </w:pPr>
            <w:r>
              <w:rPr>
                <w:rFonts w:ascii="仿宋" w:eastAsia="仿宋" w:cs="仿宋" w:hint="eastAsia"/>
                <w:sz w:val="28"/>
                <w:szCs w:val="28"/>
              </w:rPr>
              <w:t>硬盘驱动器</w:t>
            </w:r>
          </w:p>
        </w:tc>
        <w:tc>
          <w:tcPr>
            <w:tcW w:w="2899" w:type="pct"/>
          </w:tcPr>
          <w:p>
            <w:pPr>
              <w:spacing w:line="23" w:lineRule="atLeast"/>
              <w:rPr>
                <w:rFonts w:ascii="仿宋" w:eastAsia="仿宋" w:cs="仿宋"/>
                <w:sz w:val="28"/>
                <w:szCs w:val="28"/>
              </w:rPr>
            </w:pPr>
            <w:r>
              <w:rPr>
                <w:rFonts w:ascii="仿宋" w:eastAsia="仿宋" w:cs="仿宋" w:hint="eastAsia"/>
                <w:sz w:val="28"/>
                <w:szCs w:val="28"/>
              </w:rPr>
              <w:t>256</w:t>
            </w:r>
            <w:r>
              <w:rPr>
                <w:rFonts w:ascii="仿宋" w:eastAsia="仿宋" w:cs="仿宋"/>
                <w:sz w:val="28"/>
                <w:szCs w:val="28"/>
              </w:rPr>
              <w:t>G</w:t>
            </w:r>
            <w:r>
              <w:rPr>
                <w:rFonts w:ascii="仿宋" w:eastAsia="仿宋" w:cs="仿宋" w:hint="eastAsia"/>
                <w:sz w:val="28"/>
                <w:szCs w:val="28"/>
              </w:rPr>
              <w:t>固态硬盘+1TB机械硬盘及以上配置</w:t>
            </w:r>
          </w:p>
        </w:tc>
      </w:tr>
      <w:tr>
        <w:trPr>
          <w:cantSplit/>
        </w:trPr>
        <w:tc>
          <w:tcPr>
            <w:tcW w:w="527" w:type="pct"/>
          </w:tcPr>
          <w:p>
            <w:pPr>
              <w:spacing w:line="23" w:lineRule="atLeast"/>
              <w:rPr>
                <w:rFonts w:ascii="仿宋" w:eastAsia="仿宋" w:cs="仿宋"/>
                <w:sz w:val="28"/>
                <w:szCs w:val="28"/>
              </w:rPr>
            </w:pPr>
            <w:r>
              <w:rPr>
                <w:rFonts w:ascii="仿宋" w:eastAsia="仿宋" w:cs="仿宋" w:hint="eastAsia"/>
                <w:sz w:val="28"/>
                <w:szCs w:val="28"/>
              </w:rPr>
              <w:t>5</w:t>
            </w:r>
          </w:p>
        </w:tc>
        <w:tc>
          <w:tcPr>
            <w:tcW w:w="350" w:type="pct"/>
            <w:vMerge/>
            <w:noWrap/>
          </w:tcPr>
          <w:p/>
        </w:tc>
        <w:tc>
          <w:tcPr>
            <w:tcW w:w="1225" w:type="pct"/>
          </w:tcPr>
          <w:p>
            <w:pPr>
              <w:spacing w:line="23" w:lineRule="atLeast"/>
              <w:rPr>
                <w:rFonts w:ascii="仿宋" w:eastAsia="仿宋" w:cs="仿宋"/>
                <w:sz w:val="28"/>
                <w:szCs w:val="28"/>
              </w:rPr>
            </w:pPr>
            <w:r>
              <w:rPr>
                <w:rFonts w:ascii="仿宋" w:eastAsia="仿宋" w:cs="仿宋" w:hint="eastAsia"/>
                <w:sz w:val="28"/>
                <w:szCs w:val="28"/>
              </w:rPr>
              <w:t>光盘驱动器</w:t>
            </w:r>
          </w:p>
        </w:tc>
        <w:tc>
          <w:tcPr>
            <w:tcW w:w="2899" w:type="pct"/>
          </w:tcPr>
          <w:p>
            <w:pPr>
              <w:spacing w:line="23" w:lineRule="atLeast"/>
              <w:rPr>
                <w:rFonts w:ascii="仿宋" w:eastAsia="仿宋" w:cs="仿宋"/>
                <w:sz w:val="28"/>
                <w:szCs w:val="28"/>
              </w:rPr>
            </w:pPr>
            <w:r>
              <w:rPr>
                <w:rFonts w:ascii="仿宋" w:eastAsia="仿宋" w:cs="仿宋" w:hint="eastAsia"/>
                <w:sz w:val="28"/>
                <w:szCs w:val="28"/>
              </w:rPr>
              <w:t>16X DVD及以上配置</w:t>
            </w:r>
          </w:p>
        </w:tc>
      </w:tr>
      <w:tr>
        <w:trPr>
          <w:cantSplit/>
        </w:trPr>
        <w:tc>
          <w:tcPr>
            <w:tcW w:w="527" w:type="pct"/>
          </w:tcPr>
          <w:p>
            <w:pPr>
              <w:spacing w:line="23" w:lineRule="atLeast"/>
              <w:rPr>
                <w:rFonts w:ascii="仿宋" w:eastAsia="仿宋" w:cs="仿宋"/>
                <w:sz w:val="28"/>
                <w:szCs w:val="28"/>
              </w:rPr>
            </w:pPr>
            <w:r>
              <w:rPr>
                <w:rFonts w:ascii="仿宋" w:eastAsia="仿宋" w:cs="仿宋" w:hint="eastAsia"/>
                <w:sz w:val="28"/>
                <w:szCs w:val="28"/>
              </w:rPr>
              <w:t>6</w:t>
            </w:r>
          </w:p>
        </w:tc>
        <w:tc>
          <w:tcPr>
            <w:tcW w:w="350" w:type="pct"/>
            <w:vMerge/>
            <w:noWrap/>
          </w:tcPr>
          <w:p/>
        </w:tc>
        <w:tc>
          <w:tcPr>
            <w:tcW w:w="1225" w:type="pct"/>
          </w:tcPr>
          <w:p>
            <w:pPr>
              <w:spacing w:line="23" w:lineRule="atLeast"/>
              <w:rPr>
                <w:rFonts w:ascii="仿宋" w:eastAsia="仿宋" w:cs="仿宋"/>
                <w:sz w:val="28"/>
                <w:szCs w:val="28"/>
              </w:rPr>
            </w:pPr>
            <w:r>
              <w:rPr>
                <w:rFonts w:ascii="仿宋" w:eastAsia="仿宋" w:cs="仿宋" w:hint="eastAsia"/>
                <w:sz w:val="28"/>
                <w:szCs w:val="28"/>
              </w:rPr>
              <w:t>通讯卡</w:t>
            </w:r>
          </w:p>
        </w:tc>
        <w:tc>
          <w:tcPr>
            <w:tcW w:w="2899" w:type="pct"/>
          </w:tcPr>
          <w:p>
            <w:pPr>
              <w:spacing w:line="23" w:lineRule="atLeast"/>
              <w:rPr>
                <w:rFonts w:ascii="仿宋" w:eastAsia="仿宋" w:cs="仿宋"/>
                <w:sz w:val="28"/>
                <w:szCs w:val="28"/>
              </w:rPr>
            </w:pPr>
            <w:r>
              <w:rPr>
                <w:rFonts w:ascii="仿宋" w:eastAsia="仿宋" w:cs="仿宋" w:hint="eastAsia"/>
                <w:sz w:val="28"/>
                <w:szCs w:val="28"/>
              </w:rPr>
              <w:t>Ethernet、10/100/1000 MBPS及以上配置</w:t>
            </w:r>
          </w:p>
        </w:tc>
      </w:tr>
      <w:tr>
        <w:trPr>
          <w:cantSplit/>
        </w:trPr>
        <w:tc>
          <w:tcPr>
            <w:tcW w:w="527" w:type="pct"/>
          </w:tcPr>
          <w:p>
            <w:pPr>
              <w:spacing w:line="23" w:lineRule="atLeast"/>
              <w:rPr>
                <w:rFonts w:ascii="仿宋" w:eastAsia="仿宋" w:cs="仿宋"/>
                <w:sz w:val="28"/>
                <w:szCs w:val="28"/>
              </w:rPr>
            </w:pPr>
            <w:r>
              <w:rPr>
                <w:rFonts w:ascii="仿宋" w:eastAsia="仿宋" w:cs="仿宋" w:hint="eastAsia"/>
                <w:sz w:val="28"/>
                <w:szCs w:val="28"/>
              </w:rPr>
              <w:t>7</w:t>
            </w:r>
          </w:p>
        </w:tc>
        <w:tc>
          <w:tcPr>
            <w:tcW w:w="350" w:type="pct"/>
            <w:vMerge/>
            <w:noWrap/>
          </w:tcPr>
          <w:p/>
        </w:tc>
        <w:tc>
          <w:tcPr>
            <w:tcW w:w="1225" w:type="pct"/>
          </w:tcPr>
          <w:p>
            <w:pPr>
              <w:spacing w:line="23" w:lineRule="atLeast"/>
              <w:rPr>
                <w:rFonts w:ascii="仿宋" w:eastAsia="仿宋" w:cs="仿宋"/>
                <w:sz w:val="28"/>
                <w:szCs w:val="28"/>
              </w:rPr>
            </w:pPr>
            <w:r>
              <w:rPr>
                <w:rFonts w:ascii="仿宋" w:eastAsia="仿宋" w:cs="仿宋" w:hint="eastAsia"/>
                <w:sz w:val="28"/>
                <w:szCs w:val="28"/>
              </w:rPr>
              <w:t>图形卡</w:t>
            </w:r>
          </w:p>
        </w:tc>
        <w:tc>
          <w:tcPr>
            <w:tcW w:w="2899" w:type="pct"/>
          </w:tcPr>
          <w:p>
            <w:pPr>
              <w:spacing w:line="23" w:lineRule="atLeast"/>
              <w:rPr>
                <w:rFonts w:ascii="仿宋" w:eastAsia="仿宋" w:cs="仿宋"/>
                <w:sz w:val="28"/>
                <w:szCs w:val="28"/>
              </w:rPr>
            </w:pPr>
            <w:r>
              <w:rPr>
                <w:rFonts w:ascii="仿宋" w:eastAsia="仿宋" w:cs="仿宋" w:hint="eastAsia"/>
                <w:sz w:val="28"/>
                <w:szCs w:val="28"/>
              </w:rPr>
              <w:t>双头显卡及以上配置</w:t>
            </w:r>
          </w:p>
        </w:tc>
      </w:tr>
      <w:tr>
        <w:tc>
          <w:tcPr>
            <w:tcW w:w="527" w:type="pct"/>
          </w:tcPr>
          <w:p>
            <w:pPr>
              <w:spacing w:line="23" w:lineRule="atLeast"/>
              <w:rPr>
                <w:rFonts w:ascii="仿宋" w:eastAsia="仿宋" w:cs="仿宋"/>
                <w:sz w:val="28"/>
                <w:szCs w:val="28"/>
              </w:rPr>
            </w:pPr>
            <w:r>
              <w:rPr>
                <w:rFonts w:ascii="仿宋" w:eastAsia="仿宋" w:cs="仿宋" w:hint="eastAsia"/>
                <w:sz w:val="28"/>
                <w:szCs w:val="28"/>
              </w:rPr>
              <w:t>8</w:t>
            </w:r>
          </w:p>
        </w:tc>
        <w:tc>
          <w:tcPr>
            <w:tcW w:w="1575" w:type="pct"/>
            <w:gridSpan w:val="2"/>
            <w:noWrap/>
          </w:tcPr>
          <w:p>
            <w:pPr>
              <w:spacing w:line="23" w:lineRule="atLeast"/>
              <w:rPr>
                <w:rFonts w:ascii="仿宋" w:eastAsia="仿宋" w:cs="仿宋"/>
                <w:sz w:val="28"/>
                <w:szCs w:val="28"/>
              </w:rPr>
            </w:pPr>
            <w:r>
              <w:rPr>
                <w:rFonts w:ascii="仿宋" w:eastAsia="仿宋" w:cs="仿宋" w:hint="eastAsia"/>
                <w:sz w:val="28"/>
                <w:szCs w:val="28"/>
              </w:rPr>
              <w:t>显示器</w:t>
            </w:r>
          </w:p>
        </w:tc>
        <w:tc>
          <w:tcPr>
            <w:tcW w:w="2899" w:type="pct"/>
          </w:tcPr>
          <w:p>
            <w:pPr>
              <w:spacing w:line="23" w:lineRule="atLeast"/>
              <w:rPr>
                <w:rFonts w:ascii="仿宋" w:eastAsia="仿宋" w:cs="仿宋"/>
                <w:sz w:val="28"/>
                <w:szCs w:val="28"/>
              </w:rPr>
            </w:pPr>
            <w:r>
              <w:rPr>
                <w:rFonts w:ascii="仿宋" w:eastAsia="仿宋" w:cs="仿宋" w:hint="eastAsia"/>
                <w:sz w:val="28"/>
                <w:szCs w:val="28"/>
              </w:rPr>
              <w:t>27寸液晶显示器，1920X1080</w:t>
            </w:r>
          </w:p>
        </w:tc>
      </w:tr>
      <w:tr>
        <w:tc>
          <w:tcPr>
            <w:tcW w:w="527" w:type="pct"/>
          </w:tcPr>
          <w:p>
            <w:pPr>
              <w:spacing w:line="23" w:lineRule="atLeast"/>
              <w:rPr>
                <w:rFonts w:ascii="仿宋" w:eastAsia="仿宋" w:cs="仿宋"/>
                <w:sz w:val="28"/>
                <w:szCs w:val="28"/>
              </w:rPr>
            </w:pPr>
            <w:r>
              <w:rPr>
                <w:rFonts w:ascii="仿宋" w:eastAsia="仿宋" w:cs="仿宋" w:hint="eastAsia"/>
                <w:sz w:val="28"/>
                <w:szCs w:val="28"/>
              </w:rPr>
              <w:t>9</w:t>
            </w:r>
          </w:p>
        </w:tc>
        <w:tc>
          <w:tcPr>
            <w:tcW w:w="1575" w:type="pct"/>
            <w:gridSpan w:val="2"/>
            <w:noWrap/>
          </w:tcPr>
          <w:p>
            <w:pPr>
              <w:spacing w:line="23" w:lineRule="atLeast"/>
              <w:rPr>
                <w:rFonts w:ascii="仿宋" w:eastAsia="仿宋" w:cs="仿宋"/>
                <w:sz w:val="28"/>
                <w:szCs w:val="28"/>
              </w:rPr>
            </w:pPr>
            <w:r>
              <w:rPr>
                <w:rFonts w:ascii="仿宋" w:eastAsia="仿宋" w:cs="仿宋" w:hint="eastAsia"/>
                <w:sz w:val="28"/>
                <w:szCs w:val="28"/>
              </w:rPr>
              <w:t>键盘</w:t>
            </w:r>
          </w:p>
        </w:tc>
        <w:tc>
          <w:tcPr>
            <w:tcW w:w="2899" w:type="pct"/>
          </w:tcPr>
          <w:p>
            <w:pPr>
              <w:spacing w:line="23" w:lineRule="atLeast"/>
              <w:rPr>
                <w:rFonts w:ascii="仿宋" w:eastAsia="仿宋" w:cs="仿宋"/>
                <w:sz w:val="28"/>
                <w:szCs w:val="28"/>
              </w:rPr>
            </w:pPr>
            <w:r>
              <w:rPr>
                <w:rFonts w:ascii="仿宋" w:eastAsia="仿宋" w:cs="仿宋" w:hint="eastAsia"/>
                <w:sz w:val="28"/>
                <w:szCs w:val="28"/>
              </w:rPr>
              <w:t>标准键盘</w:t>
            </w:r>
          </w:p>
        </w:tc>
      </w:tr>
      <w:tr>
        <w:tc>
          <w:tcPr>
            <w:tcW w:w="527" w:type="pct"/>
          </w:tcPr>
          <w:p>
            <w:pPr>
              <w:spacing w:line="23" w:lineRule="atLeast"/>
              <w:rPr>
                <w:rFonts w:ascii="仿宋" w:eastAsia="仿宋" w:cs="仿宋"/>
                <w:sz w:val="28"/>
                <w:szCs w:val="28"/>
              </w:rPr>
            </w:pPr>
            <w:r>
              <w:rPr>
                <w:rFonts w:ascii="仿宋" w:eastAsia="仿宋" w:cs="仿宋" w:hint="eastAsia"/>
                <w:sz w:val="28"/>
                <w:szCs w:val="28"/>
              </w:rPr>
              <w:t>10</w:t>
            </w:r>
          </w:p>
        </w:tc>
        <w:tc>
          <w:tcPr>
            <w:tcW w:w="1575" w:type="pct"/>
            <w:gridSpan w:val="2"/>
            <w:noWrap/>
          </w:tcPr>
          <w:p>
            <w:pPr>
              <w:spacing w:line="23" w:lineRule="atLeast"/>
              <w:rPr>
                <w:rFonts w:ascii="仿宋" w:eastAsia="仿宋" w:cs="仿宋"/>
                <w:sz w:val="28"/>
                <w:szCs w:val="28"/>
              </w:rPr>
            </w:pPr>
            <w:r>
              <w:rPr>
                <w:rFonts w:ascii="仿宋" w:eastAsia="仿宋" w:cs="仿宋" w:hint="eastAsia"/>
                <w:sz w:val="28"/>
                <w:szCs w:val="28"/>
              </w:rPr>
              <w:t>鼠标器</w:t>
            </w:r>
          </w:p>
        </w:tc>
        <w:tc>
          <w:tcPr>
            <w:tcW w:w="2899" w:type="pct"/>
          </w:tcPr>
          <w:p>
            <w:pPr>
              <w:spacing w:line="23" w:lineRule="atLeast"/>
              <w:rPr>
                <w:rFonts w:ascii="仿宋" w:eastAsia="仿宋" w:cs="仿宋"/>
                <w:sz w:val="28"/>
                <w:szCs w:val="28"/>
              </w:rPr>
            </w:pPr>
            <w:r>
              <w:rPr>
                <w:rFonts w:ascii="仿宋" w:eastAsia="仿宋" w:cs="仿宋" w:hint="eastAsia"/>
                <w:sz w:val="28"/>
                <w:szCs w:val="28"/>
              </w:rPr>
              <w:t>光电式鼠标器</w:t>
            </w:r>
          </w:p>
        </w:tc>
      </w:tr>
      <w:tr>
        <w:tc>
          <w:tcPr>
            <w:tcW w:w="527" w:type="pct"/>
          </w:tcPr>
          <w:p>
            <w:pPr>
              <w:spacing w:line="23" w:lineRule="atLeast"/>
              <w:rPr>
                <w:rFonts w:ascii="仿宋" w:eastAsia="仿宋" w:cs="仿宋"/>
                <w:sz w:val="28"/>
                <w:szCs w:val="28"/>
              </w:rPr>
            </w:pPr>
            <w:r>
              <w:rPr>
                <w:rFonts w:ascii="仿宋" w:eastAsia="仿宋" w:cs="仿宋" w:hint="eastAsia"/>
                <w:sz w:val="28"/>
                <w:szCs w:val="28"/>
              </w:rPr>
              <w:t>11</w:t>
            </w:r>
          </w:p>
        </w:tc>
        <w:tc>
          <w:tcPr>
            <w:tcW w:w="1575" w:type="pct"/>
            <w:gridSpan w:val="2"/>
            <w:noWrap/>
          </w:tcPr>
          <w:p>
            <w:pPr>
              <w:spacing w:line="23" w:lineRule="atLeast"/>
              <w:rPr>
                <w:rFonts w:ascii="仿宋" w:eastAsia="仿宋" w:cs="仿宋"/>
                <w:sz w:val="28"/>
                <w:szCs w:val="28"/>
              </w:rPr>
            </w:pPr>
            <w:r>
              <w:rPr>
                <w:rFonts w:ascii="仿宋" w:eastAsia="仿宋" w:cs="仿宋" w:hint="eastAsia"/>
                <w:sz w:val="28"/>
                <w:szCs w:val="28"/>
              </w:rPr>
              <w:t>操作系统</w:t>
            </w:r>
          </w:p>
        </w:tc>
        <w:tc>
          <w:tcPr>
            <w:tcW w:w="2899" w:type="pct"/>
          </w:tcPr>
          <w:p>
            <w:pPr>
              <w:spacing w:line="23" w:lineRule="atLeast"/>
              <w:rPr>
                <w:rFonts w:ascii="仿宋" w:eastAsia="仿宋" w:cs="仿宋"/>
                <w:sz w:val="28"/>
                <w:szCs w:val="28"/>
              </w:rPr>
            </w:pPr>
            <w:r>
              <w:rPr>
                <w:rFonts w:ascii="仿宋" w:eastAsia="仿宋" w:cs="仿宋" w:hint="eastAsia"/>
                <w:sz w:val="28"/>
                <w:szCs w:val="28"/>
              </w:rPr>
              <w:t>Windows10专业版64位系统</w:t>
            </w:r>
          </w:p>
        </w:tc>
      </w:tr>
    </w:tbl>
    <w:p>
      <w:r>
        <w:t xml:space="preserve"> </w:t>
      </w:r>
    </w:p>
    <w:p>
      <w:pPr>
        <w:pStyle w:val="1"/>
      </w:pPr>
      <w:r>
        <w:rPr>
          <w:rFonts w:hint="eastAsia"/>
        </w:rPr>
        <w:t>规范及标准</w:t>
      </w:r>
    </w:p>
    <w:p>
      <w:pPr>
        <w:pStyle w:val="2"/>
        <w:ind w:left="567" w:firstLine="562"/>
      </w:pPr>
      <w:bookmarkStart w:id="50" w:name="_Toc77270345"/>
      <w:bookmarkStart w:id="51" w:name="_Toc77252081"/>
      <w:bookmarkStart w:id="52" w:name="_Toc77250324"/>
      <w:r>
        <w:rPr>
          <w:rFonts w:hint="eastAsia"/>
        </w:rPr>
        <w:t>规范及标准总要求</w:t>
      </w:r>
      <w:bookmarkEnd w:id="50"/>
      <w:bookmarkEnd w:id="51"/>
      <w:bookmarkEnd w:id="52"/>
    </w:p>
    <w:p>
      <w:pPr>
        <w:pStyle w:val="50"/>
        <w:spacing w:after="0"/>
        <w:ind w:left="0" w:firstLineChars="200" w:firstLine="560"/>
        <w:rPr>
          <w:rFonts w:ascii="仿宋" w:eastAsia="仿宋" w:cs="仿宋"/>
          <w:sz w:val="28"/>
          <w:szCs w:val="28"/>
          <w:lang w:eastAsia="zh-CN"/>
        </w:rPr>
      </w:pPr>
      <w:r>
        <w:rPr>
          <w:rFonts w:ascii="仿宋" w:eastAsia="仿宋" w:cs="仿宋" w:hint="eastAsia"/>
          <w:sz w:val="28"/>
          <w:szCs w:val="28"/>
          <w:lang w:eastAsia="zh-CN"/>
        </w:rPr>
        <w:t>如果国际规范与中国规范发生冲突，要遵守所有法定的中国政府颁布的规范。</w:t>
      </w:r>
    </w:p>
    <w:p>
      <w:pPr>
        <w:pStyle w:val="50"/>
        <w:spacing w:after="0"/>
        <w:ind w:left="0" w:firstLineChars="200" w:firstLine="560"/>
        <w:rPr>
          <w:rFonts w:ascii="仿宋" w:eastAsia="仿宋" w:cs="仿宋"/>
          <w:sz w:val="28"/>
          <w:szCs w:val="28"/>
          <w:lang w:eastAsia="zh-CN"/>
        </w:rPr>
      </w:pPr>
      <w:r>
        <w:rPr>
          <w:rFonts w:ascii="仿宋" w:eastAsia="仿宋" w:cs="仿宋" w:hint="eastAsia"/>
          <w:sz w:val="28"/>
          <w:szCs w:val="28"/>
          <w:lang w:eastAsia="zh-CN"/>
        </w:rPr>
        <w:t>PID符号应符合ISA 5.1，在本项目内保持一致。分析仪表设计应该符合EEMUA 138要求。如有冲突，应优先依照严格规范。仪表数据单如可能应依照ISA 20.00.03（过程测量和控制仪表,主要元件和控制阀的规范形式）。</w:t>
      </w:r>
    </w:p>
    <w:p>
      <w:pPr>
        <w:pStyle w:val="50"/>
        <w:spacing w:after="0"/>
        <w:ind w:left="0" w:firstLineChars="200" w:firstLine="560"/>
        <w:rPr>
          <w:rFonts w:ascii="仿宋" w:eastAsia="仿宋" w:cs="仿宋"/>
          <w:sz w:val="28"/>
          <w:szCs w:val="28"/>
          <w:lang w:eastAsia="zh-CN"/>
        </w:rPr>
      </w:pPr>
      <w:r>
        <w:rPr>
          <w:rFonts w:ascii="仿宋" w:eastAsia="仿宋" w:cs="仿宋" w:hint="eastAsia"/>
          <w:sz w:val="28"/>
          <w:szCs w:val="28"/>
          <w:lang w:eastAsia="zh-CN"/>
        </w:rPr>
        <w:t>所有DCS/PLC信息和现场仪表设备（例如管道）要使用公制单位。如果接线盒和设备配有压盖，应采用公制平行螺纹和标准英制螺纹电缆压盖。</w:t>
      </w:r>
    </w:p>
    <w:p>
      <w:pPr>
        <w:pStyle w:val="2"/>
        <w:ind w:left="567" w:firstLine="562"/>
      </w:pPr>
      <w:bookmarkStart w:id="53" w:name="_Toc1426"/>
      <w:bookmarkStart w:id="54" w:name="_Toc26192191"/>
      <w:bookmarkStart w:id="55" w:name="_Toc77252082"/>
      <w:bookmarkStart w:id="56" w:name="_Toc77250325"/>
      <w:bookmarkStart w:id="57" w:name="_Toc21967031"/>
      <w:bookmarkStart w:id="58" w:name="_Toc77270346"/>
      <w:bookmarkStart w:id="59" w:name="_Toc22326"/>
      <w:r>
        <w:rPr>
          <w:rFonts w:hint="eastAsia"/>
        </w:rPr>
        <w:t>国际标准</w:t>
      </w:r>
      <w:bookmarkEnd w:id="53"/>
      <w:bookmarkEnd w:id="54"/>
      <w:bookmarkEnd w:id="55"/>
      <w:bookmarkEnd w:id="56"/>
      <w:bookmarkEnd w:id="57"/>
      <w:bookmarkEnd w:id="58"/>
      <w:bookmarkEnd w:id="59"/>
    </w:p>
    <w:p>
      <w:pPr>
        <w:pStyle w:val="50"/>
        <w:spacing w:after="0" w:line="23" w:lineRule="atLeast"/>
        <w:ind w:left="0" w:firstLineChars="200" w:firstLine="560"/>
        <w:rPr>
          <w:rFonts w:ascii="仿宋" w:eastAsia="仿宋" w:cs="仿宋"/>
          <w:sz w:val="28"/>
          <w:szCs w:val="32"/>
          <w:lang w:eastAsia="zh-CN"/>
        </w:rPr>
      </w:pPr>
      <w:r>
        <w:rPr>
          <w:rFonts w:ascii="仿宋" w:eastAsia="仿宋" w:cs="仿宋" w:hint="eastAsia"/>
          <w:sz w:val="28"/>
          <w:szCs w:val="32"/>
          <w:lang w:eastAsia="zh-CN"/>
        </w:rPr>
        <w:t>使用如下最新版本国际标准，如有冲突，优先采用中国标准。</w:t>
      </w:r>
    </w:p>
    <w:p>
      <w:pPr>
        <w:pStyle w:val="50"/>
        <w:spacing w:after="0" w:line="23" w:lineRule="atLeast"/>
        <w:ind w:left="0" w:firstLineChars="200" w:firstLine="560"/>
        <w:jc w:val="center"/>
        <w:rPr>
          <w:rFonts w:ascii="仿宋" w:eastAsia="仿宋" w:cs="仿宋"/>
          <w:sz w:val="28"/>
          <w:szCs w:val="32"/>
          <w:lang w:eastAsia="zh-CN"/>
        </w:rPr>
      </w:pPr>
      <w:r>
        <w:rPr>
          <w:rFonts w:ascii="仿宋" w:eastAsia="仿宋" w:cs="仿宋" w:hint="eastAsia"/>
          <w:sz w:val="28"/>
          <w:szCs w:val="32"/>
          <w:lang w:eastAsia="zh-CN"/>
        </w:rPr>
        <w:t>表（1）</w:t>
      </w:r>
    </w:p>
    <w:tbl>
      <w:tblPr>
        <w:jc w:val="left"/>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993"/>
        <w:gridCol w:w="2435"/>
        <w:gridCol w:w="5786"/>
      </w:tblGrid>
      <w:tr>
        <w:trPr>
          <w:trHeight w:hRule="exact" w:val="454"/>
          <w:tblHeader/>
        </w:trPr>
        <w:tc>
          <w:tcPr>
            <w:tcW w:w="993" w:type="dxa"/>
            <w:vAlign w:val="center"/>
          </w:tcPr>
          <w:p>
            <w:pPr>
              <w:spacing w:line="23" w:lineRule="atLeast"/>
              <w:jc w:val="center"/>
              <w:rPr>
                <w:rFonts w:ascii="仿宋" w:eastAsia="仿宋" w:cs="仿宋"/>
                <w:b/>
                <w:position w:val="-6"/>
                <w:sz w:val="24"/>
              </w:rPr>
            </w:pPr>
            <w:r>
              <w:rPr>
                <w:rFonts w:ascii="仿宋" w:eastAsia="仿宋" w:cs="仿宋" w:hint="eastAsia"/>
                <w:b/>
                <w:position w:val="-6"/>
                <w:sz w:val="24"/>
              </w:rPr>
              <w:t>序号</w:t>
            </w:r>
          </w:p>
        </w:tc>
        <w:tc>
          <w:tcPr>
            <w:tcW w:w="2435" w:type="dxa"/>
            <w:noWrap/>
            <w:vAlign w:val="center"/>
          </w:tcPr>
          <w:p>
            <w:pPr>
              <w:spacing w:line="23" w:lineRule="atLeast"/>
              <w:jc w:val="center"/>
              <w:rPr>
                <w:rFonts w:ascii="仿宋" w:eastAsia="仿宋" w:cs="仿宋"/>
                <w:b/>
                <w:position w:val="-6"/>
                <w:sz w:val="24"/>
              </w:rPr>
            </w:pPr>
            <w:r>
              <w:rPr>
                <w:rFonts w:ascii="仿宋" w:eastAsia="仿宋" w:cs="仿宋" w:hint="eastAsia"/>
                <w:b/>
                <w:position w:val="-6"/>
                <w:sz w:val="24"/>
              </w:rPr>
              <w:t>代码或标准</w:t>
            </w:r>
          </w:p>
        </w:tc>
        <w:tc>
          <w:tcPr>
            <w:tcW w:w="5786" w:type="dxa"/>
            <w:noWrap/>
            <w:vAlign w:val="center"/>
          </w:tcPr>
          <w:p>
            <w:pPr>
              <w:spacing w:line="23" w:lineRule="atLeast"/>
              <w:jc w:val="center"/>
              <w:rPr>
                <w:rFonts w:ascii="仿宋" w:eastAsia="仿宋" w:cs="仿宋"/>
                <w:b/>
                <w:spacing w:val="-2"/>
                <w:sz w:val="24"/>
              </w:rPr>
            </w:pPr>
            <w:r>
              <w:rPr>
                <w:rFonts w:ascii="仿宋" w:eastAsia="仿宋" w:cs="仿宋" w:hint="eastAsia"/>
                <w:b/>
                <w:spacing w:val="-2"/>
                <w:sz w:val="24"/>
              </w:rPr>
              <w:t>名称</w:t>
            </w:r>
          </w:p>
        </w:tc>
      </w:tr>
      <w:tr>
        <w:trPr>
          <w:trHeight w:hRule="exact" w:val="454"/>
        </w:trPr>
        <w:tc>
          <w:tcPr>
            <w:tcW w:w="993" w:type="dxa"/>
            <w:vAlign w:val="center"/>
          </w:tcPr>
          <w:p>
            <w:pPr>
              <w:spacing w:line="23" w:lineRule="atLeast"/>
              <w:jc w:val="center"/>
              <w:rPr>
                <w:rFonts w:ascii="仿宋" w:eastAsia="仿宋" w:cs="仿宋"/>
                <w:sz w:val="24"/>
              </w:rPr>
            </w:pPr>
            <w:r>
              <w:rPr>
                <w:rFonts w:ascii="仿宋" w:eastAsia="仿宋" w:cs="仿宋" w:hint="eastAsia"/>
                <w:sz w:val="24"/>
              </w:rPr>
              <w:t>1</w:t>
            </w:r>
          </w:p>
        </w:tc>
        <w:tc>
          <w:tcPr>
            <w:tcW w:w="2435" w:type="dxa"/>
            <w:noWrap/>
            <w:vAlign w:val="center"/>
          </w:tcPr>
          <w:p>
            <w:pPr>
              <w:spacing w:line="23" w:lineRule="atLeast"/>
              <w:jc w:val="center"/>
              <w:rPr>
                <w:rFonts w:ascii="仿宋" w:eastAsia="仿宋" w:cs="仿宋"/>
                <w:sz w:val="24"/>
              </w:rPr>
            </w:pPr>
            <w:r>
              <w:rPr>
                <w:rFonts w:ascii="仿宋" w:eastAsia="仿宋" w:cs="仿宋" w:hint="eastAsia"/>
                <w:sz w:val="24"/>
              </w:rPr>
              <w:t>IEC 61131</w:t>
            </w:r>
          </w:p>
        </w:tc>
        <w:tc>
          <w:tcPr>
            <w:tcW w:w="5786" w:type="dxa"/>
            <w:noWrap/>
            <w:vAlign w:val="center"/>
          </w:tcPr>
          <w:p>
            <w:pPr>
              <w:widowControl w:val="0"/>
              <w:suppressAutoHyphens/>
              <w:spacing w:before="60" w:after="60" w:line="23" w:lineRule="atLeast"/>
              <w:jc w:val="left"/>
              <w:rPr>
                <w:rFonts w:ascii="仿宋" w:eastAsia="仿宋" w:cs="仿宋"/>
                <w:sz w:val="24"/>
              </w:rPr>
            </w:pPr>
            <w:r>
              <w:rPr>
                <w:rFonts w:ascii="仿宋" w:eastAsia="仿宋" w:cs="仿宋" w:hint="eastAsia"/>
                <w:sz w:val="24"/>
              </w:rPr>
              <w:t>可编程控制器</w:t>
            </w:r>
            <w:r>
              <w:rPr>
                <w:rFonts w:ascii="仿宋" w:eastAsia="仿宋" w:cs="仿宋" w:hint="eastAsia"/>
                <w:spacing w:val="-2"/>
                <w:sz w:val="24"/>
              </w:rPr>
              <w:t>规范</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2</w:t>
            </w:r>
          </w:p>
        </w:tc>
        <w:tc>
          <w:tcPr>
            <w:tcW w:w="2435" w:type="dxa"/>
            <w:noWrap/>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IEC 61508</w:t>
            </w:r>
          </w:p>
        </w:tc>
        <w:tc>
          <w:tcPr>
            <w:tcW w:w="5786" w:type="dxa"/>
            <w:noWrap/>
            <w:vAlign w:val="center"/>
          </w:tcPr>
          <w:p>
            <w:pPr>
              <w:widowControl w:val="0"/>
              <w:suppressAutoHyphens/>
              <w:spacing w:before="60" w:after="60" w:line="23" w:lineRule="atLeast"/>
              <w:ind w:left="27"/>
              <w:jc w:val="left"/>
              <w:rPr>
                <w:rFonts w:ascii="仿宋" w:eastAsia="仿宋" w:cs="仿宋"/>
                <w:sz w:val="24"/>
              </w:rPr>
            </w:pPr>
            <w:r>
              <w:rPr>
                <w:rFonts w:ascii="仿宋" w:eastAsia="仿宋" w:cs="仿宋" w:hint="eastAsia"/>
                <w:sz w:val="24"/>
              </w:rPr>
              <w:t>用于安全措施的可编程系统</w:t>
            </w:r>
            <w:r>
              <w:rPr>
                <w:rFonts w:ascii="仿宋" w:eastAsia="仿宋" w:cs="仿宋" w:hint="eastAsia"/>
                <w:spacing w:val="-2"/>
                <w:sz w:val="24"/>
              </w:rPr>
              <w:t>规范</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3</w:t>
            </w:r>
          </w:p>
        </w:tc>
        <w:tc>
          <w:tcPr>
            <w:tcW w:w="2435" w:type="dxa"/>
            <w:noWrap/>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IEC 61499</w:t>
            </w:r>
          </w:p>
        </w:tc>
        <w:tc>
          <w:tcPr>
            <w:tcW w:w="5786" w:type="dxa"/>
            <w:noWrap/>
            <w:vAlign w:val="center"/>
          </w:tcPr>
          <w:p>
            <w:pPr>
              <w:widowControl w:val="0"/>
              <w:suppressAutoHyphens/>
              <w:spacing w:before="60" w:after="60" w:line="23" w:lineRule="atLeast"/>
              <w:ind w:left="27"/>
              <w:jc w:val="left"/>
              <w:rPr>
                <w:rFonts w:ascii="仿宋" w:eastAsia="仿宋" w:cs="仿宋"/>
                <w:sz w:val="24"/>
              </w:rPr>
            </w:pPr>
            <w:r>
              <w:rPr>
                <w:rFonts w:ascii="仿宋" w:eastAsia="仿宋" w:cs="仿宋" w:hint="eastAsia"/>
                <w:sz w:val="24"/>
              </w:rPr>
              <w:t>工业工艺测量功能组</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4</w:t>
            </w:r>
          </w:p>
        </w:tc>
        <w:tc>
          <w:tcPr>
            <w:tcW w:w="2435" w:type="dxa"/>
            <w:noWrap/>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ANSI/EIA RS</w:t>
              <w:noBreakHyphen/>
              <w:t>232C</w:t>
            </w:r>
          </w:p>
        </w:tc>
        <w:tc>
          <w:tcPr>
            <w:tcW w:w="5786" w:type="dxa"/>
            <w:noWrap/>
            <w:vAlign w:val="center"/>
          </w:tcPr>
          <w:p>
            <w:pPr>
              <w:widowControl w:val="0"/>
              <w:suppressAutoHyphens/>
              <w:spacing w:before="60" w:after="60" w:line="23" w:lineRule="atLeast"/>
              <w:ind w:left="27"/>
              <w:jc w:val="left"/>
              <w:rPr>
                <w:rFonts w:ascii="仿宋" w:eastAsia="仿宋" w:cs="仿宋"/>
                <w:sz w:val="24"/>
              </w:rPr>
            </w:pPr>
            <w:r>
              <w:rPr>
                <w:rFonts w:ascii="仿宋" w:eastAsia="仿宋" w:cs="仿宋" w:hint="eastAsia"/>
                <w:sz w:val="24"/>
              </w:rPr>
              <w:t>终端数据设备和数据通讯设备的串行接口</w:t>
            </w:r>
            <w:r>
              <w:rPr>
                <w:rFonts w:ascii="仿宋" w:eastAsia="仿宋" w:cs="仿宋" w:hint="eastAsia"/>
                <w:spacing w:val="-2"/>
                <w:sz w:val="24"/>
              </w:rPr>
              <w:t>规定</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5</w:t>
            </w:r>
          </w:p>
        </w:tc>
        <w:tc>
          <w:tcPr>
            <w:tcW w:w="2435" w:type="dxa"/>
            <w:noWrap/>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ANSI/EIA RS</w:t>
              <w:noBreakHyphen/>
              <w:t>422</w:t>
            </w:r>
          </w:p>
        </w:tc>
        <w:tc>
          <w:tcPr>
            <w:tcW w:w="5786" w:type="dxa"/>
            <w:noWrap/>
            <w:vAlign w:val="center"/>
          </w:tcPr>
          <w:p>
            <w:pPr>
              <w:widowControl w:val="0"/>
              <w:suppressAutoHyphens/>
              <w:spacing w:before="60" w:after="60" w:line="23" w:lineRule="atLeast"/>
              <w:ind w:left="27"/>
              <w:jc w:val="left"/>
              <w:rPr>
                <w:rFonts w:ascii="仿宋" w:eastAsia="仿宋" w:cs="仿宋"/>
                <w:sz w:val="24"/>
              </w:rPr>
            </w:pPr>
            <w:r>
              <w:rPr>
                <w:rFonts w:ascii="仿宋" w:eastAsia="仿宋" w:cs="仿宋" w:hint="eastAsia"/>
                <w:sz w:val="24"/>
              </w:rPr>
              <w:t>数字式稳压接口电流的电气特性</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6</w:t>
            </w:r>
          </w:p>
        </w:tc>
        <w:tc>
          <w:tcPr>
            <w:tcW w:w="2435" w:type="dxa"/>
            <w:noWrap/>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ANSI/EIA RS</w:t>
              <w:noBreakHyphen/>
              <w:t>485</w:t>
            </w:r>
          </w:p>
        </w:tc>
        <w:tc>
          <w:tcPr>
            <w:tcW w:w="5786" w:type="dxa"/>
            <w:noWrap/>
            <w:vAlign w:val="center"/>
          </w:tcPr>
          <w:p>
            <w:pPr>
              <w:widowControl w:val="0"/>
              <w:suppressAutoHyphens/>
              <w:spacing w:before="60" w:after="60" w:line="23" w:lineRule="atLeast"/>
              <w:ind w:left="27"/>
              <w:jc w:val="left"/>
              <w:rPr>
                <w:rFonts w:ascii="仿宋" w:eastAsia="仿宋" w:cs="仿宋"/>
                <w:sz w:val="24"/>
              </w:rPr>
            </w:pPr>
            <w:r>
              <w:rPr>
                <w:rFonts w:ascii="仿宋" w:eastAsia="仿宋" w:cs="仿宋" w:hint="eastAsia"/>
                <w:sz w:val="24"/>
              </w:rPr>
              <w:t>数字式多点平衡系统发生器和接收器的电气特性</w:t>
            </w:r>
          </w:p>
        </w:tc>
      </w:tr>
      <w:tr>
        <w:trPr>
          <w:trHeight w:hRule="exact" w:val="744"/>
        </w:trPr>
        <w:tc>
          <w:tcPr>
            <w:tcW w:w="993" w:type="dxa"/>
            <w:vAlign w:val="center"/>
          </w:tcPr>
          <w:p>
            <w:pPr>
              <w:widowControl w:val="0"/>
              <w:suppressAutoHyphens/>
              <w:spacing w:before="60" w:after="60" w:line="23" w:lineRule="atLeast"/>
              <w:ind w:left="-776" w:firstLine="776"/>
              <w:jc w:val="center"/>
              <w:rPr>
                <w:rFonts w:ascii="仿宋" w:eastAsia="仿宋" w:cs="仿宋"/>
                <w:spacing w:val="-2"/>
                <w:sz w:val="24"/>
              </w:rPr>
            </w:pPr>
            <w:r>
              <w:rPr>
                <w:rFonts w:ascii="仿宋" w:eastAsia="仿宋" w:cs="仿宋" w:hint="eastAsia"/>
                <w:spacing w:val="-2"/>
                <w:sz w:val="24"/>
              </w:rPr>
              <w:t>8</w:t>
            </w:r>
          </w:p>
        </w:tc>
        <w:tc>
          <w:tcPr>
            <w:tcW w:w="2435" w:type="dxa"/>
            <w:noWrap/>
            <w:vAlign w:val="center"/>
          </w:tcPr>
          <w:p>
            <w:pPr>
              <w:widowControl w:val="0"/>
              <w:suppressAutoHyphens/>
              <w:spacing w:before="60" w:after="60" w:line="23" w:lineRule="atLeast"/>
              <w:ind w:left="-776" w:firstLine="776"/>
              <w:jc w:val="center"/>
              <w:rPr>
                <w:rFonts w:ascii="仿宋" w:eastAsia="仿宋" w:cs="仿宋"/>
                <w:spacing w:val="-2"/>
                <w:sz w:val="24"/>
              </w:rPr>
            </w:pPr>
            <w:r>
              <w:rPr>
                <w:rFonts w:ascii="仿宋" w:eastAsia="仿宋" w:cs="仿宋" w:hint="eastAsia"/>
                <w:spacing w:val="-2"/>
                <w:sz w:val="24"/>
              </w:rPr>
              <w:t>IEC 60423</w:t>
            </w:r>
          </w:p>
        </w:tc>
        <w:tc>
          <w:tcPr>
            <w:tcW w:w="5786" w:type="dxa"/>
            <w:noWrap/>
            <w:vAlign w:val="center"/>
          </w:tcPr>
          <w:p>
            <w:pPr>
              <w:widowControl w:val="0"/>
              <w:suppressAutoHyphens/>
              <w:spacing w:before="60" w:after="60" w:line="23" w:lineRule="atLeast"/>
              <w:jc w:val="left"/>
              <w:rPr>
                <w:rFonts w:ascii="仿宋" w:eastAsia="仿宋" w:cs="仿宋"/>
                <w:spacing w:val="-2"/>
                <w:sz w:val="24"/>
              </w:rPr>
            </w:pPr>
            <w:r>
              <w:rPr>
                <w:rFonts w:ascii="仿宋" w:eastAsia="仿宋" w:cs="仿宋" w:hint="eastAsia"/>
                <w:spacing w:val="-2"/>
                <w:sz w:val="24"/>
              </w:rPr>
              <w:t>电缆保护管规定——电气安装保护管外径和保护管和管件的螺纹</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pacing w:val="-2"/>
                <w:sz w:val="24"/>
              </w:rPr>
            </w:pPr>
            <w:r>
              <w:rPr>
                <w:rFonts w:ascii="仿宋" w:eastAsia="仿宋" w:cs="仿宋" w:hint="eastAsia"/>
                <w:spacing w:val="-2"/>
                <w:sz w:val="24"/>
              </w:rPr>
              <w:t>9</w:t>
            </w:r>
          </w:p>
        </w:tc>
        <w:tc>
          <w:tcPr>
            <w:tcW w:w="2435" w:type="dxa"/>
            <w:noWrap/>
            <w:vAlign w:val="center"/>
          </w:tcPr>
          <w:p>
            <w:pPr>
              <w:widowControl w:val="0"/>
              <w:suppressAutoHyphens/>
              <w:spacing w:before="60" w:after="60" w:line="23" w:lineRule="atLeast"/>
              <w:ind w:left="-776" w:firstLine="776"/>
              <w:jc w:val="center"/>
              <w:rPr>
                <w:rFonts w:ascii="仿宋" w:eastAsia="仿宋" w:cs="仿宋"/>
                <w:spacing w:val="-2"/>
                <w:sz w:val="24"/>
              </w:rPr>
            </w:pPr>
            <w:r>
              <w:rPr>
                <w:rFonts w:ascii="仿宋" w:eastAsia="仿宋" w:cs="仿宋" w:hint="eastAsia"/>
                <w:spacing w:val="-2"/>
                <w:sz w:val="24"/>
              </w:rPr>
              <w:t>IEC 60529</w:t>
            </w:r>
          </w:p>
        </w:tc>
        <w:tc>
          <w:tcPr>
            <w:tcW w:w="5786" w:type="dxa"/>
            <w:noWrap/>
            <w:vAlign w:val="center"/>
          </w:tcPr>
          <w:p>
            <w:pPr>
              <w:widowControl w:val="0"/>
              <w:suppressAutoHyphens/>
              <w:spacing w:before="60" w:after="60" w:line="23" w:lineRule="atLeast"/>
              <w:jc w:val="left"/>
              <w:rPr>
                <w:rFonts w:ascii="仿宋" w:eastAsia="仿宋" w:cs="仿宋"/>
                <w:spacing w:val="-2"/>
                <w:sz w:val="24"/>
              </w:rPr>
            </w:pPr>
            <w:r>
              <w:rPr>
                <w:rFonts w:ascii="仿宋" w:eastAsia="仿宋" w:cs="仿宋" w:hint="eastAsia"/>
                <w:spacing w:val="-2"/>
                <w:sz w:val="24"/>
              </w:rPr>
              <w:t>仪表防护等级规定</w:t>
            </w:r>
          </w:p>
        </w:tc>
      </w:tr>
      <w:tr>
        <w:trPr>
          <w:trHeight w:hRule="exact" w:val="454"/>
        </w:trPr>
        <w:tc>
          <w:tcPr>
            <w:tcW w:w="993" w:type="dxa"/>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10</w:t>
            </w:r>
          </w:p>
        </w:tc>
        <w:tc>
          <w:tcPr>
            <w:tcW w:w="2435"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IEC 60584</w:t>
            </w:r>
          </w:p>
        </w:tc>
        <w:tc>
          <w:tcPr>
            <w:tcW w:w="5786" w:type="dxa"/>
            <w:noWrap/>
            <w:vAlign w:val="center"/>
          </w:tcPr>
          <w:p>
            <w:pPr>
              <w:widowControl w:val="0"/>
              <w:suppressAutoHyphens/>
              <w:spacing w:before="60" w:after="60" w:line="23" w:lineRule="atLeast"/>
              <w:jc w:val="left"/>
              <w:rPr>
                <w:rFonts w:ascii="仿宋" w:eastAsia="仿宋" w:cs="仿宋"/>
                <w:spacing w:val="-2"/>
                <w:sz w:val="24"/>
              </w:rPr>
            </w:pPr>
            <w:r>
              <w:rPr>
                <w:rFonts w:ascii="仿宋" w:eastAsia="仿宋" w:cs="仿宋" w:hint="eastAsia"/>
                <w:spacing w:val="-2"/>
                <w:sz w:val="24"/>
              </w:rPr>
              <w:t>热电偶规定</w:t>
            </w:r>
          </w:p>
        </w:tc>
      </w:tr>
      <w:tr>
        <w:trPr>
          <w:trHeight w:hRule="exact" w:val="454"/>
        </w:trPr>
        <w:tc>
          <w:tcPr>
            <w:tcW w:w="993" w:type="dxa"/>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11</w:t>
            </w:r>
          </w:p>
        </w:tc>
        <w:tc>
          <w:tcPr>
            <w:tcW w:w="2435"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IEC 60751</w:t>
            </w:r>
          </w:p>
        </w:tc>
        <w:tc>
          <w:tcPr>
            <w:tcW w:w="5786" w:type="dxa"/>
            <w:noWrap/>
            <w:vAlign w:val="center"/>
          </w:tcPr>
          <w:p>
            <w:pPr>
              <w:widowControl w:val="0"/>
              <w:suppressAutoHyphens/>
              <w:spacing w:before="60" w:after="60" w:line="23" w:lineRule="atLeast"/>
              <w:jc w:val="left"/>
              <w:rPr>
                <w:rFonts w:ascii="仿宋" w:eastAsia="仿宋" w:cs="仿宋"/>
                <w:spacing w:val="-2"/>
                <w:sz w:val="24"/>
              </w:rPr>
            </w:pPr>
            <w:r>
              <w:rPr>
                <w:rFonts w:ascii="仿宋" w:eastAsia="仿宋" w:cs="仿宋" w:hint="eastAsia"/>
                <w:spacing w:val="-2"/>
                <w:sz w:val="24"/>
              </w:rPr>
              <w:t>工业铂电阻规定</w:t>
            </w:r>
          </w:p>
        </w:tc>
      </w:tr>
      <w:tr>
        <w:trPr>
          <w:trHeight w:hRule="exact" w:val="454"/>
        </w:trPr>
        <w:tc>
          <w:tcPr>
            <w:tcW w:w="993" w:type="dxa"/>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12</w:t>
            </w:r>
          </w:p>
        </w:tc>
        <w:tc>
          <w:tcPr>
            <w:tcW w:w="2435"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z w:val="24"/>
              </w:rPr>
              <w:t>ASME PTC19.3</w:t>
            </w:r>
          </w:p>
        </w:tc>
        <w:tc>
          <w:tcPr>
            <w:tcW w:w="5786" w:type="dxa"/>
            <w:noWrap/>
            <w:vAlign w:val="center"/>
          </w:tcPr>
          <w:p>
            <w:pPr>
              <w:widowControl w:val="0"/>
              <w:suppressAutoHyphens/>
              <w:spacing w:before="60" w:after="60" w:line="23" w:lineRule="atLeast"/>
              <w:jc w:val="left"/>
              <w:rPr>
                <w:rFonts w:ascii="仿宋" w:eastAsia="仿宋" w:cs="仿宋"/>
                <w:spacing w:val="-2"/>
                <w:sz w:val="24"/>
              </w:rPr>
            </w:pPr>
            <w:r>
              <w:rPr>
                <w:rFonts w:ascii="仿宋" w:eastAsia="仿宋" w:cs="仿宋" w:hint="eastAsia"/>
                <w:sz w:val="24"/>
              </w:rPr>
              <w:t>用于温度计保护套管的振动计算</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pacing w:val="-2"/>
                <w:sz w:val="24"/>
              </w:rPr>
            </w:pPr>
            <w:r>
              <w:rPr>
                <w:rFonts w:ascii="仿宋" w:eastAsia="仿宋" w:cs="仿宋" w:hint="eastAsia"/>
                <w:spacing w:val="-2"/>
                <w:sz w:val="24"/>
              </w:rPr>
              <w:t>13</w:t>
            </w:r>
          </w:p>
        </w:tc>
        <w:tc>
          <w:tcPr>
            <w:tcW w:w="2435" w:type="dxa"/>
            <w:noWrap/>
            <w:vAlign w:val="center"/>
          </w:tcPr>
          <w:p>
            <w:pPr>
              <w:widowControl w:val="0"/>
              <w:suppressAutoHyphens/>
              <w:spacing w:before="60" w:after="60" w:line="23" w:lineRule="atLeast"/>
              <w:ind w:left="-776" w:firstLine="776"/>
              <w:jc w:val="center"/>
              <w:rPr>
                <w:rFonts w:ascii="仿宋" w:eastAsia="仿宋" w:cs="仿宋"/>
                <w:spacing w:val="-2"/>
                <w:sz w:val="24"/>
              </w:rPr>
            </w:pPr>
            <w:r>
              <w:rPr>
                <w:rFonts w:ascii="仿宋" w:eastAsia="仿宋" w:cs="仿宋" w:hint="eastAsia"/>
                <w:spacing w:val="-2"/>
                <w:sz w:val="24"/>
              </w:rPr>
              <w:t>IEC 61000</w:t>
            </w:r>
          </w:p>
        </w:tc>
        <w:tc>
          <w:tcPr>
            <w:tcW w:w="5786" w:type="dxa"/>
            <w:noWrap/>
            <w:vAlign w:val="center"/>
          </w:tcPr>
          <w:p>
            <w:pPr>
              <w:widowControl w:val="0"/>
              <w:suppressAutoHyphens/>
              <w:spacing w:before="60" w:after="60" w:line="23" w:lineRule="atLeast"/>
              <w:jc w:val="left"/>
              <w:rPr>
                <w:rFonts w:ascii="仿宋" w:eastAsia="仿宋" w:cs="仿宋"/>
                <w:spacing w:val="-2"/>
                <w:sz w:val="24"/>
              </w:rPr>
            </w:pPr>
            <w:r>
              <w:rPr>
                <w:rFonts w:ascii="仿宋" w:eastAsia="仿宋" w:cs="仿宋" w:hint="eastAsia"/>
                <w:spacing w:val="-2"/>
                <w:sz w:val="24"/>
              </w:rPr>
              <w:t>工业工艺检测和控制设备的电磁兼容性规定</w:t>
            </w:r>
          </w:p>
        </w:tc>
      </w:tr>
      <w:tr>
        <w:trPr>
          <w:trHeight w:hRule="exact" w:val="454"/>
        </w:trPr>
        <w:tc>
          <w:tcPr>
            <w:tcW w:w="993" w:type="dxa"/>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14</w:t>
            </w:r>
          </w:p>
        </w:tc>
        <w:tc>
          <w:tcPr>
            <w:tcW w:w="2435"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IEC 61158</w:t>
            </w:r>
          </w:p>
        </w:tc>
        <w:tc>
          <w:tcPr>
            <w:tcW w:w="5786" w:type="dxa"/>
            <w:noWrap/>
            <w:vAlign w:val="center"/>
          </w:tcPr>
          <w:p>
            <w:pPr>
              <w:widowControl w:val="0"/>
              <w:suppressAutoHyphens/>
              <w:spacing w:before="60" w:after="60" w:line="23" w:lineRule="atLeast"/>
              <w:jc w:val="left"/>
              <w:rPr>
                <w:rFonts w:ascii="仿宋" w:eastAsia="仿宋" w:cs="仿宋"/>
                <w:spacing w:val="-2"/>
                <w:sz w:val="24"/>
              </w:rPr>
            </w:pPr>
            <w:r>
              <w:rPr>
                <w:rFonts w:ascii="仿宋" w:eastAsia="仿宋" w:cs="仿宋" w:hint="eastAsia"/>
                <w:sz w:val="24"/>
              </w:rPr>
              <w:t>检测控制设备的数字数据通讯规定</w:t>
            </w:r>
          </w:p>
        </w:tc>
      </w:tr>
      <w:tr>
        <w:trPr>
          <w:trHeight w:hRule="exact" w:val="454"/>
        </w:trPr>
        <w:tc>
          <w:tcPr>
            <w:tcW w:w="993" w:type="dxa"/>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15</w:t>
            </w:r>
          </w:p>
        </w:tc>
        <w:tc>
          <w:tcPr>
            <w:tcW w:w="2435"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z w:val="24"/>
              </w:rPr>
              <w:t>IEC 62382</w:t>
            </w:r>
          </w:p>
        </w:tc>
        <w:tc>
          <w:tcPr>
            <w:tcW w:w="5786" w:type="dxa"/>
            <w:noWrap/>
            <w:vAlign w:val="center"/>
          </w:tcPr>
          <w:p>
            <w:pPr>
              <w:widowControl w:val="0"/>
              <w:suppressAutoHyphens/>
              <w:spacing w:before="60" w:after="60" w:line="23" w:lineRule="atLeast"/>
              <w:jc w:val="left"/>
              <w:rPr>
                <w:rFonts w:ascii="仿宋" w:eastAsia="仿宋" w:cs="仿宋"/>
                <w:sz w:val="24"/>
              </w:rPr>
            </w:pPr>
            <w:r>
              <w:rPr>
                <w:rFonts w:ascii="仿宋" w:eastAsia="仿宋" w:cs="仿宋" w:hint="eastAsia"/>
                <w:sz w:val="24"/>
              </w:rPr>
              <w:t>电气和测量仪表回路检查</w:t>
            </w:r>
          </w:p>
        </w:tc>
      </w:tr>
      <w:tr>
        <w:trPr>
          <w:trHeight w:hRule="exact" w:val="454"/>
        </w:trPr>
        <w:tc>
          <w:tcPr>
            <w:tcW w:w="993" w:type="dxa"/>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16</w:t>
            </w:r>
          </w:p>
        </w:tc>
        <w:tc>
          <w:tcPr>
            <w:tcW w:w="2435"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z w:val="24"/>
              </w:rPr>
              <w:t>IEC61131-3</w:t>
            </w:r>
          </w:p>
        </w:tc>
        <w:tc>
          <w:tcPr>
            <w:tcW w:w="5786" w:type="dxa"/>
            <w:noWrap/>
            <w:vAlign w:val="center"/>
          </w:tcPr>
          <w:p>
            <w:pPr>
              <w:widowControl w:val="0"/>
              <w:suppressAutoHyphens/>
              <w:spacing w:before="60" w:after="60" w:line="23" w:lineRule="atLeast"/>
              <w:jc w:val="left"/>
              <w:rPr>
                <w:rFonts w:ascii="仿宋" w:eastAsia="仿宋" w:cs="仿宋"/>
                <w:sz w:val="24"/>
              </w:rPr>
            </w:pPr>
            <w:r>
              <w:rPr>
                <w:rFonts w:ascii="仿宋" w:eastAsia="仿宋" w:cs="仿宋" w:hint="eastAsia"/>
                <w:sz w:val="24"/>
              </w:rPr>
              <w:t>逻辑图</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17</w:t>
            </w:r>
          </w:p>
        </w:tc>
        <w:tc>
          <w:tcPr>
            <w:tcW w:w="2435" w:type="dxa"/>
            <w:noWrap/>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IEEE 472</w:t>
            </w:r>
          </w:p>
        </w:tc>
        <w:tc>
          <w:tcPr>
            <w:tcW w:w="5786" w:type="dxa"/>
            <w:noWrap/>
            <w:vAlign w:val="center"/>
          </w:tcPr>
          <w:p>
            <w:pPr>
              <w:widowControl w:val="0"/>
              <w:suppressAutoHyphens/>
              <w:spacing w:before="60" w:after="60" w:line="23" w:lineRule="atLeast"/>
              <w:ind w:left="27"/>
              <w:jc w:val="left"/>
              <w:rPr>
                <w:rFonts w:ascii="仿宋" w:eastAsia="仿宋" w:cs="仿宋"/>
                <w:sz w:val="24"/>
              </w:rPr>
            </w:pPr>
            <w:r>
              <w:rPr>
                <w:rFonts w:ascii="仿宋" w:eastAsia="仿宋" w:cs="仿宋" w:hint="eastAsia"/>
                <w:sz w:val="24"/>
              </w:rPr>
              <w:t>电气瞬时保护规定</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18</w:t>
            </w:r>
          </w:p>
        </w:tc>
        <w:tc>
          <w:tcPr>
            <w:tcW w:w="2435" w:type="dxa"/>
            <w:noWrap/>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IEEE 488.1</w:t>
            </w:r>
          </w:p>
        </w:tc>
        <w:tc>
          <w:tcPr>
            <w:tcW w:w="5786" w:type="dxa"/>
            <w:noWrap/>
            <w:vAlign w:val="center"/>
          </w:tcPr>
          <w:p>
            <w:pPr>
              <w:widowControl w:val="0"/>
              <w:suppressAutoHyphens/>
              <w:spacing w:before="60" w:after="60" w:line="23" w:lineRule="atLeast"/>
              <w:ind w:left="27"/>
              <w:jc w:val="left"/>
              <w:rPr>
                <w:rFonts w:ascii="仿宋" w:eastAsia="仿宋" w:cs="仿宋"/>
                <w:sz w:val="24"/>
              </w:rPr>
            </w:pPr>
            <w:r>
              <w:rPr>
                <w:rFonts w:ascii="仿宋" w:eastAsia="仿宋" w:cs="仿宋" w:hint="eastAsia"/>
                <w:sz w:val="24"/>
              </w:rPr>
              <w:t>可编程仪表标准接口规定</w:t>
            </w:r>
          </w:p>
        </w:tc>
      </w:tr>
      <w:tr>
        <w:trPr>
          <w:trHeight w:hRule="exact" w:val="719"/>
        </w:trPr>
        <w:tc>
          <w:tcPr>
            <w:tcW w:w="993" w:type="dxa"/>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19</w:t>
            </w:r>
          </w:p>
        </w:tc>
        <w:tc>
          <w:tcPr>
            <w:tcW w:w="2435" w:type="dxa"/>
            <w:noWrap/>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IEEE 488.2</w:t>
            </w:r>
          </w:p>
        </w:tc>
        <w:tc>
          <w:tcPr>
            <w:tcW w:w="5786" w:type="dxa"/>
            <w:noWrap/>
            <w:vAlign w:val="center"/>
          </w:tcPr>
          <w:p>
            <w:pPr>
              <w:widowControl w:val="0"/>
              <w:suppressAutoHyphens/>
              <w:spacing w:before="60" w:after="60" w:line="23" w:lineRule="atLeast"/>
              <w:ind w:left="27"/>
              <w:jc w:val="left"/>
              <w:rPr>
                <w:rFonts w:ascii="仿宋" w:eastAsia="仿宋" w:cs="仿宋"/>
                <w:sz w:val="24"/>
              </w:rPr>
            </w:pPr>
            <w:r>
              <w:rPr>
                <w:rFonts w:ascii="仿宋" w:eastAsia="仿宋" w:cs="仿宋" w:hint="eastAsia"/>
                <w:sz w:val="24"/>
              </w:rPr>
              <w:t>使用IEEE 标准488.1的标准代码，格式，协议和通用命令</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20</w:t>
            </w:r>
          </w:p>
        </w:tc>
        <w:tc>
          <w:tcPr>
            <w:tcW w:w="2435" w:type="dxa"/>
            <w:noWrap/>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IEEE 802.3</w:t>
            </w:r>
          </w:p>
        </w:tc>
        <w:tc>
          <w:tcPr>
            <w:tcW w:w="5786" w:type="dxa"/>
            <w:noWrap/>
            <w:vAlign w:val="center"/>
          </w:tcPr>
          <w:p>
            <w:pPr>
              <w:widowControl w:val="0"/>
              <w:suppressAutoHyphens/>
              <w:spacing w:before="60" w:after="60" w:line="23" w:lineRule="atLeast"/>
              <w:ind w:left="27"/>
              <w:jc w:val="left"/>
              <w:rPr>
                <w:rFonts w:ascii="仿宋" w:eastAsia="仿宋" w:cs="仿宋"/>
                <w:sz w:val="24"/>
              </w:rPr>
            </w:pPr>
            <w:r>
              <w:rPr>
                <w:rFonts w:ascii="仿宋" w:eastAsia="仿宋" w:cs="仿宋" w:hint="eastAsia"/>
                <w:sz w:val="24"/>
              </w:rPr>
              <w:t>以太网局域网协议</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21</w:t>
            </w:r>
          </w:p>
        </w:tc>
        <w:tc>
          <w:tcPr>
            <w:tcW w:w="2435" w:type="dxa"/>
            <w:noWrap/>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IEEE 730.1</w:t>
            </w:r>
          </w:p>
        </w:tc>
        <w:tc>
          <w:tcPr>
            <w:tcW w:w="5786" w:type="dxa"/>
            <w:noWrap/>
            <w:vAlign w:val="center"/>
          </w:tcPr>
          <w:p>
            <w:pPr>
              <w:widowControl w:val="0"/>
              <w:suppressAutoHyphens/>
              <w:spacing w:before="60" w:after="60" w:line="23" w:lineRule="atLeast"/>
              <w:ind w:left="27"/>
              <w:jc w:val="left"/>
              <w:rPr>
                <w:rFonts w:ascii="仿宋" w:eastAsia="仿宋" w:cs="仿宋"/>
                <w:sz w:val="24"/>
              </w:rPr>
            </w:pPr>
            <w:r>
              <w:rPr>
                <w:rFonts w:ascii="仿宋" w:eastAsia="仿宋" w:cs="仿宋" w:hint="eastAsia"/>
                <w:sz w:val="24"/>
              </w:rPr>
              <w:t>软件质量控制指导原则</w:t>
            </w:r>
          </w:p>
        </w:tc>
      </w:tr>
      <w:tr>
        <w:trPr>
          <w:trHeight w:hRule="exact" w:val="454"/>
        </w:trPr>
        <w:tc>
          <w:tcPr>
            <w:tcW w:w="993" w:type="dxa"/>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22</w:t>
            </w:r>
          </w:p>
        </w:tc>
        <w:tc>
          <w:tcPr>
            <w:tcW w:w="2435"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ISO 261</w:t>
            </w:r>
          </w:p>
        </w:tc>
        <w:tc>
          <w:tcPr>
            <w:tcW w:w="5786" w:type="dxa"/>
            <w:noWrap/>
            <w:vAlign w:val="center"/>
          </w:tcPr>
          <w:p>
            <w:pPr>
              <w:widowControl w:val="0"/>
              <w:suppressAutoHyphens/>
              <w:spacing w:before="60" w:after="60" w:line="23" w:lineRule="atLeast"/>
              <w:jc w:val="left"/>
              <w:rPr>
                <w:rFonts w:ascii="仿宋" w:eastAsia="仿宋" w:cs="仿宋"/>
                <w:spacing w:val="-2"/>
                <w:sz w:val="24"/>
              </w:rPr>
            </w:pPr>
            <w:r>
              <w:rPr>
                <w:rFonts w:ascii="仿宋" w:eastAsia="仿宋" w:cs="仿宋" w:hint="eastAsia"/>
                <w:spacing w:val="-2"/>
                <w:sz w:val="24"/>
              </w:rPr>
              <w:t>电气螺纹连接规定</w:t>
            </w:r>
          </w:p>
        </w:tc>
      </w:tr>
      <w:tr>
        <w:trPr>
          <w:trHeight w:hRule="exact" w:val="454"/>
        </w:trPr>
        <w:tc>
          <w:tcPr>
            <w:tcW w:w="993" w:type="dxa"/>
            <w:vAlign w:val="center"/>
          </w:tcPr>
          <w:p>
            <w:pPr>
              <w:widowControl w:val="0"/>
              <w:suppressAutoHyphens/>
              <w:spacing w:before="60" w:after="60" w:line="23" w:lineRule="atLeast"/>
              <w:ind w:left="-776" w:firstLine="776"/>
              <w:jc w:val="center"/>
              <w:rPr>
                <w:rFonts w:ascii="仿宋" w:eastAsia="仿宋" w:cs="仿宋"/>
                <w:sz w:val="24"/>
              </w:rPr>
            </w:pPr>
            <w:r>
              <w:rPr>
                <w:rFonts w:ascii="仿宋" w:eastAsia="仿宋" w:cs="仿宋" w:hint="eastAsia"/>
                <w:sz w:val="24"/>
              </w:rPr>
              <w:t>23</w:t>
            </w:r>
          </w:p>
        </w:tc>
        <w:tc>
          <w:tcPr>
            <w:tcW w:w="2435" w:type="dxa"/>
            <w:noWrap/>
            <w:vAlign w:val="center"/>
          </w:tcPr>
          <w:p>
            <w:pPr>
              <w:widowControl w:val="0"/>
              <w:suppressAutoHyphens/>
              <w:spacing w:before="60" w:after="60" w:line="23" w:lineRule="atLeast"/>
              <w:ind w:left="-776" w:firstLine="776"/>
              <w:jc w:val="center"/>
              <w:rPr>
                <w:rFonts w:ascii="仿宋" w:eastAsia="仿宋" w:cs="仿宋"/>
                <w:spacing w:val="-2"/>
                <w:sz w:val="24"/>
              </w:rPr>
            </w:pPr>
            <w:r>
              <w:rPr>
                <w:rFonts w:ascii="仿宋" w:eastAsia="仿宋" w:cs="仿宋" w:hint="eastAsia"/>
                <w:sz w:val="24"/>
              </w:rPr>
              <w:t>ISO 9000</w:t>
            </w:r>
          </w:p>
        </w:tc>
        <w:tc>
          <w:tcPr>
            <w:tcW w:w="5786" w:type="dxa"/>
            <w:noWrap/>
            <w:vAlign w:val="center"/>
          </w:tcPr>
          <w:p>
            <w:pPr>
              <w:widowControl w:val="0"/>
              <w:suppressAutoHyphens/>
              <w:spacing w:before="60" w:after="60" w:line="23" w:lineRule="atLeast"/>
              <w:ind w:left="27"/>
              <w:jc w:val="left"/>
              <w:rPr>
                <w:rFonts w:ascii="仿宋" w:eastAsia="仿宋" w:cs="仿宋"/>
                <w:spacing w:val="-2"/>
                <w:sz w:val="24"/>
              </w:rPr>
            </w:pPr>
            <w:r>
              <w:rPr>
                <w:rFonts w:ascii="仿宋" w:eastAsia="仿宋" w:cs="仿宋" w:hint="eastAsia"/>
                <w:sz w:val="24"/>
              </w:rPr>
              <w:t>质量系统的方法和模式</w:t>
            </w:r>
          </w:p>
        </w:tc>
      </w:tr>
      <w:tr>
        <w:trPr>
          <w:trHeight w:hRule="exact" w:val="454"/>
        </w:trPr>
        <w:tc>
          <w:tcPr>
            <w:tcW w:w="993" w:type="dxa"/>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24</w:t>
            </w:r>
          </w:p>
        </w:tc>
        <w:tc>
          <w:tcPr>
            <w:tcW w:w="2435"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EEMUA 138</w:t>
            </w:r>
          </w:p>
        </w:tc>
        <w:tc>
          <w:tcPr>
            <w:tcW w:w="5786" w:type="dxa"/>
            <w:noWrap/>
            <w:vAlign w:val="center"/>
          </w:tcPr>
          <w:p>
            <w:pPr>
              <w:widowControl w:val="0"/>
              <w:suppressAutoHyphens/>
              <w:spacing w:before="60" w:after="60" w:line="23" w:lineRule="atLeast"/>
              <w:jc w:val="left"/>
              <w:rPr>
                <w:rFonts w:ascii="仿宋" w:eastAsia="仿宋" w:cs="仿宋"/>
                <w:spacing w:val="-2"/>
                <w:sz w:val="24"/>
              </w:rPr>
            </w:pPr>
            <w:r>
              <w:rPr>
                <w:rFonts w:ascii="仿宋" w:eastAsia="仿宋" w:cs="仿宋" w:hint="eastAsia"/>
                <w:sz w:val="24"/>
              </w:rPr>
              <w:t>在线分析仪系统的设计和安装规定</w:t>
            </w:r>
          </w:p>
        </w:tc>
      </w:tr>
      <w:tr>
        <w:trPr>
          <w:trHeight w:hRule="exact" w:val="454"/>
        </w:trPr>
        <w:tc>
          <w:tcPr>
            <w:tcW w:w="993" w:type="dxa"/>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25</w:t>
            </w:r>
          </w:p>
        </w:tc>
        <w:tc>
          <w:tcPr>
            <w:tcW w:w="2435"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pacing w:val="-2"/>
                <w:sz w:val="24"/>
              </w:rPr>
              <w:t>ISA-5.1</w:t>
            </w:r>
          </w:p>
        </w:tc>
        <w:tc>
          <w:tcPr>
            <w:tcW w:w="5786" w:type="dxa"/>
            <w:noWrap/>
            <w:vAlign w:val="center"/>
          </w:tcPr>
          <w:p>
            <w:pPr>
              <w:widowControl w:val="0"/>
              <w:suppressAutoHyphens/>
              <w:spacing w:before="60" w:after="60" w:line="23" w:lineRule="atLeast"/>
              <w:jc w:val="left"/>
              <w:rPr>
                <w:rFonts w:ascii="仿宋" w:eastAsia="仿宋" w:cs="仿宋"/>
                <w:spacing w:val="-2"/>
                <w:sz w:val="24"/>
              </w:rPr>
            </w:pPr>
            <w:r>
              <w:rPr>
                <w:rFonts w:ascii="仿宋" w:eastAsia="仿宋" w:cs="仿宋" w:hint="eastAsia"/>
                <w:spacing w:val="-2"/>
                <w:sz w:val="24"/>
              </w:rPr>
              <w:t>仪表符号标识规定</w:t>
            </w:r>
          </w:p>
        </w:tc>
      </w:tr>
      <w:tr>
        <w:trPr>
          <w:trHeight w:hRule="exact" w:val="652"/>
        </w:trPr>
        <w:tc>
          <w:tcPr>
            <w:tcW w:w="993" w:type="dxa"/>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26</w:t>
            </w:r>
          </w:p>
        </w:tc>
        <w:tc>
          <w:tcPr>
            <w:tcW w:w="2435"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z w:val="24"/>
              </w:rPr>
              <w:t>ISA S5.3</w:t>
            </w:r>
          </w:p>
        </w:tc>
        <w:tc>
          <w:tcPr>
            <w:tcW w:w="5786" w:type="dxa"/>
            <w:noWrap/>
            <w:vAlign w:val="center"/>
          </w:tcPr>
          <w:p>
            <w:pPr>
              <w:widowControl w:val="0"/>
              <w:suppressAutoHyphens/>
              <w:spacing w:before="60" w:after="60" w:line="23" w:lineRule="atLeast"/>
              <w:jc w:val="left"/>
              <w:rPr>
                <w:rFonts w:ascii="仿宋" w:eastAsia="仿宋" w:cs="仿宋"/>
                <w:spacing w:val="-2"/>
                <w:sz w:val="24"/>
              </w:rPr>
            </w:pPr>
            <w:r>
              <w:rPr>
                <w:rFonts w:ascii="仿宋" w:eastAsia="仿宋" w:cs="仿宋" w:hint="eastAsia"/>
                <w:sz w:val="24"/>
              </w:rPr>
              <w:t>分散控制/共用显示仪表、逻辑和计算机系统用图形符号</w:t>
            </w:r>
          </w:p>
        </w:tc>
      </w:tr>
      <w:tr>
        <w:trPr>
          <w:trHeight w:hRule="exact" w:val="454"/>
        </w:trPr>
        <w:tc>
          <w:tcPr>
            <w:tcW w:w="993" w:type="dxa"/>
            <w:vAlign w:val="center"/>
          </w:tcPr>
          <w:p>
            <w:pPr>
              <w:widowControl w:val="0"/>
              <w:suppressAutoHyphens/>
              <w:spacing w:before="60" w:after="60" w:line="23" w:lineRule="atLeast"/>
              <w:jc w:val="center"/>
              <w:rPr>
                <w:rFonts w:ascii="仿宋" w:eastAsia="仿宋" w:cs="仿宋"/>
                <w:sz w:val="24"/>
                <w:lang w:val="fr-FR"/>
              </w:rPr>
            </w:pPr>
            <w:r>
              <w:rPr>
                <w:rFonts w:ascii="仿宋" w:eastAsia="仿宋" w:cs="仿宋" w:hint="eastAsia"/>
                <w:sz w:val="24"/>
                <w:lang w:val="fr-FR"/>
              </w:rPr>
              <w:t>27</w:t>
            </w:r>
          </w:p>
        </w:tc>
        <w:tc>
          <w:tcPr>
            <w:tcW w:w="2435" w:type="dxa"/>
            <w:noWrap/>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sz w:val="24"/>
                <w:lang w:val="fr-FR"/>
              </w:rPr>
              <w:t>EN50288-7</w:t>
            </w:r>
          </w:p>
        </w:tc>
        <w:tc>
          <w:tcPr>
            <w:tcW w:w="5786" w:type="dxa"/>
            <w:noWrap/>
            <w:vAlign w:val="center"/>
          </w:tcPr>
          <w:p>
            <w:pPr>
              <w:widowControl w:val="0"/>
              <w:suppressAutoHyphens/>
              <w:spacing w:before="60" w:after="60" w:line="23" w:lineRule="atLeast"/>
              <w:jc w:val="left"/>
              <w:rPr>
                <w:rFonts w:ascii="仿宋" w:eastAsia="仿宋" w:cs="仿宋"/>
                <w:sz w:val="24"/>
              </w:rPr>
            </w:pPr>
            <w:r>
              <w:rPr>
                <w:rFonts w:ascii="仿宋" w:eastAsia="仿宋" w:cs="仿宋" w:hint="eastAsia"/>
                <w:sz w:val="24"/>
              </w:rPr>
              <w:t>电缆</w:t>
            </w:r>
          </w:p>
        </w:tc>
      </w:tr>
      <w:tr>
        <w:trPr>
          <w:trHeight w:hRule="exact" w:val="454"/>
        </w:trPr>
        <w:tc>
          <w:tcPr>
            <w:tcW w:w="993" w:type="dxa"/>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28</w:t>
            </w:r>
          </w:p>
        </w:tc>
        <w:tc>
          <w:tcPr>
            <w:tcW w:w="2435" w:type="dxa"/>
            <w:noWrap/>
            <w:vAlign w:val="center"/>
          </w:tcPr>
          <w:p>
            <w:pPr>
              <w:widowControl w:val="0"/>
              <w:suppressAutoHyphens/>
              <w:spacing w:before="60" w:after="60" w:line="23" w:lineRule="atLeast"/>
              <w:jc w:val="center"/>
              <w:rPr>
                <w:rFonts w:ascii="仿宋" w:eastAsia="仿宋" w:cs="仿宋"/>
                <w:sz w:val="24"/>
                <w:lang w:val="fr-FR"/>
              </w:rPr>
            </w:pPr>
            <w:r>
              <w:rPr>
                <w:rFonts w:ascii="仿宋" w:eastAsia="仿宋" w:cs="仿宋" w:hint="eastAsia"/>
                <w:sz w:val="24"/>
              </w:rPr>
              <w:t>EN 60947-5/6</w:t>
            </w:r>
          </w:p>
        </w:tc>
        <w:tc>
          <w:tcPr>
            <w:tcW w:w="5786" w:type="dxa"/>
            <w:noWrap/>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接近开关（NAMUR标准）</w:t>
            </w:r>
          </w:p>
        </w:tc>
      </w:tr>
    </w:tbl>
    <w:p>
      <w:pPr>
        <w:pStyle w:val="2"/>
        <w:ind w:left="567" w:firstLine="562"/>
      </w:pPr>
      <w:bookmarkStart w:id="60" w:name="_Toc77250326"/>
      <w:bookmarkStart w:id="61" w:name="_Toc15052"/>
      <w:bookmarkStart w:id="62" w:name="_Toc26192192"/>
      <w:bookmarkStart w:id="63" w:name="_Toc20932"/>
      <w:bookmarkStart w:id="64" w:name="_Toc77252083"/>
      <w:bookmarkStart w:id="65" w:name="_Toc77270347"/>
      <w:bookmarkStart w:id="66" w:name="_Toc21967032"/>
      <w:r>
        <w:rPr>
          <w:rFonts w:hint="eastAsia"/>
        </w:rPr>
        <w:t>中国标准</w:t>
      </w:r>
      <w:bookmarkEnd w:id="60"/>
      <w:bookmarkEnd w:id="61"/>
      <w:bookmarkEnd w:id="62"/>
      <w:bookmarkEnd w:id="63"/>
      <w:bookmarkEnd w:id="64"/>
      <w:bookmarkEnd w:id="65"/>
      <w:bookmarkEnd w:id="66"/>
    </w:p>
    <w:p>
      <w:pPr>
        <w:pStyle w:val="50"/>
        <w:spacing w:line="23" w:lineRule="atLeast"/>
        <w:ind w:left="0" w:firstLineChars="200" w:firstLine="560"/>
        <w:rPr>
          <w:rFonts w:ascii="仿宋" w:eastAsia="仿宋" w:cs="仿宋"/>
          <w:sz w:val="28"/>
          <w:szCs w:val="32"/>
          <w:lang w:eastAsia="zh-CN"/>
        </w:rPr>
      </w:pPr>
      <w:r>
        <w:rPr>
          <w:rFonts w:ascii="仿宋" w:eastAsia="仿宋" w:cs="仿宋" w:hint="eastAsia"/>
          <w:sz w:val="28"/>
          <w:szCs w:val="32"/>
          <w:lang w:eastAsia="zh-CN"/>
        </w:rPr>
        <w:t>除了上述国际标准，材料和维修服务应该遵守强制性中国最新版本规范、编码和标准。</w:t>
      </w:r>
    </w:p>
    <w:p>
      <w:pPr>
        <w:pStyle w:val="50"/>
        <w:spacing w:line="23" w:lineRule="atLeast"/>
        <w:ind w:left="0" w:firstLineChars="200" w:firstLine="640"/>
        <w:jc w:val="center"/>
        <w:rPr>
          <w:rFonts w:ascii="方正仿宋_GBK" w:eastAsia="方正仿宋_GBK" w:cs="仿宋"/>
          <w:sz w:val="32"/>
          <w:szCs w:val="32"/>
          <w:lang w:eastAsia="zh-CN"/>
        </w:rPr>
      </w:pPr>
      <w:r>
        <w:rPr>
          <w:rFonts w:ascii="方正仿宋_GBK" w:eastAsia="方正仿宋_GBK" w:cs="仿宋" w:hint="eastAsia"/>
          <w:sz w:val="32"/>
          <w:szCs w:val="32"/>
          <w:lang w:eastAsia="zh-CN"/>
        </w:rPr>
        <w:t>表（2）</w:t>
      </w:r>
    </w:p>
    <w:tbl>
      <w:tblPr>
        <w:jc w:val="center"/>
        <w:tblW w:w="92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993"/>
        <w:gridCol w:w="2481"/>
        <w:gridCol w:w="5740"/>
      </w:tblGrid>
      <w:tr>
        <w:trPr>
          <w:trHeight w:hRule="exact" w:val="454"/>
          <w:tblHeader/>
        </w:trPr>
        <w:tc>
          <w:tcPr>
            <w:tcW w:w="993" w:type="dxa"/>
            <w:vAlign w:val="center"/>
          </w:tcPr>
          <w:p>
            <w:pPr>
              <w:spacing w:line="23" w:lineRule="atLeast"/>
              <w:jc w:val="center"/>
              <w:rPr>
                <w:rFonts w:ascii="仿宋" w:eastAsia="仿宋" w:cs="仿宋"/>
                <w:b/>
                <w:position w:val="-6"/>
                <w:sz w:val="24"/>
              </w:rPr>
            </w:pPr>
            <w:r>
              <w:rPr>
                <w:rFonts w:ascii="仿宋" w:eastAsia="仿宋" w:cs="仿宋" w:hint="eastAsia"/>
                <w:b/>
                <w:position w:val="-6"/>
                <w:sz w:val="24"/>
              </w:rPr>
              <w:t>序号</w:t>
            </w:r>
          </w:p>
        </w:tc>
        <w:tc>
          <w:tcPr>
            <w:tcW w:w="2481" w:type="dxa"/>
            <w:noWrap/>
            <w:vAlign w:val="center"/>
          </w:tcPr>
          <w:p>
            <w:pPr>
              <w:spacing w:line="23" w:lineRule="atLeast"/>
              <w:jc w:val="center"/>
              <w:rPr>
                <w:rFonts w:ascii="仿宋" w:eastAsia="仿宋" w:cs="仿宋"/>
                <w:b/>
                <w:position w:val="-6"/>
                <w:sz w:val="24"/>
              </w:rPr>
            </w:pPr>
            <w:r>
              <w:rPr>
                <w:rFonts w:ascii="仿宋" w:eastAsia="仿宋" w:cs="仿宋" w:hint="eastAsia"/>
                <w:b/>
                <w:position w:val="-6"/>
                <w:sz w:val="24"/>
              </w:rPr>
              <w:t>标准号</w:t>
            </w:r>
          </w:p>
        </w:tc>
        <w:tc>
          <w:tcPr>
            <w:tcW w:w="5740" w:type="dxa"/>
            <w:noWrap/>
            <w:vAlign w:val="center"/>
          </w:tcPr>
          <w:p>
            <w:pPr>
              <w:spacing w:line="23" w:lineRule="atLeast"/>
              <w:jc w:val="center"/>
              <w:rPr>
                <w:rFonts w:ascii="仿宋" w:eastAsia="仿宋" w:cs="仿宋"/>
                <w:b/>
                <w:spacing w:val="-2"/>
                <w:sz w:val="24"/>
              </w:rPr>
            </w:pPr>
            <w:r>
              <w:rPr>
                <w:rFonts w:ascii="仿宋" w:eastAsia="仿宋" w:cs="仿宋" w:hint="eastAsia"/>
                <w:b/>
                <w:spacing w:val="-2"/>
                <w:sz w:val="24"/>
              </w:rPr>
              <w:t>名称</w:t>
            </w:r>
          </w:p>
        </w:tc>
      </w:tr>
      <w:tr>
        <w:trPr>
          <w:trHeight w:hRule="exact" w:val="454"/>
        </w:trPr>
        <w:tc>
          <w:tcPr>
            <w:tcW w:w="993" w:type="dxa"/>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1</w:t>
            </w:r>
          </w:p>
        </w:tc>
        <w:tc>
          <w:tcPr>
            <w:tcW w:w="2481" w:type="dxa"/>
            <w:noWrap/>
            <w:vAlign w:val="center"/>
          </w:tcPr>
          <w:p>
            <w:pPr>
              <w:widowControl w:val="0"/>
              <w:suppressAutoHyphens/>
              <w:spacing w:before="60" w:after="60" w:line="23" w:lineRule="atLeast"/>
              <w:jc w:val="center"/>
              <w:rPr>
                <w:rFonts w:ascii="仿宋" w:eastAsia="仿宋" w:cs="仿宋"/>
                <w:i/>
                <w:sz w:val="24"/>
              </w:rPr>
            </w:pPr>
            <w:r>
              <w:rPr>
                <w:rFonts w:ascii="仿宋" w:eastAsia="仿宋" w:cs="仿宋" w:hint="eastAsia"/>
                <w:sz w:val="24"/>
              </w:rPr>
              <w:t>QB∕T 2467-2017</w:t>
            </w:r>
          </w:p>
        </w:tc>
        <w:tc>
          <w:tcPr>
            <w:tcW w:w="5740" w:type="dxa"/>
            <w:noWrap/>
          </w:tcPr>
          <w:p>
            <w:pPr>
              <w:widowControl w:val="0"/>
              <w:suppressAutoHyphens/>
              <w:spacing w:before="60" w:after="60" w:line="23" w:lineRule="atLeast"/>
              <w:rPr>
                <w:rFonts w:ascii="仿宋" w:eastAsia="仿宋" w:cs="仿宋"/>
                <w:sz w:val="24"/>
              </w:rPr>
            </w:pPr>
            <w:r>
              <w:rPr>
                <w:rFonts w:ascii="仿宋" w:eastAsia="仿宋" w:cs="仿宋" w:hint="eastAsia"/>
                <w:sz w:val="24"/>
              </w:rPr>
              <w:t>食品工业用不锈钢管</w:t>
            </w:r>
          </w:p>
        </w:tc>
      </w:tr>
      <w:tr>
        <w:trPr>
          <w:trHeight w:hRule="exact" w:val="625"/>
        </w:trPr>
        <w:tc>
          <w:tcPr>
            <w:tcW w:w="993" w:type="dxa"/>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2</w:t>
            </w:r>
          </w:p>
        </w:tc>
        <w:tc>
          <w:tcPr>
            <w:tcW w:w="2481" w:type="dxa"/>
            <w:noWrap/>
            <w:vAlign w:val="center"/>
          </w:tcPr>
          <w:p>
            <w:pPr>
              <w:widowControl w:val="0"/>
              <w:suppressAutoHyphens/>
              <w:spacing w:before="60" w:after="60" w:line="23" w:lineRule="atLeast"/>
              <w:jc w:val="center"/>
              <w:rPr>
                <w:rFonts w:ascii="仿宋" w:eastAsia="仿宋" w:cs="仿宋"/>
                <w:i/>
                <w:sz w:val="24"/>
              </w:rPr>
            </w:pPr>
            <w:r>
              <w:rPr>
                <w:rFonts w:ascii="仿宋" w:eastAsia="仿宋" w:cs="仿宋" w:hint="eastAsia"/>
                <w:sz w:val="24"/>
              </w:rPr>
              <w:t>GB4806.1-2016</w:t>
            </w:r>
          </w:p>
        </w:tc>
        <w:tc>
          <w:tcPr>
            <w:tcW w:w="5740" w:type="dxa"/>
            <w:noWrap/>
          </w:tcPr>
          <w:p>
            <w:pPr>
              <w:widowControl w:val="0"/>
              <w:suppressAutoHyphens/>
              <w:spacing w:before="60" w:after="60" w:line="23" w:lineRule="atLeast"/>
              <w:rPr>
                <w:rFonts w:ascii="仿宋" w:eastAsia="仿宋" w:cs="仿宋"/>
                <w:sz w:val="24"/>
              </w:rPr>
            </w:pPr>
            <w:r>
              <w:rPr>
                <w:rFonts w:ascii="仿宋" w:eastAsia="仿宋" w:cs="仿宋" w:hint="eastAsia"/>
                <w:sz w:val="24"/>
              </w:rPr>
              <w:t>食品安全国家标准：食品接触材料及制品通用安全要求</w:t>
            </w:r>
          </w:p>
        </w:tc>
      </w:tr>
      <w:tr>
        <w:trPr>
          <w:trHeight w:hRule="exact" w:val="454"/>
        </w:trPr>
        <w:tc>
          <w:tcPr>
            <w:tcW w:w="993" w:type="dxa"/>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3</w:t>
            </w:r>
          </w:p>
        </w:tc>
        <w:tc>
          <w:tcPr>
            <w:tcW w:w="2481" w:type="dxa"/>
            <w:noWrap/>
            <w:vAlign w:val="center"/>
          </w:tcPr>
          <w:p>
            <w:pPr>
              <w:widowControl w:val="0"/>
              <w:suppressAutoHyphens/>
              <w:spacing w:before="60" w:after="60" w:line="23" w:lineRule="atLeast"/>
              <w:jc w:val="center"/>
              <w:rPr>
                <w:rFonts w:ascii="仿宋" w:eastAsia="仿宋" w:cs="仿宋"/>
                <w:i/>
                <w:sz w:val="24"/>
              </w:rPr>
            </w:pPr>
            <w:r>
              <w:rPr>
                <w:rFonts w:ascii="仿宋" w:eastAsia="仿宋" w:cs="仿宋" w:hint="eastAsia"/>
                <w:sz w:val="24"/>
              </w:rPr>
              <w:t>GB4806.9-2016</w:t>
            </w:r>
          </w:p>
        </w:tc>
        <w:tc>
          <w:tcPr>
            <w:tcW w:w="5740" w:type="dxa"/>
            <w:noWrap/>
          </w:tcPr>
          <w:p>
            <w:pPr>
              <w:widowControl w:val="0"/>
              <w:suppressAutoHyphens/>
              <w:spacing w:before="60" w:after="60" w:line="23" w:lineRule="atLeast"/>
              <w:rPr>
                <w:rFonts w:ascii="仿宋" w:eastAsia="仿宋" w:cs="仿宋"/>
                <w:sz w:val="24"/>
              </w:rPr>
            </w:pPr>
            <w:r>
              <w:rPr>
                <w:rFonts w:ascii="仿宋" w:eastAsia="仿宋" w:cs="仿宋" w:hint="eastAsia"/>
                <w:sz w:val="24"/>
              </w:rPr>
              <w:t>食品安全国家标准：不锈钢食具容器卫生标准</w:t>
            </w:r>
          </w:p>
        </w:tc>
      </w:tr>
      <w:tr>
        <w:trPr>
          <w:trHeight w:hRule="exact" w:val="454"/>
        </w:trPr>
        <w:tc>
          <w:tcPr>
            <w:tcW w:w="993" w:type="dxa"/>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4</w:t>
            </w:r>
          </w:p>
        </w:tc>
        <w:tc>
          <w:tcPr>
            <w:tcW w:w="2481"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z w:val="24"/>
              </w:rPr>
              <w:t>GB50093-2013</w:t>
            </w:r>
          </w:p>
        </w:tc>
        <w:tc>
          <w:tcPr>
            <w:tcW w:w="5740" w:type="dxa"/>
            <w:noWrap/>
          </w:tcPr>
          <w:p>
            <w:pPr>
              <w:widowControl w:val="0"/>
              <w:suppressAutoHyphens/>
              <w:spacing w:before="60" w:after="60" w:line="23" w:lineRule="atLeast"/>
              <w:rPr>
                <w:rFonts w:ascii="仿宋" w:eastAsia="仿宋" w:cs="仿宋"/>
                <w:spacing w:val="-2"/>
                <w:sz w:val="24"/>
              </w:rPr>
            </w:pPr>
            <w:r>
              <w:rPr>
                <w:rFonts w:ascii="仿宋" w:eastAsia="仿宋" w:cs="仿宋" w:hint="eastAsia"/>
                <w:sz w:val="24"/>
              </w:rPr>
              <w:t>自动化仪表工程施工及验收规范</w:t>
            </w:r>
          </w:p>
        </w:tc>
      </w:tr>
      <w:tr>
        <w:trPr>
          <w:trHeight w:hRule="exact" w:val="454"/>
        </w:trPr>
        <w:tc>
          <w:tcPr>
            <w:tcW w:w="993" w:type="dxa"/>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5</w:t>
            </w:r>
          </w:p>
        </w:tc>
        <w:tc>
          <w:tcPr>
            <w:tcW w:w="2481" w:type="dxa"/>
            <w:noWrap/>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kern w:val="0"/>
                <w:sz w:val="24"/>
              </w:rPr>
              <w:t>HG/T 20505-2014</w:t>
            </w:r>
          </w:p>
        </w:tc>
        <w:tc>
          <w:tcPr>
            <w:tcW w:w="5740" w:type="dxa"/>
            <w:noWrap/>
          </w:tcPr>
          <w:p>
            <w:pPr>
              <w:widowControl w:val="0"/>
              <w:suppressAutoHyphens/>
              <w:spacing w:before="60" w:after="60" w:line="23" w:lineRule="atLeast"/>
              <w:rPr>
                <w:rFonts w:ascii="仿宋" w:eastAsia="仿宋" w:cs="仿宋"/>
                <w:sz w:val="24"/>
              </w:rPr>
            </w:pPr>
            <w:r>
              <w:rPr>
                <w:rFonts w:ascii="仿宋" w:eastAsia="仿宋" w:cs="仿宋" w:hint="eastAsia"/>
                <w:kern w:val="0"/>
                <w:sz w:val="24"/>
              </w:rPr>
              <w:t>过程检测和控制系统用文字代号和图形符号</w:t>
            </w:r>
          </w:p>
        </w:tc>
      </w:tr>
      <w:tr>
        <w:trPr>
          <w:trHeight w:hRule="exact" w:val="454"/>
        </w:trPr>
        <w:tc>
          <w:tcPr>
            <w:tcW w:w="993" w:type="dxa"/>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6</w:t>
            </w:r>
          </w:p>
        </w:tc>
        <w:tc>
          <w:tcPr>
            <w:tcW w:w="2481" w:type="dxa"/>
            <w:noWrap/>
            <w:vAlign w:val="center"/>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HG/T 20507-2014</w:t>
            </w:r>
          </w:p>
        </w:tc>
        <w:tc>
          <w:tcPr>
            <w:tcW w:w="5740" w:type="dxa"/>
            <w:noWrap/>
          </w:tcPr>
          <w:p>
            <w:pPr>
              <w:widowControl w:val="0"/>
              <w:suppressAutoHyphens/>
              <w:spacing w:before="60" w:after="60" w:line="23" w:lineRule="atLeast"/>
              <w:rPr>
                <w:rFonts w:ascii="仿宋" w:eastAsia="仿宋" w:cs="仿宋"/>
                <w:kern w:val="0"/>
                <w:sz w:val="24"/>
              </w:rPr>
            </w:pPr>
            <w:r>
              <w:rPr>
                <w:rFonts w:ascii="仿宋" w:eastAsia="仿宋" w:cs="仿宋" w:hint="eastAsia"/>
                <w:kern w:val="0"/>
                <w:sz w:val="24"/>
              </w:rPr>
              <w:t>自动化仪表选型设计规定</w:t>
            </w:r>
          </w:p>
        </w:tc>
      </w:tr>
      <w:tr>
        <w:trPr>
          <w:trHeight w:hRule="exact" w:val="454"/>
        </w:trPr>
        <w:tc>
          <w:tcPr>
            <w:tcW w:w="993" w:type="dxa"/>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7</w:t>
            </w:r>
          </w:p>
        </w:tc>
        <w:tc>
          <w:tcPr>
            <w:tcW w:w="2481" w:type="dxa"/>
            <w:noWrap/>
            <w:vAlign w:val="center"/>
          </w:tcPr>
          <w:p>
            <w:pPr>
              <w:widowControl w:val="0"/>
              <w:suppressAutoHyphens/>
              <w:spacing w:before="60" w:after="60" w:line="23" w:lineRule="atLeast"/>
              <w:jc w:val="center"/>
              <w:rPr>
                <w:rFonts w:ascii="仿宋" w:eastAsia="仿宋" w:cs="仿宋"/>
                <w:i/>
                <w:sz w:val="24"/>
              </w:rPr>
            </w:pPr>
            <w:r>
              <w:rPr>
                <w:rFonts w:ascii="仿宋" w:eastAsia="仿宋" w:cs="仿宋" w:hint="eastAsia"/>
                <w:kern w:val="0"/>
                <w:sz w:val="24"/>
              </w:rPr>
              <w:t>HG/T 20508-2014</w:t>
            </w:r>
          </w:p>
        </w:tc>
        <w:tc>
          <w:tcPr>
            <w:tcW w:w="5740" w:type="dxa"/>
            <w:noWrap/>
          </w:tcPr>
          <w:p>
            <w:pPr>
              <w:widowControl w:val="0"/>
              <w:suppressAutoHyphens/>
              <w:spacing w:before="60" w:after="60" w:line="23" w:lineRule="atLeast"/>
              <w:rPr>
                <w:rFonts w:ascii="仿宋" w:eastAsia="仿宋" w:cs="仿宋"/>
                <w:sz w:val="24"/>
              </w:rPr>
            </w:pPr>
            <w:r>
              <w:rPr>
                <w:rFonts w:ascii="仿宋" w:eastAsia="仿宋" w:cs="仿宋" w:hint="eastAsia"/>
                <w:kern w:val="0"/>
                <w:sz w:val="24"/>
              </w:rPr>
              <w:t>控制室设计规定</w:t>
            </w:r>
          </w:p>
        </w:tc>
      </w:tr>
      <w:tr>
        <w:trPr>
          <w:trHeight w:hRule="exact" w:val="454"/>
        </w:trPr>
        <w:tc>
          <w:tcPr>
            <w:tcW w:w="993" w:type="dxa"/>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8</w:t>
            </w:r>
          </w:p>
        </w:tc>
        <w:tc>
          <w:tcPr>
            <w:tcW w:w="2481"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kern w:val="0"/>
                <w:sz w:val="24"/>
              </w:rPr>
              <w:t>HG/T 20509-2014</w:t>
            </w:r>
          </w:p>
        </w:tc>
        <w:tc>
          <w:tcPr>
            <w:tcW w:w="5740" w:type="dxa"/>
            <w:noWrap/>
          </w:tcPr>
          <w:p>
            <w:pPr>
              <w:widowControl w:val="0"/>
              <w:suppressAutoHyphens/>
              <w:spacing w:before="60" w:after="60" w:line="23" w:lineRule="atLeast"/>
              <w:rPr>
                <w:rFonts w:ascii="仿宋" w:eastAsia="仿宋" w:cs="仿宋"/>
                <w:spacing w:val="-2"/>
                <w:sz w:val="24"/>
              </w:rPr>
            </w:pPr>
            <w:r>
              <w:rPr>
                <w:rFonts w:ascii="仿宋" w:eastAsia="仿宋" w:cs="仿宋" w:hint="eastAsia"/>
                <w:kern w:val="0"/>
                <w:sz w:val="24"/>
              </w:rPr>
              <w:t>仪表供电设计规定</w:t>
            </w:r>
          </w:p>
        </w:tc>
      </w:tr>
      <w:tr>
        <w:trPr>
          <w:trHeight w:hRule="exact" w:val="454"/>
        </w:trPr>
        <w:tc>
          <w:tcPr>
            <w:tcW w:w="993" w:type="dxa"/>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9</w:t>
            </w:r>
          </w:p>
        </w:tc>
        <w:tc>
          <w:tcPr>
            <w:tcW w:w="2481"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kern w:val="0"/>
                <w:sz w:val="24"/>
              </w:rPr>
              <w:t>HG/T 20511-2014</w:t>
            </w:r>
          </w:p>
        </w:tc>
        <w:tc>
          <w:tcPr>
            <w:tcW w:w="5740" w:type="dxa"/>
            <w:noWrap/>
          </w:tcPr>
          <w:p>
            <w:pPr>
              <w:pStyle w:val="52"/>
              <w:spacing w:line="23" w:lineRule="atLeast"/>
              <w:rPr>
                <w:rFonts w:ascii="仿宋" w:eastAsia="仿宋" w:cs="仿宋"/>
                <w:i w:val="0"/>
                <w:spacing w:val="-2"/>
                <w:sz w:val="24"/>
                <w:szCs w:val="24"/>
                <w:lang w:eastAsia="zh-CN"/>
              </w:rPr>
            </w:pPr>
            <w:r>
              <w:rPr>
                <w:rFonts w:ascii="仿宋" w:eastAsia="仿宋" w:cs="仿宋" w:hint="eastAsia"/>
                <w:i w:val="0"/>
                <w:spacing w:val="-2"/>
                <w:sz w:val="24"/>
                <w:szCs w:val="24"/>
                <w:lang w:eastAsia="zh-CN"/>
              </w:rPr>
              <w:t>信号报警</w:t>
            </w:r>
            <w:r>
              <w:rPr>
                <w:rFonts w:ascii="仿宋" w:eastAsia="仿宋" w:cs="仿宋" w:hint="eastAsia"/>
                <w:i w:val="0"/>
                <w:sz w:val="24"/>
                <w:szCs w:val="24"/>
                <w:lang w:eastAsia="zh-CN"/>
              </w:rPr>
              <w:t>、安全联锁设计规定</w:t>
            </w:r>
          </w:p>
        </w:tc>
      </w:tr>
      <w:tr>
        <w:trPr>
          <w:trHeight w:hRule="exact" w:val="454"/>
        </w:trPr>
        <w:tc>
          <w:tcPr>
            <w:tcW w:w="993" w:type="dxa"/>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10</w:t>
            </w:r>
          </w:p>
        </w:tc>
        <w:tc>
          <w:tcPr>
            <w:tcW w:w="2481"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kern w:val="0"/>
                <w:sz w:val="24"/>
              </w:rPr>
              <w:t>HG/T 20512-2014</w:t>
            </w:r>
          </w:p>
        </w:tc>
        <w:tc>
          <w:tcPr>
            <w:tcW w:w="5740" w:type="dxa"/>
            <w:noWrap/>
          </w:tcPr>
          <w:p>
            <w:pPr>
              <w:widowControl w:val="0"/>
              <w:suppressAutoHyphens/>
              <w:spacing w:before="60" w:after="60" w:line="23" w:lineRule="atLeast"/>
              <w:rPr>
                <w:rFonts w:ascii="仿宋" w:eastAsia="仿宋" w:cs="仿宋"/>
                <w:spacing w:val="-2"/>
                <w:sz w:val="24"/>
              </w:rPr>
            </w:pPr>
            <w:r>
              <w:rPr>
                <w:rFonts w:ascii="仿宋" w:eastAsia="仿宋" w:cs="仿宋" w:hint="eastAsia"/>
                <w:kern w:val="0"/>
                <w:sz w:val="24"/>
              </w:rPr>
              <w:t>仪表配管、配线设计规定</w:t>
            </w:r>
          </w:p>
        </w:tc>
      </w:tr>
      <w:tr>
        <w:trPr>
          <w:trHeight w:hRule="exact" w:val="454"/>
        </w:trPr>
        <w:tc>
          <w:tcPr>
            <w:tcW w:w="993" w:type="dxa"/>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11</w:t>
            </w:r>
          </w:p>
        </w:tc>
        <w:tc>
          <w:tcPr>
            <w:tcW w:w="2481" w:type="dxa"/>
            <w:noWrap/>
            <w:vAlign w:val="center"/>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HG/T 20513-2014</w:t>
            </w:r>
          </w:p>
        </w:tc>
        <w:tc>
          <w:tcPr>
            <w:tcW w:w="5740" w:type="dxa"/>
            <w:noWrap/>
          </w:tcPr>
          <w:p>
            <w:pPr>
              <w:widowControl w:val="0"/>
              <w:suppressAutoHyphens/>
              <w:spacing w:before="60" w:after="60" w:line="23" w:lineRule="atLeast"/>
              <w:rPr>
                <w:rFonts w:ascii="仿宋" w:eastAsia="仿宋" w:cs="仿宋"/>
                <w:spacing w:val="-2"/>
                <w:sz w:val="24"/>
              </w:rPr>
            </w:pPr>
            <w:r>
              <w:rPr>
                <w:rFonts w:ascii="仿宋" w:eastAsia="仿宋" w:cs="仿宋" w:hint="eastAsia"/>
                <w:kern w:val="0"/>
                <w:sz w:val="24"/>
              </w:rPr>
              <w:t>仪表接地设计规定</w:t>
            </w:r>
          </w:p>
        </w:tc>
      </w:tr>
      <w:tr>
        <w:trPr>
          <w:trHeight w:hRule="exact" w:val="454"/>
        </w:trPr>
        <w:tc>
          <w:tcPr>
            <w:tcW w:w="993" w:type="dxa"/>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12</w:t>
            </w:r>
          </w:p>
        </w:tc>
        <w:tc>
          <w:tcPr>
            <w:tcW w:w="2481" w:type="dxa"/>
            <w:noWrap/>
            <w:vAlign w:val="center"/>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HG/T 20573-2012（化工行业标准）</w:t>
            </w:r>
          </w:p>
        </w:tc>
        <w:tc>
          <w:tcPr>
            <w:tcW w:w="5740" w:type="dxa"/>
            <w:noWrap/>
          </w:tcPr>
          <w:p>
            <w:pPr>
              <w:widowControl w:val="0"/>
              <w:suppressAutoHyphens/>
              <w:spacing w:before="60" w:after="60" w:line="23" w:lineRule="atLeast"/>
              <w:rPr>
                <w:rFonts w:ascii="仿宋" w:eastAsia="仿宋" w:cs="仿宋"/>
                <w:kern w:val="0"/>
                <w:sz w:val="24"/>
              </w:rPr>
            </w:pPr>
            <w:r>
              <w:rPr>
                <w:rFonts w:ascii="仿宋" w:eastAsia="仿宋" w:cs="仿宋" w:hint="eastAsia"/>
                <w:kern w:val="0"/>
                <w:sz w:val="24"/>
              </w:rPr>
              <w:t>分散控制系统（DCS）设计规定</w:t>
            </w:r>
          </w:p>
        </w:tc>
      </w:tr>
      <w:tr>
        <w:trPr>
          <w:trHeight w:hRule="exact" w:val="454"/>
        </w:trPr>
        <w:tc>
          <w:tcPr>
            <w:tcW w:w="993" w:type="dxa"/>
          </w:tcPr>
          <w:p>
            <w:pPr>
              <w:widowControl w:val="0"/>
              <w:suppressAutoHyphens/>
              <w:spacing w:before="60" w:after="60" w:line="23" w:lineRule="atLeast"/>
              <w:jc w:val="center"/>
              <w:rPr>
                <w:rFonts w:ascii="仿宋" w:eastAsia="仿宋" w:cs="仿宋"/>
                <w:kern w:val="0"/>
                <w:sz w:val="24"/>
              </w:rPr>
            </w:pPr>
            <w:r>
              <w:rPr>
                <w:rFonts w:ascii="仿宋" w:eastAsia="仿宋" w:cs="仿宋" w:hint="eastAsia"/>
                <w:kern w:val="0"/>
                <w:sz w:val="24"/>
              </w:rPr>
              <w:t>13</w:t>
            </w:r>
          </w:p>
        </w:tc>
        <w:tc>
          <w:tcPr>
            <w:tcW w:w="2481"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kern w:val="0"/>
                <w:sz w:val="24"/>
              </w:rPr>
              <w:t>GB 4208-2017</w:t>
            </w:r>
          </w:p>
        </w:tc>
        <w:tc>
          <w:tcPr>
            <w:tcW w:w="5740" w:type="dxa"/>
            <w:noWrap/>
          </w:tcPr>
          <w:p>
            <w:pPr>
              <w:widowControl w:val="0"/>
              <w:suppressAutoHyphens/>
              <w:spacing w:before="60" w:after="60" w:line="23" w:lineRule="atLeast"/>
              <w:rPr>
                <w:rFonts w:ascii="仿宋" w:eastAsia="仿宋" w:cs="仿宋"/>
                <w:spacing w:val="-2"/>
                <w:sz w:val="24"/>
              </w:rPr>
            </w:pPr>
            <w:r>
              <w:rPr>
                <w:rFonts w:ascii="仿宋" w:eastAsia="仿宋" w:cs="仿宋" w:hint="eastAsia"/>
                <w:kern w:val="0"/>
                <w:sz w:val="24"/>
              </w:rPr>
              <w:t>外壳防护等级（IP代码）</w:t>
            </w:r>
          </w:p>
        </w:tc>
      </w:tr>
      <w:tr>
        <w:trPr>
          <w:trHeight w:hRule="exact" w:val="454"/>
        </w:trPr>
        <w:tc>
          <w:tcPr>
            <w:tcW w:w="993" w:type="dxa"/>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14</w:t>
            </w:r>
          </w:p>
        </w:tc>
        <w:tc>
          <w:tcPr>
            <w:tcW w:w="2481"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z w:val="24"/>
              </w:rPr>
              <w:t>GB/T50087-2013</w:t>
            </w:r>
          </w:p>
        </w:tc>
        <w:tc>
          <w:tcPr>
            <w:tcW w:w="5740" w:type="dxa"/>
            <w:noWrap/>
          </w:tcPr>
          <w:p>
            <w:pPr>
              <w:pStyle w:val="52"/>
              <w:spacing w:line="23" w:lineRule="atLeast"/>
              <w:rPr>
                <w:rFonts w:ascii="仿宋" w:eastAsia="仿宋" w:cs="仿宋"/>
                <w:i w:val="0"/>
                <w:spacing w:val="-2"/>
                <w:sz w:val="24"/>
                <w:szCs w:val="24"/>
                <w:lang w:eastAsia="zh-CN"/>
              </w:rPr>
            </w:pPr>
            <w:r>
              <w:rPr>
                <w:rFonts w:ascii="仿宋" w:eastAsia="仿宋" w:cs="仿宋" w:hint="eastAsia"/>
                <w:i w:val="0"/>
                <w:sz w:val="24"/>
                <w:szCs w:val="24"/>
                <w:lang w:eastAsia="zh-CN"/>
              </w:rPr>
              <w:t>工业企业噪声控制设计规范</w:t>
            </w:r>
          </w:p>
        </w:tc>
      </w:tr>
      <w:tr>
        <w:trPr>
          <w:trHeight w:hRule="exact" w:val="454"/>
        </w:trPr>
        <w:tc>
          <w:tcPr>
            <w:tcW w:w="993" w:type="dxa"/>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15</w:t>
            </w:r>
          </w:p>
        </w:tc>
        <w:tc>
          <w:tcPr>
            <w:tcW w:w="2481" w:type="dxa"/>
            <w:noWrap/>
            <w:vAlign w:val="center"/>
          </w:tcPr>
          <w:p>
            <w:pPr>
              <w:widowControl w:val="0"/>
              <w:suppressAutoHyphens/>
              <w:spacing w:before="60" w:after="60" w:line="23" w:lineRule="atLeast"/>
              <w:jc w:val="center"/>
              <w:rPr>
                <w:rFonts w:ascii="仿宋" w:eastAsia="仿宋" w:cs="仿宋"/>
                <w:spacing w:val="-2"/>
                <w:sz w:val="24"/>
              </w:rPr>
            </w:pPr>
            <w:r>
              <w:rPr>
                <w:rFonts w:ascii="仿宋" w:eastAsia="仿宋" w:cs="仿宋" w:hint="eastAsia"/>
                <w:sz w:val="24"/>
              </w:rPr>
              <w:t>GB50018-2016</w:t>
            </w:r>
          </w:p>
        </w:tc>
        <w:tc>
          <w:tcPr>
            <w:tcW w:w="5740" w:type="dxa"/>
            <w:noWrap/>
          </w:tcPr>
          <w:p>
            <w:pPr>
              <w:spacing w:line="23" w:lineRule="atLeast"/>
              <w:rPr>
                <w:rFonts w:ascii="仿宋" w:eastAsia="仿宋" w:cs="仿宋"/>
                <w:sz w:val="24"/>
              </w:rPr>
            </w:pPr>
            <w:r>
              <w:rPr>
                <w:rFonts w:ascii="仿宋" w:eastAsia="仿宋" w:cs="仿宋" w:hint="eastAsia"/>
                <w:sz w:val="24"/>
              </w:rPr>
              <w:t>冷弯薄壁钢结构技术规范</w:t>
            </w:r>
          </w:p>
        </w:tc>
      </w:tr>
      <w:tr>
        <w:trPr>
          <w:trHeight w:hRule="exact" w:val="454"/>
        </w:trPr>
        <w:tc>
          <w:tcPr>
            <w:tcW w:w="993" w:type="dxa"/>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16</w:t>
            </w:r>
          </w:p>
        </w:tc>
        <w:tc>
          <w:tcPr>
            <w:tcW w:w="2481" w:type="dxa"/>
            <w:noWrap/>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GB/T 13306－2016</w:t>
            </w:r>
          </w:p>
        </w:tc>
        <w:tc>
          <w:tcPr>
            <w:tcW w:w="5740" w:type="dxa"/>
            <w:noWrap/>
          </w:tcPr>
          <w:p>
            <w:pPr>
              <w:widowControl w:val="0"/>
              <w:suppressAutoHyphens/>
              <w:spacing w:before="60" w:after="60" w:line="23" w:lineRule="atLeast"/>
              <w:rPr>
                <w:rFonts w:ascii="仿宋" w:eastAsia="仿宋" w:cs="仿宋"/>
                <w:sz w:val="24"/>
              </w:rPr>
            </w:pPr>
            <w:r>
              <w:rPr>
                <w:rFonts w:ascii="仿宋" w:eastAsia="仿宋" w:cs="仿宋" w:hint="eastAsia"/>
                <w:sz w:val="24"/>
              </w:rPr>
              <w:t>标牌</w:t>
            </w:r>
          </w:p>
        </w:tc>
      </w:tr>
      <w:tr>
        <w:trPr>
          <w:trHeight w:hRule="exact" w:val="454"/>
        </w:trPr>
        <w:tc>
          <w:tcPr>
            <w:tcW w:w="993" w:type="dxa"/>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17</w:t>
            </w:r>
          </w:p>
        </w:tc>
        <w:tc>
          <w:tcPr>
            <w:tcW w:w="2481" w:type="dxa"/>
            <w:noWrap/>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GB/T 30644-2014</w:t>
            </w:r>
          </w:p>
        </w:tc>
        <w:tc>
          <w:tcPr>
            <w:tcW w:w="5740" w:type="dxa"/>
            <w:noWrap/>
          </w:tcPr>
          <w:p>
            <w:pPr>
              <w:widowControl w:val="0"/>
              <w:suppressAutoHyphens/>
              <w:spacing w:before="60" w:after="60" w:line="23" w:lineRule="atLeast"/>
              <w:rPr>
                <w:rFonts w:ascii="仿宋" w:eastAsia="仿宋" w:cs="仿宋"/>
                <w:sz w:val="24"/>
              </w:rPr>
            </w:pPr>
            <w:r>
              <w:rPr>
                <w:rFonts w:ascii="仿宋" w:eastAsia="仿宋" w:cs="仿宋" w:hint="eastAsia"/>
                <w:sz w:val="24"/>
              </w:rPr>
              <w:t>食品生产加工企业电子记录通用要求</w:t>
            </w:r>
          </w:p>
        </w:tc>
      </w:tr>
      <w:tr>
        <w:trPr>
          <w:trHeight w:hRule="exact" w:val="454"/>
        </w:trPr>
        <w:tc>
          <w:tcPr>
            <w:tcW w:w="993" w:type="dxa"/>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18</w:t>
            </w:r>
          </w:p>
        </w:tc>
        <w:tc>
          <w:tcPr>
            <w:tcW w:w="2481" w:type="dxa"/>
            <w:noWrap/>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GB 14881-2013</w:t>
            </w:r>
          </w:p>
        </w:tc>
        <w:tc>
          <w:tcPr>
            <w:tcW w:w="5740" w:type="dxa"/>
            <w:noWrap/>
          </w:tcPr>
          <w:p>
            <w:pPr>
              <w:widowControl w:val="0"/>
              <w:suppressAutoHyphens/>
              <w:spacing w:before="60" w:after="60" w:line="23" w:lineRule="atLeast"/>
              <w:rPr>
                <w:rFonts w:ascii="仿宋" w:eastAsia="仿宋" w:cs="仿宋"/>
                <w:sz w:val="24"/>
              </w:rPr>
            </w:pPr>
            <w:r>
              <w:rPr>
                <w:rFonts w:ascii="仿宋" w:eastAsia="仿宋" w:cs="仿宋" w:hint="eastAsia"/>
                <w:sz w:val="24"/>
              </w:rPr>
              <w:t>食品生产通用卫生规范</w:t>
            </w:r>
          </w:p>
        </w:tc>
      </w:tr>
      <w:tr>
        <w:trPr>
          <w:trHeight w:hRule="exact" w:val="454"/>
        </w:trPr>
        <w:tc>
          <w:tcPr>
            <w:tcW w:w="993" w:type="dxa"/>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19</w:t>
            </w:r>
          </w:p>
        </w:tc>
        <w:tc>
          <w:tcPr>
            <w:tcW w:w="2481" w:type="dxa"/>
            <w:noWrap/>
            <w:vAlign w:val="center"/>
          </w:tcPr>
          <w:p>
            <w:pPr>
              <w:widowControl w:val="0"/>
              <w:suppressAutoHyphens/>
              <w:spacing w:before="60" w:after="60" w:line="23" w:lineRule="atLeast"/>
              <w:jc w:val="center"/>
              <w:rPr>
                <w:rFonts w:ascii="仿宋" w:eastAsia="仿宋" w:cs="仿宋"/>
                <w:sz w:val="24"/>
              </w:rPr>
            </w:pPr>
            <w:r>
              <w:rPr>
                <w:rFonts w:ascii="仿宋" w:eastAsia="仿宋" w:cs="仿宋" w:hint="eastAsia"/>
                <w:sz w:val="24"/>
              </w:rPr>
              <w:t>GB/T 37393-2019</w:t>
            </w:r>
          </w:p>
        </w:tc>
        <w:tc>
          <w:tcPr>
            <w:tcW w:w="5740" w:type="dxa"/>
            <w:noWrap/>
          </w:tcPr>
          <w:p>
            <w:pPr>
              <w:widowControl w:val="0"/>
              <w:suppressAutoHyphens/>
              <w:spacing w:before="60" w:after="60" w:line="23" w:lineRule="atLeast"/>
              <w:rPr>
                <w:rFonts w:ascii="仿宋" w:eastAsia="仿宋" w:cs="仿宋"/>
                <w:sz w:val="24"/>
              </w:rPr>
            </w:pPr>
            <w:r>
              <w:rPr>
                <w:rFonts w:ascii="仿宋" w:eastAsia="仿宋" w:cs="仿宋" w:hint="eastAsia"/>
                <w:sz w:val="24"/>
              </w:rPr>
              <w:t>数字化车间通用技术要求</w:t>
            </w:r>
          </w:p>
        </w:tc>
      </w:tr>
    </w:tbl>
    <w:p>
      <w:pPr>
        <w:pStyle w:val="2"/>
        <w:ind w:left="567" w:firstLine="562"/>
      </w:pPr>
      <w:bookmarkStart w:id="67" w:name="_Toc77250327"/>
      <w:bookmarkStart w:id="68" w:name="_Toc77270348"/>
      <w:bookmarkStart w:id="69" w:name="_Toc77252084"/>
      <w:r>
        <w:rPr>
          <w:rFonts w:hint="eastAsia"/>
        </w:rPr>
        <w:t>测量单位</w:t>
      </w:r>
      <w:bookmarkEnd w:id="67"/>
      <w:bookmarkEnd w:id="68"/>
      <w:bookmarkEnd w:id="69"/>
    </w:p>
    <w:p>
      <w:pPr>
        <w:pStyle w:val="46"/>
        <w:spacing w:line="23" w:lineRule="atLeast"/>
        <w:ind w:left="0" w:firstLineChars="200" w:firstLine="560"/>
        <w:rPr>
          <w:rFonts w:ascii="仿宋" w:eastAsia="仿宋" w:cs="仿宋"/>
          <w:sz w:val="28"/>
          <w:szCs w:val="24"/>
          <w:lang w:eastAsia="zh-CN"/>
        </w:rPr>
      </w:pPr>
      <w:r>
        <w:rPr>
          <w:rFonts w:ascii="仿宋" w:eastAsia="仿宋" w:cs="仿宋" w:hint="eastAsia"/>
          <w:sz w:val="28"/>
          <w:szCs w:val="24"/>
          <w:lang w:eastAsia="zh-CN"/>
        </w:rPr>
        <w:t>除非另有规定，一般情况下应使用公制单位。</w:t>
      </w:r>
    </w:p>
    <w:p>
      <w:pPr>
        <w:pStyle w:val="46"/>
        <w:spacing w:line="23" w:lineRule="atLeast"/>
        <w:ind w:left="0" w:firstLine="359"/>
        <w:jc w:val="center"/>
        <w:rPr>
          <w:rFonts w:ascii="仿宋" w:eastAsia="仿宋" w:cs="仿宋"/>
          <w:sz w:val="28"/>
          <w:szCs w:val="24"/>
          <w:lang w:eastAsia="zh-CN"/>
        </w:rPr>
      </w:pPr>
      <w:r>
        <w:rPr>
          <w:rFonts w:ascii="仿宋" w:eastAsia="仿宋" w:cs="仿宋" w:hint="eastAsia"/>
          <w:sz w:val="28"/>
          <w:szCs w:val="24"/>
          <w:lang w:eastAsia="zh-CN"/>
        </w:rPr>
        <w:t>表（3）</w:t>
      </w:r>
    </w:p>
    <w:tbl>
      <w:tblPr>
        <w:jc w:val="left"/>
        <w:tblInd w:w="108" w:type="dxa"/>
        <w:tblW w:w="90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2729"/>
        <w:gridCol w:w="1275"/>
        <w:gridCol w:w="2268"/>
        <w:gridCol w:w="2813"/>
      </w:tblGrid>
      <w:tr>
        <w:trPr>
          <w:trHeight w:hRule="exact" w:val="600"/>
          <w:tblHeader/>
        </w:trPr>
        <w:tc>
          <w:tcPr>
            <w:tcW w:w="2729" w:type="dxa"/>
            <w:noWrap/>
            <w:vAlign w:val="center"/>
          </w:tcPr>
          <w:p>
            <w:pPr>
              <w:pStyle w:val="53"/>
              <w:spacing w:line="23" w:lineRule="atLeast"/>
              <w:jc w:val="center"/>
              <w:rPr>
                <w:rFonts w:ascii="仿宋" w:eastAsia="仿宋" w:cs="仿宋"/>
                <w:b/>
                <w:bCs/>
                <w:sz w:val="24"/>
                <w:szCs w:val="24"/>
                <w:lang w:eastAsia="zh-CN"/>
              </w:rPr>
            </w:pPr>
            <w:r>
              <w:rPr>
                <w:rFonts w:ascii="仿宋" w:eastAsia="仿宋" w:cs="仿宋" w:hint="eastAsia"/>
                <w:spacing w:val="-1"/>
                <w:sz w:val="24"/>
                <w:szCs w:val="24"/>
                <w:lang w:eastAsia="zh-CN"/>
              </w:rPr>
              <w:t>用途</w:t>
            </w:r>
          </w:p>
        </w:tc>
        <w:tc>
          <w:tcPr>
            <w:tcW w:w="1275" w:type="dxa"/>
            <w:noWrap/>
            <w:vAlign w:val="center"/>
          </w:tcPr>
          <w:p>
            <w:pPr>
              <w:pStyle w:val="53"/>
              <w:spacing w:before="0" w:after="0" w:line="23" w:lineRule="atLeast"/>
              <w:jc w:val="center"/>
              <w:rPr>
                <w:rFonts w:ascii="仿宋" w:eastAsia="仿宋" w:cs="仿宋"/>
                <w:b/>
                <w:bCs/>
                <w:sz w:val="24"/>
                <w:szCs w:val="24"/>
                <w:lang w:eastAsia="zh-CN"/>
              </w:rPr>
            </w:pPr>
            <w:r>
              <w:rPr>
                <w:rFonts w:ascii="仿宋" w:eastAsia="仿宋" w:cs="仿宋" w:hint="eastAsia"/>
                <w:spacing w:val="-1"/>
                <w:sz w:val="24"/>
                <w:szCs w:val="24"/>
                <w:lang w:eastAsia="zh-CN"/>
              </w:rPr>
              <w:t>介质</w:t>
            </w:r>
          </w:p>
        </w:tc>
        <w:tc>
          <w:tcPr>
            <w:tcW w:w="2268" w:type="dxa"/>
            <w:noWrap/>
            <w:vAlign w:val="center"/>
          </w:tcPr>
          <w:p>
            <w:pPr>
              <w:pStyle w:val="53"/>
              <w:spacing w:line="23" w:lineRule="atLeast"/>
              <w:jc w:val="center"/>
              <w:rPr>
                <w:rFonts w:ascii="仿宋" w:eastAsia="仿宋" w:cs="仿宋"/>
                <w:b/>
                <w:bCs/>
                <w:sz w:val="24"/>
                <w:szCs w:val="24"/>
                <w:lang w:eastAsia="zh-CN"/>
              </w:rPr>
            </w:pPr>
            <w:r>
              <w:rPr>
                <w:rFonts w:ascii="仿宋" w:eastAsia="仿宋" w:cs="仿宋" w:hint="eastAsia"/>
                <w:spacing w:val="-1"/>
                <w:sz w:val="24"/>
                <w:szCs w:val="24"/>
                <w:lang w:eastAsia="zh-CN"/>
              </w:rPr>
              <w:t>单位</w:t>
            </w:r>
          </w:p>
        </w:tc>
        <w:tc>
          <w:tcPr>
            <w:tcW w:w="2813" w:type="dxa"/>
            <w:noWrap/>
            <w:vAlign w:val="center"/>
          </w:tcPr>
          <w:p>
            <w:pPr>
              <w:pStyle w:val="53"/>
              <w:spacing w:line="23" w:lineRule="atLeast"/>
              <w:jc w:val="center"/>
              <w:rPr>
                <w:rFonts w:ascii="仿宋" w:eastAsia="仿宋" w:cs="仿宋"/>
                <w:b/>
                <w:bCs/>
                <w:sz w:val="24"/>
                <w:szCs w:val="24"/>
                <w:lang w:eastAsia="zh-CN"/>
              </w:rPr>
            </w:pPr>
            <w:r>
              <w:rPr>
                <w:rFonts w:ascii="仿宋" w:eastAsia="仿宋" w:cs="仿宋" w:hint="eastAsia"/>
                <w:spacing w:val="-1"/>
                <w:sz w:val="24"/>
                <w:szCs w:val="24"/>
                <w:lang w:eastAsia="zh-CN"/>
              </w:rPr>
              <w:t>注释</w:t>
            </w: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lang w:eastAsia="zh-CN"/>
              </w:rPr>
            </w:pPr>
            <w:r>
              <w:rPr>
                <w:rFonts w:ascii="仿宋" w:eastAsia="仿宋" w:cs="仿宋" w:hint="eastAsia"/>
                <w:spacing w:val="-1"/>
                <w:sz w:val="24"/>
                <w:szCs w:val="24"/>
                <w:lang w:eastAsia="zh-CN"/>
              </w:rPr>
              <w:t>电导率</w:t>
            </w:r>
          </w:p>
        </w:tc>
        <w:tc>
          <w:tcPr>
            <w:tcW w:w="1275" w:type="dxa"/>
            <w:noWrap/>
            <w:vAlign w:val="center"/>
          </w:tcPr>
          <w:p>
            <w:pPr>
              <w:pStyle w:val="53"/>
              <w:spacing w:before="0" w:after="0" w:line="23" w:lineRule="atLeast"/>
              <w:ind w:firstLine="640"/>
              <w:rPr>
                <w:rFonts w:ascii="仿宋" w:eastAsia="仿宋" w:cs="仿宋"/>
                <w:sz w:val="24"/>
                <w:szCs w:val="24"/>
                <w:lang w:eastAsia="zh-CN"/>
              </w:rPr>
            </w:pPr>
          </w:p>
        </w:tc>
        <w:tc>
          <w:tcPr>
            <w:tcW w:w="2268" w:type="dxa"/>
            <w:noWrap/>
            <w:vAlign w:val="center"/>
          </w:tcPr>
          <w:p>
            <w:pPr>
              <w:pStyle w:val="53"/>
              <w:spacing w:before="0" w:after="0" w:line="23" w:lineRule="atLeast"/>
              <w:rPr>
                <w:rFonts w:ascii="仿宋" w:eastAsia="仿宋" w:cs="仿宋"/>
                <w:sz w:val="24"/>
                <w:szCs w:val="24"/>
              </w:rPr>
            </w:pPr>
            <w:r>
              <w:rPr>
                <w:rFonts w:ascii="Calibri" w:eastAsia="仿宋" w:cs="Calibri" w:hAnsi="Calibri"/>
                <w:sz w:val="24"/>
                <w:szCs w:val="24"/>
              </w:rPr>
              <w:t>µ</w:t>
            </w:r>
            <w:r>
              <w:rPr>
                <w:rFonts w:ascii="仿宋" w:eastAsia="仿宋" w:cs="仿宋" w:hint="eastAsia"/>
                <w:sz w:val="24"/>
                <w:szCs w:val="24"/>
              </w:rPr>
              <w:t>S / cm</w:t>
            </w:r>
          </w:p>
        </w:tc>
        <w:tc>
          <w:tcPr>
            <w:tcW w:w="2813" w:type="dxa"/>
            <w:noWrap/>
            <w:vAlign w:val="center"/>
          </w:tcPr>
          <w:p>
            <w:pPr>
              <w:pStyle w:val="53"/>
              <w:spacing w:before="0" w:after="0" w:line="23" w:lineRule="atLeast"/>
              <w:ind w:firstLine="640"/>
              <w:rPr>
                <w:rFonts w:ascii="仿宋" w:eastAsia="仿宋" w:cs="仿宋"/>
                <w:sz w:val="24"/>
                <w:szCs w:val="24"/>
              </w:rPr>
            </w:pP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rPr>
            </w:pPr>
            <w:r>
              <w:rPr>
                <w:rFonts w:ascii="仿宋" w:eastAsia="仿宋" w:cs="仿宋" w:hint="eastAsia"/>
                <w:spacing w:val="-1"/>
                <w:sz w:val="24"/>
                <w:szCs w:val="24"/>
              </w:rPr>
              <w:t>浓度</w:t>
            </w:r>
          </w:p>
        </w:tc>
        <w:tc>
          <w:tcPr>
            <w:tcW w:w="1275" w:type="dxa"/>
            <w:noWrap/>
            <w:vAlign w:val="center"/>
          </w:tcPr>
          <w:p>
            <w:pPr>
              <w:pStyle w:val="53"/>
              <w:spacing w:before="0" w:after="0" w:line="23" w:lineRule="atLeast"/>
              <w:ind w:firstLine="640"/>
              <w:rPr>
                <w:rFonts w:ascii="仿宋" w:eastAsia="仿宋" w:cs="仿宋"/>
                <w:sz w:val="24"/>
                <w:szCs w:val="24"/>
              </w:rPr>
            </w:pPr>
          </w:p>
        </w:tc>
        <w:tc>
          <w:tcPr>
            <w:tcW w:w="2268" w:type="dxa"/>
            <w:noWrap/>
            <w:vAlign w:val="center"/>
          </w:tcPr>
          <w:p>
            <w:pPr>
              <w:pStyle w:val="53"/>
              <w:spacing w:before="0" w:after="0" w:line="23" w:lineRule="atLeast"/>
              <w:rPr>
                <w:rFonts w:ascii="仿宋" w:eastAsia="仿宋" w:cs="仿宋"/>
                <w:sz w:val="24"/>
                <w:szCs w:val="24"/>
              </w:rPr>
            </w:pPr>
            <w:r>
              <w:rPr>
                <w:rFonts w:ascii="仿宋" w:eastAsia="仿宋" w:cs="仿宋" w:hint="eastAsia"/>
                <w:sz w:val="24"/>
                <w:szCs w:val="24"/>
              </w:rPr>
              <w:t xml:space="preserve">%, PPM, </w:t>
            </w:r>
          </w:p>
        </w:tc>
        <w:tc>
          <w:tcPr>
            <w:tcW w:w="2813" w:type="dxa"/>
            <w:noWrap/>
            <w:vAlign w:val="center"/>
          </w:tcPr>
          <w:p>
            <w:pPr>
              <w:pStyle w:val="53"/>
              <w:spacing w:before="0" w:after="0" w:line="23" w:lineRule="atLeast"/>
              <w:ind w:firstLine="640"/>
              <w:rPr>
                <w:rFonts w:ascii="仿宋" w:eastAsia="仿宋" w:cs="仿宋"/>
                <w:sz w:val="24"/>
                <w:szCs w:val="24"/>
              </w:rPr>
            </w:pP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lang w:eastAsia="zh-CN"/>
              </w:rPr>
            </w:pPr>
            <w:r>
              <w:rPr>
                <w:rFonts w:ascii="仿宋" w:eastAsia="仿宋" w:cs="仿宋" w:hint="eastAsia"/>
                <w:spacing w:val="-1"/>
                <w:sz w:val="24"/>
                <w:szCs w:val="24"/>
              </w:rPr>
              <w:t>密度液</w:t>
            </w:r>
            <w:r>
              <w:rPr>
                <w:rFonts w:ascii="仿宋" w:eastAsia="仿宋" w:cs="仿宋" w:hint="eastAsia"/>
                <w:spacing w:val="-1"/>
                <w:sz w:val="24"/>
                <w:szCs w:val="24"/>
                <w:lang w:eastAsia="zh-CN"/>
              </w:rPr>
              <w:t>体</w:t>
            </w:r>
          </w:p>
        </w:tc>
        <w:tc>
          <w:tcPr>
            <w:tcW w:w="1275" w:type="dxa"/>
            <w:noWrap/>
            <w:vAlign w:val="center"/>
          </w:tcPr>
          <w:p>
            <w:pPr>
              <w:pStyle w:val="53"/>
              <w:spacing w:before="0" w:after="0" w:line="23" w:lineRule="atLeast"/>
              <w:ind w:firstLine="640"/>
              <w:rPr>
                <w:rFonts w:ascii="仿宋" w:eastAsia="仿宋" w:cs="仿宋"/>
                <w:sz w:val="24"/>
                <w:szCs w:val="24"/>
              </w:rPr>
            </w:pPr>
          </w:p>
        </w:tc>
        <w:tc>
          <w:tcPr>
            <w:tcW w:w="2268" w:type="dxa"/>
            <w:noWrap/>
            <w:vAlign w:val="center"/>
          </w:tcPr>
          <w:p>
            <w:pPr>
              <w:pStyle w:val="53"/>
              <w:spacing w:before="0" w:after="0" w:line="23" w:lineRule="atLeast"/>
              <w:rPr>
                <w:rFonts w:ascii="仿宋" w:eastAsia="仿宋" w:cs="仿宋"/>
                <w:sz w:val="24"/>
                <w:szCs w:val="24"/>
                <w:lang w:eastAsia="zh-CN"/>
              </w:rPr>
            </w:pPr>
            <w:r>
              <w:rPr>
                <w:rFonts w:ascii="仿宋" w:eastAsia="仿宋" w:cs="仿宋" w:hint="eastAsia"/>
                <w:sz w:val="24"/>
                <w:szCs w:val="24"/>
              </w:rPr>
              <w:t>kg / m</w:t>
            </w:r>
            <w:r>
              <w:rPr>
                <w:rFonts w:ascii="Calibri" w:eastAsia="仿宋" w:cs="Calibri" w:hAnsi="Calibri"/>
                <w:sz w:val="24"/>
                <w:szCs w:val="24"/>
              </w:rPr>
              <w:t>³</w:t>
            </w:r>
            <w:r>
              <w:rPr>
                <w:rFonts w:ascii="仿宋" w:eastAsia="仿宋" w:cs="仿宋" w:hint="eastAsia"/>
                <w:sz w:val="24"/>
                <w:szCs w:val="24"/>
                <w:lang w:eastAsia="zh-CN"/>
              </w:rPr>
              <w:t>在</w:t>
            </w:r>
            <w:r>
              <w:rPr>
                <w:rFonts w:ascii="仿宋" w:eastAsia="仿宋" w:cs="仿宋" w:hint="eastAsia"/>
                <w:sz w:val="24"/>
                <w:szCs w:val="24"/>
              </w:rPr>
              <w:t xml:space="preserve"> T</w:t>
            </w:r>
            <w:r>
              <w:rPr>
                <w:rFonts w:ascii="仿宋" w:eastAsia="仿宋" w:cs="仿宋" w:hint="eastAsia"/>
                <w:sz w:val="24"/>
                <w:szCs w:val="24"/>
                <w:lang w:val="en-GB" w:eastAsia="zh-CN"/>
              </w:rPr>
              <w:t>℃</w:t>
            </w:r>
            <w:r>
              <w:rPr>
                <w:rFonts w:ascii="仿宋" w:eastAsia="仿宋" w:cs="仿宋" w:hint="eastAsia"/>
                <w:sz w:val="24"/>
                <w:szCs w:val="24"/>
                <w:lang w:eastAsia="zh-CN"/>
              </w:rPr>
              <w:t>时</w:t>
            </w:r>
          </w:p>
        </w:tc>
        <w:tc>
          <w:tcPr>
            <w:tcW w:w="2813" w:type="dxa"/>
            <w:noWrap/>
            <w:vAlign w:val="center"/>
          </w:tcPr>
          <w:p>
            <w:pPr>
              <w:pStyle w:val="53"/>
              <w:spacing w:before="0" w:after="0" w:line="23" w:lineRule="atLeast"/>
              <w:ind w:firstLine="640"/>
              <w:rPr>
                <w:rFonts w:ascii="仿宋" w:eastAsia="仿宋" w:cs="仿宋"/>
                <w:sz w:val="24"/>
                <w:szCs w:val="24"/>
              </w:rPr>
            </w:pP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rPr>
            </w:pPr>
            <w:r>
              <w:rPr>
                <w:rFonts w:ascii="仿宋" w:eastAsia="仿宋" w:cs="仿宋" w:hint="eastAsia"/>
                <w:spacing w:val="-1"/>
                <w:sz w:val="24"/>
                <w:szCs w:val="24"/>
              </w:rPr>
              <w:t>密度</w:t>
            </w:r>
            <w:r>
              <w:rPr>
                <w:rFonts w:ascii="仿宋" w:eastAsia="仿宋" w:cs="仿宋" w:hint="eastAsia"/>
                <w:spacing w:val="-1"/>
                <w:sz w:val="24"/>
                <w:szCs w:val="24"/>
                <w:lang w:eastAsia="zh-CN"/>
              </w:rPr>
              <w:t>气体</w:t>
            </w:r>
          </w:p>
        </w:tc>
        <w:tc>
          <w:tcPr>
            <w:tcW w:w="1275" w:type="dxa"/>
            <w:noWrap/>
            <w:vAlign w:val="center"/>
          </w:tcPr>
          <w:p>
            <w:pPr>
              <w:pStyle w:val="53"/>
              <w:spacing w:before="0" w:after="0" w:line="23" w:lineRule="atLeast"/>
              <w:ind w:firstLine="640"/>
              <w:rPr>
                <w:rFonts w:ascii="仿宋" w:eastAsia="仿宋" w:cs="仿宋"/>
                <w:sz w:val="24"/>
                <w:szCs w:val="24"/>
              </w:rPr>
            </w:pPr>
          </w:p>
        </w:tc>
        <w:tc>
          <w:tcPr>
            <w:tcW w:w="2268" w:type="dxa"/>
            <w:noWrap/>
            <w:vAlign w:val="center"/>
          </w:tcPr>
          <w:p>
            <w:pPr>
              <w:pStyle w:val="53"/>
              <w:spacing w:before="0" w:after="0" w:line="23" w:lineRule="atLeast"/>
              <w:rPr>
                <w:rFonts w:ascii="仿宋" w:eastAsia="仿宋" w:cs="仿宋"/>
                <w:sz w:val="24"/>
                <w:szCs w:val="24"/>
                <w:lang w:eastAsia="zh-CN"/>
              </w:rPr>
            </w:pPr>
            <w:r>
              <w:rPr>
                <w:rFonts w:ascii="仿宋" w:eastAsia="仿宋" w:cs="仿宋" w:hint="eastAsia"/>
                <w:sz w:val="24"/>
                <w:szCs w:val="24"/>
              </w:rPr>
              <w:t>kg / m</w:t>
            </w:r>
            <w:r>
              <w:rPr>
                <w:rFonts w:ascii="Calibri" w:eastAsia="仿宋" w:cs="Calibri" w:hAnsi="Calibri"/>
                <w:sz w:val="24"/>
                <w:szCs w:val="24"/>
              </w:rPr>
              <w:t>³</w:t>
            </w:r>
            <w:r>
              <w:rPr>
                <w:rFonts w:ascii="仿宋" w:eastAsia="仿宋" w:cs="仿宋" w:hint="eastAsia"/>
                <w:sz w:val="24"/>
                <w:szCs w:val="24"/>
                <w:lang w:eastAsia="zh-CN"/>
              </w:rPr>
              <w:t>在</w:t>
            </w:r>
            <w:r>
              <w:rPr>
                <w:rFonts w:ascii="仿宋" w:eastAsia="仿宋" w:cs="仿宋" w:hint="eastAsia"/>
                <w:sz w:val="24"/>
                <w:szCs w:val="24"/>
              </w:rPr>
              <w:t xml:space="preserve"> T</w:t>
            </w:r>
            <w:r>
              <w:rPr>
                <w:rFonts w:ascii="仿宋" w:eastAsia="仿宋" w:cs="仿宋" w:hint="eastAsia"/>
                <w:sz w:val="24"/>
                <w:szCs w:val="24"/>
                <w:lang w:val="en-GB" w:eastAsia="zh-CN"/>
              </w:rPr>
              <w:t>℃</w:t>
            </w:r>
            <w:r>
              <w:rPr>
                <w:rFonts w:ascii="仿宋" w:eastAsia="仿宋" w:cs="仿宋" w:hint="eastAsia"/>
                <w:sz w:val="24"/>
                <w:szCs w:val="24"/>
                <w:lang w:eastAsia="zh-CN"/>
              </w:rPr>
              <w:t>时</w:t>
            </w:r>
          </w:p>
        </w:tc>
        <w:tc>
          <w:tcPr>
            <w:tcW w:w="2813" w:type="dxa"/>
            <w:noWrap/>
            <w:vAlign w:val="center"/>
          </w:tcPr>
          <w:p>
            <w:pPr>
              <w:pStyle w:val="53"/>
              <w:spacing w:before="0" w:after="0" w:line="23" w:lineRule="atLeast"/>
              <w:ind w:firstLine="640"/>
              <w:rPr>
                <w:rFonts w:ascii="仿宋" w:eastAsia="仿宋" w:cs="仿宋"/>
                <w:sz w:val="24"/>
                <w:szCs w:val="24"/>
              </w:rPr>
            </w:pP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rPr>
            </w:pPr>
            <w:r>
              <w:rPr>
                <w:rFonts w:ascii="仿宋" w:eastAsia="仿宋" w:cs="仿宋" w:hint="eastAsia"/>
                <w:spacing w:val="-1"/>
                <w:sz w:val="24"/>
                <w:szCs w:val="24"/>
              </w:rPr>
              <w:t>电流</w:t>
            </w:r>
          </w:p>
        </w:tc>
        <w:tc>
          <w:tcPr>
            <w:tcW w:w="1275" w:type="dxa"/>
            <w:noWrap/>
            <w:vAlign w:val="center"/>
          </w:tcPr>
          <w:p>
            <w:pPr>
              <w:pStyle w:val="53"/>
              <w:spacing w:before="0" w:after="0" w:line="23" w:lineRule="atLeast"/>
              <w:ind w:firstLine="640"/>
              <w:rPr>
                <w:rFonts w:ascii="仿宋" w:eastAsia="仿宋" w:cs="仿宋"/>
                <w:sz w:val="24"/>
                <w:szCs w:val="24"/>
              </w:rPr>
            </w:pPr>
          </w:p>
        </w:tc>
        <w:tc>
          <w:tcPr>
            <w:tcW w:w="2268" w:type="dxa"/>
            <w:noWrap/>
            <w:vAlign w:val="center"/>
          </w:tcPr>
          <w:p>
            <w:pPr>
              <w:pStyle w:val="53"/>
              <w:spacing w:before="0" w:after="0" w:line="23" w:lineRule="atLeast"/>
              <w:rPr>
                <w:rFonts w:ascii="仿宋" w:eastAsia="仿宋" w:cs="仿宋"/>
                <w:sz w:val="24"/>
                <w:szCs w:val="24"/>
              </w:rPr>
            </w:pPr>
            <w:r>
              <w:rPr>
                <w:rFonts w:ascii="仿宋" w:eastAsia="仿宋" w:cs="仿宋" w:hint="eastAsia"/>
                <w:sz w:val="24"/>
                <w:szCs w:val="24"/>
              </w:rPr>
              <w:t>A</w:t>
            </w:r>
          </w:p>
        </w:tc>
        <w:tc>
          <w:tcPr>
            <w:tcW w:w="2813" w:type="dxa"/>
            <w:noWrap/>
            <w:vAlign w:val="center"/>
          </w:tcPr>
          <w:p>
            <w:pPr>
              <w:pStyle w:val="53"/>
              <w:spacing w:before="0" w:after="0" w:line="23" w:lineRule="atLeast"/>
              <w:ind w:firstLine="640"/>
              <w:rPr>
                <w:rFonts w:ascii="仿宋" w:eastAsia="仿宋" w:cs="仿宋"/>
                <w:sz w:val="24"/>
                <w:szCs w:val="24"/>
              </w:rPr>
            </w:pPr>
          </w:p>
        </w:tc>
      </w:tr>
      <w:tr>
        <w:trPr>
          <w:trHeight w:hRule="exact" w:val="569"/>
        </w:trPr>
        <w:tc>
          <w:tcPr>
            <w:tcW w:w="2729" w:type="dxa"/>
            <w:vMerge w:val="restart"/>
            <w:noWrap/>
            <w:vAlign w:val="center"/>
          </w:tcPr>
          <w:p>
            <w:pPr>
              <w:pStyle w:val="53"/>
              <w:spacing w:before="0" w:after="0" w:line="23" w:lineRule="atLeast"/>
              <w:ind w:firstLine="636"/>
              <w:rPr>
                <w:rFonts w:ascii="仿宋" w:eastAsia="仿宋" w:cs="仿宋"/>
                <w:sz w:val="24"/>
                <w:szCs w:val="24"/>
                <w:lang w:eastAsia="zh-CN"/>
              </w:rPr>
            </w:pPr>
            <w:r>
              <w:rPr>
                <w:rFonts w:ascii="仿宋" w:eastAsia="仿宋" w:cs="仿宋" w:hint="eastAsia"/>
                <w:spacing w:val="-1"/>
                <w:sz w:val="24"/>
                <w:szCs w:val="24"/>
              </w:rPr>
              <w:t>流量</w:t>
            </w:r>
          </w:p>
        </w:tc>
        <w:tc>
          <w:tcPr>
            <w:tcW w:w="1275" w:type="dxa"/>
            <w:noWrap/>
            <w:vAlign w:val="center"/>
          </w:tcPr>
          <w:p>
            <w:pPr>
              <w:pStyle w:val="53"/>
              <w:spacing w:before="0" w:after="0" w:line="23" w:lineRule="atLeast"/>
              <w:jc w:val="center"/>
              <w:rPr>
                <w:rFonts w:ascii="仿宋" w:eastAsia="仿宋" w:cs="仿宋"/>
                <w:sz w:val="24"/>
                <w:szCs w:val="24"/>
              </w:rPr>
            </w:pPr>
            <w:r>
              <w:rPr>
                <w:rFonts w:ascii="仿宋" w:eastAsia="仿宋" w:cs="仿宋" w:hint="eastAsia"/>
                <w:spacing w:val="-1"/>
                <w:sz w:val="24"/>
                <w:szCs w:val="24"/>
              </w:rPr>
              <w:t>气体</w:t>
            </w:r>
          </w:p>
        </w:tc>
        <w:tc>
          <w:tcPr>
            <w:tcW w:w="2268" w:type="dxa"/>
            <w:noWrap/>
            <w:vAlign w:val="center"/>
          </w:tcPr>
          <w:p>
            <w:pPr>
              <w:pStyle w:val="53"/>
              <w:spacing w:before="0" w:after="0" w:line="23" w:lineRule="atLeast"/>
              <w:rPr>
                <w:rFonts w:ascii="仿宋" w:eastAsia="仿宋" w:cs="仿宋"/>
                <w:sz w:val="24"/>
                <w:szCs w:val="24"/>
              </w:rPr>
            </w:pPr>
            <w:r>
              <w:rPr>
                <w:rFonts w:ascii="仿宋" w:eastAsia="仿宋" w:cs="仿宋" w:hint="eastAsia"/>
                <w:sz w:val="24"/>
                <w:szCs w:val="24"/>
              </w:rPr>
              <w:t>Nm</w:t>
            </w:r>
            <w:r>
              <w:rPr>
                <w:rFonts w:ascii="Calibri" w:eastAsia="仿宋" w:cs="Calibri" w:hAnsi="Calibri"/>
                <w:sz w:val="24"/>
                <w:szCs w:val="24"/>
              </w:rPr>
              <w:t>³</w:t>
            </w:r>
            <w:r>
              <w:rPr>
                <w:rFonts w:ascii="仿宋" w:eastAsia="仿宋" w:cs="仿宋" w:hint="eastAsia"/>
                <w:sz w:val="24"/>
                <w:szCs w:val="24"/>
              </w:rPr>
              <w:t xml:space="preserve"> / h</w:t>
            </w:r>
          </w:p>
        </w:tc>
        <w:tc>
          <w:tcPr>
            <w:tcW w:w="2813" w:type="dxa"/>
            <w:noWrap/>
            <w:vAlign w:val="center"/>
          </w:tcPr>
          <w:p>
            <w:pPr>
              <w:pStyle w:val="53"/>
              <w:spacing w:before="0" w:after="0" w:line="23" w:lineRule="atLeast"/>
              <w:rPr>
                <w:rFonts w:ascii="仿宋" w:eastAsia="仿宋" w:cs="仿宋"/>
                <w:sz w:val="24"/>
                <w:szCs w:val="24"/>
              </w:rPr>
            </w:pPr>
            <w:r>
              <w:rPr>
                <w:rFonts w:ascii="仿宋" w:eastAsia="仿宋" w:cs="仿宋" w:hint="eastAsia"/>
                <w:sz w:val="24"/>
                <w:szCs w:val="24"/>
                <w:lang w:eastAsia="zh-CN"/>
              </w:rPr>
              <w:t>在</w:t>
            </w:r>
            <w:r>
              <w:rPr>
                <w:rFonts w:ascii="仿宋" w:eastAsia="仿宋" w:cs="仿宋" w:hint="eastAsia"/>
                <w:sz w:val="24"/>
                <w:szCs w:val="24"/>
              </w:rPr>
              <w:t xml:space="preserve"> 0°C</w:t>
            </w:r>
            <w:r>
              <w:rPr>
                <w:rFonts w:ascii="仿宋" w:eastAsia="仿宋" w:cs="仿宋" w:hint="eastAsia"/>
                <w:sz w:val="24"/>
                <w:szCs w:val="24"/>
                <w:lang w:eastAsia="zh-CN"/>
              </w:rPr>
              <w:t>时为</w:t>
            </w:r>
            <w:r>
              <w:rPr>
                <w:rFonts w:ascii="仿宋" w:eastAsia="仿宋" w:cs="仿宋" w:hint="eastAsia"/>
                <w:sz w:val="24"/>
                <w:szCs w:val="24"/>
              </w:rPr>
              <w:t xml:space="preserve"> 0.1013MPa (abs) </w:t>
            </w:r>
          </w:p>
        </w:tc>
      </w:tr>
      <w:tr>
        <w:trPr>
          <w:trHeight w:hRule="exact" w:val="454"/>
        </w:trPr>
        <w:tc>
          <w:tcPr>
            <w:tcW w:w="2729" w:type="dxa"/>
            <w:vMerge/>
            <w:noWrap/>
            <w:vAlign w:val="center"/>
          </w:tcPr>
          <w:p/>
        </w:tc>
        <w:tc>
          <w:tcPr>
            <w:tcW w:w="1275" w:type="dxa"/>
            <w:noWrap/>
            <w:vAlign w:val="center"/>
          </w:tcPr>
          <w:p>
            <w:pPr>
              <w:pStyle w:val="53"/>
              <w:spacing w:before="0" w:after="0" w:line="23" w:lineRule="atLeast"/>
              <w:jc w:val="center"/>
              <w:rPr>
                <w:rFonts w:ascii="仿宋" w:eastAsia="仿宋" w:cs="仿宋"/>
                <w:sz w:val="24"/>
                <w:szCs w:val="24"/>
              </w:rPr>
            </w:pPr>
            <w:r>
              <w:rPr>
                <w:rFonts w:ascii="仿宋" w:eastAsia="仿宋" w:cs="仿宋" w:hint="eastAsia"/>
                <w:spacing w:val="-1"/>
                <w:sz w:val="24"/>
                <w:szCs w:val="24"/>
              </w:rPr>
              <w:t>液体</w:t>
            </w:r>
          </w:p>
        </w:tc>
        <w:tc>
          <w:tcPr>
            <w:tcW w:w="2268" w:type="dxa"/>
            <w:noWrap/>
            <w:vAlign w:val="center"/>
          </w:tcPr>
          <w:p>
            <w:pPr>
              <w:pStyle w:val="53"/>
              <w:spacing w:before="0" w:after="0" w:line="23" w:lineRule="atLeast"/>
              <w:rPr>
                <w:rFonts w:ascii="仿宋" w:eastAsia="仿宋" w:cs="仿宋"/>
                <w:sz w:val="24"/>
                <w:szCs w:val="24"/>
              </w:rPr>
            </w:pPr>
            <w:r>
              <w:rPr>
                <w:rFonts w:ascii="仿宋" w:eastAsia="仿宋" w:cs="仿宋" w:hint="eastAsia"/>
                <w:sz w:val="24"/>
                <w:szCs w:val="24"/>
              </w:rPr>
              <w:t xml:space="preserve">kg / h </w:t>
            </w:r>
          </w:p>
        </w:tc>
        <w:tc>
          <w:tcPr>
            <w:tcW w:w="2813" w:type="dxa"/>
            <w:noWrap/>
            <w:vAlign w:val="center"/>
          </w:tcPr>
          <w:p>
            <w:pPr>
              <w:pStyle w:val="53"/>
              <w:spacing w:before="0" w:after="0" w:line="23" w:lineRule="atLeast"/>
              <w:ind w:firstLine="640"/>
              <w:rPr>
                <w:rFonts w:ascii="仿宋" w:eastAsia="仿宋" w:cs="仿宋"/>
                <w:sz w:val="24"/>
                <w:szCs w:val="24"/>
              </w:rPr>
            </w:pPr>
          </w:p>
        </w:tc>
      </w:tr>
      <w:tr>
        <w:trPr>
          <w:trHeight w:hRule="exact" w:val="454"/>
        </w:trPr>
        <w:tc>
          <w:tcPr>
            <w:tcW w:w="2729" w:type="dxa"/>
            <w:vMerge/>
            <w:noWrap/>
            <w:vAlign w:val="center"/>
          </w:tcPr>
          <w:p/>
        </w:tc>
        <w:tc>
          <w:tcPr>
            <w:tcW w:w="1275" w:type="dxa"/>
            <w:noWrap/>
            <w:vAlign w:val="center"/>
          </w:tcPr>
          <w:p>
            <w:pPr>
              <w:pStyle w:val="53"/>
              <w:spacing w:before="0" w:after="0" w:line="23" w:lineRule="atLeast"/>
              <w:jc w:val="center"/>
              <w:rPr>
                <w:rFonts w:ascii="仿宋" w:eastAsia="仿宋" w:cs="仿宋"/>
                <w:sz w:val="24"/>
                <w:szCs w:val="24"/>
                <w:lang w:val="de-DE"/>
              </w:rPr>
            </w:pPr>
            <w:r>
              <w:rPr>
                <w:rFonts w:ascii="仿宋" w:eastAsia="仿宋" w:cs="仿宋" w:hint="eastAsia"/>
                <w:spacing w:val="-1"/>
                <w:sz w:val="24"/>
                <w:szCs w:val="24"/>
              </w:rPr>
              <w:t>蒸汽</w:t>
            </w:r>
          </w:p>
        </w:tc>
        <w:tc>
          <w:tcPr>
            <w:tcW w:w="2268" w:type="dxa"/>
            <w:noWrap/>
            <w:vAlign w:val="center"/>
          </w:tcPr>
          <w:p>
            <w:pPr>
              <w:pStyle w:val="53"/>
              <w:spacing w:before="0" w:after="0" w:line="23" w:lineRule="atLeast"/>
              <w:rPr>
                <w:rFonts w:ascii="仿宋" w:eastAsia="仿宋" w:cs="仿宋"/>
                <w:sz w:val="24"/>
                <w:szCs w:val="24"/>
                <w:lang w:val="de-DE"/>
              </w:rPr>
            </w:pPr>
            <w:r>
              <w:rPr>
                <w:rFonts w:ascii="仿宋" w:eastAsia="仿宋" w:cs="仿宋" w:hint="eastAsia"/>
                <w:sz w:val="24"/>
                <w:szCs w:val="24"/>
                <w:lang w:val="de-DE"/>
              </w:rPr>
              <w:t>kg / h</w:t>
            </w:r>
          </w:p>
        </w:tc>
        <w:tc>
          <w:tcPr>
            <w:tcW w:w="2813" w:type="dxa"/>
            <w:noWrap/>
            <w:vAlign w:val="center"/>
          </w:tcPr>
          <w:p>
            <w:pPr>
              <w:pStyle w:val="53"/>
              <w:spacing w:before="0" w:after="0" w:line="23" w:lineRule="atLeast"/>
              <w:rPr>
                <w:rFonts w:ascii="仿宋" w:eastAsia="仿宋" w:cs="仿宋"/>
                <w:sz w:val="24"/>
                <w:szCs w:val="24"/>
                <w:lang w:val="de-DE"/>
              </w:rPr>
            </w:pPr>
            <w:r>
              <w:rPr>
                <w:rFonts w:ascii="仿宋" w:eastAsia="仿宋" w:cs="仿宋" w:hint="eastAsia"/>
                <w:sz w:val="24"/>
                <w:szCs w:val="24"/>
                <w:lang w:val="de-DE"/>
              </w:rPr>
              <w:t>&gt;10</w:t>
            </w:r>
            <w:r>
              <w:rPr>
                <w:rFonts w:ascii="仿宋" w:eastAsia="仿宋" w:cs="仿宋" w:hint="eastAsia"/>
                <w:sz w:val="24"/>
                <w:szCs w:val="24"/>
                <w:lang w:val="de-DE" w:eastAsia="zh-CN"/>
              </w:rPr>
              <w:t>，</w:t>
            </w:r>
            <w:r>
              <w:rPr>
                <w:rFonts w:ascii="仿宋" w:eastAsia="仿宋" w:cs="仿宋" w:hint="eastAsia"/>
                <w:sz w:val="24"/>
                <w:szCs w:val="24"/>
                <w:lang w:val="de-DE"/>
              </w:rPr>
              <w:t>000 kg</w:t>
            </w:r>
            <w:r>
              <w:rPr>
                <w:rFonts w:ascii="仿宋" w:eastAsia="仿宋" w:cs="仿宋" w:hint="eastAsia"/>
                <w:sz w:val="24"/>
                <w:szCs w:val="24"/>
                <w:lang w:val="de-DE" w:eastAsia="zh-CN"/>
              </w:rPr>
              <w:t>/</w:t>
            </w:r>
            <w:r>
              <w:rPr>
                <w:rFonts w:ascii="仿宋" w:eastAsia="仿宋" w:cs="仿宋" w:hint="eastAsia"/>
                <w:sz w:val="24"/>
                <w:szCs w:val="24"/>
                <w:lang w:val="de-DE"/>
              </w:rPr>
              <w:t>h -&gt;10 t</w:t>
            </w:r>
            <w:r>
              <w:rPr>
                <w:rFonts w:ascii="仿宋" w:eastAsia="仿宋" w:cs="仿宋" w:hint="eastAsia"/>
                <w:sz w:val="24"/>
                <w:szCs w:val="24"/>
                <w:lang w:val="de-DE" w:eastAsia="zh-CN"/>
              </w:rPr>
              <w:t>/</w:t>
            </w:r>
            <w:r>
              <w:rPr>
                <w:rFonts w:ascii="仿宋" w:eastAsia="仿宋" w:cs="仿宋" w:hint="eastAsia"/>
                <w:sz w:val="24"/>
                <w:szCs w:val="24"/>
                <w:lang w:val="de-DE"/>
              </w:rPr>
              <w:t>h</w:t>
            </w:r>
          </w:p>
        </w:tc>
      </w:tr>
      <w:tr>
        <w:trPr>
          <w:trHeight w:hRule="exact" w:val="454"/>
        </w:trPr>
        <w:tc>
          <w:tcPr>
            <w:tcW w:w="2729" w:type="dxa"/>
            <w:vMerge w:val="restart"/>
            <w:noWrap/>
            <w:vAlign w:val="center"/>
          </w:tcPr>
          <w:p>
            <w:pPr>
              <w:pStyle w:val="53"/>
              <w:spacing w:before="0" w:after="0" w:line="23" w:lineRule="atLeast"/>
              <w:ind w:firstLine="636"/>
              <w:rPr>
                <w:rFonts w:ascii="仿宋" w:eastAsia="仿宋" w:cs="仿宋"/>
                <w:sz w:val="24"/>
                <w:szCs w:val="24"/>
                <w:lang w:val="de-DE"/>
              </w:rPr>
            </w:pPr>
            <w:r>
              <w:rPr>
                <w:rFonts w:ascii="仿宋" w:eastAsia="仿宋" w:cs="仿宋" w:hint="eastAsia"/>
                <w:spacing w:val="-1"/>
                <w:sz w:val="24"/>
                <w:szCs w:val="24"/>
              </w:rPr>
              <w:t>频率</w:t>
            </w:r>
          </w:p>
        </w:tc>
        <w:tc>
          <w:tcPr>
            <w:tcW w:w="1275" w:type="dxa"/>
            <w:noWrap/>
            <w:vAlign w:val="center"/>
          </w:tcPr>
          <w:p>
            <w:pPr>
              <w:pStyle w:val="53"/>
              <w:spacing w:before="0" w:after="0" w:line="23" w:lineRule="atLeast"/>
              <w:ind w:firstLine="640"/>
              <w:rPr>
                <w:rFonts w:ascii="仿宋" w:eastAsia="仿宋" w:cs="仿宋"/>
                <w:sz w:val="24"/>
                <w:szCs w:val="24"/>
                <w:lang w:val="de-DE"/>
              </w:rPr>
            </w:pPr>
          </w:p>
        </w:tc>
        <w:tc>
          <w:tcPr>
            <w:tcW w:w="2268" w:type="dxa"/>
            <w:noWrap/>
            <w:vAlign w:val="center"/>
          </w:tcPr>
          <w:p>
            <w:pPr>
              <w:pStyle w:val="53"/>
              <w:spacing w:before="0" w:after="0" w:line="23" w:lineRule="atLeast"/>
              <w:rPr>
                <w:rFonts w:ascii="仿宋" w:eastAsia="仿宋" w:cs="仿宋"/>
                <w:sz w:val="24"/>
                <w:szCs w:val="24"/>
                <w:lang w:val="de-DE"/>
              </w:rPr>
            </w:pPr>
            <w:r>
              <w:rPr>
                <w:rFonts w:ascii="仿宋" w:eastAsia="仿宋" w:cs="仿宋" w:hint="eastAsia"/>
                <w:sz w:val="24"/>
                <w:szCs w:val="24"/>
                <w:lang w:val="de-DE"/>
              </w:rPr>
              <w:t>Hz</w:t>
            </w:r>
          </w:p>
        </w:tc>
        <w:tc>
          <w:tcPr>
            <w:tcW w:w="2813" w:type="dxa"/>
            <w:noWrap/>
            <w:vAlign w:val="center"/>
          </w:tcPr>
          <w:p>
            <w:pPr>
              <w:pStyle w:val="53"/>
              <w:spacing w:before="0" w:after="0" w:line="23" w:lineRule="atLeast"/>
              <w:ind w:firstLine="640"/>
              <w:rPr>
                <w:rFonts w:ascii="仿宋" w:eastAsia="仿宋" w:cs="仿宋"/>
                <w:sz w:val="24"/>
                <w:szCs w:val="24"/>
                <w:lang w:val="de-DE"/>
              </w:rPr>
            </w:pPr>
          </w:p>
        </w:tc>
      </w:tr>
      <w:tr>
        <w:trPr>
          <w:trHeight w:hRule="exact" w:val="454"/>
        </w:trPr>
        <w:tc>
          <w:tcPr>
            <w:tcW w:w="2729" w:type="dxa"/>
            <w:vMerge/>
            <w:noWrap/>
            <w:vAlign w:val="center"/>
          </w:tcPr>
          <w:p/>
        </w:tc>
        <w:tc>
          <w:tcPr>
            <w:tcW w:w="1275" w:type="dxa"/>
            <w:noWrap/>
            <w:vAlign w:val="center"/>
          </w:tcPr>
          <w:p>
            <w:pPr>
              <w:pStyle w:val="53"/>
              <w:spacing w:before="0" w:after="0" w:line="23" w:lineRule="atLeast"/>
              <w:ind w:firstLine="640"/>
              <w:rPr>
                <w:rFonts w:ascii="仿宋" w:eastAsia="仿宋" w:cs="仿宋"/>
                <w:sz w:val="24"/>
                <w:szCs w:val="24"/>
                <w:lang w:val="de-DE"/>
              </w:rPr>
            </w:pPr>
          </w:p>
        </w:tc>
        <w:tc>
          <w:tcPr>
            <w:tcW w:w="2268" w:type="dxa"/>
            <w:noWrap/>
            <w:vAlign w:val="center"/>
          </w:tcPr>
          <w:p>
            <w:pPr>
              <w:pStyle w:val="53"/>
              <w:spacing w:before="0" w:after="0" w:line="23" w:lineRule="atLeast"/>
              <w:rPr>
                <w:rFonts w:ascii="仿宋" w:eastAsia="仿宋" w:cs="仿宋"/>
                <w:sz w:val="24"/>
                <w:szCs w:val="24"/>
                <w:lang w:val="de-DE"/>
              </w:rPr>
            </w:pPr>
            <w:r>
              <w:rPr>
                <w:rFonts w:ascii="仿宋" w:eastAsia="仿宋" w:cs="仿宋" w:hint="eastAsia"/>
                <w:sz w:val="24"/>
                <w:szCs w:val="24"/>
                <w:lang w:val="de-DE"/>
              </w:rPr>
              <w:t>0 – 100 %</w:t>
            </w:r>
          </w:p>
        </w:tc>
        <w:tc>
          <w:tcPr>
            <w:tcW w:w="2813" w:type="dxa"/>
            <w:noWrap/>
            <w:vAlign w:val="center"/>
          </w:tcPr>
          <w:p>
            <w:pPr>
              <w:pStyle w:val="53"/>
              <w:spacing w:before="0" w:after="0" w:line="23" w:lineRule="atLeast"/>
              <w:ind w:firstLine="640"/>
              <w:rPr>
                <w:rFonts w:ascii="仿宋" w:eastAsia="仿宋" w:cs="仿宋"/>
                <w:sz w:val="24"/>
                <w:szCs w:val="24"/>
                <w:lang w:val="de-DE"/>
              </w:rPr>
            </w:pP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lang w:val="de-DE"/>
              </w:rPr>
            </w:pPr>
            <w:r>
              <w:rPr>
                <w:rFonts w:ascii="仿宋" w:eastAsia="仿宋" w:cs="仿宋" w:hint="eastAsia"/>
                <w:spacing w:val="-1"/>
                <w:sz w:val="24"/>
                <w:szCs w:val="24"/>
              </w:rPr>
              <w:t>液位</w:t>
            </w:r>
          </w:p>
        </w:tc>
        <w:tc>
          <w:tcPr>
            <w:tcW w:w="1275" w:type="dxa"/>
            <w:noWrap/>
            <w:vAlign w:val="center"/>
          </w:tcPr>
          <w:p>
            <w:pPr>
              <w:pStyle w:val="53"/>
              <w:spacing w:before="0" w:after="0" w:line="23" w:lineRule="atLeast"/>
              <w:ind w:firstLine="640"/>
              <w:rPr>
                <w:rFonts w:ascii="仿宋" w:eastAsia="仿宋" w:cs="仿宋"/>
                <w:sz w:val="24"/>
                <w:szCs w:val="24"/>
                <w:lang w:val="de-DE"/>
              </w:rPr>
            </w:pPr>
          </w:p>
        </w:tc>
        <w:tc>
          <w:tcPr>
            <w:tcW w:w="2268" w:type="dxa"/>
            <w:noWrap/>
            <w:vAlign w:val="center"/>
          </w:tcPr>
          <w:p>
            <w:pPr>
              <w:pStyle w:val="53"/>
              <w:spacing w:before="0" w:after="0" w:line="23" w:lineRule="atLeast"/>
              <w:rPr>
                <w:rFonts w:ascii="仿宋" w:eastAsia="仿宋" w:cs="仿宋"/>
                <w:sz w:val="24"/>
                <w:szCs w:val="24"/>
                <w:lang w:val="de-DE" w:eastAsia="zh-CN"/>
              </w:rPr>
            </w:pPr>
            <w:r>
              <w:rPr>
                <w:rFonts w:ascii="仿宋" w:eastAsia="仿宋" w:cs="仿宋" w:hint="eastAsia"/>
                <w:sz w:val="24"/>
                <w:szCs w:val="24"/>
                <w:lang w:val="de-DE" w:eastAsia="zh-CN"/>
              </w:rPr>
              <w:t>m或km</w:t>
            </w:r>
          </w:p>
        </w:tc>
        <w:tc>
          <w:tcPr>
            <w:tcW w:w="2813" w:type="dxa"/>
            <w:noWrap/>
            <w:vAlign w:val="center"/>
          </w:tcPr>
          <w:p>
            <w:pPr>
              <w:pStyle w:val="53"/>
              <w:spacing w:before="0" w:after="0" w:line="23" w:lineRule="atLeast"/>
              <w:ind w:firstLine="636"/>
              <w:rPr>
                <w:rFonts w:ascii="仿宋" w:eastAsia="仿宋" w:cs="仿宋"/>
                <w:sz w:val="24"/>
                <w:szCs w:val="24"/>
                <w:lang w:val="de-DE"/>
              </w:rPr>
            </w:pPr>
            <w:r>
              <w:rPr>
                <w:rFonts w:ascii="仿宋" w:eastAsia="仿宋" w:cs="仿宋" w:hint="eastAsia"/>
                <w:spacing w:val="-1"/>
                <w:sz w:val="24"/>
                <w:szCs w:val="24"/>
                <w:lang w:eastAsia="zh-CN"/>
              </w:rPr>
              <w:t>用于罐装系统</w:t>
            </w: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lang w:val="de-DE" w:eastAsia="zh-CN"/>
              </w:rPr>
            </w:pPr>
            <w:r>
              <w:rPr>
                <w:rFonts w:ascii="仿宋" w:eastAsia="仿宋" w:cs="仿宋" w:hint="eastAsia"/>
                <w:spacing w:val="-1"/>
                <w:sz w:val="24"/>
                <w:szCs w:val="24"/>
                <w:lang w:eastAsia="zh-CN"/>
              </w:rPr>
              <w:t>功率</w:t>
            </w:r>
          </w:p>
        </w:tc>
        <w:tc>
          <w:tcPr>
            <w:tcW w:w="1275" w:type="dxa"/>
            <w:noWrap/>
            <w:vAlign w:val="center"/>
          </w:tcPr>
          <w:p>
            <w:pPr>
              <w:pStyle w:val="53"/>
              <w:spacing w:before="0" w:after="0" w:line="23" w:lineRule="atLeast"/>
              <w:ind w:firstLine="640"/>
              <w:rPr>
                <w:rFonts w:ascii="仿宋" w:eastAsia="仿宋" w:cs="仿宋"/>
                <w:sz w:val="24"/>
                <w:szCs w:val="24"/>
                <w:lang w:val="de-DE"/>
              </w:rPr>
            </w:pPr>
          </w:p>
        </w:tc>
        <w:tc>
          <w:tcPr>
            <w:tcW w:w="2268" w:type="dxa"/>
            <w:noWrap/>
            <w:vAlign w:val="center"/>
          </w:tcPr>
          <w:p>
            <w:pPr>
              <w:pStyle w:val="53"/>
              <w:spacing w:before="0" w:after="0" w:line="23" w:lineRule="atLeast"/>
              <w:rPr>
                <w:rFonts w:ascii="仿宋" w:eastAsia="仿宋" w:cs="仿宋"/>
                <w:sz w:val="24"/>
                <w:szCs w:val="24"/>
                <w:lang w:val="de-DE"/>
              </w:rPr>
            </w:pPr>
            <w:r>
              <w:rPr>
                <w:rFonts w:ascii="仿宋" w:eastAsia="仿宋" w:cs="仿宋" w:hint="eastAsia"/>
                <w:sz w:val="24"/>
                <w:szCs w:val="24"/>
                <w:lang w:val="de-DE"/>
              </w:rPr>
              <w:t>W</w:t>
            </w:r>
          </w:p>
        </w:tc>
        <w:tc>
          <w:tcPr>
            <w:tcW w:w="2813" w:type="dxa"/>
            <w:noWrap/>
            <w:vAlign w:val="center"/>
          </w:tcPr>
          <w:p>
            <w:pPr>
              <w:pStyle w:val="53"/>
              <w:spacing w:before="0" w:after="0" w:line="23" w:lineRule="atLeast"/>
              <w:ind w:firstLine="636"/>
              <w:rPr>
                <w:rFonts w:ascii="仿宋" w:eastAsia="仿宋" w:cs="仿宋"/>
                <w:sz w:val="24"/>
                <w:szCs w:val="24"/>
                <w:lang w:val="de-DE"/>
              </w:rPr>
            </w:pPr>
            <w:r>
              <w:rPr>
                <w:rFonts w:ascii="仿宋" w:eastAsia="仿宋" w:cs="仿宋" w:hint="eastAsia"/>
                <w:spacing w:val="-1"/>
                <w:sz w:val="24"/>
                <w:szCs w:val="24"/>
                <w:lang w:eastAsia="zh-CN"/>
              </w:rPr>
              <w:t>用于电源</w:t>
            </w:r>
          </w:p>
        </w:tc>
      </w:tr>
      <w:tr>
        <w:trPr>
          <w:trHeight w:hRule="exact" w:val="454"/>
        </w:trPr>
        <w:tc>
          <w:tcPr>
            <w:tcW w:w="2729" w:type="dxa"/>
            <w:vMerge w:val="restart"/>
            <w:noWrap/>
            <w:vAlign w:val="center"/>
          </w:tcPr>
          <w:p>
            <w:pPr>
              <w:pStyle w:val="53"/>
              <w:spacing w:before="0" w:after="0" w:line="23" w:lineRule="atLeast"/>
              <w:ind w:firstLine="636"/>
              <w:rPr>
                <w:rFonts w:ascii="仿宋" w:eastAsia="仿宋" w:cs="仿宋"/>
                <w:sz w:val="24"/>
                <w:szCs w:val="24"/>
                <w:lang w:eastAsia="zh-CN"/>
              </w:rPr>
            </w:pPr>
            <w:r>
              <w:rPr>
                <w:rFonts w:ascii="仿宋" w:eastAsia="仿宋" w:cs="仿宋" w:hint="eastAsia"/>
                <w:spacing w:val="-1"/>
                <w:sz w:val="24"/>
                <w:szCs w:val="24"/>
                <w:lang w:eastAsia="zh-CN"/>
              </w:rPr>
              <w:t>压力</w:t>
            </w:r>
          </w:p>
        </w:tc>
        <w:tc>
          <w:tcPr>
            <w:tcW w:w="1275" w:type="dxa"/>
            <w:noWrap/>
            <w:vAlign w:val="center"/>
          </w:tcPr>
          <w:p>
            <w:pPr>
              <w:pStyle w:val="53"/>
              <w:spacing w:before="0" w:after="0" w:line="23" w:lineRule="atLeast"/>
              <w:ind w:firstLine="640"/>
              <w:rPr>
                <w:rFonts w:ascii="仿宋" w:eastAsia="仿宋" w:cs="仿宋"/>
                <w:sz w:val="24"/>
                <w:szCs w:val="24"/>
                <w:lang w:eastAsia="zh-CN"/>
              </w:rPr>
            </w:pPr>
          </w:p>
        </w:tc>
        <w:tc>
          <w:tcPr>
            <w:tcW w:w="2268" w:type="dxa"/>
            <w:noWrap/>
            <w:vAlign w:val="center"/>
          </w:tcPr>
          <w:p>
            <w:pPr>
              <w:pStyle w:val="53"/>
              <w:spacing w:before="0" w:after="0" w:line="23" w:lineRule="atLeast"/>
              <w:rPr>
                <w:rFonts w:ascii="仿宋" w:eastAsia="仿宋" w:cs="仿宋"/>
                <w:sz w:val="24"/>
                <w:szCs w:val="24"/>
                <w:lang w:eastAsia="zh-CN"/>
              </w:rPr>
            </w:pPr>
            <w:r>
              <w:rPr>
                <w:rFonts w:ascii="仿宋" w:eastAsia="仿宋" w:cs="仿宋" w:hint="eastAsia"/>
                <w:sz w:val="24"/>
                <w:szCs w:val="24"/>
                <w:lang w:eastAsia="zh-CN"/>
              </w:rPr>
              <w:t xml:space="preserve">MPa (g) </w:t>
            </w:r>
          </w:p>
        </w:tc>
        <w:tc>
          <w:tcPr>
            <w:tcW w:w="2813" w:type="dxa"/>
            <w:noWrap/>
            <w:vAlign w:val="center"/>
          </w:tcPr>
          <w:p>
            <w:pPr>
              <w:pStyle w:val="53"/>
              <w:spacing w:before="0" w:after="0" w:line="23" w:lineRule="atLeast"/>
              <w:ind w:firstLine="636"/>
              <w:rPr>
                <w:rFonts w:ascii="仿宋" w:eastAsia="仿宋" w:cs="仿宋"/>
                <w:sz w:val="24"/>
                <w:szCs w:val="24"/>
                <w:lang w:eastAsia="zh-CN"/>
              </w:rPr>
            </w:pPr>
            <w:r>
              <w:rPr>
                <w:rFonts w:ascii="仿宋" w:eastAsia="仿宋" w:cs="仿宋" w:hint="eastAsia"/>
                <w:spacing w:val="-1"/>
                <w:sz w:val="24"/>
                <w:szCs w:val="24"/>
                <w:lang w:eastAsia="zh-CN"/>
              </w:rPr>
              <w:t>表压</w:t>
            </w:r>
          </w:p>
        </w:tc>
      </w:tr>
      <w:tr>
        <w:trPr>
          <w:trHeight w:hRule="exact" w:val="454"/>
        </w:trPr>
        <w:tc>
          <w:tcPr>
            <w:tcW w:w="2729" w:type="dxa"/>
            <w:vMerge/>
            <w:noWrap/>
            <w:vAlign w:val="center"/>
          </w:tcPr>
          <w:p/>
        </w:tc>
        <w:tc>
          <w:tcPr>
            <w:tcW w:w="1275" w:type="dxa"/>
            <w:noWrap/>
            <w:vAlign w:val="center"/>
          </w:tcPr>
          <w:p>
            <w:pPr>
              <w:pStyle w:val="53"/>
              <w:spacing w:before="0" w:after="0" w:line="23" w:lineRule="atLeast"/>
              <w:ind w:firstLine="640"/>
              <w:rPr>
                <w:rFonts w:ascii="仿宋" w:eastAsia="仿宋" w:cs="仿宋"/>
                <w:sz w:val="24"/>
                <w:szCs w:val="24"/>
                <w:lang w:eastAsia="zh-CN"/>
              </w:rPr>
            </w:pPr>
          </w:p>
        </w:tc>
        <w:tc>
          <w:tcPr>
            <w:tcW w:w="2268" w:type="dxa"/>
            <w:noWrap/>
            <w:vAlign w:val="center"/>
          </w:tcPr>
          <w:p>
            <w:pPr>
              <w:pStyle w:val="53"/>
              <w:spacing w:before="0" w:after="0" w:line="23" w:lineRule="atLeast"/>
              <w:rPr>
                <w:rFonts w:ascii="仿宋" w:eastAsia="仿宋" w:cs="仿宋"/>
                <w:sz w:val="24"/>
                <w:szCs w:val="24"/>
              </w:rPr>
            </w:pPr>
            <w:r>
              <w:rPr>
                <w:rFonts w:ascii="仿宋" w:eastAsia="仿宋" w:cs="仿宋" w:hint="eastAsia"/>
                <w:sz w:val="24"/>
                <w:szCs w:val="24"/>
              </w:rPr>
              <w:t>MPa (a)</w:t>
            </w:r>
          </w:p>
        </w:tc>
        <w:tc>
          <w:tcPr>
            <w:tcW w:w="2813" w:type="dxa"/>
            <w:noWrap/>
            <w:vAlign w:val="center"/>
          </w:tcPr>
          <w:p>
            <w:pPr>
              <w:pStyle w:val="53"/>
              <w:spacing w:before="0" w:after="0" w:line="23" w:lineRule="atLeast"/>
              <w:ind w:firstLine="636"/>
              <w:rPr>
                <w:rFonts w:ascii="仿宋" w:eastAsia="仿宋" w:cs="仿宋"/>
                <w:sz w:val="24"/>
                <w:szCs w:val="24"/>
              </w:rPr>
            </w:pPr>
            <w:r>
              <w:rPr>
                <w:rFonts w:ascii="仿宋" w:eastAsia="仿宋" w:cs="仿宋" w:hint="eastAsia"/>
                <w:spacing w:val="-1"/>
                <w:sz w:val="24"/>
                <w:szCs w:val="24"/>
              </w:rPr>
              <w:t>绝压</w:t>
            </w:r>
          </w:p>
        </w:tc>
      </w:tr>
      <w:tr>
        <w:trPr>
          <w:trHeight w:hRule="exact" w:val="454"/>
        </w:trPr>
        <w:tc>
          <w:tcPr>
            <w:tcW w:w="2729" w:type="dxa"/>
            <w:vMerge/>
            <w:noWrap/>
            <w:vAlign w:val="center"/>
          </w:tcPr>
          <w:p/>
        </w:tc>
        <w:tc>
          <w:tcPr>
            <w:tcW w:w="1275" w:type="dxa"/>
            <w:noWrap/>
            <w:vAlign w:val="center"/>
          </w:tcPr>
          <w:p>
            <w:pPr>
              <w:pStyle w:val="53"/>
              <w:spacing w:before="0" w:after="0" w:line="23" w:lineRule="atLeast"/>
              <w:ind w:firstLine="640"/>
              <w:rPr>
                <w:rFonts w:ascii="仿宋" w:eastAsia="仿宋" w:cs="仿宋"/>
                <w:sz w:val="24"/>
                <w:szCs w:val="24"/>
              </w:rPr>
            </w:pPr>
          </w:p>
        </w:tc>
        <w:tc>
          <w:tcPr>
            <w:tcW w:w="2268" w:type="dxa"/>
            <w:noWrap/>
            <w:vAlign w:val="center"/>
          </w:tcPr>
          <w:p>
            <w:pPr>
              <w:pStyle w:val="53"/>
              <w:spacing w:before="0" w:after="0" w:line="23" w:lineRule="atLeast"/>
              <w:rPr>
                <w:rFonts w:ascii="仿宋" w:eastAsia="仿宋" w:cs="仿宋"/>
                <w:sz w:val="24"/>
                <w:szCs w:val="24"/>
              </w:rPr>
            </w:pPr>
            <w:r>
              <w:rPr>
                <w:rFonts w:ascii="仿宋" w:eastAsia="仿宋" w:cs="仿宋" w:hint="eastAsia"/>
                <w:sz w:val="24"/>
                <w:szCs w:val="24"/>
              </w:rPr>
              <w:t xml:space="preserve">kPa </w:t>
            </w:r>
            <w:r>
              <w:rPr>
                <w:rFonts w:ascii="仿宋" w:eastAsia="仿宋" w:cs="仿宋" w:hint="eastAsia"/>
                <w:sz w:val="24"/>
                <w:szCs w:val="24"/>
                <w:lang w:eastAsia="zh-CN"/>
              </w:rPr>
              <w:t>或</w:t>
            </w:r>
            <w:r>
              <w:rPr>
                <w:rFonts w:ascii="仿宋" w:eastAsia="仿宋" w:cs="仿宋" w:hint="eastAsia"/>
                <w:sz w:val="24"/>
                <w:szCs w:val="24"/>
              </w:rPr>
              <w:t xml:space="preserve"> MPa</w:t>
            </w:r>
          </w:p>
        </w:tc>
        <w:tc>
          <w:tcPr>
            <w:tcW w:w="2813" w:type="dxa"/>
            <w:noWrap/>
            <w:vAlign w:val="center"/>
          </w:tcPr>
          <w:p>
            <w:pPr>
              <w:pStyle w:val="53"/>
              <w:spacing w:before="0" w:after="0" w:line="23" w:lineRule="atLeast"/>
              <w:ind w:firstLine="636"/>
              <w:rPr>
                <w:rFonts w:ascii="仿宋" w:eastAsia="仿宋" w:cs="仿宋"/>
                <w:sz w:val="24"/>
                <w:szCs w:val="24"/>
              </w:rPr>
            </w:pPr>
            <w:r>
              <w:rPr>
                <w:rFonts w:ascii="仿宋" w:eastAsia="仿宋" w:cs="仿宋" w:hint="eastAsia"/>
                <w:spacing w:val="-1"/>
                <w:sz w:val="24"/>
                <w:szCs w:val="24"/>
              </w:rPr>
              <w:t>差压</w:t>
            </w: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lang w:eastAsia="zh-CN"/>
              </w:rPr>
            </w:pPr>
            <w:r>
              <w:rPr>
                <w:rFonts w:ascii="仿宋" w:eastAsia="仿宋" w:cs="仿宋" w:hint="eastAsia"/>
                <w:spacing w:val="-1"/>
                <w:sz w:val="24"/>
                <w:szCs w:val="24"/>
              </w:rPr>
              <w:t>转速</w:t>
            </w:r>
          </w:p>
        </w:tc>
        <w:tc>
          <w:tcPr>
            <w:tcW w:w="1275" w:type="dxa"/>
            <w:noWrap/>
            <w:vAlign w:val="center"/>
          </w:tcPr>
          <w:p>
            <w:pPr>
              <w:pStyle w:val="53"/>
              <w:spacing w:before="0" w:after="0" w:line="23" w:lineRule="atLeast"/>
              <w:ind w:firstLine="640"/>
              <w:rPr>
                <w:rFonts w:ascii="仿宋" w:eastAsia="仿宋" w:cs="仿宋"/>
                <w:sz w:val="24"/>
                <w:szCs w:val="24"/>
              </w:rPr>
            </w:pPr>
          </w:p>
        </w:tc>
        <w:tc>
          <w:tcPr>
            <w:tcW w:w="2268" w:type="dxa"/>
            <w:noWrap/>
            <w:vAlign w:val="center"/>
          </w:tcPr>
          <w:p>
            <w:pPr>
              <w:pStyle w:val="53"/>
              <w:spacing w:before="0" w:after="0" w:line="23" w:lineRule="atLeast"/>
              <w:rPr>
                <w:rFonts w:ascii="仿宋" w:eastAsia="仿宋" w:cs="仿宋"/>
                <w:sz w:val="24"/>
                <w:szCs w:val="24"/>
              </w:rPr>
            </w:pPr>
            <w:r>
              <w:rPr>
                <w:rFonts w:ascii="仿宋" w:eastAsia="仿宋" w:cs="仿宋" w:hint="eastAsia"/>
                <w:sz w:val="24"/>
                <w:szCs w:val="24"/>
              </w:rPr>
              <w:t>rpm</w:t>
            </w:r>
          </w:p>
        </w:tc>
        <w:tc>
          <w:tcPr>
            <w:tcW w:w="2813" w:type="dxa"/>
            <w:noWrap/>
            <w:vAlign w:val="center"/>
          </w:tcPr>
          <w:p>
            <w:pPr>
              <w:pStyle w:val="53"/>
              <w:spacing w:before="0" w:after="0" w:line="23" w:lineRule="atLeast"/>
              <w:ind w:firstLine="640"/>
              <w:rPr>
                <w:rFonts w:ascii="仿宋" w:eastAsia="仿宋" w:cs="仿宋"/>
                <w:sz w:val="24"/>
                <w:szCs w:val="24"/>
              </w:rPr>
            </w:pP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rPr>
            </w:pPr>
            <w:r>
              <w:rPr>
                <w:rFonts w:ascii="仿宋" w:eastAsia="仿宋" w:cs="仿宋" w:hint="eastAsia"/>
                <w:spacing w:val="-1"/>
                <w:sz w:val="24"/>
                <w:szCs w:val="24"/>
              </w:rPr>
              <w:t>温度</w:t>
            </w:r>
          </w:p>
        </w:tc>
        <w:tc>
          <w:tcPr>
            <w:tcW w:w="1275" w:type="dxa"/>
            <w:noWrap/>
            <w:vAlign w:val="center"/>
          </w:tcPr>
          <w:p>
            <w:pPr>
              <w:pStyle w:val="53"/>
              <w:spacing w:before="0" w:after="0" w:line="23" w:lineRule="atLeast"/>
              <w:ind w:firstLine="640"/>
              <w:rPr>
                <w:rFonts w:ascii="仿宋" w:eastAsia="仿宋" w:cs="仿宋"/>
                <w:sz w:val="24"/>
                <w:szCs w:val="24"/>
              </w:rPr>
            </w:pPr>
          </w:p>
        </w:tc>
        <w:tc>
          <w:tcPr>
            <w:tcW w:w="2268" w:type="dxa"/>
            <w:noWrap/>
            <w:vAlign w:val="center"/>
          </w:tcPr>
          <w:p>
            <w:pPr>
              <w:pStyle w:val="53"/>
              <w:spacing w:before="0" w:after="0" w:line="23" w:lineRule="atLeast"/>
              <w:rPr>
                <w:rFonts w:ascii="仿宋" w:eastAsia="仿宋" w:cs="仿宋"/>
                <w:sz w:val="24"/>
                <w:szCs w:val="24"/>
              </w:rPr>
            </w:pPr>
            <w:r>
              <w:rPr>
                <w:rFonts w:ascii="仿宋" w:eastAsia="仿宋" w:cs="仿宋" w:hint="eastAsia"/>
                <w:sz w:val="24"/>
                <w:szCs w:val="24"/>
                <w:lang w:eastAsia="zh-CN"/>
              </w:rPr>
              <w:t>℃或</w:t>
            </w:r>
            <w:r>
              <w:rPr>
                <w:rFonts w:ascii="仿宋" w:eastAsia="仿宋" w:cs="仿宋" w:hint="eastAsia"/>
                <w:sz w:val="24"/>
                <w:szCs w:val="24"/>
              </w:rPr>
              <w:t xml:space="preserve"> K</w:t>
            </w:r>
          </w:p>
        </w:tc>
        <w:tc>
          <w:tcPr>
            <w:tcW w:w="2813" w:type="dxa"/>
            <w:noWrap/>
            <w:vAlign w:val="center"/>
          </w:tcPr>
          <w:p>
            <w:pPr>
              <w:pStyle w:val="53"/>
              <w:spacing w:line="23" w:lineRule="atLeast"/>
              <w:ind w:firstLine="640"/>
              <w:rPr>
                <w:rFonts w:ascii="仿宋" w:eastAsia="仿宋" w:cs="仿宋"/>
                <w:sz w:val="24"/>
                <w:szCs w:val="24"/>
              </w:rPr>
            </w:pP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rPr>
            </w:pPr>
            <w:r>
              <w:rPr>
                <w:rFonts w:ascii="仿宋" w:eastAsia="仿宋" w:cs="仿宋" w:hint="eastAsia"/>
                <w:spacing w:val="-1"/>
                <w:sz w:val="24"/>
                <w:szCs w:val="24"/>
              </w:rPr>
              <w:t>时间</w:t>
            </w:r>
          </w:p>
        </w:tc>
        <w:tc>
          <w:tcPr>
            <w:tcW w:w="1275" w:type="dxa"/>
            <w:noWrap/>
            <w:vAlign w:val="center"/>
          </w:tcPr>
          <w:p>
            <w:pPr>
              <w:pStyle w:val="53"/>
              <w:spacing w:before="0" w:after="0" w:line="23" w:lineRule="atLeast"/>
              <w:ind w:firstLine="640"/>
              <w:rPr>
                <w:rFonts w:ascii="仿宋" w:eastAsia="仿宋" w:cs="仿宋"/>
                <w:sz w:val="24"/>
                <w:szCs w:val="24"/>
              </w:rPr>
            </w:pPr>
          </w:p>
        </w:tc>
        <w:tc>
          <w:tcPr>
            <w:tcW w:w="2268" w:type="dxa"/>
            <w:noWrap/>
            <w:vAlign w:val="center"/>
          </w:tcPr>
          <w:p>
            <w:pPr>
              <w:pStyle w:val="53"/>
              <w:spacing w:before="0" w:after="0" w:line="23" w:lineRule="atLeast"/>
              <w:rPr>
                <w:rFonts w:ascii="仿宋" w:eastAsia="仿宋" w:cs="仿宋"/>
                <w:sz w:val="24"/>
                <w:szCs w:val="24"/>
              </w:rPr>
            </w:pPr>
            <w:r>
              <w:rPr>
                <w:rFonts w:ascii="仿宋" w:eastAsia="仿宋" w:cs="仿宋" w:hint="eastAsia"/>
                <w:sz w:val="24"/>
                <w:szCs w:val="24"/>
              </w:rPr>
              <w:t>ms, s, min, h, d</w:t>
            </w:r>
          </w:p>
        </w:tc>
        <w:tc>
          <w:tcPr>
            <w:tcW w:w="2813" w:type="dxa"/>
            <w:noWrap/>
            <w:vAlign w:val="center"/>
          </w:tcPr>
          <w:p>
            <w:pPr>
              <w:pStyle w:val="53"/>
              <w:spacing w:line="23" w:lineRule="atLeast"/>
              <w:ind w:firstLine="640"/>
              <w:rPr>
                <w:rFonts w:ascii="仿宋" w:eastAsia="仿宋" w:cs="仿宋"/>
                <w:sz w:val="24"/>
                <w:szCs w:val="24"/>
              </w:rPr>
            </w:pP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rPr>
            </w:pPr>
            <w:r>
              <w:rPr>
                <w:rFonts w:ascii="仿宋" w:eastAsia="仿宋" w:cs="仿宋" w:hint="eastAsia"/>
                <w:spacing w:val="-1"/>
                <w:sz w:val="24"/>
                <w:szCs w:val="24"/>
              </w:rPr>
              <w:t>粘度</w:t>
            </w:r>
          </w:p>
        </w:tc>
        <w:tc>
          <w:tcPr>
            <w:tcW w:w="1275" w:type="dxa"/>
            <w:noWrap/>
            <w:vAlign w:val="center"/>
          </w:tcPr>
          <w:p>
            <w:pPr>
              <w:pStyle w:val="53"/>
              <w:spacing w:before="0" w:after="0" w:line="23" w:lineRule="atLeast"/>
              <w:ind w:firstLine="640"/>
              <w:rPr>
                <w:rFonts w:ascii="仿宋" w:eastAsia="仿宋" w:cs="仿宋"/>
                <w:sz w:val="24"/>
                <w:szCs w:val="24"/>
              </w:rPr>
            </w:pPr>
          </w:p>
        </w:tc>
        <w:tc>
          <w:tcPr>
            <w:tcW w:w="2268" w:type="dxa"/>
            <w:noWrap/>
            <w:vAlign w:val="center"/>
          </w:tcPr>
          <w:p>
            <w:pPr>
              <w:pStyle w:val="53"/>
              <w:spacing w:before="0" w:after="0" w:line="23" w:lineRule="atLeast"/>
              <w:rPr>
                <w:rFonts w:ascii="仿宋" w:eastAsia="仿宋" w:cs="仿宋"/>
                <w:sz w:val="24"/>
                <w:szCs w:val="24"/>
                <w:lang w:eastAsia="zh-CN"/>
              </w:rPr>
            </w:pPr>
            <w:r>
              <w:rPr>
                <w:rFonts w:ascii="仿宋" w:eastAsia="仿宋" w:cs="仿宋" w:hint="eastAsia"/>
                <w:sz w:val="24"/>
                <w:szCs w:val="24"/>
                <w:lang w:eastAsia="zh-CN"/>
              </w:rPr>
              <w:t xml:space="preserve">mPa s </w:t>
            </w:r>
          </w:p>
        </w:tc>
        <w:tc>
          <w:tcPr>
            <w:tcW w:w="2813" w:type="dxa"/>
            <w:noWrap/>
            <w:vAlign w:val="center"/>
          </w:tcPr>
          <w:p>
            <w:pPr>
              <w:pStyle w:val="53"/>
              <w:spacing w:line="23" w:lineRule="atLeast"/>
              <w:ind w:firstLine="640"/>
              <w:rPr>
                <w:rFonts w:ascii="仿宋" w:eastAsia="仿宋" w:cs="仿宋"/>
                <w:sz w:val="24"/>
                <w:szCs w:val="24"/>
                <w:lang w:eastAsia="zh-CN"/>
              </w:rPr>
            </w:pPr>
          </w:p>
        </w:tc>
      </w:tr>
      <w:tr>
        <w:trPr>
          <w:trHeight w:hRule="exact" w:val="454"/>
        </w:trPr>
        <w:tc>
          <w:tcPr>
            <w:tcW w:w="2729" w:type="dxa"/>
            <w:noWrap/>
            <w:vAlign w:val="center"/>
          </w:tcPr>
          <w:p>
            <w:pPr>
              <w:pStyle w:val="53"/>
              <w:spacing w:before="0" w:after="0" w:line="23" w:lineRule="atLeast"/>
              <w:ind w:firstLine="636"/>
              <w:rPr>
                <w:rFonts w:ascii="仿宋" w:eastAsia="仿宋" w:cs="仿宋"/>
                <w:sz w:val="24"/>
                <w:szCs w:val="24"/>
                <w:lang w:eastAsia="zh-CN"/>
              </w:rPr>
            </w:pPr>
            <w:r>
              <w:rPr>
                <w:rFonts w:ascii="仿宋" w:eastAsia="仿宋" w:cs="仿宋" w:hint="eastAsia"/>
                <w:spacing w:val="-1"/>
                <w:sz w:val="24"/>
                <w:szCs w:val="24"/>
                <w:lang w:eastAsia="zh-CN"/>
              </w:rPr>
              <w:t>电压</w:t>
            </w:r>
          </w:p>
        </w:tc>
        <w:tc>
          <w:tcPr>
            <w:tcW w:w="1275" w:type="dxa"/>
            <w:noWrap/>
            <w:vAlign w:val="center"/>
          </w:tcPr>
          <w:p>
            <w:pPr>
              <w:pStyle w:val="53"/>
              <w:spacing w:before="0" w:after="0" w:line="23" w:lineRule="atLeast"/>
              <w:ind w:firstLine="640"/>
              <w:rPr>
                <w:rFonts w:ascii="仿宋" w:eastAsia="仿宋" w:cs="仿宋"/>
                <w:sz w:val="24"/>
                <w:szCs w:val="24"/>
                <w:lang w:eastAsia="zh-CN"/>
              </w:rPr>
            </w:pPr>
          </w:p>
        </w:tc>
        <w:tc>
          <w:tcPr>
            <w:tcW w:w="2268" w:type="dxa"/>
            <w:noWrap/>
            <w:vAlign w:val="center"/>
          </w:tcPr>
          <w:p>
            <w:pPr>
              <w:pStyle w:val="53"/>
              <w:spacing w:before="0" w:after="0" w:line="23" w:lineRule="atLeast"/>
              <w:rPr>
                <w:rFonts w:ascii="仿宋" w:eastAsia="仿宋" w:cs="仿宋"/>
                <w:sz w:val="24"/>
                <w:szCs w:val="24"/>
                <w:lang w:eastAsia="zh-CN"/>
              </w:rPr>
            </w:pPr>
            <w:r>
              <w:rPr>
                <w:rFonts w:ascii="仿宋" w:eastAsia="仿宋" w:cs="仿宋" w:hint="eastAsia"/>
                <w:sz w:val="24"/>
                <w:szCs w:val="24"/>
                <w:lang w:eastAsia="zh-CN"/>
              </w:rPr>
              <w:t>V</w:t>
            </w:r>
          </w:p>
        </w:tc>
        <w:tc>
          <w:tcPr>
            <w:tcW w:w="2813" w:type="dxa"/>
            <w:noWrap/>
            <w:vAlign w:val="center"/>
          </w:tcPr>
          <w:p>
            <w:pPr>
              <w:pStyle w:val="53"/>
              <w:spacing w:line="23" w:lineRule="atLeast"/>
              <w:ind w:firstLine="640"/>
              <w:rPr>
                <w:rFonts w:ascii="仿宋" w:eastAsia="仿宋" w:cs="仿宋"/>
                <w:sz w:val="24"/>
                <w:szCs w:val="24"/>
                <w:lang w:eastAsia="zh-CN"/>
              </w:rPr>
            </w:pPr>
          </w:p>
        </w:tc>
      </w:tr>
    </w:tbl>
    <w:p>
      <w:pPr>
        <w:sectPr>
          <w:footerReference w:type="default" r:id="rId16"/>
          <w:footerReference w:type="even" r:id="rId17"/>
          <w:footerReference w:type="first" r:id="rId18"/>
          <w:pgSz w:w="11907" w:h="16840"/>
          <w:pgMar w:top="1418" w:right="1134" w:bottom="1361" w:left="1418" w:header="851" w:footer="1021" w:gutter="0"/>
          <w:titlePg/>
          <w:docGrid w:type="lines" w:linePitch="312" w:charSpace="0"/>
        </w:sectPr>
      </w:pPr>
    </w:p>
    <w:p>
      <w:pPr>
        <w:pStyle w:val="1"/>
        <w:numPr>
          <w:ilvl w:val="0"/>
          <w:numId w:val="0"/>
        </w:numPr>
        <w:ind w:left="142"/>
        <w:jc w:val="center"/>
        <w:rPr>
          <w:sz w:val="32"/>
          <w:szCs w:val="32"/>
        </w:rPr>
      </w:pPr>
      <w:bookmarkStart w:id="70" w:name="_Toc25690"/>
      <w:bookmarkStart w:id="71" w:name="_Toc23868"/>
      <w:bookmarkStart w:id="72" w:name="_Toc77261990"/>
      <w:bookmarkStart w:id="73" w:name="_Toc77270360"/>
      <w:bookmarkStart w:id="74" w:name="_Toc77263871"/>
      <w:r>
        <w:rPr>
          <w:sz w:val="32"/>
          <w:szCs w:val="32"/>
        </w:rPr>
        <w:t>第</w:t>
      </w:r>
      <w:r>
        <w:rPr>
          <w:rFonts w:hint="eastAsia"/>
          <w:sz w:val="32"/>
          <w:szCs w:val="32"/>
        </w:rPr>
        <w:t>四</w:t>
      </w:r>
      <w:r>
        <w:rPr>
          <w:sz w:val="32"/>
          <w:szCs w:val="32"/>
        </w:rPr>
        <w:t>章 主要器件</w:t>
      </w:r>
      <w:r>
        <w:rPr>
          <w:rFonts w:hint="eastAsia"/>
          <w:sz w:val="32"/>
          <w:szCs w:val="32"/>
          <w:lang w:eastAsia="zh-CN"/>
        </w:rPr>
        <w:t>、材料</w:t>
      </w:r>
      <w:r>
        <w:rPr>
          <w:sz w:val="32"/>
          <w:szCs w:val="32"/>
        </w:rPr>
        <w:t>品牌</w:t>
      </w:r>
      <w:r>
        <w:rPr>
          <w:rFonts w:hint="eastAsia"/>
          <w:sz w:val="32"/>
          <w:szCs w:val="32"/>
        </w:rPr>
        <w:t>要求</w:t>
      </w:r>
    </w:p>
    <w:p>
      <w:pPr>
        <w:pStyle w:val="24"/>
        <w:tabs>
          <w:tab w:val="left" w:pos="0"/>
        </w:tabs>
        <w:ind w:firstLine="0"/>
        <w:jc w:val="center"/>
        <w:rPr>
          <w:rFonts w:ascii="Arial" w:eastAsia="黑体" w:hAnsi="Arial"/>
          <w:color w:val="auto"/>
        </w:rPr>
      </w:pPr>
    </w:p>
    <w:tbl>
      <w:tblPr>
        <w:jc w:val="left"/>
        <w:tblInd w:w="0" w:type="dxa"/>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Pr>
      <w:tblGrid>
        <w:gridCol w:w="828"/>
        <w:gridCol w:w="2444"/>
        <w:gridCol w:w="5908"/>
      </w:tblGrid>
      <w:tr>
        <w:trPr>
          <w:trHeight w:val="454"/>
          <w:tblHeader/>
        </w:trPr>
        <w:tc>
          <w:tcPr>
            <w:tcW w:w="828" w:type="dxa"/>
            <w:vAlign w:val="center"/>
          </w:tcPr>
          <w:p>
            <w:pPr>
              <w:spacing w:line="0" w:lineRule="atLeast"/>
              <w:jc w:val="center"/>
              <w:rPr>
                <w:rFonts w:ascii="仿宋" w:eastAsia="仿宋"/>
                <w:b/>
                <w:bCs/>
                <w:kern w:val="0"/>
                <w:sz w:val="28"/>
                <w:szCs w:val="28"/>
              </w:rPr>
            </w:pPr>
            <w:r>
              <w:rPr>
                <w:rFonts w:ascii="仿宋" w:eastAsia="仿宋" w:hint="eastAsia"/>
                <w:b/>
                <w:bCs/>
                <w:kern w:val="0"/>
                <w:sz w:val="28"/>
                <w:szCs w:val="28"/>
              </w:rPr>
              <w:t>序号</w:t>
            </w:r>
          </w:p>
        </w:tc>
        <w:tc>
          <w:tcPr>
            <w:tcW w:w="2444" w:type="dxa"/>
            <w:vAlign w:val="center"/>
          </w:tcPr>
          <w:p>
            <w:pPr>
              <w:spacing w:line="0" w:lineRule="atLeast"/>
              <w:jc w:val="center"/>
              <w:rPr>
                <w:rFonts w:ascii="仿宋" w:eastAsia="仿宋"/>
                <w:b/>
                <w:bCs/>
                <w:kern w:val="0"/>
                <w:sz w:val="28"/>
                <w:szCs w:val="28"/>
              </w:rPr>
            </w:pPr>
            <w:r>
              <w:rPr>
                <w:rFonts w:ascii="仿宋" w:eastAsia="仿宋" w:hint="eastAsia"/>
                <w:b/>
                <w:bCs/>
                <w:kern w:val="0"/>
                <w:sz w:val="28"/>
                <w:szCs w:val="28"/>
              </w:rPr>
              <w:t>名称</w:t>
            </w:r>
          </w:p>
        </w:tc>
        <w:tc>
          <w:tcPr>
            <w:tcW w:w="5908" w:type="dxa"/>
            <w:vAlign w:val="center"/>
          </w:tcPr>
          <w:p>
            <w:pPr>
              <w:spacing w:line="0" w:lineRule="atLeast"/>
              <w:jc w:val="center"/>
              <w:rPr>
                <w:rFonts w:ascii="仿宋" w:eastAsia="仿宋"/>
                <w:b/>
                <w:bCs/>
                <w:kern w:val="0"/>
                <w:sz w:val="28"/>
                <w:szCs w:val="28"/>
              </w:rPr>
            </w:pPr>
            <w:r>
              <w:rPr>
                <w:rFonts w:ascii="仿宋" w:eastAsia="仿宋" w:cs="黑体" w:hint="eastAsia"/>
                <w:b/>
                <w:kern w:val="0"/>
                <w:sz w:val="28"/>
                <w:szCs w:val="28"/>
              </w:rPr>
              <w:t>品牌</w:t>
            </w:r>
          </w:p>
        </w:tc>
      </w:tr>
      <w:tr>
        <w:trPr>
          <w:trHeight w:val="454"/>
        </w:trPr>
        <w:tc>
          <w:tcPr>
            <w:tcW w:w="828" w:type="dxa"/>
            <w:vAlign w:val="center"/>
          </w:tcPr>
          <w:p>
            <w:pPr>
              <w:spacing w:line="0" w:lineRule="atLeast"/>
              <w:jc w:val="center"/>
              <w:rPr>
                <w:rFonts w:ascii="仿宋" w:eastAsia="仿宋"/>
                <w:bCs/>
                <w:kern w:val="0"/>
                <w:sz w:val="28"/>
                <w:szCs w:val="28"/>
              </w:rPr>
            </w:pPr>
            <w:r>
              <w:rPr>
                <w:rFonts w:ascii="仿宋" w:eastAsia="仿宋" w:hint="eastAsia"/>
                <w:bCs/>
                <w:kern w:val="0"/>
                <w:sz w:val="28"/>
                <w:szCs w:val="28"/>
              </w:rPr>
              <w:t>1</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不锈钢管道主材</w:t>
            </w:r>
          </w:p>
        </w:tc>
        <w:tc>
          <w:tcPr>
            <w:tcW w:w="5908" w:type="dxa"/>
            <w:vAlign w:val="center"/>
          </w:tcPr>
          <w:p>
            <w:pPr>
              <w:spacing w:line="0" w:lineRule="atLeast"/>
              <w:rPr>
                <w:rFonts w:ascii="仿宋" w:eastAsia="仿宋"/>
                <w:b/>
                <w:bCs/>
                <w:kern w:val="0"/>
                <w:sz w:val="28"/>
                <w:szCs w:val="28"/>
              </w:rPr>
            </w:pPr>
            <w:r>
              <w:rPr>
                <w:rFonts w:ascii="仿宋" w:eastAsia="仿宋" w:hint="eastAsia"/>
                <w:kern w:val="0"/>
                <w:sz w:val="28"/>
                <w:szCs w:val="28"/>
              </w:rPr>
              <w:t>宝钢、太钢、鞍钢</w:t>
            </w:r>
          </w:p>
        </w:tc>
      </w:tr>
      <w:tr>
        <w:trPr>
          <w:trHeight w:val="454"/>
        </w:trPr>
        <w:tc>
          <w:tcPr>
            <w:tcW w:w="828" w:type="dxa"/>
            <w:vAlign w:val="center"/>
          </w:tcPr>
          <w:p>
            <w:pPr>
              <w:spacing w:line="0" w:lineRule="atLeast"/>
              <w:jc w:val="center"/>
              <w:rPr>
                <w:rFonts w:ascii="仿宋" w:eastAsia="仿宋"/>
                <w:bCs/>
                <w:kern w:val="0"/>
                <w:sz w:val="28"/>
                <w:szCs w:val="28"/>
              </w:rPr>
            </w:pPr>
            <w:r>
              <w:rPr>
                <w:rFonts w:ascii="仿宋" w:eastAsia="仿宋" w:hint="eastAsia"/>
                <w:bCs/>
                <w:kern w:val="0"/>
                <w:sz w:val="28"/>
                <w:szCs w:val="28"/>
              </w:rPr>
              <w:t>2</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PE管道</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联塑、利财、顾地</w:t>
            </w:r>
          </w:p>
        </w:tc>
      </w:tr>
      <w:tr>
        <w:trPr>
          <w:trHeight w:val="454"/>
        </w:trPr>
        <w:tc>
          <w:tcPr>
            <w:tcW w:w="828" w:type="dxa"/>
            <w:vAlign w:val="center"/>
          </w:tcPr>
          <w:p>
            <w:pPr>
              <w:spacing w:line="0" w:lineRule="atLeast"/>
              <w:jc w:val="center"/>
              <w:rPr>
                <w:rFonts w:ascii="仿宋" w:eastAsia="仿宋"/>
                <w:bCs/>
                <w:kern w:val="0"/>
                <w:sz w:val="28"/>
                <w:szCs w:val="28"/>
              </w:rPr>
            </w:pPr>
            <w:r>
              <w:rPr>
                <w:rFonts w:ascii="仿宋" w:eastAsia="仿宋" w:hint="eastAsia"/>
                <w:bCs/>
                <w:kern w:val="0"/>
                <w:sz w:val="28"/>
                <w:szCs w:val="28"/>
              </w:rPr>
              <w:t>3</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水泵</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南方泵业、东方泵业、凯泉泵业、连成</w:t>
            </w:r>
          </w:p>
        </w:tc>
      </w:tr>
      <w:tr>
        <w:trPr>
          <w:trHeight w:val="454"/>
        </w:trPr>
        <w:tc>
          <w:tcPr>
            <w:tcW w:w="828" w:type="dxa"/>
            <w:vAlign w:val="center"/>
          </w:tcPr>
          <w:p>
            <w:pPr>
              <w:spacing w:line="0" w:lineRule="atLeast"/>
              <w:jc w:val="center"/>
              <w:rPr>
                <w:rFonts w:ascii="仿宋" w:eastAsia="仿宋"/>
                <w:bCs/>
                <w:kern w:val="0"/>
                <w:sz w:val="28"/>
                <w:szCs w:val="28"/>
              </w:rPr>
            </w:pPr>
            <w:r>
              <w:rPr>
                <w:rFonts w:ascii="仿宋" w:eastAsia="仿宋" w:hint="eastAsia"/>
                <w:bCs/>
                <w:kern w:val="0"/>
                <w:sz w:val="28"/>
                <w:szCs w:val="28"/>
              </w:rPr>
              <w:t>4</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阀门</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埃森博格、盖米、浙江力诺、上海五阀、上海远安</w:t>
            </w:r>
          </w:p>
        </w:tc>
      </w:tr>
      <w:tr>
        <w:trPr>
          <w:trHeight w:val="454"/>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5</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流量计</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德国科隆、西门子、E</w:t>
            </w:r>
            <w:r>
              <w:rPr>
                <w:rFonts w:ascii="仿宋" w:eastAsia="仿宋"/>
                <w:kern w:val="0"/>
                <w:sz w:val="28"/>
                <w:szCs w:val="28"/>
              </w:rPr>
              <w:t>+H</w:t>
            </w:r>
            <w:r>
              <w:rPr>
                <w:rFonts w:ascii="仿宋" w:eastAsia="仿宋" w:hint="eastAsia"/>
                <w:kern w:val="0"/>
                <w:sz w:val="28"/>
                <w:szCs w:val="28"/>
              </w:rPr>
              <w:t>、威尔泰</w:t>
            </w:r>
            <w:r>
              <w:rPr>
                <w:rFonts w:ascii="仿宋" w:eastAsia="仿宋"/>
                <w:kern w:val="0"/>
                <w:sz w:val="28"/>
                <w:szCs w:val="28"/>
              </w:rPr>
              <w:t>、威卡</w:t>
            </w:r>
          </w:p>
        </w:tc>
      </w:tr>
      <w:tr>
        <w:trPr>
          <w:trHeight w:val="454"/>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7</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电机</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大中、东方威尔、南阳等与所选水泵适配的国内一线品牌</w:t>
            </w:r>
          </w:p>
        </w:tc>
      </w:tr>
      <w:tr>
        <w:trPr>
          <w:trHeight w:val="454"/>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8</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减速机</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ABB、SEW、Nord</w:t>
            </w:r>
          </w:p>
        </w:tc>
      </w:tr>
      <w:tr>
        <w:trPr>
          <w:trHeight w:val="454"/>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9</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电动执行器</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埃森博格、孚因、奥翔、行力等与所选阀门适配的国内外一线品牌</w:t>
            </w:r>
          </w:p>
        </w:tc>
      </w:tr>
      <w:tr>
        <w:trPr>
          <w:trHeight w:val="453"/>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10</w:t>
            </w:r>
          </w:p>
        </w:tc>
        <w:tc>
          <w:tcPr>
            <w:tcW w:w="2444" w:type="dxa"/>
            <w:vAlign w:val="center"/>
          </w:tcPr>
          <w:p>
            <w:pPr>
              <w:spacing w:line="0" w:lineRule="atLeast"/>
              <w:rPr>
                <w:rFonts w:ascii="仿宋" w:eastAsia="仿宋"/>
                <w:kern w:val="0"/>
                <w:sz w:val="28"/>
                <w:szCs w:val="28"/>
              </w:rPr>
            </w:pPr>
            <w:r>
              <w:rPr>
                <w:rFonts w:ascii="仿宋" w:eastAsia="仿宋"/>
                <w:kern w:val="0"/>
                <w:sz w:val="28"/>
                <w:szCs w:val="28"/>
              </w:rPr>
              <w:t>桥架</w:t>
            </w:r>
          </w:p>
        </w:tc>
        <w:tc>
          <w:tcPr>
            <w:tcW w:w="5908" w:type="dxa"/>
            <w:vAlign w:val="center"/>
          </w:tcPr>
          <w:p>
            <w:pPr>
              <w:spacing w:line="0" w:lineRule="atLeast"/>
              <w:rPr>
                <w:rFonts w:ascii="仿宋" w:eastAsia="仿宋"/>
                <w:kern w:val="0"/>
                <w:sz w:val="28"/>
                <w:szCs w:val="28"/>
              </w:rPr>
            </w:pPr>
            <w:r>
              <w:rPr>
                <w:rFonts w:ascii="仿宋" w:eastAsia="仿宋"/>
                <w:kern w:val="0"/>
                <w:sz w:val="28"/>
                <w:szCs w:val="28"/>
              </w:rPr>
              <w:t>廊坊赛兴、 河北奕度 、河北庞泰、广东桥鑫</w:t>
            </w:r>
          </w:p>
        </w:tc>
      </w:tr>
      <w:tr>
        <w:trPr>
          <w:trHeight w:val="452"/>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11</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P</w:t>
            </w:r>
            <w:r>
              <w:rPr>
                <w:rFonts w:ascii="仿宋" w:eastAsia="仿宋"/>
                <w:kern w:val="0"/>
                <w:sz w:val="28"/>
                <w:szCs w:val="28"/>
              </w:rPr>
              <w:t>LC</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西门子、施耐德、OMRON、三菱等同等品牌</w:t>
            </w:r>
          </w:p>
        </w:tc>
      </w:tr>
      <w:tr>
        <w:trPr>
          <w:trHeight w:val="452"/>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12</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H</w:t>
            </w:r>
            <w:r>
              <w:rPr>
                <w:rFonts w:ascii="仿宋" w:eastAsia="仿宋"/>
                <w:kern w:val="0"/>
                <w:sz w:val="28"/>
                <w:szCs w:val="28"/>
              </w:rPr>
              <w:t>MI</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西门子、施耐德、OMRON、三菱等同等品牌</w:t>
            </w:r>
          </w:p>
        </w:tc>
      </w:tr>
      <w:tr>
        <w:trPr>
          <w:trHeight w:val="452"/>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13</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压力变送器</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德国科隆、西门子、E</w:t>
            </w:r>
            <w:r>
              <w:rPr>
                <w:rFonts w:ascii="仿宋" w:eastAsia="仿宋"/>
                <w:kern w:val="0"/>
                <w:sz w:val="28"/>
                <w:szCs w:val="28"/>
              </w:rPr>
              <w:t>+H</w:t>
            </w:r>
            <w:r>
              <w:rPr>
                <w:rFonts w:ascii="仿宋" w:eastAsia="仿宋" w:hint="eastAsia"/>
                <w:kern w:val="0"/>
                <w:sz w:val="28"/>
                <w:szCs w:val="28"/>
              </w:rPr>
              <w:t>、威尔泰</w:t>
            </w:r>
            <w:r>
              <w:rPr>
                <w:rFonts w:ascii="仿宋" w:eastAsia="仿宋"/>
                <w:kern w:val="0"/>
                <w:sz w:val="28"/>
                <w:szCs w:val="28"/>
              </w:rPr>
              <w:t>、威卡</w:t>
            </w:r>
            <w:r>
              <w:rPr>
                <w:rFonts w:ascii="仿宋" w:eastAsia="仿宋" w:hint="eastAsia"/>
                <w:kern w:val="0"/>
                <w:sz w:val="28"/>
                <w:szCs w:val="28"/>
              </w:rPr>
              <w:t>等国内外知名品牌</w:t>
            </w:r>
          </w:p>
        </w:tc>
      </w:tr>
      <w:tr>
        <w:trPr>
          <w:trHeight w:val="452"/>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14</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液位计</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德国科隆、西门子、E</w:t>
            </w:r>
            <w:r>
              <w:rPr>
                <w:rFonts w:ascii="仿宋" w:eastAsia="仿宋"/>
                <w:kern w:val="0"/>
                <w:sz w:val="28"/>
                <w:szCs w:val="28"/>
              </w:rPr>
              <w:t>+H</w:t>
            </w:r>
            <w:r>
              <w:rPr>
                <w:rFonts w:ascii="仿宋" w:eastAsia="仿宋" w:hint="eastAsia"/>
                <w:kern w:val="0"/>
                <w:sz w:val="28"/>
                <w:szCs w:val="28"/>
              </w:rPr>
              <w:t>、威尔泰</w:t>
            </w:r>
            <w:r>
              <w:rPr>
                <w:rFonts w:ascii="仿宋" w:eastAsia="仿宋"/>
                <w:kern w:val="0"/>
                <w:sz w:val="28"/>
                <w:szCs w:val="28"/>
              </w:rPr>
              <w:t>、威卡</w:t>
            </w:r>
            <w:r>
              <w:rPr>
                <w:rFonts w:ascii="仿宋" w:eastAsia="仿宋" w:hint="eastAsia"/>
                <w:kern w:val="0"/>
                <w:sz w:val="28"/>
                <w:szCs w:val="28"/>
              </w:rPr>
              <w:t>等国内外知名品牌</w:t>
            </w:r>
          </w:p>
        </w:tc>
      </w:tr>
      <w:tr>
        <w:trPr>
          <w:trHeight w:val="452"/>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15</w:t>
            </w:r>
          </w:p>
        </w:tc>
        <w:tc>
          <w:tcPr>
            <w:tcW w:w="2444" w:type="dxa"/>
            <w:vAlign w:val="center"/>
          </w:tcPr>
          <w:p>
            <w:pPr>
              <w:spacing w:line="23" w:lineRule="atLeast"/>
              <w:rPr>
                <w:rFonts w:ascii="仿宋" w:eastAsia="仿宋" w:cs="仿宋"/>
                <w:b/>
                <w:bCs/>
                <w:kern w:val="0"/>
                <w:sz w:val="28"/>
                <w:szCs w:val="28"/>
              </w:rPr>
            </w:pPr>
            <w:r>
              <w:rPr>
                <w:rFonts w:ascii="仿宋" w:eastAsia="仿宋" w:cs="仿宋" w:hint="eastAsia"/>
                <w:kern w:val="0"/>
                <w:sz w:val="28"/>
                <w:szCs w:val="28"/>
              </w:rPr>
              <w:t>气动元件</w:t>
            </w:r>
          </w:p>
        </w:tc>
        <w:tc>
          <w:tcPr>
            <w:tcW w:w="5908" w:type="dxa"/>
            <w:vAlign w:val="center"/>
          </w:tcPr>
          <w:p>
            <w:pPr>
              <w:spacing w:line="560" w:lineRule="exact"/>
              <w:rPr>
                <w:rFonts w:ascii="仿宋" w:eastAsia="仿宋" w:cs="仿宋"/>
                <w:b/>
                <w:bCs/>
                <w:kern w:val="0"/>
                <w:sz w:val="28"/>
                <w:szCs w:val="28"/>
              </w:rPr>
            </w:pPr>
            <w:r>
              <w:rPr>
                <w:rFonts w:ascii="仿宋" w:eastAsia="仿宋" w:hint="eastAsia"/>
                <w:kern w:val="0"/>
                <w:sz w:val="28"/>
                <w:szCs w:val="28"/>
              </w:rPr>
              <w:t>SMC、Festo</w:t>
            </w:r>
            <w:r>
              <w:rPr>
                <w:rFonts w:ascii="仿宋" w:eastAsia="仿宋" w:cs="仿宋" w:hint="eastAsia"/>
                <w:kern w:val="0"/>
                <w:sz w:val="28"/>
                <w:szCs w:val="28"/>
              </w:rPr>
              <w:t>、ASCO、VERSA</w:t>
            </w:r>
            <w:r>
              <w:rPr>
                <w:rFonts w:ascii="仿宋" w:eastAsia="仿宋" w:hint="eastAsia"/>
                <w:kern w:val="0"/>
                <w:sz w:val="28"/>
                <w:szCs w:val="28"/>
              </w:rPr>
              <w:t>或同等知名品牌</w:t>
            </w:r>
          </w:p>
        </w:tc>
      </w:tr>
      <w:tr>
        <w:trPr>
          <w:trHeight w:val="452"/>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16</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传感器及开关元器件</w:t>
            </w:r>
          </w:p>
        </w:tc>
        <w:tc>
          <w:tcPr>
            <w:tcW w:w="5908" w:type="dxa"/>
            <w:vAlign w:val="center"/>
          </w:tcPr>
          <w:p>
            <w:pPr>
              <w:spacing w:line="0" w:lineRule="atLeast"/>
              <w:rPr>
                <w:rFonts w:ascii="仿宋" w:eastAsia="仿宋"/>
                <w:kern w:val="0"/>
                <w:sz w:val="28"/>
                <w:szCs w:val="28"/>
              </w:rPr>
            </w:pPr>
            <w:r>
              <w:rPr>
                <w:rFonts w:ascii="仿宋" w:eastAsia="仿宋" w:hint="eastAsia"/>
                <w:kern w:val="0"/>
                <w:sz w:val="28"/>
                <w:szCs w:val="28"/>
              </w:rPr>
              <w:t>西门子、OMRON、三菱或同等知名品牌</w:t>
            </w:r>
          </w:p>
        </w:tc>
      </w:tr>
      <w:tr>
        <w:trPr>
          <w:trHeight w:val="452"/>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17</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低压元器件</w:t>
            </w:r>
          </w:p>
        </w:tc>
        <w:tc>
          <w:tcPr>
            <w:tcW w:w="5908" w:type="dxa"/>
            <w:vAlign w:val="center"/>
          </w:tcPr>
          <w:p>
            <w:pPr>
              <w:spacing w:line="0" w:lineRule="atLeast"/>
              <w:rPr>
                <w:rFonts w:ascii="仿宋" w:eastAsia="仿宋"/>
                <w:kern w:val="0"/>
                <w:sz w:val="28"/>
                <w:szCs w:val="28"/>
                <w:highlight w:val="green"/>
              </w:rPr>
            </w:pPr>
            <w:r>
              <w:rPr>
                <w:rFonts w:ascii="仿宋" w:eastAsia="仿宋" w:hint="eastAsia"/>
                <w:kern w:val="0"/>
                <w:sz w:val="28"/>
                <w:szCs w:val="28"/>
              </w:rPr>
              <w:t>施耐德，ABB，西门子等知名品牌</w:t>
            </w:r>
          </w:p>
        </w:tc>
      </w:tr>
      <w:tr>
        <w:trPr>
          <w:trHeight w:val="452"/>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18</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变频器</w:t>
            </w:r>
          </w:p>
        </w:tc>
        <w:tc>
          <w:tcPr>
            <w:tcW w:w="5908" w:type="dxa"/>
            <w:vAlign w:val="center"/>
          </w:tcPr>
          <w:p>
            <w:pPr>
              <w:spacing w:line="0" w:lineRule="atLeast"/>
              <w:rPr>
                <w:rFonts w:ascii="仿宋" w:eastAsia="仿宋"/>
                <w:kern w:val="0"/>
                <w:sz w:val="28"/>
                <w:szCs w:val="28"/>
              </w:rPr>
            </w:pPr>
            <w:r>
              <w:rPr>
                <w:rFonts w:ascii="仿宋" w:eastAsia="仿宋" w:cs="仿宋" w:hint="eastAsia"/>
                <w:kern w:val="0"/>
                <w:sz w:val="28"/>
                <w:szCs w:val="28"/>
              </w:rPr>
              <w:t>西门子、三菱、ABB等同等品牌</w:t>
            </w:r>
          </w:p>
        </w:tc>
      </w:tr>
      <w:tr>
        <w:trPr>
          <w:trHeight w:val="452"/>
        </w:trPr>
        <w:tc>
          <w:tcPr>
            <w:tcW w:w="828" w:type="dxa"/>
            <w:vAlign w:val="center"/>
          </w:tcPr>
          <w:p>
            <w:pPr>
              <w:spacing w:line="0" w:lineRule="atLeast"/>
              <w:jc w:val="center"/>
              <w:rPr>
                <w:rFonts w:ascii="仿宋" w:eastAsia="仿宋"/>
                <w:bCs/>
                <w:kern w:val="0"/>
                <w:sz w:val="28"/>
                <w:szCs w:val="28"/>
              </w:rPr>
            </w:pPr>
            <w:r>
              <w:rPr>
                <w:rFonts w:ascii="仿宋" w:eastAsia="仿宋"/>
                <w:bCs/>
                <w:kern w:val="0"/>
                <w:sz w:val="28"/>
                <w:szCs w:val="28"/>
              </w:rPr>
              <w:t>19</w:t>
            </w:r>
          </w:p>
        </w:tc>
        <w:tc>
          <w:tcPr>
            <w:tcW w:w="2444" w:type="dxa"/>
            <w:vAlign w:val="center"/>
          </w:tcPr>
          <w:p>
            <w:pPr>
              <w:spacing w:line="0" w:lineRule="atLeast"/>
              <w:rPr>
                <w:rFonts w:ascii="仿宋" w:eastAsia="仿宋"/>
                <w:kern w:val="0"/>
                <w:sz w:val="28"/>
                <w:szCs w:val="28"/>
              </w:rPr>
            </w:pPr>
            <w:r>
              <w:rPr>
                <w:rFonts w:ascii="仿宋" w:eastAsia="仿宋" w:hint="eastAsia"/>
                <w:kern w:val="0"/>
                <w:sz w:val="28"/>
                <w:szCs w:val="28"/>
              </w:rPr>
              <w:t>电缆</w:t>
            </w:r>
          </w:p>
        </w:tc>
        <w:tc>
          <w:tcPr>
            <w:tcW w:w="5908" w:type="dxa"/>
            <w:vAlign w:val="center"/>
          </w:tcPr>
          <w:p>
            <w:pPr>
              <w:spacing w:line="0" w:lineRule="atLeast"/>
              <w:rPr>
                <w:rFonts w:ascii="仿宋" w:eastAsia="仿宋"/>
                <w:kern w:val="0"/>
                <w:sz w:val="28"/>
                <w:szCs w:val="28"/>
              </w:rPr>
            </w:pPr>
            <w:r>
              <w:rPr>
                <w:rFonts w:ascii="仿宋" w:eastAsia="仿宋"/>
                <w:kern w:val="0"/>
                <w:sz w:val="28"/>
                <w:szCs w:val="28"/>
              </w:rPr>
              <w:t>上上电缆、远东电缆、浦东电缆、津成</w:t>
            </w:r>
            <w:r>
              <w:rPr>
                <w:rFonts w:ascii="仿宋" w:eastAsia="仿宋" w:hint="eastAsia"/>
                <w:kern w:val="0"/>
                <w:sz w:val="28"/>
                <w:szCs w:val="28"/>
              </w:rPr>
              <w:t>、华能、红旗</w:t>
            </w:r>
          </w:p>
        </w:tc>
      </w:tr>
    </w:tbl>
    <w:p>
      <w:pPr>
        <w:pStyle w:val="21"/>
        <w:rPr>
          <w:rFonts w:ascii="宋体" w:eastAsia="宋体"/>
          <w:sz w:val="28"/>
        </w:rPr>
      </w:pPr>
    </w:p>
    <w:p/>
    <w:p>
      <w:pPr>
        <w:pStyle w:val="1"/>
        <w:numPr>
          <w:ilvl w:val="0"/>
          <w:numId w:val="0"/>
        </w:numPr>
        <w:ind w:left="142"/>
        <w:jc w:val="center"/>
        <w:rPr>
          <w:sz w:val="32"/>
          <w:szCs w:val="32"/>
        </w:rPr>
      </w:pPr>
      <w:r>
        <w:rPr>
          <w:sz w:val="32"/>
          <w:szCs w:val="32"/>
        </w:rPr>
        <w:t xml:space="preserve">第五章 </w:t>
      </w:r>
      <w:r>
        <w:rPr>
          <w:rFonts w:hint="eastAsia"/>
          <w:sz w:val="32"/>
          <w:szCs w:val="32"/>
        </w:rPr>
        <w:t>其他要求</w:t>
      </w:r>
      <w:bookmarkEnd w:id="70"/>
      <w:bookmarkEnd w:id="71"/>
      <w:bookmarkEnd w:id="72"/>
      <w:bookmarkEnd w:id="73"/>
      <w:bookmarkEnd w:id="74"/>
    </w:p>
    <w:p>
      <w:pPr>
        <w:pStyle w:val="1"/>
        <w:numPr>
          <w:ilvl w:val="0"/>
          <w:numId w:val="13"/>
        </w:numPr>
      </w:pPr>
      <w:bookmarkStart w:id="75" w:name="_Toc7061"/>
      <w:bookmarkStart w:id="76" w:name="_Toc77250340"/>
      <w:bookmarkStart w:id="77" w:name="_Toc77252097"/>
      <w:bookmarkStart w:id="78" w:name="_Toc1091"/>
      <w:bookmarkStart w:id="79" w:name="_Toc21967056"/>
      <w:bookmarkStart w:id="80" w:name="_Toc77270361"/>
      <w:bookmarkStart w:id="81" w:name="_Toc26192225"/>
      <w:bookmarkStart w:id="82" w:name="_Toc17187"/>
      <w:bookmarkStart w:id="83" w:name="_Toc77261992"/>
      <w:bookmarkStart w:id="84" w:name="_Toc21967057"/>
      <w:bookmarkStart w:id="85" w:name="_Toc17750"/>
      <w:bookmarkStart w:id="86" w:name="_Toc26192226"/>
      <w:bookmarkStart w:id="87" w:name="_Toc77263873"/>
      <w:bookmarkStart w:id="88" w:name="_Toc11794"/>
      <w:r>
        <w:rPr>
          <w:rFonts w:hint="eastAsia"/>
        </w:rPr>
        <w:t>备品及工具</w:t>
      </w:r>
      <w:bookmarkEnd w:id="75"/>
      <w:bookmarkEnd w:id="76"/>
      <w:bookmarkEnd w:id="77"/>
      <w:bookmarkEnd w:id="78"/>
      <w:bookmarkEnd w:id="79"/>
      <w:bookmarkEnd w:id="80"/>
      <w:bookmarkEnd w:id="81"/>
    </w:p>
    <w:p>
      <w:pPr>
        <w:pStyle w:val="47"/>
        <w:numPr>
          <w:ilvl w:val="0"/>
          <w:numId w:val="14"/>
        </w:numPr>
        <w:spacing w:line="23" w:lineRule="atLeast"/>
        <w:ind w:firstLineChars="0"/>
        <w:rPr>
          <w:rFonts w:ascii="仿宋" w:eastAsia="仿宋" w:cs="仿宋"/>
          <w:sz w:val="28"/>
          <w:szCs w:val="28"/>
        </w:rPr>
      </w:pPr>
      <w:bookmarkEnd w:id="82"/>
      <w:bookmarkEnd w:id="83"/>
      <w:bookmarkEnd w:id="84"/>
      <w:bookmarkEnd w:id="85"/>
      <w:bookmarkEnd w:id="86"/>
      <w:bookmarkEnd w:id="87"/>
      <w:bookmarkEnd w:id="88"/>
      <w:r>
        <w:rPr>
          <w:rFonts w:ascii="仿宋" w:eastAsia="仿宋" w:cs="仿宋" w:hint="eastAsia"/>
          <w:sz w:val="28"/>
          <w:szCs w:val="28"/>
        </w:rPr>
        <w:t>根据设计方案提供两年两班制随机备件，并提供备品备件清单及报价。</w:t>
      </w:r>
    </w:p>
    <w:p>
      <w:pPr>
        <w:pStyle w:val="47"/>
        <w:numPr>
          <w:ilvl w:val="0"/>
          <w:numId w:val="14"/>
        </w:numPr>
        <w:ind w:firstLineChars="0"/>
        <w:rPr>
          <w:rFonts w:ascii="仿宋" w:eastAsia="仿宋" w:cs="仿宋"/>
          <w:sz w:val="28"/>
          <w:szCs w:val="28"/>
        </w:rPr>
      </w:pPr>
      <w:r>
        <w:rPr>
          <w:rFonts w:ascii="仿宋" w:eastAsia="仿宋" w:cs="仿宋" w:hint="eastAsia"/>
          <w:sz w:val="28"/>
          <w:szCs w:val="28"/>
        </w:rPr>
        <w:t>投标人保证备品备件长期稳定的供货。对主要设备或与主设备功能相同并接插兼容的替代品，其备品的供货期至少是设备验收后十年或该设备退出市场后五年（二者之中取时间长的一种）。当投标人决定中断生产某些组件或设备时，预先告知招标人，以便招标人增加这些设备的备品备件。</w:t>
      </w:r>
    </w:p>
    <w:p>
      <w:pPr>
        <w:pStyle w:val="47"/>
        <w:numPr>
          <w:ilvl w:val="0"/>
          <w:numId w:val="14"/>
        </w:numPr>
        <w:ind w:firstLineChars="0"/>
        <w:rPr>
          <w:rFonts w:ascii="仿宋" w:eastAsia="仿宋" w:cs="仿宋"/>
          <w:sz w:val="28"/>
          <w:szCs w:val="28"/>
        </w:rPr>
      </w:pPr>
      <w:r>
        <w:rPr>
          <w:rFonts w:ascii="仿宋" w:eastAsia="仿宋" w:cs="仿宋" w:hint="eastAsia"/>
          <w:sz w:val="28"/>
          <w:szCs w:val="28"/>
        </w:rPr>
        <w:t>投标人所提供的备品备件与原设备为同一供方，价格不高于原设备分项报价，并在报价中对此项目单独列出。</w:t>
      </w:r>
    </w:p>
    <w:p>
      <w:pPr>
        <w:pStyle w:val="47"/>
        <w:numPr>
          <w:ilvl w:val="0"/>
          <w:numId w:val="14"/>
        </w:numPr>
        <w:ind w:firstLineChars="0"/>
        <w:rPr>
          <w:rFonts w:ascii="仿宋" w:eastAsia="仿宋" w:cs="仿宋"/>
          <w:sz w:val="28"/>
          <w:szCs w:val="28"/>
        </w:rPr>
      </w:pPr>
      <w:r>
        <w:rPr>
          <w:rFonts w:ascii="仿宋" w:eastAsia="仿宋" w:cs="仿宋" w:hint="eastAsia"/>
          <w:sz w:val="28"/>
          <w:szCs w:val="28"/>
        </w:rPr>
        <w:t>投标人提供PLC进行在线联调、现场可用率测试（SAT）以及三年运行和维护所必需的备品备件，并按照随机备品备件清单中的价格提供。</w:t>
      </w:r>
    </w:p>
    <w:p>
      <w:pPr>
        <w:pStyle w:val="47"/>
        <w:numPr>
          <w:ilvl w:val="0"/>
          <w:numId w:val="14"/>
        </w:numPr>
        <w:ind w:firstLineChars="0"/>
        <w:rPr>
          <w:rFonts w:ascii="仿宋" w:eastAsia="仿宋" w:cs="仿宋"/>
          <w:sz w:val="28"/>
          <w:szCs w:val="28"/>
        </w:rPr>
      </w:pPr>
      <w:r>
        <w:rPr>
          <w:rFonts w:ascii="仿宋" w:eastAsia="仿宋" w:cs="仿宋" w:hint="eastAsia"/>
          <w:sz w:val="28"/>
          <w:szCs w:val="28"/>
        </w:rPr>
        <w:t>投标人提供随机备品备件，并有详细的价格和用途说明，以便招标人了解这些备品备件用于</w:t>
      </w:r>
      <w:r>
        <w:rPr>
          <w:rFonts w:ascii="仿宋" w:eastAsia="仿宋" w:cs="仿宋"/>
          <w:sz w:val="28"/>
          <w:szCs w:val="28"/>
        </w:rPr>
        <w:t>哪</w:t>
      </w:r>
      <w:r>
        <w:rPr>
          <w:rFonts w:ascii="仿宋" w:eastAsia="仿宋" w:cs="仿宋" w:hint="eastAsia"/>
          <w:sz w:val="28"/>
          <w:szCs w:val="28"/>
        </w:rPr>
        <w:t>些具体项目上。</w:t>
      </w:r>
    </w:p>
    <w:p>
      <w:pPr>
        <w:pStyle w:val="47"/>
        <w:numPr>
          <w:ilvl w:val="0"/>
          <w:numId w:val="14"/>
        </w:numPr>
        <w:ind w:firstLineChars="0"/>
        <w:rPr>
          <w:rFonts w:ascii="仿宋" w:eastAsia="仿宋" w:cs="仿宋"/>
          <w:sz w:val="28"/>
          <w:szCs w:val="28"/>
        </w:rPr>
      </w:pPr>
      <w:r>
        <w:rPr>
          <w:rFonts w:ascii="仿宋" w:eastAsia="仿宋" w:cs="仿宋" w:hint="eastAsia"/>
          <w:sz w:val="28"/>
          <w:szCs w:val="28"/>
        </w:rPr>
        <w:t>投标人用于PLC的标准组件如有改动，则编制备品备件清单时作相应修改.</w:t>
      </w:r>
    </w:p>
    <w:p>
      <w:pPr>
        <w:pStyle w:val="47"/>
        <w:numPr>
          <w:ilvl w:val="0"/>
          <w:numId w:val="14"/>
        </w:numPr>
        <w:ind w:firstLineChars="0"/>
        <w:rPr>
          <w:rFonts w:ascii="仿宋" w:eastAsia="仿宋" w:cs="仿宋"/>
          <w:sz w:val="28"/>
          <w:szCs w:val="28"/>
        </w:rPr>
      </w:pPr>
      <w:r>
        <w:rPr>
          <w:rFonts w:ascii="仿宋" w:eastAsia="仿宋" w:cs="仿宋" w:hint="eastAsia"/>
          <w:sz w:val="28"/>
          <w:szCs w:val="28"/>
        </w:rPr>
        <w:t>投标人就提供有关备品备件的保管资料，如存放期、是否需干燥剂等</w:t>
      </w:r>
    </w:p>
    <w:p>
      <w:pPr>
        <w:pStyle w:val="47"/>
        <w:numPr>
          <w:ilvl w:val="0"/>
          <w:numId w:val="14"/>
        </w:numPr>
        <w:ind w:firstLineChars="0"/>
        <w:rPr>
          <w:rFonts w:ascii="仿宋" w:eastAsia="仿宋" w:cs="仿宋"/>
          <w:sz w:val="28"/>
          <w:szCs w:val="28"/>
        </w:rPr>
      </w:pPr>
      <w:r>
        <w:rPr>
          <w:rFonts w:ascii="仿宋" w:eastAsia="仿宋" w:cs="仿宋" w:hint="eastAsia"/>
          <w:sz w:val="28"/>
          <w:szCs w:val="28"/>
        </w:rPr>
        <w:t>投标人提供的有关备品备件的一些主要部件(如印刷电路板)，在发运前，逐件进行测试，以保证在PLC中正常运行。</w:t>
      </w:r>
    </w:p>
    <w:p>
      <w:pPr>
        <w:pStyle w:val="47"/>
        <w:ind w:left="426" w:firstLineChars="0" w:firstLine="0"/>
        <w:rPr>
          <w:rFonts w:ascii="仿宋" w:eastAsia="仿宋" w:cs="仿宋"/>
          <w:sz w:val="28"/>
          <w:szCs w:val="28"/>
        </w:rPr>
      </w:pPr>
    </w:p>
    <w:p>
      <w:pPr>
        <w:pStyle w:val="1"/>
        <w:numPr>
          <w:ilvl w:val="0"/>
          <w:numId w:val="0"/>
        </w:numPr>
        <w:ind w:left="0" w:firstLine="0"/>
      </w:pPr>
      <w:bookmarkStart w:id="89" w:name="_Toc15800"/>
      <w:bookmarkStart w:id="90" w:name="_Toc26192228"/>
      <w:bookmarkStart w:id="91" w:name="_Toc77252099"/>
      <w:bookmarkStart w:id="92" w:name="_Toc77270363"/>
      <w:bookmarkStart w:id="93" w:name="_Toc21967059"/>
      <w:bookmarkStart w:id="94" w:name="_Toc77250342"/>
      <w:bookmarkStart w:id="95" w:name="_Toc8272"/>
      <w:bookmarkStart w:id="96" w:name="_Toc26192229"/>
      <w:bookmarkStart w:id="97" w:name="_Toc21967060"/>
      <w:bookmarkStart w:id="98" w:name="_Toc77261994"/>
      <w:bookmarkStart w:id="99" w:name="_Toc10999"/>
      <w:bookmarkStart w:id="100" w:name="_Toc26764"/>
      <w:bookmarkStart w:id="101" w:name="_Toc25754"/>
      <w:bookmarkStart w:id="102" w:name="_Toc77263875"/>
      <w:r>
        <w:t>二、</w:t>
      </w:r>
      <w:r>
        <w:rPr>
          <w:rFonts w:hint="eastAsia"/>
        </w:rPr>
        <w:t>工程管理</w:t>
      </w:r>
      <w:bookmarkEnd w:id="89"/>
      <w:bookmarkEnd w:id="90"/>
      <w:bookmarkEnd w:id="91"/>
      <w:bookmarkEnd w:id="92"/>
      <w:bookmarkEnd w:id="93"/>
      <w:bookmarkEnd w:id="94"/>
      <w:bookmarkEnd w:id="95"/>
    </w:p>
    <w:p>
      <w:pPr>
        <w:pStyle w:val="2"/>
        <w:numPr>
          <w:ilvl w:val="0"/>
          <w:numId w:val="0"/>
        </w:numPr>
        <w:ind w:left="0" w:firstLineChars="200" w:firstLine="560"/>
      </w:pPr>
      <w:bookmarkStart w:id="103" w:name="_Toc77270364"/>
      <w:bookmarkStart w:id="104" w:name="_Toc77252100"/>
      <w:bookmarkStart w:id="105" w:name="_Toc77250343"/>
      <w:bookmarkStart w:id="106" w:name="_Toc26192232"/>
      <w:bookmarkStart w:id="107" w:name="_Toc77261997"/>
      <w:bookmarkStart w:id="108" w:name="_Toc11779"/>
      <w:bookmarkStart w:id="109" w:name="_Toc21967063"/>
      <w:bookmarkStart w:id="110" w:name="_Toc18660"/>
      <w:bookmarkStart w:id="111" w:name="_Toc77263878"/>
      <w:bookmarkStart w:id="112" w:name="_Toc11024"/>
      <w:bookmarkEnd w:id="96"/>
      <w:bookmarkEnd w:id="97"/>
      <w:bookmarkEnd w:id="98"/>
      <w:bookmarkEnd w:id="99"/>
      <w:bookmarkEnd w:id="100"/>
      <w:bookmarkEnd w:id="101"/>
      <w:bookmarkEnd w:id="102"/>
      <w:r>
        <w:t>1、</w:t>
      </w:r>
      <w:r>
        <w:rPr>
          <w:rFonts w:hint="eastAsia"/>
        </w:rPr>
        <w:t>工程设计</w:t>
      </w:r>
      <w:bookmarkEnd w:id="103"/>
      <w:bookmarkEnd w:id="104"/>
      <w:bookmarkEnd w:id="105"/>
    </w:p>
    <w:p>
      <w:pPr>
        <w:pStyle w:val="47"/>
        <w:numPr>
          <w:ilvl w:val="0"/>
          <w:numId w:val="15"/>
        </w:numPr>
        <w:spacing w:line="23" w:lineRule="atLeast"/>
        <w:ind w:firstLineChars="0"/>
        <w:rPr>
          <w:rFonts w:ascii="仿宋" w:eastAsia="仿宋" w:cs="仿宋"/>
          <w:sz w:val="28"/>
          <w:szCs w:val="28"/>
        </w:rPr>
      </w:pPr>
      <w:r>
        <w:rPr>
          <w:rFonts w:ascii="仿宋" w:eastAsia="仿宋" w:cs="仿宋" w:hint="eastAsia"/>
          <w:sz w:val="28"/>
          <w:szCs w:val="28"/>
        </w:rPr>
        <w:t>在设备和系统制造前，投标人将相关设计图供给招标人审核批准，以保证所供系统和设备能符合合同文本的各项规定。</w:t>
      </w:r>
    </w:p>
    <w:p>
      <w:pPr>
        <w:pStyle w:val="47"/>
        <w:numPr>
          <w:ilvl w:val="0"/>
          <w:numId w:val="15"/>
        </w:numPr>
        <w:spacing w:line="23" w:lineRule="atLeast"/>
        <w:ind w:firstLineChars="0"/>
        <w:rPr>
          <w:rFonts w:ascii="仿宋" w:eastAsia="仿宋" w:cs="仿宋"/>
          <w:sz w:val="28"/>
          <w:szCs w:val="28"/>
        </w:rPr>
      </w:pPr>
      <w:r>
        <w:rPr>
          <w:rFonts w:ascii="仿宋" w:eastAsia="仿宋" w:cs="仿宋" w:hint="eastAsia"/>
          <w:sz w:val="28"/>
          <w:szCs w:val="28"/>
        </w:rPr>
        <w:t>投标人提交的系统结构图及其它详图，均随设计进程而更新，以便及时反映当前的设计进展。修改版本以数字形式在图标的版本栏内表示出来。</w:t>
      </w:r>
    </w:p>
    <w:p>
      <w:pPr>
        <w:pStyle w:val="47"/>
        <w:numPr>
          <w:ilvl w:val="0"/>
          <w:numId w:val="15"/>
        </w:numPr>
        <w:spacing w:line="23" w:lineRule="atLeast"/>
        <w:ind w:firstLineChars="0"/>
        <w:rPr>
          <w:rFonts w:ascii="仿宋" w:eastAsia="仿宋" w:cs="仿宋"/>
          <w:sz w:val="28"/>
          <w:szCs w:val="28"/>
        </w:rPr>
      </w:pPr>
      <w:r>
        <w:rPr>
          <w:rFonts w:ascii="仿宋" w:eastAsia="仿宋" w:cs="仿宋" w:hint="eastAsia"/>
          <w:sz w:val="28"/>
          <w:szCs w:val="28"/>
        </w:rPr>
        <w:t>投标人负责向海外制造商取得所需的资料。</w:t>
      </w:r>
    </w:p>
    <w:p>
      <w:pPr>
        <w:pStyle w:val="2"/>
        <w:numPr>
          <w:ilvl w:val="0"/>
          <w:numId w:val="0"/>
        </w:numPr>
        <w:ind w:left="0" w:firstLineChars="200" w:firstLine="560"/>
      </w:pPr>
      <w:bookmarkStart w:id="113" w:name="_Toc77250344"/>
      <w:bookmarkStart w:id="114" w:name="_Toc29374"/>
      <w:bookmarkStart w:id="115" w:name="_Toc22776"/>
      <w:bookmarkStart w:id="116" w:name="_Toc21967061"/>
      <w:bookmarkStart w:id="117" w:name="_Toc26192230"/>
      <w:bookmarkStart w:id="118" w:name="_Toc77270365"/>
      <w:bookmarkStart w:id="119" w:name="_Toc77252101"/>
      <w:r>
        <w:rPr>
          <w:rFonts w:ascii="仿宋" w:eastAsia="仿宋" w:cs="仿宋"/>
          <w:sz w:val="28"/>
          <w:szCs w:val="28"/>
        </w:rPr>
        <w:t>2、</w:t>
      </w:r>
      <w:r>
        <w:rPr>
          <w:rFonts w:hint="eastAsia"/>
        </w:rPr>
        <w:t>设计联络</w:t>
      </w:r>
      <w:bookmarkEnd w:id="113"/>
      <w:bookmarkEnd w:id="114"/>
      <w:bookmarkEnd w:id="115"/>
      <w:bookmarkEnd w:id="116"/>
      <w:bookmarkEnd w:id="117"/>
      <w:bookmarkEnd w:id="118"/>
      <w:bookmarkEnd w:id="119"/>
    </w:p>
    <w:p>
      <w:pPr>
        <w:pStyle w:val="31"/>
        <w:spacing w:before="0" w:line="240" w:lineRule="auto"/>
        <w:ind w:firstLine="420"/>
        <w:rPr>
          <w:rFonts w:ascii="仿宋" w:eastAsia="仿宋" w:cs="仿宋"/>
          <w:sz w:val="28"/>
          <w:szCs w:val="21"/>
        </w:rPr>
      </w:pPr>
      <w:r>
        <w:rPr>
          <w:rFonts w:ascii="仿宋" w:eastAsia="仿宋" w:cs="仿宋" w:hint="eastAsia"/>
          <w:sz w:val="28"/>
          <w:szCs w:val="21"/>
        </w:rPr>
        <w:t>工程进度：投标人根据工程总进度计划编制详细的工程进度计划（工厂组装计划、出厂之前的软件调试和试验计划、运抵现场的调试检验计划，按照总合同的要求进行）。</w:t>
      </w:r>
    </w:p>
    <w:p>
      <w:pPr>
        <w:pStyle w:val="31"/>
        <w:spacing w:before="0" w:line="240" w:lineRule="auto"/>
        <w:ind w:firstLine="420"/>
        <w:rPr>
          <w:rFonts w:ascii="仿宋" w:eastAsia="仿宋" w:cs="仿宋"/>
          <w:sz w:val="28"/>
          <w:szCs w:val="21"/>
        </w:rPr>
      </w:pPr>
      <w:r>
        <w:rPr>
          <w:rFonts w:ascii="仿宋" w:eastAsia="仿宋" w:cs="仿宋" w:hint="eastAsia"/>
          <w:sz w:val="28"/>
          <w:szCs w:val="21"/>
        </w:rPr>
        <w:t>双方在技术协议中讨论、决定需决定下列内容：</w:t>
      </w:r>
    </w:p>
    <w:p>
      <w:pPr>
        <w:numPr>
          <w:ilvl w:val="1"/>
          <w:numId w:val="16"/>
        </w:numPr>
        <w:rPr>
          <w:rFonts w:ascii="仿宋" w:eastAsia="仿宋" w:cs="仿宋"/>
          <w:sz w:val="28"/>
          <w:szCs w:val="21"/>
        </w:rPr>
      </w:pPr>
      <w:r>
        <w:rPr>
          <w:rFonts w:ascii="仿宋" w:eastAsia="仿宋" w:cs="仿宋" w:hint="eastAsia"/>
          <w:sz w:val="28"/>
          <w:szCs w:val="21"/>
        </w:rPr>
        <w:t>工程进度</w:t>
      </w:r>
    </w:p>
    <w:p>
      <w:pPr>
        <w:numPr>
          <w:ilvl w:val="1"/>
          <w:numId w:val="16"/>
        </w:numPr>
        <w:rPr>
          <w:rFonts w:ascii="仿宋" w:eastAsia="仿宋" w:cs="仿宋"/>
          <w:sz w:val="28"/>
          <w:szCs w:val="21"/>
        </w:rPr>
      </w:pPr>
      <w:r>
        <w:rPr>
          <w:rFonts w:ascii="仿宋" w:eastAsia="仿宋" w:cs="仿宋" w:hint="eastAsia"/>
          <w:sz w:val="28"/>
          <w:szCs w:val="21"/>
        </w:rPr>
        <w:t>双方互提的资料清单</w:t>
      </w:r>
    </w:p>
    <w:p>
      <w:pPr>
        <w:numPr>
          <w:ilvl w:val="1"/>
          <w:numId w:val="16"/>
        </w:numPr>
        <w:rPr>
          <w:rFonts w:ascii="仿宋" w:eastAsia="仿宋" w:cs="仿宋"/>
          <w:sz w:val="28"/>
          <w:szCs w:val="21"/>
        </w:rPr>
      </w:pPr>
      <w:r>
        <w:rPr>
          <w:rFonts w:ascii="仿宋" w:eastAsia="仿宋" w:cs="仿宋" w:hint="eastAsia"/>
          <w:sz w:val="28"/>
          <w:szCs w:val="21"/>
        </w:rPr>
        <w:t>分工和界面</w:t>
      </w:r>
    </w:p>
    <w:p>
      <w:pPr>
        <w:ind w:firstLine="435"/>
        <w:rPr>
          <w:rFonts w:ascii="仿宋" w:eastAsia="仿宋" w:cs="仿宋"/>
          <w:sz w:val="28"/>
          <w:szCs w:val="21"/>
        </w:rPr>
      </w:pPr>
      <w:r>
        <w:rPr>
          <w:rFonts w:ascii="仿宋" w:eastAsia="仿宋" w:cs="仿宋" w:hint="eastAsia"/>
          <w:sz w:val="28"/>
          <w:szCs w:val="21"/>
        </w:rPr>
        <w:t>设计联络会的具体安排由双方协商确定。</w:t>
      </w:r>
    </w:p>
    <w:p>
      <w:pPr>
        <w:ind w:firstLine="435"/>
        <w:rPr>
          <w:rFonts w:ascii="仿宋" w:eastAsia="仿宋" w:cs="仿宋"/>
          <w:sz w:val="28"/>
          <w:szCs w:val="28"/>
        </w:rPr>
      </w:pPr>
      <w:r>
        <w:rPr>
          <w:rFonts w:ascii="仿宋" w:eastAsia="仿宋" w:cs="仿宋" w:hint="eastAsia"/>
          <w:sz w:val="28"/>
          <w:szCs w:val="21"/>
        </w:rPr>
        <w:t>每次设计联络会后签署会议纪要，纪要与合同具有同等的效力。以下为设</w:t>
      </w:r>
      <w:r>
        <w:rPr>
          <w:rFonts w:ascii="仿宋" w:eastAsia="仿宋" w:cs="仿宋" w:hint="eastAsia"/>
          <w:sz w:val="28"/>
          <w:szCs w:val="28"/>
        </w:rPr>
        <w:t>计联络会内容：</w:t>
      </w:r>
    </w:p>
    <w:p>
      <w:pPr>
        <w:ind w:firstLine="420"/>
        <w:rPr>
          <w:rFonts w:ascii="仿宋" w:eastAsia="仿宋" w:cs="仿宋"/>
          <w:b/>
          <w:szCs w:val="21"/>
        </w:rPr>
      </w:pPr>
      <w:r>
        <w:rPr>
          <w:rFonts w:ascii="仿宋" w:eastAsia="仿宋" w:cs="仿宋" w:hint="eastAsia"/>
          <w:b/>
          <w:sz w:val="28"/>
          <w:szCs w:val="28"/>
        </w:rPr>
        <w:t>第一次设计联络会</w:t>
      </w:r>
    </w:p>
    <w:p>
      <w:pPr>
        <w:ind w:firstLineChars="200" w:firstLine="560"/>
        <w:rPr>
          <w:rFonts w:ascii="仿宋" w:eastAsia="仿宋" w:cs="仿宋"/>
          <w:sz w:val="28"/>
          <w:szCs w:val="21"/>
        </w:rPr>
      </w:pPr>
      <w:r>
        <w:rPr>
          <w:rFonts w:ascii="仿宋" w:eastAsia="仿宋" w:cs="仿宋" w:hint="eastAsia"/>
          <w:sz w:val="28"/>
          <w:szCs w:val="21"/>
        </w:rPr>
        <w:t>买卖双方讨论、决定下列内容：</w:t>
      </w:r>
    </w:p>
    <w:p>
      <w:pPr>
        <w:numPr>
          <w:ilvl w:val="0"/>
          <w:numId w:val="17"/>
        </w:numPr>
        <w:rPr>
          <w:rFonts w:ascii="仿宋" w:eastAsia="仿宋" w:cs="仿宋"/>
          <w:sz w:val="28"/>
          <w:szCs w:val="21"/>
        </w:rPr>
      </w:pPr>
      <w:r>
        <w:rPr>
          <w:rFonts w:ascii="仿宋" w:eastAsia="仿宋" w:cs="仿宋" w:hint="eastAsia"/>
          <w:sz w:val="28"/>
          <w:szCs w:val="21"/>
        </w:rPr>
        <w:t>招标人向投标人提设备及控制要求（初步）。</w:t>
      </w:r>
    </w:p>
    <w:p>
      <w:pPr>
        <w:ind w:left="420"/>
        <w:rPr>
          <w:rFonts w:ascii="仿宋" w:eastAsia="仿宋" w:cs="仿宋"/>
          <w:sz w:val="28"/>
          <w:szCs w:val="21"/>
        </w:rPr>
      </w:pPr>
      <w:r>
        <w:rPr>
          <w:rFonts w:ascii="仿宋" w:eastAsia="仿宋" w:cs="仿宋" w:hint="eastAsia"/>
          <w:sz w:val="28"/>
          <w:szCs w:val="21"/>
        </w:rPr>
        <w:t>时间：合同签订后10天内</w:t>
      </w:r>
    </w:p>
    <w:p>
      <w:pPr>
        <w:ind w:left="420"/>
        <w:rPr>
          <w:rFonts w:ascii="仿宋" w:eastAsia="仿宋" w:cs="仿宋"/>
          <w:sz w:val="28"/>
          <w:szCs w:val="21"/>
        </w:rPr>
      </w:pPr>
      <w:r>
        <w:rPr>
          <w:rFonts w:ascii="仿宋" w:eastAsia="仿宋" w:cs="仿宋" w:hint="eastAsia"/>
          <w:sz w:val="28"/>
          <w:szCs w:val="21"/>
        </w:rPr>
        <w:t>会期：暂定2天</w:t>
      </w:r>
    </w:p>
    <w:p>
      <w:pPr>
        <w:ind w:left="420"/>
        <w:rPr>
          <w:rFonts w:ascii="仿宋" w:eastAsia="仿宋" w:cs="仿宋"/>
          <w:sz w:val="28"/>
          <w:szCs w:val="21"/>
        </w:rPr>
      </w:pPr>
      <w:r>
        <w:rPr>
          <w:rFonts w:ascii="仿宋" w:eastAsia="仿宋" w:cs="仿宋" w:hint="eastAsia"/>
          <w:sz w:val="28"/>
          <w:szCs w:val="21"/>
        </w:rPr>
        <w:t>地点：待定</w:t>
      </w:r>
    </w:p>
    <w:p>
      <w:pPr>
        <w:ind w:left="420"/>
        <w:rPr>
          <w:rFonts w:ascii="仿宋" w:eastAsia="仿宋" w:cs="仿宋"/>
          <w:sz w:val="28"/>
          <w:szCs w:val="28"/>
        </w:rPr>
      </w:pPr>
      <w:r>
        <w:rPr>
          <w:rFonts w:ascii="仿宋" w:eastAsia="仿宋" w:cs="仿宋" w:hint="eastAsia"/>
          <w:sz w:val="28"/>
          <w:szCs w:val="28"/>
        </w:rPr>
        <w:t>人数：待定</w:t>
      </w:r>
    </w:p>
    <w:p>
      <w:pPr>
        <w:ind w:firstLine="420"/>
        <w:rPr>
          <w:rFonts w:ascii="仿宋" w:eastAsia="仿宋" w:cs="仿宋"/>
          <w:b/>
          <w:sz w:val="28"/>
          <w:szCs w:val="28"/>
        </w:rPr>
      </w:pPr>
      <w:r>
        <w:rPr>
          <w:rFonts w:ascii="仿宋" w:eastAsia="仿宋" w:cs="仿宋" w:hint="eastAsia"/>
          <w:b/>
          <w:sz w:val="28"/>
          <w:szCs w:val="28"/>
        </w:rPr>
        <w:t>第二次设计联络会（硬件冻结）</w:t>
      </w:r>
    </w:p>
    <w:p>
      <w:pPr>
        <w:ind w:firstLine="435"/>
        <w:rPr>
          <w:rFonts w:ascii="仿宋" w:eastAsia="仿宋" w:cs="仿宋"/>
          <w:sz w:val="28"/>
          <w:szCs w:val="28"/>
        </w:rPr>
      </w:pPr>
      <w:r>
        <w:rPr>
          <w:rFonts w:ascii="仿宋" w:eastAsia="仿宋" w:cs="仿宋" w:hint="eastAsia"/>
          <w:sz w:val="28"/>
          <w:szCs w:val="28"/>
        </w:rPr>
        <w:t>买卖双方讨论、决定下列内容：</w:t>
      </w:r>
    </w:p>
    <w:p>
      <w:pPr>
        <w:numPr>
          <w:ilvl w:val="0"/>
          <w:numId w:val="18"/>
        </w:numPr>
        <w:rPr>
          <w:rFonts w:ascii="仿宋" w:eastAsia="仿宋" w:cs="仿宋"/>
          <w:sz w:val="28"/>
          <w:szCs w:val="28"/>
        </w:rPr>
      </w:pPr>
      <w:r>
        <w:rPr>
          <w:rFonts w:ascii="仿宋" w:eastAsia="仿宋" w:cs="仿宋" w:hint="eastAsia"/>
          <w:sz w:val="28"/>
          <w:szCs w:val="28"/>
        </w:rPr>
        <w:t>审查数据采集点、控制回路、逻辑图、SAMA图。</w:t>
      </w:r>
    </w:p>
    <w:p>
      <w:pPr>
        <w:numPr>
          <w:ilvl w:val="0"/>
          <w:numId w:val="18"/>
        </w:numPr>
        <w:rPr>
          <w:rFonts w:ascii="仿宋" w:eastAsia="仿宋" w:cs="仿宋"/>
          <w:sz w:val="28"/>
          <w:szCs w:val="28"/>
        </w:rPr>
      </w:pPr>
      <w:r>
        <w:rPr>
          <w:rFonts w:ascii="仿宋" w:eastAsia="仿宋" w:cs="仿宋" w:hint="eastAsia"/>
          <w:sz w:val="28"/>
          <w:szCs w:val="28"/>
        </w:rPr>
        <w:t>协调控制系统与其它设计间的接口，如电缆连接的设计和土建安装等。</w:t>
      </w:r>
    </w:p>
    <w:p>
      <w:pPr>
        <w:numPr>
          <w:ilvl w:val="0"/>
          <w:numId w:val="18"/>
        </w:numPr>
        <w:rPr>
          <w:rFonts w:ascii="仿宋" w:eastAsia="仿宋" w:cs="仿宋"/>
          <w:sz w:val="28"/>
          <w:szCs w:val="28"/>
        </w:rPr>
      </w:pPr>
      <w:r>
        <w:rPr>
          <w:rFonts w:ascii="仿宋" w:eastAsia="仿宋" w:cs="仿宋" w:hint="eastAsia"/>
          <w:sz w:val="28"/>
          <w:szCs w:val="28"/>
        </w:rPr>
        <w:t>投标人提供并解释有关工厂检查和验收测试的规程标准及进度、项目、步骤、方法。</w:t>
      </w:r>
    </w:p>
    <w:p>
      <w:pPr>
        <w:numPr>
          <w:ilvl w:val="0"/>
          <w:numId w:val="18"/>
        </w:numPr>
        <w:rPr>
          <w:rFonts w:ascii="仿宋" w:eastAsia="仿宋" w:cs="仿宋"/>
          <w:sz w:val="28"/>
          <w:szCs w:val="28"/>
        </w:rPr>
      </w:pPr>
      <w:r>
        <w:rPr>
          <w:rFonts w:ascii="仿宋" w:eastAsia="仿宋" w:cs="仿宋" w:hint="eastAsia"/>
          <w:sz w:val="28"/>
          <w:szCs w:val="28"/>
        </w:rPr>
        <w:t>讨论和解决其他遗留的技术问题。</w:t>
      </w:r>
    </w:p>
    <w:p>
      <w:pPr>
        <w:ind w:left="420"/>
        <w:rPr>
          <w:rFonts w:ascii="仿宋" w:eastAsia="仿宋" w:cs="仿宋"/>
          <w:sz w:val="28"/>
          <w:szCs w:val="28"/>
        </w:rPr>
      </w:pPr>
      <w:r>
        <w:rPr>
          <w:rFonts w:ascii="仿宋" w:eastAsia="仿宋" w:cs="仿宋" w:hint="eastAsia"/>
          <w:sz w:val="28"/>
          <w:szCs w:val="28"/>
        </w:rPr>
        <w:t>时间：第一次设计联络会后60天内</w:t>
      </w:r>
    </w:p>
    <w:p>
      <w:pPr>
        <w:ind w:left="420"/>
        <w:rPr>
          <w:rFonts w:ascii="仿宋" w:eastAsia="仿宋" w:cs="仿宋"/>
          <w:sz w:val="28"/>
          <w:szCs w:val="28"/>
        </w:rPr>
      </w:pPr>
      <w:r>
        <w:rPr>
          <w:rFonts w:ascii="仿宋" w:eastAsia="仿宋" w:cs="仿宋" w:hint="eastAsia"/>
          <w:sz w:val="28"/>
          <w:szCs w:val="28"/>
        </w:rPr>
        <w:t>会期：待定</w:t>
      </w:r>
    </w:p>
    <w:p>
      <w:pPr>
        <w:ind w:left="420"/>
        <w:rPr>
          <w:rFonts w:ascii="仿宋" w:eastAsia="仿宋" w:cs="仿宋"/>
          <w:sz w:val="28"/>
          <w:szCs w:val="28"/>
        </w:rPr>
      </w:pPr>
      <w:r>
        <w:rPr>
          <w:rFonts w:ascii="仿宋" w:eastAsia="仿宋" w:cs="仿宋" w:hint="eastAsia"/>
          <w:sz w:val="28"/>
          <w:szCs w:val="28"/>
        </w:rPr>
        <w:t>地点：待定</w:t>
      </w:r>
    </w:p>
    <w:p>
      <w:pPr>
        <w:ind w:left="420"/>
        <w:rPr>
          <w:rFonts w:ascii="仿宋" w:eastAsia="仿宋" w:cs="仿宋"/>
          <w:sz w:val="28"/>
          <w:szCs w:val="28"/>
        </w:rPr>
      </w:pPr>
      <w:r>
        <w:rPr>
          <w:rFonts w:ascii="仿宋" w:eastAsia="仿宋" w:cs="仿宋" w:hint="eastAsia"/>
          <w:sz w:val="28"/>
          <w:szCs w:val="28"/>
        </w:rPr>
        <w:t>人数：待定</w:t>
      </w:r>
    </w:p>
    <w:p>
      <w:pPr>
        <w:ind w:firstLine="420"/>
        <w:rPr>
          <w:rFonts w:ascii="仿宋" w:eastAsia="仿宋" w:cs="仿宋"/>
          <w:b/>
          <w:sz w:val="28"/>
          <w:szCs w:val="28"/>
        </w:rPr>
      </w:pPr>
      <w:r>
        <w:rPr>
          <w:rFonts w:ascii="仿宋" w:eastAsia="仿宋" w:cs="仿宋" w:hint="eastAsia"/>
          <w:b/>
          <w:sz w:val="28"/>
          <w:szCs w:val="28"/>
        </w:rPr>
        <w:t>第三次设计联络会</w:t>
      </w:r>
    </w:p>
    <w:p>
      <w:pPr>
        <w:ind w:firstLine="435"/>
        <w:rPr>
          <w:rFonts w:ascii="仿宋" w:eastAsia="仿宋" w:cs="仿宋"/>
          <w:sz w:val="28"/>
          <w:szCs w:val="28"/>
        </w:rPr>
      </w:pPr>
      <w:r>
        <w:rPr>
          <w:rFonts w:ascii="仿宋" w:eastAsia="仿宋" w:cs="仿宋" w:hint="eastAsia"/>
          <w:sz w:val="28"/>
          <w:szCs w:val="28"/>
        </w:rPr>
        <w:t>完成控制系统设备的工厂验收。</w:t>
      </w:r>
    </w:p>
    <w:p>
      <w:pPr>
        <w:ind w:left="420"/>
        <w:rPr>
          <w:rFonts w:ascii="仿宋" w:eastAsia="仿宋" w:cs="仿宋"/>
          <w:sz w:val="28"/>
          <w:szCs w:val="28"/>
        </w:rPr>
      </w:pPr>
      <w:r>
        <w:rPr>
          <w:rFonts w:ascii="仿宋" w:eastAsia="仿宋" w:cs="仿宋" w:hint="eastAsia"/>
          <w:sz w:val="28"/>
          <w:szCs w:val="28"/>
        </w:rPr>
        <w:t>时间：待定</w:t>
      </w:r>
    </w:p>
    <w:p>
      <w:pPr>
        <w:ind w:left="420"/>
        <w:rPr>
          <w:rFonts w:ascii="仿宋" w:eastAsia="仿宋" w:cs="仿宋"/>
          <w:sz w:val="28"/>
          <w:szCs w:val="28"/>
        </w:rPr>
      </w:pPr>
      <w:r>
        <w:rPr>
          <w:rFonts w:ascii="仿宋" w:eastAsia="仿宋" w:cs="仿宋" w:hint="eastAsia"/>
          <w:sz w:val="28"/>
          <w:szCs w:val="28"/>
        </w:rPr>
        <w:t>会期：待定</w:t>
      </w:r>
    </w:p>
    <w:p>
      <w:pPr>
        <w:ind w:firstLineChars="200" w:firstLine="560"/>
        <w:rPr>
          <w:rFonts w:ascii="仿宋" w:eastAsia="仿宋" w:cs="仿宋"/>
          <w:sz w:val="28"/>
          <w:szCs w:val="28"/>
        </w:rPr>
      </w:pPr>
      <w:r>
        <w:rPr>
          <w:rFonts w:ascii="仿宋" w:eastAsia="仿宋" w:cs="仿宋" w:hint="eastAsia"/>
          <w:sz w:val="28"/>
          <w:szCs w:val="28"/>
        </w:rPr>
        <w:t>地点：工厂所在地</w:t>
      </w:r>
    </w:p>
    <w:p>
      <w:pPr>
        <w:ind w:firstLine="435"/>
        <w:rPr>
          <w:rFonts w:ascii="仿宋" w:eastAsia="仿宋" w:cs="仿宋"/>
          <w:sz w:val="28"/>
          <w:szCs w:val="28"/>
        </w:rPr>
      </w:pPr>
      <w:r>
        <w:rPr>
          <w:rFonts w:ascii="仿宋" w:eastAsia="仿宋" w:cs="仿宋" w:hint="eastAsia"/>
          <w:sz w:val="28"/>
          <w:szCs w:val="28"/>
        </w:rPr>
        <w:t>人数：待定（含第三方调试单位）</w:t>
      </w:r>
    </w:p>
    <w:p>
      <w:pPr>
        <w:pStyle w:val="2"/>
        <w:numPr>
          <w:ilvl w:val="0"/>
          <w:numId w:val="0"/>
        </w:numPr>
        <w:ind w:left="0" w:firstLineChars="200" w:firstLine="560"/>
      </w:pPr>
      <w:bookmarkStart w:id="120" w:name="_Toc21967062"/>
      <w:bookmarkStart w:id="121" w:name="_Toc9986"/>
      <w:bookmarkStart w:id="122" w:name="_Toc77250345"/>
      <w:bookmarkStart w:id="123" w:name="_Toc77252102"/>
      <w:bookmarkStart w:id="124" w:name="_Toc26192231"/>
      <w:bookmarkStart w:id="125" w:name="_Toc11553"/>
      <w:bookmarkStart w:id="126" w:name="_Toc77270366"/>
      <w:r>
        <w:rPr>
          <w:rFonts w:ascii="仿宋" w:eastAsia="仿宋" w:cs="仿宋"/>
          <w:sz w:val="28"/>
          <w:szCs w:val="28"/>
        </w:rPr>
        <w:t>3、</w:t>
      </w:r>
      <w:r>
        <w:rPr>
          <w:rFonts w:hint="eastAsia"/>
        </w:rPr>
        <w:t>现场服务</w:t>
      </w:r>
      <w:bookmarkEnd w:id="120"/>
      <w:bookmarkEnd w:id="121"/>
      <w:bookmarkEnd w:id="122"/>
      <w:bookmarkEnd w:id="123"/>
      <w:bookmarkEnd w:id="124"/>
      <w:bookmarkEnd w:id="125"/>
      <w:bookmarkEnd w:id="126"/>
    </w:p>
    <w:p>
      <w:pPr>
        <w:pStyle w:val="47"/>
        <w:numPr>
          <w:ilvl w:val="0"/>
          <w:numId w:val="19"/>
        </w:numPr>
        <w:ind w:firstLineChars="0"/>
        <w:rPr>
          <w:rFonts w:ascii="仿宋" w:eastAsia="仿宋" w:cs="仿宋"/>
          <w:sz w:val="28"/>
          <w:szCs w:val="21"/>
        </w:rPr>
      </w:pPr>
      <w:r>
        <w:rPr>
          <w:rFonts w:ascii="仿宋" w:eastAsia="仿宋" w:cs="仿宋" w:hint="eastAsia"/>
          <w:sz w:val="28"/>
          <w:szCs w:val="21"/>
        </w:rPr>
        <w:t>投标人派出专家，负责对招标人的运行人员进行现场培训，教会他们如何启动、操作及维护设备和系统。</w:t>
      </w:r>
    </w:p>
    <w:p>
      <w:pPr>
        <w:pStyle w:val="47"/>
        <w:numPr>
          <w:ilvl w:val="0"/>
          <w:numId w:val="19"/>
        </w:numPr>
        <w:ind w:firstLineChars="0"/>
        <w:rPr>
          <w:rFonts w:ascii="仿宋" w:eastAsia="仿宋" w:cs="仿宋"/>
          <w:sz w:val="28"/>
          <w:szCs w:val="21"/>
        </w:rPr>
      </w:pPr>
      <w:r>
        <w:rPr>
          <w:rFonts w:ascii="仿宋" w:eastAsia="仿宋" w:cs="仿宋" w:hint="eastAsia"/>
          <w:sz w:val="28"/>
          <w:szCs w:val="21"/>
        </w:rPr>
        <w:t>投标人提供由其供应的设备和系统进行安装检查、软件调试、维护和启动所必需的专用测试设备和工具。</w:t>
      </w:r>
    </w:p>
    <w:p>
      <w:pPr>
        <w:pStyle w:val="47"/>
        <w:numPr>
          <w:ilvl w:val="0"/>
          <w:numId w:val="19"/>
        </w:numPr>
        <w:ind w:firstLineChars="0"/>
        <w:rPr>
          <w:rFonts w:ascii="仿宋" w:eastAsia="仿宋" w:cs="仿宋"/>
          <w:sz w:val="28"/>
          <w:szCs w:val="21"/>
        </w:rPr>
      </w:pPr>
      <w:r>
        <w:rPr>
          <w:rFonts w:ascii="仿宋" w:eastAsia="仿宋" w:cs="仿宋" w:hint="eastAsia"/>
          <w:sz w:val="28"/>
          <w:szCs w:val="21"/>
        </w:rPr>
        <w:t>投标人现场服务时间限于完成本协议所规定的任务而定。即时间的长短以投标人能完成本协议所规定的任务来决定。派驻现场的专家其日程表按工作需要编制，并且在一天内的任何时间均能提供现场服务。</w:t>
      </w:r>
    </w:p>
    <w:p>
      <w:pPr>
        <w:pStyle w:val="47"/>
        <w:numPr>
          <w:ilvl w:val="0"/>
          <w:numId w:val="19"/>
        </w:numPr>
        <w:ind w:firstLineChars="0"/>
        <w:rPr>
          <w:rFonts w:ascii="仿宋" w:eastAsia="仿宋" w:cs="仿宋"/>
          <w:sz w:val="28"/>
          <w:szCs w:val="21"/>
        </w:rPr>
      </w:pPr>
      <w:r>
        <w:rPr>
          <w:rFonts w:ascii="仿宋" w:eastAsia="仿宋" w:cs="仿宋" w:hint="eastAsia"/>
          <w:sz w:val="28"/>
          <w:szCs w:val="21"/>
        </w:rPr>
        <w:t>投标人的专家遵守中国的法律和法规，在现场工作期间还遵守现场工作的规定。</w:t>
      </w:r>
    </w:p>
    <w:p>
      <w:pPr>
        <w:pStyle w:val="47"/>
        <w:numPr>
          <w:ilvl w:val="0"/>
          <w:numId w:val="19"/>
        </w:numPr>
        <w:ind w:firstLineChars="0"/>
        <w:rPr>
          <w:rFonts w:ascii="仿宋" w:eastAsia="仿宋" w:cs="仿宋"/>
          <w:sz w:val="28"/>
          <w:szCs w:val="21"/>
        </w:rPr>
      </w:pPr>
      <w:r>
        <w:rPr>
          <w:rFonts w:ascii="仿宋" w:eastAsia="仿宋" w:cs="仿宋" w:hint="eastAsia"/>
          <w:sz w:val="28"/>
          <w:szCs w:val="21"/>
        </w:rPr>
        <w:t>投标人自行支付所需交通、生活和其它各项费用，招标人仅为其提供便利和办公室。</w:t>
      </w:r>
    </w:p>
    <w:p>
      <w:pPr>
        <w:pStyle w:val="47"/>
        <w:numPr>
          <w:ilvl w:val="0"/>
          <w:numId w:val="19"/>
        </w:numPr>
        <w:ind w:firstLineChars="0"/>
        <w:rPr>
          <w:rFonts w:ascii="仿宋" w:eastAsia="仿宋" w:cs="仿宋"/>
          <w:sz w:val="28"/>
          <w:szCs w:val="21"/>
        </w:rPr>
      </w:pPr>
      <w:r>
        <w:rPr>
          <w:rFonts w:ascii="仿宋" w:eastAsia="仿宋" w:cs="仿宋" w:hint="eastAsia"/>
          <w:sz w:val="28"/>
          <w:szCs w:val="21"/>
        </w:rPr>
        <w:t>控制系统若有问题，服务人员在24－48小时赶到现场，如遇重大问题，投标人在接到通知后24小时之内赶到现场。在质保期后，如果招标人需要，投标人仍需提供技术服务。投标人对招标人提出的技术问题保证2小时内答复，尽快赶到现场(如果需要的话)。</w:t>
      </w:r>
    </w:p>
    <w:p>
      <w:pPr>
        <w:pStyle w:val="47"/>
        <w:numPr>
          <w:ilvl w:val="0"/>
          <w:numId w:val="19"/>
        </w:numPr>
        <w:ind w:firstLineChars="0"/>
        <w:rPr>
          <w:rFonts w:ascii="仿宋" w:eastAsia="仿宋" w:cs="仿宋"/>
          <w:sz w:val="28"/>
          <w:szCs w:val="21"/>
        </w:rPr>
      </w:pPr>
      <w:r>
        <w:rPr>
          <w:rFonts w:ascii="仿宋" w:eastAsia="仿宋" w:cs="仿宋" w:hint="eastAsia"/>
          <w:sz w:val="28"/>
          <w:szCs w:val="21"/>
        </w:rPr>
        <w:t>投标人负责控制系统及相关设备的现场安装和调试，并培训和辅导招标人系统维护人员使其能够独立的完成系统的运维。投标人派出的现场服务人员要有丰富的工程经验，以及良好的沟通协调能力，有能力胜任控制系统调试工作和培训工作，身体健康。</w:t>
      </w:r>
    </w:p>
    <w:p>
      <w:pPr>
        <w:rPr>
          <w:rFonts w:eastAsia="仿宋"/>
        </w:rPr>
      </w:pPr>
    </w:p>
    <w:p>
      <w:pPr>
        <w:pStyle w:val="1"/>
        <w:numPr>
          <w:ilvl w:val="0"/>
          <w:numId w:val="0"/>
        </w:numPr>
        <w:ind w:left="0" w:firstLine="0"/>
      </w:pPr>
      <w:bookmarkStart w:id="127" w:name="_Toc77250346"/>
      <w:bookmarkStart w:id="128" w:name="_Toc77252103"/>
      <w:bookmarkStart w:id="129" w:name="_Toc77270367"/>
      <w:bookmarkStart w:id="130" w:name="_Toc22249"/>
      <w:bookmarkStart w:id="131" w:name="_Toc77261998"/>
      <w:bookmarkStart w:id="132" w:name="_Toc26192233"/>
      <w:bookmarkStart w:id="133" w:name="_Toc11184"/>
      <w:bookmarkStart w:id="134" w:name="_Toc77263879"/>
      <w:bookmarkStart w:id="135" w:name="_Toc4567"/>
      <w:bookmarkStart w:id="136" w:name="_Toc21967064"/>
      <w:bookmarkEnd w:id="106"/>
      <w:bookmarkEnd w:id="107"/>
      <w:bookmarkEnd w:id="108"/>
      <w:bookmarkEnd w:id="109"/>
      <w:bookmarkEnd w:id="110"/>
      <w:bookmarkEnd w:id="111"/>
      <w:bookmarkEnd w:id="112"/>
      <w:r>
        <w:t>三、</w:t>
      </w:r>
      <w:r>
        <w:rPr>
          <w:rFonts w:hint="eastAsia"/>
        </w:rPr>
        <w:t>试验及验收</w:t>
      </w:r>
      <w:bookmarkEnd w:id="127"/>
      <w:bookmarkEnd w:id="128"/>
      <w:bookmarkEnd w:id="129"/>
    </w:p>
    <w:p>
      <w:pPr>
        <w:pStyle w:val="2"/>
        <w:numPr>
          <w:ilvl w:val="0"/>
          <w:numId w:val="0"/>
        </w:numPr>
        <w:ind w:left="0" w:firstLineChars="200" w:firstLine="560"/>
      </w:pPr>
      <w:bookmarkStart w:id="137" w:name="_Toc77270368"/>
      <w:bookmarkStart w:id="138" w:name="_Toc77250347"/>
      <w:bookmarkStart w:id="139" w:name="_Toc77252104"/>
      <w:bookmarkEnd w:id="130"/>
      <w:bookmarkEnd w:id="131"/>
      <w:bookmarkEnd w:id="132"/>
      <w:bookmarkEnd w:id="133"/>
      <w:bookmarkEnd w:id="134"/>
      <w:bookmarkEnd w:id="135"/>
      <w:bookmarkEnd w:id="136"/>
      <w:r>
        <w:t>1、</w:t>
      </w:r>
      <w:r>
        <w:rPr>
          <w:rFonts w:hint="eastAsia"/>
        </w:rPr>
        <w:t>供货完整性检查</w:t>
      </w:r>
      <w:bookmarkEnd w:id="137"/>
      <w:bookmarkEnd w:id="138"/>
      <w:bookmarkEnd w:id="139"/>
    </w:p>
    <w:p>
      <w:pPr>
        <w:pStyle w:val="45"/>
        <w:spacing w:line="23" w:lineRule="atLeast"/>
        <w:ind w:leftChars="200" w:left="420" w:firstLineChars="0" w:firstLine="0"/>
        <w:rPr>
          <w:rFonts w:ascii="仿宋" w:eastAsia="仿宋" w:cs="仿宋"/>
          <w:sz w:val="28"/>
          <w:szCs w:val="21"/>
        </w:rPr>
      </w:pPr>
      <w:r>
        <w:rPr>
          <w:rFonts w:ascii="仿宋" w:eastAsia="仿宋" w:cs="仿宋" w:hint="eastAsia"/>
          <w:sz w:val="28"/>
          <w:szCs w:val="21"/>
        </w:rPr>
        <w:t>供货完整性是按照合同规定的基本供货内容，主要包括（参照合同文本）：</w:t>
      </w:r>
    </w:p>
    <w:p>
      <w:pPr>
        <w:pStyle w:val="45"/>
        <w:ind w:firstLineChars="0" w:firstLine="420"/>
        <w:rPr>
          <w:rFonts w:ascii="仿宋" w:eastAsia="仿宋" w:cs="仿宋"/>
          <w:sz w:val="28"/>
          <w:szCs w:val="21"/>
        </w:rPr>
      </w:pPr>
      <w:r>
        <w:rPr>
          <w:rFonts w:ascii="仿宋" w:eastAsia="仿宋" w:cs="仿宋" w:hint="eastAsia"/>
          <w:sz w:val="28"/>
          <w:szCs w:val="21"/>
        </w:rPr>
        <w:t>1）按照合同确认的设备进行确认；</w:t>
      </w:r>
    </w:p>
    <w:p>
      <w:pPr>
        <w:pStyle w:val="45"/>
        <w:ind w:firstLineChars="0" w:firstLine="420"/>
        <w:rPr>
          <w:rFonts w:ascii="仿宋" w:eastAsia="仿宋" w:cs="仿宋"/>
          <w:sz w:val="28"/>
          <w:szCs w:val="21"/>
        </w:rPr>
      </w:pPr>
      <w:r>
        <w:rPr>
          <w:rFonts w:ascii="仿宋" w:eastAsia="仿宋" w:cs="仿宋" w:hint="eastAsia"/>
          <w:sz w:val="28"/>
          <w:szCs w:val="21"/>
        </w:rPr>
        <w:t>2）按照合同确认的资料（包括软件）进行确认；</w:t>
      </w:r>
    </w:p>
    <w:p>
      <w:pPr>
        <w:pStyle w:val="45"/>
        <w:ind w:firstLineChars="0" w:firstLine="420"/>
        <w:rPr>
          <w:rFonts w:ascii="仿宋" w:eastAsia="仿宋" w:cs="仿宋"/>
          <w:sz w:val="28"/>
          <w:szCs w:val="21"/>
        </w:rPr>
      </w:pPr>
      <w:r>
        <w:rPr>
          <w:rFonts w:ascii="仿宋" w:eastAsia="仿宋" w:cs="仿宋" w:hint="eastAsia"/>
          <w:sz w:val="28"/>
          <w:szCs w:val="21"/>
        </w:rPr>
        <w:t>3）按照合同要求备品备件进行确认；</w:t>
      </w:r>
    </w:p>
    <w:p>
      <w:pPr>
        <w:pStyle w:val="45"/>
        <w:ind w:firstLineChars="0" w:firstLine="420"/>
        <w:rPr>
          <w:rFonts w:ascii="仿宋" w:eastAsia="仿宋" w:cs="仿宋"/>
          <w:sz w:val="28"/>
          <w:szCs w:val="21"/>
        </w:rPr>
      </w:pPr>
      <w:r>
        <w:rPr>
          <w:rFonts w:ascii="仿宋" w:eastAsia="仿宋" w:cs="仿宋" w:hint="eastAsia"/>
          <w:sz w:val="28"/>
          <w:szCs w:val="21"/>
        </w:rPr>
        <w:t>4）其他根据合同需要提交的资料或软件，包括第三方软件和资料。</w:t>
      </w:r>
    </w:p>
    <w:p>
      <w:pPr>
        <w:pStyle w:val="2"/>
        <w:numPr>
          <w:ilvl w:val="0"/>
          <w:numId w:val="0"/>
        </w:numPr>
        <w:ind w:left="0" w:firstLineChars="200" w:firstLine="560"/>
      </w:pPr>
      <w:bookmarkStart w:id="140" w:name="_Toc77250348"/>
      <w:bookmarkStart w:id="141" w:name="_Toc77270369"/>
      <w:bookmarkStart w:id="142" w:name="_Toc19150"/>
      <w:bookmarkStart w:id="143" w:name="_Toc26192234"/>
      <w:bookmarkStart w:id="144" w:name="_Toc21967065"/>
      <w:bookmarkStart w:id="145" w:name="_Toc16477"/>
      <w:bookmarkStart w:id="146" w:name="_Toc77252105"/>
      <w:r>
        <w:rPr>
          <w:rFonts w:ascii="仿宋" w:eastAsia="仿宋" w:cs="仿宋"/>
          <w:sz w:val="28"/>
          <w:szCs w:val="21"/>
        </w:rPr>
        <w:t>2、</w:t>
      </w:r>
      <w:r>
        <w:rPr>
          <w:rFonts w:hint="eastAsia"/>
        </w:rPr>
        <w:t>功能测试</w:t>
      </w:r>
      <w:bookmarkEnd w:id="140"/>
      <w:bookmarkEnd w:id="141"/>
      <w:bookmarkEnd w:id="142"/>
      <w:bookmarkEnd w:id="143"/>
      <w:bookmarkEnd w:id="144"/>
      <w:bookmarkEnd w:id="145"/>
      <w:bookmarkEnd w:id="146"/>
    </w:p>
    <w:p>
      <w:pPr>
        <w:ind w:firstLineChars="200" w:firstLine="560"/>
        <w:rPr>
          <w:rFonts w:ascii="仿宋" w:eastAsia="仿宋" w:cs="仿宋"/>
          <w:sz w:val="28"/>
          <w:szCs w:val="21"/>
        </w:rPr>
      </w:pPr>
      <w:r>
        <w:rPr>
          <w:rFonts w:ascii="仿宋" w:eastAsia="仿宋" w:cs="仿宋" w:hint="eastAsia"/>
          <w:sz w:val="28"/>
          <w:szCs w:val="21"/>
        </w:rPr>
        <w:t>软件中有关该信息系统的描述、用户文档、以及要交付的软件，应按照本标准要求做符合性评价。供方提供软件的同时，应提供相应的第三方测试文档。第三方是指根据某种认证模式工作的测试实验室。</w:t>
      </w:r>
    </w:p>
    <w:p>
      <w:pPr>
        <w:pStyle w:val="45"/>
        <w:ind w:leftChars="200" w:left="420" w:firstLineChars="0" w:firstLine="0"/>
        <w:rPr>
          <w:rFonts w:ascii="仿宋" w:eastAsia="仿宋" w:cs="仿宋"/>
          <w:sz w:val="28"/>
          <w:szCs w:val="21"/>
        </w:rPr>
      </w:pPr>
      <w:r>
        <w:rPr>
          <w:rFonts w:ascii="仿宋" w:eastAsia="仿宋" w:cs="仿宋" w:hint="eastAsia"/>
          <w:sz w:val="28"/>
          <w:szCs w:val="21"/>
        </w:rPr>
        <w:t>按规定的测试方法进行测试。测试按照等级分为6个级别，分别是：</w:t>
      </w:r>
    </w:p>
    <w:p>
      <w:pPr>
        <w:pStyle w:val="45"/>
        <w:ind w:firstLineChars="0" w:firstLine="420"/>
        <w:rPr>
          <w:rFonts w:ascii="仿宋" w:eastAsia="仿宋" w:cs="仿宋"/>
          <w:sz w:val="28"/>
          <w:szCs w:val="21"/>
        </w:rPr>
      </w:pPr>
      <w:r>
        <w:rPr>
          <w:rFonts w:ascii="仿宋" w:eastAsia="仿宋" w:cs="仿宋" w:hint="eastAsia"/>
          <w:sz w:val="28"/>
          <w:szCs w:val="21"/>
        </w:rPr>
        <w:t>1）基本功能测试，这是最基本的测试；</w:t>
      </w:r>
    </w:p>
    <w:p>
      <w:pPr>
        <w:pStyle w:val="45"/>
        <w:ind w:firstLineChars="0" w:firstLine="420"/>
        <w:rPr>
          <w:rFonts w:ascii="仿宋" w:eastAsia="仿宋" w:cs="仿宋"/>
          <w:sz w:val="28"/>
          <w:szCs w:val="21"/>
        </w:rPr>
      </w:pPr>
      <w:r>
        <w:rPr>
          <w:rFonts w:ascii="仿宋" w:eastAsia="仿宋" w:cs="仿宋" w:hint="eastAsia"/>
          <w:sz w:val="28"/>
          <w:szCs w:val="21"/>
        </w:rPr>
        <w:t>2）单元测试，功能单元测试；</w:t>
      </w:r>
    </w:p>
    <w:p>
      <w:pPr>
        <w:pStyle w:val="45"/>
        <w:ind w:firstLineChars="0" w:firstLine="420"/>
        <w:rPr>
          <w:rFonts w:ascii="仿宋" w:eastAsia="仿宋" w:cs="仿宋"/>
          <w:sz w:val="28"/>
          <w:szCs w:val="21"/>
        </w:rPr>
      </w:pPr>
      <w:r>
        <w:rPr>
          <w:rFonts w:ascii="仿宋" w:eastAsia="仿宋" w:cs="仿宋" w:hint="eastAsia"/>
          <w:sz w:val="28"/>
          <w:szCs w:val="21"/>
        </w:rPr>
        <w:t>3）子系统测试，包括按照设计规则设置的所有子系统，如分拣系统等；</w:t>
      </w:r>
    </w:p>
    <w:p>
      <w:pPr>
        <w:pStyle w:val="45"/>
        <w:ind w:firstLineChars="0" w:firstLine="420"/>
        <w:rPr>
          <w:rFonts w:ascii="仿宋" w:eastAsia="仿宋" w:cs="仿宋"/>
          <w:sz w:val="28"/>
          <w:szCs w:val="21"/>
        </w:rPr>
      </w:pPr>
      <w:r>
        <w:rPr>
          <w:rFonts w:ascii="仿宋" w:eastAsia="仿宋" w:cs="仿宋" w:hint="eastAsia"/>
          <w:sz w:val="28"/>
          <w:szCs w:val="21"/>
        </w:rPr>
        <w:t>4）无负载集成系统测试，即没有实际货物的测试，可以采用模拟数据进行；</w:t>
      </w:r>
    </w:p>
    <w:p>
      <w:pPr>
        <w:pStyle w:val="45"/>
        <w:ind w:firstLineChars="0" w:firstLine="420"/>
        <w:rPr>
          <w:rFonts w:ascii="仿宋" w:eastAsia="仿宋" w:cs="仿宋"/>
          <w:sz w:val="28"/>
          <w:szCs w:val="21"/>
        </w:rPr>
      </w:pPr>
      <w:r>
        <w:rPr>
          <w:rFonts w:ascii="仿宋" w:eastAsia="仿宋" w:cs="仿宋" w:hint="eastAsia"/>
          <w:sz w:val="28"/>
          <w:szCs w:val="21"/>
        </w:rPr>
        <w:t>5）有负载集成系统测试，必须采用实际数据进行；</w:t>
      </w:r>
    </w:p>
    <w:p>
      <w:pPr>
        <w:pStyle w:val="45"/>
        <w:ind w:firstLineChars="0" w:firstLine="420"/>
        <w:rPr>
          <w:rFonts w:ascii="仿宋" w:eastAsia="仿宋" w:cs="仿宋"/>
          <w:sz w:val="28"/>
          <w:szCs w:val="21"/>
        </w:rPr>
      </w:pPr>
      <w:r>
        <w:rPr>
          <w:rFonts w:ascii="仿宋" w:eastAsia="仿宋" w:cs="仿宋" w:hint="eastAsia"/>
          <w:sz w:val="28"/>
          <w:szCs w:val="21"/>
        </w:rPr>
        <w:t>6）系统压力测试，测试系统在多用户下的表现，测试系统在设计工作强度下的表现，以判断系统的工作能力。</w:t>
      </w:r>
    </w:p>
    <w:p>
      <w:pPr>
        <w:pStyle w:val="45"/>
        <w:ind w:leftChars="200" w:left="420" w:firstLineChars="0" w:firstLine="0"/>
        <w:rPr>
          <w:rFonts w:ascii="仿宋" w:eastAsia="仿宋" w:cs="仿宋"/>
          <w:sz w:val="28"/>
          <w:szCs w:val="21"/>
        </w:rPr>
      </w:pPr>
      <w:r>
        <w:rPr>
          <w:rFonts w:ascii="仿宋" w:eastAsia="仿宋" w:cs="仿宋" w:hint="eastAsia"/>
          <w:sz w:val="28"/>
          <w:szCs w:val="21"/>
        </w:rPr>
        <w:t>测试是一项长期和反复细致的工作，每个级别的测试均应有测试计划和测试报告。测试报告是系统验收的重要证据。</w:t>
      </w:r>
    </w:p>
    <w:p>
      <w:pPr>
        <w:pStyle w:val="2"/>
        <w:numPr>
          <w:ilvl w:val="0"/>
          <w:numId w:val="0"/>
        </w:numPr>
        <w:ind w:left="0" w:firstLineChars="200" w:firstLine="560"/>
      </w:pPr>
      <w:bookmarkStart w:id="147" w:name="_Toc77270370"/>
      <w:bookmarkStart w:id="148" w:name="_Toc27253"/>
      <w:bookmarkStart w:id="149" w:name="_Toc77252106"/>
      <w:bookmarkStart w:id="150" w:name="_Toc21967066"/>
      <w:bookmarkStart w:id="151" w:name="_Toc77250349"/>
      <w:bookmarkStart w:id="152" w:name="_Toc27945"/>
      <w:bookmarkStart w:id="153" w:name="_Toc26192235"/>
      <w:r>
        <w:rPr>
          <w:rFonts w:ascii="仿宋" w:eastAsia="仿宋" w:cs="仿宋"/>
          <w:sz w:val="28"/>
          <w:szCs w:val="21"/>
        </w:rPr>
        <w:t>3、</w:t>
      </w:r>
      <w:r>
        <w:rPr>
          <w:rFonts w:hint="eastAsia"/>
        </w:rPr>
        <w:t>软件界面测试</w:t>
      </w:r>
      <w:bookmarkEnd w:id="147"/>
      <w:bookmarkEnd w:id="148"/>
      <w:bookmarkEnd w:id="149"/>
      <w:bookmarkEnd w:id="150"/>
      <w:bookmarkEnd w:id="151"/>
      <w:bookmarkEnd w:id="152"/>
      <w:bookmarkEnd w:id="153"/>
    </w:p>
    <w:p>
      <w:pPr>
        <w:ind w:firstLine="420"/>
        <w:rPr>
          <w:rFonts w:ascii="仿宋" w:eastAsia="仿宋" w:cs="仿宋"/>
          <w:sz w:val="28"/>
          <w:szCs w:val="21"/>
        </w:rPr>
      </w:pPr>
      <w:r>
        <w:rPr>
          <w:rFonts w:ascii="仿宋" w:eastAsia="仿宋" w:cs="仿宋" w:hint="eastAsia"/>
          <w:sz w:val="28"/>
          <w:szCs w:val="21"/>
        </w:rPr>
        <w:t>背景和前景的颜色是否协调，颜色反差是否用得恰当。</w:t>
      </w:r>
    </w:p>
    <w:p>
      <w:pPr>
        <w:ind w:firstLine="420"/>
        <w:rPr>
          <w:rFonts w:ascii="仿宋" w:eastAsia="仿宋" w:cs="仿宋"/>
          <w:sz w:val="28"/>
          <w:szCs w:val="21"/>
        </w:rPr>
      </w:pPr>
      <w:r>
        <w:rPr>
          <w:rFonts w:ascii="仿宋" w:eastAsia="仿宋" w:cs="仿宋" w:hint="eastAsia"/>
          <w:sz w:val="28"/>
          <w:szCs w:val="21"/>
        </w:rPr>
        <w:t>软件的图标、按钮、对话框等外观风格是否一致，美观效果所要求的屏幕分辨率。</w:t>
      </w:r>
    </w:p>
    <w:p>
      <w:pPr>
        <w:ind w:firstLine="420"/>
        <w:rPr>
          <w:rFonts w:ascii="仿宋" w:eastAsia="仿宋" w:cs="仿宋"/>
          <w:sz w:val="28"/>
          <w:szCs w:val="21"/>
        </w:rPr>
      </w:pPr>
      <w:r>
        <w:rPr>
          <w:rFonts w:ascii="仿宋" w:eastAsia="仿宋" w:cs="仿宋" w:hint="eastAsia"/>
          <w:sz w:val="28"/>
          <w:szCs w:val="21"/>
        </w:rPr>
        <w:t>窗口元素的布局是否合理，并保持一致。</w:t>
      </w:r>
    </w:p>
    <w:p>
      <w:pPr>
        <w:ind w:firstLine="420"/>
        <w:rPr>
          <w:rFonts w:ascii="仿宋" w:eastAsia="仿宋" w:cs="仿宋"/>
          <w:sz w:val="28"/>
          <w:szCs w:val="21"/>
        </w:rPr>
      </w:pPr>
      <w:r>
        <w:rPr>
          <w:rFonts w:ascii="仿宋" w:eastAsia="仿宋" w:cs="仿宋" w:hint="eastAsia"/>
          <w:sz w:val="28"/>
          <w:szCs w:val="21"/>
        </w:rPr>
        <w:t>各种字段标题的信息描述是否准确。</w:t>
      </w:r>
    </w:p>
    <w:p>
      <w:pPr>
        <w:ind w:firstLine="420"/>
        <w:rPr>
          <w:rFonts w:ascii="仿宋" w:eastAsia="仿宋" w:cs="仿宋"/>
          <w:sz w:val="28"/>
          <w:szCs w:val="21"/>
        </w:rPr>
      </w:pPr>
      <w:r>
        <w:rPr>
          <w:rFonts w:ascii="仿宋" w:eastAsia="仿宋" w:cs="仿宋" w:hint="eastAsia"/>
          <w:sz w:val="28"/>
          <w:szCs w:val="21"/>
        </w:rPr>
        <w:t>按钮、鼠标等操作在软件中是否一致。</w:t>
      </w:r>
    </w:p>
    <w:p>
      <w:pPr>
        <w:ind w:firstLine="420"/>
        <w:rPr>
          <w:rFonts w:ascii="仿宋" w:eastAsia="仿宋" w:cs="仿宋"/>
          <w:sz w:val="28"/>
          <w:szCs w:val="21"/>
        </w:rPr>
      </w:pPr>
      <w:r>
        <w:rPr>
          <w:rFonts w:ascii="仿宋" w:eastAsia="仿宋" w:cs="仿宋" w:hint="eastAsia"/>
          <w:sz w:val="28"/>
          <w:szCs w:val="21"/>
        </w:rPr>
        <w:t>窗口及报表的显示比例和格式是否能适应用户的预期需求。</w:t>
      </w:r>
    </w:p>
    <w:p>
      <w:pPr>
        <w:ind w:firstLine="420"/>
        <w:rPr>
          <w:rFonts w:ascii="仿宋" w:eastAsia="仿宋" w:cs="仿宋"/>
          <w:sz w:val="28"/>
          <w:szCs w:val="21"/>
        </w:rPr>
      </w:pPr>
      <w:r>
        <w:rPr>
          <w:rFonts w:ascii="仿宋" w:eastAsia="仿宋" w:cs="仿宋" w:hint="eastAsia"/>
          <w:sz w:val="28"/>
          <w:szCs w:val="21"/>
        </w:rPr>
        <w:t>误操作引起的错误提示是否友好。</w:t>
      </w:r>
    </w:p>
    <w:p>
      <w:pPr>
        <w:ind w:firstLine="420"/>
        <w:rPr>
          <w:rFonts w:ascii="仿宋" w:eastAsia="仿宋" w:cs="仿宋"/>
          <w:sz w:val="28"/>
          <w:szCs w:val="21"/>
        </w:rPr>
      </w:pPr>
      <w:r>
        <w:rPr>
          <w:rFonts w:ascii="仿宋" w:eastAsia="仿宋" w:cs="仿宋" w:hint="eastAsia"/>
          <w:sz w:val="28"/>
          <w:szCs w:val="21"/>
        </w:rPr>
        <w:t>活动窗口和被选中的记录是否高亮显示。</w:t>
      </w:r>
    </w:p>
    <w:p>
      <w:pPr>
        <w:ind w:firstLine="420"/>
        <w:rPr>
          <w:rFonts w:ascii="仿宋" w:eastAsia="仿宋" w:cs="仿宋"/>
          <w:sz w:val="28"/>
          <w:szCs w:val="21"/>
        </w:rPr>
      </w:pPr>
      <w:r>
        <w:rPr>
          <w:rFonts w:ascii="仿宋" w:eastAsia="仿宋" w:cs="仿宋" w:hint="eastAsia"/>
          <w:sz w:val="28"/>
          <w:szCs w:val="21"/>
        </w:rPr>
        <w:t>是否有帮助信息，菜单导航能否正常执行。</w:t>
      </w:r>
    </w:p>
    <w:p>
      <w:pPr>
        <w:ind w:firstLine="420"/>
        <w:rPr>
          <w:rFonts w:ascii="仿宋" w:eastAsia="仿宋" w:cs="仿宋"/>
          <w:sz w:val="28"/>
          <w:szCs w:val="21"/>
        </w:rPr>
      </w:pPr>
      <w:r>
        <w:rPr>
          <w:rFonts w:ascii="仿宋" w:eastAsia="仿宋" w:cs="仿宋" w:hint="eastAsia"/>
          <w:sz w:val="28"/>
          <w:szCs w:val="21"/>
        </w:rPr>
        <w:t>显示画面应根据流程，按层次结构或树型结构组织。操作人员调用任一画面不应超过五次点击，重要功能可一次按键调出。</w:t>
      </w:r>
    </w:p>
    <w:p>
      <w:pPr>
        <w:ind w:firstLine="420"/>
        <w:rPr>
          <w:rFonts w:ascii="仿宋" w:eastAsia="仿宋" w:cs="仿宋"/>
          <w:sz w:val="28"/>
          <w:szCs w:val="21"/>
        </w:rPr>
      </w:pPr>
      <w:r>
        <w:rPr>
          <w:rFonts w:ascii="仿宋" w:eastAsia="仿宋" w:cs="仿宋" w:hint="eastAsia"/>
          <w:sz w:val="28"/>
          <w:szCs w:val="21"/>
        </w:rPr>
        <w:t>实时数据刷新周期不大于1秒。</w:t>
      </w:r>
    </w:p>
    <w:p>
      <w:pPr>
        <w:pStyle w:val="2"/>
        <w:numPr>
          <w:ilvl w:val="0"/>
          <w:numId w:val="0"/>
        </w:numPr>
        <w:ind w:left="0" w:firstLineChars="200" w:firstLine="560"/>
      </w:pPr>
      <w:bookmarkStart w:id="154" w:name="_Toc23023"/>
      <w:bookmarkStart w:id="155" w:name="_Toc21967067"/>
      <w:bookmarkStart w:id="156" w:name="_Toc77270371"/>
      <w:bookmarkStart w:id="157" w:name="_Toc10875"/>
      <w:bookmarkStart w:id="158" w:name="_Toc77252107"/>
      <w:bookmarkStart w:id="159" w:name="_Toc26192236"/>
      <w:bookmarkStart w:id="160" w:name="_Toc77250350"/>
      <w:r>
        <w:rPr>
          <w:rFonts w:ascii="仿宋" w:eastAsia="仿宋" w:cs="仿宋"/>
          <w:sz w:val="28"/>
          <w:szCs w:val="21"/>
        </w:rPr>
        <w:t>4、</w:t>
      </w:r>
      <w:r>
        <w:rPr>
          <w:rFonts w:hint="eastAsia"/>
        </w:rPr>
        <w:t>验收可靠性标准</w:t>
      </w:r>
      <w:bookmarkEnd w:id="154"/>
      <w:bookmarkEnd w:id="155"/>
      <w:bookmarkEnd w:id="156"/>
      <w:bookmarkEnd w:id="157"/>
      <w:bookmarkEnd w:id="158"/>
      <w:bookmarkEnd w:id="159"/>
      <w:bookmarkEnd w:id="160"/>
    </w:p>
    <w:p>
      <w:pPr>
        <w:pStyle w:val="45"/>
        <w:ind w:firstLineChars="0" w:firstLine="420"/>
        <w:rPr>
          <w:rFonts w:ascii="仿宋" w:eastAsia="仿宋" w:cs="仿宋"/>
          <w:sz w:val="28"/>
          <w:szCs w:val="21"/>
        </w:rPr>
      </w:pPr>
      <w:r>
        <w:rPr>
          <w:rFonts w:ascii="仿宋" w:eastAsia="仿宋" w:cs="仿宋" w:hint="eastAsia"/>
          <w:sz w:val="28"/>
          <w:szCs w:val="21"/>
        </w:rPr>
        <w:t>系统可靠性是通过测试系统在一定时间内的可用度来完成的。作为自动化系统来说，将测试系统在连续30日正常运行的情况下达到招标设计要求。</w:t>
      </w:r>
    </w:p>
    <w:p>
      <w:pPr>
        <w:pStyle w:val="45"/>
        <w:spacing w:line="23" w:lineRule="atLeast"/>
        <w:ind w:firstLineChars="0" w:firstLine="420"/>
        <w:rPr>
          <w:rFonts w:ascii="仿宋" w:eastAsia="仿宋" w:cs="仿宋"/>
          <w:szCs w:val="21"/>
        </w:rPr>
      </w:pPr>
    </w:p>
    <w:p>
      <w:pPr>
        <w:pStyle w:val="1"/>
        <w:numPr>
          <w:ilvl w:val="0"/>
          <w:numId w:val="0"/>
        </w:numPr>
        <w:ind w:left="0" w:firstLine="0"/>
      </w:pPr>
      <w:bookmarkStart w:id="161" w:name="_Toc77270372"/>
      <w:bookmarkStart w:id="162" w:name="_Toc21967068"/>
      <w:bookmarkStart w:id="163" w:name="_Toc23250"/>
      <w:bookmarkStart w:id="164" w:name="_Toc7904"/>
      <w:bookmarkStart w:id="165" w:name="_Toc77252108"/>
      <w:bookmarkStart w:id="166" w:name="_Toc77250351"/>
      <w:bookmarkStart w:id="167" w:name="_Toc26192237"/>
      <w:bookmarkStart w:id="168" w:name="_Toc13974"/>
      <w:bookmarkStart w:id="169" w:name="_Toc77263884"/>
      <w:bookmarkStart w:id="170" w:name="_Toc26192238"/>
      <w:bookmarkStart w:id="171" w:name="_Toc23005"/>
      <w:bookmarkStart w:id="172" w:name="_Toc5825"/>
      <w:bookmarkStart w:id="173" w:name="_Toc77262003"/>
      <w:bookmarkStart w:id="174" w:name="_Toc21967069"/>
      <w:r>
        <w:t>四、</w:t>
      </w:r>
      <w:r>
        <w:rPr>
          <w:rFonts w:hint="eastAsia"/>
        </w:rPr>
        <w:t>数据及文件</w:t>
      </w:r>
      <w:bookmarkEnd w:id="161"/>
      <w:bookmarkEnd w:id="162"/>
      <w:bookmarkEnd w:id="163"/>
      <w:bookmarkEnd w:id="164"/>
      <w:bookmarkEnd w:id="165"/>
      <w:bookmarkEnd w:id="166"/>
      <w:bookmarkEnd w:id="167"/>
    </w:p>
    <w:p>
      <w:pPr>
        <w:pStyle w:val="2"/>
        <w:numPr>
          <w:ilvl w:val="0"/>
          <w:numId w:val="0"/>
        </w:numPr>
        <w:ind w:left="0" w:firstLineChars="200" w:firstLine="560"/>
      </w:pPr>
      <w:bookmarkStart w:id="175" w:name="_Toc77270373"/>
      <w:r>
        <w:t>1、</w:t>
      </w:r>
      <w:r>
        <w:rPr>
          <w:rFonts w:hint="eastAsia"/>
        </w:rPr>
        <w:t>概述</w:t>
      </w:r>
      <w:bookmarkEnd w:id="168"/>
      <w:bookmarkEnd w:id="169"/>
      <w:bookmarkEnd w:id="170"/>
      <w:bookmarkEnd w:id="171"/>
      <w:bookmarkEnd w:id="172"/>
      <w:bookmarkEnd w:id="173"/>
      <w:bookmarkEnd w:id="174"/>
      <w:bookmarkEnd w:id="175"/>
    </w:p>
    <w:p>
      <w:pPr>
        <w:pStyle w:val="47"/>
        <w:numPr>
          <w:ilvl w:val="0"/>
          <w:numId w:val="20"/>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技术协议签订时，投标人提出一份在合同期间准备提交招标人审查、确认或作参考的文件和图纸清单，清单包括需由招标人确认的图纸、进度和文件，并准备一份有关合同情况的详细工作报告。</w:t>
      </w:r>
    </w:p>
    <w:p>
      <w:pPr>
        <w:pStyle w:val="47"/>
        <w:numPr>
          <w:ilvl w:val="0"/>
          <w:numId w:val="20"/>
        </w:numPr>
        <w:spacing w:line="23" w:lineRule="atLeast"/>
        <w:ind w:firstLineChars="0"/>
        <w:jc w:val="left"/>
        <w:rPr>
          <w:rFonts w:ascii="仿宋" w:eastAsia="仿宋" w:cs="仿宋"/>
          <w:spacing w:val="10"/>
          <w:sz w:val="28"/>
          <w:szCs w:val="21"/>
        </w:rPr>
      </w:pPr>
      <w:r>
        <w:rPr>
          <w:rFonts w:ascii="仿宋" w:eastAsia="仿宋" w:cs="仿宋" w:hint="eastAsia"/>
          <w:spacing w:val="10"/>
          <w:sz w:val="28"/>
          <w:szCs w:val="21"/>
        </w:rPr>
        <w:t>投标人提供的所有图纸必须完全符合所供的系统，并及时反映出目前工程设计进度，所有资料注明</w:t>
      </w:r>
      <w:r>
        <w:rPr>
          <w:rFonts w:ascii="仿宋" w:eastAsia="仿宋" w:cs="仿宋" w:hint="eastAsia"/>
          <w:b/>
          <w:spacing w:val="10"/>
          <w:sz w:val="28"/>
          <w:szCs w:val="21"/>
        </w:rPr>
        <w:t>“</w:t>
      </w:r>
      <w:r>
        <w:rPr>
          <w:rFonts w:ascii="仿宋" w:eastAsia="仿宋" w:cs="仿宋" w:hint="eastAsia"/>
          <w:b/>
          <w:sz w:val="28"/>
          <w:szCs w:val="21"/>
        </w:rPr>
        <w:t>涪陵乌江榨菜######项目</w:t>
      </w:r>
      <w:r>
        <w:rPr>
          <w:rFonts w:ascii="仿宋" w:eastAsia="仿宋" w:cs="仿宋" w:hint="eastAsia"/>
          <w:spacing w:val="10"/>
          <w:sz w:val="28"/>
          <w:szCs w:val="21"/>
        </w:rPr>
        <w:t>”字样并装订，资料标明修改的版本号和日期，修改处有明显的标记。</w:t>
      </w:r>
    </w:p>
    <w:p>
      <w:pPr>
        <w:pStyle w:val="47"/>
        <w:numPr>
          <w:ilvl w:val="0"/>
          <w:numId w:val="20"/>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投标人保证所供文件和图纸完全能满足榨菜腌制工艺设计、安装、搬运、调试、投运、正常运行和维护的需要。</w:t>
      </w:r>
    </w:p>
    <w:p>
      <w:pPr>
        <w:pStyle w:val="47"/>
        <w:numPr>
          <w:ilvl w:val="0"/>
          <w:numId w:val="20"/>
        </w:numPr>
        <w:spacing w:line="23" w:lineRule="atLeast"/>
        <w:ind w:firstLineChars="0"/>
        <w:rPr>
          <w:rFonts w:ascii="仿宋" w:eastAsia="仿宋" w:cs="仿宋"/>
          <w:sz w:val="28"/>
          <w:szCs w:val="21"/>
        </w:rPr>
      </w:pPr>
      <w:r>
        <w:rPr>
          <w:rFonts w:ascii="仿宋" w:eastAsia="仿宋" w:cs="仿宋" w:hint="eastAsia"/>
          <w:sz w:val="28"/>
          <w:szCs w:val="21"/>
        </w:rPr>
        <w:t>投标人在规定的时间内提供2份设计文件和技术配合资料（详见硬件、软件资料）给业主，同时提供给业主1份电子版；验收时，提供竣工资料。投标人提供的最终设计图纸及</w:t>
      </w:r>
      <w:r>
        <w:rPr>
          <w:rFonts w:ascii="仿宋" w:eastAsia="仿宋" w:cs="仿宋" w:hint="eastAsia"/>
          <w:spacing w:val="10"/>
          <w:sz w:val="28"/>
          <w:szCs w:val="21"/>
        </w:rPr>
        <w:t>有关文件</w:t>
      </w:r>
      <w:r>
        <w:rPr>
          <w:rFonts w:ascii="仿宋" w:eastAsia="仿宋" w:cs="仿宋" w:hint="eastAsia"/>
          <w:sz w:val="28"/>
          <w:szCs w:val="21"/>
        </w:rPr>
        <w:t>一共10份给业主，同时提供给业主1份电子版。</w:t>
      </w:r>
      <w:r>
        <w:rPr>
          <w:rFonts w:ascii="仿宋" w:eastAsia="仿宋" w:cs="仿宋" w:hint="eastAsia"/>
          <w:spacing w:val="10"/>
          <w:sz w:val="28"/>
          <w:szCs w:val="21"/>
        </w:rPr>
        <w:t>此外，投标人还提供3套储有系统最终组态的光盘给招标人。</w:t>
      </w:r>
    </w:p>
    <w:p>
      <w:pPr>
        <w:pStyle w:val="47"/>
        <w:numPr>
          <w:ilvl w:val="0"/>
          <w:numId w:val="20"/>
        </w:numPr>
        <w:spacing w:line="23" w:lineRule="atLeast"/>
        <w:ind w:firstLineChars="0"/>
        <w:rPr>
          <w:rFonts w:ascii="仿宋" w:eastAsia="仿宋" w:cs="仿宋"/>
          <w:sz w:val="28"/>
          <w:szCs w:val="21"/>
        </w:rPr>
      </w:pPr>
      <w:r>
        <w:rPr>
          <w:rFonts w:ascii="仿宋" w:eastAsia="仿宋" w:cs="仿宋" w:hint="eastAsia"/>
          <w:sz w:val="28"/>
          <w:szCs w:val="21"/>
        </w:rPr>
        <w:t>本工程设计采用双方约定编码系统，故制造厂供货范围内的所有仪表控制设备等均在最终版的图纸及供货实物上标明其编码，具体内容在以后的设计配合中确定。</w:t>
      </w:r>
    </w:p>
    <w:p>
      <w:pPr>
        <w:pStyle w:val="47"/>
        <w:numPr>
          <w:ilvl w:val="0"/>
          <w:numId w:val="20"/>
        </w:numPr>
        <w:spacing w:line="23" w:lineRule="atLeast"/>
        <w:ind w:firstLineChars="0"/>
        <w:rPr>
          <w:rFonts w:ascii="仿宋" w:eastAsia="仿宋" w:cs="仿宋"/>
          <w:sz w:val="28"/>
          <w:szCs w:val="21"/>
        </w:rPr>
      </w:pPr>
      <w:r>
        <w:rPr>
          <w:rFonts w:ascii="仿宋" w:eastAsia="仿宋" w:cs="仿宋" w:hint="eastAsia"/>
          <w:sz w:val="28"/>
          <w:szCs w:val="21"/>
        </w:rPr>
        <w:t>投标人负责协调并安排与其他承包商所供控制系统间的接口资料交换进度。</w:t>
      </w:r>
    </w:p>
    <w:p>
      <w:pPr>
        <w:pStyle w:val="2"/>
        <w:numPr>
          <w:ilvl w:val="0"/>
          <w:numId w:val="0"/>
        </w:numPr>
        <w:ind w:left="0" w:firstLineChars="200" w:firstLine="560"/>
      </w:pPr>
      <w:bookmarkStart w:id="176" w:name="_Toc32680"/>
      <w:bookmarkStart w:id="177" w:name="_Toc77262004"/>
      <w:bookmarkStart w:id="178" w:name="_Toc21967070"/>
      <w:bookmarkStart w:id="179" w:name="_Toc77270374"/>
      <w:bookmarkStart w:id="180" w:name="_Toc3479"/>
      <w:bookmarkStart w:id="181" w:name="_Toc11236"/>
      <w:bookmarkStart w:id="182" w:name="_Toc26192239"/>
      <w:bookmarkStart w:id="183" w:name="_Toc77263885"/>
      <w:r>
        <w:rPr>
          <w:rFonts w:ascii="仿宋" w:eastAsia="仿宋" w:cs="仿宋"/>
          <w:sz w:val="28"/>
          <w:szCs w:val="21"/>
        </w:rPr>
        <w:t>2、</w:t>
      </w:r>
      <w:r>
        <w:rPr>
          <w:rFonts w:hint="eastAsia"/>
        </w:rPr>
        <w:t>硬件资料</w:t>
      </w:r>
      <w:bookmarkEnd w:id="176"/>
      <w:bookmarkEnd w:id="177"/>
      <w:bookmarkEnd w:id="178"/>
      <w:bookmarkEnd w:id="179"/>
      <w:bookmarkEnd w:id="180"/>
      <w:bookmarkEnd w:id="181"/>
      <w:bookmarkEnd w:id="182"/>
      <w:bookmarkEnd w:id="183"/>
    </w:p>
    <w:p>
      <w:pPr>
        <w:spacing w:line="23" w:lineRule="atLeast"/>
        <w:ind w:firstLineChars="200" w:firstLine="600"/>
        <w:rPr>
          <w:rFonts w:ascii="仿宋" w:eastAsia="仿宋" w:cs="仿宋"/>
          <w:spacing w:val="10"/>
          <w:sz w:val="28"/>
          <w:szCs w:val="21"/>
        </w:rPr>
      </w:pPr>
      <w:r>
        <w:rPr>
          <w:rFonts w:ascii="仿宋" w:eastAsia="仿宋" w:cs="仿宋" w:hint="eastAsia"/>
          <w:spacing w:val="10"/>
          <w:sz w:val="28"/>
          <w:szCs w:val="21"/>
        </w:rPr>
        <w:t>投标人提供的资料包括涉及所有系统部件的安装、运行、注意事项和维护方法的详细说明，此外还包括所购设备的完整设备表和详细指南。与设备表相对应的设备项目代号在所有相关图纸上表示出来，投标人还根据要求提供其设备代号与市场上可买到的该设备型号间的参照表。</w:t>
      </w:r>
    </w:p>
    <w:p>
      <w:pPr>
        <w:spacing w:line="23" w:lineRule="atLeast"/>
        <w:ind w:firstLineChars="200" w:firstLine="600"/>
        <w:rPr>
          <w:rFonts w:ascii="仿宋" w:eastAsia="仿宋" w:cs="仿宋"/>
          <w:spacing w:val="10"/>
          <w:sz w:val="28"/>
          <w:szCs w:val="21"/>
        </w:rPr>
      </w:pPr>
      <w:r>
        <w:rPr>
          <w:rFonts w:ascii="仿宋" w:eastAsia="仿宋" w:cs="仿宋" w:hint="eastAsia"/>
          <w:spacing w:val="10"/>
          <w:sz w:val="28"/>
          <w:szCs w:val="21"/>
        </w:rPr>
        <w:t>投标人至少提供下列手册和图纸：</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系统硬件手册</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系统操作手册</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系统维护手册</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系统调试手册</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所有投标人外购设备手册</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z w:val="28"/>
          <w:szCs w:val="21"/>
        </w:rPr>
        <w:t>系统内非标设备（继电器柜，电源分配柜，）的原理图，内部设备布置图，接线详图及端子排出线图</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控制系统外部连接图，图上有电缆编号和端子编号</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设备清单</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设备外型图、安装图</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构成系统所有部件的原理图</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电源容量要求、回路配置及接线图</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接地系统图及要求</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与所有其它系统的接口资料</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每只机柜、操作站标明各模件和组件的编号，并包括正视图、后视图、开孔图、总尺寸及开门所需的净空距离</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系统接地手册</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系统投运后的竣工图</w:t>
      </w:r>
    </w:p>
    <w:p>
      <w:pPr>
        <w:pStyle w:val="47"/>
        <w:numPr>
          <w:ilvl w:val="1"/>
          <w:numId w:val="21"/>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出厂验收大纲、调试大纲和移交验收标准</w:t>
      </w:r>
    </w:p>
    <w:p>
      <w:pPr>
        <w:pStyle w:val="47"/>
        <w:spacing w:line="23" w:lineRule="atLeast"/>
        <w:ind w:left="420" w:firstLineChars="0" w:firstLine="0"/>
        <w:rPr>
          <w:rFonts w:ascii="仿宋" w:eastAsia="仿宋" w:cs="仿宋"/>
          <w:sz w:val="28"/>
          <w:szCs w:val="21"/>
        </w:rPr>
      </w:pPr>
      <w:r>
        <w:rPr>
          <w:rFonts w:ascii="仿宋" w:eastAsia="仿宋" w:cs="仿宋" w:hint="eastAsia"/>
          <w:sz w:val="28"/>
          <w:szCs w:val="21"/>
        </w:rPr>
        <w:t>工程竣工后以上资料须以书面文本和电子文档（光盘）的形式提供给招标人。</w:t>
      </w:r>
    </w:p>
    <w:p>
      <w:pPr>
        <w:pStyle w:val="2"/>
        <w:numPr>
          <w:ilvl w:val="0"/>
          <w:numId w:val="0"/>
        </w:numPr>
        <w:ind w:left="0" w:firstLineChars="200" w:firstLine="560"/>
      </w:pPr>
      <w:bookmarkStart w:id="184" w:name="_Toc1370"/>
      <w:bookmarkStart w:id="185" w:name="_Toc26192240"/>
      <w:bookmarkStart w:id="186" w:name="_Toc77263886"/>
      <w:bookmarkStart w:id="187" w:name="_Toc28708"/>
      <w:bookmarkStart w:id="188" w:name="_Toc28018"/>
      <w:bookmarkStart w:id="189" w:name="_Toc21967071"/>
      <w:bookmarkStart w:id="190" w:name="_Toc77262005"/>
      <w:bookmarkStart w:id="191" w:name="_Toc77270375"/>
      <w:r>
        <w:rPr>
          <w:rFonts w:ascii="仿宋" w:eastAsia="仿宋" w:cs="仿宋"/>
          <w:sz w:val="28"/>
          <w:szCs w:val="21"/>
        </w:rPr>
        <w:t>3、</w:t>
      </w:r>
      <w:r>
        <w:rPr>
          <w:rFonts w:hint="eastAsia"/>
        </w:rPr>
        <w:t>软件资料</w:t>
      </w:r>
      <w:bookmarkEnd w:id="184"/>
      <w:bookmarkEnd w:id="185"/>
      <w:bookmarkEnd w:id="186"/>
      <w:bookmarkEnd w:id="187"/>
      <w:bookmarkEnd w:id="188"/>
      <w:bookmarkEnd w:id="189"/>
      <w:bookmarkEnd w:id="190"/>
      <w:bookmarkEnd w:id="191"/>
    </w:p>
    <w:p>
      <w:pPr>
        <w:pStyle w:val="47"/>
        <w:numPr>
          <w:ilvl w:val="1"/>
          <w:numId w:val="22"/>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系统组态手册</w:t>
      </w:r>
    </w:p>
    <w:p>
      <w:pPr>
        <w:pStyle w:val="47"/>
        <w:numPr>
          <w:ilvl w:val="1"/>
          <w:numId w:val="22"/>
        </w:numPr>
        <w:spacing w:line="23" w:lineRule="atLeast"/>
        <w:ind w:firstLineChars="0"/>
        <w:rPr>
          <w:rFonts w:ascii="仿宋" w:eastAsia="仿宋" w:cs="仿宋"/>
          <w:spacing w:val="10"/>
          <w:sz w:val="28"/>
          <w:szCs w:val="21"/>
        </w:rPr>
      </w:pPr>
      <w:r>
        <w:rPr>
          <w:rFonts w:ascii="仿宋" w:eastAsia="仿宋" w:cs="仿宋" w:hint="eastAsia"/>
          <w:sz w:val="28"/>
          <w:szCs w:val="21"/>
        </w:rPr>
        <w:t>软件说明书</w:t>
      </w:r>
    </w:p>
    <w:p>
      <w:pPr>
        <w:pStyle w:val="47"/>
        <w:numPr>
          <w:ilvl w:val="1"/>
          <w:numId w:val="22"/>
        </w:numPr>
        <w:spacing w:line="23" w:lineRule="atLeast"/>
        <w:ind w:firstLineChars="0"/>
        <w:rPr>
          <w:rFonts w:ascii="仿宋" w:eastAsia="仿宋" w:cs="仿宋"/>
          <w:spacing w:val="10"/>
          <w:sz w:val="28"/>
          <w:szCs w:val="21"/>
        </w:rPr>
      </w:pPr>
      <w:r>
        <w:rPr>
          <w:rFonts w:ascii="仿宋" w:eastAsia="仿宋" w:cs="仿宋" w:hint="eastAsia"/>
          <w:sz w:val="28"/>
          <w:szCs w:val="21"/>
        </w:rPr>
        <w:t>系统安装配置说明书</w:t>
      </w:r>
    </w:p>
    <w:p>
      <w:pPr>
        <w:pStyle w:val="47"/>
        <w:numPr>
          <w:ilvl w:val="1"/>
          <w:numId w:val="22"/>
        </w:numPr>
        <w:spacing w:line="23" w:lineRule="atLeast"/>
        <w:ind w:firstLineChars="0"/>
        <w:rPr>
          <w:rFonts w:ascii="仿宋" w:eastAsia="仿宋" w:cs="仿宋"/>
          <w:spacing w:val="10"/>
          <w:sz w:val="28"/>
          <w:szCs w:val="21"/>
        </w:rPr>
      </w:pPr>
      <w:r>
        <w:rPr>
          <w:rFonts w:ascii="仿宋" w:eastAsia="仿宋" w:cs="仿宋" w:hint="eastAsia"/>
          <w:sz w:val="28"/>
          <w:szCs w:val="21"/>
        </w:rPr>
        <w:t>操作手册</w:t>
      </w:r>
    </w:p>
    <w:p>
      <w:pPr>
        <w:pStyle w:val="47"/>
        <w:numPr>
          <w:ilvl w:val="1"/>
          <w:numId w:val="22"/>
        </w:numPr>
        <w:spacing w:line="23" w:lineRule="atLeast"/>
        <w:ind w:firstLineChars="0"/>
        <w:rPr>
          <w:rFonts w:ascii="仿宋" w:eastAsia="仿宋" w:cs="仿宋"/>
          <w:spacing w:val="10"/>
          <w:sz w:val="28"/>
          <w:szCs w:val="21"/>
        </w:rPr>
      </w:pPr>
      <w:r>
        <w:rPr>
          <w:rFonts w:ascii="仿宋" w:eastAsia="仿宋" w:cs="仿宋" w:hint="eastAsia"/>
          <w:sz w:val="28"/>
          <w:szCs w:val="21"/>
        </w:rPr>
        <w:t>数据库设计说明书</w:t>
      </w:r>
    </w:p>
    <w:p>
      <w:pPr>
        <w:pStyle w:val="47"/>
        <w:numPr>
          <w:ilvl w:val="1"/>
          <w:numId w:val="22"/>
        </w:numPr>
        <w:spacing w:line="23" w:lineRule="atLeast"/>
        <w:ind w:firstLineChars="0"/>
        <w:rPr>
          <w:rFonts w:ascii="仿宋" w:eastAsia="仿宋" w:cs="仿宋"/>
          <w:spacing w:val="10"/>
          <w:sz w:val="28"/>
          <w:szCs w:val="21"/>
        </w:rPr>
      </w:pPr>
      <w:r>
        <w:rPr>
          <w:rFonts w:ascii="仿宋" w:eastAsia="仿宋" w:cs="仿宋" w:hint="eastAsia"/>
          <w:sz w:val="28"/>
          <w:szCs w:val="21"/>
        </w:rPr>
        <w:t>数据要求说明书</w:t>
      </w:r>
    </w:p>
    <w:p>
      <w:pPr>
        <w:pStyle w:val="47"/>
        <w:numPr>
          <w:ilvl w:val="1"/>
          <w:numId w:val="22"/>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配置图及系统组态设计说明书；</w:t>
      </w:r>
    </w:p>
    <w:p>
      <w:pPr>
        <w:pStyle w:val="47"/>
        <w:numPr>
          <w:ilvl w:val="1"/>
          <w:numId w:val="22"/>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所供系统中使用的全部系统软件和应用软件的安装盘和备份盘。</w:t>
      </w:r>
    </w:p>
    <w:p>
      <w:pPr>
        <w:pStyle w:val="47"/>
        <w:numPr>
          <w:ilvl w:val="1"/>
          <w:numId w:val="22"/>
        </w:numPr>
        <w:spacing w:line="23" w:lineRule="atLeast"/>
        <w:ind w:firstLineChars="0"/>
        <w:rPr>
          <w:rFonts w:ascii="仿宋" w:eastAsia="仿宋" w:cs="仿宋"/>
          <w:sz w:val="28"/>
          <w:szCs w:val="21"/>
        </w:rPr>
      </w:pPr>
      <w:r>
        <w:rPr>
          <w:rFonts w:ascii="仿宋" w:eastAsia="仿宋" w:cs="仿宋" w:hint="eastAsia"/>
          <w:spacing w:val="10"/>
          <w:sz w:val="28"/>
          <w:szCs w:val="21"/>
        </w:rPr>
        <w:t>投标人提供足以使招标人能够进行检查和修改的所有上位管控软件及PLC控制组态程序源代码，这些文件包括电子文档、打印出来的程序，并装订成册。</w:t>
      </w:r>
      <w:r>
        <w:rPr>
          <w:rFonts w:ascii="仿宋" w:eastAsia="仿宋" w:cs="仿宋" w:hint="eastAsia"/>
          <w:sz w:val="28"/>
          <w:szCs w:val="21"/>
        </w:rPr>
        <w:t>且须具有必要的注释和说明，以便于维护和查错。</w:t>
      </w:r>
    </w:p>
    <w:p>
      <w:pPr>
        <w:pStyle w:val="47"/>
        <w:numPr>
          <w:ilvl w:val="1"/>
          <w:numId w:val="22"/>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使用VB、VC、JAVA、C#、.NET等编程语言的系统站的支撑软件其至少有下列有关文件：</w:t>
      </w:r>
    </w:p>
    <w:p>
      <w:pPr>
        <w:pStyle w:val="47"/>
        <w:numPr>
          <w:ilvl w:val="0"/>
          <w:numId w:val="23"/>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系统功能说明：采用通俗易懂的文字描述每一个系统的功能，所有特定术语有定义，此外配上一定的流程图或类似的描述。</w:t>
      </w:r>
    </w:p>
    <w:p>
      <w:pPr>
        <w:pStyle w:val="47"/>
        <w:numPr>
          <w:ilvl w:val="0"/>
          <w:numId w:val="23"/>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文件完整、清晰、能允许修改、增删以及编制的程序源代码。</w:t>
      </w:r>
    </w:p>
    <w:p>
      <w:pPr>
        <w:pStyle w:val="47"/>
        <w:numPr>
          <w:ilvl w:val="0"/>
          <w:numId w:val="23"/>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帮助手册：包括所有与编程语言有关的指导和参考手册，其中还包括编程和调试的指导性资料。</w:t>
      </w:r>
    </w:p>
    <w:p>
      <w:pPr>
        <w:pStyle w:val="47"/>
        <w:numPr>
          <w:ilvl w:val="1"/>
          <w:numId w:val="22"/>
        </w:numPr>
        <w:spacing w:line="23" w:lineRule="atLeast"/>
        <w:ind w:firstLineChars="0"/>
        <w:rPr>
          <w:rFonts w:ascii="仿宋" w:eastAsia="仿宋" w:cs="仿宋"/>
          <w:spacing w:val="10"/>
          <w:sz w:val="28"/>
          <w:szCs w:val="21"/>
        </w:rPr>
      </w:pPr>
      <w:r>
        <w:rPr>
          <w:rFonts w:ascii="仿宋" w:eastAsia="仿宋" w:cs="仿宋" w:hint="eastAsia"/>
          <w:sz w:val="28"/>
          <w:szCs w:val="21"/>
        </w:rPr>
        <w:t>用于系统（操作员站、工程师站、服务器和其它工作站等）恢复的最终光盘资料（含操作系统、各种驱动程序和组态的软件、开发工具等）。</w:t>
      </w:r>
    </w:p>
    <w:p>
      <w:pPr>
        <w:spacing w:line="23" w:lineRule="atLeast"/>
        <w:ind w:firstLine="360"/>
        <w:rPr>
          <w:rFonts w:ascii="仿宋" w:eastAsia="仿宋" w:cs="仿宋"/>
          <w:sz w:val="28"/>
          <w:szCs w:val="21"/>
        </w:rPr>
      </w:pPr>
      <w:r>
        <w:rPr>
          <w:rFonts w:ascii="仿宋" w:eastAsia="仿宋" w:cs="仿宋" w:hint="eastAsia"/>
          <w:sz w:val="28"/>
          <w:szCs w:val="21"/>
        </w:rPr>
        <w:t>工程竣工后以上资料须以书面文本和电子文档（光盘）的形式提供给招标人。</w:t>
      </w:r>
    </w:p>
    <w:p>
      <w:pPr>
        <w:pStyle w:val="2"/>
        <w:numPr>
          <w:ilvl w:val="0"/>
          <w:numId w:val="0"/>
        </w:numPr>
        <w:ind w:left="0" w:firstLineChars="200" w:firstLine="560"/>
      </w:pPr>
      <w:bookmarkStart w:id="192" w:name="_Toc4940"/>
      <w:bookmarkStart w:id="193" w:name="_Toc7239"/>
      <w:bookmarkStart w:id="194" w:name="_Toc77262006"/>
      <w:bookmarkStart w:id="195" w:name="_Toc77270376"/>
      <w:bookmarkStart w:id="196" w:name="_Toc77263887"/>
      <w:bookmarkStart w:id="197" w:name="_Toc26192241"/>
      <w:bookmarkStart w:id="198" w:name="_Toc24508"/>
      <w:bookmarkStart w:id="199" w:name="_Toc21967072"/>
      <w:r>
        <w:rPr>
          <w:rFonts w:ascii="仿宋" w:eastAsia="仿宋" w:cs="仿宋"/>
          <w:sz w:val="28"/>
          <w:szCs w:val="21"/>
        </w:rPr>
        <w:t>4、</w:t>
      </w:r>
      <w:r>
        <w:rPr>
          <w:rFonts w:hint="eastAsia"/>
        </w:rPr>
        <w:t>I/O清单</w:t>
      </w:r>
      <w:bookmarkEnd w:id="192"/>
      <w:bookmarkEnd w:id="193"/>
      <w:bookmarkEnd w:id="194"/>
      <w:bookmarkEnd w:id="195"/>
      <w:bookmarkEnd w:id="196"/>
      <w:bookmarkEnd w:id="197"/>
      <w:bookmarkEnd w:id="198"/>
      <w:bookmarkEnd w:id="199"/>
    </w:p>
    <w:p>
      <w:pPr>
        <w:spacing w:line="23" w:lineRule="atLeast"/>
        <w:ind w:firstLineChars="200" w:firstLine="600"/>
        <w:rPr>
          <w:rFonts w:ascii="仿宋" w:eastAsia="仿宋" w:cs="仿宋"/>
          <w:spacing w:val="10"/>
          <w:sz w:val="28"/>
          <w:szCs w:val="21"/>
        </w:rPr>
      </w:pPr>
      <w:r>
        <w:rPr>
          <w:rFonts w:ascii="仿宋" w:eastAsia="仿宋" w:cs="仿宋" w:hint="eastAsia"/>
          <w:spacing w:val="10"/>
          <w:sz w:val="28"/>
          <w:szCs w:val="21"/>
        </w:rPr>
        <w:t>投标人提供一份含有系统所有的过程输入、输出清单、该清单包括下列项目： 输入/输出点说明、模件和插槽代号、设计编号、端子号、信号类型、故障状态、手动状态、电缆编号、报警限值、计算用途、记录/报表要求、显示格式和修改版本号等等。书面和电子文件（EXCEL格式）均提供。</w:t>
      </w:r>
    </w:p>
    <w:p>
      <w:pPr>
        <w:pStyle w:val="2"/>
        <w:numPr>
          <w:ilvl w:val="0"/>
          <w:numId w:val="0"/>
        </w:numPr>
        <w:ind w:left="0" w:firstLineChars="200" w:firstLine="600"/>
      </w:pPr>
      <w:bookmarkStart w:id="200" w:name="_Toc21967073"/>
      <w:bookmarkStart w:id="201" w:name="_Toc77263888"/>
      <w:bookmarkStart w:id="202" w:name="_Toc26192242"/>
      <w:bookmarkStart w:id="203" w:name="_Toc77262007"/>
      <w:bookmarkStart w:id="204" w:name="_Toc17896"/>
      <w:bookmarkStart w:id="205" w:name="_Toc9759"/>
      <w:bookmarkStart w:id="206" w:name="_Toc1835"/>
      <w:bookmarkStart w:id="207" w:name="_Toc77270377"/>
      <w:r>
        <w:rPr>
          <w:rFonts w:ascii="仿宋" w:eastAsia="仿宋" w:cs="仿宋"/>
          <w:spacing w:val="10"/>
          <w:sz w:val="28"/>
          <w:szCs w:val="21"/>
        </w:rPr>
        <w:t>5、</w:t>
      </w:r>
      <w:r>
        <w:rPr>
          <w:rFonts w:hint="eastAsia"/>
        </w:rPr>
        <w:t>控制逻辑文件</w:t>
      </w:r>
      <w:bookmarkEnd w:id="200"/>
      <w:bookmarkEnd w:id="201"/>
      <w:bookmarkEnd w:id="202"/>
      <w:bookmarkEnd w:id="203"/>
      <w:bookmarkEnd w:id="204"/>
      <w:bookmarkEnd w:id="205"/>
      <w:bookmarkEnd w:id="206"/>
      <w:bookmarkEnd w:id="207"/>
    </w:p>
    <w:p>
      <w:pPr>
        <w:pStyle w:val="47"/>
        <w:numPr>
          <w:ilvl w:val="0"/>
          <w:numId w:val="24"/>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数据采集（DAS）工程逻辑图、组态逻辑图(SAMA)及设计说明；</w:t>
      </w:r>
    </w:p>
    <w:p>
      <w:pPr>
        <w:pStyle w:val="47"/>
        <w:numPr>
          <w:ilvl w:val="0"/>
          <w:numId w:val="24"/>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开关量控制（SCS）工程逻辑图、组态逻辑图(SAMA)及设计说明；</w:t>
      </w:r>
    </w:p>
    <w:p>
      <w:pPr>
        <w:pStyle w:val="47"/>
        <w:numPr>
          <w:ilvl w:val="0"/>
          <w:numId w:val="24"/>
        </w:numPr>
        <w:spacing w:line="23" w:lineRule="atLeast"/>
        <w:ind w:firstLineChars="0"/>
        <w:rPr>
          <w:rFonts w:ascii="仿宋" w:eastAsia="仿宋" w:cs="仿宋"/>
          <w:sz w:val="28"/>
          <w:szCs w:val="21"/>
        </w:rPr>
      </w:pPr>
      <w:r>
        <w:rPr>
          <w:rFonts w:ascii="仿宋" w:eastAsia="仿宋" w:cs="仿宋" w:hint="eastAsia"/>
          <w:spacing w:val="10"/>
          <w:sz w:val="28"/>
          <w:szCs w:val="21"/>
        </w:rPr>
        <w:t>模拟量控制（MCS）工程逻辑图、组态逻辑图（SAMA）及设计说明；</w:t>
      </w:r>
    </w:p>
    <w:p>
      <w:pPr>
        <w:pStyle w:val="47"/>
        <w:numPr>
          <w:ilvl w:val="0"/>
          <w:numId w:val="24"/>
        </w:numPr>
        <w:spacing w:line="23" w:lineRule="atLeast"/>
        <w:ind w:firstLineChars="0"/>
        <w:rPr>
          <w:rFonts w:ascii="仿宋" w:eastAsia="仿宋" w:cs="仿宋"/>
          <w:spacing w:val="10"/>
          <w:sz w:val="28"/>
          <w:szCs w:val="21"/>
        </w:rPr>
      </w:pPr>
      <w:r>
        <w:rPr>
          <w:rFonts w:ascii="仿宋" w:eastAsia="仿宋" w:cs="仿宋" w:hint="eastAsia"/>
          <w:spacing w:val="10"/>
          <w:sz w:val="28"/>
          <w:szCs w:val="21"/>
        </w:rPr>
        <w:t>联锁和许可条件的逻辑图，组态逻辑图（SAMA）及设计说明；</w:t>
      </w:r>
    </w:p>
    <w:p>
      <w:pPr>
        <w:pStyle w:val="2"/>
        <w:numPr>
          <w:ilvl w:val="0"/>
          <w:numId w:val="0"/>
        </w:numPr>
        <w:ind w:left="0" w:firstLineChars="200" w:firstLine="600"/>
      </w:pPr>
      <w:bookmarkStart w:id="208" w:name="_Toc19548"/>
      <w:bookmarkStart w:id="209" w:name="_Toc21967074"/>
      <w:bookmarkStart w:id="210" w:name="_Toc17531"/>
      <w:bookmarkStart w:id="211" w:name="_Toc26192243"/>
      <w:bookmarkStart w:id="212" w:name="_Toc77262008"/>
      <w:bookmarkStart w:id="213" w:name="_Toc77263889"/>
      <w:bookmarkStart w:id="214" w:name="_Toc2239"/>
      <w:bookmarkStart w:id="215" w:name="_Toc77270378"/>
      <w:r>
        <w:rPr>
          <w:rFonts w:ascii="仿宋" w:eastAsia="仿宋" w:cs="仿宋"/>
          <w:spacing w:val="10"/>
          <w:sz w:val="28"/>
          <w:szCs w:val="21"/>
        </w:rPr>
        <w:t>6、</w:t>
      </w:r>
      <w:r>
        <w:rPr>
          <w:rFonts w:hint="eastAsia"/>
        </w:rPr>
        <w:t>其它资料</w:t>
      </w:r>
      <w:bookmarkEnd w:id="208"/>
      <w:bookmarkEnd w:id="209"/>
      <w:bookmarkEnd w:id="210"/>
      <w:bookmarkEnd w:id="211"/>
      <w:bookmarkEnd w:id="212"/>
      <w:bookmarkEnd w:id="213"/>
      <w:bookmarkEnd w:id="214"/>
      <w:bookmarkEnd w:id="215"/>
    </w:p>
    <w:p>
      <w:pPr>
        <w:spacing w:line="23" w:lineRule="atLeast"/>
        <w:ind w:firstLine="420"/>
        <w:rPr>
          <w:rFonts w:ascii="仿宋" w:eastAsia="仿宋" w:cs="仿宋"/>
          <w:sz w:val="28"/>
          <w:szCs w:val="21"/>
        </w:rPr>
      </w:pPr>
      <w:r>
        <w:rPr>
          <w:rFonts w:ascii="仿宋" w:eastAsia="仿宋" w:cs="仿宋" w:hint="eastAsia"/>
          <w:sz w:val="28"/>
          <w:szCs w:val="21"/>
        </w:rPr>
        <w:t>招标人进行施工图设计和现场调试、运行、维护时所需的其它资料，投标人随时按照招标人要求的项目和时间无条件提供；</w:t>
      </w:r>
    </w:p>
    <w:p>
      <w:pPr>
        <w:pStyle w:val="1"/>
        <w:numPr>
          <w:ilvl w:val="0"/>
          <w:numId w:val="0"/>
        </w:numPr>
        <w:ind w:left="0" w:firstLine="0"/>
      </w:pPr>
      <w:bookmarkStart w:id="216" w:name="_Toc77263890"/>
      <w:bookmarkStart w:id="217" w:name="_Toc1456"/>
      <w:bookmarkStart w:id="218" w:name="_Toc27790"/>
      <w:bookmarkStart w:id="219" w:name="_Toc77262009"/>
      <w:bookmarkStart w:id="220" w:name="_Toc22223"/>
      <w:bookmarkStart w:id="221" w:name="_Toc21967075"/>
      <w:bookmarkStart w:id="222" w:name="_Toc26192244"/>
      <w:bookmarkStart w:id="223" w:name="_Toc77270379"/>
      <w:r>
        <w:t>五、</w:t>
      </w:r>
      <w:r>
        <w:rPr>
          <w:rFonts w:hint="eastAsia"/>
        </w:rPr>
        <w:t>培训</w:t>
      </w:r>
      <w:bookmarkEnd w:id="216"/>
      <w:bookmarkEnd w:id="217"/>
      <w:bookmarkEnd w:id="218"/>
      <w:bookmarkEnd w:id="219"/>
      <w:bookmarkEnd w:id="220"/>
      <w:bookmarkEnd w:id="221"/>
      <w:bookmarkEnd w:id="222"/>
      <w:bookmarkEnd w:id="223"/>
    </w:p>
    <w:p>
      <w:pPr>
        <w:pStyle w:val="2"/>
        <w:numPr>
          <w:ilvl w:val="0"/>
          <w:numId w:val="0"/>
        </w:numPr>
        <w:ind w:left="0" w:firstLineChars="200" w:firstLine="560"/>
      </w:pPr>
      <w:bookmarkStart w:id="224" w:name="_Toc26192245"/>
      <w:bookmarkStart w:id="225" w:name="_Toc77270380"/>
      <w:bookmarkStart w:id="226" w:name="_Toc77250359"/>
      <w:bookmarkStart w:id="227" w:name="_Toc21967076"/>
      <w:bookmarkStart w:id="228" w:name="_Toc26498"/>
      <w:bookmarkStart w:id="229" w:name="_Toc77252116"/>
      <w:bookmarkStart w:id="230" w:name="_Toc1565"/>
      <w:r>
        <w:t>1、</w:t>
      </w:r>
      <w:r>
        <w:rPr>
          <w:rFonts w:hint="eastAsia"/>
        </w:rPr>
        <w:t>总则</w:t>
      </w:r>
      <w:bookmarkEnd w:id="224"/>
      <w:bookmarkEnd w:id="225"/>
      <w:bookmarkEnd w:id="226"/>
      <w:bookmarkEnd w:id="227"/>
      <w:bookmarkEnd w:id="228"/>
      <w:bookmarkEnd w:id="229"/>
      <w:bookmarkEnd w:id="230"/>
    </w:p>
    <w:p>
      <w:pPr>
        <w:pStyle w:val="47"/>
        <w:numPr>
          <w:ilvl w:val="1"/>
          <w:numId w:val="25"/>
        </w:numPr>
        <w:spacing w:line="23" w:lineRule="atLeast"/>
        <w:ind w:firstLineChars="0"/>
        <w:rPr>
          <w:rFonts w:ascii="仿宋" w:eastAsia="仿宋" w:cs="仿宋"/>
          <w:sz w:val="28"/>
          <w:szCs w:val="21"/>
        </w:rPr>
      </w:pPr>
      <w:r>
        <w:rPr>
          <w:rFonts w:ascii="仿宋" w:eastAsia="仿宋" w:cs="仿宋" w:hint="eastAsia"/>
          <w:sz w:val="28"/>
          <w:szCs w:val="21"/>
        </w:rPr>
        <w:t>对招标人的运行和维修人员的培训，是PLC控制系统成功起动和运行的基础。</w:t>
      </w:r>
    </w:p>
    <w:p>
      <w:pPr>
        <w:pStyle w:val="47"/>
        <w:numPr>
          <w:ilvl w:val="1"/>
          <w:numId w:val="25"/>
        </w:numPr>
        <w:spacing w:line="23" w:lineRule="atLeast"/>
        <w:ind w:firstLineChars="0"/>
        <w:rPr>
          <w:rFonts w:ascii="仿宋" w:eastAsia="仿宋" w:cs="仿宋"/>
          <w:sz w:val="28"/>
          <w:szCs w:val="21"/>
        </w:rPr>
      </w:pPr>
      <w:r>
        <w:rPr>
          <w:rFonts w:ascii="仿宋" w:eastAsia="仿宋" w:cs="仿宋" w:hint="eastAsia"/>
          <w:sz w:val="28"/>
          <w:szCs w:val="21"/>
        </w:rPr>
        <w:t>投标人有经验的专家采用现代化的培训手段安排培训课程。</w:t>
      </w:r>
    </w:p>
    <w:p>
      <w:pPr>
        <w:pStyle w:val="47"/>
        <w:numPr>
          <w:ilvl w:val="1"/>
          <w:numId w:val="25"/>
        </w:numPr>
        <w:spacing w:line="23" w:lineRule="atLeast"/>
        <w:ind w:firstLineChars="0"/>
        <w:rPr>
          <w:rFonts w:ascii="仿宋" w:eastAsia="仿宋" w:cs="仿宋"/>
          <w:sz w:val="28"/>
          <w:szCs w:val="21"/>
        </w:rPr>
      </w:pPr>
      <w:r>
        <w:rPr>
          <w:rFonts w:ascii="仿宋" w:eastAsia="仿宋" w:cs="仿宋" w:hint="eastAsia"/>
          <w:sz w:val="28"/>
          <w:szCs w:val="21"/>
        </w:rPr>
        <w:t>每位教员均具备正规课堂讲学的经验。教员负责教会学员掌握培训课程的内容，如何使用技术资料的指导，并解答学员在培训过程中提出的有关问题。</w:t>
      </w:r>
    </w:p>
    <w:p>
      <w:pPr>
        <w:pStyle w:val="47"/>
        <w:numPr>
          <w:ilvl w:val="1"/>
          <w:numId w:val="25"/>
        </w:numPr>
        <w:spacing w:line="23" w:lineRule="atLeast"/>
        <w:ind w:firstLineChars="0"/>
        <w:rPr>
          <w:rFonts w:ascii="仿宋" w:eastAsia="仿宋" w:cs="仿宋"/>
          <w:sz w:val="28"/>
          <w:szCs w:val="21"/>
        </w:rPr>
      </w:pPr>
      <w:r>
        <w:rPr>
          <w:rFonts w:ascii="仿宋" w:eastAsia="仿宋" w:cs="仿宋" w:hint="eastAsia"/>
          <w:sz w:val="28"/>
          <w:szCs w:val="21"/>
        </w:rPr>
        <w:t>培训课程在投标人的工厂中进行，如果招标人在现场进行附加培训。投标人向学员提供必要的技术资料、图纸、设备、仪表和安全防护用具。</w:t>
      </w:r>
    </w:p>
    <w:p>
      <w:pPr>
        <w:pStyle w:val="47"/>
        <w:numPr>
          <w:ilvl w:val="1"/>
          <w:numId w:val="25"/>
        </w:numPr>
        <w:spacing w:line="23" w:lineRule="atLeast"/>
        <w:ind w:firstLineChars="0"/>
        <w:rPr>
          <w:rFonts w:ascii="仿宋" w:eastAsia="仿宋" w:cs="仿宋"/>
          <w:sz w:val="28"/>
          <w:szCs w:val="21"/>
        </w:rPr>
      </w:pPr>
      <w:r>
        <w:rPr>
          <w:rFonts w:ascii="仿宋" w:eastAsia="仿宋" w:cs="仿宋" w:hint="eastAsia"/>
          <w:sz w:val="28"/>
          <w:szCs w:val="21"/>
        </w:rPr>
        <w:t>投标人提供初步的培训计划，列出时间、地点、人数等内容，正式的培训计划经双方协商后确定。</w:t>
      </w:r>
    </w:p>
    <w:p>
      <w:pPr>
        <w:pStyle w:val="47"/>
        <w:numPr>
          <w:ilvl w:val="1"/>
          <w:numId w:val="25"/>
        </w:numPr>
        <w:spacing w:line="23" w:lineRule="atLeast"/>
        <w:ind w:firstLineChars="0"/>
        <w:rPr>
          <w:rFonts w:ascii="仿宋" w:eastAsia="仿宋" w:cs="仿宋"/>
          <w:sz w:val="28"/>
          <w:szCs w:val="21"/>
        </w:rPr>
      </w:pPr>
      <w:r>
        <w:rPr>
          <w:rFonts w:ascii="仿宋" w:eastAsia="仿宋" w:cs="仿宋" w:hint="eastAsia"/>
          <w:sz w:val="28"/>
          <w:szCs w:val="21"/>
        </w:rPr>
        <w:t>在培训结束时，投标人对学员作出评价，形成培训评价表，并直接通知招标人。</w:t>
      </w:r>
    </w:p>
    <w:p>
      <w:pPr>
        <w:pStyle w:val="2"/>
        <w:numPr>
          <w:ilvl w:val="0"/>
          <w:numId w:val="0"/>
        </w:numPr>
        <w:ind w:left="0" w:firstLineChars="200" w:firstLine="560"/>
      </w:pPr>
      <w:bookmarkStart w:id="231" w:name="_Toc77252117"/>
      <w:bookmarkStart w:id="232" w:name="_Toc21967077"/>
      <w:bookmarkStart w:id="233" w:name="_Toc77250360"/>
      <w:bookmarkStart w:id="234" w:name="_Toc26192246"/>
      <w:bookmarkStart w:id="235" w:name="_Toc77270381"/>
      <w:bookmarkStart w:id="236" w:name="_Toc11952"/>
      <w:bookmarkStart w:id="237" w:name="_Toc28339"/>
      <w:r>
        <w:rPr>
          <w:rFonts w:ascii="仿宋" w:eastAsia="仿宋" w:cs="仿宋"/>
          <w:sz w:val="28"/>
          <w:szCs w:val="21"/>
        </w:rPr>
        <w:t>2、</w:t>
      </w:r>
      <w:r>
        <w:rPr>
          <w:rFonts w:hint="eastAsia"/>
        </w:rPr>
        <w:t>投标人培训</w:t>
      </w:r>
      <w:bookmarkEnd w:id="231"/>
      <w:bookmarkEnd w:id="232"/>
      <w:bookmarkEnd w:id="233"/>
      <w:bookmarkEnd w:id="234"/>
      <w:bookmarkEnd w:id="235"/>
      <w:bookmarkEnd w:id="236"/>
      <w:bookmarkEnd w:id="237"/>
    </w:p>
    <w:p>
      <w:pPr>
        <w:spacing w:line="23" w:lineRule="atLeast"/>
        <w:ind w:firstLineChars="200" w:firstLine="560"/>
        <w:rPr>
          <w:rFonts w:ascii="仿宋" w:eastAsia="仿宋" w:cs="仿宋"/>
          <w:sz w:val="28"/>
          <w:szCs w:val="21"/>
        </w:rPr>
      </w:pPr>
      <w:r>
        <w:rPr>
          <w:rFonts w:ascii="仿宋" w:eastAsia="仿宋" w:cs="仿宋" w:hint="eastAsia"/>
          <w:sz w:val="28"/>
          <w:szCs w:val="21"/>
        </w:rPr>
        <w:t>培训内容至少有如下内容：</w:t>
      </w:r>
    </w:p>
    <w:p>
      <w:pPr>
        <w:pStyle w:val="47"/>
        <w:numPr>
          <w:ilvl w:val="0"/>
          <w:numId w:val="26"/>
        </w:numPr>
        <w:ind w:firstLineChars="0"/>
        <w:rPr>
          <w:rFonts w:ascii="仿宋" w:eastAsia="仿宋" w:cs="仿宋"/>
          <w:sz w:val="28"/>
          <w:szCs w:val="21"/>
        </w:rPr>
      </w:pPr>
      <w:r>
        <w:rPr>
          <w:rFonts w:ascii="仿宋" w:eastAsia="仿宋" w:cs="仿宋" w:hint="eastAsia"/>
          <w:sz w:val="28"/>
          <w:szCs w:val="21"/>
        </w:rPr>
        <w:t>PLC的内部结构和特点</w:t>
      </w:r>
    </w:p>
    <w:p>
      <w:pPr>
        <w:pStyle w:val="47"/>
        <w:numPr>
          <w:ilvl w:val="0"/>
          <w:numId w:val="26"/>
        </w:numPr>
        <w:ind w:firstLineChars="0"/>
        <w:rPr>
          <w:rFonts w:ascii="仿宋" w:eastAsia="仿宋" w:cs="仿宋"/>
          <w:sz w:val="28"/>
          <w:szCs w:val="21"/>
        </w:rPr>
      </w:pPr>
      <w:r>
        <w:rPr>
          <w:rFonts w:ascii="仿宋" w:eastAsia="仿宋" w:cs="仿宋" w:hint="eastAsia"/>
          <w:sz w:val="28"/>
          <w:szCs w:val="21"/>
        </w:rPr>
        <w:t>软件组态</w:t>
      </w:r>
    </w:p>
    <w:p>
      <w:pPr>
        <w:pStyle w:val="47"/>
        <w:numPr>
          <w:ilvl w:val="0"/>
          <w:numId w:val="26"/>
        </w:numPr>
        <w:ind w:firstLineChars="0"/>
        <w:rPr>
          <w:rFonts w:ascii="仿宋" w:eastAsia="仿宋" w:cs="仿宋"/>
          <w:sz w:val="28"/>
          <w:szCs w:val="21"/>
        </w:rPr>
      </w:pPr>
      <w:r>
        <w:rPr>
          <w:rFonts w:ascii="仿宋" w:eastAsia="仿宋" w:cs="仿宋" w:hint="eastAsia"/>
          <w:sz w:val="28"/>
          <w:szCs w:val="21"/>
        </w:rPr>
        <w:t>LCD画面制作及操作</w:t>
      </w:r>
    </w:p>
    <w:p>
      <w:pPr>
        <w:pStyle w:val="47"/>
        <w:numPr>
          <w:ilvl w:val="0"/>
          <w:numId w:val="26"/>
        </w:numPr>
        <w:ind w:firstLineChars="0"/>
        <w:rPr>
          <w:rFonts w:ascii="仿宋" w:eastAsia="仿宋" w:cs="仿宋"/>
          <w:sz w:val="28"/>
          <w:szCs w:val="21"/>
        </w:rPr>
      </w:pPr>
      <w:r>
        <w:rPr>
          <w:rFonts w:ascii="仿宋" w:eastAsia="仿宋" w:cs="仿宋" w:hint="eastAsia"/>
          <w:sz w:val="28"/>
          <w:szCs w:val="21"/>
        </w:rPr>
        <w:t>硬件维护、检查测试、查找故障的方法</w:t>
      </w:r>
    </w:p>
    <w:p>
      <w:pPr>
        <w:pStyle w:val="47"/>
        <w:numPr>
          <w:ilvl w:val="0"/>
          <w:numId w:val="26"/>
        </w:numPr>
        <w:ind w:firstLineChars="0"/>
        <w:rPr>
          <w:rFonts w:ascii="仿宋" w:eastAsia="仿宋" w:cs="仿宋"/>
          <w:sz w:val="28"/>
          <w:szCs w:val="21"/>
        </w:rPr>
      </w:pPr>
      <w:r>
        <w:rPr>
          <w:rFonts w:ascii="仿宋" w:eastAsia="仿宋" w:cs="仿宋" w:hint="eastAsia"/>
          <w:sz w:val="28"/>
          <w:szCs w:val="21"/>
        </w:rPr>
        <w:t>数据通讯系统的基本原理、通讯协议和接口</w:t>
      </w:r>
    </w:p>
    <w:p>
      <w:pPr>
        <w:pStyle w:val="47"/>
        <w:numPr>
          <w:ilvl w:val="0"/>
          <w:numId w:val="26"/>
        </w:numPr>
        <w:ind w:firstLineChars="0"/>
        <w:rPr>
          <w:rFonts w:ascii="仿宋" w:eastAsia="仿宋" w:cs="仿宋"/>
          <w:sz w:val="28"/>
          <w:szCs w:val="21"/>
        </w:rPr>
      </w:pPr>
      <w:r>
        <w:rPr>
          <w:rFonts w:ascii="仿宋" w:eastAsia="仿宋" w:cs="仿宋" w:hint="eastAsia"/>
          <w:sz w:val="28"/>
          <w:szCs w:val="21"/>
        </w:rPr>
        <w:t>PLC的仿真培训和故障排除</w:t>
      </w:r>
    </w:p>
    <w:p>
      <w:pPr>
        <w:pStyle w:val="47"/>
        <w:numPr>
          <w:ilvl w:val="0"/>
          <w:numId w:val="26"/>
        </w:numPr>
        <w:ind w:firstLineChars="0"/>
        <w:rPr>
          <w:rFonts w:ascii="仿宋" w:eastAsia="仿宋" w:cs="仿宋"/>
          <w:sz w:val="28"/>
          <w:szCs w:val="21"/>
        </w:rPr>
      </w:pPr>
      <w:r>
        <w:rPr>
          <w:rFonts w:ascii="仿宋" w:eastAsia="仿宋" w:cs="仿宋" w:hint="eastAsia"/>
          <w:sz w:val="28"/>
          <w:szCs w:val="21"/>
        </w:rPr>
        <w:t>上机操作和编程指导</w:t>
      </w:r>
    </w:p>
    <w:p>
      <w:pPr>
        <w:pStyle w:val="2"/>
        <w:numPr>
          <w:ilvl w:val="0"/>
          <w:numId w:val="0"/>
        </w:numPr>
        <w:ind w:left="0" w:firstLineChars="200" w:firstLine="560"/>
      </w:pPr>
      <w:bookmarkStart w:id="238" w:name="_Toc28528"/>
      <w:bookmarkStart w:id="239" w:name="_Toc77252118"/>
      <w:bookmarkStart w:id="240" w:name="_Toc77250361"/>
      <w:bookmarkStart w:id="241" w:name="_Toc77270382"/>
      <w:r>
        <w:rPr>
          <w:rFonts w:ascii="仿宋" w:eastAsia="仿宋" w:cs="仿宋"/>
          <w:sz w:val="28"/>
          <w:szCs w:val="21"/>
        </w:rPr>
        <w:t>3、</w:t>
      </w:r>
      <w:r>
        <w:rPr>
          <w:rFonts w:hint="eastAsia"/>
        </w:rPr>
        <w:t>现场培训</w:t>
      </w:r>
      <w:bookmarkEnd w:id="238"/>
      <w:bookmarkEnd w:id="239"/>
      <w:bookmarkEnd w:id="240"/>
      <w:bookmarkEnd w:id="241"/>
    </w:p>
    <w:p>
      <w:pPr>
        <w:ind w:firstLine="360"/>
        <w:rPr>
          <w:rFonts w:ascii="仿宋" w:eastAsia="仿宋" w:cs="仿宋"/>
          <w:sz w:val="28"/>
          <w:szCs w:val="21"/>
        </w:rPr>
      </w:pPr>
      <w:r>
        <w:rPr>
          <w:rFonts w:ascii="仿宋" w:eastAsia="仿宋" w:cs="仿宋" w:hint="eastAsia"/>
          <w:sz w:val="28"/>
          <w:szCs w:val="21"/>
        </w:rPr>
        <w:t>投标人提供招标人认为必要的附加培训，因为在投标人培训结束，投标人对所供硬件和软件又有所修改。这种附加培训可在工程现场进行。</w:t>
      </w:r>
    </w:p>
    <w:p>
      <w:pPr>
        <w:ind w:firstLine="360"/>
        <w:rPr>
          <w:rFonts w:ascii="仿宋" w:eastAsia="仿宋" w:cs="仿宋"/>
          <w:sz w:val="28"/>
          <w:szCs w:val="21"/>
        </w:rPr>
      </w:pPr>
      <w:r>
        <w:rPr>
          <w:rFonts w:ascii="仿宋" w:eastAsia="仿宋" w:cs="仿宋" w:hint="eastAsia"/>
          <w:sz w:val="28"/>
          <w:szCs w:val="21"/>
        </w:rPr>
        <w:t>投标人派出有关专家到现场，承担现场操作人员培训任务。</w:t>
      </w:r>
    </w:p>
    <w:p>
      <w:pPr>
        <w:ind w:firstLine="360"/>
        <w:rPr>
          <w:rFonts w:ascii="仿宋" w:eastAsia="仿宋" w:cs="仿宋"/>
          <w:sz w:val="28"/>
          <w:szCs w:val="21"/>
        </w:rPr>
      </w:pPr>
      <w:r>
        <w:rPr>
          <w:rFonts w:ascii="仿宋" w:eastAsia="仿宋" w:cs="仿宋" w:hint="eastAsia"/>
          <w:sz w:val="28"/>
          <w:szCs w:val="21"/>
        </w:rPr>
        <w:t>现场培训至少有下列内容：</w:t>
      </w:r>
    </w:p>
    <w:p>
      <w:pPr>
        <w:pStyle w:val="47"/>
        <w:numPr>
          <w:ilvl w:val="0"/>
          <w:numId w:val="27"/>
        </w:numPr>
        <w:ind w:firstLineChars="0"/>
        <w:rPr>
          <w:rFonts w:ascii="仿宋" w:eastAsia="仿宋" w:cs="仿宋"/>
          <w:sz w:val="28"/>
          <w:szCs w:val="21"/>
        </w:rPr>
      </w:pPr>
      <w:r>
        <w:rPr>
          <w:rFonts w:ascii="仿宋" w:eastAsia="仿宋" w:cs="仿宋" w:hint="eastAsia"/>
          <w:sz w:val="28"/>
          <w:szCs w:val="21"/>
        </w:rPr>
        <w:t>控制系统的基本知识和系统组态、操作。</w:t>
      </w:r>
    </w:p>
    <w:p>
      <w:pPr>
        <w:pStyle w:val="47"/>
        <w:numPr>
          <w:ilvl w:val="0"/>
          <w:numId w:val="27"/>
        </w:numPr>
        <w:ind w:firstLineChars="0"/>
        <w:rPr>
          <w:rFonts w:ascii="仿宋" w:eastAsia="仿宋" w:cs="仿宋"/>
          <w:sz w:val="28"/>
          <w:szCs w:val="21"/>
        </w:rPr>
      </w:pPr>
      <w:r>
        <w:rPr>
          <w:rFonts w:ascii="仿宋" w:eastAsia="仿宋" w:cs="仿宋" w:hint="eastAsia"/>
          <w:sz w:val="28"/>
          <w:szCs w:val="21"/>
        </w:rPr>
        <w:t>设备安装、检查、排除故障，</w:t>
      </w:r>
    </w:p>
    <w:p>
      <w:pPr>
        <w:pStyle w:val="47"/>
        <w:numPr>
          <w:ilvl w:val="0"/>
          <w:numId w:val="27"/>
        </w:numPr>
        <w:ind w:firstLineChars="0"/>
        <w:rPr>
          <w:rFonts w:ascii="仿宋" w:eastAsia="仿宋" w:cs="仿宋"/>
          <w:sz w:val="28"/>
          <w:szCs w:val="21"/>
        </w:rPr>
      </w:pPr>
      <w:r>
        <w:rPr>
          <w:rFonts w:ascii="仿宋" w:eastAsia="仿宋" w:cs="仿宋" w:hint="eastAsia"/>
          <w:sz w:val="28"/>
          <w:szCs w:val="21"/>
        </w:rPr>
        <w:t>在线联调和维修等课程。</w:t>
      </w:r>
    </w:p>
    <w:p>
      <w:pPr>
        <w:pStyle w:val="47"/>
        <w:numPr>
          <w:ilvl w:val="0"/>
          <w:numId w:val="27"/>
        </w:numPr>
        <w:ind w:firstLineChars="0"/>
        <w:rPr>
          <w:rFonts w:ascii="仿宋" w:eastAsia="仿宋" w:cs="仿宋"/>
          <w:sz w:val="28"/>
          <w:szCs w:val="21"/>
        </w:rPr>
      </w:pPr>
      <w:r>
        <w:rPr>
          <w:rFonts w:ascii="仿宋" w:eastAsia="仿宋" w:cs="仿宋" w:hint="eastAsia"/>
          <w:sz w:val="28"/>
          <w:szCs w:val="21"/>
        </w:rPr>
        <w:t>人--机接口的应用培训。</w:t>
      </w:r>
    </w:p>
    <w:p>
      <w:pPr>
        <w:pStyle w:val="15"/>
        <w:ind w:firstLineChars="150" w:firstLine="420"/>
        <w:rPr>
          <w:rFonts w:ascii="仿宋" w:eastAsia="仿宋" w:cs="仿宋"/>
          <w:sz w:val="28"/>
          <w:szCs w:val="21"/>
        </w:rPr>
      </w:pPr>
      <w:r>
        <w:rPr>
          <w:rFonts w:ascii="仿宋" w:eastAsia="仿宋" w:cs="仿宋" w:hint="eastAsia"/>
          <w:sz w:val="28"/>
          <w:szCs w:val="21"/>
        </w:rPr>
        <w:t>当进行现场安装和开环测试时，投标人对招标人的运行人员进行PLC在线操作培训。</w:t>
      </w:r>
    </w:p>
    <w:p>
      <w:pPr>
        <w:pStyle w:val="1"/>
        <w:numPr>
          <w:ilvl w:val="0"/>
          <w:numId w:val="0"/>
        </w:numPr>
        <w:ind w:left="0" w:firstLine="0"/>
      </w:pPr>
      <w:bookmarkStart w:id="242" w:name="_Toc29449"/>
      <w:bookmarkStart w:id="243" w:name="_Toc9145"/>
      <w:bookmarkStart w:id="244" w:name="_Toc77262013"/>
      <w:bookmarkStart w:id="245" w:name="_Toc77270383"/>
      <w:bookmarkStart w:id="246" w:name="_Toc77263894"/>
      <w:bookmarkStart w:id="247" w:name="_Toc13084590"/>
      <w:r>
        <w:rPr>
          <w:rFonts w:ascii="黑体" w:cs="仿宋" w:hint="eastAsia"/>
          <w:sz w:val="28"/>
          <w:szCs w:val="21"/>
        </w:rPr>
        <w:t>六、</w:t>
      </w:r>
      <w:r>
        <w:rPr>
          <w:rFonts w:hint="eastAsia"/>
        </w:rPr>
        <w:t>发货和包装要求</w:t>
      </w:r>
      <w:bookmarkEnd w:id="242"/>
      <w:bookmarkEnd w:id="243"/>
      <w:bookmarkEnd w:id="244"/>
      <w:bookmarkEnd w:id="245"/>
      <w:bookmarkEnd w:id="246"/>
      <w:bookmarkEnd w:id="247"/>
    </w:p>
    <w:p>
      <w:pPr>
        <w:ind w:firstLineChars="200" w:firstLine="560"/>
        <w:jc w:val="left"/>
        <w:rPr>
          <w:rFonts w:ascii="仿宋" w:eastAsia="仿宋" w:cs="仿宋"/>
          <w:b/>
          <w:bCs/>
          <w:sz w:val="28"/>
          <w:szCs w:val="21"/>
        </w:rPr>
      </w:pPr>
      <w:r>
        <w:rPr>
          <w:rFonts w:ascii="仿宋" w:eastAsia="仿宋" w:cs="仿宋"/>
          <w:b/>
          <w:bCs/>
          <w:sz w:val="28"/>
          <w:szCs w:val="21"/>
        </w:rPr>
        <w:t>1、</w:t>
      </w:r>
      <w:r>
        <w:rPr>
          <w:rFonts w:ascii="仿宋" w:eastAsia="仿宋" w:cs="仿宋" w:hint="eastAsia"/>
          <w:b/>
          <w:bCs/>
          <w:sz w:val="28"/>
          <w:szCs w:val="21"/>
        </w:rPr>
        <w:t>发货和包装要求如下。</w:t>
      </w:r>
    </w:p>
    <w:tbl>
      <w:tblPr>
        <w:jc w:val="cente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775"/>
        <w:gridCol w:w="7555"/>
        <w:gridCol w:w="1083"/>
      </w:tblGrid>
      <w:tr>
        <w:trPr>
          <w:trHeight w:val="454"/>
        </w:trPr>
        <w:tc>
          <w:tcPr>
            <w:tcW w:w="775" w:type="dxa"/>
            <w:noWrap/>
          </w:tcPr>
          <w:p>
            <w:pPr>
              <w:spacing w:line="400" w:lineRule="exact"/>
              <w:jc w:val="center"/>
              <w:rPr>
                <w:rFonts w:ascii="仿宋" w:eastAsia="仿宋" w:cs="仿宋"/>
                <w:b/>
              </w:rPr>
            </w:pPr>
            <w:r>
              <w:rPr>
                <w:rFonts w:ascii="仿宋" w:eastAsia="仿宋" w:cs="仿宋" w:hint="eastAsia"/>
                <w:b/>
              </w:rPr>
              <w:t>序号</w:t>
            </w:r>
          </w:p>
        </w:tc>
        <w:tc>
          <w:tcPr>
            <w:tcW w:w="7555" w:type="dxa"/>
            <w:noWrap/>
          </w:tcPr>
          <w:p>
            <w:pPr>
              <w:spacing w:line="400" w:lineRule="exact"/>
              <w:ind w:left="0" w:hanging="2"/>
              <w:jc w:val="center"/>
              <w:rPr>
                <w:rFonts w:ascii="仿宋" w:eastAsia="仿宋" w:cs="仿宋"/>
                <w:b/>
              </w:rPr>
            </w:pPr>
            <w:r>
              <w:rPr>
                <w:rFonts w:ascii="仿宋" w:eastAsia="仿宋" w:cs="仿宋" w:hint="eastAsia"/>
                <w:b/>
              </w:rPr>
              <w:t>详细要求</w:t>
            </w:r>
          </w:p>
        </w:tc>
        <w:tc>
          <w:tcPr>
            <w:tcW w:w="1083" w:type="dxa"/>
            <w:noWrap/>
          </w:tcPr>
          <w:p>
            <w:pPr>
              <w:spacing w:line="400" w:lineRule="exact"/>
              <w:jc w:val="center"/>
              <w:rPr>
                <w:rFonts w:ascii="仿宋" w:eastAsia="仿宋" w:cs="仿宋"/>
              </w:rPr>
            </w:pPr>
            <w:r>
              <w:rPr>
                <w:rFonts w:ascii="仿宋" w:eastAsia="仿宋" w:cs="仿宋" w:hint="eastAsia"/>
              </w:rPr>
              <w:t>性质</w:t>
            </w:r>
          </w:p>
        </w:tc>
      </w:tr>
      <w:tr>
        <w:tc>
          <w:tcPr>
            <w:tcW w:w="775" w:type="dxa"/>
            <w:noWrap/>
            <w:vAlign w:val="center"/>
          </w:tcPr>
          <w:p>
            <w:pPr>
              <w:spacing w:line="400" w:lineRule="exact"/>
              <w:jc w:val="center"/>
              <w:rPr>
                <w:rFonts w:ascii="仿宋" w:eastAsia="仿宋" w:cs="仿宋"/>
              </w:rPr>
            </w:pPr>
            <w:r>
              <w:rPr>
                <w:rFonts w:ascii="仿宋" w:eastAsia="仿宋" w:cs="仿宋" w:hint="eastAsia"/>
              </w:rPr>
              <w:t>1</w:t>
            </w:r>
          </w:p>
        </w:tc>
        <w:tc>
          <w:tcPr>
            <w:tcW w:w="7555" w:type="dxa"/>
            <w:noWrap/>
            <w:vAlign w:val="center"/>
          </w:tcPr>
          <w:p>
            <w:pPr>
              <w:spacing w:line="400" w:lineRule="exact"/>
              <w:ind w:left="0" w:hanging="2"/>
              <w:rPr>
                <w:rFonts w:ascii="仿宋" w:eastAsia="仿宋" w:cs="仿宋"/>
                <w:b/>
              </w:rPr>
            </w:pPr>
            <w:r>
              <w:rPr>
                <w:rFonts w:ascii="仿宋" w:eastAsia="仿宋" w:cs="仿宋" w:hint="eastAsia"/>
                <w:b/>
              </w:rPr>
              <w:t>发货要求为：</w:t>
            </w:r>
          </w:p>
          <w:p>
            <w:pPr>
              <w:spacing w:line="400" w:lineRule="exact"/>
              <w:ind w:firstLine="480"/>
              <w:rPr>
                <w:rFonts w:ascii="仿宋" w:eastAsia="仿宋" w:cs="仿宋"/>
              </w:rPr>
            </w:pPr>
            <w:r>
              <w:rPr>
                <w:rFonts w:ascii="仿宋" w:eastAsia="仿宋" w:cs="仿宋" w:hint="eastAsia"/>
              </w:rPr>
              <w:t>1)全新完好的设备以及附件在规定的时间内到达指定现场；</w:t>
            </w:r>
          </w:p>
          <w:p>
            <w:pPr>
              <w:spacing w:line="400" w:lineRule="exact"/>
              <w:ind w:firstLine="480"/>
              <w:rPr>
                <w:rFonts w:ascii="仿宋" w:eastAsia="仿宋" w:cs="仿宋"/>
              </w:rPr>
            </w:pPr>
            <w:r>
              <w:rPr>
                <w:rFonts w:ascii="仿宋" w:eastAsia="仿宋" w:cs="仿宋" w:hint="eastAsia"/>
              </w:rPr>
              <w:t>2)</w:t>
            </w:r>
            <w:r>
              <w:rPr>
                <w:rFonts w:ascii="仿宋" w:eastAsia="仿宋" w:cs="仿宋" w:hint="eastAsia"/>
                <w:kern w:val="0"/>
              </w:rPr>
              <w:t>按照项目进度要求发货。</w:t>
            </w:r>
          </w:p>
        </w:tc>
        <w:tc>
          <w:tcPr>
            <w:tcW w:w="1083" w:type="dxa"/>
            <w:noWrap/>
            <w:vAlign w:val="center"/>
          </w:tcPr>
          <w:p>
            <w:pPr>
              <w:spacing w:line="400" w:lineRule="exact"/>
              <w:jc w:val="center"/>
              <w:rPr>
                <w:rFonts w:ascii="仿宋" w:eastAsia="仿宋" w:cs="仿宋"/>
              </w:rPr>
            </w:pPr>
            <w:r>
              <w:rPr>
                <w:rFonts w:ascii="仿宋" w:eastAsia="仿宋" w:cs="仿宋" w:hint="eastAsia"/>
              </w:rPr>
              <w:t>关键</w:t>
            </w:r>
          </w:p>
        </w:tc>
      </w:tr>
      <w:tr>
        <w:tc>
          <w:tcPr>
            <w:tcW w:w="775" w:type="dxa"/>
            <w:tcBorders>
              <w:bottom w:val="single" w:sz="4" w:space="0" w:color="auto"/>
            </w:tcBorders>
            <w:noWrap/>
            <w:vAlign w:val="center"/>
          </w:tcPr>
          <w:p>
            <w:pPr>
              <w:spacing w:line="400" w:lineRule="exact"/>
              <w:jc w:val="center"/>
              <w:rPr>
                <w:rFonts w:ascii="仿宋" w:eastAsia="仿宋" w:cs="仿宋"/>
              </w:rPr>
            </w:pPr>
            <w:r>
              <w:rPr>
                <w:rFonts w:ascii="仿宋" w:eastAsia="仿宋" w:cs="仿宋" w:hint="eastAsia"/>
              </w:rPr>
              <w:t>2</w:t>
            </w:r>
          </w:p>
        </w:tc>
        <w:tc>
          <w:tcPr>
            <w:tcW w:w="7555" w:type="dxa"/>
            <w:noWrap/>
            <w:vAlign w:val="center"/>
          </w:tcPr>
          <w:p>
            <w:pPr>
              <w:pStyle w:val="45"/>
              <w:spacing w:beforeLines="50" w:before="156" w:line="400" w:lineRule="exact"/>
              <w:ind w:firstLineChars="0" w:firstLine="0"/>
              <w:rPr>
                <w:rFonts w:ascii="仿宋" w:eastAsia="仿宋" w:cs="仿宋"/>
                <w:b/>
                <w:szCs w:val="24"/>
              </w:rPr>
            </w:pPr>
            <w:r>
              <w:rPr>
                <w:rFonts w:ascii="仿宋" w:eastAsia="仿宋" w:cs="仿宋" w:hint="eastAsia"/>
                <w:b/>
                <w:szCs w:val="24"/>
              </w:rPr>
              <w:t>发货包装要求为：</w:t>
            </w:r>
          </w:p>
          <w:p>
            <w:pPr>
              <w:spacing w:line="400" w:lineRule="exact"/>
              <w:ind w:firstLine="480"/>
              <w:rPr>
                <w:rFonts w:ascii="仿宋" w:eastAsia="仿宋" w:cs="仿宋"/>
              </w:rPr>
            </w:pPr>
            <w:r>
              <w:rPr>
                <w:rFonts w:ascii="仿宋" w:eastAsia="仿宋" w:cs="仿宋" w:hint="eastAsia"/>
              </w:rPr>
              <w:t>设备包装安全可靠并做好防雨、防火、防潮、防撞措施。</w:t>
            </w:r>
          </w:p>
        </w:tc>
        <w:tc>
          <w:tcPr>
            <w:tcW w:w="1083" w:type="dxa"/>
            <w:noWrap/>
            <w:vAlign w:val="center"/>
          </w:tcPr>
          <w:p>
            <w:pPr>
              <w:spacing w:line="400" w:lineRule="exact"/>
              <w:jc w:val="center"/>
              <w:rPr>
                <w:rFonts w:ascii="仿宋" w:eastAsia="仿宋" w:cs="仿宋"/>
              </w:rPr>
            </w:pPr>
            <w:r>
              <w:rPr>
                <w:rFonts w:ascii="仿宋" w:eastAsia="仿宋" w:cs="仿宋" w:hint="eastAsia"/>
              </w:rPr>
              <w:t>重要</w:t>
            </w:r>
          </w:p>
        </w:tc>
      </w:tr>
    </w:tbl>
    <w:p>
      <w:pPr>
        <w:jc w:val="center"/>
        <w:rPr>
          <w:rFonts w:ascii="仿宋" w:eastAsia="仿宋" w:cs="仿宋"/>
          <w:szCs w:val="21"/>
        </w:rPr>
      </w:pPr>
    </w:p>
    <w:p>
      <w:pPr>
        <w:pStyle w:val="2"/>
        <w:numPr>
          <w:ilvl w:val="0"/>
          <w:numId w:val="0"/>
        </w:numPr>
        <w:ind w:left="0" w:firstLineChars="200" w:firstLine="560"/>
      </w:pPr>
      <w:bookmarkStart w:id="248" w:name="_Toc26902"/>
      <w:bookmarkStart w:id="249" w:name="_Toc77263895"/>
      <w:bookmarkStart w:id="250" w:name="_Toc77262014"/>
      <w:bookmarkStart w:id="251" w:name="_Toc77270384"/>
      <w:r>
        <w:t>2、</w:t>
      </w:r>
      <w:r>
        <w:rPr>
          <w:rFonts w:hint="eastAsia"/>
        </w:rPr>
        <w:t>安装施工要求</w:t>
      </w:r>
      <w:bookmarkEnd w:id="248"/>
      <w:bookmarkEnd w:id="249"/>
      <w:bookmarkEnd w:id="250"/>
      <w:bookmarkEnd w:id="251"/>
    </w:p>
    <w:tbl>
      <w:tblPr>
        <w:tblpPr w:leftFromText="180" w:rightFromText="180" w:vertAnchor="text" w:horzAnchor="page" w:tblpX="1531" w:tblpY="31"/>
        <w:tblOverlap w:val="neve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17"/>
        <w:gridCol w:w="7547"/>
        <w:gridCol w:w="992"/>
      </w:tblGrid>
      <w:tr>
        <w:trPr>
          <w:trHeight w:val="454"/>
          <w:tblHeader/>
        </w:trPr>
        <w:tc>
          <w:tcPr>
            <w:tcW w:w="817" w:type="dxa"/>
            <w:noWrap/>
            <w:vAlign w:val="center"/>
          </w:tcPr>
          <w:p>
            <w:pPr>
              <w:spacing w:line="0" w:lineRule="atLeast"/>
              <w:jc w:val="center"/>
              <w:rPr>
                <w:rFonts w:ascii="仿宋" w:eastAsia="仿宋" w:cs="仿宋"/>
                <w:b/>
              </w:rPr>
            </w:pPr>
            <w:r>
              <w:rPr>
                <w:rFonts w:ascii="仿宋" w:eastAsia="仿宋" w:cs="仿宋" w:hint="eastAsia"/>
                <w:b/>
              </w:rPr>
              <w:t>序号</w:t>
            </w:r>
          </w:p>
        </w:tc>
        <w:tc>
          <w:tcPr>
            <w:tcW w:w="7547" w:type="dxa"/>
            <w:noWrap/>
            <w:vAlign w:val="center"/>
          </w:tcPr>
          <w:p>
            <w:pPr>
              <w:spacing w:line="0" w:lineRule="atLeast"/>
              <w:jc w:val="center"/>
              <w:rPr>
                <w:rFonts w:ascii="仿宋" w:eastAsia="仿宋" w:cs="仿宋"/>
                <w:b/>
              </w:rPr>
            </w:pPr>
            <w:r>
              <w:rPr>
                <w:rFonts w:ascii="仿宋" w:eastAsia="仿宋" w:cs="仿宋" w:hint="eastAsia"/>
                <w:b/>
              </w:rPr>
              <w:t>详细要求</w:t>
            </w:r>
          </w:p>
        </w:tc>
        <w:tc>
          <w:tcPr>
            <w:tcW w:w="992" w:type="dxa"/>
            <w:noWrap/>
            <w:vAlign w:val="center"/>
          </w:tcPr>
          <w:p>
            <w:pPr>
              <w:spacing w:line="0" w:lineRule="atLeast"/>
              <w:jc w:val="center"/>
              <w:rPr>
                <w:rFonts w:ascii="仿宋" w:eastAsia="仿宋" w:cs="仿宋"/>
                <w:b/>
              </w:rPr>
            </w:pPr>
            <w:r>
              <w:rPr>
                <w:rFonts w:ascii="仿宋" w:eastAsia="仿宋" w:cs="仿宋" w:hint="eastAsia"/>
                <w:b/>
              </w:rPr>
              <w:t>性质</w:t>
            </w:r>
          </w:p>
        </w:tc>
      </w:tr>
      <w:tr>
        <w:trPr>
          <w:trHeight w:val="454"/>
        </w:trPr>
        <w:tc>
          <w:tcPr>
            <w:tcW w:w="817" w:type="dxa"/>
            <w:noWrap/>
            <w:vAlign w:val="center"/>
          </w:tcPr>
          <w:p>
            <w:pPr>
              <w:spacing w:line="0" w:lineRule="atLeast"/>
              <w:jc w:val="center"/>
              <w:rPr>
                <w:rFonts w:ascii="仿宋" w:eastAsia="仿宋" w:cs="仿宋"/>
              </w:rPr>
            </w:pPr>
            <w:r>
              <w:rPr>
                <w:rFonts w:ascii="仿宋" w:eastAsia="仿宋" w:cs="仿宋" w:hint="eastAsia"/>
              </w:rPr>
              <w:t>1</w:t>
            </w:r>
          </w:p>
        </w:tc>
        <w:tc>
          <w:tcPr>
            <w:tcW w:w="7547" w:type="dxa"/>
            <w:noWrap/>
          </w:tcPr>
          <w:p>
            <w:pPr>
              <w:spacing w:line="0" w:lineRule="atLeast"/>
              <w:rPr>
                <w:rFonts w:ascii="仿宋" w:eastAsia="仿宋" w:cs="仿宋"/>
                <w:b/>
              </w:rPr>
            </w:pPr>
            <w:r>
              <w:rPr>
                <w:rFonts w:ascii="仿宋" w:eastAsia="仿宋" w:cs="仿宋" w:hint="eastAsia"/>
              </w:rPr>
              <w:t>由招标方统一设置车间配电室，投标方直接从车间配电室取电，以及取电线缆的布置施工。投标方负责设备内部的能源分配、安装调试工作。</w:t>
            </w:r>
          </w:p>
        </w:tc>
        <w:tc>
          <w:tcPr>
            <w:tcW w:w="992" w:type="dxa"/>
            <w:noWrap/>
            <w:vAlign w:val="center"/>
          </w:tcPr>
          <w:p>
            <w:pPr>
              <w:spacing w:line="0" w:lineRule="atLeast"/>
              <w:jc w:val="center"/>
              <w:rPr>
                <w:rFonts w:ascii="仿宋" w:eastAsia="仿宋" w:cs="仿宋"/>
              </w:rPr>
            </w:pPr>
            <w:r>
              <w:rPr>
                <w:rFonts w:ascii="仿宋" w:eastAsia="仿宋" w:cs="仿宋" w:hint="eastAsia"/>
              </w:rPr>
              <w:t>重要</w:t>
            </w:r>
          </w:p>
        </w:tc>
      </w:tr>
      <w:tr>
        <w:trPr>
          <w:trHeight w:val="454"/>
        </w:trPr>
        <w:tc>
          <w:tcPr>
            <w:tcW w:w="817" w:type="dxa"/>
            <w:noWrap/>
            <w:vAlign w:val="center"/>
          </w:tcPr>
          <w:p>
            <w:pPr>
              <w:spacing w:line="0" w:lineRule="atLeast"/>
              <w:jc w:val="center"/>
              <w:rPr>
                <w:rFonts w:ascii="仿宋" w:eastAsia="仿宋" w:cs="仿宋"/>
              </w:rPr>
            </w:pPr>
            <w:r>
              <w:rPr>
                <w:rFonts w:ascii="仿宋" w:eastAsia="仿宋" w:cs="仿宋" w:hint="eastAsia"/>
              </w:rPr>
              <w:t>2</w:t>
            </w:r>
          </w:p>
        </w:tc>
        <w:tc>
          <w:tcPr>
            <w:tcW w:w="7547" w:type="dxa"/>
            <w:noWrap/>
          </w:tcPr>
          <w:p>
            <w:pPr>
              <w:spacing w:line="0" w:lineRule="atLeast"/>
              <w:rPr>
                <w:rFonts w:ascii="仿宋" w:eastAsia="仿宋" w:cs="仿宋"/>
                <w:bCs/>
              </w:rPr>
            </w:pPr>
            <w:r>
              <w:rPr>
                <w:rFonts w:ascii="仿宋" w:eastAsia="仿宋" w:cs="仿宋" w:hint="eastAsia"/>
              </w:rPr>
              <w:t>投标方提供的设备经组装、调试就能达到合同要求，不需要招标方进行任何额外的组装或加工或提供其他件。</w:t>
            </w:r>
          </w:p>
        </w:tc>
        <w:tc>
          <w:tcPr>
            <w:tcW w:w="992" w:type="dxa"/>
            <w:noWrap/>
            <w:vAlign w:val="center"/>
          </w:tcPr>
          <w:p>
            <w:pPr>
              <w:spacing w:line="0" w:lineRule="atLeast"/>
              <w:jc w:val="center"/>
              <w:rPr>
                <w:rFonts w:ascii="仿宋" w:eastAsia="仿宋" w:cs="仿宋"/>
              </w:rPr>
            </w:pPr>
            <w:r>
              <w:rPr>
                <w:rFonts w:ascii="仿宋" w:eastAsia="仿宋" w:cs="仿宋" w:hint="eastAsia"/>
              </w:rPr>
              <w:t>重要</w:t>
            </w:r>
          </w:p>
        </w:tc>
      </w:tr>
      <w:tr>
        <w:trPr>
          <w:trHeight w:val="454"/>
        </w:trPr>
        <w:tc>
          <w:tcPr>
            <w:tcW w:w="817" w:type="dxa"/>
            <w:noWrap/>
            <w:vAlign w:val="center"/>
          </w:tcPr>
          <w:p>
            <w:pPr>
              <w:spacing w:line="0" w:lineRule="atLeast"/>
              <w:jc w:val="center"/>
              <w:rPr>
                <w:rFonts w:ascii="仿宋" w:eastAsia="仿宋" w:cs="仿宋"/>
              </w:rPr>
            </w:pPr>
            <w:r>
              <w:rPr>
                <w:rFonts w:ascii="仿宋" w:eastAsia="仿宋" w:cs="仿宋" w:hint="eastAsia"/>
              </w:rPr>
              <w:t>3</w:t>
            </w:r>
          </w:p>
        </w:tc>
        <w:tc>
          <w:tcPr>
            <w:tcW w:w="7547" w:type="dxa"/>
            <w:noWrap/>
          </w:tcPr>
          <w:p>
            <w:pPr>
              <w:spacing w:line="0" w:lineRule="atLeast"/>
              <w:rPr>
                <w:rFonts w:ascii="仿宋" w:eastAsia="仿宋" w:cs="仿宋"/>
                <w:b/>
              </w:rPr>
            </w:pPr>
            <w:r>
              <w:rPr>
                <w:rFonts w:ascii="仿宋" w:eastAsia="仿宋" w:cs="仿宋" w:hint="eastAsia"/>
                <w:bCs/>
              </w:rPr>
              <w:t>本项目为交钥匙工程，投标方负责设备的吊拉、卸货、安装、调试和培训等。</w:t>
            </w:r>
          </w:p>
        </w:tc>
        <w:tc>
          <w:tcPr>
            <w:tcW w:w="992" w:type="dxa"/>
            <w:noWrap/>
            <w:vAlign w:val="center"/>
          </w:tcPr>
          <w:p>
            <w:pPr>
              <w:spacing w:line="0" w:lineRule="atLeast"/>
              <w:jc w:val="center"/>
              <w:rPr>
                <w:rFonts w:ascii="仿宋" w:eastAsia="仿宋" w:cs="仿宋"/>
              </w:rPr>
            </w:pPr>
            <w:r>
              <w:rPr>
                <w:rFonts w:ascii="仿宋" w:eastAsia="仿宋" w:cs="仿宋" w:hint="eastAsia"/>
              </w:rPr>
              <w:t>重要</w:t>
            </w:r>
          </w:p>
        </w:tc>
      </w:tr>
    </w:tbl>
    <w:p>
      <w:pPr>
        <w:rPr>
          <w:rFonts w:ascii="仿宋" w:eastAsia="仿宋" w:cs="仿宋"/>
          <w:szCs w:val="21"/>
        </w:rPr>
      </w:pPr>
    </w:p>
    <w:p>
      <w:pPr>
        <w:pStyle w:val="2"/>
        <w:numPr>
          <w:ilvl w:val="0"/>
          <w:numId w:val="0"/>
        </w:numPr>
        <w:ind w:left="0" w:firstLine="0"/>
        <w:rPr>
          <w:rFonts w:ascii="黑体" w:eastAsia="黑体" w:hint="eastAsia"/>
        </w:rPr>
      </w:pPr>
      <w:bookmarkStart w:id="252" w:name="_Toc77262015"/>
      <w:bookmarkStart w:id="253" w:name="_Toc77270385"/>
      <w:bookmarkStart w:id="254" w:name="_Toc23108"/>
      <w:bookmarkStart w:id="255" w:name="_Toc77263896"/>
      <w:bookmarkStart w:id="256" w:name="_Toc13084595"/>
      <w:r>
        <w:rPr>
          <w:rFonts w:ascii="黑体" w:eastAsia="黑体" w:hint="eastAsia"/>
        </w:rPr>
        <w:t>七、知识产权</w:t>
      </w:r>
      <w:bookmarkEnd w:id="252"/>
      <w:bookmarkEnd w:id="253"/>
      <w:bookmarkEnd w:id="254"/>
      <w:bookmarkEnd w:id="255"/>
    </w:p>
    <w:p>
      <w:pPr>
        <w:pStyle w:val="15"/>
        <w:spacing w:line="23" w:lineRule="atLeast"/>
        <w:ind w:firstLineChars="200" w:firstLine="560"/>
        <w:rPr>
          <w:rFonts w:ascii="仿宋" w:eastAsia="仿宋" w:cs="仿宋"/>
          <w:sz w:val="28"/>
          <w:szCs w:val="21"/>
        </w:rPr>
      </w:pPr>
      <w:r>
        <w:rPr>
          <w:rFonts w:ascii="仿宋" w:eastAsia="仿宋" w:cs="仿宋" w:hint="eastAsia"/>
          <w:sz w:val="28"/>
          <w:szCs w:val="21"/>
        </w:rPr>
        <w:t>除了投标人在投标书中明确知识产权权属的产品外，所有本项目中二次开发的应用软件成果应归甲方所有，投标人应保证其所提供的产品具有相应的知识产品许可，如有存在侵犯第三方知识产权行为，由投标人承担全部责任。</w:t>
      </w:r>
    </w:p>
    <w:p>
      <w:pPr>
        <w:pStyle w:val="2"/>
        <w:numPr>
          <w:ilvl w:val="0"/>
          <w:numId w:val="0"/>
        </w:numPr>
        <w:ind w:left="0" w:firstLine="0"/>
        <w:rPr>
          <w:rFonts w:ascii="黑体" w:eastAsia="黑体" w:hint="eastAsia"/>
        </w:rPr>
      </w:pPr>
      <w:bookmarkStart w:id="257" w:name="_Toc77263897"/>
      <w:bookmarkStart w:id="258" w:name="_Toc17068"/>
      <w:bookmarkStart w:id="259" w:name="_Toc77262016"/>
      <w:bookmarkStart w:id="260" w:name="_Toc77270386"/>
      <w:r>
        <w:rPr>
          <w:rFonts w:ascii="黑体" w:eastAsia="黑体" w:cs="仿宋" w:hint="eastAsia"/>
          <w:sz w:val="28"/>
          <w:szCs w:val="21"/>
        </w:rPr>
        <w:t>八、</w:t>
      </w:r>
      <w:r>
        <w:rPr>
          <w:rFonts w:ascii="黑体" w:eastAsia="黑体" w:hint="eastAsia"/>
        </w:rPr>
        <w:t>质保</w:t>
      </w:r>
      <w:bookmarkEnd w:id="256"/>
      <w:bookmarkEnd w:id="257"/>
      <w:bookmarkEnd w:id="258"/>
      <w:bookmarkEnd w:id="259"/>
      <w:bookmarkEnd w:id="260"/>
    </w:p>
    <w:p>
      <w:pPr>
        <w:spacing w:line="23" w:lineRule="atLeast"/>
        <w:ind w:firstLineChars="200" w:firstLine="560"/>
        <w:rPr>
          <w:rFonts w:ascii="仿宋" w:eastAsia="仿宋" w:cs="仿宋"/>
          <w:sz w:val="28"/>
          <w:szCs w:val="21"/>
        </w:rPr>
        <w:sectPr>
          <w:pgSz w:w="11907" w:h="16840"/>
          <w:pgMar w:top="1418" w:right="1134" w:bottom="1361" w:left="1418" w:header="851" w:footer="1021" w:gutter="0"/>
          <w:titlePg/>
          <w:docGrid w:type="lines" w:linePitch="312" w:charSpace="0"/>
        </w:sectPr>
      </w:pPr>
      <w:r>
        <w:rPr>
          <w:rFonts w:ascii="仿宋" w:eastAsia="仿宋" w:cs="仿宋" w:hint="eastAsia"/>
          <w:kern w:val="0"/>
          <w:sz w:val="28"/>
        </w:rPr>
        <w:t>自本项目验收合格后二年（</w:t>
      </w:r>
      <w:r>
        <w:rPr>
          <w:rFonts w:ascii="仿宋" w:eastAsia="仿宋" w:cs="仿宋"/>
          <w:kern w:val="0"/>
          <w:sz w:val="28"/>
        </w:rPr>
        <w:t>24</w:t>
      </w:r>
      <w:r>
        <w:rPr>
          <w:rFonts w:ascii="仿宋" w:eastAsia="仿宋" w:cs="仿宋" w:hint="eastAsia"/>
          <w:kern w:val="0"/>
          <w:sz w:val="28"/>
        </w:rPr>
        <w:t>个月</w:t>
      </w:r>
      <w:r>
        <w:rPr>
          <w:rFonts w:ascii="仿宋" w:eastAsia="仿宋" w:cs="仿宋"/>
          <w:sz w:val="28"/>
          <w:szCs w:val="28"/>
        </w:rPr>
        <w:t>）。</w:t>
      </w:r>
    </w:p>
    <w:p>
      <w:pPr>
        <w:pStyle w:val="1"/>
        <w:numPr>
          <w:ilvl w:val="0"/>
          <w:numId w:val="0"/>
        </w:numPr>
        <w:spacing w:line="560" w:lineRule="exact"/>
        <w:ind w:left="0" w:firstLine="0"/>
        <w:rPr>
          <w:rFonts w:ascii="黑体" w:hint="eastAsia"/>
          <w:szCs w:val="28"/>
        </w:rPr>
      </w:pPr>
      <w:bookmarkStart w:id="261" w:name="_Toc77270390"/>
      <w:bookmarkStart w:id="262" w:name="_Toc77250369"/>
      <w:bookmarkStart w:id="263" w:name="_Toc77252126"/>
      <w:bookmarkStart w:id="264" w:name="_Toc30062"/>
      <w:bookmarkEnd w:id="44"/>
      <w:bookmarkEnd w:id="45"/>
      <w:bookmarkEnd w:id="46"/>
      <w:bookmarkEnd w:id="47"/>
      <w:bookmarkEnd w:id="48"/>
      <w:bookmarkEnd w:id="49"/>
      <w:r>
        <w:rPr>
          <w:rFonts w:ascii="黑体" w:cs="仿宋" w:hint="eastAsia"/>
          <w:sz w:val="28"/>
          <w:szCs w:val="28"/>
        </w:rPr>
        <w:t>九、</w:t>
      </w:r>
      <w:r>
        <w:rPr>
          <w:rFonts w:ascii="黑体" w:hint="eastAsia"/>
          <w:szCs w:val="28"/>
        </w:rPr>
        <w:t>技术文件</w:t>
      </w:r>
      <w:bookmarkEnd w:id="261"/>
      <w:bookmarkEnd w:id="262"/>
      <w:bookmarkEnd w:id="263"/>
      <w:bookmarkEnd w:id="264"/>
    </w:p>
    <w:p>
      <w:pPr>
        <w:spacing w:line="560" w:lineRule="exact"/>
        <w:ind w:firstLineChars="200" w:firstLine="560"/>
        <w:rPr>
          <w:rFonts w:ascii="仿宋" w:eastAsia="仿宋" w:cs="仿宋"/>
          <w:sz w:val="28"/>
          <w:szCs w:val="28"/>
        </w:rPr>
      </w:pPr>
      <w:r>
        <w:rPr>
          <w:rFonts w:ascii="仿宋" w:eastAsia="仿宋" w:cs="仿宋" w:hint="eastAsia"/>
          <w:sz w:val="28"/>
          <w:szCs w:val="28"/>
        </w:rPr>
        <w:t>包含但不限于以下文件：</w:t>
      </w:r>
    </w:p>
    <w:p>
      <w:pPr>
        <w:spacing w:line="560" w:lineRule="exact"/>
        <w:ind w:firstLineChars="200" w:firstLine="560"/>
        <w:rPr>
          <w:rFonts w:ascii="仿宋" w:eastAsia="仿宋" w:cs="仿宋"/>
          <w:sz w:val="28"/>
          <w:szCs w:val="28"/>
        </w:rPr>
      </w:pPr>
      <w:r>
        <w:rPr>
          <w:rFonts w:ascii="仿宋" w:eastAsia="仿宋" w:cs="仿宋"/>
          <w:sz w:val="28"/>
          <w:szCs w:val="28"/>
        </w:rPr>
        <w:t>1.</w:t>
      </w:r>
      <w:r>
        <w:rPr>
          <w:rFonts w:ascii="仿宋" w:eastAsia="仿宋" w:cs="仿宋" w:hint="eastAsia"/>
          <w:sz w:val="28"/>
          <w:szCs w:val="28"/>
        </w:rPr>
        <w:t>技术方案，包括设计方案及设计思路、工作范围，用地及土建设计与规划详细方案等。</w:t>
      </w:r>
    </w:p>
    <w:p>
      <w:pPr>
        <w:spacing w:line="560" w:lineRule="exact"/>
        <w:ind w:firstLineChars="200" w:firstLine="560"/>
        <w:rPr>
          <w:rFonts w:ascii="仿宋" w:eastAsia="仿宋" w:cs="仿宋"/>
          <w:sz w:val="28"/>
          <w:szCs w:val="28"/>
        </w:rPr>
      </w:pPr>
      <w:r>
        <w:rPr>
          <w:rFonts w:ascii="仿宋" w:eastAsia="仿宋" w:cs="仿宋"/>
          <w:sz w:val="28"/>
          <w:szCs w:val="28"/>
        </w:rPr>
        <w:t>2.</w:t>
      </w:r>
      <w:r>
        <w:rPr>
          <w:rFonts w:ascii="仿宋" w:eastAsia="仿宋" w:cs="仿宋" w:hint="eastAsia"/>
          <w:sz w:val="28"/>
          <w:szCs w:val="28"/>
        </w:rPr>
        <w:t>设备</w:t>
      </w:r>
      <w:r>
        <w:rPr>
          <w:rFonts w:ascii="仿宋" w:eastAsia="仿宋" w:cs="仿宋"/>
          <w:sz w:val="28"/>
          <w:szCs w:val="28"/>
        </w:rPr>
        <w:t>及材料</w:t>
      </w:r>
      <w:r>
        <w:rPr>
          <w:rFonts w:ascii="仿宋" w:eastAsia="仿宋" w:cs="仿宋" w:hint="eastAsia"/>
          <w:sz w:val="28"/>
          <w:szCs w:val="28"/>
        </w:rPr>
        <w:t>清单</w:t>
      </w:r>
      <w:r>
        <w:rPr>
          <w:rFonts w:ascii="仿宋" w:eastAsia="仿宋" w:cs="仿宋"/>
          <w:sz w:val="28"/>
          <w:szCs w:val="28"/>
        </w:rPr>
        <w:t>，必须含管道、阀门、连接件、泵、传感器、过滤机、辅助设备等</w:t>
      </w:r>
      <w:r>
        <w:rPr>
          <w:rFonts w:ascii="仿宋" w:eastAsia="仿宋" w:cs="仿宋" w:hint="eastAsia"/>
          <w:sz w:val="28"/>
          <w:szCs w:val="28"/>
        </w:rPr>
        <w:t>。</w:t>
      </w:r>
    </w:p>
    <w:p>
      <w:pPr>
        <w:spacing w:line="560" w:lineRule="exact"/>
        <w:ind w:firstLineChars="200" w:firstLine="560"/>
        <w:rPr>
          <w:rFonts w:ascii="仿宋" w:eastAsia="仿宋" w:cs="仿宋"/>
          <w:sz w:val="28"/>
          <w:szCs w:val="28"/>
        </w:rPr>
      </w:pPr>
      <w:r>
        <w:rPr>
          <w:rFonts w:ascii="仿宋" w:eastAsia="仿宋" w:cs="仿宋"/>
          <w:sz w:val="28"/>
          <w:szCs w:val="28"/>
        </w:rPr>
        <w:t>3.</w:t>
      </w:r>
      <w:r>
        <w:rPr>
          <w:rFonts w:ascii="仿宋" w:eastAsia="仿宋" w:cs="仿宋" w:hint="eastAsia"/>
          <w:sz w:val="28"/>
          <w:szCs w:val="28"/>
        </w:rPr>
        <w:t>仪表及自动</w:t>
      </w:r>
      <w:r>
        <w:rPr>
          <w:rFonts w:ascii="仿宋" w:eastAsia="仿宋" w:cs="仿宋"/>
          <w:sz w:val="28"/>
          <w:szCs w:val="28"/>
        </w:rPr>
        <w:t>电磁</w:t>
      </w:r>
      <w:r>
        <w:rPr>
          <w:rFonts w:ascii="仿宋" w:eastAsia="仿宋" w:cs="仿宋" w:hint="eastAsia"/>
          <w:sz w:val="28"/>
          <w:szCs w:val="28"/>
        </w:rPr>
        <w:t>阀清单。</w:t>
      </w:r>
    </w:p>
    <w:p>
      <w:pPr>
        <w:spacing w:line="560" w:lineRule="exact"/>
        <w:ind w:firstLineChars="200" w:firstLine="560"/>
        <w:rPr>
          <w:rFonts w:ascii="仿宋" w:eastAsia="仿宋" w:cs="仿宋"/>
          <w:sz w:val="28"/>
          <w:szCs w:val="28"/>
        </w:rPr>
      </w:pPr>
      <w:r>
        <w:rPr>
          <w:rFonts w:ascii="仿宋" w:eastAsia="仿宋" w:cs="仿宋"/>
          <w:sz w:val="28"/>
          <w:szCs w:val="28"/>
        </w:rPr>
        <w:t>4.</w:t>
      </w:r>
      <w:r>
        <w:rPr>
          <w:rFonts w:ascii="仿宋" w:eastAsia="仿宋" w:cs="仿宋" w:hint="eastAsia"/>
          <w:sz w:val="28"/>
          <w:szCs w:val="28"/>
        </w:rPr>
        <w:t>电气及自控设备清单。</w:t>
      </w:r>
    </w:p>
    <w:p>
      <w:pPr>
        <w:spacing w:line="560" w:lineRule="exact"/>
        <w:ind w:firstLineChars="200" w:firstLine="560"/>
        <w:rPr>
          <w:rFonts w:ascii="仿宋" w:eastAsia="仿宋" w:cs="仿宋"/>
          <w:sz w:val="28"/>
          <w:szCs w:val="28"/>
        </w:rPr>
      </w:pPr>
      <w:r>
        <w:rPr>
          <w:rFonts w:ascii="仿宋" w:eastAsia="仿宋" w:cs="仿宋"/>
          <w:sz w:val="28"/>
          <w:szCs w:val="28"/>
        </w:rPr>
        <w:t>5.</w:t>
      </w:r>
      <w:r>
        <w:rPr>
          <w:rFonts w:ascii="仿宋" w:eastAsia="仿宋" w:cs="仿宋" w:hint="eastAsia"/>
          <w:sz w:val="28"/>
          <w:szCs w:val="28"/>
        </w:rPr>
        <w:t>主要建构筑物清单。</w:t>
      </w:r>
    </w:p>
    <w:p>
      <w:pPr>
        <w:spacing w:line="560" w:lineRule="exact"/>
        <w:ind w:firstLineChars="200" w:firstLine="560"/>
        <w:rPr>
          <w:rFonts w:ascii="仿宋" w:eastAsia="仿宋" w:cs="仿宋"/>
          <w:sz w:val="28"/>
          <w:szCs w:val="28"/>
        </w:rPr>
      </w:pPr>
      <w:r>
        <w:rPr>
          <w:rFonts w:ascii="仿宋" w:eastAsia="仿宋" w:cs="仿宋"/>
          <w:sz w:val="28"/>
          <w:szCs w:val="28"/>
        </w:rPr>
        <w:t>6.</w:t>
      </w:r>
      <w:r>
        <w:rPr>
          <w:rFonts w:ascii="仿宋" w:eastAsia="仿宋" w:cs="仿宋" w:hint="eastAsia"/>
          <w:sz w:val="28"/>
          <w:szCs w:val="28"/>
        </w:rPr>
        <w:t>随机备品备件清单。</w:t>
      </w:r>
    </w:p>
    <w:p>
      <w:pPr>
        <w:spacing w:line="560" w:lineRule="exact"/>
        <w:ind w:firstLineChars="200" w:firstLine="560"/>
        <w:rPr>
          <w:rFonts w:ascii="仿宋" w:eastAsia="仿宋" w:cs="仿宋"/>
          <w:sz w:val="28"/>
          <w:szCs w:val="28"/>
        </w:rPr>
      </w:pPr>
      <w:r>
        <w:rPr>
          <w:rFonts w:ascii="仿宋" w:eastAsia="仿宋" w:cs="仿宋"/>
          <w:sz w:val="28"/>
          <w:szCs w:val="28"/>
        </w:rPr>
        <w:t>7.</w:t>
      </w:r>
      <w:r>
        <w:rPr>
          <w:rFonts w:ascii="仿宋" w:eastAsia="仿宋" w:cs="仿宋" w:hint="eastAsia"/>
          <w:sz w:val="28"/>
          <w:szCs w:val="28"/>
        </w:rPr>
        <w:t>两年备品备件清单。</w:t>
      </w:r>
    </w:p>
    <w:p>
      <w:pPr>
        <w:spacing w:line="560" w:lineRule="exact"/>
        <w:ind w:firstLineChars="200" w:firstLine="560"/>
        <w:rPr>
          <w:rFonts w:ascii="仿宋" w:eastAsia="仿宋" w:cs="仿宋"/>
          <w:sz w:val="28"/>
          <w:szCs w:val="28"/>
        </w:rPr>
      </w:pPr>
      <w:r>
        <w:rPr>
          <w:rFonts w:ascii="仿宋" w:eastAsia="仿宋" w:cs="仿宋"/>
          <w:sz w:val="28"/>
          <w:szCs w:val="28"/>
        </w:rPr>
        <w:t>8.</w:t>
      </w:r>
      <w:r>
        <w:rPr>
          <w:rFonts w:ascii="仿宋" w:eastAsia="仿宋" w:cs="仿宋" w:hint="eastAsia"/>
          <w:sz w:val="28"/>
          <w:szCs w:val="28"/>
        </w:rPr>
        <w:t>特殊工具清单。</w:t>
      </w:r>
    </w:p>
    <w:p>
      <w:pPr>
        <w:spacing w:line="560" w:lineRule="exact"/>
        <w:ind w:firstLineChars="200" w:firstLine="560"/>
        <w:rPr>
          <w:rFonts w:ascii="仿宋" w:eastAsia="仿宋" w:cs="仿宋"/>
          <w:sz w:val="28"/>
          <w:szCs w:val="28"/>
        </w:rPr>
      </w:pPr>
      <w:r>
        <w:rPr>
          <w:rFonts w:ascii="仿宋" w:eastAsia="仿宋" w:cs="仿宋"/>
          <w:sz w:val="28"/>
          <w:szCs w:val="28"/>
        </w:rPr>
        <w:t>9.</w:t>
      </w:r>
      <w:r>
        <w:rPr>
          <w:rFonts w:ascii="仿宋" w:eastAsia="仿宋" w:cs="仿宋" w:hint="eastAsia"/>
          <w:sz w:val="28"/>
          <w:szCs w:val="28"/>
        </w:rPr>
        <w:t>图纸，包括但不限于：</w:t>
      </w:r>
    </w:p>
    <w:p>
      <w:pPr>
        <w:tabs>
          <w:tab w:val="left" w:pos="0"/>
        </w:tabs>
        <w:spacing w:line="560" w:lineRule="exact"/>
        <w:ind w:firstLineChars="200" w:firstLine="560"/>
        <w:rPr>
          <w:rFonts w:ascii="仿宋" w:eastAsia="仿宋" w:cs="仿宋"/>
          <w:sz w:val="28"/>
          <w:szCs w:val="28"/>
        </w:rPr>
      </w:pPr>
      <w:r>
        <w:rPr>
          <w:rFonts w:ascii="仿宋" w:eastAsia="仿宋" w:cs="仿宋" w:hint="eastAsia"/>
          <w:sz w:val="28"/>
          <w:szCs w:val="28"/>
        </w:rPr>
        <w:t>软件架构图</w:t>
      </w:r>
    </w:p>
    <w:p>
      <w:pPr>
        <w:tabs>
          <w:tab w:val="left" w:pos="0"/>
        </w:tabs>
        <w:spacing w:line="560" w:lineRule="exact"/>
        <w:ind w:firstLineChars="200" w:firstLine="560"/>
        <w:rPr>
          <w:rFonts w:ascii="仿宋" w:eastAsia="仿宋" w:cs="仿宋"/>
          <w:sz w:val="28"/>
          <w:szCs w:val="28"/>
        </w:rPr>
      </w:pPr>
      <w:r>
        <w:rPr>
          <w:rFonts w:ascii="仿宋" w:eastAsia="仿宋" w:cs="仿宋" w:hint="eastAsia"/>
          <w:sz w:val="28"/>
          <w:szCs w:val="28"/>
        </w:rPr>
        <w:t>软件流程图</w:t>
      </w:r>
    </w:p>
    <w:p>
      <w:pPr>
        <w:tabs>
          <w:tab w:val="left" w:pos="0"/>
        </w:tabs>
        <w:spacing w:line="560" w:lineRule="exact"/>
        <w:ind w:firstLineChars="200" w:firstLine="560"/>
        <w:rPr>
          <w:rFonts w:ascii="仿宋" w:eastAsia="仿宋" w:cs="仿宋"/>
          <w:sz w:val="28"/>
          <w:szCs w:val="28"/>
        </w:rPr>
      </w:pPr>
      <w:r>
        <w:rPr>
          <w:rFonts w:ascii="仿宋" w:eastAsia="仿宋" w:cs="仿宋" w:hint="eastAsia"/>
          <w:sz w:val="28"/>
          <w:szCs w:val="28"/>
        </w:rPr>
        <w:t>网络设计图</w:t>
      </w:r>
    </w:p>
    <w:p>
      <w:pPr>
        <w:tabs>
          <w:tab w:val="left" w:pos="0"/>
        </w:tabs>
        <w:spacing w:line="560" w:lineRule="exact"/>
        <w:ind w:firstLineChars="200" w:firstLine="560"/>
        <w:rPr>
          <w:rFonts w:ascii="仿宋" w:eastAsia="仿宋" w:cs="仿宋"/>
          <w:sz w:val="28"/>
          <w:szCs w:val="28"/>
        </w:rPr>
      </w:pPr>
      <w:r>
        <w:rPr>
          <w:rFonts w:ascii="仿宋" w:eastAsia="仿宋" w:cs="仿宋" w:hint="eastAsia"/>
          <w:sz w:val="28"/>
          <w:szCs w:val="28"/>
        </w:rPr>
        <w:t>工艺流程图</w:t>
      </w:r>
    </w:p>
    <w:p>
      <w:pPr>
        <w:tabs>
          <w:tab w:val="left" w:pos="0"/>
        </w:tabs>
        <w:spacing w:line="560" w:lineRule="exact"/>
        <w:ind w:firstLineChars="200" w:firstLine="560"/>
        <w:rPr>
          <w:rFonts w:ascii="仿宋" w:eastAsia="仿宋" w:cs="仿宋"/>
          <w:sz w:val="28"/>
          <w:szCs w:val="28"/>
        </w:rPr>
      </w:pPr>
      <w:r>
        <w:rPr>
          <w:rFonts w:ascii="仿宋" w:eastAsia="仿宋" w:cs="仿宋" w:hint="eastAsia"/>
          <w:sz w:val="28"/>
          <w:szCs w:val="28"/>
        </w:rPr>
        <w:t>系统控制逻辑图</w:t>
      </w:r>
    </w:p>
    <w:p>
      <w:pPr>
        <w:tabs>
          <w:tab w:val="left" w:pos="0"/>
        </w:tabs>
        <w:spacing w:line="560" w:lineRule="exact"/>
        <w:ind w:firstLineChars="200" w:firstLine="560"/>
        <w:rPr>
          <w:rFonts w:ascii="仿宋" w:eastAsia="仿宋" w:cs="仿宋"/>
          <w:sz w:val="28"/>
          <w:szCs w:val="28"/>
        </w:rPr>
      </w:pPr>
      <w:r>
        <w:rPr>
          <w:rFonts w:ascii="仿宋" w:eastAsia="仿宋" w:cs="仿宋" w:hint="eastAsia"/>
          <w:sz w:val="28"/>
          <w:szCs w:val="28"/>
        </w:rPr>
        <w:t>平面布置图</w:t>
      </w:r>
    </w:p>
    <w:p>
      <w:pPr>
        <w:pStyle w:val="15"/>
        <w:ind w:firstLine="420"/>
        <w:rPr>
          <w:rFonts w:ascii="仿宋" w:eastAsia="仿宋" w:hint="eastAsia"/>
          <w:sz w:val="28"/>
          <w:szCs w:val="28"/>
        </w:rPr>
      </w:pPr>
      <w:r>
        <w:rPr>
          <w:rFonts w:ascii="仿宋" w:eastAsia="仿宋" w:hint="eastAsia"/>
          <w:sz w:val="28"/>
          <w:szCs w:val="28"/>
        </w:rPr>
        <w:t xml:space="preserve"> </w:t>
      </w:r>
      <w:r>
        <w:rPr>
          <w:rFonts w:ascii="仿宋" w:eastAsia="仿宋"/>
          <w:sz w:val="28"/>
          <w:szCs w:val="28"/>
        </w:rPr>
        <w:t>3D</w:t>
      </w:r>
      <w:r>
        <w:rPr>
          <w:rFonts w:ascii="仿宋" w:eastAsia="仿宋" w:hint="eastAsia"/>
          <w:sz w:val="28"/>
          <w:szCs w:val="28"/>
        </w:rPr>
        <w:t>模拟运行图</w:t>
      </w:r>
    </w:p>
    <w:p>
      <w:pPr>
        <w:spacing w:line="560" w:lineRule="exact"/>
        <w:ind w:firstLineChars="200" w:firstLine="560"/>
        <w:rPr>
          <w:rFonts w:ascii="仿宋" w:eastAsia="仿宋" w:cs="仿宋"/>
          <w:sz w:val="28"/>
          <w:szCs w:val="28"/>
        </w:rPr>
      </w:pPr>
      <w:r>
        <w:rPr>
          <w:rFonts w:ascii="仿宋" w:eastAsia="仿宋" w:cs="仿宋"/>
          <w:sz w:val="28"/>
          <w:szCs w:val="28"/>
        </w:rPr>
        <w:t>10.</w:t>
      </w:r>
      <w:r>
        <w:rPr>
          <w:rFonts w:ascii="仿宋" w:eastAsia="仿宋" w:cs="仿宋" w:hint="eastAsia"/>
          <w:sz w:val="28"/>
          <w:szCs w:val="28"/>
        </w:rPr>
        <w:t>施工组织及安装措施</w:t>
      </w:r>
    </w:p>
    <w:p>
      <w:pPr>
        <w:pStyle w:val="15"/>
        <w:ind w:left="0" w:firstLine="0"/>
        <w:rPr>
          <w:rFonts w:ascii="仿宋" w:eastAsia="仿宋" w:hint="eastAsia"/>
          <w:sz w:val="28"/>
          <w:szCs w:val="28"/>
        </w:rPr>
      </w:pPr>
      <w:r>
        <w:rPr>
          <w:rFonts w:ascii="仿宋" w:eastAsia="仿宋" w:hint="eastAsia"/>
          <w:sz w:val="28"/>
          <w:szCs w:val="28"/>
        </w:rPr>
        <w:t xml:space="preserve">    11、</w:t>
      </w:r>
      <w:r>
        <w:rPr>
          <w:rFonts w:ascii="仿宋" w:eastAsia="仿宋"/>
          <w:sz w:val="28"/>
          <w:szCs w:val="28"/>
        </w:rPr>
        <w:t>招标</w:t>
      </w:r>
      <w:r>
        <w:rPr>
          <w:rFonts w:ascii="仿宋" w:eastAsia="仿宋" w:hint="eastAsia"/>
          <w:sz w:val="28"/>
          <w:szCs w:val="28"/>
        </w:rPr>
        <w:t>书</w:t>
      </w:r>
      <w:r>
        <w:rPr>
          <w:rFonts w:ascii="仿宋" w:eastAsia="仿宋"/>
          <w:sz w:val="28"/>
          <w:szCs w:val="28"/>
        </w:rPr>
        <w:t>条件</w:t>
      </w:r>
      <w:r>
        <w:rPr>
          <w:rFonts w:ascii="仿宋" w:eastAsia="仿宋" w:hint="eastAsia"/>
          <w:sz w:val="28"/>
          <w:szCs w:val="28"/>
        </w:rPr>
        <w:t>响应表</w:t>
      </w:r>
    </w:p>
    <w:p>
      <w:pPr>
        <w:spacing w:line="560" w:lineRule="exact"/>
        <w:ind w:left="0"/>
        <w:rPr>
          <w:rFonts w:ascii="仿宋" w:eastAsia="仿宋" w:cs="仿宋"/>
          <w:sz w:val="28"/>
          <w:szCs w:val="28"/>
        </w:rPr>
      </w:pPr>
    </w:p>
    <w:sectPr>
      <w:pgSz w:w="11907" w:h="16840"/>
      <w:pgMar w:top="1418" w:right="1134" w:bottom="1361" w:left="1418" w:header="851" w:footer="1021" w:gutter="0"/>
      <w:titlePg/>
      <w:docGrid w:type="lines" w:linePitch="312" w:charSpace="0"/>
    </w:sectPr>
  </w:body>
</w:document>
</file>

<file path=word/fontTable.xml><?xml version="1.0" encoding="utf-8"?>
<w:fonts xmlns:w="http://schemas.openxmlformats.org/wordprocessingml/2006/main" xmlns:r="http://schemas.openxmlformats.org/officeDocument/2006/relationships">
  <w:font w:name="仿宋">
    <w:panose1 w:val="02010609060101010101"/>
    <w:charset w:val="86"/>
    <w:family w:val="modern"/>
    <w:pitch w:val="variable"/>
    <w:sig w:usb0="800002BF" w:usb1="38CF7CFA" w:usb2="00000016" w:usb3="00000000" w:csb0="00040001" w:csb1="00000000"/>
  </w:font>
  <w:font w:name="宋体">
    <w:panose1 w:val="02010600030101010101"/>
    <w:charset w:val="86"/>
    <w:family w:val="auto"/>
    <w:pitch w:val="variable"/>
    <w:sig w:usb0="00000003" w:usb1="288F0000" w:usb2="00000006" w:usb3="00000000" w:csb0="00040001" w:csb1="00000000"/>
  </w:font>
  <w:font w:name="黑体">
    <w:panose1 w:val="02010609060101010101"/>
    <w:charset w:val="86"/>
    <w:family w:val="auto"/>
    <w:pitch w:val="variable"/>
    <w:sig w:usb0="800002BF" w:usb1="38CF7CFA" w:usb2="00000016" w:usb3="00000000" w:csb0="00040001" w:csb1="00000000"/>
  </w:font>
  <w:font w:name="方正楷体_GBK">
    <w:panose1 w:val="03000509000000000000"/>
    <w:charset w:val="86"/>
    <w:family w:val="script"/>
    <w:pitch w:val="variable"/>
    <w:sig w:usb0="00000001" w:usb1="080E0000" w:usb2="00000000" w:usb3="00000000" w:csb0="00040000"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20007A87" w:usb1="80000000" w:usb2="00000008" w:usb3="00000000" w:csb0="000001FF" w:csb1="00000000"/>
  </w:font>
  <w:font w:name="方正黑体_GBK">
    <w:panose1 w:val="03000509000000000000"/>
    <w:charset w:val="86"/>
    <w:family w:val="script"/>
    <w:pitch w:val="variable"/>
    <w:sig w:usb0="00000001" w:usb1="080E0000" w:usb2="00000000" w:usb3="00000000" w:csb0="00040000" w:csb1="00000000"/>
  </w:font>
  <w:font w:name="方正仿宋_GBK">
    <w:panose1 w:val="03000509000000000000"/>
    <w:charset w:val="86"/>
    <w:family w:val="script"/>
    <w:pitch w:val="variable"/>
    <w:sig w:usb0="00000001" w:usb1="080E0000" w:usb2="00000000" w:usb3="00000000" w:csb0="00040000" w:csb1="00000000"/>
  </w:font>
  <w:font w:name="楷体">
    <w:panose1 w:val="02010609060101010101"/>
    <w:charset w:val="86"/>
    <w:family w:val="modern"/>
    <w:pitch w:val="variable"/>
    <w:sig w:usb0="800002BF" w:usb1="38CF7CFA" w:usb2="00000016" w:usb3="00000000" w:csb0="00040001" w:csb1="00000000"/>
  </w:font>
  <w:font w:name="Calibri">
    <w:panose1 w:val="020F0502020204030204"/>
    <w:charset w:val="00"/>
    <w:family w:val="swiss"/>
    <w:pitch w:val="variable"/>
    <w:sig w:usb0="A00002EF" w:usb1="4000207B" w:usb2="00000000" w:usb3="00000000" w:csb0="2000009F" w:csb1="00000000"/>
  </w:font>
  <w:font w:name="Arial">
    <w:panose1 w:val="020B0604020202020204"/>
    <w:charset w:val="01"/>
    <w:family w:val="swiss"/>
    <w:pitch w:val="variable"/>
    <w:sig w:usb0="E0002AFF" w:usb1="C0007843" w:usb2="00000009" w:usb3="00000000" w:csb0="400001FF" w:csb1="FFFF0000"/>
  </w:font>
  <w:font w:name="Cambria">
    <w:panose1 w:val="02040503050406030204"/>
    <w:charset w:val="00"/>
    <w:family w:val="roman"/>
    <w:pitch w:val="variable"/>
    <w:sig w:usb0="A00002EF" w:usb1="4000004B" w:usb2="00000000" w:usb3="00000000" w:csb0="2000009F" w:csb1="00000000"/>
  </w:font>
  <w:font w:name="等线">
    <w:altName w:val="Arial Unicode MS"/>
    <w:panose1 w:val="02010600030101010101"/>
    <w:charset w:val="86"/>
    <w:family w:val="auto"/>
    <w:pitch w:val="variable"/>
    <w:sig w:usb0="00000000" w:usb1="00000000" w:usb2="00000016" w:usb3="00000000" w:csb0="0004000F" w:csb1="00000000"/>
  </w:font>
  <w:font w:name="仿宋_GB2312">
    <w:altName w:val="仿宋"/>
    <w:panose1 w:val="00000000000000000000"/>
    <w:charset w:val="86"/>
    <w:family w:val="modern"/>
    <w:pitch w:val="variable"/>
    <w:sig w:usb0="00000000" w:usb1="00000000" w:usb2="00000010" w:usb3="00000000" w:csb0="00040000" w:csb1="00000000"/>
  </w:font>
  <w:font w:name="ˎ̥">
    <w:altName w:val="Times New Roman"/>
    <w:panose1 w:val="00000000000000000000"/>
    <w:charset w:val="00"/>
    <w:family w:val="roman"/>
    <w:pitch w:val="variable"/>
    <w:sig w:usb0="00000000" w:usb1="00000000" w:usb2="00000000" w:usb3="00000000" w:csb0="00000000" w:csb1="00000000"/>
  </w:font>
  <w:font w:name="Wingdings">
    <w:panose1 w:val="05000000000000000000"/>
    <w:charset w:val="02"/>
    <w:family w:val="auto"/>
    <w:pitch w:val="variable"/>
    <w:sig w:usb0="00000000" w:usb1="00000000" w:usb2="00000000" w:usb3="00000000" w:csb0="80000000" w:csb1="00000000"/>
  </w:font>
  <w:font w:name="等线 Light">
    <w:altName w:val="Arial Unicode MS"/>
    <w:panose1 w:val="02010600030101010101"/>
    <w:charset w:val="86"/>
    <w:family w:val="auto"/>
    <w:pitch w:val="variable"/>
    <w:sig w:usb0="00000000" w:usb1="00000000" w:usb2="00000016" w:usb3="00000000" w:csb0="0004000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pStyle w:val="26"/>
      <w:framePr w:w="0" w:hRule="auto" w:wrap="around" w:vAnchor="text" w:hAnchor="margin" w:xAlign="center" w:y="1" w:anchorLock="0"/>
      <w:pBdr>
        <w:top w:val="none" w:sz="0" w:space="0" w:color="auto"/>
        <w:left w:val="none" w:sz="0" w:space="0" w:color="auto"/>
        <w:bottom w:val="none" w:sz="0" w:space="0" w:color="auto"/>
        <w:right w:val="none" w:sz="0" w:space="0" w:color="auto"/>
      </w:pBdr>
      <w:tabs>
        <w:tab w:val="center" w:pos="4153"/>
        <w:tab w:val="right" w:pos="8306"/>
      </w:tabs>
    </w:pPr>
    <w:r>
      <w:rPr>
        <w:rStyle w:val="37"/>
      </w:rPr>
      <w:fldChar w:fldCharType="begin"/>
    </w:r>
    <w:r>
      <w:rPr>
        <w:rStyle w:val="37"/>
      </w:rPr>
      <w:instrText>Page</w:instrText>
    </w:r>
    <w:r>
      <w:rPr>
        <w:rStyle w:val="37"/>
      </w:rPr>
      <w:fldChar w:fldCharType="separate"/>
    </w:r>
    <w:r>
      <w:rPr>
        <w:rStyle w:val="37"/>
      </w:rPr>
      <w:t>2</w:t>
    </w:r>
    <w:r>
      <w:rPr>
        <w:rStyle w:val="37"/>
      </w:rPr>
      <w:fldChar w:fldCharType="end"/>
    </w:r>
  </w:p>
  <w:p>
    <w:pPr>
      <w:pStyle w:val="26"/>
      <w:tabs>
        <w:tab w:val="center" w:pos="4153"/>
        <w:tab w:val="right" w:pos="8306"/>
      </w:tabs>
      <w:jc w:val="center"/>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pStyle w:val="26"/>
      <w:framePr w:w="0" w:hRule="auto" w:wrap="around" w:vAnchor="text" w:hAnchor="margin" w:xAlign="center" w:y="1" w:anchorLock="0"/>
      <w:pBdr>
        <w:top w:val="none" w:sz="0" w:space="0" w:color="auto"/>
        <w:left w:val="none" w:sz="0" w:space="0" w:color="auto"/>
        <w:bottom w:val="none" w:sz="0" w:space="0" w:color="auto"/>
        <w:right w:val="none" w:sz="0" w:space="0" w:color="auto"/>
      </w:pBdr>
      <w:tabs>
        <w:tab w:val="center" w:pos="4153"/>
        <w:tab w:val="right" w:pos="8306"/>
      </w:tabs>
    </w:pPr>
    <w:r>
      <w:rPr>
        <w:rStyle w:val="37"/>
      </w:rPr>
      <w:fldChar w:fldCharType="begin"/>
    </w:r>
    <w:r>
      <w:rPr>
        <w:rStyle w:val="37"/>
      </w:rPr>
      <w:instrText>Page</w:instrText>
    </w:r>
    <w:r>
      <w:rPr>
        <w:rStyle w:val="37"/>
      </w:rPr>
      <w:fldChar w:fldCharType="separate"/>
    </w:r>
    <w:r>
      <w:rPr>
        <w:rStyle w:val="37"/>
      </w:rPr>
      <w:t>1</w:t>
    </w:r>
    <w:r>
      <w:rPr>
        <w:rStyle w:val="37"/>
      </w:rPr>
      <w:fldChar w:fldCharType="end"/>
    </w:r>
  </w:p>
  <w:p>
    <w:pPr>
      <w:pStyle w:val="26"/>
      <w:tabs>
        <w:tab w:val="center" w:pos="4153"/>
        <w:tab w:val="right" w:pos="8306"/>
      </w:tabs>
    </w:pP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pStyle w:val="26"/>
      <w:tabs>
        <w:tab w:val="center" w:pos="4153"/>
        <w:tab w:val="right" w:pos="8306"/>
      </w:tabs>
      <w:jc w:val="center"/>
    </w:pPr>
    <w:r>
      <w:fldChar w:fldCharType="begin"/>
    </w:r>
    <w:r>
      <w:instrText>Page</w:instrText>
    </w:r>
    <w:r>
      <w:fldChar w:fldCharType="separate"/>
    </w:r>
    <w:r>
      <w:t>1</w:t>
    </w:r>
    <w:r>
      <w:fldChar w:fldCharType="end"/>
    </w: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pStyle w:val="26"/>
      <w:framePr w:w="0" w:hRule="auto" w:wrap="around" w:vAnchor="text" w:hAnchor="margin" w:xAlign="center" w:y="1" w:anchorLock="0"/>
      <w:pBdr>
        <w:top w:val="none" w:sz="0" w:space="0" w:color="auto"/>
        <w:left w:val="none" w:sz="0" w:space="0" w:color="auto"/>
        <w:bottom w:val="none" w:sz="0" w:space="0" w:color="auto"/>
        <w:right w:val="none" w:sz="0" w:space="0" w:color="auto"/>
      </w:pBdr>
      <w:tabs>
        <w:tab w:val="center" w:pos="4153"/>
        <w:tab w:val="right" w:pos="8306"/>
      </w:tabs>
    </w:pPr>
    <w:r>
      <w:rPr>
        <w:rStyle w:val="37"/>
      </w:rPr>
      <w:fldChar w:fldCharType="begin"/>
    </w:r>
    <w:r>
      <w:rPr>
        <w:rStyle w:val="37"/>
      </w:rPr>
      <w:instrText>Page</w:instrText>
    </w:r>
    <w:r>
      <w:rPr>
        <w:rStyle w:val="37"/>
      </w:rPr>
      <w:fldChar w:fldCharType="separate"/>
    </w:r>
    <w:r>
      <w:rPr>
        <w:rStyle w:val="37"/>
      </w:rPr>
      <w:t>2</w:t>
    </w:r>
    <w:r>
      <w:rPr>
        <w:rStyle w:val="37"/>
      </w:rPr>
      <w:fldChar w:fldCharType="end"/>
    </w:r>
  </w:p>
  <w:p>
    <w:pPr>
      <w:pStyle w:val="26"/>
      <w:tabs>
        <w:tab w:val="center" w:pos="4153"/>
        <w:tab w:val="right" w:pos="8306"/>
      </w:tabs>
      <w:jc w:val="center"/>
    </w:pPr>
  </w:p>
</w:ftr>
</file>

<file path=word/footer5.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pStyle w:val="26"/>
      <w:framePr w:w="0" w:hRule="auto" w:wrap="around" w:vAnchor="text" w:hAnchor="margin" w:xAlign="center" w:y="1" w:anchorLock="0"/>
      <w:pBdr>
        <w:top w:val="none" w:sz="0" w:space="0" w:color="auto"/>
        <w:left w:val="none" w:sz="0" w:space="0" w:color="auto"/>
        <w:bottom w:val="none" w:sz="0" w:space="0" w:color="auto"/>
        <w:right w:val="none" w:sz="0" w:space="0" w:color="auto"/>
      </w:pBdr>
      <w:tabs>
        <w:tab w:val="center" w:pos="4153"/>
        <w:tab w:val="right" w:pos="8306"/>
      </w:tabs>
    </w:pPr>
    <w:r>
      <w:rPr>
        <w:rStyle w:val="37"/>
      </w:rPr>
      <w:fldChar w:fldCharType="begin"/>
    </w:r>
    <w:r>
      <w:rPr>
        <w:rStyle w:val="37"/>
      </w:rPr>
      <w:instrText>Page</w:instrText>
    </w:r>
    <w:r>
      <w:rPr>
        <w:rStyle w:val="37"/>
      </w:rPr>
      <w:fldChar w:fldCharType="separate"/>
    </w:r>
    <w:r>
      <w:rPr>
        <w:rStyle w:val="37"/>
      </w:rPr>
      <w:t>1</w:t>
    </w:r>
    <w:r>
      <w:rPr>
        <w:rStyle w:val="37"/>
      </w:rPr>
      <w:fldChar w:fldCharType="end"/>
    </w:r>
  </w:p>
  <w:p>
    <w:pPr>
      <w:pStyle w:val="26"/>
      <w:tabs>
        <w:tab w:val="center" w:pos="4153"/>
        <w:tab w:val="right" w:pos="8306"/>
      </w:tabs>
    </w:pPr>
  </w:p>
</w:ftr>
</file>

<file path=word/footer6.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pStyle w:val="26"/>
      <w:tabs>
        <w:tab w:val="center" w:pos="4153"/>
        <w:tab w:val="right" w:pos="8306"/>
      </w:tabs>
      <w:jc w:val="center"/>
    </w:pPr>
    <w:r>
      <w:fldChar w:fldCharType="begin"/>
    </w:r>
    <w:r>
      <w:instrText>Page</w:instrText>
    </w:r>
    <w:r>
      <w:fldChar w:fldCharType="separate"/>
    </w:r>
    <w:r>
      <w:t>1</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w:abstractNum w:abstractNumId="0">
    <w:nsid w:val="366465BF"/>
    <w:multiLevelType w:val="multilevel"/>
    <w:tmpl w:val="366465BF"/>
    <w:lvl w:ilvl="0">
      <w:start w:val="1"/>
      <w:numFmt w:val="decimal"/>
      <w:lvlRestart w:val="0"/>
      <w:lvlText w:val="（%1）"/>
      <w:lvlJc w:val="left"/>
      <w:pPr>
        <w:tabs>
          <w:tab w:val="num" w:pos="0"/>
        </w:tabs>
        <w:ind w:left="1827" w:hanging="239"/>
      </w:pPr>
      <w:rPr>
        <w:rFonts w:hint="eastAsia"/>
      </w:rPr>
    </w:lvl>
    <w:lvl w:ilvl="1">
      <w:start w:val="1"/>
      <w:numFmt w:val="lowerLetter"/>
      <w:lvlText w:val="%2)"/>
      <w:lvlJc w:val="left"/>
      <w:pPr>
        <w:tabs>
          <w:tab w:val="num" w:pos="0"/>
        </w:tabs>
        <w:ind w:left="2520" w:hanging="420"/>
      </w:pPr>
    </w:lvl>
    <w:lvl w:ilvl="2">
      <w:start w:val="1"/>
      <w:numFmt w:val="lowerRoman"/>
      <w:lvlText w:val="%3."/>
      <w:lvlJc w:val="right"/>
      <w:pPr>
        <w:tabs>
          <w:tab w:val="num" w:pos="0"/>
        </w:tabs>
        <w:ind w:left="2940" w:hanging="420"/>
      </w:pPr>
    </w:lvl>
    <w:lvl w:ilvl="3">
      <w:start w:val="1"/>
      <w:numFmt w:val="decimal"/>
      <w:lvlText w:val="%4."/>
      <w:lvlJc w:val="left"/>
      <w:pPr>
        <w:tabs>
          <w:tab w:val="num" w:pos="0"/>
        </w:tabs>
        <w:ind w:left="3360" w:hanging="420"/>
      </w:pPr>
    </w:lvl>
    <w:lvl w:ilvl="4">
      <w:start w:val="1"/>
      <w:numFmt w:val="lowerLetter"/>
      <w:lvlText w:val="%5)"/>
      <w:lvlJc w:val="left"/>
      <w:pPr>
        <w:tabs>
          <w:tab w:val="num" w:pos="0"/>
        </w:tabs>
        <w:ind w:left="3780" w:hanging="420"/>
      </w:pPr>
    </w:lvl>
    <w:lvl w:ilvl="5">
      <w:start w:val="1"/>
      <w:numFmt w:val="lowerRoman"/>
      <w:lvlText w:val="%6."/>
      <w:lvlJc w:val="right"/>
      <w:pPr>
        <w:tabs>
          <w:tab w:val="num" w:pos="0"/>
        </w:tabs>
        <w:ind w:left="4200" w:hanging="420"/>
      </w:pPr>
    </w:lvl>
    <w:lvl w:ilvl="6">
      <w:start w:val="1"/>
      <w:numFmt w:val="decimal"/>
      <w:lvlText w:val="%7."/>
      <w:lvlJc w:val="left"/>
      <w:pPr>
        <w:tabs>
          <w:tab w:val="num" w:pos="0"/>
        </w:tabs>
        <w:ind w:left="4620" w:hanging="420"/>
      </w:pPr>
    </w:lvl>
    <w:lvl w:ilvl="7">
      <w:start w:val="1"/>
      <w:numFmt w:val="lowerLetter"/>
      <w:lvlText w:val="%8)"/>
      <w:lvlJc w:val="left"/>
      <w:pPr>
        <w:tabs>
          <w:tab w:val="num" w:pos="0"/>
        </w:tabs>
        <w:ind w:left="5040" w:hanging="420"/>
      </w:pPr>
    </w:lvl>
    <w:lvl w:ilvl="8">
      <w:start w:val="1"/>
      <w:numFmt w:val="lowerRoman"/>
      <w:lvlText w:val="%9."/>
      <w:lvlJc w:val="right"/>
      <w:pPr>
        <w:tabs>
          <w:tab w:val="num" w:pos="0"/>
        </w:tabs>
        <w:ind w:left="5460" w:hanging="420"/>
      </w:pPr>
    </w:lvl>
  </w:abstractNum>
  <w:abstractNum w:abstractNumId="1">
    <w:nsid w:val="3F0E2E54"/>
    <w:multiLevelType w:val="multilevel"/>
    <w:tmpl w:val="3F0E2E54"/>
    <w:lvl w:ilvl="0">
      <w:start w:val="1"/>
      <w:numFmt w:val="decimal"/>
      <w:lvlRestart w:val="0"/>
      <w:lvlText w:val="（%1）"/>
      <w:lvlJc w:val="left"/>
      <w:pPr>
        <w:tabs>
          <w:tab w:val="num" w:pos="0"/>
        </w:tabs>
        <w:ind w:left="1140" w:hanging="720"/>
      </w:pPr>
      <w:rPr>
        <w:rFonts w:hint="default"/>
      </w:rPr>
    </w:lvl>
    <w:lvl w:ilvl="1">
      <w:start w:val="1"/>
      <w:numFmt w:val="lowerLetter"/>
      <w:lvlText w:val="%2)"/>
      <w:lvlJc w:val="left"/>
      <w:pPr>
        <w:tabs>
          <w:tab w:val="num" w:pos="0"/>
        </w:tabs>
        <w:ind w:left="1260" w:hanging="420"/>
      </w:pPr>
    </w:lvl>
    <w:lvl w:ilvl="2">
      <w:start w:val="1"/>
      <w:numFmt w:val="lowerRoman"/>
      <w:lvlText w:val="%3."/>
      <w:lvlJc w:val="right"/>
      <w:pPr>
        <w:tabs>
          <w:tab w:val="num" w:pos="0"/>
        </w:tabs>
        <w:ind w:left="1680" w:hanging="420"/>
      </w:pPr>
    </w:lvl>
    <w:lvl w:ilvl="3">
      <w:start w:val="1"/>
      <w:numFmt w:val="decimal"/>
      <w:lvlText w:val="%4."/>
      <w:lvlJc w:val="left"/>
      <w:pPr>
        <w:tabs>
          <w:tab w:val="num" w:pos="0"/>
        </w:tabs>
        <w:ind w:left="2100" w:hanging="420"/>
      </w:pPr>
    </w:lvl>
    <w:lvl w:ilvl="4">
      <w:start w:val="1"/>
      <w:numFmt w:val="lowerLetter"/>
      <w:lvlText w:val="%5)"/>
      <w:lvlJc w:val="left"/>
      <w:pPr>
        <w:tabs>
          <w:tab w:val="num" w:pos="0"/>
        </w:tabs>
        <w:ind w:left="2520" w:hanging="420"/>
      </w:pPr>
    </w:lvl>
    <w:lvl w:ilvl="5">
      <w:start w:val="1"/>
      <w:numFmt w:val="lowerRoman"/>
      <w:lvlText w:val="%6."/>
      <w:lvlJc w:val="right"/>
      <w:pPr>
        <w:tabs>
          <w:tab w:val="num" w:pos="0"/>
        </w:tabs>
        <w:ind w:left="2940" w:hanging="420"/>
      </w:pPr>
    </w:lvl>
    <w:lvl w:ilvl="6">
      <w:start w:val="1"/>
      <w:numFmt w:val="decimal"/>
      <w:lvlText w:val="%7."/>
      <w:lvlJc w:val="left"/>
      <w:pPr>
        <w:tabs>
          <w:tab w:val="num" w:pos="0"/>
        </w:tabs>
        <w:ind w:left="3360" w:hanging="420"/>
      </w:pPr>
    </w:lvl>
    <w:lvl w:ilvl="7">
      <w:start w:val="1"/>
      <w:numFmt w:val="lowerLetter"/>
      <w:lvlText w:val="%8)"/>
      <w:lvlJc w:val="left"/>
      <w:pPr>
        <w:tabs>
          <w:tab w:val="num" w:pos="0"/>
        </w:tabs>
        <w:ind w:left="3780" w:hanging="420"/>
      </w:pPr>
    </w:lvl>
    <w:lvl w:ilvl="8">
      <w:start w:val="1"/>
      <w:numFmt w:val="lowerRoman"/>
      <w:lvlText w:val="%9."/>
      <w:lvlJc w:val="right"/>
      <w:pPr>
        <w:tabs>
          <w:tab w:val="num" w:pos="0"/>
        </w:tabs>
        <w:ind w:left="4200" w:hanging="420"/>
      </w:pPr>
    </w:lvl>
  </w:abstractNum>
  <w:abstractNum w:abstractNumId="2">
    <w:nsid w:val="5EB87DD6"/>
    <w:multiLevelType w:val="multilevel"/>
    <w:tmpl w:val="5EB87DD6"/>
    <w:lvl w:ilvl="0">
      <w:start w:val="1"/>
      <w:numFmt w:val="decimal"/>
      <w:lvlRestart w:val="0"/>
      <w:lvlText w:val="（%1）"/>
      <w:lvlJc w:val="left"/>
      <w:pPr>
        <w:tabs>
          <w:tab w:val="num" w:pos="0"/>
        </w:tabs>
        <w:ind w:left="1140" w:hanging="720"/>
      </w:pPr>
      <w:rPr>
        <w:rFonts w:hint="default"/>
      </w:rPr>
    </w:lvl>
    <w:lvl w:ilvl="1">
      <w:start w:val="1"/>
      <w:numFmt w:val="lowerLetter"/>
      <w:lvlText w:val="%2)"/>
      <w:lvlJc w:val="left"/>
      <w:pPr>
        <w:tabs>
          <w:tab w:val="num" w:pos="0"/>
        </w:tabs>
        <w:ind w:left="1260" w:hanging="420"/>
      </w:pPr>
    </w:lvl>
    <w:lvl w:ilvl="2">
      <w:start w:val="1"/>
      <w:numFmt w:val="lowerRoman"/>
      <w:lvlText w:val="%3."/>
      <w:lvlJc w:val="right"/>
      <w:pPr>
        <w:tabs>
          <w:tab w:val="num" w:pos="0"/>
        </w:tabs>
        <w:ind w:left="1680" w:hanging="420"/>
      </w:pPr>
    </w:lvl>
    <w:lvl w:ilvl="3">
      <w:start w:val="1"/>
      <w:numFmt w:val="decimal"/>
      <w:lvlText w:val="%4."/>
      <w:lvlJc w:val="left"/>
      <w:pPr>
        <w:tabs>
          <w:tab w:val="num" w:pos="0"/>
        </w:tabs>
        <w:ind w:left="2100" w:hanging="420"/>
      </w:pPr>
    </w:lvl>
    <w:lvl w:ilvl="4">
      <w:start w:val="1"/>
      <w:numFmt w:val="lowerLetter"/>
      <w:lvlText w:val="%5)"/>
      <w:lvlJc w:val="left"/>
      <w:pPr>
        <w:tabs>
          <w:tab w:val="num" w:pos="0"/>
        </w:tabs>
        <w:ind w:left="2520" w:hanging="420"/>
      </w:pPr>
    </w:lvl>
    <w:lvl w:ilvl="5">
      <w:start w:val="1"/>
      <w:numFmt w:val="lowerRoman"/>
      <w:lvlText w:val="%6."/>
      <w:lvlJc w:val="right"/>
      <w:pPr>
        <w:tabs>
          <w:tab w:val="num" w:pos="0"/>
        </w:tabs>
        <w:ind w:left="2940" w:hanging="420"/>
      </w:pPr>
    </w:lvl>
    <w:lvl w:ilvl="6">
      <w:start w:val="1"/>
      <w:numFmt w:val="decimal"/>
      <w:lvlText w:val="%7."/>
      <w:lvlJc w:val="left"/>
      <w:pPr>
        <w:tabs>
          <w:tab w:val="num" w:pos="0"/>
        </w:tabs>
        <w:ind w:left="3360" w:hanging="420"/>
      </w:pPr>
    </w:lvl>
    <w:lvl w:ilvl="7">
      <w:start w:val="1"/>
      <w:numFmt w:val="lowerLetter"/>
      <w:lvlText w:val="%8)"/>
      <w:lvlJc w:val="left"/>
      <w:pPr>
        <w:tabs>
          <w:tab w:val="num" w:pos="0"/>
        </w:tabs>
        <w:ind w:left="3780" w:hanging="420"/>
      </w:pPr>
    </w:lvl>
    <w:lvl w:ilvl="8">
      <w:start w:val="1"/>
      <w:numFmt w:val="lowerRoman"/>
      <w:lvlText w:val="%9."/>
      <w:lvlJc w:val="right"/>
      <w:pPr>
        <w:tabs>
          <w:tab w:val="num" w:pos="0"/>
        </w:tabs>
        <w:ind w:left="4200" w:hanging="420"/>
      </w:pPr>
    </w:lvl>
  </w:abstractNum>
  <w:abstractNum w:abstractNumId="3">
    <w:nsid w:val="07E21AA3"/>
    <w:multiLevelType w:val="multilevel"/>
    <w:tmpl w:val="07E21AA3"/>
    <w:lvl w:ilvl="0">
      <w:start w:val="1"/>
      <w:numFmt w:val="decimal"/>
      <w:lvlRestart w:val="0"/>
      <w:suff w:val="nothing"/>
      <w:lvlText w:val="（%1）"/>
      <w:lvlJc w:val="left"/>
      <w:pPr>
        <w:tabs>
          <w:tab w:val="num" w:pos="0"/>
        </w:tabs>
        <w:ind w:left="760" w:hanging="340"/>
      </w:pPr>
      <w:rPr>
        <w:rFonts w:ascii="Times New Roman" w:hAnsi="Times New Roman" w:eastAsia="宋体" w:hint="default"/>
      </w:rPr>
    </w:lvl>
    <w:lvl w:ilvl="1">
      <w:start w:val="1"/>
      <w:numFmt w:val="lowerLetter"/>
      <w:lvlText w:val="%2)"/>
      <w:lvlJc w:val="left"/>
      <w:pPr>
        <w:tabs>
          <w:tab w:val="num" w:pos="0"/>
        </w:tabs>
        <w:ind w:left="1453" w:hanging="420"/>
      </w:pPr>
    </w:lvl>
    <w:lvl w:ilvl="2">
      <w:start w:val="1"/>
      <w:numFmt w:val="lowerRoman"/>
      <w:lvlText w:val="%3."/>
      <w:lvlJc w:val="right"/>
      <w:pPr>
        <w:tabs>
          <w:tab w:val="num" w:pos="0"/>
        </w:tabs>
        <w:ind w:left="1873" w:hanging="420"/>
      </w:pPr>
    </w:lvl>
    <w:lvl w:ilvl="3">
      <w:start w:val="1"/>
      <w:numFmt w:val="decimal"/>
      <w:lvlText w:val="%4."/>
      <w:lvlJc w:val="left"/>
      <w:pPr>
        <w:tabs>
          <w:tab w:val="num" w:pos="0"/>
        </w:tabs>
        <w:ind w:left="2293" w:hanging="420"/>
      </w:pPr>
    </w:lvl>
    <w:lvl w:ilvl="4">
      <w:start w:val="1"/>
      <w:numFmt w:val="lowerLetter"/>
      <w:lvlText w:val="%5)"/>
      <w:lvlJc w:val="left"/>
      <w:pPr>
        <w:tabs>
          <w:tab w:val="num" w:pos="0"/>
        </w:tabs>
        <w:ind w:left="2713" w:hanging="420"/>
      </w:pPr>
    </w:lvl>
    <w:lvl w:ilvl="5">
      <w:start w:val="1"/>
      <w:numFmt w:val="lowerRoman"/>
      <w:lvlText w:val="%6."/>
      <w:lvlJc w:val="right"/>
      <w:pPr>
        <w:tabs>
          <w:tab w:val="num" w:pos="0"/>
        </w:tabs>
        <w:ind w:left="3133" w:hanging="420"/>
      </w:pPr>
    </w:lvl>
    <w:lvl w:ilvl="6">
      <w:start w:val="1"/>
      <w:numFmt w:val="decimal"/>
      <w:lvlText w:val="%7."/>
      <w:lvlJc w:val="left"/>
      <w:pPr>
        <w:tabs>
          <w:tab w:val="num" w:pos="0"/>
        </w:tabs>
        <w:ind w:left="3553" w:hanging="420"/>
      </w:pPr>
    </w:lvl>
    <w:lvl w:ilvl="7">
      <w:start w:val="1"/>
      <w:numFmt w:val="lowerLetter"/>
      <w:lvlText w:val="%8)"/>
      <w:lvlJc w:val="left"/>
      <w:pPr>
        <w:tabs>
          <w:tab w:val="num" w:pos="0"/>
        </w:tabs>
        <w:ind w:left="3973" w:hanging="420"/>
      </w:pPr>
    </w:lvl>
    <w:lvl w:ilvl="8">
      <w:start w:val="1"/>
      <w:numFmt w:val="lowerRoman"/>
      <w:lvlText w:val="%9."/>
      <w:lvlJc w:val="right"/>
      <w:pPr>
        <w:tabs>
          <w:tab w:val="num" w:pos="0"/>
        </w:tabs>
        <w:ind w:left="4393" w:hanging="420"/>
      </w:pPr>
    </w:lvl>
  </w:abstractNum>
  <w:abstractNum w:abstractNumId="4">
    <w:nsid w:val="1213194D"/>
    <w:multiLevelType w:val="multilevel"/>
    <w:tmpl w:val="1213194D"/>
    <w:lvl w:ilvl="0">
      <w:start w:val="1"/>
      <w:numFmt w:val="decimal"/>
      <w:lvlRestart w:val="0"/>
      <w:suff w:val="nothing"/>
      <w:lvlText w:val="（%1）"/>
      <w:lvlJc w:val="left"/>
      <w:pPr>
        <w:tabs>
          <w:tab w:val="num" w:pos="0"/>
        </w:tabs>
        <w:ind w:left="765" w:hanging="340"/>
      </w:pPr>
      <w:rPr>
        <w:rFonts w:ascii="Times New Roman" w:hAnsi="Times New Roman" w:eastAsia="宋体" w:hint="default"/>
      </w:rPr>
    </w:lvl>
    <w:lvl w:ilvl="1">
      <w:start w:val="1"/>
      <w:numFmt w:val="lowerLetter"/>
      <w:lvlText w:val="%2)"/>
      <w:lvlJc w:val="left"/>
      <w:pPr>
        <w:tabs>
          <w:tab w:val="num" w:pos="0"/>
        </w:tabs>
        <w:ind w:left="1453" w:hanging="420"/>
      </w:pPr>
    </w:lvl>
    <w:lvl w:ilvl="2">
      <w:start w:val="1"/>
      <w:numFmt w:val="lowerRoman"/>
      <w:lvlText w:val="%3."/>
      <w:lvlJc w:val="right"/>
      <w:pPr>
        <w:tabs>
          <w:tab w:val="num" w:pos="0"/>
        </w:tabs>
        <w:ind w:left="1873" w:hanging="420"/>
      </w:pPr>
    </w:lvl>
    <w:lvl w:ilvl="3">
      <w:start w:val="1"/>
      <w:numFmt w:val="decimal"/>
      <w:lvlText w:val="%4."/>
      <w:lvlJc w:val="left"/>
      <w:pPr>
        <w:tabs>
          <w:tab w:val="num" w:pos="0"/>
        </w:tabs>
        <w:ind w:left="2293" w:hanging="420"/>
      </w:pPr>
    </w:lvl>
    <w:lvl w:ilvl="4">
      <w:start w:val="1"/>
      <w:numFmt w:val="lowerLetter"/>
      <w:lvlText w:val="%5)"/>
      <w:lvlJc w:val="left"/>
      <w:pPr>
        <w:tabs>
          <w:tab w:val="num" w:pos="0"/>
        </w:tabs>
        <w:ind w:left="2713" w:hanging="420"/>
      </w:pPr>
    </w:lvl>
    <w:lvl w:ilvl="5">
      <w:start w:val="1"/>
      <w:numFmt w:val="lowerRoman"/>
      <w:lvlText w:val="%6."/>
      <w:lvlJc w:val="right"/>
      <w:pPr>
        <w:tabs>
          <w:tab w:val="num" w:pos="0"/>
        </w:tabs>
        <w:ind w:left="3133" w:hanging="420"/>
      </w:pPr>
    </w:lvl>
    <w:lvl w:ilvl="6">
      <w:start w:val="1"/>
      <w:numFmt w:val="decimal"/>
      <w:lvlText w:val="%7."/>
      <w:lvlJc w:val="left"/>
      <w:pPr>
        <w:tabs>
          <w:tab w:val="num" w:pos="0"/>
        </w:tabs>
        <w:ind w:left="3553" w:hanging="420"/>
      </w:pPr>
    </w:lvl>
    <w:lvl w:ilvl="7">
      <w:start w:val="1"/>
      <w:numFmt w:val="lowerLetter"/>
      <w:lvlText w:val="%8)"/>
      <w:lvlJc w:val="left"/>
      <w:pPr>
        <w:tabs>
          <w:tab w:val="num" w:pos="0"/>
        </w:tabs>
        <w:ind w:left="3973" w:hanging="420"/>
      </w:pPr>
    </w:lvl>
    <w:lvl w:ilvl="8">
      <w:start w:val="1"/>
      <w:numFmt w:val="lowerRoman"/>
      <w:lvlText w:val="%9."/>
      <w:lvlJc w:val="right"/>
      <w:pPr>
        <w:tabs>
          <w:tab w:val="num" w:pos="0"/>
        </w:tabs>
        <w:ind w:left="4393" w:hanging="420"/>
      </w:pPr>
    </w:lvl>
  </w:abstractNum>
  <w:abstractNum w:abstractNumId="5">
    <w:nsid w:val="EEAEE903"/>
    <w:multiLevelType w:val="multilevel"/>
    <w:tmpl w:val="EEAEE903"/>
    <w:lvl w:ilvl="0">
      <w:start w:val="1"/>
      <w:numFmt w:val="decimal"/>
      <w:lvlRestart w:val="0"/>
      <w:suff w:val="nothing"/>
      <w:lvlText w:val="（%1）"/>
      <w:lvlJc w:val="left"/>
      <w:pPr>
        <w:tabs>
          <w:tab w:val="num" w:pos="0"/>
        </w:tabs>
        <w:ind w:left="420" w:hanging="420"/>
      </w:pPr>
    </w:lvl>
    <w:lvl w:ilvl="1">
      <w:start w:val="1"/>
      <w:numFmt w:val="lowerLetter"/>
      <w:lvlText w:val="%2)"/>
      <w:lvlJc w:val="left"/>
      <w:pPr>
        <w:tabs>
          <w:tab w:val="num" w:pos="0"/>
        </w:tabs>
        <w:ind w:left="1260" w:hanging="420"/>
      </w:pPr>
      <w:rPr>
        <w:rFonts w:cs="Times New Roman" w:hint="eastAsia"/>
      </w:rPr>
    </w:lvl>
    <w:lvl w:ilvl="2">
      <w:start w:val="1"/>
      <w:numFmt w:val="lowerRoman"/>
      <w:lvlText w:val="%3."/>
      <w:lvlJc w:val="right"/>
      <w:pPr>
        <w:tabs>
          <w:tab w:val="num" w:pos="0"/>
        </w:tabs>
        <w:ind w:left="1680" w:hanging="420"/>
      </w:pPr>
      <w:rPr>
        <w:rFonts w:cs="Times New Roman" w:hint="eastAsia"/>
      </w:rPr>
    </w:lvl>
    <w:lvl w:ilvl="3">
      <w:start w:val="1"/>
      <w:numFmt w:val="decimal"/>
      <w:lvlText w:val="%4."/>
      <w:lvlJc w:val="left"/>
      <w:pPr>
        <w:tabs>
          <w:tab w:val="num" w:pos="0"/>
        </w:tabs>
        <w:ind w:left="2100" w:hanging="420"/>
      </w:pPr>
      <w:rPr>
        <w:rFonts w:cs="Times New Roman" w:hint="eastAsia"/>
      </w:rPr>
    </w:lvl>
    <w:lvl w:ilvl="4">
      <w:start w:val="1"/>
      <w:numFmt w:val="lowerLetter"/>
      <w:lvlText w:val="%5)"/>
      <w:lvlJc w:val="left"/>
      <w:pPr>
        <w:tabs>
          <w:tab w:val="num" w:pos="0"/>
        </w:tabs>
        <w:ind w:left="2520" w:hanging="420"/>
      </w:pPr>
      <w:rPr>
        <w:rFonts w:cs="Times New Roman" w:hint="eastAsia"/>
      </w:rPr>
    </w:lvl>
    <w:lvl w:ilvl="5">
      <w:start w:val="1"/>
      <w:numFmt w:val="lowerRoman"/>
      <w:lvlText w:val="%6."/>
      <w:lvlJc w:val="right"/>
      <w:pPr>
        <w:tabs>
          <w:tab w:val="num" w:pos="0"/>
        </w:tabs>
        <w:ind w:left="2940" w:hanging="420"/>
      </w:pPr>
      <w:rPr>
        <w:rFonts w:cs="Times New Roman" w:hint="eastAsia"/>
      </w:rPr>
    </w:lvl>
    <w:lvl w:ilvl="6">
      <w:start w:val="1"/>
      <w:numFmt w:val="decimal"/>
      <w:lvlText w:val="%7."/>
      <w:lvlJc w:val="left"/>
      <w:pPr>
        <w:tabs>
          <w:tab w:val="num" w:pos="0"/>
        </w:tabs>
        <w:ind w:left="3360" w:hanging="420"/>
      </w:pPr>
      <w:rPr>
        <w:rFonts w:cs="Times New Roman" w:hint="eastAsia"/>
      </w:rPr>
    </w:lvl>
    <w:lvl w:ilvl="7">
      <w:start w:val="1"/>
      <w:numFmt w:val="lowerLetter"/>
      <w:lvlText w:val="%8)"/>
      <w:lvlJc w:val="left"/>
      <w:pPr>
        <w:tabs>
          <w:tab w:val="num" w:pos="0"/>
        </w:tabs>
        <w:ind w:left="3780" w:hanging="420"/>
      </w:pPr>
      <w:rPr>
        <w:rFonts w:cs="Times New Roman" w:hint="eastAsia"/>
      </w:rPr>
    </w:lvl>
    <w:lvl w:ilvl="8">
      <w:start w:val="1"/>
      <w:numFmt w:val="lowerRoman"/>
      <w:lvlText w:val="%9."/>
      <w:lvlJc w:val="right"/>
      <w:pPr>
        <w:tabs>
          <w:tab w:val="num" w:pos="0"/>
        </w:tabs>
        <w:ind w:left="4200" w:hanging="420"/>
      </w:pPr>
      <w:rPr>
        <w:rFonts w:cs="Times New Roman" w:hint="eastAsia"/>
      </w:rPr>
    </w:lvl>
  </w:abstractNum>
  <w:abstractNum w:abstractNumId="6">
    <w:nsid w:val="00000001"/>
    <w:multiLevelType w:val="multilevel"/>
    <w:tmpl w:val="00000001"/>
    <w:lvl w:ilvl="0">
      <w:start w:val="1"/>
      <w:numFmt w:val="chineseCountingThousand"/>
      <w:lvlRestart w:val="0"/>
      <w:suff w:val="space"/>
      <w:lvlText w:val="%1、"/>
      <w:lvlJc w:val="left"/>
      <w:pPr>
        <w:tabs>
          <w:tab w:val="num" w:pos="0"/>
        </w:tabs>
        <w:ind w:left="142" w:hanging="142"/>
      </w:pPr>
      <w:rPr>
        <w:rFonts w:ascii="Arial" w:hAnsi="Arial" w:eastAsia="宋体" w:hint="default"/>
      </w:rPr>
    </w:lvl>
    <w:lvl w:ilvl="1">
      <w:start w:val="1"/>
      <w:numFmt w:val="decimal"/>
      <w:suff w:val="space"/>
      <w:lvlText w:val="%2、"/>
      <w:lvlJc w:val="left"/>
      <w:pPr>
        <w:tabs>
          <w:tab w:val="num" w:pos="0"/>
        </w:tabs>
        <w:ind w:left="709" w:hanging="142"/>
      </w:pPr>
      <w:rPr>
        <w:rFonts w:ascii="Arial" w:hAnsi="Arial" w:eastAsia="宋体" w:hint="default"/>
      </w:rPr>
    </w:lvl>
    <w:lvl w:ilvl="2">
      <w:start w:val="1"/>
      <w:numFmt w:val="decimal"/>
      <w:lvlText w:val="%2.%3"/>
      <w:lvlJc w:val="left"/>
      <w:pPr>
        <w:tabs>
          <w:tab w:val="num" w:pos="0"/>
        </w:tabs>
        <w:ind w:left="0" w:hanging="0"/>
      </w:pPr>
      <w:rPr>
        <w:rFonts w:ascii="Arial" w:hAnsi="Arial" w:eastAsia="宋体" w:hint="default"/>
        <w:sz w:val="28"/>
        <w:szCs w:val="28"/>
      </w:rPr>
    </w:lvl>
    <w:lvl w:ilvl="3">
      <w:start w:val="1"/>
      <w:numFmt w:val="decimal"/>
      <w:suff w:val="space"/>
      <w:lvlText w:val="%2.%3.%4"/>
      <w:lvlJc w:val="left"/>
      <w:pPr>
        <w:tabs>
          <w:tab w:val="num" w:pos="0"/>
        </w:tabs>
        <w:ind w:left="0" w:hanging="0"/>
      </w:pPr>
      <w:rPr>
        <w:rFonts w:hint="eastAsia"/>
      </w:rPr>
    </w:lvl>
    <w:lvl w:ilvl="4">
      <w:start w:val="1"/>
      <w:numFmt w:val="decimal"/>
      <w:suff w:val="space"/>
      <w:lvlText w:val="%2.%3.%4.%5"/>
      <w:lvlJc w:val="left"/>
      <w:pPr>
        <w:tabs>
          <w:tab w:val="num" w:pos="0"/>
        </w:tabs>
        <w:ind w:left="424" w:hanging="141"/>
      </w:pPr>
      <w:rPr>
        <w:rFonts w:hint="eastAsia"/>
      </w:rPr>
    </w:lvl>
    <w:lvl w:ilvl="5">
      <w:start w:val="1"/>
      <w:numFmt w:val="decimal"/>
      <w:lvlText w:val="%1.%2.%3.%4.%5.%6"/>
      <w:lvlJc w:val="left"/>
      <w:pPr>
        <w:tabs>
          <w:tab w:val="num" w:pos="0"/>
        </w:tabs>
        <w:ind w:left="3260" w:hanging="1134"/>
      </w:pPr>
      <w:rPr>
        <w:rFonts w:hint="eastAsia"/>
      </w:rPr>
    </w:lvl>
    <w:lvl w:ilvl="6">
      <w:start w:val="1"/>
      <w:numFmt w:val="decimal"/>
      <w:lvlText w:val="%1.%2.%3.%4.%5.%6.%7"/>
      <w:lvlJc w:val="left"/>
      <w:pPr>
        <w:tabs>
          <w:tab w:val="num" w:pos="0"/>
        </w:tabs>
        <w:ind w:left="3827" w:hanging="1276"/>
      </w:pPr>
      <w:rPr>
        <w:rFonts w:hint="eastAsia"/>
      </w:rPr>
    </w:lvl>
    <w:lvl w:ilvl="7">
      <w:start w:val="1"/>
      <w:numFmt w:val="decimal"/>
      <w:lvlText w:val="%1.%2.%3.%4.%5.%6.%7.%8"/>
      <w:lvlJc w:val="left"/>
      <w:pPr>
        <w:tabs>
          <w:tab w:val="num" w:pos="0"/>
        </w:tabs>
        <w:ind w:left="4394" w:hanging="1418"/>
      </w:pPr>
      <w:rPr>
        <w:rFonts w:hint="eastAsia"/>
      </w:rPr>
    </w:lvl>
    <w:lvl w:ilvl="8">
      <w:start w:val="1"/>
      <w:numFmt w:val="decimal"/>
      <w:lvlText w:val="%1.%2.%3.%4.%5.%6.%7.%8.%9"/>
      <w:lvlJc w:val="left"/>
      <w:pPr>
        <w:tabs>
          <w:tab w:val="num" w:pos="0"/>
        </w:tabs>
        <w:ind w:left="5102" w:hanging="1700"/>
      </w:pPr>
      <w:rPr>
        <w:rFonts w:hint="eastAsia"/>
      </w:rPr>
    </w:lvl>
  </w:abstractNum>
  <w:abstractNum w:abstractNumId="7">
    <w:nsid w:val="A977C4A4"/>
    <w:multiLevelType w:val="singleLevel"/>
    <w:tmpl w:val="A977C4A4"/>
    <w:lvl w:ilvl="0">
      <w:start w:val="1"/>
      <w:numFmt w:val="decimal"/>
      <w:lvlRestart w:val="0"/>
      <w:lvlText w:val="%1."/>
      <w:lvlJc w:val="left"/>
      <w:pPr>
        <w:tabs>
          <w:tab w:val="num" w:pos="0"/>
        </w:tabs>
        <w:ind w:left="0" w:hanging="0"/>
      </w:pPr>
    </w:lvl>
  </w:abstractNum>
  <w:abstractNum w:abstractNumId="8">
    <w:nsid w:val="C87261D4"/>
    <w:multiLevelType w:val="singleLevel"/>
    <w:tmpl w:val="C87261D4"/>
    <w:lvl w:ilvl="0">
      <w:start w:val="1"/>
      <w:numFmt w:val="decimal"/>
      <w:lvlRestart w:val="0"/>
      <w:lvlText w:val="%1."/>
      <w:lvlJc w:val="left"/>
      <w:pPr>
        <w:tabs>
          <w:tab w:val="num" w:pos="0"/>
        </w:tabs>
        <w:ind w:left="0" w:hanging="0"/>
      </w:pPr>
    </w:lvl>
  </w:abstractNum>
  <w:abstractNum w:abstractNumId="9">
    <w:nsid w:val="00000002"/>
    <w:multiLevelType w:val="multilevel"/>
    <w:tmpl w:val="00000002"/>
    <w:lvl w:ilvl="0">
      <w:start w:val="1"/>
      <w:numFmt w:val="chineseCountingThousand"/>
      <w:lvlRestart w:val="0"/>
      <w:suff w:val="space"/>
      <w:lvlText w:val="%1、"/>
      <w:lvlJc w:val="left"/>
      <w:pPr>
        <w:tabs>
          <w:tab w:val="num" w:pos="0"/>
        </w:tabs>
        <w:ind w:left="142" w:hanging="142"/>
      </w:pPr>
      <w:rPr>
        <w:rFonts w:ascii="Arial" w:hAnsi="Arial" w:eastAsia="宋体" w:hint="default"/>
      </w:rPr>
    </w:lvl>
    <w:lvl w:ilvl="1">
      <w:start w:val="1"/>
      <w:numFmt w:val="decimal"/>
      <w:suff w:val="space"/>
      <w:lvlText w:val="%2、"/>
      <w:lvlJc w:val="left"/>
      <w:pPr>
        <w:tabs>
          <w:tab w:val="num" w:pos="0"/>
        </w:tabs>
        <w:ind w:left="709" w:hanging="142"/>
      </w:pPr>
      <w:rPr>
        <w:rFonts w:ascii="Arial" w:hAnsi="Arial" w:eastAsia="宋体" w:hint="default"/>
      </w:rPr>
    </w:lvl>
    <w:lvl w:ilvl="2">
      <w:start w:val="1"/>
      <w:numFmt w:val="decimal"/>
      <w:lvlText w:val="%2.%3"/>
      <w:lvlJc w:val="left"/>
      <w:pPr>
        <w:tabs>
          <w:tab w:val="num" w:pos="0"/>
        </w:tabs>
        <w:ind w:left="0" w:hanging="0"/>
      </w:pPr>
      <w:rPr>
        <w:rFonts w:ascii="Arial" w:hAnsi="Arial" w:eastAsia="宋体" w:hint="default"/>
        <w:sz w:val="28"/>
        <w:szCs w:val="28"/>
      </w:rPr>
    </w:lvl>
    <w:lvl w:ilvl="3">
      <w:start w:val="1"/>
      <w:numFmt w:val="decimal"/>
      <w:suff w:val="space"/>
      <w:lvlText w:val="%2.%3.%4"/>
      <w:lvlJc w:val="left"/>
      <w:pPr>
        <w:tabs>
          <w:tab w:val="num" w:pos="0"/>
        </w:tabs>
        <w:ind w:left="0" w:hanging="0"/>
      </w:pPr>
      <w:rPr>
        <w:rFonts w:hint="eastAsia"/>
      </w:rPr>
    </w:lvl>
    <w:lvl w:ilvl="4">
      <w:start w:val="1"/>
      <w:numFmt w:val="decimal"/>
      <w:suff w:val="space"/>
      <w:lvlText w:val="%2.%3.%4.%5"/>
      <w:lvlJc w:val="left"/>
      <w:pPr>
        <w:tabs>
          <w:tab w:val="num" w:pos="0"/>
        </w:tabs>
        <w:ind w:left="424" w:hanging="141"/>
      </w:pPr>
      <w:rPr>
        <w:rFonts w:hint="eastAsia"/>
      </w:rPr>
    </w:lvl>
    <w:lvl w:ilvl="5">
      <w:start w:val="1"/>
      <w:numFmt w:val="decimal"/>
      <w:lvlText w:val="%1.%2.%3.%4.%5.%6"/>
      <w:lvlJc w:val="left"/>
      <w:pPr>
        <w:tabs>
          <w:tab w:val="num" w:pos="0"/>
        </w:tabs>
        <w:ind w:left="3260" w:hanging="1134"/>
      </w:pPr>
      <w:rPr>
        <w:rFonts w:hint="eastAsia"/>
      </w:rPr>
    </w:lvl>
    <w:lvl w:ilvl="6">
      <w:start w:val="1"/>
      <w:numFmt w:val="decimal"/>
      <w:lvlText w:val="%1.%2.%3.%4.%5.%6.%7"/>
      <w:lvlJc w:val="left"/>
      <w:pPr>
        <w:tabs>
          <w:tab w:val="num" w:pos="0"/>
        </w:tabs>
        <w:ind w:left="3827" w:hanging="1276"/>
      </w:pPr>
      <w:rPr>
        <w:rFonts w:hint="eastAsia"/>
      </w:rPr>
    </w:lvl>
    <w:lvl w:ilvl="7">
      <w:start w:val="1"/>
      <w:numFmt w:val="decimal"/>
      <w:lvlText w:val="%1.%2.%3.%4.%5.%6.%7.%8"/>
      <w:lvlJc w:val="left"/>
      <w:pPr>
        <w:tabs>
          <w:tab w:val="num" w:pos="0"/>
        </w:tabs>
        <w:ind w:left="4394" w:hanging="1418"/>
      </w:pPr>
      <w:rPr>
        <w:rFonts w:hint="eastAsia"/>
      </w:rPr>
    </w:lvl>
    <w:lvl w:ilvl="8">
      <w:start w:val="1"/>
      <w:numFmt w:val="decimal"/>
      <w:lvlText w:val="%1.%2.%3.%4.%5.%6.%7.%8.%9"/>
      <w:lvlJc w:val="left"/>
      <w:pPr>
        <w:tabs>
          <w:tab w:val="num" w:pos="0"/>
        </w:tabs>
        <w:ind w:left="5102" w:hanging="1700"/>
      </w:pPr>
      <w:rPr>
        <w:rFonts w:hint="eastAsia"/>
      </w:rPr>
    </w:lvl>
  </w:abstractNum>
  <w:abstractNum w:abstractNumId="10">
    <w:nsid w:val="00000026"/>
    <w:multiLevelType w:val="multilevel"/>
    <w:tmpl w:val="00000026"/>
    <w:lvl w:ilvl="0">
      <w:start w:val="1"/>
      <w:numFmt w:val="bullet"/>
      <w:lvlRestart w:val="0"/>
      <w:lvlText w:val=""/>
      <w:lvlJc w:val="left"/>
      <w:pPr>
        <w:tabs>
          <w:tab w:val="num" w:pos="0"/>
        </w:tabs>
        <w:ind w:left="420" w:hanging="420"/>
      </w:pPr>
      <w:rPr>
        <w:rFonts w:ascii="Wingdings" w:hAnsi="Wingdings" w:hint="default"/>
      </w:rPr>
    </w:lvl>
    <w:lvl w:ilvl="1">
      <w:start w:val="1"/>
      <w:numFmt w:val="bullet"/>
      <w:lvlText w:val=""/>
      <w:lvlJc w:val="left"/>
      <w:pPr>
        <w:tabs>
          <w:tab w:val="num" w:pos="0"/>
        </w:tabs>
        <w:ind w:left="840" w:hanging="420"/>
      </w:pPr>
      <w:rPr>
        <w:rFonts w:ascii="Wingdings" w:hAnsi="Wingdings" w:hint="default"/>
      </w:rPr>
    </w:lvl>
    <w:lvl w:ilvl="2">
      <w:start w:val="1"/>
      <w:numFmt w:val="bullet"/>
      <w:lvlText w:val=""/>
      <w:lvlJc w:val="left"/>
      <w:pPr>
        <w:tabs>
          <w:tab w:val="num" w:pos="0"/>
        </w:tabs>
        <w:ind w:left="1260" w:hanging="420"/>
      </w:pPr>
      <w:rPr>
        <w:rFonts w:ascii="Wingdings" w:hAnsi="Wingdings" w:hint="default"/>
      </w:rPr>
    </w:lvl>
    <w:lvl w:ilvl="3">
      <w:start w:val="1"/>
      <w:numFmt w:val="bullet"/>
      <w:lvlText w:val=""/>
      <w:lvlJc w:val="left"/>
      <w:pPr>
        <w:tabs>
          <w:tab w:val="num" w:pos="0"/>
        </w:tabs>
        <w:ind w:left="1680" w:hanging="420"/>
      </w:pPr>
      <w:rPr>
        <w:rFonts w:ascii="Wingdings" w:hAnsi="Wingdings" w:hint="default"/>
      </w:rPr>
    </w:lvl>
    <w:lvl w:ilvl="4">
      <w:start w:val="1"/>
      <w:numFmt w:val="bullet"/>
      <w:lvlText w:val=""/>
      <w:lvlJc w:val="left"/>
      <w:pPr>
        <w:tabs>
          <w:tab w:val="num" w:pos="0"/>
        </w:tabs>
        <w:ind w:left="2100" w:hanging="420"/>
      </w:pPr>
      <w:rPr>
        <w:rFonts w:ascii="Wingdings" w:hAnsi="Wingdings" w:hint="default"/>
      </w:rPr>
    </w:lvl>
    <w:lvl w:ilvl="5">
      <w:start w:val="1"/>
      <w:numFmt w:val="bullet"/>
      <w:lvlText w:val=""/>
      <w:lvlJc w:val="left"/>
      <w:pPr>
        <w:tabs>
          <w:tab w:val="num" w:pos="0"/>
        </w:tabs>
        <w:ind w:left="2520" w:hanging="420"/>
      </w:pPr>
      <w:rPr>
        <w:rFonts w:ascii="Wingdings" w:hAnsi="Wingdings" w:hint="default"/>
      </w:rPr>
    </w:lvl>
    <w:lvl w:ilvl="6">
      <w:start w:val="1"/>
      <w:numFmt w:val="bullet"/>
      <w:lvlText w:val=""/>
      <w:lvlJc w:val="left"/>
      <w:pPr>
        <w:tabs>
          <w:tab w:val="num" w:pos="0"/>
        </w:tabs>
        <w:ind w:left="2940" w:hanging="420"/>
      </w:pPr>
      <w:rPr>
        <w:rFonts w:ascii="Wingdings" w:hAnsi="Wingdings" w:hint="default"/>
      </w:rPr>
    </w:lvl>
    <w:lvl w:ilvl="7">
      <w:start w:val="1"/>
      <w:numFmt w:val="bullet"/>
      <w:lvlText w:val=""/>
      <w:lvlJc w:val="left"/>
      <w:pPr>
        <w:tabs>
          <w:tab w:val="num" w:pos="0"/>
        </w:tabs>
        <w:ind w:left="3360" w:hanging="420"/>
      </w:pPr>
      <w:rPr>
        <w:rFonts w:ascii="Wingdings" w:hAnsi="Wingdings" w:hint="default"/>
      </w:rPr>
    </w:lvl>
    <w:lvl w:ilvl="8">
      <w:start w:val="1"/>
      <w:numFmt w:val="bullet"/>
      <w:lvlText w:val=""/>
      <w:lvlJc w:val="left"/>
      <w:pPr>
        <w:tabs>
          <w:tab w:val="num" w:pos="0"/>
        </w:tabs>
        <w:ind w:left="3780" w:hanging="420"/>
      </w:pPr>
      <w:rPr>
        <w:rFonts w:ascii="Wingdings" w:hAnsi="Wingdings" w:hint="default"/>
      </w:rPr>
    </w:lvl>
  </w:abstractNum>
  <w:abstractNum w:abstractNumId="11">
    <w:nsid w:val="68781996"/>
    <w:multiLevelType w:val="multilevel"/>
    <w:tmpl w:val="68781996"/>
    <w:lvl w:ilvl="0">
      <w:start w:val="1"/>
      <w:numFmt w:val="decimal"/>
      <w:lvlRestart w:val="0"/>
      <w:lvlText w:val="（%1）"/>
      <w:lvlJc w:val="left"/>
      <w:pPr>
        <w:tabs>
          <w:tab w:val="num" w:pos="0"/>
        </w:tabs>
        <w:ind w:left="1837" w:hanging="420"/>
      </w:pPr>
      <w:rPr>
        <w:rFonts w:hint="eastAsia"/>
      </w:rPr>
    </w:lvl>
    <w:lvl w:ilvl="1">
      <w:start w:val="1"/>
      <w:numFmt w:val="decimal"/>
      <w:lvlText w:val="%2)"/>
      <w:lvlJc w:val="left"/>
      <w:pPr>
        <w:tabs>
          <w:tab w:val="num" w:pos="0"/>
        </w:tabs>
        <w:ind w:left="2197" w:hanging="360"/>
      </w:pPr>
      <w:rPr>
        <w:rFonts w:cs="Times New Roman" w:hint="default"/>
      </w:rPr>
    </w:lvl>
    <w:lvl w:ilvl="2">
      <w:start w:val="1"/>
      <w:numFmt w:val="lowerRoman"/>
      <w:lvlText w:val="%3."/>
      <w:lvlJc w:val="right"/>
      <w:pPr>
        <w:tabs>
          <w:tab w:val="num" w:pos="0"/>
        </w:tabs>
        <w:ind w:left="2677" w:hanging="420"/>
      </w:pPr>
      <w:rPr>
        <w:rFonts w:cs="Times New Roman"/>
      </w:rPr>
    </w:lvl>
    <w:lvl w:ilvl="3">
      <w:start w:val="1"/>
      <w:numFmt w:val="decimal"/>
      <w:lvlText w:val="%4."/>
      <w:lvlJc w:val="left"/>
      <w:pPr>
        <w:tabs>
          <w:tab w:val="num" w:pos="0"/>
        </w:tabs>
        <w:ind w:left="3097" w:hanging="420"/>
      </w:pPr>
      <w:rPr>
        <w:rFonts w:cs="Times New Roman"/>
      </w:rPr>
    </w:lvl>
    <w:lvl w:ilvl="4">
      <w:start w:val="1"/>
      <w:numFmt w:val="lowerLetter"/>
      <w:lvlText w:val="%5)"/>
      <w:lvlJc w:val="left"/>
      <w:pPr>
        <w:tabs>
          <w:tab w:val="num" w:pos="0"/>
        </w:tabs>
        <w:ind w:left="3517" w:hanging="420"/>
      </w:pPr>
      <w:rPr>
        <w:rFonts w:cs="Times New Roman"/>
      </w:rPr>
    </w:lvl>
    <w:lvl w:ilvl="5">
      <w:start w:val="1"/>
      <w:numFmt w:val="lowerRoman"/>
      <w:lvlText w:val="%6."/>
      <w:lvlJc w:val="right"/>
      <w:pPr>
        <w:tabs>
          <w:tab w:val="num" w:pos="0"/>
        </w:tabs>
        <w:ind w:left="3937" w:hanging="420"/>
      </w:pPr>
      <w:rPr>
        <w:rFonts w:cs="Times New Roman"/>
      </w:rPr>
    </w:lvl>
    <w:lvl w:ilvl="6">
      <w:start w:val="1"/>
      <w:numFmt w:val="decimal"/>
      <w:lvlText w:val="%7."/>
      <w:lvlJc w:val="left"/>
      <w:pPr>
        <w:tabs>
          <w:tab w:val="num" w:pos="0"/>
        </w:tabs>
        <w:ind w:left="4357" w:hanging="420"/>
      </w:pPr>
      <w:rPr>
        <w:rFonts w:cs="Times New Roman"/>
      </w:rPr>
    </w:lvl>
    <w:lvl w:ilvl="7">
      <w:start w:val="1"/>
      <w:numFmt w:val="lowerLetter"/>
      <w:lvlText w:val="%8)"/>
      <w:lvlJc w:val="left"/>
      <w:pPr>
        <w:tabs>
          <w:tab w:val="num" w:pos="0"/>
        </w:tabs>
        <w:ind w:left="4777" w:hanging="420"/>
      </w:pPr>
      <w:rPr>
        <w:rFonts w:cs="Times New Roman"/>
      </w:rPr>
    </w:lvl>
    <w:lvl w:ilvl="8">
      <w:start w:val="1"/>
      <w:numFmt w:val="lowerRoman"/>
      <w:lvlText w:val="%9."/>
      <w:lvlJc w:val="right"/>
      <w:pPr>
        <w:tabs>
          <w:tab w:val="num" w:pos="0"/>
        </w:tabs>
        <w:ind w:left="5197" w:hanging="420"/>
      </w:pPr>
      <w:rPr>
        <w:rFonts w:cs="Times New Roman"/>
      </w:rPr>
    </w:lvl>
  </w:abstractNum>
  <w:abstractNum w:abstractNumId="12">
    <w:nsid w:val="00000003"/>
    <w:multiLevelType w:val="multilevel"/>
    <w:tmpl w:val="00000003"/>
    <w:lvl w:ilvl="0">
      <w:start w:val="1"/>
      <w:numFmt w:val="chineseCountingThousand"/>
      <w:lvlRestart w:val="0"/>
      <w:suff w:val="space"/>
      <w:lvlText w:val="%1、"/>
      <w:lvlJc w:val="left"/>
      <w:pPr>
        <w:tabs>
          <w:tab w:val="num" w:pos="0"/>
        </w:tabs>
        <w:ind w:left="142" w:hanging="142"/>
      </w:pPr>
      <w:rPr>
        <w:rFonts w:ascii="Arial" w:hAnsi="Arial" w:eastAsia="宋体" w:hint="default"/>
      </w:rPr>
    </w:lvl>
    <w:lvl w:ilvl="1">
      <w:start w:val="1"/>
      <w:numFmt w:val="decimal"/>
      <w:suff w:val="space"/>
      <w:lvlText w:val="%2、"/>
      <w:lvlJc w:val="left"/>
      <w:pPr>
        <w:tabs>
          <w:tab w:val="num" w:pos="0"/>
        </w:tabs>
        <w:ind w:left="709" w:hanging="142"/>
      </w:pPr>
      <w:rPr>
        <w:rFonts w:ascii="Arial" w:hAnsi="Arial" w:eastAsia="宋体" w:hint="default"/>
      </w:rPr>
    </w:lvl>
    <w:lvl w:ilvl="2">
      <w:start w:val="1"/>
      <w:numFmt w:val="decimal"/>
      <w:lvlText w:val="%2.%3"/>
      <w:lvlJc w:val="left"/>
      <w:pPr>
        <w:tabs>
          <w:tab w:val="num" w:pos="0"/>
        </w:tabs>
        <w:ind w:left="0" w:hanging="0"/>
      </w:pPr>
      <w:rPr>
        <w:rFonts w:ascii="Arial" w:hAnsi="Arial" w:eastAsia="宋体" w:hint="default"/>
        <w:sz w:val="28"/>
        <w:szCs w:val="28"/>
      </w:rPr>
    </w:lvl>
    <w:lvl w:ilvl="3">
      <w:start w:val="1"/>
      <w:numFmt w:val="decimal"/>
      <w:suff w:val="space"/>
      <w:lvlText w:val="%2.%3.%4"/>
      <w:lvlJc w:val="left"/>
      <w:pPr>
        <w:tabs>
          <w:tab w:val="num" w:pos="0"/>
        </w:tabs>
        <w:ind w:left="0" w:hanging="0"/>
      </w:pPr>
      <w:rPr>
        <w:rFonts w:hint="eastAsia"/>
      </w:rPr>
    </w:lvl>
    <w:lvl w:ilvl="4">
      <w:start w:val="1"/>
      <w:numFmt w:val="decimal"/>
      <w:suff w:val="space"/>
      <w:lvlText w:val="%2.%3.%4.%5"/>
      <w:lvlJc w:val="left"/>
      <w:pPr>
        <w:tabs>
          <w:tab w:val="num" w:pos="0"/>
        </w:tabs>
        <w:ind w:left="424" w:hanging="141"/>
      </w:pPr>
      <w:rPr>
        <w:rFonts w:hint="eastAsia"/>
      </w:rPr>
    </w:lvl>
    <w:lvl w:ilvl="5">
      <w:start w:val="1"/>
      <w:numFmt w:val="decimal"/>
      <w:lvlText w:val="%1.%2.%3.%4.%5.%6"/>
      <w:lvlJc w:val="left"/>
      <w:pPr>
        <w:tabs>
          <w:tab w:val="num" w:pos="0"/>
        </w:tabs>
        <w:ind w:left="3260" w:hanging="1134"/>
      </w:pPr>
      <w:rPr>
        <w:rFonts w:hint="eastAsia"/>
      </w:rPr>
    </w:lvl>
    <w:lvl w:ilvl="6">
      <w:start w:val="1"/>
      <w:numFmt w:val="decimal"/>
      <w:lvlText w:val="%1.%2.%3.%4.%5.%6.%7"/>
      <w:lvlJc w:val="left"/>
      <w:pPr>
        <w:tabs>
          <w:tab w:val="num" w:pos="0"/>
        </w:tabs>
        <w:ind w:left="3827" w:hanging="1276"/>
      </w:pPr>
      <w:rPr>
        <w:rFonts w:hint="eastAsia"/>
      </w:rPr>
    </w:lvl>
    <w:lvl w:ilvl="7">
      <w:start w:val="1"/>
      <w:numFmt w:val="decimal"/>
      <w:lvlText w:val="%1.%2.%3.%4.%5.%6.%7.%8"/>
      <w:lvlJc w:val="left"/>
      <w:pPr>
        <w:tabs>
          <w:tab w:val="num" w:pos="0"/>
        </w:tabs>
        <w:ind w:left="4394" w:hanging="1418"/>
      </w:pPr>
      <w:rPr>
        <w:rFonts w:hint="eastAsia"/>
      </w:rPr>
    </w:lvl>
    <w:lvl w:ilvl="8">
      <w:start w:val="1"/>
      <w:numFmt w:val="decimal"/>
      <w:lvlText w:val="%1.%2.%3.%4.%5.%6.%7.%8.%9"/>
      <w:lvlJc w:val="left"/>
      <w:pPr>
        <w:tabs>
          <w:tab w:val="num" w:pos="0"/>
        </w:tabs>
        <w:ind w:left="5102" w:hanging="1700"/>
      </w:pPr>
      <w:rPr>
        <w:rFonts w:hint="eastAsia"/>
      </w:rPr>
    </w:lvl>
  </w:abstractNum>
  <w:abstractNum w:abstractNumId="13">
    <w:nsid w:val="3A477561"/>
    <w:multiLevelType w:val="multilevel"/>
    <w:tmpl w:val="3A477561"/>
    <w:lvl w:ilvl="0">
      <w:start w:val="1"/>
      <w:numFmt w:val="decimal"/>
      <w:lvlRestart w:val="0"/>
      <w:lvlText w:val="%1."/>
      <w:lvlJc w:val="left"/>
      <w:pPr>
        <w:tabs>
          <w:tab w:val="num" w:pos="0"/>
        </w:tabs>
        <w:ind w:left="846" w:hanging="420"/>
      </w:pPr>
    </w:lvl>
    <w:lvl w:ilvl="1">
      <w:start w:val="1"/>
      <w:numFmt w:val="lowerLetter"/>
      <w:lvlText w:val="%2)"/>
      <w:lvlJc w:val="left"/>
      <w:pPr>
        <w:tabs>
          <w:tab w:val="num" w:pos="0"/>
        </w:tabs>
        <w:ind w:left="1266" w:hanging="420"/>
      </w:pPr>
      <w:rPr>
        <w:rFonts w:cs="Times New Roman"/>
      </w:rPr>
    </w:lvl>
    <w:lvl w:ilvl="2">
      <w:start w:val="1"/>
      <w:numFmt w:val="lowerRoman"/>
      <w:lvlText w:val="%3."/>
      <w:lvlJc w:val="right"/>
      <w:pPr>
        <w:tabs>
          <w:tab w:val="num" w:pos="0"/>
        </w:tabs>
        <w:ind w:left="1686" w:hanging="420"/>
      </w:pPr>
      <w:rPr>
        <w:rFonts w:cs="Times New Roman"/>
      </w:rPr>
    </w:lvl>
    <w:lvl w:ilvl="3">
      <w:start w:val="1"/>
      <w:numFmt w:val="decimal"/>
      <w:lvlText w:val="%4."/>
      <w:lvlJc w:val="left"/>
      <w:pPr>
        <w:tabs>
          <w:tab w:val="num" w:pos="0"/>
        </w:tabs>
        <w:ind w:left="2106" w:hanging="420"/>
      </w:pPr>
      <w:rPr>
        <w:rFonts w:cs="Times New Roman"/>
      </w:rPr>
    </w:lvl>
    <w:lvl w:ilvl="4">
      <w:start w:val="1"/>
      <w:numFmt w:val="lowerLetter"/>
      <w:lvlText w:val="%5)"/>
      <w:lvlJc w:val="left"/>
      <w:pPr>
        <w:tabs>
          <w:tab w:val="num" w:pos="0"/>
        </w:tabs>
        <w:ind w:left="2526" w:hanging="420"/>
      </w:pPr>
      <w:rPr>
        <w:rFonts w:cs="Times New Roman"/>
      </w:rPr>
    </w:lvl>
    <w:lvl w:ilvl="5">
      <w:start w:val="1"/>
      <w:numFmt w:val="lowerRoman"/>
      <w:lvlText w:val="%6."/>
      <w:lvlJc w:val="right"/>
      <w:pPr>
        <w:tabs>
          <w:tab w:val="num" w:pos="0"/>
        </w:tabs>
        <w:ind w:left="2946" w:hanging="420"/>
      </w:pPr>
      <w:rPr>
        <w:rFonts w:cs="Times New Roman"/>
      </w:rPr>
    </w:lvl>
    <w:lvl w:ilvl="6">
      <w:start w:val="1"/>
      <w:numFmt w:val="decimal"/>
      <w:lvlText w:val="%7."/>
      <w:lvlJc w:val="left"/>
      <w:pPr>
        <w:tabs>
          <w:tab w:val="num" w:pos="0"/>
        </w:tabs>
        <w:ind w:left="3366" w:hanging="420"/>
      </w:pPr>
      <w:rPr>
        <w:rFonts w:cs="Times New Roman"/>
      </w:rPr>
    </w:lvl>
    <w:lvl w:ilvl="7">
      <w:start w:val="1"/>
      <w:numFmt w:val="lowerLetter"/>
      <w:lvlText w:val="%8)"/>
      <w:lvlJc w:val="left"/>
      <w:pPr>
        <w:tabs>
          <w:tab w:val="num" w:pos="0"/>
        </w:tabs>
        <w:ind w:left="3786" w:hanging="420"/>
      </w:pPr>
      <w:rPr>
        <w:rFonts w:cs="Times New Roman"/>
      </w:rPr>
    </w:lvl>
    <w:lvl w:ilvl="8">
      <w:start w:val="1"/>
      <w:numFmt w:val="lowerRoman"/>
      <w:lvlText w:val="%9."/>
      <w:lvlJc w:val="right"/>
      <w:pPr>
        <w:tabs>
          <w:tab w:val="num" w:pos="0"/>
        </w:tabs>
        <w:ind w:left="4206" w:hanging="420"/>
      </w:pPr>
      <w:rPr>
        <w:rFonts w:cs="Times New Roman"/>
      </w:rPr>
    </w:lvl>
  </w:abstractNum>
  <w:abstractNum w:abstractNumId="14">
    <w:nsid w:val="2CAE4AAB"/>
    <w:multiLevelType w:val="multilevel"/>
    <w:tmpl w:val="2CAE4AAB"/>
    <w:lvl w:ilvl="0">
      <w:start w:val="1"/>
      <w:numFmt w:val="decimal"/>
      <w:lvlRestart w:val="0"/>
      <w:lvlText w:val="%1)"/>
      <w:lvlJc w:val="left"/>
      <w:pPr>
        <w:tabs>
          <w:tab w:val="num" w:pos="0"/>
        </w:tabs>
        <w:ind w:left="840" w:hanging="420"/>
      </w:pPr>
      <w:rPr>
        <w:rFonts w:cs="Times New Roman"/>
      </w:rPr>
    </w:lvl>
    <w:lvl w:ilvl="1">
      <w:start w:val="1"/>
      <w:numFmt w:val="lowerLetter"/>
      <w:lvlText w:val="%2)"/>
      <w:lvlJc w:val="left"/>
      <w:pPr>
        <w:tabs>
          <w:tab w:val="num" w:pos="0"/>
        </w:tabs>
        <w:ind w:left="1260" w:hanging="420"/>
      </w:pPr>
      <w:rPr>
        <w:rFonts w:cs="Times New Roman"/>
      </w:rPr>
    </w:lvl>
    <w:lvl w:ilvl="2">
      <w:start w:val="1"/>
      <w:numFmt w:val="lowerRoman"/>
      <w:lvlText w:val="%3."/>
      <w:lvlJc w:val="right"/>
      <w:pPr>
        <w:tabs>
          <w:tab w:val="num" w:pos="0"/>
        </w:tabs>
        <w:ind w:left="1680" w:hanging="420"/>
      </w:pPr>
      <w:rPr>
        <w:rFonts w:cs="Times New Roman"/>
      </w:rPr>
    </w:lvl>
    <w:lvl w:ilvl="3">
      <w:start w:val="1"/>
      <w:numFmt w:val="decimal"/>
      <w:lvlText w:val="%4."/>
      <w:lvlJc w:val="left"/>
      <w:pPr>
        <w:tabs>
          <w:tab w:val="num" w:pos="0"/>
        </w:tabs>
        <w:ind w:left="2100" w:hanging="420"/>
      </w:pPr>
      <w:rPr>
        <w:rFonts w:cs="Times New Roman"/>
      </w:rPr>
    </w:lvl>
    <w:lvl w:ilvl="4">
      <w:start w:val="1"/>
      <w:numFmt w:val="lowerLetter"/>
      <w:lvlText w:val="%5)"/>
      <w:lvlJc w:val="left"/>
      <w:pPr>
        <w:tabs>
          <w:tab w:val="num" w:pos="0"/>
        </w:tabs>
        <w:ind w:left="2520" w:hanging="420"/>
      </w:pPr>
      <w:rPr>
        <w:rFonts w:cs="Times New Roman"/>
      </w:rPr>
    </w:lvl>
    <w:lvl w:ilvl="5">
      <w:start w:val="1"/>
      <w:numFmt w:val="lowerRoman"/>
      <w:lvlText w:val="%6."/>
      <w:lvlJc w:val="right"/>
      <w:pPr>
        <w:tabs>
          <w:tab w:val="num" w:pos="0"/>
        </w:tabs>
        <w:ind w:left="2940" w:hanging="420"/>
      </w:pPr>
      <w:rPr>
        <w:rFonts w:cs="Times New Roman"/>
      </w:rPr>
    </w:lvl>
    <w:lvl w:ilvl="6">
      <w:start w:val="1"/>
      <w:numFmt w:val="decimal"/>
      <w:lvlText w:val="%7."/>
      <w:lvlJc w:val="left"/>
      <w:pPr>
        <w:tabs>
          <w:tab w:val="num" w:pos="0"/>
        </w:tabs>
        <w:ind w:left="3360" w:hanging="420"/>
      </w:pPr>
      <w:rPr>
        <w:rFonts w:cs="Times New Roman"/>
      </w:rPr>
    </w:lvl>
    <w:lvl w:ilvl="7">
      <w:start w:val="1"/>
      <w:numFmt w:val="lowerLetter"/>
      <w:lvlText w:val="%8)"/>
      <w:lvlJc w:val="left"/>
      <w:pPr>
        <w:tabs>
          <w:tab w:val="num" w:pos="0"/>
        </w:tabs>
        <w:ind w:left="3780" w:hanging="420"/>
      </w:pPr>
      <w:rPr>
        <w:rFonts w:cs="Times New Roman"/>
      </w:rPr>
    </w:lvl>
    <w:lvl w:ilvl="8">
      <w:start w:val="1"/>
      <w:numFmt w:val="lowerRoman"/>
      <w:lvlText w:val="%9."/>
      <w:lvlJc w:val="right"/>
      <w:pPr>
        <w:tabs>
          <w:tab w:val="num" w:pos="0"/>
        </w:tabs>
        <w:ind w:left="4200" w:hanging="420"/>
      </w:pPr>
      <w:rPr>
        <w:rFonts w:cs="Times New Roman"/>
      </w:rPr>
    </w:lvl>
  </w:abstractNum>
  <w:abstractNum w:abstractNumId="15">
    <w:nsid w:val="1F442D77"/>
    <w:multiLevelType w:val="multilevel"/>
    <w:tmpl w:val="1F442D77"/>
    <w:lvl w:ilvl="0">
      <w:start w:val="1"/>
      <w:numFmt w:val="decimalEnclosedCircle"/>
      <w:lvlRestart w:val="0"/>
      <w:lvlText w:val="%1"/>
      <w:lvlJc w:val="left"/>
      <w:pPr>
        <w:tabs>
          <w:tab w:val="num" w:pos="0"/>
        </w:tabs>
        <w:ind w:left="360" w:hanging="360"/>
      </w:pPr>
      <w:rPr>
        <w:rFonts w:cs="Times New Roman" w:hint="default"/>
      </w:rPr>
    </w:lvl>
    <w:lvl w:ilvl="1">
      <w:start w:val="1"/>
      <w:numFmt w:val="decimal"/>
      <w:lvlText w:val="（%2）"/>
      <w:lvlJc w:val="left"/>
      <w:pPr>
        <w:tabs>
          <w:tab w:val="num" w:pos="0"/>
        </w:tabs>
        <w:ind w:left="1140" w:hanging="720"/>
      </w:pPr>
      <w:rPr>
        <w:rFonts w:cs="Times New Roman" w:hint="eastAsia"/>
      </w:rPr>
    </w:lvl>
    <w:lvl w:ilvl="2">
      <w:start w:val="1"/>
      <w:numFmt w:val="lowerRoman"/>
      <w:lvlText w:val="%3."/>
      <w:lvlJc w:val="right"/>
      <w:pPr>
        <w:tabs>
          <w:tab w:val="num" w:pos="0"/>
        </w:tabs>
        <w:ind w:left="1260" w:hanging="420"/>
      </w:pPr>
      <w:rPr>
        <w:rFonts w:cs="Times New Roman"/>
      </w:rPr>
    </w:lvl>
    <w:lvl w:ilvl="3">
      <w:start w:val="1"/>
      <w:numFmt w:val="decimal"/>
      <w:lvlText w:val="%4."/>
      <w:lvlJc w:val="left"/>
      <w:pPr>
        <w:tabs>
          <w:tab w:val="num" w:pos="0"/>
        </w:tabs>
        <w:ind w:left="1680" w:hanging="420"/>
      </w:pPr>
      <w:rPr>
        <w:rFonts w:cs="Times New Roman"/>
      </w:rPr>
    </w:lvl>
    <w:lvl w:ilvl="4">
      <w:start w:val="1"/>
      <w:numFmt w:val="lowerLetter"/>
      <w:lvlText w:val="%5)"/>
      <w:lvlJc w:val="left"/>
      <w:pPr>
        <w:tabs>
          <w:tab w:val="num" w:pos="0"/>
        </w:tabs>
        <w:ind w:left="2100" w:hanging="420"/>
      </w:pPr>
      <w:rPr>
        <w:rFonts w:cs="Times New Roman"/>
      </w:rPr>
    </w:lvl>
    <w:lvl w:ilvl="5">
      <w:start w:val="1"/>
      <w:numFmt w:val="lowerRoman"/>
      <w:lvlText w:val="%6."/>
      <w:lvlJc w:val="right"/>
      <w:pPr>
        <w:tabs>
          <w:tab w:val="num" w:pos="0"/>
        </w:tabs>
        <w:ind w:left="2520" w:hanging="420"/>
      </w:pPr>
      <w:rPr>
        <w:rFonts w:cs="Times New Roman"/>
      </w:rPr>
    </w:lvl>
    <w:lvl w:ilvl="6">
      <w:start w:val="1"/>
      <w:numFmt w:val="decimal"/>
      <w:lvlText w:val="%7."/>
      <w:lvlJc w:val="left"/>
      <w:pPr>
        <w:tabs>
          <w:tab w:val="num" w:pos="0"/>
        </w:tabs>
        <w:ind w:left="2940" w:hanging="420"/>
      </w:pPr>
      <w:rPr>
        <w:rFonts w:cs="Times New Roman"/>
      </w:rPr>
    </w:lvl>
    <w:lvl w:ilvl="7">
      <w:start w:val="1"/>
      <w:numFmt w:val="lowerLetter"/>
      <w:lvlText w:val="%8)"/>
      <w:lvlJc w:val="left"/>
      <w:pPr>
        <w:tabs>
          <w:tab w:val="num" w:pos="0"/>
        </w:tabs>
        <w:ind w:left="3360" w:hanging="420"/>
      </w:pPr>
      <w:rPr>
        <w:rFonts w:cs="Times New Roman"/>
      </w:rPr>
    </w:lvl>
    <w:lvl w:ilvl="8">
      <w:start w:val="1"/>
      <w:numFmt w:val="lowerRoman"/>
      <w:lvlText w:val="%9."/>
      <w:lvlJc w:val="right"/>
      <w:pPr>
        <w:tabs>
          <w:tab w:val="num" w:pos="0"/>
        </w:tabs>
        <w:ind w:left="3780" w:hanging="420"/>
      </w:pPr>
      <w:rPr>
        <w:rFonts w:cs="Times New Roman"/>
      </w:rPr>
    </w:lvl>
  </w:abstractNum>
  <w:abstractNum w:abstractNumId="16">
    <w:nsid w:val="4B292DF3"/>
    <w:multiLevelType w:val="multilevel"/>
    <w:tmpl w:val="4B292DF3"/>
    <w:lvl w:ilvl="0">
      <w:start w:val="1"/>
      <w:numFmt w:val="decimal"/>
      <w:lvlRestart w:val="0"/>
      <w:lvlText w:val="（%1）"/>
      <w:lvlJc w:val="left"/>
      <w:pPr>
        <w:tabs>
          <w:tab w:val="num" w:pos="0"/>
        </w:tabs>
        <w:ind w:left="1140" w:hanging="720"/>
      </w:pPr>
      <w:rPr>
        <w:rFonts w:cs="Times New Roman" w:hint="eastAsia"/>
      </w:rPr>
    </w:lvl>
    <w:lvl w:ilvl="1">
      <w:start w:val="1"/>
      <w:numFmt w:val="lowerLetter"/>
      <w:lvlText w:val="%2)"/>
      <w:lvlJc w:val="left"/>
      <w:pPr>
        <w:tabs>
          <w:tab w:val="num" w:pos="0"/>
        </w:tabs>
        <w:ind w:left="1260" w:hanging="420"/>
      </w:pPr>
      <w:rPr>
        <w:rFonts w:cs="Times New Roman"/>
      </w:rPr>
    </w:lvl>
    <w:lvl w:ilvl="2">
      <w:start w:val="1"/>
      <w:numFmt w:val="lowerRoman"/>
      <w:lvlText w:val="%3."/>
      <w:lvlJc w:val="right"/>
      <w:pPr>
        <w:tabs>
          <w:tab w:val="num" w:pos="0"/>
        </w:tabs>
        <w:ind w:left="1680" w:hanging="420"/>
      </w:pPr>
      <w:rPr>
        <w:rFonts w:cs="Times New Roman"/>
      </w:rPr>
    </w:lvl>
    <w:lvl w:ilvl="3">
      <w:start w:val="1"/>
      <w:numFmt w:val="decimal"/>
      <w:lvlText w:val="%4."/>
      <w:lvlJc w:val="left"/>
      <w:pPr>
        <w:tabs>
          <w:tab w:val="num" w:pos="0"/>
        </w:tabs>
        <w:ind w:left="2100" w:hanging="420"/>
      </w:pPr>
      <w:rPr>
        <w:rFonts w:cs="Times New Roman"/>
      </w:rPr>
    </w:lvl>
    <w:lvl w:ilvl="4">
      <w:start w:val="1"/>
      <w:numFmt w:val="lowerLetter"/>
      <w:lvlText w:val="%5)"/>
      <w:lvlJc w:val="left"/>
      <w:pPr>
        <w:tabs>
          <w:tab w:val="num" w:pos="0"/>
        </w:tabs>
        <w:ind w:left="2520" w:hanging="420"/>
      </w:pPr>
      <w:rPr>
        <w:rFonts w:cs="Times New Roman"/>
      </w:rPr>
    </w:lvl>
    <w:lvl w:ilvl="5">
      <w:start w:val="1"/>
      <w:numFmt w:val="lowerRoman"/>
      <w:lvlText w:val="%6."/>
      <w:lvlJc w:val="right"/>
      <w:pPr>
        <w:tabs>
          <w:tab w:val="num" w:pos="0"/>
        </w:tabs>
        <w:ind w:left="2940" w:hanging="420"/>
      </w:pPr>
      <w:rPr>
        <w:rFonts w:cs="Times New Roman"/>
      </w:rPr>
    </w:lvl>
    <w:lvl w:ilvl="6">
      <w:start w:val="1"/>
      <w:numFmt w:val="decimal"/>
      <w:lvlText w:val="%7."/>
      <w:lvlJc w:val="left"/>
      <w:pPr>
        <w:tabs>
          <w:tab w:val="num" w:pos="0"/>
        </w:tabs>
        <w:ind w:left="3360" w:hanging="420"/>
      </w:pPr>
      <w:rPr>
        <w:rFonts w:cs="Times New Roman"/>
      </w:rPr>
    </w:lvl>
    <w:lvl w:ilvl="7">
      <w:start w:val="1"/>
      <w:numFmt w:val="lowerLetter"/>
      <w:lvlText w:val="%8)"/>
      <w:lvlJc w:val="left"/>
      <w:pPr>
        <w:tabs>
          <w:tab w:val="num" w:pos="0"/>
        </w:tabs>
        <w:ind w:left="3780" w:hanging="420"/>
      </w:pPr>
      <w:rPr>
        <w:rFonts w:cs="Times New Roman"/>
      </w:rPr>
    </w:lvl>
    <w:lvl w:ilvl="8">
      <w:start w:val="1"/>
      <w:numFmt w:val="lowerRoman"/>
      <w:lvlText w:val="%9."/>
      <w:lvlJc w:val="right"/>
      <w:pPr>
        <w:tabs>
          <w:tab w:val="num" w:pos="0"/>
        </w:tabs>
        <w:ind w:left="4200" w:hanging="420"/>
      </w:pPr>
      <w:rPr>
        <w:rFonts w:cs="Times New Roman"/>
      </w:rPr>
    </w:lvl>
  </w:abstractNum>
  <w:abstractNum w:abstractNumId="17">
    <w:nsid w:val="69C56D82"/>
    <w:multiLevelType w:val="multilevel"/>
    <w:tmpl w:val="69C56D82"/>
    <w:lvl w:ilvl="0">
      <w:start w:val="1"/>
      <w:numFmt w:val="decimal"/>
      <w:lvlRestart w:val="0"/>
      <w:lvlText w:val="（%1）"/>
      <w:lvlJc w:val="left"/>
      <w:pPr>
        <w:tabs>
          <w:tab w:val="num" w:pos="0"/>
        </w:tabs>
        <w:ind w:left="1140" w:hanging="720"/>
      </w:pPr>
      <w:rPr>
        <w:rFonts w:cs="Times New Roman" w:hint="eastAsia"/>
      </w:rPr>
    </w:lvl>
    <w:lvl w:ilvl="1">
      <w:start w:val="1"/>
      <w:numFmt w:val="lowerLetter"/>
      <w:lvlText w:val="%2)"/>
      <w:lvlJc w:val="left"/>
      <w:pPr>
        <w:tabs>
          <w:tab w:val="num" w:pos="0"/>
        </w:tabs>
        <w:ind w:left="1260" w:hanging="420"/>
      </w:pPr>
      <w:rPr>
        <w:rFonts w:cs="Times New Roman"/>
      </w:rPr>
    </w:lvl>
    <w:lvl w:ilvl="2">
      <w:start w:val="1"/>
      <w:numFmt w:val="lowerRoman"/>
      <w:lvlText w:val="%3."/>
      <w:lvlJc w:val="right"/>
      <w:pPr>
        <w:tabs>
          <w:tab w:val="num" w:pos="0"/>
        </w:tabs>
        <w:ind w:left="1680" w:hanging="420"/>
      </w:pPr>
      <w:rPr>
        <w:rFonts w:cs="Times New Roman"/>
      </w:rPr>
    </w:lvl>
    <w:lvl w:ilvl="3">
      <w:start w:val="1"/>
      <w:numFmt w:val="decimal"/>
      <w:lvlText w:val="%4."/>
      <w:lvlJc w:val="left"/>
      <w:pPr>
        <w:tabs>
          <w:tab w:val="num" w:pos="0"/>
        </w:tabs>
        <w:ind w:left="2100" w:hanging="420"/>
      </w:pPr>
      <w:rPr>
        <w:rFonts w:cs="Times New Roman"/>
      </w:rPr>
    </w:lvl>
    <w:lvl w:ilvl="4">
      <w:start w:val="1"/>
      <w:numFmt w:val="lowerLetter"/>
      <w:lvlText w:val="%5)"/>
      <w:lvlJc w:val="left"/>
      <w:pPr>
        <w:tabs>
          <w:tab w:val="num" w:pos="0"/>
        </w:tabs>
        <w:ind w:left="2520" w:hanging="420"/>
      </w:pPr>
      <w:rPr>
        <w:rFonts w:cs="Times New Roman"/>
      </w:rPr>
    </w:lvl>
    <w:lvl w:ilvl="5">
      <w:start w:val="1"/>
      <w:numFmt w:val="lowerRoman"/>
      <w:lvlText w:val="%6."/>
      <w:lvlJc w:val="right"/>
      <w:pPr>
        <w:tabs>
          <w:tab w:val="num" w:pos="0"/>
        </w:tabs>
        <w:ind w:left="2940" w:hanging="420"/>
      </w:pPr>
      <w:rPr>
        <w:rFonts w:cs="Times New Roman"/>
      </w:rPr>
    </w:lvl>
    <w:lvl w:ilvl="6">
      <w:start w:val="1"/>
      <w:numFmt w:val="decimal"/>
      <w:lvlText w:val="%7."/>
      <w:lvlJc w:val="left"/>
      <w:pPr>
        <w:tabs>
          <w:tab w:val="num" w:pos="0"/>
        </w:tabs>
        <w:ind w:left="3360" w:hanging="420"/>
      </w:pPr>
      <w:rPr>
        <w:rFonts w:cs="Times New Roman"/>
      </w:rPr>
    </w:lvl>
    <w:lvl w:ilvl="7">
      <w:start w:val="1"/>
      <w:numFmt w:val="lowerLetter"/>
      <w:lvlText w:val="%8)"/>
      <w:lvlJc w:val="left"/>
      <w:pPr>
        <w:tabs>
          <w:tab w:val="num" w:pos="0"/>
        </w:tabs>
        <w:ind w:left="3780" w:hanging="420"/>
      </w:pPr>
      <w:rPr>
        <w:rFonts w:cs="Times New Roman"/>
      </w:rPr>
    </w:lvl>
    <w:lvl w:ilvl="8">
      <w:start w:val="1"/>
      <w:numFmt w:val="lowerRoman"/>
      <w:lvlText w:val="%9."/>
      <w:lvlJc w:val="right"/>
      <w:pPr>
        <w:tabs>
          <w:tab w:val="num" w:pos="0"/>
        </w:tabs>
        <w:ind w:left="4200" w:hanging="420"/>
      </w:pPr>
      <w:rPr>
        <w:rFonts w:cs="Times New Roman"/>
      </w:rPr>
    </w:lvl>
  </w:abstractNum>
  <w:abstractNum w:abstractNumId="18">
    <w:nsid w:val="058A2438"/>
    <w:multiLevelType w:val="multilevel"/>
    <w:tmpl w:val="058A2438"/>
    <w:lvl w:ilvl="0">
      <w:start w:val="1"/>
      <w:numFmt w:val="decimal"/>
      <w:lvlRestart w:val="0"/>
      <w:lvlText w:val="%1)"/>
      <w:lvlJc w:val="left"/>
      <w:pPr>
        <w:tabs>
          <w:tab w:val="num" w:pos="0"/>
        </w:tabs>
        <w:ind w:left="840" w:hanging="420"/>
      </w:pPr>
      <w:rPr>
        <w:rFonts w:cs="Times New Roman"/>
      </w:rPr>
    </w:lvl>
    <w:lvl w:ilvl="1">
      <w:start w:val="1"/>
      <w:numFmt w:val="lowerLetter"/>
      <w:lvlText w:val="%2)"/>
      <w:lvlJc w:val="left"/>
      <w:pPr>
        <w:tabs>
          <w:tab w:val="num" w:pos="0"/>
        </w:tabs>
        <w:ind w:left="1260" w:hanging="420"/>
      </w:pPr>
      <w:rPr>
        <w:rFonts w:cs="Times New Roman"/>
      </w:rPr>
    </w:lvl>
    <w:lvl w:ilvl="2">
      <w:start w:val="1"/>
      <w:numFmt w:val="lowerRoman"/>
      <w:lvlText w:val="%3."/>
      <w:lvlJc w:val="right"/>
      <w:pPr>
        <w:tabs>
          <w:tab w:val="num" w:pos="0"/>
        </w:tabs>
        <w:ind w:left="1680" w:hanging="420"/>
      </w:pPr>
      <w:rPr>
        <w:rFonts w:cs="Times New Roman"/>
      </w:rPr>
    </w:lvl>
    <w:lvl w:ilvl="3">
      <w:start w:val="1"/>
      <w:numFmt w:val="decimal"/>
      <w:lvlText w:val="%4."/>
      <w:lvlJc w:val="left"/>
      <w:pPr>
        <w:tabs>
          <w:tab w:val="num" w:pos="0"/>
        </w:tabs>
        <w:ind w:left="2100" w:hanging="420"/>
      </w:pPr>
      <w:rPr>
        <w:rFonts w:cs="Times New Roman"/>
      </w:rPr>
    </w:lvl>
    <w:lvl w:ilvl="4">
      <w:start w:val="1"/>
      <w:numFmt w:val="lowerLetter"/>
      <w:lvlText w:val="%5)"/>
      <w:lvlJc w:val="left"/>
      <w:pPr>
        <w:tabs>
          <w:tab w:val="num" w:pos="0"/>
        </w:tabs>
        <w:ind w:left="2520" w:hanging="420"/>
      </w:pPr>
      <w:rPr>
        <w:rFonts w:cs="Times New Roman"/>
      </w:rPr>
    </w:lvl>
    <w:lvl w:ilvl="5">
      <w:start w:val="1"/>
      <w:numFmt w:val="lowerRoman"/>
      <w:lvlText w:val="%6."/>
      <w:lvlJc w:val="right"/>
      <w:pPr>
        <w:tabs>
          <w:tab w:val="num" w:pos="0"/>
        </w:tabs>
        <w:ind w:left="2940" w:hanging="420"/>
      </w:pPr>
      <w:rPr>
        <w:rFonts w:cs="Times New Roman"/>
      </w:rPr>
    </w:lvl>
    <w:lvl w:ilvl="6">
      <w:start w:val="1"/>
      <w:numFmt w:val="decimal"/>
      <w:lvlText w:val="%7."/>
      <w:lvlJc w:val="left"/>
      <w:pPr>
        <w:tabs>
          <w:tab w:val="num" w:pos="0"/>
        </w:tabs>
        <w:ind w:left="3360" w:hanging="420"/>
      </w:pPr>
      <w:rPr>
        <w:rFonts w:cs="Times New Roman"/>
      </w:rPr>
    </w:lvl>
    <w:lvl w:ilvl="7">
      <w:start w:val="1"/>
      <w:numFmt w:val="lowerLetter"/>
      <w:lvlText w:val="%8)"/>
      <w:lvlJc w:val="left"/>
      <w:pPr>
        <w:tabs>
          <w:tab w:val="num" w:pos="0"/>
        </w:tabs>
        <w:ind w:left="3780" w:hanging="420"/>
      </w:pPr>
      <w:rPr>
        <w:rFonts w:cs="Times New Roman"/>
      </w:rPr>
    </w:lvl>
    <w:lvl w:ilvl="8">
      <w:start w:val="1"/>
      <w:numFmt w:val="lowerRoman"/>
      <w:lvlText w:val="%9."/>
      <w:lvlJc w:val="right"/>
      <w:pPr>
        <w:tabs>
          <w:tab w:val="num" w:pos="0"/>
        </w:tabs>
        <w:ind w:left="4200" w:hanging="420"/>
      </w:pPr>
      <w:rPr>
        <w:rFonts w:cs="Times New Roman"/>
      </w:rPr>
    </w:lvl>
  </w:abstractNum>
  <w:abstractNum w:abstractNumId="19">
    <w:nsid w:val="62D30440"/>
    <w:multiLevelType w:val="multilevel"/>
    <w:tmpl w:val="62D30440"/>
    <w:lvl w:ilvl="0">
      <w:start w:val="1"/>
      <w:numFmt w:val="decimal"/>
      <w:lvlRestart w:val="0"/>
      <w:lvlText w:val="%1)"/>
      <w:lvlJc w:val="left"/>
      <w:pPr>
        <w:tabs>
          <w:tab w:val="num" w:pos="0"/>
        </w:tabs>
        <w:ind w:left="840" w:hanging="420"/>
      </w:pPr>
      <w:rPr>
        <w:rFonts w:cs="Times New Roman"/>
      </w:rPr>
    </w:lvl>
    <w:lvl w:ilvl="1">
      <w:start w:val="1"/>
      <w:numFmt w:val="lowerLetter"/>
      <w:lvlText w:val="%2)"/>
      <w:lvlJc w:val="left"/>
      <w:pPr>
        <w:tabs>
          <w:tab w:val="num" w:pos="0"/>
        </w:tabs>
        <w:ind w:left="1260" w:hanging="420"/>
      </w:pPr>
      <w:rPr>
        <w:rFonts w:cs="Times New Roman"/>
      </w:rPr>
    </w:lvl>
    <w:lvl w:ilvl="2">
      <w:start w:val="1"/>
      <w:numFmt w:val="lowerRoman"/>
      <w:lvlText w:val="%3."/>
      <w:lvlJc w:val="right"/>
      <w:pPr>
        <w:tabs>
          <w:tab w:val="num" w:pos="0"/>
        </w:tabs>
        <w:ind w:left="1680" w:hanging="420"/>
      </w:pPr>
      <w:rPr>
        <w:rFonts w:cs="Times New Roman"/>
      </w:rPr>
    </w:lvl>
    <w:lvl w:ilvl="3">
      <w:start w:val="1"/>
      <w:numFmt w:val="decimal"/>
      <w:lvlText w:val="%4."/>
      <w:lvlJc w:val="left"/>
      <w:pPr>
        <w:tabs>
          <w:tab w:val="num" w:pos="0"/>
        </w:tabs>
        <w:ind w:left="2100" w:hanging="420"/>
      </w:pPr>
      <w:rPr>
        <w:rFonts w:cs="Times New Roman"/>
      </w:rPr>
    </w:lvl>
    <w:lvl w:ilvl="4">
      <w:start w:val="1"/>
      <w:numFmt w:val="lowerLetter"/>
      <w:lvlText w:val="%5)"/>
      <w:lvlJc w:val="left"/>
      <w:pPr>
        <w:tabs>
          <w:tab w:val="num" w:pos="0"/>
        </w:tabs>
        <w:ind w:left="2520" w:hanging="420"/>
      </w:pPr>
      <w:rPr>
        <w:rFonts w:cs="Times New Roman"/>
      </w:rPr>
    </w:lvl>
    <w:lvl w:ilvl="5">
      <w:start w:val="1"/>
      <w:numFmt w:val="lowerRoman"/>
      <w:lvlText w:val="%6."/>
      <w:lvlJc w:val="right"/>
      <w:pPr>
        <w:tabs>
          <w:tab w:val="num" w:pos="0"/>
        </w:tabs>
        <w:ind w:left="2940" w:hanging="420"/>
      </w:pPr>
      <w:rPr>
        <w:rFonts w:cs="Times New Roman"/>
      </w:rPr>
    </w:lvl>
    <w:lvl w:ilvl="6">
      <w:start w:val="1"/>
      <w:numFmt w:val="decimal"/>
      <w:lvlText w:val="%7."/>
      <w:lvlJc w:val="left"/>
      <w:pPr>
        <w:tabs>
          <w:tab w:val="num" w:pos="0"/>
        </w:tabs>
        <w:ind w:left="3360" w:hanging="420"/>
      </w:pPr>
      <w:rPr>
        <w:rFonts w:cs="Times New Roman"/>
      </w:rPr>
    </w:lvl>
    <w:lvl w:ilvl="7">
      <w:start w:val="1"/>
      <w:numFmt w:val="lowerLetter"/>
      <w:lvlText w:val="%8)"/>
      <w:lvlJc w:val="left"/>
      <w:pPr>
        <w:tabs>
          <w:tab w:val="num" w:pos="0"/>
        </w:tabs>
        <w:ind w:left="3780" w:hanging="420"/>
      </w:pPr>
      <w:rPr>
        <w:rFonts w:cs="Times New Roman"/>
      </w:rPr>
    </w:lvl>
    <w:lvl w:ilvl="8">
      <w:start w:val="1"/>
      <w:numFmt w:val="lowerRoman"/>
      <w:lvlText w:val="%9."/>
      <w:lvlJc w:val="right"/>
      <w:pPr>
        <w:tabs>
          <w:tab w:val="num" w:pos="0"/>
        </w:tabs>
        <w:ind w:left="4200" w:hanging="420"/>
      </w:pPr>
      <w:rPr>
        <w:rFonts w:cs="Times New Roman"/>
      </w:rPr>
    </w:lvl>
  </w:abstractNum>
  <w:abstractNum w:abstractNumId="20">
    <w:nsid w:val="7F8D1214"/>
    <w:multiLevelType w:val="multilevel"/>
    <w:tmpl w:val="7F8D1214"/>
    <w:lvl w:ilvl="0">
      <w:start w:val="1"/>
      <w:numFmt w:val="bullet"/>
      <w:lvlRestart w:val="0"/>
      <w:lvlText w:val=""/>
      <w:lvlJc w:val="left"/>
      <w:pPr>
        <w:tabs>
          <w:tab w:val="num" w:pos="0"/>
        </w:tabs>
        <w:ind w:left="420" w:hanging="420"/>
      </w:pPr>
      <w:rPr>
        <w:rFonts w:ascii="Wingdings" w:hAnsi="Wingdings" w:hint="default"/>
      </w:rPr>
    </w:lvl>
    <w:lvl w:ilvl="1">
      <w:start w:val="1"/>
      <w:numFmt w:val="decimal"/>
      <w:lvlText w:val="%2)"/>
      <w:lvlJc w:val="left"/>
      <w:pPr>
        <w:tabs>
          <w:tab w:val="num" w:pos="0"/>
        </w:tabs>
        <w:ind w:left="840" w:hanging="420"/>
      </w:pPr>
      <w:rPr>
        <w:rFonts w:cs="Times New Roman" w:hint="default"/>
      </w:rPr>
    </w:lvl>
    <w:lvl w:ilvl="2">
      <w:start w:val="1"/>
      <w:numFmt w:val="decimal"/>
      <w:lvlText w:val="%3)"/>
      <w:lvlJc w:val="left"/>
      <w:pPr>
        <w:tabs>
          <w:tab w:val="num" w:pos="0"/>
        </w:tabs>
        <w:ind w:left="1260" w:hanging="420"/>
      </w:pPr>
      <w:rPr>
        <w:rFonts w:cs="Times New Roman" w:hint="default"/>
      </w:rPr>
    </w:lvl>
    <w:lvl w:ilvl="3">
      <w:start w:val="1"/>
      <w:numFmt w:val="bullet"/>
      <w:lvlText w:val=""/>
      <w:lvlJc w:val="left"/>
      <w:pPr>
        <w:tabs>
          <w:tab w:val="num" w:pos="0"/>
        </w:tabs>
        <w:ind w:left="1680" w:hanging="420"/>
      </w:pPr>
      <w:rPr>
        <w:rFonts w:ascii="Wingdings" w:hAnsi="Wingdings" w:hint="default"/>
      </w:rPr>
    </w:lvl>
    <w:lvl w:ilvl="4">
      <w:start w:val="1"/>
      <w:numFmt w:val="bullet"/>
      <w:lvlText w:val=""/>
      <w:lvlJc w:val="left"/>
      <w:pPr>
        <w:tabs>
          <w:tab w:val="num" w:pos="0"/>
        </w:tabs>
        <w:ind w:left="2100" w:hanging="420"/>
      </w:pPr>
      <w:rPr>
        <w:rFonts w:ascii="Wingdings" w:hAnsi="Wingdings" w:hint="default"/>
      </w:rPr>
    </w:lvl>
    <w:lvl w:ilvl="5">
      <w:start w:val="1"/>
      <w:numFmt w:val="bullet"/>
      <w:lvlText w:val=""/>
      <w:lvlJc w:val="left"/>
      <w:pPr>
        <w:tabs>
          <w:tab w:val="num" w:pos="0"/>
        </w:tabs>
        <w:ind w:left="2520" w:hanging="420"/>
      </w:pPr>
      <w:rPr>
        <w:rFonts w:ascii="Wingdings" w:hAnsi="Wingdings" w:hint="default"/>
      </w:rPr>
    </w:lvl>
    <w:lvl w:ilvl="6">
      <w:start w:val="1"/>
      <w:numFmt w:val="bullet"/>
      <w:lvlText w:val=""/>
      <w:lvlJc w:val="left"/>
      <w:pPr>
        <w:tabs>
          <w:tab w:val="num" w:pos="0"/>
        </w:tabs>
        <w:ind w:left="2940" w:hanging="420"/>
      </w:pPr>
      <w:rPr>
        <w:rFonts w:ascii="Wingdings" w:hAnsi="Wingdings" w:hint="default"/>
      </w:rPr>
    </w:lvl>
    <w:lvl w:ilvl="7">
      <w:start w:val="1"/>
      <w:numFmt w:val="bullet"/>
      <w:lvlText w:val=""/>
      <w:lvlJc w:val="left"/>
      <w:pPr>
        <w:tabs>
          <w:tab w:val="num" w:pos="0"/>
        </w:tabs>
        <w:ind w:left="3360" w:hanging="420"/>
      </w:pPr>
      <w:rPr>
        <w:rFonts w:ascii="Wingdings" w:hAnsi="Wingdings" w:hint="default"/>
      </w:rPr>
    </w:lvl>
    <w:lvl w:ilvl="8">
      <w:start w:val="1"/>
      <w:numFmt w:val="bullet"/>
      <w:lvlText w:val=""/>
      <w:lvlJc w:val="left"/>
      <w:pPr>
        <w:tabs>
          <w:tab w:val="num" w:pos="0"/>
        </w:tabs>
        <w:ind w:left="3780" w:hanging="420"/>
      </w:pPr>
      <w:rPr>
        <w:rFonts w:ascii="Wingdings" w:hAnsi="Wingdings" w:hint="default"/>
      </w:rPr>
    </w:lvl>
  </w:abstractNum>
  <w:abstractNum w:abstractNumId="21">
    <w:nsid w:val="63712680"/>
    <w:multiLevelType w:val="multilevel"/>
    <w:tmpl w:val="63712680"/>
    <w:lvl w:ilvl="0">
      <w:start w:val="1"/>
      <w:numFmt w:val="decimal"/>
      <w:lvlRestart w:val="0"/>
      <w:lvlText w:val="%1)"/>
      <w:lvlJc w:val="left"/>
      <w:pPr>
        <w:tabs>
          <w:tab w:val="num" w:pos="0"/>
        </w:tabs>
        <w:ind w:left="420" w:hanging="420"/>
      </w:pPr>
      <w:rPr>
        <w:rFonts w:cs="Times New Roman"/>
      </w:rPr>
    </w:lvl>
    <w:lvl w:ilvl="1">
      <w:start w:val="1"/>
      <w:numFmt w:val="decimal"/>
      <w:lvlText w:val="%2)"/>
      <w:lvlJc w:val="left"/>
      <w:pPr>
        <w:tabs>
          <w:tab w:val="num" w:pos="0"/>
        </w:tabs>
        <w:ind w:left="840" w:hanging="420"/>
      </w:pPr>
      <w:rPr>
        <w:rFonts w:cs="Times New Roman"/>
      </w:rPr>
    </w:lvl>
    <w:lvl w:ilvl="2">
      <w:start w:val="1"/>
      <w:numFmt w:val="lowerRoman"/>
      <w:lvlText w:val="%3."/>
      <w:lvlJc w:val="right"/>
      <w:pPr>
        <w:tabs>
          <w:tab w:val="num" w:pos="0"/>
        </w:tabs>
        <w:ind w:left="1260" w:hanging="420"/>
      </w:pPr>
      <w:rPr>
        <w:rFonts w:cs="Times New Roman"/>
      </w:rPr>
    </w:lvl>
    <w:lvl w:ilvl="3">
      <w:start w:val="1"/>
      <w:numFmt w:val="decimal"/>
      <w:lvlText w:val="%4."/>
      <w:lvlJc w:val="left"/>
      <w:pPr>
        <w:tabs>
          <w:tab w:val="num" w:pos="0"/>
        </w:tabs>
        <w:ind w:left="1680" w:hanging="420"/>
      </w:pPr>
      <w:rPr>
        <w:rFonts w:cs="Times New Roman"/>
      </w:rPr>
    </w:lvl>
    <w:lvl w:ilvl="4">
      <w:start w:val="1"/>
      <w:numFmt w:val="lowerLetter"/>
      <w:lvlText w:val="%5)"/>
      <w:lvlJc w:val="left"/>
      <w:pPr>
        <w:tabs>
          <w:tab w:val="num" w:pos="0"/>
        </w:tabs>
        <w:ind w:left="2100" w:hanging="420"/>
      </w:pPr>
      <w:rPr>
        <w:rFonts w:cs="Times New Roman"/>
      </w:rPr>
    </w:lvl>
    <w:lvl w:ilvl="5">
      <w:start w:val="1"/>
      <w:numFmt w:val="lowerRoman"/>
      <w:lvlText w:val="%6."/>
      <w:lvlJc w:val="right"/>
      <w:pPr>
        <w:tabs>
          <w:tab w:val="num" w:pos="0"/>
        </w:tabs>
        <w:ind w:left="2520" w:hanging="420"/>
      </w:pPr>
      <w:rPr>
        <w:rFonts w:cs="Times New Roman"/>
      </w:rPr>
    </w:lvl>
    <w:lvl w:ilvl="6">
      <w:start w:val="1"/>
      <w:numFmt w:val="decimal"/>
      <w:lvlText w:val="%7."/>
      <w:lvlJc w:val="left"/>
      <w:pPr>
        <w:tabs>
          <w:tab w:val="num" w:pos="0"/>
        </w:tabs>
        <w:ind w:left="2940" w:hanging="420"/>
      </w:pPr>
      <w:rPr>
        <w:rFonts w:cs="Times New Roman"/>
      </w:rPr>
    </w:lvl>
    <w:lvl w:ilvl="7">
      <w:start w:val="1"/>
      <w:numFmt w:val="lowerLetter"/>
      <w:lvlText w:val="%8)"/>
      <w:lvlJc w:val="left"/>
      <w:pPr>
        <w:tabs>
          <w:tab w:val="num" w:pos="0"/>
        </w:tabs>
        <w:ind w:left="3360" w:hanging="420"/>
      </w:pPr>
      <w:rPr>
        <w:rFonts w:cs="Times New Roman"/>
      </w:rPr>
    </w:lvl>
    <w:lvl w:ilvl="8">
      <w:start w:val="1"/>
      <w:numFmt w:val="lowerRoman"/>
      <w:lvlText w:val="%9."/>
      <w:lvlJc w:val="right"/>
      <w:pPr>
        <w:tabs>
          <w:tab w:val="num" w:pos="0"/>
        </w:tabs>
        <w:ind w:left="3780" w:hanging="420"/>
      </w:pPr>
      <w:rPr>
        <w:rFonts w:cs="Times New Roman"/>
      </w:rPr>
    </w:lvl>
  </w:abstractNum>
  <w:abstractNum w:abstractNumId="22">
    <w:nsid w:val="3BDB084E"/>
    <w:multiLevelType w:val="multilevel"/>
    <w:tmpl w:val="3BDB084E"/>
    <w:lvl w:ilvl="0">
      <w:start w:val="1"/>
      <w:numFmt w:val="bullet"/>
      <w:lvlRestart w:val="0"/>
      <w:lvlText w:val=""/>
      <w:lvlJc w:val="left"/>
      <w:pPr>
        <w:tabs>
          <w:tab w:val="num" w:pos="0"/>
        </w:tabs>
        <w:ind w:left="1260" w:hanging="420"/>
      </w:pPr>
      <w:rPr>
        <w:rFonts w:ascii="Wingdings" w:hAnsi="Wingdings" w:hint="default"/>
      </w:rPr>
    </w:lvl>
    <w:lvl w:ilvl="1">
      <w:start w:val="1"/>
      <w:numFmt w:val="bullet"/>
      <w:lvlText w:val=""/>
      <w:lvlJc w:val="left"/>
      <w:pPr>
        <w:tabs>
          <w:tab w:val="num" w:pos="0"/>
        </w:tabs>
        <w:ind w:left="1680" w:hanging="420"/>
      </w:pPr>
      <w:rPr>
        <w:rFonts w:ascii="Wingdings" w:hAnsi="Wingdings" w:hint="default"/>
      </w:rPr>
    </w:lvl>
    <w:lvl w:ilvl="2">
      <w:start w:val="1"/>
      <w:numFmt w:val="bullet"/>
      <w:lvlText w:val=""/>
      <w:lvlJc w:val="left"/>
      <w:pPr>
        <w:tabs>
          <w:tab w:val="num" w:pos="0"/>
        </w:tabs>
        <w:ind w:left="2100" w:hanging="420"/>
      </w:pPr>
      <w:rPr>
        <w:rFonts w:ascii="Wingdings" w:hAnsi="Wingdings" w:hint="default"/>
      </w:rPr>
    </w:lvl>
    <w:lvl w:ilvl="3">
      <w:start w:val="1"/>
      <w:numFmt w:val="bullet"/>
      <w:lvlText w:val=""/>
      <w:lvlJc w:val="left"/>
      <w:pPr>
        <w:tabs>
          <w:tab w:val="num" w:pos="0"/>
        </w:tabs>
        <w:ind w:left="2520" w:hanging="420"/>
      </w:pPr>
      <w:rPr>
        <w:rFonts w:ascii="Wingdings" w:hAnsi="Wingdings" w:hint="default"/>
      </w:rPr>
    </w:lvl>
    <w:lvl w:ilvl="4">
      <w:start w:val="1"/>
      <w:numFmt w:val="bullet"/>
      <w:lvlText w:val=""/>
      <w:lvlJc w:val="left"/>
      <w:pPr>
        <w:tabs>
          <w:tab w:val="num" w:pos="0"/>
        </w:tabs>
        <w:ind w:left="2940" w:hanging="420"/>
      </w:pPr>
      <w:rPr>
        <w:rFonts w:ascii="Wingdings" w:hAnsi="Wingdings" w:hint="default"/>
      </w:rPr>
    </w:lvl>
    <w:lvl w:ilvl="5">
      <w:start w:val="1"/>
      <w:numFmt w:val="bullet"/>
      <w:lvlText w:val=""/>
      <w:lvlJc w:val="left"/>
      <w:pPr>
        <w:tabs>
          <w:tab w:val="num" w:pos="0"/>
        </w:tabs>
        <w:ind w:left="3360" w:hanging="420"/>
      </w:pPr>
      <w:rPr>
        <w:rFonts w:ascii="Wingdings" w:hAnsi="Wingdings" w:hint="default"/>
      </w:rPr>
    </w:lvl>
    <w:lvl w:ilvl="6">
      <w:start w:val="1"/>
      <w:numFmt w:val="bullet"/>
      <w:lvlText w:val=""/>
      <w:lvlJc w:val="left"/>
      <w:pPr>
        <w:tabs>
          <w:tab w:val="num" w:pos="0"/>
        </w:tabs>
        <w:ind w:left="3780" w:hanging="420"/>
      </w:pPr>
      <w:rPr>
        <w:rFonts w:ascii="Wingdings" w:hAnsi="Wingdings" w:hint="default"/>
      </w:rPr>
    </w:lvl>
    <w:lvl w:ilvl="7">
      <w:start w:val="1"/>
      <w:numFmt w:val="bullet"/>
      <w:lvlText w:val=""/>
      <w:lvlJc w:val="left"/>
      <w:pPr>
        <w:tabs>
          <w:tab w:val="num" w:pos="0"/>
        </w:tabs>
        <w:ind w:left="4200" w:hanging="420"/>
      </w:pPr>
      <w:rPr>
        <w:rFonts w:ascii="Wingdings" w:hAnsi="Wingdings" w:hint="default"/>
      </w:rPr>
    </w:lvl>
    <w:lvl w:ilvl="8">
      <w:start w:val="1"/>
      <w:numFmt w:val="bullet"/>
      <w:lvlText w:val=""/>
      <w:lvlJc w:val="left"/>
      <w:pPr>
        <w:tabs>
          <w:tab w:val="num" w:pos="0"/>
        </w:tabs>
        <w:ind w:left="4620" w:hanging="420"/>
      </w:pPr>
      <w:rPr>
        <w:rFonts w:ascii="Wingdings" w:hAnsi="Wingdings" w:hint="default"/>
      </w:rPr>
    </w:lvl>
  </w:abstractNum>
  <w:abstractNum w:abstractNumId="23">
    <w:nsid w:val="770E35D0"/>
    <w:multiLevelType w:val="multilevel"/>
    <w:tmpl w:val="770E35D0"/>
    <w:lvl w:ilvl="0">
      <w:start w:val="1"/>
      <w:numFmt w:val="decimal"/>
      <w:lvlRestart w:val="0"/>
      <w:lvlText w:val="%1)"/>
      <w:lvlJc w:val="left"/>
      <w:pPr>
        <w:tabs>
          <w:tab w:val="num" w:pos="0"/>
        </w:tabs>
        <w:ind w:left="840" w:hanging="420"/>
      </w:pPr>
      <w:rPr>
        <w:rFonts w:cs="Times New Roman"/>
      </w:rPr>
    </w:lvl>
    <w:lvl w:ilvl="1">
      <w:start w:val="1"/>
      <w:numFmt w:val="lowerLetter"/>
      <w:lvlText w:val="%2)"/>
      <w:lvlJc w:val="left"/>
      <w:pPr>
        <w:tabs>
          <w:tab w:val="num" w:pos="0"/>
        </w:tabs>
        <w:ind w:left="1260" w:hanging="420"/>
      </w:pPr>
      <w:rPr>
        <w:rFonts w:cs="Times New Roman"/>
      </w:rPr>
    </w:lvl>
    <w:lvl w:ilvl="2">
      <w:start w:val="1"/>
      <w:numFmt w:val="lowerRoman"/>
      <w:lvlText w:val="%3."/>
      <w:lvlJc w:val="right"/>
      <w:pPr>
        <w:tabs>
          <w:tab w:val="num" w:pos="0"/>
        </w:tabs>
        <w:ind w:left="1680" w:hanging="420"/>
      </w:pPr>
      <w:rPr>
        <w:rFonts w:cs="Times New Roman"/>
      </w:rPr>
    </w:lvl>
    <w:lvl w:ilvl="3">
      <w:start w:val="1"/>
      <w:numFmt w:val="decimal"/>
      <w:lvlText w:val="%4."/>
      <w:lvlJc w:val="left"/>
      <w:pPr>
        <w:tabs>
          <w:tab w:val="num" w:pos="0"/>
        </w:tabs>
        <w:ind w:left="2100" w:hanging="420"/>
      </w:pPr>
      <w:rPr>
        <w:rFonts w:cs="Times New Roman"/>
      </w:rPr>
    </w:lvl>
    <w:lvl w:ilvl="4">
      <w:start w:val="1"/>
      <w:numFmt w:val="lowerLetter"/>
      <w:lvlText w:val="%5)"/>
      <w:lvlJc w:val="left"/>
      <w:pPr>
        <w:tabs>
          <w:tab w:val="num" w:pos="0"/>
        </w:tabs>
        <w:ind w:left="2520" w:hanging="420"/>
      </w:pPr>
      <w:rPr>
        <w:rFonts w:cs="Times New Roman"/>
      </w:rPr>
    </w:lvl>
    <w:lvl w:ilvl="5">
      <w:start w:val="1"/>
      <w:numFmt w:val="lowerRoman"/>
      <w:lvlText w:val="%6."/>
      <w:lvlJc w:val="right"/>
      <w:pPr>
        <w:tabs>
          <w:tab w:val="num" w:pos="0"/>
        </w:tabs>
        <w:ind w:left="2940" w:hanging="420"/>
      </w:pPr>
      <w:rPr>
        <w:rFonts w:cs="Times New Roman"/>
      </w:rPr>
    </w:lvl>
    <w:lvl w:ilvl="6">
      <w:start w:val="1"/>
      <w:numFmt w:val="decimal"/>
      <w:lvlText w:val="%7."/>
      <w:lvlJc w:val="left"/>
      <w:pPr>
        <w:tabs>
          <w:tab w:val="num" w:pos="0"/>
        </w:tabs>
        <w:ind w:left="3360" w:hanging="420"/>
      </w:pPr>
      <w:rPr>
        <w:rFonts w:cs="Times New Roman"/>
      </w:rPr>
    </w:lvl>
    <w:lvl w:ilvl="7">
      <w:start w:val="1"/>
      <w:numFmt w:val="lowerLetter"/>
      <w:lvlText w:val="%8)"/>
      <w:lvlJc w:val="left"/>
      <w:pPr>
        <w:tabs>
          <w:tab w:val="num" w:pos="0"/>
        </w:tabs>
        <w:ind w:left="3780" w:hanging="420"/>
      </w:pPr>
      <w:rPr>
        <w:rFonts w:cs="Times New Roman"/>
      </w:rPr>
    </w:lvl>
    <w:lvl w:ilvl="8">
      <w:start w:val="1"/>
      <w:numFmt w:val="lowerRoman"/>
      <w:lvlText w:val="%9."/>
      <w:lvlJc w:val="right"/>
      <w:pPr>
        <w:tabs>
          <w:tab w:val="num" w:pos="0"/>
        </w:tabs>
        <w:ind w:left="4200" w:hanging="420"/>
      </w:pPr>
      <w:rPr>
        <w:rFonts w:cs="Times New Roman"/>
      </w:rPr>
    </w:lvl>
  </w:abstractNum>
  <w:abstractNum w:abstractNumId="24">
    <w:nsid w:val="4A224ABC"/>
    <w:multiLevelType w:val="multilevel"/>
    <w:tmpl w:val="4A224ABC"/>
    <w:lvl w:ilvl="0">
      <w:start w:val="1"/>
      <w:numFmt w:val="decimal"/>
      <w:lvlRestart w:val="0"/>
      <w:lvlText w:val="%1)"/>
      <w:lvlJc w:val="left"/>
      <w:pPr>
        <w:tabs>
          <w:tab w:val="num" w:pos="0"/>
        </w:tabs>
        <w:ind w:left="420" w:hanging="420"/>
      </w:pPr>
      <w:rPr>
        <w:rFonts w:cs="Times New Roman"/>
      </w:rPr>
    </w:lvl>
    <w:lvl w:ilvl="1">
      <w:start w:val="1"/>
      <w:numFmt w:val="decimal"/>
      <w:lvlText w:val="%2)"/>
      <w:lvlJc w:val="left"/>
      <w:pPr>
        <w:tabs>
          <w:tab w:val="num" w:pos="0"/>
        </w:tabs>
        <w:ind w:left="840" w:hanging="420"/>
      </w:pPr>
      <w:rPr>
        <w:rFonts w:cs="Times New Roman"/>
      </w:rPr>
    </w:lvl>
    <w:lvl w:ilvl="2">
      <w:start w:val="1"/>
      <w:numFmt w:val="lowerRoman"/>
      <w:lvlText w:val="%3."/>
      <w:lvlJc w:val="right"/>
      <w:pPr>
        <w:tabs>
          <w:tab w:val="num" w:pos="0"/>
        </w:tabs>
        <w:ind w:left="1260" w:hanging="420"/>
      </w:pPr>
      <w:rPr>
        <w:rFonts w:cs="Times New Roman"/>
      </w:rPr>
    </w:lvl>
    <w:lvl w:ilvl="3">
      <w:start w:val="1"/>
      <w:numFmt w:val="decimal"/>
      <w:lvlText w:val="%4."/>
      <w:lvlJc w:val="left"/>
      <w:pPr>
        <w:tabs>
          <w:tab w:val="num" w:pos="0"/>
        </w:tabs>
        <w:ind w:left="1680" w:hanging="420"/>
      </w:pPr>
      <w:rPr>
        <w:rFonts w:cs="Times New Roman"/>
      </w:rPr>
    </w:lvl>
    <w:lvl w:ilvl="4">
      <w:start w:val="1"/>
      <w:numFmt w:val="lowerLetter"/>
      <w:lvlText w:val="%5)"/>
      <w:lvlJc w:val="left"/>
      <w:pPr>
        <w:tabs>
          <w:tab w:val="num" w:pos="0"/>
        </w:tabs>
        <w:ind w:left="2100" w:hanging="420"/>
      </w:pPr>
      <w:rPr>
        <w:rFonts w:cs="Times New Roman"/>
      </w:rPr>
    </w:lvl>
    <w:lvl w:ilvl="5">
      <w:start w:val="1"/>
      <w:numFmt w:val="lowerRoman"/>
      <w:lvlText w:val="%6."/>
      <w:lvlJc w:val="right"/>
      <w:pPr>
        <w:tabs>
          <w:tab w:val="num" w:pos="0"/>
        </w:tabs>
        <w:ind w:left="2520" w:hanging="420"/>
      </w:pPr>
      <w:rPr>
        <w:rFonts w:cs="Times New Roman"/>
      </w:rPr>
    </w:lvl>
    <w:lvl w:ilvl="6">
      <w:start w:val="1"/>
      <w:numFmt w:val="decimal"/>
      <w:lvlText w:val="%7."/>
      <w:lvlJc w:val="left"/>
      <w:pPr>
        <w:tabs>
          <w:tab w:val="num" w:pos="0"/>
        </w:tabs>
        <w:ind w:left="2940" w:hanging="420"/>
      </w:pPr>
      <w:rPr>
        <w:rFonts w:cs="Times New Roman"/>
      </w:rPr>
    </w:lvl>
    <w:lvl w:ilvl="7">
      <w:start w:val="1"/>
      <w:numFmt w:val="lowerLetter"/>
      <w:lvlText w:val="%8)"/>
      <w:lvlJc w:val="left"/>
      <w:pPr>
        <w:tabs>
          <w:tab w:val="num" w:pos="0"/>
        </w:tabs>
        <w:ind w:left="3360" w:hanging="420"/>
      </w:pPr>
      <w:rPr>
        <w:rFonts w:cs="Times New Roman"/>
      </w:rPr>
    </w:lvl>
    <w:lvl w:ilvl="8">
      <w:start w:val="1"/>
      <w:numFmt w:val="lowerRoman"/>
      <w:lvlText w:val="%9."/>
      <w:lvlJc w:val="right"/>
      <w:pPr>
        <w:tabs>
          <w:tab w:val="num" w:pos="0"/>
        </w:tabs>
        <w:ind w:left="3780" w:hanging="420"/>
      </w:pPr>
      <w:rPr>
        <w:rFonts w:cs="Times New Roman"/>
      </w:rPr>
    </w:lvl>
  </w:abstractNum>
  <w:abstractNum w:abstractNumId="25">
    <w:nsid w:val="20A04317"/>
    <w:multiLevelType w:val="multilevel"/>
    <w:tmpl w:val="20A04317"/>
    <w:lvl w:ilvl="0">
      <w:start w:val="1"/>
      <w:numFmt w:val="decimal"/>
      <w:lvlRestart w:val="0"/>
      <w:lvlText w:val="%1)"/>
      <w:lvlJc w:val="left"/>
      <w:pPr>
        <w:tabs>
          <w:tab w:val="num" w:pos="0"/>
        </w:tabs>
        <w:ind w:left="840" w:hanging="420"/>
      </w:pPr>
      <w:rPr>
        <w:rFonts w:cs="Times New Roman"/>
      </w:rPr>
    </w:lvl>
    <w:lvl w:ilvl="1">
      <w:start w:val="1"/>
      <w:numFmt w:val="lowerLetter"/>
      <w:lvlText w:val="%2)"/>
      <w:lvlJc w:val="left"/>
      <w:pPr>
        <w:tabs>
          <w:tab w:val="num" w:pos="0"/>
        </w:tabs>
        <w:ind w:left="1260" w:hanging="420"/>
      </w:pPr>
      <w:rPr>
        <w:rFonts w:cs="Times New Roman"/>
      </w:rPr>
    </w:lvl>
    <w:lvl w:ilvl="2">
      <w:start w:val="1"/>
      <w:numFmt w:val="lowerRoman"/>
      <w:lvlText w:val="%3."/>
      <w:lvlJc w:val="right"/>
      <w:pPr>
        <w:tabs>
          <w:tab w:val="num" w:pos="0"/>
        </w:tabs>
        <w:ind w:left="1680" w:hanging="420"/>
      </w:pPr>
      <w:rPr>
        <w:rFonts w:cs="Times New Roman"/>
      </w:rPr>
    </w:lvl>
    <w:lvl w:ilvl="3">
      <w:start w:val="1"/>
      <w:numFmt w:val="decimal"/>
      <w:lvlText w:val="%4."/>
      <w:lvlJc w:val="left"/>
      <w:pPr>
        <w:tabs>
          <w:tab w:val="num" w:pos="0"/>
        </w:tabs>
        <w:ind w:left="2100" w:hanging="420"/>
      </w:pPr>
      <w:rPr>
        <w:rFonts w:cs="Times New Roman"/>
      </w:rPr>
    </w:lvl>
    <w:lvl w:ilvl="4">
      <w:start w:val="1"/>
      <w:numFmt w:val="lowerLetter"/>
      <w:lvlText w:val="%5)"/>
      <w:lvlJc w:val="left"/>
      <w:pPr>
        <w:tabs>
          <w:tab w:val="num" w:pos="0"/>
        </w:tabs>
        <w:ind w:left="2520" w:hanging="420"/>
      </w:pPr>
      <w:rPr>
        <w:rFonts w:cs="Times New Roman"/>
      </w:rPr>
    </w:lvl>
    <w:lvl w:ilvl="5">
      <w:start w:val="1"/>
      <w:numFmt w:val="lowerRoman"/>
      <w:lvlText w:val="%6."/>
      <w:lvlJc w:val="right"/>
      <w:pPr>
        <w:tabs>
          <w:tab w:val="num" w:pos="0"/>
        </w:tabs>
        <w:ind w:left="2940" w:hanging="420"/>
      </w:pPr>
      <w:rPr>
        <w:rFonts w:cs="Times New Roman"/>
      </w:rPr>
    </w:lvl>
    <w:lvl w:ilvl="6">
      <w:start w:val="1"/>
      <w:numFmt w:val="decimal"/>
      <w:lvlText w:val="%7."/>
      <w:lvlJc w:val="left"/>
      <w:pPr>
        <w:tabs>
          <w:tab w:val="num" w:pos="0"/>
        </w:tabs>
        <w:ind w:left="3360" w:hanging="420"/>
      </w:pPr>
      <w:rPr>
        <w:rFonts w:cs="Times New Roman"/>
      </w:rPr>
    </w:lvl>
    <w:lvl w:ilvl="7">
      <w:start w:val="1"/>
      <w:numFmt w:val="lowerLetter"/>
      <w:lvlText w:val="%8)"/>
      <w:lvlJc w:val="left"/>
      <w:pPr>
        <w:tabs>
          <w:tab w:val="num" w:pos="0"/>
        </w:tabs>
        <w:ind w:left="3780" w:hanging="420"/>
      </w:pPr>
      <w:rPr>
        <w:rFonts w:cs="Times New Roman"/>
      </w:rPr>
    </w:lvl>
    <w:lvl w:ilvl="8">
      <w:start w:val="1"/>
      <w:numFmt w:val="lowerRoman"/>
      <w:lvlText w:val="%9."/>
      <w:lvlJc w:val="right"/>
      <w:pPr>
        <w:tabs>
          <w:tab w:val="num" w:pos="0"/>
        </w:tabs>
        <w:ind w:left="4200" w:hanging="420"/>
      </w:pPr>
      <w:rPr>
        <w:rFonts w:cs="Times New Roman"/>
      </w:rPr>
    </w:lvl>
  </w:abstractNum>
  <w:abstractNum w:abstractNumId="26">
    <w:nsid w:val="7C6D382B"/>
    <w:multiLevelType w:val="multilevel"/>
    <w:tmpl w:val="7C6D382B"/>
    <w:lvl w:ilvl="0">
      <w:start w:val="1"/>
      <w:numFmt w:val="decimal"/>
      <w:lvlRestart w:val="0"/>
      <w:lvlText w:val="%1)"/>
      <w:lvlJc w:val="left"/>
      <w:pPr>
        <w:tabs>
          <w:tab w:val="num" w:pos="0"/>
        </w:tabs>
        <w:ind w:left="780" w:hanging="420"/>
      </w:pPr>
      <w:rPr>
        <w:rFonts w:cs="Times New Roman"/>
      </w:rPr>
    </w:lvl>
    <w:lvl w:ilvl="1">
      <w:start w:val="1"/>
      <w:numFmt w:val="lowerLetter"/>
      <w:lvlText w:val="%2)"/>
      <w:lvlJc w:val="left"/>
      <w:pPr>
        <w:tabs>
          <w:tab w:val="num" w:pos="0"/>
        </w:tabs>
        <w:ind w:left="1200" w:hanging="420"/>
      </w:pPr>
      <w:rPr>
        <w:rFonts w:cs="Times New Roman"/>
      </w:rPr>
    </w:lvl>
    <w:lvl w:ilvl="2">
      <w:start w:val="1"/>
      <w:numFmt w:val="lowerRoman"/>
      <w:lvlText w:val="%3."/>
      <w:lvlJc w:val="right"/>
      <w:pPr>
        <w:tabs>
          <w:tab w:val="num" w:pos="0"/>
        </w:tabs>
        <w:ind w:left="1620" w:hanging="420"/>
      </w:pPr>
      <w:rPr>
        <w:rFonts w:cs="Times New Roman"/>
      </w:rPr>
    </w:lvl>
    <w:lvl w:ilvl="3">
      <w:start w:val="1"/>
      <w:numFmt w:val="decimal"/>
      <w:lvlText w:val="%4."/>
      <w:lvlJc w:val="left"/>
      <w:pPr>
        <w:tabs>
          <w:tab w:val="num" w:pos="0"/>
        </w:tabs>
        <w:ind w:left="2040" w:hanging="420"/>
      </w:pPr>
      <w:rPr>
        <w:rFonts w:cs="Times New Roman"/>
      </w:rPr>
    </w:lvl>
    <w:lvl w:ilvl="4">
      <w:start w:val="1"/>
      <w:numFmt w:val="lowerLetter"/>
      <w:lvlText w:val="%5)"/>
      <w:lvlJc w:val="left"/>
      <w:pPr>
        <w:tabs>
          <w:tab w:val="num" w:pos="0"/>
        </w:tabs>
        <w:ind w:left="2460" w:hanging="420"/>
      </w:pPr>
      <w:rPr>
        <w:rFonts w:cs="Times New Roman"/>
      </w:rPr>
    </w:lvl>
    <w:lvl w:ilvl="5">
      <w:start w:val="1"/>
      <w:numFmt w:val="lowerRoman"/>
      <w:lvlText w:val="%6."/>
      <w:lvlJc w:val="right"/>
      <w:pPr>
        <w:tabs>
          <w:tab w:val="num" w:pos="0"/>
        </w:tabs>
        <w:ind w:left="2880" w:hanging="420"/>
      </w:pPr>
      <w:rPr>
        <w:rFonts w:cs="Times New Roman"/>
      </w:rPr>
    </w:lvl>
    <w:lvl w:ilvl="6">
      <w:start w:val="1"/>
      <w:numFmt w:val="decimal"/>
      <w:lvlText w:val="%7."/>
      <w:lvlJc w:val="left"/>
      <w:pPr>
        <w:tabs>
          <w:tab w:val="num" w:pos="0"/>
        </w:tabs>
        <w:ind w:left="3300" w:hanging="420"/>
      </w:pPr>
      <w:rPr>
        <w:rFonts w:cs="Times New Roman"/>
      </w:rPr>
    </w:lvl>
    <w:lvl w:ilvl="7">
      <w:start w:val="1"/>
      <w:numFmt w:val="lowerLetter"/>
      <w:lvlText w:val="%8)"/>
      <w:lvlJc w:val="left"/>
      <w:pPr>
        <w:tabs>
          <w:tab w:val="num" w:pos="0"/>
        </w:tabs>
        <w:ind w:left="3720" w:hanging="420"/>
      </w:pPr>
      <w:rPr>
        <w:rFonts w:cs="Times New Roman"/>
      </w:rPr>
    </w:lvl>
    <w:lvl w:ilvl="8">
      <w:start w:val="1"/>
      <w:numFmt w:val="lowerRoman"/>
      <w:lvlText w:val="%9."/>
      <w:lvlJc w:val="right"/>
      <w:pPr>
        <w:tabs>
          <w:tab w:val="num" w:pos="0"/>
        </w:tabs>
        <w:ind w:left="4140" w:hanging="420"/>
      </w:pPr>
      <w:rPr>
        <w:rFonts w:cs="Times New Roman"/>
      </w:rPr>
    </w:lvl>
  </w:abstractNum>
  <w:abstractNum w:abstractNumId="27">
    <w:nsid w:val="1B6D6622"/>
    <w:multiLevelType w:val="multilevel"/>
    <w:tmpl w:val="D40672EB"/>
    <w:lvl w:ilvl="0">
      <w:start w:val="1"/>
      <w:numFmt w:val="chineseCountingThousand"/>
      <w:lvlRestart w:val="0"/>
      <w:pStyle w:val="1"/>
      <w:suff w:val="space"/>
      <w:lvlText w:val="%1、"/>
      <w:lvlJc w:val="left"/>
      <w:pPr>
        <w:tabs>
          <w:tab w:val="num" w:pos="0"/>
        </w:tabs>
        <w:ind w:left="142" w:hanging="142"/>
      </w:pPr>
      <w:rPr>
        <w:rFonts w:ascii="Arial" w:hAnsi="Arial" w:eastAsia="宋体" w:hint="default"/>
      </w:rPr>
    </w:lvl>
    <w:lvl w:ilvl="1">
      <w:start w:val="1"/>
      <w:numFmt w:val="decimal"/>
      <w:pStyle w:val="2"/>
      <w:suff w:val="space"/>
      <w:lvlText w:val="%2、"/>
      <w:lvlJc w:val="left"/>
      <w:pPr>
        <w:tabs>
          <w:tab w:val="num" w:pos="0"/>
        </w:tabs>
        <w:ind w:left="709" w:hanging="142"/>
      </w:pPr>
      <w:rPr>
        <w:rFonts w:ascii="Arial" w:hAnsi="Arial" w:eastAsia="宋体" w:hint="default"/>
      </w:rPr>
    </w:lvl>
    <w:lvl w:ilvl="2">
      <w:start w:val="1"/>
      <w:numFmt w:val="decimal"/>
      <w:pStyle w:val="3"/>
      <w:lvlText w:val="%2.%3"/>
      <w:lvlJc w:val="left"/>
      <w:pPr>
        <w:tabs>
          <w:tab w:val="num" w:pos="0"/>
        </w:tabs>
        <w:ind w:left="0" w:hanging="0"/>
      </w:pPr>
      <w:rPr>
        <w:rFonts w:ascii="Arial" w:hAnsi="Arial" w:eastAsia="宋体" w:hint="default"/>
        <w:sz w:val="28"/>
        <w:szCs w:val="28"/>
      </w:rPr>
    </w:lvl>
    <w:lvl w:ilvl="3">
      <w:start w:val="1"/>
      <w:numFmt w:val="decimal"/>
      <w:pStyle w:val="4"/>
      <w:suff w:val="space"/>
      <w:lvlText w:val="%2.%3.%4"/>
      <w:lvlJc w:val="left"/>
      <w:pPr>
        <w:tabs>
          <w:tab w:val="num" w:pos="0"/>
        </w:tabs>
        <w:ind w:left="0" w:hanging="0"/>
      </w:pPr>
      <w:rPr>
        <w:rFonts w:hint="eastAsia"/>
      </w:rPr>
    </w:lvl>
    <w:lvl w:ilvl="4">
      <w:start w:val="1"/>
      <w:numFmt w:val="decimal"/>
      <w:pStyle w:val="5"/>
      <w:suff w:val="space"/>
      <w:lvlText w:val="%2.%3.%4.%5"/>
      <w:lvlJc w:val="left"/>
      <w:pPr>
        <w:tabs>
          <w:tab w:val="num" w:pos="0"/>
        </w:tabs>
        <w:ind w:left="424" w:hanging="141"/>
      </w:pPr>
      <w:rPr>
        <w:rFonts w:hint="eastAsia"/>
      </w:rPr>
    </w:lvl>
    <w:lvl w:ilvl="5">
      <w:start w:val="1"/>
      <w:numFmt w:val="decimal"/>
      <w:lvlText w:val="%1.%2.%3.%4.%5.%6"/>
      <w:lvlJc w:val="left"/>
      <w:pPr>
        <w:tabs>
          <w:tab w:val="num" w:pos="0"/>
        </w:tabs>
        <w:ind w:left="3260" w:hanging="1134"/>
      </w:pPr>
      <w:rPr>
        <w:rFonts w:hint="eastAsia"/>
      </w:rPr>
    </w:lvl>
    <w:lvl w:ilvl="6">
      <w:start w:val="1"/>
      <w:numFmt w:val="decimal"/>
      <w:lvlText w:val="%1.%2.%3.%4.%5.%6.%7"/>
      <w:lvlJc w:val="left"/>
      <w:pPr>
        <w:tabs>
          <w:tab w:val="num" w:pos="0"/>
        </w:tabs>
        <w:ind w:left="3827" w:hanging="1276"/>
      </w:pPr>
      <w:rPr>
        <w:rFonts w:hint="eastAsia"/>
      </w:rPr>
    </w:lvl>
    <w:lvl w:ilvl="7">
      <w:start w:val="1"/>
      <w:numFmt w:val="decimal"/>
      <w:lvlText w:val="%1.%2.%3.%4.%5.%6.%7.%8"/>
      <w:lvlJc w:val="left"/>
      <w:pPr>
        <w:tabs>
          <w:tab w:val="num" w:pos="0"/>
        </w:tabs>
        <w:ind w:left="4394" w:hanging="1418"/>
      </w:pPr>
      <w:rPr>
        <w:rFonts w:hint="eastAsia"/>
      </w:rPr>
    </w:lvl>
    <w:lvl w:ilvl="8">
      <w:start w:val="1"/>
      <w:numFmt w:val="decimal"/>
      <w:lvlText w:val="%1.%2.%3.%4.%5.%6.%7.%8.%9"/>
      <w:lvlJc w:val="left"/>
      <w:pPr>
        <w:tabs>
          <w:tab w:val="num" w:pos="0"/>
        </w:tabs>
        <w:ind w:left="5102" w:hanging="1700"/>
      </w:pPr>
      <w:rPr>
        <w:rFonts w:hint="eastAsia"/>
      </w:rPr>
    </w:lvl>
  </w:abstractNum>
  <w:abstractNum w:abstractNumId="28">
    <w:nsid w:val="039D13CD"/>
    <w:multiLevelType w:val="multilevel"/>
    <w:tmpl w:val="F99A96DE"/>
    <w:lvl w:ilvl="0">
      <w:start w:val="1"/>
      <w:numFmt w:val="decimal"/>
      <w:lvlRestart w:val="0"/>
      <w:pStyle w:val="49"/>
      <w:lvlText w:val="%1)"/>
      <w:lvlJc w:val="left"/>
      <w:pPr>
        <w:tabs>
          <w:tab w:val="num" w:pos="0"/>
        </w:tabs>
        <w:ind w:left="420" w:hanging="420"/>
      </w:pPr>
      <w:rPr>
        <w:rFonts w:cs="Times New Roman" w:hint="eastAsia"/>
      </w:rPr>
    </w:lvl>
    <w:lvl w:ilvl="1">
      <w:start w:val="1"/>
      <w:numFmt w:val="decimalEnclosedCircle"/>
      <w:lvlText w:val="注%2"/>
      <w:lvlJc w:val="left"/>
      <w:pPr>
        <w:tabs>
          <w:tab w:val="num" w:pos="0"/>
        </w:tabs>
        <w:ind w:left="780" w:hanging="360"/>
      </w:pPr>
      <w:rPr>
        <w:rFonts w:cs="Times New Roman" w:hint="default"/>
      </w:rPr>
    </w:lvl>
    <w:lvl w:ilvl="2">
      <w:start w:val="1"/>
      <w:numFmt w:val="lowerRoman"/>
      <w:lvlText w:val="%3."/>
      <w:lvlJc w:val="right"/>
      <w:pPr>
        <w:tabs>
          <w:tab w:val="num" w:pos="0"/>
        </w:tabs>
        <w:ind w:left="1260" w:hanging="420"/>
      </w:pPr>
      <w:rPr>
        <w:rFonts w:cs="Times New Roman"/>
      </w:rPr>
    </w:lvl>
    <w:lvl w:ilvl="3">
      <w:start w:val="1"/>
      <w:numFmt w:val="decimal"/>
      <w:lvlText w:val="%4."/>
      <w:lvlJc w:val="left"/>
      <w:pPr>
        <w:tabs>
          <w:tab w:val="num" w:pos="0"/>
        </w:tabs>
        <w:ind w:left="1680" w:hanging="420"/>
      </w:pPr>
      <w:rPr>
        <w:rFonts w:cs="Times New Roman"/>
      </w:rPr>
    </w:lvl>
    <w:lvl w:ilvl="4">
      <w:start w:val="1"/>
      <w:numFmt w:val="lowerLetter"/>
      <w:lvlText w:val="%5)"/>
      <w:lvlJc w:val="left"/>
      <w:pPr>
        <w:tabs>
          <w:tab w:val="num" w:pos="0"/>
        </w:tabs>
        <w:ind w:left="2100" w:hanging="420"/>
      </w:pPr>
      <w:rPr>
        <w:rFonts w:cs="Times New Roman"/>
      </w:rPr>
    </w:lvl>
    <w:lvl w:ilvl="5">
      <w:start w:val="1"/>
      <w:numFmt w:val="lowerRoman"/>
      <w:lvlText w:val="%6."/>
      <w:lvlJc w:val="right"/>
      <w:pPr>
        <w:tabs>
          <w:tab w:val="num" w:pos="0"/>
        </w:tabs>
        <w:ind w:left="2520" w:hanging="420"/>
      </w:pPr>
      <w:rPr>
        <w:rFonts w:cs="Times New Roman"/>
      </w:rPr>
    </w:lvl>
    <w:lvl w:ilvl="6">
      <w:start w:val="1"/>
      <w:numFmt w:val="decimal"/>
      <w:lvlText w:val="%7."/>
      <w:lvlJc w:val="left"/>
      <w:pPr>
        <w:tabs>
          <w:tab w:val="num" w:pos="0"/>
        </w:tabs>
        <w:ind w:left="2940" w:hanging="420"/>
      </w:pPr>
      <w:rPr>
        <w:rFonts w:cs="Times New Roman"/>
      </w:rPr>
    </w:lvl>
    <w:lvl w:ilvl="7">
      <w:start w:val="1"/>
      <w:numFmt w:val="lowerLetter"/>
      <w:lvlText w:val="%8)"/>
      <w:lvlJc w:val="left"/>
      <w:pPr>
        <w:tabs>
          <w:tab w:val="num" w:pos="0"/>
        </w:tabs>
        <w:ind w:left="3360" w:hanging="420"/>
      </w:pPr>
      <w:rPr>
        <w:rFonts w:cs="Times New Roman"/>
      </w:rPr>
    </w:lvl>
    <w:lvl w:ilvl="8">
      <w:start w:val="1"/>
      <w:numFmt w:val="lowerRoman"/>
      <w:lvlText w:val="%9."/>
      <w:lvlJc w:val="right"/>
      <w:pPr>
        <w:tabs>
          <w:tab w:val="num" w:pos="0"/>
        </w:tabs>
        <w:ind w:left="3780" w:hanging="420"/>
      </w:pPr>
      <w:rPr>
        <w:rFonts w:cs="Times New Roman"/>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40"/>
  <w:bordersDoNotSurroundHeader/>
  <w:bordersDoNotSurroundFooter/>
  <w:defaultTabStop w:val="420"/>
  <w:drawingGridHorizontalSpacing w:val="105"/>
  <w:drawingGridVerticalSpacing w:val="156"/>
  <w:displayHorizontalDrawingGridEvery w:val="0"/>
  <w:displayVerticalDrawingGridEvery w:val="1"/>
  <w:noPunctuationKerning/>
  <w:characterSpacingControl w:val="compressPunctuation"/>
  <w:compat>
    <w:spaceForUL/>
    <w:balanceSingleByteDoubleByteWidth/>
    <w:ulTrailSpace/>
    <w:doNotExpandShiftReturn/>
    <w:adjustLineHeightInTable/>
    <w:growAutofit/>
    <w:useAltKinsokuLineBreakRules/>
    <w:splitPgBreakAndParaMark/>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next w:val="15"/>
    <w:pPr>
      <w:widowControl w:val="0"/>
      <w:jc w:val="both"/>
    </w:pPr>
    <w:rPr>
      <w:rFonts w:ascii="Times New Roman" w:eastAsia="宋体" w:cs="Times New Roman" w:hAnsi="Times New Roman"/>
      <w:kern w:val="2"/>
      <w:sz w:val="21"/>
      <w:szCs w:val="24"/>
      <w:lang w:val="en-US" w:eastAsia="zh-CN" w:bidi="ar-SA"/>
    </w:rPr>
  </w:style>
  <w:style w:type="paragraph" w:styleId="1">
    <w:name w:val="heading 1"/>
    <w:basedOn w:val="0"/>
    <w:next w:val="0"/>
    <w:pPr>
      <w:keepNext/>
      <w:keepLines/>
      <w:widowControl w:val="0"/>
      <w:numPr>
        <w:ilvl w:val="0"/>
        <w:numId w:val="28"/>
      </w:numPr>
      <w:spacing w:line="360" w:lineRule="auto"/>
      <w:outlineLvl w:val="0"/>
    </w:pPr>
    <w:rPr>
      <w:rFonts w:ascii="Arial" w:eastAsia="黑体" w:hAnsi="Arial"/>
      <w:b/>
      <w:bCs/>
      <w:kern w:val="44"/>
      <w:sz w:val="28"/>
      <w:szCs w:val="44"/>
    </w:rPr>
  </w:style>
  <w:style w:type="paragraph" w:styleId="2">
    <w:name w:val="heading 2"/>
    <w:basedOn w:val="0"/>
    <w:next w:val="0"/>
    <w:pPr>
      <w:keepNext/>
      <w:keepLines/>
      <w:widowControl w:val="0"/>
      <w:numPr>
        <w:ilvl w:val="1"/>
        <w:numId w:val="28"/>
      </w:numPr>
      <w:spacing w:line="560" w:lineRule="exact"/>
      <w:outlineLvl w:val="1"/>
    </w:pPr>
    <w:rPr>
      <w:rFonts w:ascii="Arial" w:eastAsia="方正楷体_GBK" w:hAnsi="Arial"/>
      <w:b/>
      <w:bCs/>
      <w:sz w:val="28"/>
      <w:szCs w:val="28"/>
    </w:rPr>
  </w:style>
  <w:style w:type="paragraph" w:styleId="3">
    <w:name w:val="heading 3"/>
    <w:basedOn w:val="0"/>
    <w:next w:val="0"/>
    <w:pPr>
      <w:keepNext/>
      <w:keepLines/>
      <w:widowControl w:val="0"/>
      <w:numPr>
        <w:ilvl w:val="2"/>
        <w:numId w:val="28"/>
      </w:numPr>
      <w:spacing w:line="560" w:lineRule="exact"/>
      <w:outlineLvl w:val="2"/>
    </w:pPr>
    <w:rPr>
      <w:rFonts w:ascii="Calibri" w:eastAsia="仿宋" w:hAnsi="Calibri"/>
      <w:bCs/>
      <w:sz w:val="28"/>
      <w:szCs w:val="32"/>
    </w:rPr>
  </w:style>
  <w:style w:type="paragraph" w:styleId="4">
    <w:name w:val="heading 4"/>
    <w:basedOn w:val="0"/>
    <w:next w:val="0"/>
    <w:pPr>
      <w:keepNext/>
      <w:keepLines/>
      <w:widowControl w:val="0"/>
      <w:numPr>
        <w:ilvl w:val="3"/>
        <w:numId w:val="28"/>
      </w:numPr>
      <w:spacing w:line="560" w:lineRule="exact"/>
      <w:outlineLvl w:val="3"/>
    </w:pPr>
    <w:rPr>
      <w:rFonts w:ascii="Arial" w:eastAsia="仿宋" w:hAnsi="Arial"/>
      <w:bCs/>
      <w:sz w:val="28"/>
      <w:szCs w:val="28"/>
    </w:rPr>
  </w:style>
  <w:style w:type="paragraph" w:styleId="5">
    <w:name w:val="heading 5"/>
    <w:basedOn w:val="0"/>
    <w:next w:val="0"/>
    <w:pPr>
      <w:keepNext/>
      <w:keepLines/>
      <w:widowControl w:val="0"/>
      <w:numPr>
        <w:ilvl w:val="4"/>
        <w:numId w:val="28"/>
      </w:numPr>
      <w:outlineLvl w:val="4"/>
    </w:pPr>
    <w:rPr>
      <w:rFonts w:ascii="Calibri" w:eastAsia="仿宋" w:hAnsi="Calibri"/>
      <w:b/>
      <w:bCs/>
      <w:sz w:val="24"/>
      <w:szCs w:val="28"/>
    </w:rPr>
  </w:style>
  <w:style w:type="paragraph" w:styleId="6">
    <w:name w:val="heading 6"/>
    <w:basedOn w:val="0"/>
    <w:next w:val="0"/>
    <w:pPr>
      <w:keepNext/>
      <w:keepLines/>
      <w:widowControl w:val="0"/>
      <w:spacing w:before="240" w:after="64" w:line="319" w:lineRule="auto"/>
      <w:outlineLvl w:val="5"/>
    </w:pPr>
    <w:rPr>
      <w:rFonts w:ascii="Cambria" w:hAnsi="Cambria"/>
      <w:b/>
      <w:bCs/>
      <w:sz w:val="24"/>
    </w:rPr>
  </w:style>
  <w:style w:type="character" w:default="1" w:styleId="10">
    <w:name w:val="Default Paragraph Font"/>
  </w:style>
  <w:style w:type="paragraph" w:styleId="15">
    <w:name w:val="Normal Indent"/>
    <w:basedOn w:val="0"/>
    <w:pPr>
      <w:ind w:firstLine="420"/>
    </w:pPr>
    <w:rPr>
      <w:szCs w:val="20"/>
    </w:rPr>
  </w:style>
  <w:style w:type="paragraph" w:styleId="16">
    <w:name w:val="toc 7"/>
    <w:basedOn w:val="0"/>
    <w:next w:val="0"/>
    <w:pPr>
      <w:ind w:leftChars="1200" w:left="1200"/>
    </w:pPr>
    <w:rPr>
      <w:rFonts w:ascii="等线" w:eastAsia="等线"/>
      <w:szCs w:val="22"/>
    </w:rPr>
  </w:style>
  <w:style w:type="paragraph" w:styleId="17">
    <w:name w:val="caption"/>
    <w:basedOn w:val="0"/>
    <w:next w:val="0"/>
    <w:pPr>
      <w:widowControl/>
      <w:spacing w:line="360" w:lineRule="auto"/>
      <w:jc w:val="center"/>
    </w:pPr>
    <w:rPr>
      <w:kern w:val="0"/>
      <w:sz w:val="24"/>
      <w:szCs w:val="20"/>
      <w:lang w:eastAsia="en-US" w:bidi="en-US"/>
    </w:rPr>
  </w:style>
  <w:style w:type="paragraph" w:styleId="18">
    <w:name w:val="annotation text"/>
    <w:basedOn w:val="0"/>
    <w:pPr>
      <w:jc w:val="left"/>
    </w:pPr>
  </w:style>
  <w:style w:type="paragraph" w:styleId="19">
    <w:name w:val="toc 5"/>
    <w:basedOn w:val="0"/>
    <w:next w:val="0"/>
    <w:pPr>
      <w:ind w:leftChars="800" w:left="800"/>
    </w:pPr>
    <w:rPr>
      <w:rFonts w:ascii="等线" w:eastAsia="等线"/>
      <w:szCs w:val="22"/>
    </w:rPr>
  </w:style>
  <w:style w:type="paragraph" w:styleId="20">
    <w:name w:val="toc 3"/>
    <w:basedOn w:val="0"/>
    <w:next w:val="0"/>
    <w:pPr>
      <w:widowControl/>
      <w:spacing w:after="100" w:line="259" w:lineRule="auto"/>
      <w:ind w:left="440"/>
      <w:jc w:val="left"/>
    </w:pPr>
    <w:rPr>
      <w:rFonts w:ascii="等线" w:eastAsia="等线"/>
      <w:kern w:val="0"/>
      <w:sz w:val="22"/>
      <w:szCs w:val="22"/>
    </w:rPr>
  </w:style>
  <w:style w:type="paragraph" w:styleId="21">
    <w:name w:val="Plain Text"/>
    <w:basedOn w:val="0"/>
    <w:pPr>
      <w:ind w:firstLineChars="200" w:firstLine="200"/>
    </w:pPr>
    <w:rPr>
      <w:rFonts w:ascii="Arial" w:eastAsia="仿宋" w:hAnsi="Arial"/>
      <w:sz w:val="24"/>
      <w:szCs w:val="20"/>
    </w:rPr>
  </w:style>
  <w:style w:type="paragraph" w:styleId="22">
    <w:name w:val="toc 8"/>
    <w:basedOn w:val="0"/>
    <w:next w:val="0"/>
    <w:pPr>
      <w:ind w:leftChars="1400" w:left="1400"/>
    </w:pPr>
    <w:rPr>
      <w:rFonts w:ascii="等线" w:eastAsia="等线"/>
      <w:szCs w:val="22"/>
    </w:rPr>
  </w:style>
  <w:style w:type="paragraph" w:styleId="23">
    <w:name w:val="Date"/>
    <w:basedOn w:val="0"/>
    <w:next w:val="0"/>
    <w:pPr>
      <w:spacing w:line="460" w:lineRule="exact"/>
      <w:ind w:firstLine="567"/>
    </w:pPr>
    <w:rPr>
      <w:rFonts w:ascii="仿宋_GB2312" w:eastAsia="仿宋_GB2312"/>
      <w:sz w:val="28"/>
      <w:szCs w:val="20"/>
    </w:rPr>
  </w:style>
  <w:style w:type="paragraph" w:styleId="24">
    <w:name w:val="Body Text Indent 2"/>
    <w:pPr>
      <w:widowControl w:val="0"/>
      <w:tabs>
        <w:tab w:val="left" w:pos="0"/>
      </w:tabs>
      <w:spacing w:line="500" w:lineRule="exact"/>
      <w:ind w:firstLine="568"/>
    </w:pPr>
    <w:rPr>
      <w:rFonts w:ascii="宋体" w:eastAsia="宋体" w:cs="Times New Roman"/>
      <w:color w:val="000000"/>
      <w:kern w:val="2"/>
      <w:sz w:val="28"/>
      <w:lang w:val="en-US" w:eastAsia="zh-CN" w:bidi="ar-SA"/>
    </w:rPr>
  </w:style>
  <w:style w:type="paragraph" w:styleId="25">
    <w:name w:val="Balloon Text"/>
    <w:basedOn w:val="0"/>
    <w:rPr>
      <w:sz w:val="18"/>
      <w:szCs w:val="18"/>
    </w:rPr>
  </w:style>
  <w:style w:type="paragraph" w:styleId="26">
    <w:name w:val="footer"/>
    <w:basedOn w:val="0"/>
    <w:pPr>
      <w:tabs>
        <w:tab w:val="center" w:pos="4153"/>
        <w:tab w:val="right" w:pos="8306"/>
      </w:tabs>
      <w:snapToGrid w:val="0"/>
      <w:spacing w:line="460" w:lineRule="exact"/>
      <w:ind w:firstLine="567"/>
      <w:jc w:val="left"/>
    </w:pPr>
    <w:rPr>
      <w:rFonts w:ascii="仿宋_GB2312" w:eastAsia="仿宋_GB2312"/>
      <w:sz w:val="18"/>
      <w:szCs w:val="20"/>
    </w:rPr>
  </w:style>
  <w:style w:type="paragraph" w:styleId="27">
    <w:name w:val="header"/>
    <w:basedOn w:val="0"/>
    <w:pPr>
      <w:pBdr>
        <w:bottom w:val="single" w:sz="6" w:space="1" w:color="auto"/>
      </w:pBdr>
      <w:tabs>
        <w:tab w:val="center" w:pos="4153"/>
        <w:tab w:val="right" w:pos="8306"/>
      </w:tabs>
      <w:snapToGrid w:val="0"/>
      <w:spacing w:line="240" w:lineRule="atLeast"/>
      <w:ind w:firstLine="567"/>
      <w:jc w:val="center"/>
    </w:pPr>
    <w:rPr>
      <w:rFonts w:ascii="仿宋_GB2312" w:eastAsia="仿宋_GB2312"/>
      <w:sz w:val="18"/>
      <w:szCs w:val="20"/>
    </w:rPr>
  </w:style>
  <w:style w:type="paragraph" w:styleId="28">
    <w:name w:val="toc 1"/>
    <w:basedOn w:val="0"/>
    <w:next w:val="0"/>
    <w:pPr>
      <w:widowControl/>
      <w:spacing w:after="100" w:line="259" w:lineRule="auto"/>
      <w:jc w:val="left"/>
    </w:pPr>
    <w:rPr>
      <w:rFonts w:ascii="等线" w:eastAsia="等线"/>
      <w:kern w:val="0"/>
      <w:sz w:val="22"/>
      <w:szCs w:val="22"/>
    </w:rPr>
  </w:style>
  <w:style w:type="paragraph" w:styleId="29">
    <w:name w:val="toc 4"/>
    <w:basedOn w:val="0"/>
    <w:next w:val="0"/>
    <w:pPr>
      <w:ind w:leftChars="600" w:left="600"/>
    </w:pPr>
    <w:rPr>
      <w:rFonts w:ascii="等线" w:eastAsia="等线"/>
      <w:szCs w:val="22"/>
    </w:rPr>
  </w:style>
  <w:style w:type="paragraph" w:styleId="30">
    <w:name w:val="toc 6"/>
    <w:basedOn w:val="0"/>
    <w:next w:val="0"/>
    <w:pPr>
      <w:ind w:leftChars="1000" w:left="1000"/>
    </w:pPr>
    <w:rPr>
      <w:rFonts w:ascii="等线" w:eastAsia="等线"/>
      <w:szCs w:val="22"/>
    </w:rPr>
  </w:style>
  <w:style w:type="paragraph" w:styleId="31">
    <w:name w:val="Body Text Indent 3"/>
    <w:basedOn w:val="0"/>
    <w:pPr>
      <w:spacing w:before="240" w:line="500" w:lineRule="exact"/>
      <w:ind w:firstLine="560"/>
      <w:jc w:val="left"/>
    </w:pPr>
    <w:rPr>
      <w:rFonts w:ascii="宋体"/>
      <w:sz w:val="26"/>
      <w:szCs w:val="20"/>
    </w:rPr>
  </w:style>
  <w:style w:type="paragraph" w:styleId="32">
    <w:name w:val="toc 2"/>
    <w:basedOn w:val="0"/>
    <w:next w:val="0"/>
    <w:pPr>
      <w:widowControl/>
      <w:spacing w:after="100" w:line="259" w:lineRule="auto"/>
      <w:ind w:left="220"/>
      <w:jc w:val="left"/>
    </w:pPr>
    <w:rPr>
      <w:rFonts w:ascii="等线" w:eastAsia="等线"/>
      <w:kern w:val="0"/>
      <w:sz w:val="22"/>
      <w:szCs w:val="22"/>
    </w:rPr>
  </w:style>
  <w:style w:type="paragraph" w:styleId="33">
    <w:name w:val="toc 9"/>
    <w:basedOn w:val="0"/>
    <w:next w:val="0"/>
    <w:pPr>
      <w:ind w:left="1680"/>
      <w:jc w:val="left"/>
    </w:pPr>
    <w:rPr>
      <w:rFonts w:ascii="Calibri" w:cs="Calibri" w:hAnsi="Calibri"/>
      <w:sz w:val="18"/>
      <w:szCs w:val="18"/>
    </w:rPr>
  </w:style>
  <w:style w:type="paragraph" w:styleId="34">
    <w:name w:val="Normal (Web)"/>
    <w:basedOn w:val="0"/>
    <w:pPr>
      <w:widowControl/>
      <w:spacing w:before="100" w:beforeAutospacing="1" w:after="100" w:afterAutospacing="1"/>
      <w:jc w:val="left"/>
    </w:pPr>
    <w:rPr>
      <w:rFonts w:ascii="ˎ̥" w:cs="宋体" w:hAnsi="ˎ̥"/>
      <w:kern w:val="0"/>
      <w:sz w:val="24"/>
    </w:rPr>
  </w:style>
  <w:style w:type="paragraph" w:styleId="35">
    <w:name w:val="Title"/>
    <w:basedOn w:val="0"/>
    <w:next w:val="0"/>
    <w:pPr>
      <w:pageBreakBefore/>
      <w:widowControl w:val="0"/>
      <w:spacing w:before="240" w:after="60"/>
      <w:jc w:val="center"/>
      <w:outlineLvl w:val="0"/>
    </w:pPr>
    <w:rPr>
      <w:rFonts w:ascii="Cambria" w:hAnsi="Cambria"/>
      <w:b/>
      <w:bCs/>
      <w:sz w:val="32"/>
      <w:szCs w:val="32"/>
    </w:rPr>
  </w:style>
  <w:style w:type="paragraph" w:styleId="36">
    <w:name w:val="annotation subject"/>
    <w:next w:val="18"/>
    <w:pPr>
      <w:widowControl w:val="0"/>
    </w:pPr>
    <w:rPr>
      <w:rFonts w:ascii="Times New Roman" w:eastAsia="宋体" w:cs="Times New Roman" w:hAnsi="Times New Roman"/>
      <w:b/>
      <w:kern w:val="2"/>
      <w:sz w:val="21"/>
      <w:szCs w:val="24"/>
      <w:lang w:val="en-US" w:eastAsia="zh-CN" w:bidi="ar-SA"/>
    </w:rPr>
  </w:style>
  <w:style w:type="character" w:styleId="37">
    <w:name w:val="page number"/>
  </w:style>
  <w:style w:type="character" w:styleId="38">
    <w:name w:val="Hyperlink"/>
    <w:rPr>
      <w:rFonts w:cs="Times New Roman"/>
      <w:color w:val="0563C1"/>
      <w:u w:val="single"/>
    </w:rPr>
  </w:style>
  <w:style w:type="character" w:styleId="39">
    <w:name w:val="annotation reference"/>
    <w:basedOn w:val="10"/>
    <w:rPr>
      <w:sz w:val="21"/>
      <w:szCs w:val="21"/>
    </w:rPr>
  </w:style>
  <w:style w:type="character" w:customStyle="1" w:styleId="40">
    <w:name w:val="font11"/>
    <w:basedOn w:val="10"/>
    <w:rPr>
      <w:rFonts w:ascii="Arial" w:cs="Arial" w:hAnsi="Arial"/>
      <w:color w:val="333333"/>
      <w:sz w:val="18"/>
      <w:szCs w:val="18"/>
      <w:u w:val="none"/>
      <w:lang w:bidi="ar-SA"/>
    </w:rPr>
  </w:style>
  <w:style w:type="character" w:customStyle="1" w:styleId="41">
    <w:name w:val="style11"/>
    <w:rPr>
      <w:sz w:val="24"/>
      <w:szCs w:val="24"/>
    </w:rPr>
  </w:style>
  <w:style w:type="paragraph" w:customStyle="1" w:styleId="42">
    <w:name w:val="段"/>
    <w:pPr>
      <w:autoSpaceDE w:val="0"/>
      <w:autoSpaceDN w:val="0"/>
      <w:ind w:firstLineChars="200" w:firstLine="200"/>
      <w:jc w:val="both"/>
    </w:pPr>
    <w:rPr>
      <w:rFonts w:ascii="宋体" w:eastAsia="宋体" w:cs="Times New Roman"/>
      <w:sz w:val="21"/>
      <w:lang w:val="en-US" w:eastAsia="zh-CN" w:bidi="ar-SA"/>
    </w:rPr>
  </w:style>
  <w:style w:type="paragraph" w:customStyle="1" w:styleId="43">
    <w:name w:val="Normal_2"/>
    <w:pPr>
      <w:spacing w:before="120" w:after="240"/>
      <w:jc w:val="both"/>
    </w:pPr>
    <w:rPr>
      <w:rFonts w:ascii="Times New Roman" w:eastAsia="宋体" w:cs="Wingdings" w:hAnsi="Times New Roman"/>
      <w:sz w:val="22"/>
      <w:szCs w:val="22"/>
      <w:lang w:val="en-US" w:eastAsia="en-US" w:bidi="ar-SA"/>
    </w:rPr>
  </w:style>
  <w:style w:type="paragraph" w:customStyle="1" w:styleId="44">
    <w:name w:val="表格文本"/>
    <w:rPr>
      <w:rFonts w:ascii="Times New Roman" w:eastAsia="宋体" w:cs="Times New Roman" w:hAnsi="Times New Roman"/>
      <w:sz w:val="21"/>
      <w:szCs w:val="52"/>
      <w:lang w:val="en-US" w:eastAsia="zh-CN" w:bidi="en-US"/>
    </w:rPr>
  </w:style>
  <w:style w:type="paragraph" w:customStyle="1" w:styleId="45">
    <w:name w:val="列出段落1"/>
    <w:basedOn w:val="0"/>
    <w:pPr>
      <w:ind w:firstLineChars="200" w:firstLine="200"/>
    </w:pPr>
    <w:rPr>
      <w:rFonts w:ascii="Calibri" w:hAnsi="Calibri"/>
      <w:szCs w:val="22"/>
    </w:rPr>
  </w:style>
  <w:style w:type="paragraph" w:customStyle="1" w:styleId="46">
    <w:name w:val="Text new"/>
    <w:pPr>
      <w:spacing w:before="60" w:after="60"/>
      <w:ind w:left="851"/>
    </w:pPr>
    <w:rPr>
      <w:rFonts w:ascii="Arial" w:eastAsia="宋体" w:cs="Times New Roman" w:hAnsi="Arial"/>
      <w:lang w:val="en-GB" w:eastAsia="en-US" w:bidi="ar-SA"/>
    </w:rPr>
  </w:style>
  <w:style w:type="paragraph" w:customStyle="1" w:styleId="47">
    <w:name w:val="列表段落1"/>
    <w:basedOn w:val="0"/>
    <w:pPr>
      <w:ind w:firstLineChars="200" w:firstLine="200"/>
    </w:pPr>
    <w:rPr>
      <w:rFonts w:ascii="Calibri" w:hAnsi="Calibri"/>
      <w:szCs w:val="22"/>
    </w:rPr>
  </w:style>
  <w:style w:type="paragraph" w:customStyle="1" w:styleId="48">
    <w:name w:val="Default"/>
    <w:pPr>
      <w:widowControl w:val="0"/>
      <w:autoSpaceDE w:val="0"/>
      <w:autoSpaceDN w:val="0"/>
      <w:adjustRightInd w:val="0"/>
    </w:pPr>
    <w:rPr>
      <w:rFonts w:ascii="Times New Roman" w:eastAsia="宋体" w:cs="Times New Roman" w:hAnsi="Times New Roman"/>
      <w:color w:val="000000"/>
      <w:sz w:val="24"/>
      <w:szCs w:val="24"/>
      <w:lang w:val="en-US" w:eastAsia="zh-CN" w:bidi="ar-SA"/>
    </w:rPr>
  </w:style>
  <w:style w:type="paragraph" w:customStyle="1" w:styleId="49">
    <w:name w:val="小点"/>
    <w:basedOn w:val="47"/>
    <w:pPr>
      <w:numPr>
        <w:ilvl w:val="0"/>
        <w:numId w:val="29"/>
      </w:numPr>
      <w:ind w:left="420" w:firstLineChars="0" w:firstLine="0"/>
    </w:pPr>
    <w:rPr>
      <w:rFonts w:ascii="Times New Roman" w:hAnsi="Times New Roman"/>
      <w:sz w:val="18"/>
      <w:szCs w:val="18"/>
    </w:rPr>
  </w:style>
  <w:style w:type="paragraph" w:customStyle="1" w:styleId="50">
    <w:name w:val="Paragraph 1"/>
    <w:basedOn w:val="0"/>
    <w:pPr>
      <w:widowControl/>
      <w:spacing w:after="120"/>
      <w:ind w:left="864"/>
    </w:pPr>
    <w:rPr>
      <w:rFonts w:ascii="Arial" w:hAnsi="Arial"/>
      <w:kern w:val="0"/>
      <w:sz w:val="22"/>
      <w:szCs w:val="20"/>
      <w:lang w:eastAsia="en-US"/>
    </w:rPr>
  </w:style>
  <w:style w:type="paragraph" w:customStyle="1" w:styleId="51">
    <w:name w:val="麦王正文"/>
    <w:basedOn w:val="0"/>
    <w:pPr>
      <w:widowControl/>
      <w:adjustRightInd w:val="0"/>
      <w:snapToGrid w:val="0"/>
      <w:spacing w:line="360" w:lineRule="auto"/>
      <w:ind w:firstLineChars="200" w:firstLine="200"/>
      <w:jc w:val="left"/>
    </w:pPr>
    <w:rPr>
      <w:rFonts w:ascii="Arial" w:cs="Arial" w:hAnsi="Arial"/>
      <w:sz w:val="24"/>
      <w:szCs w:val="21"/>
    </w:rPr>
  </w:style>
  <w:style w:type="paragraph" w:customStyle="1" w:styleId="52">
    <w:name w:val="Normal + Before:  3 pt"/>
    <w:basedOn w:val="0"/>
    <w:pPr>
      <w:widowControl/>
      <w:suppressAutoHyphens/>
      <w:spacing w:before="60" w:after="60"/>
      <w:jc w:val="left"/>
    </w:pPr>
    <w:rPr>
      <w:rFonts w:ascii="宋体"/>
      <w:i/>
      <w:kern w:val="0"/>
      <w:sz w:val="28"/>
      <w:szCs w:val="20"/>
      <w:lang w:val="en-GB" w:eastAsia="en-US"/>
    </w:rPr>
  </w:style>
  <w:style w:type="paragraph" w:customStyle="1" w:styleId="53">
    <w:name w:val="Tabellen Text"/>
    <w:basedOn w:val="0"/>
    <w:pPr>
      <w:widowControl/>
      <w:spacing w:before="60" w:after="60"/>
      <w:jc w:val="left"/>
    </w:pPr>
    <w:rPr>
      <w:rFonts w:ascii="Arial" w:hAnsi="Arial"/>
      <w:kern w:val="0"/>
      <w:sz w:val="20"/>
      <w:szCs w:val="20"/>
      <w:lang w:eastAsia="en-US"/>
    </w:rPr>
  </w:style>
  <w:style w:type="paragraph" w:customStyle="1" w:styleId="54">
    <w:name w:val="正文图标题"/>
    <w:next w:val="42"/>
    <w:pPr>
      <w:jc w:val="center"/>
    </w:pPr>
    <w:rPr>
      <w:rFonts w:ascii="黑体" w:eastAsia="黑体" w:cs="Times New Roman"/>
      <w:sz w:val="21"/>
      <w:lang w:val="en-US" w:eastAsia="zh-CN" w:bidi="ar-SA"/>
    </w:rPr>
  </w:style>
  <w:style w:type="paragraph" w:customStyle="1" w:styleId="55">
    <w:name w:val="段 New New New New New New New New New New New New"/>
    <w:pPr>
      <w:tabs>
        <w:tab w:val="center" w:pos="4201"/>
        <w:tab w:val="right" w:leader="dot" w:pos="9298"/>
      </w:tabs>
      <w:autoSpaceDE w:val="0"/>
      <w:autoSpaceDN w:val="0"/>
      <w:spacing w:line="360" w:lineRule="auto"/>
      <w:ind w:firstLineChars="200" w:firstLine="200"/>
      <w:jc w:val="both"/>
    </w:pPr>
    <w:rPr>
      <w:rFonts w:ascii="宋体" w:eastAsia="Times New Roman" w:cs="Times New Roman" w:hAnsi="宋体"/>
      <w:sz w:val="21"/>
      <w:lang w:val="en-US" w:eastAsia="zh-CN" w:bidi="ar-SA"/>
    </w:rPr>
  </w:style>
  <w:style w:type="paragraph" w:customStyle="1" w:styleId="56">
    <w:name w:val="样式1"/>
    <w:basedOn w:val="0"/>
    <w:pPr>
      <w:adjustRightInd w:val="0"/>
      <w:snapToGrid w:val="0"/>
      <w:spacing w:line="480" w:lineRule="exact"/>
      <w:ind w:firstLineChars="200" w:firstLine="200"/>
    </w:pPr>
    <w:rPr>
      <w:kern w:val="0"/>
      <w:sz w:val="26"/>
      <w:szCs w:val="26"/>
    </w:rPr>
  </w:style>
  <w:style w:type="paragraph" w:customStyle="1" w:styleId="57">
    <w:name w:val="WPSOffice手动目录 1"/>
    <w:rPr>
      <w:rFonts w:ascii="Times New Roman" w:eastAsia="宋体" w:cs="Times New Roman" w:hAnsi="Times New Roman"/>
      <w:lang w:val="en-US" w:eastAsia="zh-CN" w:bidi="ar-SA"/>
    </w:rPr>
  </w:style>
  <w:style w:type="paragraph" w:customStyle="1" w:styleId="58">
    <w:name w:val="WPSOffice手动目录 2"/>
    <w:pPr>
      <w:ind w:leftChars="200" w:left="200"/>
    </w:pPr>
    <w:rPr>
      <w:rFonts w:ascii="Times New Roman" w:eastAsia="宋体" w:cs="Times New Roman" w:hAnsi="Times New Roman"/>
      <w:lang w:val="en-US" w:eastAsia="zh-CN" w:bidi="ar-SA"/>
    </w:rPr>
  </w:style>
  <w:style w:type="paragraph" w:customStyle="1" w:styleId="59">
    <w:name w:val="WPSOffice手动目录 3"/>
    <w:pPr>
      <w:ind w:leftChars="400" w:left="400"/>
    </w:pPr>
    <w:rPr>
      <w:rFonts w:ascii="Times New Roman" w:eastAsia="宋体" w:cs="Times New Roman" w:hAnsi="Times New Roman"/>
      <w:lang w:val="en-US" w:eastAsia="zh-CN" w:bidi="ar-SA"/>
    </w:rPr>
  </w:style>
  <w:style w:type="paragraph" w:customStyle="1" w:styleId="60">
    <w:name w:val="列出段落2"/>
    <w:basedOn w:val="0"/>
    <w:pPr>
      <w:ind w:firstLineChars="200" w:firstLine="200"/>
    </w:pPr>
  </w:style>
  <w:style w:type="paragraph" w:customStyle="1" w:styleId="61">
    <w:name w:val="列出段落3"/>
    <w:basedOn w:val="0"/>
    <w:pPr>
      <w:ind w:firstLineChars="200" w:firstLine="200"/>
    </w:pPr>
  </w:style>
  <w:style w:type="paragraph" w:customStyle="1" w:styleId="62">
    <w:name w:val="列表段落2"/>
    <w:basedOn w:val="0"/>
    <w:pPr>
      <w:ind w:firstLineChars="200" w:firstLine="200"/>
    </w:pPr>
  </w:style>
  <w:style w:type="paragraph" w:customStyle="1" w:styleId="63">
    <w:name w:val="reader-word-layer"/>
    <w:basedOn w:val="0"/>
    <w:pPr>
      <w:widowControl/>
      <w:spacing w:before="100" w:beforeAutospacing="1" w:after="100" w:afterAutospacing="1"/>
      <w:jc w:val="left"/>
    </w:pPr>
    <w:rPr>
      <w:rFonts w:ascii="宋体" w:cs="宋体"/>
      <w:kern w:val="0"/>
      <w:sz w:val="24"/>
    </w:rPr>
  </w:style>
  <w:style w:type="character" w:customStyle="1" w:styleId="64">
    <w:name w:val="tlid-translation"/>
    <w:basedOn w:val="10"/>
  </w:style>
  <w:style w:type="paragraph" w:customStyle="1" w:styleId="65">
    <w:name w:val="TOC 标题1"/>
    <w:basedOn w:val="1"/>
    <w:next w:val="0"/>
    <w:pPr>
      <w:keepNext/>
      <w:keepLines/>
      <w:widowControl/>
      <w:spacing w:before="240" w:line="259" w:lineRule="auto"/>
      <w:jc w:val="left"/>
      <w:outlineLvl w:val="9"/>
    </w:pPr>
    <w:rPr>
      <w:rFonts w:ascii="等线 Light" w:eastAsia="等线 Light"/>
      <w:b w:val="0"/>
      <w:bCs w:val="0"/>
      <w:color w:val="2F5496"/>
      <w:kern w:val="0"/>
      <w:sz w:val="32"/>
      <w:szCs w:val="32"/>
    </w:rPr>
  </w:style>
  <w:style w:type="character" w:customStyle="1" w:styleId="66">
    <w:name w:val="标题 5 字符"/>
    <w:rPr>
      <w:rFonts w:cs="Times New Roman"/>
      <w:b/>
      <w:bCs/>
      <w:sz w:val="28"/>
      <w:szCs w:val="28"/>
    </w:rPr>
  </w:style>
  <w:style w:type="paragraph" w:customStyle="1" w:styleId="67">
    <w:name w:val="_Style 22"/>
    <w:basedOn w:val="0"/>
    <w:next w:val="47"/>
    <w:pPr>
      <w:ind w:firstLineChars="200" w:firstLine="200"/>
    </w:pPr>
    <w:rPr>
      <w:rFonts w:ascii="等线" w:eastAsia="等线"/>
      <w:szCs w:val="22"/>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image" Target="media/2.png"/><Relationship Id="rId6" Type="http://schemas.openxmlformats.org/officeDocument/2006/relationships/image" Target="media/5.png"/><Relationship Id="rId7" Type="http://schemas.openxmlformats.org/officeDocument/2006/relationships/image" Target="media/8.png"/><Relationship Id="rId8" Type="http://schemas.openxmlformats.org/officeDocument/2006/relationships/image" Target="media/11.png"/><Relationship Id="rId9" Type="http://schemas.openxmlformats.org/officeDocument/2006/relationships/image" Target="media/14.png"/><Relationship Id="rId10" Type="http://schemas.openxmlformats.org/officeDocument/2006/relationships/image" Target="media/17.png"/><Relationship Id="rId11" Type="http://schemas.openxmlformats.org/officeDocument/2006/relationships/image" Target="media/20.png"/><Relationship Id="rId12" Type="http://schemas.openxmlformats.org/officeDocument/2006/relationships/image" Target="media/23.png"/><Relationship Id="rId13" Type="http://schemas.openxmlformats.org/officeDocument/2006/relationships/image" Target="media/26.png"/><Relationship Id="rId14" Type="http://schemas.openxmlformats.org/officeDocument/2006/relationships/image" Target="media/29.png"/><Relationship Id="rId15" Type="http://schemas.openxmlformats.org/officeDocument/2006/relationships/image" Target="media/39.jpeg"/><Relationship Id="rId16" Type="http://schemas.openxmlformats.org/officeDocument/2006/relationships/footer" Target="footer4.xml"/><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styles" Target="styles.xml"/><Relationship Id="rId20" Type="http://schemas.openxmlformats.org/officeDocument/2006/relationships/numbering" Target="numbering.xml"/><Relationship Id="rId21" Type="http://schemas.openxmlformats.org/officeDocument/2006/relationships/fontTable" Target="fontTable.xml"/></Relationships>
</file>

<file path=docProps/app.xml><?xml version="1.0" encoding="utf-8"?>
<Properties xmlns="http://schemas.openxmlformats.org/officeDocument/2006/extended-properties">
  <Template>Normal.eit</Template>
  <TotalTime>3280</TotalTime>
  <Application>Yozo_Office</Application>
  <Pages>60</Pages>
  <Words>24055</Words>
  <Characters>27208</Characters>
  <Lines>1966</Lines>
  <Paragraphs>1373</Paragraphs>
  <CharactersWithSpaces>27717</CharactersWithSpaces>
  <Company>HP</Company>
</Properties>
</file>

<file path=docProps/core.xml><?xml version="1.0" encoding="utf-8"?>
<cp:coreProperties xmlns:cp="http://schemas.openxmlformats.org/package/2006/metadata/core-properties" xmlns:dc="http://purl.org/dc/elements/1.1/" xmlns:dcterms="http://purl.org/dc/terms/" xmlns:xsi="http://www.w3.org/2001/XMLSchema-instance">
  <dc:creator>DELL</dc:creator>
  <cp:lastModifiedBy>admin</cp:lastModifiedBy>
  <cp:revision>72</cp:revision>
  <cp:lastPrinted>2022-05-07T01:25:00Z</cp:lastPrinted>
  <dcterms:created xsi:type="dcterms:W3CDTF">2022-04-24T02:12:00Z</dcterms:created>
  <dcterms:modified xsi:type="dcterms:W3CDTF">2022-06-29T06:43:33Z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2052-11.1.0.11744</vt:lpwstr>
  </property>
  <property fmtid="{D5CDD505-2E9C-101B-9397-08002B2CF9AE}" pid="3" name="ICV">
    <vt:lpwstr>B183FDB9E25E493BAC13551E193B164F</vt:lpwstr>
  </property>
</Properties>
</file>